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B2" w:rsidRPr="00094076" w:rsidRDefault="00094076" w:rsidP="003170C4">
      <w:pPr>
        <w:shd w:val="clear" w:color="auto" w:fill="FFFFFF"/>
        <w:spacing w:after="0" w:line="360" w:lineRule="auto"/>
        <w:jc w:val="center"/>
        <w:rPr>
          <w:rFonts w:ascii="Times New Roman" w:hAnsi="Times New Roman"/>
          <w:b/>
          <w:noProof/>
          <w:lang w:val="el-GR"/>
        </w:rPr>
      </w:pPr>
      <w:bookmarkStart w:id="0" w:name="_GoBack"/>
      <w:bookmarkEnd w:id="0"/>
      <w:r w:rsidRPr="00094076">
        <w:rPr>
          <w:rFonts w:ascii="Times New Roman" w:hAnsi="Times New Roman"/>
          <w:b/>
          <w:noProof/>
          <w:lang w:val="el-GR"/>
        </w:rPr>
        <w:t>ΠΕΡΙΛΗΨΗ ΤΩΝ ΧΑΡΑΚΤΗΡΙΣΤΙΚΩΝ ΤΟΥ ΠΡΟΪΟΝΤΟΣ</w:t>
      </w:r>
    </w:p>
    <w:p w:rsidR="00CD32B2" w:rsidRPr="00094076" w:rsidRDefault="00CD32B2" w:rsidP="003170C4">
      <w:pPr>
        <w:shd w:val="clear" w:color="auto" w:fill="FFFFFF"/>
        <w:spacing w:after="0" w:line="360" w:lineRule="auto"/>
        <w:jc w:val="center"/>
        <w:rPr>
          <w:rFonts w:ascii="Times New Roman" w:hAnsi="Times New Roman"/>
          <w:b/>
          <w:noProof/>
          <w:lang w:val="el-GR"/>
        </w:rPr>
      </w:pPr>
    </w:p>
    <w:p w:rsidR="005F0B61" w:rsidRPr="00094076" w:rsidRDefault="005F0B61" w:rsidP="00AC1E02">
      <w:pPr>
        <w:shd w:val="clear" w:color="auto" w:fill="FFFFFF"/>
        <w:spacing w:after="0" w:line="360" w:lineRule="auto"/>
        <w:rPr>
          <w:rFonts w:ascii="Times New Roman" w:eastAsia="Times New Roman" w:hAnsi="Times New Roman"/>
          <w:lang w:val="el-GR"/>
        </w:rPr>
      </w:pPr>
      <w:r w:rsidRPr="00094076">
        <w:rPr>
          <w:rFonts w:ascii="Times New Roman" w:hAnsi="Times New Roman"/>
          <w:b/>
          <w:noProof/>
          <w:lang w:val="el-GR"/>
        </w:rPr>
        <w:t>1.</w:t>
      </w:r>
      <w:r w:rsidRPr="00094076">
        <w:rPr>
          <w:rFonts w:ascii="Times New Roman" w:hAnsi="Times New Roman"/>
          <w:b/>
          <w:noProof/>
          <w:lang w:val="el-GR"/>
        </w:rPr>
        <w:tab/>
      </w:r>
      <w:r w:rsidR="00094076" w:rsidRPr="00094076">
        <w:rPr>
          <w:rFonts w:ascii="Times New Roman" w:hAnsi="Times New Roman"/>
          <w:b/>
          <w:noProof/>
          <w:lang w:val="el-GR"/>
        </w:rPr>
        <w:t>ΟΝΟΜΑΣΙΑ ΤΟΥ ΦΑΡΜΑΚΕΥΤΙΚΟΥ ΠΡΟΪΟΝΤΟΣ</w:t>
      </w:r>
    </w:p>
    <w:p w:rsidR="006763D2" w:rsidRPr="006763D2" w:rsidRDefault="006763D2" w:rsidP="006763D2">
      <w:pPr>
        <w:shd w:val="clear" w:color="auto" w:fill="FFFFFF"/>
        <w:spacing w:after="0" w:line="360" w:lineRule="auto"/>
        <w:rPr>
          <w:rFonts w:ascii="Times New Roman" w:eastAsia="Times New Roman" w:hAnsi="Times New Roman"/>
          <w:lang w:val="el-GR"/>
        </w:rPr>
      </w:pPr>
      <w:r w:rsidRPr="006763D2">
        <w:rPr>
          <w:rFonts w:ascii="Times New Roman" w:eastAsia="Times New Roman" w:hAnsi="Times New Roman"/>
          <w:lang w:val="en-GB"/>
        </w:rPr>
        <w:t>CELMANTIN</w:t>
      </w:r>
      <w:r w:rsidRPr="006763D2">
        <w:rPr>
          <w:rFonts w:ascii="Times New Roman" w:eastAsia="Times New Roman" w:hAnsi="Times New Roman"/>
          <w:lang w:val="el-GR"/>
        </w:rPr>
        <w:t xml:space="preserve"> 5 </w:t>
      </w:r>
      <w:r w:rsidRPr="006763D2">
        <w:rPr>
          <w:rFonts w:ascii="Times New Roman" w:eastAsia="Times New Roman" w:hAnsi="Times New Roman"/>
          <w:lang w:val="en-GB"/>
        </w:rPr>
        <w:t>mg</w:t>
      </w:r>
      <w:r w:rsidRPr="006763D2">
        <w:rPr>
          <w:rFonts w:ascii="Times New Roman" w:eastAsia="Times New Roman" w:hAnsi="Times New Roman"/>
          <w:lang w:val="el-GR"/>
        </w:rPr>
        <w:t xml:space="preserve"> επικαλυμμένα με λεπτό υμένιο δισκία</w:t>
      </w:r>
    </w:p>
    <w:p w:rsidR="006763D2" w:rsidRPr="006763D2" w:rsidRDefault="006763D2" w:rsidP="006763D2">
      <w:pPr>
        <w:shd w:val="clear" w:color="auto" w:fill="FFFFFF"/>
        <w:spacing w:after="0" w:line="360" w:lineRule="auto"/>
        <w:rPr>
          <w:rFonts w:ascii="Times New Roman" w:eastAsia="Times New Roman" w:hAnsi="Times New Roman"/>
          <w:lang w:val="el-GR"/>
        </w:rPr>
      </w:pPr>
      <w:r w:rsidRPr="006763D2">
        <w:rPr>
          <w:rFonts w:ascii="Times New Roman" w:eastAsia="Times New Roman" w:hAnsi="Times New Roman"/>
          <w:lang w:val="en-GB"/>
        </w:rPr>
        <w:t>CELMANTIN</w:t>
      </w:r>
      <w:r w:rsidRPr="006763D2">
        <w:rPr>
          <w:rFonts w:ascii="Times New Roman" w:eastAsia="Times New Roman" w:hAnsi="Times New Roman"/>
          <w:lang w:val="el-GR"/>
        </w:rPr>
        <w:t xml:space="preserve"> 10 </w:t>
      </w:r>
      <w:r w:rsidRPr="006763D2">
        <w:rPr>
          <w:rFonts w:ascii="Times New Roman" w:eastAsia="Times New Roman" w:hAnsi="Times New Roman"/>
          <w:lang w:val="en-GB"/>
        </w:rPr>
        <w:t>mg</w:t>
      </w:r>
      <w:r w:rsidRPr="006763D2">
        <w:rPr>
          <w:rFonts w:ascii="Times New Roman" w:eastAsia="Times New Roman" w:hAnsi="Times New Roman"/>
          <w:lang w:val="el-GR"/>
        </w:rPr>
        <w:t xml:space="preserve"> επικαλυμμένα με λεπτό υμένιο δισκία</w:t>
      </w:r>
    </w:p>
    <w:p w:rsidR="006763D2" w:rsidRPr="006763D2" w:rsidRDefault="006763D2" w:rsidP="006763D2">
      <w:pPr>
        <w:shd w:val="clear" w:color="auto" w:fill="FFFFFF"/>
        <w:spacing w:after="0" w:line="360" w:lineRule="auto"/>
        <w:rPr>
          <w:rFonts w:ascii="Times New Roman" w:eastAsia="Times New Roman" w:hAnsi="Times New Roman"/>
          <w:lang w:val="el-GR"/>
        </w:rPr>
      </w:pPr>
      <w:r w:rsidRPr="006763D2">
        <w:rPr>
          <w:rFonts w:ascii="Times New Roman" w:eastAsia="Times New Roman" w:hAnsi="Times New Roman"/>
          <w:lang w:val="en-GB"/>
        </w:rPr>
        <w:t>CELMANTIN</w:t>
      </w:r>
      <w:r w:rsidRPr="006763D2">
        <w:rPr>
          <w:rFonts w:ascii="Times New Roman" w:eastAsia="Times New Roman" w:hAnsi="Times New Roman"/>
          <w:lang w:val="el-GR"/>
        </w:rPr>
        <w:t xml:space="preserve"> 20 </w:t>
      </w:r>
      <w:r w:rsidRPr="006763D2">
        <w:rPr>
          <w:rFonts w:ascii="Times New Roman" w:eastAsia="Times New Roman" w:hAnsi="Times New Roman"/>
          <w:lang w:val="en-GB"/>
        </w:rPr>
        <w:t>mg</w:t>
      </w:r>
      <w:r w:rsidRPr="006763D2">
        <w:rPr>
          <w:rFonts w:ascii="Times New Roman" w:eastAsia="Times New Roman" w:hAnsi="Times New Roman"/>
          <w:lang w:val="el-GR"/>
        </w:rPr>
        <w:t xml:space="preserve"> επικαλυμμένα με λεπτό υμένιο δισκία</w:t>
      </w:r>
    </w:p>
    <w:p w:rsidR="00DF5CE4" w:rsidRPr="006763D2" w:rsidRDefault="006763D2" w:rsidP="006763D2">
      <w:pPr>
        <w:shd w:val="clear" w:color="auto" w:fill="FFFFFF"/>
        <w:spacing w:after="0" w:line="360" w:lineRule="auto"/>
        <w:rPr>
          <w:rFonts w:ascii="Times New Roman" w:eastAsia="Times New Roman" w:hAnsi="Times New Roman"/>
          <w:lang w:val="el-GR"/>
        </w:rPr>
      </w:pPr>
      <w:r w:rsidRPr="006763D2">
        <w:rPr>
          <w:rFonts w:ascii="Times New Roman" w:eastAsia="Times New Roman" w:hAnsi="Times New Roman"/>
          <w:lang w:val="en-GB"/>
        </w:rPr>
        <w:t>CELMANTIN</w:t>
      </w:r>
      <w:r w:rsidRPr="006763D2">
        <w:rPr>
          <w:rFonts w:ascii="Times New Roman" w:eastAsia="Times New Roman" w:hAnsi="Times New Roman"/>
          <w:lang w:val="el-GR"/>
        </w:rPr>
        <w:t xml:space="preserve"> 40 </w:t>
      </w:r>
      <w:r w:rsidRPr="006763D2">
        <w:rPr>
          <w:rFonts w:ascii="Times New Roman" w:eastAsia="Times New Roman" w:hAnsi="Times New Roman"/>
          <w:lang w:val="en-GB"/>
        </w:rPr>
        <w:t>mg</w:t>
      </w:r>
      <w:r w:rsidRPr="006763D2">
        <w:rPr>
          <w:rFonts w:ascii="Times New Roman" w:eastAsia="Times New Roman" w:hAnsi="Times New Roman"/>
          <w:lang w:val="el-GR"/>
        </w:rPr>
        <w:t xml:space="preserve"> επικαλυμμένα με λεπτό υμένιο δισκία</w:t>
      </w:r>
    </w:p>
    <w:p w:rsidR="00DF5CE4" w:rsidRPr="006763D2" w:rsidRDefault="00DF5CE4" w:rsidP="003170C4">
      <w:pPr>
        <w:shd w:val="clear" w:color="auto" w:fill="FFFFFF"/>
        <w:spacing w:after="0" w:line="360" w:lineRule="auto"/>
        <w:jc w:val="both"/>
        <w:rPr>
          <w:rFonts w:ascii="Times New Roman" w:eastAsia="Times New Roman" w:hAnsi="Times New Roman"/>
          <w:b/>
          <w:lang w:val="el-GR"/>
        </w:rPr>
      </w:pPr>
    </w:p>
    <w:p w:rsidR="005F0B61" w:rsidRPr="00CF7A91" w:rsidRDefault="005F0B61" w:rsidP="003170C4">
      <w:pPr>
        <w:shd w:val="clear" w:color="auto" w:fill="FFFFFF"/>
        <w:spacing w:after="0" w:line="360" w:lineRule="auto"/>
        <w:jc w:val="both"/>
        <w:rPr>
          <w:rFonts w:ascii="Times New Roman" w:eastAsia="Times New Roman" w:hAnsi="Times New Roman"/>
          <w:lang w:val="el-GR"/>
        </w:rPr>
      </w:pPr>
      <w:r w:rsidRPr="00CF7A91">
        <w:rPr>
          <w:rFonts w:ascii="Times New Roman" w:eastAsia="Times New Roman" w:hAnsi="Times New Roman"/>
          <w:b/>
          <w:lang w:val="el-GR"/>
        </w:rPr>
        <w:t>2.</w:t>
      </w:r>
      <w:r w:rsidRPr="00CF7A91">
        <w:rPr>
          <w:rFonts w:ascii="Times New Roman" w:eastAsia="Times New Roman" w:hAnsi="Times New Roman"/>
          <w:b/>
          <w:lang w:val="el-GR"/>
        </w:rPr>
        <w:tab/>
      </w:r>
      <w:r w:rsidR="00CF7A91" w:rsidRPr="00CF7A91">
        <w:rPr>
          <w:rFonts w:ascii="Times New Roman" w:eastAsia="Times New Roman" w:hAnsi="Times New Roman"/>
          <w:b/>
          <w:lang w:val="el-GR"/>
        </w:rPr>
        <w:t>ΠΟΙΟΤΙΚΗ ΚΑΙ ΠΟΣΟΤΙΚΗ ΣΥΝΘΕΣΗ</w:t>
      </w:r>
    </w:p>
    <w:p w:rsidR="00B21EC3" w:rsidRPr="00CF7A91" w:rsidRDefault="00CF7A91" w:rsidP="003170C4">
      <w:pPr>
        <w:shd w:val="clear" w:color="auto" w:fill="FFFFFF"/>
        <w:spacing w:after="0" w:line="360" w:lineRule="auto"/>
        <w:jc w:val="both"/>
        <w:rPr>
          <w:rFonts w:ascii="Times New Roman" w:eastAsia="Times New Roman" w:hAnsi="Times New Roman"/>
          <w:lang w:val="el-GR"/>
        </w:rPr>
      </w:pPr>
      <w:r w:rsidRPr="00CF7A91">
        <w:rPr>
          <w:rFonts w:ascii="Times New Roman" w:eastAsia="Times New Roman" w:hAnsi="Times New Roman"/>
          <w:lang w:val="en-GB"/>
        </w:rPr>
        <w:t>CELMANTIN</w:t>
      </w:r>
      <w:r w:rsidRPr="00CF7A91">
        <w:rPr>
          <w:rFonts w:ascii="Times New Roman" w:eastAsia="Times New Roman" w:hAnsi="Times New Roman"/>
          <w:lang w:val="el-GR"/>
        </w:rPr>
        <w:t xml:space="preserve"> 5 </w:t>
      </w:r>
      <w:r w:rsidRPr="00CF7A91">
        <w:rPr>
          <w:rFonts w:ascii="Times New Roman" w:eastAsia="Times New Roman" w:hAnsi="Times New Roman"/>
          <w:lang w:val="en-GB"/>
        </w:rPr>
        <w:t>mg</w:t>
      </w:r>
      <w:r w:rsidRPr="00CF7A91">
        <w:rPr>
          <w:rFonts w:ascii="Times New Roman" w:eastAsia="Times New Roman" w:hAnsi="Times New Roman"/>
          <w:lang w:val="el-GR"/>
        </w:rPr>
        <w:t xml:space="preserve"> επικαλυμμένα με λεπτό υμένιο δισκία</w:t>
      </w:r>
      <w:r w:rsidR="00B21EC3" w:rsidRPr="00CF7A91">
        <w:rPr>
          <w:rFonts w:ascii="Times New Roman" w:eastAsia="Times New Roman" w:hAnsi="Times New Roman"/>
          <w:lang w:val="el-GR"/>
        </w:rPr>
        <w:t xml:space="preserve">: </w:t>
      </w:r>
      <w:r w:rsidR="00DE6C13">
        <w:rPr>
          <w:rFonts w:ascii="Times New Roman" w:eastAsia="Times New Roman" w:hAnsi="Times New Roman"/>
          <w:lang w:val="el-GR"/>
        </w:rPr>
        <w:t>Κάθε επικαλυμμένο με λεπτό υμένιο δισκίο περιέχει</w:t>
      </w:r>
      <w:r w:rsidR="00B21EC3" w:rsidRPr="00CF7A91">
        <w:rPr>
          <w:rFonts w:ascii="Times New Roman" w:eastAsia="Times New Roman" w:hAnsi="Times New Roman"/>
          <w:lang w:val="el-GR"/>
        </w:rPr>
        <w:t xml:space="preserve"> 5</w:t>
      </w:r>
      <w:r w:rsidR="008A53E9" w:rsidRPr="00CF7A91">
        <w:rPr>
          <w:rFonts w:ascii="Times New Roman" w:eastAsia="Times New Roman" w:hAnsi="Times New Roman"/>
          <w:lang w:val="el-GR"/>
        </w:rPr>
        <w:t xml:space="preserve"> </w:t>
      </w:r>
      <w:r w:rsidR="00B21EC3" w:rsidRPr="00426846">
        <w:rPr>
          <w:rFonts w:ascii="Times New Roman" w:eastAsia="Times New Roman" w:hAnsi="Times New Roman"/>
          <w:lang w:val="en-GB"/>
        </w:rPr>
        <w:t>mg</w:t>
      </w:r>
      <w:r w:rsidR="00B21EC3" w:rsidRPr="00CF7A91">
        <w:rPr>
          <w:rFonts w:ascii="Times New Roman" w:eastAsia="Times New Roman" w:hAnsi="Times New Roman"/>
          <w:lang w:val="el-GR"/>
        </w:rPr>
        <w:t xml:space="preserve"> </w:t>
      </w:r>
      <w:r w:rsidR="00B21EC3" w:rsidRPr="00426846">
        <w:rPr>
          <w:rFonts w:ascii="Times New Roman" w:eastAsia="Times New Roman" w:hAnsi="Times New Roman"/>
          <w:lang w:val="en-GB"/>
        </w:rPr>
        <w:t>rosuvastatin</w:t>
      </w:r>
      <w:r w:rsidR="001B5993" w:rsidRPr="00CF7A91">
        <w:rPr>
          <w:rFonts w:ascii="Times New Roman" w:eastAsia="Times New Roman" w:hAnsi="Times New Roman"/>
          <w:lang w:val="el-GR"/>
        </w:rPr>
        <w:t xml:space="preserve"> </w:t>
      </w:r>
      <w:r w:rsidR="00DE6C13">
        <w:rPr>
          <w:rFonts w:ascii="Times New Roman" w:eastAsia="Times New Roman" w:hAnsi="Times New Roman"/>
          <w:lang w:val="el-GR"/>
        </w:rPr>
        <w:t>ως</w:t>
      </w:r>
      <w:r w:rsidR="001B5993" w:rsidRPr="00CF7A91">
        <w:rPr>
          <w:rFonts w:ascii="Times New Roman" w:eastAsia="Times New Roman" w:hAnsi="Times New Roman"/>
          <w:lang w:val="el-GR"/>
        </w:rPr>
        <w:t xml:space="preserve"> </w:t>
      </w:r>
      <w:r w:rsidR="001B5993">
        <w:rPr>
          <w:rFonts w:ascii="Times New Roman" w:eastAsia="Times New Roman" w:hAnsi="Times New Roman"/>
          <w:lang w:val="en-GB"/>
        </w:rPr>
        <w:t>rosuvastatin</w:t>
      </w:r>
      <w:r w:rsidR="001B5993" w:rsidRPr="00CF7A91">
        <w:rPr>
          <w:rFonts w:ascii="Times New Roman" w:eastAsia="Times New Roman" w:hAnsi="Times New Roman"/>
          <w:lang w:val="el-GR"/>
        </w:rPr>
        <w:t xml:space="preserve"> </w:t>
      </w:r>
      <w:r w:rsidR="001B5993">
        <w:rPr>
          <w:rFonts w:ascii="Times New Roman" w:eastAsia="Times New Roman" w:hAnsi="Times New Roman"/>
          <w:lang w:val="en-GB"/>
        </w:rPr>
        <w:t>calcium</w:t>
      </w:r>
      <w:r w:rsidR="008A53E9" w:rsidRPr="00CF7A91">
        <w:rPr>
          <w:rFonts w:ascii="Times New Roman" w:eastAsia="Times New Roman" w:hAnsi="Times New Roman"/>
          <w:lang w:val="el-GR"/>
        </w:rPr>
        <w:t>.</w:t>
      </w:r>
    </w:p>
    <w:p w:rsidR="00B21EC3" w:rsidRPr="003B46CD" w:rsidRDefault="00CF7A91" w:rsidP="006E32AB">
      <w:pPr>
        <w:shd w:val="clear" w:color="auto" w:fill="FFFFFF"/>
        <w:spacing w:after="0" w:line="360" w:lineRule="auto"/>
        <w:jc w:val="both"/>
        <w:rPr>
          <w:rFonts w:ascii="Times New Roman" w:eastAsia="Times New Roman" w:hAnsi="Times New Roman"/>
          <w:lang w:val="el-GR"/>
        </w:rPr>
      </w:pPr>
      <w:r w:rsidRPr="00CF7A91">
        <w:rPr>
          <w:rFonts w:ascii="Times New Roman" w:eastAsia="Times New Roman" w:hAnsi="Times New Roman"/>
          <w:lang w:val="en-GB"/>
        </w:rPr>
        <w:t>CELMANTIN</w:t>
      </w:r>
      <w:r w:rsidRPr="003B46CD">
        <w:rPr>
          <w:rFonts w:ascii="Times New Roman" w:eastAsia="Times New Roman" w:hAnsi="Times New Roman"/>
          <w:lang w:val="el-GR"/>
        </w:rPr>
        <w:t xml:space="preserve"> 10 </w:t>
      </w:r>
      <w:r w:rsidRPr="00CF7A91">
        <w:rPr>
          <w:rFonts w:ascii="Times New Roman" w:eastAsia="Times New Roman" w:hAnsi="Times New Roman"/>
          <w:lang w:val="en-GB"/>
        </w:rPr>
        <w:t>mg</w:t>
      </w:r>
      <w:r w:rsidRPr="003B46CD">
        <w:rPr>
          <w:rFonts w:ascii="Times New Roman" w:eastAsia="Times New Roman" w:hAnsi="Times New Roman"/>
          <w:lang w:val="el-GR"/>
        </w:rPr>
        <w:t xml:space="preserve"> επικαλυμμένα με λεπτό υμένιο δισκία</w:t>
      </w:r>
      <w:r w:rsidR="00B21EC3" w:rsidRPr="003B46CD">
        <w:rPr>
          <w:rFonts w:ascii="Times New Roman" w:eastAsia="Times New Roman" w:hAnsi="Times New Roman"/>
          <w:lang w:val="el-GR"/>
        </w:rPr>
        <w:t xml:space="preserve">: </w:t>
      </w:r>
      <w:r w:rsidR="003B46CD" w:rsidRPr="003B46CD">
        <w:rPr>
          <w:rFonts w:ascii="Times New Roman" w:eastAsia="Times New Roman" w:hAnsi="Times New Roman"/>
          <w:lang w:val="el-GR"/>
        </w:rPr>
        <w:t xml:space="preserve">Κάθε επικαλυμμένο με λεπτό υμένιο δισκίο περιέχει </w:t>
      </w:r>
      <w:r w:rsidR="003B46CD">
        <w:rPr>
          <w:rFonts w:ascii="Times New Roman" w:eastAsia="Times New Roman" w:hAnsi="Times New Roman"/>
          <w:lang w:val="el-GR"/>
        </w:rPr>
        <w:t>10</w:t>
      </w:r>
      <w:r w:rsidR="003B46CD" w:rsidRPr="003B46CD">
        <w:rPr>
          <w:rFonts w:ascii="Times New Roman" w:eastAsia="Times New Roman" w:hAnsi="Times New Roman"/>
          <w:lang w:val="el-GR"/>
        </w:rPr>
        <w:t xml:space="preserve"> </w:t>
      </w:r>
      <w:r w:rsidR="003B46CD" w:rsidRPr="003B46CD">
        <w:rPr>
          <w:rFonts w:ascii="Times New Roman" w:eastAsia="Times New Roman" w:hAnsi="Times New Roman"/>
          <w:lang w:val="en-GB"/>
        </w:rPr>
        <w:t>mg</w:t>
      </w:r>
      <w:r w:rsidR="003B46CD" w:rsidRPr="003B46CD">
        <w:rPr>
          <w:rFonts w:ascii="Times New Roman" w:eastAsia="Times New Roman" w:hAnsi="Times New Roman"/>
          <w:lang w:val="el-GR"/>
        </w:rPr>
        <w:t xml:space="preserve"> </w:t>
      </w:r>
      <w:r w:rsidR="003B46CD" w:rsidRPr="003B46CD">
        <w:rPr>
          <w:rFonts w:ascii="Times New Roman" w:eastAsia="Times New Roman" w:hAnsi="Times New Roman"/>
          <w:lang w:val="en-GB"/>
        </w:rPr>
        <w:t>rosuvastatin</w:t>
      </w:r>
      <w:r w:rsidR="003B46CD" w:rsidRPr="003B46CD">
        <w:rPr>
          <w:rFonts w:ascii="Times New Roman" w:eastAsia="Times New Roman" w:hAnsi="Times New Roman"/>
          <w:lang w:val="el-GR"/>
        </w:rPr>
        <w:t xml:space="preserve"> ως </w:t>
      </w:r>
      <w:r w:rsidR="003B46CD" w:rsidRPr="003B46CD">
        <w:rPr>
          <w:rFonts w:ascii="Times New Roman" w:eastAsia="Times New Roman" w:hAnsi="Times New Roman"/>
          <w:lang w:val="en-GB"/>
        </w:rPr>
        <w:t>rosuvastatin</w:t>
      </w:r>
      <w:r w:rsidR="003B46CD" w:rsidRPr="003B46CD">
        <w:rPr>
          <w:rFonts w:ascii="Times New Roman" w:eastAsia="Times New Roman" w:hAnsi="Times New Roman"/>
          <w:lang w:val="el-GR"/>
        </w:rPr>
        <w:t xml:space="preserve"> </w:t>
      </w:r>
      <w:r w:rsidR="003B46CD" w:rsidRPr="003B46CD">
        <w:rPr>
          <w:rFonts w:ascii="Times New Roman" w:eastAsia="Times New Roman" w:hAnsi="Times New Roman"/>
          <w:lang w:val="en-GB"/>
        </w:rPr>
        <w:t>calcium</w:t>
      </w:r>
      <w:r w:rsidR="003B46CD" w:rsidRPr="003B46CD">
        <w:rPr>
          <w:rFonts w:ascii="Times New Roman" w:eastAsia="Times New Roman" w:hAnsi="Times New Roman"/>
          <w:lang w:val="el-GR"/>
        </w:rPr>
        <w:t>.</w:t>
      </w:r>
    </w:p>
    <w:p w:rsidR="00B21EC3" w:rsidRPr="003B3D4D" w:rsidRDefault="00FC0CF2" w:rsidP="00694556">
      <w:pPr>
        <w:shd w:val="clear" w:color="auto" w:fill="FFFFFF"/>
        <w:spacing w:after="0" w:line="360" w:lineRule="auto"/>
        <w:jc w:val="both"/>
        <w:rPr>
          <w:rFonts w:ascii="Times New Roman" w:eastAsia="Times New Roman" w:hAnsi="Times New Roman"/>
          <w:lang w:val="el-GR"/>
        </w:rPr>
      </w:pPr>
      <w:r w:rsidRPr="00FC0CF2">
        <w:rPr>
          <w:rFonts w:ascii="Times New Roman" w:eastAsia="Times New Roman" w:hAnsi="Times New Roman"/>
          <w:lang w:val="en-GB"/>
        </w:rPr>
        <w:t>CELMANTIN</w:t>
      </w:r>
      <w:r w:rsidRPr="003B3D4D">
        <w:rPr>
          <w:rFonts w:ascii="Times New Roman" w:eastAsia="Times New Roman" w:hAnsi="Times New Roman"/>
          <w:lang w:val="el-GR"/>
        </w:rPr>
        <w:t xml:space="preserve"> 20 </w:t>
      </w:r>
      <w:r w:rsidRPr="00FC0CF2">
        <w:rPr>
          <w:rFonts w:ascii="Times New Roman" w:eastAsia="Times New Roman" w:hAnsi="Times New Roman"/>
          <w:lang w:val="en-GB"/>
        </w:rPr>
        <w:t>mg</w:t>
      </w:r>
      <w:r w:rsidRPr="003B3D4D">
        <w:rPr>
          <w:rFonts w:ascii="Times New Roman" w:eastAsia="Times New Roman" w:hAnsi="Times New Roman"/>
          <w:lang w:val="el-GR"/>
        </w:rPr>
        <w:t xml:space="preserve"> επικαλυμμένα με λεπτό υμένιο δισκία</w:t>
      </w:r>
      <w:r w:rsidR="00B21EC3" w:rsidRPr="003B3D4D">
        <w:rPr>
          <w:rFonts w:ascii="Times New Roman" w:eastAsia="Times New Roman" w:hAnsi="Times New Roman"/>
          <w:lang w:val="el-GR"/>
        </w:rPr>
        <w:t xml:space="preserve">: </w:t>
      </w:r>
      <w:r w:rsidR="003B3D4D" w:rsidRPr="003B3D4D">
        <w:rPr>
          <w:rFonts w:ascii="Times New Roman" w:eastAsia="Times New Roman" w:hAnsi="Times New Roman"/>
          <w:lang w:val="el-GR"/>
        </w:rPr>
        <w:t xml:space="preserve">Κάθε επικαλυμμένο με λεπτό υμένιο δισκίο περιέχει </w:t>
      </w:r>
      <w:r w:rsidR="003B3D4D">
        <w:rPr>
          <w:rFonts w:ascii="Times New Roman" w:eastAsia="Times New Roman" w:hAnsi="Times New Roman"/>
          <w:lang w:val="el-GR"/>
        </w:rPr>
        <w:t>20</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mg</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rosuvastatin</w:t>
      </w:r>
      <w:r w:rsidR="003B3D4D" w:rsidRPr="003B3D4D">
        <w:rPr>
          <w:rFonts w:ascii="Times New Roman" w:eastAsia="Times New Roman" w:hAnsi="Times New Roman"/>
          <w:lang w:val="el-GR"/>
        </w:rPr>
        <w:t xml:space="preserve"> ως </w:t>
      </w:r>
      <w:r w:rsidR="003B3D4D" w:rsidRPr="003B3D4D">
        <w:rPr>
          <w:rFonts w:ascii="Times New Roman" w:eastAsia="Times New Roman" w:hAnsi="Times New Roman"/>
          <w:lang w:val="en-GB"/>
        </w:rPr>
        <w:t>rosuvastatin</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calcium</w:t>
      </w:r>
      <w:r w:rsidR="003B3D4D" w:rsidRPr="003B3D4D">
        <w:rPr>
          <w:rFonts w:ascii="Times New Roman" w:eastAsia="Times New Roman" w:hAnsi="Times New Roman"/>
          <w:lang w:val="el-GR"/>
        </w:rPr>
        <w:t>.</w:t>
      </w:r>
    </w:p>
    <w:p w:rsidR="00B21EC3" w:rsidRPr="003B3D4D" w:rsidRDefault="00FC0CF2" w:rsidP="00AC1E02">
      <w:pPr>
        <w:shd w:val="clear" w:color="auto" w:fill="FFFFFF"/>
        <w:spacing w:after="0" w:line="360" w:lineRule="auto"/>
        <w:jc w:val="both"/>
        <w:rPr>
          <w:rFonts w:ascii="Times New Roman" w:eastAsia="Times New Roman" w:hAnsi="Times New Roman"/>
          <w:lang w:val="el-GR"/>
        </w:rPr>
      </w:pPr>
      <w:r w:rsidRPr="00FC0CF2">
        <w:rPr>
          <w:rFonts w:ascii="Times New Roman" w:eastAsia="Times New Roman" w:hAnsi="Times New Roman"/>
          <w:lang w:val="en-GB"/>
        </w:rPr>
        <w:t>CELMANTIN</w:t>
      </w:r>
      <w:r w:rsidRPr="003B3D4D">
        <w:rPr>
          <w:rFonts w:ascii="Times New Roman" w:eastAsia="Times New Roman" w:hAnsi="Times New Roman"/>
          <w:lang w:val="el-GR"/>
        </w:rPr>
        <w:t xml:space="preserve"> 40 </w:t>
      </w:r>
      <w:r w:rsidRPr="00FC0CF2">
        <w:rPr>
          <w:rFonts w:ascii="Times New Roman" w:eastAsia="Times New Roman" w:hAnsi="Times New Roman"/>
          <w:lang w:val="en-GB"/>
        </w:rPr>
        <w:t>mg</w:t>
      </w:r>
      <w:r w:rsidRPr="003B3D4D">
        <w:rPr>
          <w:rFonts w:ascii="Times New Roman" w:eastAsia="Times New Roman" w:hAnsi="Times New Roman"/>
          <w:lang w:val="el-GR"/>
        </w:rPr>
        <w:t xml:space="preserve"> επικαλυμμένα με λεπτό υμένιο δισκία</w:t>
      </w:r>
      <w:r w:rsidR="00B21EC3" w:rsidRPr="003B3D4D">
        <w:rPr>
          <w:rFonts w:ascii="Times New Roman" w:eastAsia="Times New Roman" w:hAnsi="Times New Roman"/>
          <w:lang w:val="el-GR"/>
        </w:rPr>
        <w:t xml:space="preserve">: </w:t>
      </w:r>
      <w:r w:rsidR="003B3D4D" w:rsidRPr="003B3D4D">
        <w:rPr>
          <w:rFonts w:ascii="Times New Roman" w:eastAsia="Times New Roman" w:hAnsi="Times New Roman"/>
          <w:lang w:val="el-GR"/>
        </w:rPr>
        <w:t xml:space="preserve">Κάθε επικαλυμμένο με λεπτό υμένιο δισκίο περιέχει </w:t>
      </w:r>
      <w:r w:rsidR="003B3D4D">
        <w:rPr>
          <w:rFonts w:ascii="Times New Roman" w:eastAsia="Times New Roman" w:hAnsi="Times New Roman"/>
          <w:lang w:val="el-GR"/>
        </w:rPr>
        <w:t>40</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mg</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rosuvastatin</w:t>
      </w:r>
      <w:r w:rsidR="003B3D4D" w:rsidRPr="003B3D4D">
        <w:rPr>
          <w:rFonts w:ascii="Times New Roman" w:eastAsia="Times New Roman" w:hAnsi="Times New Roman"/>
          <w:lang w:val="el-GR"/>
        </w:rPr>
        <w:t xml:space="preserve"> ως </w:t>
      </w:r>
      <w:r w:rsidR="003B3D4D" w:rsidRPr="003B3D4D">
        <w:rPr>
          <w:rFonts w:ascii="Times New Roman" w:eastAsia="Times New Roman" w:hAnsi="Times New Roman"/>
          <w:lang w:val="en-GB"/>
        </w:rPr>
        <w:t>rosuvastatin</w:t>
      </w:r>
      <w:r w:rsidR="003B3D4D" w:rsidRPr="003B3D4D">
        <w:rPr>
          <w:rFonts w:ascii="Times New Roman" w:eastAsia="Times New Roman" w:hAnsi="Times New Roman"/>
          <w:lang w:val="el-GR"/>
        </w:rPr>
        <w:t xml:space="preserve"> </w:t>
      </w:r>
      <w:r w:rsidR="003B3D4D" w:rsidRPr="003B3D4D">
        <w:rPr>
          <w:rFonts w:ascii="Times New Roman" w:eastAsia="Times New Roman" w:hAnsi="Times New Roman"/>
          <w:lang w:val="en-GB"/>
        </w:rPr>
        <w:t>calcium</w:t>
      </w:r>
      <w:r w:rsidR="003B3D4D" w:rsidRPr="003B3D4D">
        <w:rPr>
          <w:rFonts w:ascii="Times New Roman" w:eastAsia="Times New Roman" w:hAnsi="Times New Roman"/>
          <w:lang w:val="el-G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30982" w:rsidRPr="00EC7533" w:rsidTr="00830982">
        <w:trPr>
          <w:tblCellSpacing w:w="15" w:type="dxa"/>
        </w:trPr>
        <w:tc>
          <w:tcPr>
            <w:tcW w:w="4967" w:type="pct"/>
            <w:vAlign w:val="center"/>
          </w:tcPr>
          <w:p w:rsidR="008A53E9" w:rsidRPr="003B3D4D" w:rsidRDefault="008A53E9" w:rsidP="00AC1E02">
            <w:pPr>
              <w:spacing w:after="0" w:line="360" w:lineRule="auto"/>
              <w:jc w:val="both"/>
              <w:rPr>
                <w:rFonts w:ascii="Times New Roman" w:eastAsia="Times New Roman" w:hAnsi="Times New Roman"/>
                <w:lang w:val="el-GR"/>
              </w:rPr>
            </w:pPr>
          </w:p>
          <w:p w:rsidR="008A53E9" w:rsidRPr="00F43CA2" w:rsidRDefault="00F43CA2" w:rsidP="00AC1E02">
            <w:pPr>
              <w:spacing w:after="0" w:line="360" w:lineRule="auto"/>
              <w:jc w:val="both"/>
              <w:rPr>
                <w:rFonts w:ascii="Times New Roman" w:eastAsia="Times New Roman" w:hAnsi="Times New Roman"/>
                <w:lang w:val="el-GR"/>
              </w:rPr>
            </w:pPr>
            <w:r w:rsidRPr="00F43CA2">
              <w:rPr>
                <w:rFonts w:ascii="Times New Roman" w:eastAsia="Times New Roman" w:hAnsi="Times New Roman"/>
                <w:lang w:val="el-GR"/>
              </w:rPr>
              <w:t xml:space="preserve">Έκδοχο με γνωστή δράση: </w:t>
            </w:r>
            <w:r>
              <w:rPr>
                <w:rFonts w:ascii="Times New Roman" w:eastAsia="Times New Roman" w:hAnsi="Times New Roman"/>
                <w:lang w:val="el-GR"/>
              </w:rPr>
              <w:t>Μ</w:t>
            </w:r>
            <w:r w:rsidRPr="00F43CA2">
              <w:rPr>
                <w:rFonts w:ascii="Times New Roman" w:eastAsia="Times New Roman" w:hAnsi="Times New Roman"/>
                <w:lang w:val="el-GR"/>
              </w:rPr>
              <w:t xml:space="preserve">ονοϋδρική </w:t>
            </w:r>
            <w:r>
              <w:rPr>
                <w:rFonts w:ascii="Times New Roman" w:eastAsia="Times New Roman" w:hAnsi="Times New Roman"/>
                <w:lang w:val="el-GR"/>
              </w:rPr>
              <w:t>Λ</w:t>
            </w:r>
            <w:r w:rsidRPr="00F43CA2">
              <w:rPr>
                <w:rFonts w:ascii="Times New Roman" w:eastAsia="Times New Roman" w:hAnsi="Times New Roman"/>
                <w:lang w:val="el-GR"/>
              </w:rPr>
              <w:t>ακτόζη</w:t>
            </w:r>
            <w:r w:rsidR="008A53E9" w:rsidRPr="00F43CA2">
              <w:rPr>
                <w:rFonts w:ascii="Times New Roman" w:eastAsia="Times New Roman" w:hAnsi="Times New Roman"/>
                <w:lang w:val="el-GR"/>
              </w:rPr>
              <w:t>.</w:t>
            </w:r>
          </w:p>
          <w:p w:rsidR="008A53E9" w:rsidRPr="00457C85" w:rsidRDefault="00457C85" w:rsidP="00AC1E02">
            <w:pPr>
              <w:spacing w:after="0" w:line="360" w:lineRule="auto"/>
              <w:jc w:val="both"/>
              <w:rPr>
                <w:rFonts w:ascii="Times New Roman" w:eastAsia="Times New Roman" w:hAnsi="Times New Roman"/>
                <w:lang w:val="el-GR"/>
              </w:rPr>
            </w:pPr>
            <w:r w:rsidRPr="00457C85">
              <w:rPr>
                <w:rFonts w:ascii="Times New Roman" w:eastAsia="Times New Roman" w:hAnsi="Times New Roman"/>
                <w:lang w:val="el-GR"/>
              </w:rPr>
              <w:t xml:space="preserve">Κάθε </w:t>
            </w:r>
            <w:r>
              <w:rPr>
                <w:rFonts w:ascii="Times New Roman" w:eastAsia="Times New Roman" w:hAnsi="Times New Roman"/>
                <w:lang w:val="el-GR"/>
              </w:rPr>
              <w:t>επικαλυμμένο</w:t>
            </w:r>
            <w:r w:rsidRPr="00457C85">
              <w:rPr>
                <w:rFonts w:ascii="Times New Roman" w:eastAsia="Times New Roman" w:hAnsi="Times New Roman"/>
                <w:lang w:val="el-GR"/>
              </w:rPr>
              <w:t xml:space="preserve"> </w:t>
            </w:r>
            <w:r>
              <w:rPr>
                <w:rFonts w:ascii="Times New Roman" w:eastAsia="Times New Roman" w:hAnsi="Times New Roman"/>
                <w:lang w:val="el-GR"/>
              </w:rPr>
              <w:t>με</w:t>
            </w:r>
            <w:r w:rsidRPr="00457C85">
              <w:rPr>
                <w:rFonts w:ascii="Times New Roman" w:eastAsia="Times New Roman" w:hAnsi="Times New Roman"/>
                <w:lang w:val="el-GR"/>
              </w:rPr>
              <w:t xml:space="preserve"> </w:t>
            </w:r>
            <w:r>
              <w:rPr>
                <w:rFonts w:ascii="Times New Roman" w:eastAsia="Times New Roman" w:hAnsi="Times New Roman"/>
                <w:lang w:val="el-GR"/>
              </w:rPr>
              <w:t xml:space="preserve">λεπτό υμένιο </w:t>
            </w:r>
            <w:r w:rsidRPr="00457C85">
              <w:rPr>
                <w:rFonts w:ascii="Times New Roman" w:eastAsia="Times New Roman" w:hAnsi="Times New Roman"/>
                <w:lang w:val="el-GR"/>
              </w:rPr>
              <w:t>δισκίο</w:t>
            </w:r>
            <w:r>
              <w:rPr>
                <w:rFonts w:ascii="Times New Roman" w:eastAsia="Times New Roman" w:hAnsi="Times New Roman"/>
                <w:lang w:val="el-GR"/>
              </w:rPr>
              <w:t xml:space="preserve"> των</w:t>
            </w:r>
            <w:r w:rsidRPr="00457C85">
              <w:rPr>
                <w:rFonts w:ascii="Times New Roman" w:eastAsia="Times New Roman" w:hAnsi="Times New Roman"/>
                <w:lang w:val="el-GR"/>
              </w:rPr>
              <w:t xml:space="preserve"> </w:t>
            </w:r>
            <w:r w:rsidR="008A53E9" w:rsidRPr="00457C85">
              <w:rPr>
                <w:rFonts w:ascii="Times New Roman" w:eastAsia="Times New Roman" w:hAnsi="Times New Roman"/>
                <w:lang w:val="el-GR"/>
              </w:rPr>
              <w:t xml:space="preserve">5 </w:t>
            </w:r>
            <w:r w:rsidR="008A53E9">
              <w:rPr>
                <w:rFonts w:ascii="Times New Roman" w:eastAsia="Times New Roman" w:hAnsi="Times New Roman"/>
              </w:rPr>
              <w:t>mg</w:t>
            </w:r>
            <w:r>
              <w:rPr>
                <w:rFonts w:ascii="Times New Roman" w:eastAsia="Times New Roman" w:hAnsi="Times New Roman"/>
                <w:lang w:val="el-GR"/>
              </w:rPr>
              <w:t xml:space="preserve"> περιέχει</w:t>
            </w:r>
            <w:r w:rsidR="008A53E9" w:rsidRPr="00457C85">
              <w:rPr>
                <w:rFonts w:ascii="Times New Roman" w:eastAsia="Times New Roman" w:hAnsi="Times New Roman"/>
                <w:lang w:val="el-GR"/>
              </w:rPr>
              <w:t xml:space="preserve"> 101.86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Pr>
                <w:rFonts w:ascii="Times New Roman" w:eastAsia="Times New Roman" w:hAnsi="Times New Roman"/>
                <w:lang w:val="el-GR"/>
              </w:rPr>
              <w:t>μ</w:t>
            </w:r>
            <w:r w:rsidRPr="00457C85">
              <w:rPr>
                <w:rFonts w:ascii="Times New Roman" w:eastAsia="Times New Roman" w:hAnsi="Times New Roman"/>
                <w:lang w:val="el-GR"/>
              </w:rPr>
              <w:t xml:space="preserve">ονοϋδρική </w:t>
            </w:r>
            <w:r>
              <w:rPr>
                <w:rFonts w:ascii="Times New Roman" w:eastAsia="Times New Roman" w:hAnsi="Times New Roman"/>
                <w:lang w:val="el-GR"/>
              </w:rPr>
              <w:t>λ</w:t>
            </w:r>
            <w:r w:rsidRPr="00457C85">
              <w:rPr>
                <w:rFonts w:ascii="Times New Roman" w:eastAsia="Times New Roman" w:hAnsi="Times New Roman"/>
                <w:lang w:val="el-GR"/>
              </w:rPr>
              <w:t>ακτόζη</w:t>
            </w:r>
            <w:r w:rsidR="008A53E9" w:rsidRPr="00457C85">
              <w:rPr>
                <w:rFonts w:ascii="Times New Roman" w:eastAsia="Times New Roman" w:hAnsi="Times New Roman"/>
                <w:lang w:val="el-GR"/>
              </w:rPr>
              <w:t>.</w:t>
            </w:r>
          </w:p>
          <w:p w:rsidR="008A53E9" w:rsidRPr="00457C85" w:rsidRDefault="00457C85" w:rsidP="00AC1E02">
            <w:pPr>
              <w:spacing w:after="0" w:line="360" w:lineRule="auto"/>
              <w:jc w:val="both"/>
              <w:rPr>
                <w:rFonts w:ascii="Times New Roman" w:eastAsia="Times New Roman" w:hAnsi="Times New Roman"/>
                <w:lang w:val="el-GR"/>
              </w:rPr>
            </w:pPr>
            <w:r w:rsidRPr="00457C85">
              <w:rPr>
                <w:rFonts w:ascii="Times New Roman" w:eastAsia="Times New Roman" w:hAnsi="Times New Roman"/>
                <w:lang w:val="el-GR"/>
              </w:rPr>
              <w:t xml:space="preserve">Κάθε επικαλυμμένο με λεπτό υμένιο δισκίο των </w:t>
            </w:r>
            <w:r w:rsidR="008A53E9" w:rsidRPr="00457C85">
              <w:rPr>
                <w:rFonts w:ascii="Times New Roman" w:eastAsia="Times New Roman" w:hAnsi="Times New Roman"/>
                <w:lang w:val="el-GR"/>
              </w:rPr>
              <w:t xml:space="preserve">10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 xml:space="preserve">περιέχει </w:t>
            </w:r>
            <w:r w:rsidR="008A53E9" w:rsidRPr="00457C85">
              <w:rPr>
                <w:rFonts w:ascii="Times New Roman" w:eastAsia="Times New Roman" w:hAnsi="Times New Roman"/>
                <w:lang w:val="el-GR"/>
              </w:rPr>
              <w:t xml:space="preserve">96.79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μονοϋδρική λακτόζη</w:t>
            </w:r>
            <w:r w:rsidR="008A53E9" w:rsidRPr="00457C85">
              <w:rPr>
                <w:rFonts w:ascii="Times New Roman" w:eastAsia="Times New Roman" w:hAnsi="Times New Roman"/>
                <w:lang w:val="el-GR"/>
              </w:rPr>
              <w:t>.</w:t>
            </w:r>
          </w:p>
          <w:p w:rsidR="008A53E9" w:rsidRPr="00457C85" w:rsidRDefault="00457C85" w:rsidP="00AC1E02">
            <w:pPr>
              <w:spacing w:after="0" w:line="360" w:lineRule="auto"/>
              <w:jc w:val="both"/>
              <w:rPr>
                <w:rFonts w:ascii="Times New Roman" w:eastAsia="Times New Roman" w:hAnsi="Times New Roman"/>
                <w:lang w:val="el-GR"/>
              </w:rPr>
            </w:pPr>
            <w:r w:rsidRPr="00457C85">
              <w:rPr>
                <w:rFonts w:ascii="Times New Roman" w:eastAsia="Times New Roman" w:hAnsi="Times New Roman"/>
                <w:lang w:val="el-GR"/>
              </w:rPr>
              <w:t xml:space="preserve">Κάθε επικαλυμμένο με λεπτό υμένιο δισκίο των </w:t>
            </w:r>
            <w:r w:rsidR="008A53E9" w:rsidRPr="00457C85">
              <w:rPr>
                <w:rFonts w:ascii="Times New Roman" w:eastAsia="Times New Roman" w:hAnsi="Times New Roman"/>
                <w:lang w:val="el-GR"/>
              </w:rPr>
              <w:t xml:space="preserve">20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 xml:space="preserve">περιέχει </w:t>
            </w:r>
            <w:r w:rsidR="008A53E9" w:rsidRPr="00457C85">
              <w:rPr>
                <w:rFonts w:ascii="Times New Roman" w:eastAsia="Times New Roman" w:hAnsi="Times New Roman"/>
                <w:lang w:val="el-GR"/>
              </w:rPr>
              <w:t xml:space="preserve">193.57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μονοϋδρική λακτόζη</w:t>
            </w:r>
            <w:r w:rsidR="008A53E9" w:rsidRPr="00457C85">
              <w:rPr>
                <w:rFonts w:ascii="Times New Roman" w:eastAsia="Times New Roman" w:hAnsi="Times New Roman"/>
                <w:lang w:val="el-GR"/>
              </w:rPr>
              <w:t>.</w:t>
            </w:r>
          </w:p>
          <w:p w:rsidR="008A53E9" w:rsidRPr="00457C85" w:rsidRDefault="00457C85" w:rsidP="00AC1E02">
            <w:pPr>
              <w:spacing w:after="0" w:line="360" w:lineRule="auto"/>
              <w:jc w:val="both"/>
              <w:rPr>
                <w:rFonts w:ascii="Times New Roman" w:eastAsia="Times New Roman" w:hAnsi="Times New Roman"/>
                <w:lang w:val="el-GR"/>
              </w:rPr>
            </w:pPr>
            <w:r w:rsidRPr="00457C85">
              <w:rPr>
                <w:rFonts w:ascii="Times New Roman" w:eastAsia="Times New Roman" w:hAnsi="Times New Roman"/>
                <w:lang w:val="el-GR"/>
              </w:rPr>
              <w:t xml:space="preserve">Κάθε επικαλυμμένο με λεπτό υμένιο δισκίο των </w:t>
            </w:r>
            <w:r w:rsidR="008A53E9" w:rsidRPr="00457C85">
              <w:rPr>
                <w:rFonts w:ascii="Times New Roman" w:eastAsia="Times New Roman" w:hAnsi="Times New Roman"/>
                <w:lang w:val="el-GR"/>
              </w:rPr>
              <w:t xml:space="preserve">40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 xml:space="preserve">περιέχει </w:t>
            </w:r>
            <w:r w:rsidR="008A53E9" w:rsidRPr="00457C85">
              <w:rPr>
                <w:rFonts w:ascii="Times New Roman" w:eastAsia="Times New Roman" w:hAnsi="Times New Roman"/>
                <w:lang w:val="el-GR"/>
              </w:rPr>
              <w:t xml:space="preserve">174.98 </w:t>
            </w:r>
            <w:r w:rsidR="008A53E9">
              <w:rPr>
                <w:rFonts w:ascii="Times New Roman" w:eastAsia="Times New Roman" w:hAnsi="Times New Roman"/>
              </w:rPr>
              <w:t>mg</w:t>
            </w:r>
            <w:r w:rsidR="008A53E9" w:rsidRPr="00457C85">
              <w:rPr>
                <w:rFonts w:ascii="Times New Roman" w:eastAsia="Times New Roman" w:hAnsi="Times New Roman"/>
                <w:lang w:val="el-GR"/>
              </w:rPr>
              <w:t xml:space="preserve"> </w:t>
            </w:r>
            <w:r w:rsidRPr="00457C85">
              <w:rPr>
                <w:rFonts w:ascii="Times New Roman" w:eastAsia="Times New Roman" w:hAnsi="Times New Roman"/>
                <w:lang w:val="el-GR"/>
              </w:rPr>
              <w:t>μονοϋδρική λακτόζη</w:t>
            </w:r>
            <w:r w:rsidR="008A53E9" w:rsidRPr="00457C85">
              <w:rPr>
                <w:rFonts w:ascii="Times New Roman" w:eastAsia="Times New Roman" w:hAnsi="Times New Roman"/>
                <w:lang w:val="el-GR"/>
              </w:rPr>
              <w:t>.</w:t>
            </w:r>
          </w:p>
          <w:p w:rsidR="008A53E9" w:rsidRPr="00457C85" w:rsidRDefault="008A53E9" w:rsidP="00AC1E02">
            <w:pPr>
              <w:spacing w:after="0" w:line="360" w:lineRule="auto"/>
              <w:jc w:val="both"/>
              <w:rPr>
                <w:rFonts w:ascii="Times New Roman" w:eastAsia="Times New Roman" w:hAnsi="Times New Roman"/>
                <w:lang w:val="el-GR"/>
              </w:rPr>
            </w:pPr>
          </w:p>
          <w:p w:rsidR="00830982" w:rsidRPr="00EC7533" w:rsidRDefault="00EC7533" w:rsidP="008D03DA">
            <w:pPr>
              <w:spacing w:after="0" w:line="360" w:lineRule="auto"/>
              <w:jc w:val="both"/>
              <w:rPr>
                <w:rFonts w:ascii="Times New Roman" w:eastAsia="Times New Roman" w:hAnsi="Times New Roman"/>
                <w:lang w:val="el-GR"/>
              </w:rPr>
            </w:pPr>
            <w:r w:rsidRPr="00EC7533">
              <w:rPr>
                <w:rFonts w:ascii="Times New Roman" w:eastAsia="Times New Roman" w:hAnsi="Times New Roman"/>
                <w:lang w:val="el-GR"/>
              </w:rPr>
              <w:t xml:space="preserve">Για τον πλήρη κατάλογο των εκδόχων, </w:t>
            </w:r>
            <w:r w:rsidR="008D03DA">
              <w:rPr>
                <w:rFonts w:ascii="Times New Roman" w:eastAsia="Times New Roman" w:hAnsi="Times New Roman"/>
                <w:lang w:val="el-GR"/>
              </w:rPr>
              <w:t>δείτε</w:t>
            </w:r>
            <w:r w:rsidRPr="00EC7533">
              <w:rPr>
                <w:rFonts w:ascii="Times New Roman" w:eastAsia="Times New Roman" w:hAnsi="Times New Roman"/>
                <w:lang w:val="el-GR"/>
              </w:rPr>
              <w:t xml:space="preserve"> παράγραφο 6.1.</w:t>
            </w:r>
            <w:r w:rsidR="00830982" w:rsidRPr="00EC7533">
              <w:rPr>
                <w:rFonts w:ascii="Times New Roman" w:eastAsia="Times New Roman" w:hAnsi="Times New Roman"/>
                <w:lang w:val="el-GR"/>
              </w:rPr>
              <w:t xml:space="preserve"> </w:t>
            </w:r>
          </w:p>
        </w:tc>
      </w:tr>
    </w:tbl>
    <w:p w:rsidR="00F83F1E" w:rsidRDefault="00F83F1E" w:rsidP="003170C4">
      <w:pPr>
        <w:shd w:val="clear" w:color="auto" w:fill="FFFFFF"/>
        <w:spacing w:after="0" w:line="360" w:lineRule="auto"/>
        <w:jc w:val="both"/>
        <w:rPr>
          <w:rFonts w:ascii="Times New Roman" w:eastAsia="Times New Roman" w:hAnsi="Times New Roman"/>
          <w:lang w:val="el-GR"/>
        </w:rPr>
      </w:pPr>
      <w:bookmarkStart w:id="1" w:name="FORM"/>
      <w:bookmarkEnd w:id="1"/>
    </w:p>
    <w:p w:rsidR="005F0B61" w:rsidRPr="00426846" w:rsidRDefault="005F0B61" w:rsidP="003170C4">
      <w:pPr>
        <w:shd w:val="clear" w:color="auto" w:fill="FFFFFF"/>
        <w:spacing w:after="0" w:line="360" w:lineRule="auto"/>
        <w:jc w:val="both"/>
        <w:rPr>
          <w:rFonts w:ascii="Times New Roman" w:eastAsia="Times New Roman" w:hAnsi="Times New Roman"/>
          <w:lang w:val="en-GB"/>
        </w:rPr>
      </w:pPr>
      <w:r w:rsidRPr="00426846">
        <w:rPr>
          <w:rFonts w:ascii="Times New Roman" w:eastAsia="Times New Roman" w:hAnsi="Times New Roman"/>
          <w:b/>
          <w:lang w:val="en-GB"/>
        </w:rPr>
        <w:t>3.</w:t>
      </w:r>
      <w:r w:rsidRPr="00426846">
        <w:rPr>
          <w:rFonts w:ascii="Times New Roman" w:eastAsia="Times New Roman" w:hAnsi="Times New Roman"/>
          <w:b/>
          <w:lang w:val="en-GB"/>
        </w:rPr>
        <w:tab/>
        <w:t>PHARMACEUTICAL FORM</w:t>
      </w:r>
    </w:p>
    <w:p w:rsidR="00B21EC3" w:rsidRPr="002703D9" w:rsidRDefault="002703D9" w:rsidP="003170C4">
      <w:pPr>
        <w:shd w:val="clear" w:color="auto" w:fill="FFFFFF"/>
        <w:spacing w:after="0" w:line="360" w:lineRule="auto"/>
        <w:jc w:val="both"/>
        <w:rPr>
          <w:rFonts w:ascii="Times New Roman" w:eastAsia="Times New Roman" w:hAnsi="Times New Roman"/>
          <w:bCs/>
          <w:lang w:val="el-GR"/>
        </w:rPr>
      </w:pPr>
      <w:r w:rsidRPr="002703D9">
        <w:rPr>
          <w:rFonts w:ascii="Times New Roman" w:eastAsia="Times New Roman" w:hAnsi="Times New Roman"/>
          <w:bCs/>
          <w:lang w:val="el-GR"/>
        </w:rPr>
        <w:t>Δισκίο επικαλυμμένο με λεπτό υμένιο.</w:t>
      </w:r>
    </w:p>
    <w:p w:rsidR="00B21EC3" w:rsidRPr="002703D9" w:rsidRDefault="00B21EC3" w:rsidP="003170C4">
      <w:pPr>
        <w:shd w:val="clear" w:color="auto" w:fill="FFFFFF"/>
        <w:spacing w:after="0" w:line="360" w:lineRule="auto"/>
        <w:jc w:val="both"/>
        <w:rPr>
          <w:rFonts w:ascii="Times New Roman" w:eastAsia="Times New Roman" w:hAnsi="Times New Roman"/>
          <w:bCs/>
          <w:lang w:val="el-GR"/>
        </w:rPr>
      </w:pPr>
    </w:p>
    <w:p w:rsidR="00F83F1E" w:rsidRPr="00F83F1E" w:rsidRDefault="00F83F1E" w:rsidP="00F83F1E">
      <w:pPr>
        <w:spacing w:line="360" w:lineRule="auto"/>
        <w:jc w:val="both"/>
        <w:rPr>
          <w:rFonts w:ascii="Times New Roman" w:hAnsi="Times New Roman"/>
          <w:bCs/>
          <w:lang w:val="el-GR"/>
        </w:rPr>
      </w:pPr>
      <w:r w:rsidRPr="00F83F1E">
        <w:rPr>
          <w:rFonts w:ascii="Times New Roman" w:hAnsi="Times New Roman"/>
          <w:bCs/>
          <w:lang w:val="el-GR"/>
        </w:rPr>
        <w:t>Celmantin 5 mg επικαλυμμένα με λεπτό υμένιο δισκία: Κίτρινο, στρογγυλό, αμφίκυρτο, επικαλυμμένο με λεπτό υμένιο δισκίο, χαραγμένο με το «ROS» πάνω από το«5» στη μία πλευρά και χωρίς τίποτα στην άλλη πλευρά, με διάμετρο 7 mm.</w:t>
      </w:r>
    </w:p>
    <w:p w:rsidR="00F83F1E" w:rsidRPr="00F83F1E" w:rsidRDefault="00F83F1E" w:rsidP="00F83F1E">
      <w:pPr>
        <w:spacing w:line="360" w:lineRule="auto"/>
        <w:jc w:val="both"/>
        <w:rPr>
          <w:rFonts w:ascii="Times New Roman" w:hAnsi="Times New Roman"/>
          <w:bCs/>
          <w:lang w:val="el-GR"/>
        </w:rPr>
      </w:pPr>
      <w:r w:rsidRPr="00F83F1E">
        <w:rPr>
          <w:rFonts w:ascii="Times New Roman" w:hAnsi="Times New Roman"/>
          <w:bCs/>
          <w:lang w:val="el-GR"/>
        </w:rPr>
        <w:lastRenderedPageBreak/>
        <w:t>Celmantin 10 mg επικαλυμμένα με λεπτό υμένιο δισκία: Ροζ, στρογγυλό, αμφίκυρτο, επικαλυμμένο με λεπτό υμένιο δισκίο, χαραγμένο με το «ROS» πάνω από το«10» στη μία πλευρά και χωρίς τίποτα στην άλλη πλευρά, με διάμετρο 7 mm.</w:t>
      </w:r>
    </w:p>
    <w:p w:rsidR="00F83F1E" w:rsidRPr="00F83F1E" w:rsidRDefault="00F83F1E" w:rsidP="00F83F1E">
      <w:pPr>
        <w:spacing w:line="360" w:lineRule="auto"/>
        <w:jc w:val="both"/>
        <w:rPr>
          <w:rFonts w:ascii="Times New Roman" w:hAnsi="Times New Roman"/>
          <w:bCs/>
          <w:lang w:val="el-GR"/>
        </w:rPr>
      </w:pPr>
      <w:r w:rsidRPr="00F83F1E">
        <w:rPr>
          <w:rFonts w:ascii="Times New Roman" w:hAnsi="Times New Roman"/>
          <w:bCs/>
          <w:lang w:val="el-GR"/>
        </w:rPr>
        <w:t>Celmantin 20 mg επικαλυμμένα με λεπτό υμένιο δισκία: Ροζ, στρογγυλό, αμφίκυρτο, επικαλυμμένο με λεπτό υμένιο δισκίο, χαραγμένο με το «ROS» πάνω από το«20» στη μία πλευρά και χωρίς τίποτα στην άλλη πλευρά, με διάμετρο 9 mm.</w:t>
      </w:r>
    </w:p>
    <w:p w:rsidR="00F83F1E" w:rsidRDefault="00F83F1E" w:rsidP="00F83F1E">
      <w:pPr>
        <w:spacing w:line="360" w:lineRule="auto"/>
        <w:jc w:val="both"/>
        <w:rPr>
          <w:rFonts w:ascii="Times New Roman" w:hAnsi="Times New Roman"/>
          <w:bCs/>
          <w:lang w:val="el-GR"/>
        </w:rPr>
      </w:pPr>
      <w:r w:rsidRPr="00F83F1E">
        <w:rPr>
          <w:rFonts w:ascii="Times New Roman" w:hAnsi="Times New Roman"/>
          <w:bCs/>
          <w:lang w:val="el-GR"/>
        </w:rPr>
        <w:t>Celmantin 40 mg επικαλυμμένα με λεπτό υμένιο δισκία: Ροζ, ωοειδές, αμφίκυρτο, επικαλυμμένο με λεπτό υμένιο δισκίο, χαραγμένο με το «ROS» στη μία πλευρά και το «40» στην άλλη πλευρά, με διαστάσεις 6.8 x 11.4 mm.</w:t>
      </w:r>
    </w:p>
    <w:p w:rsidR="00B21EC3" w:rsidRPr="00426846" w:rsidRDefault="00B21EC3" w:rsidP="003170C4">
      <w:pPr>
        <w:shd w:val="clear" w:color="auto" w:fill="FFFFFF"/>
        <w:spacing w:after="0" w:line="360" w:lineRule="auto"/>
        <w:jc w:val="both"/>
        <w:rPr>
          <w:rFonts w:ascii="Times New Roman" w:eastAsia="Times New Roman" w:hAnsi="Times New Roman"/>
        </w:rPr>
      </w:pPr>
    </w:p>
    <w:p w:rsidR="00C4574A" w:rsidRPr="00C16996" w:rsidRDefault="005F0B61" w:rsidP="003170C4">
      <w:pPr>
        <w:shd w:val="clear" w:color="auto" w:fill="FFFFFF"/>
        <w:spacing w:after="0" w:line="360" w:lineRule="auto"/>
        <w:jc w:val="both"/>
        <w:rPr>
          <w:rFonts w:ascii="Times New Roman" w:eastAsia="Times New Roman" w:hAnsi="Times New Roman"/>
          <w:b/>
          <w:bCs/>
          <w:lang w:val="el-GR"/>
        </w:rPr>
      </w:pPr>
      <w:bookmarkStart w:id="2" w:name="CLINICAL_PARTS"/>
      <w:bookmarkEnd w:id="2"/>
      <w:r w:rsidRPr="00C16996">
        <w:rPr>
          <w:rFonts w:ascii="Times New Roman" w:eastAsia="Times New Roman" w:hAnsi="Times New Roman"/>
          <w:b/>
          <w:lang w:val="el-GR"/>
        </w:rPr>
        <w:t>4.</w:t>
      </w:r>
      <w:r w:rsidRPr="00C16996">
        <w:rPr>
          <w:rFonts w:ascii="Times New Roman" w:eastAsia="Times New Roman" w:hAnsi="Times New Roman"/>
          <w:b/>
          <w:lang w:val="el-GR"/>
        </w:rPr>
        <w:tab/>
      </w:r>
      <w:r w:rsidR="00AF1C71" w:rsidRPr="00C16996">
        <w:rPr>
          <w:rFonts w:ascii="Times New Roman" w:eastAsia="Times New Roman" w:hAnsi="Times New Roman"/>
          <w:b/>
          <w:lang w:val="el-GR"/>
        </w:rPr>
        <w:t>ΚΛΙΝΙΚΕΣ ΠΛΗΡΟΦΟΡΙΕΣ</w:t>
      </w:r>
    </w:p>
    <w:p w:rsidR="001B5993" w:rsidRPr="00C16996" w:rsidRDefault="001B5993" w:rsidP="003170C4">
      <w:pPr>
        <w:shd w:val="clear" w:color="auto" w:fill="FFFFFF"/>
        <w:spacing w:after="0" w:line="360" w:lineRule="auto"/>
        <w:jc w:val="both"/>
        <w:rPr>
          <w:rFonts w:ascii="Times New Roman" w:eastAsia="Times New Roman" w:hAnsi="Times New Roman"/>
          <w:lang w:val="el-GR"/>
        </w:rPr>
      </w:pPr>
    </w:p>
    <w:p w:rsidR="005F0B61" w:rsidRPr="00C16996" w:rsidRDefault="005F0B61" w:rsidP="006E32AB">
      <w:pPr>
        <w:suppressLineNumbers/>
        <w:spacing w:line="360" w:lineRule="auto"/>
        <w:ind w:left="567" w:hanging="567"/>
        <w:jc w:val="both"/>
        <w:outlineLvl w:val="0"/>
        <w:rPr>
          <w:rFonts w:ascii="Times New Roman" w:hAnsi="Times New Roman"/>
          <w:noProof/>
          <w:lang w:val="el-GR"/>
        </w:rPr>
      </w:pPr>
      <w:bookmarkStart w:id="3" w:name="INDICATIONS"/>
      <w:bookmarkEnd w:id="3"/>
      <w:r w:rsidRPr="00C16996">
        <w:rPr>
          <w:rFonts w:ascii="Times New Roman" w:hAnsi="Times New Roman"/>
          <w:b/>
          <w:noProof/>
          <w:lang w:val="el-GR"/>
        </w:rPr>
        <w:t>4.1</w:t>
      </w:r>
      <w:r w:rsidRPr="00C16996">
        <w:rPr>
          <w:rFonts w:ascii="Times New Roman" w:hAnsi="Times New Roman"/>
          <w:b/>
          <w:noProof/>
          <w:lang w:val="el-GR"/>
        </w:rPr>
        <w:tab/>
      </w:r>
      <w:r w:rsidR="00AF1C71" w:rsidRPr="00C16996">
        <w:rPr>
          <w:rFonts w:ascii="Times New Roman" w:hAnsi="Times New Roman"/>
          <w:b/>
          <w:noProof/>
          <w:lang w:val="el-GR"/>
        </w:rPr>
        <w:t>Θεραπευτικές ενδείξεις</w:t>
      </w:r>
    </w:p>
    <w:p w:rsidR="00C713D9" w:rsidRPr="00C16996" w:rsidRDefault="00C16996" w:rsidP="00694556">
      <w:pPr>
        <w:shd w:val="clear" w:color="auto" w:fill="FFFFFF"/>
        <w:spacing w:after="0" w:line="360" w:lineRule="auto"/>
        <w:jc w:val="both"/>
        <w:rPr>
          <w:rFonts w:ascii="Times New Roman" w:eastAsia="Times New Roman" w:hAnsi="Times New Roman"/>
          <w:lang w:val="el-GR"/>
        </w:rPr>
      </w:pPr>
      <w:r w:rsidRPr="00C16996">
        <w:rPr>
          <w:rFonts w:ascii="Times New Roman" w:eastAsia="Times New Roman" w:hAnsi="Times New Roman"/>
          <w:b/>
          <w:bCs/>
          <w:lang w:val="el-GR"/>
        </w:rPr>
        <w:t>Θεραπεία της υπερχοληστερολαιμίας</w:t>
      </w:r>
    </w:p>
    <w:p w:rsidR="00EA6C4D" w:rsidRDefault="00EA6C4D" w:rsidP="00EA6C4D">
      <w:pPr>
        <w:shd w:val="clear" w:color="auto" w:fill="FFFFFF"/>
        <w:spacing w:after="0" w:line="360" w:lineRule="auto"/>
        <w:jc w:val="both"/>
        <w:rPr>
          <w:rFonts w:ascii="Times New Roman" w:eastAsia="Times New Roman" w:hAnsi="Times New Roman"/>
          <w:lang w:val="el-GR"/>
        </w:rPr>
      </w:pPr>
      <w:r w:rsidRPr="00EA6C4D">
        <w:rPr>
          <w:rFonts w:ascii="Times New Roman" w:eastAsia="Times New Roman" w:hAnsi="Times New Roman"/>
          <w:lang w:val="el-GR"/>
        </w:rPr>
        <w:t>Ενήλικες, έφηβοι και παιδιά ηλικίας 10 ετών ή μεγαλύτερα με πρωτοπαθή</w:t>
      </w:r>
      <w:r>
        <w:rPr>
          <w:rFonts w:ascii="Times New Roman" w:eastAsia="Times New Roman" w:hAnsi="Times New Roman"/>
          <w:lang w:val="el-GR"/>
        </w:rPr>
        <w:t xml:space="preserve"> </w:t>
      </w:r>
      <w:r w:rsidRPr="00EA6C4D">
        <w:rPr>
          <w:rFonts w:ascii="Times New Roman" w:eastAsia="Times New Roman" w:hAnsi="Times New Roman"/>
          <w:lang w:val="el-GR"/>
        </w:rPr>
        <w:t>υπερχοληστερολαιμία (τύπου ΙΙa, συμπεριλαμβανομένης της ετερόζυγης</w:t>
      </w:r>
      <w:r>
        <w:rPr>
          <w:rFonts w:ascii="Times New Roman" w:eastAsia="Times New Roman" w:hAnsi="Times New Roman"/>
          <w:lang w:val="el-GR"/>
        </w:rPr>
        <w:t xml:space="preserve"> </w:t>
      </w:r>
      <w:r w:rsidRPr="00EA6C4D">
        <w:rPr>
          <w:rFonts w:ascii="Times New Roman" w:eastAsia="Times New Roman" w:hAnsi="Times New Roman"/>
          <w:lang w:val="el-GR"/>
        </w:rPr>
        <w:t>οικογενούς υπερχοληστερολαιμίας) ή μικτή δυσλιπιδαιμία (τύπου ΙΙb), ως</w:t>
      </w:r>
      <w:r>
        <w:rPr>
          <w:rFonts w:ascii="Times New Roman" w:eastAsia="Times New Roman" w:hAnsi="Times New Roman"/>
          <w:lang w:val="el-GR"/>
        </w:rPr>
        <w:t xml:space="preserve"> </w:t>
      </w:r>
      <w:r w:rsidRPr="00EA6C4D">
        <w:rPr>
          <w:rFonts w:ascii="Times New Roman" w:eastAsia="Times New Roman" w:hAnsi="Times New Roman"/>
          <w:lang w:val="el-GR"/>
        </w:rPr>
        <w:t>συμπλήρωμα της δίαιτας, όταν η ανταπόκριση στη δίαιτα και άλλες μη</w:t>
      </w:r>
      <w:r>
        <w:rPr>
          <w:rFonts w:ascii="Times New Roman" w:eastAsia="Times New Roman" w:hAnsi="Times New Roman"/>
          <w:lang w:val="el-GR"/>
        </w:rPr>
        <w:t xml:space="preserve"> </w:t>
      </w:r>
      <w:r w:rsidRPr="00EA6C4D">
        <w:rPr>
          <w:rFonts w:ascii="Times New Roman" w:eastAsia="Times New Roman" w:hAnsi="Times New Roman"/>
          <w:lang w:val="el-GR"/>
        </w:rPr>
        <w:t>φαρμακευτικές θεραπευτικές αγωγές (π.χ. άσκηση, μείωση του σωματικού</w:t>
      </w:r>
      <w:r>
        <w:rPr>
          <w:rFonts w:ascii="Times New Roman" w:eastAsia="Times New Roman" w:hAnsi="Times New Roman"/>
          <w:lang w:val="el-GR"/>
        </w:rPr>
        <w:t xml:space="preserve"> </w:t>
      </w:r>
      <w:r w:rsidRPr="00EA6C4D">
        <w:rPr>
          <w:rFonts w:ascii="Times New Roman" w:eastAsia="Times New Roman" w:hAnsi="Times New Roman"/>
          <w:lang w:val="el-GR"/>
        </w:rPr>
        <w:t>βάρους) δεν είναι επαρκής.</w:t>
      </w:r>
      <w:r w:rsidR="00990895" w:rsidRPr="00990895">
        <w:rPr>
          <w:rFonts w:ascii="Times New Roman" w:eastAsia="Times New Roman" w:hAnsi="Times New Roman"/>
          <w:lang w:val="el-GR"/>
        </w:rPr>
        <w:t xml:space="preserve"> </w:t>
      </w:r>
      <w:r w:rsidRPr="00EA6C4D">
        <w:rPr>
          <w:rFonts w:ascii="Times New Roman" w:eastAsia="Times New Roman" w:hAnsi="Times New Roman"/>
          <w:lang w:val="el-GR"/>
        </w:rPr>
        <w:t>Ομόζυγη οικογενής υπερχοληστερολαιμία, ως συμπλήρωμα της δίαιτας και άλλων</w:t>
      </w:r>
      <w:r>
        <w:rPr>
          <w:rFonts w:ascii="Times New Roman" w:eastAsia="Times New Roman" w:hAnsi="Times New Roman"/>
          <w:lang w:val="el-GR"/>
        </w:rPr>
        <w:t xml:space="preserve"> </w:t>
      </w:r>
      <w:r w:rsidRPr="00EA6C4D">
        <w:rPr>
          <w:rFonts w:ascii="Times New Roman" w:eastAsia="Times New Roman" w:hAnsi="Times New Roman"/>
          <w:lang w:val="el-GR"/>
        </w:rPr>
        <w:t>θεραπευτικών αγωγών που μειώνουν τα λιπίδια (π.χ. αφαίρεση της LDL εκ του</w:t>
      </w:r>
      <w:r>
        <w:rPr>
          <w:rFonts w:ascii="Times New Roman" w:eastAsia="Times New Roman" w:hAnsi="Times New Roman"/>
          <w:lang w:val="el-GR"/>
        </w:rPr>
        <w:t xml:space="preserve"> </w:t>
      </w:r>
      <w:r w:rsidRPr="00EA6C4D">
        <w:rPr>
          <w:rFonts w:ascii="Times New Roman" w:eastAsia="Times New Roman" w:hAnsi="Times New Roman"/>
          <w:lang w:val="el-GR"/>
        </w:rPr>
        <w:t>πλάσματος) ή όταν αυτές οι αγωγές δεν είναι κατάλληλες.</w:t>
      </w:r>
    </w:p>
    <w:p w:rsidR="00C713D9" w:rsidRPr="00990895" w:rsidRDefault="00C713D9" w:rsidP="00AC1E02">
      <w:pPr>
        <w:shd w:val="clear" w:color="auto" w:fill="FFFFFF"/>
        <w:spacing w:after="0" w:line="360" w:lineRule="auto"/>
        <w:jc w:val="both"/>
        <w:rPr>
          <w:rFonts w:ascii="Times New Roman" w:eastAsia="Times New Roman" w:hAnsi="Times New Roman"/>
          <w:b/>
          <w:bCs/>
          <w:lang w:val="el-GR"/>
        </w:rPr>
      </w:pPr>
    </w:p>
    <w:p w:rsidR="00C713D9" w:rsidRPr="00A76596" w:rsidRDefault="00E57B1B" w:rsidP="00AC1E02">
      <w:pPr>
        <w:shd w:val="clear" w:color="auto" w:fill="FFFFFF"/>
        <w:spacing w:after="0" w:line="360" w:lineRule="auto"/>
        <w:jc w:val="both"/>
        <w:rPr>
          <w:rFonts w:ascii="Times New Roman" w:eastAsia="Times New Roman" w:hAnsi="Times New Roman"/>
          <w:lang w:val="el-GR"/>
        </w:rPr>
      </w:pPr>
      <w:r w:rsidRPr="00A76596">
        <w:rPr>
          <w:rFonts w:ascii="Times New Roman" w:eastAsia="Times New Roman" w:hAnsi="Times New Roman"/>
          <w:b/>
          <w:bCs/>
          <w:lang w:val="el-GR"/>
        </w:rPr>
        <w:t>Πρόληψη των Καρδιαγγειακών Συμβαμάτων</w:t>
      </w:r>
    </w:p>
    <w:p w:rsidR="00A76596" w:rsidRPr="00A76596" w:rsidRDefault="00A76596" w:rsidP="00A76596">
      <w:pPr>
        <w:shd w:val="clear" w:color="auto" w:fill="FFFFFF"/>
        <w:spacing w:after="0" w:line="360" w:lineRule="auto"/>
        <w:jc w:val="both"/>
        <w:rPr>
          <w:rFonts w:ascii="Times New Roman" w:eastAsia="Times New Roman" w:hAnsi="Times New Roman"/>
          <w:lang w:val="el-GR"/>
        </w:rPr>
      </w:pPr>
      <w:r w:rsidRPr="00A76596">
        <w:rPr>
          <w:rFonts w:ascii="Times New Roman" w:eastAsia="Times New Roman" w:hAnsi="Times New Roman"/>
          <w:lang w:val="el-GR"/>
        </w:rPr>
        <w:t>Πρόληψη των κύριων καρδιαγγειακών συμβαμάτων σε ασθενείς που εκτιμάται ότι είναι υψηλού κινδύνου για το πρώτο καρδιαγγειακό επεισόδιο (βλ. Παράγραφο</w:t>
      </w:r>
      <w:r>
        <w:rPr>
          <w:rFonts w:ascii="Times New Roman" w:eastAsia="Times New Roman" w:hAnsi="Times New Roman"/>
        </w:rPr>
        <w:t xml:space="preserve"> </w:t>
      </w:r>
      <w:r w:rsidRPr="00A76596">
        <w:rPr>
          <w:rFonts w:ascii="Times New Roman" w:eastAsia="Times New Roman" w:hAnsi="Times New Roman"/>
          <w:lang w:val="el-GR"/>
        </w:rPr>
        <w:t>5.1), ως συμπληρωματικό της διόρθωσης άλλων παραγόντων κινδύνου.</w:t>
      </w:r>
    </w:p>
    <w:p w:rsidR="00E43D7C" w:rsidRPr="00426846" w:rsidRDefault="00E43D7C" w:rsidP="00AC1E02">
      <w:pPr>
        <w:shd w:val="clear" w:color="auto" w:fill="FFFFFF"/>
        <w:spacing w:after="0" w:line="360" w:lineRule="auto"/>
        <w:jc w:val="both"/>
        <w:rPr>
          <w:rFonts w:ascii="Times New Roman" w:eastAsia="Times New Roman" w:hAnsi="Times New Roman"/>
        </w:rPr>
      </w:pPr>
    </w:p>
    <w:p w:rsidR="00C713D9" w:rsidRPr="00426846" w:rsidRDefault="00C713D9" w:rsidP="00AC1E02">
      <w:pPr>
        <w:shd w:val="clear" w:color="auto" w:fill="FFFFFF"/>
        <w:spacing w:after="0" w:line="360" w:lineRule="auto"/>
        <w:jc w:val="both"/>
        <w:rPr>
          <w:rFonts w:ascii="Times New Roman" w:hAnsi="Times New Roman"/>
          <w:b/>
          <w:noProof/>
        </w:rPr>
      </w:pPr>
    </w:p>
    <w:p w:rsidR="005F0B61" w:rsidRPr="00CD7A36" w:rsidRDefault="005F0B61" w:rsidP="00AC1E02">
      <w:pPr>
        <w:shd w:val="clear" w:color="auto" w:fill="FFFFFF"/>
        <w:spacing w:after="0" w:line="360" w:lineRule="auto"/>
        <w:jc w:val="both"/>
        <w:rPr>
          <w:rFonts w:ascii="Times New Roman" w:eastAsia="Times New Roman" w:hAnsi="Times New Roman"/>
          <w:lang w:val="el-GR"/>
        </w:rPr>
      </w:pPr>
      <w:r w:rsidRPr="00CD7A36">
        <w:rPr>
          <w:rFonts w:ascii="Times New Roman" w:hAnsi="Times New Roman"/>
          <w:b/>
          <w:noProof/>
          <w:lang w:val="el-GR"/>
        </w:rPr>
        <w:t>4.2</w:t>
      </w:r>
      <w:r w:rsidRPr="00CD7A36">
        <w:rPr>
          <w:rFonts w:ascii="Times New Roman" w:hAnsi="Times New Roman"/>
          <w:b/>
          <w:noProof/>
          <w:lang w:val="el-GR"/>
        </w:rPr>
        <w:tab/>
      </w:r>
      <w:bookmarkStart w:id="4" w:name="CONTRAINDICATIONS"/>
      <w:bookmarkEnd w:id="4"/>
      <w:r w:rsidR="00A76596" w:rsidRPr="00CD7A36">
        <w:rPr>
          <w:rFonts w:ascii="Times New Roman" w:hAnsi="Times New Roman"/>
          <w:b/>
          <w:noProof/>
          <w:lang w:val="el-GR"/>
        </w:rPr>
        <w:t>Δοσολογία και τρόπος χορήγησης</w:t>
      </w:r>
    </w:p>
    <w:p w:rsidR="00CD7A36" w:rsidRDefault="00CD7A36" w:rsidP="00CD7A36">
      <w:pPr>
        <w:spacing w:before="100" w:beforeAutospacing="1" w:after="75" w:line="360" w:lineRule="auto"/>
        <w:jc w:val="both"/>
        <w:rPr>
          <w:rFonts w:ascii="Times New Roman" w:eastAsia="Times New Roman" w:hAnsi="Times New Roman"/>
          <w:lang w:val="el-GR"/>
        </w:rPr>
      </w:pPr>
      <w:r w:rsidRPr="00CD7A36">
        <w:rPr>
          <w:rFonts w:ascii="Times New Roman" w:eastAsia="Times New Roman" w:hAnsi="Times New Roman"/>
          <w:lang w:val="el-GR"/>
        </w:rPr>
        <w:t>Πριν την έναρξη της θεραπείας, ο ασθενής θα πρέπει να τεθεί στην καθιερωμένη</w:t>
      </w:r>
      <w:r>
        <w:rPr>
          <w:rFonts w:ascii="Times New Roman" w:eastAsia="Times New Roman" w:hAnsi="Times New Roman"/>
          <w:lang w:val="el-GR"/>
        </w:rPr>
        <w:t xml:space="preserve"> </w:t>
      </w:r>
      <w:r w:rsidRPr="00CD7A36">
        <w:rPr>
          <w:rFonts w:ascii="Times New Roman" w:eastAsia="Times New Roman" w:hAnsi="Times New Roman"/>
          <w:lang w:val="el-GR"/>
        </w:rPr>
        <w:t xml:space="preserve">υποχοληστερολαιμική δίαιτα, την οποία πρέπει να συνεχίζει κατά τη διάρκεια </w:t>
      </w:r>
      <w:r>
        <w:rPr>
          <w:rFonts w:ascii="Times New Roman" w:eastAsia="Times New Roman" w:hAnsi="Times New Roman"/>
          <w:lang w:val="el-GR"/>
        </w:rPr>
        <w:t xml:space="preserve">της </w:t>
      </w:r>
      <w:r w:rsidRPr="00CD7A36">
        <w:rPr>
          <w:rFonts w:ascii="Times New Roman" w:eastAsia="Times New Roman" w:hAnsi="Times New Roman"/>
          <w:lang w:val="el-GR"/>
        </w:rPr>
        <w:t xml:space="preserve">θεραπείας. Η δόση </w:t>
      </w:r>
      <w:r w:rsidRPr="00CD7A36">
        <w:rPr>
          <w:rFonts w:ascii="Times New Roman" w:eastAsia="Times New Roman" w:hAnsi="Times New Roman"/>
          <w:lang w:val="el-GR"/>
        </w:rPr>
        <w:lastRenderedPageBreak/>
        <w:t>πρέπει να εξατομικεύεται ανάλογα με τον στόχο της θεραπείας</w:t>
      </w:r>
      <w:r>
        <w:rPr>
          <w:rFonts w:ascii="Times New Roman" w:eastAsia="Times New Roman" w:hAnsi="Times New Roman"/>
          <w:lang w:val="el-GR"/>
        </w:rPr>
        <w:t xml:space="preserve"> </w:t>
      </w:r>
      <w:r w:rsidRPr="00CD7A36">
        <w:rPr>
          <w:rFonts w:ascii="Times New Roman" w:eastAsia="Times New Roman" w:hAnsi="Times New Roman"/>
          <w:lang w:val="el-GR"/>
        </w:rPr>
        <w:t>και την ανταπόκριση του ασθενή, λαμβάνοντας υπόψη τις ισχύουσες,</w:t>
      </w:r>
      <w:r>
        <w:rPr>
          <w:rFonts w:ascii="Times New Roman" w:eastAsia="Times New Roman" w:hAnsi="Times New Roman"/>
          <w:lang w:val="el-GR"/>
        </w:rPr>
        <w:t xml:space="preserve"> </w:t>
      </w:r>
      <w:r w:rsidRPr="00CD7A36">
        <w:rPr>
          <w:rFonts w:ascii="Times New Roman" w:eastAsia="Times New Roman" w:hAnsi="Times New Roman"/>
          <w:lang w:val="el-GR"/>
        </w:rPr>
        <w:t>συναινετικές, θεραπευτικές οδηγίες.</w:t>
      </w:r>
    </w:p>
    <w:p w:rsidR="002D1B4F" w:rsidRPr="001F3F35" w:rsidRDefault="00CD7A36" w:rsidP="00AC1E02">
      <w:pPr>
        <w:spacing w:before="100" w:beforeAutospacing="1" w:after="75" w:line="360" w:lineRule="auto"/>
        <w:jc w:val="both"/>
        <w:rPr>
          <w:rFonts w:ascii="Times New Roman" w:eastAsia="Times New Roman" w:hAnsi="Times New Roman"/>
          <w:bCs/>
          <w:u w:val="single"/>
          <w:lang w:val="el-GR"/>
        </w:rPr>
      </w:pPr>
      <w:r w:rsidRPr="001F3F35">
        <w:rPr>
          <w:rFonts w:ascii="Times New Roman" w:eastAsia="Times New Roman" w:hAnsi="Times New Roman"/>
          <w:bCs/>
          <w:u w:val="single"/>
          <w:lang w:val="el-GR"/>
        </w:rPr>
        <w:t>Δοσολογία</w:t>
      </w:r>
    </w:p>
    <w:p w:rsidR="00C713D9" w:rsidRPr="001F3F35" w:rsidRDefault="00686621" w:rsidP="00AC1E02">
      <w:pPr>
        <w:spacing w:before="100" w:beforeAutospacing="1" w:after="75" w:line="360" w:lineRule="auto"/>
        <w:jc w:val="both"/>
        <w:rPr>
          <w:rFonts w:ascii="Times New Roman" w:eastAsia="Times New Roman" w:hAnsi="Times New Roman"/>
          <w:lang w:val="el-GR"/>
        </w:rPr>
      </w:pPr>
      <w:r w:rsidRPr="001F3F35">
        <w:rPr>
          <w:rFonts w:ascii="Times New Roman" w:eastAsia="Times New Roman" w:hAnsi="Times New Roman"/>
          <w:b/>
          <w:bCs/>
          <w:lang w:val="el-GR"/>
        </w:rPr>
        <w:t>Θεραπεία της υπερχοληστερολαιμίας</w:t>
      </w:r>
    </w:p>
    <w:p w:rsidR="001F3F35" w:rsidRDefault="001F3F35" w:rsidP="001F3F35">
      <w:pPr>
        <w:spacing w:after="0" w:line="360" w:lineRule="auto"/>
        <w:jc w:val="both"/>
        <w:rPr>
          <w:rFonts w:ascii="Times New Roman" w:eastAsia="Times New Roman" w:hAnsi="Times New Roman"/>
          <w:lang w:val="el-GR"/>
        </w:rPr>
      </w:pPr>
      <w:r w:rsidRPr="001F3F35">
        <w:rPr>
          <w:rFonts w:ascii="Times New Roman" w:eastAsia="Times New Roman" w:hAnsi="Times New Roman"/>
          <w:lang w:val="el-GR"/>
        </w:rPr>
        <w:t>Η συνιστώμενη δόση έναρξης είναι 5 ή 10 mg από του στόματος εφάπαξ</w:t>
      </w:r>
      <w:r>
        <w:rPr>
          <w:rFonts w:ascii="Times New Roman" w:eastAsia="Times New Roman" w:hAnsi="Times New Roman"/>
          <w:lang w:val="el-GR"/>
        </w:rPr>
        <w:t xml:space="preserve"> </w:t>
      </w:r>
      <w:r w:rsidRPr="001F3F35">
        <w:rPr>
          <w:rFonts w:ascii="Times New Roman" w:eastAsia="Times New Roman" w:hAnsi="Times New Roman"/>
          <w:lang w:val="el-GR"/>
        </w:rPr>
        <w:t>ημερησίως τόσο για τους ασθενείς που δεν έχουν λάβει προηγούμενη θεραπεία με</w:t>
      </w:r>
      <w:r>
        <w:rPr>
          <w:rFonts w:ascii="Times New Roman" w:eastAsia="Times New Roman" w:hAnsi="Times New Roman"/>
          <w:lang w:val="el-GR"/>
        </w:rPr>
        <w:t xml:space="preserve"> </w:t>
      </w:r>
      <w:r w:rsidRPr="001F3F35">
        <w:rPr>
          <w:rFonts w:ascii="Times New Roman" w:eastAsia="Times New Roman" w:hAnsi="Times New Roman"/>
          <w:lang w:val="el-GR"/>
        </w:rPr>
        <w:t>στατίνες όσο και για τους ασθενείς που αλλάζουν από θεραπεία με άλλον</w:t>
      </w:r>
      <w:r>
        <w:rPr>
          <w:rFonts w:ascii="Times New Roman" w:eastAsia="Times New Roman" w:hAnsi="Times New Roman"/>
          <w:lang w:val="el-GR"/>
        </w:rPr>
        <w:t xml:space="preserve"> </w:t>
      </w:r>
      <w:r w:rsidRPr="001F3F35">
        <w:rPr>
          <w:rFonts w:ascii="Times New Roman" w:eastAsia="Times New Roman" w:hAnsi="Times New Roman"/>
          <w:lang w:val="el-GR"/>
        </w:rPr>
        <w:t>αναστολέα της HMG-CoA αναγωγάσης. Για την επιλογή της δόσης έναρξης θα</w:t>
      </w:r>
      <w:r>
        <w:rPr>
          <w:rFonts w:ascii="Times New Roman" w:eastAsia="Times New Roman" w:hAnsi="Times New Roman"/>
          <w:lang w:val="el-GR"/>
        </w:rPr>
        <w:t xml:space="preserve"> </w:t>
      </w:r>
      <w:r w:rsidRPr="001F3F35">
        <w:rPr>
          <w:rFonts w:ascii="Times New Roman" w:eastAsia="Times New Roman" w:hAnsi="Times New Roman"/>
          <w:lang w:val="el-GR"/>
        </w:rPr>
        <w:t>πρέπει να λαμβάνονται υπόψη τα επίπεδα χοληστερόλης κάθε ασθενή και ο</w:t>
      </w:r>
      <w:r>
        <w:rPr>
          <w:rFonts w:ascii="Times New Roman" w:eastAsia="Times New Roman" w:hAnsi="Times New Roman"/>
          <w:lang w:val="el-GR"/>
        </w:rPr>
        <w:t xml:space="preserve"> </w:t>
      </w:r>
      <w:r w:rsidRPr="001F3F35">
        <w:rPr>
          <w:rFonts w:ascii="Times New Roman" w:eastAsia="Times New Roman" w:hAnsi="Times New Roman"/>
          <w:lang w:val="el-GR"/>
        </w:rPr>
        <w:t>μελλοντικός καρδιαγγειακός κίνδυνος καθώς και ο ενδεχόμενος κίνδυνος</w:t>
      </w:r>
      <w:r>
        <w:rPr>
          <w:rFonts w:ascii="Times New Roman" w:eastAsia="Times New Roman" w:hAnsi="Times New Roman"/>
          <w:lang w:val="el-GR"/>
        </w:rPr>
        <w:t xml:space="preserve"> </w:t>
      </w:r>
      <w:r w:rsidRPr="001F3F35">
        <w:rPr>
          <w:rFonts w:ascii="Times New Roman" w:eastAsia="Times New Roman" w:hAnsi="Times New Roman"/>
          <w:lang w:val="el-GR"/>
        </w:rPr>
        <w:t>ανεπιθύμητων ενεργειών (βλέπε πιο κάτω). Προσαρμογή της δόσης στο επόμενο</w:t>
      </w:r>
      <w:r>
        <w:rPr>
          <w:rFonts w:ascii="Times New Roman" w:eastAsia="Times New Roman" w:hAnsi="Times New Roman"/>
          <w:lang w:val="el-GR"/>
        </w:rPr>
        <w:t xml:space="preserve"> </w:t>
      </w:r>
      <w:r w:rsidRPr="001F3F35">
        <w:rPr>
          <w:rFonts w:ascii="Times New Roman" w:eastAsia="Times New Roman" w:hAnsi="Times New Roman"/>
          <w:lang w:val="el-GR"/>
        </w:rPr>
        <w:t>δοσολογικό επίπεδο μπορεί να γίνει μετά από 4 εβδομάδες, εάν είναι απαραίτητο</w:t>
      </w:r>
      <w:r>
        <w:rPr>
          <w:rFonts w:ascii="Times New Roman" w:eastAsia="Times New Roman" w:hAnsi="Times New Roman"/>
          <w:lang w:val="el-GR"/>
        </w:rPr>
        <w:t xml:space="preserve"> </w:t>
      </w:r>
      <w:r w:rsidRPr="001F3F35">
        <w:rPr>
          <w:rFonts w:ascii="Times New Roman" w:eastAsia="Times New Roman" w:hAnsi="Times New Roman"/>
          <w:lang w:val="el-GR"/>
        </w:rPr>
        <w:t>(βλ. Παράγραφο 5.1). Λόγω της αυξημένης συχνότητας αναφοράς ανεπιθύμητων</w:t>
      </w:r>
      <w:r>
        <w:rPr>
          <w:rFonts w:ascii="Times New Roman" w:eastAsia="Times New Roman" w:hAnsi="Times New Roman"/>
          <w:lang w:val="el-GR"/>
        </w:rPr>
        <w:t xml:space="preserve"> </w:t>
      </w:r>
      <w:r w:rsidRPr="001F3F35">
        <w:rPr>
          <w:rFonts w:ascii="Times New Roman" w:eastAsia="Times New Roman" w:hAnsi="Times New Roman"/>
          <w:lang w:val="el-GR"/>
        </w:rPr>
        <w:t>ενεργειών με την δόση των 40 mg σε σύγκριση με τις χαμηλότερες δόσεις (βλ.</w:t>
      </w:r>
      <w:r>
        <w:rPr>
          <w:rFonts w:ascii="Times New Roman" w:eastAsia="Times New Roman" w:hAnsi="Times New Roman"/>
          <w:lang w:val="el-GR"/>
        </w:rPr>
        <w:t xml:space="preserve"> </w:t>
      </w:r>
      <w:r w:rsidRPr="001F3F35">
        <w:rPr>
          <w:rFonts w:ascii="Times New Roman" w:eastAsia="Times New Roman" w:hAnsi="Times New Roman"/>
          <w:lang w:val="el-GR"/>
        </w:rPr>
        <w:t>Παράγραφο. 4.8), μια τελική ρύθμιση στην μέγιστη δόση των 40 mg θα πρέπει να</w:t>
      </w:r>
      <w:r>
        <w:rPr>
          <w:rFonts w:ascii="Times New Roman" w:eastAsia="Times New Roman" w:hAnsi="Times New Roman"/>
          <w:lang w:val="el-GR"/>
        </w:rPr>
        <w:t xml:space="preserve"> </w:t>
      </w:r>
      <w:r w:rsidRPr="001F3F35">
        <w:rPr>
          <w:rFonts w:ascii="Times New Roman" w:eastAsia="Times New Roman" w:hAnsi="Times New Roman"/>
          <w:lang w:val="el-GR"/>
        </w:rPr>
        <w:t>εξετάζεται μόνο σε ασθενείς με σοβαρή υπερχοληστερολαιμία και υψηλό</w:t>
      </w:r>
      <w:r>
        <w:rPr>
          <w:rFonts w:ascii="Times New Roman" w:eastAsia="Times New Roman" w:hAnsi="Times New Roman"/>
          <w:lang w:val="el-GR"/>
        </w:rPr>
        <w:t xml:space="preserve"> </w:t>
      </w:r>
      <w:r w:rsidRPr="001F3F35">
        <w:rPr>
          <w:rFonts w:ascii="Times New Roman" w:eastAsia="Times New Roman" w:hAnsi="Times New Roman"/>
          <w:lang w:val="el-GR"/>
        </w:rPr>
        <w:t>καρδιαγγειακό κίνδυνο (ιδιαίτερα σε ασθενείς με οικογενή υπερχοληστερολαιμία)</w:t>
      </w:r>
      <w:r>
        <w:rPr>
          <w:rFonts w:ascii="Times New Roman" w:eastAsia="Times New Roman" w:hAnsi="Times New Roman"/>
          <w:lang w:val="el-GR"/>
        </w:rPr>
        <w:t xml:space="preserve"> </w:t>
      </w:r>
      <w:r w:rsidRPr="001F3F35">
        <w:rPr>
          <w:rFonts w:ascii="Times New Roman" w:eastAsia="Times New Roman" w:hAnsi="Times New Roman"/>
          <w:lang w:val="el-GR"/>
        </w:rPr>
        <w:t>που δεν επιτυγχάνουν το θεραπευτικό τους στόχο με 20 mg, και στους οποίους</w:t>
      </w:r>
      <w:r>
        <w:rPr>
          <w:rFonts w:ascii="Times New Roman" w:eastAsia="Times New Roman" w:hAnsi="Times New Roman"/>
          <w:lang w:val="el-GR"/>
        </w:rPr>
        <w:t xml:space="preserve"> </w:t>
      </w:r>
      <w:r w:rsidRPr="001F3F35">
        <w:rPr>
          <w:rFonts w:ascii="Times New Roman" w:eastAsia="Times New Roman" w:hAnsi="Times New Roman"/>
          <w:lang w:val="el-GR"/>
        </w:rPr>
        <w:t>θα πρέπει να διενεργείται περιοδικός έλεγχος (βλ. παράγραφο 4.4). Όταν</w:t>
      </w:r>
      <w:r>
        <w:rPr>
          <w:rFonts w:ascii="Times New Roman" w:eastAsia="Times New Roman" w:hAnsi="Times New Roman"/>
          <w:lang w:val="el-GR"/>
        </w:rPr>
        <w:t xml:space="preserve"> </w:t>
      </w:r>
      <w:r w:rsidRPr="001F3F35">
        <w:rPr>
          <w:rFonts w:ascii="Times New Roman" w:eastAsia="Times New Roman" w:hAnsi="Times New Roman"/>
          <w:lang w:val="el-GR"/>
        </w:rPr>
        <w:t>χορηγηθεί η δόση των 40 mg, συνιστάται επίβλεψη από ειδικό γιατρό.</w:t>
      </w:r>
    </w:p>
    <w:p w:rsidR="00C713D9" w:rsidRPr="00426846" w:rsidRDefault="009928A7" w:rsidP="003170C4">
      <w:pPr>
        <w:spacing w:before="100" w:beforeAutospacing="1" w:after="75" w:line="360" w:lineRule="auto"/>
        <w:jc w:val="both"/>
        <w:rPr>
          <w:rFonts w:ascii="Times New Roman" w:eastAsia="Times New Roman" w:hAnsi="Times New Roman"/>
        </w:rPr>
      </w:pPr>
      <w:r w:rsidRPr="009928A7">
        <w:rPr>
          <w:rFonts w:ascii="Times New Roman" w:eastAsia="Times New Roman" w:hAnsi="Times New Roman"/>
          <w:b/>
          <w:bCs/>
        </w:rPr>
        <w:t>Πρόληψη των Καρδιαγγειακών Συμβαμάτων</w:t>
      </w:r>
    </w:p>
    <w:p w:rsidR="00C713D9" w:rsidRPr="00F657BE" w:rsidRDefault="009928A7" w:rsidP="009928A7">
      <w:pPr>
        <w:spacing w:after="0" w:line="360" w:lineRule="auto"/>
        <w:jc w:val="both"/>
        <w:rPr>
          <w:rFonts w:ascii="Times New Roman" w:eastAsia="Times New Roman" w:hAnsi="Times New Roman"/>
          <w:lang w:val="el-GR"/>
        </w:rPr>
      </w:pPr>
      <w:r w:rsidRPr="009928A7">
        <w:rPr>
          <w:rFonts w:ascii="Times New Roman" w:eastAsia="Times New Roman" w:hAnsi="Times New Roman"/>
          <w:lang w:val="el-GR"/>
        </w:rPr>
        <w:t>Στη μελέτη μείωσης του κινδύνου των καρδιαγγειακών συμβαμάτων, η δόση που</w:t>
      </w:r>
      <w:r>
        <w:rPr>
          <w:rFonts w:ascii="Times New Roman" w:eastAsia="Times New Roman" w:hAnsi="Times New Roman"/>
          <w:lang w:val="el-GR"/>
        </w:rPr>
        <w:t xml:space="preserve"> </w:t>
      </w:r>
      <w:r w:rsidRPr="009928A7">
        <w:rPr>
          <w:rFonts w:ascii="Times New Roman" w:eastAsia="Times New Roman" w:hAnsi="Times New Roman"/>
          <w:lang w:val="el-GR"/>
        </w:rPr>
        <w:t xml:space="preserve">χρησιμοποιήθηκε ήταν 20 </w:t>
      </w:r>
      <w:r w:rsidRPr="009928A7">
        <w:rPr>
          <w:rFonts w:ascii="Times New Roman" w:eastAsia="Times New Roman" w:hAnsi="Times New Roman"/>
        </w:rPr>
        <w:t>mg</w:t>
      </w:r>
      <w:r w:rsidRPr="009928A7">
        <w:rPr>
          <w:rFonts w:ascii="Times New Roman" w:eastAsia="Times New Roman" w:hAnsi="Times New Roman"/>
          <w:lang w:val="el-GR"/>
        </w:rPr>
        <w:t xml:space="preserve"> ημερησίως (βλ. Παράγραφο 5.1</w:t>
      </w:r>
      <w:r w:rsidR="00C713D9" w:rsidRPr="00F657BE">
        <w:rPr>
          <w:rFonts w:ascii="Times New Roman" w:eastAsia="Times New Roman" w:hAnsi="Times New Roman"/>
          <w:lang w:val="el-GR"/>
        </w:rPr>
        <w:t xml:space="preserve">). </w:t>
      </w:r>
    </w:p>
    <w:p w:rsidR="00C713D9" w:rsidRPr="00F657BE" w:rsidRDefault="00F657BE" w:rsidP="003170C4">
      <w:pPr>
        <w:spacing w:before="100" w:beforeAutospacing="1" w:after="75" w:line="360" w:lineRule="auto"/>
        <w:jc w:val="both"/>
        <w:rPr>
          <w:rFonts w:ascii="Times New Roman" w:eastAsia="Times New Roman" w:hAnsi="Times New Roman"/>
          <w:lang w:val="el-GR"/>
        </w:rPr>
      </w:pPr>
      <w:r w:rsidRPr="00F657BE">
        <w:rPr>
          <w:rFonts w:ascii="Times New Roman" w:eastAsia="Times New Roman" w:hAnsi="Times New Roman"/>
          <w:b/>
          <w:bCs/>
          <w:lang w:val="el-GR"/>
        </w:rPr>
        <w:t>Παιδιατρικός πληθυσμός</w:t>
      </w:r>
    </w:p>
    <w:p w:rsidR="00C713D9" w:rsidRPr="00F657BE" w:rsidRDefault="00F657BE" w:rsidP="006E32AB">
      <w:pPr>
        <w:spacing w:before="100" w:beforeAutospacing="1" w:after="75" w:line="360" w:lineRule="auto"/>
        <w:jc w:val="both"/>
        <w:rPr>
          <w:rFonts w:ascii="Times New Roman" w:eastAsia="Times New Roman" w:hAnsi="Times New Roman"/>
          <w:lang w:val="el-GR"/>
        </w:rPr>
      </w:pPr>
      <w:r w:rsidRPr="00F657BE">
        <w:rPr>
          <w:rFonts w:ascii="Times New Roman" w:eastAsia="Times New Roman" w:hAnsi="Times New Roman"/>
          <w:lang w:val="el-GR"/>
        </w:rPr>
        <w:t>Παιδιατρική χρήση πρέπει να διεξάγεται μόνο από ειδικούς</w:t>
      </w:r>
      <w:r w:rsidR="00C713D9" w:rsidRPr="00F657BE">
        <w:rPr>
          <w:rFonts w:ascii="Times New Roman" w:eastAsia="Times New Roman" w:hAnsi="Times New Roman"/>
          <w:lang w:val="el-GR"/>
        </w:rPr>
        <w:t xml:space="preserve">. </w:t>
      </w:r>
    </w:p>
    <w:p w:rsidR="007F4545" w:rsidRPr="007F4545" w:rsidRDefault="007F4545" w:rsidP="007F4545">
      <w:pPr>
        <w:spacing w:before="100" w:beforeAutospacing="1" w:after="75" w:line="360" w:lineRule="auto"/>
        <w:jc w:val="both"/>
        <w:rPr>
          <w:rFonts w:ascii="Times New Roman" w:eastAsia="Times New Roman" w:hAnsi="Times New Roman"/>
          <w:u w:val="single"/>
          <w:lang w:val="el-GR"/>
        </w:rPr>
      </w:pPr>
      <w:r w:rsidRPr="007F4545">
        <w:rPr>
          <w:rFonts w:ascii="Times New Roman" w:eastAsia="Times New Roman" w:hAnsi="Times New Roman"/>
          <w:u w:val="single"/>
          <w:lang w:val="el-GR"/>
        </w:rPr>
        <w:t xml:space="preserve">Παιδιά και έφηβοι ηλικίας 10 με 17 ετών (αγόρια </w:t>
      </w:r>
      <w:r w:rsidRPr="007F4545">
        <w:rPr>
          <w:rFonts w:ascii="Times New Roman" w:eastAsia="Times New Roman" w:hAnsi="Times New Roman"/>
          <w:u w:val="single"/>
        </w:rPr>
        <w:t>Tanner</w:t>
      </w:r>
      <w:r w:rsidRPr="007F4545">
        <w:rPr>
          <w:rFonts w:ascii="Times New Roman" w:eastAsia="Times New Roman" w:hAnsi="Times New Roman"/>
          <w:u w:val="single"/>
          <w:lang w:val="el-GR"/>
        </w:rPr>
        <w:t xml:space="preserve"> </w:t>
      </w:r>
      <w:r w:rsidRPr="007F4545">
        <w:rPr>
          <w:rFonts w:ascii="Times New Roman" w:eastAsia="Times New Roman" w:hAnsi="Times New Roman"/>
          <w:u w:val="single"/>
        </w:rPr>
        <w:t>Stage</w:t>
      </w:r>
      <w:r w:rsidRPr="007F4545">
        <w:rPr>
          <w:rFonts w:ascii="Times New Roman" w:eastAsia="Times New Roman" w:hAnsi="Times New Roman"/>
          <w:u w:val="single"/>
          <w:lang w:val="el-GR"/>
        </w:rPr>
        <w:t xml:space="preserve"> </w:t>
      </w:r>
      <w:r w:rsidRPr="007F4545">
        <w:rPr>
          <w:rFonts w:ascii="Times New Roman" w:eastAsia="Times New Roman" w:hAnsi="Times New Roman"/>
          <w:u w:val="single"/>
        </w:rPr>
        <w:t>II</w:t>
      </w:r>
      <w:r w:rsidRPr="007F4545">
        <w:rPr>
          <w:rFonts w:ascii="Times New Roman" w:eastAsia="Times New Roman" w:hAnsi="Times New Roman"/>
          <w:u w:val="single"/>
          <w:lang w:val="el-GR"/>
        </w:rPr>
        <w:t xml:space="preserve"> και άνω, και κορίτσια τουλάχιστον 1 χρόνο μετά την εμμηναρχή)</w:t>
      </w:r>
    </w:p>
    <w:p w:rsidR="007F4545" w:rsidRPr="002238D4" w:rsidRDefault="007F4545" w:rsidP="002238D4">
      <w:pPr>
        <w:spacing w:before="100" w:beforeAutospacing="1" w:after="75" w:line="360" w:lineRule="auto"/>
        <w:jc w:val="both"/>
        <w:rPr>
          <w:rFonts w:ascii="Times New Roman" w:eastAsia="Times New Roman" w:hAnsi="Times New Roman"/>
          <w:lang w:val="el-GR"/>
        </w:rPr>
      </w:pPr>
      <w:r w:rsidRPr="007F4545">
        <w:rPr>
          <w:rFonts w:ascii="Times New Roman" w:eastAsia="Times New Roman" w:hAnsi="Times New Roman"/>
          <w:lang w:val="el-GR"/>
        </w:rPr>
        <w:t xml:space="preserve">Σε παιδιά και εφήβους με ετερόζυγη οικογενή υπερχοληστερολαιμία, η συνήθης δόση έναρξης είναι 5 </w:t>
      </w:r>
      <w:r w:rsidRPr="007F4545">
        <w:rPr>
          <w:rFonts w:ascii="Times New Roman" w:eastAsia="Times New Roman" w:hAnsi="Times New Roman"/>
        </w:rPr>
        <w:t>mg</w:t>
      </w:r>
      <w:r w:rsidRPr="007F4545">
        <w:rPr>
          <w:rFonts w:ascii="Times New Roman" w:eastAsia="Times New Roman" w:hAnsi="Times New Roman"/>
          <w:lang w:val="el-GR"/>
        </w:rPr>
        <w:t xml:space="preserve"> ημερησίως. Το σύνηθες εύρος δόσης είναι 5-20 </w:t>
      </w:r>
      <w:r w:rsidRPr="007F4545">
        <w:rPr>
          <w:rFonts w:ascii="Times New Roman" w:eastAsia="Times New Roman" w:hAnsi="Times New Roman"/>
        </w:rPr>
        <w:t>mg</w:t>
      </w:r>
      <w:r w:rsidRPr="007F4545">
        <w:rPr>
          <w:rFonts w:ascii="Times New Roman" w:eastAsia="Times New Roman" w:hAnsi="Times New Roman"/>
          <w:lang w:val="el-GR"/>
        </w:rPr>
        <w:t xml:space="preserve"> από του στόματος μία φορά ημερησίως. Η τιτλοποίηση θα πρέπει να πραγματοποιείται σύμφωνα με την ατομική απόκριση και την ανοχή των παιδιατρικών ασθενών, όπως προτείνεται από τις συστάσεις της παιδιατρικής θεραπείας (βλ. Παράγραφο</w:t>
      </w:r>
      <w:r w:rsidRPr="002238D4">
        <w:rPr>
          <w:rFonts w:ascii="Times New Roman" w:eastAsia="Times New Roman" w:hAnsi="Times New Roman"/>
          <w:lang w:val="el-GR"/>
        </w:rPr>
        <w:t xml:space="preserve"> </w:t>
      </w:r>
      <w:r w:rsidRPr="007F4545">
        <w:rPr>
          <w:rFonts w:ascii="Times New Roman" w:eastAsia="Times New Roman" w:hAnsi="Times New Roman"/>
          <w:lang w:val="el-GR"/>
        </w:rPr>
        <w:t>4.4). Στα παιδιά και τους εφήβους πρέπει να εφαρμόζεται καθιερωμένη</w:t>
      </w:r>
      <w:r w:rsidR="002238D4" w:rsidRPr="002238D4">
        <w:rPr>
          <w:rFonts w:ascii="Times New Roman" w:eastAsia="Times New Roman" w:hAnsi="Times New Roman"/>
          <w:lang w:val="el-GR"/>
        </w:rPr>
        <w:t xml:space="preserve"> υποχοληστερολαιμική δίαιτα πριν την έναρξη της θεραπείας με </w:t>
      </w:r>
      <w:r w:rsidR="002238D4" w:rsidRPr="002238D4">
        <w:rPr>
          <w:rFonts w:ascii="Times New Roman" w:eastAsia="Times New Roman" w:hAnsi="Times New Roman"/>
        </w:rPr>
        <w:t>rosuvastatin</w:t>
      </w:r>
      <w:r w:rsidR="002238D4" w:rsidRPr="002238D4">
        <w:rPr>
          <w:rFonts w:ascii="Times New Roman" w:eastAsia="Times New Roman" w:hAnsi="Times New Roman"/>
          <w:lang w:val="el-GR"/>
        </w:rPr>
        <w:t xml:space="preserve"> και η δίαιτα θα πρέπει να </w:t>
      </w:r>
      <w:r w:rsidR="002238D4" w:rsidRPr="002238D4">
        <w:rPr>
          <w:rFonts w:ascii="Times New Roman" w:eastAsia="Times New Roman" w:hAnsi="Times New Roman"/>
          <w:lang w:val="el-GR"/>
        </w:rPr>
        <w:lastRenderedPageBreak/>
        <w:t xml:space="preserve">συνεχιστεί κατά τη διάρκεια της θεραπείας με </w:t>
      </w:r>
      <w:r w:rsidR="002238D4" w:rsidRPr="002238D4">
        <w:rPr>
          <w:rFonts w:ascii="Times New Roman" w:eastAsia="Times New Roman" w:hAnsi="Times New Roman"/>
        </w:rPr>
        <w:t>rosuvastatin</w:t>
      </w:r>
      <w:r w:rsidR="002238D4" w:rsidRPr="002238D4">
        <w:rPr>
          <w:rFonts w:ascii="Times New Roman" w:eastAsia="Times New Roman" w:hAnsi="Times New Roman"/>
          <w:lang w:val="el-GR"/>
        </w:rPr>
        <w:t xml:space="preserve">. Η ασφάλεια και η αποτελεσματικότητα δόσεων μεγαλύτερων από 20 </w:t>
      </w:r>
      <w:r w:rsidR="002238D4" w:rsidRPr="002238D4">
        <w:rPr>
          <w:rFonts w:ascii="Times New Roman" w:eastAsia="Times New Roman" w:hAnsi="Times New Roman"/>
        </w:rPr>
        <w:t>mg</w:t>
      </w:r>
      <w:r w:rsidR="002238D4" w:rsidRPr="002238D4">
        <w:rPr>
          <w:rFonts w:ascii="Times New Roman" w:eastAsia="Times New Roman" w:hAnsi="Times New Roman"/>
          <w:lang w:val="el-GR"/>
        </w:rPr>
        <w:t xml:space="preserve"> δεν έχουν μελετηθεί σε αυτόν τον πληθυσμό.</w:t>
      </w:r>
    </w:p>
    <w:p w:rsidR="00C713D9" w:rsidRPr="001800F0" w:rsidRDefault="001800F0" w:rsidP="00AC1E02">
      <w:pPr>
        <w:spacing w:before="100" w:beforeAutospacing="1" w:after="75" w:line="360" w:lineRule="auto"/>
        <w:jc w:val="both"/>
        <w:rPr>
          <w:rFonts w:ascii="Times New Roman" w:eastAsia="Times New Roman" w:hAnsi="Times New Roman"/>
          <w:lang w:val="el-GR"/>
        </w:rPr>
      </w:pPr>
      <w:r w:rsidRPr="001800F0">
        <w:rPr>
          <w:rFonts w:ascii="Times New Roman" w:eastAsia="Times New Roman" w:hAnsi="Times New Roman"/>
          <w:lang w:val="el-GR"/>
        </w:rPr>
        <w:t xml:space="preserve">Το δισκίο των 40 </w:t>
      </w:r>
      <w:r w:rsidRPr="001800F0">
        <w:rPr>
          <w:rFonts w:ascii="Times New Roman" w:eastAsia="Times New Roman" w:hAnsi="Times New Roman"/>
        </w:rPr>
        <w:t>mg</w:t>
      </w:r>
      <w:r w:rsidRPr="001800F0">
        <w:rPr>
          <w:rFonts w:ascii="Times New Roman" w:eastAsia="Times New Roman" w:hAnsi="Times New Roman"/>
          <w:lang w:val="el-GR"/>
        </w:rPr>
        <w:t xml:space="preserve"> δεν είναι κατάλληλο για χρήση σε παιδιατρικούς ασθενείς.</w:t>
      </w:r>
      <w:r w:rsidR="00C713D9" w:rsidRPr="001800F0">
        <w:rPr>
          <w:rFonts w:ascii="Times New Roman" w:eastAsia="Times New Roman" w:hAnsi="Times New Roman"/>
          <w:lang w:val="el-GR"/>
        </w:rPr>
        <w:t xml:space="preserve"> </w:t>
      </w:r>
    </w:p>
    <w:p w:rsidR="001800F0" w:rsidRPr="001800F0" w:rsidRDefault="001800F0" w:rsidP="001800F0">
      <w:pPr>
        <w:spacing w:before="100" w:beforeAutospacing="1" w:after="75" w:line="360" w:lineRule="auto"/>
        <w:jc w:val="both"/>
        <w:rPr>
          <w:rFonts w:ascii="Times New Roman" w:eastAsia="Times New Roman" w:hAnsi="Times New Roman"/>
          <w:u w:val="single"/>
        </w:rPr>
      </w:pPr>
      <w:r w:rsidRPr="001800F0">
        <w:rPr>
          <w:rFonts w:ascii="Times New Roman" w:eastAsia="Times New Roman" w:hAnsi="Times New Roman"/>
          <w:u w:val="single"/>
        </w:rPr>
        <w:t>Παιδιά μικρότερα από 10 ετών</w:t>
      </w:r>
    </w:p>
    <w:p w:rsidR="001800F0" w:rsidRPr="001800F0" w:rsidRDefault="001800F0" w:rsidP="001800F0">
      <w:pPr>
        <w:spacing w:after="0" w:line="360" w:lineRule="auto"/>
        <w:jc w:val="both"/>
        <w:rPr>
          <w:rFonts w:ascii="Times New Roman" w:eastAsia="Times New Roman" w:hAnsi="Times New Roman"/>
          <w:lang w:val="el-GR"/>
        </w:rPr>
      </w:pPr>
      <w:r w:rsidRPr="001800F0">
        <w:rPr>
          <w:rFonts w:ascii="Times New Roman" w:eastAsia="Times New Roman" w:hAnsi="Times New Roman"/>
          <w:lang w:val="el-GR"/>
        </w:rPr>
        <w:t>Η εμπειρία σε παιδιά μικρότερα των 10 ετών είναι περιορισμένη σε έναν μικρό</w:t>
      </w:r>
      <w:r>
        <w:rPr>
          <w:rFonts w:ascii="Times New Roman" w:eastAsia="Times New Roman" w:hAnsi="Times New Roman"/>
          <w:lang w:val="el-GR"/>
        </w:rPr>
        <w:t xml:space="preserve"> </w:t>
      </w:r>
      <w:r w:rsidRPr="001800F0">
        <w:rPr>
          <w:rFonts w:ascii="Times New Roman" w:eastAsia="Times New Roman" w:hAnsi="Times New Roman"/>
          <w:lang w:val="el-GR"/>
        </w:rPr>
        <w:t>αριθμό παιδιών (ηλικίας μεταξύ 8 και 10 ετών) με ομόζυγη οικογενή</w:t>
      </w:r>
      <w:r>
        <w:rPr>
          <w:rFonts w:ascii="Times New Roman" w:eastAsia="Times New Roman" w:hAnsi="Times New Roman"/>
          <w:lang w:val="el-GR"/>
        </w:rPr>
        <w:t xml:space="preserve"> </w:t>
      </w:r>
      <w:r w:rsidRPr="001800F0">
        <w:rPr>
          <w:rFonts w:ascii="Times New Roman" w:eastAsia="Times New Roman" w:hAnsi="Times New Roman"/>
          <w:lang w:val="el-GR"/>
        </w:rPr>
        <w:t>υπερχοληστερολαιμία. Ως εκ τούτου, το C</w:t>
      </w:r>
      <w:r>
        <w:rPr>
          <w:rFonts w:ascii="Times New Roman" w:eastAsia="Times New Roman" w:hAnsi="Times New Roman"/>
        </w:rPr>
        <w:t>elmantin</w:t>
      </w:r>
      <w:r w:rsidRPr="001800F0">
        <w:rPr>
          <w:rFonts w:ascii="Times New Roman" w:eastAsia="Times New Roman" w:hAnsi="Times New Roman"/>
          <w:lang w:val="el-GR"/>
        </w:rPr>
        <w:t xml:space="preserve"> δε συνιστάται για χρήση σε παιδιά</w:t>
      </w:r>
      <w:r>
        <w:rPr>
          <w:rFonts w:ascii="Times New Roman" w:eastAsia="Times New Roman" w:hAnsi="Times New Roman"/>
          <w:lang w:val="el-GR"/>
        </w:rPr>
        <w:t xml:space="preserve"> </w:t>
      </w:r>
      <w:r w:rsidRPr="001800F0">
        <w:rPr>
          <w:rFonts w:ascii="Times New Roman" w:eastAsia="Times New Roman" w:hAnsi="Times New Roman"/>
          <w:lang w:val="el-GR"/>
        </w:rPr>
        <w:t>μικρότερα των 10 ετών.</w:t>
      </w:r>
    </w:p>
    <w:p w:rsidR="00C713D9" w:rsidRPr="00F9224E" w:rsidRDefault="00F657BE" w:rsidP="00AC1E02">
      <w:pPr>
        <w:spacing w:before="100" w:beforeAutospacing="1" w:after="75" w:line="360" w:lineRule="auto"/>
        <w:jc w:val="both"/>
        <w:rPr>
          <w:rFonts w:ascii="Times New Roman" w:eastAsia="Times New Roman" w:hAnsi="Times New Roman"/>
          <w:lang w:val="el-GR"/>
        </w:rPr>
      </w:pPr>
      <w:r w:rsidRPr="00F9224E">
        <w:rPr>
          <w:rFonts w:ascii="Times New Roman" w:eastAsia="Times New Roman" w:hAnsi="Times New Roman"/>
          <w:b/>
          <w:bCs/>
          <w:lang w:val="el-GR"/>
        </w:rPr>
        <w:t>Χορήγηση σε ηλικιωμένους</w:t>
      </w:r>
      <w:r w:rsidR="00C713D9" w:rsidRPr="00F9224E">
        <w:rPr>
          <w:rFonts w:ascii="Times New Roman" w:eastAsia="Times New Roman" w:hAnsi="Times New Roman"/>
          <w:lang w:val="el-GR"/>
        </w:rPr>
        <w:t xml:space="preserve"> </w:t>
      </w:r>
    </w:p>
    <w:p w:rsidR="00F9224E" w:rsidRPr="00F9224E" w:rsidRDefault="00F9224E" w:rsidP="00F9224E">
      <w:pPr>
        <w:spacing w:after="75" w:line="360" w:lineRule="auto"/>
        <w:jc w:val="both"/>
        <w:rPr>
          <w:rFonts w:ascii="Times New Roman" w:eastAsia="Times New Roman" w:hAnsi="Times New Roman"/>
          <w:lang w:val="el-GR"/>
        </w:rPr>
      </w:pPr>
      <w:r w:rsidRPr="00F9224E">
        <w:rPr>
          <w:rFonts w:ascii="Times New Roman" w:eastAsia="Times New Roman" w:hAnsi="Times New Roman"/>
          <w:lang w:val="el-GR"/>
        </w:rPr>
        <w:t xml:space="preserve">Συνιστάται δόση έναρξης 5 </w:t>
      </w:r>
      <w:r w:rsidRPr="00F9224E">
        <w:rPr>
          <w:rFonts w:ascii="Times New Roman" w:eastAsia="Times New Roman" w:hAnsi="Times New Roman"/>
        </w:rPr>
        <w:t>mg</w:t>
      </w:r>
      <w:r w:rsidRPr="00F9224E">
        <w:rPr>
          <w:rFonts w:ascii="Times New Roman" w:eastAsia="Times New Roman" w:hAnsi="Times New Roman"/>
          <w:lang w:val="el-GR"/>
        </w:rPr>
        <w:t xml:space="preserve"> για τους ασθενείς ηλικίας &gt; 70 ετών (βλ. Παράγραφο 4.4). Δεν απαιτείται άλλη προσαρμογή της δοσολογίας σε σχέση με την ηλικία.</w:t>
      </w:r>
    </w:p>
    <w:p w:rsidR="00FA5B20" w:rsidRPr="00FA5B20" w:rsidRDefault="00FA5B20" w:rsidP="00FA5B20">
      <w:pPr>
        <w:spacing w:before="100" w:beforeAutospacing="1" w:after="75" w:line="360" w:lineRule="auto"/>
        <w:jc w:val="both"/>
        <w:rPr>
          <w:rFonts w:ascii="Times New Roman" w:eastAsia="Times New Roman" w:hAnsi="Times New Roman"/>
          <w:b/>
          <w:bCs/>
          <w:lang w:val="el-GR"/>
        </w:rPr>
      </w:pPr>
      <w:r w:rsidRPr="00FA5B20">
        <w:rPr>
          <w:rFonts w:ascii="Times New Roman" w:eastAsia="Times New Roman" w:hAnsi="Times New Roman"/>
          <w:b/>
          <w:bCs/>
          <w:lang w:val="el-GR"/>
        </w:rPr>
        <w:t>Δοσολογία σε ασθενείς με νεφρική ανεπάρκεια</w:t>
      </w:r>
    </w:p>
    <w:p w:rsidR="00FA5B20" w:rsidRPr="00FA5B20" w:rsidRDefault="00FA5B20" w:rsidP="00FA5B20">
      <w:pPr>
        <w:spacing w:after="75" w:line="360" w:lineRule="auto"/>
        <w:jc w:val="both"/>
        <w:rPr>
          <w:rFonts w:ascii="Times New Roman" w:eastAsia="Times New Roman" w:hAnsi="Times New Roman"/>
          <w:bCs/>
          <w:lang w:val="el-GR"/>
        </w:rPr>
      </w:pPr>
      <w:r w:rsidRPr="00FA5B20">
        <w:rPr>
          <w:rFonts w:ascii="Times New Roman" w:eastAsia="Times New Roman" w:hAnsi="Times New Roman"/>
          <w:bCs/>
          <w:lang w:val="el-GR"/>
        </w:rPr>
        <w:t xml:space="preserve">Δεν απαιτείται προσαρμογή της δοσολογίας σε ασθενείς με ήπια έως μετρίου βαθμού νεφρική δυσλειτουργία. Η συνιστώμενη δόση έναρξης για τους ασθενείς με μετρίου βαθμού νεφρική δυσλειτουργία (κάθαρση κρεατινίνης &lt; 60 </w:t>
      </w:r>
      <w:r w:rsidRPr="00FA5B20">
        <w:rPr>
          <w:rFonts w:ascii="Times New Roman" w:eastAsia="Times New Roman" w:hAnsi="Times New Roman"/>
          <w:bCs/>
        </w:rPr>
        <w:t>ml</w:t>
      </w:r>
      <w:r w:rsidRPr="00FA5B20">
        <w:rPr>
          <w:rFonts w:ascii="Times New Roman" w:eastAsia="Times New Roman" w:hAnsi="Times New Roman"/>
          <w:bCs/>
          <w:lang w:val="el-GR"/>
        </w:rPr>
        <w:t>/</w:t>
      </w:r>
      <w:r w:rsidRPr="00FA5B20">
        <w:rPr>
          <w:rFonts w:ascii="Times New Roman" w:eastAsia="Times New Roman" w:hAnsi="Times New Roman"/>
          <w:bCs/>
        </w:rPr>
        <w:t>min</w:t>
      </w:r>
      <w:r w:rsidRPr="00FA5B20">
        <w:rPr>
          <w:rFonts w:ascii="Times New Roman" w:eastAsia="Times New Roman" w:hAnsi="Times New Roman"/>
          <w:bCs/>
          <w:lang w:val="el-GR"/>
        </w:rPr>
        <w:t xml:space="preserve">) είναι 5 </w:t>
      </w:r>
      <w:r w:rsidRPr="00FA5B20">
        <w:rPr>
          <w:rFonts w:ascii="Times New Roman" w:eastAsia="Times New Roman" w:hAnsi="Times New Roman"/>
          <w:bCs/>
        </w:rPr>
        <w:t>mg</w:t>
      </w:r>
      <w:r w:rsidRPr="00FA5B20">
        <w:rPr>
          <w:rFonts w:ascii="Times New Roman" w:eastAsia="Times New Roman" w:hAnsi="Times New Roman"/>
          <w:bCs/>
          <w:lang w:val="el-GR"/>
        </w:rPr>
        <w:t xml:space="preserve">. Η δόση των 40 </w:t>
      </w:r>
      <w:r w:rsidRPr="00FA5B20">
        <w:rPr>
          <w:rFonts w:ascii="Times New Roman" w:eastAsia="Times New Roman" w:hAnsi="Times New Roman"/>
          <w:bCs/>
        </w:rPr>
        <w:t>mg</w:t>
      </w:r>
      <w:r w:rsidRPr="00FA5B20">
        <w:rPr>
          <w:rFonts w:ascii="Times New Roman" w:eastAsia="Times New Roman" w:hAnsi="Times New Roman"/>
          <w:bCs/>
          <w:lang w:val="el-GR"/>
        </w:rPr>
        <w:t xml:space="preserve"> αντενδείκνυται για τους ασθενείς με μέτρια νεφρική ανεπάρκεια. Η χρήση του </w:t>
      </w:r>
      <w:r w:rsidRPr="00FA5B20">
        <w:rPr>
          <w:rFonts w:ascii="Times New Roman" w:eastAsia="Times New Roman" w:hAnsi="Times New Roman"/>
          <w:bCs/>
        </w:rPr>
        <w:t>Ce</w:t>
      </w:r>
      <w:r>
        <w:rPr>
          <w:rFonts w:ascii="Times New Roman" w:eastAsia="Times New Roman" w:hAnsi="Times New Roman"/>
          <w:bCs/>
        </w:rPr>
        <w:t>lmantin</w:t>
      </w:r>
      <w:r w:rsidRPr="00FA5B20">
        <w:rPr>
          <w:rFonts w:ascii="Times New Roman" w:eastAsia="Times New Roman" w:hAnsi="Times New Roman"/>
          <w:bCs/>
          <w:lang w:val="el-GR"/>
        </w:rPr>
        <w:t xml:space="preserve"> σε ασθενείς με σοβαρή νεφρική ανεπάρκεια αντενδείκνυται για όλες τις δόσεις (βλ. Παράγραφο 4.3 και Παράγραφο 5.2).</w:t>
      </w:r>
    </w:p>
    <w:p w:rsidR="00FA5B20" w:rsidRPr="00FA5B20" w:rsidRDefault="00FA5B20" w:rsidP="00FA5B20">
      <w:pPr>
        <w:spacing w:before="100" w:beforeAutospacing="1" w:after="75" w:line="360" w:lineRule="auto"/>
        <w:jc w:val="both"/>
        <w:rPr>
          <w:rFonts w:ascii="Times New Roman" w:eastAsia="Times New Roman" w:hAnsi="Times New Roman"/>
          <w:b/>
          <w:bCs/>
          <w:lang w:val="el-GR"/>
        </w:rPr>
      </w:pPr>
      <w:r w:rsidRPr="00FA5B20">
        <w:rPr>
          <w:rFonts w:ascii="Times New Roman" w:eastAsia="Times New Roman" w:hAnsi="Times New Roman"/>
          <w:b/>
          <w:bCs/>
          <w:lang w:val="el-GR"/>
        </w:rPr>
        <w:t>Δοσολογία σε ασθενείς με ηπατική δυσλειτουργία</w:t>
      </w:r>
    </w:p>
    <w:p w:rsidR="00FA5B20" w:rsidRPr="00FA5B20" w:rsidRDefault="00FA5B20" w:rsidP="00FA5B20">
      <w:pPr>
        <w:spacing w:after="75" w:line="360" w:lineRule="auto"/>
        <w:jc w:val="both"/>
        <w:rPr>
          <w:rFonts w:ascii="Times New Roman" w:eastAsia="Times New Roman" w:hAnsi="Times New Roman"/>
          <w:bCs/>
          <w:lang w:val="el-GR"/>
        </w:rPr>
      </w:pPr>
      <w:r w:rsidRPr="00FA5B20">
        <w:rPr>
          <w:rFonts w:ascii="Times New Roman" w:eastAsia="Times New Roman" w:hAnsi="Times New Roman"/>
          <w:bCs/>
          <w:lang w:val="el-GR"/>
        </w:rPr>
        <w:t xml:space="preserve">Δεν υπήρξε αύξηση της συστηματικής έκθεσης σε </w:t>
      </w:r>
      <w:r w:rsidRPr="00FA5B20">
        <w:rPr>
          <w:rFonts w:ascii="Times New Roman" w:eastAsia="Times New Roman" w:hAnsi="Times New Roman"/>
          <w:bCs/>
        </w:rPr>
        <w:t>rosuvastatin</w:t>
      </w:r>
      <w:r w:rsidRPr="00FA5B20">
        <w:rPr>
          <w:rFonts w:ascii="Times New Roman" w:eastAsia="Times New Roman" w:hAnsi="Times New Roman"/>
          <w:bCs/>
          <w:lang w:val="el-GR"/>
        </w:rPr>
        <w:t xml:space="preserve"> σε άτομα με βαθμολόγηση </w:t>
      </w:r>
      <w:r w:rsidRPr="00FA5B20">
        <w:rPr>
          <w:rFonts w:ascii="Times New Roman" w:eastAsia="Times New Roman" w:hAnsi="Times New Roman"/>
          <w:bCs/>
        </w:rPr>
        <w:t>Child</w:t>
      </w:r>
      <w:r w:rsidRPr="00FA5B20">
        <w:rPr>
          <w:rFonts w:ascii="Times New Roman" w:eastAsia="Times New Roman" w:hAnsi="Times New Roman"/>
          <w:bCs/>
          <w:lang w:val="el-GR"/>
        </w:rPr>
        <w:t>-</w:t>
      </w:r>
      <w:r w:rsidRPr="00FA5B20">
        <w:rPr>
          <w:rFonts w:ascii="Times New Roman" w:eastAsia="Times New Roman" w:hAnsi="Times New Roman"/>
          <w:bCs/>
        </w:rPr>
        <w:t>Pugh</w:t>
      </w:r>
      <w:r w:rsidRPr="00FA5B20">
        <w:rPr>
          <w:rFonts w:ascii="Times New Roman" w:eastAsia="Times New Roman" w:hAnsi="Times New Roman"/>
          <w:bCs/>
          <w:lang w:val="el-GR"/>
        </w:rPr>
        <w:t xml:space="preserve"> 7 ή μικρότερη. Εντούτοις αυξημένη συστηματική έκθεση παρατηρήθηκε σε άτομα με βαθμολόγηση </w:t>
      </w:r>
      <w:r w:rsidRPr="00FA5B20">
        <w:rPr>
          <w:rFonts w:ascii="Times New Roman" w:eastAsia="Times New Roman" w:hAnsi="Times New Roman"/>
          <w:bCs/>
        </w:rPr>
        <w:t>Child</w:t>
      </w:r>
      <w:r w:rsidRPr="00FA5B20">
        <w:rPr>
          <w:rFonts w:ascii="Times New Roman" w:eastAsia="Times New Roman" w:hAnsi="Times New Roman"/>
          <w:bCs/>
          <w:lang w:val="el-GR"/>
        </w:rPr>
        <w:t>-</w:t>
      </w:r>
      <w:r w:rsidRPr="00FA5B20">
        <w:rPr>
          <w:rFonts w:ascii="Times New Roman" w:eastAsia="Times New Roman" w:hAnsi="Times New Roman"/>
          <w:bCs/>
        </w:rPr>
        <w:t>Pugh</w:t>
      </w:r>
      <w:r w:rsidRPr="00FA5B20">
        <w:rPr>
          <w:rFonts w:ascii="Times New Roman" w:eastAsia="Times New Roman" w:hAnsi="Times New Roman"/>
          <w:bCs/>
          <w:lang w:val="el-GR"/>
        </w:rPr>
        <w:t xml:space="preserve"> 8 και 9 (βλ. Παράγραφο 5.2). Σε αυτούς τους ασθενείς θα πρέπει να εξετάζεται η διενέργεια ελέγχου της νεφρικής λειτουργίας (βλ. Παράγραφο 4.4). Δεν υπάρχει εμπειρία σε άτομα με βαθμολόγηση </w:t>
      </w:r>
      <w:r w:rsidRPr="00FA5B20">
        <w:rPr>
          <w:rFonts w:ascii="Times New Roman" w:eastAsia="Times New Roman" w:hAnsi="Times New Roman"/>
          <w:bCs/>
        </w:rPr>
        <w:t>Child</w:t>
      </w:r>
      <w:r w:rsidRPr="00FA5B20">
        <w:rPr>
          <w:rFonts w:ascii="Times New Roman" w:eastAsia="Times New Roman" w:hAnsi="Times New Roman"/>
          <w:bCs/>
          <w:lang w:val="el-GR"/>
        </w:rPr>
        <w:t>-</w:t>
      </w:r>
      <w:r w:rsidRPr="00FA5B20">
        <w:rPr>
          <w:rFonts w:ascii="Times New Roman" w:eastAsia="Times New Roman" w:hAnsi="Times New Roman"/>
          <w:bCs/>
        </w:rPr>
        <w:t>Pugh</w:t>
      </w:r>
      <w:r w:rsidRPr="00FA5B20">
        <w:rPr>
          <w:rFonts w:ascii="Times New Roman" w:eastAsia="Times New Roman" w:hAnsi="Times New Roman"/>
          <w:bCs/>
          <w:lang w:val="el-GR"/>
        </w:rPr>
        <w:t xml:space="preserve"> άνω του 9. Η χρήση του </w:t>
      </w:r>
      <w:r w:rsidR="00B82C01" w:rsidRPr="00B82C01">
        <w:rPr>
          <w:rFonts w:ascii="Times New Roman" w:eastAsia="Times New Roman" w:hAnsi="Times New Roman"/>
          <w:bCs/>
        </w:rPr>
        <w:t>Celmantin</w:t>
      </w:r>
      <w:r w:rsidR="00B82C01" w:rsidRPr="00B82C01">
        <w:rPr>
          <w:rFonts w:ascii="Times New Roman" w:eastAsia="Times New Roman" w:hAnsi="Times New Roman"/>
          <w:bCs/>
          <w:lang w:val="el-GR"/>
        </w:rPr>
        <w:t xml:space="preserve"> </w:t>
      </w:r>
      <w:r w:rsidRPr="00FA5B20">
        <w:rPr>
          <w:rFonts w:ascii="Times New Roman" w:eastAsia="Times New Roman" w:hAnsi="Times New Roman"/>
          <w:bCs/>
          <w:lang w:val="el-GR"/>
        </w:rPr>
        <w:t>σε ασθενείς με ενεργό ηπατική νόσο αντενδείκνυται (βλ. Παράγραφο 4.3).</w:t>
      </w:r>
    </w:p>
    <w:p w:rsidR="00697010" w:rsidRPr="00697010" w:rsidRDefault="00697010" w:rsidP="00697010">
      <w:pPr>
        <w:spacing w:before="100" w:beforeAutospacing="1" w:after="75" w:line="360" w:lineRule="auto"/>
        <w:jc w:val="both"/>
        <w:rPr>
          <w:rFonts w:ascii="Times New Roman" w:eastAsia="Times New Roman" w:hAnsi="Times New Roman"/>
          <w:b/>
          <w:bCs/>
          <w:lang w:val="el-GR"/>
        </w:rPr>
      </w:pPr>
      <w:r w:rsidRPr="00697010">
        <w:rPr>
          <w:rFonts w:ascii="Times New Roman" w:eastAsia="Times New Roman" w:hAnsi="Times New Roman"/>
          <w:b/>
          <w:bCs/>
          <w:lang w:val="el-GR"/>
        </w:rPr>
        <w:t>Φυλή</w:t>
      </w:r>
    </w:p>
    <w:p w:rsidR="00697010" w:rsidRPr="00697010" w:rsidRDefault="00697010" w:rsidP="00697010">
      <w:pPr>
        <w:spacing w:after="75" w:line="360" w:lineRule="auto"/>
        <w:jc w:val="both"/>
        <w:rPr>
          <w:rFonts w:ascii="Times New Roman" w:eastAsia="Times New Roman" w:hAnsi="Times New Roman"/>
          <w:bCs/>
          <w:lang w:val="el-GR"/>
        </w:rPr>
      </w:pPr>
      <w:r w:rsidRPr="00697010">
        <w:rPr>
          <w:rFonts w:ascii="Times New Roman" w:eastAsia="Times New Roman" w:hAnsi="Times New Roman"/>
          <w:bCs/>
          <w:lang w:val="el-GR"/>
        </w:rPr>
        <w:t xml:space="preserve">Έχει παρατηρηθεί αυξημένη συστηματική έκθεση σε Ασιάτες (βλ. Παράγραφο 4.4 και Παράγραφο 5.2). Η συνιστώμενη δόση έναρξης για τους Ασιάτες ασθενείς είναι 5 </w:t>
      </w:r>
      <w:r w:rsidRPr="00697010">
        <w:rPr>
          <w:rFonts w:ascii="Times New Roman" w:eastAsia="Times New Roman" w:hAnsi="Times New Roman"/>
          <w:bCs/>
        </w:rPr>
        <w:t>mg</w:t>
      </w:r>
      <w:r w:rsidRPr="00697010">
        <w:rPr>
          <w:rFonts w:ascii="Times New Roman" w:eastAsia="Times New Roman" w:hAnsi="Times New Roman"/>
          <w:bCs/>
          <w:lang w:val="el-GR"/>
        </w:rPr>
        <w:t xml:space="preserve">. Η δόση των 40 </w:t>
      </w:r>
      <w:r w:rsidRPr="00697010">
        <w:rPr>
          <w:rFonts w:ascii="Times New Roman" w:eastAsia="Times New Roman" w:hAnsi="Times New Roman"/>
          <w:bCs/>
        </w:rPr>
        <w:t>mg</w:t>
      </w:r>
      <w:r w:rsidRPr="00697010">
        <w:rPr>
          <w:rFonts w:ascii="Times New Roman" w:eastAsia="Times New Roman" w:hAnsi="Times New Roman"/>
          <w:bCs/>
          <w:lang w:val="el-GR"/>
        </w:rPr>
        <w:t xml:space="preserve"> αντενδείκνυται σε αυτούς τους ασθενείς.</w:t>
      </w:r>
    </w:p>
    <w:p w:rsidR="00697010" w:rsidRPr="00697010" w:rsidRDefault="00697010" w:rsidP="00697010">
      <w:pPr>
        <w:spacing w:before="100" w:beforeAutospacing="1" w:after="75" w:line="360" w:lineRule="auto"/>
        <w:jc w:val="both"/>
        <w:rPr>
          <w:rFonts w:ascii="Times New Roman" w:eastAsia="Times New Roman" w:hAnsi="Times New Roman"/>
          <w:b/>
          <w:bCs/>
          <w:lang w:val="el-GR"/>
        </w:rPr>
      </w:pPr>
      <w:r w:rsidRPr="00697010">
        <w:rPr>
          <w:rFonts w:ascii="Times New Roman" w:eastAsia="Times New Roman" w:hAnsi="Times New Roman"/>
          <w:b/>
          <w:bCs/>
          <w:lang w:val="el-GR"/>
        </w:rPr>
        <w:t>Δοσολογία σε ασθενείς με παράγοντες που προδιαθέτουν σε μυοπάθεια</w:t>
      </w:r>
    </w:p>
    <w:p w:rsidR="00697010" w:rsidRPr="00697010" w:rsidRDefault="00697010" w:rsidP="00697010">
      <w:pPr>
        <w:spacing w:before="100" w:beforeAutospacing="1" w:after="75" w:line="360" w:lineRule="auto"/>
        <w:jc w:val="both"/>
        <w:rPr>
          <w:rFonts w:ascii="Times New Roman" w:eastAsia="Times New Roman" w:hAnsi="Times New Roman"/>
          <w:bCs/>
          <w:lang w:val="el-GR"/>
        </w:rPr>
      </w:pPr>
      <w:r w:rsidRPr="00697010">
        <w:rPr>
          <w:rFonts w:ascii="Times New Roman" w:eastAsia="Times New Roman" w:hAnsi="Times New Roman"/>
          <w:bCs/>
          <w:lang w:val="el-GR"/>
        </w:rPr>
        <w:lastRenderedPageBreak/>
        <w:t xml:space="preserve">Η συνιστώμενη δόση έναρξης για τους ασθενείς με παράγοντες που προδιαθέτουν σε μυοπάθεια είναι 5 </w:t>
      </w:r>
      <w:r w:rsidRPr="00697010">
        <w:rPr>
          <w:rFonts w:ascii="Times New Roman" w:eastAsia="Times New Roman" w:hAnsi="Times New Roman"/>
          <w:bCs/>
        </w:rPr>
        <w:t>mg</w:t>
      </w:r>
      <w:r w:rsidRPr="00697010">
        <w:rPr>
          <w:rFonts w:ascii="Times New Roman" w:eastAsia="Times New Roman" w:hAnsi="Times New Roman"/>
          <w:bCs/>
          <w:lang w:val="el-GR"/>
        </w:rPr>
        <w:t xml:space="preserve"> (βλέπε Παράγραφο 4.4). Η δόση των 40 </w:t>
      </w:r>
      <w:r w:rsidRPr="00697010">
        <w:rPr>
          <w:rFonts w:ascii="Times New Roman" w:eastAsia="Times New Roman" w:hAnsi="Times New Roman"/>
          <w:bCs/>
        </w:rPr>
        <w:t>mg</w:t>
      </w:r>
      <w:r w:rsidRPr="00697010">
        <w:rPr>
          <w:rFonts w:ascii="Times New Roman" w:eastAsia="Times New Roman" w:hAnsi="Times New Roman"/>
          <w:bCs/>
          <w:lang w:val="el-GR"/>
        </w:rPr>
        <w:t xml:space="preserve"> αντενδείκνυται σε αυτούς τους ασθενείς (βλ. Παράγραφο 4.3).</w:t>
      </w:r>
    </w:p>
    <w:p w:rsidR="006A5CD9" w:rsidRPr="0016453E" w:rsidRDefault="00697010" w:rsidP="00AC1E02">
      <w:pPr>
        <w:spacing w:before="100" w:beforeAutospacing="1" w:after="75" w:line="360" w:lineRule="auto"/>
        <w:jc w:val="both"/>
        <w:rPr>
          <w:rFonts w:ascii="Times New Roman" w:eastAsia="Times New Roman" w:hAnsi="Times New Roman"/>
          <w:b/>
          <w:bCs/>
          <w:lang w:val="el-GR"/>
        </w:rPr>
      </w:pPr>
      <w:r>
        <w:rPr>
          <w:rFonts w:ascii="Times New Roman" w:eastAsia="Times New Roman" w:hAnsi="Times New Roman"/>
          <w:b/>
          <w:bCs/>
          <w:lang w:val="el-GR"/>
        </w:rPr>
        <w:t>Γενετικ</w:t>
      </w:r>
      <w:r w:rsidR="0016453E">
        <w:rPr>
          <w:rFonts w:ascii="Times New Roman" w:eastAsia="Times New Roman" w:hAnsi="Times New Roman"/>
          <w:b/>
          <w:bCs/>
          <w:lang w:val="el-GR"/>
        </w:rPr>
        <w:t>οί</w:t>
      </w:r>
      <w:r>
        <w:rPr>
          <w:rFonts w:ascii="Times New Roman" w:eastAsia="Times New Roman" w:hAnsi="Times New Roman"/>
          <w:b/>
          <w:bCs/>
          <w:lang w:val="el-GR"/>
        </w:rPr>
        <w:t xml:space="preserve"> πολυμορφισμ</w:t>
      </w:r>
      <w:r w:rsidR="0016453E">
        <w:rPr>
          <w:rFonts w:ascii="Times New Roman" w:eastAsia="Times New Roman" w:hAnsi="Times New Roman"/>
          <w:b/>
          <w:bCs/>
          <w:lang w:val="el-GR"/>
        </w:rPr>
        <w:t>οί</w:t>
      </w:r>
    </w:p>
    <w:p w:rsidR="0016453E" w:rsidRPr="0016453E" w:rsidRDefault="0016453E" w:rsidP="00E45D0C">
      <w:pPr>
        <w:spacing w:after="75" w:line="360" w:lineRule="auto"/>
        <w:jc w:val="both"/>
        <w:rPr>
          <w:rFonts w:ascii="Times New Roman" w:eastAsia="Times New Roman" w:hAnsi="Times New Roman"/>
          <w:bCs/>
          <w:lang w:val="el-GR"/>
        </w:rPr>
      </w:pPr>
      <w:r>
        <w:rPr>
          <w:rFonts w:ascii="Times New Roman" w:eastAsia="Times New Roman" w:hAnsi="Times New Roman"/>
          <w:bCs/>
          <w:lang w:val="el-GR"/>
        </w:rPr>
        <w:t>Σ</w:t>
      </w:r>
      <w:r w:rsidRPr="0016453E">
        <w:rPr>
          <w:rFonts w:ascii="Times New Roman" w:eastAsia="Times New Roman" w:hAnsi="Times New Roman"/>
          <w:bCs/>
          <w:lang w:val="el-GR"/>
        </w:rPr>
        <w:t xml:space="preserve">υγκεκριμένοι τύποι γενετικών πολυμορφισμών </w:t>
      </w:r>
      <w:r>
        <w:rPr>
          <w:rFonts w:ascii="Times New Roman" w:eastAsia="Times New Roman" w:hAnsi="Times New Roman"/>
          <w:bCs/>
          <w:lang w:val="el-GR"/>
        </w:rPr>
        <w:t xml:space="preserve">είναι </w:t>
      </w:r>
      <w:r w:rsidRPr="0016453E">
        <w:rPr>
          <w:rFonts w:ascii="Times New Roman" w:eastAsia="Times New Roman" w:hAnsi="Times New Roman"/>
          <w:bCs/>
          <w:lang w:val="el-GR"/>
        </w:rPr>
        <w:t xml:space="preserve">γνωστό ότι μπορούν να οδηγήσουν σε αύξηση της έκθεσης </w:t>
      </w:r>
      <w:r>
        <w:rPr>
          <w:rFonts w:ascii="Times New Roman" w:eastAsia="Times New Roman" w:hAnsi="Times New Roman"/>
          <w:bCs/>
          <w:lang w:val="el-GR"/>
        </w:rPr>
        <w:t>σε ροσουβαστατίνη</w:t>
      </w:r>
      <w:r w:rsidRPr="0016453E">
        <w:rPr>
          <w:rFonts w:ascii="Times New Roman" w:eastAsia="Times New Roman" w:hAnsi="Times New Roman"/>
          <w:bCs/>
          <w:lang w:val="el-GR"/>
        </w:rPr>
        <w:t xml:space="preserve"> (βλ. </w:t>
      </w:r>
      <w:r>
        <w:rPr>
          <w:rFonts w:ascii="Times New Roman" w:eastAsia="Times New Roman" w:hAnsi="Times New Roman"/>
          <w:bCs/>
          <w:lang w:val="el-GR"/>
        </w:rPr>
        <w:t>Παράγραφο</w:t>
      </w:r>
      <w:r w:rsidRPr="0016453E">
        <w:rPr>
          <w:rFonts w:ascii="Times New Roman" w:eastAsia="Times New Roman" w:hAnsi="Times New Roman"/>
          <w:bCs/>
          <w:lang w:val="el-GR"/>
        </w:rPr>
        <w:t xml:space="preserve"> 5.2). Για τους ασθενείς </w:t>
      </w:r>
      <w:r>
        <w:rPr>
          <w:rFonts w:ascii="Times New Roman" w:eastAsia="Times New Roman" w:hAnsi="Times New Roman"/>
          <w:bCs/>
          <w:lang w:val="el-GR"/>
        </w:rPr>
        <w:t xml:space="preserve">αυτούς, που </w:t>
      </w:r>
      <w:r w:rsidRPr="0016453E">
        <w:rPr>
          <w:rFonts w:ascii="Times New Roman" w:eastAsia="Times New Roman" w:hAnsi="Times New Roman"/>
          <w:bCs/>
          <w:lang w:val="el-GR"/>
        </w:rPr>
        <w:t>είναι γνωστό ότι έχουν τέτοια συγκεκριμένα είδη πολυμορφισμών</w:t>
      </w:r>
      <w:r>
        <w:rPr>
          <w:rFonts w:ascii="Times New Roman" w:eastAsia="Times New Roman" w:hAnsi="Times New Roman"/>
          <w:bCs/>
          <w:lang w:val="el-GR"/>
        </w:rPr>
        <w:t>,</w:t>
      </w:r>
      <w:r w:rsidRPr="0016453E">
        <w:rPr>
          <w:rFonts w:ascii="Times New Roman" w:eastAsia="Times New Roman" w:hAnsi="Times New Roman"/>
          <w:bCs/>
          <w:lang w:val="el-GR"/>
        </w:rPr>
        <w:t xml:space="preserve"> συνιστάται </w:t>
      </w:r>
      <w:r>
        <w:rPr>
          <w:rFonts w:ascii="Times New Roman" w:eastAsia="Times New Roman" w:hAnsi="Times New Roman"/>
          <w:bCs/>
          <w:lang w:val="el-GR"/>
        </w:rPr>
        <w:t xml:space="preserve">να λαμβάνουν </w:t>
      </w:r>
      <w:r w:rsidRPr="0016453E">
        <w:rPr>
          <w:rFonts w:ascii="Times New Roman" w:eastAsia="Times New Roman" w:hAnsi="Times New Roman"/>
          <w:bCs/>
          <w:lang w:val="el-GR"/>
        </w:rPr>
        <w:t xml:space="preserve">μια </w:t>
      </w:r>
      <w:r>
        <w:rPr>
          <w:rFonts w:ascii="Times New Roman" w:eastAsia="Times New Roman" w:hAnsi="Times New Roman"/>
          <w:bCs/>
          <w:lang w:val="el-GR"/>
        </w:rPr>
        <w:t>μικρότερη</w:t>
      </w:r>
      <w:r w:rsidRPr="0016453E">
        <w:rPr>
          <w:rFonts w:ascii="Times New Roman" w:eastAsia="Times New Roman" w:hAnsi="Times New Roman"/>
          <w:bCs/>
          <w:lang w:val="el-GR"/>
        </w:rPr>
        <w:t xml:space="preserve"> ημερήσια δόση του </w:t>
      </w:r>
      <w:r>
        <w:rPr>
          <w:rFonts w:ascii="Times New Roman" w:eastAsia="Times New Roman" w:hAnsi="Times New Roman"/>
          <w:bCs/>
        </w:rPr>
        <w:t>Celmantin</w:t>
      </w:r>
      <w:r w:rsidRPr="0016453E">
        <w:rPr>
          <w:rFonts w:ascii="Times New Roman" w:eastAsia="Times New Roman" w:hAnsi="Times New Roman"/>
          <w:bCs/>
          <w:lang w:val="el-GR"/>
        </w:rPr>
        <w:t>.</w:t>
      </w:r>
    </w:p>
    <w:p w:rsidR="00130E20" w:rsidRPr="00130E20" w:rsidRDefault="00130E20" w:rsidP="00130E20">
      <w:pPr>
        <w:spacing w:before="100" w:beforeAutospacing="1" w:after="75" w:line="360" w:lineRule="auto"/>
        <w:jc w:val="both"/>
        <w:rPr>
          <w:rFonts w:ascii="Times New Roman" w:eastAsia="Times New Roman" w:hAnsi="Times New Roman"/>
          <w:b/>
          <w:bCs/>
          <w:lang w:val="el-GR"/>
        </w:rPr>
      </w:pPr>
      <w:r w:rsidRPr="00130E20">
        <w:rPr>
          <w:rFonts w:ascii="Times New Roman" w:eastAsia="Times New Roman" w:hAnsi="Times New Roman"/>
          <w:b/>
          <w:bCs/>
          <w:lang w:val="el-GR"/>
        </w:rPr>
        <w:t>Δοσολογία σε ασθενείς με παράγοντες που προδιαθέτουν σε μυοπάθεια</w:t>
      </w:r>
    </w:p>
    <w:p w:rsidR="00130E20" w:rsidRDefault="00130E20" w:rsidP="00130E20">
      <w:pPr>
        <w:spacing w:before="100" w:beforeAutospacing="1" w:after="0" w:line="360" w:lineRule="auto"/>
        <w:jc w:val="both"/>
        <w:rPr>
          <w:rFonts w:ascii="Times New Roman" w:eastAsia="Times New Roman" w:hAnsi="Times New Roman"/>
          <w:bCs/>
        </w:rPr>
      </w:pPr>
      <w:r w:rsidRPr="00130E20">
        <w:rPr>
          <w:rFonts w:ascii="Times New Roman" w:eastAsia="Times New Roman" w:hAnsi="Times New Roman"/>
          <w:bCs/>
          <w:lang w:val="el-GR"/>
        </w:rPr>
        <w:t xml:space="preserve">Η συνιστώμενη δόση έναρξης για τους ασθενείς με παράγοντες που προδιαθέτουν σε μυοπάθεια είναι 5 </w:t>
      </w:r>
      <w:r w:rsidRPr="00130E20">
        <w:rPr>
          <w:rFonts w:ascii="Times New Roman" w:eastAsia="Times New Roman" w:hAnsi="Times New Roman"/>
          <w:bCs/>
        </w:rPr>
        <w:t>mg</w:t>
      </w:r>
      <w:r w:rsidRPr="00130E20">
        <w:rPr>
          <w:rFonts w:ascii="Times New Roman" w:eastAsia="Times New Roman" w:hAnsi="Times New Roman"/>
          <w:bCs/>
          <w:lang w:val="el-GR"/>
        </w:rPr>
        <w:t xml:space="preserve"> (βλέπε Παράγραφο 4.4). </w:t>
      </w:r>
    </w:p>
    <w:p w:rsidR="00130E20" w:rsidRPr="00130E20" w:rsidRDefault="00130E20" w:rsidP="00130E20">
      <w:pPr>
        <w:spacing w:after="75" w:line="360" w:lineRule="auto"/>
        <w:jc w:val="both"/>
        <w:rPr>
          <w:rFonts w:ascii="Times New Roman" w:eastAsia="Times New Roman" w:hAnsi="Times New Roman"/>
          <w:bCs/>
          <w:lang w:val="el-GR"/>
        </w:rPr>
      </w:pPr>
      <w:r w:rsidRPr="00130E20">
        <w:rPr>
          <w:rFonts w:ascii="Times New Roman" w:eastAsia="Times New Roman" w:hAnsi="Times New Roman"/>
          <w:bCs/>
          <w:lang w:val="el-GR"/>
        </w:rPr>
        <w:t xml:space="preserve">Η δόση των 40 </w:t>
      </w:r>
      <w:r w:rsidRPr="00130E20">
        <w:rPr>
          <w:rFonts w:ascii="Times New Roman" w:eastAsia="Times New Roman" w:hAnsi="Times New Roman"/>
          <w:bCs/>
        </w:rPr>
        <w:t>mg</w:t>
      </w:r>
      <w:r w:rsidRPr="00130E20">
        <w:rPr>
          <w:rFonts w:ascii="Times New Roman" w:eastAsia="Times New Roman" w:hAnsi="Times New Roman"/>
          <w:bCs/>
          <w:lang w:val="el-GR"/>
        </w:rPr>
        <w:t xml:space="preserve"> αντενδείκνυται σε αυτούς τους ασθενείς (βλ. Παράγραφο 4.3).</w:t>
      </w:r>
    </w:p>
    <w:p w:rsidR="002D1B4F" w:rsidRDefault="002D1B4F" w:rsidP="00AC1E02">
      <w:pPr>
        <w:shd w:val="clear" w:color="auto" w:fill="FFFFFF"/>
        <w:spacing w:after="0" w:line="360" w:lineRule="auto"/>
        <w:jc w:val="both"/>
        <w:rPr>
          <w:rFonts w:ascii="Times New Roman" w:eastAsia="Times New Roman" w:hAnsi="Times New Roman"/>
        </w:rPr>
      </w:pPr>
    </w:p>
    <w:p w:rsidR="006A5CD9" w:rsidRPr="00852DE2" w:rsidRDefault="00852DE2" w:rsidP="00AC1E02">
      <w:pPr>
        <w:shd w:val="clear" w:color="auto" w:fill="FFFFFF"/>
        <w:spacing w:after="0" w:line="360" w:lineRule="auto"/>
        <w:jc w:val="both"/>
        <w:rPr>
          <w:rFonts w:ascii="Times New Roman" w:eastAsia="Times New Roman" w:hAnsi="Times New Roman"/>
          <w:b/>
          <w:u w:val="single"/>
          <w:lang w:val="el-GR"/>
        </w:rPr>
      </w:pPr>
      <w:r w:rsidRPr="00852DE2">
        <w:rPr>
          <w:rFonts w:ascii="Times New Roman" w:eastAsia="Times New Roman" w:hAnsi="Times New Roman"/>
          <w:b/>
          <w:u w:val="single"/>
        </w:rPr>
        <w:t>Συγχορήγηση</w:t>
      </w:r>
    </w:p>
    <w:p w:rsidR="001931E0" w:rsidRPr="001931E0" w:rsidRDefault="001931E0" w:rsidP="00AC1E02">
      <w:pPr>
        <w:shd w:val="clear" w:color="auto" w:fill="FFFFFF"/>
        <w:spacing w:after="0" w:line="360" w:lineRule="auto"/>
        <w:jc w:val="both"/>
        <w:rPr>
          <w:rFonts w:ascii="Times New Roman" w:eastAsia="Times New Roman" w:hAnsi="Times New Roman"/>
          <w:lang w:val="el-GR"/>
        </w:rPr>
      </w:pPr>
      <w:r>
        <w:rPr>
          <w:rFonts w:ascii="Times New Roman" w:eastAsia="Times New Roman" w:hAnsi="Times New Roman"/>
        </w:rPr>
        <w:t>H</w:t>
      </w:r>
      <w:r w:rsidRPr="001931E0">
        <w:rPr>
          <w:rFonts w:ascii="Times New Roman" w:eastAsia="Times New Roman" w:hAnsi="Times New Roman"/>
          <w:lang w:val="el-GR"/>
        </w:rPr>
        <w:t xml:space="preserve"> </w:t>
      </w:r>
      <w:r>
        <w:rPr>
          <w:rFonts w:ascii="Times New Roman" w:eastAsia="Times New Roman" w:hAnsi="Times New Roman"/>
          <w:lang w:val="el-GR"/>
        </w:rPr>
        <w:t xml:space="preserve">ροσουβαστατίνη </w:t>
      </w:r>
      <w:r w:rsidRPr="001931E0">
        <w:rPr>
          <w:rFonts w:ascii="Times New Roman" w:eastAsia="Times New Roman" w:hAnsi="Times New Roman"/>
          <w:lang w:val="el-GR"/>
        </w:rPr>
        <w:t xml:space="preserve">είναι υπόστρωμα διαφόρων πρωτεϊνών μεταφορέων (π.χ. </w:t>
      </w:r>
      <w:r w:rsidRPr="001931E0">
        <w:rPr>
          <w:rFonts w:ascii="Times New Roman" w:eastAsia="Times New Roman" w:hAnsi="Times New Roman"/>
        </w:rPr>
        <w:t>OATP</w:t>
      </w:r>
      <w:r w:rsidRPr="001931E0">
        <w:rPr>
          <w:rFonts w:ascii="Times New Roman" w:eastAsia="Times New Roman" w:hAnsi="Times New Roman"/>
          <w:lang w:val="el-GR"/>
        </w:rPr>
        <w:t>1</w:t>
      </w:r>
      <w:r w:rsidRPr="001931E0">
        <w:rPr>
          <w:rFonts w:ascii="Times New Roman" w:eastAsia="Times New Roman" w:hAnsi="Times New Roman"/>
        </w:rPr>
        <w:t>B</w:t>
      </w:r>
      <w:r w:rsidRPr="001931E0">
        <w:rPr>
          <w:rFonts w:ascii="Times New Roman" w:eastAsia="Times New Roman" w:hAnsi="Times New Roman"/>
          <w:lang w:val="el-GR"/>
        </w:rPr>
        <w:t xml:space="preserve">1 και </w:t>
      </w:r>
      <w:r w:rsidRPr="001931E0">
        <w:rPr>
          <w:rFonts w:ascii="Times New Roman" w:eastAsia="Times New Roman" w:hAnsi="Times New Roman"/>
        </w:rPr>
        <w:t>BCRP</w:t>
      </w:r>
      <w:r w:rsidRPr="001931E0">
        <w:rPr>
          <w:rFonts w:ascii="Times New Roman" w:eastAsia="Times New Roman" w:hAnsi="Times New Roman"/>
          <w:lang w:val="el-GR"/>
        </w:rPr>
        <w:t xml:space="preserve">). Ο κίνδυνος για μυοπάθεια (συμπεριλαμβανομένης της ραβδομυόλυσης) αυξάνεται όταν το </w:t>
      </w:r>
      <w:r w:rsidR="003D19DA">
        <w:rPr>
          <w:rFonts w:ascii="Times New Roman" w:eastAsia="Times New Roman" w:hAnsi="Times New Roman"/>
        </w:rPr>
        <w:t>Celmantin</w:t>
      </w:r>
      <w:r w:rsidRPr="001931E0">
        <w:rPr>
          <w:rFonts w:ascii="Times New Roman" w:eastAsia="Times New Roman" w:hAnsi="Times New Roman"/>
          <w:lang w:val="el-GR"/>
        </w:rPr>
        <w:t xml:space="preserve"> χορηγείται ταυτόχρονα με ορισμένα φάρμακα που μπορεί να αυξήσουν τη συγκέντρωση </w:t>
      </w:r>
      <w:r w:rsidR="003D19DA" w:rsidRPr="001931E0">
        <w:rPr>
          <w:rFonts w:ascii="Times New Roman" w:eastAsia="Times New Roman" w:hAnsi="Times New Roman"/>
          <w:lang w:val="el-GR"/>
        </w:rPr>
        <w:t xml:space="preserve">της </w:t>
      </w:r>
      <w:r w:rsidR="003D19DA">
        <w:rPr>
          <w:rFonts w:ascii="Times New Roman" w:eastAsia="Times New Roman" w:hAnsi="Times New Roman"/>
          <w:lang w:val="el-GR"/>
        </w:rPr>
        <w:t>ροσουβαστατίνης</w:t>
      </w:r>
      <w:r w:rsidR="003D19DA" w:rsidRPr="001931E0">
        <w:rPr>
          <w:rFonts w:ascii="Times New Roman" w:eastAsia="Times New Roman" w:hAnsi="Times New Roman"/>
          <w:lang w:val="el-GR"/>
        </w:rPr>
        <w:t xml:space="preserve"> </w:t>
      </w:r>
      <w:r w:rsidR="003D19DA">
        <w:rPr>
          <w:rFonts w:ascii="Times New Roman" w:eastAsia="Times New Roman" w:hAnsi="Times New Roman"/>
          <w:lang w:val="el-GR"/>
        </w:rPr>
        <w:t xml:space="preserve">στο </w:t>
      </w:r>
      <w:r w:rsidRPr="001931E0">
        <w:rPr>
          <w:rFonts w:ascii="Times New Roman" w:eastAsia="Times New Roman" w:hAnsi="Times New Roman"/>
          <w:lang w:val="el-GR"/>
        </w:rPr>
        <w:t>πλάσμα λόγω αλληλεπιδράσεων με αυτές τις πρωτεΐνες μεταφορ</w:t>
      </w:r>
      <w:r w:rsidR="003D19DA">
        <w:rPr>
          <w:rFonts w:ascii="Times New Roman" w:eastAsia="Times New Roman" w:hAnsi="Times New Roman"/>
          <w:lang w:val="el-GR"/>
        </w:rPr>
        <w:t>είς</w:t>
      </w:r>
      <w:r w:rsidRPr="001931E0">
        <w:rPr>
          <w:rFonts w:ascii="Times New Roman" w:eastAsia="Times New Roman" w:hAnsi="Times New Roman"/>
          <w:lang w:val="el-GR"/>
        </w:rPr>
        <w:t xml:space="preserve"> (π.χ. </w:t>
      </w:r>
      <w:r w:rsidR="003D19DA">
        <w:rPr>
          <w:rFonts w:ascii="Times New Roman" w:eastAsia="Times New Roman" w:hAnsi="Times New Roman"/>
          <w:lang w:val="el-GR"/>
        </w:rPr>
        <w:t xml:space="preserve">η </w:t>
      </w:r>
      <w:r w:rsidRPr="001931E0">
        <w:rPr>
          <w:rFonts w:ascii="Times New Roman" w:eastAsia="Times New Roman" w:hAnsi="Times New Roman"/>
          <w:lang w:val="el-GR"/>
        </w:rPr>
        <w:t>κυκλοσπορίνη και ορισμέν</w:t>
      </w:r>
      <w:r w:rsidR="003D19DA">
        <w:rPr>
          <w:rFonts w:ascii="Times New Roman" w:eastAsia="Times New Roman" w:hAnsi="Times New Roman"/>
          <w:lang w:val="el-GR"/>
        </w:rPr>
        <w:t>οι</w:t>
      </w:r>
      <w:r w:rsidRPr="001931E0">
        <w:rPr>
          <w:rFonts w:ascii="Times New Roman" w:eastAsia="Times New Roman" w:hAnsi="Times New Roman"/>
          <w:lang w:val="el-GR"/>
        </w:rPr>
        <w:t xml:space="preserve"> αναστολείς πρωτε</w:t>
      </w:r>
      <w:r w:rsidR="003D19DA">
        <w:rPr>
          <w:rFonts w:ascii="Times New Roman" w:eastAsia="Times New Roman" w:hAnsi="Times New Roman"/>
          <w:lang w:val="el-GR"/>
        </w:rPr>
        <w:t>άσης</w:t>
      </w:r>
      <w:r w:rsidRPr="001931E0">
        <w:rPr>
          <w:rFonts w:ascii="Times New Roman" w:eastAsia="Times New Roman" w:hAnsi="Times New Roman"/>
          <w:lang w:val="el-GR"/>
        </w:rPr>
        <w:t xml:space="preserve"> συμπεριλαμβανομένων των συνδυασμών </w:t>
      </w:r>
      <w:r w:rsidR="003D19DA">
        <w:rPr>
          <w:rFonts w:ascii="Times New Roman" w:eastAsia="Times New Roman" w:hAnsi="Times New Roman"/>
          <w:lang w:val="el-GR"/>
        </w:rPr>
        <w:t>της ριτοναβίρης</w:t>
      </w:r>
      <w:r w:rsidRPr="001931E0">
        <w:rPr>
          <w:rFonts w:ascii="Times New Roman" w:eastAsia="Times New Roman" w:hAnsi="Times New Roman"/>
          <w:lang w:val="el-GR"/>
        </w:rPr>
        <w:t xml:space="preserve"> με αταζαναβίρη, </w:t>
      </w:r>
      <w:r w:rsidR="003D19DA">
        <w:rPr>
          <w:rFonts w:ascii="Times New Roman" w:eastAsia="Times New Roman" w:hAnsi="Times New Roman"/>
          <w:lang w:val="el-GR"/>
        </w:rPr>
        <w:t>της λοπιναβίρης</w:t>
      </w:r>
      <w:r w:rsidRPr="001931E0">
        <w:rPr>
          <w:rFonts w:ascii="Times New Roman" w:eastAsia="Times New Roman" w:hAnsi="Times New Roman"/>
          <w:lang w:val="el-GR"/>
        </w:rPr>
        <w:t xml:space="preserve">, </w:t>
      </w:r>
      <w:r w:rsidR="003D19DA">
        <w:rPr>
          <w:rFonts w:ascii="Times New Roman" w:eastAsia="Times New Roman" w:hAnsi="Times New Roman"/>
          <w:lang w:val="el-GR"/>
        </w:rPr>
        <w:t xml:space="preserve">και / </w:t>
      </w:r>
      <w:r w:rsidRPr="001931E0">
        <w:rPr>
          <w:rFonts w:ascii="Times New Roman" w:eastAsia="Times New Roman" w:hAnsi="Times New Roman"/>
          <w:lang w:val="el-GR"/>
        </w:rPr>
        <w:t xml:space="preserve">ή </w:t>
      </w:r>
      <w:r w:rsidRPr="001931E0">
        <w:rPr>
          <w:rFonts w:ascii="Times New Roman" w:eastAsia="Times New Roman" w:hAnsi="Times New Roman"/>
        </w:rPr>
        <w:t>tipranavir</w:t>
      </w:r>
      <w:r w:rsidR="003D19DA">
        <w:rPr>
          <w:rFonts w:ascii="Times New Roman" w:eastAsia="Times New Roman" w:hAnsi="Times New Roman"/>
          <w:lang w:val="el-GR"/>
        </w:rPr>
        <w:t>,</w:t>
      </w:r>
      <w:r w:rsidRPr="001931E0">
        <w:rPr>
          <w:rFonts w:ascii="Times New Roman" w:eastAsia="Times New Roman" w:hAnsi="Times New Roman"/>
          <w:lang w:val="el-GR"/>
        </w:rPr>
        <w:t xml:space="preserve"> βλέπε </w:t>
      </w:r>
      <w:r w:rsidR="003D19DA">
        <w:rPr>
          <w:rFonts w:ascii="Times New Roman" w:eastAsia="Times New Roman" w:hAnsi="Times New Roman"/>
          <w:lang w:val="el-GR"/>
        </w:rPr>
        <w:t>Π</w:t>
      </w:r>
      <w:r w:rsidRPr="001931E0">
        <w:rPr>
          <w:rFonts w:ascii="Times New Roman" w:eastAsia="Times New Roman" w:hAnsi="Times New Roman"/>
          <w:lang w:val="el-GR"/>
        </w:rPr>
        <w:t xml:space="preserve">αραγράφους 4.4 και 4.5). Όποτε είναι δυνατόν, </w:t>
      </w:r>
      <w:r w:rsidR="0026637F" w:rsidRPr="001931E0">
        <w:rPr>
          <w:rFonts w:ascii="Times New Roman" w:eastAsia="Times New Roman" w:hAnsi="Times New Roman"/>
          <w:lang w:val="el-GR"/>
        </w:rPr>
        <w:t xml:space="preserve">θα πρέπει να </w:t>
      </w:r>
      <w:r w:rsidR="0026637F">
        <w:rPr>
          <w:rFonts w:ascii="Times New Roman" w:eastAsia="Times New Roman" w:hAnsi="Times New Roman"/>
          <w:lang w:val="el-GR"/>
        </w:rPr>
        <w:t>εξετάζονται</w:t>
      </w:r>
      <w:r w:rsidR="0026637F" w:rsidRPr="001931E0">
        <w:rPr>
          <w:rFonts w:ascii="Times New Roman" w:eastAsia="Times New Roman" w:hAnsi="Times New Roman"/>
          <w:lang w:val="el-GR"/>
        </w:rPr>
        <w:t xml:space="preserve"> </w:t>
      </w:r>
      <w:r w:rsidRPr="001931E0">
        <w:rPr>
          <w:rFonts w:ascii="Times New Roman" w:eastAsia="Times New Roman" w:hAnsi="Times New Roman"/>
          <w:lang w:val="el-GR"/>
        </w:rPr>
        <w:t xml:space="preserve">εναλλακτικά </w:t>
      </w:r>
      <w:r w:rsidR="0026637F">
        <w:rPr>
          <w:rFonts w:ascii="Times New Roman" w:eastAsia="Times New Roman" w:hAnsi="Times New Roman"/>
          <w:lang w:val="el-GR"/>
        </w:rPr>
        <w:t>θεραπευτικά σχήματα</w:t>
      </w:r>
      <w:r w:rsidRPr="001931E0">
        <w:rPr>
          <w:rFonts w:ascii="Times New Roman" w:eastAsia="Times New Roman" w:hAnsi="Times New Roman"/>
          <w:lang w:val="el-GR"/>
        </w:rPr>
        <w:t>, και, εάν είναι αναγκαίο, να εξετά</w:t>
      </w:r>
      <w:r w:rsidR="0026637F">
        <w:rPr>
          <w:rFonts w:ascii="Times New Roman" w:eastAsia="Times New Roman" w:hAnsi="Times New Roman"/>
          <w:lang w:val="el-GR"/>
        </w:rPr>
        <w:t>ζεται</w:t>
      </w:r>
      <w:r w:rsidRPr="001931E0">
        <w:rPr>
          <w:rFonts w:ascii="Times New Roman" w:eastAsia="Times New Roman" w:hAnsi="Times New Roman"/>
          <w:lang w:val="el-GR"/>
        </w:rPr>
        <w:t xml:space="preserve"> </w:t>
      </w:r>
      <w:r w:rsidR="0076331E">
        <w:rPr>
          <w:rFonts w:ascii="Times New Roman" w:eastAsia="Times New Roman" w:hAnsi="Times New Roman"/>
          <w:lang w:val="el-GR"/>
        </w:rPr>
        <w:t xml:space="preserve">η </w:t>
      </w:r>
      <w:r w:rsidRPr="001931E0">
        <w:rPr>
          <w:rFonts w:ascii="Times New Roman" w:eastAsia="Times New Roman" w:hAnsi="Times New Roman"/>
          <w:lang w:val="el-GR"/>
        </w:rPr>
        <w:t xml:space="preserve">προσωρινή διακοπή της θεραπείας </w:t>
      </w:r>
      <w:r w:rsidR="0076331E" w:rsidRPr="0076331E">
        <w:rPr>
          <w:rFonts w:ascii="Times New Roman" w:eastAsia="Times New Roman" w:hAnsi="Times New Roman"/>
          <w:lang w:val="el-GR"/>
        </w:rPr>
        <w:t>με το Celmantin</w:t>
      </w:r>
      <w:r w:rsidRPr="001931E0">
        <w:rPr>
          <w:rFonts w:ascii="Times New Roman" w:eastAsia="Times New Roman" w:hAnsi="Times New Roman"/>
          <w:lang w:val="el-GR"/>
        </w:rPr>
        <w:t xml:space="preserve">. Σε περιπτώσεις όπου η συγχορήγηση αυτών των φαρμακευτικών προϊόντων με το </w:t>
      </w:r>
      <w:r w:rsidR="0095522D">
        <w:rPr>
          <w:rFonts w:ascii="Times New Roman" w:eastAsia="Times New Roman" w:hAnsi="Times New Roman"/>
        </w:rPr>
        <w:t>Celmantin</w:t>
      </w:r>
      <w:r w:rsidRPr="001931E0">
        <w:rPr>
          <w:rFonts w:ascii="Times New Roman" w:eastAsia="Times New Roman" w:hAnsi="Times New Roman"/>
          <w:lang w:val="el-GR"/>
        </w:rPr>
        <w:t xml:space="preserve"> είναι αναπόφευκτη, </w:t>
      </w:r>
      <w:r w:rsidR="0095522D">
        <w:rPr>
          <w:rFonts w:ascii="Times New Roman" w:eastAsia="Times New Roman" w:hAnsi="Times New Roman"/>
          <w:lang w:val="el-GR"/>
        </w:rPr>
        <w:t xml:space="preserve">θα πρέπει να </w:t>
      </w:r>
      <w:r w:rsidR="00435E04">
        <w:rPr>
          <w:rFonts w:ascii="Times New Roman" w:eastAsia="Times New Roman" w:hAnsi="Times New Roman"/>
          <w:lang w:val="el-GR"/>
        </w:rPr>
        <w:t xml:space="preserve">μελετούνται </w:t>
      </w:r>
      <w:r w:rsidR="0095522D" w:rsidRPr="001931E0">
        <w:rPr>
          <w:rFonts w:ascii="Times New Roman" w:eastAsia="Times New Roman" w:hAnsi="Times New Roman"/>
          <w:lang w:val="el-GR"/>
        </w:rPr>
        <w:t xml:space="preserve">προσεκτικά </w:t>
      </w:r>
      <w:r w:rsidR="0095522D">
        <w:rPr>
          <w:rFonts w:ascii="Times New Roman" w:eastAsia="Times New Roman" w:hAnsi="Times New Roman"/>
          <w:lang w:val="el-GR"/>
        </w:rPr>
        <w:t xml:space="preserve">τα οφέλη και οι </w:t>
      </w:r>
      <w:r w:rsidRPr="001931E0">
        <w:rPr>
          <w:rFonts w:ascii="Times New Roman" w:eastAsia="Times New Roman" w:hAnsi="Times New Roman"/>
          <w:lang w:val="el-GR"/>
        </w:rPr>
        <w:t>κ</w:t>
      </w:r>
      <w:r w:rsidR="0095522D">
        <w:rPr>
          <w:rFonts w:ascii="Times New Roman" w:eastAsia="Times New Roman" w:hAnsi="Times New Roman"/>
          <w:lang w:val="el-GR"/>
        </w:rPr>
        <w:t>ί</w:t>
      </w:r>
      <w:r w:rsidRPr="001931E0">
        <w:rPr>
          <w:rFonts w:ascii="Times New Roman" w:eastAsia="Times New Roman" w:hAnsi="Times New Roman"/>
          <w:lang w:val="el-GR"/>
        </w:rPr>
        <w:t>νδ</w:t>
      </w:r>
      <w:r w:rsidR="0095522D">
        <w:rPr>
          <w:rFonts w:ascii="Times New Roman" w:eastAsia="Times New Roman" w:hAnsi="Times New Roman"/>
          <w:lang w:val="el-GR"/>
        </w:rPr>
        <w:t>υ</w:t>
      </w:r>
      <w:r w:rsidRPr="001931E0">
        <w:rPr>
          <w:rFonts w:ascii="Times New Roman" w:eastAsia="Times New Roman" w:hAnsi="Times New Roman"/>
          <w:lang w:val="el-GR"/>
        </w:rPr>
        <w:t>νο</w:t>
      </w:r>
      <w:r w:rsidR="0095522D">
        <w:rPr>
          <w:rFonts w:ascii="Times New Roman" w:eastAsia="Times New Roman" w:hAnsi="Times New Roman"/>
          <w:lang w:val="el-GR"/>
        </w:rPr>
        <w:t>ι</w:t>
      </w:r>
      <w:r w:rsidRPr="001931E0">
        <w:rPr>
          <w:rFonts w:ascii="Times New Roman" w:eastAsia="Times New Roman" w:hAnsi="Times New Roman"/>
          <w:lang w:val="el-GR"/>
        </w:rPr>
        <w:t xml:space="preserve"> της ταυτόχρονης θεραπείας και </w:t>
      </w:r>
      <w:r w:rsidR="00435E04">
        <w:rPr>
          <w:rFonts w:ascii="Times New Roman" w:eastAsia="Times New Roman" w:hAnsi="Times New Roman"/>
          <w:lang w:val="el-GR"/>
        </w:rPr>
        <w:t xml:space="preserve">η </w:t>
      </w:r>
      <w:r w:rsidRPr="001931E0">
        <w:rPr>
          <w:rFonts w:ascii="Times New Roman" w:eastAsia="Times New Roman" w:hAnsi="Times New Roman"/>
          <w:lang w:val="el-GR"/>
        </w:rPr>
        <w:t xml:space="preserve">ρύθμιση της </w:t>
      </w:r>
      <w:r w:rsidR="00435E04">
        <w:rPr>
          <w:rFonts w:ascii="Times New Roman" w:eastAsia="Times New Roman" w:hAnsi="Times New Roman"/>
          <w:lang w:val="el-GR"/>
        </w:rPr>
        <w:t xml:space="preserve">δόσης του </w:t>
      </w:r>
      <w:r w:rsidR="00435E04">
        <w:rPr>
          <w:rFonts w:ascii="Times New Roman" w:eastAsia="Times New Roman" w:hAnsi="Times New Roman"/>
        </w:rPr>
        <w:t>Celmantin</w:t>
      </w:r>
      <w:r w:rsidRPr="001931E0">
        <w:rPr>
          <w:rFonts w:ascii="Times New Roman" w:eastAsia="Times New Roman" w:hAnsi="Times New Roman"/>
          <w:lang w:val="el-GR"/>
        </w:rPr>
        <w:t xml:space="preserve"> (βλ. παράγραφο 4.5)</w:t>
      </w:r>
    </w:p>
    <w:p w:rsidR="006A5CD9" w:rsidRDefault="006A5CD9" w:rsidP="00AC1E02">
      <w:pPr>
        <w:shd w:val="clear" w:color="auto" w:fill="FFFFFF"/>
        <w:spacing w:after="0" w:line="360" w:lineRule="auto"/>
        <w:jc w:val="both"/>
        <w:rPr>
          <w:rFonts w:ascii="Times New Roman" w:eastAsia="Times New Roman" w:hAnsi="Times New Roman"/>
          <w:u w:val="single"/>
        </w:rPr>
      </w:pPr>
    </w:p>
    <w:p w:rsidR="003378CD" w:rsidRPr="003378CD" w:rsidRDefault="003378CD" w:rsidP="003378CD">
      <w:pPr>
        <w:shd w:val="clear" w:color="auto" w:fill="FFFFFF"/>
        <w:spacing w:after="0" w:line="360" w:lineRule="auto"/>
        <w:jc w:val="both"/>
        <w:rPr>
          <w:rFonts w:ascii="Times New Roman" w:eastAsia="Times New Roman" w:hAnsi="Times New Roman"/>
          <w:u w:val="single"/>
          <w:lang w:val="el-GR"/>
        </w:rPr>
      </w:pPr>
      <w:r w:rsidRPr="003378CD">
        <w:rPr>
          <w:rFonts w:ascii="Times New Roman" w:eastAsia="Times New Roman" w:hAnsi="Times New Roman"/>
          <w:u w:val="single"/>
          <w:lang w:val="el-GR"/>
        </w:rPr>
        <w:t>Τρόπος χορήγησης</w:t>
      </w:r>
    </w:p>
    <w:p w:rsidR="003378CD" w:rsidRPr="003378CD" w:rsidRDefault="003378CD" w:rsidP="003378CD">
      <w:pPr>
        <w:shd w:val="clear" w:color="auto" w:fill="FFFFFF"/>
        <w:spacing w:after="0" w:line="360" w:lineRule="auto"/>
        <w:jc w:val="both"/>
        <w:rPr>
          <w:rFonts w:ascii="Times New Roman" w:eastAsia="Times New Roman" w:hAnsi="Times New Roman"/>
          <w:lang w:val="el-GR"/>
        </w:rPr>
      </w:pPr>
      <w:r w:rsidRPr="003378CD">
        <w:rPr>
          <w:rFonts w:ascii="Times New Roman" w:eastAsia="Times New Roman" w:hAnsi="Times New Roman"/>
          <w:lang w:val="el-GR"/>
        </w:rPr>
        <w:t>To Celmantin μπορεί να λαμβάνεται οποιαδήποτε ώρα της ημέρας, με ή χωρίς τροφή.</w:t>
      </w:r>
    </w:p>
    <w:p w:rsidR="002D1B4F" w:rsidRPr="00426846" w:rsidRDefault="002D1B4F" w:rsidP="00AC1E02">
      <w:pPr>
        <w:shd w:val="clear" w:color="auto" w:fill="FFFFFF"/>
        <w:spacing w:after="0" w:line="360" w:lineRule="auto"/>
        <w:jc w:val="both"/>
        <w:rPr>
          <w:rFonts w:ascii="Times New Roman" w:hAnsi="Times New Roman"/>
          <w:b/>
          <w:noProof/>
        </w:rPr>
      </w:pPr>
    </w:p>
    <w:p w:rsidR="005F0B61" w:rsidRPr="00426846" w:rsidRDefault="005F0B61" w:rsidP="003170C4">
      <w:pPr>
        <w:suppressLineNumbers/>
        <w:spacing w:line="360" w:lineRule="auto"/>
        <w:ind w:left="567" w:hanging="567"/>
        <w:jc w:val="both"/>
        <w:rPr>
          <w:rFonts w:ascii="Times New Roman" w:hAnsi="Times New Roman"/>
          <w:noProof/>
        </w:rPr>
      </w:pPr>
      <w:r w:rsidRPr="00426846">
        <w:rPr>
          <w:rFonts w:ascii="Times New Roman" w:hAnsi="Times New Roman"/>
          <w:b/>
          <w:noProof/>
        </w:rPr>
        <w:t>4.3</w:t>
      </w:r>
      <w:r w:rsidRPr="00426846">
        <w:rPr>
          <w:rFonts w:ascii="Times New Roman" w:hAnsi="Times New Roman"/>
          <w:b/>
          <w:noProof/>
        </w:rPr>
        <w:tab/>
      </w:r>
      <w:r w:rsidR="00DF3BDD" w:rsidRPr="00DF3BDD">
        <w:rPr>
          <w:rFonts w:ascii="Times New Roman" w:hAnsi="Times New Roman"/>
          <w:b/>
          <w:noProof/>
        </w:rPr>
        <w:t>Αντενδείξεις</w:t>
      </w:r>
    </w:p>
    <w:p w:rsidR="00C713D9" w:rsidRPr="00426846" w:rsidRDefault="00DF3BDD" w:rsidP="003170C4">
      <w:pPr>
        <w:shd w:val="clear" w:color="auto" w:fill="FFFFFF"/>
        <w:spacing w:after="0" w:line="360" w:lineRule="auto"/>
        <w:jc w:val="both"/>
        <w:rPr>
          <w:rFonts w:ascii="Times New Roman" w:eastAsia="Times New Roman" w:hAnsi="Times New Roman"/>
        </w:rPr>
      </w:pPr>
      <w:bookmarkStart w:id="5" w:name="CLINICAL_PRECAUTIONS"/>
      <w:bookmarkEnd w:id="5"/>
      <w:r>
        <w:rPr>
          <w:rFonts w:ascii="Times New Roman" w:eastAsia="Times New Roman" w:hAnsi="Times New Roman"/>
        </w:rPr>
        <w:t xml:space="preserve">To </w:t>
      </w:r>
      <w:r w:rsidRPr="00DF3BDD">
        <w:rPr>
          <w:rFonts w:ascii="Times New Roman" w:eastAsia="Times New Roman" w:hAnsi="Times New Roman"/>
        </w:rPr>
        <w:t>Celmantin αντενδείκνυται</w:t>
      </w:r>
      <w:r w:rsidR="00C713D9" w:rsidRPr="00426846">
        <w:rPr>
          <w:rFonts w:ascii="Times New Roman" w:eastAsia="Times New Roman" w:hAnsi="Times New Roman"/>
        </w:rPr>
        <w:t xml:space="preserve">: </w:t>
      </w:r>
    </w:p>
    <w:p w:rsidR="00CD32B2" w:rsidRPr="00E874E5" w:rsidRDefault="00C713D9" w:rsidP="00E874E5">
      <w:pPr>
        <w:suppressLineNumbers/>
        <w:spacing w:line="360" w:lineRule="auto"/>
        <w:ind w:left="709" w:hanging="142"/>
        <w:jc w:val="both"/>
        <w:rPr>
          <w:rFonts w:ascii="Times New Roman" w:eastAsia="Times New Roman" w:hAnsi="Times New Roman"/>
          <w:lang w:val="el-GR"/>
        </w:rPr>
      </w:pPr>
      <w:r w:rsidRPr="00E874E5">
        <w:rPr>
          <w:rFonts w:ascii="Times New Roman" w:eastAsia="Times New Roman" w:hAnsi="Times New Roman"/>
          <w:lang w:val="el-GR"/>
        </w:rPr>
        <w:lastRenderedPageBreak/>
        <w:t xml:space="preserve">- </w:t>
      </w:r>
      <w:r w:rsidR="00E874E5" w:rsidRPr="00E874E5">
        <w:rPr>
          <w:rFonts w:ascii="Times New Roman" w:eastAsia="Times New Roman" w:hAnsi="Times New Roman"/>
          <w:lang w:val="el-GR"/>
        </w:rPr>
        <w:t>σε ασθενείς με υπερευαισθησία στ</w:t>
      </w:r>
      <w:r w:rsidR="00E874E5">
        <w:rPr>
          <w:rFonts w:ascii="Times New Roman" w:eastAsia="Times New Roman" w:hAnsi="Times New Roman"/>
        </w:rPr>
        <w:t>o</w:t>
      </w:r>
      <w:r w:rsidR="00E874E5" w:rsidRPr="00E874E5">
        <w:rPr>
          <w:rFonts w:ascii="Times New Roman" w:eastAsia="Times New Roman" w:hAnsi="Times New Roman"/>
          <w:lang w:val="el-GR"/>
        </w:rPr>
        <w:t xml:space="preserve"> </w:t>
      </w:r>
      <w:r w:rsidR="00E874E5">
        <w:rPr>
          <w:rFonts w:ascii="Times New Roman" w:eastAsia="Times New Roman" w:hAnsi="Times New Roman"/>
          <w:lang w:val="el-GR"/>
        </w:rPr>
        <w:t>δραστικό</w:t>
      </w:r>
      <w:r w:rsidR="00E874E5" w:rsidRPr="00E874E5">
        <w:rPr>
          <w:rFonts w:ascii="Times New Roman" w:eastAsia="Times New Roman" w:hAnsi="Times New Roman"/>
          <w:lang w:val="el-GR"/>
        </w:rPr>
        <w:t xml:space="preserve"> </w:t>
      </w:r>
      <w:r w:rsidR="00E874E5">
        <w:rPr>
          <w:rFonts w:ascii="Times New Roman" w:eastAsia="Times New Roman" w:hAnsi="Times New Roman"/>
          <w:lang w:val="el-GR"/>
        </w:rPr>
        <w:t>συστατικό</w:t>
      </w:r>
      <w:r w:rsidR="00E874E5" w:rsidRPr="00E874E5">
        <w:rPr>
          <w:rFonts w:ascii="Times New Roman" w:eastAsia="Times New Roman" w:hAnsi="Times New Roman"/>
          <w:lang w:val="el-GR"/>
        </w:rPr>
        <w:t xml:space="preserve"> ή σε κάποιο από τα έκδοχα </w:t>
      </w:r>
      <w:r w:rsidR="00E874E5">
        <w:rPr>
          <w:rFonts w:ascii="Times New Roman" w:eastAsia="Times New Roman" w:hAnsi="Times New Roman"/>
          <w:lang w:val="el-GR"/>
        </w:rPr>
        <w:t>που</w:t>
      </w:r>
      <w:r w:rsidR="00E874E5" w:rsidRPr="00E874E5">
        <w:rPr>
          <w:rFonts w:ascii="Times New Roman" w:eastAsia="Times New Roman" w:hAnsi="Times New Roman"/>
          <w:lang w:val="el-GR"/>
        </w:rPr>
        <w:t xml:space="preserve"> </w:t>
      </w:r>
      <w:r w:rsidR="00E874E5">
        <w:rPr>
          <w:rFonts w:ascii="Times New Roman" w:eastAsia="Times New Roman" w:hAnsi="Times New Roman"/>
          <w:lang w:val="el-GR"/>
        </w:rPr>
        <w:t xml:space="preserve">αναφέρονται στην Παράγραφο </w:t>
      </w:r>
      <w:r w:rsidR="002A11DF" w:rsidRPr="00E874E5">
        <w:rPr>
          <w:rFonts w:ascii="Times New Roman" w:eastAsia="Times New Roman" w:hAnsi="Times New Roman"/>
          <w:lang w:val="el-GR"/>
        </w:rPr>
        <w:t>6.1</w:t>
      </w:r>
      <w:r w:rsidRPr="00E874E5">
        <w:rPr>
          <w:rFonts w:ascii="Times New Roman" w:eastAsia="Times New Roman" w:hAnsi="Times New Roman"/>
          <w:lang w:val="el-GR"/>
        </w:rPr>
        <w:t xml:space="preserve">. </w:t>
      </w:r>
    </w:p>
    <w:p w:rsidR="00426846" w:rsidRPr="00F547E0" w:rsidRDefault="00426846" w:rsidP="00F547E0">
      <w:pPr>
        <w:suppressLineNumbers/>
        <w:spacing w:line="360" w:lineRule="auto"/>
        <w:ind w:left="709" w:hanging="142"/>
        <w:jc w:val="both"/>
        <w:rPr>
          <w:rFonts w:ascii="Times New Roman" w:eastAsia="Times New Roman" w:hAnsi="Times New Roman"/>
          <w:lang w:val="el-GR"/>
        </w:rPr>
      </w:pPr>
      <w:r w:rsidRPr="00F547E0">
        <w:rPr>
          <w:rFonts w:ascii="Times New Roman" w:eastAsia="Times New Roman" w:hAnsi="Times New Roman"/>
          <w:lang w:val="el-GR"/>
        </w:rPr>
        <w:t xml:space="preserve">- </w:t>
      </w:r>
      <w:r w:rsidR="00F547E0" w:rsidRPr="00F547E0">
        <w:rPr>
          <w:rFonts w:ascii="Times New Roman" w:eastAsia="Times New Roman" w:hAnsi="Times New Roman"/>
          <w:lang w:val="el-GR"/>
        </w:rPr>
        <w:t>σε ασθενείς με ενεργό ηπατική νόσο, συμπεριλαμβανομένων</w:t>
      </w:r>
      <w:r w:rsidR="00F547E0">
        <w:rPr>
          <w:rFonts w:ascii="Times New Roman" w:eastAsia="Times New Roman" w:hAnsi="Times New Roman"/>
          <w:lang w:val="el-GR"/>
        </w:rPr>
        <w:t xml:space="preserve"> </w:t>
      </w:r>
      <w:r w:rsidR="00F547E0" w:rsidRPr="00F547E0">
        <w:rPr>
          <w:rFonts w:ascii="Times New Roman" w:eastAsia="Times New Roman" w:hAnsi="Times New Roman"/>
          <w:lang w:val="el-GR"/>
        </w:rPr>
        <w:t>ανεξήγητων, επίμονων αυξήσεων των τρανσαμινασών του ορού και οποιασδήποτε αύξησης των τρανσαμινασών του ορού που υπερβαίνει το</w:t>
      </w:r>
      <w:r w:rsidR="00F547E0">
        <w:rPr>
          <w:rFonts w:ascii="Times New Roman" w:eastAsia="Times New Roman" w:hAnsi="Times New Roman"/>
          <w:lang w:val="el-GR"/>
        </w:rPr>
        <w:t xml:space="preserve"> </w:t>
      </w:r>
      <w:r w:rsidR="00F547E0" w:rsidRPr="00F547E0">
        <w:rPr>
          <w:rFonts w:ascii="Times New Roman" w:eastAsia="Times New Roman" w:hAnsi="Times New Roman"/>
          <w:lang w:val="el-GR"/>
        </w:rPr>
        <w:t>τριπλάσιο του ανώτατου ορίου της φυσιολογικής τιμής.</w:t>
      </w:r>
      <w:r w:rsidRPr="00F547E0">
        <w:rPr>
          <w:rFonts w:ascii="Times New Roman" w:eastAsia="Times New Roman" w:hAnsi="Times New Roman"/>
          <w:lang w:val="el-GR"/>
        </w:rPr>
        <w:t xml:space="preserve"> </w:t>
      </w:r>
    </w:p>
    <w:p w:rsidR="00A50B86" w:rsidRPr="003E5476" w:rsidRDefault="00C713D9" w:rsidP="00A50B86">
      <w:pPr>
        <w:suppressLineNumbers/>
        <w:spacing w:line="360" w:lineRule="auto"/>
        <w:ind w:left="1134" w:hanging="567"/>
        <w:jc w:val="both"/>
        <w:rPr>
          <w:rFonts w:ascii="Times New Roman" w:eastAsia="Times New Roman" w:hAnsi="Times New Roman"/>
          <w:lang w:val="el-GR"/>
        </w:rPr>
      </w:pPr>
      <w:r w:rsidRPr="00A50B86">
        <w:rPr>
          <w:rFonts w:ascii="Times New Roman" w:eastAsia="Times New Roman" w:hAnsi="Times New Roman"/>
          <w:lang w:val="el-GR"/>
        </w:rPr>
        <w:t xml:space="preserve">- </w:t>
      </w:r>
      <w:r w:rsidR="00A50B86" w:rsidRPr="00A50B86">
        <w:rPr>
          <w:rFonts w:ascii="Times New Roman" w:eastAsia="Times New Roman" w:hAnsi="Times New Roman"/>
          <w:lang w:val="el-GR"/>
        </w:rPr>
        <w:t>σε ασθενείς με σοβαρή νεφρική δυσλειτουργία (κάθαρση κρεατινίνης &lt;</w:t>
      </w:r>
      <w:r w:rsidR="00A50B86">
        <w:rPr>
          <w:rFonts w:ascii="Times New Roman" w:eastAsia="Times New Roman" w:hAnsi="Times New Roman"/>
          <w:lang w:val="el-GR"/>
        </w:rPr>
        <w:t xml:space="preserve"> </w:t>
      </w:r>
      <w:r w:rsidR="00A50B86" w:rsidRPr="003E5476">
        <w:rPr>
          <w:rFonts w:ascii="Times New Roman" w:eastAsia="Times New Roman" w:hAnsi="Times New Roman"/>
          <w:lang w:val="el-GR"/>
        </w:rPr>
        <w:t xml:space="preserve">30 </w:t>
      </w:r>
      <w:r w:rsidR="00A50B86" w:rsidRPr="00A50B86">
        <w:rPr>
          <w:rFonts w:ascii="Times New Roman" w:eastAsia="Times New Roman" w:hAnsi="Times New Roman"/>
        </w:rPr>
        <w:t>ml</w:t>
      </w:r>
      <w:r w:rsidR="00A50B86" w:rsidRPr="003E5476">
        <w:rPr>
          <w:rFonts w:ascii="Times New Roman" w:eastAsia="Times New Roman" w:hAnsi="Times New Roman"/>
          <w:lang w:val="el-GR"/>
        </w:rPr>
        <w:t>/</w:t>
      </w:r>
      <w:r w:rsidR="00A50B86" w:rsidRPr="00A50B86">
        <w:rPr>
          <w:rFonts w:ascii="Times New Roman" w:eastAsia="Times New Roman" w:hAnsi="Times New Roman"/>
        </w:rPr>
        <w:t>min</w:t>
      </w:r>
      <w:r w:rsidR="00A50B86" w:rsidRPr="003E5476">
        <w:rPr>
          <w:rFonts w:ascii="Times New Roman" w:eastAsia="Times New Roman" w:hAnsi="Times New Roman"/>
          <w:lang w:val="el-GR"/>
        </w:rPr>
        <w:t>).</w:t>
      </w:r>
    </w:p>
    <w:p w:rsidR="00C713D9" w:rsidRPr="003E5476" w:rsidRDefault="00A50B86" w:rsidP="00A50B86">
      <w:pPr>
        <w:suppressLineNumbers/>
        <w:spacing w:line="360" w:lineRule="auto"/>
        <w:ind w:left="1134" w:hanging="567"/>
        <w:jc w:val="both"/>
        <w:rPr>
          <w:rFonts w:ascii="Times New Roman" w:eastAsia="Times New Roman" w:hAnsi="Times New Roman"/>
          <w:lang w:val="el-GR"/>
        </w:rPr>
      </w:pPr>
      <w:r w:rsidRPr="003E5476">
        <w:rPr>
          <w:rFonts w:ascii="Times New Roman" w:eastAsia="Times New Roman" w:hAnsi="Times New Roman"/>
          <w:lang w:val="el-GR"/>
        </w:rPr>
        <w:t>- σε ασθενείς με μυοπάθεια.</w:t>
      </w:r>
      <w:r w:rsidR="00C713D9" w:rsidRPr="003E5476">
        <w:rPr>
          <w:rFonts w:ascii="Times New Roman" w:eastAsia="Times New Roman" w:hAnsi="Times New Roman"/>
          <w:lang w:val="el-GR"/>
        </w:rPr>
        <w:t xml:space="preserve"> </w:t>
      </w:r>
    </w:p>
    <w:p w:rsidR="00E400A5" w:rsidRPr="00E400A5" w:rsidRDefault="00C713D9" w:rsidP="00E400A5">
      <w:pPr>
        <w:suppressLineNumbers/>
        <w:spacing w:line="360" w:lineRule="auto"/>
        <w:ind w:left="1134" w:hanging="567"/>
        <w:jc w:val="both"/>
        <w:rPr>
          <w:rFonts w:ascii="Times New Roman" w:eastAsia="Times New Roman" w:hAnsi="Times New Roman"/>
          <w:lang w:val="el-GR"/>
        </w:rPr>
      </w:pPr>
      <w:r w:rsidRPr="00E400A5">
        <w:rPr>
          <w:rFonts w:ascii="Times New Roman" w:eastAsia="Times New Roman" w:hAnsi="Times New Roman"/>
          <w:lang w:val="el-GR"/>
        </w:rPr>
        <w:t xml:space="preserve">- </w:t>
      </w:r>
      <w:r w:rsidR="00E400A5" w:rsidRPr="00E400A5">
        <w:rPr>
          <w:rFonts w:ascii="Times New Roman" w:eastAsia="Times New Roman" w:hAnsi="Times New Roman"/>
          <w:lang w:val="el-GR"/>
        </w:rPr>
        <w:t>σε ασθενείς που λαμβάνουν ταυτόχρονα κυκλοσπορίνη.</w:t>
      </w:r>
    </w:p>
    <w:p w:rsidR="00C713D9" w:rsidRPr="00E400A5" w:rsidRDefault="00E400A5" w:rsidP="00E400A5">
      <w:pPr>
        <w:suppressLineNumbers/>
        <w:spacing w:line="360" w:lineRule="auto"/>
        <w:ind w:left="709" w:hanging="142"/>
        <w:jc w:val="both"/>
        <w:rPr>
          <w:rFonts w:ascii="Times New Roman" w:eastAsia="Times New Roman" w:hAnsi="Times New Roman"/>
          <w:lang w:val="el-GR"/>
        </w:rPr>
      </w:pPr>
      <w:r w:rsidRPr="00E400A5">
        <w:rPr>
          <w:rFonts w:ascii="Times New Roman" w:eastAsia="Times New Roman" w:hAnsi="Times New Roman"/>
          <w:lang w:val="el-GR"/>
        </w:rPr>
        <w:t xml:space="preserve">- κατά την κύηση και </w:t>
      </w:r>
      <w:r>
        <w:rPr>
          <w:rFonts w:ascii="Times New Roman" w:eastAsia="Times New Roman" w:hAnsi="Times New Roman"/>
          <w:lang w:val="el-GR"/>
        </w:rPr>
        <w:t xml:space="preserve">τη </w:t>
      </w:r>
      <w:r w:rsidRPr="00E400A5">
        <w:rPr>
          <w:rFonts w:ascii="Times New Roman" w:eastAsia="Times New Roman" w:hAnsi="Times New Roman"/>
          <w:lang w:val="el-GR"/>
        </w:rPr>
        <w:t>γαλουχία και σε γυναίκες αναπαραγωγική</w:t>
      </w:r>
      <w:r>
        <w:rPr>
          <w:rFonts w:ascii="Times New Roman" w:eastAsia="Times New Roman" w:hAnsi="Times New Roman"/>
          <w:lang w:val="el-GR"/>
        </w:rPr>
        <w:t>ς</w:t>
      </w:r>
      <w:r w:rsidRPr="00E400A5">
        <w:rPr>
          <w:rFonts w:ascii="Times New Roman" w:eastAsia="Times New Roman" w:hAnsi="Times New Roman"/>
          <w:lang w:val="el-GR"/>
        </w:rPr>
        <w:t xml:space="preserve"> ηλικία</w:t>
      </w:r>
      <w:r>
        <w:rPr>
          <w:rFonts w:ascii="Times New Roman" w:eastAsia="Times New Roman" w:hAnsi="Times New Roman"/>
          <w:lang w:val="el-GR"/>
        </w:rPr>
        <w:t xml:space="preserve">ς </w:t>
      </w:r>
      <w:r w:rsidRPr="00E400A5">
        <w:rPr>
          <w:rFonts w:ascii="Times New Roman" w:eastAsia="Times New Roman" w:hAnsi="Times New Roman"/>
          <w:lang w:val="el-GR"/>
        </w:rPr>
        <w:t>που δε λαμβάνουν κατάλληλα μέτρα αντισύλληψης.</w:t>
      </w:r>
      <w:r w:rsidR="00C713D9" w:rsidRPr="00E400A5">
        <w:rPr>
          <w:rFonts w:ascii="Times New Roman" w:eastAsia="Times New Roman" w:hAnsi="Times New Roman"/>
          <w:lang w:val="el-GR"/>
        </w:rPr>
        <w:t xml:space="preserve"> </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Η δόση των 40 mg αντενδείκνυται σε ασθενείς με παράγοντες που προδιαθέτουν</w:t>
      </w:r>
      <w:r>
        <w:rPr>
          <w:rFonts w:ascii="Times New Roman" w:eastAsia="Times New Roman" w:hAnsi="Times New Roman"/>
          <w:lang w:val="el-GR"/>
        </w:rPr>
        <w:t xml:space="preserve"> </w:t>
      </w:r>
      <w:r w:rsidRPr="00FF34F9">
        <w:rPr>
          <w:rFonts w:ascii="Times New Roman" w:eastAsia="Times New Roman" w:hAnsi="Times New Roman"/>
          <w:lang w:val="el-GR"/>
        </w:rPr>
        <w:t>σε μυοπάθεια/ραβδομυόλυση. Στους παράγοντες αυτούς συμπεριλαμβάνονται:</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μετρίου βαθμού νεφρική ανεπάρκεια (κάθαρση κρεατινίνης &lt; 60</w:t>
      </w:r>
      <w:r>
        <w:rPr>
          <w:rFonts w:ascii="Times New Roman" w:eastAsia="Times New Roman" w:hAnsi="Times New Roman"/>
          <w:lang w:val="el-GR"/>
        </w:rPr>
        <w:t xml:space="preserve"> </w:t>
      </w:r>
      <w:r w:rsidRPr="00FF34F9">
        <w:rPr>
          <w:rFonts w:ascii="Times New Roman" w:eastAsia="Times New Roman" w:hAnsi="Times New Roman"/>
          <w:lang w:val="el-GR"/>
        </w:rPr>
        <w:t>ml/min)</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υποθυρεοειδισμός</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ατομικό ή οικογενειακό ιστορικό κληρονομικών μυϊκών διαταραχών</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xml:space="preserve">- προηγούμενο ιστορικό μυϊκής βλάβης με χρήση άλλου αναστολέα </w:t>
      </w:r>
      <w:r>
        <w:rPr>
          <w:rFonts w:ascii="Times New Roman" w:eastAsia="Times New Roman" w:hAnsi="Times New Roman"/>
          <w:lang w:val="el-GR"/>
        </w:rPr>
        <w:t xml:space="preserve">της </w:t>
      </w:r>
      <w:r w:rsidRPr="00FF34F9">
        <w:rPr>
          <w:rFonts w:ascii="Times New Roman" w:eastAsia="Times New Roman" w:hAnsi="Times New Roman"/>
          <w:lang w:val="el-GR"/>
        </w:rPr>
        <w:t>HMG-CoA αναγωγάσης ή φιβράτης</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κατάχρηση αλκοόλ</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καταστάσεις, όπου μπορεί να παρατηρηθεί αύξηση των επιπέδων στο</w:t>
      </w:r>
      <w:r>
        <w:rPr>
          <w:rFonts w:ascii="Times New Roman" w:eastAsia="Times New Roman" w:hAnsi="Times New Roman"/>
          <w:lang w:val="el-GR"/>
        </w:rPr>
        <w:t xml:space="preserve"> </w:t>
      </w:r>
      <w:r w:rsidRPr="00FF34F9">
        <w:rPr>
          <w:rFonts w:ascii="Times New Roman" w:eastAsia="Times New Roman" w:hAnsi="Times New Roman"/>
          <w:lang w:val="el-GR"/>
        </w:rPr>
        <w:t>πλάσμα</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χορήγηση σε Ασιάτες ασθενείς</w:t>
      </w:r>
    </w:p>
    <w:p w:rsidR="00FF34F9" w:rsidRPr="00FF34F9" w:rsidRDefault="00FF34F9" w:rsidP="00FF34F9">
      <w:pPr>
        <w:suppressLineNumbers/>
        <w:spacing w:line="360" w:lineRule="auto"/>
        <w:jc w:val="both"/>
        <w:rPr>
          <w:rFonts w:ascii="Times New Roman" w:eastAsia="Times New Roman" w:hAnsi="Times New Roman"/>
          <w:lang w:val="el-GR"/>
        </w:rPr>
      </w:pPr>
      <w:r w:rsidRPr="00FF34F9">
        <w:rPr>
          <w:rFonts w:ascii="Times New Roman" w:eastAsia="Times New Roman" w:hAnsi="Times New Roman"/>
          <w:lang w:val="el-GR"/>
        </w:rPr>
        <w:t>- ταυτόχρονη χορήγηση φιβρατών</w:t>
      </w:r>
    </w:p>
    <w:p w:rsidR="00FF34F9" w:rsidRPr="00635CDD" w:rsidRDefault="00FF34F9" w:rsidP="00FF34F9">
      <w:pPr>
        <w:suppressLineNumbers/>
        <w:spacing w:line="360" w:lineRule="auto"/>
        <w:jc w:val="both"/>
        <w:rPr>
          <w:rFonts w:ascii="Times New Roman" w:eastAsia="Times New Roman" w:hAnsi="Times New Roman"/>
        </w:rPr>
      </w:pPr>
      <w:r w:rsidRPr="00635CDD">
        <w:rPr>
          <w:rFonts w:ascii="Times New Roman" w:eastAsia="Times New Roman" w:hAnsi="Times New Roman"/>
        </w:rPr>
        <w:t>(</w:t>
      </w:r>
      <w:r w:rsidRPr="00FF34F9">
        <w:rPr>
          <w:rFonts w:ascii="Times New Roman" w:eastAsia="Times New Roman" w:hAnsi="Times New Roman"/>
          <w:lang w:val="el-GR"/>
        </w:rPr>
        <w:t>βλ</w:t>
      </w:r>
      <w:r w:rsidRPr="00635CDD">
        <w:rPr>
          <w:rFonts w:ascii="Times New Roman" w:eastAsia="Times New Roman" w:hAnsi="Times New Roman"/>
        </w:rPr>
        <w:t xml:space="preserve">. </w:t>
      </w:r>
      <w:r w:rsidRPr="00FF34F9">
        <w:rPr>
          <w:rFonts w:ascii="Times New Roman" w:eastAsia="Times New Roman" w:hAnsi="Times New Roman"/>
          <w:lang w:val="el-GR"/>
        </w:rPr>
        <w:t>Παραγράφους</w:t>
      </w:r>
      <w:r w:rsidRPr="00635CDD">
        <w:rPr>
          <w:rFonts w:ascii="Times New Roman" w:eastAsia="Times New Roman" w:hAnsi="Times New Roman"/>
        </w:rPr>
        <w:t xml:space="preserve">. 4.4, 4.5 </w:t>
      </w:r>
      <w:r w:rsidRPr="00FF34F9">
        <w:rPr>
          <w:rFonts w:ascii="Times New Roman" w:eastAsia="Times New Roman" w:hAnsi="Times New Roman"/>
          <w:lang w:val="el-GR"/>
        </w:rPr>
        <w:t>και</w:t>
      </w:r>
      <w:r w:rsidRPr="00635CDD">
        <w:rPr>
          <w:rFonts w:ascii="Times New Roman" w:eastAsia="Times New Roman" w:hAnsi="Times New Roman"/>
        </w:rPr>
        <w:t xml:space="preserve"> 5.2).</w:t>
      </w:r>
    </w:p>
    <w:p w:rsidR="00732D3D" w:rsidRDefault="00732D3D" w:rsidP="003170C4">
      <w:pPr>
        <w:suppressLineNumbers/>
        <w:spacing w:line="360" w:lineRule="auto"/>
        <w:ind w:left="567" w:hanging="567"/>
        <w:jc w:val="both"/>
        <w:rPr>
          <w:rFonts w:ascii="Times New Roman" w:hAnsi="Times New Roman"/>
          <w:b/>
          <w:noProof/>
        </w:rPr>
      </w:pPr>
    </w:p>
    <w:p w:rsidR="005F0B61" w:rsidRPr="00785B5C" w:rsidRDefault="005F0B61" w:rsidP="003170C4">
      <w:pPr>
        <w:suppressLineNumbers/>
        <w:spacing w:line="360" w:lineRule="auto"/>
        <w:ind w:left="567" w:hanging="567"/>
        <w:jc w:val="both"/>
        <w:rPr>
          <w:rFonts w:ascii="Times New Roman" w:hAnsi="Times New Roman"/>
          <w:b/>
          <w:noProof/>
          <w:lang w:val="el-GR"/>
        </w:rPr>
      </w:pPr>
      <w:r w:rsidRPr="00785B5C">
        <w:rPr>
          <w:rFonts w:ascii="Times New Roman" w:hAnsi="Times New Roman"/>
          <w:b/>
          <w:noProof/>
          <w:lang w:val="el-GR"/>
        </w:rPr>
        <w:t>4.4</w:t>
      </w:r>
      <w:r w:rsidRPr="00785B5C">
        <w:rPr>
          <w:rFonts w:ascii="Times New Roman" w:hAnsi="Times New Roman"/>
          <w:b/>
          <w:noProof/>
          <w:lang w:val="el-GR"/>
        </w:rPr>
        <w:tab/>
      </w:r>
      <w:r w:rsidR="00785B5C" w:rsidRPr="00785B5C">
        <w:rPr>
          <w:rFonts w:ascii="Times New Roman" w:hAnsi="Times New Roman"/>
          <w:b/>
          <w:noProof/>
          <w:lang w:val="el-GR"/>
        </w:rPr>
        <w:t>Ειδικές προειδοποιήσεις και προφυλάξεις κατά τη χρήση</w:t>
      </w:r>
    </w:p>
    <w:p w:rsidR="00C713D9" w:rsidRPr="00CF234B" w:rsidRDefault="00785B5C" w:rsidP="003170C4">
      <w:pPr>
        <w:spacing w:before="100" w:beforeAutospacing="1" w:after="75" w:line="360" w:lineRule="auto"/>
        <w:jc w:val="both"/>
        <w:rPr>
          <w:rFonts w:ascii="Times New Roman" w:eastAsia="Times New Roman" w:hAnsi="Times New Roman"/>
          <w:lang w:val="el-GR"/>
        </w:rPr>
      </w:pPr>
      <w:bookmarkStart w:id="6" w:name="INTERACTIONS"/>
      <w:bookmarkEnd w:id="6"/>
      <w:r w:rsidRPr="00CF234B">
        <w:rPr>
          <w:rFonts w:ascii="Times New Roman" w:eastAsia="Times New Roman" w:hAnsi="Times New Roman"/>
          <w:u w:val="single"/>
          <w:lang w:val="el-GR"/>
        </w:rPr>
        <w:t>Επίδραση στους νεφρούς</w:t>
      </w:r>
    </w:p>
    <w:p w:rsidR="00CF234B" w:rsidRPr="00FE7D2D" w:rsidRDefault="00CF234B" w:rsidP="00CF234B">
      <w:pPr>
        <w:spacing w:after="75" w:line="360" w:lineRule="auto"/>
        <w:jc w:val="both"/>
        <w:rPr>
          <w:rFonts w:ascii="Times New Roman" w:eastAsia="Times New Roman" w:hAnsi="Times New Roman"/>
          <w:lang w:val="el-GR"/>
        </w:rPr>
      </w:pPr>
      <w:r w:rsidRPr="00050203">
        <w:rPr>
          <w:rFonts w:ascii="Times New Roman" w:eastAsia="Times New Roman" w:hAnsi="Times New Roman"/>
        </w:rPr>
        <w:lastRenderedPageBreak/>
        <w:t xml:space="preserve">Πρωτεϊνουρία, που ανιχνεύεται με χρήση ταινιών (dipstick) και που είναι κυρίως σωληναριακής προέλευσης, έχει παρατηρηθεί σε ασθενείς που λαμβάνουν υψηλότερες δόσεις ροσουβαστατίνης, ιδιαίτερα 40 mg, όπου, στις περισσότερες περιπτώσεις ήταν παροδική και διαλείπουσα. Η πρωτεϊνουρία δεν φάνηκε να προμηνύει οξεία ή επιδεινούμενη νεφρική νόσο (βλ. Παράγραφο 4.8). </w:t>
      </w:r>
      <w:r w:rsidRPr="00FE7D2D">
        <w:rPr>
          <w:rFonts w:ascii="Times New Roman" w:eastAsia="Times New Roman" w:hAnsi="Times New Roman"/>
          <w:lang w:val="el-GR"/>
        </w:rPr>
        <w:t xml:space="preserve">Η συχνότητα αναφοράς σοβαρών νεφρικών συμβαμάτων μετά την κυκλοφορία </w:t>
      </w:r>
      <w:r w:rsidR="00FE7D2D">
        <w:rPr>
          <w:rFonts w:ascii="Times New Roman" w:eastAsia="Times New Roman" w:hAnsi="Times New Roman"/>
          <w:lang w:val="el-GR"/>
        </w:rPr>
        <w:t xml:space="preserve">του φαρμάκου </w:t>
      </w:r>
      <w:r w:rsidRPr="00FE7D2D">
        <w:rPr>
          <w:rFonts w:ascii="Times New Roman" w:eastAsia="Times New Roman" w:hAnsi="Times New Roman"/>
          <w:lang w:val="el-GR"/>
        </w:rPr>
        <w:t xml:space="preserve">είναι υψηλότερη στη δόση των 40 </w:t>
      </w:r>
      <w:r w:rsidRPr="00050203">
        <w:rPr>
          <w:rFonts w:ascii="Times New Roman" w:eastAsia="Times New Roman" w:hAnsi="Times New Roman"/>
        </w:rPr>
        <w:t>mg</w:t>
      </w:r>
      <w:r w:rsidRPr="00FE7D2D">
        <w:rPr>
          <w:rFonts w:ascii="Times New Roman" w:eastAsia="Times New Roman" w:hAnsi="Times New Roman"/>
          <w:lang w:val="el-GR"/>
        </w:rPr>
        <w:t xml:space="preserve">. Αξιολόγηση της νεφρικής λειτουργίας θα πρέπει να εξετάζεται στα πλαίσια των περιοδικών ελέγχων των ασθενών που λαμβάνουν </w:t>
      </w:r>
      <w:r w:rsidR="00FE7D2D">
        <w:rPr>
          <w:rFonts w:ascii="Times New Roman" w:eastAsia="Times New Roman" w:hAnsi="Times New Roman"/>
          <w:lang w:val="el-GR"/>
        </w:rPr>
        <w:t xml:space="preserve">τη </w:t>
      </w:r>
      <w:r w:rsidRPr="00FE7D2D">
        <w:rPr>
          <w:rFonts w:ascii="Times New Roman" w:eastAsia="Times New Roman" w:hAnsi="Times New Roman"/>
          <w:lang w:val="el-GR"/>
        </w:rPr>
        <w:t xml:space="preserve">δόση </w:t>
      </w:r>
      <w:r w:rsidR="00FE7D2D">
        <w:rPr>
          <w:rFonts w:ascii="Times New Roman" w:eastAsia="Times New Roman" w:hAnsi="Times New Roman"/>
          <w:lang w:val="el-GR"/>
        </w:rPr>
        <w:t xml:space="preserve">των </w:t>
      </w:r>
      <w:r w:rsidRPr="00FE7D2D">
        <w:rPr>
          <w:rFonts w:ascii="Times New Roman" w:eastAsia="Times New Roman" w:hAnsi="Times New Roman"/>
          <w:lang w:val="el-GR"/>
        </w:rPr>
        <w:t xml:space="preserve">40 </w:t>
      </w:r>
      <w:r w:rsidRPr="00050203">
        <w:rPr>
          <w:rFonts w:ascii="Times New Roman" w:eastAsia="Times New Roman" w:hAnsi="Times New Roman"/>
        </w:rPr>
        <w:t>mg</w:t>
      </w:r>
      <w:r w:rsidRPr="00FE7D2D">
        <w:rPr>
          <w:rFonts w:ascii="Times New Roman" w:eastAsia="Times New Roman" w:hAnsi="Times New Roman"/>
          <w:lang w:val="el-GR"/>
        </w:rPr>
        <w:t>.</w:t>
      </w:r>
    </w:p>
    <w:p w:rsidR="00C713D9" w:rsidRPr="00246850" w:rsidRDefault="00C91FA1" w:rsidP="003170C4">
      <w:pPr>
        <w:spacing w:before="100" w:beforeAutospacing="1" w:after="75" w:line="360" w:lineRule="auto"/>
        <w:jc w:val="both"/>
        <w:rPr>
          <w:rFonts w:ascii="Times New Roman" w:eastAsia="Times New Roman" w:hAnsi="Times New Roman"/>
          <w:lang w:val="el-GR"/>
        </w:rPr>
      </w:pPr>
      <w:r w:rsidRPr="00246850">
        <w:rPr>
          <w:rFonts w:ascii="Times New Roman" w:eastAsia="Times New Roman" w:hAnsi="Times New Roman"/>
          <w:u w:val="single"/>
          <w:lang w:val="el-GR"/>
        </w:rPr>
        <w:t>Επιδράσεις στους σκελετικούς μυς</w:t>
      </w:r>
    </w:p>
    <w:p w:rsidR="00246850" w:rsidRPr="00246850" w:rsidRDefault="00246850" w:rsidP="00246850">
      <w:pPr>
        <w:spacing w:after="75" w:line="360" w:lineRule="auto"/>
        <w:jc w:val="both"/>
        <w:rPr>
          <w:rFonts w:ascii="Times New Roman" w:eastAsia="Times New Roman" w:hAnsi="Times New Roman"/>
          <w:lang w:val="el-GR"/>
        </w:rPr>
      </w:pPr>
      <w:r w:rsidRPr="00246850">
        <w:rPr>
          <w:rFonts w:ascii="Times New Roman" w:eastAsia="Times New Roman" w:hAnsi="Times New Roman"/>
          <w:lang w:val="el-GR"/>
        </w:rPr>
        <w:t>Έχουν αναφερθεί επιδράσεις στους σκελετικούς μύες, π.χ. μυαλγία, μυοπάθεια και</w:t>
      </w:r>
      <w:r>
        <w:rPr>
          <w:rFonts w:ascii="Times New Roman" w:eastAsia="Times New Roman" w:hAnsi="Times New Roman"/>
          <w:lang w:val="el-GR"/>
        </w:rPr>
        <w:t xml:space="preserve"> </w:t>
      </w:r>
      <w:r w:rsidRPr="00246850">
        <w:rPr>
          <w:rFonts w:ascii="Times New Roman" w:eastAsia="Times New Roman" w:hAnsi="Times New Roman"/>
          <w:lang w:val="el-GR"/>
        </w:rPr>
        <w:t xml:space="preserve">σπάνια ραβδομυόλυση, σε ασθενείς που έλαβαν θεραπεία με </w:t>
      </w:r>
      <w:r w:rsidR="00C347D6">
        <w:rPr>
          <w:rFonts w:ascii="Times New Roman" w:eastAsia="Times New Roman" w:hAnsi="Times New Roman"/>
          <w:lang w:val="el-GR"/>
        </w:rPr>
        <w:t>ροσουβαστατίνη</w:t>
      </w:r>
      <w:r w:rsidRPr="00246850">
        <w:rPr>
          <w:rFonts w:ascii="Times New Roman" w:eastAsia="Times New Roman" w:hAnsi="Times New Roman"/>
          <w:lang w:val="el-GR"/>
        </w:rPr>
        <w:t xml:space="preserve"> με όλες </w:t>
      </w:r>
      <w:r>
        <w:rPr>
          <w:rFonts w:ascii="Times New Roman" w:eastAsia="Times New Roman" w:hAnsi="Times New Roman"/>
          <w:lang w:val="el-GR"/>
        </w:rPr>
        <w:t xml:space="preserve">τις </w:t>
      </w:r>
      <w:r w:rsidRPr="00246850">
        <w:rPr>
          <w:rFonts w:ascii="Times New Roman" w:eastAsia="Times New Roman" w:hAnsi="Times New Roman"/>
          <w:lang w:val="el-GR"/>
        </w:rPr>
        <w:t>δόσεις και ιδιαίτερα με δόσεις &gt; 20 mg. Έχουν αναφερθεί πολύ σπάνιες</w:t>
      </w:r>
      <w:r>
        <w:rPr>
          <w:rFonts w:ascii="Times New Roman" w:eastAsia="Times New Roman" w:hAnsi="Times New Roman"/>
          <w:lang w:val="el-GR"/>
        </w:rPr>
        <w:t xml:space="preserve"> </w:t>
      </w:r>
      <w:r w:rsidRPr="00246850">
        <w:rPr>
          <w:rFonts w:ascii="Times New Roman" w:eastAsia="Times New Roman" w:hAnsi="Times New Roman"/>
          <w:lang w:val="el-GR"/>
        </w:rPr>
        <w:t>περιπτώσεις ραβδομυόλυσης με τη χρήση ezetimide σε συνδυασμό με αναστολείς</w:t>
      </w:r>
      <w:r>
        <w:rPr>
          <w:rFonts w:ascii="Times New Roman" w:eastAsia="Times New Roman" w:hAnsi="Times New Roman"/>
          <w:lang w:val="el-GR"/>
        </w:rPr>
        <w:t xml:space="preserve"> </w:t>
      </w:r>
      <w:r w:rsidRPr="00246850">
        <w:rPr>
          <w:rFonts w:ascii="Times New Roman" w:eastAsia="Times New Roman" w:hAnsi="Times New Roman"/>
          <w:lang w:val="el-GR"/>
        </w:rPr>
        <w:t>της HMG-CoA αναγωγάσης. Μία φαρμακοδυναμική αλληλεπίδραση δεν μπορεί να</w:t>
      </w:r>
      <w:r>
        <w:rPr>
          <w:rFonts w:ascii="Times New Roman" w:eastAsia="Times New Roman" w:hAnsi="Times New Roman"/>
          <w:lang w:val="el-GR"/>
        </w:rPr>
        <w:t xml:space="preserve"> </w:t>
      </w:r>
      <w:r w:rsidRPr="00246850">
        <w:rPr>
          <w:rFonts w:ascii="Times New Roman" w:eastAsia="Times New Roman" w:hAnsi="Times New Roman"/>
          <w:lang w:val="el-GR"/>
        </w:rPr>
        <w:t>αποκλειστεί (βλ. Παράγραφο 4.5) και απαιτείται προσοχή όταν χορηγούνται μαζί.</w:t>
      </w:r>
    </w:p>
    <w:p w:rsidR="00246850" w:rsidRDefault="00246850" w:rsidP="00246850">
      <w:pPr>
        <w:spacing w:after="75" w:line="360" w:lineRule="auto"/>
        <w:jc w:val="both"/>
        <w:rPr>
          <w:rFonts w:ascii="Times New Roman" w:eastAsia="Times New Roman" w:hAnsi="Times New Roman"/>
          <w:lang w:val="el-GR"/>
        </w:rPr>
      </w:pPr>
      <w:r w:rsidRPr="00246850">
        <w:rPr>
          <w:rFonts w:ascii="Times New Roman" w:eastAsia="Times New Roman" w:hAnsi="Times New Roman"/>
          <w:lang w:val="el-GR"/>
        </w:rPr>
        <w:t>Όπως και με τους άλλους αναστολείς της HMG-CoA αναγωγάσης, η συχνότητα</w:t>
      </w:r>
      <w:r>
        <w:rPr>
          <w:rFonts w:ascii="Times New Roman" w:eastAsia="Times New Roman" w:hAnsi="Times New Roman"/>
          <w:lang w:val="el-GR"/>
        </w:rPr>
        <w:t xml:space="preserve"> </w:t>
      </w:r>
      <w:r w:rsidRPr="00246850">
        <w:rPr>
          <w:rFonts w:ascii="Times New Roman" w:eastAsia="Times New Roman" w:hAnsi="Times New Roman"/>
          <w:lang w:val="el-GR"/>
        </w:rPr>
        <w:t>αναφοράς της ραβδομυόλυσης που σχετίζεται με τ</w:t>
      </w:r>
      <w:r>
        <w:rPr>
          <w:rFonts w:ascii="Times New Roman" w:eastAsia="Times New Roman" w:hAnsi="Times New Roman"/>
          <w:lang w:val="el-GR"/>
        </w:rPr>
        <w:t>η ροσουβαστατίνη</w:t>
      </w:r>
      <w:r w:rsidRPr="00246850">
        <w:rPr>
          <w:rFonts w:ascii="Times New Roman" w:eastAsia="Times New Roman" w:hAnsi="Times New Roman"/>
          <w:lang w:val="el-GR"/>
        </w:rPr>
        <w:t xml:space="preserve"> κατά την χρήση μετά την κυκλοφορία </w:t>
      </w:r>
      <w:r w:rsidR="00C347D6">
        <w:rPr>
          <w:rFonts w:ascii="Times New Roman" w:eastAsia="Times New Roman" w:hAnsi="Times New Roman"/>
          <w:lang w:val="el-GR"/>
        </w:rPr>
        <w:t xml:space="preserve">του φαρμάκου </w:t>
      </w:r>
      <w:r w:rsidRPr="00246850">
        <w:rPr>
          <w:rFonts w:ascii="Times New Roman" w:eastAsia="Times New Roman" w:hAnsi="Times New Roman"/>
          <w:lang w:val="el-GR"/>
        </w:rPr>
        <w:t>είναι μεγαλύτερη με τη δόση των 40 mg.</w:t>
      </w:r>
    </w:p>
    <w:p w:rsidR="00C713D9" w:rsidRPr="007B2701" w:rsidRDefault="00CC14ED" w:rsidP="00AC1E02">
      <w:pPr>
        <w:spacing w:before="100" w:beforeAutospacing="1" w:after="75" w:line="360" w:lineRule="auto"/>
        <w:jc w:val="both"/>
        <w:rPr>
          <w:rFonts w:ascii="Times New Roman" w:eastAsia="Times New Roman" w:hAnsi="Times New Roman"/>
          <w:lang w:val="el-GR"/>
        </w:rPr>
      </w:pPr>
      <w:r w:rsidRPr="007B2701">
        <w:rPr>
          <w:rFonts w:ascii="Times New Roman" w:eastAsia="Times New Roman" w:hAnsi="Times New Roman"/>
          <w:i/>
          <w:iCs/>
          <w:lang w:val="el-GR"/>
        </w:rPr>
        <w:t>Μέτρηση της κρεατινικής κινάσης</w:t>
      </w:r>
    </w:p>
    <w:p w:rsidR="007B2701" w:rsidRDefault="007B2701" w:rsidP="007B2701">
      <w:pPr>
        <w:spacing w:after="75" w:line="360" w:lineRule="auto"/>
        <w:jc w:val="both"/>
        <w:rPr>
          <w:rFonts w:ascii="Times New Roman" w:eastAsia="Times New Roman" w:hAnsi="Times New Roman"/>
          <w:lang w:val="el-GR"/>
        </w:rPr>
      </w:pPr>
      <w:r w:rsidRPr="007B2701">
        <w:rPr>
          <w:rFonts w:ascii="Times New Roman" w:eastAsia="Times New Roman" w:hAnsi="Times New Roman"/>
          <w:lang w:val="el-GR"/>
        </w:rPr>
        <w:t>Η κρεατινική κινάση (CK) δεν πρέπει να μετράται μετά από εντατική άσκηση ή</w:t>
      </w:r>
      <w:r>
        <w:rPr>
          <w:rFonts w:ascii="Times New Roman" w:eastAsia="Times New Roman" w:hAnsi="Times New Roman"/>
          <w:lang w:val="el-GR"/>
        </w:rPr>
        <w:t xml:space="preserve"> </w:t>
      </w:r>
      <w:r w:rsidRPr="007B2701">
        <w:rPr>
          <w:rFonts w:ascii="Times New Roman" w:eastAsia="Times New Roman" w:hAnsi="Times New Roman"/>
          <w:lang w:val="el-GR"/>
        </w:rPr>
        <w:t>όταν συνυπάρχει μία εύλογη εναλλακτική αιτία αύξησης της CK, που μπορεί να</w:t>
      </w:r>
      <w:r>
        <w:rPr>
          <w:rFonts w:ascii="Times New Roman" w:eastAsia="Times New Roman" w:hAnsi="Times New Roman"/>
          <w:lang w:val="el-GR"/>
        </w:rPr>
        <w:t xml:space="preserve"> </w:t>
      </w:r>
      <w:r w:rsidRPr="007B2701">
        <w:rPr>
          <w:rFonts w:ascii="Times New Roman" w:eastAsia="Times New Roman" w:hAnsi="Times New Roman"/>
          <w:lang w:val="el-GR"/>
        </w:rPr>
        <w:t>επηρεάσει την ερμηνεία των αποτελεσμάτων. Εάν τα επίπεδα της CK είναι</w:t>
      </w:r>
      <w:r>
        <w:rPr>
          <w:rFonts w:ascii="Times New Roman" w:eastAsia="Times New Roman" w:hAnsi="Times New Roman"/>
          <w:lang w:val="el-GR"/>
        </w:rPr>
        <w:t xml:space="preserve"> </w:t>
      </w:r>
      <w:r w:rsidRPr="007B2701">
        <w:rPr>
          <w:rFonts w:ascii="Times New Roman" w:eastAsia="Times New Roman" w:hAnsi="Times New Roman"/>
          <w:lang w:val="el-GR"/>
        </w:rPr>
        <w:t>σημαντικά αυξημένα κατά την έναρξη (&gt;5xULN) θα πρέπει να διενεργηθεί</w:t>
      </w:r>
      <w:r>
        <w:rPr>
          <w:rFonts w:ascii="Times New Roman" w:eastAsia="Times New Roman" w:hAnsi="Times New Roman"/>
          <w:lang w:val="el-GR"/>
        </w:rPr>
        <w:t xml:space="preserve"> </w:t>
      </w:r>
      <w:r w:rsidRPr="007B2701">
        <w:rPr>
          <w:rFonts w:ascii="Times New Roman" w:eastAsia="Times New Roman" w:hAnsi="Times New Roman"/>
          <w:lang w:val="el-GR"/>
        </w:rPr>
        <w:t>επιβεβαιωτικός έλεγχος εντός 5-7 ημερών. Εάν ο επαναληπτικός έλεγχος</w:t>
      </w:r>
      <w:r>
        <w:rPr>
          <w:rFonts w:ascii="Times New Roman" w:eastAsia="Times New Roman" w:hAnsi="Times New Roman"/>
          <w:lang w:val="el-GR"/>
        </w:rPr>
        <w:t xml:space="preserve"> </w:t>
      </w:r>
      <w:r w:rsidRPr="007B2701">
        <w:rPr>
          <w:rFonts w:ascii="Times New Roman" w:eastAsia="Times New Roman" w:hAnsi="Times New Roman"/>
          <w:lang w:val="el-GR"/>
        </w:rPr>
        <w:t>επιβεβαιώσει τιμή της CK κατά την έναρξη &gt; 5 x ULN, δε θα πρέπει να αρχίσει</w:t>
      </w:r>
      <w:r>
        <w:rPr>
          <w:rFonts w:ascii="Times New Roman" w:eastAsia="Times New Roman" w:hAnsi="Times New Roman"/>
          <w:lang w:val="el-GR"/>
        </w:rPr>
        <w:t xml:space="preserve"> </w:t>
      </w:r>
      <w:r w:rsidRPr="007B2701">
        <w:rPr>
          <w:rFonts w:ascii="Times New Roman" w:eastAsia="Times New Roman" w:hAnsi="Times New Roman"/>
          <w:lang w:val="el-GR"/>
        </w:rPr>
        <w:t>θεραπεία.</w:t>
      </w:r>
    </w:p>
    <w:p w:rsidR="00C713D9" w:rsidRPr="004F3121" w:rsidRDefault="00353698" w:rsidP="00AC1E02">
      <w:pPr>
        <w:spacing w:before="100" w:beforeAutospacing="1" w:after="75" w:line="360" w:lineRule="auto"/>
        <w:jc w:val="both"/>
        <w:rPr>
          <w:rFonts w:ascii="Times New Roman" w:eastAsia="Times New Roman" w:hAnsi="Times New Roman"/>
          <w:lang w:val="el-GR"/>
        </w:rPr>
      </w:pPr>
      <w:r w:rsidRPr="004F3121">
        <w:rPr>
          <w:rFonts w:ascii="Times New Roman" w:eastAsia="Times New Roman" w:hAnsi="Times New Roman"/>
          <w:i/>
          <w:iCs/>
          <w:lang w:val="el-GR"/>
        </w:rPr>
        <w:t>Πριν τη θεραπεία</w:t>
      </w:r>
    </w:p>
    <w:p w:rsidR="004F3121" w:rsidRDefault="004F3121" w:rsidP="004F3121">
      <w:pPr>
        <w:spacing w:after="75" w:line="360" w:lineRule="auto"/>
        <w:jc w:val="both"/>
        <w:rPr>
          <w:rFonts w:ascii="Times New Roman" w:eastAsia="Times New Roman" w:hAnsi="Times New Roman"/>
          <w:lang w:val="el-GR"/>
        </w:rPr>
      </w:pPr>
      <w:r w:rsidRPr="004F3121">
        <w:rPr>
          <w:rFonts w:ascii="Times New Roman" w:eastAsia="Times New Roman" w:hAnsi="Times New Roman"/>
          <w:lang w:val="el-GR"/>
        </w:rPr>
        <w:t xml:space="preserve">Όπως και με τους άλλους αναστολείς της HMG-CoA αναγωγάσης, </w:t>
      </w:r>
      <w:r>
        <w:rPr>
          <w:rFonts w:ascii="Times New Roman" w:eastAsia="Times New Roman" w:hAnsi="Times New Roman"/>
          <w:lang w:val="el-GR"/>
        </w:rPr>
        <w:t xml:space="preserve">η ροσουβαστατίνη </w:t>
      </w:r>
      <w:r w:rsidRPr="004F3121">
        <w:rPr>
          <w:rFonts w:ascii="Times New Roman" w:eastAsia="Times New Roman" w:hAnsi="Times New Roman"/>
          <w:lang w:val="el-GR"/>
        </w:rPr>
        <w:t>πρέπει να συνταγογραφείται με προσοχή σε ασθενείς με παράγοντες που</w:t>
      </w:r>
      <w:r>
        <w:rPr>
          <w:rFonts w:ascii="Times New Roman" w:eastAsia="Times New Roman" w:hAnsi="Times New Roman"/>
          <w:lang w:val="el-GR"/>
        </w:rPr>
        <w:t xml:space="preserve"> </w:t>
      </w:r>
      <w:r w:rsidRPr="004F3121">
        <w:rPr>
          <w:rFonts w:ascii="Times New Roman" w:eastAsia="Times New Roman" w:hAnsi="Times New Roman"/>
          <w:lang w:val="el-GR"/>
        </w:rPr>
        <w:t xml:space="preserve">προδιαθέτουν σε μυοπάθεια/ραβδομυόλυση. Στους παράγοντες </w:t>
      </w:r>
      <w:r>
        <w:rPr>
          <w:rFonts w:ascii="Times New Roman" w:eastAsia="Times New Roman" w:hAnsi="Times New Roman"/>
          <w:lang w:val="el-GR"/>
        </w:rPr>
        <w:t xml:space="preserve">αυτούς </w:t>
      </w:r>
      <w:r w:rsidRPr="004F3121">
        <w:rPr>
          <w:rFonts w:ascii="Times New Roman" w:eastAsia="Times New Roman" w:hAnsi="Times New Roman"/>
          <w:lang w:val="el-GR"/>
        </w:rPr>
        <w:t>συμπεριλαμβάνονται</w:t>
      </w:r>
      <w:r>
        <w:rPr>
          <w:rFonts w:ascii="Times New Roman" w:eastAsia="Times New Roman" w:hAnsi="Times New Roman"/>
          <w:lang w:val="el-GR"/>
        </w:rPr>
        <w:t>:</w:t>
      </w:r>
    </w:p>
    <w:p w:rsidR="00C713D9" w:rsidRPr="005D6E98" w:rsidRDefault="00C713D9" w:rsidP="00AC1E02">
      <w:pPr>
        <w:spacing w:before="100" w:beforeAutospacing="1" w:after="75" w:line="360" w:lineRule="auto"/>
        <w:ind w:left="720"/>
        <w:jc w:val="both"/>
        <w:rPr>
          <w:rFonts w:ascii="Times New Roman" w:eastAsia="Times New Roman" w:hAnsi="Times New Roman"/>
          <w:lang w:val="el-GR"/>
        </w:rPr>
      </w:pPr>
      <w:r w:rsidRPr="005D6E98">
        <w:rPr>
          <w:rFonts w:ascii="Times New Roman" w:eastAsia="Times New Roman" w:hAnsi="Times New Roman"/>
          <w:lang w:val="el-GR"/>
        </w:rPr>
        <w:t xml:space="preserve">• </w:t>
      </w:r>
      <w:r w:rsidR="005D6E98" w:rsidRPr="005D6E98">
        <w:rPr>
          <w:rFonts w:ascii="Times New Roman" w:eastAsia="Times New Roman" w:hAnsi="Times New Roman"/>
          <w:lang w:val="el-GR"/>
        </w:rPr>
        <w:t>έκπτωση νεφρικής λειτουργίας</w:t>
      </w:r>
    </w:p>
    <w:p w:rsidR="00C713D9" w:rsidRPr="005D6E98" w:rsidRDefault="00C713D9" w:rsidP="00AC1E02">
      <w:pPr>
        <w:spacing w:before="100" w:beforeAutospacing="1" w:after="75" w:line="360" w:lineRule="auto"/>
        <w:ind w:left="720"/>
        <w:jc w:val="both"/>
        <w:rPr>
          <w:rFonts w:ascii="Times New Roman" w:eastAsia="Times New Roman" w:hAnsi="Times New Roman"/>
          <w:lang w:val="el-GR"/>
        </w:rPr>
      </w:pPr>
      <w:r w:rsidRPr="005D6E98">
        <w:rPr>
          <w:rFonts w:ascii="Times New Roman" w:eastAsia="Times New Roman" w:hAnsi="Times New Roman"/>
          <w:lang w:val="el-GR"/>
        </w:rPr>
        <w:t xml:space="preserve">• </w:t>
      </w:r>
      <w:r w:rsidR="005D6E98" w:rsidRPr="005D6E98">
        <w:rPr>
          <w:rFonts w:ascii="Times New Roman" w:eastAsia="Times New Roman" w:hAnsi="Times New Roman"/>
          <w:lang w:val="el-GR"/>
        </w:rPr>
        <w:t>υποθυροειδισμός</w:t>
      </w:r>
    </w:p>
    <w:p w:rsidR="00C713D9" w:rsidRPr="005D6E98" w:rsidRDefault="00C713D9" w:rsidP="00AC1E02">
      <w:pPr>
        <w:spacing w:before="100" w:beforeAutospacing="1" w:after="75" w:line="360" w:lineRule="auto"/>
        <w:ind w:left="720"/>
        <w:jc w:val="both"/>
        <w:rPr>
          <w:rFonts w:ascii="Times New Roman" w:eastAsia="Times New Roman" w:hAnsi="Times New Roman"/>
          <w:lang w:val="el-GR"/>
        </w:rPr>
      </w:pPr>
      <w:r w:rsidRPr="005D6E98">
        <w:rPr>
          <w:rFonts w:ascii="Times New Roman" w:eastAsia="Times New Roman" w:hAnsi="Times New Roman"/>
          <w:lang w:val="el-GR"/>
        </w:rPr>
        <w:t xml:space="preserve">• </w:t>
      </w:r>
      <w:r w:rsidR="005D6E98" w:rsidRPr="005D6E98">
        <w:rPr>
          <w:rFonts w:ascii="Times New Roman" w:eastAsia="Times New Roman" w:hAnsi="Times New Roman"/>
          <w:lang w:val="el-GR"/>
        </w:rPr>
        <w:t>ατομικό ή οικογενειακό ιστορικό κληρονομικών μυϊκών διαταραχών</w:t>
      </w:r>
    </w:p>
    <w:p w:rsidR="00C713D9" w:rsidRPr="007829A1" w:rsidRDefault="00C713D9" w:rsidP="00244FB9">
      <w:pPr>
        <w:spacing w:before="100" w:beforeAutospacing="1" w:after="75" w:line="360" w:lineRule="auto"/>
        <w:ind w:left="720"/>
        <w:jc w:val="both"/>
        <w:rPr>
          <w:rFonts w:ascii="Times New Roman" w:eastAsia="Times New Roman" w:hAnsi="Times New Roman"/>
          <w:lang w:val="el-GR"/>
        </w:rPr>
      </w:pPr>
      <w:r w:rsidRPr="00244FB9">
        <w:rPr>
          <w:rFonts w:ascii="Times New Roman" w:eastAsia="Times New Roman" w:hAnsi="Times New Roman"/>
          <w:lang w:val="el-GR"/>
        </w:rPr>
        <w:lastRenderedPageBreak/>
        <w:t xml:space="preserve">• </w:t>
      </w:r>
      <w:r w:rsidR="00244FB9" w:rsidRPr="00244FB9">
        <w:rPr>
          <w:rFonts w:ascii="Times New Roman" w:eastAsia="Times New Roman" w:hAnsi="Times New Roman"/>
          <w:lang w:val="el-GR"/>
        </w:rPr>
        <w:t xml:space="preserve">προηγούμενο ιστορικό μυϊκής βλάβης με χρήση άλλου αναστολέα της </w:t>
      </w:r>
      <w:r w:rsidR="00244FB9" w:rsidRPr="00244FB9">
        <w:rPr>
          <w:rFonts w:ascii="Times New Roman" w:eastAsia="Times New Roman" w:hAnsi="Times New Roman"/>
        </w:rPr>
        <w:t>HMG</w:t>
      </w:r>
      <w:r w:rsidR="007829A1">
        <w:rPr>
          <w:rFonts w:ascii="Times New Roman" w:eastAsia="Times New Roman" w:hAnsi="Times New Roman"/>
          <w:lang w:val="el-GR"/>
        </w:rPr>
        <w:t>-</w:t>
      </w:r>
      <w:r w:rsidR="00244FB9" w:rsidRPr="00244FB9">
        <w:rPr>
          <w:rFonts w:ascii="Times New Roman" w:eastAsia="Times New Roman" w:hAnsi="Times New Roman"/>
        </w:rPr>
        <w:t>CoA</w:t>
      </w:r>
      <w:r w:rsidR="00244FB9">
        <w:rPr>
          <w:rFonts w:ascii="Times New Roman" w:eastAsia="Times New Roman" w:hAnsi="Times New Roman"/>
          <w:lang w:val="el-GR"/>
        </w:rPr>
        <w:t xml:space="preserve"> </w:t>
      </w:r>
      <w:r w:rsidR="00244FB9" w:rsidRPr="007829A1">
        <w:rPr>
          <w:rFonts w:ascii="Times New Roman" w:eastAsia="Times New Roman" w:hAnsi="Times New Roman"/>
          <w:lang w:val="el-GR"/>
        </w:rPr>
        <w:t>αναγωγάσης ή φιβράτη</w:t>
      </w:r>
    </w:p>
    <w:p w:rsidR="00C713D9" w:rsidRPr="007829A1" w:rsidRDefault="00C713D9" w:rsidP="00AC1E02">
      <w:pPr>
        <w:spacing w:before="100" w:beforeAutospacing="1" w:after="75" w:line="360" w:lineRule="auto"/>
        <w:ind w:left="720"/>
        <w:jc w:val="both"/>
        <w:rPr>
          <w:rFonts w:ascii="Times New Roman" w:eastAsia="Times New Roman" w:hAnsi="Times New Roman"/>
          <w:lang w:val="el-GR"/>
        </w:rPr>
      </w:pPr>
      <w:r w:rsidRPr="007829A1">
        <w:rPr>
          <w:rFonts w:ascii="Times New Roman" w:eastAsia="Times New Roman" w:hAnsi="Times New Roman"/>
          <w:lang w:val="el-GR"/>
        </w:rPr>
        <w:t xml:space="preserve">• </w:t>
      </w:r>
      <w:r w:rsidR="00BD6CC4" w:rsidRPr="00BD6CC4">
        <w:rPr>
          <w:rFonts w:ascii="Times New Roman" w:eastAsia="Times New Roman" w:hAnsi="Times New Roman"/>
          <w:lang w:val="el-GR"/>
        </w:rPr>
        <w:t>κατάχρηση αλκοόλ</w:t>
      </w:r>
    </w:p>
    <w:p w:rsidR="00C713D9" w:rsidRPr="00BD6CC4" w:rsidRDefault="00C713D9" w:rsidP="00AC1E02">
      <w:pPr>
        <w:spacing w:before="100" w:beforeAutospacing="1" w:after="75" w:line="360" w:lineRule="auto"/>
        <w:ind w:left="720"/>
        <w:jc w:val="both"/>
        <w:rPr>
          <w:rFonts w:ascii="Times New Roman" w:eastAsia="Times New Roman" w:hAnsi="Times New Roman"/>
          <w:lang w:val="el-GR"/>
        </w:rPr>
      </w:pPr>
      <w:r w:rsidRPr="00BD6CC4">
        <w:rPr>
          <w:rFonts w:ascii="Times New Roman" w:eastAsia="Times New Roman" w:hAnsi="Times New Roman"/>
          <w:lang w:val="el-GR"/>
        </w:rPr>
        <w:t xml:space="preserve">• </w:t>
      </w:r>
      <w:r w:rsidR="00BD6CC4" w:rsidRPr="00BD6CC4">
        <w:rPr>
          <w:rFonts w:ascii="Times New Roman" w:eastAsia="Times New Roman" w:hAnsi="Times New Roman"/>
          <w:lang w:val="el-GR"/>
        </w:rPr>
        <w:t>ηλικία &gt; 70 ετών</w:t>
      </w:r>
    </w:p>
    <w:p w:rsidR="00C713D9" w:rsidRPr="00726182" w:rsidRDefault="00C713D9" w:rsidP="00BD6CC4">
      <w:pPr>
        <w:spacing w:before="100" w:beforeAutospacing="1" w:after="75" w:line="360" w:lineRule="auto"/>
        <w:ind w:left="720"/>
        <w:jc w:val="both"/>
        <w:rPr>
          <w:rFonts w:ascii="Times New Roman" w:eastAsia="Times New Roman" w:hAnsi="Times New Roman"/>
          <w:lang w:val="el-GR"/>
        </w:rPr>
      </w:pPr>
      <w:r w:rsidRPr="00BD6CC4">
        <w:rPr>
          <w:rFonts w:ascii="Times New Roman" w:eastAsia="Times New Roman" w:hAnsi="Times New Roman"/>
          <w:lang w:val="el-GR"/>
        </w:rPr>
        <w:t xml:space="preserve">• </w:t>
      </w:r>
      <w:r w:rsidR="00BD6CC4" w:rsidRPr="00BD6CC4">
        <w:rPr>
          <w:rFonts w:ascii="Times New Roman" w:eastAsia="Times New Roman" w:hAnsi="Times New Roman"/>
          <w:lang w:val="el-GR"/>
        </w:rPr>
        <w:t>καταστάσεις, όπου μπορεί να παρατηρηθεί αύξηση των επιπέδων στο</w:t>
      </w:r>
      <w:r w:rsidR="00BD6CC4">
        <w:rPr>
          <w:rFonts w:ascii="Times New Roman" w:eastAsia="Times New Roman" w:hAnsi="Times New Roman"/>
          <w:lang w:val="el-GR"/>
        </w:rPr>
        <w:t xml:space="preserve"> </w:t>
      </w:r>
      <w:r w:rsidR="00BD6CC4" w:rsidRPr="00BD6CC4">
        <w:rPr>
          <w:rFonts w:ascii="Times New Roman" w:eastAsia="Times New Roman" w:hAnsi="Times New Roman"/>
          <w:lang w:val="el-GR"/>
        </w:rPr>
        <w:t xml:space="preserve">πλάσμα (βλ. </w:t>
      </w:r>
      <w:r w:rsidR="00BD6CC4" w:rsidRPr="00726182">
        <w:rPr>
          <w:rFonts w:ascii="Times New Roman" w:eastAsia="Times New Roman" w:hAnsi="Times New Roman"/>
          <w:lang w:val="el-GR"/>
        </w:rPr>
        <w:t xml:space="preserve">Παράγραφο 4.2, 4.5 </w:t>
      </w:r>
      <w:r w:rsidR="00BD6CC4">
        <w:rPr>
          <w:rFonts w:ascii="Times New Roman" w:eastAsia="Times New Roman" w:hAnsi="Times New Roman"/>
          <w:lang w:val="el-GR"/>
        </w:rPr>
        <w:t xml:space="preserve">και </w:t>
      </w:r>
      <w:r w:rsidR="00BD6CC4" w:rsidRPr="00726182">
        <w:rPr>
          <w:rFonts w:ascii="Times New Roman" w:eastAsia="Times New Roman" w:hAnsi="Times New Roman"/>
          <w:lang w:val="el-GR"/>
        </w:rPr>
        <w:t>5.2)</w:t>
      </w:r>
    </w:p>
    <w:p w:rsidR="00C713D9" w:rsidRPr="00726182" w:rsidRDefault="00C713D9" w:rsidP="00AC1E02">
      <w:pPr>
        <w:spacing w:before="100" w:beforeAutospacing="1" w:after="75" w:line="360" w:lineRule="auto"/>
        <w:ind w:left="720"/>
        <w:jc w:val="both"/>
        <w:rPr>
          <w:rFonts w:ascii="Times New Roman" w:eastAsia="Times New Roman" w:hAnsi="Times New Roman"/>
          <w:lang w:val="el-GR"/>
        </w:rPr>
      </w:pPr>
      <w:r w:rsidRPr="00726182">
        <w:rPr>
          <w:rFonts w:ascii="Times New Roman" w:eastAsia="Times New Roman" w:hAnsi="Times New Roman"/>
          <w:lang w:val="el-GR"/>
        </w:rPr>
        <w:t xml:space="preserve">• </w:t>
      </w:r>
      <w:r w:rsidR="00EF2F6B" w:rsidRPr="00726182">
        <w:rPr>
          <w:rFonts w:ascii="Times New Roman" w:eastAsia="Times New Roman" w:hAnsi="Times New Roman"/>
          <w:lang w:val="el-GR"/>
        </w:rPr>
        <w:t>ταυτόχρονη χορήγηση φιβρατών</w:t>
      </w:r>
    </w:p>
    <w:p w:rsidR="00726182" w:rsidRDefault="00726182" w:rsidP="00726182">
      <w:pPr>
        <w:spacing w:before="100" w:beforeAutospacing="1" w:after="75" w:line="360" w:lineRule="auto"/>
        <w:jc w:val="both"/>
        <w:rPr>
          <w:rFonts w:ascii="Times New Roman" w:eastAsia="Times New Roman" w:hAnsi="Times New Roman"/>
          <w:lang w:val="el-GR"/>
        </w:rPr>
      </w:pPr>
      <w:r w:rsidRPr="00726182">
        <w:rPr>
          <w:rFonts w:ascii="Times New Roman" w:eastAsia="Times New Roman" w:hAnsi="Times New Roman"/>
          <w:lang w:val="el-GR"/>
        </w:rPr>
        <w:t>Σε αυτούς τους ασθενείς ο κίνδυνος από τη θεραπεία θα πρέπει να εκτιμάται σε</w:t>
      </w:r>
      <w:r>
        <w:rPr>
          <w:rFonts w:ascii="Times New Roman" w:eastAsia="Times New Roman" w:hAnsi="Times New Roman"/>
          <w:lang w:val="el-GR"/>
        </w:rPr>
        <w:t xml:space="preserve"> </w:t>
      </w:r>
      <w:r w:rsidRPr="00726182">
        <w:rPr>
          <w:rFonts w:ascii="Times New Roman" w:eastAsia="Times New Roman" w:hAnsi="Times New Roman"/>
          <w:lang w:val="el-GR"/>
        </w:rPr>
        <w:t>σχέση με το πιθανό όφελος, ενώ συνιστάται κλινική παρακολούθηση. Εάν τα</w:t>
      </w:r>
      <w:r>
        <w:rPr>
          <w:rFonts w:ascii="Times New Roman" w:eastAsia="Times New Roman" w:hAnsi="Times New Roman"/>
          <w:lang w:val="el-GR"/>
        </w:rPr>
        <w:t xml:space="preserve"> </w:t>
      </w:r>
      <w:r w:rsidRPr="00726182">
        <w:rPr>
          <w:rFonts w:ascii="Times New Roman" w:eastAsia="Times New Roman" w:hAnsi="Times New Roman"/>
          <w:lang w:val="el-GR"/>
        </w:rPr>
        <w:t>επίπεδα CK είναι σημαντικά αυξημένα κατά την έναρξη (&gt;5 x ULN), η θεραπεία δε</w:t>
      </w:r>
      <w:r>
        <w:rPr>
          <w:rFonts w:ascii="Times New Roman" w:eastAsia="Times New Roman" w:hAnsi="Times New Roman"/>
          <w:lang w:val="el-GR"/>
        </w:rPr>
        <w:t xml:space="preserve"> </w:t>
      </w:r>
      <w:r w:rsidRPr="00726182">
        <w:rPr>
          <w:rFonts w:ascii="Times New Roman" w:eastAsia="Times New Roman" w:hAnsi="Times New Roman"/>
          <w:lang w:val="el-GR"/>
        </w:rPr>
        <w:t>θα πρέπει να αρχίσει.</w:t>
      </w:r>
    </w:p>
    <w:p w:rsidR="00C713D9" w:rsidRPr="003F1A19" w:rsidRDefault="001C0FC4" w:rsidP="00AC1E02">
      <w:pPr>
        <w:spacing w:before="100" w:beforeAutospacing="1" w:after="75" w:line="360" w:lineRule="auto"/>
        <w:jc w:val="both"/>
        <w:rPr>
          <w:rFonts w:ascii="Times New Roman" w:eastAsia="Times New Roman" w:hAnsi="Times New Roman"/>
          <w:lang w:val="el-GR"/>
        </w:rPr>
      </w:pPr>
      <w:r w:rsidRPr="003F1A19">
        <w:rPr>
          <w:rFonts w:ascii="Times New Roman" w:eastAsia="Times New Roman" w:hAnsi="Times New Roman"/>
          <w:i/>
          <w:iCs/>
          <w:lang w:val="el-GR"/>
        </w:rPr>
        <w:t>Κατά τη διάρκεια της θεραπείας</w:t>
      </w:r>
    </w:p>
    <w:p w:rsidR="00B7480F" w:rsidRDefault="003F1A19" w:rsidP="003F1A19">
      <w:pPr>
        <w:spacing w:after="75" w:line="360" w:lineRule="auto"/>
        <w:jc w:val="both"/>
        <w:rPr>
          <w:rFonts w:ascii="Times New Roman" w:eastAsia="Times New Roman" w:hAnsi="Times New Roman"/>
          <w:lang w:val="el-GR"/>
        </w:rPr>
      </w:pPr>
      <w:r w:rsidRPr="003F1A19">
        <w:rPr>
          <w:rFonts w:ascii="Times New Roman" w:eastAsia="Times New Roman" w:hAnsi="Times New Roman"/>
          <w:lang w:val="el-GR"/>
        </w:rPr>
        <w:t>Πρέπει να ζητείται από τους ασθενείς να αναφέρουν αμέσως ανεξήγητο μυϊκό</w:t>
      </w:r>
      <w:r>
        <w:rPr>
          <w:rFonts w:ascii="Times New Roman" w:eastAsia="Times New Roman" w:hAnsi="Times New Roman"/>
          <w:lang w:val="el-GR"/>
        </w:rPr>
        <w:t xml:space="preserve"> </w:t>
      </w:r>
      <w:r w:rsidRPr="003F1A19">
        <w:rPr>
          <w:rFonts w:ascii="Times New Roman" w:eastAsia="Times New Roman" w:hAnsi="Times New Roman"/>
          <w:lang w:val="el-GR"/>
        </w:rPr>
        <w:t>πόνο, αδυναμία ή κράμπες, ιδιαίτερα αν συνοδεύονται από κακουχία ή πυρετό. Σ’</w:t>
      </w:r>
      <w:r>
        <w:rPr>
          <w:rFonts w:ascii="Times New Roman" w:eastAsia="Times New Roman" w:hAnsi="Times New Roman"/>
          <w:lang w:val="el-GR"/>
        </w:rPr>
        <w:t xml:space="preserve"> </w:t>
      </w:r>
      <w:r w:rsidRPr="003F1A19">
        <w:rPr>
          <w:rFonts w:ascii="Times New Roman" w:eastAsia="Times New Roman" w:hAnsi="Times New Roman"/>
          <w:lang w:val="el-GR"/>
        </w:rPr>
        <w:t>αυτούς τους ασθενείς πρέπει να μετρηθούν τα επίπεδα κρεατινικής κινάσης (CK).</w:t>
      </w:r>
      <w:r>
        <w:rPr>
          <w:rFonts w:ascii="Times New Roman" w:eastAsia="Times New Roman" w:hAnsi="Times New Roman"/>
          <w:lang w:val="el-GR"/>
        </w:rPr>
        <w:t xml:space="preserve"> </w:t>
      </w:r>
      <w:r w:rsidRPr="003F1A19">
        <w:rPr>
          <w:rFonts w:ascii="Times New Roman" w:eastAsia="Times New Roman" w:hAnsi="Times New Roman"/>
          <w:lang w:val="el-GR"/>
        </w:rPr>
        <w:t>Εάν τα επίπεδα της CK είναι σαφώς αυξημένα (&gt;5 x ULN) ή τα συμπτώματα από</w:t>
      </w:r>
      <w:r>
        <w:rPr>
          <w:rFonts w:ascii="Times New Roman" w:eastAsia="Times New Roman" w:hAnsi="Times New Roman"/>
          <w:lang w:val="el-GR"/>
        </w:rPr>
        <w:t xml:space="preserve"> </w:t>
      </w:r>
      <w:r w:rsidRPr="003F1A19">
        <w:rPr>
          <w:rFonts w:ascii="Times New Roman" w:eastAsia="Times New Roman" w:hAnsi="Times New Roman"/>
          <w:lang w:val="el-GR"/>
        </w:rPr>
        <w:t>το μυϊκό σύστημα είναι σοβαρά και προκαλούν καθημερινά δυσφορία, η θεραπεία</w:t>
      </w:r>
      <w:r>
        <w:rPr>
          <w:rFonts w:ascii="Times New Roman" w:eastAsia="Times New Roman" w:hAnsi="Times New Roman"/>
          <w:lang w:val="el-GR"/>
        </w:rPr>
        <w:t xml:space="preserve"> </w:t>
      </w:r>
      <w:r w:rsidRPr="003F1A19">
        <w:rPr>
          <w:rFonts w:ascii="Times New Roman" w:eastAsia="Times New Roman" w:hAnsi="Times New Roman"/>
          <w:lang w:val="el-GR"/>
        </w:rPr>
        <w:t>πρέπει να διακόπτεται (ακόμη και αν τα επίπεδα CK είναι ≤ 5xULN). Εάν τα</w:t>
      </w:r>
      <w:r>
        <w:rPr>
          <w:rFonts w:ascii="Times New Roman" w:eastAsia="Times New Roman" w:hAnsi="Times New Roman"/>
          <w:lang w:val="el-GR"/>
        </w:rPr>
        <w:t xml:space="preserve"> </w:t>
      </w:r>
      <w:r w:rsidRPr="003F1A19">
        <w:rPr>
          <w:rFonts w:ascii="Times New Roman" w:eastAsia="Times New Roman" w:hAnsi="Times New Roman"/>
          <w:lang w:val="el-GR"/>
        </w:rPr>
        <w:t>συμπτώματα παρέλθουν και τα επίπεδα CK υποχωρήσουν στις φυσιολογικές τιμές,</w:t>
      </w:r>
      <w:r>
        <w:rPr>
          <w:rFonts w:ascii="Times New Roman" w:eastAsia="Times New Roman" w:hAnsi="Times New Roman"/>
          <w:lang w:val="el-GR"/>
        </w:rPr>
        <w:t xml:space="preserve"> </w:t>
      </w:r>
      <w:r w:rsidRPr="003F1A19">
        <w:rPr>
          <w:rFonts w:ascii="Times New Roman" w:eastAsia="Times New Roman" w:hAnsi="Times New Roman"/>
          <w:lang w:val="el-GR"/>
        </w:rPr>
        <w:t>τότε μπορεί να εξετασθεί η επανέναρξη του C</w:t>
      </w:r>
      <w:r w:rsidR="0001321C">
        <w:rPr>
          <w:rFonts w:ascii="Times New Roman" w:eastAsia="Times New Roman" w:hAnsi="Times New Roman"/>
        </w:rPr>
        <w:t>elmantin</w:t>
      </w:r>
      <w:r w:rsidRPr="003F1A19">
        <w:rPr>
          <w:rFonts w:ascii="Times New Roman" w:eastAsia="Times New Roman" w:hAnsi="Times New Roman"/>
          <w:lang w:val="el-GR"/>
        </w:rPr>
        <w:t xml:space="preserve"> ή εναλλακτικού αναστολέα</w:t>
      </w:r>
      <w:r>
        <w:rPr>
          <w:rFonts w:ascii="Times New Roman" w:eastAsia="Times New Roman" w:hAnsi="Times New Roman"/>
          <w:lang w:val="el-GR"/>
        </w:rPr>
        <w:t xml:space="preserve"> </w:t>
      </w:r>
      <w:r w:rsidRPr="003F1A19">
        <w:rPr>
          <w:rFonts w:ascii="Times New Roman" w:eastAsia="Times New Roman" w:hAnsi="Times New Roman"/>
          <w:lang w:val="el-GR"/>
        </w:rPr>
        <w:t>της HMG-CoA αναγωγάσης στη χαμηλότερη δόση και με στενή παρακολούθηση.</w:t>
      </w:r>
      <w:r w:rsidR="00B7480F" w:rsidRPr="00B7480F">
        <w:rPr>
          <w:rFonts w:ascii="Times New Roman" w:eastAsia="Times New Roman" w:hAnsi="Times New Roman"/>
          <w:lang w:val="el-GR"/>
        </w:rPr>
        <w:t xml:space="preserve"> </w:t>
      </w:r>
      <w:r w:rsidRPr="003F1A19">
        <w:rPr>
          <w:rFonts w:ascii="Times New Roman" w:eastAsia="Times New Roman" w:hAnsi="Times New Roman"/>
          <w:lang w:val="el-GR"/>
        </w:rPr>
        <w:t>Μέτρηση των επιπέδων CK, ως εξέταση ρουτίνας, σε ασυμπτωματικούς ασθενείς</w:t>
      </w:r>
      <w:r>
        <w:rPr>
          <w:rFonts w:ascii="Times New Roman" w:eastAsia="Times New Roman" w:hAnsi="Times New Roman"/>
          <w:lang w:val="el-GR"/>
        </w:rPr>
        <w:t xml:space="preserve"> </w:t>
      </w:r>
      <w:r w:rsidRPr="003F1A19">
        <w:rPr>
          <w:rFonts w:ascii="Times New Roman" w:eastAsia="Times New Roman" w:hAnsi="Times New Roman"/>
          <w:lang w:val="el-GR"/>
        </w:rPr>
        <w:t>δεν δικαιολογείται.</w:t>
      </w:r>
    </w:p>
    <w:p w:rsidR="003B6EB2" w:rsidRDefault="003B6EB2" w:rsidP="003F1A19">
      <w:pPr>
        <w:spacing w:after="75" w:line="360" w:lineRule="auto"/>
        <w:jc w:val="both"/>
        <w:rPr>
          <w:rFonts w:ascii="Times New Roman" w:eastAsia="Times New Roman" w:hAnsi="Times New Roman"/>
        </w:rPr>
      </w:pPr>
      <w:r>
        <w:rPr>
          <w:rFonts w:ascii="Times New Roman" w:eastAsia="Times New Roman" w:hAnsi="Times New Roman"/>
          <w:lang w:val="el-GR"/>
        </w:rPr>
        <w:t>Έχουν</w:t>
      </w:r>
      <w:r w:rsidRPr="00990895">
        <w:rPr>
          <w:rFonts w:ascii="Times New Roman" w:eastAsia="Times New Roman" w:hAnsi="Times New Roman"/>
          <w:lang w:val="el-GR"/>
        </w:rPr>
        <w:t xml:space="preserve"> </w:t>
      </w:r>
      <w:r>
        <w:rPr>
          <w:rFonts w:ascii="Times New Roman" w:eastAsia="Times New Roman" w:hAnsi="Times New Roman"/>
          <w:lang w:val="el-GR"/>
        </w:rPr>
        <w:t>υπάρξει</w:t>
      </w:r>
      <w:r w:rsidRPr="00990895">
        <w:rPr>
          <w:rFonts w:ascii="Times New Roman" w:eastAsia="Times New Roman" w:hAnsi="Times New Roman"/>
          <w:lang w:val="el-GR"/>
        </w:rPr>
        <w:t xml:space="preserve"> </w:t>
      </w:r>
      <w:r>
        <w:rPr>
          <w:rFonts w:ascii="Times New Roman" w:eastAsia="Times New Roman" w:hAnsi="Times New Roman"/>
          <w:lang w:val="el-GR"/>
        </w:rPr>
        <w:t>πολύ</w:t>
      </w:r>
      <w:r w:rsidRPr="00990895">
        <w:rPr>
          <w:rFonts w:ascii="Times New Roman" w:eastAsia="Times New Roman" w:hAnsi="Times New Roman"/>
          <w:lang w:val="el-GR"/>
        </w:rPr>
        <w:t xml:space="preserve"> </w:t>
      </w:r>
      <w:r>
        <w:rPr>
          <w:rFonts w:ascii="Times New Roman" w:eastAsia="Times New Roman" w:hAnsi="Times New Roman"/>
          <w:lang w:val="el-GR"/>
        </w:rPr>
        <w:t>σπάνιες</w:t>
      </w:r>
      <w:r w:rsidRPr="00990895">
        <w:rPr>
          <w:rFonts w:ascii="Times New Roman" w:eastAsia="Times New Roman" w:hAnsi="Times New Roman"/>
          <w:lang w:val="el-GR"/>
        </w:rPr>
        <w:t xml:space="preserve"> </w:t>
      </w:r>
      <w:r>
        <w:rPr>
          <w:rFonts w:ascii="Times New Roman" w:eastAsia="Times New Roman" w:hAnsi="Times New Roman"/>
          <w:lang w:val="el-GR"/>
        </w:rPr>
        <w:t>αναφορές</w:t>
      </w:r>
      <w:r w:rsidRPr="00990895">
        <w:rPr>
          <w:rFonts w:ascii="Times New Roman" w:eastAsia="Times New Roman" w:hAnsi="Times New Roman"/>
          <w:lang w:val="el-GR"/>
        </w:rPr>
        <w:t xml:space="preserve"> </w:t>
      </w:r>
      <w:r w:rsidR="00990895" w:rsidRPr="00990895">
        <w:rPr>
          <w:rFonts w:ascii="Times New Roman" w:eastAsia="Times New Roman" w:hAnsi="Times New Roman"/>
          <w:lang w:val="el-GR"/>
        </w:rPr>
        <w:t>μεσολάβηση</w:t>
      </w:r>
      <w:r w:rsidR="0013043A">
        <w:rPr>
          <w:rFonts w:ascii="Times New Roman" w:eastAsia="Times New Roman" w:hAnsi="Times New Roman"/>
          <w:lang w:val="el-GR"/>
        </w:rPr>
        <w:t>ς</w:t>
      </w:r>
      <w:r w:rsidR="00990895" w:rsidRPr="00990895">
        <w:rPr>
          <w:rFonts w:ascii="Times New Roman" w:eastAsia="Times New Roman" w:hAnsi="Times New Roman"/>
          <w:lang w:val="el-GR"/>
        </w:rPr>
        <w:t xml:space="preserve"> του </w:t>
      </w:r>
      <w:r w:rsidR="0013043A">
        <w:rPr>
          <w:rFonts w:ascii="Times New Roman" w:eastAsia="Times New Roman" w:hAnsi="Times New Roman"/>
          <w:lang w:val="el-GR"/>
        </w:rPr>
        <w:t xml:space="preserve">ανοσοποιητικού </w:t>
      </w:r>
      <w:r w:rsidR="0013043A" w:rsidRPr="00990895">
        <w:rPr>
          <w:rFonts w:ascii="Times New Roman" w:eastAsia="Times New Roman" w:hAnsi="Times New Roman"/>
          <w:lang w:val="el-GR"/>
        </w:rPr>
        <w:t>συστήματος</w:t>
      </w:r>
      <w:r w:rsidR="0013043A">
        <w:rPr>
          <w:rFonts w:ascii="Times New Roman" w:eastAsia="Times New Roman" w:hAnsi="Times New Roman"/>
          <w:lang w:val="el-GR"/>
        </w:rPr>
        <w:t xml:space="preserve"> στη </w:t>
      </w:r>
      <w:r w:rsidR="00990895" w:rsidRPr="00990895">
        <w:rPr>
          <w:rFonts w:ascii="Times New Roman" w:eastAsia="Times New Roman" w:hAnsi="Times New Roman"/>
          <w:lang w:val="el-GR"/>
        </w:rPr>
        <w:t>νεκρωτική μυοπάθεια (</w:t>
      </w:r>
      <w:r w:rsidR="00990895" w:rsidRPr="00990895">
        <w:rPr>
          <w:rFonts w:ascii="Times New Roman" w:eastAsia="Times New Roman" w:hAnsi="Times New Roman"/>
        </w:rPr>
        <w:t>IMNM</w:t>
      </w:r>
      <w:r w:rsidR="00990895" w:rsidRPr="00990895">
        <w:rPr>
          <w:rFonts w:ascii="Times New Roman" w:eastAsia="Times New Roman" w:hAnsi="Times New Roman"/>
          <w:lang w:val="el-GR"/>
        </w:rPr>
        <w:t xml:space="preserve">) κατά τη διάρκεια ή μετά τη θεραπεία με στατίνες, συμπεριλαμβανομένης της </w:t>
      </w:r>
      <w:r w:rsidR="0013043A">
        <w:rPr>
          <w:rFonts w:ascii="Times New Roman" w:eastAsia="Times New Roman" w:hAnsi="Times New Roman"/>
          <w:lang w:val="el-GR"/>
        </w:rPr>
        <w:t>ροσουβαστατίνης</w:t>
      </w:r>
      <w:r w:rsidR="00990895" w:rsidRPr="00990895">
        <w:rPr>
          <w:rFonts w:ascii="Times New Roman" w:eastAsia="Times New Roman" w:hAnsi="Times New Roman"/>
          <w:lang w:val="el-GR"/>
        </w:rPr>
        <w:t xml:space="preserve">. </w:t>
      </w:r>
      <w:r w:rsidR="0013043A">
        <w:rPr>
          <w:rFonts w:ascii="Times New Roman" w:eastAsia="Times New Roman" w:hAnsi="Times New Roman"/>
          <w:lang w:val="el-GR"/>
        </w:rPr>
        <w:t xml:space="preserve">Η </w:t>
      </w:r>
      <w:r w:rsidR="00990895" w:rsidRPr="00990895">
        <w:rPr>
          <w:rFonts w:ascii="Times New Roman" w:eastAsia="Times New Roman" w:hAnsi="Times New Roman"/>
        </w:rPr>
        <w:t>IMNM</w:t>
      </w:r>
      <w:r w:rsidR="00990895" w:rsidRPr="00990895">
        <w:rPr>
          <w:rFonts w:ascii="Times New Roman" w:eastAsia="Times New Roman" w:hAnsi="Times New Roman"/>
          <w:lang w:val="el-GR"/>
        </w:rPr>
        <w:t xml:space="preserve"> </w:t>
      </w:r>
      <w:r w:rsidR="0013043A" w:rsidRPr="00990895">
        <w:rPr>
          <w:rFonts w:ascii="Times New Roman" w:eastAsia="Times New Roman" w:hAnsi="Times New Roman"/>
          <w:lang w:val="el-GR"/>
        </w:rPr>
        <w:t xml:space="preserve">χαρακτηρίζεται </w:t>
      </w:r>
      <w:r w:rsidR="00990895" w:rsidRPr="00990895">
        <w:rPr>
          <w:rFonts w:ascii="Times New Roman" w:eastAsia="Times New Roman" w:hAnsi="Times New Roman"/>
          <w:lang w:val="el-GR"/>
        </w:rPr>
        <w:t xml:space="preserve">κλινικά από μυϊκή αδυναμία των εγγύς μυών και αυξημένα επίπεδα </w:t>
      </w:r>
      <w:r w:rsidR="0013043A" w:rsidRPr="00990895">
        <w:rPr>
          <w:rFonts w:ascii="Times New Roman" w:eastAsia="Times New Roman" w:hAnsi="Times New Roman"/>
          <w:lang w:val="el-GR"/>
        </w:rPr>
        <w:t xml:space="preserve">της </w:t>
      </w:r>
      <w:r w:rsidR="0013043A">
        <w:rPr>
          <w:rFonts w:ascii="Times New Roman" w:eastAsia="Times New Roman" w:hAnsi="Times New Roman"/>
          <w:lang w:val="el-GR"/>
        </w:rPr>
        <w:t xml:space="preserve">κρεατινικής </w:t>
      </w:r>
      <w:r w:rsidR="00990895" w:rsidRPr="00990895">
        <w:rPr>
          <w:rFonts w:ascii="Times New Roman" w:eastAsia="Times New Roman" w:hAnsi="Times New Roman"/>
          <w:lang w:val="el-GR"/>
        </w:rPr>
        <w:t>κινάσης που επιμένουν παρά τη διακοπή της θεραπείας με στατίνες</w:t>
      </w:r>
      <w:r w:rsidR="0013043A">
        <w:rPr>
          <w:rFonts w:ascii="Times New Roman" w:eastAsia="Times New Roman" w:hAnsi="Times New Roman"/>
          <w:lang w:val="el-GR"/>
        </w:rPr>
        <w:t>.</w:t>
      </w:r>
      <w:r w:rsidRPr="00990895">
        <w:rPr>
          <w:rFonts w:ascii="Times New Roman" w:eastAsia="Times New Roman" w:hAnsi="Times New Roman"/>
          <w:lang w:val="el-GR"/>
        </w:rPr>
        <w:t xml:space="preserve"> </w:t>
      </w:r>
    </w:p>
    <w:p w:rsidR="003F1A19" w:rsidRPr="003F1A19" w:rsidRDefault="003F1A19" w:rsidP="003F1A19">
      <w:pPr>
        <w:spacing w:after="75" w:line="360" w:lineRule="auto"/>
        <w:jc w:val="both"/>
        <w:rPr>
          <w:rFonts w:ascii="Times New Roman" w:eastAsia="Times New Roman" w:hAnsi="Times New Roman"/>
          <w:lang w:val="el-GR"/>
        </w:rPr>
      </w:pPr>
      <w:r w:rsidRPr="003F1A19">
        <w:rPr>
          <w:rFonts w:ascii="Times New Roman" w:eastAsia="Times New Roman" w:hAnsi="Times New Roman"/>
          <w:lang w:val="el-GR"/>
        </w:rPr>
        <w:t xml:space="preserve">Σε κλινικές μελέτες σε μικρό αριθμό ασθενών που έλαβαν </w:t>
      </w:r>
      <w:r w:rsidR="00B7480F">
        <w:rPr>
          <w:rFonts w:ascii="Times New Roman" w:eastAsia="Times New Roman" w:hAnsi="Times New Roman"/>
          <w:lang w:val="el-GR"/>
        </w:rPr>
        <w:t>ροσουβαστατίνη</w:t>
      </w:r>
      <w:r w:rsidRPr="003F1A19">
        <w:rPr>
          <w:rFonts w:ascii="Times New Roman" w:eastAsia="Times New Roman" w:hAnsi="Times New Roman"/>
          <w:lang w:val="el-GR"/>
        </w:rPr>
        <w:t xml:space="preserve"> συγχρόνως με</w:t>
      </w:r>
      <w:r>
        <w:rPr>
          <w:rFonts w:ascii="Times New Roman" w:eastAsia="Times New Roman" w:hAnsi="Times New Roman"/>
          <w:lang w:val="el-GR"/>
        </w:rPr>
        <w:t xml:space="preserve"> </w:t>
      </w:r>
      <w:r w:rsidRPr="003F1A19">
        <w:rPr>
          <w:rFonts w:ascii="Times New Roman" w:eastAsia="Times New Roman" w:hAnsi="Times New Roman"/>
          <w:lang w:val="el-GR"/>
        </w:rPr>
        <w:t xml:space="preserve">κάποια άλλη αγωγή δεν υπήρξαν ενδείξεις αυξημένων επιδράσεων </w:t>
      </w:r>
      <w:r>
        <w:rPr>
          <w:rFonts w:ascii="Times New Roman" w:eastAsia="Times New Roman" w:hAnsi="Times New Roman"/>
          <w:lang w:val="el-GR"/>
        </w:rPr>
        <w:t xml:space="preserve">στους </w:t>
      </w:r>
      <w:r w:rsidRPr="003F1A19">
        <w:rPr>
          <w:rFonts w:ascii="Times New Roman" w:eastAsia="Times New Roman" w:hAnsi="Times New Roman"/>
          <w:lang w:val="el-GR"/>
        </w:rPr>
        <w:t>σκελετικούς μυς. Εντούτοις, παρατηρήθηκε αύξηση στη συχνότητα εμφάνισης</w:t>
      </w:r>
      <w:r>
        <w:rPr>
          <w:rFonts w:ascii="Times New Roman" w:eastAsia="Times New Roman" w:hAnsi="Times New Roman"/>
          <w:lang w:val="el-GR"/>
        </w:rPr>
        <w:t xml:space="preserve"> </w:t>
      </w:r>
      <w:r w:rsidRPr="003F1A19">
        <w:rPr>
          <w:rFonts w:ascii="Times New Roman" w:eastAsia="Times New Roman" w:hAnsi="Times New Roman"/>
          <w:lang w:val="el-GR"/>
        </w:rPr>
        <w:t>μυοσίτιδας και μυοπάθειας σε ασθενείς που έλαβαν άλλους αναστολείς HMG-CoA</w:t>
      </w:r>
      <w:r>
        <w:rPr>
          <w:rFonts w:ascii="Times New Roman" w:eastAsia="Times New Roman" w:hAnsi="Times New Roman"/>
          <w:lang w:val="el-GR"/>
        </w:rPr>
        <w:t xml:space="preserve"> </w:t>
      </w:r>
      <w:r w:rsidRPr="003F1A19">
        <w:rPr>
          <w:rFonts w:ascii="Times New Roman" w:eastAsia="Times New Roman" w:hAnsi="Times New Roman"/>
          <w:lang w:val="el-GR"/>
        </w:rPr>
        <w:t xml:space="preserve">αναγωγάσης μαζί με παράγωγα ινικού οξέος, συμπεριλαμβανομένης </w:t>
      </w:r>
      <w:r>
        <w:rPr>
          <w:rFonts w:ascii="Times New Roman" w:eastAsia="Times New Roman" w:hAnsi="Times New Roman"/>
          <w:lang w:val="el-GR"/>
        </w:rPr>
        <w:t xml:space="preserve">της </w:t>
      </w:r>
      <w:r w:rsidRPr="003F1A19">
        <w:rPr>
          <w:rFonts w:ascii="Times New Roman" w:eastAsia="Times New Roman" w:hAnsi="Times New Roman"/>
          <w:lang w:val="el-GR"/>
        </w:rPr>
        <w:t>γεμφιβροζίλης, με κυκλοσπορίνη, νικοτινικό οξύ, αντιμυκητιασικά τύπου –αζολών,</w:t>
      </w:r>
      <w:r>
        <w:rPr>
          <w:rFonts w:ascii="Times New Roman" w:eastAsia="Times New Roman" w:hAnsi="Times New Roman"/>
          <w:lang w:val="el-GR"/>
        </w:rPr>
        <w:t xml:space="preserve"> </w:t>
      </w:r>
      <w:r w:rsidRPr="003F1A19">
        <w:rPr>
          <w:rFonts w:ascii="Times New Roman" w:eastAsia="Times New Roman" w:hAnsi="Times New Roman"/>
          <w:lang w:val="el-GR"/>
        </w:rPr>
        <w:t xml:space="preserve">αναστολείς </w:t>
      </w:r>
      <w:r w:rsidRPr="003F1A19">
        <w:rPr>
          <w:rFonts w:ascii="Times New Roman" w:eastAsia="Times New Roman" w:hAnsi="Times New Roman"/>
          <w:lang w:val="el-GR"/>
        </w:rPr>
        <w:lastRenderedPageBreak/>
        <w:t>πρωτεάσης και μακρολιδικά αντιβιοτικά. Η γεμφιβροζίλη αυξάνει τον</w:t>
      </w:r>
      <w:r>
        <w:rPr>
          <w:rFonts w:ascii="Times New Roman" w:eastAsia="Times New Roman" w:hAnsi="Times New Roman"/>
          <w:lang w:val="el-GR"/>
        </w:rPr>
        <w:t xml:space="preserve"> </w:t>
      </w:r>
      <w:r w:rsidRPr="003F1A19">
        <w:rPr>
          <w:rFonts w:ascii="Times New Roman" w:eastAsia="Times New Roman" w:hAnsi="Times New Roman"/>
          <w:lang w:val="el-GR"/>
        </w:rPr>
        <w:t xml:space="preserve">κίνδυνο μυοπάθειας όταν χορηγείται σε συνδυασμό με κάποιους αναστολείς </w:t>
      </w:r>
      <w:r>
        <w:rPr>
          <w:rFonts w:ascii="Times New Roman" w:eastAsia="Times New Roman" w:hAnsi="Times New Roman"/>
          <w:lang w:val="el-GR"/>
        </w:rPr>
        <w:t xml:space="preserve">της </w:t>
      </w:r>
      <w:r w:rsidRPr="003F1A19">
        <w:rPr>
          <w:rFonts w:ascii="Times New Roman" w:eastAsia="Times New Roman" w:hAnsi="Times New Roman"/>
          <w:lang w:val="el-GR"/>
        </w:rPr>
        <w:t>HMG-CoA αναγωγάσης. Συνεπώς</w:t>
      </w:r>
      <w:r w:rsidR="0013043A">
        <w:rPr>
          <w:rFonts w:ascii="Times New Roman" w:eastAsia="Times New Roman" w:hAnsi="Times New Roman"/>
          <w:lang w:val="el-GR"/>
        </w:rPr>
        <w:t>,</w:t>
      </w:r>
      <w:r w:rsidRPr="003F1A19">
        <w:rPr>
          <w:rFonts w:ascii="Times New Roman" w:eastAsia="Times New Roman" w:hAnsi="Times New Roman"/>
          <w:lang w:val="el-GR"/>
        </w:rPr>
        <w:t xml:space="preserve"> ο συνδυασμός </w:t>
      </w:r>
      <w:r w:rsidR="0013043A">
        <w:rPr>
          <w:rFonts w:ascii="Times New Roman" w:eastAsia="Times New Roman" w:hAnsi="Times New Roman"/>
          <w:lang w:val="el-GR"/>
        </w:rPr>
        <w:t>ροσουβαστατίνης</w:t>
      </w:r>
      <w:r w:rsidRPr="003F1A19">
        <w:rPr>
          <w:rFonts w:ascii="Times New Roman" w:eastAsia="Times New Roman" w:hAnsi="Times New Roman"/>
          <w:lang w:val="el-GR"/>
        </w:rPr>
        <w:t xml:space="preserve"> και γεμφιμπροζίλης δε</w:t>
      </w:r>
      <w:r>
        <w:rPr>
          <w:rFonts w:ascii="Times New Roman" w:eastAsia="Times New Roman" w:hAnsi="Times New Roman"/>
          <w:lang w:val="el-GR"/>
        </w:rPr>
        <w:t xml:space="preserve"> </w:t>
      </w:r>
      <w:r w:rsidRPr="003F1A19">
        <w:rPr>
          <w:rFonts w:ascii="Times New Roman" w:eastAsia="Times New Roman" w:hAnsi="Times New Roman"/>
          <w:lang w:val="el-GR"/>
        </w:rPr>
        <w:t>συνιστάται. Το όφελος από την περαιτέρω μεταβολή των επιπέδων των λιπιδίων</w:t>
      </w:r>
      <w:r>
        <w:rPr>
          <w:rFonts w:ascii="Times New Roman" w:eastAsia="Times New Roman" w:hAnsi="Times New Roman"/>
          <w:lang w:val="el-GR"/>
        </w:rPr>
        <w:t xml:space="preserve"> </w:t>
      </w:r>
      <w:r w:rsidRPr="003F1A19">
        <w:rPr>
          <w:rFonts w:ascii="Times New Roman" w:eastAsia="Times New Roman" w:hAnsi="Times New Roman"/>
          <w:lang w:val="el-GR"/>
        </w:rPr>
        <w:t>από τη συνδυασμένη χρήση τ</w:t>
      </w:r>
      <w:r w:rsidR="002D2115">
        <w:rPr>
          <w:rFonts w:ascii="Times New Roman" w:eastAsia="Times New Roman" w:hAnsi="Times New Roman"/>
          <w:lang w:val="el-GR"/>
        </w:rPr>
        <w:t>ης</w:t>
      </w:r>
      <w:r w:rsidRPr="003F1A19">
        <w:rPr>
          <w:rFonts w:ascii="Times New Roman" w:eastAsia="Times New Roman" w:hAnsi="Times New Roman"/>
          <w:lang w:val="el-GR"/>
        </w:rPr>
        <w:t xml:space="preserve"> </w:t>
      </w:r>
      <w:r w:rsidR="002D2115">
        <w:rPr>
          <w:rFonts w:ascii="Times New Roman" w:eastAsia="Times New Roman" w:hAnsi="Times New Roman"/>
          <w:lang w:val="el-GR"/>
        </w:rPr>
        <w:t>ροσουβαστατίνης</w:t>
      </w:r>
      <w:r w:rsidRPr="003F1A19">
        <w:rPr>
          <w:rFonts w:ascii="Times New Roman" w:eastAsia="Times New Roman" w:hAnsi="Times New Roman"/>
          <w:lang w:val="el-GR"/>
        </w:rPr>
        <w:t xml:space="preserve"> με φιμπράτες ή νιασίνη πρέπει να</w:t>
      </w:r>
      <w:r w:rsidR="0013043A">
        <w:rPr>
          <w:rFonts w:ascii="Times New Roman" w:eastAsia="Times New Roman" w:hAnsi="Times New Roman"/>
          <w:lang w:val="el-GR"/>
        </w:rPr>
        <w:t xml:space="preserve"> </w:t>
      </w:r>
      <w:r w:rsidRPr="003F1A19">
        <w:rPr>
          <w:rFonts w:ascii="Times New Roman" w:eastAsia="Times New Roman" w:hAnsi="Times New Roman"/>
          <w:lang w:val="el-GR"/>
        </w:rPr>
        <w:t>σταθμίζεται με προσοχή έναντι του ενδεχόμενου κινδύνου από τους συνδυασμούς</w:t>
      </w:r>
      <w:r>
        <w:rPr>
          <w:rFonts w:ascii="Times New Roman" w:eastAsia="Times New Roman" w:hAnsi="Times New Roman"/>
          <w:lang w:val="el-GR"/>
        </w:rPr>
        <w:t xml:space="preserve"> </w:t>
      </w:r>
      <w:r w:rsidRPr="003F1A19">
        <w:rPr>
          <w:rFonts w:ascii="Times New Roman" w:eastAsia="Times New Roman" w:hAnsi="Times New Roman"/>
          <w:lang w:val="el-GR"/>
        </w:rPr>
        <w:t>αυτούς. H δόση των 40 mg αντενδείκνυται με ταυτόχρονη χορήγηση φιβράτης</w:t>
      </w:r>
      <w:r>
        <w:rPr>
          <w:rFonts w:ascii="Times New Roman" w:eastAsia="Times New Roman" w:hAnsi="Times New Roman"/>
          <w:lang w:val="el-GR"/>
        </w:rPr>
        <w:t xml:space="preserve"> </w:t>
      </w:r>
      <w:r w:rsidRPr="003F1A19">
        <w:rPr>
          <w:rFonts w:ascii="Times New Roman" w:eastAsia="Times New Roman" w:hAnsi="Times New Roman"/>
          <w:lang w:val="el-GR"/>
        </w:rPr>
        <w:t>(βλ. Παράγραφο 4.5 και Παράγραφο 4.8).</w:t>
      </w:r>
    </w:p>
    <w:p w:rsidR="003F1A19" w:rsidRDefault="003F1A19" w:rsidP="003F1A19">
      <w:pPr>
        <w:spacing w:after="75" w:line="360" w:lineRule="auto"/>
        <w:jc w:val="both"/>
        <w:rPr>
          <w:rFonts w:ascii="Times New Roman" w:eastAsia="Times New Roman" w:hAnsi="Times New Roman"/>
          <w:lang w:val="el-GR"/>
        </w:rPr>
      </w:pPr>
      <w:r w:rsidRPr="003F1A19">
        <w:rPr>
          <w:rFonts w:ascii="Times New Roman" w:eastAsia="Times New Roman" w:hAnsi="Times New Roman"/>
          <w:lang w:val="el-GR"/>
        </w:rPr>
        <w:t>Tο C</w:t>
      </w:r>
      <w:r w:rsidR="0013043A">
        <w:rPr>
          <w:rFonts w:ascii="Times New Roman" w:eastAsia="Times New Roman" w:hAnsi="Times New Roman"/>
        </w:rPr>
        <w:t>elmantin</w:t>
      </w:r>
      <w:r w:rsidRPr="003F1A19">
        <w:rPr>
          <w:rFonts w:ascii="Times New Roman" w:eastAsia="Times New Roman" w:hAnsi="Times New Roman"/>
          <w:lang w:val="el-GR"/>
        </w:rPr>
        <w:t xml:space="preserve"> δε πρέπει να χορηγείται σε κανέναν ασθενή με οξεία, σοβαρή</w:t>
      </w:r>
      <w:r>
        <w:rPr>
          <w:rFonts w:ascii="Times New Roman" w:eastAsia="Times New Roman" w:hAnsi="Times New Roman"/>
          <w:lang w:val="el-GR"/>
        </w:rPr>
        <w:t xml:space="preserve"> </w:t>
      </w:r>
      <w:r w:rsidRPr="003F1A19">
        <w:rPr>
          <w:rFonts w:ascii="Times New Roman" w:eastAsia="Times New Roman" w:hAnsi="Times New Roman"/>
          <w:lang w:val="el-GR"/>
        </w:rPr>
        <w:t>κατάσταση που υποδηλώνει μυοπάθεια ή προδιαθέτει σε ανάπτυξη νεφρικής</w:t>
      </w:r>
      <w:r>
        <w:rPr>
          <w:rFonts w:ascii="Times New Roman" w:eastAsia="Times New Roman" w:hAnsi="Times New Roman"/>
          <w:lang w:val="el-GR"/>
        </w:rPr>
        <w:t xml:space="preserve"> </w:t>
      </w:r>
      <w:r w:rsidRPr="003F1A19">
        <w:rPr>
          <w:rFonts w:ascii="Times New Roman" w:eastAsia="Times New Roman" w:hAnsi="Times New Roman"/>
          <w:lang w:val="el-GR"/>
        </w:rPr>
        <w:t>ανεπάρκειας, ως επακόλουθο ραβδομυόλυσης (π.χ. σήψη, υπόταση, μείζων</w:t>
      </w:r>
      <w:r>
        <w:rPr>
          <w:rFonts w:ascii="Times New Roman" w:eastAsia="Times New Roman" w:hAnsi="Times New Roman"/>
          <w:lang w:val="el-GR"/>
        </w:rPr>
        <w:t xml:space="preserve"> </w:t>
      </w:r>
      <w:r w:rsidRPr="003F1A19">
        <w:rPr>
          <w:rFonts w:ascii="Times New Roman" w:eastAsia="Times New Roman" w:hAnsi="Times New Roman"/>
          <w:lang w:val="el-GR"/>
        </w:rPr>
        <w:t>χειρουργική επέμβαση, τραύμα, σοβαρές μεταβολικές, ενδοκρινολογικές και</w:t>
      </w:r>
      <w:r>
        <w:rPr>
          <w:rFonts w:ascii="Times New Roman" w:eastAsia="Times New Roman" w:hAnsi="Times New Roman"/>
          <w:lang w:val="el-GR"/>
        </w:rPr>
        <w:t xml:space="preserve"> </w:t>
      </w:r>
      <w:r w:rsidRPr="003F1A19">
        <w:rPr>
          <w:rFonts w:ascii="Times New Roman" w:eastAsia="Times New Roman" w:hAnsi="Times New Roman"/>
          <w:lang w:val="el-GR"/>
        </w:rPr>
        <w:t>ηλεκτρολυτικές διαταραχές ή μη-ελεγχόμενοι σπασμοί).</w:t>
      </w:r>
    </w:p>
    <w:p w:rsidR="00C713D9" w:rsidRPr="00067B72" w:rsidRDefault="00EE172A" w:rsidP="00AC1E02">
      <w:pPr>
        <w:spacing w:before="100" w:beforeAutospacing="1" w:after="75" w:line="360" w:lineRule="auto"/>
        <w:jc w:val="both"/>
        <w:rPr>
          <w:rFonts w:ascii="Times New Roman" w:eastAsia="Times New Roman" w:hAnsi="Times New Roman"/>
          <w:lang w:val="el-GR"/>
        </w:rPr>
      </w:pPr>
      <w:r w:rsidRPr="00067B72">
        <w:rPr>
          <w:rFonts w:ascii="Times New Roman" w:eastAsia="Times New Roman" w:hAnsi="Times New Roman"/>
          <w:u w:val="single"/>
          <w:lang w:val="el-GR"/>
        </w:rPr>
        <w:t>Επιδράσεις στο ήπαρ</w:t>
      </w:r>
    </w:p>
    <w:p w:rsidR="00C019E5" w:rsidRDefault="00067B72" w:rsidP="00D221C3">
      <w:pPr>
        <w:spacing w:after="75" w:line="360" w:lineRule="auto"/>
        <w:jc w:val="both"/>
        <w:rPr>
          <w:rFonts w:ascii="Times New Roman" w:eastAsia="Times New Roman" w:hAnsi="Times New Roman"/>
        </w:rPr>
      </w:pPr>
      <w:r w:rsidRPr="00067B72">
        <w:rPr>
          <w:rFonts w:ascii="Times New Roman" w:eastAsia="Times New Roman" w:hAnsi="Times New Roman"/>
          <w:lang w:val="el-GR"/>
        </w:rPr>
        <w:t>Όπως</w:t>
      </w:r>
      <w:r w:rsidRPr="00D221C3">
        <w:rPr>
          <w:rFonts w:ascii="Times New Roman" w:eastAsia="Times New Roman" w:hAnsi="Times New Roman"/>
          <w:lang w:val="el-GR"/>
        </w:rPr>
        <w:t xml:space="preserve"> </w:t>
      </w:r>
      <w:r w:rsidRPr="00067B72">
        <w:rPr>
          <w:rFonts w:ascii="Times New Roman" w:eastAsia="Times New Roman" w:hAnsi="Times New Roman"/>
          <w:lang w:val="el-GR"/>
        </w:rPr>
        <w:t>και</w:t>
      </w:r>
      <w:r w:rsidRPr="00D221C3">
        <w:rPr>
          <w:rFonts w:ascii="Times New Roman" w:eastAsia="Times New Roman" w:hAnsi="Times New Roman"/>
          <w:lang w:val="el-GR"/>
        </w:rPr>
        <w:t xml:space="preserve"> </w:t>
      </w:r>
      <w:r w:rsidRPr="00067B72">
        <w:rPr>
          <w:rFonts w:ascii="Times New Roman" w:eastAsia="Times New Roman" w:hAnsi="Times New Roman"/>
          <w:lang w:val="el-GR"/>
        </w:rPr>
        <w:t>με</w:t>
      </w:r>
      <w:r w:rsidRPr="00D221C3">
        <w:rPr>
          <w:rFonts w:ascii="Times New Roman" w:eastAsia="Times New Roman" w:hAnsi="Times New Roman"/>
          <w:lang w:val="el-GR"/>
        </w:rPr>
        <w:t xml:space="preserve"> </w:t>
      </w:r>
      <w:r w:rsidRPr="00067B72">
        <w:rPr>
          <w:rFonts w:ascii="Times New Roman" w:eastAsia="Times New Roman" w:hAnsi="Times New Roman"/>
          <w:lang w:val="el-GR"/>
        </w:rPr>
        <w:t>άλλους</w:t>
      </w:r>
      <w:r w:rsidRPr="00D221C3">
        <w:rPr>
          <w:rFonts w:ascii="Times New Roman" w:eastAsia="Times New Roman" w:hAnsi="Times New Roman"/>
          <w:lang w:val="el-GR"/>
        </w:rPr>
        <w:t xml:space="preserve"> </w:t>
      </w:r>
      <w:r w:rsidRPr="00067B72">
        <w:rPr>
          <w:rFonts w:ascii="Times New Roman" w:eastAsia="Times New Roman" w:hAnsi="Times New Roman"/>
          <w:lang w:val="el-GR"/>
        </w:rPr>
        <w:t>αναστολείς</w:t>
      </w:r>
      <w:r w:rsidRPr="00D221C3">
        <w:rPr>
          <w:rFonts w:ascii="Times New Roman" w:eastAsia="Times New Roman" w:hAnsi="Times New Roman"/>
          <w:lang w:val="el-GR"/>
        </w:rPr>
        <w:t xml:space="preserve"> </w:t>
      </w:r>
      <w:r w:rsidRPr="00067B72">
        <w:rPr>
          <w:rFonts w:ascii="Times New Roman" w:eastAsia="Times New Roman" w:hAnsi="Times New Roman"/>
          <w:lang w:val="el-GR"/>
        </w:rPr>
        <w:t>της</w:t>
      </w:r>
      <w:r w:rsidRPr="00D221C3">
        <w:rPr>
          <w:rFonts w:ascii="Times New Roman" w:eastAsia="Times New Roman" w:hAnsi="Times New Roman"/>
          <w:lang w:val="el-GR"/>
        </w:rPr>
        <w:t xml:space="preserve"> </w:t>
      </w:r>
      <w:r w:rsidRPr="00067B72">
        <w:rPr>
          <w:rFonts w:ascii="Times New Roman" w:eastAsia="Times New Roman" w:hAnsi="Times New Roman"/>
        </w:rPr>
        <w:t>HMG</w:t>
      </w:r>
      <w:r w:rsidRPr="00D221C3">
        <w:rPr>
          <w:rFonts w:ascii="Times New Roman" w:eastAsia="Times New Roman" w:hAnsi="Times New Roman"/>
          <w:lang w:val="el-GR"/>
        </w:rPr>
        <w:t>-</w:t>
      </w:r>
      <w:r w:rsidRPr="00067B72">
        <w:rPr>
          <w:rFonts w:ascii="Times New Roman" w:eastAsia="Times New Roman" w:hAnsi="Times New Roman"/>
        </w:rPr>
        <w:t>CoA</w:t>
      </w:r>
      <w:r w:rsidRPr="00D221C3">
        <w:rPr>
          <w:rFonts w:ascii="Times New Roman" w:eastAsia="Times New Roman" w:hAnsi="Times New Roman"/>
          <w:lang w:val="el-GR"/>
        </w:rPr>
        <w:t xml:space="preserve"> </w:t>
      </w:r>
      <w:r w:rsidRPr="00067B72">
        <w:rPr>
          <w:rFonts w:ascii="Times New Roman" w:eastAsia="Times New Roman" w:hAnsi="Times New Roman"/>
          <w:lang w:val="el-GR"/>
        </w:rPr>
        <w:t>αναγωγάσης</w:t>
      </w:r>
      <w:r w:rsidRPr="00D221C3">
        <w:rPr>
          <w:rFonts w:ascii="Times New Roman" w:eastAsia="Times New Roman" w:hAnsi="Times New Roman"/>
          <w:lang w:val="el-GR"/>
        </w:rPr>
        <w:t xml:space="preserve">, </w:t>
      </w:r>
      <w:r w:rsidRPr="00067B72">
        <w:rPr>
          <w:rFonts w:ascii="Times New Roman" w:eastAsia="Times New Roman" w:hAnsi="Times New Roman"/>
          <w:lang w:val="el-GR"/>
        </w:rPr>
        <w:t>το</w:t>
      </w:r>
      <w:r w:rsidRPr="00D221C3">
        <w:rPr>
          <w:rFonts w:ascii="Times New Roman" w:eastAsia="Times New Roman" w:hAnsi="Times New Roman"/>
          <w:lang w:val="el-GR"/>
        </w:rPr>
        <w:t xml:space="preserve"> </w:t>
      </w:r>
      <w:r w:rsidRPr="00067B72">
        <w:rPr>
          <w:rFonts w:ascii="Times New Roman" w:eastAsia="Times New Roman" w:hAnsi="Times New Roman"/>
        </w:rPr>
        <w:t>C</w:t>
      </w:r>
      <w:r>
        <w:rPr>
          <w:rFonts w:ascii="Times New Roman" w:eastAsia="Times New Roman" w:hAnsi="Times New Roman"/>
        </w:rPr>
        <w:t>elmantin</w:t>
      </w:r>
      <w:r w:rsidRPr="00D221C3">
        <w:rPr>
          <w:rFonts w:ascii="Times New Roman" w:eastAsia="Times New Roman" w:hAnsi="Times New Roman"/>
          <w:lang w:val="el-GR"/>
        </w:rPr>
        <w:t xml:space="preserve"> </w:t>
      </w:r>
      <w:r w:rsidRPr="00067B72">
        <w:rPr>
          <w:rFonts w:ascii="Times New Roman" w:eastAsia="Times New Roman" w:hAnsi="Times New Roman"/>
          <w:lang w:val="el-GR"/>
        </w:rPr>
        <w:t>πρέπει</w:t>
      </w:r>
      <w:r w:rsidRPr="00D221C3">
        <w:rPr>
          <w:rFonts w:ascii="Times New Roman" w:eastAsia="Times New Roman" w:hAnsi="Times New Roman"/>
          <w:lang w:val="el-GR"/>
        </w:rPr>
        <w:t xml:space="preserve"> </w:t>
      </w:r>
      <w:r w:rsidRPr="00067B72">
        <w:rPr>
          <w:rFonts w:ascii="Times New Roman" w:eastAsia="Times New Roman" w:hAnsi="Times New Roman"/>
          <w:lang w:val="el-GR"/>
        </w:rPr>
        <w:t>να</w:t>
      </w:r>
      <w:r w:rsidRPr="00D221C3">
        <w:rPr>
          <w:rFonts w:ascii="Times New Roman" w:eastAsia="Times New Roman" w:hAnsi="Times New Roman"/>
          <w:lang w:val="el-GR"/>
        </w:rPr>
        <w:t xml:space="preserve"> </w:t>
      </w:r>
      <w:r w:rsidR="00D221C3" w:rsidRPr="00D221C3">
        <w:rPr>
          <w:rFonts w:ascii="Times New Roman" w:eastAsia="Times New Roman" w:hAnsi="Times New Roman"/>
          <w:lang w:val="el-GR"/>
        </w:rPr>
        <w:t>χρησιμοποιείται με προσοχή σε ασθενείς που καταναλώνουν υπερβολικά μεγάλες ποσότητες αλκοόλ και/ή έχουν ιστορικό ηπατικής νόσου.</w:t>
      </w:r>
    </w:p>
    <w:p w:rsidR="00D221C3" w:rsidRPr="00D221C3" w:rsidRDefault="00D221C3" w:rsidP="00D221C3">
      <w:pPr>
        <w:spacing w:after="75" w:line="360" w:lineRule="auto"/>
        <w:jc w:val="both"/>
        <w:rPr>
          <w:rFonts w:ascii="Times New Roman" w:eastAsia="Times New Roman" w:hAnsi="Times New Roman"/>
          <w:lang w:val="el-GR"/>
        </w:rPr>
      </w:pPr>
      <w:r w:rsidRPr="00D221C3">
        <w:rPr>
          <w:rFonts w:ascii="Times New Roman" w:eastAsia="Times New Roman" w:hAnsi="Times New Roman"/>
          <w:lang w:val="el-GR"/>
        </w:rPr>
        <w:t xml:space="preserve">Συνιστάται να γίνεται έλεγχος της ηπατικής λειτουργίας πριν την έναρξη της θεραπείας και στους 3 μήνες μετά την έναρξη της θεραπείας. Σε αυξήσεις των τρανσαμινασών του ορού, που υπερβαίνουν το τριπλάσιο της ανώτατης φυσιολογικής τιμής, η χορήγηση του </w:t>
      </w:r>
      <w:r w:rsidRPr="00D221C3">
        <w:rPr>
          <w:rFonts w:ascii="Times New Roman" w:eastAsia="Times New Roman" w:hAnsi="Times New Roman"/>
        </w:rPr>
        <w:t>C</w:t>
      </w:r>
      <w:r w:rsidR="00C019E5">
        <w:rPr>
          <w:rFonts w:ascii="Times New Roman" w:eastAsia="Times New Roman" w:hAnsi="Times New Roman"/>
        </w:rPr>
        <w:t>elmantin</w:t>
      </w:r>
      <w:r w:rsidRPr="00D221C3">
        <w:rPr>
          <w:rFonts w:ascii="Times New Roman" w:eastAsia="Times New Roman" w:hAnsi="Times New Roman"/>
          <w:lang w:val="el-GR"/>
        </w:rPr>
        <w:t xml:space="preserve"> θα πρέπει να διακόπτεται ή η δόση να μειώνεται. </w:t>
      </w:r>
      <w:r w:rsidRPr="00D221C3">
        <w:rPr>
          <w:rFonts w:ascii="Times New Roman" w:eastAsia="Times New Roman" w:hAnsi="Times New Roman"/>
        </w:rPr>
        <w:t>H</w:t>
      </w:r>
      <w:r w:rsidRPr="00D221C3">
        <w:rPr>
          <w:rFonts w:ascii="Times New Roman" w:eastAsia="Times New Roman" w:hAnsi="Times New Roman"/>
          <w:lang w:val="el-GR"/>
        </w:rPr>
        <w:t xml:space="preserve"> συχνότητα αναφοράς των σοβαρών ηπατικών συμβαμάτων (που συνίσταται κυρίως σε αύξηση των τρανσαμινασών) κατά την χρήση του προϊόντος μετά την κυκλοφορία είναι μεγαλύτερη στη δόση των 40 </w:t>
      </w:r>
      <w:r w:rsidRPr="00D221C3">
        <w:rPr>
          <w:rFonts w:ascii="Times New Roman" w:eastAsia="Times New Roman" w:hAnsi="Times New Roman"/>
        </w:rPr>
        <w:t>mg</w:t>
      </w:r>
      <w:r w:rsidRPr="00D221C3">
        <w:rPr>
          <w:rFonts w:ascii="Times New Roman" w:eastAsia="Times New Roman" w:hAnsi="Times New Roman"/>
          <w:lang w:val="el-GR"/>
        </w:rPr>
        <w:t>.</w:t>
      </w:r>
    </w:p>
    <w:p w:rsidR="00C019E5" w:rsidRPr="002E77B8" w:rsidRDefault="00D221C3" w:rsidP="00C019E5">
      <w:pPr>
        <w:spacing w:after="75" w:line="360" w:lineRule="auto"/>
        <w:jc w:val="both"/>
        <w:rPr>
          <w:rFonts w:ascii="Times New Roman" w:eastAsia="Times New Roman" w:hAnsi="Times New Roman"/>
          <w:lang w:val="el-GR"/>
        </w:rPr>
      </w:pPr>
      <w:r w:rsidRPr="00D221C3">
        <w:rPr>
          <w:rFonts w:ascii="Times New Roman" w:eastAsia="Times New Roman" w:hAnsi="Times New Roman"/>
          <w:lang w:val="el-GR"/>
        </w:rPr>
        <w:t>Σε ασθενείς με δευτεροπαθή υπερχοληστερολαιμία ως επακόλουθο</w:t>
      </w:r>
      <w:r w:rsidRPr="00C019E5">
        <w:rPr>
          <w:rFonts w:ascii="Times New Roman" w:eastAsia="Times New Roman" w:hAnsi="Times New Roman"/>
          <w:lang w:val="el-GR"/>
        </w:rPr>
        <w:t xml:space="preserve"> </w:t>
      </w:r>
      <w:r w:rsidRPr="00D221C3">
        <w:rPr>
          <w:rFonts w:ascii="Times New Roman" w:eastAsia="Times New Roman" w:hAnsi="Times New Roman"/>
          <w:lang w:val="el-GR"/>
        </w:rPr>
        <w:t>υποθυροειδισμού ή νεφρωσικού συνδρόμου, η υποκείμενη νόσος θα πρέπει να</w:t>
      </w:r>
      <w:r w:rsidRPr="00C019E5">
        <w:rPr>
          <w:rFonts w:ascii="Times New Roman" w:eastAsia="Times New Roman" w:hAnsi="Times New Roman"/>
          <w:lang w:val="el-GR"/>
        </w:rPr>
        <w:t xml:space="preserve"> θεραπευτεί πριν την έναρξη της θεραπείας με </w:t>
      </w:r>
      <w:r w:rsidR="00C019E5" w:rsidRPr="00C019E5">
        <w:rPr>
          <w:rFonts w:ascii="Times New Roman" w:eastAsia="Times New Roman" w:hAnsi="Times New Roman"/>
        </w:rPr>
        <w:t>Celmantin</w:t>
      </w:r>
      <w:r w:rsidRPr="00C019E5">
        <w:rPr>
          <w:rFonts w:ascii="Times New Roman" w:eastAsia="Times New Roman" w:hAnsi="Times New Roman"/>
          <w:lang w:val="el-GR"/>
        </w:rPr>
        <w:t>.</w:t>
      </w:r>
      <w:r w:rsidR="00C713D9" w:rsidRPr="00C019E5">
        <w:rPr>
          <w:rFonts w:ascii="Times New Roman" w:eastAsia="Times New Roman" w:hAnsi="Times New Roman"/>
          <w:lang w:val="el-GR"/>
        </w:rPr>
        <w:t xml:space="preserve"> </w:t>
      </w:r>
    </w:p>
    <w:p w:rsidR="00C713D9" w:rsidRPr="002E77B8" w:rsidRDefault="00C713D9" w:rsidP="00AC1E02">
      <w:pPr>
        <w:spacing w:after="75" w:line="360" w:lineRule="auto"/>
        <w:jc w:val="both"/>
        <w:rPr>
          <w:rFonts w:ascii="Times New Roman" w:eastAsia="Times New Roman" w:hAnsi="Times New Roman"/>
          <w:lang w:val="el-GR"/>
        </w:rPr>
      </w:pPr>
    </w:p>
    <w:p w:rsidR="004A6080" w:rsidRDefault="004A6080" w:rsidP="00AC1E02">
      <w:pPr>
        <w:spacing w:after="75" w:line="360" w:lineRule="auto"/>
        <w:jc w:val="both"/>
        <w:rPr>
          <w:rFonts w:ascii="Times New Roman" w:eastAsia="Times New Roman" w:hAnsi="Times New Roman"/>
          <w:u w:val="single"/>
          <w:lang w:val="el-GR"/>
        </w:rPr>
      </w:pPr>
      <w:r w:rsidRPr="004A6080">
        <w:rPr>
          <w:rFonts w:ascii="Times New Roman" w:eastAsia="Times New Roman" w:hAnsi="Times New Roman"/>
          <w:u w:val="single"/>
          <w:lang w:val="el-GR"/>
        </w:rPr>
        <w:t>Φυλή</w:t>
      </w:r>
    </w:p>
    <w:p w:rsidR="004A6080" w:rsidRPr="004A6080" w:rsidRDefault="004A6080" w:rsidP="004A6080">
      <w:pPr>
        <w:spacing w:after="75" w:line="360" w:lineRule="auto"/>
        <w:jc w:val="both"/>
        <w:rPr>
          <w:rFonts w:ascii="Times New Roman" w:eastAsia="Times New Roman" w:hAnsi="Times New Roman"/>
          <w:lang w:val="el-GR"/>
        </w:rPr>
      </w:pPr>
      <w:r w:rsidRPr="004A6080">
        <w:rPr>
          <w:rFonts w:ascii="Times New Roman" w:eastAsia="Times New Roman" w:hAnsi="Times New Roman"/>
          <w:lang w:val="el-GR"/>
        </w:rPr>
        <w:t>Οι φαρμακοκινητικές μελέτες δείχνουν αύξηση της έκθεσης σε Ασιάτες σε σύγκριση με τους Καυκάσιους (βλ. Παράγραφο 4.2 και Παράγραφο 5.2).</w:t>
      </w:r>
    </w:p>
    <w:p w:rsidR="00C713D9" w:rsidRPr="00426846" w:rsidRDefault="00C713D9" w:rsidP="00AC1E02">
      <w:pPr>
        <w:spacing w:after="75" w:line="360" w:lineRule="auto"/>
        <w:jc w:val="both"/>
        <w:rPr>
          <w:rFonts w:ascii="Times New Roman" w:eastAsia="Times New Roman" w:hAnsi="Times New Roman"/>
        </w:rPr>
      </w:pPr>
    </w:p>
    <w:p w:rsidR="00C713D9" w:rsidRPr="001E13BF" w:rsidRDefault="004A6080" w:rsidP="00AC1E02">
      <w:pPr>
        <w:spacing w:before="100" w:beforeAutospacing="1" w:after="75" w:line="360" w:lineRule="auto"/>
        <w:jc w:val="both"/>
        <w:rPr>
          <w:rFonts w:ascii="Times New Roman" w:eastAsia="Times New Roman" w:hAnsi="Times New Roman"/>
          <w:lang w:val="el-GR"/>
        </w:rPr>
      </w:pPr>
      <w:r w:rsidRPr="001E13BF">
        <w:rPr>
          <w:rFonts w:ascii="Times New Roman" w:eastAsia="Times New Roman" w:hAnsi="Times New Roman"/>
          <w:u w:val="single"/>
          <w:lang w:val="el-GR"/>
        </w:rPr>
        <w:t>Αναστολείς πρωτεάσης</w:t>
      </w:r>
    </w:p>
    <w:p w:rsidR="001E13BF" w:rsidRPr="00CD1610" w:rsidRDefault="005A3754" w:rsidP="00AC1E02">
      <w:pPr>
        <w:spacing w:before="100" w:beforeAutospacing="1" w:after="75" w:line="360" w:lineRule="auto"/>
        <w:jc w:val="both"/>
        <w:rPr>
          <w:rFonts w:ascii="Times New Roman" w:eastAsia="Times New Roman" w:hAnsi="Times New Roman"/>
        </w:rPr>
      </w:pPr>
      <w:r w:rsidRPr="005A3754">
        <w:rPr>
          <w:rFonts w:ascii="Times New Roman" w:eastAsia="Times New Roman" w:hAnsi="Times New Roman"/>
          <w:lang w:val="el-GR"/>
        </w:rPr>
        <w:lastRenderedPageBreak/>
        <w:t>Αυξημένη</w:t>
      </w:r>
      <w:r>
        <w:rPr>
          <w:rFonts w:ascii="Times New Roman" w:eastAsia="Times New Roman" w:hAnsi="Times New Roman"/>
          <w:lang w:val="el-GR"/>
        </w:rPr>
        <w:t xml:space="preserve"> </w:t>
      </w:r>
      <w:r w:rsidRPr="005A3754">
        <w:rPr>
          <w:rFonts w:ascii="Times New Roman" w:eastAsia="Times New Roman" w:hAnsi="Times New Roman"/>
          <w:lang w:val="el-GR"/>
        </w:rPr>
        <w:t xml:space="preserve">συστηματική έκθεση στη ροσουβαστατίνη έχει παρατηρηθεί σε άτομα που λάμβαναν ροσουβαστατίνη ταυτόχρονα με διάφορους αναστολείς πρωτεάσης σε συνδυασμό με </w:t>
      </w:r>
      <w:r>
        <w:rPr>
          <w:rFonts w:ascii="Times New Roman" w:eastAsia="Times New Roman" w:hAnsi="Times New Roman"/>
          <w:lang w:val="el-GR"/>
        </w:rPr>
        <w:t>ριτοναβίρη</w:t>
      </w:r>
      <w:r w:rsidRPr="005A3754">
        <w:rPr>
          <w:rFonts w:ascii="Times New Roman" w:eastAsia="Times New Roman" w:hAnsi="Times New Roman"/>
          <w:lang w:val="el-GR"/>
        </w:rPr>
        <w:t>. Σε</w:t>
      </w:r>
      <w:r>
        <w:rPr>
          <w:rFonts w:ascii="Times New Roman" w:eastAsia="Times New Roman" w:hAnsi="Times New Roman"/>
          <w:lang w:val="el-GR"/>
        </w:rPr>
        <w:t xml:space="preserve"> </w:t>
      </w:r>
      <w:r w:rsidRPr="005A3754">
        <w:rPr>
          <w:rFonts w:ascii="Times New Roman" w:eastAsia="Times New Roman" w:hAnsi="Times New Roman"/>
          <w:lang w:val="el-GR"/>
        </w:rPr>
        <w:t>ασθενείς με HIV που λαμβάνουν αναστολείς πρωτεάσης</w:t>
      </w:r>
      <w:r w:rsidR="00CD1610" w:rsidRPr="00CD1610">
        <w:rPr>
          <w:rFonts w:ascii="Times New Roman" w:eastAsia="Times New Roman" w:hAnsi="Times New Roman"/>
          <w:lang w:val="el-GR"/>
        </w:rPr>
        <w:t>,</w:t>
      </w:r>
      <w:r w:rsidRPr="005A3754">
        <w:rPr>
          <w:rFonts w:ascii="Times New Roman" w:eastAsia="Times New Roman" w:hAnsi="Times New Roman"/>
          <w:lang w:val="el-GR"/>
        </w:rPr>
        <w:t xml:space="preserve"> </w:t>
      </w:r>
      <w:r>
        <w:rPr>
          <w:rFonts w:ascii="Times New Roman" w:eastAsia="Times New Roman" w:hAnsi="Times New Roman"/>
          <w:lang w:val="el-GR"/>
        </w:rPr>
        <w:t>θ</w:t>
      </w:r>
      <w:r w:rsidRPr="005A3754">
        <w:rPr>
          <w:rFonts w:ascii="Times New Roman" w:eastAsia="Times New Roman" w:hAnsi="Times New Roman"/>
          <w:lang w:val="el-GR"/>
        </w:rPr>
        <w:t xml:space="preserve">α πρέπει να δοθεί </w:t>
      </w:r>
      <w:r>
        <w:rPr>
          <w:rFonts w:ascii="Times New Roman" w:eastAsia="Times New Roman" w:hAnsi="Times New Roman"/>
          <w:lang w:val="el-GR"/>
        </w:rPr>
        <w:t>ιδιαίτερη</w:t>
      </w:r>
      <w:r w:rsidR="00CD1610">
        <w:rPr>
          <w:rFonts w:ascii="Times New Roman" w:eastAsia="Times New Roman" w:hAnsi="Times New Roman"/>
          <w:lang w:val="el-GR"/>
        </w:rPr>
        <w:t xml:space="preserve"> προσοχή</w:t>
      </w:r>
      <w:r>
        <w:rPr>
          <w:rFonts w:ascii="Times New Roman" w:eastAsia="Times New Roman" w:hAnsi="Times New Roman"/>
          <w:lang w:val="el-GR"/>
        </w:rPr>
        <w:t xml:space="preserve"> </w:t>
      </w:r>
      <w:r w:rsidR="00CD1610">
        <w:rPr>
          <w:rFonts w:ascii="Times New Roman" w:eastAsia="Times New Roman" w:hAnsi="Times New Roman"/>
          <w:lang w:val="el-GR"/>
        </w:rPr>
        <w:t>όσον αφορά το</w:t>
      </w:r>
      <w:r w:rsidRPr="005A3754">
        <w:rPr>
          <w:rFonts w:ascii="Times New Roman" w:eastAsia="Times New Roman" w:hAnsi="Times New Roman"/>
          <w:lang w:val="el-GR"/>
        </w:rPr>
        <w:t xml:space="preserve"> όφελος</w:t>
      </w:r>
      <w:r w:rsidR="00CD1610">
        <w:rPr>
          <w:rFonts w:ascii="Times New Roman" w:eastAsia="Times New Roman" w:hAnsi="Times New Roman"/>
          <w:lang w:val="el-GR"/>
        </w:rPr>
        <w:t xml:space="preserve"> που θα έχουν από τη </w:t>
      </w:r>
      <w:r w:rsidRPr="005A3754">
        <w:rPr>
          <w:rFonts w:ascii="Times New Roman" w:eastAsia="Times New Roman" w:hAnsi="Times New Roman"/>
          <w:lang w:val="el-GR"/>
        </w:rPr>
        <w:t xml:space="preserve">μείωση των λιπιδίων με τη χρήση του </w:t>
      </w:r>
      <w:r w:rsidR="00CD1610">
        <w:rPr>
          <w:rFonts w:ascii="Times New Roman" w:eastAsia="Times New Roman" w:hAnsi="Times New Roman"/>
        </w:rPr>
        <w:t>Celmantin</w:t>
      </w:r>
      <w:r w:rsidRPr="005A3754">
        <w:rPr>
          <w:rFonts w:ascii="Times New Roman" w:eastAsia="Times New Roman" w:hAnsi="Times New Roman"/>
          <w:lang w:val="el-GR"/>
        </w:rPr>
        <w:t xml:space="preserve"> και τ</w:t>
      </w:r>
      <w:r w:rsidR="00CD1610">
        <w:rPr>
          <w:rFonts w:ascii="Times New Roman" w:eastAsia="Times New Roman" w:hAnsi="Times New Roman"/>
          <w:lang w:val="el-GR"/>
        </w:rPr>
        <w:t>ην</w:t>
      </w:r>
      <w:r w:rsidRPr="005A3754">
        <w:rPr>
          <w:rFonts w:ascii="Times New Roman" w:eastAsia="Times New Roman" w:hAnsi="Times New Roman"/>
          <w:lang w:val="el-GR"/>
        </w:rPr>
        <w:t xml:space="preserve"> </w:t>
      </w:r>
      <w:r w:rsidR="00CD1610">
        <w:rPr>
          <w:rFonts w:ascii="Times New Roman" w:eastAsia="Times New Roman" w:hAnsi="Times New Roman"/>
          <w:lang w:val="el-GR"/>
        </w:rPr>
        <w:t>πιθανότητα</w:t>
      </w:r>
      <w:r w:rsidRPr="005A3754">
        <w:rPr>
          <w:rFonts w:ascii="Times New Roman" w:eastAsia="Times New Roman" w:hAnsi="Times New Roman"/>
          <w:lang w:val="el-GR"/>
        </w:rPr>
        <w:t xml:space="preserve"> για αυξημένες συγκεντρώσεις </w:t>
      </w:r>
      <w:r w:rsidR="00CD1610" w:rsidRPr="005A3754">
        <w:rPr>
          <w:rFonts w:ascii="Times New Roman" w:eastAsia="Times New Roman" w:hAnsi="Times New Roman"/>
          <w:lang w:val="el-GR"/>
        </w:rPr>
        <w:t xml:space="preserve">της </w:t>
      </w:r>
      <w:r w:rsidR="00CD1610">
        <w:rPr>
          <w:rFonts w:ascii="Times New Roman" w:eastAsia="Times New Roman" w:hAnsi="Times New Roman"/>
          <w:lang w:val="el-GR"/>
        </w:rPr>
        <w:t>ροσουβαστατίνης στο</w:t>
      </w:r>
      <w:r w:rsidR="00CD1610" w:rsidRPr="005A3754">
        <w:rPr>
          <w:rFonts w:ascii="Times New Roman" w:eastAsia="Times New Roman" w:hAnsi="Times New Roman"/>
          <w:lang w:val="el-GR"/>
        </w:rPr>
        <w:t xml:space="preserve"> </w:t>
      </w:r>
      <w:r w:rsidRPr="005A3754">
        <w:rPr>
          <w:rFonts w:ascii="Times New Roman" w:eastAsia="Times New Roman" w:hAnsi="Times New Roman"/>
          <w:lang w:val="el-GR"/>
        </w:rPr>
        <w:t>πλάσμα</w:t>
      </w:r>
      <w:r w:rsidR="00CD1610">
        <w:rPr>
          <w:rFonts w:ascii="Times New Roman" w:eastAsia="Times New Roman" w:hAnsi="Times New Roman"/>
          <w:lang w:val="el-GR"/>
        </w:rPr>
        <w:t xml:space="preserve"> </w:t>
      </w:r>
      <w:r w:rsidRPr="005A3754">
        <w:rPr>
          <w:rFonts w:ascii="Times New Roman" w:eastAsia="Times New Roman" w:hAnsi="Times New Roman"/>
          <w:lang w:val="el-GR"/>
        </w:rPr>
        <w:t xml:space="preserve">κατά την έναρξη και μέχρι την τιτλοποίηση </w:t>
      </w:r>
      <w:r w:rsidR="00CD1610">
        <w:rPr>
          <w:rFonts w:ascii="Times New Roman" w:eastAsia="Times New Roman" w:hAnsi="Times New Roman"/>
          <w:lang w:val="el-GR"/>
        </w:rPr>
        <w:t xml:space="preserve">των </w:t>
      </w:r>
      <w:r w:rsidRPr="005A3754">
        <w:rPr>
          <w:rFonts w:ascii="Times New Roman" w:eastAsia="Times New Roman" w:hAnsi="Times New Roman"/>
          <w:lang w:val="el-GR"/>
        </w:rPr>
        <w:t xml:space="preserve">δόσεων </w:t>
      </w:r>
      <w:r w:rsidR="00CD1610">
        <w:rPr>
          <w:rFonts w:ascii="Times New Roman" w:eastAsia="Times New Roman" w:hAnsi="Times New Roman"/>
          <w:lang w:val="el-GR"/>
        </w:rPr>
        <w:t xml:space="preserve">του </w:t>
      </w:r>
      <w:r w:rsidR="00CD1610">
        <w:rPr>
          <w:rFonts w:ascii="Times New Roman" w:eastAsia="Times New Roman" w:hAnsi="Times New Roman"/>
        </w:rPr>
        <w:t>Celmantin</w:t>
      </w:r>
      <w:r w:rsidRPr="005A3754">
        <w:rPr>
          <w:rFonts w:ascii="Times New Roman" w:eastAsia="Times New Roman" w:hAnsi="Times New Roman"/>
          <w:lang w:val="el-GR"/>
        </w:rPr>
        <w:t xml:space="preserve"> σε ασθενείς που έλαβαν θεραπεία με αναστολείς της πρωτεάσης. Η ταυτόχρονη χρήση με ορισμένους αναστολείς πρωτεάσης δεν συνιστάται εκτός εάν η δόση του </w:t>
      </w:r>
      <w:r w:rsidR="00CD1610" w:rsidRPr="00CD1610">
        <w:rPr>
          <w:rFonts w:ascii="Times New Roman" w:eastAsia="Times New Roman" w:hAnsi="Times New Roman"/>
          <w:lang w:val="el-GR"/>
        </w:rPr>
        <w:t xml:space="preserve">Celmantin </w:t>
      </w:r>
      <w:r w:rsidRPr="005A3754">
        <w:rPr>
          <w:rFonts w:ascii="Times New Roman" w:eastAsia="Times New Roman" w:hAnsi="Times New Roman"/>
          <w:lang w:val="el-GR"/>
        </w:rPr>
        <w:t xml:space="preserve">προσαρμοστεί. (βλέπε </w:t>
      </w:r>
      <w:r w:rsidR="00CD1610">
        <w:rPr>
          <w:rFonts w:ascii="Times New Roman" w:eastAsia="Times New Roman" w:hAnsi="Times New Roman"/>
          <w:lang w:val="el-GR"/>
        </w:rPr>
        <w:t>Π</w:t>
      </w:r>
      <w:r w:rsidRPr="005A3754">
        <w:rPr>
          <w:rFonts w:ascii="Times New Roman" w:eastAsia="Times New Roman" w:hAnsi="Times New Roman"/>
          <w:lang w:val="el-GR"/>
        </w:rPr>
        <w:t>αραγράφους 4.2 και 4.5)</w:t>
      </w:r>
      <w:r w:rsidR="00CD1610">
        <w:rPr>
          <w:rFonts w:ascii="Times New Roman" w:eastAsia="Times New Roman" w:hAnsi="Times New Roman"/>
        </w:rPr>
        <w:t>.</w:t>
      </w:r>
    </w:p>
    <w:p w:rsidR="000A7F13" w:rsidRDefault="000A7F13" w:rsidP="00AC1E02">
      <w:pPr>
        <w:spacing w:after="75" w:line="360" w:lineRule="auto"/>
        <w:jc w:val="both"/>
        <w:rPr>
          <w:rFonts w:ascii="Times New Roman" w:eastAsia="Times New Roman" w:hAnsi="Times New Roman"/>
        </w:rPr>
      </w:pPr>
    </w:p>
    <w:p w:rsidR="000A7F13" w:rsidRPr="00E10A1D" w:rsidRDefault="00E10A1D" w:rsidP="00391031">
      <w:pPr>
        <w:spacing w:after="75" w:line="360" w:lineRule="auto"/>
        <w:jc w:val="both"/>
        <w:rPr>
          <w:rFonts w:ascii="Times New Roman" w:eastAsia="Times New Roman" w:hAnsi="Times New Roman"/>
          <w:lang w:val="el-GR"/>
        </w:rPr>
      </w:pPr>
      <w:r w:rsidRPr="00E10A1D">
        <w:rPr>
          <w:rFonts w:ascii="Times New Roman" w:eastAsia="Times New Roman" w:hAnsi="Times New Roman"/>
          <w:u w:val="single"/>
          <w:lang w:val="el-GR"/>
        </w:rPr>
        <w:t>Δυσανεξία λακτόζης</w:t>
      </w:r>
    </w:p>
    <w:p w:rsidR="00E10A1D" w:rsidRPr="00E10A1D" w:rsidRDefault="00E10A1D" w:rsidP="00E10A1D">
      <w:pPr>
        <w:spacing w:after="75" w:line="360" w:lineRule="auto"/>
        <w:jc w:val="both"/>
        <w:rPr>
          <w:rFonts w:ascii="Times New Roman" w:eastAsia="Times New Roman" w:hAnsi="Times New Roman"/>
          <w:lang w:val="el-GR"/>
        </w:rPr>
      </w:pPr>
      <w:r w:rsidRPr="00E10A1D">
        <w:rPr>
          <w:rFonts w:ascii="Times New Roman" w:eastAsia="Times New Roman" w:hAnsi="Times New Roman"/>
          <w:lang w:val="el-GR"/>
        </w:rPr>
        <w:t xml:space="preserve">Ασθενείς με σπάνια κληρονομικά προβλήματα δυσανεξίας γαλακτόζης, ανεπάρκεια </w:t>
      </w:r>
      <w:r w:rsidRPr="00E10A1D">
        <w:rPr>
          <w:rFonts w:ascii="Times New Roman" w:eastAsia="Times New Roman" w:hAnsi="Times New Roman"/>
        </w:rPr>
        <w:t>Lapp</w:t>
      </w:r>
      <w:r w:rsidRPr="00E10A1D">
        <w:rPr>
          <w:rFonts w:ascii="Times New Roman" w:eastAsia="Times New Roman" w:hAnsi="Times New Roman"/>
          <w:lang w:val="el-GR"/>
        </w:rPr>
        <w:t xml:space="preserve"> λακτάσης ή δυσαπορρόφησης γλυκόζης – γαλακτόζης δεν πρέπει να πάρουν αυτό το φάρμακο.</w:t>
      </w:r>
    </w:p>
    <w:p w:rsidR="00C713D9" w:rsidRPr="00021DB8" w:rsidRDefault="002E243F" w:rsidP="003170C4">
      <w:pPr>
        <w:spacing w:before="100" w:beforeAutospacing="1" w:after="75" w:line="360" w:lineRule="auto"/>
        <w:jc w:val="both"/>
        <w:rPr>
          <w:rFonts w:ascii="Times New Roman" w:eastAsia="Times New Roman" w:hAnsi="Times New Roman"/>
          <w:lang w:val="el-GR"/>
        </w:rPr>
      </w:pPr>
      <w:r w:rsidRPr="00021DB8">
        <w:rPr>
          <w:rFonts w:ascii="Times New Roman" w:eastAsia="Times New Roman" w:hAnsi="Times New Roman"/>
          <w:u w:val="single"/>
          <w:lang w:val="el-GR"/>
        </w:rPr>
        <w:t>Διάμεση πνευμονοπάθεια</w:t>
      </w:r>
    </w:p>
    <w:p w:rsidR="00021DB8" w:rsidRPr="00021DB8" w:rsidRDefault="00021DB8" w:rsidP="00021DB8">
      <w:pPr>
        <w:spacing w:after="75" w:line="360" w:lineRule="auto"/>
        <w:jc w:val="both"/>
        <w:rPr>
          <w:rFonts w:ascii="Times New Roman" w:eastAsia="Times New Roman" w:hAnsi="Times New Roman"/>
          <w:lang w:val="el-GR"/>
        </w:rPr>
      </w:pPr>
      <w:r w:rsidRPr="00021DB8">
        <w:rPr>
          <w:rFonts w:ascii="Times New Roman" w:eastAsia="Times New Roman" w:hAnsi="Times New Roman"/>
          <w:lang w:val="el-GR"/>
        </w:rPr>
        <w:t>Εξαιρετικές περιπτώσεις διάμεσης πνευμονοπάθειας έχουν αναφερθεί με ορισμένες στατίνες, ειδικά σε μακροχρόνια θεραπεία (βλ. Παράγραφο 4.8). Στα εμφανιζόμενα χαρακτηριστικά μπορεί να περιλαμβάνονται δύσπνοια, μη παραγωγικός βήχας και επιδείνωση της γενικότερης υγείας (κόπωση, απώλεια σωματικού βάρους και πυρετός). Εάν υπάρχει υποψία ότι κάποιος ασθενής έχει εμφανίσει διάμεση πνευμονοπάθεια, η θεραπεία με στατίνη πρέπει να διακόπτεται.</w:t>
      </w:r>
    </w:p>
    <w:p w:rsidR="00C713D9" w:rsidRPr="007C032F" w:rsidRDefault="00796460" w:rsidP="004D68F3">
      <w:pPr>
        <w:spacing w:before="100" w:beforeAutospacing="1" w:after="75" w:line="360" w:lineRule="auto"/>
        <w:jc w:val="both"/>
        <w:rPr>
          <w:rFonts w:ascii="Times New Roman" w:eastAsia="Times New Roman" w:hAnsi="Times New Roman"/>
          <w:lang w:val="el-GR"/>
        </w:rPr>
      </w:pPr>
      <w:r w:rsidRPr="007C032F">
        <w:rPr>
          <w:rFonts w:ascii="Times New Roman" w:eastAsia="Times New Roman" w:hAnsi="Times New Roman"/>
          <w:u w:val="single"/>
          <w:lang w:val="el-GR"/>
        </w:rPr>
        <w:t>Σακχαρώδης Διαβήτης</w:t>
      </w:r>
    </w:p>
    <w:p w:rsidR="007C032F" w:rsidRPr="007C032F" w:rsidRDefault="007C032F" w:rsidP="007C032F">
      <w:pPr>
        <w:spacing w:after="0" w:line="360" w:lineRule="auto"/>
        <w:jc w:val="both"/>
        <w:rPr>
          <w:rFonts w:ascii="Times New Roman" w:eastAsia="Times New Roman" w:hAnsi="Times New Roman"/>
          <w:lang w:val="el-GR"/>
        </w:rPr>
      </w:pPr>
      <w:r w:rsidRPr="007C032F">
        <w:rPr>
          <w:rFonts w:ascii="Times New Roman" w:eastAsia="Times New Roman" w:hAnsi="Times New Roman"/>
          <w:lang w:val="el-GR"/>
        </w:rPr>
        <w:t xml:space="preserve">Ορισμένα </w:t>
      </w:r>
      <w:r>
        <w:rPr>
          <w:rFonts w:ascii="Times New Roman" w:eastAsia="Times New Roman" w:hAnsi="Times New Roman"/>
          <w:lang w:val="el-GR"/>
        </w:rPr>
        <w:t>δεδομένα</w:t>
      </w:r>
      <w:r w:rsidRPr="007C032F">
        <w:rPr>
          <w:rFonts w:ascii="Times New Roman" w:eastAsia="Times New Roman" w:hAnsi="Times New Roman"/>
          <w:lang w:val="el-GR"/>
        </w:rPr>
        <w:t xml:space="preserve"> υποδεικνύουν ότι οι στατίνες</w:t>
      </w:r>
      <w:r>
        <w:rPr>
          <w:rFonts w:ascii="Times New Roman" w:eastAsia="Times New Roman" w:hAnsi="Times New Roman"/>
          <w:lang w:val="el-GR"/>
        </w:rPr>
        <w:t xml:space="preserve"> σαν ομάδα φαρμάκων</w:t>
      </w:r>
      <w:r w:rsidRPr="007C032F">
        <w:rPr>
          <w:rFonts w:ascii="Times New Roman" w:eastAsia="Times New Roman" w:hAnsi="Times New Roman"/>
          <w:lang w:val="el-GR"/>
        </w:rPr>
        <w:t xml:space="preserve">, </w:t>
      </w:r>
      <w:r>
        <w:rPr>
          <w:rFonts w:ascii="Times New Roman" w:eastAsia="Times New Roman" w:hAnsi="Times New Roman"/>
          <w:lang w:val="el-GR"/>
        </w:rPr>
        <w:t xml:space="preserve">αυξάνουν </w:t>
      </w:r>
      <w:r w:rsidRPr="007C032F">
        <w:rPr>
          <w:rFonts w:ascii="Times New Roman" w:eastAsia="Times New Roman" w:hAnsi="Times New Roman"/>
          <w:lang w:val="el-GR"/>
        </w:rPr>
        <w:t xml:space="preserve">τη γλυκόζη </w:t>
      </w:r>
      <w:r>
        <w:rPr>
          <w:rFonts w:ascii="Times New Roman" w:eastAsia="Times New Roman" w:hAnsi="Times New Roman"/>
          <w:lang w:val="el-GR"/>
        </w:rPr>
        <w:t>του</w:t>
      </w:r>
      <w:r w:rsidRPr="007C032F">
        <w:rPr>
          <w:rFonts w:ascii="Times New Roman" w:eastAsia="Times New Roman" w:hAnsi="Times New Roman"/>
          <w:lang w:val="el-GR"/>
        </w:rPr>
        <w:t xml:space="preserve"> α</w:t>
      </w:r>
      <w:r>
        <w:rPr>
          <w:rFonts w:ascii="Times New Roman" w:eastAsia="Times New Roman" w:hAnsi="Times New Roman"/>
          <w:lang w:val="el-GR"/>
        </w:rPr>
        <w:t>ίματος</w:t>
      </w:r>
      <w:r w:rsidRPr="007C032F">
        <w:rPr>
          <w:rFonts w:ascii="Times New Roman" w:eastAsia="Times New Roman" w:hAnsi="Times New Roman"/>
          <w:lang w:val="el-GR"/>
        </w:rPr>
        <w:t xml:space="preserve"> και σε μερικούς ασθενείς, που διατρέχουν υψηλό κίνδυνο </w:t>
      </w:r>
      <w:r w:rsidR="001E30AA">
        <w:rPr>
          <w:rFonts w:ascii="Times New Roman" w:eastAsia="Times New Roman" w:hAnsi="Times New Roman"/>
          <w:lang w:val="el-GR"/>
        </w:rPr>
        <w:t>για εμφάνιση στο μέλλον</w:t>
      </w:r>
      <w:r w:rsidRPr="007C032F">
        <w:rPr>
          <w:rFonts w:ascii="Times New Roman" w:eastAsia="Times New Roman" w:hAnsi="Times New Roman"/>
          <w:lang w:val="el-GR"/>
        </w:rPr>
        <w:t xml:space="preserve"> διαβήτη, μπορεί να </w:t>
      </w:r>
      <w:r w:rsidR="001E30AA">
        <w:rPr>
          <w:rFonts w:ascii="Times New Roman" w:eastAsia="Times New Roman" w:hAnsi="Times New Roman"/>
          <w:lang w:val="el-GR"/>
        </w:rPr>
        <w:t>εμφανιστεί</w:t>
      </w:r>
      <w:r w:rsidRPr="007C032F">
        <w:rPr>
          <w:rFonts w:ascii="Times New Roman" w:eastAsia="Times New Roman" w:hAnsi="Times New Roman"/>
          <w:lang w:val="el-GR"/>
        </w:rPr>
        <w:t xml:space="preserve"> ένα επίπεδο υπεργλυκαιμίας όπου </w:t>
      </w:r>
      <w:r w:rsidR="001E30AA" w:rsidRPr="007C032F">
        <w:rPr>
          <w:rFonts w:ascii="Times New Roman" w:eastAsia="Times New Roman" w:hAnsi="Times New Roman"/>
          <w:lang w:val="el-GR"/>
        </w:rPr>
        <w:t xml:space="preserve">είναι κατάλληλη </w:t>
      </w:r>
      <w:r w:rsidR="001E30AA">
        <w:rPr>
          <w:rFonts w:ascii="Times New Roman" w:eastAsia="Times New Roman" w:hAnsi="Times New Roman"/>
          <w:lang w:val="el-GR"/>
        </w:rPr>
        <w:t xml:space="preserve">μια </w:t>
      </w:r>
      <w:r w:rsidRPr="007C032F">
        <w:rPr>
          <w:rFonts w:ascii="Times New Roman" w:eastAsia="Times New Roman" w:hAnsi="Times New Roman"/>
          <w:lang w:val="el-GR"/>
        </w:rPr>
        <w:t xml:space="preserve">τυπική </w:t>
      </w:r>
      <w:r w:rsidR="001E30AA">
        <w:rPr>
          <w:rFonts w:ascii="Times New Roman" w:eastAsia="Times New Roman" w:hAnsi="Times New Roman"/>
          <w:lang w:val="el-GR"/>
        </w:rPr>
        <w:t>αντιδιαβητική θεραπεία</w:t>
      </w:r>
      <w:r w:rsidRPr="007C032F">
        <w:rPr>
          <w:rFonts w:ascii="Times New Roman" w:eastAsia="Times New Roman" w:hAnsi="Times New Roman"/>
          <w:lang w:val="el-GR"/>
        </w:rPr>
        <w:t xml:space="preserve">. Ο κίνδυνος, ωστόσο, αντισταθμίζεται από τη μείωση των αγγειακών κινδύνων με </w:t>
      </w:r>
      <w:r>
        <w:rPr>
          <w:rFonts w:ascii="Times New Roman" w:eastAsia="Times New Roman" w:hAnsi="Times New Roman"/>
          <w:lang w:val="el-GR"/>
        </w:rPr>
        <w:t xml:space="preserve">τις </w:t>
      </w:r>
      <w:r w:rsidRPr="007C032F">
        <w:rPr>
          <w:rFonts w:ascii="Times New Roman" w:eastAsia="Times New Roman" w:hAnsi="Times New Roman"/>
          <w:lang w:val="el-GR"/>
        </w:rPr>
        <w:t xml:space="preserve">στατίνες και ως εκ τούτου δεν θα πρέπει να είναι ένας λόγος για τη διακοπή της θεραπείας με στατίνη. Οι ασθενείς που βρίσκονται σε κίνδυνο (γλυκόζη νηστείας 5.6 </w:t>
      </w:r>
      <w:r>
        <w:rPr>
          <w:rFonts w:ascii="Times New Roman" w:eastAsia="Times New Roman" w:hAnsi="Times New Roman"/>
          <w:lang w:val="el-GR"/>
        </w:rPr>
        <w:t>έως</w:t>
      </w:r>
      <w:r w:rsidRPr="007C032F">
        <w:rPr>
          <w:rFonts w:ascii="Times New Roman" w:eastAsia="Times New Roman" w:hAnsi="Times New Roman"/>
          <w:lang w:val="el-GR"/>
        </w:rPr>
        <w:t xml:space="preserve"> 6.9 </w:t>
      </w:r>
      <w:r>
        <w:rPr>
          <w:rFonts w:ascii="Times New Roman" w:eastAsia="Times New Roman" w:hAnsi="Times New Roman"/>
        </w:rPr>
        <w:t>mm</w:t>
      </w:r>
      <w:r w:rsidRPr="007C032F">
        <w:rPr>
          <w:rFonts w:ascii="Times New Roman" w:eastAsia="Times New Roman" w:hAnsi="Times New Roman"/>
          <w:lang w:val="el-GR"/>
        </w:rPr>
        <w:t>/</w:t>
      </w:r>
      <w:r>
        <w:rPr>
          <w:rFonts w:ascii="Times New Roman" w:eastAsia="Times New Roman" w:hAnsi="Times New Roman"/>
        </w:rPr>
        <w:t>L</w:t>
      </w:r>
      <w:r w:rsidRPr="007C032F">
        <w:rPr>
          <w:rFonts w:ascii="Times New Roman" w:eastAsia="Times New Roman" w:hAnsi="Times New Roman"/>
          <w:lang w:val="el-GR"/>
        </w:rPr>
        <w:t xml:space="preserve">, </w:t>
      </w:r>
      <w:r>
        <w:rPr>
          <w:rFonts w:ascii="Times New Roman" w:eastAsia="Times New Roman" w:hAnsi="Times New Roman"/>
        </w:rPr>
        <w:t>BMI</w:t>
      </w:r>
      <w:r w:rsidRPr="007C032F">
        <w:rPr>
          <w:rFonts w:ascii="Times New Roman" w:eastAsia="Times New Roman" w:hAnsi="Times New Roman"/>
          <w:lang w:val="el-GR"/>
        </w:rPr>
        <w:t xml:space="preserve"> &gt;30 </w:t>
      </w:r>
      <w:r>
        <w:rPr>
          <w:rFonts w:ascii="Times New Roman" w:eastAsia="Times New Roman" w:hAnsi="Times New Roman"/>
        </w:rPr>
        <w:t>kg</w:t>
      </w:r>
      <w:r w:rsidRPr="007C032F">
        <w:rPr>
          <w:rFonts w:ascii="Times New Roman" w:eastAsia="Times New Roman" w:hAnsi="Times New Roman"/>
          <w:lang w:val="el-GR"/>
        </w:rPr>
        <w:t>/</w:t>
      </w:r>
      <w:r>
        <w:rPr>
          <w:rFonts w:ascii="Times New Roman" w:eastAsia="Times New Roman" w:hAnsi="Times New Roman"/>
        </w:rPr>
        <w:t>m</w:t>
      </w:r>
      <w:r w:rsidRPr="007C032F">
        <w:rPr>
          <w:rFonts w:ascii="Times New Roman" w:eastAsia="Times New Roman" w:hAnsi="Times New Roman"/>
          <w:vertAlign w:val="superscript"/>
          <w:lang w:val="el-GR"/>
        </w:rPr>
        <w:t>2</w:t>
      </w:r>
      <w:r w:rsidRPr="007C032F">
        <w:rPr>
          <w:rFonts w:ascii="Times New Roman" w:eastAsia="Times New Roman" w:hAnsi="Times New Roman"/>
          <w:lang w:val="el-GR"/>
        </w:rPr>
        <w:t xml:space="preserve">, </w:t>
      </w:r>
      <w:r>
        <w:rPr>
          <w:rFonts w:ascii="Times New Roman" w:eastAsia="Times New Roman" w:hAnsi="Times New Roman"/>
          <w:lang w:val="el-GR"/>
        </w:rPr>
        <w:t>αυξημένα</w:t>
      </w:r>
      <w:r w:rsidRPr="007C032F">
        <w:rPr>
          <w:rFonts w:ascii="Times New Roman" w:eastAsia="Times New Roman" w:hAnsi="Times New Roman"/>
          <w:lang w:val="el-GR"/>
        </w:rPr>
        <w:t xml:space="preserve"> τριγλυκερίδια, υπέρταση) θα πρέπει να παρακολουθ</w:t>
      </w:r>
      <w:r>
        <w:rPr>
          <w:rFonts w:ascii="Times New Roman" w:eastAsia="Times New Roman" w:hAnsi="Times New Roman"/>
          <w:lang w:val="el-GR"/>
        </w:rPr>
        <w:t>ούν</w:t>
      </w:r>
      <w:r w:rsidRPr="007C032F">
        <w:rPr>
          <w:rFonts w:ascii="Times New Roman" w:eastAsia="Times New Roman" w:hAnsi="Times New Roman"/>
          <w:lang w:val="el-GR"/>
        </w:rPr>
        <w:t xml:space="preserve">ται τόσο κλινικά </w:t>
      </w:r>
      <w:r>
        <w:rPr>
          <w:rFonts w:ascii="Times New Roman" w:eastAsia="Times New Roman" w:hAnsi="Times New Roman"/>
          <w:lang w:val="el-GR"/>
        </w:rPr>
        <w:t xml:space="preserve">όσο </w:t>
      </w:r>
      <w:r w:rsidRPr="007C032F">
        <w:rPr>
          <w:rFonts w:ascii="Times New Roman" w:eastAsia="Times New Roman" w:hAnsi="Times New Roman"/>
          <w:lang w:val="el-GR"/>
        </w:rPr>
        <w:t xml:space="preserve">και βιοχημικά σύμφωνα με τις εθνικές κατευθυντήριες </w:t>
      </w:r>
      <w:r>
        <w:rPr>
          <w:rFonts w:ascii="Times New Roman" w:eastAsia="Times New Roman" w:hAnsi="Times New Roman"/>
          <w:lang w:val="el-GR"/>
        </w:rPr>
        <w:t>οδηγίες</w:t>
      </w:r>
      <w:r w:rsidRPr="007C032F">
        <w:rPr>
          <w:rFonts w:ascii="Times New Roman" w:eastAsia="Times New Roman" w:hAnsi="Times New Roman"/>
          <w:lang w:val="el-GR"/>
        </w:rPr>
        <w:t>.</w:t>
      </w:r>
    </w:p>
    <w:p w:rsidR="007C032F" w:rsidRDefault="007C032F" w:rsidP="007C032F">
      <w:pPr>
        <w:spacing w:after="0" w:line="360" w:lineRule="auto"/>
        <w:jc w:val="both"/>
        <w:rPr>
          <w:rFonts w:ascii="Times New Roman" w:eastAsia="Times New Roman" w:hAnsi="Times New Roman"/>
          <w:lang w:val="el-GR"/>
        </w:rPr>
      </w:pPr>
      <w:r w:rsidRPr="007C032F">
        <w:rPr>
          <w:rFonts w:ascii="Times New Roman" w:eastAsia="Times New Roman" w:hAnsi="Times New Roman"/>
          <w:lang w:val="el-GR"/>
        </w:rPr>
        <w:t xml:space="preserve">Στη μελέτη JUPITER, η αναφερόμενη </w:t>
      </w:r>
      <w:r>
        <w:rPr>
          <w:rFonts w:ascii="Times New Roman" w:eastAsia="Times New Roman" w:hAnsi="Times New Roman"/>
          <w:lang w:val="el-GR"/>
        </w:rPr>
        <w:t>ολική</w:t>
      </w:r>
      <w:r w:rsidRPr="007C032F">
        <w:rPr>
          <w:rFonts w:ascii="Times New Roman" w:eastAsia="Times New Roman" w:hAnsi="Times New Roman"/>
          <w:lang w:val="el-GR"/>
        </w:rPr>
        <w:t xml:space="preserve"> συχνότητα του σακχαρώδη διαβήτη ήταν 2,8% </w:t>
      </w:r>
      <w:r>
        <w:rPr>
          <w:rFonts w:ascii="Times New Roman" w:eastAsia="Times New Roman" w:hAnsi="Times New Roman"/>
          <w:lang w:val="el-GR"/>
        </w:rPr>
        <w:t>στην ομάδα της ροσουβαστατίνης</w:t>
      </w:r>
      <w:r w:rsidRPr="007C032F">
        <w:rPr>
          <w:rFonts w:ascii="Times New Roman" w:eastAsia="Times New Roman" w:hAnsi="Times New Roman"/>
          <w:lang w:val="el-GR"/>
        </w:rPr>
        <w:t xml:space="preserve"> και 2,3% του εικονικού φαρμάκου, κυρίως σε ασθενείς με γλυκόζη νηστείας 5.6 </w:t>
      </w:r>
      <w:r>
        <w:rPr>
          <w:rFonts w:ascii="Times New Roman" w:eastAsia="Times New Roman" w:hAnsi="Times New Roman"/>
          <w:lang w:val="el-GR"/>
        </w:rPr>
        <w:t>–</w:t>
      </w:r>
      <w:r w:rsidRPr="007C032F">
        <w:rPr>
          <w:rFonts w:ascii="Times New Roman" w:eastAsia="Times New Roman" w:hAnsi="Times New Roman"/>
          <w:lang w:val="el-GR"/>
        </w:rPr>
        <w:t xml:space="preserve"> 5.9 mmol / L</w:t>
      </w:r>
    </w:p>
    <w:p w:rsidR="00C713D9" w:rsidRPr="00E3390E" w:rsidRDefault="00070747" w:rsidP="00070747">
      <w:pPr>
        <w:spacing w:before="100" w:beforeAutospacing="1" w:after="75" w:line="360" w:lineRule="auto"/>
        <w:jc w:val="both"/>
        <w:rPr>
          <w:rFonts w:ascii="Times New Roman" w:eastAsia="Times New Roman" w:hAnsi="Times New Roman"/>
          <w:lang w:val="el-GR"/>
        </w:rPr>
      </w:pPr>
      <w:r w:rsidRPr="00E3390E">
        <w:rPr>
          <w:rFonts w:ascii="Times New Roman" w:eastAsia="Times New Roman" w:hAnsi="Times New Roman"/>
          <w:u w:val="single"/>
          <w:lang w:val="el-GR"/>
        </w:rPr>
        <w:t>Παιδιατρικός πληθυσμός</w:t>
      </w:r>
    </w:p>
    <w:p w:rsidR="00E3390E" w:rsidRPr="00E3390E" w:rsidRDefault="00E3390E" w:rsidP="00E3390E">
      <w:pPr>
        <w:spacing w:after="75" w:line="360" w:lineRule="auto"/>
        <w:jc w:val="both"/>
        <w:rPr>
          <w:rFonts w:ascii="Times New Roman" w:eastAsia="Times New Roman" w:hAnsi="Times New Roman"/>
          <w:lang w:val="el-GR"/>
        </w:rPr>
      </w:pPr>
      <w:r w:rsidRPr="00E3390E">
        <w:rPr>
          <w:rFonts w:ascii="Times New Roman" w:eastAsia="Times New Roman" w:hAnsi="Times New Roman"/>
          <w:lang w:val="el-GR"/>
        </w:rPr>
        <w:lastRenderedPageBreak/>
        <w:t>Η αξιολόγηση της γραμμικής ανάπτυξης (ύψος), του βάρους, του ΔΜΣ (δείκτης</w:t>
      </w:r>
      <w:r>
        <w:rPr>
          <w:rFonts w:ascii="Times New Roman" w:eastAsia="Times New Roman" w:hAnsi="Times New Roman"/>
          <w:lang w:val="el-GR"/>
        </w:rPr>
        <w:t xml:space="preserve"> </w:t>
      </w:r>
      <w:r w:rsidRPr="00E3390E">
        <w:rPr>
          <w:rFonts w:ascii="Times New Roman" w:eastAsia="Times New Roman" w:hAnsi="Times New Roman"/>
          <w:lang w:val="el-GR"/>
        </w:rPr>
        <w:t>μάζας σώματος) και δευτερευόντων χαρακτηριστικών της σεξουαλικής ωρίμανσης</w:t>
      </w:r>
      <w:r>
        <w:rPr>
          <w:rFonts w:ascii="Times New Roman" w:eastAsia="Times New Roman" w:hAnsi="Times New Roman"/>
          <w:lang w:val="el-GR"/>
        </w:rPr>
        <w:t xml:space="preserve"> </w:t>
      </w:r>
      <w:r w:rsidR="00C030BE">
        <w:rPr>
          <w:rFonts w:ascii="Times New Roman" w:eastAsia="Times New Roman" w:hAnsi="Times New Roman"/>
          <w:lang w:val="el-GR"/>
        </w:rPr>
        <w:t xml:space="preserve">κατηγοριοποίηση κατά </w:t>
      </w:r>
      <w:r w:rsidRPr="00E3390E">
        <w:rPr>
          <w:rFonts w:ascii="Times New Roman" w:eastAsia="Times New Roman" w:hAnsi="Times New Roman"/>
          <w:lang w:val="el-GR"/>
        </w:rPr>
        <w:t>Tanner σε παιδιατρικούς ασθενείς ηλικίας 10 με 17 ετών που λαμβάνουν</w:t>
      </w:r>
      <w:r>
        <w:rPr>
          <w:rFonts w:ascii="Times New Roman" w:eastAsia="Times New Roman" w:hAnsi="Times New Roman"/>
          <w:lang w:val="el-GR"/>
        </w:rPr>
        <w:t xml:space="preserve"> ροσουβαστατίνη</w:t>
      </w:r>
      <w:r w:rsidRPr="00E3390E">
        <w:rPr>
          <w:rFonts w:ascii="Times New Roman" w:eastAsia="Times New Roman" w:hAnsi="Times New Roman"/>
          <w:lang w:val="el-GR"/>
        </w:rPr>
        <w:t xml:space="preserve"> είναι περιορισμένη σ</w:t>
      </w:r>
      <w:r w:rsidR="00C030BE">
        <w:rPr>
          <w:rFonts w:ascii="Times New Roman" w:eastAsia="Times New Roman" w:hAnsi="Times New Roman"/>
          <w:lang w:val="el-GR"/>
        </w:rPr>
        <w:t>τη</w:t>
      </w:r>
      <w:r w:rsidRPr="00E3390E">
        <w:rPr>
          <w:rFonts w:ascii="Times New Roman" w:eastAsia="Times New Roman" w:hAnsi="Times New Roman"/>
          <w:lang w:val="el-GR"/>
        </w:rPr>
        <w:t xml:space="preserve"> χρονική περίοδο ενός έτους. Μετά από 52</w:t>
      </w:r>
      <w:r>
        <w:rPr>
          <w:rFonts w:ascii="Times New Roman" w:eastAsia="Times New Roman" w:hAnsi="Times New Roman"/>
          <w:lang w:val="el-GR"/>
        </w:rPr>
        <w:t xml:space="preserve"> </w:t>
      </w:r>
      <w:r w:rsidRPr="00E3390E">
        <w:rPr>
          <w:rFonts w:ascii="Times New Roman" w:eastAsia="Times New Roman" w:hAnsi="Times New Roman"/>
          <w:lang w:val="el-GR"/>
        </w:rPr>
        <w:t>εβδομάδες θεραπείας της μελέτης, δεν παρατηρήθηκε επίδραση στην ανάπτυξη,</w:t>
      </w:r>
      <w:r>
        <w:rPr>
          <w:rFonts w:ascii="Times New Roman" w:eastAsia="Times New Roman" w:hAnsi="Times New Roman"/>
          <w:lang w:val="el-GR"/>
        </w:rPr>
        <w:t xml:space="preserve"> </w:t>
      </w:r>
      <w:r w:rsidRPr="00E3390E">
        <w:rPr>
          <w:rFonts w:ascii="Times New Roman" w:eastAsia="Times New Roman" w:hAnsi="Times New Roman"/>
          <w:lang w:val="el-GR"/>
        </w:rPr>
        <w:t>το βάρος, το ΔΜΣ ή τη σεξουαλική ωρίμανση (βλ. Παράγραφο 5.1). Η εμπειρία</w:t>
      </w:r>
      <w:r>
        <w:rPr>
          <w:rFonts w:ascii="Times New Roman" w:eastAsia="Times New Roman" w:hAnsi="Times New Roman"/>
          <w:lang w:val="el-GR"/>
        </w:rPr>
        <w:t xml:space="preserve"> </w:t>
      </w:r>
      <w:r w:rsidRPr="00E3390E">
        <w:rPr>
          <w:rFonts w:ascii="Times New Roman" w:eastAsia="Times New Roman" w:hAnsi="Times New Roman"/>
          <w:lang w:val="el-GR"/>
        </w:rPr>
        <w:t>από κλινικές μελέτες σε παιδιά και έφηβους ασθενείς είναι περιορισμένη και οι</w:t>
      </w:r>
      <w:r>
        <w:rPr>
          <w:rFonts w:ascii="Times New Roman" w:eastAsia="Times New Roman" w:hAnsi="Times New Roman"/>
          <w:lang w:val="el-GR"/>
        </w:rPr>
        <w:t xml:space="preserve"> </w:t>
      </w:r>
      <w:r w:rsidRPr="00E3390E">
        <w:rPr>
          <w:rFonts w:ascii="Times New Roman" w:eastAsia="Times New Roman" w:hAnsi="Times New Roman"/>
          <w:lang w:val="el-GR"/>
        </w:rPr>
        <w:t>μακροχρόνιες επιδράσεις της ροσουβαστατίνη</w:t>
      </w:r>
      <w:r>
        <w:rPr>
          <w:rFonts w:ascii="Times New Roman" w:eastAsia="Times New Roman" w:hAnsi="Times New Roman"/>
          <w:lang w:val="el-GR"/>
        </w:rPr>
        <w:t>ς</w:t>
      </w:r>
      <w:r w:rsidRPr="00E3390E">
        <w:rPr>
          <w:rFonts w:ascii="Times New Roman" w:eastAsia="Times New Roman" w:hAnsi="Times New Roman"/>
          <w:lang w:val="el-GR"/>
        </w:rPr>
        <w:t xml:space="preserve"> (&gt;1 χρόνο) στην εφηβεία είναι</w:t>
      </w:r>
      <w:r>
        <w:rPr>
          <w:rFonts w:ascii="Times New Roman" w:eastAsia="Times New Roman" w:hAnsi="Times New Roman"/>
          <w:lang w:val="el-GR"/>
        </w:rPr>
        <w:t xml:space="preserve"> </w:t>
      </w:r>
      <w:r w:rsidRPr="00E3390E">
        <w:rPr>
          <w:rFonts w:ascii="Times New Roman" w:eastAsia="Times New Roman" w:hAnsi="Times New Roman"/>
          <w:lang w:val="el-GR"/>
        </w:rPr>
        <w:t>άγνωστες.</w:t>
      </w:r>
    </w:p>
    <w:p w:rsidR="00E3390E" w:rsidRDefault="00E3390E" w:rsidP="00C030BE">
      <w:pPr>
        <w:spacing w:after="75" w:line="360" w:lineRule="auto"/>
        <w:jc w:val="both"/>
        <w:rPr>
          <w:rFonts w:ascii="Times New Roman" w:eastAsia="Times New Roman" w:hAnsi="Times New Roman"/>
          <w:lang w:val="el-GR"/>
        </w:rPr>
      </w:pPr>
      <w:r w:rsidRPr="00E3390E">
        <w:rPr>
          <w:rFonts w:ascii="Times New Roman" w:eastAsia="Times New Roman" w:hAnsi="Times New Roman"/>
          <w:lang w:val="el-GR"/>
        </w:rPr>
        <w:t xml:space="preserve">Σε κλινική μελέτη σε παιδιά και εφήβους που λάμβαναν </w:t>
      </w:r>
      <w:r w:rsidR="00C030BE" w:rsidRPr="00C030BE">
        <w:rPr>
          <w:rFonts w:ascii="Times New Roman" w:eastAsia="Times New Roman" w:hAnsi="Times New Roman"/>
          <w:lang w:val="el-GR"/>
        </w:rPr>
        <w:t xml:space="preserve">ροσουβαστατίνη </w:t>
      </w:r>
      <w:r w:rsidRPr="00E3390E">
        <w:rPr>
          <w:rFonts w:ascii="Times New Roman" w:eastAsia="Times New Roman" w:hAnsi="Times New Roman"/>
          <w:lang w:val="el-GR"/>
        </w:rPr>
        <w:t>για 52</w:t>
      </w:r>
      <w:r>
        <w:rPr>
          <w:rFonts w:ascii="Times New Roman" w:eastAsia="Times New Roman" w:hAnsi="Times New Roman"/>
          <w:lang w:val="el-GR"/>
        </w:rPr>
        <w:t xml:space="preserve"> </w:t>
      </w:r>
      <w:r w:rsidRPr="00E3390E">
        <w:rPr>
          <w:rFonts w:ascii="Times New Roman" w:eastAsia="Times New Roman" w:hAnsi="Times New Roman"/>
          <w:lang w:val="el-GR"/>
        </w:rPr>
        <w:t>εβδομάδες, παρατηρήθηκαν αυξήσεις της CK &gt;10xULN και μυϊκά συμπτώματα</w:t>
      </w:r>
      <w:r w:rsidR="00C030BE">
        <w:rPr>
          <w:rFonts w:ascii="Times New Roman" w:eastAsia="Times New Roman" w:hAnsi="Times New Roman"/>
          <w:lang w:val="el-GR"/>
        </w:rPr>
        <w:t xml:space="preserve"> </w:t>
      </w:r>
      <w:r w:rsidR="00C030BE" w:rsidRPr="00C030BE">
        <w:rPr>
          <w:rFonts w:ascii="Times New Roman" w:eastAsia="Times New Roman" w:hAnsi="Times New Roman"/>
          <w:lang w:val="el-GR"/>
        </w:rPr>
        <w:t>μετά από άσκηση ή αυξημένη σωματική δραστηριότητα με μεγαλύτερη συχνότητα</w:t>
      </w:r>
      <w:r w:rsidR="00C030BE">
        <w:rPr>
          <w:rFonts w:ascii="Times New Roman" w:eastAsia="Times New Roman" w:hAnsi="Times New Roman"/>
          <w:lang w:val="el-GR"/>
        </w:rPr>
        <w:t xml:space="preserve"> </w:t>
      </w:r>
      <w:r w:rsidR="00C030BE" w:rsidRPr="00C030BE">
        <w:rPr>
          <w:rFonts w:ascii="Times New Roman" w:eastAsia="Times New Roman" w:hAnsi="Times New Roman"/>
          <w:lang w:val="el-GR"/>
        </w:rPr>
        <w:t>σε σχέση με αντίστοιχες κλινικές μελέτες σε ενήλικες (βλ. Παράγραφο 4.8).</w:t>
      </w:r>
    </w:p>
    <w:p w:rsidR="002A1C0B" w:rsidRDefault="002A1C0B" w:rsidP="00AC1E02">
      <w:pPr>
        <w:suppressLineNumbers/>
        <w:spacing w:line="360" w:lineRule="auto"/>
        <w:ind w:left="567" w:hanging="567"/>
        <w:jc w:val="both"/>
        <w:outlineLvl w:val="0"/>
        <w:rPr>
          <w:rFonts w:ascii="Times New Roman" w:hAnsi="Times New Roman"/>
          <w:b/>
          <w:noProof/>
        </w:rPr>
      </w:pPr>
    </w:p>
    <w:p w:rsidR="00B62284" w:rsidRPr="00F03C6D" w:rsidRDefault="004C7928" w:rsidP="001D42DE">
      <w:pPr>
        <w:suppressLineNumbers/>
        <w:spacing w:line="360" w:lineRule="auto"/>
        <w:ind w:left="567" w:hanging="567"/>
        <w:jc w:val="both"/>
        <w:outlineLvl w:val="0"/>
        <w:rPr>
          <w:rFonts w:ascii="Times New Roman" w:eastAsia="Times New Roman" w:hAnsi="Times New Roman"/>
          <w:lang w:val="el-GR"/>
        </w:rPr>
      </w:pPr>
      <w:r w:rsidRPr="001D42DE">
        <w:rPr>
          <w:rFonts w:ascii="Times New Roman" w:hAnsi="Times New Roman"/>
          <w:b/>
          <w:noProof/>
          <w:lang w:val="el-GR"/>
        </w:rPr>
        <w:t>4.5</w:t>
      </w:r>
      <w:r w:rsidRPr="001D42DE">
        <w:rPr>
          <w:rFonts w:ascii="Times New Roman" w:hAnsi="Times New Roman"/>
          <w:b/>
          <w:noProof/>
          <w:lang w:val="el-GR"/>
        </w:rPr>
        <w:tab/>
      </w:r>
      <w:r w:rsidR="001D42DE" w:rsidRPr="001D42DE">
        <w:rPr>
          <w:rFonts w:ascii="Times New Roman" w:hAnsi="Times New Roman"/>
          <w:b/>
          <w:noProof/>
          <w:lang w:val="el-GR"/>
        </w:rPr>
        <w:t>Αλληλεπιδράσεις με άλλα φαρμακευτικά προϊόντα και άλλες μορφές</w:t>
      </w:r>
      <w:r w:rsidR="001D42DE" w:rsidRPr="00F03C6D">
        <w:rPr>
          <w:rFonts w:ascii="Times New Roman" w:hAnsi="Times New Roman"/>
          <w:b/>
          <w:noProof/>
          <w:lang w:val="el-GR"/>
        </w:rPr>
        <w:t xml:space="preserve"> αλληλεπίδρασης</w:t>
      </w:r>
      <w:r w:rsidR="00B62284" w:rsidRPr="00F03C6D">
        <w:rPr>
          <w:rFonts w:ascii="Times New Roman" w:eastAsia="Times New Roman" w:hAnsi="Times New Roman"/>
          <w:lang w:val="el-GR"/>
        </w:rPr>
        <w:t xml:space="preserve"> </w:t>
      </w:r>
    </w:p>
    <w:p w:rsidR="0052327D" w:rsidRPr="00AB51E2" w:rsidRDefault="00AB51E2" w:rsidP="00AC1E02">
      <w:pPr>
        <w:spacing w:before="100" w:beforeAutospacing="1" w:after="75" w:line="360" w:lineRule="auto"/>
        <w:jc w:val="both"/>
        <w:rPr>
          <w:rFonts w:ascii="Times New Roman" w:eastAsia="Times New Roman" w:hAnsi="Times New Roman"/>
          <w:bCs/>
          <w:u w:val="single"/>
          <w:lang w:val="el-GR"/>
        </w:rPr>
      </w:pPr>
      <w:r w:rsidRPr="00AB51E2">
        <w:rPr>
          <w:rFonts w:ascii="Times New Roman" w:eastAsia="Times New Roman" w:hAnsi="Times New Roman"/>
          <w:bCs/>
          <w:u w:val="single"/>
          <w:lang w:val="el-GR"/>
        </w:rPr>
        <w:t>Επίδραση τ</w:t>
      </w:r>
      <w:r>
        <w:rPr>
          <w:rFonts w:ascii="Times New Roman" w:eastAsia="Times New Roman" w:hAnsi="Times New Roman"/>
          <w:bCs/>
          <w:u w:val="single"/>
          <w:lang w:val="el-GR"/>
        </w:rPr>
        <w:t>ων</w:t>
      </w:r>
      <w:r w:rsidRPr="00AB51E2">
        <w:rPr>
          <w:rFonts w:ascii="Times New Roman" w:eastAsia="Times New Roman" w:hAnsi="Times New Roman"/>
          <w:bCs/>
          <w:u w:val="single"/>
          <w:lang w:val="el-GR"/>
        </w:rPr>
        <w:t xml:space="preserve"> συγχορηγούμεν</w:t>
      </w:r>
      <w:r>
        <w:rPr>
          <w:rFonts w:ascii="Times New Roman" w:eastAsia="Times New Roman" w:hAnsi="Times New Roman"/>
          <w:bCs/>
          <w:u w:val="single"/>
          <w:lang w:val="el-GR"/>
        </w:rPr>
        <w:t>ων</w:t>
      </w:r>
      <w:r w:rsidRPr="00AB51E2">
        <w:rPr>
          <w:rFonts w:ascii="Times New Roman" w:eastAsia="Times New Roman" w:hAnsi="Times New Roman"/>
          <w:bCs/>
          <w:u w:val="single"/>
          <w:lang w:val="el-GR"/>
        </w:rPr>
        <w:t xml:space="preserve"> φαρμακευτικ</w:t>
      </w:r>
      <w:r>
        <w:rPr>
          <w:rFonts w:ascii="Times New Roman" w:eastAsia="Times New Roman" w:hAnsi="Times New Roman"/>
          <w:bCs/>
          <w:u w:val="single"/>
          <w:lang w:val="el-GR"/>
        </w:rPr>
        <w:t>ών</w:t>
      </w:r>
      <w:r w:rsidRPr="00AB51E2">
        <w:rPr>
          <w:rFonts w:ascii="Times New Roman" w:eastAsia="Times New Roman" w:hAnsi="Times New Roman"/>
          <w:bCs/>
          <w:u w:val="single"/>
          <w:lang w:val="el-GR"/>
        </w:rPr>
        <w:t xml:space="preserve"> προϊόντ</w:t>
      </w:r>
      <w:r>
        <w:rPr>
          <w:rFonts w:ascii="Times New Roman" w:eastAsia="Times New Roman" w:hAnsi="Times New Roman"/>
          <w:bCs/>
          <w:u w:val="single"/>
          <w:lang w:val="el-GR"/>
        </w:rPr>
        <w:t>ων</w:t>
      </w:r>
      <w:r w:rsidRPr="00AB51E2">
        <w:rPr>
          <w:rFonts w:ascii="Times New Roman" w:eastAsia="Times New Roman" w:hAnsi="Times New Roman"/>
          <w:bCs/>
          <w:u w:val="single"/>
          <w:lang w:val="el-GR"/>
        </w:rPr>
        <w:t xml:space="preserve"> </w:t>
      </w:r>
      <w:r>
        <w:rPr>
          <w:rFonts w:ascii="Times New Roman" w:eastAsia="Times New Roman" w:hAnsi="Times New Roman"/>
          <w:bCs/>
          <w:u w:val="single"/>
          <w:lang w:val="el-GR"/>
        </w:rPr>
        <w:t>στη</w:t>
      </w:r>
      <w:r w:rsidRPr="00AB51E2">
        <w:rPr>
          <w:rFonts w:ascii="Times New Roman" w:eastAsia="Times New Roman" w:hAnsi="Times New Roman"/>
          <w:bCs/>
          <w:u w:val="single"/>
          <w:lang w:val="el-GR"/>
        </w:rPr>
        <w:t xml:space="preserve"> ροσουβαστατίνη</w:t>
      </w:r>
    </w:p>
    <w:p w:rsidR="002E0B64" w:rsidRDefault="002E0B64" w:rsidP="00AC1E02">
      <w:pPr>
        <w:spacing w:before="100" w:beforeAutospacing="1" w:after="75" w:line="360" w:lineRule="auto"/>
        <w:jc w:val="both"/>
        <w:rPr>
          <w:rFonts w:ascii="Times New Roman" w:eastAsia="Times New Roman" w:hAnsi="Times New Roman"/>
          <w:b/>
          <w:bCs/>
          <w:lang w:val="el-GR"/>
        </w:rPr>
      </w:pPr>
      <w:r w:rsidRPr="002E0B64">
        <w:rPr>
          <w:rFonts w:ascii="Times New Roman" w:eastAsia="Times New Roman" w:hAnsi="Times New Roman"/>
          <w:b/>
          <w:bCs/>
          <w:lang w:val="el-GR"/>
        </w:rPr>
        <w:t>Αναστολείς της πρωτεΐνης μεταφορέα:</w:t>
      </w:r>
      <w:r w:rsidRPr="007A2FA7">
        <w:rPr>
          <w:rFonts w:ascii="Times New Roman" w:eastAsia="Times New Roman" w:hAnsi="Times New Roman"/>
          <w:bCs/>
          <w:lang w:val="el-GR"/>
        </w:rPr>
        <w:t xml:space="preserve"> Η ροσουβαστατίνη είναι ένα υπόστρωμα για ορισμένες πρωτεΐνες μεταφορείς, συμπεριλαμβανομέν</w:t>
      </w:r>
      <w:r w:rsidR="007622DA">
        <w:rPr>
          <w:rFonts w:ascii="Times New Roman" w:eastAsia="Times New Roman" w:hAnsi="Times New Roman"/>
          <w:bCs/>
          <w:lang w:val="el-GR"/>
        </w:rPr>
        <w:t>ου</w:t>
      </w:r>
      <w:r w:rsidRPr="007A2FA7">
        <w:rPr>
          <w:rFonts w:ascii="Times New Roman" w:eastAsia="Times New Roman" w:hAnsi="Times New Roman"/>
          <w:bCs/>
          <w:lang w:val="el-GR"/>
        </w:rPr>
        <w:t xml:space="preserve"> τ</w:t>
      </w:r>
      <w:r w:rsidR="007622DA">
        <w:rPr>
          <w:rFonts w:ascii="Times New Roman" w:eastAsia="Times New Roman" w:hAnsi="Times New Roman"/>
          <w:bCs/>
          <w:lang w:val="el-GR"/>
        </w:rPr>
        <w:t xml:space="preserve">ου </w:t>
      </w:r>
      <w:r w:rsidR="007622DA" w:rsidRPr="007A2FA7">
        <w:rPr>
          <w:rFonts w:ascii="Times New Roman" w:eastAsia="Times New Roman" w:hAnsi="Times New Roman"/>
          <w:bCs/>
          <w:lang w:val="el-GR"/>
        </w:rPr>
        <w:t xml:space="preserve">μεταφορέα OATP1B1 </w:t>
      </w:r>
      <w:r w:rsidR="007622DA">
        <w:rPr>
          <w:rFonts w:ascii="Times New Roman" w:eastAsia="Times New Roman" w:hAnsi="Times New Roman"/>
          <w:bCs/>
          <w:lang w:val="el-GR"/>
        </w:rPr>
        <w:t>τ</w:t>
      </w:r>
      <w:r w:rsidRPr="007A2FA7">
        <w:rPr>
          <w:rFonts w:ascii="Times New Roman" w:eastAsia="Times New Roman" w:hAnsi="Times New Roman"/>
          <w:bCs/>
          <w:lang w:val="el-GR"/>
        </w:rPr>
        <w:t xml:space="preserve">ης ηπατικής πρόσληψης και </w:t>
      </w:r>
      <w:r w:rsidR="007622DA">
        <w:rPr>
          <w:rFonts w:ascii="Times New Roman" w:eastAsia="Times New Roman" w:hAnsi="Times New Roman"/>
          <w:bCs/>
          <w:lang w:val="el-GR"/>
        </w:rPr>
        <w:t xml:space="preserve">του </w:t>
      </w:r>
      <w:r w:rsidR="007622DA" w:rsidRPr="007A2FA7">
        <w:rPr>
          <w:rFonts w:ascii="Times New Roman" w:eastAsia="Times New Roman" w:hAnsi="Times New Roman"/>
          <w:bCs/>
          <w:lang w:val="el-GR"/>
        </w:rPr>
        <w:t xml:space="preserve">μεταφορέα </w:t>
      </w:r>
      <w:r w:rsidRPr="007A2FA7">
        <w:rPr>
          <w:rFonts w:ascii="Times New Roman" w:eastAsia="Times New Roman" w:hAnsi="Times New Roman"/>
          <w:bCs/>
          <w:lang w:val="el-GR"/>
        </w:rPr>
        <w:t xml:space="preserve">εκροής BCRP. Η ταυτόχρονη χορήγηση της ροσουβαστατίνης με φαρμακευτικά προϊόντα που είναι αναστολείς αυτών των πρωτεϊνών μεταφορέων μπορεί να οδηγήσει σε αυξημένες συγκεντρώσεις πλάσματος της </w:t>
      </w:r>
      <w:r w:rsidR="007622DA" w:rsidRPr="007622DA">
        <w:rPr>
          <w:rFonts w:ascii="Times New Roman" w:eastAsia="Times New Roman" w:hAnsi="Times New Roman"/>
          <w:bCs/>
          <w:lang w:val="el-GR"/>
        </w:rPr>
        <w:t xml:space="preserve">ροσουβαστατίνης </w:t>
      </w:r>
      <w:r w:rsidRPr="007A2FA7">
        <w:rPr>
          <w:rFonts w:ascii="Times New Roman" w:eastAsia="Times New Roman" w:hAnsi="Times New Roman"/>
          <w:bCs/>
          <w:lang w:val="el-GR"/>
        </w:rPr>
        <w:t xml:space="preserve">και αυξημένο κίνδυνο </w:t>
      </w:r>
      <w:r w:rsidR="007622DA">
        <w:rPr>
          <w:rFonts w:ascii="Times New Roman" w:eastAsia="Times New Roman" w:hAnsi="Times New Roman"/>
          <w:bCs/>
          <w:lang w:val="el-GR"/>
        </w:rPr>
        <w:t xml:space="preserve">για </w:t>
      </w:r>
      <w:r w:rsidRPr="007A2FA7">
        <w:rPr>
          <w:rFonts w:ascii="Times New Roman" w:eastAsia="Times New Roman" w:hAnsi="Times New Roman"/>
          <w:bCs/>
          <w:lang w:val="el-GR"/>
        </w:rPr>
        <w:t>μυοπάθεια (βλέπε παραγράφους 4.2, 4.4 και 4.5</w:t>
      </w:r>
      <w:r w:rsidR="007622DA">
        <w:rPr>
          <w:rFonts w:ascii="Times New Roman" w:eastAsia="Times New Roman" w:hAnsi="Times New Roman"/>
          <w:bCs/>
          <w:lang w:val="el-GR"/>
        </w:rPr>
        <w:t>,</w:t>
      </w:r>
      <w:r w:rsidRPr="007A2FA7">
        <w:rPr>
          <w:rFonts w:ascii="Times New Roman" w:eastAsia="Times New Roman" w:hAnsi="Times New Roman"/>
          <w:bCs/>
          <w:lang w:val="el-GR"/>
        </w:rPr>
        <w:t xml:space="preserve"> Πίνακα</w:t>
      </w:r>
      <w:r w:rsidR="007A2FA7">
        <w:rPr>
          <w:rFonts w:ascii="Times New Roman" w:eastAsia="Times New Roman" w:hAnsi="Times New Roman"/>
          <w:bCs/>
          <w:lang w:val="el-GR"/>
        </w:rPr>
        <w:t>ς</w:t>
      </w:r>
      <w:r w:rsidRPr="007A2FA7">
        <w:rPr>
          <w:rFonts w:ascii="Times New Roman" w:eastAsia="Times New Roman" w:hAnsi="Times New Roman"/>
          <w:bCs/>
          <w:lang w:val="el-GR"/>
        </w:rPr>
        <w:t xml:space="preserve"> 1)</w:t>
      </w:r>
      <w:r w:rsidR="007A2FA7">
        <w:rPr>
          <w:rFonts w:ascii="Times New Roman" w:eastAsia="Times New Roman" w:hAnsi="Times New Roman"/>
          <w:bCs/>
          <w:lang w:val="el-GR"/>
        </w:rPr>
        <w:t>.</w:t>
      </w:r>
    </w:p>
    <w:p w:rsidR="00D42683" w:rsidRDefault="00D42683" w:rsidP="00D42683">
      <w:pPr>
        <w:spacing w:before="100" w:beforeAutospacing="1" w:after="75" w:line="360" w:lineRule="auto"/>
        <w:jc w:val="both"/>
        <w:rPr>
          <w:rFonts w:ascii="Times New Roman" w:eastAsia="Times New Roman" w:hAnsi="Times New Roman"/>
          <w:lang w:val="el-GR"/>
        </w:rPr>
      </w:pPr>
      <w:r w:rsidRPr="00D42683">
        <w:rPr>
          <w:rFonts w:ascii="Times New Roman" w:eastAsia="Times New Roman" w:hAnsi="Times New Roman"/>
          <w:bCs/>
          <w:i/>
          <w:lang w:val="el-GR"/>
        </w:rPr>
        <w:t>Κυκλοσπορίνη</w:t>
      </w:r>
      <w:r w:rsidR="00B62284" w:rsidRPr="00D42683">
        <w:rPr>
          <w:rFonts w:ascii="Times New Roman" w:eastAsia="Times New Roman" w:hAnsi="Times New Roman"/>
          <w:bCs/>
          <w:i/>
          <w:lang w:val="el-GR"/>
        </w:rPr>
        <w:t>:</w:t>
      </w:r>
      <w:r w:rsidR="00B62284" w:rsidRPr="00D42683">
        <w:rPr>
          <w:rFonts w:ascii="Times New Roman" w:eastAsia="Times New Roman" w:hAnsi="Times New Roman"/>
          <w:lang w:val="el-GR"/>
        </w:rPr>
        <w:t xml:space="preserve"> </w:t>
      </w:r>
      <w:r w:rsidRPr="00D42683">
        <w:rPr>
          <w:rFonts w:ascii="Times New Roman" w:eastAsia="Times New Roman" w:hAnsi="Times New Roman"/>
          <w:lang w:val="el-GR"/>
        </w:rPr>
        <w:t xml:space="preserve">Κατά την ταυτόχρονη θεραπεία με </w:t>
      </w:r>
      <w:r>
        <w:rPr>
          <w:rFonts w:ascii="Times New Roman" w:eastAsia="Times New Roman" w:hAnsi="Times New Roman"/>
          <w:lang w:val="el-GR"/>
        </w:rPr>
        <w:t>ροσουβαστατίνη</w:t>
      </w:r>
      <w:r w:rsidRPr="00D42683">
        <w:rPr>
          <w:rFonts w:ascii="Times New Roman" w:eastAsia="Times New Roman" w:hAnsi="Times New Roman"/>
          <w:lang w:val="el-GR"/>
        </w:rPr>
        <w:t xml:space="preserve"> και κυκλοσπορίνη, οι</w:t>
      </w:r>
      <w:r>
        <w:rPr>
          <w:rFonts w:ascii="Times New Roman" w:eastAsia="Times New Roman" w:hAnsi="Times New Roman"/>
          <w:lang w:val="el-GR"/>
        </w:rPr>
        <w:t xml:space="preserve"> </w:t>
      </w:r>
      <w:r w:rsidRPr="00D42683">
        <w:rPr>
          <w:rFonts w:ascii="Times New Roman" w:eastAsia="Times New Roman" w:hAnsi="Times New Roman"/>
          <w:lang w:val="el-GR"/>
        </w:rPr>
        <w:t xml:space="preserve">τιμές </w:t>
      </w:r>
      <w:r w:rsidRPr="00D42683">
        <w:rPr>
          <w:rFonts w:ascii="Times New Roman" w:eastAsia="Times New Roman" w:hAnsi="Times New Roman"/>
        </w:rPr>
        <w:t>AUC</w:t>
      </w:r>
      <w:r w:rsidRPr="00D42683">
        <w:rPr>
          <w:rFonts w:ascii="Times New Roman" w:eastAsia="Times New Roman" w:hAnsi="Times New Roman"/>
          <w:lang w:val="el-GR"/>
        </w:rPr>
        <w:t xml:space="preserve"> της </w:t>
      </w:r>
      <w:r w:rsidR="00C71CDC" w:rsidRPr="00C71CDC">
        <w:rPr>
          <w:rFonts w:ascii="Times New Roman" w:eastAsia="Times New Roman" w:hAnsi="Times New Roman"/>
          <w:lang w:val="el-GR"/>
        </w:rPr>
        <w:t>ροσουβαστατίνη</w:t>
      </w:r>
      <w:r w:rsidR="00C71CDC">
        <w:rPr>
          <w:rFonts w:ascii="Times New Roman" w:eastAsia="Times New Roman" w:hAnsi="Times New Roman"/>
          <w:lang w:val="el-GR"/>
        </w:rPr>
        <w:t>ς</w:t>
      </w:r>
      <w:r w:rsidR="00C71CDC" w:rsidRPr="00C71CDC">
        <w:rPr>
          <w:rFonts w:ascii="Times New Roman" w:eastAsia="Times New Roman" w:hAnsi="Times New Roman"/>
          <w:lang w:val="el-GR"/>
        </w:rPr>
        <w:t xml:space="preserve"> </w:t>
      </w:r>
      <w:r w:rsidRPr="00D42683">
        <w:rPr>
          <w:rFonts w:ascii="Times New Roman" w:eastAsia="Times New Roman" w:hAnsi="Times New Roman"/>
          <w:lang w:val="el-GR"/>
        </w:rPr>
        <w:t>ήταν κατά μέσο όρο 7 φορές υψηλότερες σε σχέση με</w:t>
      </w:r>
      <w:r>
        <w:rPr>
          <w:rFonts w:ascii="Times New Roman" w:eastAsia="Times New Roman" w:hAnsi="Times New Roman"/>
          <w:lang w:val="el-GR"/>
        </w:rPr>
        <w:t xml:space="preserve"> </w:t>
      </w:r>
      <w:r w:rsidRPr="00D42683">
        <w:rPr>
          <w:rFonts w:ascii="Times New Roman" w:eastAsia="Times New Roman" w:hAnsi="Times New Roman"/>
          <w:lang w:val="el-GR"/>
        </w:rPr>
        <w:t>αυτές που παρατηρήθηκαν σε υγιείς εθελοντές</w:t>
      </w:r>
      <w:r w:rsidR="004C09E7">
        <w:rPr>
          <w:rFonts w:ascii="Times New Roman" w:eastAsia="Times New Roman" w:hAnsi="Times New Roman"/>
          <w:lang w:val="el-GR"/>
        </w:rPr>
        <w:t xml:space="preserve"> (βλέπε Πίνακα 1). Το </w:t>
      </w:r>
      <w:r w:rsidR="004C09E7">
        <w:rPr>
          <w:rFonts w:ascii="Times New Roman" w:eastAsia="Times New Roman" w:hAnsi="Times New Roman"/>
        </w:rPr>
        <w:t>Celmantin</w:t>
      </w:r>
      <w:r w:rsidR="004C09E7" w:rsidRPr="004C09E7">
        <w:rPr>
          <w:rFonts w:ascii="Times New Roman" w:eastAsia="Times New Roman" w:hAnsi="Times New Roman"/>
          <w:lang w:val="el-GR"/>
        </w:rPr>
        <w:t xml:space="preserve"> </w:t>
      </w:r>
      <w:r w:rsidR="004C09E7">
        <w:rPr>
          <w:rFonts w:ascii="Times New Roman" w:eastAsia="Times New Roman" w:hAnsi="Times New Roman"/>
          <w:lang w:val="el-GR"/>
        </w:rPr>
        <w:t>αντενδείκνυται σε ασθενείς που λαμβάνουν ταυτόχρονα κυκλοσπορίνη</w:t>
      </w:r>
      <w:r w:rsidRPr="00D42683">
        <w:rPr>
          <w:rFonts w:ascii="Times New Roman" w:eastAsia="Times New Roman" w:hAnsi="Times New Roman"/>
          <w:lang w:val="el-GR"/>
        </w:rPr>
        <w:t xml:space="preserve"> (βλ. </w:t>
      </w:r>
      <w:r w:rsidR="004C09E7">
        <w:rPr>
          <w:rFonts w:ascii="Times New Roman" w:eastAsia="Times New Roman" w:hAnsi="Times New Roman"/>
          <w:lang w:val="el-GR"/>
        </w:rPr>
        <w:t>Π</w:t>
      </w:r>
      <w:r w:rsidRPr="00D42683">
        <w:rPr>
          <w:rFonts w:ascii="Times New Roman" w:eastAsia="Times New Roman" w:hAnsi="Times New Roman"/>
          <w:lang w:val="el-GR"/>
        </w:rPr>
        <w:t>αρ</w:t>
      </w:r>
      <w:r w:rsidR="004C09E7">
        <w:rPr>
          <w:rFonts w:ascii="Times New Roman" w:eastAsia="Times New Roman" w:hAnsi="Times New Roman"/>
          <w:lang w:val="el-GR"/>
        </w:rPr>
        <w:t>άγραφο</w:t>
      </w:r>
      <w:r w:rsidRPr="00D42683">
        <w:rPr>
          <w:rFonts w:ascii="Times New Roman" w:eastAsia="Times New Roman" w:hAnsi="Times New Roman"/>
          <w:lang w:val="el-GR"/>
        </w:rPr>
        <w:t xml:space="preserve"> 4.3).</w:t>
      </w:r>
      <w:r>
        <w:rPr>
          <w:rFonts w:ascii="Times New Roman" w:eastAsia="Times New Roman" w:hAnsi="Times New Roman"/>
          <w:lang w:val="el-GR"/>
        </w:rPr>
        <w:t xml:space="preserve"> </w:t>
      </w:r>
    </w:p>
    <w:p w:rsidR="00D42683" w:rsidRDefault="00D42683" w:rsidP="00D42683">
      <w:pPr>
        <w:spacing w:before="100" w:beforeAutospacing="1" w:after="75" w:line="360" w:lineRule="auto"/>
        <w:jc w:val="both"/>
        <w:rPr>
          <w:rFonts w:ascii="Times New Roman" w:eastAsia="Times New Roman" w:hAnsi="Times New Roman"/>
          <w:lang w:val="el-GR"/>
        </w:rPr>
      </w:pPr>
      <w:r w:rsidRPr="00D42683">
        <w:rPr>
          <w:rFonts w:ascii="Times New Roman" w:eastAsia="Times New Roman" w:hAnsi="Times New Roman"/>
          <w:lang w:val="el-GR"/>
        </w:rPr>
        <w:t>Η ταυτόχρονη χορήγηση δεν επηρέασε τα επίπεδα της κυκλοσπορίνης στο</w:t>
      </w:r>
      <w:r>
        <w:rPr>
          <w:rFonts w:ascii="Times New Roman" w:eastAsia="Times New Roman" w:hAnsi="Times New Roman"/>
          <w:lang w:val="el-GR"/>
        </w:rPr>
        <w:t xml:space="preserve"> </w:t>
      </w:r>
      <w:r w:rsidRPr="00C71CDC">
        <w:rPr>
          <w:rFonts w:ascii="Times New Roman" w:eastAsia="Times New Roman" w:hAnsi="Times New Roman"/>
          <w:lang w:val="el-GR"/>
        </w:rPr>
        <w:t>πλάσμα.</w:t>
      </w:r>
    </w:p>
    <w:p w:rsidR="00482234" w:rsidRPr="00482234" w:rsidRDefault="00A4365C" w:rsidP="00AC1E02">
      <w:pPr>
        <w:spacing w:before="100" w:beforeAutospacing="1" w:after="75" w:line="360" w:lineRule="auto"/>
        <w:jc w:val="both"/>
        <w:rPr>
          <w:rFonts w:ascii="Times New Roman" w:eastAsia="Times New Roman" w:hAnsi="Times New Roman"/>
          <w:bCs/>
          <w:lang w:val="el-GR"/>
        </w:rPr>
      </w:pPr>
      <w:r>
        <w:rPr>
          <w:rFonts w:ascii="Times New Roman" w:eastAsia="Times New Roman" w:hAnsi="Times New Roman"/>
          <w:bCs/>
          <w:i/>
          <w:iCs/>
          <w:lang w:val="el-GR"/>
        </w:rPr>
        <w:t>Αναστολείς</w:t>
      </w:r>
      <w:r w:rsidRPr="00482234">
        <w:rPr>
          <w:rFonts w:ascii="Times New Roman" w:eastAsia="Times New Roman" w:hAnsi="Times New Roman"/>
          <w:bCs/>
          <w:i/>
          <w:iCs/>
          <w:lang w:val="el-GR"/>
        </w:rPr>
        <w:t xml:space="preserve"> </w:t>
      </w:r>
      <w:r>
        <w:rPr>
          <w:rFonts w:ascii="Times New Roman" w:eastAsia="Times New Roman" w:hAnsi="Times New Roman"/>
          <w:bCs/>
          <w:i/>
          <w:iCs/>
          <w:lang w:val="el-GR"/>
        </w:rPr>
        <w:t>πρωτεάσης</w:t>
      </w:r>
      <w:r w:rsidR="0052327D" w:rsidRPr="00482234">
        <w:rPr>
          <w:rFonts w:ascii="Times New Roman" w:eastAsia="Times New Roman" w:hAnsi="Times New Roman"/>
          <w:bCs/>
          <w:lang w:val="el-GR"/>
        </w:rPr>
        <w:t xml:space="preserve">: </w:t>
      </w:r>
      <w:r w:rsidR="00482234" w:rsidRPr="00482234">
        <w:rPr>
          <w:rFonts w:ascii="Times New Roman" w:eastAsia="Times New Roman" w:hAnsi="Times New Roman"/>
          <w:bCs/>
          <w:lang w:val="el-GR"/>
        </w:rPr>
        <w:t>Αν και ο ακριβής μηχανισμός της αλληλεπίδρασης δεν είναι γνωστ</w:t>
      </w:r>
      <w:r w:rsidR="00EC0068">
        <w:rPr>
          <w:rFonts w:ascii="Times New Roman" w:eastAsia="Times New Roman" w:hAnsi="Times New Roman"/>
          <w:bCs/>
          <w:lang w:val="el-GR"/>
        </w:rPr>
        <w:t>ός</w:t>
      </w:r>
      <w:r w:rsidR="00482234" w:rsidRPr="00482234">
        <w:rPr>
          <w:rFonts w:ascii="Times New Roman" w:eastAsia="Times New Roman" w:hAnsi="Times New Roman"/>
          <w:bCs/>
          <w:lang w:val="el-GR"/>
        </w:rPr>
        <w:t xml:space="preserve">, η συγχορήγηση αναστολέα πρωτεάσης μπορεί να αυξήσει σημαντικά την έκθεση </w:t>
      </w:r>
      <w:r w:rsidR="00A01697">
        <w:rPr>
          <w:rFonts w:ascii="Times New Roman" w:eastAsia="Times New Roman" w:hAnsi="Times New Roman"/>
          <w:bCs/>
          <w:lang w:val="el-GR"/>
        </w:rPr>
        <w:t xml:space="preserve">σε </w:t>
      </w:r>
      <w:r w:rsidR="00482234" w:rsidRPr="00482234">
        <w:rPr>
          <w:rFonts w:ascii="Times New Roman" w:eastAsia="Times New Roman" w:hAnsi="Times New Roman"/>
          <w:bCs/>
        </w:rPr>
        <w:t>rosuvastatin</w:t>
      </w:r>
      <w:r w:rsidR="00482234" w:rsidRPr="00482234">
        <w:rPr>
          <w:rFonts w:ascii="Times New Roman" w:eastAsia="Times New Roman" w:hAnsi="Times New Roman"/>
          <w:bCs/>
          <w:lang w:val="el-GR"/>
        </w:rPr>
        <w:t xml:space="preserve"> (βλ. Πίνακα 1). Για παράδειγμα, σε μία φαρμακοκινητική μελέτη, συν</w:t>
      </w:r>
      <w:r w:rsidR="00A01697">
        <w:rPr>
          <w:rFonts w:ascii="Times New Roman" w:eastAsia="Times New Roman" w:hAnsi="Times New Roman"/>
          <w:bCs/>
          <w:lang w:val="el-GR"/>
        </w:rPr>
        <w:t>χ</w:t>
      </w:r>
      <w:r w:rsidR="00482234" w:rsidRPr="00482234">
        <w:rPr>
          <w:rFonts w:ascii="Times New Roman" w:eastAsia="Times New Roman" w:hAnsi="Times New Roman"/>
          <w:bCs/>
          <w:lang w:val="el-GR"/>
        </w:rPr>
        <w:t xml:space="preserve">ορήγηση των 10 </w:t>
      </w:r>
      <w:r w:rsidR="00482234" w:rsidRPr="00482234">
        <w:rPr>
          <w:rFonts w:ascii="Times New Roman" w:eastAsia="Times New Roman" w:hAnsi="Times New Roman"/>
          <w:bCs/>
        </w:rPr>
        <w:t>mg</w:t>
      </w:r>
      <w:r w:rsidR="00482234" w:rsidRPr="00482234">
        <w:rPr>
          <w:rFonts w:ascii="Times New Roman" w:eastAsia="Times New Roman" w:hAnsi="Times New Roman"/>
          <w:bCs/>
          <w:lang w:val="el-GR"/>
        </w:rPr>
        <w:t xml:space="preserve"> </w:t>
      </w:r>
      <w:r w:rsidR="00482234" w:rsidRPr="00482234">
        <w:rPr>
          <w:rFonts w:ascii="Times New Roman" w:eastAsia="Times New Roman" w:hAnsi="Times New Roman"/>
          <w:bCs/>
        </w:rPr>
        <w:t>rosuvastatin</w:t>
      </w:r>
      <w:r w:rsidR="00482234" w:rsidRPr="00482234">
        <w:rPr>
          <w:rFonts w:ascii="Times New Roman" w:eastAsia="Times New Roman" w:hAnsi="Times New Roman"/>
          <w:bCs/>
          <w:lang w:val="el-GR"/>
        </w:rPr>
        <w:t xml:space="preserve"> και </w:t>
      </w:r>
      <w:r w:rsidR="00A01697">
        <w:rPr>
          <w:rFonts w:ascii="Times New Roman" w:eastAsia="Times New Roman" w:hAnsi="Times New Roman"/>
          <w:bCs/>
          <w:lang w:val="el-GR"/>
        </w:rPr>
        <w:t>ενός</w:t>
      </w:r>
      <w:r w:rsidR="00482234" w:rsidRPr="00482234">
        <w:rPr>
          <w:rFonts w:ascii="Times New Roman" w:eastAsia="Times New Roman" w:hAnsi="Times New Roman"/>
          <w:bCs/>
          <w:lang w:val="el-GR"/>
        </w:rPr>
        <w:t xml:space="preserve"> προϊόν</w:t>
      </w:r>
      <w:r w:rsidR="00A01697">
        <w:rPr>
          <w:rFonts w:ascii="Times New Roman" w:eastAsia="Times New Roman" w:hAnsi="Times New Roman"/>
          <w:bCs/>
          <w:lang w:val="el-GR"/>
        </w:rPr>
        <w:t>τος</w:t>
      </w:r>
      <w:r w:rsidR="00482234" w:rsidRPr="00482234">
        <w:rPr>
          <w:rFonts w:ascii="Times New Roman" w:eastAsia="Times New Roman" w:hAnsi="Times New Roman"/>
          <w:bCs/>
          <w:lang w:val="el-GR"/>
        </w:rPr>
        <w:t xml:space="preserve"> συνδυασμού δύο αναστολ</w:t>
      </w:r>
      <w:r w:rsidR="00A01697">
        <w:rPr>
          <w:rFonts w:ascii="Times New Roman" w:eastAsia="Times New Roman" w:hAnsi="Times New Roman"/>
          <w:bCs/>
          <w:lang w:val="el-GR"/>
        </w:rPr>
        <w:t>έων</w:t>
      </w:r>
      <w:r w:rsidR="00482234" w:rsidRPr="00482234">
        <w:rPr>
          <w:rFonts w:ascii="Times New Roman" w:eastAsia="Times New Roman" w:hAnsi="Times New Roman"/>
          <w:bCs/>
          <w:lang w:val="el-GR"/>
        </w:rPr>
        <w:t xml:space="preserve"> πρωτεάσης (300 </w:t>
      </w:r>
      <w:r w:rsidR="00482234" w:rsidRPr="00482234">
        <w:rPr>
          <w:rFonts w:ascii="Times New Roman" w:eastAsia="Times New Roman" w:hAnsi="Times New Roman"/>
          <w:bCs/>
        </w:rPr>
        <w:t>mg</w:t>
      </w:r>
      <w:r w:rsidR="00482234" w:rsidRPr="00482234">
        <w:rPr>
          <w:rFonts w:ascii="Times New Roman" w:eastAsia="Times New Roman" w:hAnsi="Times New Roman"/>
          <w:bCs/>
          <w:lang w:val="el-GR"/>
        </w:rPr>
        <w:t xml:space="preserve"> αταζαναβίρη / 100 </w:t>
      </w:r>
      <w:r w:rsidR="00482234" w:rsidRPr="00482234">
        <w:rPr>
          <w:rFonts w:ascii="Times New Roman" w:eastAsia="Times New Roman" w:hAnsi="Times New Roman"/>
          <w:bCs/>
        </w:rPr>
        <w:t>mg</w:t>
      </w:r>
      <w:r w:rsidR="00482234" w:rsidRPr="00482234">
        <w:rPr>
          <w:rFonts w:ascii="Times New Roman" w:eastAsia="Times New Roman" w:hAnsi="Times New Roman"/>
          <w:bCs/>
          <w:lang w:val="el-GR"/>
        </w:rPr>
        <w:t xml:space="preserve"> ριτοναβίρης) σε υγιείς εθελοντές συνδέθηκε με μία περίπου τριπλάσια και επτά-πλάσια αύξηση στ</w:t>
      </w:r>
      <w:r w:rsidR="00A01697">
        <w:rPr>
          <w:rFonts w:ascii="Times New Roman" w:eastAsia="Times New Roman" w:hAnsi="Times New Roman"/>
          <w:bCs/>
          <w:lang w:val="el-GR"/>
        </w:rPr>
        <w:t>α</w:t>
      </w:r>
      <w:r w:rsidR="00482234" w:rsidRPr="00482234">
        <w:rPr>
          <w:rFonts w:ascii="Times New Roman" w:eastAsia="Times New Roman" w:hAnsi="Times New Roman"/>
          <w:bCs/>
          <w:lang w:val="el-GR"/>
        </w:rPr>
        <w:t xml:space="preserve"> </w:t>
      </w:r>
      <w:r w:rsidR="00A01697" w:rsidRPr="00482234">
        <w:rPr>
          <w:rFonts w:ascii="Times New Roman" w:eastAsia="Times New Roman" w:hAnsi="Times New Roman"/>
          <w:bCs/>
        </w:rPr>
        <w:t>AUC</w:t>
      </w:r>
      <w:r w:rsidR="00A01697" w:rsidRPr="00482234">
        <w:rPr>
          <w:rFonts w:ascii="Times New Roman" w:eastAsia="Times New Roman" w:hAnsi="Times New Roman"/>
          <w:bCs/>
          <w:lang w:val="el-GR"/>
        </w:rPr>
        <w:t xml:space="preserve"> και </w:t>
      </w:r>
      <w:r w:rsidR="00A01697" w:rsidRPr="00482234">
        <w:rPr>
          <w:rFonts w:ascii="Times New Roman" w:eastAsia="Times New Roman" w:hAnsi="Times New Roman"/>
          <w:bCs/>
        </w:rPr>
        <w:t>Cmax</w:t>
      </w:r>
      <w:r w:rsidR="00A01697" w:rsidRPr="00A01697">
        <w:rPr>
          <w:rFonts w:ascii="Times New Roman" w:eastAsia="Times New Roman" w:hAnsi="Times New Roman"/>
          <w:bCs/>
          <w:lang w:val="el-GR"/>
        </w:rPr>
        <w:t xml:space="preserve"> </w:t>
      </w:r>
      <w:r w:rsidR="00A01697">
        <w:rPr>
          <w:rFonts w:ascii="Times New Roman" w:eastAsia="Times New Roman" w:hAnsi="Times New Roman"/>
          <w:bCs/>
          <w:lang w:val="el-GR"/>
        </w:rPr>
        <w:t>της ροσουβαστατίνης</w:t>
      </w:r>
      <w:r w:rsidR="00482234" w:rsidRPr="00482234">
        <w:rPr>
          <w:rFonts w:ascii="Times New Roman" w:eastAsia="Times New Roman" w:hAnsi="Times New Roman"/>
          <w:bCs/>
          <w:lang w:val="el-GR"/>
        </w:rPr>
        <w:t xml:space="preserve">, αντίστοιχα. Η </w:t>
      </w:r>
      <w:r w:rsidR="00A01697">
        <w:rPr>
          <w:rFonts w:ascii="Times New Roman" w:eastAsia="Times New Roman" w:hAnsi="Times New Roman"/>
          <w:bCs/>
          <w:lang w:val="el-GR"/>
        </w:rPr>
        <w:t>συγχορήγηση</w:t>
      </w:r>
      <w:r w:rsidR="00482234" w:rsidRPr="00482234">
        <w:rPr>
          <w:rFonts w:ascii="Times New Roman" w:eastAsia="Times New Roman" w:hAnsi="Times New Roman"/>
          <w:bCs/>
          <w:lang w:val="el-GR"/>
        </w:rPr>
        <w:t xml:space="preserve"> του </w:t>
      </w:r>
      <w:r w:rsidR="00A01697">
        <w:rPr>
          <w:rFonts w:ascii="Times New Roman" w:eastAsia="Times New Roman" w:hAnsi="Times New Roman"/>
          <w:bCs/>
        </w:rPr>
        <w:t>Celmantin</w:t>
      </w:r>
      <w:r w:rsidR="00482234" w:rsidRPr="00482234">
        <w:rPr>
          <w:rFonts w:ascii="Times New Roman" w:eastAsia="Times New Roman" w:hAnsi="Times New Roman"/>
          <w:bCs/>
          <w:lang w:val="el-GR"/>
        </w:rPr>
        <w:t xml:space="preserve"> </w:t>
      </w:r>
      <w:r w:rsidR="00A01697">
        <w:rPr>
          <w:rFonts w:ascii="Times New Roman" w:eastAsia="Times New Roman" w:hAnsi="Times New Roman"/>
          <w:bCs/>
          <w:lang w:val="el-GR"/>
        </w:rPr>
        <w:t>με</w:t>
      </w:r>
      <w:r w:rsidR="00482234" w:rsidRPr="00482234">
        <w:rPr>
          <w:rFonts w:ascii="Times New Roman" w:eastAsia="Times New Roman" w:hAnsi="Times New Roman"/>
          <w:bCs/>
          <w:lang w:val="el-GR"/>
        </w:rPr>
        <w:t xml:space="preserve"> ορισμένους </w:t>
      </w:r>
      <w:r w:rsidR="00482234" w:rsidRPr="00482234">
        <w:rPr>
          <w:rFonts w:ascii="Times New Roman" w:eastAsia="Times New Roman" w:hAnsi="Times New Roman"/>
          <w:bCs/>
          <w:lang w:val="el-GR"/>
        </w:rPr>
        <w:lastRenderedPageBreak/>
        <w:t>συνδυασμούς αναστολέ</w:t>
      </w:r>
      <w:r w:rsidR="00A01697">
        <w:rPr>
          <w:rFonts w:ascii="Times New Roman" w:eastAsia="Times New Roman" w:hAnsi="Times New Roman"/>
          <w:bCs/>
          <w:lang w:val="el-GR"/>
        </w:rPr>
        <w:t>ων</w:t>
      </w:r>
      <w:r w:rsidR="00482234" w:rsidRPr="00482234">
        <w:rPr>
          <w:rFonts w:ascii="Times New Roman" w:eastAsia="Times New Roman" w:hAnsi="Times New Roman"/>
          <w:bCs/>
          <w:lang w:val="el-GR"/>
        </w:rPr>
        <w:t xml:space="preserve"> πρωτεάσης μπορεί να </w:t>
      </w:r>
      <w:r w:rsidR="00A01697">
        <w:rPr>
          <w:rFonts w:ascii="Times New Roman" w:eastAsia="Times New Roman" w:hAnsi="Times New Roman"/>
          <w:bCs/>
          <w:lang w:val="el-GR"/>
        </w:rPr>
        <w:t>μελετηθεί</w:t>
      </w:r>
      <w:r w:rsidR="00482234" w:rsidRPr="00482234">
        <w:rPr>
          <w:rFonts w:ascii="Times New Roman" w:eastAsia="Times New Roman" w:hAnsi="Times New Roman"/>
          <w:bCs/>
          <w:lang w:val="el-GR"/>
        </w:rPr>
        <w:t xml:space="preserve"> μετά από προσεκτική εξέταση των προσαρμογών τ</w:t>
      </w:r>
      <w:r w:rsidR="00A01697">
        <w:rPr>
          <w:rFonts w:ascii="Times New Roman" w:eastAsia="Times New Roman" w:hAnsi="Times New Roman"/>
          <w:bCs/>
          <w:lang w:val="el-GR"/>
        </w:rPr>
        <w:t>ων</w:t>
      </w:r>
      <w:r w:rsidR="00482234" w:rsidRPr="00482234">
        <w:rPr>
          <w:rFonts w:ascii="Times New Roman" w:eastAsia="Times New Roman" w:hAnsi="Times New Roman"/>
          <w:bCs/>
          <w:lang w:val="el-GR"/>
        </w:rPr>
        <w:t xml:space="preserve"> δόσ</w:t>
      </w:r>
      <w:r w:rsidR="00A01697">
        <w:rPr>
          <w:rFonts w:ascii="Times New Roman" w:eastAsia="Times New Roman" w:hAnsi="Times New Roman"/>
          <w:bCs/>
          <w:lang w:val="el-GR"/>
        </w:rPr>
        <w:t>εων</w:t>
      </w:r>
      <w:r w:rsidR="00482234" w:rsidRPr="00482234">
        <w:rPr>
          <w:rFonts w:ascii="Times New Roman" w:eastAsia="Times New Roman" w:hAnsi="Times New Roman"/>
          <w:bCs/>
          <w:lang w:val="el-GR"/>
        </w:rPr>
        <w:t xml:space="preserve"> </w:t>
      </w:r>
      <w:r w:rsidR="00A01697">
        <w:rPr>
          <w:rFonts w:ascii="Times New Roman" w:eastAsia="Times New Roman" w:hAnsi="Times New Roman"/>
          <w:bCs/>
          <w:lang w:val="el-GR"/>
        </w:rPr>
        <w:t xml:space="preserve">του </w:t>
      </w:r>
      <w:r w:rsidR="00A01697">
        <w:rPr>
          <w:rFonts w:ascii="Times New Roman" w:eastAsia="Times New Roman" w:hAnsi="Times New Roman"/>
          <w:bCs/>
        </w:rPr>
        <w:t>Celmantin</w:t>
      </w:r>
      <w:r w:rsidR="00482234" w:rsidRPr="00482234">
        <w:rPr>
          <w:rFonts w:ascii="Times New Roman" w:eastAsia="Times New Roman" w:hAnsi="Times New Roman"/>
          <w:bCs/>
          <w:lang w:val="el-GR"/>
        </w:rPr>
        <w:t xml:space="preserve"> με βάση την αναμενόμενη αύξηση της έκθεσης </w:t>
      </w:r>
      <w:r w:rsidR="00A01697">
        <w:rPr>
          <w:rFonts w:ascii="Times New Roman" w:eastAsia="Times New Roman" w:hAnsi="Times New Roman"/>
          <w:bCs/>
          <w:lang w:val="el-GR"/>
        </w:rPr>
        <w:t>σε</w:t>
      </w:r>
      <w:r w:rsidR="00482234" w:rsidRPr="00482234">
        <w:rPr>
          <w:rFonts w:ascii="Times New Roman" w:eastAsia="Times New Roman" w:hAnsi="Times New Roman"/>
          <w:bCs/>
          <w:lang w:val="el-GR"/>
        </w:rPr>
        <w:t xml:space="preserve"> </w:t>
      </w:r>
      <w:r w:rsidR="00482234" w:rsidRPr="00482234">
        <w:rPr>
          <w:rFonts w:ascii="Times New Roman" w:eastAsia="Times New Roman" w:hAnsi="Times New Roman"/>
          <w:bCs/>
        </w:rPr>
        <w:t>rosuvastatin</w:t>
      </w:r>
      <w:r w:rsidR="00482234" w:rsidRPr="00482234">
        <w:rPr>
          <w:rFonts w:ascii="Times New Roman" w:eastAsia="Times New Roman" w:hAnsi="Times New Roman"/>
          <w:bCs/>
          <w:lang w:val="el-GR"/>
        </w:rPr>
        <w:t xml:space="preserve"> (βλ. παραγράφους 4.2, 4.4 και 4.5 Πίνακα 1)</w:t>
      </w:r>
    </w:p>
    <w:p w:rsidR="00E2484A" w:rsidRPr="00E2484A" w:rsidRDefault="00E2484A" w:rsidP="00E2484A">
      <w:pPr>
        <w:spacing w:before="100" w:beforeAutospacing="1" w:after="75" w:line="360" w:lineRule="auto"/>
        <w:jc w:val="both"/>
        <w:rPr>
          <w:rFonts w:ascii="Times New Roman" w:eastAsia="Times New Roman" w:hAnsi="Times New Roman"/>
          <w:bCs/>
          <w:lang w:val="el-GR"/>
        </w:rPr>
      </w:pPr>
      <w:r w:rsidRPr="00E2484A">
        <w:rPr>
          <w:rFonts w:ascii="Times New Roman" w:eastAsia="Times New Roman" w:hAnsi="Times New Roman"/>
          <w:b/>
          <w:bCs/>
          <w:lang w:val="el-GR"/>
        </w:rPr>
        <w:t xml:space="preserve">Γεμφιβροζίλη και άλλα υπολιπιδαιμικά φάρμακα: </w:t>
      </w:r>
      <w:r w:rsidRPr="00E2484A">
        <w:rPr>
          <w:rFonts w:ascii="Times New Roman" w:eastAsia="Times New Roman" w:hAnsi="Times New Roman"/>
          <w:bCs/>
          <w:lang w:val="el-GR"/>
        </w:rPr>
        <w:t xml:space="preserve">Η συγχορήγηση </w:t>
      </w:r>
      <w:r w:rsidRPr="00E2484A">
        <w:rPr>
          <w:rFonts w:ascii="Times New Roman" w:eastAsia="Times New Roman" w:hAnsi="Times New Roman"/>
          <w:bCs/>
        </w:rPr>
        <w:t>C</w:t>
      </w:r>
      <w:r>
        <w:rPr>
          <w:rFonts w:ascii="Times New Roman" w:eastAsia="Times New Roman" w:hAnsi="Times New Roman"/>
          <w:bCs/>
        </w:rPr>
        <w:t>elmantin</w:t>
      </w:r>
      <w:r w:rsidRPr="00E2484A">
        <w:rPr>
          <w:rFonts w:ascii="Times New Roman" w:eastAsia="Times New Roman" w:hAnsi="Times New Roman"/>
          <w:bCs/>
          <w:lang w:val="el-GR"/>
        </w:rPr>
        <w:t xml:space="preserve"> με γεμφιβροζίλη επέφερε διπλασιασμό της </w:t>
      </w:r>
      <w:r w:rsidRPr="00E2484A">
        <w:rPr>
          <w:rFonts w:ascii="Times New Roman" w:eastAsia="Times New Roman" w:hAnsi="Times New Roman"/>
          <w:bCs/>
        </w:rPr>
        <w:t>Cmax</w:t>
      </w:r>
      <w:r w:rsidRPr="00E2484A">
        <w:rPr>
          <w:rFonts w:ascii="Times New Roman" w:eastAsia="Times New Roman" w:hAnsi="Times New Roman"/>
          <w:bCs/>
          <w:lang w:val="el-GR"/>
        </w:rPr>
        <w:t xml:space="preserve"> και της </w:t>
      </w:r>
      <w:r w:rsidRPr="00E2484A">
        <w:rPr>
          <w:rFonts w:ascii="Times New Roman" w:eastAsia="Times New Roman" w:hAnsi="Times New Roman"/>
          <w:bCs/>
        </w:rPr>
        <w:t>AUC</w:t>
      </w:r>
      <w:r w:rsidRPr="00E2484A">
        <w:rPr>
          <w:rFonts w:ascii="Times New Roman" w:eastAsia="Times New Roman" w:hAnsi="Times New Roman"/>
          <w:bCs/>
          <w:lang w:val="el-GR"/>
        </w:rPr>
        <w:t xml:space="preserve"> της </w:t>
      </w:r>
      <w:r>
        <w:rPr>
          <w:rFonts w:ascii="Times New Roman" w:eastAsia="Times New Roman" w:hAnsi="Times New Roman"/>
          <w:bCs/>
          <w:lang w:val="el-GR"/>
        </w:rPr>
        <w:t>ροσουβαστατίνης</w:t>
      </w:r>
      <w:r w:rsidRPr="00E2484A">
        <w:rPr>
          <w:rFonts w:ascii="Times New Roman" w:eastAsia="Times New Roman" w:hAnsi="Times New Roman"/>
          <w:bCs/>
          <w:lang w:val="el-GR"/>
        </w:rPr>
        <w:t xml:space="preserve"> (βλ.Παράγραφο 4.4).</w:t>
      </w:r>
    </w:p>
    <w:p w:rsidR="00E2484A" w:rsidRPr="00E2484A" w:rsidRDefault="00E2484A" w:rsidP="00E2484A">
      <w:pPr>
        <w:spacing w:before="100" w:beforeAutospacing="1" w:after="75" w:line="360" w:lineRule="auto"/>
        <w:jc w:val="both"/>
        <w:rPr>
          <w:rFonts w:ascii="Times New Roman" w:eastAsia="Times New Roman" w:hAnsi="Times New Roman"/>
          <w:bCs/>
          <w:lang w:val="el-GR"/>
        </w:rPr>
      </w:pPr>
      <w:r w:rsidRPr="00E2484A">
        <w:rPr>
          <w:rFonts w:ascii="Times New Roman" w:eastAsia="Times New Roman" w:hAnsi="Times New Roman"/>
          <w:bCs/>
          <w:lang w:val="el-GR"/>
        </w:rPr>
        <w:t>Με βάση τα δεδομένα από ειδικές μελέτες αλληλεπίδρασης δεν αναμένονται</w:t>
      </w:r>
      <w:r>
        <w:rPr>
          <w:rFonts w:ascii="Times New Roman" w:eastAsia="Times New Roman" w:hAnsi="Times New Roman"/>
          <w:bCs/>
          <w:lang w:val="el-GR"/>
        </w:rPr>
        <w:t xml:space="preserve"> </w:t>
      </w:r>
      <w:r w:rsidRPr="00E2484A">
        <w:rPr>
          <w:rFonts w:ascii="Times New Roman" w:eastAsia="Times New Roman" w:hAnsi="Times New Roman"/>
          <w:bCs/>
          <w:lang w:val="el-GR"/>
        </w:rPr>
        <w:t>κλινικά σημαντικές αλληλεπιδράσεις με τη φαινοφιβράτη, εντούτοις μπορεί να</w:t>
      </w:r>
      <w:r>
        <w:rPr>
          <w:rFonts w:ascii="Times New Roman" w:eastAsia="Times New Roman" w:hAnsi="Times New Roman"/>
          <w:bCs/>
          <w:lang w:val="el-GR"/>
        </w:rPr>
        <w:t xml:space="preserve"> </w:t>
      </w:r>
      <w:r w:rsidRPr="00E2484A">
        <w:rPr>
          <w:rFonts w:ascii="Times New Roman" w:eastAsia="Times New Roman" w:hAnsi="Times New Roman"/>
          <w:bCs/>
          <w:lang w:val="el-GR"/>
        </w:rPr>
        <w:t>παρατηρηθεί φαρμακοδυναμική αλληλεπίδραση. Η γεμφιβροζίλη, η φαινοφιβράτη,</w:t>
      </w:r>
      <w:r>
        <w:rPr>
          <w:rFonts w:ascii="Times New Roman" w:eastAsia="Times New Roman" w:hAnsi="Times New Roman"/>
          <w:bCs/>
          <w:lang w:val="el-GR"/>
        </w:rPr>
        <w:t xml:space="preserve"> </w:t>
      </w:r>
      <w:r w:rsidRPr="00E2484A">
        <w:rPr>
          <w:rFonts w:ascii="Times New Roman" w:eastAsia="Times New Roman" w:hAnsi="Times New Roman"/>
          <w:bCs/>
          <w:lang w:val="el-GR"/>
        </w:rPr>
        <w:t>άλλες φιβράτες και υπολιπιδαιμικές δόσεις (&gt; ή ίσες με 1 g/ημέρα) νιασίνης</w:t>
      </w:r>
      <w:r>
        <w:rPr>
          <w:rFonts w:ascii="Times New Roman" w:eastAsia="Times New Roman" w:hAnsi="Times New Roman"/>
          <w:bCs/>
          <w:lang w:val="el-GR"/>
        </w:rPr>
        <w:t xml:space="preserve"> </w:t>
      </w:r>
      <w:r w:rsidRPr="00E2484A">
        <w:rPr>
          <w:rFonts w:ascii="Times New Roman" w:eastAsia="Times New Roman" w:hAnsi="Times New Roman"/>
          <w:bCs/>
          <w:lang w:val="el-GR"/>
        </w:rPr>
        <w:t>(νικοτινικό οξύ) αυξάνουν τον κίνδυνο μυοπάθειας όταν χορηγούνται ταυτόχρονα</w:t>
      </w:r>
      <w:r>
        <w:rPr>
          <w:rFonts w:ascii="Times New Roman" w:eastAsia="Times New Roman" w:hAnsi="Times New Roman"/>
          <w:bCs/>
          <w:lang w:val="el-GR"/>
        </w:rPr>
        <w:t xml:space="preserve"> </w:t>
      </w:r>
      <w:r w:rsidRPr="00E2484A">
        <w:rPr>
          <w:rFonts w:ascii="Times New Roman" w:eastAsia="Times New Roman" w:hAnsi="Times New Roman"/>
          <w:bCs/>
          <w:lang w:val="el-GR"/>
        </w:rPr>
        <w:t>με κάποιους αναστολείς της HMG-CoA αναγωγάσης, προφανώς γιατί μπορεί να</w:t>
      </w:r>
      <w:r>
        <w:rPr>
          <w:rFonts w:ascii="Times New Roman" w:eastAsia="Times New Roman" w:hAnsi="Times New Roman"/>
          <w:bCs/>
          <w:lang w:val="el-GR"/>
        </w:rPr>
        <w:t xml:space="preserve"> </w:t>
      </w:r>
      <w:r w:rsidRPr="00E2484A">
        <w:rPr>
          <w:rFonts w:ascii="Times New Roman" w:eastAsia="Times New Roman" w:hAnsi="Times New Roman"/>
          <w:bCs/>
          <w:lang w:val="el-GR"/>
        </w:rPr>
        <w:t>προκαλέσουν μυοπάθεια όταν χορηγούνται και ως μονοθεραπεία. Η δόση των 40</w:t>
      </w:r>
      <w:r>
        <w:rPr>
          <w:rFonts w:ascii="Times New Roman" w:eastAsia="Times New Roman" w:hAnsi="Times New Roman"/>
          <w:bCs/>
          <w:lang w:val="el-GR"/>
        </w:rPr>
        <w:t xml:space="preserve"> </w:t>
      </w:r>
      <w:r w:rsidRPr="00E2484A">
        <w:rPr>
          <w:rFonts w:ascii="Times New Roman" w:eastAsia="Times New Roman" w:hAnsi="Times New Roman"/>
          <w:bCs/>
          <w:lang w:val="el-GR"/>
        </w:rPr>
        <w:t>mg αντενδείκνυται με ταυτόχρονη χρήση φιβράτης (βλ. Παρ</w:t>
      </w:r>
      <w:r>
        <w:rPr>
          <w:rFonts w:ascii="Times New Roman" w:eastAsia="Times New Roman" w:hAnsi="Times New Roman"/>
          <w:bCs/>
          <w:lang w:val="el-GR"/>
        </w:rPr>
        <w:t>αγράφους</w:t>
      </w:r>
      <w:r w:rsidRPr="00E2484A">
        <w:rPr>
          <w:rFonts w:ascii="Times New Roman" w:eastAsia="Times New Roman" w:hAnsi="Times New Roman"/>
          <w:bCs/>
          <w:lang w:val="el-GR"/>
        </w:rPr>
        <w:t xml:space="preserve"> 4.3 και</w:t>
      </w:r>
      <w:r>
        <w:rPr>
          <w:rFonts w:ascii="Times New Roman" w:eastAsia="Times New Roman" w:hAnsi="Times New Roman"/>
          <w:bCs/>
          <w:lang w:val="el-GR"/>
        </w:rPr>
        <w:t xml:space="preserve"> </w:t>
      </w:r>
      <w:r w:rsidRPr="00E2484A">
        <w:rPr>
          <w:rFonts w:ascii="Times New Roman" w:eastAsia="Times New Roman" w:hAnsi="Times New Roman"/>
          <w:bCs/>
          <w:lang w:val="el-GR"/>
        </w:rPr>
        <w:t xml:space="preserve"> 4.4). Οι ασθενείς αυτοί θα πρέπει επίσης να ξεκινούν τη θεραπεία με</w:t>
      </w:r>
      <w:r>
        <w:rPr>
          <w:rFonts w:ascii="Times New Roman" w:eastAsia="Times New Roman" w:hAnsi="Times New Roman"/>
          <w:bCs/>
          <w:lang w:val="el-GR"/>
        </w:rPr>
        <w:t xml:space="preserve"> </w:t>
      </w:r>
      <w:r w:rsidRPr="00E2484A">
        <w:rPr>
          <w:rFonts w:ascii="Times New Roman" w:eastAsia="Times New Roman" w:hAnsi="Times New Roman"/>
          <w:bCs/>
          <w:lang w:val="el-GR"/>
        </w:rPr>
        <w:t>5 mg.</w:t>
      </w:r>
    </w:p>
    <w:p w:rsidR="00216FE2" w:rsidRDefault="0052327D" w:rsidP="00216FE2">
      <w:pPr>
        <w:spacing w:before="100" w:beforeAutospacing="1" w:after="75" w:line="360" w:lineRule="auto"/>
        <w:jc w:val="both"/>
        <w:rPr>
          <w:rFonts w:ascii="Times New Roman" w:eastAsia="Times New Roman" w:hAnsi="Times New Roman"/>
          <w:bCs/>
          <w:lang w:val="el-GR"/>
        </w:rPr>
      </w:pPr>
      <w:r w:rsidRPr="00AC1E02">
        <w:rPr>
          <w:rFonts w:ascii="Times New Roman" w:eastAsia="Times New Roman" w:hAnsi="Times New Roman"/>
          <w:b/>
          <w:bCs/>
        </w:rPr>
        <w:t>Ezetimibe</w:t>
      </w:r>
      <w:r w:rsidRPr="00216FE2">
        <w:rPr>
          <w:rFonts w:ascii="Times New Roman" w:eastAsia="Times New Roman" w:hAnsi="Times New Roman"/>
          <w:b/>
          <w:bCs/>
          <w:lang w:val="el-GR"/>
        </w:rPr>
        <w:t>:</w:t>
      </w:r>
      <w:r w:rsidRPr="00216FE2">
        <w:rPr>
          <w:rFonts w:ascii="Times New Roman" w:eastAsia="Times New Roman" w:hAnsi="Times New Roman"/>
          <w:bCs/>
          <w:lang w:val="el-GR"/>
        </w:rPr>
        <w:t xml:space="preserve"> </w:t>
      </w:r>
      <w:r w:rsidR="00216FE2" w:rsidRPr="00216FE2">
        <w:rPr>
          <w:rFonts w:ascii="Times New Roman" w:eastAsia="Times New Roman" w:hAnsi="Times New Roman"/>
          <w:bCs/>
          <w:lang w:val="el-GR"/>
        </w:rPr>
        <w:t xml:space="preserve">Η ταυτόχρονη χρήση </w:t>
      </w:r>
      <w:r w:rsidR="00216FE2" w:rsidRPr="00216FE2">
        <w:rPr>
          <w:rFonts w:ascii="Times New Roman" w:eastAsia="Times New Roman" w:hAnsi="Times New Roman"/>
          <w:bCs/>
        </w:rPr>
        <w:t>C</w:t>
      </w:r>
      <w:r w:rsidR="00216FE2">
        <w:rPr>
          <w:rFonts w:ascii="Times New Roman" w:eastAsia="Times New Roman" w:hAnsi="Times New Roman"/>
          <w:bCs/>
        </w:rPr>
        <w:t>elmantin</w:t>
      </w:r>
      <w:r w:rsidR="00216FE2" w:rsidRPr="00216FE2">
        <w:rPr>
          <w:rFonts w:ascii="Times New Roman" w:eastAsia="Times New Roman" w:hAnsi="Times New Roman"/>
          <w:bCs/>
          <w:lang w:val="el-GR"/>
        </w:rPr>
        <w:t xml:space="preserve"> 10</w:t>
      </w:r>
      <w:r w:rsidR="00216FE2" w:rsidRPr="00216FE2">
        <w:rPr>
          <w:rFonts w:ascii="Times New Roman" w:eastAsia="Times New Roman" w:hAnsi="Times New Roman"/>
          <w:bCs/>
        </w:rPr>
        <w:t>mg</w:t>
      </w:r>
      <w:r w:rsidR="00216FE2" w:rsidRPr="00216FE2">
        <w:rPr>
          <w:rFonts w:ascii="Times New Roman" w:eastAsia="Times New Roman" w:hAnsi="Times New Roman"/>
          <w:bCs/>
          <w:lang w:val="el-GR"/>
        </w:rPr>
        <w:t xml:space="preserve"> και </w:t>
      </w:r>
      <w:r w:rsidR="00216FE2" w:rsidRPr="00216FE2">
        <w:rPr>
          <w:rFonts w:ascii="Times New Roman" w:eastAsia="Times New Roman" w:hAnsi="Times New Roman"/>
          <w:bCs/>
        </w:rPr>
        <w:t>ezetimide</w:t>
      </w:r>
      <w:r w:rsidR="00216FE2" w:rsidRPr="00216FE2">
        <w:rPr>
          <w:rFonts w:ascii="Times New Roman" w:eastAsia="Times New Roman" w:hAnsi="Times New Roman"/>
          <w:bCs/>
          <w:lang w:val="el-GR"/>
        </w:rPr>
        <w:t xml:space="preserve"> 10</w:t>
      </w:r>
      <w:r w:rsidR="00216FE2">
        <w:rPr>
          <w:rFonts w:ascii="Times New Roman" w:eastAsia="Times New Roman" w:hAnsi="Times New Roman"/>
          <w:bCs/>
        </w:rPr>
        <w:t>mg</w:t>
      </w:r>
      <w:r w:rsidR="00216FE2" w:rsidRPr="00216FE2">
        <w:rPr>
          <w:rFonts w:ascii="Times New Roman" w:eastAsia="Times New Roman" w:hAnsi="Times New Roman"/>
          <w:bCs/>
          <w:lang w:val="el-GR"/>
        </w:rPr>
        <w:t xml:space="preserve"> οδήγησε σε αύξηση κατά 1,2 φορές της AUC της </w:t>
      </w:r>
      <w:r w:rsidR="00216FE2">
        <w:rPr>
          <w:rFonts w:ascii="Times New Roman" w:eastAsia="Times New Roman" w:hAnsi="Times New Roman"/>
          <w:bCs/>
          <w:lang w:val="el-GR"/>
        </w:rPr>
        <w:t xml:space="preserve">ροσουβαστατίνης </w:t>
      </w:r>
      <w:r w:rsidR="00216FE2" w:rsidRPr="00216FE2">
        <w:rPr>
          <w:rFonts w:ascii="Times New Roman" w:eastAsia="Times New Roman" w:hAnsi="Times New Roman"/>
          <w:bCs/>
          <w:lang w:val="el-GR"/>
        </w:rPr>
        <w:t xml:space="preserve">σε υπερχοληστερολαιμικούς </w:t>
      </w:r>
      <w:r w:rsidR="00216FE2">
        <w:rPr>
          <w:rFonts w:ascii="Times New Roman" w:eastAsia="Times New Roman" w:hAnsi="Times New Roman"/>
          <w:bCs/>
          <w:lang w:val="el-GR"/>
        </w:rPr>
        <w:t>ασθενείς</w:t>
      </w:r>
      <w:r w:rsidR="00216FE2" w:rsidRPr="00216FE2">
        <w:rPr>
          <w:rFonts w:ascii="Times New Roman" w:eastAsia="Times New Roman" w:hAnsi="Times New Roman"/>
          <w:bCs/>
          <w:lang w:val="el-GR"/>
        </w:rPr>
        <w:t xml:space="preserve"> (Πίνακας 1). </w:t>
      </w:r>
      <w:r w:rsidR="00AF1502">
        <w:rPr>
          <w:rFonts w:ascii="Times New Roman" w:eastAsia="Times New Roman" w:hAnsi="Times New Roman"/>
          <w:bCs/>
          <w:lang w:val="el-GR"/>
        </w:rPr>
        <w:t>Μ</w:t>
      </w:r>
      <w:r w:rsidR="00216FE2" w:rsidRPr="00216FE2">
        <w:rPr>
          <w:rFonts w:ascii="Times New Roman" w:eastAsia="Times New Roman" w:hAnsi="Times New Roman"/>
          <w:bCs/>
          <w:lang w:val="el-GR"/>
        </w:rPr>
        <w:t>ια φαρμακοδυναμική αλληλεπίδραση, αναφορικά με τις ανεπιθύμητες ενέργειες, ανάμεσα σ</w:t>
      </w:r>
      <w:r w:rsidR="00AF1502">
        <w:rPr>
          <w:rFonts w:ascii="Times New Roman" w:eastAsia="Times New Roman" w:hAnsi="Times New Roman"/>
          <w:bCs/>
          <w:lang w:val="el-GR"/>
        </w:rPr>
        <w:t>το</w:t>
      </w:r>
      <w:r w:rsidR="00216FE2" w:rsidRPr="00216FE2">
        <w:rPr>
          <w:rFonts w:ascii="Times New Roman" w:eastAsia="Times New Roman" w:hAnsi="Times New Roman"/>
          <w:bCs/>
          <w:lang w:val="el-GR"/>
        </w:rPr>
        <w:t xml:space="preserve"> </w:t>
      </w:r>
      <w:r w:rsidR="00216FE2" w:rsidRPr="00216FE2">
        <w:rPr>
          <w:rFonts w:ascii="Times New Roman" w:eastAsia="Times New Roman" w:hAnsi="Times New Roman"/>
          <w:bCs/>
        </w:rPr>
        <w:t>Celmantin</w:t>
      </w:r>
      <w:r w:rsidR="00216FE2" w:rsidRPr="00AF1502">
        <w:rPr>
          <w:rFonts w:ascii="Times New Roman" w:eastAsia="Times New Roman" w:hAnsi="Times New Roman"/>
          <w:bCs/>
          <w:lang w:val="el-GR"/>
        </w:rPr>
        <w:t xml:space="preserve"> </w:t>
      </w:r>
      <w:r w:rsidR="00216FE2" w:rsidRPr="00216FE2">
        <w:rPr>
          <w:rFonts w:ascii="Times New Roman" w:eastAsia="Times New Roman" w:hAnsi="Times New Roman"/>
          <w:bCs/>
          <w:lang w:val="el-GR"/>
        </w:rPr>
        <w:t xml:space="preserve">και </w:t>
      </w:r>
      <w:r w:rsidR="00AF1502">
        <w:rPr>
          <w:rFonts w:ascii="Times New Roman" w:eastAsia="Times New Roman" w:hAnsi="Times New Roman"/>
          <w:bCs/>
          <w:lang w:val="el-GR"/>
        </w:rPr>
        <w:t xml:space="preserve">το </w:t>
      </w:r>
      <w:r w:rsidR="00216FE2" w:rsidRPr="00216FE2">
        <w:rPr>
          <w:rFonts w:ascii="Times New Roman" w:eastAsia="Times New Roman" w:hAnsi="Times New Roman"/>
          <w:bCs/>
        </w:rPr>
        <w:t>ezetimide</w:t>
      </w:r>
      <w:r w:rsidR="00216FE2" w:rsidRPr="00216FE2">
        <w:rPr>
          <w:rFonts w:ascii="Times New Roman" w:eastAsia="Times New Roman" w:hAnsi="Times New Roman"/>
          <w:bCs/>
          <w:lang w:val="el-GR"/>
        </w:rPr>
        <w:t xml:space="preserve"> δεν μπορεί να αποκλειστεί (Βλ. Παράγραφο 4.4).</w:t>
      </w:r>
    </w:p>
    <w:p w:rsidR="00691192" w:rsidRPr="00691192" w:rsidRDefault="00691192" w:rsidP="00691192">
      <w:pPr>
        <w:spacing w:before="100" w:beforeAutospacing="1" w:after="75" w:line="360" w:lineRule="auto"/>
        <w:jc w:val="both"/>
        <w:rPr>
          <w:rFonts w:ascii="Times New Roman" w:eastAsia="Times New Roman" w:hAnsi="Times New Roman"/>
          <w:bCs/>
          <w:lang w:val="el-GR"/>
        </w:rPr>
      </w:pPr>
      <w:r w:rsidRPr="00691192">
        <w:rPr>
          <w:rFonts w:ascii="Times New Roman" w:eastAsia="Times New Roman" w:hAnsi="Times New Roman"/>
          <w:b/>
          <w:bCs/>
          <w:lang w:val="el-GR"/>
        </w:rPr>
        <w:t xml:space="preserve">Αντιόξινα: </w:t>
      </w:r>
      <w:r w:rsidRPr="00691192">
        <w:rPr>
          <w:rFonts w:ascii="Times New Roman" w:eastAsia="Times New Roman" w:hAnsi="Times New Roman"/>
          <w:bCs/>
          <w:lang w:val="el-GR"/>
        </w:rPr>
        <w:t>Η ταυτόχρονη χορήγηση C</w:t>
      </w:r>
      <w:r w:rsidR="00EF34E3">
        <w:rPr>
          <w:rFonts w:ascii="Times New Roman" w:eastAsia="Times New Roman" w:hAnsi="Times New Roman"/>
          <w:bCs/>
        </w:rPr>
        <w:t>elmantin</w:t>
      </w:r>
      <w:r w:rsidRPr="00691192">
        <w:rPr>
          <w:rFonts w:ascii="Times New Roman" w:eastAsia="Times New Roman" w:hAnsi="Times New Roman"/>
          <w:bCs/>
          <w:lang w:val="el-GR"/>
        </w:rPr>
        <w:t xml:space="preserve"> με εναιώρημα αντιόξινου</w:t>
      </w:r>
      <w:r>
        <w:rPr>
          <w:rFonts w:ascii="Times New Roman" w:eastAsia="Times New Roman" w:hAnsi="Times New Roman"/>
          <w:bCs/>
          <w:lang w:val="el-GR"/>
        </w:rPr>
        <w:t xml:space="preserve"> </w:t>
      </w:r>
      <w:r w:rsidRPr="00691192">
        <w:rPr>
          <w:rFonts w:ascii="Times New Roman" w:eastAsia="Times New Roman" w:hAnsi="Times New Roman"/>
          <w:bCs/>
          <w:lang w:val="el-GR"/>
        </w:rPr>
        <w:t>σκευάσματος που περιείχε υδροξείδιο του αργιλίου και του μαγνησίου, επέφερε</w:t>
      </w:r>
      <w:r>
        <w:rPr>
          <w:rFonts w:ascii="Times New Roman" w:eastAsia="Times New Roman" w:hAnsi="Times New Roman"/>
          <w:bCs/>
          <w:lang w:val="el-GR"/>
        </w:rPr>
        <w:t xml:space="preserve"> </w:t>
      </w:r>
      <w:r w:rsidRPr="00691192">
        <w:rPr>
          <w:rFonts w:ascii="Times New Roman" w:eastAsia="Times New Roman" w:hAnsi="Times New Roman"/>
          <w:bCs/>
          <w:lang w:val="el-GR"/>
        </w:rPr>
        <w:t>μείωση της συγκέντρωσης της rosuvastatin στο πλάσμα κατά περίπου 50%. Η</w:t>
      </w:r>
      <w:r>
        <w:rPr>
          <w:rFonts w:ascii="Times New Roman" w:eastAsia="Times New Roman" w:hAnsi="Times New Roman"/>
          <w:bCs/>
          <w:lang w:val="el-GR"/>
        </w:rPr>
        <w:t xml:space="preserve"> </w:t>
      </w:r>
      <w:r w:rsidRPr="00691192">
        <w:rPr>
          <w:rFonts w:ascii="Times New Roman" w:eastAsia="Times New Roman" w:hAnsi="Times New Roman"/>
          <w:bCs/>
          <w:lang w:val="el-GR"/>
        </w:rPr>
        <w:t>επίδραση αυτή μετριάστηκε όταν το αντιόξινο χορηγήθηκε 2 ώρες μετά το</w:t>
      </w:r>
      <w:r>
        <w:rPr>
          <w:rFonts w:ascii="Times New Roman" w:eastAsia="Times New Roman" w:hAnsi="Times New Roman"/>
          <w:bCs/>
          <w:lang w:val="el-GR"/>
        </w:rPr>
        <w:t xml:space="preserve"> </w:t>
      </w:r>
      <w:r w:rsidR="00EF34E3" w:rsidRPr="00EF34E3">
        <w:rPr>
          <w:rFonts w:ascii="Times New Roman" w:eastAsia="Times New Roman" w:hAnsi="Times New Roman"/>
          <w:bCs/>
          <w:lang w:val="el-GR"/>
        </w:rPr>
        <w:t>Celmantin</w:t>
      </w:r>
      <w:r w:rsidRPr="00691192">
        <w:rPr>
          <w:rFonts w:ascii="Times New Roman" w:eastAsia="Times New Roman" w:hAnsi="Times New Roman"/>
          <w:bCs/>
          <w:lang w:val="el-GR"/>
        </w:rPr>
        <w:t>. Η κλινική σημασία της αλληλεπίδρασης αυτής δεν έχει μελετηθεί.</w:t>
      </w:r>
    </w:p>
    <w:p w:rsidR="007234CC" w:rsidRPr="007234CC" w:rsidRDefault="007234CC" w:rsidP="007234CC">
      <w:pPr>
        <w:spacing w:before="100" w:beforeAutospacing="1" w:after="75" w:line="360" w:lineRule="auto"/>
        <w:jc w:val="both"/>
        <w:rPr>
          <w:rFonts w:ascii="Times New Roman" w:eastAsia="Times New Roman" w:hAnsi="Times New Roman"/>
          <w:bCs/>
          <w:lang w:val="el-GR"/>
        </w:rPr>
      </w:pPr>
      <w:r w:rsidRPr="007234CC">
        <w:rPr>
          <w:rFonts w:ascii="Times New Roman" w:eastAsia="Times New Roman" w:hAnsi="Times New Roman"/>
          <w:b/>
          <w:bCs/>
          <w:lang w:val="el-GR"/>
        </w:rPr>
        <w:t>Ερυθρομυκίνη:</w:t>
      </w:r>
      <w:r w:rsidRPr="007234CC">
        <w:rPr>
          <w:rFonts w:ascii="Times New Roman" w:eastAsia="Times New Roman" w:hAnsi="Times New Roman"/>
          <w:bCs/>
          <w:lang w:val="el-GR"/>
        </w:rPr>
        <w:t xml:space="preserve"> Ταυτόχρονη χορήγηση </w:t>
      </w:r>
      <w:r w:rsidRPr="007234CC">
        <w:rPr>
          <w:rFonts w:ascii="Times New Roman" w:eastAsia="Times New Roman" w:hAnsi="Times New Roman"/>
          <w:bCs/>
        </w:rPr>
        <w:t>Celmantin</w:t>
      </w:r>
      <w:r w:rsidRPr="007234CC">
        <w:rPr>
          <w:rFonts w:ascii="Times New Roman" w:eastAsia="Times New Roman" w:hAnsi="Times New Roman"/>
          <w:bCs/>
          <w:lang w:val="el-GR"/>
        </w:rPr>
        <w:t xml:space="preserve"> με ερυθρομυκίνη οδήγησε σε μείωση κατά 20% της </w:t>
      </w:r>
      <w:r w:rsidRPr="007234CC">
        <w:rPr>
          <w:rFonts w:ascii="Times New Roman" w:eastAsia="Times New Roman" w:hAnsi="Times New Roman"/>
          <w:bCs/>
        </w:rPr>
        <w:t>AUC</w:t>
      </w:r>
      <w:r w:rsidRPr="007234CC">
        <w:rPr>
          <w:rFonts w:ascii="Times New Roman" w:eastAsia="Times New Roman" w:hAnsi="Times New Roman"/>
          <w:bCs/>
          <w:lang w:val="el-GR"/>
        </w:rPr>
        <w:t xml:space="preserve"> της ροσουβαστατίνης και κατά 30% της </w:t>
      </w:r>
      <w:r w:rsidRPr="007234CC">
        <w:rPr>
          <w:rFonts w:ascii="Times New Roman" w:eastAsia="Times New Roman" w:hAnsi="Times New Roman"/>
          <w:bCs/>
        </w:rPr>
        <w:t>Cmax</w:t>
      </w:r>
      <w:r w:rsidRPr="007234CC">
        <w:rPr>
          <w:rFonts w:ascii="Times New Roman" w:eastAsia="Times New Roman" w:hAnsi="Times New Roman"/>
          <w:bCs/>
          <w:lang w:val="el-GR"/>
        </w:rPr>
        <w:t>. Η αλληλεπίδραση αυτή μπορεί να οφείλεται στην αύξηση της κινητικότητας του εντέρου που προκαλείται από την ερυθρομυκίνη.</w:t>
      </w:r>
    </w:p>
    <w:p w:rsidR="008A2891" w:rsidRDefault="008A2891" w:rsidP="008A2891">
      <w:pPr>
        <w:spacing w:before="100" w:beforeAutospacing="1" w:after="75" w:line="360" w:lineRule="auto"/>
        <w:jc w:val="both"/>
        <w:rPr>
          <w:rFonts w:ascii="Times New Roman" w:eastAsia="Times New Roman" w:hAnsi="Times New Roman"/>
          <w:b/>
          <w:bCs/>
          <w:lang w:val="el-GR"/>
        </w:rPr>
      </w:pPr>
      <w:r w:rsidRPr="008A2891">
        <w:rPr>
          <w:rFonts w:ascii="Times New Roman" w:eastAsia="Times New Roman" w:hAnsi="Times New Roman"/>
          <w:b/>
          <w:bCs/>
          <w:lang w:val="el-GR"/>
        </w:rPr>
        <w:t>Ένζυμα του κυτοχρώματος P450:</w:t>
      </w:r>
      <w:r w:rsidRPr="008A2891">
        <w:rPr>
          <w:rFonts w:ascii="Times New Roman" w:eastAsia="Times New Roman" w:hAnsi="Times New Roman"/>
          <w:bCs/>
          <w:lang w:val="el-GR"/>
        </w:rPr>
        <w:t xml:space="preserve"> Τα αποτελέσματα </w:t>
      </w:r>
      <w:r w:rsidRPr="008A2891">
        <w:rPr>
          <w:rFonts w:ascii="Times New Roman" w:eastAsia="Times New Roman" w:hAnsi="Times New Roman"/>
          <w:bCs/>
          <w:i/>
        </w:rPr>
        <w:t>in vitro</w:t>
      </w:r>
      <w:r w:rsidRPr="008A2891">
        <w:rPr>
          <w:rFonts w:ascii="Times New Roman" w:eastAsia="Times New Roman" w:hAnsi="Times New Roman"/>
          <w:bCs/>
          <w:lang w:val="el-GR"/>
        </w:rPr>
        <w:t xml:space="preserve"> και </w:t>
      </w:r>
      <w:r w:rsidRPr="008A2891">
        <w:rPr>
          <w:rFonts w:ascii="Times New Roman" w:eastAsia="Times New Roman" w:hAnsi="Times New Roman"/>
          <w:bCs/>
          <w:i/>
        </w:rPr>
        <w:t>in vivo</w:t>
      </w:r>
      <w:r w:rsidRPr="008A2891">
        <w:rPr>
          <w:rFonts w:ascii="Times New Roman" w:eastAsia="Times New Roman" w:hAnsi="Times New Roman"/>
          <w:bCs/>
          <w:lang w:val="el-GR"/>
        </w:rPr>
        <w:t xml:space="preserve"> μελετών δείχνουν ότι η rosuvastatin δεν είναι αναστολέας ή επαγωγέας των ισοενζύμων του κυτοχρώματος P450. Επιπλέον, η rosuvastatin είναι «φτωχό» υπόστρωμα για αυτά τα ισοένζυμα. Συνεπώς δεν αναμένονται φαρμακευτικές αλληλεπιδράσεις που να προέρχονται από τον μεταβολισμό μέσω του κυτοχρώματος P450.</w:t>
      </w:r>
      <w:r>
        <w:rPr>
          <w:rFonts w:ascii="Times New Roman" w:eastAsia="Times New Roman" w:hAnsi="Times New Roman"/>
          <w:bCs/>
          <w:lang w:val="el-GR"/>
        </w:rPr>
        <w:t xml:space="preserve"> </w:t>
      </w:r>
      <w:r w:rsidRPr="008A2891">
        <w:rPr>
          <w:rFonts w:ascii="Times New Roman" w:eastAsia="Times New Roman" w:hAnsi="Times New Roman"/>
          <w:bCs/>
          <w:lang w:val="el-GR"/>
        </w:rPr>
        <w:t xml:space="preserve">Δεν έχουν παρατηρηθεί κλινικά σημαντικές αλληλεπιδράσεις μεταξύ της rosuvastatin και της φλουκοναζόλης (αναστολέας των CYP2C9 και CYP3A4) ή της κετοκοναζόλης (αναστολέας των CYP2A6 και </w:t>
      </w:r>
      <w:r>
        <w:rPr>
          <w:rFonts w:ascii="Times New Roman" w:eastAsia="Times New Roman" w:hAnsi="Times New Roman"/>
          <w:bCs/>
          <w:lang w:val="el-GR"/>
        </w:rPr>
        <w:t>CYP3A4).</w:t>
      </w:r>
    </w:p>
    <w:p w:rsidR="00F6493B" w:rsidRDefault="00421B97" w:rsidP="00AC1E02">
      <w:pPr>
        <w:spacing w:before="100" w:beforeAutospacing="1" w:after="75" w:line="360" w:lineRule="auto"/>
        <w:jc w:val="both"/>
        <w:rPr>
          <w:rFonts w:ascii="Times New Roman" w:eastAsia="Times New Roman" w:hAnsi="Times New Roman"/>
          <w:bCs/>
          <w:lang w:val="el-GR"/>
        </w:rPr>
      </w:pPr>
      <w:r w:rsidRPr="00421B97">
        <w:rPr>
          <w:rFonts w:ascii="Times New Roman" w:eastAsia="Times New Roman" w:hAnsi="Times New Roman"/>
          <w:b/>
          <w:bCs/>
        </w:rPr>
        <w:lastRenderedPageBreak/>
        <w:t>Αλληλεπιδράσεις που απαιτούν προσαρμογές της δόσης της rosuvastatin (βλ. και Πίνακα 1)</w:t>
      </w:r>
      <w:r w:rsidR="0052327D" w:rsidRPr="00AC1E02">
        <w:rPr>
          <w:rFonts w:ascii="Times New Roman" w:eastAsia="Times New Roman" w:hAnsi="Times New Roman"/>
          <w:b/>
          <w:bCs/>
        </w:rPr>
        <w:t>:</w:t>
      </w:r>
      <w:r w:rsidR="0052327D" w:rsidRPr="0052327D">
        <w:rPr>
          <w:rFonts w:ascii="Times New Roman" w:eastAsia="Times New Roman" w:hAnsi="Times New Roman"/>
          <w:bCs/>
        </w:rPr>
        <w:t xml:space="preserve"> </w:t>
      </w:r>
    </w:p>
    <w:p w:rsidR="00916377" w:rsidRDefault="00916377" w:rsidP="00916377">
      <w:pPr>
        <w:spacing w:after="75" w:line="360" w:lineRule="auto"/>
        <w:jc w:val="both"/>
        <w:rPr>
          <w:rFonts w:ascii="Times New Roman" w:eastAsia="Times New Roman" w:hAnsi="Times New Roman"/>
          <w:bCs/>
          <w:lang w:val="el-GR"/>
        </w:rPr>
      </w:pPr>
      <w:r w:rsidRPr="00916377">
        <w:rPr>
          <w:rFonts w:ascii="Times New Roman" w:eastAsia="Times New Roman" w:hAnsi="Times New Roman"/>
          <w:bCs/>
          <w:lang w:val="el-GR"/>
        </w:rPr>
        <w:t>Οι</w:t>
      </w:r>
      <w:r>
        <w:rPr>
          <w:rFonts w:ascii="Times New Roman" w:eastAsia="Times New Roman" w:hAnsi="Times New Roman"/>
          <w:bCs/>
          <w:lang w:val="el-GR"/>
        </w:rPr>
        <w:t xml:space="preserve"> </w:t>
      </w:r>
      <w:r w:rsidRPr="00916377">
        <w:rPr>
          <w:rFonts w:ascii="Times New Roman" w:eastAsia="Times New Roman" w:hAnsi="Times New Roman"/>
          <w:bCs/>
          <w:lang w:val="el-GR"/>
        </w:rPr>
        <w:t xml:space="preserve">δόσεις του Celmantin πρέπει να </w:t>
      </w:r>
      <w:r>
        <w:rPr>
          <w:rFonts w:ascii="Times New Roman" w:eastAsia="Times New Roman" w:hAnsi="Times New Roman"/>
          <w:bCs/>
          <w:lang w:val="el-GR"/>
        </w:rPr>
        <w:t>ανα</w:t>
      </w:r>
      <w:r w:rsidRPr="00916377">
        <w:rPr>
          <w:rFonts w:ascii="Times New Roman" w:eastAsia="Times New Roman" w:hAnsi="Times New Roman"/>
          <w:bCs/>
          <w:lang w:val="el-GR"/>
        </w:rPr>
        <w:t>προσαρμοστ</w:t>
      </w:r>
      <w:r>
        <w:rPr>
          <w:rFonts w:ascii="Times New Roman" w:eastAsia="Times New Roman" w:hAnsi="Times New Roman"/>
          <w:bCs/>
          <w:lang w:val="el-GR"/>
        </w:rPr>
        <w:t>ούν, ό</w:t>
      </w:r>
      <w:r w:rsidRPr="00916377">
        <w:rPr>
          <w:rFonts w:ascii="Times New Roman" w:eastAsia="Times New Roman" w:hAnsi="Times New Roman"/>
          <w:bCs/>
          <w:lang w:val="el-GR"/>
        </w:rPr>
        <w:t xml:space="preserve">ταν είναι απαραίτητη η συγχορήγηση </w:t>
      </w:r>
      <w:r>
        <w:rPr>
          <w:rFonts w:ascii="Times New Roman" w:eastAsia="Times New Roman" w:hAnsi="Times New Roman"/>
          <w:bCs/>
          <w:lang w:val="el-GR"/>
        </w:rPr>
        <w:t xml:space="preserve">του </w:t>
      </w:r>
      <w:r>
        <w:rPr>
          <w:rFonts w:ascii="Times New Roman" w:eastAsia="Times New Roman" w:hAnsi="Times New Roman"/>
          <w:bCs/>
        </w:rPr>
        <w:t>Celmantin</w:t>
      </w:r>
      <w:r w:rsidRPr="00916377">
        <w:rPr>
          <w:rFonts w:ascii="Times New Roman" w:eastAsia="Times New Roman" w:hAnsi="Times New Roman"/>
          <w:bCs/>
          <w:lang w:val="el-GR"/>
        </w:rPr>
        <w:t xml:space="preserve"> με άλλα φαρμακευτικά προϊόντα που είναι γνωστό </w:t>
      </w:r>
      <w:r>
        <w:rPr>
          <w:rFonts w:ascii="Times New Roman" w:eastAsia="Times New Roman" w:hAnsi="Times New Roman"/>
          <w:bCs/>
          <w:lang w:val="el-GR"/>
        </w:rPr>
        <w:t xml:space="preserve">ότι αυξάνουν </w:t>
      </w:r>
      <w:r w:rsidRPr="00916377">
        <w:rPr>
          <w:rFonts w:ascii="Times New Roman" w:eastAsia="Times New Roman" w:hAnsi="Times New Roman"/>
          <w:bCs/>
          <w:lang w:val="el-GR"/>
        </w:rPr>
        <w:t>τη</w:t>
      </w:r>
      <w:r>
        <w:rPr>
          <w:rFonts w:ascii="Times New Roman" w:eastAsia="Times New Roman" w:hAnsi="Times New Roman"/>
          <w:bCs/>
          <w:lang w:val="el-GR"/>
        </w:rPr>
        <w:t>ν</w:t>
      </w:r>
      <w:r w:rsidRPr="00916377">
        <w:rPr>
          <w:rFonts w:ascii="Times New Roman" w:eastAsia="Times New Roman" w:hAnsi="Times New Roman"/>
          <w:bCs/>
          <w:lang w:val="el-GR"/>
        </w:rPr>
        <w:t xml:space="preserve"> έκθεση σε </w:t>
      </w:r>
      <w:r w:rsidR="000963C2" w:rsidRPr="000963C2">
        <w:rPr>
          <w:rFonts w:ascii="Times New Roman" w:eastAsia="Times New Roman" w:hAnsi="Times New Roman"/>
          <w:bCs/>
          <w:lang w:val="el-GR"/>
        </w:rPr>
        <w:t>ροσουβαστατίνη</w:t>
      </w:r>
      <w:r w:rsidRPr="00916377">
        <w:rPr>
          <w:rFonts w:ascii="Times New Roman" w:eastAsia="Times New Roman" w:hAnsi="Times New Roman"/>
          <w:bCs/>
          <w:lang w:val="el-GR"/>
        </w:rPr>
        <w:t xml:space="preserve">,. </w:t>
      </w:r>
      <w:r w:rsidR="00D35032" w:rsidRPr="00916377">
        <w:rPr>
          <w:rFonts w:ascii="Times New Roman" w:eastAsia="Times New Roman" w:hAnsi="Times New Roman"/>
          <w:bCs/>
          <w:lang w:val="el-GR"/>
        </w:rPr>
        <w:t>Εάν</w:t>
      </w:r>
      <w:r w:rsidR="00D35032">
        <w:rPr>
          <w:rFonts w:ascii="Times New Roman" w:eastAsia="Times New Roman" w:hAnsi="Times New Roman"/>
          <w:bCs/>
          <w:lang w:val="el-GR"/>
        </w:rPr>
        <w:t xml:space="preserve"> </w:t>
      </w:r>
      <w:r w:rsidR="00D35032" w:rsidRPr="00916377">
        <w:rPr>
          <w:rFonts w:ascii="Times New Roman" w:eastAsia="Times New Roman" w:hAnsi="Times New Roman"/>
          <w:bCs/>
          <w:lang w:val="el-GR"/>
        </w:rPr>
        <w:t>η αναμενόμενη αύξηση της έκθεσης (AUC)</w:t>
      </w:r>
      <w:r w:rsidR="00D35032">
        <w:rPr>
          <w:rFonts w:ascii="Times New Roman" w:eastAsia="Times New Roman" w:hAnsi="Times New Roman"/>
          <w:bCs/>
          <w:lang w:val="el-GR"/>
        </w:rPr>
        <w:t xml:space="preserve"> σε ροσουβαστατίνη</w:t>
      </w:r>
      <w:r w:rsidR="00D35032" w:rsidRPr="00916377">
        <w:rPr>
          <w:rFonts w:ascii="Times New Roman" w:eastAsia="Times New Roman" w:hAnsi="Times New Roman"/>
          <w:bCs/>
          <w:lang w:val="el-GR"/>
        </w:rPr>
        <w:t xml:space="preserve"> είναι περίπου 2-φορές ή μεγαλύτερ</w:t>
      </w:r>
      <w:r w:rsidR="00D35032">
        <w:rPr>
          <w:rFonts w:ascii="Times New Roman" w:eastAsia="Times New Roman" w:hAnsi="Times New Roman"/>
          <w:bCs/>
          <w:lang w:val="el-GR"/>
        </w:rPr>
        <w:t>η</w:t>
      </w:r>
      <w:r w:rsidR="00D35032" w:rsidRPr="00916377">
        <w:rPr>
          <w:rFonts w:ascii="Times New Roman" w:eastAsia="Times New Roman" w:hAnsi="Times New Roman"/>
          <w:bCs/>
          <w:lang w:val="el-GR"/>
        </w:rPr>
        <w:t xml:space="preserve"> </w:t>
      </w:r>
      <w:r w:rsidR="00D35032">
        <w:rPr>
          <w:rFonts w:ascii="Times New Roman" w:eastAsia="Times New Roman" w:hAnsi="Times New Roman"/>
          <w:bCs/>
          <w:lang w:val="el-GR"/>
        </w:rPr>
        <w:t>η δόση έναρξης είναι</w:t>
      </w:r>
      <w:r w:rsidRPr="00916377">
        <w:rPr>
          <w:rFonts w:ascii="Times New Roman" w:eastAsia="Times New Roman" w:hAnsi="Times New Roman"/>
          <w:bCs/>
          <w:lang w:val="el-GR"/>
        </w:rPr>
        <w:t xml:space="preserve"> </w:t>
      </w:r>
      <w:r w:rsidR="00D35032">
        <w:rPr>
          <w:rFonts w:ascii="Times New Roman" w:eastAsia="Times New Roman" w:hAnsi="Times New Roman"/>
          <w:bCs/>
        </w:rPr>
        <w:t>Celmantin</w:t>
      </w:r>
      <w:r w:rsidR="00D35032" w:rsidRPr="00D35032">
        <w:rPr>
          <w:rFonts w:ascii="Times New Roman" w:eastAsia="Times New Roman" w:hAnsi="Times New Roman"/>
          <w:bCs/>
          <w:lang w:val="el-GR"/>
        </w:rPr>
        <w:t xml:space="preserve"> </w:t>
      </w:r>
      <w:r w:rsidRPr="00916377">
        <w:rPr>
          <w:rFonts w:ascii="Times New Roman" w:eastAsia="Times New Roman" w:hAnsi="Times New Roman"/>
          <w:bCs/>
          <w:lang w:val="el-GR"/>
        </w:rPr>
        <w:t xml:space="preserve">5 mg άπαξ ημερησίως. Η μέγιστη ημερήσια δόση του </w:t>
      </w:r>
      <w:r w:rsidR="00D35032" w:rsidRPr="00D35032">
        <w:rPr>
          <w:rFonts w:ascii="Times New Roman" w:eastAsia="Times New Roman" w:hAnsi="Times New Roman"/>
          <w:bCs/>
          <w:lang w:val="el-GR"/>
        </w:rPr>
        <w:t xml:space="preserve">Celmantin </w:t>
      </w:r>
      <w:r w:rsidRPr="00916377">
        <w:rPr>
          <w:rFonts w:ascii="Times New Roman" w:eastAsia="Times New Roman" w:hAnsi="Times New Roman"/>
          <w:bCs/>
          <w:lang w:val="el-GR"/>
        </w:rPr>
        <w:t>θα πρέπει να ρυθμιστεί έτσι ώστε η αναμενόμενη έκθεση</w:t>
      </w:r>
      <w:r w:rsidR="002452DE">
        <w:rPr>
          <w:rFonts w:ascii="Times New Roman" w:eastAsia="Times New Roman" w:hAnsi="Times New Roman"/>
          <w:bCs/>
          <w:lang w:val="el-GR"/>
        </w:rPr>
        <w:t xml:space="preserve"> σε</w:t>
      </w:r>
      <w:r w:rsidRPr="00916377">
        <w:rPr>
          <w:rFonts w:ascii="Times New Roman" w:eastAsia="Times New Roman" w:hAnsi="Times New Roman"/>
          <w:bCs/>
          <w:lang w:val="el-GR"/>
        </w:rPr>
        <w:t xml:space="preserve"> rosuvastatin </w:t>
      </w:r>
      <w:r w:rsidR="002452DE">
        <w:rPr>
          <w:rFonts w:ascii="Times New Roman" w:eastAsia="Times New Roman" w:hAnsi="Times New Roman"/>
          <w:bCs/>
          <w:lang w:val="el-GR"/>
        </w:rPr>
        <w:t>ν</w:t>
      </w:r>
      <w:r w:rsidRPr="00916377">
        <w:rPr>
          <w:rFonts w:ascii="Times New Roman" w:eastAsia="Times New Roman" w:hAnsi="Times New Roman"/>
          <w:bCs/>
          <w:lang w:val="el-GR"/>
        </w:rPr>
        <w:t xml:space="preserve">α </w:t>
      </w:r>
      <w:r w:rsidR="002452DE">
        <w:rPr>
          <w:rFonts w:ascii="Times New Roman" w:eastAsia="Times New Roman" w:hAnsi="Times New Roman"/>
          <w:bCs/>
          <w:lang w:val="el-GR"/>
        </w:rPr>
        <w:t xml:space="preserve">μην είναι </w:t>
      </w:r>
      <w:r w:rsidR="002452DE" w:rsidRPr="00916377">
        <w:rPr>
          <w:rFonts w:ascii="Times New Roman" w:eastAsia="Times New Roman" w:hAnsi="Times New Roman"/>
          <w:bCs/>
          <w:lang w:val="el-GR"/>
        </w:rPr>
        <w:t xml:space="preserve">πιθανό </w:t>
      </w:r>
      <w:r w:rsidRPr="00916377">
        <w:rPr>
          <w:rFonts w:ascii="Times New Roman" w:eastAsia="Times New Roman" w:hAnsi="Times New Roman"/>
          <w:bCs/>
          <w:lang w:val="el-GR"/>
        </w:rPr>
        <w:t xml:space="preserve">υπερβαίνει </w:t>
      </w:r>
      <w:r w:rsidR="002452DE">
        <w:rPr>
          <w:rFonts w:ascii="Times New Roman" w:eastAsia="Times New Roman" w:hAnsi="Times New Roman"/>
          <w:bCs/>
          <w:lang w:val="el-GR"/>
        </w:rPr>
        <w:t xml:space="preserve">την αντίστοιχη έκθεση μετά τη λήψη </w:t>
      </w:r>
      <w:r w:rsidRPr="00916377">
        <w:rPr>
          <w:rFonts w:ascii="Times New Roman" w:eastAsia="Times New Roman" w:hAnsi="Times New Roman"/>
          <w:bCs/>
          <w:lang w:val="el-GR"/>
        </w:rPr>
        <w:t>40 mg ημερήσια</w:t>
      </w:r>
      <w:r w:rsidR="002452DE">
        <w:rPr>
          <w:rFonts w:ascii="Times New Roman" w:eastAsia="Times New Roman" w:hAnsi="Times New Roman"/>
          <w:bCs/>
          <w:lang w:val="el-GR"/>
        </w:rPr>
        <w:t>ς</w:t>
      </w:r>
      <w:r w:rsidRPr="00916377">
        <w:rPr>
          <w:rFonts w:ascii="Times New Roman" w:eastAsia="Times New Roman" w:hAnsi="Times New Roman"/>
          <w:bCs/>
          <w:lang w:val="el-GR"/>
        </w:rPr>
        <w:t xml:space="preserve"> δόση</w:t>
      </w:r>
      <w:r w:rsidR="002452DE">
        <w:rPr>
          <w:rFonts w:ascii="Times New Roman" w:eastAsia="Times New Roman" w:hAnsi="Times New Roman"/>
          <w:bCs/>
          <w:lang w:val="el-GR"/>
        </w:rPr>
        <w:t>ς</w:t>
      </w:r>
      <w:r w:rsidRPr="00916377">
        <w:rPr>
          <w:rFonts w:ascii="Times New Roman" w:eastAsia="Times New Roman" w:hAnsi="Times New Roman"/>
          <w:bCs/>
          <w:lang w:val="el-GR"/>
        </w:rPr>
        <w:t xml:space="preserve"> </w:t>
      </w:r>
      <w:r w:rsidR="002452DE">
        <w:rPr>
          <w:rFonts w:ascii="Times New Roman" w:eastAsia="Times New Roman" w:hAnsi="Times New Roman"/>
          <w:bCs/>
        </w:rPr>
        <w:t>Celmantin</w:t>
      </w:r>
      <w:r w:rsidRPr="00916377">
        <w:rPr>
          <w:rFonts w:ascii="Times New Roman" w:eastAsia="Times New Roman" w:hAnsi="Times New Roman"/>
          <w:bCs/>
          <w:lang w:val="el-GR"/>
        </w:rPr>
        <w:t xml:space="preserve"> χωρίς </w:t>
      </w:r>
      <w:r w:rsidR="002452DE">
        <w:rPr>
          <w:rFonts w:ascii="Times New Roman" w:eastAsia="Times New Roman" w:hAnsi="Times New Roman"/>
          <w:bCs/>
          <w:lang w:val="el-GR"/>
        </w:rPr>
        <w:t xml:space="preserve">την επίδραση άλλων </w:t>
      </w:r>
      <w:r w:rsidRPr="00916377">
        <w:rPr>
          <w:rFonts w:ascii="Times New Roman" w:eastAsia="Times New Roman" w:hAnsi="Times New Roman"/>
          <w:bCs/>
          <w:lang w:val="el-GR"/>
        </w:rPr>
        <w:t>αλληλεπιδρώντ</w:t>
      </w:r>
      <w:r w:rsidR="002452DE">
        <w:rPr>
          <w:rFonts w:ascii="Times New Roman" w:eastAsia="Times New Roman" w:hAnsi="Times New Roman"/>
          <w:bCs/>
          <w:lang w:val="el-GR"/>
        </w:rPr>
        <w:t>ων</w:t>
      </w:r>
      <w:r w:rsidRPr="00916377">
        <w:rPr>
          <w:rFonts w:ascii="Times New Roman" w:eastAsia="Times New Roman" w:hAnsi="Times New Roman"/>
          <w:bCs/>
          <w:lang w:val="el-GR"/>
        </w:rPr>
        <w:t xml:space="preserve"> φαρμακευτικ</w:t>
      </w:r>
      <w:r w:rsidR="002452DE">
        <w:rPr>
          <w:rFonts w:ascii="Times New Roman" w:eastAsia="Times New Roman" w:hAnsi="Times New Roman"/>
          <w:bCs/>
          <w:lang w:val="el-GR"/>
        </w:rPr>
        <w:t>ών</w:t>
      </w:r>
      <w:r w:rsidRPr="00916377">
        <w:rPr>
          <w:rFonts w:ascii="Times New Roman" w:eastAsia="Times New Roman" w:hAnsi="Times New Roman"/>
          <w:bCs/>
          <w:lang w:val="el-GR"/>
        </w:rPr>
        <w:t xml:space="preserve"> προϊ</w:t>
      </w:r>
      <w:r w:rsidR="002452DE">
        <w:rPr>
          <w:rFonts w:ascii="Times New Roman" w:eastAsia="Times New Roman" w:hAnsi="Times New Roman"/>
          <w:bCs/>
          <w:lang w:val="el-GR"/>
        </w:rPr>
        <w:t>λοντων</w:t>
      </w:r>
      <w:r w:rsidRPr="00916377">
        <w:rPr>
          <w:rFonts w:ascii="Times New Roman" w:eastAsia="Times New Roman" w:hAnsi="Times New Roman"/>
          <w:bCs/>
          <w:lang w:val="el-GR"/>
        </w:rPr>
        <w:t xml:space="preserve">, για παράδειγμα, μια δόση των 20 mg </w:t>
      </w:r>
      <w:r w:rsidR="00730D59" w:rsidRPr="00730D59">
        <w:rPr>
          <w:rFonts w:ascii="Times New Roman" w:eastAsia="Times New Roman" w:hAnsi="Times New Roman"/>
          <w:bCs/>
          <w:lang w:val="el-GR"/>
        </w:rPr>
        <w:t xml:space="preserve">Celmantin </w:t>
      </w:r>
      <w:r w:rsidRPr="00916377">
        <w:rPr>
          <w:rFonts w:ascii="Times New Roman" w:eastAsia="Times New Roman" w:hAnsi="Times New Roman"/>
          <w:bCs/>
          <w:lang w:val="el-GR"/>
        </w:rPr>
        <w:t xml:space="preserve">με γεμφιπροζίλη (1,9 φορές αύξηση), και μία δόση 10 mg του </w:t>
      </w:r>
      <w:r w:rsidR="00730D59" w:rsidRPr="00730D59">
        <w:rPr>
          <w:rFonts w:ascii="Times New Roman" w:eastAsia="Times New Roman" w:hAnsi="Times New Roman"/>
          <w:bCs/>
          <w:lang w:val="el-GR"/>
        </w:rPr>
        <w:t xml:space="preserve">Celmantin </w:t>
      </w:r>
      <w:r w:rsidRPr="00916377">
        <w:rPr>
          <w:rFonts w:ascii="Times New Roman" w:eastAsia="Times New Roman" w:hAnsi="Times New Roman"/>
          <w:bCs/>
          <w:lang w:val="el-GR"/>
        </w:rPr>
        <w:t>με το συνδυασμό ritonavir / αταζαναβίρη (3,1 φορές αύξηση).</w:t>
      </w:r>
    </w:p>
    <w:p w:rsidR="00A9777F" w:rsidRPr="00D35032" w:rsidRDefault="00A9777F" w:rsidP="00916377">
      <w:pPr>
        <w:spacing w:after="75" w:line="360" w:lineRule="auto"/>
        <w:jc w:val="both"/>
        <w:rPr>
          <w:rFonts w:ascii="Times New Roman" w:eastAsia="Times New Roman" w:hAnsi="Times New Roman"/>
          <w:bCs/>
          <w:lang w:val="el-G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44"/>
        <w:gridCol w:w="3043"/>
        <w:gridCol w:w="3135"/>
      </w:tblGrid>
      <w:tr w:rsidR="006A136A" w:rsidRPr="00AC1E02" w:rsidTr="00F54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6A136A" w:rsidRPr="00AC1E02" w:rsidRDefault="001309B0" w:rsidP="003B5224">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b/>
                <w:bCs/>
                <w:color w:val="000000"/>
                <w:lang w:val="el-GR"/>
              </w:rPr>
              <w:t>Πίνακας</w:t>
            </w:r>
            <w:r w:rsidR="006A136A" w:rsidRPr="003B5224">
              <w:rPr>
                <w:rFonts w:ascii="Times New Roman" w:eastAsia="Times New Roman" w:hAnsi="Times New Roman"/>
                <w:b/>
                <w:bCs/>
                <w:color w:val="000000"/>
                <w:lang w:val="el-GR"/>
              </w:rPr>
              <w:t xml:space="preserve"> 1 </w:t>
            </w:r>
            <w:r w:rsidR="003B5224" w:rsidRPr="003B5224">
              <w:rPr>
                <w:rFonts w:ascii="Times New Roman" w:eastAsia="Times New Roman" w:hAnsi="Times New Roman"/>
                <w:b/>
                <w:bCs/>
                <w:color w:val="000000"/>
                <w:lang w:val="el-GR"/>
              </w:rPr>
              <w:t>Επίδραση τ</w:t>
            </w:r>
            <w:r w:rsidR="003B5224">
              <w:rPr>
                <w:rFonts w:ascii="Times New Roman" w:eastAsia="Times New Roman" w:hAnsi="Times New Roman"/>
                <w:b/>
                <w:bCs/>
                <w:color w:val="000000"/>
                <w:lang w:val="el-GR"/>
              </w:rPr>
              <w:t>ων</w:t>
            </w:r>
            <w:r w:rsidR="003B5224" w:rsidRPr="003B5224">
              <w:rPr>
                <w:rFonts w:ascii="Times New Roman" w:eastAsia="Times New Roman" w:hAnsi="Times New Roman"/>
                <w:b/>
                <w:bCs/>
                <w:color w:val="000000"/>
                <w:lang w:val="el-GR"/>
              </w:rPr>
              <w:t xml:space="preserve"> συγχορηγούμεν</w:t>
            </w:r>
            <w:r w:rsidR="003B5224">
              <w:rPr>
                <w:rFonts w:ascii="Times New Roman" w:eastAsia="Times New Roman" w:hAnsi="Times New Roman"/>
                <w:b/>
                <w:bCs/>
                <w:color w:val="000000"/>
                <w:lang w:val="el-GR"/>
              </w:rPr>
              <w:t>ων</w:t>
            </w:r>
            <w:r w:rsidR="003B5224" w:rsidRPr="003B5224">
              <w:rPr>
                <w:rFonts w:ascii="Times New Roman" w:eastAsia="Times New Roman" w:hAnsi="Times New Roman"/>
                <w:b/>
                <w:bCs/>
                <w:color w:val="000000"/>
                <w:lang w:val="el-GR"/>
              </w:rPr>
              <w:t xml:space="preserve"> φαρμακευτικ</w:t>
            </w:r>
            <w:r w:rsidR="003B5224">
              <w:rPr>
                <w:rFonts w:ascii="Times New Roman" w:eastAsia="Times New Roman" w:hAnsi="Times New Roman"/>
                <w:b/>
                <w:bCs/>
                <w:color w:val="000000"/>
                <w:lang w:val="el-GR"/>
              </w:rPr>
              <w:t>ών</w:t>
            </w:r>
            <w:r w:rsidR="003B5224" w:rsidRPr="003B5224">
              <w:rPr>
                <w:rFonts w:ascii="Times New Roman" w:eastAsia="Times New Roman" w:hAnsi="Times New Roman"/>
                <w:b/>
                <w:bCs/>
                <w:color w:val="000000"/>
                <w:lang w:val="el-GR"/>
              </w:rPr>
              <w:t xml:space="preserve"> προϊόντ</w:t>
            </w:r>
            <w:r w:rsidR="003B5224">
              <w:rPr>
                <w:rFonts w:ascii="Times New Roman" w:eastAsia="Times New Roman" w:hAnsi="Times New Roman"/>
                <w:b/>
                <w:bCs/>
                <w:color w:val="000000"/>
                <w:lang w:val="el-GR"/>
              </w:rPr>
              <w:t>ων</w:t>
            </w:r>
            <w:r w:rsidR="003B5224" w:rsidRPr="003B5224">
              <w:rPr>
                <w:rFonts w:ascii="Times New Roman" w:eastAsia="Times New Roman" w:hAnsi="Times New Roman"/>
                <w:b/>
                <w:bCs/>
                <w:color w:val="000000"/>
                <w:lang w:val="el-GR"/>
              </w:rPr>
              <w:t xml:space="preserve"> </w:t>
            </w:r>
            <w:r w:rsidR="003B5224">
              <w:rPr>
                <w:rFonts w:ascii="Times New Roman" w:eastAsia="Times New Roman" w:hAnsi="Times New Roman"/>
                <w:b/>
                <w:bCs/>
                <w:color w:val="000000"/>
                <w:lang w:val="el-GR"/>
              </w:rPr>
              <w:t>σ</w:t>
            </w:r>
            <w:r w:rsidR="003B5224" w:rsidRPr="003B5224">
              <w:rPr>
                <w:rFonts w:ascii="Times New Roman" w:eastAsia="Times New Roman" w:hAnsi="Times New Roman"/>
                <w:b/>
                <w:bCs/>
                <w:color w:val="000000"/>
                <w:lang w:val="el-GR"/>
              </w:rPr>
              <w:t xml:space="preserve">την έκθεση </w:t>
            </w:r>
            <w:r w:rsidR="003B5224">
              <w:rPr>
                <w:rFonts w:ascii="Times New Roman" w:eastAsia="Times New Roman" w:hAnsi="Times New Roman"/>
                <w:b/>
                <w:bCs/>
                <w:color w:val="000000"/>
                <w:lang w:val="el-GR"/>
              </w:rPr>
              <w:t xml:space="preserve">σε </w:t>
            </w:r>
            <w:r w:rsidR="003B5224" w:rsidRPr="003B5224">
              <w:rPr>
                <w:rFonts w:ascii="Times New Roman" w:eastAsia="Times New Roman" w:hAnsi="Times New Roman"/>
                <w:b/>
                <w:bCs/>
                <w:color w:val="000000"/>
                <w:lang w:val="el-GR"/>
              </w:rPr>
              <w:t>ροσουβαστατίνη (</w:t>
            </w:r>
            <w:r w:rsidR="003B5224" w:rsidRPr="003B5224">
              <w:rPr>
                <w:rFonts w:ascii="Times New Roman" w:eastAsia="Times New Roman" w:hAnsi="Times New Roman"/>
                <w:b/>
                <w:bCs/>
                <w:color w:val="000000"/>
              </w:rPr>
              <w:t>AUC</w:t>
            </w:r>
            <w:r w:rsidR="003B5224">
              <w:rPr>
                <w:rFonts w:ascii="Times New Roman" w:eastAsia="Times New Roman" w:hAnsi="Times New Roman"/>
                <w:b/>
                <w:bCs/>
                <w:color w:val="000000"/>
                <w:lang w:val="el-GR"/>
              </w:rPr>
              <w:t>,</w:t>
            </w:r>
            <w:r w:rsidR="003B5224" w:rsidRPr="003B5224">
              <w:rPr>
                <w:rFonts w:ascii="Times New Roman" w:eastAsia="Times New Roman" w:hAnsi="Times New Roman"/>
                <w:b/>
                <w:bCs/>
                <w:color w:val="000000"/>
                <w:lang w:val="el-GR"/>
              </w:rPr>
              <w:t xml:space="preserve"> </w:t>
            </w:r>
            <w:r w:rsidR="003B5224">
              <w:rPr>
                <w:rFonts w:ascii="Times New Roman" w:eastAsia="Times New Roman" w:hAnsi="Times New Roman"/>
                <w:b/>
                <w:bCs/>
                <w:color w:val="000000"/>
                <w:lang w:val="el-GR"/>
              </w:rPr>
              <w:t>κ</w:t>
            </w:r>
            <w:r w:rsidR="003B5224" w:rsidRPr="003B5224">
              <w:rPr>
                <w:rFonts w:ascii="Times New Roman" w:eastAsia="Times New Roman" w:hAnsi="Times New Roman"/>
                <w:b/>
                <w:bCs/>
                <w:color w:val="000000"/>
                <w:lang w:val="el-GR"/>
              </w:rPr>
              <w:t>ατά φθίνουσα σειρά μεγέθους) από δημοσιευμένες κλινικές δοκιμές</w:t>
            </w:r>
          </w:p>
        </w:tc>
      </w:tr>
      <w:tr w:rsidR="006A136A" w:rsidRPr="00E609DE"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3B5224" w:rsidP="003B5224">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b/>
                <w:bCs/>
                <w:color w:val="000000"/>
                <w:lang w:val="el-GR"/>
              </w:rPr>
              <w:t>Δοσολογικό σχήμα αλληλεπιδρώντος φαρμάκου</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3B5224" w:rsidP="003B5224">
            <w:pPr>
              <w:spacing w:before="100" w:beforeAutospacing="1" w:after="75" w:line="360" w:lineRule="auto"/>
              <w:jc w:val="both"/>
              <w:rPr>
                <w:rFonts w:ascii="Times New Roman" w:eastAsia="Times New Roman" w:hAnsi="Times New Roman"/>
                <w:color w:val="000000"/>
              </w:rPr>
            </w:pPr>
            <w:r w:rsidRPr="003B5224">
              <w:rPr>
                <w:rFonts w:ascii="Times New Roman" w:eastAsia="Times New Roman" w:hAnsi="Times New Roman"/>
                <w:b/>
                <w:bCs/>
                <w:color w:val="000000"/>
              </w:rPr>
              <w:t xml:space="preserve">Δοσολογικό σχήμα </w:t>
            </w:r>
            <w:r>
              <w:rPr>
                <w:rFonts w:ascii="Times New Roman" w:eastAsia="Times New Roman" w:hAnsi="Times New Roman"/>
                <w:b/>
                <w:bCs/>
                <w:color w:val="000000"/>
                <w:lang w:val="el-GR"/>
              </w:rPr>
              <w:t>ροσουβαστατίνης</w:t>
            </w:r>
          </w:p>
        </w:tc>
        <w:tc>
          <w:tcPr>
            <w:tcW w:w="1700" w:type="pct"/>
            <w:tcBorders>
              <w:top w:val="outset" w:sz="6" w:space="0" w:color="auto"/>
              <w:left w:val="outset" w:sz="6" w:space="0" w:color="auto"/>
              <w:bottom w:val="outset" w:sz="6" w:space="0" w:color="auto"/>
              <w:right w:val="outset" w:sz="6" w:space="0" w:color="auto"/>
            </w:tcBorders>
          </w:tcPr>
          <w:p w:rsidR="006A136A" w:rsidRPr="003B5224" w:rsidRDefault="00E609DE" w:rsidP="003B5224">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Μεταβολή</w:t>
            </w:r>
            <w:r w:rsidRPr="00E609DE">
              <w:rPr>
                <w:rFonts w:ascii="Times New Roman" w:eastAsia="Times New Roman" w:hAnsi="Times New Roman"/>
                <w:b/>
                <w:bCs/>
                <w:color w:val="000000"/>
                <w:lang w:val="el-GR"/>
              </w:rPr>
              <w:t xml:space="preserve"> </w:t>
            </w:r>
            <w:r>
              <w:rPr>
                <w:rFonts w:ascii="Times New Roman" w:eastAsia="Times New Roman" w:hAnsi="Times New Roman"/>
                <w:b/>
                <w:bCs/>
                <w:color w:val="000000"/>
                <w:lang w:val="el-GR"/>
              </w:rPr>
              <w:t>του</w:t>
            </w:r>
            <w:r w:rsidRPr="00E609DE">
              <w:rPr>
                <w:rFonts w:ascii="Times New Roman" w:eastAsia="Times New Roman" w:hAnsi="Times New Roman"/>
                <w:b/>
                <w:bCs/>
                <w:color w:val="000000"/>
                <w:lang w:val="el-GR"/>
              </w:rPr>
              <w:t xml:space="preserve"> </w:t>
            </w:r>
            <w:r w:rsidRPr="00AC1E02">
              <w:rPr>
                <w:rFonts w:ascii="Times New Roman" w:eastAsia="Times New Roman" w:hAnsi="Times New Roman"/>
                <w:b/>
                <w:bCs/>
                <w:color w:val="000000"/>
              </w:rPr>
              <w:t>AUC</w:t>
            </w:r>
            <w:r w:rsidRPr="00E609DE">
              <w:rPr>
                <w:rFonts w:ascii="Times New Roman" w:eastAsia="Times New Roman" w:hAnsi="Times New Roman"/>
                <w:b/>
                <w:bCs/>
                <w:color w:val="000000"/>
                <w:vertAlign w:val="superscript"/>
                <w:lang w:val="el-GR"/>
              </w:rPr>
              <w:t xml:space="preserve">* </w:t>
            </w:r>
            <w:r>
              <w:rPr>
                <w:rFonts w:ascii="Times New Roman" w:eastAsia="Times New Roman" w:hAnsi="Times New Roman"/>
                <w:b/>
                <w:bCs/>
                <w:color w:val="000000"/>
                <w:lang w:val="el-GR"/>
              </w:rPr>
              <w:t>τη</w:t>
            </w:r>
            <w:r w:rsidR="003B5224">
              <w:rPr>
                <w:rFonts w:ascii="Times New Roman" w:eastAsia="Times New Roman" w:hAnsi="Times New Roman"/>
                <w:b/>
                <w:bCs/>
                <w:color w:val="000000"/>
                <w:lang w:val="el-GR"/>
              </w:rPr>
              <w:t>ς</w:t>
            </w:r>
            <w:r>
              <w:rPr>
                <w:rFonts w:ascii="Times New Roman" w:eastAsia="Times New Roman" w:hAnsi="Times New Roman"/>
                <w:b/>
                <w:bCs/>
                <w:color w:val="000000"/>
                <w:lang w:val="el-GR"/>
              </w:rPr>
              <w:t xml:space="preserve"> </w:t>
            </w:r>
            <w:r w:rsidR="003B5224" w:rsidRPr="003B5224">
              <w:rPr>
                <w:rFonts w:ascii="Times New Roman" w:eastAsia="Times New Roman" w:hAnsi="Times New Roman"/>
                <w:b/>
                <w:bCs/>
                <w:color w:val="000000"/>
                <w:lang w:val="el-GR"/>
              </w:rPr>
              <w:t>ροσουβαστατίνης</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364AB5">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Ciclosporin 75 mg BID </w:t>
            </w:r>
            <w:r w:rsidR="00364AB5">
              <w:rPr>
                <w:rFonts w:ascii="Times New Roman" w:eastAsia="Times New Roman" w:hAnsi="Times New Roman"/>
                <w:color w:val="000000"/>
                <w:lang w:val="el-GR"/>
              </w:rPr>
              <w:t>έως</w:t>
            </w:r>
            <w:r w:rsidRPr="00AC1E02">
              <w:rPr>
                <w:rFonts w:ascii="Times New Roman" w:eastAsia="Times New Roman" w:hAnsi="Times New Roman"/>
                <w:color w:val="000000"/>
              </w:rPr>
              <w:t xml:space="preserve"> 200 mg BID, 6 </w:t>
            </w:r>
            <w:r w:rsidR="001309B0">
              <w:rPr>
                <w:rFonts w:ascii="Times New Roman" w:eastAsia="Times New Roman" w:hAnsi="Times New Roman"/>
                <w:color w:val="000000"/>
                <w:lang w:val="el-GR"/>
              </w:rPr>
              <w:t>μήνες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OD, 10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E609DE">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7.1-</w:t>
            </w:r>
            <w:r w:rsidR="00E609DE">
              <w:rPr>
                <w:rFonts w:ascii="Times New Roman" w:eastAsia="Times New Roman" w:hAnsi="Times New Roman"/>
                <w:color w:val="000000"/>
                <w:lang w:val="el-GR"/>
              </w:rPr>
              <w:t>φορές</w:t>
            </w:r>
            <w:r w:rsidRPr="00AC1E02">
              <w:rPr>
                <w:rFonts w:ascii="Times New Roman" w:eastAsia="Times New Roman" w:hAnsi="Times New Roman"/>
                <w:color w:val="000000"/>
              </w:rPr>
              <w:t xml:space="preserve">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1309B0">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Atazanavir 300 mg/ritonavir 100 mg OD, 8 </w:t>
            </w:r>
            <w:r w:rsidR="001309B0">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364AB5" w:rsidRPr="00364AB5">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3.1-</w:t>
            </w:r>
            <w:r w:rsidR="00E609DE">
              <w:t xml:space="preserve"> </w:t>
            </w:r>
            <w:r w:rsidR="00E609DE" w:rsidRPr="00E609DE">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Lopinavir 400 mg/ritonavir 100 mg BID, 17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20 mg OD, 7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2.1-</w:t>
            </w:r>
            <w:r w:rsidR="00E609DE">
              <w:t xml:space="preserve"> </w:t>
            </w:r>
            <w:r w:rsidR="00E609DE" w:rsidRPr="00E609DE">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Gemfibrozil 600 mg BID, 7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916377" w:rsidRDefault="006A136A" w:rsidP="00AC1E02">
            <w:pPr>
              <w:spacing w:before="100" w:beforeAutospacing="1" w:after="75" w:line="360" w:lineRule="auto"/>
              <w:jc w:val="both"/>
              <w:rPr>
                <w:rFonts w:ascii="Times New Roman" w:eastAsia="Times New Roman" w:hAnsi="Times New Roman"/>
                <w:color w:val="000000"/>
                <w:lang w:val="el-GR"/>
              </w:rPr>
            </w:pPr>
            <w:r w:rsidRPr="00916377">
              <w:rPr>
                <w:rFonts w:ascii="Times New Roman" w:eastAsia="Times New Roman" w:hAnsi="Times New Roman"/>
                <w:color w:val="000000"/>
                <w:lang w:val="el-GR"/>
              </w:rPr>
              <w:t xml:space="preserve">80 </w:t>
            </w:r>
            <w:r w:rsidRPr="00AC1E02">
              <w:rPr>
                <w:rFonts w:ascii="Times New Roman" w:eastAsia="Times New Roman" w:hAnsi="Times New Roman"/>
                <w:color w:val="000000"/>
              </w:rPr>
              <w:t>mg</w:t>
            </w:r>
            <w:r w:rsidRPr="00916377">
              <w:rPr>
                <w:rFonts w:ascii="Times New Roman" w:eastAsia="Times New Roman" w:hAnsi="Times New Roman"/>
                <w:color w:val="000000"/>
                <w:lang w:val="el-GR"/>
              </w:rPr>
              <w:t xml:space="preserve">, </w:t>
            </w:r>
            <w:r w:rsidR="00364AB5" w:rsidRPr="00364AB5">
              <w:rPr>
                <w:rFonts w:ascii="Times New Roman" w:eastAsia="Times New Roman" w:hAnsi="Times New Roman"/>
                <w:color w:val="000000"/>
              </w:rPr>
              <w:t>εφάπαξ δόση</w:t>
            </w:r>
            <w:r w:rsidRPr="00AC1E02">
              <w:rPr>
                <w:rFonts w:ascii="Times New Roman" w:eastAsia="Times New Roman" w:hAnsi="Times New Roman"/>
                <w:color w:val="000000"/>
              </w:rPr>
              <w:t xml:space="preserve"> </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1.9-</w:t>
            </w:r>
            <w:r w:rsidR="00E609DE">
              <w:t xml:space="preserve"> </w:t>
            </w:r>
            <w:r w:rsidR="00E609DE" w:rsidRPr="00E609DE">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Eltrombopag 75 mg OD, 10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364AB5" w:rsidRPr="00364AB5">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730D59">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1.6-</w:t>
            </w:r>
            <w:r w:rsidR="00E609DE">
              <w:t xml:space="preserve"> </w:t>
            </w:r>
            <w:r w:rsidR="00E609DE" w:rsidRPr="00E609DE">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Darunavir 600 mg/ritonavir 100 mg BID, 7 days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OD, 7 </w:t>
            </w:r>
            <w:r w:rsidR="008762D7" w:rsidRPr="008762D7">
              <w:rPr>
                <w:rFonts w:ascii="Times New Roman" w:eastAsia="Times New Roman" w:hAnsi="Times New Roman"/>
                <w:color w:val="000000"/>
              </w:rPr>
              <w:t>ημέρες</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1.5-</w:t>
            </w:r>
            <w:r w:rsidR="00730D59">
              <w:t xml:space="preserve"> </w:t>
            </w:r>
            <w:r w:rsidR="00730D59" w:rsidRPr="00730D59">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Tipranavir 500 mg/ritonavir 200 mg BID, 11 </w:t>
            </w:r>
            <w:r w:rsidR="00730D59" w:rsidRPr="00730D59">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8762D7" w:rsidRPr="008762D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1.4-</w:t>
            </w:r>
            <w:r w:rsidR="00730D59">
              <w:t xml:space="preserve"> </w:t>
            </w:r>
            <w:r w:rsidR="00730D59" w:rsidRPr="00730D59">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lastRenderedPageBreak/>
              <w:t xml:space="preserve">Dronedarone 400 mg BID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8762D7" w:rsidP="008762D7">
            <w:pPr>
              <w:spacing w:before="100" w:beforeAutospacing="1" w:after="75" w:line="360" w:lineRule="auto"/>
              <w:jc w:val="both"/>
              <w:rPr>
                <w:rFonts w:ascii="Times New Roman" w:eastAsia="Times New Roman" w:hAnsi="Times New Roman"/>
                <w:color w:val="000000"/>
              </w:rPr>
            </w:pPr>
            <w:r w:rsidRPr="008762D7">
              <w:rPr>
                <w:rFonts w:ascii="Times New Roman" w:eastAsia="Times New Roman" w:hAnsi="Times New Roman"/>
                <w:color w:val="000000"/>
              </w:rPr>
              <w:t>Δεν</w:t>
            </w:r>
            <w:r>
              <w:rPr>
                <w:rFonts w:ascii="Times New Roman" w:eastAsia="Times New Roman" w:hAnsi="Times New Roman"/>
                <w:color w:val="000000"/>
                <w:lang w:val="el-GR"/>
              </w:rPr>
              <w:t xml:space="preserve"> </w:t>
            </w:r>
            <w:r w:rsidRPr="008762D7">
              <w:rPr>
                <w:rFonts w:ascii="Times New Roman" w:eastAsia="Times New Roman" w:hAnsi="Times New Roman"/>
                <w:color w:val="000000"/>
              </w:rPr>
              <w:t>είναι διαθέσιμο</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1.4-</w:t>
            </w:r>
            <w:r w:rsidR="00730D59">
              <w:t xml:space="preserve"> </w:t>
            </w:r>
            <w:r w:rsidR="00730D59" w:rsidRPr="00730D59">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Itraconazole 200 mg OD, 5 </w:t>
            </w:r>
            <w:r w:rsidR="00730D59" w:rsidRPr="00730D59">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8762D7" w:rsidRPr="008762D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vertAlign w:val="superscript"/>
              </w:rPr>
              <w:t>**</w:t>
            </w:r>
            <w:r w:rsidRPr="00AC1E02">
              <w:rPr>
                <w:rFonts w:ascii="Times New Roman" w:eastAsia="Times New Roman" w:hAnsi="Times New Roman"/>
                <w:color w:val="000000"/>
              </w:rPr>
              <w:t>1.4-</w:t>
            </w:r>
            <w:r w:rsidR="00730D59">
              <w:t xml:space="preserve"> </w:t>
            </w:r>
            <w:r w:rsidR="00730D59" w:rsidRPr="00730D59">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Ezetimibe 10 mg OD, 14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OD, 14 </w:t>
            </w:r>
            <w:r w:rsidR="00916377" w:rsidRPr="00916377">
              <w:rPr>
                <w:rFonts w:ascii="Times New Roman" w:eastAsia="Times New Roman" w:hAnsi="Times New Roman"/>
                <w:color w:val="000000"/>
              </w:rPr>
              <w:t>ημέρες</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vertAlign w:val="superscript"/>
              </w:rPr>
              <w:t>**</w:t>
            </w:r>
            <w:r w:rsidRPr="00AC1E02">
              <w:rPr>
                <w:rFonts w:ascii="Times New Roman" w:eastAsia="Times New Roman" w:hAnsi="Times New Roman"/>
                <w:color w:val="000000"/>
              </w:rPr>
              <w:t>1.2-</w:t>
            </w:r>
            <w:r w:rsidR="00730D59">
              <w:t xml:space="preserve"> </w:t>
            </w:r>
            <w:r w:rsidR="00730D59" w:rsidRPr="00730D59">
              <w:rPr>
                <w:rFonts w:ascii="Times New Roman" w:eastAsia="Times New Roman" w:hAnsi="Times New Roman"/>
                <w:color w:val="000000"/>
              </w:rPr>
              <w:t xml:space="preserve">φορές </w:t>
            </w:r>
            <w:r w:rsidRPr="00AC1E02">
              <w:rPr>
                <w:rFonts w:ascii="Times New Roman" w:eastAsia="Times New Roman" w:hAnsi="Times New Roman"/>
                <w:color w:val="000000"/>
              </w:rPr>
              <w:t>↑</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Fosamprenavir 700 mg/ritonavir 100 mg BID, 8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Aleglitazar 0.3 mg, 7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40 mg, 7 </w:t>
            </w:r>
            <w:r w:rsidR="008762D7" w:rsidRPr="008762D7">
              <w:rPr>
                <w:rFonts w:ascii="Times New Roman" w:eastAsia="Times New Roman" w:hAnsi="Times New Roman"/>
                <w:color w:val="000000"/>
              </w:rPr>
              <w:t>ημέρες</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Silymarin 140 mg TID, 5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w:t>
            </w:r>
            <w:r w:rsidR="00916377">
              <w:rPr>
                <w:rFonts w:ascii="Times New Roman" w:eastAsia="Times New Roman" w:hAnsi="Times New Roman"/>
                <w:color w:val="000000"/>
                <w:lang w:val="el-GR"/>
              </w:rPr>
              <w:t>εφάπαξ δόση</w:t>
            </w:r>
            <w:r w:rsidRPr="00AC1E02">
              <w:rPr>
                <w:rFonts w:ascii="Times New Roman" w:eastAsia="Times New Roman" w:hAnsi="Times New Roman"/>
                <w:color w:val="000000"/>
              </w:rPr>
              <w:t xml:space="preserve"> </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Fenofibrate 67 mg TID, 7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10 mg, 7 </w:t>
            </w:r>
            <w:r w:rsidR="008762D7" w:rsidRPr="008762D7">
              <w:rPr>
                <w:rFonts w:ascii="Times New Roman" w:eastAsia="Times New Roman" w:hAnsi="Times New Roman"/>
                <w:color w:val="000000"/>
              </w:rPr>
              <w:t>ημέρες</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91637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Rifampin 450 mg OD, 7 </w:t>
            </w:r>
            <w:r w:rsidR="00916377">
              <w:rPr>
                <w:rFonts w:ascii="Times New Roman" w:eastAsia="Times New Roman" w:hAnsi="Times New Roman"/>
                <w:color w:val="000000"/>
                <w:lang w:val="el-GR"/>
              </w:rPr>
              <w:t>ημέρες</w:t>
            </w:r>
            <w:r w:rsidRPr="00AC1E02">
              <w:rPr>
                <w:rFonts w:ascii="Times New Roman" w:eastAsia="Times New Roman" w:hAnsi="Times New Roman"/>
                <w:color w:val="000000"/>
              </w:rPr>
              <w:t xml:space="preserve"> </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20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Ketoconazole 200 mg BID, 7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80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Fluconazole 200 mg OD, 11 </w:t>
            </w:r>
            <w:r w:rsidR="00916377" w:rsidRPr="00916377">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80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Erythromycin 500 mg QID, 7 </w:t>
            </w:r>
            <w:r w:rsidR="00730D59" w:rsidRPr="00730D59">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80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28% ↓</w:t>
            </w:r>
          </w:p>
        </w:tc>
      </w:tr>
      <w:tr w:rsidR="006A136A" w:rsidRPr="00AC1E02" w:rsidTr="00F945C0">
        <w:trPr>
          <w:tblCellSpacing w:w="0" w:type="dxa"/>
        </w:trPr>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Baicalin 50 mg TID, 14 </w:t>
            </w:r>
            <w:r w:rsidR="00730D59" w:rsidRPr="00730D59">
              <w:rPr>
                <w:rFonts w:ascii="Times New Roman" w:eastAsia="Times New Roman" w:hAnsi="Times New Roman"/>
                <w:color w:val="000000"/>
              </w:rPr>
              <w:t>ημέρες</w:t>
            </w:r>
          </w:p>
        </w:tc>
        <w:tc>
          <w:tcPr>
            <w:tcW w:w="1650" w:type="pct"/>
            <w:tcBorders>
              <w:top w:val="outset" w:sz="6" w:space="0" w:color="auto"/>
              <w:left w:val="outset" w:sz="6" w:space="0" w:color="auto"/>
              <w:bottom w:val="outset" w:sz="6" w:space="0" w:color="auto"/>
              <w:right w:val="outset" w:sz="6" w:space="0" w:color="auto"/>
            </w:tcBorders>
          </w:tcPr>
          <w:p w:rsidR="006A136A" w:rsidRPr="00AC1E02" w:rsidRDefault="006A136A" w:rsidP="008762D7">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 xml:space="preserve">20 mg, </w:t>
            </w:r>
            <w:r w:rsidR="00916377" w:rsidRPr="00916377">
              <w:rPr>
                <w:rFonts w:ascii="Times New Roman" w:eastAsia="Times New Roman" w:hAnsi="Times New Roman"/>
                <w:color w:val="000000"/>
              </w:rPr>
              <w:t>εφάπαξ δόση</w:t>
            </w:r>
          </w:p>
        </w:tc>
        <w:tc>
          <w:tcPr>
            <w:tcW w:w="1700" w:type="pct"/>
            <w:tcBorders>
              <w:top w:val="outset" w:sz="6" w:space="0" w:color="auto"/>
              <w:left w:val="outset" w:sz="6" w:space="0" w:color="auto"/>
              <w:bottom w:val="outset" w:sz="6" w:space="0" w:color="auto"/>
              <w:right w:val="outset" w:sz="6" w:space="0" w:color="auto"/>
            </w:tcBorders>
          </w:tcPr>
          <w:p w:rsidR="006A136A" w:rsidRPr="00AC1E02" w:rsidRDefault="006A136A" w:rsidP="00AC1E02">
            <w:pPr>
              <w:spacing w:before="100" w:beforeAutospacing="1" w:after="75" w:line="360" w:lineRule="auto"/>
              <w:jc w:val="both"/>
              <w:rPr>
                <w:rFonts w:ascii="Times New Roman" w:eastAsia="Times New Roman" w:hAnsi="Times New Roman"/>
                <w:color w:val="000000"/>
              </w:rPr>
            </w:pPr>
            <w:r w:rsidRPr="00AC1E02">
              <w:rPr>
                <w:rFonts w:ascii="Times New Roman" w:eastAsia="Times New Roman" w:hAnsi="Times New Roman"/>
                <w:color w:val="000000"/>
              </w:rPr>
              <w:t>47% ↓</w:t>
            </w:r>
          </w:p>
        </w:tc>
      </w:tr>
      <w:tr w:rsidR="006A136A" w:rsidRPr="00A40B70" w:rsidTr="00F54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6A136A" w:rsidRPr="007E7FA8" w:rsidRDefault="006A136A" w:rsidP="00AC1E02">
            <w:pPr>
              <w:spacing w:before="100" w:beforeAutospacing="1" w:after="75" w:line="360" w:lineRule="auto"/>
              <w:jc w:val="both"/>
              <w:rPr>
                <w:rFonts w:ascii="Times New Roman" w:eastAsia="Times New Roman" w:hAnsi="Times New Roman"/>
                <w:color w:val="000000"/>
                <w:lang w:val="el-GR"/>
              </w:rPr>
            </w:pPr>
            <w:r w:rsidRPr="00730386">
              <w:rPr>
                <w:rFonts w:ascii="Times New Roman" w:eastAsia="Times New Roman" w:hAnsi="Times New Roman"/>
                <w:color w:val="000000"/>
                <w:vertAlign w:val="superscript"/>
                <w:lang w:val="el-GR"/>
              </w:rPr>
              <w:t>*</w:t>
            </w:r>
            <w:r w:rsidR="00730386" w:rsidRPr="00730386">
              <w:rPr>
                <w:lang w:val="el-GR"/>
              </w:rPr>
              <w:t xml:space="preserve"> </w:t>
            </w:r>
            <w:r w:rsidR="00730386" w:rsidRPr="00730386">
              <w:rPr>
                <w:rFonts w:ascii="Times New Roman" w:eastAsia="Times New Roman" w:hAnsi="Times New Roman"/>
                <w:color w:val="000000"/>
                <w:lang w:val="el-GR"/>
              </w:rPr>
              <w:t xml:space="preserve">Τα </w:t>
            </w:r>
            <w:r w:rsidR="00730386">
              <w:rPr>
                <w:rFonts w:ascii="Times New Roman" w:eastAsia="Times New Roman" w:hAnsi="Times New Roman"/>
                <w:color w:val="000000"/>
                <w:lang w:val="el-GR"/>
              </w:rPr>
              <w:t>δ</w:t>
            </w:r>
            <w:r w:rsidR="00730386" w:rsidRPr="00730386">
              <w:rPr>
                <w:rFonts w:ascii="Times New Roman" w:eastAsia="Times New Roman" w:hAnsi="Times New Roman"/>
                <w:color w:val="000000"/>
                <w:lang w:val="el-GR"/>
              </w:rPr>
              <w:t xml:space="preserve">εδομένα </w:t>
            </w:r>
            <w:r w:rsidR="00730386">
              <w:rPr>
                <w:rFonts w:ascii="Times New Roman" w:eastAsia="Times New Roman" w:hAnsi="Times New Roman"/>
                <w:color w:val="000000"/>
                <w:lang w:val="el-GR"/>
              </w:rPr>
              <w:t xml:space="preserve">που </w:t>
            </w:r>
            <w:r w:rsidR="00730386" w:rsidRPr="00730386">
              <w:rPr>
                <w:rFonts w:ascii="Times New Roman" w:eastAsia="Times New Roman" w:hAnsi="Times New Roman"/>
                <w:color w:val="000000"/>
                <w:lang w:val="el-GR"/>
              </w:rPr>
              <w:t xml:space="preserve">δίνονται ως </w:t>
            </w:r>
            <w:r w:rsidR="00730386" w:rsidRPr="00730386">
              <w:rPr>
                <w:rFonts w:ascii="Times New Roman" w:eastAsia="Times New Roman" w:hAnsi="Times New Roman"/>
                <w:color w:val="000000"/>
              </w:rPr>
              <w:t>x</w:t>
            </w:r>
            <w:r w:rsidR="00730386" w:rsidRPr="00730386">
              <w:rPr>
                <w:rFonts w:ascii="Times New Roman" w:eastAsia="Times New Roman" w:hAnsi="Times New Roman"/>
                <w:color w:val="000000"/>
                <w:lang w:val="el-GR"/>
              </w:rPr>
              <w:t xml:space="preserve">-φορές </w:t>
            </w:r>
            <w:r w:rsidR="00730386">
              <w:rPr>
                <w:rFonts w:ascii="Times New Roman" w:eastAsia="Times New Roman" w:hAnsi="Times New Roman"/>
                <w:color w:val="000000"/>
                <w:lang w:val="el-GR"/>
              </w:rPr>
              <w:t>μεταβολή</w:t>
            </w:r>
            <w:r w:rsidR="00730386" w:rsidRPr="00730386">
              <w:rPr>
                <w:rFonts w:ascii="Times New Roman" w:eastAsia="Times New Roman" w:hAnsi="Times New Roman"/>
                <w:color w:val="000000"/>
                <w:lang w:val="el-GR"/>
              </w:rPr>
              <w:t xml:space="preserve"> αντιπροσωπεύουν μια απλή αναλογία μεταξύ </w:t>
            </w:r>
            <w:r w:rsidR="00730386">
              <w:rPr>
                <w:rFonts w:ascii="Times New Roman" w:eastAsia="Times New Roman" w:hAnsi="Times New Roman"/>
                <w:color w:val="000000"/>
                <w:lang w:val="el-GR"/>
              </w:rPr>
              <w:t xml:space="preserve">της </w:t>
            </w:r>
            <w:r w:rsidR="00730386" w:rsidRPr="00730386">
              <w:rPr>
                <w:rFonts w:ascii="Times New Roman" w:eastAsia="Times New Roman" w:hAnsi="Times New Roman"/>
                <w:color w:val="000000"/>
                <w:lang w:val="el-GR"/>
              </w:rPr>
              <w:t>συγχορ</w:t>
            </w:r>
            <w:r w:rsidR="00730386">
              <w:rPr>
                <w:rFonts w:ascii="Times New Roman" w:eastAsia="Times New Roman" w:hAnsi="Times New Roman"/>
                <w:color w:val="000000"/>
                <w:lang w:val="el-GR"/>
              </w:rPr>
              <w:t>ηγούμενης</w:t>
            </w:r>
            <w:r w:rsidR="00730386" w:rsidRPr="00730386">
              <w:rPr>
                <w:rFonts w:ascii="Times New Roman" w:eastAsia="Times New Roman" w:hAnsi="Times New Roman"/>
                <w:color w:val="000000"/>
                <w:lang w:val="el-GR"/>
              </w:rPr>
              <w:t xml:space="preserve"> ροσουβαστατίνη</w:t>
            </w:r>
            <w:r w:rsidR="00730386">
              <w:rPr>
                <w:rFonts w:ascii="Times New Roman" w:eastAsia="Times New Roman" w:hAnsi="Times New Roman"/>
                <w:color w:val="000000"/>
                <w:lang w:val="el-GR"/>
              </w:rPr>
              <w:t>ς</w:t>
            </w:r>
            <w:r w:rsidR="00730386" w:rsidRPr="00730386">
              <w:rPr>
                <w:rFonts w:ascii="Times New Roman" w:eastAsia="Times New Roman" w:hAnsi="Times New Roman"/>
                <w:color w:val="000000"/>
                <w:lang w:val="el-GR"/>
              </w:rPr>
              <w:t xml:space="preserve"> και μόνο. Τα δεδομένα </w:t>
            </w:r>
            <w:r w:rsidR="00730386">
              <w:rPr>
                <w:rFonts w:ascii="Times New Roman" w:eastAsia="Times New Roman" w:hAnsi="Times New Roman"/>
                <w:color w:val="000000"/>
                <w:lang w:val="el-GR"/>
              </w:rPr>
              <w:t xml:space="preserve">που </w:t>
            </w:r>
            <w:r w:rsidR="00730386" w:rsidRPr="00730386">
              <w:rPr>
                <w:rFonts w:ascii="Times New Roman" w:eastAsia="Times New Roman" w:hAnsi="Times New Roman"/>
                <w:color w:val="000000"/>
                <w:lang w:val="el-GR"/>
              </w:rPr>
              <w:t>δίνονται ως</w:t>
            </w:r>
            <w:r w:rsidR="00730386">
              <w:rPr>
                <w:rFonts w:ascii="Times New Roman" w:eastAsia="Times New Roman" w:hAnsi="Times New Roman"/>
                <w:color w:val="000000"/>
                <w:lang w:val="el-GR"/>
              </w:rPr>
              <w:t xml:space="preserve"> </w:t>
            </w:r>
            <w:r w:rsidR="00730386" w:rsidRPr="00730386">
              <w:rPr>
                <w:rFonts w:ascii="Times New Roman" w:eastAsia="Times New Roman" w:hAnsi="Times New Roman"/>
                <w:color w:val="000000"/>
                <w:lang w:val="el-GR"/>
              </w:rPr>
              <w:t>% μεταβολή αντιπροσωπεύουν</w:t>
            </w:r>
            <w:r w:rsidR="00730386">
              <w:rPr>
                <w:rFonts w:ascii="Times New Roman" w:eastAsia="Times New Roman" w:hAnsi="Times New Roman"/>
                <w:color w:val="000000"/>
                <w:lang w:val="el-GR"/>
              </w:rPr>
              <w:t xml:space="preserve"> </w:t>
            </w:r>
            <w:r w:rsidR="00730386" w:rsidRPr="00730386">
              <w:rPr>
                <w:rFonts w:ascii="Times New Roman" w:eastAsia="Times New Roman" w:hAnsi="Times New Roman"/>
                <w:color w:val="000000"/>
                <w:lang w:val="el-GR"/>
              </w:rPr>
              <w:t xml:space="preserve">% </w:t>
            </w:r>
            <w:r w:rsidR="00730386">
              <w:rPr>
                <w:rFonts w:ascii="Times New Roman" w:eastAsia="Times New Roman" w:hAnsi="Times New Roman"/>
                <w:color w:val="000000"/>
                <w:lang w:val="el-GR"/>
              </w:rPr>
              <w:t>μεταβολή</w:t>
            </w:r>
            <w:r w:rsidR="00730386" w:rsidRPr="00730386">
              <w:rPr>
                <w:rFonts w:ascii="Times New Roman" w:eastAsia="Times New Roman" w:hAnsi="Times New Roman"/>
                <w:color w:val="000000"/>
                <w:lang w:val="el-GR"/>
              </w:rPr>
              <w:t xml:space="preserve"> σε σχέση με ροσουβαστατίνη και μόνο</w:t>
            </w:r>
            <w:r w:rsidRPr="007E7FA8">
              <w:rPr>
                <w:rFonts w:ascii="Times New Roman" w:eastAsia="Times New Roman" w:hAnsi="Times New Roman"/>
                <w:color w:val="000000"/>
                <w:lang w:val="el-GR"/>
              </w:rPr>
              <w:t xml:space="preserve">. </w:t>
            </w:r>
          </w:p>
          <w:p w:rsidR="006A136A" w:rsidRPr="007E7FA8" w:rsidRDefault="007E7FA8"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color w:val="000000"/>
                <w:lang w:val="el-GR"/>
              </w:rPr>
              <w:t>Η</w:t>
            </w:r>
            <w:r w:rsidRPr="007E7FA8">
              <w:rPr>
                <w:rFonts w:ascii="Times New Roman" w:eastAsia="Times New Roman" w:hAnsi="Times New Roman"/>
                <w:color w:val="000000"/>
                <w:lang w:val="el-GR"/>
              </w:rPr>
              <w:t xml:space="preserve"> </w:t>
            </w:r>
            <w:r>
              <w:rPr>
                <w:rFonts w:ascii="Times New Roman" w:eastAsia="Times New Roman" w:hAnsi="Times New Roman"/>
                <w:color w:val="000000"/>
                <w:lang w:val="el-GR"/>
              </w:rPr>
              <w:t>αύξηση</w:t>
            </w:r>
            <w:r w:rsidRPr="007E7FA8">
              <w:rPr>
                <w:rFonts w:ascii="Times New Roman" w:eastAsia="Times New Roman" w:hAnsi="Times New Roman"/>
                <w:color w:val="000000"/>
                <w:lang w:val="el-GR"/>
              </w:rPr>
              <w:t xml:space="preserve"> </w:t>
            </w:r>
            <w:r>
              <w:rPr>
                <w:rFonts w:ascii="Times New Roman" w:eastAsia="Times New Roman" w:hAnsi="Times New Roman"/>
                <w:color w:val="000000"/>
                <w:lang w:val="el-GR"/>
              </w:rPr>
              <w:t xml:space="preserve">υποδεικνύεται ως </w:t>
            </w:r>
            <w:r w:rsidR="006A136A" w:rsidRPr="007E7FA8">
              <w:rPr>
                <w:rFonts w:ascii="Times New Roman" w:eastAsia="Times New Roman" w:hAnsi="Times New Roman"/>
                <w:color w:val="000000"/>
                <w:lang w:val="el-GR"/>
              </w:rPr>
              <w:t>“↑</w:t>
            </w:r>
            <w:r w:rsidR="006A136A" w:rsidRPr="007E7FA8">
              <w:rPr>
                <w:rFonts w:ascii="Times New Roman" w:eastAsia="Times New Roman" w:hAnsi="Times New Roman"/>
                <w:color w:val="000000"/>
                <w:u w:val="single"/>
                <w:lang w:val="el-GR"/>
              </w:rPr>
              <w:t>”,</w:t>
            </w:r>
            <w:r w:rsidR="006A136A" w:rsidRPr="007E7FA8">
              <w:rPr>
                <w:rFonts w:ascii="Times New Roman" w:eastAsia="Times New Roman" w:hAnsi="Times New Roman"/>
                <w:color w:val="000000"/>
                <w:lang w:val="el-GR"/>
              </w:rPr>
              <w:t xml:space="preserve"> </w:t>
            </w:r>
            <w:r>
              <w:rPr>
                <w:rFonts w:ascii="Times New Roman" w:eastAsia="Times New Roman" w:hAnsi="Times New Roman"/>
                <w:color w:val="000000"/>
                <w:lang w:val="el-GR"/>
              </w:rPr>
              <w:t>καμία μεταβολή ως</w:t>
            </w:r>
            <w:r w:rsidR="006A136A" w:rsidRPr="007E7FA8">
              <w:rPr>
                <w:rFonts w:ascii="Times New Roman" w:eastAsia="Times New Roman" w:hAnsi="Times New Roman"/>
                <w:color w:val="000000"/>
                <w:lang w:val="el-GR"/>
              </w:rPr>
              <w:t xml:space="preserve"> </w:t>
            </w:r>
            <w:r w:rsidR="006A136A" w:rsidRPr="007E7FA8">
              <w:rPr>
                <w:rFonts w:ascii="Times New Roman" w:eastAsia="Times New Roman" w:hAnsi="Times New Roman"/>
                <w:b/>
                <w:bCs/>
                <w:color w:val="000000"/>
                <w:lang w:val="el-GR"/>
              </w:rPr>
              <w:t>“</w:t>
            </w:r>
            <w:r w:rsidR="006A136A" w:rsidRPr="007E7FA8">
              <w:rPr>
                <w:rFonts w:ascii="Times New Roman" w:eastAsia="Times New Roman" w:hAnsi="Times New Roman"/>
                <w:color w:val="000000"/>
                <w:lang w:val="el-GR"/>
              </w:rPr>
              <w:t xml:space="preserve">↔”, </w:t>
            </w:r>
            <w:r>
              <w:rPr>
                <w:rFonts w:ascii="Times New Roman" w:eastAsia="Times New Roman" w:hAnsi="Times New Roman"/>
                <w:color w:val="000000"/>
                <w:lang w:val="el-GR"/>
              </w:rPr>
              <w:t xml:space="preserve">η μείωση ως </w:t>
            </w:r>
            <w:r w:rsidR="006A136A" w:rsidRPr="007E7FA8">
              <w:rPr>
                <w:rFonts w:ascii="Times New Roman" w:eastAsia="Times New Roman" w:hAnsi="Times New Roman"/>
                <w:color w:val="000000"/>
                <w:lang w:val="el-GR"/>
              </w:rPr>
              <w:t xml:space="preserve">“↓”. </w:t>
            </w:r>
          </w:p>
          <w:p w:rsidR="006A136A" w:rsidRPr="007E7FA8" w:rsidRDefault="006A136A" w:rsidP="00AC1E02">
            <w:pPr>
              <w:spacing w:before="100" w:beforeAutospacing="1" w:after="75" w:line="360" w:lineRule="auto"/>
              <w:jc w:val="both"/>
              <w:rPr>
                <w:rFonts w:ascii="Times New Roman" w:eastAsia="Times New Roman" w:hAnsi="Times New Roman"/>
                <w:color w:val="000000"/>
                <w:lang w:val="el-GR"/>
              </w:rPr>
            </w:pPr>
            <w:r w:rsidRPr="007E7FA8">
              <w:rPr>
                <w:rFonts w:ascii="Times New Roman" w:eastAsia="Times New Roman" w:hAnsi="Times New Roman"/>
                <w:color w:val="000000"/>
                <w:vertAlign w:val="superscript"/>
                <w:lang w:val="el-GR"/>
              </w:rPr>
              <w:t>**</w:t>
            </w:r>
            <w:r w:rsidR="007E7FA8" w:rsidRPr="007E7FA8">
              <w:rPr>
                <w:rFonts w:ascii="Times New Roman" w:eastAsia="Times New Roman" w:hAnsi="Times New Roman"/>
                <w:color w:val="000000"/>
                <w:lang w:val="el-GR"/>
              </w:rPr>
              <w:t>Αρκετές μελέτες αλληλεπιδράσεων έχουν πραγματοποιηθεί σε διαφορετικές δοσολογίες ροσουβαστατίνη</w:t>
            </w:r>
            <w:r w:rsidR="007E7FA8">
              <w:rPr>
                <w:rFonts w:ascii="Times New Roman" w:eastAsia="Times New Roman" w:hAnsi="Times New Roman"/>
                <w:color w:val="000000"/>
                <w:lang w:val="el-GR"/>
              </w:rPr>
              <w:t>ς</w:t>
            </w:r>
            <w:r w:rsidR="007E7FA8" w:rsidRPr="007E7FA8">
              <w:rPr>
                <w:rFonts w:ascii="Times New Roman" w:eastAsia="Times New Roman" w:hAnsi="Times New Roman"/>
                <w:color w:val="000000"/>
                <w:lang w:val="el-GR"/>
              </w:rPr>
              <w:t>, ο πίνακας δείχνει την πιο σημαντική αναλογία</w:t>
            </w:r>
            <w:r w:rsidR="007E7FA8">
              <w:rPr>
                <w:rFonts w:ascii="Times New Roman" w:eastAsia="Times New Roman" w:hAnsi="Times New Roman"/>
                <w:color w:val="000000"/>
                <w:lang w:val="el-GR"/>
              </w:rPr>
              <w:t>.</w:t>
            </w:r>
            <w:r w:rsidRPr="007E7FA8">
              <w:rPr>
                <w:rFonts w:ascii="Times New Roman" w:eastAsia="Times New Roman" w:hAnsi="Times New Roman"/>
                <w:color w:val="000000"/>
                <w:lang w:val="el-GR"/>
              </w:rPr>
              <w:t xml:space="preserve"> </w:t>
            </w:r>
          </w:p>
          <w:p w:rsidR="006A136A" w:rsidRPr="00A40B70" w:rsidRDefault="006A136A" w:rsidP="00A40B70">
            <w:pPr>
              <w:spacing w:before="100" w:beforeAutospacing="1" w:after="75"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lastRenderedPageBreak/>
              <w:t>OD</w:t>
            </w:r>
            <w:r w:rsidRPr="00A40B70">
              <w:rPr>
                <w:rFonts w:ascii="Times New Roman" w:eastAsia="Times New Roman" w:hAnsi="Times New Roman"/>
                <w:color w:val="000000"/>
                <w:lang w:val="el-GR"/>
              </w:rPr>
              <w:t xml:space="preserve"> = </w:t>
            </w:r>
            <w:r w:rsidR="00A40B70">
              <w:rPr>
                <w:rFonts w:ascii="Times New Roman" w:eastAsia="Times New Roman" w:hAnsi="Times New Roman"/>
                <w:color w:val="000000"/>
                <w:lang w:val="el-GR"/>
              </w:rPr>
              <w:t>μία</w:t>
            </w:r>
            <w:r w:rsidR="00A40B70" w:rsidRPr="00A40B70">
              <w:rPr>
                <w:rFonts w:ascii="Times New Roman" w:eastAsia="Times New Roman" w:hAnsi="Times New Roman"/>
                <w:color w:val="000000"/>
                <w:lang w:val="el-GR"/>
              </w:rPr>
              <w:t xml:space="preserve"> </w:t>
            </w:r>
            <w:r w:rsidR="00A40B70">
              <w:rPr>
                <w:rFonts w:ascii="Times New Roman" w:eastAsia="Times New Roman" w:hAnsi="Times New Roman"/>
                <w:color w:val="000000"/>
                <w:lang w:val="el-GR"/>
              </w:rPr>
              <w:t>φορά την ημέρα,</w:t>
            </w:r>
            <w:r w:rsidRPr="00A40B70">
              <w:rPr>
                <w:rFonts w:ascii="Times New Roman" w:eastAsia="Times New Roman" w:hAnsi="Times New Roman"/>
                <w:color w:val="000000"/>
                <w:lang w:val="el-GR"/>
              </w:rPr>
              <w:t xml:space="preserve"> </w:t>
            </w:r>
            <w:r w:rsidRPr="00AC1E02">
              <w:rPr>
                <w:rFonts w:ascii="Times New Roman" w:eastAsia="Times New Roman" w:hAnsi="Times New Roman"/>
                <w:color w:val="000000"/>
              </w:rPr>
              <w:t>BID</w:t>
            </w:r>
            <w:r w:rsidRPr="00A40B70">
              <w:rPr>
                <w:rFonts w:ascii="Times New Roman" w:eastAsia="Times New Roman" w:hAnsi="Times New Roman"/>
                <w:color w:val="000000"/>
                <w:lang w:val="el-GR"/>
              </w:rPr>
              <w:t xml:space="preserve"> = </w:t>
            </w:r>
            <w:r w:rsidR="00A40B70">
              <w:rPr>
                <w:rFonts w:ascii="Times New Roman" w:eastAsia="Times New Roman" w:hAnsi="Times New Roman"/>
                <w:color w:val="000000"/>
                <w:lang w:val="el-GR"/>
              </w:rPr>
              <w:t>δύο</w:t>
            </w:r>
            <w:r w:rsidR="00A40B70" w:rsidRPr="00A40B70">
              <w:rPr>
                <w:rFonts w:ascii="Times New Roman" w:eastAsia="Times New Roman" w:hAnsi="Times New Roman"/>
                <w:color w:val="000000"/>
                <w:lang w:val="el-GR"/>
              </w:rPr>
              <w:t xml:space="preserve"> </w:t>
            </w:r>
            <w:r w:rsidR="00A40B70">
              <w:rPr>
                <w:rFonts w:ascii="Times New Roman" w:eastAsia="Times New Roman" w:hAnsi="Times New Roman"/>
                <w:color w:val="000000"/>
                <w:lang w:val="el-GR"/>
              </w:rPr>
              <w:t>φορές την ημέρα,</w:t>
            </w:r>
            <w:r w:rsidRPr="00A40B70">
              <w:rPr>
                <w:rFonts w:ascii="Times New Roman" w:eastAsia="Times New Roman" w:hAnsi="Times New Roman"/>
                <w:color w:val="000000"/>
                <w:lang w:val="el-GR"/>
              </w:rPr>
              <w:t xml:space="preserve"> </w:t>
            </w:r>
            <w:r w:rsidRPr="00AC1E02">
              <w:rPr>
                <w:rFonts w:ascii="Times New Roman" w:eastAsia="Times New Roman" w:hAnsi="Times New Roman"/>
                <w:color w:val="000000"/>
              </w:rPr>
              <w:t>TID</w:t>
            </w:r>
            <w:r w:rsidRPr="00A40B70">
              <w:rPr>
                <w:rFonts w:ascii="Times New Roman" w:eastAsia="Times New Roman" w:hAnsi="Times New Roman"/>
                <w:color w:val="000000"/>
                <w:lang w:val="el-GR"/>
              </w:rPr>
              <w:t xml:space="preserve"> = </w:t>
            </w:r>
            <w:r w:rsidR="00A40B70">
              <w:rPr>
                <w:rFonts w:ascii="Times New Roman" w:eastAsia="Times New Roman" w:hAnsi="Times New Roman"/>
                <w:color w:val="000000"/>
                <w:lang w:val="el-GR"/>
              </w:rPr>
              <w:t>τρεις</w:t>
            </w:r>
            <w:r w:rsidR="00A40B70" w:rsidRPr="00A40B70">
              <w:rPr>
                <w:rFonts w:ascii="Times New Roman" w:eastAsia="Times New Roman" w:hAnsi="Times New Roman"/>
                <w:color w:val="000000"/>
                <w:lang w:val="el-GR"/>
              </w:rPr>
              <w:t xml:space="preserve"> </w:t>
            </w:r>
            <w:r w:rsidR="00A40B70">
              <w:rPr>
                <w:rFonts w:ascii="Times New Roman" w:eastAsia="Times New Roman" w:hAnsi="Times New Roman"/>
                <w:color w:val="000000"/>
                <w:lang w:val="el-GR"/>
              </w:rPr>
              <w:t>φορές την ημέρα,</w:t>
            </w:r>
            <w:r w:rsidRPr="00A40B70">
              <w:rPr>
                <w:rFonts w:ascii="Times New Roman" w:eastAsia="Times New Roman" w:hAnsi="Times New Roman"/>
                <w:color w:val="000000"/>
                <w:lang w:val="el-GR"/>
              </w:rPr>
              <w:t xml:space="preserve"> </w:t>
            </w:r>
            <w:r w:rsidRPr="00AC1E02">
              <w:rPr>
                <w:rFonts w:ascii="Times New Roman" w:eastAsia="Times New Roman" w:hAnsi="Times New Roman"/>
                <w:color w:val="000000"/>
              </w:rPr>
              <w:t>QID</w:t>
            </w:r>
            <w:r w:rsidRPr="00A40B70">
              <w:rPr>
                <w:rFonts w:ascii="Times New Roman" w:eastAsia="Times New Roman" w:hAnsi="Times New Roman"/>
                <w:color w:val="000000"/>
                <w:lang w:val="el-GR"/>
              </w:rPr>
              <w:t xml:space="preserve"> = </w:t>
            </w:r>
            <w:r w:rsidR="00A40B70">
              <w:rPr>
                <w:rFonts w:ascii="Times New Roman" w:eastAsia="Times New Roman" w:hAnsi="Times New Roman"/>
                <w:color w:val="000000"/>
                <w:lang w:val="el-GR"/>
              </w:rPr>
              <w:t>τέσσερις φορές την ημέρα</w:t>
            </w:r>
            <w:r w:rsidRPr="00A40B70">
              <w:rPr>
                <w:rFonts w:ascii="Times New Roman" w:eastAsia="Times New Roman" w:hAnsi="Times New Roman"/>
                <w:color w:val="000000"/>
                <w:lang w:val="el-GR"/>
              </w:rPr>
              <w:t xml:space="preserve"> </w:t>
            </w:r>
          </w:p>
        </w:tc>
      </w:tr>
    </w:tbl>
    <w:p w:rsidR="00F945C0" w:rsidRPr="001D4A1C" w:rsidRDefault="00077A26" w:rsidP="00AC1E02">
      <w:pPr>
        <w:spacing w:before="100" w:beforeAutospacing="1" w:after="75" w:line="360" w:lineRule="auto"/>
        <w:jc w:val="both"/>
        <w:rPr>
          <w:rFonts w:ascii="Times New Roman" w:eastAsia="Times New Roman" w:hAnsi="Times New Roman"/>
          <w:lang w:val="el-GR"/>
        </w:rPr>
      </w:pPr>
      <w:r w:rsidRPr="001D4A1C">
        <w:rPr>
          <w:rFonts w:ascii="Times New Roman" w:eastAsia="Times New Roman" w:hAnsi="Times New Roman"/>
          <w:u w:val="single"/>
          <w:lang w:val="el-GR"/>
        </w:rPr>
        <w:lastRenderedPageBreak/>
        <w:t xml:space="preserve">Επίδραση της </w:t>
      </w:r>
      <w:r w:rsidR="00E32D87" w:rsidRPr="001D4A1C">
        <w:rPr>
          <w:rFonts w:ascii="Times New Roman" w:eastAsia="Times New Roman" w:hAnsi="Times New Roman"/>
          <w:u w:val="single"/>
          <w:lang w:val="el-GR"/>
        </w:rPr>
        <w:t>ροσουβαστατίνης στα</w:t>
      </w:r>
      <w:r w:rsidRPr="001D4A1C">
        <w:rPr>
          <w:rFonts w:ascii="Times New Roman" w:eastAsia="Times New Roman" w:hAnsi="Times New Roman"/>
          <w:u w:val="single"/>
          <w:lang w:val="el-GR"/>
        </w:rPr>
        <w:t xml:space="preserve"> συγχορηγούμενα φαρμακευτικά προϊόντα</w:t>
      </w:r>
    </w:p>
    <w:p w:rsidR="007C517B" w:rsidRPr="001D4A1C" w:rsidRDefault="007C517B" w:rsidP="007C517B">
      <w:pPr>
        <w:spacing w:before="100" w:beforeAutospacing="1" w:after="75" w:line="360" w:lineRule="auto"/>
        <w:jc w:val="both"/>
        <w:rPr>
          <w:rFonts w:ascii="Times New Roman" w:eastAsia="Times New Roman" w:hAnsi="Times New Roman"/>
          <w:bCs/>
          <w:lang w:val="el-GR"/>
        </w:rPr>
      </w:pPr>
      <w:r w:rsidRPr="001D4A1C">
        <w:rPr>
          <w:rFonts w:ascii="Times New Roman" w:eastAsia="Times New Roman" w:hAnsi="Times New Roman"/>
          <w:b/>
          <w:bCs/>
          <w:lang w:val="el-GR"/>
        </w:rPr>
        <w:t xml:space="preserve">Ανταγωνιστές της βιταμίνης Κ: </w:t>
      </w:r>
      <w:r w:rsidRPr="001D4A1C">
        <w:rPr>
          <w:rFonts w:ascii="Times New Roman" w:eastAsia="Times New Roman" w:hAnsi="Times New Roman"/>
          <w:bCs/>
          <w:lang w:val="el-GR"/>
        </w:rPr>
        <w:t xml:space="preserve">Όπως και με άλλους αναστολείς της HMG-CoA αναγωγάσης, η έναρξη της θεραπείας με </w:t>
      </w:r>
      <w:r w:rsidR="00FB2EC5" w:rsidRPr="001D4A1C">
        <w:rPr>
          <w:rFonts w:ascii="Times New Roman" w:eastAsia="Times New Roman" w:hAnsi="Times New Roman"/>
          <w:bCs/>
          <w:lang w:val="el-GR"/>
        </w:rPr>
        <w:t xml:space="preserve">ροσουβαστατίνη </w:t>
      </w:r>
      <w:r w:rsidRPr="001D4A1C">
        <w:rPr>
          <w:rFonts w:ascii="Times New Roman" w:eastAsia="Times New Roman" w:hAnsi="Times New Roman"/>
          <w:bCs/>
          <w:lang w:val="el-GR"/>
        </w:rPr>
        <w:t xml:space="preserve">ή η ρύθμιση σε μεγαλύτερες δόσεις σε ασθενείς που λαμβάνουν συγχρόνως ανταγωνιστές της βιταμίνης Κ (π.χ. βαρφαρίνη ή άλλα κουμαρινικά αντιπηκτικά) μπορεί να επιφέρει αύξηση στις τιμές </w:t>
      </w:r>
      <w:r w:rsidRPr="001D4A1C">
        <w:rPr>
          <w:rFonts w:ascii="Times New Roman" w:eastAsia="Times New Roman" w:hAnsi="Times New Roman"/>
          <w:bCs/>
        </w:rPr>
        <w:t>INR</w:t>
      </w:r>
      <w:r w:rsidRPr="001D4A1C">
        <w:rPr>
          <w:rFonts w:ascii="Times New Roman" w:eastAsia="Times New Roman" w:hAnsi="Times New Roman"/>
          <w:bCs/>
          <w:lang w:val="el-GR"/>
        </w:rPr>
        <w:t xml:space="preserve"> (</w:t>
      </w:r>
      <w:r w:rsidRPr="001D4A1C">
        <w:rPr>
          <w:rFonts w:ascii="Times New Roman" w:eastAsia="Times New Roman" w:hAnsi="Times New Roman"/>
          <w:bCs/>
        </w:rPr>
        <w:t>International</w:t>
      </w:r>
      <w:r w:rsidRPr="001D4A1C">
        <w:rPr>
          <w:rFonts w:ascii="Times New Roman" w:eastAsia="Times New Roman" w:hAnsi="Times New Roman"/>
          <w:bCs/>
          <w:lang w:val="el-GR"/>
        </w:rPr>
        <w:t xml:space="preserve"> </w:t>
      </w:r>
      <w:r w:rsidRPr="001D4A1C">
        <w:rPr>
          <w:rFonts w:ascii="Times New Roman" w:eastAsia="Times New Roman" w:hAnsi="Times New Roman"/>
          <w:bCs/>
        </w:rPr>
        <w:t>Normalised</w:t>
      </w:r>
      <w:r w:rsidRPr="001D4A1C">
        <w:rPr>
          <w:rFonts w:ascii="Times New Roman" w:eastAsia="Times New Roman" w:hAnsi="Times New Roman"/>
          <w:bCs/>
          <w:lang w:val="el-GR"/>
        </w:rPr>
        <w:t xml:space="preserve"> </w:t>
      </w:r>
      <w:r w:rsidRPr="001D4A1C">
        <w:rPr>
          <w:rFonts w:ascii="Times New Roman" w:eastAsia="Times New Roman" w:hAnsi="Times New Roman"/>
          <w:bCs/>
        </w:rPr>
        <w:t>Ratio</w:t>
      </w:r>
      <w:r w:rsidRPr="001D4A1C">
        <w:rPr>
          <w:rFonts w:ascii="Times New Roman" w:eastAsia="Times New Roman" w:hAnsi="Times New Roman"/>
          <w:bCs/>
          <w:lang w:val="el-GR"/>
        </w:rPr>
        <w:t>). Η διακοπή του Ce</w:t>
      </w:r>
      <w:r w:rsidRPr="001D4A1C">
        <w:rPr>
          <w:rFonts w:ascii="Times New Roman" w:eastAsia="Times New Roman" w:hAnsi="Times New Roman"/>
          <w:bCs/>
        </w:rPr>
        <w:t>lmantin</w:t>
      </w:r>
      <w:r w:rsidRPr="001D4A1C">
        <w:rPr>
          <w:rFonts w:ascii="Times New Roman" w:eastAsia="Times New Roman" w:hAnsi="Times New Roman"/>
          <w:bCs/>
          <w:lang w:val="el-GR"/>
        </w:rPr>
        <w:t xml:space="preserve"> ή η ρύθμιση σε μικρότερες δόσεις μπορεί να επιφέρει μείωση των τιμών INR. Στις περιπτώσεις αυτές συνιστάται κατάλληλος έλεγχος των τιμών INR.</w:t>
      </w:r>
    </w:p>
    <w:p w:rsidR="00F9371A" w:rsidRPr="001D4A1C" w:rsidRDefault="004B34DE" w:rsidP="00F9371A">
      <w:pPr>
        <w:spacing w:before="100" w:beforeAutospacing="1" w:after="75" w:line="360" w:lineRule="auto"/>
        <w:jc w:val="both"/>
        <w:rPr>
          <w:rFonts w:ascii="Times New Roman" w:eastAsia="Times New Roman" w:hAnsi="Times New Roman"/>
          <w:bCs/>
          <w:lang w:val="el-GR"/>
        </w:rPr>
      </w:pPr>
      <w:r w:rsidRPr="001D4A1C">
        <w:rPr>
          <w:rFonts w:ascii="Times New Roman" w:eastAsia="Times New Roman" w:hAnsi="Times New Roman"/>
          <w:b/>
          <w:bCs/>
          <w:lang w:val="el-GR"/>
        </w:rPr>
        <w:t>Από του στόματος χορηγούμενα αντισυλληπτικά/θεραπεία ορμονικής υποκατάστασης</w:t>
      </w:r>
      <w:r w:rsidR="00B62284" w:rsidRPr="001D4A1C">
        <w:rPr>
          <w:rFonts w:ascii="Times New Roman" w:eastAsia="Times New Roman" w:hAnsi="Times New Roman"/>
          <w:b/>
          <w:bCs/>
          <w:lang w:val="el-GR"/>
        </w:rPr>
        <w:t xml:space="preserve">: </w:t>
      </w:r>
      <w:r w:rsidR="00F9371A" w:rsidRPr="001D4A1C">
        <w:rPr>
          <w:rFonts w:ascii="Times New Roman" w:eastAsia="Times New Roman" w:hAnsi="Times New Roman"/>
          <w:bCs/>
          <w:lang w:val="el-GR"/>
        </w:rPr>
        <w:t>Ταυτόχρονη χορήγηση ροσουβαστατίνης με από του στόματος χορηγούμενο αντισυλληπτικό επέφερε αύξηση στην AUC της αιθυνυλοιστραδιόλης και νοργεστρέλης κατά 26% και 34% αντίστοιχα. Θα πρέπει να λαμβάνονται υπόψη τα αυξημένα επίπεδα στο πλάσμα όταν επιλέγεται η δοσολογία των από του στόματος χορηγούμενων αντισυλληπτικών. Δεν υπάρχουν διαθέσιμα φαρμακοκινητικά στοιχεία για άτομα που λαμβάνουν ταυτόχρονα ροσουβαστατίνη και θεραπεία ορμονικής υποκατάστασης και συνεπώς, μια παρόμοια επίδραση δεν μπορεί να αποκλεισθεί. Εντούτοις, ο συνδυασμός έχει χρησιμοποιηθεί εκτενώς σε γυναίκες σε κλινικές μελέτες και έγινε καλά ανεκτός.</w:t>
      </w:r>
    </w:p>
    <w:p w:rsidR="005662D1" w:rsidRPr="001D4A1C" w:rsidRDefault="005662D1" w:rsidP="005662D1">
      <w:pPr>
        <w:spacing w:before="100" w:beforeAutospacing="1" w:after="75" w:line="360" w:lineRule="auto"/>
        <w:jc w:val="both"/>
        <w:rPr>
          <w:rFonts w:ascii="Times New Roman" w:eastAsia="Times New Roman" w:hAnsi="Times New Roman"/>
          <w:bCs/>
          <w:lang w:val="el-GR"/>
        </w:rPr>
      </w:pPr>
      <w:r w:rsidRPr="001D4A1C">
        <w:rPr>
          <w:rFonts w:ascii="Times New Roman" w:eastAsia="Times New Roman" w:hAnsi="Times New Roman"/>
          <w:b/>
          <w:bCs/>
          <w:lang w:val="el-GR"/>
        </w:rPr>
        <w:t xml:space="preserve">Άλλα φαρμακευτικά προϊόντα: </w:t>
      </w:r>
      <w:r w:rsidRPr="001D4A1C">
        <w:rPr>
          <w:rFonts w:ascii="Times New Roman" w:eastAsia="Times New Roman" w:hAnsi="Times New Roman"/>
          <w:bCs/>
          <w:lang w:val="el-GR"/>
        </w:rPr>
        <w:t>Βάσει των στοιχείων από εξειδικευμένες μελέτες αλληλεπίδρασης δεν αναμένονται κλινικά σημαντικές αλληλεπιδράσεις με διγοξίνη.</w:t>
      </w:r>
    </w:p>
    <w:p w:rsidR="002A1C0B" w:rsidRPr="001D4A1C" w:rsidRDefault="001D4A1C" w:rsidP="00AC1E02">
      <w:pPr>
        <w:suppressLineNumbers/>
        <w:spacing w:before="100" w:beforeAutospacing="1" w:line="360" w:lineRule="auto"/>
        <w:jc w:val="both"/>
        <w:outlineLvl w:val="0"/>
        <w:rPr>
          <w:rFonts w:ascii="Times New Roman" w:hAnsi="Times New Roman"/>
          <w:b/>
          <w:lang w:val="el-GR"/>
        </w:rPr>
      </w:pPr>
      <w:bookmarkStart w:id="7" w:name="PREGNANCY"/>
      <w:bookmarkEnd w:id="7"/>
      <w:r w:rsidRPr="001D4A1C">
        <w:rPr>
          <w:rFonts w:ascii="Times New Roman" w:hAnsi="Times New Roman"/>
          <w:b/>
          <w:lang w:val="el-GR"/>
        </w:rPr>
        <w:t>Παιδιατρικός πληθυσμός</w:t>
      </w:r>
      <w:r w:rsidR="00575FFF" w:rsidRPr="001D4A1C">
        <w:rPr>
          <w:rFonts w:ascii="Times New Roman" w:hAnsi="Times New Roman"/>
          <w:b/>
          <w:lang w:val="el-GR"/>
        </w:rPr>
        <w:t>:</w:t>
      </w:r>
      <w:r w:rsidR="00575FFF" w:rsidRPr="001D4A1C">
        <w:rPr>
          <w:rFonts w:ascii="Times New Roman" w:hAnsi="Times New Roman"/>
          <w:lang w:val="el-GR"/>
        </w:rPr>
        <w:t xml:space="preserve"> </w:t>
      </w:r>
      <w:r w:rsidRPr="001D4A1C">
        <w:rPr>
          <w:rFonts w:ascii="Times New Roman" w:hAnsi="Times New Roman"/>
          <w:lang w:val="el-GR"/>
        </w:rPr>
        <w:t>Μελέτες αλληλεπίδρασης έχουν πραγματοποιηθεί μόνο σε ενήλικες. Η έκταση των αλληλεπιδράσεων στον παιδιατρικό πληθυσμό δεν είναι γνωστή.</w:t>
      </w:r>
    </w:p>
    <w:p w:rsidR="00732D3D" w:rsidRPr="001D4A1C" w:rsidRDefault="00732D3D" w:rsidP="003170C4">
      <w:pPr>
        <w:suppressLineNumbers/>
        <w:spacing w:line="360" w:lineRule="auto"/>
        <w:jc w:val="both"/>
        <w:outlineLvl w:val="0"/>
        <w:rPr>
          <w:rFonts w:ascii="Times New Roman" w:eastAsia="Times New Roman" w:hAnsi="Times New Roman"/>
          <w:b/>
          <w:lang w:val="el-GR"/>
        </w:rPr>
      </w:pPr>
    </w:p>
    <w:p w:rsidR="004C7928" w:rsidRPr="00426846" w:rsidRDefault="004C7928" w:rsidP="003170C4">
      <w:pPr>
        <w:suppressLineNumbers/>
        <w:spacing w:line="360" w:lineRule="auto"/>
        <w:jc w:val="both"/>
        <w:outlineLvl w:val="0"/>
        <w:rPr>
          <w:rFonts w:ascii="Times New Roman" w:eastAsia="Times New Roman" w:hAnsi="Times New Roman"/>
          <w:lang w:val="en-GB"/>
        </w:rPr>
      </w:pPr>
      <w:r w:rsidRPr="00426846">
        <w:rPr>
          <w:rFonts w:ascii="Times New Roman" w:eastAsia="Times New Roman" w:hAnsi="Times New Roman"/>
          <w:b/>
          <w:lang w:val="en-GB"/>
        </w:rPr>
        <w:t>4.6</w:t>
      </w:r>
      <w:r w:rsidRPr="00426846">
        <w:rPr>
          <w:rFonts w:ascii="Times New Roman" w:eastAsia="Times New Roman" w:hAnsi="Times New Roman"/>
          <w:b/>
          <w:lang w:val="en-GB"/>
        </w:rPr>
        <w:tab/>
      </w:r>
      <w:r w:rsidR="00F03C6D">
        <w:rPr>
          <w:rFonts w:ascii="Times New Roman" w:eastAsia="Times New Roman" w:hAnsi="Times New Roman"/>
          <w:b/>
          <w:bCs/>
          <w:lang w:val="el-GR"/>
        </w:rPr>
        <w:t>Γονιμότητα</w:t>
      </w:r>
      <w:r w:rsidRPr="00426846">
        <w:rPr>
          <w:rFonts w:ascii="Times New Roman" w:eastAsia="Times New Roman" w:hAnsi="Times New Roman"/>
          <w:b/>
          <w:bCs/>
          <w:lang w:val="en-GB"/>
        </w:rPr>
        <w:t xml:space="preserve">, </w:t>
      </w:r>
      <w:r w:rsidR="00F03C6D">
        <w:rPr>
          <w:rFonts w:ascii="Times New Roman" w:eastAsia="Times New Roman" w:hAnsi="Times New Roman"/>
          <w:b/>
          <w:bCs/>
          <w:lang w:val="el-GR"/>
        </w:rPr>
        <w:t>κ</w:t>
      </w:r>
      <w:r w:rsidR="00F03C6D" w:rsidRPr="00F03C6D">
        <w:rPr>
          <w:rFonts w:ascii="Times New Roman" w:eastAsia="Times New Roman" w:hAnsi="Times New Roman"/>
          <w:b/>
          <w:bCs/>
          <w:lang w:val="en-GB"/>
        </w:rPr>
        <w:t>ύηση και γαλουχία</w:t>
      </w:r>
    </w:p>
    <w:p w:rsidR="00B62284" w:rsidRPr="009F706C" w:rsidRDefault="00016DAF" w:rsidP="00F03C6D">
      <w:pPr>
        <w:spacing w:before="100" w:beforeAutospacing="1" w:after="75" w:line="360" w:lineRule="auto"/>
        <w:ind w:left="-211" w:firstLine="211"/>
        <w:jc w:val="both"/>
        <w:rPr>
          <w:rFonts w:ascii="Times New Roman" w:eastAsia="Times New Roman" w:hAnsi="Times New Roman"/>
          <w:lang w:val="el-GR"/>
        </w:rPr>
      </w:pPr>
      <w:bookmarkStart w:id="8" w:name="MACHINEOPS"/>
      <w:bookmarkEnd w:id="8"/>
      <w:r>
        <w:rPr>
          <w:rFonts w:ascii="Times New Roman" w:eastAsia="Times New Roman" w:hAnsi="Times New Roman"/>
          <w:lang w:val="el-GR"/>
        </w:rPr>
        <w:t>Το</w:t>
      </w:r>
      <w:r w:rsidRPr="009F706C">
        <w:rPr>
          <w:rFonts w:ascii="Times New Roman" w:eastAsia="Times New Roman" w:hAnsi="Times New Roman"/>
          <w:lang w:val="el-GR"/>
        </w:rPr>
        <w:t xml:space="preserve"> </w:t>
      </w:r>
      <w:r>
        <w:rPr>
          <w:rFonts w:ascii="Times New Roman" w:eastAsia="Times New Roman" w:hAnsi="Times New Roman"/>
        </w:rPr>
        <w:t>Celmantin</w:t>
      </w:r>
      <w:r w:rsidRPr="009F706C">
        <w:rPr>
          <w:rFonts w:ascii="Times New Roman" w:eastAsia="Times New Roman" w:hAnsi="Times New Roman"/>
          <w:lang w:val="el-GR"/>
        </w:rPr>
        <w:t xml:space="preserve"> </w:t>
      </w:r>
      <w:r>
        <w:rPr>
          <w:rFonts w:ascii="Times New Roman" w:eastAsia="Times New Roman" w:hAnsi="Times New Roman"/>
          <w:lang w:val="el-GR"/>
        </w:rPr>
        <w:t>αντενδείκνυται</w:t>
      </w:r>
      <w:r w:rsidRPr="009F706C">
        <w:rPr>
          <w:rFonts w:ascii="Times New Roman" w:eastAsia="Times New Roman" w:hAnsi="Times New Roman"/>
          <w:lang w:val="el-GR"/>
        </w:rPr>
        <w:t xml:space="preserve"> </w:t>
      </w:r>
      <w:r>
        <w:rPr>
          <w:rFonts w:ascii="Times New Roman" w:eastAsia="Times New Roman" w:hAnsi="Times New Roman"/>
          <w:lang w:val="el-GR"/>
        </w:rPr>
        <w:t>στην</w:t>
      </w:r>
      <w:r w:rsidRPr="009F706C">
        <w:rPr>
          <w:rFonts w:ascii="Times New Roman" w:eastAsia="Times New Roman" w:hAnsi="Times New Roman"/>
          <w:lang w:val="el-GR"/>
        </w:rPr>
        <w:t xml:space="preserve"> </w:t>
      </w:r>
      <w:r>
        <w:rPr>
          <w:rFonts w:ascii="Times New Roman" w:eastAsia="Times New Roman" w:hAnsi="Times New Roman"/>
          <w:lang w:val="el-GR"/>
        </w:rPr>
        <w:t>κύηση</w:t>
      </w:r>
      <w:r w:rsidRPr="009F706C">
        <w:rPr>
          <w:rFonts w:ascii="Times New Roman" w:eastAsia="Times New Roman" w:hAnsi="Times New Roman"/>
          <w:lang w:val="el-GR"/>
        </w:rPr>
        <w:t xml:space="preserve"> </w:t>
      </w:r>
      <w:r>
        <w:rPr>
          <w:rFonts w:ascii="Times New Roman" w:eastAsia="Times New Roman" w:hAnsi="Times New Roman"/>
          <w:lang w:val="el-GR"/>
        </w:rPr>
        <w:t>και</w:t>
      </w:r>
      <w:r w:rsidRPr="009F706C">
        <w:rPr>
          <w:rFonts w:ascii="Times New Roman" w:eastAsia="Times New Roman" w:hAnsi="Times New Roman"/>
          <w:lang w:val="el-GR"/>
        </w:rPr>
        <w:t xml:space="preserve"> </w:t>
      </w:r>
      <w:r>
        <w:rPr>
          <w:rFonts w:ascii="Times New Roman" w:eastAsia="Times New Roman" w:hAnsi="Times New Roman"/>
          <w:lang w:val="el-GR"/>
        </w:rPr>
        <w:t>τη</w:t>
      </w:r>
      <w:r w:rsidRPr="009F706C">
        <w:rPr>
          <w:rFonts w:ascii="Times New Roman" w:eastAsia="Times New Roman" w:hAnsi="Times New Roman"/>
          <w:lang w:val="el-GR"/>
        </w:rPr>
        <w:t xml:space="preserve"> </w:t>
      </w:r>
      <w:r>
        <w:rPr>
          <w:rFonts w:ascii="Times New Roman" w:eastAsia="Times New Roman" w:hAnsi="Times New Roman"/>
          <w:lang w:val="el-GR"/>
        </w:rPr>
        <w:t>γαλουχία</w:t>
      </w:r>
      <w:r w:rsidR="00B62284" w:rsidRPr="009F706C">
        <w:rPr>
          <w:rFonts w:ascii="Times New Roman" w:eastAsia="Times New Roman" w:hAnsi="Times New Roman"/>
          <w:lang w:val="el-GR"/>
        </w:rPr>
        <w:t xml:space="preserve">. </w:t>
      </w:r>
    </w:p>
    <w:p w:rsidR="00520ECD" w:rsidRPr="00F63A99" w:rsidRDefault="00367C83" w:rsidP="00367C83">
      <w:pPr>
        <w:spacing w:before="100" w:beforeAutospacing="1" w:after="75" w:line="360" w:lineRule="auto"/>
        <w:jc w:val="both"/>
        <w:rPr>
          <w:rFonts w:ascii="Times New Roman" w:eastAsia="Times New Roman" w:hAnsi="Times New Roman"/>
          <w:lang w:val="el-GR"/>
        </w:rPr>
      </w:pPr>
      <w:r w:rsidRPr="00F63A99">
        <w:rPr>
          <w:rFonts w:ascii="Times New Roman" w:hAnsi="Times New Roman"/>
          <w:noProof/>
          <w:u w:val="single"/>
          <w:lang w:val="el-GR"/>
        </w:rPr>
        <w:t>Κύηση</w:t>
      </w:r>
    </w:p>
    <w:p w:rsidR="00004699" w:rsidRDefault="00F63A99" w:rsidP="003170C4">
      <w:pPr>
        <w:spacing w:before="100" w:beforeAutospacing="1" w:after="75" w:line="360" w:lineRule="auto"/>
        <w:jc w:val="both"/>
        <w:rPr>
          <w:rFonts w:ascii="Times New Roman" w:eastAsia="Times New Roman" w:hAnsi="Times New Roman"/>
          <w:lang w:val="el-GR"/>
        </w:rPr>
      </w:pPr>
      <w:r w:rsidRPr="00F63A99">
        <w:rPr>
          <w:rFonts w:ascii="Times New Roman" w:eastAsia="Times New Roman" w:hAnsi="Times New Roman"/>
          <w:lang w:val="el-GR"/>
        </w:rPr>
        <w:t>Γυναίκες σε αναπαραγωγική ηλικία πρέπει να χρησιμοποιούν αποτελεσματική αντισύλληψη</w:t>
      </w:r>
      <w:r>
        <w:rPr>
          <w:rFonts w:ascii="Times New Roman" w:eastAsia="Times New Roman" w:hAnsi="Times New Roman"/>
          <w:lang w:val="el-GR"/>
        </w:rPr>
        <w:t>.</w:t>
      </w:r>
    </w:p>
    <w:p w:rsidR="00004699" w:rsidRPr="00004699" w:rsidRDefault="00004699" w:rsidP="00004699">
      <w:pPr>
        <w:spacing w:before="100" w:beforeAutospacing="1" w:after="75" w:line="360" w:lineRule="auto"/>
        <w:jc w:val="both"/>
        <w:rPr>
          <w:rFonts w:ascii="Times New Roman" w:eastAsia="Times New Roman" w:hAnsi="Times New Roman"/>
          <w:lang w:val="el-GR"/>
        </w:rPr>
      </w:pPr>
      <w:r w:rsidRPr="00004699">
        <w:rPr>
          <w:rFonts w:ascii="Times New Roman" w:eastAsia="Times New Roman" w:hAnsi="Times New Roman"/>
          <w:lang w:val="el-GR"/>
        </w:rPr>
        <w:lastRenderedPageBreak/>
        <w:t>Επειδή, η χοληστερόλη και άλλα προϊόντα της βιοσύνθεσης της χοληστερόλης</w:t>
      </w:r>
      <w:r>
        <w:rPr>
          <w:rFonts w:ascii="Times New Roman" w:eastAsia="Times New Roman" w:hAnsi="Times New Roman"/>
          <w:lang w:val="el-GR"/>
        </w:rPr>
        <w:t xml:space="preserve"> </w:t>
      </w:r>
      <w:r w:rsidRPr="00004699">
        <w:rPr>
          <w:rFonts w:ascii="Times New Roman" w:eastAsia="Times New Roman" w:hAnsi="Times New Roman"/>
          <w:lang w:val="el-GR"/>
        </w:rPr>
        <w:t>είναι απαραίτητα για την ανάπτυξη του εμβρύου, ο ενδεχόμενος κίνδυνος από την</w:t>
      </w:r>
      <w:r>
        <w:rPr>
          <w:rFonts w:ascii="Times New Roman" w:eastAsia="Times New Roman" w:hAnsi="Times New Roman"/>
          <w:lang w:val="el-GR"/>
        </w:rPr>
        <w:t xml:space="preserve"> </w:t>
      </w:r>
      <w:r w:rsidRPr="00004699">
        <w:rPr>
          <w:rFonts w:ascii="Times New Roman" w:eastAsia="Times New Roman" w:hAnsi="Times New Roman"/>
          <w:lang w:val="el-GR"/>
        </w:rPr>
        <w:t xml:space="preserve">αναστολή της HMG-CoA αναγωγάσης κατά την κύηση υπερισχύει του οφέλους </w:t>
      </w:r>
      <w:r>
        <w:rPr>
          <w:rFonts w:ascii="Times New Roman" w:eastAsia="Times New Roman" w:hAnsi="Times New Roman"/>
          <w:lang w:val="el-GR"/>
        </w:rPr>
        <w:t xml:space="preserve">της </w:t>
      </w:r>
      <w:r w:rsidRPr="00004699">
        <w:rPr>
          <w:rFonts w:ascii="Times New Roman" w:eastAsia="Times New Roman" w:hAnsi="Times New Roman"/>
          <w:lang w:val="el-GR"/>
        </w:rPr>
        <w:t>θεραπείας. Μελέτες σε πειραματόζωα παρέχουν περιορισμένες ενδείξεις</w:t>
      </w:r>
      <w:r>
        <w:rPr>
          <w:rFonts w:ascii="Times New Roman" w:eastAsia="Times New Roman" w:hAnsi="Times New Roman"/>
          <w:lang w:val="el-GR"/>
        </w:rPr>
        <w:t xml:space="preserve"> </w:t>
      </w:r>
      <w:r w:rsidRPr="00004699">
        <w:rPr>
          <w:rFonts w:ascii="Times New Roman" w:eastAsia="Times New Roman" w:hAnsi="Times New Roman"/>
          <w:lang w:val="el-GR"/>
        </w:rPr>
        <w:t>τοξικότητας της αναπαραγωγικής ικανότητας (βλ. Παράγραφο 5.3). Εάν μια</w:t>
      </w:r>
      <w:r>
        <w:rPr>
          <w:rFonts w:ascii="Times New Roman" w:eastAsia="Times New Roman" w:hAnsi="Times New Roman"/>
          <w:lang w:val="el-GR"/>
        </w:rPr>
        <w:t xml:space="preserve"> </w:t>
      </w:r>
      <w:r w:rsidRPr="00004699">
        <w:rPr>
          <w:rFonts w:ascii="Times New Roman" w:eastAsia="Times New Roman" w:hAnsi="Times New Roman"/>
          <w:lang w:val="el-GR"/>
        </w:rPr>
        <w:t>ασθενής καταστεί έγκυος κατά τη διάρκεια της θεραπείας με το προϊόν αυτό, η</w:t>
      </w:r>
      <w:r>
        <w:rPr>
          <w:rFonts w:ascii="Times New Roman" w:eastAsia="Times New Roman" w:hAnsi="Times New Roman"/>
          <w:lang w:val="el-GR"/>
        </w:rPr>
        <w:t xml:space="preserve"> </w:t>
      </w:r>
      <w:r w:rsidRPr="00004699">
        <w:rPr>
          <w:rFonts w:ascii="Times New Roman" w:eastAsia="Times New Roman" w:hAnsi="Times New Roman"/>
          <w:lang w:val="el-GR"/>
        </w:rPr>
        <w:t>θεραπεία θα πρέπει να διακοπεί αμέσως.</w:t>
      </w:r>
    </w:p>
    <w:p w:rsidR="00520ECD" w:rsidRPr="00004699" w:rsidRDefault="00CD38C4" w:rsidP="003170C4">
      <w:pPr>
        <w:spacing w:before="100" w:beforeAutospacing="1" w:after="75" w:line="360" w:lineRule="auto"/>
        <w:jc w:val="both"/>
        <w:rPr>
          <w:rFonts w:ascii="Times New Roman" w:eastAsia="Times New Roman" w:hAnsi="Times New Roman"/>
          <w:lang w:val="el-GR"/>
        </w:rPr>
      </w:pPr>
      <w:r w:rsidRPr="00004699">
        <w:rPr>
          <w:rFonts w:ascii="Times New Roman" w:hAnsi="Times New Roman"/>
          <w:noProof/>
          <w:u w:val="single"/>
          <w:lang w:val="el-GR"/>
        </w:rPr>
        <w:t>Γαλουχία</w:t>
      </w:r>
      <w:r>
        <w:rPr>
          <w:rFonts w:ascii="Times New Roman" w:hAnsi="Times New Roman"/>
          <w:noProof/>
          <w:u w:val="single"/>
          <w:lang w:val="el-GR"/>
        </w:rPr>
        <w:t xml:space="preserve"> </w:t>
      </w:r>
    </w:p>
    <w:p w:rsidR="004C7928" w:rsidRPr="00426846" w:rsidRDefault="00004699" w:rsidP="00004699">
      <w:pPr>
        <w:spacing w:before="100" w:beforeAutospacing="1" w:after="75" w:line="360" w:lineRule="auto"/>
        <w:jc w:val="both"/>
        <w:rPr>
          <w:rFonts w:ascii="Times New Roman" w:eastAsia="Times New Roman" w:hAnsi="Times New Roman"/>
        </w:rPr>
      </w:pPr>
      <w:r w:rsidRPr="00004699">
        <w:rPr>
          <w:rFonts w:ascii="Times New Roman" w:eastAsia="Times New Roman" w:hAnsi="Times New Roman"/>
        </w:rPr>
        <w:t xml:space="preserve">Στους αρουραίους η rosuvastatin απεκκρίνεται στο γάλα. Δεν υπάρχουν δεδομένα σε σχέση με την απέκκριση στο γάλα σε ανθρώπους (βλ. </w:t>
      </w:r>
      <w:r>
        <w:rPr>
          <w:rFonts w:ascii="Times New Roman" w:eastAsia="Times New Roman" w:hAnsi="Times New Roman"/>
          <w:lang w:val="el-GR"/>
        </w:rPr>
        <w:t>Π</w:t>
      </w:r>
      <w:r w:rsidRPr="00004699">
        <w:rPr>
          <w:rFonts w:ascii="Times New Roman" w:eastAsia="Times New Roman" w:hAnsi="Times New Roman"/>
        </w:rPr>
        <w:t>αράγραφο 4.3).</w:t>
      </w:r>
      <w:r w:rsidR="00B62284" w:rsidRPr="00426846">
        <w:rPr>
          <w:rFonts w:ascii="Times New Roman" w:eastAsia="Times New Roman" w:hAnsi="Times New Roman"/>
        </w:rPr>
        <w:t xml:space="preserve"> </w:t>
      </w:r>
    </w:p>
    <w:p w:rsidR="00732D3D" w:rsidRDefault="00732D3D" w:rsidP="003170C4">
      <w:pPr>
        <w:spacing w:before="100" w:beforeAutospacing="1" w:after="75" w:line="360" w:lineRule="auto"/>
        <w:jc w:val="both"/>
        <w:rPr>
          <w:rFonts w:ascii="Times New Roman" w:hAnsi="Times New Roman"/>
          <w:b/>
          <w:noProof/>
        </w:rPr>
      </w:pPr>
    </w:p>
    <w:p w:rsidR="00C4574A" w:rsidRPr="00490ACC" w:rsidRDefault="004C7928" w:rsidP="003170C4">
      <w:pPr>
        <w:spacing w:before="100" w:beforeAutospacing="1" w:after="75" w:line="360" w:lineRule="auto"/>
        <w:jc w:val="both"/>
        <w:rPr>
          <w:rFonts w:ascii="Times New Roman" w:hAnsi="Times New Roman"/>
          <w:noProof/>
          <w:lang w:val="el-GR"/>
        </w:rPr>
      </w:pPr>
      <w:r w:rsidRPr="00490ACC">
        <w:rPr>
          <w:rFonts w:ascii="Times New Roman" w:hAnsi="Times New Roman"/>
          <w:b/>
          <w:noProof/>
          <w:lang w:val="el-GR"/>
        </w:rPr>
        <w:t>4.7</w:t>
      </w:r>
      <w:r w:rsidRPr="00490ACC">
        <w:rPr>
          <w:rFonts w:ascii="Times New Roman" w:hAnsi="Times New Roman"/>
          <w:b/>
          <w:noProof/>
          <w:lang w:val="el-GR"/>
        </w:rPr>
        <w:tab/>
      </w:r>
      <w:r w:rsidR="00490ACC" w:rsidRPr="00490ACC">
        <w:rPr>
          <w:rFonts w:ascii="Times New Roman" w:hAnsi="Times New Roman"/>
          <w:b/>
          <w:noProof/>
          <w:lang w:val="el-GR"/>
        </w:rPr>
        <w:t>Επιδράσεις στην ικανότητα οδήγησης και χειρισμού μηχανών</w:t>
      </w:r>
    </w:p>
    <w:p w:rsidR="002E1169" w:rsidRPr="002E1169" w:rsidRDefault="002E1169" w:rsidP="002E1169">
      <w:pPr>
        <w:suppressLineNumbers/>
        <w:spacing w:line="360" w:lineRule="auto"/>
        <w:jc w:val="both"/>
        <w:outlineLvl w:val="0"/>
        <w:rPr>
          <w:rFonts w:ascii="Times New Roman" w:eastAsia="Times New Roman" w:hAnsi="Times New Roman"/>
        </w:rPr>
      </w:pPr>
      <w:r w:rsidRPr="002E1169">
        <w:rPr>
          <w:rFonts w:ascii="Times New Roman" w:eastAsia="Times New Roman" w:hAnsi="Times New Roman"/>
        </w:rPr>
        <w:t>Δεν πραγματοποιήθηκαν μελέτες σχετικά με τις επιδράσεις της ροσουβαστατίνης στην ικανότητα οδήγησης και χειρισμού μηχανημάτων. Εντούτοις, βάσει των φαρμακοδυναμικών του ιδιοτήτων, η ροσουβαστατίνη είναι απίθανο να επηρεάζει αυτή την ικανότητα. Κατά την οδήγηση οχημάτων ή το χειρισμό μηχανημάτων, θα πρέπει να λαμβάνεται υπόψη ότι κατά τη διάρκεια της θεραπείας μπορεί να παρουσιαστεί ζάλη.</w:t>
      </w:r>
    </w:p>
    <w:p w:rsidR="002E1169" w:rsidRDefault="002E1169" w:rsidP="00694556">
      <w:pPr>
        <w:suppressLineNumbers/>
        <w:spacing w:line="360" w:lineRule="auto"/>
        <w:jc w:val="both"/>
        <w:outlineLvl w:val="0"/>
        <w:rPr>
          <w:rFonts w:ascii="Times New Roman" w:hAnsi="Times New Roman"/>
          <w:b/>
          <w:noProof/>
          <w:lang w:val="el-GR"/>
        </w:rPr>
      </w:pPr>
    </w:p>
    <w:p w:rsidR="004C7928" w:rsidRPr="00077A26" w:rsidRDefault="004C7928" w:rsidP="00694556">
      <w:pPr>
        <w:suppressLineNumbers/>
        <w:spacing w:line="360" w:lineRule="auto"/>
        <w:jc w:val="both"/>
        <w:outlineLvl w:val="0"/>
        <w:rPr>
          <w:rFonts w:ascii="Times New Roman" w:hAnsi="Times New Roman"/>
          <w:b/>
          <w:noProof/>
          <w:lang w:val="el-GR"/>
        </w:rPr>
      </w:pPr>
      <w:r w:rsidRPr="00077A26">
        <w:rPr>
          <w:rFonts w:ascii="Times New Roman" w:hAnsi="Times New Roman"/>
          <w:b/>
          <w:noProof/>
          <w:lang w:val="el-GR"/>
        </w:rPr>
        <w:t>4.8</w:t>
      </w:r>
      <w:r w:rsidRPr="00077A26">
        <w:rPr>
          <w:rFonts w:ascii="Times New Roman" w:hAnsi="Times New Roman"/>
          <w:b/>
          <w:noProof/>
          <w:lang w:val="el-GR"/>
        </w:rPr>
        <w:tab/>
      </w:r>
      <w:r w:rsidR="00CC6662" w:rsidRPr="00077A26">
        <w:rPr>
          <w:rFonts w:ascii="Times New Roman" w:hAnsi="Times New Roman"/>
          <w:b/>
          <w:noProof/>
          <w:lang w:val="el-GR"/>
        </w:rPr>
        <w:t>Ανεπιθύμητες ενέργειες</w:t>
      </w:r>
    </w:p>
    <w:p w:rsidR="00441FFA" w:rsidRPr="00441FFA" w:rsidRDefault="00077A26" w:rsidP="00441FFA">
      <w:pPr>
        <w:spacing w:before="100" w:beforeAutospacing="1" w:after="75" w:line="360" w:lineRule="auto"/>
        <w:jc w:val="both"/>
        <w:rPr>
          <w:rFonts w:ascii="Times New Roman" w:eastAsia="Times New Roman" w:hAnsi="Times New Roman"/>
          <w:lang w:val="el-GR"/>
        </w:rPr>
      </w:pPr>
      <w:r w:rsidRPr="00077A26">
        <w:rPr>
          <w:rFonts w:ascii="Times New Roman" w:eastAsia="Times New Roman" w:hAnsi="Times New Roman"/>
          <w:lang w:val="el-GR"/>
        </w:rPr>
        <w:t>Οι ανεπιθύμητες ενέργειες που παρατηρούνται με τ</w:t>
      </w:r>
      <w:r>
        <w:rPr>
          <w:rFonts w:ascii="Times New Roman" w:eastAsia="Times New Roman" w:hAnsi="Times New Roman"/>
          <w:lang w:val="el-GR"/>
        </w:rPr>
        <w:t>η ροσουβαστατίνη</w:t>
      </w:r>
      <w:r w:rsidRPr="00077A26">
        <w:rPr>
          <w:rFonts w:ascii="Times New Roman" w:eastAsia="Times New Roman" w:hAnsi="Times New Roman"/>
          <w:lang w:val="el-GR"/>
        </w:rPr>
        <w:t xml:space="preserve"> είναι συνήθως ήπιες</w:t>
      </w:r>
      <w:r>
        <w:rPr>
          <w:rFonts w:ascii="Times New Roman" w:eastAsia="Times New Roman" w:hAnsi="Times New Roman"/>
          <w:lang w:val="el-GR"/>
        </w:rPr>
        <w:t xml:space="preserve"> </w:t>
      </w:r>
      <w:r w:rsidRPr="00441FFA">
        <w:rPr>
          <w:rFonts w:ascii="Times New Roman" w:eastAsia="Times New Roman" w:hAnsi="Times New Roman"/>
          <w:lang w:val="el-GR"/>
        </w:rPr>
        <w:t>και παροδικές.</w:t>
      </w:r>
      <w:r w:rsidR="00441FFA" w:rsidRPr="00441FFA">
        <w:rPr>
          <w:lang w:val="el-GR"/>
        </w:rPr>
        <w:t xml:space="preserve"> </w:t>
      </w:r>
      <w:r w:rsidR="00441FFA" w:rsidRPr="00441FFA">
        <w:rPr>
          <w:rFonts w:ascii="Times New Roman" w:eastAsia="Times New Roman" w:hAnsi="Times New Roman"/>
          <w:lang w:val="el-GR"/>
        </w:rPr>
        <w:t>Σε ελεγχόμενες κλινικές μελέτες ποσοστό μικρότερο του 4% των ασθενών που</w:t>
      </w:r>
      <w:r w:rsidR="00441FFA">
        <w:rPr>
          <w:rFonts w:ascii="Times New Roman" w:eastAsia="Times New Roman" w:hAnsi="Times New Roman"/>
          <w:lang w:val="el-GR"/>
        </w:rPr>
        <w:t xml:space="preserve"> </w:t>
      </w:r>
      <w:r w:rsidR="00441FFA" w:rsidRPr="00441FFA">
        <w:rPr>
          <w:rFonts w:ascii="Times New Roman" w:eastAsia="Times New Roman" w:hAnsi="Times New Roman"/>
          <w:lang w:val="el-GR"/>
        </w:rPr>
        <w:t>έλαβαν θεραπεία με ροσουβαστατίνη αποχώρησε εξαιτίας εμφάνισης ανεπιθύμητων</w:t>
      </w:r>
      <w:r w:rsidR="00441FFA">
        <w:rPr>
          <w:rFonts w:ascii="Times New Roman" w:eastAsia="Times New Roman" w:hAnsi="Times New Roman"/>
          <w:lang w:val="el-GR"/>
        </w:rPr>
        <w:t xml:space="preserve"> ενεργειών.</w:t>
      </w:r>
    </w:p>
    <w:p w:rsidR="00575FFF" w:rsidRPr="00404FEE" w:rsidRDefault="00404FEE" w:rsidP="00AC1E02">
      <w:pPr>
        <w:spacing w:before="100" w:beforeAutospacing="1" w:after="75" w:line="360" w:lineRule="auto"/>
        <w:jc w:val="both"/>
        <w:rPr>
          <w:rFonts w:ascii="Times New Roman" w:eastAsia="Times New Roman" w:hAnsi="Times New Roman"/>
          <w:u w:val="single"/>
          <w:lang w:val="el-GR"/>
        </w:rPr>
      </w:pPr>
      <w:r w:rsidRPr="001D2048">
        <w:rPr>
          <w:rFonts w:ascii="Times New Roman" w:eastAsia="Times New Roman" w:hAnsi="Times New Roman"/>
          <w:u w:val="single"/>
          <w:lang w:val="el-GR"/>
        </w:rPr>
        <w:t>Πίνακας ανεπιθύμητων εν</w:t>
      </w:r>
      <w:r>
        <w:rPr>
          <w:rFonts w:ascii="Times New Roman" w:eastAsia="Times New Roman" w:hAnsi="Times New Roman"/>
          <w:u w:val="single"/>
          <w:lang w:val="el-GR"/>
        </w:rPr>
        <w:t>εργειών</w:t>
      </w:r>
    </w:p>
    <w:p w:rsidR="001D2048" w:rsidRDefault="001D2048" w:rsidP="00AC1E02">
      <w:pPr>
        <w:spacing w:before="100" w:beforeAutospacing="1" w:after="75" w:line="360" w:lineRule="auto"/>
        <w:jc w:val="both"/>
        <w:rPr>
          <w:rFonts w:ascii="Times New Roman" w:eastAsia="Times New Roman" w:hAnsi="Times New Roman"/>
          <w:lang w:val="el-GR"/>
        </w:rPr>
      </w:pPr>
      <w:r w:rsidRPr="001D2048">
        <w:rPr>
          <w:rFonts w:ascii="Times New Roman" w:eastAsia="Times New Roman" w:hAnsi="Times New Roman"/>
          <w:lang w:val="el-GR"/>
        </w:rPr>
        <w:t>Με βάση δεδομένα από κλινικές μελέτες και τη σημαντική εμπειρία μετά την κυκλοφορία</w:t>
      </w:r>
      <w:r w:rsidR="0067222A">
        <w:rPr>
          <w:rFonts w:ascii="Times New Roman" w:eastAsia="Times New Roman" w:hAnsi="Times New Roman"/>
          <w:lang w:val="el-GR"/>
        </w:rPr>
        <w:t xml:space="preserve"> του φαρμάκου</w:t>
      </w:r>
      <w:r w:rsidRPr="001D2048">
        <w:rPr>
          <w:rFonts w:ascii="Times New Roman" w:eastAsia="Times New Roman" w:hAnsi="Times New Roman"/>
          <w:lang w:val="el-GR"/>
        </w:rPr>
        <w:t xml:space="preserve">, </w:t>
      </w:r>
      <w:r w:rsidR="0067222A">
        <w:rPr>
          <w:rFonts w:ascii="Times New Roman" w:eastAsia="Times New Roman" w:hAnsi="Times New Roman"/>
          <w:lang w:val="el-GR"/>
        </w:rPr>
        <w:t>ο</w:t>
      </w:r>
      <w:r w:rsidRPr="001D2048">
        <w:rPr>
          <w:rFonts w:ascii="Times New Roman" w:eastAsia="Times New Roman" w:hAnsi="Times New Roman"/>
          <w:lang w:val="el-GR"/>
        </w:rPr>
        <w:t xml:space="preserve"> παρακάτω πίνακας παρουσιάζει τ</w:t>
      </w:r>
      <w:r w:rsidR="0067222A">
        <w:rPr>
          <w:rFonts w:ascii="Times New Roman" w:eastAsia="Times New Roman" w:hAnsi="Times New Roman"/>
          <w:lang w:val="el-GR"/>
        </w:rPr>
        <w:t>ο</w:t>
      </w:r>
      <w:r w:rsidRPr="001D2048">
        <w:rPr>
          <w:rFonts w:ascii="Times New Roman" w:eastAsia="Times New Roman" w:hAnsi="Times New Roman"/>
          <w:lang w:val="el-GR"/>
        </w:rPr>
        <w:t xml:space="preserve"> προφίλ ανεπιθύμητων ενεργειών για</w:t>
      </w:r>
      <w:r w:rsidR="0067222A">
        <w:rPr>
          <w:rFonts w:ascii="Times New Roman" w:eastAsia="Times New Roman" w:hAnsi="Times New Roman"/>
          <w:lang w:val="el-GR"/>
        </w:rPr>
        <w:t xml:space="preserve"> το</w:t>
      </w:r>
      <w:r w:rsidRPr="001D2048">
        <w:rPr>
          <w:rFonts w:ascii="Times New Roman" w:eastAsia="Times New Roman" w:hAnsi="Times New Roman"/>
          <w:lang w:val="el-GR"/>
        </w:rPr>
        <w:t xml:space="preserve"> rosuvastatin. Οι ανεπιθύμητες αντιδράσεις που αναφέρονται παρακάτω ταξινομούνται σύμφωνα με τη συχνότητα και την κατηγορία οργανικού συστήματος (SOC)</w:t>
      </w:r>
      <w:r>
        <w:rPr>
          <w:rFonts w:ascii="Times New Roman" w:eastAsia="Times New Roman" w:hAnsi="Times New Roman"/>
          <w:lang w:val="el-GR"/>
        </w:rPr>
        <w:t>.</w:t>
      </w:r>
    </w:p>
    <w:p w:rsidR="00CD5495" w:rsidRPr="00404FEE" w:rsidRDefault="00686554" w:rsidP="00936685">
      <w:pPr>
        <w:spacing w:before="100" w:beforeAutospacing="1" w:after="75" w:line="360" w:lineRule="auto"/>
        <w:jc w:val="both"/>
        <w:rPr>
          <w:rFonts w:ascii="Times New Roman" w:eastAsia="Times New Roman" w:hAnsi="Times New Roman"/>
          <w:lang w:val="el-GR"/>
        </w:rPr>
      </w:pPr>
      <w:r w:rsidRPr="00404FEE">
        <w:rPr>
          <w:rFonts w:ascii="Times New Roman" w:eastAsia="Times New Roman" w:hAnsi="Times New Roman"/>
          <w:lang w:val="el-GR"/>
        </w:rPr>
        <w:lastRenderedPageBreak/>
        <w:t>Η συχνότητα εμφάνισης των ανεπιθύμητων ενεργειών ταξινομείται ως εξής</w:t>
      </w:r>
      <w:r>
        <w:rPr>
          <w:rFonts w:ascii="Times New Roman" w:eastAsia="Times New Roman" w:hAnsi="Times New Roman"/>
          <w:lang w:val="el-GR"/>
        </w:rPr>
        <w:t xml:space="preserve">: </w:t>
      </w:r>
      <w:r w:rsidR="00F465A9">
        <w:rPr>
          <w:rFonts w:ascii="Times New Roman" w:eastAsia="Times New Roman" w:hAnsi="Times New Roman"/>
          <w:lang w:val="el-GR"/>
        </w:rPr>
        <w:t>Συχνές</w:t>
      </w:r>
      <w:r w:rsidR="00CD5495" w:rsidRPr="00404FEE">
        <w:rPr>
          <w:rFonts w:ascii="Times New Roman" w:eastAsia="Times New Roman" w:hAnsi="Times New Roman"/>
          <w:lang w:val="el-GR"/>
        </w:rPr>
        <w:t xml:space="preserve"> (</w:t>
      </w:r>
      <w:r w:rsidR="00655DFE" w:rsidRPr="00404FEE">
        <w:rPr>
          <w:rFonts w:ascii="Times New Roman" w:eastAsia="Times New Roman" w:hAnsi="Times New Roman"/>
          <w:lang w:val="el-GR"/>
        </w:rPr>
        <w:t>≥</w:t>
      </w:r>
      <w:r w:rsidR="00CD5495" w:rsidRPr="00404FEE">
        <w:rPr>
          <w:rFonts w:ascii="Times New Roman" w:eastAsia="Times New Roman" w:hAnsi="Times New Roman"/>
          <w:lang w:val="el-GR"/>
        </w:rPr>
        <w:t>1/100</w:t>
      </w:r>
      <w:r w:rsidR="00655DFE" w:rsidRPr="00404FEE">
        <w:rPr>
          <w:rFonts w:ascii="Times New Roman" w:eastAsia="Times New Roman" w:hAnsi="Times New Roman"/>
          <w:lang w:val="el-GR"/>
        </w:rPr>
        <w:t xml:space="preserve"> </w:t>
      </w:r>
      <w:r w:rsidR="00F465A9">
        <w:rPr>
          <w:rFonts w:ascii="Times New Roman" w:eastAsia="Times New Roman" w:hAnsi="Times New Roman"/>
          <w:lang w:val="el-GR"/>
        </w:rPr>
        <w:t>έως</w:t>
      </w:r>
      <w:r w:rsidR="00CD5495" w:rsidRPr="00404FEE">
        <w:rPr>
          <w:rFonts w:ascii="Times New Roman" w:eastAsia="Times New Roman" w:hAnsi="Times New Roman"/>
          <w:lang w:val="el-GR"/>
        </w:rPr>
        <w:t xml:space="preserve"> &lt;1/10); </w:t>
      </w:r>
      <w:r w:rsidR="00F465A9">
        <w:rPr>
          <w:rFonts w:ascii="Times New Roman" w:eastAsia="Times New Roman" w:hAnsi="Times New Roman"/>
          <w:lang w:val="el-GR"/>
        </w:rPr>
        <w:t>Όχι</w:t>
      </w:r>
      <w:r w:rsidR="00F465A9" w:rsidRPr="00404FEE">
        <w:rPr>
          <w:rFonts w:ascii="Times New Roman" w:eastAsia="Times New Roman" w:hAnsi="Times New Roman"/>
          <w:lang w:val="el-GR"/>
        </w:rPr>
        <w:t xml:space="preserve"> </w:t>
      </w:r>
      <w:r w:rsidR="00F465A9">
        <w:rPr>
          <w:rFonts w:ascii="Times New Roman" w:eastAsia="Times New Roman" w:hAnsi="Times New Roman"/>
          <w:lang w:val="el-GR"/>
        </w:rPr>
        <w:t>συχνές</w:t>
      </w:r>
      <w:r w:rsidR="00CD5495" w:rsidRPr="00404FEE">
        <w:rPr>
          <w:rFonts w:ascii="Times New Roman" w:eastAsia="Times New Roman" w:hAnsi="Times New Roman"/>
          <w:lang w:val="el-GR"/>
        </w:rPr>
        <w:t xml:space="preserve"> (</w:t>
      </w:r>
      <w:r w:rsidR="00655DFE" w:rsidRPr="00404FEE">
        <w:rPr>
          <w:rFonts w:ascii="Times New Roman" w:eastAsia="Times New Roman" w:hAnsi="Times New Roman"/>
          <w:lang w:val="el-GR"/>
        </w:rPr>
        <w:t>≥</w:t>
      </w:r>
      <w:r w:rsidR="00CD5495" w:rsidRPr="00404FEE">
        <w:rPr>
          <w:rFonts w:ascii="Times New Roman" w:eastAsia="Times New Roman" w:hAnsi="Times New Roman"/>
          <w:lang w:val="el-GR"/>
        </w:rPr>
        <w:t>1/1,000</w:t>
      </w:r>
      <w:r w:rsidR="00655DFE" w:rsidRPr="00404FEE">
        <w:rPr>
          <w:rFonts w:ascii="Times New Roman" w:eastAsia="Times New Roman" w:hAnsi="Times New Roman"/>
          <w:lang w:val="el-GR"/>
        </w:rPr>
        <w:t xml:space="preserve"> </w:t>
      </w:r>
      <w:r w:rsidR="00F465A9">
        <w:rPr>
          <w:rFonts w:ascii="Times New Roman" w:eastAsia="Times New Roman" w:hAnsi="Times New Roman"/>
          <w:lang w:val="el-GR"/>
        </w:rPr>
        <w:t>έως</w:t>
      </w:r>
      <w:r w:rsidR="00CD5495" w:rsidRPr="00404FEE">
        <w:rPr>
          <w:rFonts w:ascii="Times New Roman" w:eastAsia="Times New Roman" w:hAnsi="Times New Roman"/>
          <w:lang w:val="el-GR"/>
        </w:rPr>
        <w:t xml:space="preserve"> &lt;1/100); </w:t>
      </w:r>
      <w:r w:rsidR="00F465A9">
        <w:rPr>
          <w:rFonts w:ascii="Times New Roman" w:eastAsia="Times New Roman" w:hAnsi="Times New Roman"/>
          <w:lang w:val="el-GR"/>
        </w:rPr>
        <w:t>Σπάνιες</w:t>
      </w:r>
      <w:r w:rsidR="00CD5495" w:rsidRPr="00404FEE">
        <w:rPr>
          <w:rFonts w:ascii="Times New Roman" w:eastAsia="Times New Roman" w:hAnsi="Times New Roman"/>
          <w:lang w:val="el-GR"/>
        </w:rPr>
        <w:t xml:space="preserve"> (</w:t>
      </w:r>
      <w:r w:rsidR="00655DFE" w:rsidRPr="00404FEE">
        <w:rPr>
          <w:rFonts w:ascii="Times New Roman" w:eastAsia="Times New Roman" w:hAnsi="Times New Roman"/>
          <w:lang w:val="el-GR"/>
        </w:rPr>
        <w:t>≥</w:t>
      </w:r>
      <w:r w:rsidR="00CD5495" w:rsidRPr="00404FEE">
        <w:rPr>
          <w:rFonts w:ascii="Times New Roman" w:eastAsia="Times New Roman" w:hAnsi="Times New Roman"/>
          <w:lang w:val="el-GR"/>
        </w:rPr>
        <w:t>1/10,000</w:t>
      </w:r>
      <w:r w:rsidR="00655DFE" w:rsidRPr="00404FEE">
        <w:rPr>
          <w:rFonts w:ascii="Times New Roman" w:eastAsia="Times New Roman" w:hAnsi="Times New Roman"/>
          <w:lang w:val="el-GR"/>
        </w:rPr>
        <w:t xml:space="preserve"> </w:t>
      </w:r>
      <w:r w:rsidR="00655DFE">
        <w:rPr>
          <w:rFonts w:ascii="Times New Roman" w:eastAsia="Times New Roman" w:hAnsi="Times New Roman"/>
        </w:rPr>
        <w:t>to</w:t>
      </w:r>
      <w:r w:rsidR="00CD5495" w:rsidRPr="00404FEE">
        <w:rPr>
          <w:rFonts w:ascii="Times New Roman" w:eastAsia="Times New Roman" w:hAnsi="Times New Roman"/>
          <w:lang w:val="el-GR"/>
        </w:rPr>
        <w:t xml:space="preserve"> &lt;1/1000); </w:t>
      </w:r>
      <w:r w:rsidR="00F465A9">
        <w:rPr>
          <w:rFonts w:ascii="Times New Roman" w:eastAsia="Times New Roman" w:hAnsi="Times New Roman"/>
          <w:lang w:val="el-GR"/>
        </w:rPr>
        <w:t>Πολύ</w:t>
      </w:r>
      <w:r w:rsidR="00F465A9" w:rsidRPr="00404FEE">
        <w:rPr>
          <w:rFonts w:ascii="Times New Roman" w:eastAsia="Times New Roman" w:hAnsi="Times New Roman"/>
          <w:lang w:val="el-GR"/>
        </w:rPr>
        <w:t xml:space="preserve"> </w:t>
      </w:r>
      <w:r w:rsidR="00F465A9">
        <w:rPr>
          <w:rFonts w:ascii="Times New Roman" w:eastAsia="Times New Roman" w:hAnsi="Times New Roman"/>
          <w:lang w:val="el-GR"/>
        </w:rPr>
        <w:t>σπάνιες</w:t>
      </w:r>
      <w:r w:rsidR="00CD5495" w:rsidRPr="00404FEE">
        <w:rPr>
          <w:rFonts w:ascii="Times New Roman" w:eastAsia="Times New Roman" w:hAnsi="Times New Roman"/>
          <w:lang w:val="el-GR"/>
        </w:rPr>
        <w:t xml:space="preserve"> (&lt;1/10,000); </w:t>
      </w:r>
      <w:r w:rsidR="00404FEE">
        <w:rPr>
          <w:rFonts w:ascii="Times New Roman" w:eastAsia="Times New Roman" w:hAnsi="Times New Roman"/>
          <w:lang w:val="el-GR"/>
        </w:rPr>
        <w:t>Μ</w:t>
      </w:r>
      <w:r w:rsidR="00936685" w:rsidRPr="00404FEE">
        <w:rPr>
          <w:rFonts w:ascii="Times New Roman" w:eastAsia="Times New Roman" w:hAnsi="Times New Roman"/>
          <w:lang w:val="el-GR"/>
        </w:rPr>
        <w:t>η γνωστές (δεν μπορούν να εκτιμηθούν με βάση τα διαθέσιμα δεδομένα)</w:t>
      </w:r>
      <w:r w:rsidR="00CD5495" w:rsidRPr="00404FEE">
        <w:rPr>
          <w:rFonts w:ascii="Times New Roman" w:eastAsia="Times New Roman" w:hAnsi="Times New Roman"/>
          <w:lang w:val="el-GR"/>
        </w:rPr>
        <w:t xml:space="preserve">. </w:t>
      </w:r>
    </w:p>
    <w:p w:rsidR="00A53ED7" w:rsidRPr="0067222A" w:rsidRDefault="0067222A" w:rsidP="00AC1E02">
      <w:pPr>
        <w:spacing w:before="100" w:beforeAutospacing="1" w:after="75" w:line="360" w:lineRule="auto"/>
        <w:jc w:val="both"/>
        <w:rPr>
          <w:rFonts w:ascii="Times New Roman" w:eastAsia="Times New Roman" w:hAnsi="Times New Roman"/>
          <w:lang w:val="el-GR"/>
        </w:rPr>
      </w:pPr>
      <w:r>
        <w:rPr>
          <w:rFonts w:ascii="Times New Roman" w:eastAsia="Times New Roman" w:hAnsi="Times New Roman"/>
          <w:lang w:val="el-GR"/>
        </w:rPr>
        <w:t>Πίνακας</w:t>
      </w:r>
      <w:r w:rsidR="00A53ED7" w:rsidRPr="0067222A">
        <w:rPr>
          <w:rFonts w:ascii="Times New Roman" w:eastAsia="Times New Roman" w:hAnsi="Times New Roman"/>
          <w:lang w:val="el-GR"/>
        </w:rPr>
        <w:t xml:space="preserve"> 2. </w:t>
      </w:r>
      <w:r w:rsidRPr="0067222A">
        <w:rPr>
          <w:rFonts w:ascii="Times New Roman" w:eastAsia="Times New Roman" w:hAnsi="Times New Roman"/>
          <w:lang w:val="el-GR"/>
        </w:rPr>
        <w:t xml:space="preserve">Ανεπιθύμητες ενέργειες που βασίζονται σε δεδομένα από </w:t>
      </w:r>
      <w:r>
        <w:rPr>
          <w:rFonts w:ascii="Times New Roman" w:eastAsia="Times New Roman" w:hAnsi="Times New Roman"/>
          <w:lang w:val="el-GR"/>
        </w:rPr>
        <w:t xml:space="preserve">τις </w:t>
      </w:r>
      <w:r w:rsidRPr="0067222A">
        <w:rPr>
          <w:rFonts w:ascii="Times New Roman" w:eastAsia="Times New Roman" w:hAnsi="Times New Roman"/>
          <w:lang w:val="el-GR"/>
        </w:rPr>
        <w:t>κλινικές μελέτες και την εμπειρία μετά την κυκλοφορία</w:t>
      </w:r>
      <w:r>
        <w:rPr>
          <w:rFonts w:ascii="Times New Roman" w:eastAsia="Times New Roman" w:hAnsi="Times New Roman"/>
          <w:lang w:val="el-GR"/>
        </w:rPr>
        <w:t xml:space="preserve"> του φαρμάκου.</w:t>
      </w:r>
    </w:p>
    <w:tbl>
      <w:tblPr>
        <w:tblW w:w="5267"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776"/>
        <w:gridCol w:w="1418"/>
        <w:gridCol w:w="1274"/>
        <w:gridCol w:w="1844"/>
        <w:gridCol w:w="1560"/>
        <w:gridCol w:w="1842"/>
      </w:tblGrid>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4818C0" w:rsidP="00AC1E02">
            <w:pPr>
              <w:spacing w:before="100" w:beforeAutospacing="1" w:after="75" w:line="360" w:lineRule="auto"/>
              <w:jc w:val="both"/>
              <w:rPr>
                <w:rFonts w:ascii="Times New Roman" w:eastAsia="Times New Roman" w:hAnsi="Times New Roman"/>
                <w:color w:val="000000"/>
              </w:rPr>
            </w:pPr>
            <w:r w:rsidRPr="004818C0">
              <w:rPr>
                <w:rFonts w:ascii="Times New Roman" w:eastAsia="Times New Roman" w:hAnsi="Times New Roman"/>
                <w:b/>
                <w:bCs/>
                <w:color w:val="000000"/>
              </w:rPr>
              <w:t>Κατηγορία Οργανικού Συστήματος</w:t>
            </w:r>
          </w:p>
        </w:tc>
        <w:tc>
          <w:tcPr>
            <w:tcW w:w="730" w:type="pct"/>
            <w:tcBorders>
              <w:top w:val="outset" w:sz="6" w:space="0" w:color="auto"/>
              <w:left w:val="outset" w:sz="6" w:space="0" w:color="auto"/>
              <w:bottom w:val="outset" w:sz="6" w:space="0" w:color="auto"/>
              <w:right w:val="outset" w:sz="6" w:space="0" w:color="auto"/>
            </w:tcBorders>
          </w:tcPr>
          <w:p w:rsidR="00A53ED7" w:rsidRPr="00694B46" w:rsidRDefault="00694B46"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Συχνές</w:t>
            </w:r>
          </w:p>
        </w:tc>
        <w:tc>
          <w:tcPr>
            <w:tcW w:w="656" w:type="pct"/>
            <w:tcBorders>
              <w:top w:val="outset" w:sz="6" w:space="0" w:color="auto"/>
              <w:left w:val="outset" w:sz="6" w:space="0" w:color="auto"/>
              <w:bottom w:val="outset" w:sz="6" w:space="0" w:color="auto"/>
              <w:right w:val="outset" w:sz="6" w:space="0" w:color="auto"/>
            </w:tcBorders>
          </w:tcPr>
          <w:p w:rsidR="00A53ED7" w:rsidRPr="00694B46" w:rsidRDefault="00694B46"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Όχι συχνές</w:t>
            </w:r>
          </w:p>
        </w:tc>
        <w:tc>
          <w:tcPr>
            <w:tcW w:w="949" w:type="pct"/>
            <w:tcBorders>
              <w:top w:val="outset" w:sz="6" w:space="0" w:color="auto"/>
              <w:left w:val="outset" w:sz="6" w:space="0" w:color="auto"/>
              <w:bottom w:val="outset" w:sz="6" w:space="0" w:color="auto"/>
              <w:right w:val="outset" w:sz="6" w:space="0" w:color="auto"/>
            </w:tcBorders>
          </w:tcPr>
          <w:p w:rsidR="00A53ED7" w:rsidRPr="00694B46" w:rsidRDefault="00694B46"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Σπάνιες</w:t>
            </w:r>
          </w:p>
        </w:tc>
        <w:tc>
          <w:tcPr>
            <w:tcW w:w="803" w:type="pct"/>
            <w:tcBorders>
              <w:top w:val="outset" w:sz="6" w:space="0" w:color="auto"/>
              <w:left w:val="outset" w:sz="6" w:space="0" w:color="auto"/>
              <w:bottom w:val="outset" w:sz="6" w:space="0" w:color="auto"/>
              <w:right w:val="outset" w:sz="6" w:space="0" w:color="auto"/>
            </w:tcBorders>
          </w:tcPr>
          <w:p w:rsidR="00A53ED7" w:rsidRPr="00694B46" w:rsidRDefault="00694B46"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Πολύ σπάνιες</w:t>
            </w:r>
          </w:p>
        </w:tc>
        <w:tc>
          <w:tcPr>
            <w:tcW w:w="948" w:type="pct"/>
            <w:tcBorders>
              <w:top w:val="outset" w:sz="6" w:space="0" w:color="auto"/>
              <w:left w:val="outset" w:sz="6" w:space="0" w:color="auto"/>
              <w:bottom w:val="outset" w:sz="6" w:space="0" w:color="auto"/>
              <w:right w:val="outset" w:sz="6" w:space="0" w:color="auto"/>
            </w:tcBorders>
          </w:tcPr>
          <w:p w:rsidR="00A53ED7" w:rsidRPr="00406284" w:rsidRDefault="00406284"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b/>
                <w:bCs/>
                <w:color w:val="000000"/>
                <w:lang w:val="el-GR"/>
              </w:rPr>
              <w:t>Μη γνωστές</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4818C0" w:rsidRDefault="004818C0" w:rsidP="004818C0">
            <w:pPr>
              <w:spacing w:before="100" w:beforeAutospacing="1" w:after="75" w:line="360" w:lineRule="auto"/>
              <w:jc w:val="both"/>
              <w:rPr>
                <w:rFonts w:ascii="Times New Roman" w:eastAsia="Times New Roman" w:hAnsi="Times New Roman"/>
                <w:color w:val="000000"/>
                <w:lang w:val="el-GR"/>
              </w:rPr>
            </w:pPr>
            <w:r w:rsidRPr="004818C0">
              <w:rPr>
                <w:rFonts w:ascii="Times New Roman" w:eastAsia="Times New Roman" w:hAnsi="Times New Roman"/>
                <w:i/>
                <w:iCs/>
                <w:color w:val="000000"/>
                <w:lang w:val="el-GR"/>
              </w:rPr>
              <w:t xml:space="preserve">Διαταραχές του αίματος και του λεμφικού </w:t>
            </w:r>
            <w:r>
              <w:rPr>
                <w:rFonts w:ascii="Times New Roman" w:eastAsia="Times New Roman" w:hAnsi="Times New Roman"/>
                <w:i/>
                <w:iCs/>
                <w:color w:val="000000"/>
                <w:lang w:val="el-GR"/>
              </w:rPr>
              <w:t>συστήματος</w:t>
            </w:r>
          </w:p>
        </w:tc>
        <w:tc>
          <w:tcPr>
            <w:tcW w:w="730" w:type="pct"/>
            <w:tcBorders>
              <w:top w:val="outset" w:sz="6" w:space="0" w:color="auto"/>
              <w:left w:val="outset" w:sz="6" w:space="0" w:color="auto"/>
              <w:bottom w:val="outset" w:sz="6" w:space="0" w:color="auto"/>
              <w:right w:val="outset" w:sz="6" w:space="0" w:color="auto"/>
            </w:tcBorders>
          </w:tcPr>
          <w:p w:rsidR="00A53ED7" w:rsidRPr="004818C0"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4818C0"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406284" w:rsidP="00AC1E02">
            <w:pPr>
              <w:spacing w:before="100" w:beforeAutospacing="1" w:after="75" w:line="360" w:lineRule="auto"/>
              <w:jc w:val="both"/>
              <w:rPr>
                <w:rFonts w:ascii="Times New Roman" w:eastAsia="Times New Roman" w:hAnsi="Times New Roman"/>
                <w:color w:val="000000"/>
              </w:rPr>
            </w:pPr>
            <w:r w:rsidRPr="00406284">
              <w:rPr>
                <w:rFonts w:ascii="Times New Roman" w:eastAsia="Times New Roman" w:hAnsi="Times New Roman"/>
                <w:color w:val="000000"/>
              </w:rPr>
              <w:t>Θρομβοκυττοπε</w:t>
            </w:r>
            <w:r w:rsidR="00625084">
              <w:rPr>
                <w:rFonts w:ascii="Times New Roman" w:eastAsia="Times New Roman" w:hAnsi="Times New Roman"/>
                <w:color w:val="000000"/>
                <w:lang w:val="el-GR"/>
              </w:rPr>
              <w:t>-</w:t>
            </w:r>
            <w:r w:rsidRPr="00406284">
              <w:rPr>
                <w:rFonts w:ascii="Times New Roman" w:eastAsia="Times New Roman" w:hAnsi="Times New Roman"/>
                <w:color w:val="000000"/>
              </w:rPr>
              <w:t>νία</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D40F6F" w:rsidRPr="00DA5053"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E95080" w:rsidP="00AC1E02">
            <w:pPr>
              <w:spacing w:before="100" w:beforeAutospacing="1" w:after="75" w:line="360" w:lineRule="auto"/>
              <w:jc w:val="both"/>
              <w:rPr>
                <w:rFonts w:ascii="Times New Roman" w:eastAsia="Times New Roman" w:hAnsi="Times New Roman"/>
                <w:color w:val="000000"/>
              </w:rPr>
            </w:pPr>
            <w:r w:rsidRPr="00E95080">
              <w:rPr>
                <w:rFonts w:ascii="Times New Roman" w:eastAsia="Times New Roman" w:hAnsi="Times New Roman"/>
                <w:i/>
                <w:iCs/>
                <w:color w:val="000000"/>
              </w:rPr>
              <w:t>Διαταραχές του Ανοσοποιητικού συστήματος</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DA5053" w:rsidRDefault="00DA5053" w:rsidP="00AC1E02">
            <w:pPr>
              <w:spacing w:before="100" w:beforeAutospacing="1" w:after="75" w:line="360" w:lineRule="auto"/>
              <w:jc w:val="both"/>
              <w:rPr>
                <w:rFonts w:ascii="Times New Roman" w:eastAsia="Times New Roman" w:hAnsi="Times New Roman"/>
                <w:color w:val="000000"/>
                <w:lang w:val="el-GR"/>
              </w:rPr>
            </w:pPr>
            <w:r w:rsidRPr="00DA5053">
              <w:rPr>
                <w:rFonts w:ascii="Times New Roman" w:eastAsia="Times New Roman" w:hAnsi="Times New Roman"/>
                <w:color w:val="000000"/>
                <w:lang w:val="el-GR"/>
              </w:rPr>
              <w:t>Αντιδράσεις υπερευαισθησίας, συμπεριλαμβανο</w:t>
            </w:r>
            <w:r>
              <w:rPr>
                <w:rFonts w:ascii="Times New Roman" w:eastAsia="Times New Roman" w:hAnsi="Times New Roman"/>
                <w:color w:val="000000"/>
                <w:lang w:val="el-GR"/>
              </w:rPr>
              <w:t>-</w:t>
            </w:r>
            <w:r w:rsidRPr="00DA5053">
              <w:rPr>
                <w:rFonts w:ascii="Times New Roman" w:eastAsia="Times New Roman" w:hAnsi="Times New Roman"/>
                <w:color w:val="000000"/>
                <w:lang w:val="el-GR"/>
              </w:rPr>
              <w:t>μένου αγγειοοιδήματος</w:t>
            </w:r>
            <w:r w:rsidR="00A53ED7" w:rsidRPr="00DA5053">
              <w:rPr>
                <w:rFonts w:ascii="Times New Roman" w:eastAsia="Times New Roman" w:hAnsi="Times New Roman"/>
                <w:color w:val="000000"/>
                <w:lang w:val="el-GR"/>
              </w:rPr>
              <w:t xml:space="preserve"> </w:t>
            </w:r>
          </w:p>
        </w:tc>
        <w:tc>
          <w:tcPr>
            <w:tcW w:w="803" w:type="pct"/>
            <w:tcBorders>
              <w:top w:val="outset" w:sz="6" w:space="0" w:color="auto"/>
              <w:left w:val="outset" w:sz="6" w:space="0" w:color="auto"/>
              <w:bottom w:val="outset" w:sz="6" w:space="0" w:color="auto"/>
              <w:right w:val="outset" w:sz="6" w:space="0" w:color="auto"/>
            </w:tcBorders>
          </w:tcPr>
          <w:p w:rsidR="00A53ED7" w:rsidRPr="00DA5053"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DA5053"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FE2FB3" w:rsidP="00AC1E02">
            <w:pPr>
              <w:spacing w:before="100" w:beforeAutospacing="1" w:after="75" w:line="360" w:lineRule="auto"/>
              <w:jc w:val="both"/>
              <w:rPr>
                <w:rFonts w:ascii="Times New Roman" w:eastAsia="Times New Roman" w:hAnsi="Times New Roman"/>
                <w:color w:val="000000"/>
              </w:rPr>
            </w:pPr>
            <w:r w:rsidRPr="00FE2FB3">
              <w:rPr>
                <w:rFonts w:ascii="Times New Roman" w:eastAsia="Times New Roman" w:hAnsi="Times New Roman"/>
                <w:i/>
                <w:iCs/>
                <w:color w:val="000000"/>
              </w:rPr>
              <w:t>Ενδοκρινικές διαταραχές</w:t>
            </w:r>
          </w:p>
        </w:tc>
        <w:tc>
          <w:tcPr>
            <w:tcW w:w="730" w:type="pct"/>
            <w:tcBorders>
              <w:top w:val="outset" w:sz="6" w:space="0" w:color="auto"/>
              <w:left w:val="outset" w:sz="6" w:space="0" w:color="auto"/>
              <w:bottom w:val="outset" w:sz="6" w:space="0" w:color="auto"/>
              <w:right w:val="outset" w:sz="6" w:space="0" w:color="auto"/>
            </w:tcBorders>
          </w:tcPr>
          <w:p w:rsidR="00561031" w:rsidRPr="00561031" w:rsidRDefault="00561031" w:rsidP="00AC1E02">
            <w:pPr>
              <w:spacing w:before="100" w:beforeAutospacing="1" w:after="75" w:line="360" w:lineRule="auto"/>
              <w:jc w:val="both"/>
              <w:rPr>
                <w:rFonts w:ascii="Times New Roman" w:eastAsia="Times New Roman" w:hAnsi="Times New Roman"/>
                <w:color w:val="000000"/>
                <w:lang w:val="el-GR"/>
              </w:rPr>
            </w:pPr>
            <w:r>
              <w:rPr>
                <w:rFonts w:ascii="Times New Roman" w:eastAsia="Times New Roman" w:hAnsi="Times New Roman"/>
                <w:color w:val="000000"/>
                <w:lang w:val="el-GR"/>
              </w:rPr>
              <w:t>Σ</w:t>
            </w:r>
            <w:r w:rsidRPr="00561031">
              <w:rPr>
                <w:rFonts w:ascii="Times New Roman" w:eastAsia="Times New Roman" w:hAnsi="Times New Roman"/>
                <w:color w:val="000000"/>
                <w:lang w:val="el-GR"/>
              </w:rPr>
              <w:t>ακχαρώδης διαβήτης</w:t>
            </w:r>
            <w:r w:rsidRPr="00561031">
              <w:rPr>
                <w:rFonts w:ascii="Times New Roman" w:eastAsia="Times New Roman" w:hAnsi="Times New Roman"/>
                <w:color w:val="000000"/>
                <w:vertAlign w:val="superscript"/>
              </w:rPr>
              <w:t>1</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2A6A0C" w:rsidP="00AC1E02">
            <w:pPr>
              <w:spacing w:before="100" w:beforeAutospacing="1" w:after="75" w:line="360" w:lineRule="auto"/>
              <w:jc w:val="both"/>
              <w:rPr>
                <w:rFonts w:ascii="Times New Roman" w:eastAsia="Times New Roman" w:hAnsi="Times New Roman"/>
                <w:color w:val="000000"/>
              </w:rPr>
            </w:pPr>
            <w:r w:rsidRPr="002A6A0C">
              <w:rPr>
                <w:rFonts w:ascii="Times New Roman" w:eastAsia="Times New Roman" w:hAnsi="Times New Roman"/>
                <w:i/>
                <w:iCs/>
                <w:color w:val="000000"/>
              </w:rPr>
              <w:t>Ψυχιατρικές διαταραχές</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B62F60" w:rsidP="00B62F60">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 xml:space="preserve">Κατάθλιψη </w:t>
            </w:r>
            <w:r w:rsidR="00A53ED7" w:rsidRPr="00AC1E02">
              <w:rPr>
                <w:rFonts w:ascii="Times New Roman" w:eastAsia="Times New Roman" w:hAnsi="Times New Roman"/>
                <w:color w:val="000000"/>
              </w:rPr>
              <w:t xml:space="preserve"> </w:t>
            </w:r>
          </w:p>
        </w:tc>
      </w:tr>
      <w:tr w:rsidR="00D40F6F" w:rsidRPr="0067222A"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374037" w:rsidP="00AC1E02">
            <w:pPr>
              <w:spacing w:before="100" w:beforeAutospacing="1" w:after="75" w:line="360" w:lineRule="auto"/>
              <w:jc w:val="both"/>
              <w:rPr>
                <w:rFonts w:ascii="Times New Roman" w:eastAsia="Times New Roman" w:hAnsi="Times New Roman"/>
                <w:color w:val="000000"/>
              </w:rPr>
            </w:pPr>
            <w:r w:rsidRPr="00374037">
              <w:rPr>
                <w:rFonts w:ascii="Times New Roman" w:eastAsia="Times New Roman" w:hAnsi="Times New Roman"/>
                <w:i/>
                <w:iCs/>
                <w:color w:val="000000"/>
              </w:rPr>
              <w:t>Διαταραχές του νευρικού συστήματος</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415D2A"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Κεφαλαλγία</w:t>
            </w:r>
            <w:r w:rsidR="00A53ED7" w:rsidRPr="00AC1E02">
              <w:rPr>
                <w:rFonts w:ascii="Times New Roman" w:eastAsia="Times New Roman" w:hAnsi="Times New Roman"/>
                <w:color w:val="000000"/>
              </w:rPr>
              <w:t xml:space="preserve"> </w:t>
            </w:r>
          </w:p>
          <w:p w:rsidR="00A53ED7" w:rsidRPr="00374037" w:rsidRDefault="00374037" w:rsidP="00AC1E02">
            <w:pPr>
              <w:spacing w:before="100" w:beforeAutospacing="1" w:after="75" w:line="360" w:lineRule="auto"/>
              <w:jc w:val="both"/>
              <w:rPr>
                <w:rFonts w:ascii="Times New Roman" w:eastAsia="Times New Roman" w:hAnsi="Times New Roman"/>
                <w:color w:val="000000"/>
                <w:lang w:val="el-GR"/>
              </w:rPr>
            </w:pPr>
            <w:r w:rsidRPr="00374037">
              <w:rPr>
                <w:rFonts w:ascii="Times New Roman" w:eastAsia="Times New Roman" w:hAnsi="Times New Roman"/>
                <w:color w:val="000000"/>
              </w:rPr>
              <w:t>Ζάλη</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67222A" w:rsidRDefault="0067222A" w:rsidP="00AC1E02">
            <w:pPr>
              <w:spacing w:before="100" w:beforeAutospacing="1" w:after="75" w:line="360" w:lineRule="auto"/>
              <w:jc w:val="both"/>
              <w:rPr>
                <w:rFonts w:ascii="Times New Roman" w:eastAsia="Times New Roman" w:hAnsi="Times New Roman"/>
                <w:color w:val="000000"/>
                <w:lang w:val="el-GR"/>
              </w:rPr>
            </w:pPr>
            <w:r w:rsidRPr="0067222A">
              <w:rPr>
                <w:rFonts w:ascii="Times New Roman" w:eastAsia="Times New Roman" w:hAnsi="Times New Roman"/>
                <w:color w:val="000000"/>
              </w:rPr>
              <w:t>Πολυνευρο</w:t>
            </w:r>
            <w:r>
              <w:rPr>
                <w:rFonts w:ascii="Times New Roman" w:eastAsia="Times New Roman" w:hAnsi="Times New Roman"/>
                <w:color w:val="000000"/>
                <w:lang w:val="el-GR"/>
              </w:rPr>
              <w:t>-</w:t>
            </w:r>
            <w:r w:rsidRPr="0067222A">
              <w:rPr>
                <w:rFonts w:ascii="Times New Roman" w:eastAsia="Times New Roman" w:hAnsi="Times New Roman"/>
                <w:color w:val="000000"/>
              </w:rPr>
              <w:t>πάθεια</w:t>
            </w:r>
          </w:p>
          <w:p w:rsidR="00A53ED7" w:rsidRPr="00AC1E02" w:rsidRDefault="00415D2A"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Απώλεια μνήμης</w:t>
            </w:r>
            <w:r w:rsidR="00A53ED7" w:rsidRPr="00AC1E02">
              <w:rPr>
                <w:rFonts w:ascii="Times New Roman" w:eastAsia="Times New Roman" w:hAnsi="Times New Roman"/>
                <w:color w:val="000000"/>
              </w:rPr>
              <w:t xml:space="preserve"> </w:t>
            </w:r>
          </w:p>
        </w:tc>
        <w:tc>
          <w:tcPr>
            <w:tcW w:w="948" w:type="pct"/>
            <w:tcBorders>
              <w:top w:val="outset" w:sz="6" w:space="0" w:color="auto"/>
              <w:left w:val="outset" w:sz="6" w:space="0" w:color="auto"/>
              <w:bottom w:val="outset" w:sz="6" w:space="0" w:color="auto"/>
              <w:right w:val="outset" w:sz="6" w:space="0" w:color="auto"/>
            </w:tcBorders>
          </w:tcPr>
          <w:p w:rsidR="00A53ED7" w:rsidRPr="0067222A" w:rsidRDefault="0067222A" w:rsidP="0067222A">
            <w:pPr>
              <w:spacing w:before="100" w:beforeAutospacing="1" w:after="75" w:line="360" w:lineRule="auto"/>
              <w:jc w:val="both"/>
              <w:rPr>
                <w:rFonts w:ascii="Times New Roman" w:eastAsia="Times New Roman" w:hAnsi="Times New Roman"/>
                <w:color w:val="000000"/>
                <w:lang w:val="el-GR"/>
              </w:rPr>
            </w:pPr>
            <w:r w:rsidRPr="0067222A">
              <w:rPr>
                <w:rFonts w:ascii="Times New Roman" w:eastAsia="Times New Roman" w:hAnsi="Times New Roman"/>
                <w:color w:val="000000"/>
                <w:lang w:val="el-GR"/>
              </w:rPr>
              <w:t>Διαταραχές του ύπνου (συμπεριλαμβανο-μένων αϋπνίας και εφιαλτών</w:t>
            </w:r>
            <w:r>
              <w:rPr>
                <w:rFonts w:ascii="Times New Roman" w:eastAsia="Times New Roman" w:hAnsi="Times New Roman"/>
                <w:color w:val="000000"/>
                <w:lang w:val="el-GR"/>
              </w:rPr>
              <w:t>)</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374037" w:rsidRDefault="00374037" w:rsidP="00AC1E02">
            <w:pPr>
              <w:spacing w:before="100" w:beforeAutospacing="1" w:after="75" w:line="360" w:lineRule="auto"/>
              <w:jc w:val="both"/>
              <w:rPr>
                <w:rFonts w:ascii="Times New Roman" w:eastAsia="Times New Roman" w:hAnsi="Times New Roman"/>
                <w:color w:val="000000"/>
                <w:lang w:val="el-GR"/>
              </w:rPr>
            </w:pPr>
            <w:r w:rsidRPr="00374037">
              <w:rPr>
                <w:rFonts w:ascii="Times New Roman" w:eastAsia="Times New Roman" w:hAnsi="Times New Roman"/>
                <w:i/>
                <w:iCs/>
                <w:color w:val="000000"/>
                <w:lang w:val="el-GR"/>
              </w:rPr>
              <w:t xml:space="preserve">Διαταραχές του αναπνευστικού συστήματος, του θώρακα και του </w:t>
            </w:r>
            <w:r w:rsidRPr="00374037">
              <w:rPr>
                <w:rFonts w:ascii="Times New Roman" w:eastAsia="Times New Roman" w:hAnsi="Times New Roman"/>
                <w:i/>
                <w:iCs/>
                <w:color w:val="000000"/>
                <w:lang w:val="el-GR"/>
              </w:rPr>
              <w:lastRenderedPageBreak/>
              <w:t>μεσοθωρακίου</w:t>
            </w:r>
          </w:p>
        </w:tc>
        <w:tc>
          <w:tcPr>
            <w:tcW w:w="730" w:type="pct"/>
            <w:tcBorders>
              <w:top w:val="outset" w:sz="6" w:space="0" w:color="auto"/>
              <w:left w:val="outset" w:sz="6" w:space="0" w:color="auto"/>
              <w:bottom w:val="outset" w:sz="6" w:space="0" w:color="auto"/>
              <w:right w:val="outset" w:sz="6" w:space="0" w:color="auto"/>
            </w:tcBorders>
          </w:tcPr>
          <w:p w:rsidR="00A53ED7" w:rsidRPr="00374037"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lastRenderedPageBreak/>
              <w:t> </w:t>
            </w:r>
          </w:p>
        </w:tc>
        <w:tc>
          <w:tcPr>
            <w:tcW w:w="656" w:type="pct"/>
            <w:tcBorders>
              <w:top w:val="outset" w:sz="6" w:space="0" w:color="auto"/>
              <w:left w:val="outset" w:sz="6" w:space="0" w:color="auto"/>
              <w:bottom w:val="outset" w:sz="6" w:space="0" w:color="auto"/>
              <w:right w:val="outset" w:sz="6" w:space="0" w:color="auto"/>
            </w:tcBorders>
          </w:tcPr>
          <w:p w:rsidR="00A53ED7" w:rsidRPr="00374037"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374037"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374037"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BF33E3"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Βήχας</w:t>
            </w:r>
            <w:r w:rsidR="00A53ED7" w:rsidRPr="00AC1E02">
              <w:rPr>
                <w:rFonts w:ascii="Times New Roman" w:eastAsia="Times New Roman" w:hAnsi="Times New Roman"/>
                <w:color w:val="000000"/>
              </w:rPr>
              <w:t xml:space="preserve"> </w:t>
            </w:r>
          </w:p>
          <w:p w:rsidR="00A53ED7" w:rsidRPr="00AC1E02" w:rsidRDefault="00BF33E3"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Δύσπνοια</w:t>
            </w:r>
            <w:r w:rsidR="00A53ED7" w:rsidRPr="00AC1E02">
              <w:rPr>
                <w:rFonts w:ascii="Times New Roman" w:eastAsia="Times New Roman" w:hAnsi="Times New Roman"/>
                <w:color w:val="000000"/>
              </w:rPr>
              <w:t xml:space="preserve">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9C1B5F" w:rsidP="00AC1E02">
            <w:pPr>
              <w:spacing w:before="100" w:beforeAutospacing="1" w:after="75" w:line="360" w:lineRule="auto"/>
              <w:jc w:val="both"/>
              <w:rPr>
                <w:rFonts w:ascii="Times New Roman" w:eastAsia="Times New Roman" w:hAnsi="Times New Roman"/>
                <w:color w:val="000000"/>
              </w:rPr>
            </w:pPr>
            <w:r w:rsidRPr="009C1B5F">
              <w:rPr>
                <w:rFonts w:ascii="Times New Roman" w:eastAsia="Times New Roman" w:hAnsi="Times New Roman"/>
                <w:i/>
                <w:iCs/>
                <w:color w:val="000000"/>
              </w:rPr>
              <w:lastRenderedPageBreak/>
              <w:t>Γαστρεντερικές διαταραχές</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561031" w:rsidP="00AC1E02">
            <w:pPr>
              <w:spacing w:before="100" w:beforeAutospacing="1" w:after="75" w:line="360" w:lineRule="auto"/>
              <w:jc w:val="both"/>
              <w:rPr>
                <w:rFonts w:ascii="Times New Roman" w:eastAsia="Times New Roman" w:hAnsi="Times New Roman"/>
                <w:color w:val="000000"/>
              </w:rPr>
            </w:pPr>
            <w:r w:rsidRPr="00C566B4">
              <w:rPr>
                <w:rFonts w:ascii="Times New Roman" w:eastAsia="Times New Roman" w:hAnsi="Times New Roman"/>
                <w:color w:val="000000"/>
              </w:rPr>
              <w:t>Δ</w:t>
            </w:r>
            <w:r w:rsidR="00C566B4" w:rsidRPr="00C566B4">
              <w:rPr>
                <w:rFonts w:ascii="Times New Roman" w:eastAsia="Times New Roman" w:hAnsi="Times New Roman"/>
                <w:color w:val="000000"/>
              </w:rPr>
              <w:t>υσκοιλιό</w:t>
            </w:r>
            <w:r w:rsidRPr="00561031">
              <w:rPr>
                <w:rFonts w:ascii="Times New Roman" w:eastAsia="Times New Roman" w:hAnsi="Times New Roman"/>
                <w:color w:val="000000"/>
              </w:rPr>
              <w:t>-</w:t>
            </w:r>
            <w:r w:rsidR="00C566B4" w:rsidRPr="00C566B4">
              <w:rPr>
                <w:rFonts w:ascii="Times New Roman" w:eastAsia="Times New Roman" w:hAnsi="Times New Roman"/>
                <w:color w:val="000000"/>
              </w:rPr>
              <w:t>τητα,</w:t>
            </w:r>
          </w:p>
          <w:p w:rsidR="00A53ED7" w:rsidRPr="00AC1E02" w:rsidRDefault="00CC2D5F" w:rsidP="00AC1E02">
            <w:pPr>
              <w:spacing w:before="100" w:beforeAutospacing="1" w:after="75" w:line="360" w:lineRule="auto"/>
              <w:jc w:val="both"/>
              <w:rPr>
                <w:rFonts w:ascii="Times New Roman" w:eastAsia="Times New Roman" w:hAnsi="Times New Roman"/>
                <w:color w:val="000000"/>
              </w:rPr>
            </w:pPr>
            <w:r w:rsidRPr="00CC2D5F">
              <w:rPr>
                <w:rFonts w:ascii="Times New Roman" w:eastAsia="Times New Roman" w:hAnsi="Times New Roman"/>
                <w:color w:val="000000"/>
              </w:rPr>
              <w:t>Ναυτία</w:t>
            </w:r>
            <w:r>
              <w:rPr>
                <w:rFonts w:ascii="Times New Roman" w:eastAsia="Times New Roman" w:hAnsi="Times New Roman"/>
                <w:color w:val="000000"/>
                <w:lang w:val="el-GR"/>
              </w:rPr>
              <w:t xml:space="preserve"> </w:t>
            </w:r>
          </w:p>
          <w:p w:rsidR="00A53ED7" w:rsidRPr="00AC1E02" w:rsidRDefault="00127266" w:rsidP="00127266">
            <w:pPr>
              <w:spacing w:before="100" w:beforeAutospacing="1" w:after="75" w:line="360" w:lineRule="auto"/>
              <w:jc w:val="both"/>
              <w:rPr>
                <w:rFonts w:ascii="Times New Roman" w:eastAsia="Times New Roman" w:hAnsi="Times New Roman"/>
                <w:color w:val="000000"/>
              </w:rPr>
            </w:pPr>
            <w:r w:rsidRPr="00127266">
              <w:rPr>
                <w:rFonts w:ascii="Times New Roman" w:eastAsia="Times New Roman" w:hAnsi="Times New Roman"/>
                <w:color w:val="000000"/>
              </w:rPr>
              <w:t>Κοιλιακό</w:t>
            </w:r>
            <w:r>
              <w:rPr>
                <w:rFonts w:ascii="Times New Roman" w:eastAsia="Times New Roman" w:hAnsi="Times New Roman"/>
                <w:color w:val="000000"/>
                <w:lang w:val="el-GR"/>
              </w:rPr>
              <w:t xml:space="preserve"> </w:t>
            </w:r>
            <w:r w:rsidRPr="00127266">
              <w:rPr>
                <w:rFonts w:ascii="Times New Roman" w:eastAsia="Times New Roman" w:hAnsi="Times New Roman"/>
                <w:color w:val="000000"/>
              </w:rPr>
              <w:t>άλγος</w:t>
            </w:r>
            <w:r w:rsidR="00A53ED7" w:rsidRPr="00AC1E02">
              <w:rPr>
                <w:rFonts w:ascii="Times New Roman" w:eastAsia="Times New Roman" w:hAnsi="Times New Roman"/>
                <w:color w:val="000000"/>
              </w:rPr>
              <w:t xml:space="preserve"> </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CC2D5F" w:rsidRDefault="00CC2D5F" w:rsidP="00AC1E02">
            <w:pPr>
              <w:spacing w:before="100" w:beforeAutospacing="1" w:after="75" w:line="360" w:lineRule="auto"/>
              <w:jc w:val="both"/>
              <w:rPr>
                <w:rFonts w:ascii="Times New Roman" w:eastAsia="Times New Roman" w:hAnsi="Times New Roman"/>
                <w:color w:val="000000"/>
                <w:lang w:val="el-GR"/>
              </w:rPr>
            </w:pPr>
            <w:r w:rsidRPr="00CC2D5F">
              <w:rPr>
                <w:rFonts w:ascii="Times New Roman" w:eastAsia="Times New Roman" w:hAnsi="Times New Roman"/>
                <w:color w:val="000000"/>
              </w:rPr>
              <w:t>Παγκρεατίτιδα</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9538BE" w:rsidP="009538BE">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t>Διάρροια</w:t>
            </w:r>
            <w:r w:rsidR="00A53ED7" w:rsidRPr="00AC1E02">
              <w:rPr>
                <w:rFonts w:ascii="Times New Roman" w:eastAsia="Times New Roman" w:hAnsi="Times New Roman"/>
                <w:color w:val="000000"/>
              </w:rPr>
              <w:t xml:space="preserve">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AC1E02" w:rsidRDefault="00415D2A" w:rsidP="00415D2A">
            <w:pPr>
              <w:spacing w:before="100" w:beforeAutospacing="1" w:after="75" w:line="360" w:lineRule="auto"/>
              <w:jc w:val="both"/>
              <w:rPr>
                <w:rFonts w:ascii="Times New Roman" w:eastAsia="Times New Roman" w:hAnsi="Times New Roman"/>
                <w:color w:val="000000"/>
              </w:rPr>
            </w:pPr>
            <w:r w:rsidRPr="00415D2A">
              <w:rPr>
                <w:rFonts w:ascii="Times New Roman" w:eastAsia="Times New Roman" w:hAnsi="Times New Roman"/>
                <w:i/>
                <w:iCs/>
                <w:color w:val="000000"/>
              </w:rPr>
              <w:t>Διαταραχές ήπατος</w:t>
            </w:r>
            <w:r>
              <w:rPr>
                <w:rFonts w:ascii="Times New Roman" w:eastAsia="Times New Roman" w:hAnsi="Times New Roman"/>
                <w:i/>
                <w:iCs/>
                <w:color w:val="000000"/>
                <w:lang w:val="el-GR"/>
              </w:rPr>
              <w:t xml:space="preserve"> </w:t>
            </w:r>
            <w:r w:rsidRPr="00415D2A">
              <w:rPr>
                <w:rFonts w:ascii="Times New Roman" w:eastAsia="Times New Roman" w:hAnsi="Times New Roman"/>
                <w:i/>
                <w:iCs/>
                <w:color w:val="000000"/>
              </w:rPr>
              <w:t>και χοληφόρων</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127266" w:rsidP="00127266">
            <w:pPr>
              <w:spacing w:before="100" w:beforeAutospacing="1" w:after="75" w:line="360" w:lineRule="auto"/>
              <w:jc w:val="both"/>
              <w:rPr>
                <w:rFonts w:ascii="Times New Roman" w:eastAsia="Times New Roman" w:hAnsi="Times New Roman"/>
                <w:color w:val="000000"/>
              </w:rPr>
            </w:pPr>
            <w:r w:rsidRPr="00127266">
              <w:rPr>
                <w:rFonts w:ascii="Times New Roman" w:eastAsia="Times New Roman" w:hAnsi="Times New Roman"/>
                <w:color w:val="000000"/>
              </w:rPr>
              <w:t>Αυξημένες</w:t>
            </w:r>
            <w:r>
              <w:rPr>
                <w:rFonts w:ascii="Times New Roman" w:eastAsia="Times New Roman" w:hAnsi="Times New Roman"/>
                <w:color w:val="000000"/>
                <w:lang w:val="el-GR"/>
              </w:rPr>
              <w:t xml:space="preserve"> </w:t>
            </w:r>
            <w:r w:rsidRPr="00127266">
              <w:rPr>
                <w:rFonts w:ascii="Times New Roman" w:eastAsia="Times New Roman" w:hAnsi="Times New Roman"/>
                <w:color w:val="000000"/>
              </w:rPr>
              <w:t>τρανσαμινάσες του ήπατος</w:t>
            </w:r>
            <w:r w:rsidR="00A53ED7" w:rsidRPr="00AC1E02">
              <w:rPr>
                <w:rFonts w:ascii="Times New Roman" w:eastAsia="Times New Roman" w:hAnsi="Times New Roman"/>
                <w:color w:val="000000"/>
              </w:rPr>
              <w:t xml:space="preserve"> </w:t>
            </w:r>
          </w:p>
        </w:tc>
        <w:tc>
          <w:tcPr>
            <w:tcW w:w="803" w:type="pct"/>
            <w:tcBorders>
              <w:top w:val="outset" w:sz="6" w:space="0" w:color="auto"/>
              <w:left w:val="outset" w:sz="6" w:space="0" w:color="auto"/>
              <w:bottom w:val="outset" w:sz="6" w:space="0" w:color="auto"/>
              <w:right w:val="outset" w:sz="6" w:space="0" w:color="auto"/>
            </w:tcBorders>
          </w:tcPr>
          <w:p w:rsidR="00BF33E3" w:rsidRDefault="00BF33E3" w:rsidP="00BF33E3">
            <w:pPr>
              <w:spacing w:before="100" w:beforeAutospacing="1" w:after="75" w:line="360" w:lineRule="auto"/>
              <w:jc w:val="both"/>
              <w:rPr>
                <w:rFonts w:ascii="Times New Roman" w:eastAsia="Times New Roman" w:hAnsi="Times New Roman"/>
                <w:color w:val="000000"/>
                <w:lang w:val="el-GR"/>
              </w:rPr>
            </w:pPr>
            <w:r w:rsidRPr="00BF33E3">
              <w:rPr>
                <w:rFonts w:ascii="Times New Roman" w:eastAsia="Times New Roman" w:hAnsi="Times New Roman"/>
                <w:color w:val="000000"/>
              </w:rPr>
              <w:t>Ίκτερος</w:t>
            </w:r>
          </w:p>
          <w:p w:rsidR="00BF33E3" w:rsidRPr="00BF33E3" w:rsidRDefault="00BF33E3" w:rsidP="00BF33E3">
            <w:pPr>
              <w:spacing w:before="100" w:beforeAutospacing="1" w:after="75" w:line="360" w:lineRule="auto"/>
              <w:jc w:val="both"/>
              <w:rPr>
                <w:rFonts w:ascii="Times New Roman" w:eastAsia="Times New Roman" w:hAnsi="Times New Roman"/>
                <w:color w:val="000000"/>
                <w:lang w:val="el-GR"/>
              </w:rPr>
            </w:pPr>
            <w:r w:rsidRPr="00BF33E3">
              <w:rPr>
                <w:rFonts w:ascii="Times New Roman" w:eastAsia="Times New Roman" w:hAnsi="Times New Roman"/>
                <w:color w:val="000000"/>
              </w:rPr>
              <w:t>Ηπατίτιδα</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CB1693" w:rsidRDefault="00CB1693" w:rsidP="00AC1E02">
            <w:pPr>
              <w:spacing w:before="100" w:beforeAutospacing="1" w:after="75" w:line="360" w:lineRule="auto"/>
              <w:jc w:val="both"/>
              <w:rPr>
                <w:rFonts w:ascii="Times New Roman" w:eastAsia="Times New Roman" w:hAnsi="Times New Roman"/>
                <w:color w:val="000000"/>
                <w:lang w:val="el-GR"/>
              </w:rPr>
            </w:pPr>
            <w:r w:rsidRPr="00CB1693">
              <w:rPr>
                <w:rFonts w:ascii="Times New Roman" w:eastAsia="Times New Roman" w:hAnsi="Times New Roman"/>
                <w:i/>
                <w:iCs/>
                <w:color w:val="000000"/>
                <w:lang w:val="el-GR"/>
              </w:rPr>
              <w:t>Διαταραχές του δέρματος και του υποδορίου ιστού</w:t>
            </w:r>
          </w:p>
        </w:tc>
        <w:tc>
          <w:tcPr>
            <w:tcW w:w="730" w:type="pct"/>
            <w:tcBorders>
              <w:top w:val="outset" w:sz="6" w:space="0" w:color="auto"/>
              <w:left w:val="outset" w:sz="6" w:space="0" w:color="auto"/>
              <w:bottom w:val="outset" w:sz="6" w:space="0" w:color="auto"/>
              <w:right w:val="outset" w:sz="6" w:space="0" w:color="auto"/>
            </w:tcBorders>
          </w:tcPr>
          <w:p w:rsidR="00A53ED7" w:rsidRPr="00CB1693"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5042CD" w:rsidRPr="005042CD" w:rsidRDefault="005042CD" w:rsidP="005042CD">
            <w:pPr>
              <w:spacing w:before="100" w:beforeAutospacing="1" w:after="75" w:line="360" w:lineRule="auto"/>
              <w:jc w:val="both"/>
              <w:rPr>
                <w:rFonts w:ascii="Times New Roman" w:eastAsia="Times New Roman" w:hAnsi="Times New Roman"/>
                <w:color w:val="000000"/>
              </w:rPr>
            </w:pPr>
            <w:r w:rsidRPr="005042CD">
              <w:rPr>
                <w:rFonts w:ascii="Times New Roman" w:eastAsia="Times New Roman" w:hAnsi="Times New Roman"/>
                <w:color w:val="000000"/>
              </w:rPr>
              <w:t>Κνησμός</w:t>
            </w:r>
          </w:p>
          <w:p w:rsidR="005042CD" w:rsidRPr="005042CD" w:rsidRDefault="005042CD" w:rsidP="005042CD">
            <w:pPr>
              <w:spacing w:before="100" w:beforeAutospacing="1" w:after="75" w:line="360" w:lineRule="auto"/>
              <w:jc w:val="both"/>
              <w:rPr>
                <w:rFonts w:ascii="Times New Roman" w:eastAsia="Times New Roman" w:hAnsi="Times New Roman"/>
                <w:color w:val="000000"/>
                <w:lang w:val="el-GR"/>
              </w:rPr>
            </w:pPr>
            <w:r w:rsidRPr="005042CD">
              <w:rPr>
                <w:rFonts w:ascii="Times New Roman" w:eastAsia="Times New Roman" w:hAnsi="Times New Roman"/>
                <w:color w:val="000000"/>
              </w:rPr>
              <w:t>Εξάνθημα</w:t>
            </w:r>
          </w:p>
          <w:p w:rsidR="00A53ED7" w:rsidRPr="005042CD" w:rsidRDefault="005042CD" w:rsidP="005042CD">
            <w:pPr>
              <w:spacing w:before="100" w:beforeAutospacing="1" w:after="75" w:line="360" w:lineRule="auto"/>
              <w:jc w:val="both"/>
              <w:rPr>
                <w:rFonts w:ascii="Times New Roman" w:eastAsia="Times New Roman" w:hAnsi="Times New Roman"/>
                <w:color w:val="000000"/>
                <w:lang w:val="el-GR"/>
              </w:rPr>
            </w:pPr>
            <w:r w:rsidRPr="005042CD">
              <w:rPr>
                <w:rFonts w:ascii="Times New Roman" w:eastAsia="Times New Roman" w:hAnsi="Times New Roman"/>
                <w:color w:val="000000"/>
              </w:rPr>
              <w:t>Κνίδωση</w:t>
            </w:r>
            <w:r>
              <w:rPr>
                <w:rFonts w:ascii="Times New Roman" w:eastAsia="Times New Roman" w:hAnsi="Times New Roman"/>
                <w:color w:val="000000"/>
              </w:rPr>
              <w:t xml:space="preserve">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2342A0" w:rsidP="002342A0">
            <w:pPr>
              <w:spacing w:before="100" w:beforeAutospacing="1" w:after="75" w:line="360" w:lineRule="auto"/>
              <w:jc w:val="both"/>
              <w:rPr>
                <w:rFonts w:ascii="Times New Roman" w:eastAsia="Times New Roman" w:hAnsi="Times New Roman"/>
                <w:color w:val="000000"/>
              </w:rPr>
            </w:pPr>
            <w:r w:rsidRPr="002342A0">
              <w:rPr>
                <w:rFonts w:ascii="Times New Roman" w:eastAsia="Times New Roman" w:hAnsi="Times New Roman"/>
                <w:color w:val="000000"/>
              </w:rPr>
              <w:t>Σύνδρομο</w:t>
            </w:r>
            <w:r>
              <w:rPr>
                <w:rFonts w:ascii="Times New Roman" w:eastAsia="Times New Roman" w:hAnsi="Times New Roman"/>
                <w:color w:val="000000"/>
                <w:lang w:val="el-GR"/>
              </w:rPr>
              <w:t xml:space="preserve"> </w:t>
            </w:r>
            <w:r w:rsidRPr="002342A0">
              <w:rPr>
                <w:rFonts w:ascii="Times New Roman" w:eastAsia="Times New Roman" w:hAnsi="Times New Roman"/>
                <w:color w:val="000000"/>
              </w:rPr>
              <w:t>Stevens-Johnson</w:t>
            </w:r>
            <w:r w:rsidR="00A53ED7" w:rsidRPr="00AC1E02">
              <w:rPr>
                <w:rFonts w:ascii="Times New Roman" w:eastAsia="Times New Roman" w:hAnsi="Times New Roman"/>
                <w:color w:val="000000"/>
              </w:rPr>
              <w:t xml:space="preserve">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CB1693" w:rsidRDefault="00CB1693" w:rsidP="00CB1693">
            <w:pPr>
              <w:spacing w:before="100" w:beforeAutospacing="1" w:after="75" w:line="360" w:lineRule="auto"/>
              <w:jc w:val="both"/>
              <w:rPr>
                <w:rFonts w:ascii="Times New Roman" w:eastAsia="Times New Roman" w:hAnsi="Times New Roman"/>
                <w:color w:val="000000"/>
                <w:lang w:val="el-GR"/>
              </w:rPr>
            </w:pPr>
            <w:r w:rsidRPr="00CB1693">
              <w:rPr>
                <w:rFonts w:ascii="Times New Roman" w:eastAsia="Times New Roman" w:hAnsi="Times New Roman"/>
                <w:i/>
                <w:iCs/>
                <w:color w:val="000000"/>
                <w:lang w:val="el-GR"/>
              </w:rPr>
              <w:t>Διαταραχές του μυοσκελετικού συστήματος και του συνδετικού ιστού</w:t>
            </w:r>
            <w:r w:rsidR="00A53ED7" w:rsidRPr="00CB1693">
              <w:rPr>
                <w:rFonts w:ascii="Times New Roman" w:eastAsia="Times New Roman" w:hAnsi="Times New Roman"/>
                <w:i/>
                <w:iCs/>
                <w:color w:val="000000"/>
                <w:lang w:val="el-GR"/>
              </w:rPr>
              <w:t xml:space="preserve"> </w:t>
            </w:r>
          </w:p>
        </w:tc>
        <w:tc>
          <w:tcPr>
            <w:tcW w:w="730" w:type="pct"/>
            <w:tcBorders>
              <w:top w:val="outset" w:sz="6" w:space="0" w:color="auto"/>
              <w:left w:val="outset" w:sz="6" w:space="0" w:color="auto"/>
              <w:bottom w:val="outset" w:sz="6" w:space="0" w:color="auto"/>
              <w:right w:val="outset" w:sz="6" w:space="0" w:color="auto"/>
            </w:tcBorders>
          </w:tcPr>
          <w:p w:rsidR="00A53ED7" w:rsidRPr="00940C2A" w:rsidRDefault="00940C2A" w:rsidP="00AC1E02">
            <w:pPr>
              <w:spacing w:before="100" w:beforeAutospacing="1" w:after="75" w:line="360" w:lineRule="auto"/>
              <w:jc w:val="both"/>
              <w:rPr>
                <w:rFonts w:ascii="Times New Roman" w:eastAsia="Times New Roman" w:hAnsi="Times New Roman"/>
                <w:color w:val="000000"/>
                <w:lang w:val="el-GR"/>
              </w:rPr>
            </w:pPr>
            <w:r w:rsidRPr="00940C2A">
              <w:rPr>
                <w:rFonts w:ascii="Times New Roman" w:eastAsia="Times New Roman" w:hAnsi="Times New Roman"/>
                <w:color w:val="000000"/>
              </w:rPr>
              <w:t>Μυαλγία</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940C2A" w:rsidRDefault="00940C2A" w:rsidP="00AC1E02">
            <w:pPr>
              <w:spacing w:before="100" w:beforeAutospacing="1" w:after="75" w:line="360" w:lineRule="auto"/>
              <w:jc w:val="both"/>
              <w:rPr>
                <w:rFonts w:ascii="Times New Roman" w:eastAsia="Times New Roman" w:hAnsi="Times New Roman"/>
                <w:color w:val="000000"/>
                <w:lang w:val="el-GR"/>
              </w:rPr>
            </w:pPr>
            <w:r w:rsidRPr="00940C2A">
              <w:rPr>
                <w:rFonts w:ascii="Times New Roman" w:eastAsia="Times New Roman" w:hAnsi="Times New Roman"/>
                <w:color w:val="000000"/>
                <w:lang w:val="el-GR"/>
              </w:rPr>
              <w:t>Μυοπάθεια</w:t>
            </w:r>
            <w:r>
              <w:rPr>
                <w:rFonts w:ascii="Times New Roman" w:eastAsia="Times New Roman" w:hAnsi="Times New Roman"/>
                <w:color w:val="000000"/>
                <w:lang w:val="el-GR"/>
              </w:rPr>
              <w:t xml:space="preserve"> </w:t>
            </w:r>
            <w:r w:rsidRPr="00940C2A">
              <w:rPr>
                <w:rFonts w:ascii="Times New Roman" w:eastAsia="Times New Roman" w:hAnsi="Times New Roman"/>
                <w:color w:val="000000"/>
                <w:lang w:val="el-GR"/>
              </w:rPr>
              <w:t>(συμπεριλαμβανο</w:t>
            </w:r>
            <w:r>
              <w:rPr>
                <w:rFonts w:ascii="Times New Roman" w:eastAsia="Times New Roman" w:hAnsi="Times New Roman"/>
                <w:color w:val="000000"/>
                <w:lang w:val="el-GR"/>
              </w:rPr>
              <w:t>-</w:t>
            </w:r>
            <w:r w:rsidRPr="00940C2A">
              <w:rPr>
                <w:rFonts w:ascii="Times New Roman" w:eastAsia="Times New Roman" w:hAnsi="Times New Roman"/>
                <w:color w:val="000000"/>
                <w:lang w:val="el-GR"/>
              </w:rPr>
              <w:t>μένης της μυοσίτιδας)</w:t>
            </w:r>
          </w:p>
          <w:p w:rsidR="00A53ED7" w:rsidRPr="00940C2A" w:rsidRDefault="00940C2A" w:rsidP="00940C2A">
            <w:pPr>
              <w:spacing w:before="100" w:beforeAutospacing="1" w:after="75" w:line="360" w:lineRule="auto"/>
              <w:jc w:val="both"/>
              <w:rPr>
                <w:rFonts w:ascii="Times New Roman" w:eastAsia="Times New Roman" w:hAnsi="Times New Roman"/>
                <w:color w:val="000000"/>
                <w:lang w:val="el-GR"/>
              </w:rPr>
            </w:pPr>
            <w:r w:rsidRPr="00940C2A">
              <w:rPr>
                <w:rFonts w:ascii="Times New Roman" w:eastAsia="Times New Roman" w:hAnsi="Times New Roman"/>
                <w:color w:val="000000"/>
                <w:lang w:val="el-GR"/>
              </w:rPr>
              <w:t>Ραβδομυόλυση</w:t>
            </w:r>
            <w:r w:rsidR="00A53ED7" w:rsidRPr="00940C2A">
              <w:rPr>
                <w:rFonts w:ascii="Times New Roman" w:eastAsia="Times New Roman" w:hAnsi="Times New Roman"/>
                <w:color w:val="000000"/>
                <w:lang w:val="el-GR"/>
              </w:rPr>
              <w:t xml:space="preserve">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2342A0"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rPr>
              <w:t>Αρθραλγί</w:t>
            </w:r>
            <w:r>
              <w:rPr>
                <w:rFonts w:ascii="Times New Roman" w:eastAsia="Times New Roman" w:hAnsi="Times New Roman"/>
                <w:color w:val="000000"/>
                <w:lang w:val="el-GR"/>
              </w:rPr>
              <w:t>α</w:t>
            </w:r>
            <w:r w:rsidR="00A53ED7" w:rsidRPr="00AC1E02">
              <w:rPr>
                <w:rFonts w:ascii="Times New Roman" w:eastAsia="Times New Roman" w:hAnsi="Times New Roman"/>
                <w:color w:val="000000"/>
              </w:rPr>
              <w:t xml:space="preserve">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FC0051" w:rsidP="00FC0051">
            <w:pPr>
              <w:spacing w:before="100" w:beforeAutospacing="1" w:after="75" w:line="360" w:lineRule="auto"/>
              <w:jc w:val="both"/>
              <w:rPr>
                <w:rFonts w:ascii="Times New Roman" w:eastAsia="Times New Roman" w:hAnsi="Times New Roman"/>
                <w:color w:val="000000"/>
              </w:rPr>
            </w:pPr>
            <w:r w:rsidRPr="00FC0051">
              <w:rPr>
                <w:rFonts w:ascii="Times New Roman" w:eastAsia="Times New Roman" w:hAnsi="Times New Roman"/>
                <w:color w:val="000000"/>
              </w:rPr>
              <w:t>Ανοσοδιαμεσολα</w:t>
            </w:r>
            <w:r>
              <w:rPr>
                <w:rFonts w:ascii="Times New Roman" w:eastAsia="Times New Roman" w:hAnsi="Times New Roman"/>
                <w:color w:val="000000"/>
                <w:lang w:val="el-GR"/>
              </w:rPr>
              <w:t>-</w:t>
            </w:r>
            <w:r w:rsidRPr="00FC0051">
              <w:rPr>
                <w:rFonts w:ascii="Times New Roman" w:eastAsia="Times New Roman" w:hAnsi="Times New Roman"/>
                <w:color w:val="000000"/>
              </w:rPr>
              <w:t>βούμενη νεκρωτική μυοπάθεια</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B172F2" w:rsidRDefault="00B172F2" w:rsidP="00AC1E02">
            <w:pPr>
              <w:spacing w:before="100" w:beforeAutospacing="1" w:after="75" w:line="360" w:lineRule="auto"/>
              <w:jc w:val="both"/>
              <w:rPr>
                <w:rFonts w:ascii="Times New Roman" w:eastAsia="Times New Roman" w:hAnsi="Times New Roman"/>
                <w:color w:val="000000"/>
                <w:lang w:val="el-GR"/>
              </w:rPr>
            </w:pPr>
            <w:r w:rsidRPr="00B172F2">
              <w:rPr>
                <w:rFonts w:ascii="Times New Roman" w:eastAsia="Times New Roman" w:hAnsi="Times New Roman"/>
                <w:i/>
                <w:iCs/>
                <w:color w:val="000000"/>
                <w:lang w:val="el-GR"/>
              </w:rPr>
              <w:t>Διαταραχές των νεφρών και του ουροποιητικού</w:t>
            </w:r>
          </w:p>
        </w:tc>
        <w:tc>
          <w:tcPr>
            <w:tcW w:w="730" w:type="pct"/>
            <w:tcBorders>
              <w:top w:val="outset" w:sz="6" w:space="0" w:color="auto"/>
              <w:left w:val="outset" w:sz="6" w:space="0" w:color="auto"/>
              <w:bottom w:val="outset" w:sz="6" w:space="0" w:color="auto"/>
              <w:right w:val="outset" w:sz="6" w:space="0" w:color="auto"/>
            </w:tcBorders>
          </w:tcPr>
          <w:p w:rsidR="00A53ED7" w:rsidRPr="00B172F2"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B172F2"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B172F2"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2342A0" w:rsidP="00AC1E02">
            <w:pPr>
              <w:spacing w:before="100" w:beforeAutospacing="1" w:after="75" w:line="360" w:lineRule="auto"/>
              <w:jc w:val="both"/>
              <w:rPr>
                <w:rFonts w:ascii="Times New Roman" w:eastAsia="Times New Roman" w:hAnsi="Times New Roman"/>
                <w:color w:val="000000"/>
              </w:rPr>
            </w:pPr>
            <w:r w:rsidRPr="002342A0">
              <w:rPr>
                <w:rFonts w:ascii="Times New Roman" w:eastAsia="Times New Roman" w:hAnsi="Times New Roman"/>
                <w:color w:val="000000"/>
              </w:rPr>
              <w:t>Αιματουρία</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B8735C" w:rsidRDefault="00B8735C" w:rsidP="00B8735C">
            <w:pPr>
              <w:spacing w:before="100" w:beforeAutospacing="1" w:after="75" w:line="360" w:lineRule="auto"/>
              <w:jc w:val="both"/>
              <w:rPr>
                <w:rFonts w:ascii="Times New Roman" w:eastAsia="Times New Roman" w:hAnsi="Times New Roman"/>
                <w:color w:val="000000"/>
                <w:lang w:val="el-GR"/>
              </w:rPr>
            </w:pPr>
            <w:r w:rsidRPr="00B8735C">
              <w:rPr>
                <w:rFonts w:ascii="Times New Roman" w:eastAsia="Times New Roman" w:hAnsi="Times New Roman"/>
                <w:i/>
                <w:iCs/>
                <w:color w:val="000000"/>
                <w:lang w:val="el-GR"/>
              </w:rPr>
              <w:t>Διαταραχές του</w:t>
            </w:r>
            <w:r>
              <w:rPr>
                <w:rFonts w:ascii="Times New Roman" w:eastAsia="Times New Roman" w:hAnsi="Times New Roman"/>
                <w:i/>
                <w:iCs/>
                <w:color w:val="000000"/>
                <w:lang w:val="el-GR"/>
              </w:rPr>
              <w:t xml:space="preserve"> </w:t>
            </w:r>
            <w:r w:rsidRPr="00B8735C">
              <w:rPr>
                <w:rFonts w:ascii="Times New Roman" w:eastAsia="Times New Roman" w:hAnsi="Times New Roman"/>
                <w:i/>
                <w:iCs/>
                <w:color w:val="000000"/>
                <w:lang w:val="el-GR"/>
              </w:rPr>
              <w:t>αναπαραγωγικού</w:t>
            </w:r>
            <w:r>
              <w:rPr>
                <w:rFonts w:ascii="Times New Roman" w:eastAsia="Times New Roman" w:hAnsi="Times New Roman"/>
                <w:i/>
                <w:iCs/>
                <w:color w:val="000000"/>
                <w:lang w:val="el-GR"/>
              </w:rPr>
              <w:t xml:space="preserve"> </w:t>
            </w:r>
            <w:r w:rsidRPr="00B8735C">
              <w:rPr>
                <w:rFonts w:ascii="Times New Roman" w:eastAsia="Times New Roman" w:hAnsi="Times New Roman"/>
                <w:i/>
                <w:iCs/>
                <w:color w:val="000000"/>
                <w:lang w:val="el-GR"/>
              </w:rPr>
              <w:t>συστήματος και</w:t>
            </w:r>
            <w:r>
              <w:rPr>
                <w:rFonts w:ascii="Times New Roman" w:eastAsia="Times New Roman" w:hAnsi="Times New Roman"/>
                <w:i/>
                <w:iCs/>
                <w:color w:val="000000"/>
                <w:lang w:val="el-GR"/>
              </w:rPr>
              <w:t xml:space="preserve"> </w:t>
            </w:r>
            <w:r w:rsidRPr="00B8735C">
              <w:rPr>
                <w:rFonts w:ascii="Times New Roman" w:eastAsia="Times New Roman" w:hAnsi="Times New Roman"/>
                <w:i/>
                <w:iCs/>
                <w:color w:val="000000"/>
                <w:lang w:val="el-GR"/>
              </w:rPr>
              <w:t>των μαστών</w:t>
            </w:r>
          </w:p>
        </w:tc>
        <w:tc>
          <w:tcPr>
            <w:tcW w:w="730" w:type="pct"/>
            <w:tcBorders>
              <w:top w:val="outset" w:sz="6" w:space="0" w:color="auto"/>
              <w:left w:val="outset" w:sz="6" w:space="0" w:color="auto"/>
              <w:bottom w:val="outset" w:sz="6" w:space="0" w:color="auto"/>
              <w:right w:val="outset" w:sz="6" w:space="0" w:color="auto"/>
            </w:tcBorders>
          </w:tcPr>
          <w:p w:rsidR="00A53ED7" w:rsidRPr="00B8735C"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656" w:type="pct"/>
            <w:tcBorders>
              <w:top w:val="outset" w:sz="6" w:space="0" w:color="auto"/>
              <w:left w:val="outset" w:sz="6" w:space="0" w:color="auto"/>
              <w:bottom w:val="outset" w:sz="6" w:space="0" w:color="auto"/>
              <w:right w:val="outset" w:sz="6" w:space="0" w:color="auto"/>
            </w:tcBorders>
          </w:tcPr>
          <w:p w:rsidR="00A53ED7" w:rsidRPr="00B8735C"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B8735C" w:rsidRDefault="00A53ED7" w:rsidP="00AC1E02">
            <w:pPr>
              <w:spacing w:after="0" w:line="360" w:lineRule="auto"/>
              <w:jc w:val="both"/>
              <w:rPr>
                <w:rFonts w:ascii="Times New Roman" w:eastAsia="Times New Roman" w:hAnsi="Times New Roman"/>
                <w:color w:val="000000"/>
                <w:lang w:val="el-GR"/>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6B4F81" w:rsidP="00AC1E02">
            <w:pPr>
              <w:spacing w:before="100" w:beforeAutospacing="1" w:after="75" w:line="360" w:lineRule="auto"/>
              <w:jc w:val="both"/>
              <w:rPr>
                <w:rFonts w:ascii="Times New Roman" w:eastAsia="Times New Roman" w:hAnsi="Times New Roman"/>
                <w:color w:val="000000"/>
              </w:rPr>
            </w:pPr>
            <w:r w:rsidRPr="006B4F81">
              <w:rPr>
                <w:rFonts w:ascii="Times New Roman" w:eastAsia="Times New Roman" w:hAnsi="Times New Roman"/>
                <w:color w:val="000000"/>
              </w:rPr>
              <w:t>Γυναικομαστία</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r>
      <w:tr w:rsidR="00D40F6F" w:rsidRPr="00AC1E02" w:rsidTr="00561031">
        <w:trPr>
          <w:tblCellSpacing w:w="0" w:type="dxa"/>
        </w:trPr>
        <w:tc>
          <w:tcPr>
            <w:tcW w:w="914" w:type="pct"/>
            <w:tcBorders>
              <w:top w:val="outset" w:sz="6" w:space="0" w:color="auto"/>
              <w:left w:val="outset" w:sz="6" w:space="0" w:color="auto"/>
              <w:bottom w:val="outset" w:sz="6" w:space="0" w:color="auto"/>
              <w:right w:val="outset" w:sz="6" w:space="0" w:color="auto"/>
            </w:tcBorders>
          </w:tcPr>
          <w:p w:rsidR="00A53ED7" w:rsidRPr="006C3180" w:rsidRDefault="00342597" w:rsidP="00342597">
            <w:pPr>
              <w:spacing w:before="100" w:beforeAutospacing="1" w:after="75" w:line="360" w:lineRule="auto"/>
              <w:jc w:val="both"/>
              <w:rPr>
                <w:rFonts w:ascii="Times New Roman" w:eastAsia="Times New Roman" w:hAnsi="Times New Roman"/>
                <w:color w:val="000000"/>
                <w:lang w:val="el-GR"/>
              </w:rPr>
            </w:pPr>
            <w:r w:rsidRPr="00342597">
              <w:rPr>
                <w:rFonts w:ascii="Times New Roman" w:eastAsia="Times New Roman" w:hAnsi="Times New Roman"/>
                <w:i/>
                <w:iCs/>
                <w:color w:val="000000"/>
                <w:lang w:val="el-GR"/>
              </w:rPr>
              <w:t>Γενικές διαταραχές</w:t>
            </w:r>
            <w:r>
              <w:rPr>
                <w:rFonts w:ascii="Times New Roman" w:eastAsia="Times New Roman" w:hAnsi="Times New Roman"/>
                <w:i/>
                <w:iCs/>
                <w:color w:val="000000"/>
                <w:lang w:val="el-GR"/>
              </w:rPr>
              <w:t xml:space="preserve"> </w:t>
            </w:r>
            <w:r w:rsidRPr="00342597">
              <w:rPr>
                <w:rFonts w:ascii="Times New Roman" w:eastAsia="Times New Roman" w:hAnsi="Times New Roman"/>
                <w:i/>
                <w:iCs/>
                <w:color w:val="000000"/>
                <w:lang w:val="el-GR"/>
              </w:rPr>
              <w:t>και καταστάσεις</w:t>
            </w:r>
            <w:r>
              <w:rPr>
                <w:rFonts w:ascii="Times New Roman" w:eastAsia="Times New Roman" w:hAnsi="Times New Roman"/>
                <w:i/>
                <w:iCs/>
                <w:color w:val="000000"/>
                <w:lang w:val="el-GR"/>
              </w:rPr>
              <w:t xml:space="preserve"> </w:t>
            </w:r>
            <w:r w:rsidRPr="00342597">
              <w:rPr>
                <w:rFonts w:ascii="Times New Roman" w:eastAsia="Times New Roman" w:hAnsi="Times New Roman"/>
                <w:i/>
                <w:iCs/>
                <w:color w:val="000000"/>
                <w:lang w:val="el-GR"/>
              </w:rPr>
              <w:lastRenderedPageBreak/>
              <w:t>ανάλογα με την</w:t>
            </w:r>
            <w:r>
              <w:rPr>
                <w:rFonts w:ascii="Times New Roman" w:eastAsia="Times New Roman" w:hAnsi="Times New Roman"/>
                <w:i/>
                <w:iCs/>
                <w:color w:val="000000"/>
                <w:lang w:val="el-GR"/>
              </w:rPr>
              <w:t xml:space="preserve"> </w:t>
            </w:r>
            <w:r w:rsidRPr="006C3180">
              <w:rPr>
                <w:rFonts w:ascii="Times New Roman" w:eastAsia="Times New Roman" w:hAnsi="Times New Roman"/>
                <w:i/>
                <w:iCs/>
                <w:color w:val="000000"/>
                <w:lang w:val="el-GR"/>
              </w:rPr>
              <w:t>χορήγηση</w:t>
            </w:r>
          </w:p>
        </w:tc>
        <w:tc>
          <w:tcPr>
            <w:tcW w:w="730" w:type="pct"/>
            <w:tcBorders>
              <w:top w:val="outset" w:sz="6" w:space="0" w:color="auto"/>
              <w:left w:val="outset" w:sz="6" w:space="0" w:color="auto"/>
              <w:bottom w:val="outset" w:sz="6" w:space="0" w:color="auto"/>
              <w:right w:val="outset" w:sz="6" w:space="0" w:color="auto"/>
            </w:tcBorders>
          </w:tcPr>
          <w:p w:rsidR="00A53ED7" w:rsidRPr="00AC1E02" w:rsidRDefault="00F9622D" w:rsidP="00AC1E02">
            <w:pPr>
              <w:spacing w:before="100" w:beforeAutospacing="1" w:after="75" w:line="360" w:lineRule="auto"/>
              <w:jc w:val="both"/>
              <w:rPr>
                <w:rFonts w:ascii="Times New Roman" w:eastAsia="Times New Roman" w:hAnsi="Times New Roman"/>
                <w:color w:val="000000"/>
              </w:rPr>
            </w:pPr>
            <w:r>
              <w:rPr>
                <w:rFonts w:ascii="Times New Roman" w:eastAsia="Times New Roman" w:hAnsi="Times New Roman"/>
                <w:color w:val="000000"/>
                <w:lang w:val="el-GR"/>
              </w:rPr>
              <w:lastRenderedPageBreak/>
              <w:t>Ασθένεια</w:t>
            </w:r>
            <w:r w:rsidR="00A53ED7" w:rsidRPr="00AC1E02">
              <w:rPr>
                <w:rFonts w:ascii="Times New Roman" w:eastAsia="Times New Roman" w:hAnsi="Times New Roman"/>
                <w:color w:val="000000"/>
              </w:rPr>
              <w:t xml:space="preserve"> </w:t>
            </w:r>
          </w:p>
        </w:tc>
        <w:tc>
          <w:tcPr>
            <w:tcW w:w="656"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9"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803" w:type="pct"/>
            <w:tcBorders>
              <w:top w:val="outset" w:sz="6" w:space="0" w:color="auto"/>
              <w:left w:val="outset" w:sz="6" w:space="0" w:color="auto"/>
              <w:bottom w:val="outset" w:sz="6" w:space="0" w:color="auto"/>
              <w:right w:val="outset" w:sz="6" w:space="0" w:color="auto"/>
            </w:tcBorders>
          </w:tcPr>
          <w:p w:rsidR="00A53ED7" w:rsidRPr="00AC1E02" w:rsidRDefault="00A53ED7" w:rsidP="00AC1E02">
            <w:pPr>
              <w:spacing w:after="0" w:line="360" w:lineRule="auto"/>
              <w:jc w:val="both"/>
              <w:rPr>
                <w:rFonts w:ascii="Times New Roman" w:eastAsia="Times New Roman" w:hAnsi="Times New Roman"/>
                <w:color w:val="000000"/>
              </w:rPr>
            </w:pPr>
            <w:r w:rsidRPr="00AC1E02">
              <w:rPr>
                <w:rFonts w:ascii="Times New Roman" w:eastAsia="Times New Roman" w:hAnsi="Times New Roman"/>
                <w:color w:val="000000"/>
              </w:rPr>
              <w:t> </w:t>
            </w:r>
          </w:p>
        </w:tc>
        <w:tc>
          <w:tcPr>
            <w:tcW w:w="948" w:type="pct"/>
            <w:tcBorders>
              <w:top w:val="outset" w:sz="6" w:space="0" w:color="auto"/>
              <w:left w:val="outset" w:sz="6" w:space="0" w:color="auto"/>
              <w:bottom w:val="outset" w:sz="6" w:space="0" w:color="auto"/>
              <w:right w:val="outset" w:sz="6" w:space="0" w:color="auto"/>
            </w:tcBorders>
          </w:tcPr>
          <w:p w:rsidR="00A53ED7" w:rsidRPr="00AC1E02" w:rsidRDefault="006C3180" w:rsidP="00AC1E02">
            <w:pPr>
              <w:spacing w:before="100" w:beforeAutospacing="1" w:after="75" w:line="360" w:lineRule="auto"/>
              <w:jc w:val="both"/>
              <w:rPr>
                <w:rFonts w:ascii="Times New Roman" w:eastAsia="Times New Roman" w:hAnsi="Times New Roman"/>
                <w:color w:val="000000"/>
              </w:rPr>
            </w:pPr>
            <w:r w:rsidRPr="006C3180">
              <w:rPr>
                <w:rFonts w:ascii="Times New Roman" w:eastAsia="Times New Roman" w:hAnsi="Times New Roman"/>
                <w:color w:val="000000"/>
              </w:rPr>
              <w:t>Οίδημα</w:t>
            </w:r>
          </w:p>
        </w:tc>
      </w:tr>
      <w:tr w:rsidR="00A53ED7" w:rsidRPr="004E55FB" w:rsidTr="00D40F6F">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A53ED7" w:rsidRPr="004E55FB" w:rsidRDefault="00A53ED7" w:rsidP="006A6F59">
            <w:pPr>
              <w:spacing w:before="100" w:beforeAutospacing="1" w:after="75" w:line="360" w:lineRule="auto"/>
              <w:jc w:val="both"/>
              <w:rPr>
                <w:rFonts w:ascii="Times New Roman" w:eastAsia="Times New Roman" w:hAnsi="Times New Roman"/>
                <w:color w:val="000000"/>
                <w:lang w:val="el-GR"/>
              </w:rPr>
            </w:pPr>
            <w:r w:rsidRPr="004E55FB">
              <w:rPr>
                <w:rFonts w:ascii="Times New Roman" w:eastAsia="Times New Roman" w:hAnsi="Times New Roman"/>
                <w:color w:val="000000"/>
                <w:vertAlign w:val="superscript"/>
                <w:lang w:val="el-GR"/>
              </w:rPr>
              <w:lastRenderedPageBreak/>
              <w:t xml:space="preserve">1 </w:t>
            </w:r>
            <w:r w:rsidR="006A6F59">
              <w:rPr>
                <w:rFonts w:ascii="Times New Roman" w:eastAsia="Times New Roman" w:hAnsi="Times New Roman"/>
                <w:color w:val="000000"/>
                <w:lang w:val="el-GR"/>
              </w:rPr>
              <w:t>Η</w:t>
            </w:r>
            <w:r w:rsidR="006A6F59" w:rsidRPr="004E55FB">
              <w:rPr>
                <w:rFonts w:ascii="Times New Roman" w:eastAsia="Times New Roman" w:hAnsi="Times New Roman"/>
                <w:color w:val="000000"/>
                <w:lang w:val="el-GR"/>
              </w:rPr>
              <w:t xml:space="preserve"> </w:t>
            </w:r>
            <w:r w:rsidR="006A6F59">
              <w:rPr>
                <w:rFonts w:ascii="Times New Roman" w:eastAsia="Times New Roman" w:hAnsi="Times New Roman"/>
                <w:color w:val="000000"/>
                <w:lang w:val="el-GR"/>
              </w:rPr>
              <w:t>σ</w:t>
            </w:r>
            <w:r w:rsidR="006A6F59" w:rsidRPr="004E55FB">
              <w:rPr>
                <w:rFonts w:ascii="Times New Roman" w:eastAsia="Times New Roman" w:hAnsi="Times New Roman"/>
                <w:color w:val="000000"/>
                <w:lang w:val="el-GR"/>
              </w:rPr>
              <w:t xml:space="preserve">υχνότητα θα εξαρτηθεί από την παρουσία ή την απουσία των παραγόντων κινδύνου (γλυκόζη αίματος νηστείας ≥ 5,6 </w:t>
            </w:r>
            <w:r w:rsidR="006A6F59" w:rsidRPr="006A6F59">
              <w:rPr>
                <w:rFonts w:ascii="Times New Roman" w:eastAsia="Times New Roman" w:hAnsi="Times New Roman"/>
                <w:color w:val="000000"/>
              </w:rPr>
              <w:t>mmol</w:t>
            </w:r>
            <w:r w:rsidR="006A6F59" w:rsidRPr="004E55FB">
              <w:rPr>
                <w:rFonts w:ascii="Times New Roman" w:eastAsia="Times New Roman" w:hAnsi="Times New Roman"/>
                <w:color w:val="000000"/>
                <w:lang w:val="el-GR"/>
              </w:rPr>
              <w:t>/</w:t>
            </w:r>
            <w:r w:rsidR="006A6F59" w:rsidRPr="006A6F59">
              <w:rPr>
                <w:rFonts w:ascii="Times New Roman" w:eastAsia="Times New Roman" w:hAnsi="Times New Roman"/>
                <w:color w:val="000000"/>
              </w:rPr>
              <w:t>L</w:t>
            </w:r>
            <w:r w:rsidR="006A6F59" w:rsidRPr="004E55FB">
              <w:rPr>
                <w:rFonts w:ascii="Times New Roman" w:eastAsia="Times New Roman" w:hAnsi="Times New Roman"/>
                <w:color w:val="000000"/>
                <w:lang w:val="el-GR"/>
              </w:rPr>
              <w:t xml:space="preserve">, ΒΜΙ&gt; 30 </w:t>
            </w:r>
            <w:r w:rsidR="006A6F59" w:rsidRPr="006A6F59">
              <w:rPr>
                <w:rFonts w:ascii="Times New Roman" w:eastAsia="Times New Roman" w:hAnsi="Times New Roman"/>
                <w:color w:val="000000"/>
              </w:rPr>
              <w:t>kg</w:t>
            </w:r>
            <w:r w:rsidR="006A6F59" w:rsidRPr="004E55FB">
              <w:rPr>
                <w:rFonts w:ascii="Times New Roman" w:eastAsia="Times New Roman" w:hAnsi="Times New Roman"/>
                <w:color w:val="000000"/>
                <w:lang w:val="el-GR"/>
              </w:rPr>
              <w:t>/</w:t>
            </w:r>
            <w:r w:rsidR="006A6F59" w:rsidRPr="006A6F59">
              <w:rPr>
                <w:rFonts w:ascii="Times New Roman" w:eastAsia="Times New Roman" w:hAnsi="Times New Roman"/>
                <w:color w:val="000000"/>
              </w:rPr>
              <w:t>m</w:t>
            </w:r>
            <w:r w:rsidR="006A6F59" w:rsidRPr="004E55FB">
              <w:rPr>
                <w:rFonts w:ascii="Times New Roman" w:eastAsia="Times New Roman" w:hAnsi="Times New Roman"/>
                <w:color w:val="000000"/>
                <w:lang w:val="el-GR"/>
              </w:rPr>
              <w:t xml:space="preserve">2, </w:t>
            </w:r>
            <w:r w:rsidR="006A6F59">
              <w:rPr>
                <w:rFonts w:ascii="Times New Roman" w:eastAsia="Times New Roman" w:hAnsi="Times New Roman"/>
                <w:color w:val="000000"/>
                <w:lang w:val="el-GR"/>
              </w:rPr>
              <w:t>αυξημένα</w:t>
            </w:r>
            <w:r w:rsidR="006A6F59" w:rsidRPr="004E55FB">
              <w:rPr>
                <w:rFonts w:ascii="Times New Roman" w:eastAsia="Times New Roman" w:hAnsi="Times New Roman"/>
                <w:color w:val="000000"/>
                <w:lang w:val="el-GR"/>
              </w:rPr>
              <w:t xml:space="preserve"> τριγλυκερίδια, ιστορικό υπέρτασης)</w:t>
            </w:r>
            <w:r w:rsidRPr="004E55FB">
              <w:rPr>
                <w:rFonts w:ascii="Times New Roman" w:eastAsia="Times New Roman" w:hAnsi="Times New Roman"/>
                <w:color w:val="000000"/>
                <w:lang w:val="el-GR"/>
              </w:rPr>
              <w:t xml:space="preserve">. </w:t>
            </w:r>
          </w:p>
        </w:tc>
      </w:tr>
    </w:tbl>
    <w:p w:rsidR="00CD5495" w:rsidRPr="004E55FB" w:rsidRDefault="004E55FB" w:rsidP="003170C4">
      <w:pPr>
        <w:spacing w:before="100" w:beforeAutospacing="1" w:after="75" w:line="360" w:lineRule="auto"/>
        <w:jc w:val="both"/>
        <w:rPr>
          <w:rFonts w:ascii="Times New Roman" w:eastAsia="Times New Roman" w:hAnsi="Times New Roman"/>
          <w:lang w:val="el-GR"/>
        </w:rPr>
      </w:pPr>
      <w:r w:rsidRPr="004E55FB">
        <w:rPr>
          <w:rFonts w:ascii="Times New Roman" w:eastAsia="Times New Roman" w:hAnsi="Times New Roman"/>
          <w:lang w:val="el-GR"/>
        </w:rPr>
        <w:t xml:space="preserve">Όπως </w:t>
      </w:r>
      <w:r>
        <w:rPr>
          <w:rFonts w:ascii="Times New Roman" w:eastAsia="Times New Roman" w:hAnsi="Times New Roman"/>
          <w:lang w:val="el-GR"/>
        </w:rPr>
        <w:t xml:space="preserve">συμβαίνει </w:t>
      </w:r>
      <w:r w:rsidRPr="004E55FB">
        <w:rPr>
          <w:rFonts w:ascii="Times New Roman" w:eastAsia="Times New Roman" w:hAnsi="Times New Roman"/>
          <w:lang w:val="el-GR"/>
        </w:rPr>
        <w:t xml:space="preserve">και με </w:t>
      </w:r>
      <w:r>
        <w:rPr>
          <w:rFonts w:ascii="Times New Roman" w:eastAsia="Times New Roman" w:hAnsi="Times New Roman"/>
          <w:lang w:val="el-GR"/>
        </w:rPr>
        <w:t xml:space="preserve">τους </w:t>
      </w:r>
      <w:r w:rsidRPr="004E55FB">
        <w:rPr>
          <w:rFonts w:ascii="Times New Roman" w:eastAsia="Times New Roman" w:hAnsi="Times New Roman"/>
          <w:lang w:val="el-GR"/>
        </w:rPr>
        <w:t xml:space="preserve">άλλους αναστολείς της </w:t>
      </w:r>
      <w:r w:rsidRPr="004E55FB">
        <w:rPr>
          <w:rFonts w:ascii="Times New Roman" w:eastAsia="Times New Roman" w:hAnsi="Times New Roman"/>
        </w:rPr>
        <w:t>HMG</w:t>
      </w:r>
      <w:r w:rsidRPr="004E55FB">
        <w:rPr>
          <w:rFonts w:ascii="Times New Roman" w:eastAsia="Times New Roman" w:hAnsi="Times New Roman"/>
          <w:lang w:val="el-GR"/>
        </w:rPr>
        <w:t>-</w:t>
      </w:r>
      <w:r w:rsidRPr="004E55FB">
        <w:rPr>
          <w:rFonts w:ascii="Times New Roman" w:eastAsia="Times New Roman" w:hAnsi="Times New Roman"/>
        </w:rPr>
        <w:t>CoA</w:t>
      </w:r>
      <w:r w:rsidRPr="004E55FB">
        <w:rPr>
          <w:rFonts w:ascii="Times New Roman" w:eastAsia="Times New Roman" w:hAnsi="Times New Roman"/>
          <w:lang w:val="el-GR"/>
        </w:rPr>
        <w:t xml:space="preserve"> αναγωγάσης, η συχνότητα των ανεπιθύμητων ενεργειών τείνει να είναι δοσοεξαρτώμενη</w:t>
      </w:r>
      <w:r w:rsidR="00CD5495" w:rsidRPr="004E55FB">
        <w:rPr>
          <w:rFonts w:ascii="Times New Roman" w:eastAsia="Times New Roman" w:hAnsi="Times New Roman"/>
          <w:lang w:val="el-GR"/>
        </w:rPr>
        <w:t xml:space="preserve">. </w:t>
      </w:r>
    </w:p>
    <w:p w:rsidR="004E55FB" w:rsidRPr="004E55FB" w:rsidRDefault="004F7CC3" w:rsidP="004E55FB">
      <w:pPr>
        <w:spacing w:before="100" w:beforeAutospacing="1" w:after="75" w:line="360" w:lineRule="auto"/>
        <w:jc w:val="both"/>
        <w:rPr>
          <w:rFonts w:ascii="Times New Roman" w:eastAsia="Times New Roman" w:hAnsi="Times New Roman"/>
          <w:bCs/>
          <w:lang w:val="el-GR"/>
        </w:rPr>
      </w:pPr>
      <w:r w:rsidRPr="004E55FB">
        <w:rPr>
          <w:rFonts w:ascii="Times New Roman" w:eastAsia="Times New Roman" w:hAnsi="Times New Roman"/>
          <w:b/>
          <w:bCs/>
          <w:lang w:val="el-GR"/>
        </w:rPr>
        <w:t>Επιδράσεις στους νεφρούς</w:t>
      </w:r>
      <w:r w:rsidR="00CD5495" w:rsidRPr="004E55FB">
        <w:rPr>
          <w:rFonts w:ascii="Times New Roman" w:eastAsia="Times New Roman" w:hAnsi="Times New Roman"/>
          <w:b/>
          <w:bCs/>
          <w:lang w:val="el-GR"/>
        </w:rPr>
        <w:t xml:space="preserve">: </w:t>
      </w:r>
      <w:r w:rsidR="004E55FB" w:rsidRPr="004E55FB">
        <w:rPr>
          <w:rFonts w:ascii="Times New Roman" w:eastAsia="Times New Roman" w:hAnsi="Times New Roman"/>
          <w:bCs/>
          <w:lang w:val="el-GR"/>
        </w:rPr>
        <w:t>Πρωτεϊνουρία, που ανιχνεύεται με χρήση ταινιών (</w:t>
      </w:r>
      <w:r w:rsidR="004E55FB" w:rsidRPr="004E55FB">
        <w:rPr>
          <w:rFonts w:ascii="Times New Roman" w:eastAsia="Times New Roman" w:hAnsi="Times New Roman"/>
          <w:bCs/>
        </w:rPr>
        <w:t>dipstick</w:t>
      </w:r>
      <w:r w:rsidR="004E55FB" w:rsidRPr="004E55FB">
        <w:rPr>
          <w:rFonts w:ascii="Times New Roman" w:eastAsia="Times New Roman" w:hAnsi="Times New Roman"/>
          <w:bCs/>
          <w:lang w:val="el-GR"/>
        </w:rPr>
        <w:t xml:space="preserve">), και είναι κυρίως σωληναριακής προέλευσης, έχει παρατηρηθεί σε ασθενείς που έλαβαν ροσουβαστατίνη. Μεταβολές της πρωτεϊνουρίας από μηδέν ή ίχνη σε ++ ή περισσότερο, κάποια στιγμή στη διάρκεια της θεραπείας με 10 </w:t>
      </w:r>
      <w:r w:rsidR="004E55FB" w:rsidRPr="004E55FB">
        <w:rPr>
          <w:rFonts w:ascii="Times New Roman" w:eastAsia="Times New Roman" w:hAnsi="Times New Roman"/>
          <w:bCs/>
        </w:rPr>
        <w:t>mg</w:t>
      </w:r>
      <w:r w:rsidR="004E55FB" w:rsidRPr="004E55FB">
        <w:rPr>
          <w:rFonts w:ascii="Times New Roman" w:eastAsia="Times New Roman" w:hAnsi="Times New Roman"/>
          <w:bCs/>
          <w:lang w:val="el-GR"/>
        </w:rPr>
        <w:t xml:space="preserve"> ή 20 </w:t>
      </w:r>
      <w:r w:rsidR="004E55FB" w:rsidRPr="004E55FB">
        <w:rPr>
          <w:rFonts w:ascii="Times New Roman" w:eastAsia="Times New Roman" w:hAnsi="Times New Roman"/>
          <w:bCs/>
        </w:rPr>
        <w:t>mg</w:t>
      </w:r>
      <w:r w:rsidR="004E55FB" w:rsidRPr="004E55FB">
        <w:rPr>
          <w:rFonts w:ascii="Times New Roman" w:eastAsia="Times New Roman" w:hAnsi="Times New Roman"/>
          <w:bCs/>
          <w:lang w:val="el-GR"/>
        </w:rPr>
        <w:t xml:space="preserve"> ήταν &lt;1% και περίπου 3% με 40 </w:t>
      </w:r>
      <w:r w:rsidR="004E55FB" w:rsidRPr="004E55FB">
        <w:rPr>
          <w:rFonts w:ascii="Times New Roman" w:eastAsia="Times New Roman" w:hAnsi="Times New Roman"/>
          <w:bCs/>
        </w:rPr>
        <w:t>mg</w:t>
      </w:r>
      <w:r w:rsidR="004E55FB" w:rsidRPr="004E55FB">
        <w:rPr>
          <w:rFonts w:ascii="Times New Roman" w:eastAsia="Times New Roman" w:hAnsi="Times New Roman"/>
          <w:bCs/>
          <w:lang w:val="el-GR"/>
        </w:rPr>
        <w:t xml:space="preserve">. Μια μικρή αύξηση από μηδέν ή ίχνη σε + παρατηρήθηκε με τη δόση των 20 </w:t>
      </w:r>
      <w:r w:rsidR="004E55FB" w:rsidRPr="004E55FB">
        <w:rPr>
          <w:rFonts w:ascii="Times New Roman" w:eastAsia="Times New Roman" w:hAnsi="Times New Roman"/>
          <w:bCs/>
        </w:rPr>
        <w:t>mg</w:t>
      </w:r>
      <w:r w:rsidR="004E55FB" w:rsidRPr="004E55FB">
        <w:rPr>
          <w:rFonts w:ascii="Times New Roman" w:eastAsia="Times New Roman" w:hAnsi="Times New Roman"/>
          <w:bCs/>
          <w:lang w:val="el-GR"/>
        </w:rPr>
        <w:t>. Στις περισσότερες περιπτώσεις, η πρωτεϊνουρία ελαττώνεται ή εξαφανίζεται αυτόματα κατά τη συνεχιζόμενη θεραπεία. Η ανασκόπηση των δεδομένων κλινικών δοκιμών και η εμπειρία από την κυκλοφορία του προϊόντος μέχρι σήμερα δεν υποδηλώνουν ότι υπάρχει αιτιολογική συσχέτιση μεταξύ πρωτεϊνουρίας και οξείας ή επιδεινούμενης νεφρικής νόσου.</w:t>
      </w:r>
    </w:p>
    <w:p w:rsidR="004E55FB" w:rsidRPr="004E55FB" w:rsidRDefault="004E55FB" w:rsidP="004E55FB">
      <w:pPr>
        <w:spacing w:before="100" w:beforeAutospacing="1" w:after="75" w:line="360" w:lineRule="auto"/>
        <w:jc w:val="both"/>
        <w:rPr>
          <w:rFonts w:ascii="Times New Roman" w:eastAsia="Times New Roman" w:hAnsi="Times New Roman"/>
          <w:bCs/>
          <w:lang w:val="el-GR"/>
        </w:rPr>
      </w:pPr>
      <w:r w:rsidRPr="004E55FB">
        <w:rPr>
          <w:rFonts w:ascii="Times New Roman" w:eastAsia="Times New Roman" w:hAnsi="Times New Roman"/>
          <w:bCs/>
          <w:lang w:val="el-GR"/>
        </w:rPr>
        <w:t>Σε ασθενείς που έλαβαν θεραπεία με ροσουβαστατίνη έχει παρατηρηθεί αιματουρία και τα δεδομένα από κλινικές δοκιμές δείχνουν ότι η επίπτωση είναι μικρή.</w:t>
      </w:r>
    </w:p>
    <w:p w:rsidR="00C46FF8" w:rsidRPr="00C46FF8" w:rsidRDefault="008A60CF" w:rsidP="00C46FF8">
      <w:pPr>
        <w:spacing w:before="100" w:beforeAutospacing="1" w:after="75" w:line="360" w:lineRule="auto"/>
        <w:jc w:val="both"/>
        <w:rPr>
          <w:rFonts w:ascii="Times New Roman" w:eastAsia="Times New Roman" w:hAnsi="Times New Roman"/>
          <w:bCs/>
          <w:lang w:val="el-GR"/>
        </w:rPr>
      </w:pPr>
      <w:r w:rsidRPr="00C46FF8">
        <w:rPr>
          <w:rFonts w:ascii="Times New Roman" w:eastAsia="Times New Roman" w:hAnsi="Times New Roman"/>
          <w:b/>
          <w:bCs/>
          <w:lang w:val="el-GR"/>
        </w:rPr>
        <w:t>Επιδράσεις στους σκελετικούς μύες</w:t>
      </w:r>
      <w:r w:rsidR="00CD5495" w:rsidRPr="00C46FF8">
        <w:rPr>
          <w:rFonts w:ascii="Times New Roman" w:eastAsia="Times New Roman" w:hAnsi="Times New Roman"/>
          <w:b/>
          <w:bCs/>
          <w:lang w:val="el-GR"/>
        </w:rPr>
        <w:t xml:space="preserve">: </w:t>
      </w:r>
      <w:r w:rsidR="00C46FF8" w:rsidRPr="00C46FF8">
        <w:rPr>
          <w:rFonts w:ascii="Times New Roman" w:eastAsia="Times New Roman" w:hAnsi="Times New Roman"/>
          <w:bCs/>
          <w:lang w:val="el-GR"/>
        </w:rPr>
        <w:t xml:space="preserve">Σε ασθενείς που έλαβαν θεραπεία με ροσουβαστατίνη έχουν αναφερθεί επιδράσεις στους σκελετικούς μύες, π.χ. μυαλγία, μυοπάθεια (συμπεριλαμβανομένης της μυοσίτιδας) και σπάνια ραβδομυόλυση με και χωρίς οξεία νεφρική ανεπάρκεια, με όλες τις δόσεις και ιδιαίτερα με δόσεις &gt; 20 </w:t>
      </w:r>
      <w:r w:rsidR="00C46FF8" w:rsidRPr="00C46FF8">
        <w:rPr>
          <w:rFonts w:ascii="Times New Roman" w:eastAsia="Times New Roman" w:hAnsi="Times New Roman"/>
          <w:bCs/>
        </w:rPr>
        <w:t>mg</w:t>
      </w:r>
      <w:r w:rsidR="00C46FF8" w:rsidRPr="00C46FF8">
        <w:rPr>
          <w:rFonts w:ascii="Times New Roman" w:eastAsia="Times New Roman" w:hAnsi="Times New Roman"/>
          <w:bCs/>
          <w:lang w:val="el-GR"/>
        </w:rPr>
        <w:t>.</w:t>
      </w:r>
    </w:p>
    <w:p w:rsidR="00C46FF8" w:rsidRPr="00C46FF8" w:rsidRDefault="00C46FF8" w:rsidP="00C46FF8">
      <w:pPr>
        <w:spacing w:before="100" w:beforeAutospacing="1" w:after="75" w:line="360" w:lineRule="auto"/>
        <w:jc w:val="both"/>
        <w:rPr>
          <w:rFonts w:ascii="Times New Roman" w:eastAsia="Times New Roman" w:hAnsi="Times New Roman"/>
          <w:bCs/>
          <w:lang w:val="el-GR"/>
        </w:rPr>
      </w:pPr>
      <w:r w:rsidRPr="00C46FF8">
        <w:rPr>
          <w:rFonts w:ascii="Times New Roman" w:eastAsia="Times New Roman" w:hAnsi="Times New Roman"/>
          <w:bCs/>
          <w:lang w:val="el-GR"/>
        </w:rPr>
        <w:t xml:space="preserve">Δοσοεξαρτώμενη αύξηση στα επίπεδα </w:t>
      </w:r>
      <w:r w:rsidRPr="00C46FF8">
        <w:rPr>
          <w:rFonts w:ascii="Times New Roman" w:eastAsia="Times New Roman" w:hAnsi="Times New Roman"/>
          <w:bCs/>
        </w:rPr>
        <w:t>CK</w:t>
      </w:r>
      <w:r w:rsidRPr="00C46FF8">
        <w:rPr>
          <w:rFonts w:ascii="Times New Roman" w:eastAsia="Times New Roman" w:hAnsi="Times New Roman"/>
          <w:bCs/>
          <w:lang w:val="el-GR"/>
        </w:rPr>
        <w:t xml:space="preserve"> έχει παρατηρηθεί σε ασθενείς που έλαβαν </w:t>
      </w:r>
      <w:r w:rsidRPr="00C46FF8">
        <w:rPr>
          <w:rFonts w:ascii="Times New Roman" w:eastAsia="Times New Roman" w:hAnsi="Times New Roman"/>
          <w:bCs/>
        </w:rPr>
        <w:t>rosuvastatin</w:t>
      </w:r>
      <w:r w:rsidRPr="00C46FF8">
        <w:rPr>
          <w:rFonts w:ascii="Times New Roman" w:eastAsia="Times New Roman" w:hAnsi="Times New Roman"/>
          <w:bCs/>
          <w:lang w:val="el-GR"/>
        </w:rPr>
        <w:t xml:space="preserve">. Στην πλειοψηφία των περιστατικών ήταν ήπια, ασυμπτωματική καιπαροδική. Εάν τα επίπεδα </w:t>
      </w:r>
      <w:r w:rsidRPr="00C46FF8">
        <w:rPr>
          <w:rFonts w:ascii="Times New Roman" w:eastAsia="Times New Roman" w:hAnsi="Times New Roman"/>
          <w:bCs/>
        </w:rPr>
        <w:t>CK</w:t>
      </w:r>
      <w:r w:rsidRPr="00C46FF8">
        <w:rPr>
          <w:rFonts w:ascii="Times New Roman" w:eastAsia="Times New Roman" w:hAnsi="Times New Roman"/>
          <w:bCs/>
          <w:lang w:val="el-GR"/>
        </w:rPr>
        <w:t xml:space="preserve"> είναι αυξημένα (&gt;5 </w:t>
      </w:r>
      <w:r w:rsidRPr="00C46FF8">
        <w:rPr>
          <w:rFonts w:ascii="Times New Roman" w:eastAsia="Times New Roman" w:hAnsi="Times New Roman"/>
          <w:bCs/>
        </w:rPr>
        <w:t>x</w:t>
      </w:r>
      <w:r w:rsidRPr="00C46FF8">
        <w:rPr>
          <w:rFonts w:ascii="Times New Roman" w:eastAsia="Times New Roman" w:hAnsi="Times New Roman"/>
          <w:bCs/>
          <w:lang w:val="el-GR"/>
        </w:rPr>
        <w:t xml:space="preserve"> </w:t>
      </w:r>
      <w:r w:rsidRPr="00C46FF8">
        <w:rPr>
          <w:rFonts w:ascii="Times New Roman" w:eastAsia="Times New Roman" w:hAnsi="Times New Roman"/>
          <w:bCs/>
        </w:rPr>
        <w:t>ULN</w:t>
      </w:r>
      <w:r w:rsidRPr="00C46FF8">
        <w:rPr>
          <w:rFonts w:ascii="Times New Roman" w:eastAsia="Times New Roman" w:hAnsi="Times New Roman"/>
          <w:bCs/>
          <w:lang w:val="el-GR"/>
        </w:rPr>
        <w:t xml:space="preserve">), η θεραπεία θα πρέπει να διακοπεί (βλ. </w:t>
      </w:r>
      <w:r w:rsidRPr="00C46FF8">
        <w:rPr>
          <w:rFonts w:ascii="Times New Roman" w:eastAsia="Times New Roman" w:hAnsi="Times New Roman"/>
          <w:bCs/>
        </w:rPr>
        <w:t xml:space="preserve">Παράγραφο 4.4). </w:t>
      </w:r>
    </w:p>
    <w:p w:rsidR="00DA5DFD" w:rsidRPr="00DA5DFD" w:rsidRDefault="005C63E4" w:rsidP="00DA5DFD">
      <w:pPr>
        <w:spacing w:before="100" w:beforeAutospacing="1" w:after="75" w:line="360" w:lineRule="auto"/>
        <w:jc w:val="both"/>
        <w:rPr>
          <w:rFonts w:ascii="Times New Roman" w:eastAsia="Times New Roman" w:hAnsi="Times New Roman"/>
          <w:bCs/>
          <w:lang w:val="el-GR"/>
        </w:rPr>
      </w:pPr>
      <w:r w:rsidRPr="00DA5DFD">
        <w:rPr>
          <w:rFonts w:ascii="Times New Roman" w:eastAsia="Times New Roman" w:hAnsi="Times New Roman"/>
          <w:b/>
          <w:bCs/>
          <w:lang w:val="el-GR"/>
        </w:rPr>
        <w:t>Ηπατικές επιδράσεις</w:t>
      </w:r>
      <w:r w:rsidR="00CD5495" w:rsidRPr="00DA5DFD">
        <w:rPr>
          <w:rFonts w:ascii="Times New Roman" w:eastAsia="Times New Roman" w:hAnsi="Times New Roman"/>
          <w:b/>
          <w:bCs/>
          <w:lang w:val="el-GR"/>
        </w:rPr>
        <w:t>:</w:t>
      </w:r>
      <w:r w:rsidR="00CD5495" w:rsidRPr="00DA5DFD">
        <w:rPr>
          <w:rFonts w:ascii="Times New Roman" w:eastAsia="Times New Roman" w:hAnsi="Times New Roman"/>
          <w:bCs/>
          <w:lang w:val="el-GR"/>
        </w:rPr>
        <w:t xml:space="preserve"> </w:t>
      </w:r>
      <w:r w:rsidR="00DA5DFD" w:rsidRPr="00DA5DFD">
        <w:rPr>
          <w:rFonts w:ascii="Times New Roman" w:eastAsia="Times New Roman" w:hAnsi="Times New Roman"/>
          <w:bCs/>
          <w:lang w:val="el-GR"/>
        </w:rPr>
        <w:t xml:space="preserve">Όπως και με άλλους αναστολείς της </w:t>
      </w:r>
      <w:r w:rsidR="00DA5DFD" w:rsidRPr="00DA5DFD">
        <w:rPr>
          <w:rFonts w:ascii="Times New Roman" w:eastAsia="Times New Roman" w:hAnsi="Times New Roman"/>
          <w:bCs/>
        </w:rPr>
        <w:t>HMG</w:t>
      </w:r>
      <w:r w:rsidR="00DA5DFD" w:rsidRPr="00DA5DFD">
        <w:rPr>
          <w:rFonts w:ascii="Times New Roman" w:eastAsia="Times New Roman" w:hAnsi="Times New Roman"/>
          <w:bCs/>
          <w:lang w:val="el-GR"/>
        </w:rPr>
        <w:t>-</w:t>
      </w:r>
      <w:r w:rsidR="00DA5DFD" w:rsidRPr="00DA5DFD">
        <w:rPr>
          <w:rFonts w:ascii="Times New Roman" w:eastAsia="Times New Roman" w:hAnsi="Times New Roman"/>
          <w:bCs/>
        </w:rPr>
        <w:t>CoA</w:t>
      </w:r>
      <w:r w:rsidR="00DA5DFD">
        <w:rPr>
          <w:rFonts w:ascii="Times New Roman" w:eastAsia="Times New Roman" w:hAnsi="Times New Roman"/>
          <w:bCs/>
          <w:lang w:val="el-GR"/>
        </w:rPr>
        <w:t xml:space="preserve"> </w:t>
      </w:r>
      <w:r w:rsidR="00DA5DFD" w:rsidRPr="00DA5DFD">
        <w:rPr>
          <w:rFonts w:ascii="Times New Roman" w:eastAsia="Times New Roman" w:hAnsi="Times New Roman"/>
          <w:bCs/>
          <w:lang w:val="el-GR"/>
        </w:rPr>
        <w:t xml:space="preserve">αναγωγάσης, σε μικρό αριθμό ασθενών που έλαβε </w:t>
      </w:r>
      <w:r w:rsidR="00DA5DFD" w:rsidRPr="00DA5DFD">
        <w:rPr>
          <w:rFonts w:ascii="Times New Roman" w:eastAsia="Times New Roman" w:hAnsi="Times New Roman"/>
          <w:bCs/>
        </w:rPr>
        <w:t>rosuvastatin</w:t>
      </w:r>
      <w:r w:rsidR="00DA5DFD" w:rsidRPr="00DA5DFD">
        <w:rPr>
          <w:rFonts w:ascii="Times New Roman" w:eastAsia="Times New Roman" w:hAnsi="Times New Roman"/>
          <w:bCs/>
          <w:lang w:val="el-GR"/>
        </w:rPr>
        <w:t xml:space="preserve"> παρατηρήθηκε</w:t>
      </w:r>
      <w:r w:rsidR="00DA5DFD">
        <w:rPr>
          <w:rFonts w:ascii="Times New Roman" w:eastAsia="Times New Roman" w:hAnsi="Times New Roman"/>
          <w:bCs/>
          <w:lang w:val="el-GR"/>
        </w:rPr>
        <w:t xml:space="preserve"> </w:t>
      </w:r>
      <w:r w:rsidR="00DA5DFD" w:rsidRPr="00DA5DFD">
        <w:rPr>
          <w:rFonts w:ascii="Times New Roman" w:eastAsia="Times New Roman" w:hAnsi="Times New Roman"/>
          <w:bCs/>
          <w:lang w:val="el-GR"/>
        </w:rPr>
        <w:t>δοσοεξαρτώμενη αύξηση στις τρανσαμινάσες. Στην πλειοψηφία τους τα</w:t>
      </w:r>
      <w:r w:rsidR="00DA5DFD">
        <w:rPr>
          <w:rFonts w:ascii="Times New Roman" w:eastAsia="Times New Roman" w:hAnsi="Times New Roman"/>
          <w:bCs/>
          <w:lang w:val="el-GR"/>
        </w:rPr>
        <w:t xml:space="preserve"> </w:t>
      </w:r>
      <w:r w:rsidR="00DA5DFD" w:rsidRPr="00DA5DFD">
        <w:rPr>
          <w:rFonts w:ascii="Times New Roman" w:eastAsia="Times New Roman" w:hAnsi="Times New Roman"/>
          <w:bCs/>
          <w:lang w:val="el-GR"/>
        </w:rPr>
        <w:t>περιστατικά αυτά ήταν ήπια, ασυμπτωματικά και παροδικά.</w:t>
      </w:r>
    </w:p>
    <w:p w:rsidR="00CD5495" w:rsidRPr="009F706C" w:rsidRDefault="009F706C" w:rsidP="00AC1E02">
      <w:pPr>
        <w:spacing w:before="100" w:beforeAutospacing="1" w:after="75" w:line="360" w:lineRule="auto"/>
        <w:jc w:val="both"/>
        <w:rPr>
          <w:rFonts w:ascii="Times New Roman" w:eastAsia="Times New Roman" w:hAnsi="Times New Roman"/>
          <w:lang w:val="el-GR"/>
        </w:rPr>
      </w:pPr>
      <w:r>
        <w:rPr>
          <w:rFonts w:ascii="Times New Roman" w:eastAsia="Times New Roman" w:hAnsi="Times New Roman"/>
          <w:lang w:val="el-GR"/>
        </w:rPr>
        <w:t>Οι</w:t>
      </w:r>
      <w:r w:rsidRPr="009F706C">
        <w:rPr>
          <w:rFonts w:ascii="Times New Roman" w:eastAsia="Times New Roman" w:hAnsi="Times New Roman"/>
          <w:lang w:val="el-GR"/>
        </w:rPr>
        <w:t xml:space="preserve"> </w:t>
      </w:r>
      <w:r>
        <w:rPr>
          <w:rFonts w:ascii="Times New Roman" w:eastAsia="Times New Roman" w:hAnsi="Times New Roman"/>
          <w:lang w:val="el-GR"/>
        </w:rPr>
        <w:t>ακόλουθες</w:t>
      </w:r>
      <w:r w:rsidRPr="009F706C">
        <w:rPr>
          <w:rFonts w:ascii="Times New Roman" w:eastAsia="Times New Roman" w:hAnsi="Times New Roman"/>
          <w:lang w:val="el-GR"/>
        </w:rPr>
        <w:t xml:space="preserve"> </w:t>
      </w:r>
      <w:r>
        <w:rPr>
          <w:rFonts w:ascii="Times New Roman" w:eastAsia="Times New Roman" w:hAnsi="Times New Roman"/>
          <w:lang w:val="el-GR"/>
        </w:rPr>
        <w:t>ανεπιθύμητες</w:t>
      </w:r>
      <w:r w:rsidRPr="009F706C">
        <w:rPr>
          <w:rFonts w:ascii="Times New Roman" w:eastAsia="Times New Roman" w:hAnsi="Times New Roman"/>
          <w:lang w:val="el-GR"/>
        </w:rPr>
        <w:t xml:space="preserve"> </w:t>
      </w:r>
      <w:r>
        <w:rPr>
          <w:rFonts w:ascii="Times New Roman" w:eastAsia="Times New Roman" w:hAnsi="Times New Roman"/>
          <w:lang w:val="el-GR"/>
        </w:rPr>
        <w:t>ενέργειες</w:t>
      </w:r>
      <w:r w:rsidRPr="009F706C">
        <w:rPr>
          <w:rFonts w:ascii="Times New Roman" w:eastAsia="Times New Roman" w:hAnsi="Times New Roman"/>
          <w:lang w:val="el-GR"/>
        </w:rPr>
        <w:t xml:space="preserve"> </w:t>
      </w:r>
      <w:r>
        <w:rPr>
          <w:rFonts w:ascii="Times New Roman" w:eastAsia="Times New Roman" w:hAnsi="Times New Roman"/>
          <w:lang w:val="el-GR"/>
        </w:rPr>
        <w:t>έχουν</w:t>
      </w:r>
      <w:r w:rsidRPr="009F706C">
        <w:rPr>
          <w:rFonts w:ascii="Times New Roman" w:eastAsia="Times New Roman" w:hAnsi="Times New Roman"/>
          <w:lang w:val="el-GR"/>
        </w:rPr>
        <w:t xml:space="preserve"> </w:t>
      </w:r>
      <w:r>
        <w:rPr>
          <w:rFonts w:ascii="Times New Roman" w:eastAsia="Times New Roman" w:hAnsi="Times New Roman"/>
          <w:lang w:val="el-GR"/>
        </w:rPr>
        <w:t>αναφερθεί</w:t>
      </w:r>
      <w:r w:rsidRPr="009F706C">
        <w:rPr>
          <w:rFonts w:ascii="Times New Roman" w:eastAsia="Times New Roman" w:hAnsi="Times New Roman"/>
          <w:lang w:val="el-GR"/>
        </w:rPr>
        <w:t xml:space="preserve"> </w:t>
      </w:r>
      <w:r>
        <w:rPr>
          <w:rFonts w:ascii="Times New Roman" w:eastAsia="Times New Roman" w:hAnsi="Times New Roman"/>
          <w:lang w:val="el-GR"/>
        </w:rPr>
        <w:t>με</w:t>
      </w:r>
      <w:r w:rsidRPr="009F706C">
        <w:rPr>
          <w:rFonts w:ascii="Times New Roman" w:eastAsia="Times New Roman" w:hAnsi="Times New Roman"/>
          <w:lang w:val="el-GR"/>
        </w:rPr>
        <w:t xml:space="preserve"> </w:t>
      </w:r>
      <w:r>
        <w:rPr>
          <w:rFonts w:ascii="Times New Roman" w:eastAsia="Times New Roman" w:hAnsi="Times New Roman"/>
          <w:lang w:val="el-GR"/>
        </w:rPr>
        <w:t>μερικές στατίνες</w:t>
      </w:r>
      <w:r w:rsidR="00CD5495" w:rsidRPr="009F706C">
        <w:rPr>
          <w:rFonts w:ascii="Times New Roman" w:eastAsia="Times New Roman" w:hAnsi="Times New Roman"/>
          <w:lang w:val="el-GR"/>
        </w:rPr>
        <w:t xml:space="preserve">: </w:t>
      </w:r>
    </w:p>
    <w:p w:rsidR="00CD5495" w:rsidRPr="00426846" w:rsidRDefault="00B80C7D" w:rsidP="00B80C7D">
      <w:pPr>
        <w:numPr>
          <w:ilvl w:val="0"/>
          <w:numId w:val="4"/>
        </w:numPr>
        <w:spacing w:before="75" w:after="75" w:line="360" w:lineRule="auto"/>
        <w:jc w:val="both"/>
        <w:rPr>
          <w:rFonts w:ascii="Times New Roman" w:eastAsia="Times New Roman" w:hAnsi="Times New Roman"/>
        </w:rPr>
      </w:pPr>
      <w:r w:rsidRPr="00B80C7D">
        <w:rPr>
          <w:rFonts w:ascii="Times New Roman" w:eastAsia="Times New Roman" w:hAnsi="Times New Roman"/>
        </w:rPr>
        <w:t>Σεξουαλική δυσλειτουργία</w:t>
      </w:r>
      <w:r w:rsidR="00CD5495" w:rsidRPr="00426846">
        <w:rPr>
          <w:rFonts w:ascii="Times New Roman" w:eastAsia="Times New Roman" w:hAnsi="Times New Roman"/>
        </w:rPr>
        <w:t xml:space="preserve">. </w:t>
      </w:r>
    </w:p>
    <w:p w:rsidR="00CD5495" w:rsidRPr="00DC4C84" w:rsidRDefault="007B48A8" w:rsidP="007B48A8">
      <w:pPr>
        <w:numPr>
          <w:ilvl w:val="0"/>
          <w:numId w:val="4"/>
        </w:numPr>
        <w:spacing w:before="75" w:after="75" w:line="360" w:lineRule="auto"/>
        <w:jc w:val="both"/>
        <w:rPr>
          <w:rFonts w:ascii="Times New Roman" w:eastAsia="Times New Roman" w:hAnsi="Times New Roman"/>
          <w:lang w:val="el-GR"/>
        </w:rPr>
      </w:pPr>
      <w:r>
        <w:rPr>
          <w:rFonts w:ascii="Times New Roman" w:eastAsia="Times New Roman" w:hAnsi="Times New Roman"/>
          <w:lang w:val="el-GR"/>
        </w:rPr>
        <w:lastRenderedPageBreak/>
        <w:t>Εξαιρετικές</w:t>
      </w:r>
      <w:r w:rsidRPr="00DC4C84">
        <w:rPr>
          <w:rFonts w:ascii="Times New Roman" w:eastAsia="Times New Roman" w:hAnsi="Times New Roman"/>
          <w:lang w:val="el-GR"/>
        </w:rPr>
        <w:t xml:space="preserve"> περιπτώσεις διάμεσης πνευμονοπάθειας, ειδικά με μακροχρόνια θεραπεία (βλ. παράγραφο 4.4</w:t>
      </w:r>
      <w:r w:rsidR="00CD5495" w:rsidRPr="00DC4C84">
        <w:rPr>
          <w:rFonts w:ascii="Times New Roman" w:eastAsia="Times New Roman" w:hAnsi="Times New Roman"/>
          <w:lang w:val="el-GR"/>
        </w:rPr>
        <w:t xml:space="preserve">). </w:t>
      </w:r>
    </w:p>
    <w:p w:rsidR="00CD5495" w:rsidRPr="00F9622D" w:rsidRDefault="00F9622D" w:rsidP="00F9622D">
      <w:pPr>
        <w:numPr>
          <w:ilvl w:val="0"/>
          <w:numId w:val="4"/>
        </w:numPr>
        <w:spacing w:before="75" w:after="75" w:line="360" w:lineRule="auto"/>
        <w:jc w:val="both"/>
        <w:rPr>
          <w:rFonts w:ascii="Times New Roman" w:eastAsia="Times New Roman" w:hAnsi="Times New Roman"/>
          <w:lang w:val="el-GR"/>
        </w:rPr>
      </w:pPr>
      <w:r w:rsidRPr="00F9622D">
        <w:rPr>
          <w:rFonts w:ascii="Times New Roman" w:eastAsia="Times New Roman" w:hAnsi="Times New Roman"/>
          <w:lang w:val="el-GR"/>
        </w:rPr>
        <w:t>Διαταραχές</w:t>
      </w:r>
      <w:r>
        <w:rPr>
          <w:rFonts w:ascii="Times New Roman" w:eastAsia="Times New Roman" w:hAnsi="Times New Roman"/>
          <w:lang w:val="el-GR"/>
        </w:rPr>
        <w:t xml:space="preserve"> των</w:t>
      </w:r>
      <w:r w:rsidRPr="00F9622D">
        <w:rPr>
          <w:rFonts w:ascii="Times New Roman" w:eastAsia="Times New Roman" w:hAnsi="Times New Roman"/>
          <w:lang w:val="el-GR"/>
        </w:rPr>
        <w:t xml:space="preserve"> τενόντων, μερικές φορές με επιπλοκή ρήξης</w:t>
      </w:r>
      <w:r w:rsidR="00CD5495" w:rsidRPr="00F9622D">
        <w:rPr>
          <w:rFonts w:ascii="Times New Roman" w:eastAsia="Times New Roman" w:hAnsi="Times New Roman"/>
          <w:lang w:val="el-GR"/>
        </w:rPr>
        <w:t xml:space="preserve">. </w:t>
      </w:r>
    </w:p>
    <w:p w:rsidR="00CD5495" w:rsidRPr="008711CB" w:rsidRDefault="008711CB" w:rsidP="008711CB">
      <w:pPr>
        <w:spacing w:before="100" w:beforeAutospacing="1" w:after="75" w:line="360" w:lineRule="auto"/>
        <w:jc w:val="both"/>
        <w:rPr>
          <w:rFonts w:ascii="Times New Roman" w:eastAsia="Times New Roman" w:hAnsi="Times New Roman"/>
          <w:lang w:val="el-GR"/>
        </w:rPr>
      </w:pPr>
      <w:r w:rsidRPr="008711CB">
        <w:rPr>
          <w:rFonts w:ascii="Times New Roman" w:eastAsia="Times New Roman" w:hAnsi="Times New Roman"/>
          <w:lang w:val="el-GR"/>
        </w:rPr>
        <w:t>Η συχνότητα αναφοράς ραβδομυόλυσης, σοβαρών νεφρικών συμβαμάτων και</w:t>
      </w:r>
      <w:r>
        <w:rPr>
          <w:rFonts w:ascii="Times New Roman" w:eastAsia="Times New Roman" w:hAnsi="Times New Roman"/>
          <w:lang w:val="el-GR"/>
        </w:rPr>
        <w:t xml:space="preserve"> </w:t>
      </w:r>
      <w:r w:rsidRPr="008711CB">
        <w:rPr>
          <w:rFonts w:ascii="Times New Roman" w:eastAsia="Times New Roman" w:hAnsi="Times New Roman"/>
          <w:lang w:val="el-GR"/>
        </w:rPr>
        <w:t>σοβαρών ηπατικών συμβαμάτων (που συνίσταται κυρίως σε αύξηση των</w:t>
      </w:r>
      <w:r>
        <w:rPr>
          <w:rFonts w:ascii="Times New Roman" w:eastAsia="Times New Roman" w:hAnsi="Times New Roman"/>
          <w:lang w:val="el-GR"/>
        </w:rPr>
        <w:t xml:space="preserve"> </w:t>
      </w:r>
      <w:r w:rsidRPr="008711CB">
        <w:rPr>
          <w:rFonts w:ascii="Times New Roman" w:eastAsia="Times New Roman" w:hAnsi="Times New Roman"/>
          <w:lang w:val="el-GR"/>
        </w:rPr>
        <w:t xml:space="preserve">τρανσαμινασών) είναι μεγαλύτερη στη δόση των 40 </w:t>
      </w:r>
      <w:r w:rsidRPr="008711CB">
        <w:rPr>
          <w:rFonts w:ascii="Times New Roman" w:eastAsia="Times New Roman" w:hAnsi="Times New Roman"/>
        </w:rPr>
        <w:t>mg</w:t>
      </w:r>
      <w:r w:rsidR="00CD5495" w:rsidRPr="008711CB">
        <w:rPr>
          <w:rFonts w:ascii="Times New Roman" w:eastAsia="Times New Roman" w:hAnsi="Times New Roman"/>
          <w:lang w:val="el-GR"/>
        </w:rPr>
        <w:t xml:space="preserve">. </w:t>
      </w:r>
    </w:p>
    <w:p w:rsidR="00964C33" w:rsidRPr="008711CB" w:rsidRDefault="00964C33" w:rsidP="003170C4">
      <w:pPr>
        <w:shd w:val="clear" w:color="auto" w:fill="FFFFFF"/>
        <w:spacing w:after="0" w:line="360" w:lineRule="auto"/>
        <w:jc w:val="both"/>
        <w:rPr>
          <w:rFonts w:ascii="Times New Roman" w:eastAsia="Times New Roman" w:hAnsi="Times New Roman"/>
          <w:b/>
          <w:bCs/>
          <w:lang w:val="el-GR"/>
        </w:rPr>
      </w:pPr>
    </w:p>
    <w:p w:rsidR="00DF3DDD" w:rsidRDefault="00CB4761" w:rsidP="00DF3DDD">
      <w:pPr>
        <w:shd w:val="clear" w:color="auto" w:fill="FFFFFF"/>
        <w:spacing w:after="0" w:line="360" w:lineRule="auto"/>
        <w:jc w:val="both"/>
        <w:rPr>
          <w:rFonts w:ascii="Times New Roman" w:eastAsia="Times New Roman" w:hAnsi="Times New Roman"/>
          <w:lang w:val="el-GR"/>
        </w:rPr>
      </w:pPr>
      <w:r w:rsidRPr="00DF3DDD">
        <w:rPr>
          <w:rFonts w:ascii="Times New Roman" w:eastAsia="Times New Roman" w:hAnsi="Times New Roman"/>
          <w:b/>
          <w:bCs/>
          <w:lang w:val="el-GR"/>
        </w:rPr>
        <w:t>Παιδιατρικός πληθυσμός</w:t>
      </w:r>
      <w:r w:rsidR="00CD5495" w:rsidRPr="00DF3DDD">
        <w:rPr>
          <w:rFonts w:ascii="Times New Roman" w:eastAsia="Times New Roman" w:hAnsi="Times New Roman"/>
          <w:b/>
          <w:bCs/>
          <w:lang w:val="el-GR"/>
        </w:rPr>
        <w:t>:</w:t>
      </w:r>
      <w:r w:rsidR="00CD5495" w:rsidRPr="00DF3DDD">
        <w:rPr>
          <w:rFonts w:ascii="Times New Roman" w:eastAsia="Times New Roman" w:hAnsi="Times New Roman"/>
          <w:lang w:val="el-GR"/>
        </w:rPr>
        <w:t xml:space="preserve"> </w:t>
      </w:r>
      <w:r w:rsidR="00DF3DDD" w:rsidRPr="00DF3DDD">
        <w:rPr>
          <w:rFonts w:ascii="Times New Roman" w:eastAsia="Times New Roman" w:hAnsi="Times New Roman"/>
          <w:lang w:val="el-GR"/>
        </w:rPr>
        <w:t>Αυξήσεις της κρεατινικής κινάσης &gt;10</w:t>
      </w:r>
      <w:r w:rsidR="00DF3DDD" w:rsidRPr="00DF3DDD">
        <w:rPr>
          <w:rFonts w:ascii="Times New Roman" w:eastAsia="Times New Roman" w:hAnsi="Times New Roman"/>
        </w:rPr>
        <w:t>xULN</w:t>
      </w:r>
      <w:r w:rsidR="00DF3DDD" w:rsidRPr="00DF3DDD">
        <w:rPr>
          <w:rFonts w:ascii="Times New Roman" w:eastAsia="Times New Roman" w:hAnsi="Times New Roman"/>
          <w:lang w:val="el-GR"/>
        </w:rPr>
        <w:t xml:space="preserve"> και μυϊκά</w:t>
      </w:r>
      <w:r w:rsidR="00DF3DDD">
        <w:rPr>
          <w:rFonts w:ascii="Times New Roman" w:eastAsia="Times New Roman" w:hAnsi="Times New Roman"/>
          <w:lang w:val="el-GR"/>
        </w:rPr>
        <w:t xml:space="preserve"> </w:t>
      </w:r>
      <w:r w:rsidR="00DF3DDD" w:rsidRPr="00DF3DDD">
        <w:rPr>
          <w:rFonts w:ascii="Times New Roman" w:eastAsia="Times New Roman" w:hAnsi="Times New Roman"/>
          <w:lang w:val="el-GR"/>
        </w:rPr>
        <w:t>συμπτώματα μετά από άσκηση ή αυξημένη σωματική δραστηριότητα</w:t>
      </w:r>
      <w:r w:rsidR="00DF3DDD">
        <w:rPr>
          <w:rFonts w:ascii="Times New Roman" w:eastAsia="Times New Roman" w:hAnsi="Times New Roman"/>
          <w:lang w:val="el-GR"/>
        </w:rPr>
        <w:t xml:space="preserve"> </w:t>
      </w:r>
      <w:r w:rsidR="00DF3DDD" w:rsidRPr="00DF3DDD">
        <w:rPr>
          <w:rFonts w:ascii="Times New Roman" w:eastAsia="Times New Roman" w:hAnsi="Times New Roman"/>
          <w:lang w:val="el-GR"/>
        </w:rPr>
        <w:t>παρατηρήθηκαν πιο συχνά σε μία κλινική μελέτη 52 εβδομάδων σε παιδιά και</w:t>
      </w:r>
      <w:r w:rsidR="00DF3DDD">
        <w:rPr>
          <w:rFonts w:ascii="Times New Roman" w:eastAsia="Times New Roman" w:hAnsi="Times New Roman"/>
          <w:lang w:val="el-GR"/>
        </w:rPr>
        <w:t xml:space="preserve"> </w:t>
      </w:r>
      <w:r w:rsidR="00DF3DDD" w:rsidRPr="00DF3DDD">
        <w:rPr>
          <w:rFonts w:ascii="Times New Roman" w:eastAsia="Times New Roman" w:hAnsi="Times New Roman"/>
          <w:lang w:val="el-GR"/>
        </w:rPr>
        <w:t>εφήβους σε σχέση με τους ενήλικες (βλ. Παράγραφο 4.4). Από άλλες απόψεις, το</w:t>
      </w:r>
      <w:r w:rsidR="00DF3DDD">
        <w:rPr>
          <w:rFonts w:ascii="Times New Roman" w:eastAsia="Times New Roman" w:hAnsi="Times New Roman"/>
          <w:lang w:val="el-GR"/>
        </w:rPr>
        <w:t xml:space="preserve"> </w:t>
      </w:r>
      <w:r w:rsidR="00DF3DDD" w:rsidRPr="00DF3DDD">
        <w:rPr>
          <w:rFonts w:ascii="Times New Roman" w:eastAsia="Times New Roman" w:hAnsi="Times New Roman"/>
          <w:lang w:val="el-GR"/>
        </w:rPr>
        <w:t xml:space="preserve">προφίλ ασφάλειας της </w:t>
      </w:r>
      <w:r w:rsidR="00DF3DDD" w:rsidRPr="00DF3DDD">
        <w:rPr>
          <w:rFonts w:ascii="Times New Roman" w:eastAsia="Times New Roman" w:hAnsi="Times New Roman"/>
        </w:rPr>
        <w:t>rosuvastatin</w:t>
      </w:r>
      <w:r w:rsidR="00DF3DDD" w:rsidRPr="00DF3DDD">
        <w:rPr>
          <w:rFonts w:ascii="Times New Roman" w:eastAsia="Times New Roman" w:hAnsi="Times New Roman"/>
          <w:lang w:val="el-GR"/>
        </w:rPr>
        <w:t xml:space="preserve"> ήταν παρόμοιο σε παιδιά και εφήβους σε</w:t>
      </w:r>
      <w:r w:rsidR="00DF3DDD">
        <w:rPr>
          <w:rFonts w:ascii="Times New Roman" w:eastAsia="Times New Roman" w:hAnsi="Times New Roman"/>
          <w:lang w:val="el-GR"/>
        </w:rPr>
        <w:t xml:space="preserve"> </w:t>
      </w:r>
      <w:r w:rsidR="00DF3DDD" w:rsidRPr="00EC0181">
        <w:rPr>
          <w:rFonts w:ascii="Times New Roman" w:eastAsia="Times New Roman" w:hAnsi="Times New Roman"/>
          <w:lang w:val="el-GR"/>
        </w:rPr>
        <w:t>σύγκριση με τους ενήλικες.</w:t>
      </w:r>
    </w:p>
    <w:p w:rsidR="00520ECD" w:rsidRPr="00520ECD" w:rsidRDefault="003A0F4E" w:rsidP="00EC0181">
      <w:pPr>
        <w:spacing w:before="100" w:beforeAutospacing="1" w:after="75" w:line="360" w:lineRule="auto"/>
        <w:jc w:val="both"/>
        <w:rPr>
          <w:rFonts w:ascii="Times New Roman" w:eastAsia="Times New Roman" w:hAnsi="Times New Roman"/>
        </w:rPr>
      </w:pPr>
      <w:bookmarkStart w:id="9" w:name="OLE_LINK1"/>
      <w:bookmarkStart w:id="10" w:name="OLE_LINK2"/>
      <w:r w:rsidRPr="003A0F4E">
        <w:rPr>
          <w:rFonts w:ascii="Times New Roman" w:eastAsia="Times New Roman" w:hAnsi="Times New Roman"/>
        </w:rPr>
        <w:t>Αναφορά ύποπτων ανεπιθύμητων ενεργειών</w:t>
      </w:r>
    </w:p>
    <w:p w:rsidR="00520ECD" w:rsidRPr="00EB6563" w:rsidRDefault="00A602E9" w:rsidP="00694556">
      <w:pPr>
        <w:spacing w:before="100" w:beforeAutospacing="1" w:after="75" w:line="360" w:lineRule="auto"/>
        <w:jc w:val="both"/>
        <w:rPr>
          <w:rFonts w:ascii="Times New Roman" w:eastAsia="Times New Roman" w:hAnsi="Times New Roman"/>
          <w:lang w:val="el-GR"/>
        </w:rPr>
      </w:pPr>
      <w:r>
        <w:rPr>
          <w:rFonts w:ascii="Times New Roman" w:eastAsia="Times New Roman" w:hAnsi="Times New Roman"/>
          <w:lang w:val="el-GR"/>
        </w:rPr>
        <w:t>Είναι</w:t>
      </w:r>
      <w:r w:rsidRPr="00A602E9">
        <w:rPr>
          <w:rFonts w:ascii="Times New Roman" w:eastAsia="Times New Roman" w:hAnsi="Times New Roman"/>
          <w:lang w:val="el-GR"/>
        </w:rPr>
        <w:t xml:space="preserve"> </w:t>
      </w:r>
      <w:r>
        <w:rPr>
          <w:rFonts w:ascii="Times New Roman" w:eastAsia="Times New Roman" w:hAnsi="Times New Roman"/>
          <w:lang w:val="el-GR"/>
        </w:rPr>
        <w:t>σημαντικό</w:t>
      </w:r>
      <w:r w:rsidRPr="00A602E9">
        <w:rPr>
          <w:rFonts w:ascii="Times New Roman" w:eastAsia="Times New Roman" w:hAnsi="Times New Roman"/>
          <w:lang w:val="el-GR"/>
        </w:rPr>
        <w:t xml:space="preserve"> </w:t>
      </w:r>
      <w:r>
        <w:rPr>
          <w:rFonts w:ascii="Times New Roman" w:eastAsia="Times New Roman" w:hAnsi="Times New Roman"/>
          <w:lang w:val="el-GR"/>
        </w:rPr>
        <w:t>να</w:t>
      </w:r>
      <w:r w:rsidRPr="00A602E9">
        <w:rPr>
          <w:rFonts w:ascii="Times New Roman" w:eastAsia="Times New Roman" w:hAnsi="Times New Roman"/>
          <w:lang w:val="el-GR"/>
        </w:rPr>
        <w:t xml:space="preserve"> </w:t>
      </w:r>
      <w:r>
        <w:rPr>
          <w:rFonts w:ascii="Times New Roman" w:eastAsia="Times New Roman" w:hAnsi="Times New Roman"/>
          <w:lang w:val="el-GR"/>
        </w:rPr>
        <w:t>αναφέρονται</w:t>
      </w:r>
      <w:r w:rsidRPr="00A602E9">
        <w:rPr>
          <w:rFonts w:ascii="Times New Roman" w:eastAsia="Times New Roman" w:hAnsi="Times New Roman"/>
          <w:lang w:val="el-GR"/>
        </w:rPr>
        <w:t xml:space="preserve"> </w:t>
      </w:r>
      <w:r>
        <w:rPr>
          <w:rFonts w:ascii="Times New Roman" w:eastAsia="Times New Roman" w:hAnsi="Times New Roman"/>
          <w:lang w:val="el-GR"/>
        </w:rPr>
        <w:t>μετά</w:t>
      </w:r>
      <w:r w:rsidRPr="00A602E9">
        <w:rPr>
          <w:rFonts w:ascii="Times New Roman" w:eastAsia="Times New Roman" w:hAnsi="Times New Roman"/>
          <w:lang w:val="el-GR"/>
        </w:rPr>
        <w:t xml:space="preserve"> </w:t>
      </w:r>
      <w:r>
        <w:rPr>
          <w:rFonts w:ascii="Times New Roman" w:eastAsia="Times New Roman" w:hAnsi="Times New Roman"/>
          <w:lang w:val="el-GR"/>
        </w:rPr>
        <w:t>την</w:t>
      </w:r>
      <w:r w:rsidRPr="00A602E9">
        <w:rPr>
          <w:rFonts w:ascii="Times New Roman" w:eastAsia="Times New Roman" w:hAnsi="Times New Roman"/>
          <w:lang w:val="el-GR"/>
        </w:rPr>
        <w:t xml:space="preserve"> </w:t>
      </w:r>
      <w:r>
        <w:rPr>
          <w:rFonts w:ascii="Times New Roman" w:eastAsia="Times New Roman" w:hAnsi="Times New Roman"/>
          <w:lang w:val="el-GR"/>
        </w:rPr>
        <w:t>έγκριση</w:t>
      </w:r>
      <w:r w:rsidRPr="00A602E9">
        <w:rPr>
          <w:rFonts w:ascii="Times New Roman" w:eastAsia="Times New Roman" w:hAnsi="Times New Roman"/>
          <w:lang w:val="el-GR"/>
        </w:rPr>
        <w:t xml:space="preserve"> </w:t>
      </w:r>
      <w:r>
        <w:rPr>
          <w:rFonts w:ascii="Times New Roman" w:eastAsia="Times New Roman" w:hAnsi="Times New Roman"/>
          <w:lang w:val="el-GR"/>
        </w:rPr>
        <w:t>του</w:t>
      </w:r>
      <w:r w:rsidRPr="00A602E9">
        <w:rPr>
          <w:rFonts w:ascii="Times New Roman" w:eastAsia="Times New Roman" w:hAnsi="Times New Roman"/>
          <w:lang w:val="el-GR"/>
        </w:rPr>
        <w:t xml:space="preserve"> </w:t>
      </w:r>
      <w:r>
        <w:rPr>
          <w:rFonts w:ascii="Times New Roman" w:eastAsia="Times New Roman" w:hAnsi="Times New Roman"/>
          <w:lang w:val="el-GR"/>
        </w:rPr>
        <w:t>φαρμάκου</w:t>
      </w:r>
      <w:r w:rsidRPr="00A602E9">
        <w:rPr>
          <w:rFonts w:ascii="Times New Roman" w:eastAsia="Times New Roman" w:hAnsi="Times New Roman"/>
          <w:lang w:val="el-GR"/>
        </w:rPr>
        <w:t xml:space="preserve"> </w:t>
      </w:r>
      <w:r>
        <w:rPr>
          <w:rFonts w:ascii="Times New Roman" w:eastAsia="Times New Roman" w:hAnsi="Times New Roman"/>
          <w:lang w:val="el-GR"/>
        </w:rPr>
        <w:t>οι</w:t>
      </w:r>
      <w:r w:rsidRPr="00A602E9">
        <w:rPr>
          <w:rFonts w:ascii="Times New Roman" w:eastAsia="Times New Roman" w:hAnsi="Times New Roman"/>
          <w:lang w:val="el-GR"/>
        </w:rPr>
        <w:t xml:space="preserve"> </w:t>
      </w:r>
      <w:r>
        <w:rPr>
          <w:rFonts w:ascii="Times New Roman" w:eastAsia="Times New Roman" w:hAnsi="Times New Roman"/>
          <w:lang w:val="el-GR"/>
        </w:rPr>
        <w:t>ύποπτες</w:t>
      </w:r>
      <w:r w:rsidRPr="00A602E9">
        <w:rPr>
          <w:rFonts w:ascii="Times New Roman" w:eastAsia="Times New Roman" w:hAnsi="Times New Roman"/>
          <w:lang w:val="el-GR"/>
        </w:rPr>
        <w:t xml:space="preserve"> </w:t>
      </w:r>
      <w:r>
        <w:rPr>
          <w:rFonts w:ascii="Times New Roman" w:eastAsia="Times New Roman" w:hAnsi="Times New Roman"/>
          <w:lang w:val="el-GR"/>
        </w:rPr>
        <w:t>ανεπιθύμητες</w:t>
      </w:r>
      <w:r w:rsidRPr="00A602E9">
        <w:rPr>
          <w:rFonts w:ascii="Times New Roman" w:eastAsia="Times New Roman" w:hAnsi="Times New Roman"/>
          <w:lang w:val="el-GR"/>
        </w:rPr>
        <w:t xml:space="preserve"> </w:t>
      </w:r>
      <w:r>
        <w:rPr>
          <w:rFonts w:ascii="Times New Roman" w:eastAsia="Times New Roman" w:hAnsi="Times New Roman"/>
          <w:lang w:val="el-GR"/>
        </w:rPr>
        <w:t xml:space="preserve">ενέργειες. </w:t>
      </w:r>
      <w:r w:rsidR="009E3F54" w:rsidRPr="009E3F54">
        <w:rPr>
          <w:rFonts w:ascii="Times New Roman" w:eastAsia="Times New Roman" w:hAnsi="Times New Roman"/>
          <w:lang w:val="el-GR"/>
        </w:rPr>
        <w:t xml:space="preserve">Επιτρέπει τη συνεχή παρακολούθηση της σχέσης οφέλους / κινδύνου του φαρμακευτικού προϊόντος. Οι επαγγελματίες της υγείας καλούνται να αναφέρουν οποιεσδήποτε </w:t>
      </w:r>
      <w:r w:rsidR="00EB6563">
        <w:rPr>
          <w:rFonts w:ascii="Times New Roman" w:eastAsia="Times New Roman" w:hAnsi="Times New Roman"/>
          <w:lang w:val="el-GR"/>
        </w:rPr>
        <w:t>ύποπτες</w:t>
      </w:r>
      <w:r w:rsidR="009E3F54" w:rsidRPr="009E3F54">
        <w:rPr>
          <w:rFonts w:ascii="Times New Roman" w:eastAsia="Times New Roman" w:hAnsi="Times New Roman"/>
          <w:lang w:val="el-GR"/>
        </w:rPr>
        <w:t xml:space="preserve"> ανεπιθύμητες ενέργειες μέσω του εθνικού συστήματος αναφοράς</w:t>
      </w:r>
      <w:r w:rsidR="00110551" w:rsidRPr="00EB6563">
        <w:rPr>
          <w:rFonts w:ascii="Times New Roman" w:eastAsia="Times New Roman" w:hAnsi="Times New Roman"/>
          <w:lang w:val="el-GR"/>
        </w:rPr>
        <w:t>.</w:t>
      </w:r>
    </w:p>
    <w:bookmarkEnd w:id="9"/>
    <w:bookmarkEnd w:id="10"/>
    <w:p w:rsidR="00520ECD" w:rsidRPr="00EB6563" w:rsidRDefault="00520ECD" w:rsidP="00AC1E02">
      <w:pPr>
        <w:shd w:val="clear" w:color="auto" w:fill="FFFFFF"/>
        <w:spacing w:after="0" w:line="360" w:lineRule="auto"/>
        <w:jc w:val="both"/>
        <w:rPr>
          <w:rFonts w:ascii="Times New Roman" w:eastAsia="Times New Roman" w:hAnsi="Times New Roman"/>
          <w:lang w:val="el-GR"/>
        </w:rPr>
      </w:pPr>
    </w:p>
    <w:p w:rsidR="004C7928" w:rsidRPr="003264E2" w:rsidRDefault="004C7928" w:rsidP="00AC1E02">
      <w:pPr>
        <w:suppressLineNumbers/>
        <w:spacing w:line="360" w:lineRule="auto"/>
        <w:ind w:left="567" w:hanging="567"/>
        <w:jc w:val="both"/>
        <w:outlineLvl w:val="0"/>
        <w:rPr>
          <w:rFonts w:ascii="Times New Roman" w:hAnsi="Times New Roman"/>
          <w:noProof/>
          <w:lang w:val="el-GR"/>
        </w:rPr>
      </w:pPr>
      <w:bookmarkStart w:id="11" w:name="OVERDOSE"/>
      <w:bookmarkEnd w:id="11"/>
      <w:r w:rsidRPr="003264E2">
        <w:rPr>
          <w:rFonts w:ascii="Times New Roman" w:hAnsi="Times New Roman"/>
          <w:b/>
          <w:noProof/>
          <w:lang w:val="el-GR"/>
        </w:rPr>
        <w:t>4.9</w:t>
      </w:r>
      <w:r w:rsidRPr="003264E2">
        <w:rPr>
          <w:rFonts w:ascii="Times New Roman" w:hAnsi="Times New Roman"/>
          <w:b/>
          <w:noProof/>
          <w:lang w:val="el-GR"/>
        </w:rPr>
        <w:tab/>
      </w:r>
      <w:r w:rsidR="004B2828" w:rsidRPr="003264E2">
        <w:rPr>
          <w:rFonts w:ascii="Times New Roman" w:hAnsi="Times New Roman"/>
          <w:b/>
          <w:noProof/>
          <w:lang w:val="el-GR"/>
        </w:rPr>
        <w:t>Υπερδοσολογία</w:t>
      </w:r>
    </w:p>
    <w:p w:rsidR="003264E2" w:rsidRDefault="003264E2" w:rsidP="003264E2">
      <w:pPr>
        <w:spacing w:after="0" w:line="360" w:lineRule="auto"/>
        <w:jc w:val="both"/>
        <w:rPr>
          <w:rFonts w:ascii="Times New Roman" w:eastAsia="Times New Roman" w:hAnsi="Times New Roman"/>
          <w:lang w:val="el-GR"/>
        </w:rPr>
      </w:pPr>
      <w:bookmarkStart w:id="12" w:name="PHARMACOLOGICAL_PROPS"/>
      <w:bookmarkEnd w:id="12"/>
      <w:r w:rsidRPr="003264E2">
        <w:rPr>
          <w:rFonts w:ascii="Times New Roman" w:eastAsia="Times New Roman" w:hAnsi="Times New Roman"/>
          <w:lang w:val="el-GR"/>
        </w:rPr>
        <w:t>Δεν υπάρχει ειδική θεραπεία για την αντιμετώπιση της υπερδοσολογίας. Σε</w:t>
      </w:r>
      <w:r>
        <w:rPr>
          <w:rFonts w:ascii="Times New Roman" w:eastAsia="Times New Roman" w:hAnsi="Times New Roman"/>
          <w:lang w:val="el-GR"/>
        </w:rPr>
        <w:t xml:space="preserve"> </w:t>
      </w:r>
      <w:r w:rsidRPr="003264E2">
        <w:rPr>
          <w:rFonts w:ascii="Times New Roman" w:eastAsia="Times New Roman" w:hAnsi="Times New Roman"/>
          <w:lang w:val="el-GR"/>
        </w:rPr>
        <w:t>περίπτωση υπερδοσολογίας, ο ασθενής πρέπει να αντιμετωπίζεται συμπτωματικά</w:t>
      </w:r>
      <w:r>
        <w:rPr>
          <w:rFonts w:ascii="Times New Roman" w:eastAsia="Times New Roman" w:hAnsi="Times New Roman"/>
          <w:lang w:val="el-GR"/>
        </w:rPr>
        <w:t xml:space="preserve"> </w:t>
      </w:r>
      <w:r w:rsidRPr="003264E2">
        <w:rPr>
          <w:rFonts w:ascii="Times New Roman" w:eastAsia="Times New Roman" w:hAnsi="Times New Roman"/>
          <w:lang w:val="el-GR"/>
        </w:rPr>
        <w:t>και να εφαρμόζονται τα απαιτούμενα υποστηρικτικά μέτρα. Πρέπει να</w:t>
      </w:r>
      <w:r>
        <w:rPr>
          <w:rFonts w:ascii="Times New Roman" w:eastAsia="Times New Roman" w:hAnsi="Times New Roman"/>
          <w:lang w:val="el-GR"/>
        </w:rPr>
        <w:t xml:space="preserve"> </w:t>
      </w:r>
      <w:r w:rsidRPr="003264E2">
        <w:rPr>
          <w:rFonts w:ascii="Times New Roman" w:eastAsia="Times New Roman" w:hAnsi="Times New Roman"/>
          <w:lang w:val="el-GR"/>
        </w:rPr>
        <w:t>πραγματοποιείται έλεγχος της ηπατικής λειτουργίας και των επιπέδων κρεατινικής</w:t>
      </w:r>
      <w:r>
        <w:rPr>
          <w:rFonts w:ascii="Times New Roman" w:eastAsia="Times New Roman" w:hAnsi="Times New Roman"/>
          <w:lang w:val="el-GR"/>
        </w:rPr>
        <w:t xml:space="preserve"> </w:t>
      </w:r>
      <w:r w:rsidRPr="003264E2">
        <w:rPr>
          <w:rFonts w:ascii="Times New Roman" w:eastAsia="Times New Roman" w:hAnsi="Times New Roman"/>
          <w:lang w:val="el-GR"/>
        </w:rPr>
        <w:t>φωσφοκινάσης (CK). Η αιμοδιάλυση είναι απίθανο να επιφέρει κάποιο όφελος.</w:t>
      </w:r>
    </w:p>
    <w:p w:rsidR="00110551" w:rsidRDefault="00110551" w:rsidP="00AC1E02">
      <w:pPr>
        <w:suppressLineNumbers/>
        <w:spacing w:line="360" w:lineRule="auto"/>
        <w:ind w:left="567" w:hanging="567"/>
        <w:jc w:val="both"/>
        <w:rPr>
          <w:rFonts w:ascii="Times New Roman" w:hAnsi="Times New Roman"/>
          <w:b/>
          <w:noProof/>
        </w:rPr>
      </w:pPr>
    </w:p>
    <w:p w:rsidR="004C7928" w:rsidRPr="00426846" w:rsidRDefault="004C7928" w:rsidP="00AC1E02">
      <w:pPr>
        <w:suppressLineNumbers/>
        <w:spacing w:line="360" w:lineRule="auto"/>
        <w:ind w:left="567" w:hanging="567"/>
        <w:jc w:val="both"/>
        <w:rPr>
          <w:rFonts w:ascii="Times New Roman" w:hAnsi="Times New Roman"/>
          <w:noProof/>
        </w:rPr>
      </w:pPr>
      <w:r w:rsidRPr="00426846">
        <w:rPr>
          <w:rFonts w:ascii="Times New Roman" w:hAnsi="Times New Roman"/>
          <w:b/>
          <w:noProof/>
        </w:rPr>
        <w:t>5.</w:t>
      </w:r>
      <w:r w:rsidRPr="00426846">
        <w:rPr>
          <w:rFonts w:ascii="Times New Roman" w:hAnsi="Times New Roman"/>
          <w:b/>
          <w:noProof/>
        </w:rPr>
        <w:tab/>
      </w:r>
      <w:r w:rsidR="00884BE4" w:rsidRPr="00884BE4">
        <w:rPr>
          <w:rFonts w:ascii="Times New Roman" w:hAnsi="Times New Roman"/>
          <w:b/>
          <w:noProof/>
        </w:rPr>
        <w:t>ΦΑΡΜΑΚΟΛΟΓΙΚΕΣ ΙΔΙΟΤΗΤΕΣ</w:t>
      </w:r>
    </w:p>
    <w:p w:rsidR="004C7928" w:rsidRPr="00426846" w:rsidRDefault="004C7928" w:rsidP="00AC1E02">
      <w:pPr>
        <w:suppressLineNumbers/>
        <w:spacing w:line="360" w:lineRule="auto"/>
        <w:ind w:left="567" w:hanging="567"/>
        <w:jc w:val="both"/>
        <w:outlineLvl w:val="0"/>
        <w:rPr>
          <w:rFonts w:ascii="Times New Roman" w:hAnsi="Times New Roman"/>
          <w:noProof/>
        </w:rPr>
      </w:pPr>
      <w:r w:rsidRPr="00426846">
        <w:rPr>
          <w:rFonts w:ascii="Times New Roman" w:hAnsi="Times New Roman"/>
          <w:b/>
          <w:noProof/>
        </w:rPr>
        <w:t xml:space="preserve">5.1 </w:t>
      </w:r>
      <w:r w:rsidRPr="00426846">
        <w:rPr>
          <w:rFonts w:ascii="Times New Roman" w:hAnsi="Times New Roman"/>
          <w:b/>
          <w:noProof/>
        </w:rPr>
        <w:tab/>
      </w:r>
      <w:r w:rsidR="00884BE4" w:rsidRPr="00884BE4">
        <w:rPr>
          <w:rFonts w:ascii="Times New Roman" w:hAnsi="Times New Roman"/>
          <w:b/>
          <w:noProof/>
        </w:rPr>
        <w:t>Φαρμακοδυναμικές ιδιότητες</w:t>
      </w:r>
    </w:p>
    <w:tbl>
      <w:tblPr>
        <w:tblW w:w="5000" w:type="pct"/>
        <w:jc w:val="center"/>
        <w:tblCellSpacing w:w="15" w:type="dxa"/>
        <w:tblCellMar>
          <w:left w:w="0" w:type="dxa"/>
          <w:right w:w="0" w:type="dxa"/>
        </w:tblCellMar>
        <w:tblLook w:val="04A0" w:firstRow="1" w:lastRow="0" w:firstColumn="1" w:lastColumn="0" w:noHBand="0" w:noVBand="1"/>
      </w:tblPr>
      <w:tblGrid>
        <w:gridCol w:w="9162"/>
      </w:tblGrid>
      <w:tr w:rsidR="00964C33" w:rsidRPr="00426846" w:rsidTr="002D4309">
        <w:trPr>
          <w:tblCellSpacing w:w="15" w:type="dxa"/>
          <w:jc w:val="center"/>
        </w:trPr>
        <w:tc>
          <w:tcPr>
            <w:tcW w:w="4967" w:type="pct"/>
            <w:tcMar>
              <w:top w:w="15" w:type="dxa"/>
              <w:left w:w="15" w:type="dxa"/>
              <w:bottom w:w="15" w:type="dxa"/>
              <w:right w:w="15" w:type="dxa"/>
            </w:tcMar>
            <w:vAlign w:val="center"/>
          </w:tcPr>
          <w:p w:rsidR="00964C33" w:rsidRPr="007265B4" w:rsidRDefault="007265B4" w:rsidP="00AC1E02">
            <w:pPr>
              <w:spacing w:before="100" w:beforeAutospacing="1" w:after="75" w:line="360" w:lineRule="auto"/>
              <w:jc w:val="both"/>
              <w:rPr>
                <w:rFonts w:ascii="Times New Roman" w:eastAsia="Times New Roman" w:hAnsi="Times New Roman"/>
                <w:lang w:val="el-GR"/>
              </w:rPr>
            </w:pPr>
            <w:bookmarkStart w:id="13" w:name="PHARMACOKINETIC_PROPS"/>
            <w:bookmarkEnd w:id="13"/>
            <w:r w:rsidRPr="007265B4">
              <w:rPr>
                <w:rFonts w:ascii="Times New Roman" w:eastAsia="Times New Roman" w:hAnsi="Times New Roman"/>
                <w:bCs/>
                <w:lang w:val="el-GR"/>
              </w:rPr>
              <w:t>Φαρμακοθεραπευτική κατηγορία</w:t>
            </w:r>
            <w:r w:rsidR="00964C33" w:rsidRPr="007265B4">
              <w:rPr>
                <w:rFonts w:ascii="Times New Roman" w:eastAsia="Times New Roman" w:hAnsi="Times New Roman"/>
                <w:bCs/>
                <w:lang w:val="el-GR"/>
              </w:rPr>
              <w:t>:</w:t>
            </w:r>
            <w:r w:rsidR="00964C33" w:rsidRPr="007265B4">
              <w:rPr>
                <w:rFonts w:ascii="Times New Roman" w:eastAsia="Times New Roman" w:hAnsi="Times New Roman"/>
                <w:b/>
                <w:bCs/>
                <w:lang w:val="el-GR"/>
              </w:rPr>
              <w:t xml:space="preserve"> </w:t>
            </w:r>
            <w:r w:rsidRPr="007265B4">
              <w:rPr>
                <w:rFonts w:ascii="Times New Roman" w:eastAsia="Times New Roman" w:hAnsi="Times New Roman"/>
                <w:lang w:val="el-GR"/>
              </w:rPr>
              <w:t xml:space="preserve">Αναστολείς της </w:t>
            </w:r>
            <w:r w:rsidRPr="007265B4">
              <w:rPr>
                <w:rFonts w:ascii="Times New Roman" w:eastAsia="Times New Roman" w:hAnsi="Times New Roman"/>
              </w:rPr>
              <w:t>HMG</w:t>
            </w:r>
            <w:r w:rsidRPr="007265B4">
              <w:rPr>
                <w:rFonts w:ascii="Times New Roman" w:eastAsia="Times New Roman" w:hAnsi="Times New Roman"/>
                <w:lang w:val="el-GR"/>
              </w:rPr>
              <w:t>-</w:t>
            </w:r>
            <w:r w:rsidRPr="007265B4">
              <w:rPr>
                <w:rFonts w:ascii="Times New Roman" w:eastAsia="Times New Roman" w:hAnsi="Times New Roman"/>
              </w:rPr>
              <w:t>CoA</w:t>
            </w:r>
            <w:r w:rsidRPr="007265B4">
              <w:rPr>
                <w:rFonts w:ascii="Times New Roman" w:eastAsia="Times New Roman" w:hAnsi="Times New Roman"/>
                <w:lang w:val="el-GR"/>
              </w:rPr>
              <w:t xml:space="preserve"> αναγωγάσης</w:t>
            </w:r>
          </w:p>
          <w:p w:rsidR="00964C33" w:rsidRPr="00E72291" w:rsidRDefault="007265B4" w:rsidP="00AC1E02">
            <w:pPr>
              <w:spacing w:before="100" w:beforeAutospacing="1" w:after="75" w:line="360" w:lineRule="auto"/>
              <w:jc w:val="both"/>
              <w:rPr>
                <w:rFonts w:ascii="Times New Roman" w:eastAsia="Times New Roman" w:hAnsi="Times New Roman"/>
                <w:lang w:val="el-GR"/>
              </w:rPr>
            </w:pPr>
            <w:r w:rsidRPr="00E72291">
              <w:rPr>
                <w:rFonts w:ascii="Times New Roman" w:eastAsia="Times New Roman" w:hAnsi="Times New Roman"/>
                <w:bCs/>
                <w:lang w:val="el-GR"/>
              </w:rPr>
              <w:t xml:space="preserve">Κωδικός </w:t>
            </w:r>
            <w:r w:rsidRPr="007265B4">
              <w:rPr>
                <w:rFonts w:ascii="Times New Roman" w:eastAsia="Times New Roman" w:hAnsi="Times New Roman"/>
                <w:bCs/>
              </w:rPr>
              <w:t>ATC</w:t>
            </w:r>
            <w:r w:rsidR="00964C33" w:rsidRPr="00E72291">
              <w:rPr>
                <w:rFonts w:ascii="Times New Roman" w:eastAsia="Times New Roman" w:hAnsi="Times New Roman"/>
                <w:bCs/>
                <w:lang w:val="el-GR"/>
              </w:rPr>
              <w:t xml:space="preserve">: </w:t>
            </w:r>
            <w:r w:rsidR="00964C33" w:rsidRPr="003B12ED">
              <w:rPr>
                <w:rFonts w:ascii="Times New Roman" w:eastAsia="Times New Roman" w:hAnsi="Times New Roman"/>
              </w:rPr>
              <w:t>C</w:t>
            </w:r>
            <w:r w:rsidR="00964C33" w:rsidRPr="00E72291">
              <w:rPr>
                <w:rFonts w:ascii="Times New Roman" w:eastAsia="Times New Roman" w:hAnsi="Times New Roman"/>
                <w:lang w:val="el-GR"/>
              </w:rPr>
              <w:t>10</w:t>
            </w:r>
            <w:r w:rsidR="00964C33" w:rsidRPr="003B12ED">
              <w:rPr>
                <w:rFonts w:ascii="Times New Roman" w:eastAsia="Times New Roman" w:hAnsi="Times New Roman"/>
              </w:rPr>
              <w:t>A</w:t>
            </w:r>
            <w:r w:rsidR="00964C33" w:rsidRPr="00E72291">
              <w:rPr>
                <w:rFonts w:ascii="Times New Roman" w:eastAsia="Times New Roman" w:hAnsi="Times New Roman"/>
                <w:lang w:val="el-GR"/>
              </w:rPr>
              <w:t xml:space="preserve"> </w:t>
            </w:r>
            <w:r w:rsidR="00964C33" w:rsidRPr="003B12ED">
              <w:rPr>
                <w:rFonts w:ascii="Times New Roman" w:eastAsia="Times New Roman" w:hAnsi="Times New Roman"/>
              </w:rPr>
              <w:t>A</w:t>
            </w:r>
            <w:r w:rsidR="00964C33" w:rsidRPr="00E72291">
              <w:rPr>
                <w:rFonts w:ascii="Times New Roman" w:eastAsia="Times New Roman" w:hAnsi="Times New Roman"/>
                <w:lang w:val="el-GR"/>
              </w:rPr>
              <w:t xml:space="preserve">07 </w:t>
            </w:r>
          </w:p>
          <w:p w:rsidR="00964C33" w:rsidRPr="00E72291" w:rsidRDefault="00D9259A" w:rsidP="00AC1E02">
            <w:pPr>
              <w:spacing w:before="100" w:beforeAutospacing="1" w:after="75" w:line="360" w:lineRule="auto"/>
              <w:jc w:val="both"/>
              <w:rPr>
                <w:rFonts w:ascii="Times New Roman" w:eastAsia="Times New Roman" w:hAnsi="Times New Roman"/>
                <w:u w:val="single"/>
                <w:lang w:val="el-GR"/>
              </w:rPr>
            </w:pPr>
            <w:r w:rsidRPr="00E72291">
              <w:rPr>
                <w:rFonts w:ascii="Times New Roman" w:eastAsia="Times New Roman" w:hAnsi="Times New Roman"/>
                <w:bCs/>
                <w:u w:val="single"/>
                <w:lang w:val="el-GR"/>
              </w:rPr>
              <w:lastRenderedPageBreak/>
              <w:t>Μηχανισμός δράσης</w:t>
            </w:r>
            <w:r w:rsidR="00964C33" w:rsidRPr="00E72291">
              <w:rPr>
                <w:rFonts w:ascii="Times New Roman" w:eastAsia="Times New Roman" w:hAnsi="Times New Roman"/>
                <w:u w:val="single"/>
                <w:lang w:val="el-GR"/>
              </w:rPr>
              <w:t xml:space="preserve"> </w:t>
            </w:r>
          </w:p>
          <w:p w:rsidR="00E72291" w:rsidRPr="00E72291" w:rsidRDefault="00E72291" w:rsidP="00E72291">
            <w:pPr>
              <w:spacing w:after="75" w:line="360" w:lineRule="auto"/>
              <w:jc w:val="both"/>
              <w:rPr>
                <w:rFonts w:ascii="Times New Roman" w:eastAsia="Times New Roman" w:hAnsi="Times New Roman"/>
                <w:lang w:val="el-GR"/>
              </w:rPr>
            </w:pPr>
            <w:r w:rsidRPr="00E72291">
              <w:rPr>
                <w:rFonts w:ascii="Times New Roman" w:eastAsia="Times New Roman" w:hAnsi="Times New Roman"/>
                <w:lang w:val="el-GR"/>
              </w:rPr>
              <w:t xml:space="preserve">Η </w:t>
            </w:r>
            <w:r w:rsidR="00023710">
              <w:rPr>
                <w:rFonts w:ascii="Times New Roman" w:eastAsia="Times New Roman" w:hAnsi="Times New Roman"/>
                <w:lang w:val="el-GR"/>
              </w:rPr>
              <w:t>ροσουβαστατίνη</w:t>
            </w:r>
            <w:r w:rsidRPr="00E72291">
              <w:rPr>
                <w:rFonts w:ascii="Times New Roman" w:eastAsia="Times New Roman" w:hAnsi="Times New Roman"/>
                <w:lang w:val="el-GR"/>
              </w:rPr>
              <w:t xml:space="preserve"> είναι ένας εκλεκτικός και ανταγωνιστικός αναστολέας της HMG</w:t>
            </w:r>
            <w:r w:rsidR="002D4309">
              <w:rPr>
                <w:rFonts w:ascii="Times New Roman" w:eastAsia="Times New Roman" w:hAnsi="Times New Roman"/>
                <w:lang w:val="el-GR"/>
              </w:rPr>
              <w:t>-</w:t>
            </w:r>
            <w:r w:rsidRPr="00E72291">
              <w:rPr>
                <w:rFonts w:ascii="Times New Roman" w:eastAsia="Times New Roman" w:hAnsi="Times New Roman"/>
                <w:lang w:val="el-GR"/>
              </w:rPr>
              <w:t>CoΑ</w:t>
            </w:r>
            <w:r>
              <w:rPr>
                <w:rFonts w:ascii="Times New Roman" w:eastAsia="Times New Roman" w:hAnsi="Times New Roman"/>
                <w:lang w:val="el-GR"/>
              </w:rPr>
              <w:t xml:space="preserve"> </w:t>
            </w:r>
            <w:r w:rsidRPr="00E72291">
              <w:rPr>
                <w:rFonts w:ascii="Times New Roman" w:eastAsia="Times New Roman" w:hAnsi="Times New Roman"/>
                <w:lang w:val="el-GR"/>
              </w:rPr>
              <w:t>αναγωγάσης, η οποία αποτελεί το ένζυμο που ρυθμίζει την ταχύτητα</w:t>
            </w:r>
            <w:r>
              <w:rPr>
                <w:rFonts w:ascii="Times New Roman" w:eastAsia="Times New Roman" w:hAnsi="Times New Roman"/>
                <w:lang w:val="el-GR"/>
              </w:rPr>
              <w:t xml:space="preserve"> </w:t>
            </w:r>
            <w:r w:rsidRPr="00E72291">
              <w:rPr>
                <w:rFonts w:ascii="Times New Roman" w:eastAsia="Times New Roman" w:hAnsi="Times New Roman"/>
                <w:lang w:val="el-GR"/>
              </w:rPr>
              <w:t>μετατροπής του 3-υδροξυ-3 μεθυλ-γλουταρυλικού συνενζύμου Α σε μεβαλονικό</w:t>
            </w:r>
            <w:r>
              <w:rPr>
                <w:rFonts w:ascii="Times New Roman" w:eastAsia="Times New Roman" w:hAnsi="Times New Roman"/>
                <w:lang w:val="el-GR"/>
              </w:rPr>
              <w:t xml:space="preserve"> </w:t>
            </w:r>
            <w:r w:rsidRPr="00E72291">
              <w:rPr>
                <w:rFonts w:ascii="Times New Roman" w:eastAsia="Times New Roman" w:hAnsi="Times New Roman"/>
                <w:lang w:val="el-GR"/>
              </w:rPr>
              <w:t xml:space="preserve">οξύ, μια πρόδρομη ουσία της χοληστερόλης. Η κύρια περιοχή δράσης </w:t>
            </w:r>
            <w:r>
              <w:rPr>
                <w:rFonts w:ascii="Times New Roman" w:eastAsia="Times New Roman" w:hAnsi="Times New Roman"/>
                <w:lang w:val="el-GR"/>
              </w:rPr>
              <w:t xml:space="preserve">της </w:t>
            </w:r>
            <w:r w:rsidRPr="00E72291">
              <w:rPr>
                <w:rFonts w:ascii="Times New Roman" w:eastAsia="Times New Roman" w:hAnsi="Times New Roman"/>
                <w:lang w:val="el-GR"/>
              </w:rPr>
              <w:t>rosuvastatin είναι το ήπαρ, το όργανο στόχος για τη μείωση της χοληστερόλης.</w:t>
            </w:r>
          </w:p>
          <w:p w:rsidR="00E72291" w:rsidRDefault="00E72291" w:rsidP="00E72291">
            <w:pPr>
              <w:spacing w:after="75" w:line="360" w:lineRule="auto"/>
              <w:jc w:val="both"/>
              <w:rPr>
                <w:rFonts w:ascii="Times New Roman" w:eastAsia="Times New Roman" w:hAnsi="Times New Roman"/>
                <w:lang w:val="el-GR"/>
              </w:rPr>
            </w:pPr>
            <w:r w:rsidRPr="00E72291">
              <w:rPr>
                <w:rFonts w:ascii="Times New Roman" w:eastAsia="Times New Roman" w:hAnsi="Times New Roman"/>
                <w:lang w:val="el-GR"/>
              </w:rPr>
              <w:t>Η rosuvastatin αυξάνει τον αριθμό των ηπατικών LDL υποδοχέων στην επιφάνεια</w:t>
            </w:r>
            <w:r>
              <w:rPr>
                <w:rFonts w:ascii="Times New Roman" w:eastAsia="Times New Roman" w:hAnsi="Times New Roman"/>
                <w:lang w:val="el-GR"/>
              </w:rPr>
              <w:t xml:space="preserve"> </w:t>
            </w:r>
            <w:r w:rsidRPr="00E72291">
              <w:rPr>
                <w:rFonts w:ascii="Times New Roman" w:eastAsia="Times New Roman" w:hAnsi="Times New Roman"/>
                <w:lang w:val="el-GR"/>
              </w:rPr>
              <w:t>των κυττάρων, ενισχύοντας την πρόσληψη και τον καταβολισμό της LDL και</w:t>
            </w:r>
            <w:r>
              <w:rPr>
                <w:rFonts w:ascii="Times New Roman" w:eastAsia="Times New Roman" w:hAnsi="Times New Roman"/>
                <w:lang w:val="el-GR"/>
              </w:rPr>
              <w:t xml:space="preserve"> </w:t>
            </w:r>
            <w:r w:rsidRPr="00E72291">
              <w:rPr>
                <w:rFonts w:ascii="Times New Roman" w:eastAsia="Times New Roman" w:hAnsi="Times New Roman"/>
                <w:lang w:val="el-GR"/>
              </w:rPr>
              <w:t>αναστέλλει την ηπατική σύνθεση της VLDL, μειώνοντας έτσι τον συνολικό αριθμό</w:t>
            </w:r>
            <w:r>
              <w:rPr>
                <w:rFonts w:ascii="Times New Roman" w:eastAsia="Times New Roman" w:hAnsi="Times New Roman"/>
                <w:lang w:val="el-GR"/>
              </w:rPr>
              <w:t xml:space="preserve"> </w:t>
            </w:r>
            <w:r w:rsidRPr="00E72291">
              <w:rPr>
                <w:rFonts w:ascii="Times New Roman" w:eastAsia="Times New Roman" w:hAnsi="Times New Roman"/>
                <w:lang w:val="el-GR"/>
              </w:rPr>
              <w:t>των σωματιδίων VLDL και LDL.</w:t>
            </w:r>
          </w:p>
          <w:p w:rsidR="00964C33" w:rsidRPr="00AC1E02" w:rsidRDefault="00393411" w:rsidP="00AC1E02">
            <w:pPr>
              <w:spacing w:before="100" w:beforeAutospacing="1" w:after="75" w:line="360" w:lineRule="auto"/>
              <w:jc w:val="both"/>
              <w:rPr>
                <w:rFonts w:ascii="Times New Roman" w:eastAsia="Times New Roman" w:hAnsi="Times New Roman"/>
                <w:u w:val="single"/>
              </w:rPr>
            </w:pPr>
            <w:r w:rsidRPr="00393411">
              <w:rPr>
                <w:rFonts w:ascii="Times New Roman" w:eastAsia="Times New Roman" w:hAnsi="Times New Roman"/>
                <w:bCs/>
                <w:u w:val="single"/>
              </w:rPr>
              <w:t>Φαρμακοδυναμικές επιδράσεις</w:t>
            </w:r>
          </w:p>
          <w:p w:rsidR="00B14B3E" w:rsidRPr="00B52EC0" w:rsidRDefault="00B14B3E" w:rsidP="00B14B3E">
            <w:pPr>
              <w:spacing w:after="75" w:line="360" w:lineRule="auto"/>
              <w:jc w:val="both"/>
              <w:rPr>
                <w:rFonts w:ascii="Times New Roman" w:eastAsia="Times New Roman" w:hAnsi="Times New Roman"/>
                <w:lang w:val="el-GR"/>
              </w:rPr>
            </w:pPr>
            <w:r>
              <w:rPr>
                <w:rFonts w:ascii="Times New Roman" w:eastAsia="Times New Roman" w:hAnsi="Times New Roman"/>
                <w:lang w:val="el-GR"/>
              </w:rPr>
              <w:t>Η ροσουβαστατίνη</w:t>
            </w:r>
            <w:r w:rsidRPr="00B14B3E">
              <w:rPr>
                <w:rFonts w:ascii="Times New Roman" w:eastAsia="Times New Roman" w:hAnsi="Times New Roman"/>
                <w:lang w:val="el-GR"/>
              </w:rPr>
              <w:t xml:space="preserve"> ελαττώνει την αυξημένη LDL-χοληστερόλη, την ολική χοληστερόλη και</w:t>
            </w:r>
            <w:r>
              <w:rPr>
                <w:rFonts w:ascii="Times New Roman" w:eastAsia="Times New Roman" w:hAnsi="Times New Roman"/>
                <w:lang w:val="el-GR"/>
              </w:rPr>
              <w:t xml:space="preserve"> </w:t>
            </w:r>
            <w:r w:rsidRPr="00B14B3E">
              <w:rPr>
                <w:rFonts w:ascii="Times New Roman" w:eastAsia="Times New Roman" w:hAnsi="Times New Roman"/>
                <w:lang w:val="el-GR"/>
              </w:rPr>
              <w:t>τα τριγλυκερίδια και αυξάνει την HDL-χοληστερόλη. Επίσης, μειώνει την</w:t>
            </w:r>
            <w:r>
              <w:rPr>
                <w:rFonts w:ascii="Times New Roman" w:eastAsia="Times New Roman" w:hAnsi="Times New Roman"/>
                <w:lang w:val="el-GR"/>
              </w:rPr>
              <w:t xml:space="preserve"> </w:t>
            </w:r>
            <w:r w:rsidRPr="00B14B3E">
              <w:rPr>
                <w:rFonts w:ascii="Times New Roman" w:eastAsia="Times New Roman" w:hAnsi="Times New Roman"/>
                <w:lang w:val="el-GR"/>
              </w:rPr>
              <w:t>απολιποπρωτεΐνη Β (ΑpoB), non HDL-C, VLDL-C, VLDL-TG και αυξάνει την Apo AI</w:t>
            </w:r>
            <w:r>
              <w:rPr>
                <w:rFonts w:ascii="Times New Roman" w:eastAsia="Times New Roman" w:hAnsi="Times New Roman"/>
                <w:lang w:val="el-GR"/>
              </w:rPr>
              <w:t xml:space="preserve"> </w:t>
            </w:r>
            <w:r w:rsidRPr="00B14B3E">
              <w:rPr>
                <w:rFonts w:ascii="Times New Roman" w:eastAsia="Times New Roman" w:hAnsi="Times New Roman"/>
                <w:lang w:val="el-GR"/>
              </w:rPr>
              <w:t xml:space="preserve">(βλέπε πίνακα 1). </w:t>
            </w:r>
            <w:r w:rsidR="00B52EC0" w:rsidRPr="00B52EC0">
              <w:rPr>
                <w:rFonts w:ascii="Times New Roman" w:eastAsia="Times New Roman" w:hAnsi="Times New Roman"/>
                <w:lang w:val="el-GR"/>
              </w:rPr>
              <w:t xml:space="preserve">Η ροσουβαστατίνη </w:t>
            </w:r>
            <w:r w:rsidRPr="00B14B3E">
              <w:rPr>
                <w:rFonts w:ascii="Times New Roman" w:eastAsia="Times New Roman" w:hAnsi="Times New Roman"/>
                <w:lang w:val="el-GR"/>
              </w:rPr>
              <w:t>επίσης ελαττώνει τα κλάσματα LDL -C/HDL-C,</w:t>
            </w:r>
            <w:r>
              <w:rPr>
                <w:rFonts w:ascii="Times New Roman" w:eastAsia="Times New Roman" w:hAnsi="Times New Roman"/>
                <w:lang w:val="el-GR"/>
              </w:rPr>
              <w:t xml:space="preserve"> </w:t>
            </w:r>
            <w:r w:rsidRPr="00B14B3E">
              <w:rPr>
                <w:rFonts w:ascii="Times New Roman" w:eastAsia="Times New Roman" w:hAnsi="Times New Roman"/>
                <w:lang w:val="el-GR"/>
              </w:rPr>
              <w:t>ολική</w:t>
            </w:r>
            <w:r w:rsidRPr="00B52EC0">
              <w:rPr>
                <w:rFonts w:ascii="Times New Roman" w:eastAsia="Times New Roman" w:hAnsi="Times New Roman"/>
                <w:lang w:val="el-GR"/>
              </w:rPr>
              <w:t xml:space="preserve"> </w:t>
            </w:r>
            <w:r w:rsidRPr="00B14B3E">
              <w:rPr>
                <w:rFonts w:ascii="Times New Roman" w:eastAsia="Times New Roman" w:hAnsi="Times New Roman"/>
              </w:rPr>
              <w:t>C</w:t>
            </w:r>
            <w:r w:rsidRPr="00B52EC0">
              <w:rPr>
                <w:rFonts w:ascii="Times New Roman" w:eastAsia="Times New Roman" w:hAnsi="Times New Roman"/>
                <w:lang w:val="el-GR"/>
              </w:rPr>
              <w:t>/</w:t>
            </w:r>
            <w:r w:rsidRPr="00B14B3E">
              <w:rPr>
                <w:rFonts w:ascii="Times New Roman" w:eastAsia="Times New Roman" w:hAnsi="Times New Roman"/>
              </w:rPr>
              <w:t>HDL</w:t>
            </w:r>
            <w:r w:rsidRPr="00B52EC0">
              <w:rPr>
                <w:rFonts w:ascii="Times New Roman" w:eastAsia="Times New Roman" w:hAnsi="Times New Roman"/>
                <w:lang w:val="el-GR"/>
              </w:rPr>
              <w:t>-</w:t>
            </w:r>
            <w:r w:rsidRPr="00B14B3E">
              <w:rPr>
                <w:rFonts w:ascii="Times New Roman" w:eastAsia="Times New Roman" w:hAnsi="Times New Roman"/>
              </w:rPr>
              <w:t>C</w:t>
            </w:r>
            <w:r w:rsidRPr="00B52EC0">
              <w:rPr>
                <w:rFonts w:ascii="Times New Roman" w:eastAsia="Times New Roman" w:hAnsi="Times New Roman"/>
                <w:lang w:val="el-GR"/>
              </w:rPr>
              <w:t xml:space="preserve">, </w:t>
            </w:r>
            <w:r w:rsidRPr="00B14B3E">
              <w:rPr>
                <w:rFonts w:ascii="Times New Roman" w:eastAsia="Times New Roman" w:hAnsi="Times New Roman"/>
              </w:rPr>
              <w:t>nonHDL</w:t>
            </w:r>
            <w:r w:rsidRPr="00B52EC0">
              <w:rPr>
                <w:rFonts w:ascii="Times New Roman" w:eastAsia="Times New Roman" w:hAnsi="Times New Roman"/>
                <w:lang w:val="el-GR"/>
              </w:rPr>
              <w:t>-</w:t>
            </w:r>
            <w:r w:rsidRPr="00B14B3E">
              <w:rPr>
                <w:rFonts w:ascii="Times New Roman" w:eastAsia="Times New Roman" w:hAnsi="Times New Roman"/>
              </w:rPr>
              <w:t>C</w:t>
            </w:r>
            <w:r w:rsidRPr="00B52EC0">
              <w:rPr>
                <w:rFonts w:ascii="Times New Roman" w:eastAsia="Times New Roman" w:hAnsi="Times New Roman"/>
                <w:lang w:val="el-GR"/>
              </w:rPr>
              <w:t>/</w:t>
            </w:r>
            <w:r w:rsidRPr="00B14B3E">
              <w:rPr>
                <w:rFonts w:ascii="Times New Roman" w:eastAsia="Times New Roman" w:hAnsi="Times New Roman"/>
              </w:rPr>
              <w:t>HDL</w:t>
            </w:r>
            <w:r w:rsidRPr="00B52EC0">
              <w:rPr>
                <w:rFonts w:ascii="Times New Roman" w:eastAsia="Times New Roman" w:hAnsi="Times New Roman"/>
                <w:lang w:val="el-GR"/>
              </w:rPr>
              <w:t>-</w:t>
            </w:r>
            <w:r w:rsidRPr="00B14B3E">
              <w:rPr>
                <w:rFonts w:ascii="Times New Roman" w:eastAsia="Times New Roman" w:hAnsi="Times New Roman"/>
              </w:rPr>
              <w:t>C</w:t>
            </w:r>
            <w:r w:rsidRPr="00B52EC0">
              <w:rPr>
                <w:rFonts w:ascii="Times New Roman" w:eastAsia="Times New Roman" w:hAnsi="Times New Roman"/>
                <w:lang w:val="el-GR"/>
              </w:rPr>
              <w:t xml:space="preserve"> </w:t>
            </w:r>
            <w:r w:rsidRPr="00B14B3E">
              <w:rPr>
                <w:rFonts w:ascii="Times New Roman" w:eastAsia="Times New Roman" w:hAnsi="Times New Roman"/>
                <w:lang w:val="el-GR"/>
              </w:rPr>
              <w:t>και</w:t>
            </w:r>
            <w:r w:rsidRPr="00B52EC0">
              <w:rPr>
                <w:rFonts w:ascii="Times New Roman" w:eastAsia="Times New Roman" w:hAnsi="Times New Roman"/>
                <w:lang w:val="el-GR"/>
              </w:rPr>
              <w:t xml:space="preserve"> </w:t>
            </w:r>
            <w:r w:rsidRPr="00B14B3E">
              <w:rPr>
                <w:rFonts w:ascii="Times New Roman" w:eastAsia="Times New Roman" w:hAnsi="Times New Roman"/>
              </w:rPr>
              <w:t>ApoB</w:t>
            </w:r>
            <w:r w:rsidRPr="00B52EC0">
              <w:rPr>
                <w:rFonts w:ascii="Times New Roman" w:eastAsia="Times New Roman" w:hAnsi="Times New Roman"/>
                <w:lang w:val="el-GR"/>
              </w:rPr>
              <w:t>/</w:t>
            </w:r>
            <w:r w:rsidRPr="00B14B3E">
              <w:rPr>
                <w:rFonts w:ascii="Times New Roman" w:eastAsia="Times New Roman" w:hAnsi="Times New Roman"/>
              </w:rPr>
              <w:t>ApoA</w:t>
            </w:r>
            <w:r w:rsidRPr="00B52EC0">
              <w:rPr>
                <w:rFonts w:ascii="Times New Roman" w:eastAsia="Times New Roman" w:hAnsi="Times New Roman"/>
                <w:lang w:val="el-GR"/>
              </w:rPr>
              <w:t>-</w:t>
            </w:r>
            <w:r w:rsidRPr="00B14B3E">
              <w:rPr>
                <w:rFonts w:ascii="Times New Roman" w:eastAsia="Times New Roman" w:hAnsi="Times New Roman"/>
              </w:rPr>
              <w:t>I</w:t>
            </w:r>
            <w:r w:rsidRPr="00B52EC0">
              <w:rPr>
                <w:rFonts w:ascii="Times New Roman" w:eastAsia="Times New Roman" w:hAnsi="Times New Roman"/>
                <w:lang w:val="el-GR"/>
              </w:rPr>
              <w:t>.</w:t>
            </w:r>
          </w:p>
          <w:p w:rsidR="00EC20C8" w:rsidRDefault="00EC20C8" w:rsidP="00AC1E02">
            <w:pPr>
              <w:spacing w:after="0" w:line="360" w:lineRule="auto"/>
              <w:jc w:val="both"/>
              <w:rPr>
                <w:rFonts w:ascii="Times New Roman" w:eastAsia="Times New Roman" w:hAnsi="Times New Roman"/>
                <w:b/>
                <w:bCs/>
              </w:rPr>
            </w:pPr>
          </w:p>
          <w:p w:rsidR="00964C33" w:rsidRPr="00717BF0" w:rsidRDefault="00A92C0F" w:rsidP="00717BF0">
            <w:pPr>
              <w:spacing w:after="0" w:line="360" w:lineRule="auto"/>
              <w:ind w:left="993" w:hanging="993"/>
              <w:jc w:val="both"/>
              <w:rPr>
                <w:rFonts w:ascii="Times New Roman" w:eastAsia="Times New Roman" w:hAnsi="Times New Roman"/>
                <w:lang w:val="el-GR"/>
              </w:rPr>
            </w:pPr>
            <w:r>
              <w:rPr>
                <w:rFonts w:ascii="Times New Roman" w:eastAsia="Times New Roman" w:hAnsi="Times New Roman"/>
                <w:b/>
                <w:bCs/>
                <w:lang w:val="el-GR"/>
              </w:rPr>
              <w:t>Πίνακας</w:t>
            </w:r>
            <w:r w:rsidR="00964C33" w:rsidRPr="00717BF0">
              <w:rPr>
                <w:rFonts w:ascii="Times New Roman" w:eastAsia="Times New Roman" w:hAnsi="Times New Roman"/>
                <w:b/>
                <w:bCs/>
                <w:lang w:val="el-GR"/>
              </w:rPr>
              <w:t xml:space="preserve"> 1 </w:t>
            </w:r>
            <w:r w:rsidR="00717BF0" w:rsidRPr="00717BF0">
              <w:rPr>
                <w:rFonts w:ascii="Times New Roman" w:eastAsia="Times New Roman" w:hAnsi="Times New Roman"/>
                <w:b/>
                <w:bCs/>
                <w:lang w:val="el-GR"/>
              </w:rPr>
              <w:t xml:space="preserve">Δοσολογική ανταπόκριση σε ασθενείς με πρωτοπαθή υπερχοληστερολαιμία </w:t>
            </w:r>
            <w:r w:rsidR="00964C33" w:rsidRPr="00717BF0">
              <w:rPr>
                <w:rFonts w:ascii="Times New Roman" w:eastAsia="Times New Roman" w:hAnsi="Times New Roman"/>
                <w:b/>
                <w:bCs/>
                <w:lang w:val="el-GR"/>
              </w:rPr>
              <w:t>(</w:t>
            </w:r>
            <w:r w:rsidR="00717BF0">
              <w:rPr>
                <w:rFonts w:ascii="Times New Roman" w:eastAsia="Times New Roman" w:hAnsi="Times New Roman"/>
                <w:b/>
                <w:bCs/>
                <w:lang w:val="el-GR"/>
              </w:rPr>
              <w:t>τύπου</w:t>
            </w:r>
            <w:r w:rsidR="00964C33" w:rsidRPr="00717BF0">
              <w:rPr>
                <w:rFonts w:ascii="Times New Roman" w:eastAsia="Times New Roman" w:hAnsi="Times New Roman"/>
                <w:b/>
                <w:bCs/>
                <w:lang w:val="el-GR"/>
              </w:rPr>
              <w:t xml:space="preserve"> </w:t>
            </w:r>
            <w:r w:rsidR="00964C33" w:rsidRPr="00426846">
              <w:rPr>
                <w:rFonts w:ascii="Times New Roman" w:eastAsia="Times New Roman" w:hAnsi="Times New Roman"/>
                <w:b/>
                <w:bCs/>
              </w:rPr>
              <w:t>IIa</w:t>
            </w:r>
            <w:r w:rsidR="00964C33" w:rsidRPr="00717BF0">
              <w:rPr>
                <w:rFonts w:ascii="Times New Roman" w:eastAsia="Times New Roman" w:hAnsi="Times New Roman"/>
                <w:b/>
                <w:bCs/>
                <w:lang w:val="el-GR"/>
              </w:rPr>
              <w:t xml:space="preserve"> </w:t>
            </w:r>
            <w:r w:rsidR="00717BF0">
              <w:rPr>
                <w:rFonts w:ascii="Times New Roman" w:eastAsia="Times New Roman" w:hAnsi="Times New Roman"/>
                <w:b/>
                <w:bCs/>
                <w:lang w:val="el-GR"/>
              </w:rPr>
              <w:t>και</w:t>
            </w:r>
            <w:r w:rsidR="00964C33" w:rsidRPr="00717BF0">
              <w:rPr>
                <w:rFonts w:ascii="Times New Roman" w:eastAsia="Times New Roman" w:hAnsi="Times New Roman"/>
                <w:b/>
                <w:bCs/>
                <w:lang w:val="el-GR"/>
              </w:rPr>
              <w:t xml:space="preserve"> </w:t>
            </w:r>
            <w:r w:rsidR="00964C33" w:rsidRPr="00426846">
              <w:rPr>
                <w:rFonts w:ascii="Times New Roman" w:eastAsia="Times New Roman" w:hAnsi="Times New Roman"/>
                <w:b/>
                <w:bCs/>
              </w:rPr>
              <w:t>IIb</w:t>
            </w:r>
            <w:r w:rsidR="00964C33" w:rsidRPr="00717BF0">
              <w:rPr>
                <w:rFonts w:ascii="Times New Roman" w:eastAsia="Times New Roman" w:hAnsi="Times New Roman"/>
                <w:b/>
                <w:bCs/>
                <w:lang w:val="el-GR"/>
              </w:rPr>
              <w:t>)</w:t>
            </w:r>
            <w:r w:rsidR="00717BF0" w:rsidRPr="00717BF0">
              <w:rPr>
                <w:rFonts w:ascii="Times New Roman" w:eastAsia="Times New Roman" w:hAnsi="Times New Roman"/>
                <w:b/>
                <w:bCs/>
                <w:lang w:val="el-GR"/>
              </w:rPr>
              <w:t xml:space="preserve"> </w:t>
            </w:r>
            <w:r w:rsidR="00964C33" w:rsidRPr="00717BF0">
              <w:rPr>
                <w:rFonts w:ascii="Times New Roman" w:eastAsia="Times New Roman" w:hAnsi="Times New Roman"/>
                <w:b/>
                <w:bCs/>
                <w:lang w:val="el-GR"/>
              </w:rPr>
              <w:t>(</w:t>
            </w:r>
            <w:r w:rsidR="00717BF0" w:rsidRPr="00717BF0">
              <w:rPr>
                <w:rFonts w:ascii="Times New Roman" w:eastAsia="Times New Roman" w:hAnsi="Times New Roman"/>
                <w:b/>
                <w:bCs/>
                <w:lang w:val="el-GR"/>
              </w:rPr>
              <w:t>προσαρμοσθείσα</w:t>
            </w:r>
            <w:r w:rsidR="00717BF0">
              <w:rPr>
                <w:rFonts w:ascii="Times New Roman" w:eastAsia="Times New Roman" w:hAnsi="Times New Roman"/>
                <w:b/>
                <w:bCs/>
                <w:lang w:val="el-GR"/>
              </w:rPr>
              <w:t xml:space="preserve"> </w:t>
            </w:r>
            <w:r w:rsidR="00717BF0" w:rsidRPr="00717BF0">
              <w:rPr>
                <w:rFonts w:ascii="Times New Roman" w:eastAsia="Times New Roman" w:hAnsi="Times New Roman"/>
                <w:b/>
                <w:bCs/>
                <w:lang w:val="el-GR"/>
              </w:rPr>
              <w:t>μέση % μεταβολή, σε σχέση με τις τιμές έναρξης</w:t>
            </w:r>
            <w:r w:rsidR="00964C33" w:rsidRPr="00717BF0">
              <w:rPr>
                <w:rFonts w:ascii="Times New Roman" w:eastAsia="Times New Roman" w:hAnsi="Times New Roman"/>
                <w:b/>
                <w:bCs/>
                <w:lang w:val="el-GR"/>
              </w:rPr>
              <w:t>)</w:t>
            </w:r>
          </w:p>
          <w:tbl>
            <w:tblPr>
              <w:tblW w:w="9033"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98"/>
              <w:gridCol w:w="996"/>
              <w:gridCol w:w="996"/>
              <w:gridCol w:w="995"/>
              <w:gridCol w:w="995"/>
              <w:gridCol w:w="824"/>
              <w:gridCol w:w="1245"/>
              <w:gridCol w:w="992"/>
              <w:gridCol w:w="992"/>
            </w:tblGrid>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5132C7" w:rsidP="00AC1E02">
                  <w:pPr>
                    <w:spacing w:before="100" w:beforeAutospacing="1" w:after="75" w:line="360" w:lineRule="auto"/>
                    <w:jc w:val="both"/>
                    <w:rPr>
                      <w:rFonts w:ascii="Times New Roman" w:eastAsia="Times New Roman" w:hAnsi="Times New Roman"/>
                    </w:rPr>
                  </w:pPr>
                  <w:r w:rsidRPr="005132C7">
                    <w:rPr>
                      <w:rFonts w:ascii="Times New Roman" w:eastAsia="Times New Roman" w:hAnsi="Times New Roman"/>
                      <w:b/>
                      <w:bCs/>
                    </w:rPr>
                    <w:t>Δόση</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N</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LDL-C</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Total-C</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HDL-C</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TG</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nonHDL-C</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ApoB</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b/>
                      <w:bCs/>
                    </w:rPr>
                    <w:t>ApoA-I</w:t>
                  </w:r>
                </w:p>
              </w:tc>
            </w:tr>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Placebo</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13</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-7</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E32AB">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94556">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-7</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0</w:t>
                  </w:r>
                </w:p>
              </w:tc>
            </w:tr>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17</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-45</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E32AB">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-33</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94556">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13</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-35</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-44</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-38</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w:t>
                  </w:r>
                </w:p>
              </w:tc>
            </w:tr>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10</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17</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-52</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E32AB">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-36</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94556">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14</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-10</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-48</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-42</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w:t>
                  </w:r>
                </w:p>
              </w:tc>
            </w:tr>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20</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17</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-55</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E32AB">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-40</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94556">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8</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-23</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-51</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-46</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w:t>
                  </w:r>
                </w:p>
              </w:tc>
            </w:tr>
            <w:tr w:rsidR="00964C33" w:rsidRPr="00426846" w:rsidTr="00602D74">
              <w:trPr>
                <w:tblCellSpacing w:w="0" w:type="dxa"/>
              </w:trPr>
              <w:tc>
                <w:tcPr>
                  <w:tcW w:w="552"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40</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18</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3170C4">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-63</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E32AB">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-46</w:t>
                  </w:r>
                </w:p>
              </w:tc>
              <w:tc>
                <w:tcPr>
                  <w:tcW w:w="551" w:type="pct"/>
                  <w:tcBorders>
                    <w:top w:val="outset" w:sz="6" w:space="0" w:color="auto"/>
                    <w:left w:val="outset" w:sz="6" w:space="0" w:color="auto"/>
                    <w:bottom w:val="outset" w:sz="6" w:space="0" w:color="auto"/>
                    <w:right w:val="outset" w:sz="6" w:space="0" w:color="auto"/>
                  </w:tcBorders>
                </w:tcPr>
                <w:p w:rsidR="00964C33" w:rsidRPr="00426846" w:rsidRDefault="00964C33" w:rsidP="00694556">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10</w:t>
                  </w:r>
                </w:p>
              </w:tc>
              <w:tc>
                <w:tcPr>
                  <w:tcW w:w="456"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-28</w:t>
                  </w:r>
                </w:p>
              </w:tc>
              <w:tc>
                <w:tcPr>
                  <w:tcW w:w="68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-60</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-54</w:t>
                  </w:r>
                </w:p>
              </w:tc>
              <w:tc>
                <w:tcPr>
                  <w:tcW w:w="549" w:type="pct"/>
                  <w:tcBorders>
                    <w:top w:val="outset" w:sz="6" w:space="0" w:color="auto"/>
                    <w:left w:val="outset" w:sz="6" w:space="0" w:color="auto"/>
                    <w:bottom w:val="outset" w:sz="6" w:space="0" w:color="auto"/>
                    <w:right w:val="outset" w:sz="6" w:space="0" w:color="auto"/>
                  </w:tcBorders>
                </w:tcPr>
                <w:p w:rsidR="00964C33" w:rsidRPr="00426846" w:rsidRDefault="00964C33" w:rsidP="00AC1E02">
                  <w:pPr>
                    <w:spacing w:before="100" w:beforeAutospacing="1" w:after="75" w:line="360" w:lineRule="auto"/>
                    <w:jc w:val="both"/>
                    <w:rPr>
                      <w:rFonts w:ascii="Times New Roman" w:eastAsia="Times New Roman" w:hAnsi="Times New Roman"/>
                    </w:rPr>
                  </w:pPr>
                  <w:r w:rsidRPr="00426846">
                    <w:rPr>
                      <w:rFonts w:ascii="Times New Roman" w:eastAsia="Times New Roman" w:hAnsi="Times New Roman"/>
                    </w:rPr>
                    <w:t>0</w:t>
                  </w:r>
                </w:p>
              </w:tc>
            </w:tr>
          </w:tbl>
          <w:p w:rsidR="00174DA3" w:rsidRDefault="00174DA3" w:rsidP="00174DA3">
            <w:pPr>
              <w:spacing w:before="100" w:beforeAutospacing="1" w:after="75" w:line="360" w:lineRule="auto"/>
              <w:jc w:val="both"/>
              <w:rPr>
                <w:rFonts w:ascii="Times New Roman" w:eastAsia="Times New Roman" w:hAnsi="Times New Roman"/>
                <w:lang w:val="el-GR"/>
              </w:rPr>
            </w:pPr>
            <w:r w:rsidRPr="00174DA3">
              <w:rPr>
                <w:rFonts w:ascii="Times New Roman" w:eastAsia="Times New Roman" w:hAnsi="Times New Roman"/>
                <w:lang w:val="el-GR"/>
              </w:rPr>
              <w:t>Θεραπευτικό αποτέλεσμα είναι εμφανές εντός μίας εβδομάδας από</w:t>
            </w:r>
            <w:r>
              <w:rPr>
                <w:rFonts w:ascii="Times New Roman" w:eastAsia="Times New Roman" w:hAnsi="Times New Roman"/>
                <w:lang w:val="el-GR"/>
              </w:rPr>
              <w:t xml:space="preserve"> </w:t>
            </w:r>
            <w:r w:rsidRPr="00174DA3">
              <w:rPr>
                <w:rFonts w:ascii="Times New Roman" w:eastAsia="Times New Roman" w:hAnsi="Times New Roman"/>
                <w:lang w:val="el-GR"/>
              </w:rPr>
              <w:t>την έναρξη της θεραπείας και το 90% της μέγιστης ανταπόκρισης επιτυγχάνεται</w:t>
            </w:r>
            <w:r>
              <w:rPr>
                <w:rFonts w:ascii="Times New Roman" w:eastAsia="Times New Roman" w:hAnsi="Times New Roman"/>
                <w:lang w:val="el-GR"/>
              </w:rPr>
              <w:t xml:space="preserve"> </w:t>
            </w:r>
            <w:r w:rsidRPr="00174DA3">
              <w:rPr>
                <w:rFonts w:ascii="Times New Roman" w:eastAsia="Times New Roman" w:hAnsi="Times New Roman"/>
                <w:lang w:val="el-GR"/>
              </w:rPr>
              <w:t>σε 2 εβδομάδες. Η μέγιστη ανταπόκριση συνήθως επιτυγχάνεται σε 4 εβδομάδες</w:t>
            </w:r>
            <w:r>
              <w:rPr>
                <w:rFonts w:ascii="Times New Roman" w:eastAsia="Times New Roman" w:hAnsi="Times New Roman"/>
                <w:lang w:val="el-GR"/>
              </w:rPr>
              <w:t xml:space="preserve"> </w:t>
            </w:r>
            <w:r w:rsidRPr="00174DA3">
              <w:rPr>
                <w:rFonts w:ascii="Times New Roman" w:eastAsia="Times New Roman" w:hAnsi="Times New Roman"/>
                <w:lang w:val="el-GR"/>
              </w:rPr>
              <w:t>και διατηρείται με τη συνέχιση της θεραπείας.</w:t>
            </w:r>
          </w:p>
          <w:p w:rsidR="00964C33" w:rsidRPr="00426846" w:rsidRDefault="00964C33" w:rsidP="003170C4">
            <w:pPr>
              <w:spacing w:before="100" w:beforeAutospacing="1" w:after="75" w:line="360" w:lineRule="auto"/>
              <w:jc w:val="both"/>
              <w:rPr>
                <w:rFonts w:ascii="Times New Roman" w:eastAsia="Times New Roman" w:hAnsi="Times New Roman"/>
              </w:rPr>
            </w:pPr>
          </w:p>
          <w:p w:rsidR="00964C33" w:rsidRPr="00023710" w:rsidRDefault="00697A7F" w:rsidP="003170C4">
            <w:pPr>
              <w:spacing w:before="100" w:beforeAutospacing="1" w:after="75" w:line="360" w:lineRule="auto"/>
              <w:jc w:val="both"/>
              <w:rPr>
                <w:rFonts w:ascii="Times New Roman" w:eastAsia="Times New Roman" w:hAnsi="Times New Roman"/>
                <w:u w:val="single"/>
                <w:lang w:val="el-GR"/>
              </w:rPr>
            </w:pPr>
            <w:r w:rsidRPr="00023710">
              <w:rPr>
                <w:rFonts w:ascii="Times New Roman" w:eastAsia="Times New Roman" w:hAnsi="Times New Roman"/>
                <w:bCs/>
                <w:u w:val="single"/>
                <w:lang w:val="el-GR"/>
              </w:rPr>
              <w:t>Κλινική αποτελεσματικότητα</w:t>
            </w:r>
            <w:r>
              <w:rPr>
                <w:rFonts w:ascii="Times New Roman" w:eastAsia="Times New Roman" w:hAnsi="Times New Roman"/>
                <w:bCs/>
                <w:u w:val="single"/>
                <w:lang w:val="el-GR"/>
              </w:rPr>
              <w:t xml:space="preserve"> και ασφάλεια</w:t>
            </w:r>
            <w:r w:rsidR="00964C33" w:rsidRPr="00023710">
              <w:rPr>
                <w:rFonts w:ascii="Times New Roman" w:eastAsia="Times New Roman" w:hAnsi="Times New Roman"/>
                <w:u w:val="single"/>
                <w:lang w:val="el-GR"/>
              </w:rPr>
              <w:t xml:space="preserve"> </w:t>
            </w:r>
          </w:p>
          <w:p w:rsidR="00023710" w:rsidRPr="00023710" w:rsidRDefault="00023710" w:rsidP="00023710">
            <w:pPr>
              <w:spacing w:after="75" w:line="360" w:lineRule="auto"/>
              <w:jc w:val="both"/>
              <w:rPr>
                <w:rFonts w:ascii="Times New Roman" w:eastAsia="Times New Roman" w:hAnsi="Times New Roman"/>
                <w:lang w:val="el-GR"/>
              </w:rPr>
            </w:pPr>
            <w:r w:rsidRPr="00023710">
              <w:rPr>
                <w:rFonts w:ascii="Times New Roman" w:eastAsia="Times New Roman" w:hAnsi="Times New Roman"/>
                <w:lang w:val="el-GR"/>
              </w:rPr>
              <w:t>Η ροσουβαστατίνη είναι αποτελεσματικ</w:t>
            </w:r>
            <w:r>
              <w:rPr>
                <w:rFonts w:ascii="Times New Roman" w:eastAsia="Times New Roman" w:hAnsi="Times New Roman"/>
                <w:lang w:val="el-GR"/>
              </w:rPr>
              <w:t>ή</w:t>
            </w:r>
            <w:r w:rsidRPr="00023710">
              <w:rPr>
                <w:rFonts w:ascii="Times New Roman" w:eastAsia="Times New Roman" w:hAnsi="Times New Roman"/>
                <w:lang w:val="el-GR"/>
              </w:rPr>
              <w:t xml:space="preserve"> σε ενήλικες με υπερχοληστερολαιμία, με ή χωρίς</w:t>
            </w:r>
            <w:r>
              <w:rPr>
                <w:rFonts w:ascii="Times New Roman" w:eastAsia="Times New Roman" w:hAnsi="Times New Roman"/>
                <w:lang w:val="el-GR"/>
              </w:rPr>
              <w:t xml:space="preserve"> </w:t>
            </w:r>
            <w:r w:rsidRPr="00023710">
              <w:rPr>
                <w:rFonts w:ascii="Times New Roman" w:eastAsia="Times New Roman" w:hAnsi="Times New Roman"/>
                <w:lang w:val="el-GR"/>
              </w:rPr>
              <w:t>υπερτριγλυκεριδαιμία, ανεξάρτητα από εθνικότητα, γένος ή ηλικία και σε ειδικούς</w:t>
            </w:r>
            <w:r>
              <w:rPr>
                <w:rFonts w:ascii="Times New Roman" w:eastAsia="Times New Roman" w:hAnsi="Times New Roman"/>
                <w:lang w:val="el-GR"/>
              </w:rPr>
              <w:t xml:space="preserve"> </w:t>
            </w:r>
            <w:r w:rsidRPr="00023710">
              <w:rPr>
                <w:rFonts w:ascii="Times New Roman" w:eastAsia="Times New Roman" w:hAnsi="Times New Roman"/>
                <w:lang w:val="el-GR"/>
              </w:rPr>
              <w:t>πληθυσμούς όπως διαβητικοί, ή ασθενείς με οικογενή υπερχοληστερολαιμία.</w:t>
            </w:r>
          </w:p>
          <w:p w:rsidR="00023710" w:rsidRPr="00023710" w:rsidRDefault="00023710" w:rsidP="00023710">
            <w:pPr>
              <w:spacing w:after="75" w:line="360" w:lineRule="auto"/>
              <w:jc w:val="both"/>
              <w:rPr>
                <w:rFonts w:ascii="Times New Roman" w:eastAsia="Times New Roman" w:hAnsi="Times New Roman"/>
                <w:lang w:val="el-GR"/>
              </w:rPr>
            </w:pPr>
            <w:r w:rsidRPr="00023710">
              <w:rPr>
                <w:rFonts w:ascii="Times New Roman" w:eastAsia="Times New Roman" w:hAnsi="Times New Roman"/>
                <w:lang w:val="el-GR"/>
              </w:rPr>
              <w:t xml:space="preserve">Από συγκεντρωτικά στοιχεία μελέτης φάσης III </w:t>
            </w:r>
            <w:r w:rsidR="002B266D">
              <w:rPr>
                <w:rFonts w:ascii="Times New Roman" w:eastAsia="Times New Roman" w:hAnsi="Times New Roman"/>
                <w:lang w:val="el-GR"/>
              </w:rPr>
              <w:t>η</w:t>
            </w:r>
            <w:r w:rsidR="002B266D" w:rsidRPr="002B266D">
              <w:rPr>
                <w:rFonts w:ascii="Times New Roman" w:eastAsia="Times New Roman" w:hAnsi="Times New Roman"/>
                <w:lang w:val="el-GR"/>
              </w:rPr>
              <w:t xml:space="preserve"> ροσουβαστατίνη </w:t>
            </w:r>
            <w:r w:rsidRPr="00023710">
              <w:rPr>
                <w:rFonts w:ascii="Times New Roman" w:eastAsia="Times New Roman" w:hAnsi="Times New Roman"/>
                <w:lang w:val="el-GR"/>
              </w:rPr>
              <w:t>αποδείχθηκε ότι είναι</w:t>
            </w:r>
            <w:r w:rsidR="002B266D">
              <w:rPr>
                <w:rFonts w:ascii="Times New Roman" w:eastAsia="Times New Roman" w:hAnsi="Times New Roman"/>
                <w:lang w:val="el-GR"/>
              </w:rPr>
              <w:t xml:space="preserve"> </w:t>
            </w:r>
            <w:r w:rsidRPr="00023710">
              <w:rPr>
                <w:rFonts w:ascii="Times New Roman" w:eastAsia="Times New Roman" w:hAnsi="Times New Roman"/>
                <w:lang w:val="el-GR"/>
              </w:rPr>
              <w:t>αποτελεσματική θεραπεία για την πλειοψηφία των ασθενών με</w:t>
            </w:r>
            <w:r w:rsidR="002B266D">
              <w:rPr>
                <w:rFonts w:ascii="Times New Roman" w:eastAsia="Times New Roman" w:hAnsi="Times New Roman"/>
                <w:lang w:val="el-GR"/>
              </w:rPr>
              <w:t xml:space="preserve"> </w:t>
            </w:r>
            <w:r w:rsidRPr="00023710">
              <w:rPr>
                <w:rFonts w:ascii="Times New Roman" w:eastAsia="Times New Roman" w:hAnsi="Times New Roman"/>
                <w:lang w:val="el-GR"/>
              </w:rPr>
              <w:t xml:space="preserve">υπερχοληστερολαιμία τύπου ΙIa και IΙb (μέση τιμή LDL-C κατά την έναρξη </w:t>
            </w:r>
            <w:r w:rsidR="002B266D">
              <w:rPr>
                <w:rFonts w:ascii="Times New Roman" w:eastAsia="Times New Roman" w:hAnsi="Times New Roman"/>
                <w:lang w:val="el-GR"/>
              </w:rPr>
              <w:t xml:space="preserve">της </w:t>
            </w:r>
            <w:r w:rsidRPr="00023710">
              <w:rPr>
                <w:rFonts w:ascii="Times New Roman" w:eastAsia="Times New Roman" w:hAnsi="Times New Roman"/>
                <w:lang w:val="el-GR"/>
              </w:rPr>
              <w:t>θεραπείας περίπου 4,8 mmol/l) όσον αφορά τους αναγνωρισμένους στόχους των</w:t>
            </w:r>
            <w:r w:rsidR="002B266D">
              <w:rPr>
                <w:rFonts w:ascii="Times New Roman" w:eastAsia="Times New Roman" w:hAnsi="Times New Roman"/>
                <w:lang w:val="el-GR"/>
              </w:rPr>
              <w:t xml:space="preserve"> </w:t>
            </w:r>
            <w:r w:rsidRPr="00023710">
              <w:rPr>
                <w:rFonts w:ascii="Times New Roman" w:eastAsia="Times New Roman" w:hAnsi="Times New Roman"/>
                <w:lang w:val="el-GR"/>
              </w:rPr>
              <w:t>κατευθυντήριων</w:t>
            </w:r>
            <w:r w:rsidRPr="002B266D">
              <w:rPr>
                <w:rFonts w:ascii="Times New Roman" w:eastAsia="Times New Roman" w:hAnsi="Times New Roman"/>
                <w:lang w:val="el-GR"/>
              </w:rPr>
              <w:t xml:space="preserve"> </w:t>
            </w:r>
            <w:r w:rsidRPr="00023710">
              <w:rPr>
                <w:rFonts w:ascii="Times New Roman" w:eastAsia="Times New Roman" w:hAnsi="Times New Roman"/>
                <w:lang w:val="el-GR"/>
              </w:rPr>
              <w:t>οδηγιών</w:t>
            </w:r>
            <w:r w:rsidRPr="002B266D">
              <w:rPr>
                <w:rFonts w:ascii="Times New Roman" w:eastAsia="Times New Roman" w:hAnsi="Times New Roman"/>
                <w:lang w:val="el-GR"/>
              </w:rPr>
              <w:t xml:space="preserve"> </w:t>
            </w:r>
            <w:r w:rsidRPr="00023710">
              <w:rPr>
                <w:rFonts w:ascii="Times New Roman" w:eastAsia="Times New Roman" w:hAnsi="Times New Roman"/>
                <w:lang w:val="el-GR"/>
              </w:rPr>
              <w:t>της</w:t>
            </w:r>
            <w:r w:rsidRPr="002B266D">
              <w:rPr>
                <w:rFonts w:ascii="Times New Roman" w:eastAsia="Times New Roman" w:hAnsi="Times New Roman"/>
                <w:lang w:val="el-GR"/>
              </w:rPr>
              <w:t xml:space="preserve"> </w:t>
            </w:r>
            <w:r w:rsidRPr="00023710">
              <w:rPr>
                <w:rFonts w:ascii="Times New Roman" w:eastAsia="Times New Roman" w:hAnsi="Times New Roman"/>
              </w:rPr>
              <w:t>European</w:t>
            </w:r>
            <w:r w:rsidRPr="002B266D">
              <w:rPr>
                <w:rFonts w:ascii="Times New Roman" w:eastAsia="Times New Roman" w:hAnsi="Times New Roman"/>
                <w:lang w:val="el-GR"/>
              </w:rPr>
              <w:t xml:space="preserve"> </w:t>
            </w:r>
            <w:r w:rsidRPr="00023710">
              <w:rPr>
                <w:rFonts w:ascii="Times New Roman" w:eastAsia="Times New Roman" w:hAnsi="Times New Roman"/>
              </w:rPr>
              <w:t>Atherosclerosis</w:t>
            </w:r>
            <w:r w:rsidRPr="002B266D">
              <w:rPr>
                <w:rFonts w:ascii="Times New Roman" w:eastAsia="Times New Roman" w:hAnsi="Times New Roman"/>
                <w:lang w:val="el-GR"/>
              </w:rPr>
              <w:t xml:space="preserve"> </w:t>
            </w:r>
            <w:r w:rsidRPr="00023710">
              <w:rPr>
                <w:rFonts w:ascii="Times New Roman" w:eastAsia="Times New Roman" w:hAnsi="Times New Roman"/>
              </w:rPr>
              <w:t>Society</w:t>
            </w:r>
            <w:r w:rsidRPr="002B266D">
              <w:rPr>
                <w:rFonts w:ascii="Times New Roman" w:eastAsia="Times New Roman" w:hAnsi="Times New Roman"/>
                <w:lang w:val="el-GR"/>
              </w:rPr>
              <w:t xml:space="preserve"> (</w:t>
            </w:r>
            <w:r w:rsidRPr="00023710">
              <w:rPr>
                <w:rFonts w:ascii="Times New Roman" w:eastAsia="Times New Roman" w:hAnsi="Times New Roman"/>
              </w:rPr>
              <w:t>EAS</w:t>
            </w:r>
            <w:r w:rsidRPr="002B266D">
              <w:rPr>
                <w:rFonts w:ascii="Times New Roman" w:eastAsia="Times New Roman" w:hAnsi="Times New Roman"/>
                <w:lang w:val="el-GR"/>
              </w:rPr>
              <w:t xml:space="preserve">, 1998). </w:t>
            </w:r>
            <w:r w:rsidRPr="00023710">
              <w:rPr>
                <w:rFonts w:ascii="Times New Roman" w:eastAsia="Times New Roman" w:hAnsi="Times New Roman"/>
                <w:lang w:val="el-GR"/>
              </w:rPr>
              <w:t>Σε</w:t>
            </w:r>
            <w:r w:rsidR="002B266D">
              <w:rPr>
                <w:rFonts w:ascii="Times New Roman" w:eastAsia="Times New Roman" w:hAnsi="Times New Roman"/>
                <w:lang w:val="el-GR"/>
              </w:rPr>
              <w:t xml:space="preserve"> </w:t>
            </w:r>
            <w:r w:rsidRPr="00023710">
              <w:rPr>
                <w:rFonts w:ascii="Times New Roman" w:eastAsia="Times New Roman" w:hAnsi="Times New Roman"/>
                <w:lang w:val="el-GR"/>
              </w:rPr>
              <w:t>περίπου 80% των ασθενών που έλαβαν 10 mg επιτεύχθηκαν οι στόχοι της EAS</w:t>
            </w:r>
            <w:r w:rsidR="002B266D">
              <w:rPr>
                <w:rFonts w:ascii="Times New Roman" w:eastAsia="Times New Roman" w:hAnsi="Times New Roman"/>
                <w:lang w:val="el-GR"/>
              </w:rPr>
              <w:t xml:space="preserve"> </w:t>
            </w:r>
            <w:r w:rsidRPr="00023710">
              <w:rPr>
                <w:rFonts w:ascii="Times New Roman" w:eastAsia="Times New Roman" w:hAnsi="Times New Roman"/>
                <w:lang w:val="el-GR"/>
              </w:rPr>
              <w:t>για τα επίπεδα LDL-C (&lt;3 mmol/l).</w:t>
            </w:r>
          </w:p>
          <w:p w:rsidR="002D6225" w:rsidRPr="002D6225" w:rsidRDefault="00023710" w:rsidP="002D6225">
            <w:pPr>
              <w:spacing w:after="75" w:line="360" w:lineRule="auto"/>
              <w:jc w:val="both"/>
              <w:rPr>
                <w:rFonts w:ascii="Times New Roman" w:eastAsia="Times New Roman" w:hAnsi="Times New Roman"/>
                <w:lang w:val="el-GR"/>
              </w:rPr>
            </w:pPr>
            <w:r w:rsidRPr="00023710">
              <w:rPr>
                <w:rFonts w:ascii="Times New Roman" w:eastAsia="Times New Roman" w:hAnsi="Times New Roman"/>
                <w:lang w:val="el-GR"/>
              </w:rPr>
              <w:t>Σε μια μεγάλη μελέτη, 435 ασθενείς με ετερόζυγη οικογενή υπερχοληστερολαιμία,</w:t>
            </w:r>
            <w:r w:rsidR="00484884">
              <w:rPr>
                <w:rFonts w:ascii="Times New Roman" w:eastAsia="Times New Roman" w:hAnsi="Times New Roman"/>
                <w:lang w:val="el-GR"/>
              </w:rPr>
              <w:t xml:space="preserve"> </w:t>
            </w:r>
            <w:r w:rsidRPr="00023710">
              <w:rPr>
                <w:rFonts w:ascii="Times New Roman" w:eastAsia="Times New Roman" w:hAnsi="Times New Roman"/>
                <w:lang w:val="el-GR"/>
              </w:rPr>
              <w:t xml:space="preserve">έλαβαν </w:t>
            </w:r>
            <w:r w:rsidR="00484884" w:rsidRPr="00484884">
              <w:rPr>
                <w:rFonts w:ascii="Times New Roman" w:eastAsia="Times New Roman" w:hAnsi="Times New Roman"/>
                <w:lang w:val="el-GR"/>
              </w:rPr>
              <w:t xml:space="preserve">ροσουβαστατίνη </w:t>
            </w:r>
            <w:r w:rsidRPr="00023710">
              <w:rPr>
                <w:rFonts w:ascii="Times New Roman" w:eastAsia="Times New Roman" w:hAnsi="Times New Roman"/>
                <w:lang w:val="el-GR"/>
              </w:rPr>
              <w:t>από 20 mg έως 80 mg σύμφωνα με ένα σχεδιασμό υποχρεωτικής</w:t>
            </w:r>
            <w:r w:rsidR="00484884">
              <w:rPr>
                <w:rFonts w:ascii="Times New Roman" w:eastAsia="Times New Roman" w:hAnsi="Times New Roman"/>
                <w:lang w:val="el-GR"/>
              </w:rPr>
              <w:t xml:space="preserve"> </w:t>
            </w:r>
            <w:r w:rsidRPr="00023710">
              <w:rPr>
                <w:rFonts w:ascii="Times New Roman" w:eastAsia="Times New Roman" w:hAnsi="Times New Roman"/>
                <w:lang w:val="el-GR"/>
              </w:rPr>
              <w:t xml:space="preserve">αύξησης της δόσης. Όλες οι δόσεις παρουσίασαν ευεργετική επίδραση </w:t>
            </w:r>
            <w:r w:rsidR="00484884">
              <w:rPr>
                <w:rFonts w:ascii="Times New Roman" w:eastAsia="Times New Roman" w:hAnsi="Times New Roman"/>
                <w:lang w:val="el-GR"/>
              </w:rPr>
              <w:t xml:space="preserve">στις </w:t>
            </w:r>
            <w:r w:rsidR="002D6225" w:rsidRPr="002D6225">
              <w:rPr>
                <w:rFonts w:ascii="Times New Roman" w:eastAsia="Times New Roman" w:hAnsi="Times New Roman"/>
                <w:lang w:val="el-GR"/>
              </w:rPr>
              <w:t>λιπιδικές παραμέτρους και στους στόχους της θεραπείας. Μετά τη ρύθμιση σε</w:t>
            </w:r>
            <w:r w:rsidR="002D6225">
              <w:rPr>
                <w:rFonts w:ascii="Times New Roman" w:eastAsia="Times New Roman" w:hAnsi="Times New Roman"/>
                <w:lang w:val="el-GR"/>
              </w:rPr>
              <w:t xml:space="preserve"> </w:t>
            </w:r>
            <w:r w:rsidR="002D6225" w:rsidRPr="002D6225">
              <w:rPr>
                <w:rFonts w:ascii="Times New Roman" w:eastAsia="Times New Roman" w:hAnsi="Times New Roman"/>
                <w:lang w:val="el-GR"/>
              </w:rPr>
              <w:t>ημερήσια δόση 40 mg (διάστημα θεραπείας 12 εβδομάδων) η LDL-C μειώθηκε</w:t>
            </w:r>
            <w:r w:rsidR="002D6225">
              <w:rPr>
                <w:rFonts w:ascii="Times New Roman" w:eastAsia="Times New Roman" w:hAnsi="Times New Roman"/>
                <w:lang w:val="el-GR"/>
              </w:rPr>
              <w:t xml:space="preserve"> </w:t>
            </w:r>
            <w:r w:rsidR="002D6225" w:rsidRPr="002D6225">
              <w:rPr>
                <w:rFonts w:ascii="Times New Roman" w:eastAsia="Times New Roman" w:hAnsi="Times New Roman"/>
                <w:lang w:val="el-GR"/>
              </w:rPr>
              <w:t>κατά 53%. Σε 33% των ασθενών επιτεύχθηκαν οι στόχοι της EAS για τα επίπεδα</w:t>
            </w:r>
            <w:r w:rsidR="002D6225">
              <w:rPr>
                <w:rFonts w:ascii="Times New Roman" w:eastAsia="Times New Roman" w:hAnsi="Times New Roman"/>
                <w:lang w:val="el-GR"/>
              </w:rPr>
              <w:t xml:space="preserve"> </w:t>
            </w:r>
            <w:r w:rsidR="002D6225" w:rsidRPr="002D6225">
              <w:rPr>
                <w:rFonts w:ascii="Times New Roman" w:eastAsia="Times New Roman" w:hAnsi="Times New Roman"/>
                <w:lang w:val="el-GR"/>
              </w:rPr>
              <w:t>LDL-C (&lt;3 mmol/l).</w:t>
            </w:r>
          </w:p>
          <w:p w:rsidR="0052744B" w:rsidRDefault="002D6225" w:rsidP="002D6225">
            <w:pPr>
              <w:spacing w:after="75" w:line="360" w:lineRule="auto"/>
              <w:jc w:val="both"/>
              <w:rPr>
                <w:rFonts w:ascii="Times New Roman" w:eastAsia="Times New Roman" w:hAnsi="Times New Roman"/>
                <w:lang w:val="el-GR"/>
              </w:rPr>
            </w:pPr>
            <w:r w:rsidRPr="002D6225">
              <w:rPr>
                <w:rFonts w:ascii="Times New Roman" w:eastAsia="Times New Roman" w:hAnsi="Times New Roman"/>
                <w:lang w:val="el-GR"/>
              </w:rPr>
              <w:t>Σε μία ανοιχτή μελέτη ταχείας τιτλοποίησης, 42 ασθενείς με ομόζυγη οικογενή</w:t>
            </w:r>
            <w:r w:rsidR="0052744B">
              <w:rPr>
                <w:rFonts w:ascii="Times New Roman" w:eastAsia="Times New Roman" w:hAnsi="Times New Roman"/>
                <w:lang w:val="el-GR"/>
              </w:rPr>
              <w:t xml:space="preserve"> </w:t>
            </w:r>
            <w:r w:rsidRPr="002D6225">
              <w:rPr>
                <w:rFonts w:ascii="Times New Roman" w:eastAsia="Times New Roman" w:hAnsi="Times New Roman"/>
                <w:lang w:val="el-GR"/>
              </w:rPr>
              <w:t xml:space="preserve">υπερχοληστερολαιμία, αξιολογήθηκαν για την ανταπόκρισή τους σε δόσεις </w:t>
            </w:r>
            <w:r w:rsidR="0052744B" w:rsidRPr="0052744B">
              <w:rPr>
                <w:rFonts w:ascii="Times New Roman" w:eastAsia="Times New Roman" w:hAnsi="Times New Roman"/>
                <w:lang w:val="el-GR"/>
              </w:rPr>
              <w:t>ροσουβαστατίνη</w:t>
            </w:r>
            <w:r w:rsidR="0052744B">
              <w:rPr>
                <w:rFonts w:ascii="Times New Roman" w:eastAsia="Times New Roman" w:hAnsi="Times New Roman"/>
                <w:lang w:val="el-GR"/>
              </w:rPr>
              <w:t>ς</w:t>
            </w:r>
            <w:r w:rsidR="0052744B" w:rsidRPr="0052744B">
              <w:rPr>
                <w:rFonts w:ascii="Times New Roman" w:eastAsia="Times New Roman" w:hAnsi="Times New Roman"/>
                <w:lang w:val="el-GR"/>
              </w:rPr>
              <w:t xml:space="preserve"> </w:t>
            </w:r>
            <w:r w:rsidRPr="002D6225">
              <w:rPr>
                <w:rFonts w:ascii="Times New Roman" w:eastAsia="Times New Roman" w:hAnsi="Times New Roman"/>
                <w:lang w:val="el-GR"/>
              </w:rPr>
              <w:t xml:space="preserve">20 </w:t>
            </w:r>
            <w:r w:rsidR="0052744B">
              <w:rPr>
                <w:rFonts w:ascii="Times New Roman" w:eastAsia="Times New Roman" w:hAnsi="Times New Roman"/>
                <w:lang w:val="el-GR"/>
              </w:rPr>
              <w:t>–</w:t>
            </w:r>
            <w:r w:rsidRPr="002D6225">
              <w:rPr>
                <w:rFonts w:ascii="Times New Roman" w:eastAsia="Times New Roman" w:hAnsi="Times New Roman"/>
                <w:lang w:val="el-GR"/>
              </w:rPr>
              <w:t xml:space="preserve"> 40</w:t>
            </w:r>
            <w:r w:rsidR="0052744B">
              <w:rPr>
                <w:rFonts w:ascii="Times New Roman" w:eastAsia="Times New Roman" w:hAnsi="Times New Roman"/>
                <w:lang w:val="el-GR"/>
              </w:rPr>
              <w:t xml:space="preserve"> </w:t>
            </w:r>
            <w:r w:rsidRPr="002D6225">
              <w:rPr>
                <w:rFonts w:ascii="Times New Roman" w:eastAsia="Times New Roman" w:hAnsi="Times New Roman"/>
                <w:lang w:val="el-GR"/>
              </w:rPr>
              <w:t>mg. Στο σύνολο του πληθυσμού, η μέση ελάττωση της LDL-C ήταν 22%.</w:t>
            </w:r>
          </w:p>
          <w:p w:rsidR="00023710" w:rsidRPr="0052744B" w:rsidRDefault="002D6225" w:rsidP="002D6225">
            <w:pPr>
              <w:spacing w:after="75" w:line="360" w:lineRule="auto"/>
              <w:jc w:val="both"/>
              <w:rPr>
                <w:rFonts w:ascii="Times New Roman" w:eastAsia="Times New Roman" w:hAnsi="Times New Roman"/>
              </w:rPr>
            </w:pPr>
            <w:r w:rsidRPr="002D6225">
              <w:rPr>
                <w:rFonts w:ascii="Times New Roman" w:eastAsia="Times New Roman" w:hAnsi="Times New Roman"/>
                <w:lang w:val="el-GR"/>
              </w:rPr>
              <w:t xml:space="preserve">Σε κλινικές μελέτες με περιορισμένο αριθμό ασθενών, </w:t>
            </w:r>
            <w:r w:rsidR="001B4D10">
              <w:rPr>
                <w:rFonts w:ascii="Times New Roman" w:eastAsia="Times New Roman" w:hAnsi="Times New Roman"/>
                <w:lang w:val="el-GR"/>
              </w:rPr>
              <w:t xml:space="preserve">η </w:t>
            </w:r>
            <w:r w:rsidR="001B4D10" w:rsidRPr="001B4D10">
              <w:rPr>
                <w:rFonts w:ascii="Times New Roman" w:eastAsia="Times New Roman" w:hAnsi="Times New Roman"/>
                <w:lang w:val="el-GR"/>
              </w:rPr>
              <w:t xml:space="preserve">ροσουβαστατίνη </w:t>
            </w:r>
            <w:r w:rsidRPr="002D6225">
              <w:rPr>
                <w:rFonts w:ascii="Times New Roman" w:eastAsia="Times New Roman" w:hAnsi="Times New Roman"/>
                <w:lang w:val="el-GR"/>
              </w:rPr>
              <w:t>έχει αποδειχθεί</w:t>
            </w:r>
            <w:r w:rsidR="0052744B">
              <w:rPr>
                <w:rFonts w:ascii="Times New Roman" w:eastAsia="Times New Roman" w:hAnsi="Times New Roman"/>
                <w:lang w:val="el-GR"/>
              </w:rPr>
              <w:t xml:space="preserve"> </w:t>
            </w:r>
            <w:r w:rsidRPr="002D6225">
              <w:rPr>
                <w:rFonts w:ascii="Times New Roman" w:eastAsia="Times New Roman" w:hAnsi="Times New Roman"/>
                <w:lang w:val="el-GR"/>
              </w:rPr>
              <w:t>ότι έχει πρόσθετη αποτελεσματικότητα στην ελάττωση των τριγλυκεριδίων, όταν</w:t>
            </w:r>
            <w:r w:rsidR="0052744B">
              <w:rPr>
                <w:rFonts w:ascii="Times New Roman" w:eastAsia="Times New Roman" w:hAnsi="Times New Roman"/>
                <w:lang w:val="el-GR"/>
              </w:rPr>
              <w:t xml:space="preserve"> </w:t>
            </w:r>
            <w:r w:rsidRPr="002D6225">
              <w:rPr>
                <w:rFonts w:ascii="Times New Roman" w:eastAsia="Times New Roman" w:hAnsi="Times New Roman"/>
                <w:lang w:val="el-GR"/>
              </w:rPr>
              <w:t>συγχορηγείται με φαινοφιμπράτη και στην αύξηση των επιπέδων HDL-</w:t>
            </w:r>
            <w:r w:rsidR="0052744B">
              <w:rPr>
                <w:rFonts w:ascii="Times New Roman" w:eastAsia="Times New Roman" w:hAnsi="Times New Roman"/>
                <w:lang w:val="el-GR"/>
              </w:rPr>
              <w:t xml:space="preserve"> </w:t>
            </w:r>
            <w:r w:rsidRPr="002D6225">
              <w:rPr>
                <w:rFonts w:ascii="Times New Roman" w:eastAsia="Times New Roman" w:hAnsi="Times New Roman"/>
                <w:lang w:val="el-GR"/>
              </w:rPr>
              <w:t>χοληστερόλης, όταν χορηγείται ταυτόχρονα με νιασίνη (βλ. Παράγραφο</w:t>
            </w:r>
            <w:r w:rsidRPr="0052744B">
              <w:rPr>
                <w:rFonts w:ascii="Times New Roman" w:eastAsia="Times New Roman" w:hAnsi="Times New Roman"/>
              </w:rPr>
              <w:t xml:space="preserve"> 4.4).</w:t>
            </w:r>
          </w:p>
          <w:p w:rsidR="00B568D4" w:rsidRDefault="00B568D4" w:rsidP="00B568D4">
            <w:pPr>
              <w:spacing w:before="100" w:beforeAutospacing="1" w:after="75" w:line="360" w:lineRule="auto"/>
              <w:jc w:val="both"/>
              <w:rPr>
                <w:rFonts w:ascii="Times New Roman" w:eastAsia="Times New Roman" w:hAnsi="Times New Roman"/>
                <w:lang w:val="el-GR"/>
              </w:rPr>
            </w:pPr>
            <w:r w:rsidRPr="00B568D4">
              <w:rPr>
                <w:rFonts w:ascii="Times New Roman" w:eastAsia="Times New Roman" w:hAnsi="Times New Roman"/>
                <w:lang w:val="el-GR"/>
              </w:rPr>
              <w:t>Σε μία πολυκεντρική, διπλά τυφλή, ελεγχόμενη με εικονικό φάρμακο κλινική</w:t>
            </w:r>
            <w:r w:rsidR="00993B7D">
              <w:rPr>
                <w:rFonts w:ascii="Times New Roman" w:eastAsia="Times New Roman" w:hAnsi="Times New Roman"/>
                <w:lang w:val="el-GR"/>
              </w:rPr>
              <w:t xml:space="preserve"> </w:t>
            </w:r>
            <w:r w:rsidRPr="00B568D4">
              <w:rPr>
                <w:rFonts w:ascii="Times New Roman" w:eastAsia="Times New Roman" w:hAnsi="Times New Roman"/>
                <w:lang w:val="el-GR"/>
              </w:rPr>
              <w:t>μελέτη (METEOR), 984 ασθενείς ηλικίας 45 έως 70 ετών και με χαμηλό κίνδυνο</w:t>
            </w:r>
            <w:r w:rsidR="00993B7D">
              <w:rPr>
                <w:rFonts w:ascii="Times New Roman" w:eastAsia="Times New Roman" w:hAnsi="Times New Roman"/>
                <w:lang w:val="el-GR"/>
              </w:rPr>
              <w:t xml:space="preserve"> </w:t>
            </w:r>
            <w:r w:rsidRPr="00B568D4">
              <w:rPr>
                <w:rFonts w:ascii="Times New Roman" w:eastAsia="Times New Roman" w:hAnsi="Times New Roman"/>
                <w:lang w:val="el-GR"/>
              </w:rPr>
              <w:t>για στεφανιαία νόσο (οριζόμενος ως 10-ετής κίνδυνος κατά Framingham &lt; 10%),</w:t>
            </w:r>
            <w:r w:rsidR="00993B7D">
              <w:rPr>
                <w:rFonts w:ascii="Times New Roman" w:eastAsia="Times New Roman" w:hAnsi="Times New Roman"/>
                <w:lang w:val="el-GR"/>
              </w:rPr>
              <w:t xml:space="preserve"> </w:t>
            </w:r>
            <w:r w:rsidRPr="00B568D4">
              <w:rPr>
                <w:rFonts w:ascii="Times New Roman" w:eastAsia="Times New Roman" w:hAnsi="Times New Roman"/>
                <w:lang w:val="el-GR"/>
              </w:rPr>
              <w:t>με μέση τιμή LDL-χοληστερόλης 4,0 mmol/L (154,5 mg/dL), αλλά με υποκλινική</w:t>
            </w:r>
            <w:r w:rsidR="00993B7D">
              <w:rPr>
                <w:rFonts w:ascii="Times New Roman" w:eastAsia="Times New Roman" w:hAnsi="Times New Roman"/>
                <w:lang w:val="el-GR"/>
              </w:rPr>
              <w:t xml:space="preserve"> </w:t>
            </w:r>
            <w:r w:rsidRPr="00B568D4">
              <w:rPr>
                <w:rFonts w:ascii="Times New Roman" w:eastAsia="Times New Roman" w:hAnsi="Times New Roman"/>
                <w:lang w:val="el-GR"/>
              </w:rPr>
              <w:t xml:space="preserve">αθηροσκλήρωση (εντοπιζόμενη από το πάχος του έσω μέσου χιτώνα </w:t>
            </w:r>
            <w:r w:rsidR="00993B7D">
              <w:rPr>
                <w:rFonts w:ascii="Times New Roman" w:eastAsia="Times New Roman" w:hAnsi="Times New Roman"/>
                <w:lang w:val="el-GR"/>
              </w:rPr>
              <w:t xml:space="preserve">της </w:t>
            </w:r>
            <w:r w:rsidRPr="00B568D4">
              <w:rPr>
                <w:rFonts w:ascii="Times New Roman" w:eastAsia="Times New Roman" w:hAnsi="Times New Roman"/>
                <w:lang w:val="el-GR"/>
              </w:rPr>
              <w:t>καρωτίδος CIMT), τυχαιοποιήθηκαν σε 40 mg ροσουβαστατίνης εφάπαξ</w:t>
            </w:r>
            <w:r w:rsidR="00993B7D">
              <w:rPr>
                <w:rFonts w:ascii="Times New Roman" w:eastAsia="Times New Roman" w:hAnsi="Times New Roman"/>
                <w:lang w:val="el-GR"/>
              </w:rPr>
              <w:t xml:space="preserve"> </w:t>
            </w:r>
            <w:r w:rsidRPr="00B568D4">
              <w:rPr>
                <w:rFonts w:ascii="Times New Roman" w:eastAsia="Times New Roman" w:hAnsi="Times New Roman"/>
                <w:lang w:val="el-GR"/>
              </w:rPr>
              <w:t>ημερησίως ή σε εικονικό φάρμακο για 2 έτη. Η ροσουβαστατίνη ελάττωσε</w:t>
            </w:r>
            <w:r w:rsidR="00993B7D">
              <w:rPr>
                <w:rFonts w:ascii="Times New Roman" w:eastAsia="Times New Roman" w:hAnsi="Times New Roman"/>
                <w:lang w:val="el-GR"/>
              </w:rPr>
              <w:t xml:space="preserve"> </w:t>
            </w:r>
            <w:r w:rsidRPr="00B568D4">
              <w:rPr>
                <w:rFonts w:ascii="Times New Roman" w:eastAsia="Times New Roman" w:hAnsi="Times New Roman"/>
                <w:lang w:val="el-GR"/>
              </w:rPr>
              <w:t>σημαντικά το ρυθμό εξέλιξης του μέγιστου CIMT για τα 12 σημεία της καρωτίδας</w:t>
            </w:r>
            <w:r w:rsidR="00993B7D">
              <w:rPr>
                <w:rFonts w:ascii="Times New Roman" w:eastAsia="Times New Roman" w:hAnsi="Times New Roman"/>
                <w:lang w:val="el-GR"/>
              </w:rPr>
              <w:t xml:space="preserve"> </w:t>
            </w:r>
            <w:r w:rsidRPr="00B568D4">
              <w:rPr>
                <w:rFonts w:ascii="Times New Roman" w:eastAsia="Times New Roman" w:hAnsi="Times New Roman"/>
                <w:lang w:val="el-GR"/>
              </w:rPr>
              <w:t>συγκριτικά με το εικονικό φάρμακο κατά –0,0145 mm / έτος [95% διάστημα</w:t>
            </w:r>
            <w:r w:rsidR="00993B7D">
              <w:rPr>
                <w:rFonts w:ascii="Times New Roman" w:eastAsia="Times New Roman" w:hAnsi="Times New Roman"/>
                <w:lang w:val="el-GR"/>
              </w:rPr>
              <w:t xml:space="preserve"> </w:t>
            </w:r>
            <w:r w:rsidRPr="00B568D4">
              <w:rPr>
                <w:rFonts w:ascii="Times New Roman" w:eastAsia="Times New Roman" w:hAnsi="Times New Roman"/>
                <w:lang w:val="el-GR"/>
              </w:rPr>
              <w:t>εμπιστοσύνης –0,0196, -0,0093, p&lt; 0,0001]. Η αλλαγή από την γραμμή</w:t>
            </w:r>
            <w:r w:rsidR="00993B7D">
              <w:rPr>
                <w:rFonts w:ascii="Times New Roman" w:eastAsia="Times New Roman" w:hAnsi="Times New Roman"/>
                <w:lang w:val="el-GR"/>
              </w:rPr>
              <w:t xml:space="preserve"> </w:t>
            </w:r>
            <w:r w:rsidRPr="00B568D4">
              <w:rPr>
                <w:rFonts w:ascii="Times New Roman" w:eastAsia="Times New Roman" w:hAnsi="Times New Roman"/>
                <w:lang w:val="el-GR"/>
              </w:rPr>
              <w:t>εκκίνησης ήταν –</w:t>
            </w:r>
            <w:r w:rsidRPr="00B568D4">
              <w:rPr>
                <w:rFonts w:ascii="Times New Roman" w:eastAsia="Times New Roman" w:hAnsi="Times New Roman"/>
                <w:lang w:val="el-GR"/>
              </w:rPr>
              <w:lastRenderedPageBreak/>
              <w:t>0,0014mm / έτος (-0,12%/έτος (μη σημαντική)) για την</w:t>
            </w:r>
            <w:r w:rsidR="00993B7D">
              <w:rPr>
                <w:rFonts w:ascii="Times New Roman" w:eastAsia="Times New Roman" w:hAnsi="Times New Roman"/>
                <w:lang w:val="el-GR"/>
              </w:rPr>
              <w:t xml:space="preserve"> </w:t>
            </w:r>
            <w:r w:rsidRPr="00B568D4">
              <w:rPr>
                <w:rFonts w:ascii="Times New Roman" w:eastAsia="Times New Roman" w:hAnsi="Times New Roman"/>
                <w:lang w:val="el-GR"/>
              </w:rPr>
              <w:t>ροσουβαστατίνη συγκριτικά με μία πρόοδο +0,0131mm / έτος (1,12% / έτος</w:t>
            </w:r>
            <w:r w:rsidR="00993B7D">
              <w:rPr>
                <w:rFonts w:ascii="Times New Roman" w:eastAsia="Times New Roman" w:hAnsi="Times New Roman"/>
                <w:lang w:val="el-GR"/>
              </w:rPr>
              <w:t xml:space="preserve"> </w:t>
            </w:r>
            <w:r w:rsidRPr="00B568D4">
              <w:rPr>
                <w:rFonts w:ascii="Times New Roman" w:eastAsia="Times New Roman" w:hAnsi="Times New Roman"/>
                <w:lang w:val="el-GR"/>
              </w:rPr>
              <w:t>(p&lt;0,0001)) για την ομάδα του εικονικού φαρμάκου. Δεν έχει καταδειχθεί άμεση</w:t>
            </w:r>
            <w:r w:rsidR="00993B7D">
              <w:rPr>
                <w:rFonts w:ascii="Times New Roman" w:eastAsia="Times New Roman" w:hAnsi="Times New Roman"/>
                <w:lang w:val="el-GR"/>
              </w:rPr>
              <w:t xml:space="preserve"> </w:t>
            </w:r>
            <w:r w:rsidRPr="00B568D4">
              <w:rPr>
                <w:rFonts w:ascii="Times New Roman" w:eastAsia="Times New Roman" w:hAnsi="Times New Roman"/>
                <w:lang w:val="el-GR"/>
              </w:rPr>
              <w:t>συσχέτιση ανάμεσα στη μείωση του CIMT και στη μείωση του κινδύνου για</w:t>
            </w:r>
            <w:r w:rsidR="00993B7D">
              <w:rPr>
                <w:rFonts w:ascii="Times New Roman" w:eastAsia="Times New Roman" w:hAnsi="Times New Roman"/>
                <w:lang w:val="el-GR"/>
              </w:rPr>
              <w:t xml:space="preserve"> </w:t>
            </w:r>
            <w:r w:rsidRPr="00B568D4">
              <w:rPr>
                <w:rFonts w:ascii="Times New Roman" w:eastAsia="Times New Roman" w:hAnsi="Times New Roman"/>
                <w:lang w:val="el-GR"/>
              </w:rPr>
              <w:t>καρδιοαγγειακά επεισόδια. Ο πληθυσμός που μελετήθηκε στην METEOR είναι</w:t>
            </w:r>
            <w:r w:rsidR="00993B7D">
              <w:rPr>
                <w:rFonts w:ascii="Times New Roman" w:eastAsia="Times New Roman" w:hAnsi="Times New Roman"/>
                <w:lang w:val="el-GR"/>
              </w:rPr>
              <w:t xml:space="preserve"> </w:t>
            </w:r>
            <w:r w:rsidRPr="00B568D4">
              <w:rPr>
                <w:rFonts w:ascii="Times New Roman" w:eastAsia="Times New Roman" w:hAnsi="Times New Roman"/>
                <w:lang w:val="el-GR"/>
              </w:rPr>
              <w:t>χαμηλού κινδύνου για στεφανιαία καρδιακή νόσο και δεν εκπροσωπεί τον</w:t>
            </w:r>
            <w:r w:rsidR="00993B7D">
              <w:rPr>
                <w:rFonts w:ascii="Times New Roman" w:eastAsia="Times New Roman" w:hAnsi="Times New Roman"/>
                <w:lang w:val="el-GR"/>
              </w:rPr>
              <w:t xml:space="preserve"> </w:t>
            </w:r>
            <w:r w:rsidRPr="00B568D4">
              <w:rPr>
                <w:rFonts w:ascii="Times New Roman" w:eastAsia="Times New Roman" w:hAnsi="Times New Roman"/>
                <w:lang w:val="el-GR"/>
              </w:rPr>
              <w:t xml:space="preserve">πληθυσμό στόχο </w:t>
            </w:r>
            <w:r w:rsidR="00F94911">
              <w:rPr>
                <w:rFonts w:ascii="Times New Roman" w:eastAsia="Times New Roman" w:hAnsi="Times New Roman"/>
                <w:lang w:val="el-GR"/>
              </w:rPr>
              <w:t>της ροσουβαστατίνης</w:t>
            </w:r>
            <w:r w:rsidRPr="00B568D4">
              <w:rPr>
                <w:rFonts w:ascii="Times New Roman" w:eastAsia="Times New Roman" w:hAnsi="Times New Roman"/>
                <w:lang w:val="el-GR"/>
              </w:rPr>
              <w:t xml:space="preserve"> 40mg. Η δόση των 40mg πρέπει να</w:t>
            </w:r>
            <w:r w:rsidR="00993B7D">
              <w:rPr>
                <w:rFonts w:ascii="Times New Roman" w:eastAsia="Times New Roman" w:hAnsi="Times New Roman"/>
                <w:lang w:val="el-GR"/>
              </w:rPr>
              <w:t xml:space="preserve"> </w:t>
            </w:r>
            <w:r w:rsidRPr="00B568D4">
              <w:rPr>
                <w:rFonts w:ascii="Times New Roman" w:eastAsia="Times New Roman" w:hAnsi="Times New Roman"/>
                <w:lang w:val="el-GR"/>
              </w:rPr>
              <w:t>συνταγογραφείται μόνο σε ασθενείς με σοβαρή υπερχοληστερολαιμία με υψηλό</w:t>
            </w:r>
            <w:r w:rsidR="00993B7D">
              <w:rPr>
                <w:rFonts w:ascii="Times New Roman" w:eastAsia="Times New Roman" w:hAnsi="Times New Roman"/>
                <w:lang w:val="el-GR"/>
              </w:rPr>
              <w:t xml:space="preserve"> </w:t>
            </w:r>
            <w:r w:rsidRPr="00B568D4">
              <w:rPr>
                <w:rFonts w:ascii="Times New Roman" w:eastAsia="Times New Roman" w:hAnsi="Times New Roman"/>
                <w:lang w:val="el-GR"/>
              </w:rPr>
              <w:t>καρδιαγγειακό κίνδυνο (βλέπε παράγραφο 4.2).</w:t>
            </w:r>
          </w:p>
          <w:p w:rsidR="00DC453F" w:rsidRPr="00DC453F" w:rsidRDefault="00DC453F" w:rsidP="00DC453F">
            <w:pPr>
              <w:spacing w:before="100" w:beforeAutospacing="1" w:after="75" w:line="360" w:lineRule="auto"/>
              <w:jc w:val="both"/>
              <w:rPr>
                <w:rFonts w:ascii="Times New Roman" w:eastAsia="Times New Roman" w:hAnsi="Times New Roman"/>
                <w:lang w:val="el-GR"/>
              </w:rPr>
            </w:pPr>
            <w:r w:rsidRPr="00DC453F">
              <w:rPr>
                <w:rFonts w:ascii="Times New Roman" w:eastAsia="Times New Roman" w:hAnsi="Times New Roman"/>
                <w:lang w:val="el-GR"/>
              </w:rPr>
              <w:t xml:space="preserve">Στη μελέτη </w:t>
            </w:r>
            <w:r w:rsidRPr="00DC453F">
              <w:rPr>
                <w:rFonts w:ascii="Times New Roman" w:eastAsia="Times New Roman" w:hAnsi="Times New Roman"/>
              </w:rPr>
              <w:t>JUPITER</w:t>
            </w:r>
            <w:r w:rsidRPr="00DC453F">
              <w:rPr>
                <w:rFonts w:ascii="Times New Roman" w:eastAsia="Times New Roman" w:hAnsi="Times New Roman"/>
                <w:lang w:val="el-GR"/>
              </w:rPr>
              <w:t xml:space="preserve"> (</w:t>
            </w:r>
            <w:r w:rsidRPr="00DC453F">
              <w:rPr>
                <w:rFonts w:ascii="Times New Roman" w:eastAsia="Times New Roman" w:hAnsi="Times New Roman"/>
              </w:rPr>
              <w:t>Justification</w:t>
            </w:r>
            <w:r w:rsidRPr="00DC453F">
              <w:rPr>
                <w:rFonts w:ascii="Times New Roman" w:eastAsia="Times New Roman" w:hAnsi="Times New Roman"/>
                <w:lang w:val="el-GR"/>
              </w:rPr>
              <w:t xml:space="preserve"> </w:t>
            </w:r>
            <w:r w:rsidRPr="00DC453F">
              <w:rPr>
                <w:rFonts w:ascii="Times New Roman" w:eastAsia="Times New Roman" w:hAnsi="Times New Roman"/>
              </w:rPr>
              <w:t>for</w:t>
            </w:r>
            <w:r w:rsidRPr="00DC453F">
              <w:rPr>
                <w:rFonts w:ascii="Times New Roman" w:eastAsia="Times New Roman" w:hAnsi="Times New Roman"/>
                <w:lang w:val="el-GR"/>
              </w:rPr>
              <w:t xml:space="preserve"> </w:t>
            </w:r>
            <w:r w:rsidRPr="00DC453F">
              <w:rPr>
                <w:rFonts w:ascii="Times New Roman" w:eastAsia="Times New Roman" w:hAnsi="Times New Roman"/>
              </w:rPr>
              <w:t>the</w:t>
            </w:r>
            <w:r w:rsidRPr="00DC453F">
              <w:rPr>
                <w:rFonts w:ascii="Times New Roman" w:eastAsia="Times New Roman" w:hAnsi="Times New Roman"/>
                <w:lang w:val="el-GR"/>
              </w:rPr>
              <w:t xml:space="preserve"> </w:t>
            </w:r>
            <w:r w:rsidRPr="00DC453F">
              <w:rPr>
                <w:rFonts w:ascii="Times New Roman" w:eastAsia="Times New Roman" w:hAnsi="Times New Roman"/>
              </w:rPr>
              <w:t>Use</w:t>
            </w:r>
            <w:r w:rsidRPr="00DC453F">
              <w:rPr>
                <w:rFonts w:ascii="Times New Roman" w:eastAsia="Times New Roman" w:hAnsi="Times New Roman"/>
                <w:lang w:val="el-GR"/>
              </w:rPr>
              <w:t xml:space="preserve"> </w:t>
            </w:r>
            <w:r w:rsidRPr="00DC453F">
              <w:rPr>
                <w:rFonts w:ascii="Times New Roman" w:eastAsia="Times New Roman" w:hAnsi="Times New Roman"/>
              </w:rPr>
              <w:t>of</w:t>
            </w:r>
            <w:r w:rsidRPr="00DC453F">
              <w:rPr>
                <w:rFonts w:ascii="Times New Roman" w:eastAsia="Times New Roman" w:hAnsi="Times New Roman"/>
                <w:lang w:val="el-GR"/>
              </w:rPr>
              <w:t xml:space="preserve"> </w:t>
            </w:r>
            <w:r w:rsidRPr="00DC453F">
              <w:rPr>
                <w:rFonts w:ascii="Times New Roman" w:eastAsia="Times New Roman" w:hAnsi="Times New Roman"/>
              </w:rPr>
              <w:t>Statins</w:t>
            </w:r>
            <w:r w:rsidRPr="00DC453F">
              <w:rPr>
                <w:rFonts w:ascii="Times New Roman" w:eastAsia="Times New Roman" w:hAnsi="Times New Roman"/>
                <w:lang w:val="el-GR"/>
              </w:rPr>
              <w:t xml:space="preserve"> </w:t>
            </w:r>
            <w:r w:rsidRPr="00DC453F">
              <w:rPr>
                <w:rFonts w:ascii="Times New Roman" w:eastAsia="Times New Roman" w:hAnsi="Times New Roman"/>
              </w:rPr>
              <w:t>in</w:t>
            </w:r>
            <w:r w:rsidRPr="00DC453F">
              <w:rPr>
                <w:rFonts w:ascii="Times New Roman" w:eastAsia="Times New Roman" w:hAnsi="Times New Roman"/>
                <w:lang w:val="el-GR"/>
              </w:rPr>
              <w:t xml:space="preserve"> </w:t>
            </w:r>
            <w:r w:rsidRPr="00DC453F">
              <w:rPr>
                <w:rFonts w:ascii="Times New Roman" w:eastAsia="Times New Roman" w:hAnsi="Times New Roman"/>
              </w:rPr>
              <w:t>Primary</w:t>
            </w:r>
            <w:r w:rsidRPr="00DC453F">
              <w:rPr>
                <w:rFonts w:ascii="Times New Roman" w:eastAsia="Times New Roman" w:hAnsi="Times New Roman"/>
                <w:lang w:val="el-GR"/>
              </w:rPr>
              <w:t xml:space="preserve"> </w:t>
            </w:r>
            <w:r w:rsidRPr="00DC453F">
              <w:rPr>
                <w:rFonts w:ascii="Times New Roman" w:eastAsia="Times New Roman" w:hAnsi="Times New Roman"/>
              </w:rPr>
              <w:t>Prevention</w:t>
            </w:r>
            <w:r w:rsidRPr="00DC453F">
              <w:rPr>
                <w:rFonts w:ascii="Times New Roman" w:eastAsia="Times New Roman" w:hAnsi="Times New Roman"/>
                <w:lang w:val="el-GR"/>
              </w:rPr>
              <w:t xml:space="preserve">: </w:t>
            </w:r>
            <w:r w:rsidRPr="00DC453F">
              <w:rPr>
                <w:rFonts w:ascii="Times New Roman" w:eastAsia="Times New Roman" w:hAnsi="Times New Roman"/>
              </w:rPr>
              <w:t>An</w:t>
            </w:r>
            <w:r>
              <w:rPr>
                <w:rFonts w:ascii="Times New Roman" w:eastAsia="Times New Roman" w:hAnsi="Times New Roman"/>
                <w:lang w:val="el-GR"/>
              </w:rPr>
              <w:t xml:space="preserve"> </w:t>
            </w:r>
            <w:r w:rsidRPr="00DC453F">
              <w:rPr>
                <w:rFonts w:ascii="Times New Roman" w:eastAsia="Times New Roman" w:hAnsi="Times New Roman"/>
              </w:rPr>
              <w:t>Intervention</w:t>
            </w:r>
            <w:r w:rsidRPr="00DC453F">
              <w:rPr>
                <w:rFonts w:ascii="Times New Roman" w:eastAsia="Times New Roman" w:hAnsi="Times New Roman"/>
                <w:lang w:val="el-GR"/>
              </w:rPr>
              <w:t xml:space="preserve"> </w:t>
            </w:r>
            <w:r w:rsidRPr="00DC453F">
              <w:rPr>
                <w:rFonts w:ascii="Times New Roman" w:eastAsia="Times New Roman" w:hAnsi="Times New Roman"/>
              </w:rPr>
              <w:t>Trial</w:t>
            </w:r>
            <w:r w:rsidRPr="00DC453F">
              <w:rPr>
                <w:rFonts w:ascii="Times New Roman" w:eastAsia="Times New Roman" w:hAnsi="Times New Roman"/>
                <w:lang w:val="el-GR"/>
              </w:rPr>
              <w:t xml:space="preserve"> </w:t>
            </w:r>
            <w:r w:rsidRPr="00DC453F">
              <w:rPr>
                <w:rFonts w:ascii="Times New Roman" w:eastAsia="Times New Roman" w:hAnsi="Times New Roman"/>
              </w:rPr>
              <w:t>Evaluating</w:t>
            </w:r>
            <w:r w:rsidRPr="00DC453F">
              <w:rPr>
                <w:rFonts w:ascii="Times New Roman" w:eastAsia="Times New Roman" w:hAnsi="Times New Roman"/>
                <w:lang w:val="el-GR"/>
              </w:rPr>
              <w:t xml:space="preserve"> </w:t>
            </w:r>
            <w:r w:rsidRPr="00DC453F">
              <w:rPr>
                <w:rFonts w:ascii="Times New Roman" w:eastAsia="Times New Roman" w:hAnsi="Times New Roman"/>
              </w:rPr>
              <w:t>Rosuvastatin</w:t>
            </w:r>
            <w:r w:rsidRPr="00DC453F">
              <w:rPr>
                <w:rFonts w:ascii="Times New Roman" w:eastAsia="Times New Roman" w:hAnsi="Times New Roman"/>
                <w:lang w:val="el-GR"/>
              </w:rPr>
              <w:t xml:space="preserve">), η επίδραση της </w:t>
            </w:r>
            <w:r>
              <w:rPr>
                <w:rFonts w:ascii="Times New Roman" w:eastAsia="Times New Roman" w:hAnsi="Times New Roman"/>
                <w:lang w:val="el-GR"/>
              </w:rPr>
              <w:t>ροσουβαστατίνης</w:t>
            </w:r>
            <w:r w:rsidRPr="00DC453F">
              <w:rPr>
                <w:rFonts w:ascii="Times New Roman" w:eastAsia="Times New Roman" w:hAnsi="Times New Roman"/>
                <w:lang w:val="el-GR"/>
              </w:rPr>
              <w:t xml:space="preserve"> στην</w:t>
            </w:r>
            <w:r>
              <w:rPr>
                <w:rFonts w:ascii="Times New Roman" w:eastAsia="Times New Roman" w:hAnsi="Times New Roman"/>
                <w:lang w:val="el-GR"/>
              </w:rPr>
              <w:t xml:space="preserve"> </w:t>
            </w:r>
            <w:r w:rsidRPr="00DC453F">
              <w:rPr>
                <w:rFonts w:ascii="Times New Roman" w:eastAsia="Times New Roman" w:hAnsi="Times New Roman"/>
                <w:lang w:val="el-GR"/>
              </w:rPr>
              <w:t>εμφάνιση των σοβαρών καρδιαγγειακών συμβαμάτων αρτηριοσκληρωτικής νόσου</w:t>
            </w:r>
            <w:r>
              <w:rPr>
                <w:rFonts w:ascii="Times New Roman" w:eastAsia="Times New Roman" w:hAnsi="Times New Roman"/>
                <w:lang w:val="el-GR"/>
              </w:rPr>
              <w:t xml:space="preserve"> </w:t>
            </w:r>
            <w:r w:rsidRPr="00DC453F">
              <w:rPr>
                <w:rFonts w:ascii="Times New Roman" w:eastAsia="Times New Roman" w:hAnsi="Times New Roman"/>
                <w:lang w:val="el-GR"/>
              </w:rPr>
              <w:t>προσδιορίστηκε σε 17.802 άντρες (≥50 ετών) και γυναίκες (≥60 ετών).</w:t>
            </w:r>
          </w:p>
          <w:p w:rsidR="00DC453F" w:rsidRPr="00DC453F" w:rsidRDefault="00DC453F" w:rsidP="00DC453F">
            <w:pPr>
              <w:spacing w:before="100" w:beforeAutospacing="1" w:after="75" w:line="360" w:lineRule="auto"/>
              <w:jc w:val="both"/>
              <w:rPr>
                <w:rFonts w:ascii="Times New Roman" w:eastAsia="Times New Roman" w:hAnsi="Times New Roman"/>
                <w:lang w:val="el-GR"/>
              </w:rPr>
            </w:pPr>
            <w:r w:rsidRPr="00DC453F">
              <w:rPr>
                <w:rFonts w:ascii="Times New Roman" w:eastAsia="Times New Roman" w:hAnsi="Times New Roman"/>
                <w:lang w:val="el-GR"/>
              </w:rPr>
              <w:t>Οι συμμετέχοντες στη μελέτη επιλέχθηκαν τυχαία για το εικονικό φάρμακο</w:t>
            </w:r>
            <w:r>
              <w:rPr>
                <w:rFonts w:ascii="Times New Roman" w:eastAsia="Times New Roman" w:hAnsi="Times New Roman"/>
                <w:lang w:val="el-GR"/>
              </w:rPr>
              <w:t xml:space="preserve"> </w:t>
            </w:r>
            <w:r w:rsidRPr="00DC453F">
              <w:rPr>
                <w:rFonts w:ascii="Times New Roman" w:eastAsia="Times New Roman" w:hAnsi="Times New Roman"/>
                <w:lang w:val="el-GR"/>
              </w:rPr>
              <w:t>(</w:t>
            </w:r>
            <w:r w:rsidRPr="00DC453F">
              <w:rPr>
                <w:rFonts w:ascii="Times New Roman" w:eastAsia="Times New Roman" w:hAnsi="Times New Roman"/>
              </w:rPr>
              <w:t>n</w:t>
            </w:r>
            <w:r w:rsidRPr="00DC453F">
              <w:rPr>
                <w:rFonts w:ascii="Times New Roman" w:eastAsia="Times New Roman" w:hAnsi="Times New Roman"/>
                <w:lang w:val="el-GR"/>
              </w:rPr>
              <w:t xml:space="preserve">=8901) ή τη </w:t>
            </w:r>
            <w:r w:rsidRPr="00DC453F">
              <w:rPr>
                <w:rFonts w:ascii="Times New Roman" w:eastAsia="Times New Roman" w:hAnsi="Times New Roman"/>
              </w:rPr>
              <w:t>rosuvastatin</w:t>
            </w:r>
            <w:r w:rsidRPr="00DC453F">
              <w:rPr>
                <w:rFonts w:ascii="Times New Roman" w:eastAsia="Times New Roman" w:hAnsi="Times New Roman"/>
                <w:lang w:val="el-GR"/>
              </w:rPr>
              <w:t xml:space="preserve"> 20 </w:t>
            </w:r>
            <w:r w:rsidRPr="00DC453F">
              <w:rPr>
                <w:rFonts w:ascii="Times New Roman" w:eastAsia="Times New Roman" w:hAnsi="Times New Roman"/>
              </w:rPr>
              <w:t>mg</w:t>
            </w:r>
            <w:r w:rsidRPr="00DC453F">
              <w:rPr>
                <w:rFonts w:ascii="Times New Roman" w:eastAsia="Times New Roman" w:hAnsi="Times New Roman"/>
                <w:lang w:val="el-GR"/>
              </w:rPr>
              <w:t xml:space="preserve"> μία φορά ημερησίως (</w:t>
            </w:r>
            <w:r w:rsidRPr="00DC453F">
              <w:rPr>
                <w:rFonts w:ascii="Times New Roman" w:eastAsia="Times New Roman" w:hAnsi="Times New Roman"/>
              </w:rPr>
              <w:t>n</w:t>
            </w:r>
            <w:r w:rsidRPr="00DC453F">
              <w:rPr>
                <w:rFonts w:ascii="Times New Roman" w:eastAsia="Times New Roman" w:hAnsi="Times New Roman"/>
                <w:lang w:val="el-GR"/>
              </w:rPr>
              <w:t>=8901) και ήταν υπό</w:t>
            </w:r>
            <w:r>
              <w:rPr>
                <w:rFonts w:ascii="Times New Roman" w:eastAsia="Times New Roman" w:hAnsi="Times New Roman"/>
                <w:lang w:val="el-GR"/>
              </w:rPr>
              <w:t xml:space="preserve"> </w:t>
            </w:r>
            <w:r w:rsidRPr="00DC453F">
              <w:rPr>
                <w:rFonts w:ascii="Times New Roman" w:eastAsia="Times New Roman" w:hAnsi="Times New Roman"/>
                <w:lang w:val="el-GR"/>
              </w:rPr>
              <w:t>παρακολούθηση για μία μέση διάρκεια 2 χρόνων.</w:t>
            </w:r>
          </w:p>
          <w:p w:rsidR="00964C33" w:rsidRPr="00DC453F" w:rsidRDefault="00DC453F" w:rsidP="00DC453F">
            <w:pPr>
              <w:spacing w:before="100" w:beforeAutospacing="1" w:after="75" w:line="360" w:lineRule="auto"/>
              <w:jc w:val="both"/>
              <w:rPr>
                <w:rFonts w:ascii="Times New Roman" w:eastAsia="Times New Roman" w:hAnsi="Times New Roman"/>
                <w:lang w:val="el-GR"/>
              </w:rPr>
            </w:pPr>
            <w:r w:rsidRPr="00DC453F">
              <w:rPr>
                <w:rFonts w:ascii="Times New Roman" w:eastAsia="Times New Roman" w:hAnsi="Times New Roman"/>
                <w:lang w:val="el-GR"/>
              </w:rPr>
              <w:t xml:space="preserve">Η συγκέντρωση της </w:t>
            </w:r>
            <w:r w:rsidRPr="00DC453F">
              <w:rPr>
                <w:rFonts w:ascii="Times New Roman" w:eastAsia="Times New Roman" w:hAnsi="Times New Roman"/>
              </w:rPr>
              <w:t>LDL</w:t>
            </w:r>
            <w:r w:rsidRPr="00DC453F">
              <w:rPr>
                <w:rFonts w:ascii="Times New Roman" w:eastAsia="Times New Roman" w:hAnsi="Times New Roman"/>
                <w:lang w:val="el-GR"/>
              </w:rPr>
              <w:t xml:space="preserve"> χοληστερόλης μειώθηκε κατά 45% (</w:t>
            </w:r>
            <w:r w:rsidRPr="00DC453F">
              <w:rPr>
                <w:rFonts w:ascii="Times New Roman" w:eastAsia="Times New Roman" w:hAnsi="Times New Roman"/>
              </w:rPr>
              <w:t>p</w:t>
            </w:r>
            <w:r w:rsidRPr="00DC453F">
              <w:rPr>
                <w:rFonts w:ascii="Times New Roman" w:eastAsia="Times New Roman" w:hAnsi="Times New Roman"/>
                <w:lang w:val="el-GR"/>
              </w:rPr>
              <w:t>&lt;0,001) στην</w:t>
            </w:r>
            <w:r>
              <w:rPr>
                <w:rFonts w:ascii="Times New Roman" w:eastAsia="Times New Roman" w:hAnsi="Times New Roman"/>
                <w:lang w:val="el-GR"/>
              </w:rPr>
              <w:t xml:space="preserve"> </w:t>
            </w:r>
            <w:r w:rsidRPr="00DC453F">
              <w:rPr>
                <w:rFonts w:ascii="Times New Roman" w:eastAsia="Times New Roman" w:hAnsi="Times New Roman"/>
                <w:lang w:val="el-GR"/>
              </w:rPr>
              <w:t>ομάδα της ροσουβαστατίνης σε σύγκριση με την ομάδα του εικονικού φαρμάκου.</w:t>
            </w:r>
          </w:p>
          <w:p w:rsidR="00C31497" w:rsidRPr="00C31497" w:rsidRDefault="00C31497" w:rsidP="00C31497">
            <w:pPr>
              <w:spacing w:before="100" w:beforeAutospacing="1" w:after="75" w:line="360" w:lineRule="auto"/>
              <w:jc w:val="both"/>
              <w:rPr>
                <w:rFonts w:ascii="Times New Roman" w:eastAsia="Times New Roman" w:hAnsi="Times New Roman"/>
                <w:lang w:val="el-GR"/>
              </w:rPr>
            </w:pPr>
            <w:r w:rsidRPr="00C31497">
              <w:rPr>
                <w:rFonts w:ascii="Times New Roman" w:eastAsia="Times New Roman" w:hAnsi="Times New Roman"/>
                <w:lang w:val="el-GR"/>
              </w:rPr>
              <w:t xml:space="preserve">Σε μία </w:t>
            </w:r>
            <w:r w:rsidRPr="00C31497">
              <w:rPr>
                <w:rFonts w:ascii="Times New Roman" w:eastAsia="Times New Roman" w:hAnsi="Times New Roman"/>
              </w:rPr>
              <w:t>post</w:t>
            </w:r>
            <w:r w:rsidRPr="00C31497">
              <w:rPr>
                <w:rFonts w:ascii="Times New Roman" w:eastAsia="Times New Roman" w:hAnsi="Times New Roman"/>
                <w:lang w:val="el-GR"/>
              </w:rPr>
              <w:t>-</w:t>
            </w:r>
            <w:r w:rsidRPr="00C31497">
              <w:rPr>
                <w:rFonts w:ascii="Times New Roman" w:eastAsia="Times New Roman" w:hAnsi="Times New Roman"/>
              </w:rPr>
              <w:t>hoc</w:t>
            </w:r>
            <w:r w:rsidRPr="00C31497">
              <w:rPr>
                <w:rFonts w:ascii="Times New Roman" w:eastAsia="Times New Roman" w:hAnsi="Times New Roman"/>
                <w:lang w:val="el-GR"/>
              </w:rPr>
              <w:t xml:space="preserve"> ανάλυση μίας υποομάδας υψηλού κινδύνου με αρχική τιμή</w:t>
            </w:r>
            <w:r>
              <w:rPr>
                <w:rFonts w:ascii="Times New Roman" w:eastAsia="Times New Roman" w:hAnsi="Times New Roman"/>
                <w:lang w:val="el-GR"/>
              </w:rPr>
              <w:t xml:space="preserve"> </w:t>
            </w:r>
            <w:r w:rsidRPr="00C31497">
              <w:rPr>
                <w:rFonts w:ascii="Times New Roman" w:eastAsia="Times New Roman" w:hAnsi="Times New Roman"/>
              </w:rPr>
              <w:t>Framingham</w:t>
            </w:r>
            <w:r w:rsidRPr="00C31497">
              <w:rPr>
                <w:rFonts w:ascii="Times New Roman" w:eastAsia="Times New Roman" w:hAnsi="Times New Roman"/>
                <w:lang w:val="el-GR"/>
              </w:rPr>
              <w:t xml:space="preserve"> </w:t>
            </w:r>
            <w:r w:rsidRPr="00C31497">
              <w:rPr>
                <w:rFonts w:ascii="Times New Roman" w:eastAsia="Times New Roman" w:hAnsi="Times New Roman"/>
              </w:rPr>
              <w:t>risk</w:t>
            </w:r>
            <w:r w:rsidRPr="00C31497">
              <w:rPr>
                <w:rFonts w:ascii="Times New Roman" w:eastAsia="Times New Roman" w:hAnsi="Times New Roman"/>
                <w:lang w:val="el-GR"/>
              </w:rPr>
              <w:t xml:space="preserve"> </w:t>
            </w:r>
            <w:r w:rsidRPr="00C31497">
              <w:rPr>
                <w:rFonts w:ascii="Times New Roman" w:eastAsia="Times New Roman" w:hAnsi="Times New Roman"/>
              </w:rPr>
              <w:t>score</w:t>
            </w:r>
            <w:r w:rsidRPr="00C31497">
              <w:rPr>
                <w:rFonts w:ascii="Times New Roman" w:eastAsia="Times New Roman" w:hAnsi="Times New Roman"/>
                <w:lang w:val="el-GR"/>
              </w:rPr>
              <w:t xml:space="preserve"> &gt;20% (1558 άτομα) υπήρξε σημαντική μείωση στο</w:t>
            </w:r>
            <w:r>
              <w:rPr>
                <w:rFonts w:ascii="Times New Roman" w:eastAsia="Times New Roman" w:hAnsi="Times New Roman"/>
                <w:lang w:val="el-GR"/>
              </w:rPr>
              <w:t xml:space="preserve"> </w:t>
            </w:r>
            <w:r w:rsidRPr="00C31497">
              <w:rPr>
                <w:rFonts w:ascii="Times New Roman" w:eastAsia="Times New Roman" w:hAnsi="Times New Roman"/>
                <w:lang w:val="el-GR"/>
              </w:rPr>
              <w:t>σύνθετο τελικό σημείο καρδιαγγειακού θανάτου, εγκεφαλικού επεισοδίου και</w:t>
            </w:r>
            <w:r>
              <w:rPr>
                <w:rFonts w:ascii="Times New Roman" w:eastAsia="Times New Roman" w:hAnsi="Times New Roman"/>
                <w:lang w:val="el-GR"/>
              </w:rPr>
              <w:t xml:space="preserve"> </w:t>
            </w:r>
            <w:r w:rsidRPr="00C31497">
              <w:rPr>
                <w:rFonts w:ascii="Times New Roman" w:eastAsia="Times New Roman" w:hAnsi="Times New Roman"/>
                <w:lang w:val="el-GR"/>
              </w:rPr>
              <w:t>εμφράγματος του μυοκαρδίου (</w:t>
            </w:r>
            <w:r w:rsidRPr="00C31497">
              <w:rPr>
                <w:rFonts w:ascii="Times New Roman" w:eastAsia="Times New Roman" w:hAnsi="Times New Roman"/>
              </w:rPr>
              <w:t>p</w:t>
            </w:r>
            <w:r w:rsidRPr="00C31497">
              <w:rPr>
                <w:rFonts w:ascii="Times New Roman" w:eastAsia="Times New Roman" w:hAnsi="Times New Roman"/>
                <w:lang w:val="el-GR"/>
              </w:rPr>
              <w:t xml:space="preserve">&lt;0,028) στη θεραπεία με </w:t>
            </w:r>
            <w:r w:rsidRPr="00C31497">
              <w:rPr>
                <w:rFonts w:ascii="Times New Roman" w:eastAsia="Times New Roman" w:hAnsi="Times New Roman"/>
              </w:rPr>
              <w:t>rosuvastatin</w:t>
            </w:r>
            <w:r w:rsidRPr="00C31497">
              <w:rPr>
                <w:rFonts w:ascii="Times New Roman" w:eastAsia="Times New Roman" w:hAnsi="Times New Roman"/>
                <w:lang w:val="el-GR"/>
              </w:rPr>
              <w:t xml:space="preserve"> έναντι του</w:t>
            </w:r>
            <w:r>
              <w:rPr>
                <w:rFonts w:ascii="Times New Roman" w:eastAsia="Times New Roman" w:hAnsi="Times New Roman"/>
                <w:lang w:val="el-GR"/>
              </w:rPr>
              <w:t xml:space="preserve"> </w:t>
            </w:r>
            <w:r w:rsidRPr="00C31497">
              <w:rPr>
                <w:rFonts w:ascii="Times New Roman" w:eastAsia="Times New Roman" w:hAnsi="Times New Roman"/>
                <w:lang w:val="el-GR"/>
              </w:rPr>
              <w:t>εικονικού φαρμάκου. Η απόλυτη μείωση κινδύνου στο ποσοστό συμβαμάτων ανά</w:t>
            </w:r>
            <w:r>
              <w:rPr>
                <w:rFonts w:ascii="Times New Roman" w:eastAsia="Times New Roman" w:hAnsi="Times New Roman"/>
                <w:lang w:val="el-GR"/>
              </w:rPr>
              <w:t xml:space="preserve"> </w:t>
            </w:r>
            <w:r w:rsidRPr="00C31497">
              <w:rPr>
                <w:rFonts w:ascii="Times New Roman" w:eastAsia="Times New Roman" w:hAnsi="Times New Roman"/>
                <w:lang w:val="el-GR"/>
              </w:rPr>
              <w:t>1000 ασθενείς-χρόνο ήταν 8,8. Η συνολική θνησιμότητα ήταν αμετάβλητη στην</w:t>
            </w:r>
            <w:r>
              <w:rPr>
                <w:rFonts w:ascii="Times New Roman" w:eastAsia="Times New Roman" w:hAnsi="Times New Roman"/>
                <w:lang w:val="el-GR"/>
              </w:rPr>
              <w:t xml:space="preserve"> </w:t>
            </w:r>
            <w:r w:rsidRPr="00C31497">
              <w:rPr>
                <w:rFonts w:ascii="Times New Roman" w:eastAsia="Times New Roman" w:hAnsi="Times New Roman"/>
                <w:lang w:val="el-GR"/>
              </w:rPr>
              <w:t>ομάδα υψηλού κινδύνου (</w:t>
            </w:r>
            <w:r w:rsidRPr="00C31497">
              <w:rPr>
                <w:rFonts w:ascii="Times New Roman" w:eastAsia="Times New Roman" w:hAnsi="Times New Roman"/>
              </w:rPr>
              <w:t>p</w:t>
            </w:r>
            <w:r w:rsidRPr="00C31497">
              <w:rPr>
                <w:rFonts w:ascii="Times New Roman" w:eastAsia="Times New Roman" w:hAnsi="Times New Roman"/>
                <w:lang w:val="el-GR"/>
              </w:rPr>
              <w:t xml:space="preserve">=0,193). Σε μία </w:t>
            </w:r>
            <w:r w:rsidRPr="00C31497">
              <w:rPr>
                <w:rFonts w:ascii="Times New Roman" w:eastAsia="Times New Roman" w:hAnsi="Times New Roman"/>
              </w:rPr>
              <w:t>post</w:t>
            </w:r>
            <w:r w:rsidRPr="00C31497">
              <w:rPr>
                <w:rFonts w:ascii="Times New Roman" w:eastAsia="Times New Roman" w:hAnsi="Times New Roman"/>
                <w:lang w:val="el-GR"/>
              </w:rPr>
              <w:t>-</w:t>
            </w:r>
            <w:r w:rsidRPr="00C31497">
              <w:rPr>
                <w:rFonts w:ascii="Times New Roman" w:eastAsia="Times New Roman" w:hAnsi="Times New Roman"/>
              </w:rPr>
              <w:t>hoc</w:t>
            </w:r>
            <w:r w:rsidRPr="00C31497">
              <w:rPr>
                <w:rFonts w:ascii="Times New Roman" w:eastAsia="Times New Roman" w:hAnsi="Times New Roman"/>
                <w:lang w:val="el-GR"/>
              </w:rPr>
              <w:t xml:space="preserve"> ανάλυση μιας υποομάδας</w:t>
            </w:r>
            <w:r>
              <w:rPr>
                <w:rFonts w:ascii="Times New Roman" w:eastAsia="Times New Roman" w:hAnsi="Times New Roman"/>
                <w:lang w:val="el-GR"/>
              </w:rPr>
              <w:t xml:space="preserve"> </w:t>
            </w:r>
            <w:r w:rsidRPr="00C31497">
              <w:rPr>
                <w:rFonts w:ascii="Times New Roman" w:eastAsia="Times New Roman" w:hAnsi="Times New Roman"/>
                <w:lang w:val="el-GR"/>
              </w:rPr>
              <w:t xml:space="preserve">υψηλού κινδύνου (συνολικά 9302 άτομα) με αρχική τιμή κινδύνου </w:t>
            </w:r>
            <w:r w:rsidRPr="00C31497">
              <w:rPr>
                <w:rFonts w:ascii="Times New Roman" w:eastAsia="Times New Roman" w:hAnsi="Times New Roman"/>
              </w:rPr>
              <w:t>SCORE</w:t>
            </w:r>
            <w:r w:rsidRPr="00C31497">
              <w:rPr>
                <w:rFonts w:ascii="Times New Roman" w:eastAsia="Times New Roman" w:hAnsi="Times New Roman"/>
                <w:lang w:val="el-GR"/>
              </w:rPr>
              <w:t xml:space="preserve"> ≥5%</w:t>
            </w:r>
            <w:r>
              <w:rPr>
                <w:rFonts w:ascii="Times New Roman" w:eastAsia="Times New Roman" w:hAnsi="Times New Roman"/>
                <w:lang w:val="el-GR"/>
              </w:rPr>
              <w:t xml:space="preserve"> </w:t>
            </w:r>
            <w:r w:rsidRPr="00C31497">
              <w:rPr>
                <w:rFonts w:ascii="Times New Roman" w:eastAsia="Times New Roman" w:hAnsi="Times New Roman"/>
                <w:lang w:val="el-GR"/>
              </w:rPr>
              <w:t>(υπολογίστηκε να συμπεριληφθούν άτομα άνω των 65 ετών) υπήρχε σημαντική</w:t>
            </w:r>
            <w:r>
              <w:rPr>
                <w:rFonts w:ascii="Times New Roman" w:eastAsia="Times New Roman" w:hAnsi="Times New Roman"/>
                <w:lang w:val="el-GR"/>
              </w:rPr>
              <w:t xml:space="preserve"> </w:t>
            </w:r>
            <w:r w:rsidRPr="00C31497">
              <w:rPr>
                <w:rFonts w:ascii="Times New Roman" w:eastAsia="Times New Roman" w:hAnsi="Times New Roman"/>
                <w:lang w:val="el-GR"/>
              </w:rPr>
              <w:t>μείωση στο σύνθετο τελικό σημείο καρδιαγγειακού θανάτου, εγκεφαλικού</w:t>
            </w:r>
            <w:r>
              <w:rPr>
                <w:rFonts w:ascii="Times New Roman" w:eastAsia="Times New Roman" w:hAnsi="Times New Roman"/>
                <w:lang w:val="el-GR"/>
              </w:rPr>
              <w:t xml:space="preserve"> </w:t>
            </w:r>
            <w:r w:rsidRPr="00C31497">
              <w:rPr>
                <w:rFonts w:ascii="Times New Roman" w:eastAsia="Times New Roman" w:hAnsi="Times New Roman"/>
                <w:lang w:val="el-GR"/>
              </w:rPr>
              <w:t>επεισοδίου και εμφράγματος του μυοκαρδίου (</w:t>
            </w:r>
            <w:r w:rsidRPr="00C31497">
              <w:rPr>
                <w:rFonts w:ascii="Times New Roman" w:eastAsia="Times New Roman" w:hAnsi="Times New Roman"/>
              </w:rPr>
              <w:t>p</w:t>
            </w:r>
            <w:r w:rsidRPr="00C31497">
              <w:rPr>
                <w:rFonts w:ascii="Times New Roman" w:eastAsia="Times New Roman" w:hAnsi="Times New Roman"/>
                <w:lang w:val="el-GR"/>
              </w:rPr>
              <w:t>=0,0003) στη θεραπεία με</w:t>
            </w:r>
            <w:r>
              <w:rPr>
                <w:rFonts w:ascii="Times New Roman" w:eastAsia="Times New Roman" w:hAnsi="Times New Roman"/>
                <w:lang w:val="el-GR"/>
              </w:rPr>
              <w:t xml:space="preserve"> </w:t>
            </w:r>
            <w:r w:rsidRPr="00C31497">
              <w:rPr>
                <w:rFonts w:ascii="Times New Roman" w:eastAsia="Times New Roman" w:hAnsi="Times New Roman"/>
              </w:rPr>
              <w:t>rosuvastatin</w:t>
            </w:r>
            <w:r w:rsidRPr="00C31497">
              <w:rPr>
                <w:rFonts w:ascii="Times New Roman" w:eastAsia="Times New Roman" w:hAnsi="Times New Roman"/>
                <w:lang w:val="el-GR"/>
              </w:rPr>
              <w:t xml:space="preserve"> έναντι του εικονικού φαρμάκου. Η απόλυτη μείωση κινδύνου στο</w:t>
            </w:r>
            <w:r>
              <w:rPr>
                <w:rFonts w:ascii="Times New Roman" w:eastAsia="Times New Roman" w:hAnsi="Times New Roman"/>
                <w:lang w:val="el-GR"/>
              </w:rPr>
              <w:t xml:space="preserve"> </w:t>
            </w:r>
            <w:r w:rsidRPr="00C31497">
              <w:rPr>
                <w:rFonts w:ascii="Times New Roman" w:eastAsia="Times New Roman" w:hAnsi="Times New Roman"/>
                <w:lang w:val="el-GR"/>
              </w:rPr>
              <w:t>ποσοστό συμβαμάτων ήταν 5,1 ανά 1000 ασθενείς-χρόνο. Η συνολική</w:t>
            </w:r>
            <w:r>
              <w:rPr>
                <w:rFonts w:ascii="Times New Roman" w:eastAsia="Times New Roman" w:hAnsi="Times New Roman"/>
                <w:lang w:val="el-GR"/>
              </w:rPr>
              <w:t xml:space="preserve"> </w:t>
            </w:r>
            <w:r w:rsidRPr="00C31497">
              <w:rPr>
                <w:rFonts w:ascii="Times New Roman" w:eastAsia="Times New Roman" w:hAnsi="Times New Roman"/>
                <w:lang w:val="el-GR"/>
              </w:rPr>
              <w:t>θνησιμότητα ήταν αμετάβλητη στην ομάδα υψηλού κινδύνου (</w:t>
            </w:r>
            <w:r w:rsidRPr="00C31497">
              <w:rPr>
                <w:rFonts w:ascii="Times New Roman" w:eastAsia="Times New Roman" w:hAnsi="Times New Roman"/>
              </w:rPr>
              <w:t>p</w:t>
            </w:r>
            <w:r w:rsidRPr="00C31497">
              <w:rPr>
                <w:rFonts w:ascii="Times New Roman" w:eastAsia="Times New Roman" w:hAnsi="Times New Roman"/>
                <w:lang w:val="el-GR"/>
              </w:rPr>
              <w:t>=0,076).</w:t>
            </w:r>
          </w:p>
          <w:p w:rsidR="00964C33" w:rsidRPr="00C31497" w:rsidRDefault="00C31497" w:rsidP="00C31497">
            <w:pPr>
              <w:spacing w:before="100" w:beforeAutospacing="1" w:after="75" w:line="360" w:lineRule="auto"/>
              <w:jc w:val="both"/>
              <w:rPr>
                <w:rFonts w:ascii="Times New Roman" w:eastAsia="Times New Roman" w:hAnsi="Times New Roman"/>
                <w:lang w:val="el-GR"/>
              </w:rPr>
            </w:pPr>
            <w:r w:rsidRPr="00C31497">
              <w:rPr>
                <w:rFonts w:ascii="Times New Roman" w:eastAsia="Times New Roman" w:hAnsi="Times New Roman"/>
                <w:lang w:val="el-GR"/>
              </w:rPr>
              <w:t xml:space="preserve">Στην μελέτη </w:t>
            </w:r>
            <w:r w:rsidRPr="00C31497">
              <w:rPr>
                <w:rFonts w:ascii="Times New Roman" w:eastAsia="Times New Roman" w:hAnsi="Times New Roman"/>
              </w:rPr>
              <w:t>JUPITER</w:t>
            </w:r>
            <w:r w:rsidRPr="00C31497">
              <w:rPr>
                <w:rFonts w:ascii="Times New Roman" w:eastAsia="Times New Roman" w:hAnsi="Times New Roman"/>
                <w:lang w:val="el-GR"/>
              </w:rPr>
              <w:t xml:space="preserve"> υπήρξαν 6,6% ασθενείς της ομάδας της </w:t>
            </w:r>
            <w:r w:rsidRPr="00C31497">
              <w:rPr>
                <w:rFonts w:ascii="Times New Roman" w:eastAsia="Times New Roman" w:hAnsi="Times New Roman"/>
              </w:rPr>
              <w:t>rosuvastatin</w:t>
            </w:r>
            <w:r w:rsidRPr="00C31497">
              <w:rPr>
                <w:rFonts w:ascii="Times New Roman" w:eastAsia="Times New Roman" w:hAnsi="Times New Roman"/>
                <w:lang w:val="el-GR"/>
              </w:rPr>
              <w:t xml:space="preserve"> και</w:t>
            </w:r>
            <w:r>
              <w:rPr>
                <w:rFonts w:ascii="Times New Roman" w:eastAsia="Times New Roman" w:hAnsi="Times New Roman"/>
                <w:lang w:val="el-GR"/>
              </w:rPr>
              <w:t xml:space="preserve"> </w:t>
            </w:r>
            <w:r w:rsidRPr="00C31497">
              <w:rPr>
                <w:rFonts w:ascii="Times New Roman" w:eastAsia="Times New Roman" w:hAnsi="Times New Roman"/>
                <w:lang w:val="el-GR"/>
              </w:rPr>
              <w:t>6,2% της ομάδας του εικονικού φαρμάκου που σταμάτησαν τη θεραπεία στη</w:t>
            </w:r>
            <w:r>
              <w:rPr>
                <w:rFonts w:ascii="Times New Roman" w:eastAsia="Times New Roman" w:hAnsi="Times New Roman"/>
                <w:lang w:val="el-GR"/>
              </w:rPr>
              <w:t xml:space="preserve"> </w:t>
            </w:r>
            <w:r w:rsidRPr="00C31497">
              <w:rPr>
                <w:rFonts w:ascii="Times New Roman" w:eastAsia="Times New Roman" w:hAnsi="Times New Roman"/>
                <w:lang w:val="el-GR"/>
              </w:rPr>
              <w:t>μελέτη λόγω κάποιου ανεπιθύμητου συμβάντος. Τα πιο συχνά ανεπιθύμητα</w:t>
            </w:r>
            <w:r>
              <w:rPr>
                <w:rFonts w:ascii="Times New Roman" w:eastAsia="Times New Roman" w:hAnsi="Times New Roman"/>
                <w:lang w:val="el-GR"/>
              </w:rPr>
              <w:t xml:space="preserve"> </w:t>
            </w:r>
            <w:r w:rsidRPr="00C31497">
              <w:rPr>
                <w:rFonts w:ascii="Times New Roman" w:eastAsia="Times New Roman" w:hAnsi="Times New Roman"/>
                <w:lang w:val="el-GR"/>
              </w:rPr>
              <w:t>συμβάματα που οδήγησαν στη διακοπή της θεραπείας ήταν: μυαλγία (0,3%</w:t>
            </w:r>
            <w:r>
              <w:rPr>
                <w:rFonts w:ascii="Times New Roman" w:eastAsia="Times New Roman" w:hAnsi="Times New Roman"/>
                <w:lang w:val="el-GR"/>
              </w:rPr>
              <w:t xml:space="preserve"> </w:t>
            </w:r>
            <w:r w:rsidRPr="00C31497">
              <w:rPr>
                <w:rFonts w:ascii="Times New Roman" w:eastAsia="Times New Roman" w:hAnsi="Times New Roman"/>
              </w:rPr>
              <w:t>rosuvastatin</w:t>
            </w:r>
            <w:r w:rsidRPr="00C31497">
              <w:rPr>
                <w:rFonts w:ascii="Times New Roman" w:eastAsia="Times New Roman" w:hAnsi="Times New Roman"/>
                <w:lang w:val="el-GR"/>
              </w:rPr>
              <w:t xml:space="preserve">, 0,2% εικονικό φάρμακο), κοιλιακό άλγος (0,03% </w:t>
            </w:r>
            <w:r w:rsidRPr="00C31497">
              <w:rPr>
                <w:rFonts w:ascii="Times New Roman" w:eastAsia="Times New Roman" w:hAnsi="Times New Roman"/>
              </w:rPr>
              <w:t>rosuvastatin</w:t>
            </w:r>
            <w:r w:rsidRPr="00C31497">
              <w:rPr>
                <w:rFonts w:ascii="Times New Roman" w:eastAsia="Times New Roman" w:hAnsi="Times New Roman"/>
                <w:lang w:val="el-GR"/>
              </w:rPr>
              <w:t>,</w:t>
            </w:r>
            <w:r>
              <w:rPr>
                <w:rFonts w:ascii="Times New Roman" w:eastAsia="Times New Roman" w:hAnsi="Times New Roman"/>
                <w:lang w:val="el-GR"/>
              </w:rPr>
              <w:t xml:space="preserve"> </w:t>
            </w:r>
            <w:r w:rsidRPr="00C31497">
              <w:rPr>
                <w:rFonts w:ascii="Times New Roman" w:eastAsia="Times New Roman" w:hAnsi="Times New Roman"/>
                <w:lang w:val="el-GR"/>
              </w:rPr>
              <w:t xml:space="preserve">0,02% </w:t>
            </w:r>
            <w:r w:rsidRPr="00C31497">
              <w:rPr>
                <w:rFonts w:ascii="Times New Roman" w:eastAsia="Times New Roman" w:hAnsi="Times New Roman"/>
                <w:lang w:val="el-GR"/>
              </w:rPr>
              <w:lastRenderedPageBreak/>
              <w:t xml:space="preserve">εικονικό φάρμακο) και εξάνθημα (0,02% </w:t>
            </w:r>
            <w:r w:rsidRPr="00C31497">
              <w:rPr>
                <w:rFonts w:ascii="Times New Roman" w:eastAsia="Times New Roman" w:hAnsi="Times New Roman"/>
              </w:rPr>
              <w:t>rosuvastatin</w:t>
            </w:r>
            <w:r w:rsidRPr="00C31497">
              <w:rPr>
                <w:rFonts w:ascii="Times New Roman" w:eastAsia="Times New Roman" w:hAnsi="Times New Roman"/>
                <w:lang w:val="el-GR"/>
              </w:rPr>
              <w:t>, 0,03% εικονικό</w:t>
            </w:r>
            <w:r>
              <w:rPr>
                <w:rFonts w:ascii="Times New Roman" w:eastAsia="Times New Roman" w:hAnsi="Times New Roman"/>
                <w:lang w:val="el-GR"/>
              </w:rPr>
              <w:t xml:space="preserve"> </w:t>
            </w:r>
            <w:r w:rsidRPr="00C31497">
              <w:rPr>
                <w:rFonts w:ascii="Times New Roman" w:eastAsia="Times New Roman" w:hAnsi="Times New Roman"/>
                <w:lang w:val="el-GR"/>
              </w:rPr>
              <w:t>φάρμακο). Τα πιο συχνά ανεπιθύμητα συμβάματα σε ποσοστό μεγαλύτερο ή ίσο</w:t>
            </w:r>
            <w:r>
              <w:rPr>
                <w:rFonts w:ascii="Times New Roman" w:eastAsia="Times New Roman" w:hAnsi="Times New Roman"/>
                <w:lang w:val="el-GR"/>
              </w:rPr>
              <w:t xml:space="preserve"> </w:t>
            </w:r>
            <w:r w:rsidRPr="00C31497">
              <w:rPr>
                <w:rFonts w:ascii="Times New Roman" w:eastAsia="Times New Roman" w:hAnsi="Times New Roman"/>
                <w:lang w:val="el-GR"/>
              </w:rPr>
              <w:t xml:space="preserve">με το εικονικό φάρμακο ήταν: ουρολοίμωξη (8,7% </w:t>
            </w:r>
            <w:r w:rsidRPr="00C31497">
              <w:rPr>
                <w:rFonts w:ascii="Times New Roman" w:eastAsia="Times New Roman" w:hAnsi="Times New Roman"/>
              </w:rPr>
              <w:t>rosuvastatin</w:t>
            </w:r>
            <w:r w:rsidRPr="00C31497">
              <w:rPr>
                <w:rFonts w:ascii="Times New Roman" w:eastAsia="Times New Roman" w:hAnsi="Times New Roman"/>
                <w:lang w:val="el-GR"/>
              </w:rPr>
              <w:t>, 8,6% εικονικό</w:t>
            </w:r>
            <w:r>
              <w:rPr>
                <w:rFonts w:ascii="Times New Roman" w:eastAsia="Times New Roman" w:hAnsi="Times New Roman"/>
                <w:lang w:val="el-GR"/>
              </w:rPr>
              <w:t xml:space="preserve"> </w:t>
            </w:r>
            <w:r w:rsidRPr="00C31497">
              <w:rPr>
                <w:rFonts w:ascii="Times New Roman" w:eastAsia="Times New Roman" w:hAnsi="Times New Roman"/>
                <w:lang w:val="el-GR"/>
              </w:rPr>
              <w:t xml:space="preserve">φάρμακο), ρινοφαρυγγίτιδα (7,6% </w:t>
            </w:r>
            <w:r w:rsidRPr="00C31497">
              <w:rPr>
                <w:rFonts w:ascii="Times New Roman" w:eastAsia="Times New Roman" w:hAnsi="Times New Roman"/>
              </w:rPr>
              <w:t>rosuvastatin</w:t>
            </w:r>
            <w:r w:rsidRPr="00C31497">
              <w:rPr>
                <w:rFonts w:ascii="Times New Roman" w:eastAsia="Times New Roman" w:hAnsi="Times New Roman"/>
                <w:lang w:val="el-GR"/>
              </w:rPr>
              <w:t>, 7,2% εικονικό φάρμακο),</w:t>
            </w:r>
            <w:r>
              <w:rPr>
                <w:rFonts w:ascii="Times New Roman" w:eastAsia="Times New Roman" w:hAnsi="Times New Roman"/>
                <w:lang w:val="el-GR"/>
              </w:rPr>
              <w:t xml:space="preserve"> </w:t>
            </w:r>
            <w:r w:rsidRPr="00C31497">
              <w:rPr>
                <w:rFonts w:ascii="Times New Roman" w:eastAsia="Times New Roman" w:hAnsi="Times New Roman"/>
                <w:lang w:val="el-GR"/>
              </w:rPr>
              <w:t xml:space="preserve">οσφυαλγία (7,6% </w:t>
            </w:r>
            <w:r w:rsidRPr="00C31497">
              <w:rPr>
                <w:rFonts w:ascii="Times New Roman" w:eastAsia="Times New Roman" w:hAnsi="Times New Roman"/>
              </w:rPr>
              <w:t>rosuvastatin</w:t>
            </w:r>
            <w:r w:rsidRPr="00C31497">
              <w:rPr>
                <w:rFonts w:ascii="Times New Roman" w:eastAsia="Times New Roman" w:hAnsi="Times New Roman"/>
                <w:lang w:val="el-GR"/>
              </w:rPr>
              <w:t>, 6,9% εικονικό φάρμακο) και μυαλγία (7,6%</w:t>
            </w:r>
            <w:r>
              <w:rPr>
                <w:rFonts w:ascii="Times New Roman" w:eastAsia="Times New Roman" w:hAnsi="Times New Roman"/>
                <w:lang w:val="el-GR"/>
              </w:rPr>
              <w:t xml:space="preserve"> </w:t>
            </w:r>
            <w:r w:rsidRPr="00C31497">
              <w:rPr>
                <w:rFonts w:ascii="Times New Roman" w:eastAsia="Times New Roman" w:hAnsi="Times New Roman"/>
              </w:rPr>
              <w:t>rosuvastatin</w:t>
            </w:r>
            <w:r w:rsidRPr="00C31497">
              <w:rPr>
                <w:rFonts w:ascii="Times New Roman" w:eastAsia="Times New Roman" w:hAnsi="Times New Roman"/>
                <w:lang w:val="el-GR"/>
              </w:rPr>
              <w:t>, 6,6% εικονικό φάρμακο).</w:t>
            </w:r>
          </w:p>
          <w:p w:rsidR="00964C33" w:rsidRPr="00DF116C" w:rsidRDefault="00F16B15" w:rsidP="00AC1E02">
            <w:pPr>
              <w:spacing w:before="100" w:beforeAutospacing="1" w:after="75" w:line="360" w:lineRule="auto"/>
              <w:jc w:val="both"/>
              <w:rPr>
                <w:rFonts w:ascii="Times New Roman" w:eastAsia="Times New Roman" w:hAnsi="Times New Roman"/>
                <w:u w:val="single"/>
                <w:lang w:val="el-GR"/>
              </w:rPr>
            </w:pPr>
            <w:r w:rsidRPr="00DF116C">
              <w:rPr>
                <w:rFonts w:ascii="Times New Roman" w:eastAsia="Times New Roman" w:hAnsi="Times New Roman"/>
                <w:bCs/>
                <w:u w:val="single"/>
                <w:lang w:val="el-GR"/>
              </w:rPr>
              <w:t>Παιδιατρικός πληθυσμός</w:t>
            </w:r>
          </w:p>
          <w:p w:rsidR="00DF116C" w:rsidRPr="00DF116C" w:rsidRDefault="00DF116C" w:rsidP="00DF116C">
            <w:pPr>
              <w:spacing w:after="75" w:line="360" w:lineRule="auto"/>
              <w:jc w:val="both"/>
              <w:rPr>
                <w:rFonts w:ascii="Times New Roman" w:eastAsia="Times New Roman" w:hAnsi="Times New Roman"/>
                <w:lang w:val="el-GR"/>
              </w:rPr>
            </w:pPr>
            <w:r w:rsidRPr="00DF116C">
              <w:rPr>
                <w:rFonts w:ascii="Times New Roman" w:eastAsia="Times New Roman" w:hAnsi="Times New Roman"/>
                <w:lang w:val="el-GR"/>
              </w:rPr>
              <w:t>Σε μία διπλά-τυφλή, τυχαιοποιημένη, πολυκεντρική, ελεγχόμενη με εικονικό</w:t>
            </w:r>
            <w:r>
              <w:rPr>
                <w:rFonts w:ascii="Times New Roman" w:eastAsia="Times New Roman" w:hAnsi="Times New Roman"/>
                <w:lang w:val="el-GR"/>
              </w:rPr>
              <w:t xml:space="preserve"> </w:t>
            </w:r>
            <w:r w:rsidRPr="00DF116C">
              <w:rPr>
                <w:rFonts w:ascii="Times New Roman" w:eastAsia="Times New Roman" w:hAnsi="Times New Roman"/>
                <w:lang w:val="el-GR"/>
              </w:rPr>
              <w:t>φάρμακο, 12 εβδομάδων μελέτη (n=176, 97 άρρενες και 79 θήλεις)</w:t>
            </w:r>
            <w:r>
              <w:rPr>
                <w:rFonts w:ascii="Times New Roman" w:eastAsia="Times New Roman" w:hAnsi="Times New Roman"/>
                <w:lang w:val="el-GR"/>
              </w:rPr>
              <w:t xml:space="preserve"> </w:t>
            </w:r>
            <w:r w:rsidRPr="00DF116C">
              <w:rPr>
                <w:rFonts w:ascii="Times New Roman" w:eastAsia="Times New Roman" w:hAnsi="Times New Roman"/>
                <w:lang w:val="el-GR"/>
              </w:rPr>
              <w:t>ακολουθούμενη από μία 40 εβδομάδων (n=173, 96 άρρενες και 77 θήλεις),</w:t>
            </w:r>
            <w:r>
              <w:rPr>
                <w:rFonts w:ascii="Times New Roman" w:eastAsia="Times New Roman" w:hAnsi="Times New Roman"/>
                <w:lang w:val="el-GR"/>
              </w:rPr>
              <w:t xml:space="preserve"> </w:t>
            </w:r>
            <w:r w:rsidRPr="00DF116C">
              <w:rPr>
                <w:rFonts w:ascii="Times New Roman" w:eastAsia="Times New Roman" w:hAnsi="Times New Roman"/>
                <w:lang w:val="el-GR"/>
              </w:rPr>
              <w:t>ανοιχτή, φάση τιτλοποίησης της δόσης rosuvastatin, ασθενείς ηλικίας 10-17 ετών</w:t>
            </w:r>
            <w:r>
              <w:rPr>
                <w:rFonts w:ascii="Times New Roman" w:eastAsia="Times New Roman" w:hAnsi="Times New Roman"/>
                <w:lang w:val="el-GR"/>
              </w:rPr>
              <w:t xml:space="preserve"> </w:t>
            </w:r>
            <w:r w:rsidRPr="00DF116C">
              <w:rPr>
                <w:rFonts w:ascii="Times New Roman" w:eastAsia="Times New Roman" w:hAnsi="Times New Roman"/>
                <w:lang w:val="el-GR"/>
              </w:rPr>
              <w:t>(Tanner stage II-V, θήλεις τουλάχιστον 1 χρόνο μετά την εμμηναρχή) με</w:t>
            </w:r>
            <w:r>
              <w:rPr>
                <w:rFonts w:ascii="Times New Roman" w:eastAsia="Times New Roman" w:hAnsi="Times New Roman"/>
                <w:lang w:val="el-GR"/>
              </w:rPr>
              <w:t xml:space="preserve"> </w:t>
            </w:r>
            <w:r w:rsidRPr="00DF116C">
              <w:rPr>
                <w:rFonts w:ascii="Times New Roman" w:eastAsia="Times New Roman" w:hAnsi="Times New Roman"/>
                <w:lang w:val="el-GR"/>
              </w:rPr>
              <w:t>ετερόζυγη οικογενή υπερχοληστερολαιμία λάμβαναν rosuvastatin 5, 10 ή 20 mg</w:t>
            </w:r>
            <w:r>
              <w:rPr>
                <w:rFonts w:ascii="Times New Roman" w:eastAsia="Times New Roman" w:hAnsi="Times New Roman"/>
                <w:lang w:val="el-GR"/>
              </w:rPr>
              <w:t xml:space="preserve"> </w:t>
            </w:r>
            <w:r w:rsidRPr="00DF116C">
              <w:rPr>
                <w:rFonts w:ascii="Times New Roman" w:eastAsia="Times New Roman" w:hAnsi="Times New Roman"/>
                <w:lang w:val="el-GR"/>
              </w:rPr>
              <w:t>ή εικονικό φάρμακο ημερησίως για 12 εβδομάδες και στη συνέχεια όλοι λάμβαναν</w:t>
            </w:r>
            <w:r>
              <w:rPr>
                <w:rFonts w:ascii="Times New Roman" w:eastAsia="Times New Roman" w:hAnsi="Times New Roman"/>
                <w:lang w:val="el-GR"/>
              </w:rPr>
              <w:t xml:space="preserve"> </w:t>
            </w:r>
            <w:r w:rsidRPr="00DF116C">
              <w:rPr>
                <w:rFonts w:ascii="Times New Roman" w:eastAsia="Times New Roman" w:hAnsi="Times New Roman"/>
                <w:lang w:val="el-GR"/>
              </w:rPr>
              <w:t>rosuvastatin ημερησίως για 40 εβδομάδες. Κατά την εισαγωγή στη μελέτη,</w:t>
            </w:r>
            <w:r>
              <w:rPr>
                <w:rFonts w:ascii="Times New Roman" w:eastAsia="Times New Roman" w:hAnsi="Times New Roman"/>
                <w:lang w:val="el-GR"/>
              </w:rPr>
              <w:t xml:space="preserve"> </w:t>
            </w:r>
            <w:r w:rsidRPr="00DF116C">
              <w:rPr>
                <w:rFonts w:ascii="Times New Roman" w:eastAsia="Times New Roman" w:hAnsi="Times New Roman"/>
                <w:lang w:val="el-GR"/>
              </w:rPr>
              <w:t>περίπου το 30% των ασθενών ήταν 10-13 ετών και περίπου το 17%, 18%, 40%</w:t>
            </w:r>
          </w:p>
          <w:p w:rsidR="00DF116C" w:rsidRPr="00DF116C" w:rsidRDefault="00DF116C" w:rsidP="00DF116C">
            <w:pPr>
              <w:spacing w:after="75" w:line="360" w:lineRule="auto"/>
              <w:jc w:val="both"/>
              <w:rPr>
                <w:rFonts w:ascii="Times New Roman" w:eastAsia="Times New Roman" w:hAnsi="Times New Roman"/>
                <w:lang w:val="el-GR"/>
              </w:rPr>
            </w:pPr>
            <w:r w:rsidRPr="00DF116C">
              <w:rPr>
                <w:rFonts w:ascii="Times New Roman" w:eastAsia="Times New Roman" w:hAnsi="Times New Roman"/>
                <w:lang w:val="el-GR"/>
              </w:rPr>
              <w:t>και 25% ήταν Tanner stage ΙΙ, ΙΙΙ, IV και V, αντιστοίχως.</w:t>
            </w:r>
          </w:p>
          <w:p w:rsidR="00DF116C" w:rsidRDefault="00DF116C" w:rsidP="00DF116C">
            <w:pPr>
              <w:spacing w:after="75" w:line="360" w:lineRule="auto"/>
              <w:jc w:val="both"/>
              <w:rPr>
                <w:rFonts w:ascii="Times New Roman" w:eastAsia="Times New Roman" w:hAnsi="Times New Roman"/>
                <w:lang w:val="el-GR"/>
              </w:rPr>
            </w:pPr>
            <w:r w:rsidRPr="00DF116C">
              <w:rPr>
                <w:rFonts w:ascii="Times New Roman" w:eastAsia="Times New Roman" w:hAnsi="Times New Roman"/>
                <w:lang w:val="el-GR"/>
              </w:rPr>
              <w:t>Η LDL-χοληστερόλη μειώθηκε κατά 38,8%, 44,6% και 50,0% με rosuvastatin 5,</w:t>
            </w:r>
            <w:r>
              <w:rPr>
                <w:rFonts w:ascii="Times New Roman" w:eastAsia="Times New Roman" w:hAnsi="Times New Roman"/>
                <w:lang w:val="el-GR"/>
              </w:rPr>
              <w:t xml:space="preserve"> </w:t>
            </w:r>
            <w:r w:rsidRPr="00DF116C">
              <w:rPr>
                <w:rFonts w:ascii="Times New Roman" w:eastAsia="Times New Roman" w:hAnsi="Times New Roman"/>
                <w:lang w:val="el-GR"/>
              </w:rPr>
              <w:t>10 και 20 mg, αντιστοίχως, σε σύγκριση με το 0,7% με το εικονικό φάρμακο.</w:t>
            </w:r>
          </w:p>
          <w:p w:rsidR="00DF116C" w:rsidRPr="00DF116C" w:rsidRDefault="00DF116C" w:rsidP="00DF116C">
            <w:pPr>
              <w:spacing w:after="75" w:line="360" w:lineRule="auto"/>
              <w:jc w:val="both"/>
              <w:rPr>
                <w:rFonts w:ascii="Times New Roman" w:eastAsia="Times New Roman" w:hAnsi="Times New Roman"/>
                <w:lang w:val="el-GR"/>
              </w:rPr>
            </w:pPr>
            <w:r w:rsidRPr="00DF116C">
              <w:rPr>
                <w:rFonts w:ascii="Times New Roman" w:eastAsia="Times New Roman" w:hAnsi="Times New Roman"/>
                <w:lang w:val="el-GR"/>
              </w:rPr>
              <w:t>Στο τέλος της 40 εβδομάδων, ανοιχτής, τιτλοποίησης της δόσης έως την επίτευξη</w:t>
            </w:r>
            <w:r>
              <w:rPr>
                <w:rFonts w:ascii="Times New Roman" w:eastAsia="Times New Roman" w:hAnsi="Times New Roman"/>
                <w:lang w:val="el-GR"/>
              </w:rPr>
              <w:t xml:space="preserve"> </w:t>
            </w:r>
            <w:r w:rsidRPr="00DF116C">
              <w:rPr>
                <w:rFonts w:ascii="Times New Roman" w:eastAsia="Times New Roman" w:hAnsi="Times New Roman"/>
                <w:lang w:val="el-GR"/>
              </w:rPr>
              <w:t>του στόχου, αύξηση της δόσης στο μέγιστο των 20 mg μία φορά ημερησίως, 70</w:t>
            </w:r>
            <w:r>
              <w:rPr>
                <w:rFonts w:ascii="Times New Roman" w:eastAsia="Times New Roman" w:hAnsi="Times New Roman"/>
                <w:lang w:val="el-GR"/>
              </w:rPr>
              <w:t xml:space="preserve"> </w:t>
            </w:r>
            <w:r w:rsidRPr="00DF116C">
              <w:rPr>
                <w:rFonts w:ascii="Times New Roman" w:eastAsia="Times New Roman" w:hAnsi="Times New Roman"/>
                <w:lang w:val="el-GR"/>
              </w:rPr>
              <w:t>από τους 173 ασθενείς (40,5%) πέτυχαν την επιδιωκόμενη LDL-χοληστερόλη, η</w:t>
            </w:r>
            <w:r>
              <w:rPr>
                <w:rFonts w:ascii="Times New Roman" w:eastAsia="Times New Roman" w:hAnsi="Times New Roman"/>
                <w:lang w:val="el-GR"/>
              </w:rPr>
              <w:t xml:space="preserve"> </w:t>
            </w:r>
            <w:r w:rsidRPr="00DF116C">
              <w:rPr>
                <w:rFonts w:ascii="Times New Roman" w:eastAsia="Times New Roman" w:hAnsi="Times New Roman"/>
                <w:lang w:val="el-GR"/>
              </w:rPr>
              <w:t>οποία ήταν λιγότερο από 2,8 mmol/L.</w:t>
            </w:r>
          </w:p>
          <w:p w:rsidR="00964C33" w:rsidRPr="00426846" w:rsidRDefault="00DF116C" w:rsidP="00613716">
            <w:pPr>
              <w:spacing w:before="100" w:beforeAutospacing="1" w:after="75" w:line="360" w:lineRule="auto"/>
              <w:jc w:val="both"/>
              <w:rPr>
                <w:rFonts w:ascii="Times New Roman" w:eastAsia="Times New Roman" w:hAnsi="Times New Roman"/>
              </w:rPr>
            </w:pPr>
            <w:r w:rsidRPr="00DF116C">
              <w:rPr>
                <w:rFonts w:ascii="Times New Roman" w:eastAsia="Times New Roman" w:hAnsi="Times New Roman"/>
                <w:lang w:val="el-GR"/>
              </w:rPr>
              <w:t>Μετά από 52 εβδομάδες μελέτης θεραπείας, δεν παρατηρήθηκε επίδραση στην</w:t>
            </w:r>
            <w:r>
              <w:rPr>
                <w:rFonts w:ascii="Times New Roman" w:eastAsia="Times New Roman" w:hAnsi="Times New Roman"/>
                <w:lang w:val="el-GR"/>
              </w:rPr>
              <w:t xml:space="preserve"> </w:t>
            </w:r>
            <w:r w:rsidRPr="00DF116C">
              <w:rPr>
                <w:rFonts w:ascii="Times New Roman" w:eastAsia="Times New Roman" w:hAnsi="Times New Roman"/>
                <w:lang w:val="el-GR"/>
              </w:rPr>
              <w:t>ανάπτυξη, στο βάρος, το ΔΜΣ ή τη σεξουαλική ωρίμανση (βλ. Παράγραφο 4.4). Η</w:t>
            </w:r>
            <w:r>
              <w:rPr>
                <w:rFonts w:ascii="Times New Roman" w:eastAsia="Times New Roman" w:hAnsi="Times New Roman"/>
                <w:lang w:val="el-GR"/>
              </w:rPr>
              <w:t xml:space="preserve"> </w:t>
            </w:r>
            <w:r w:rsidRPr="00DF116C">
              <w:rPr>
                <w:rFonts w:ascii="Times New Roman" w:eastAsia="Times New Roman" w:hAnsi="Times New Roman"/>
                <w:lang w:val="el-GR"/>
              </w:rPr>
              <w:t>εμπειρία από κλινική μελέτη σε παιδιά και εφήβους ασθενείς είναι περιορισμένη</w:t>
            </w:r>
            <w:r>
              <w:rPr>
                <w:rFonts w:ascii="Times New Roman" w:eastAsia="Times New Roman" w:hAnsi="Times New Roman"/>
                <w:lang w:val="el-GR"/>
              </w:rPr>
              <w:t xml:space="preserve"> </w:t>
            </w:r>
            <w:r w:rsidRPr="00DF116C">
              <w:rPr>
                <w:rFonts w:ascii="Times New Roman" w:eastAsia="Times New Roman" w:hAnsi="Times New Roman"/>
                <w:lang w:val="el-GR"/>
              </w:rPr>
              <w:t>και οι μακροχρόνιες επιδράσεις της rosuvastatin (&gt;1 χρόνο) στην εφηβεία είναι</w:t>
            </w:r>
            <w:r>
              <w:rPr>
                <w:rFonts w:ascii="Times New Roman" w:eastAsia="Times New Roman" w:hAnsi="Times New Roman"/>
                <w:lang w:val="el-GR"/>
              </w:rPr>
              <w:t xml:space="preserve"> </w:t>
            </w:r>
            <w:r w:rsidRPr="00DF116C">
              <w:rPr>
                <w:rFonts w:ascii="Times New Roman" w:eastAsia="Times New Roman" w:hAnsi="Times New Roman"/>
                <w:lang w:val="el-GR"/>
              </w:rPr>
              <w:t>άγνωστες. Αυτή η μελέτη (n=176) δεν ήταν κατάλληλη για διερεύνηση των</w:t>
            </w:r>
            <w:r>
              <w:rPr>
                <w:rFonts w:ascii="Times New Roman" w:eastAsia="Times New Roman" w:hAnsi="Times New Roman"/>
                <w:lang w:val="el-GR"/>
              </w:rPr>
              <w:t xml:space="preserve"> </w:t>
            </w:r>
            <w:r w:rsidRPr="00DF116C">
              <w:rPr>
                <w:rFonts w:ascii="Times New Roman" w:eastAsia="Times New Roman" w:hAnsi="Times New Roman"/>
                <w:lang w:val="el-GR"/>
              </w:rPr>
              <w:t>σπάνιων ανεπιθύμητων συμβαμάτων.</w:t>
            </w:r>
          </w:p>
        </w:tc>
      </w:tr>
    </w:tbl>
    <w:p w:rsidR="004C7928" w:rsidRPr="00426846" w:rsidRDefault="004C7928" w:rsidP="003170C4">
      <w:pPr>
        <w:shd w:val="clear" w:color="auto" w:fill="FFFFFF"/>
        <w:spacing w:after="0" w:line="360" w:lineRule="auto"/>
        <w:jc w:val="both"/>
        <w:rPr>
          <w:rFonts w:ascii="Times New Roman" w:eastAsia="Times New Roman" w:hAnsi="Times New Roman"/>
        </w:rPr>
      </w:pPr>
    </w:p>
    <w:p w:rsidR="004C7928" w:rsidRPr="00B31273" w:rsidRDefault="004C7928" w:rsidP="003170C4">
      <w:pPr>
        <w:suppressLineNumbers/>
        <w:spacing w:line="360" w:lineRule="auto"/>
        <w:ind w:left="567" w:hanging="567"/>
        <w:jc w:val="both"/>
        <w:outlineLvl w:val="0"/>
        <w:rPr>
          <w:rFonts w:ascii="Times New Roman" w:hAnsi="Times New Roman"/>
          <w:b/>
          <w:noProof/>
          <w:lang w:val="el-GR"/>
        </w:rPr>
      </w:pPr>
      <w:r w:rsidRPr="00B31273">
        <w:rPr>
          <w:rFonts w:ascii="Times New Roman" w:hAnsi="Times New Roman"/>
          <w:b/>
          <w:noProof/>
          <w:lang w:val="el-GR"/>
        </w:rPr>
        <w:t>5.2</w:t>
      </w:r>
      <w:r w:rsidRPr="00B31273">
        <w:rPr>
          <w:rFonts w:ascii="Times New Roman" w:hAnsi="Times New Roman"/>
          <w:b/>
          <w:noProof/>
          <w:lang w:val="el-GR"/>
        </w:rPr>
        <w:tab/>
      </w:r>
      <w:bookmarkStart w:id="14" w:name="PRECLINICAL_SAFETY"/>
      <w:bookmarkEnd w:id="14"/>
      <w:r w:rsidR="00960257" w:rsidRPr="00B31273">
        <w:rPr>
          <w:rFonts w:ascii="Times New Roman" w:hAnsi="Times New Roman"/>
          <w:b/>
          <w:noProof/>
          <w:lang w:val="el-GR"/>
        </w:rPr>
        <w:t>Φαρμακοκινητικές ιδιότητες</w:t>
      </w:r>
    </w:p>
    <w:p w:rsidR="003B12ED" w:rsidRPr="00B31273" w:rsidRDefault="00CA46F3" w:rsidP="003170C4">
      <w:pPr>
        <w:spacing w:before="100" w:beforeAutospacing="1" w:after="75" w:line="360" w:lineRule="auto"/>
        <w:jc w:val="both"/>
        <w:rPr>
          <w:rFonts w:ascii="Times New Roman" w:eastAsia="Times New Roman" w:hAnsi="Times New Roman"/>
          <w:lang w:val="el-GR"/>
        </w:rPr>
      </w:pPr>
      <w:r w:rsidRPr="00B31273">
        <w:rPr>
          <w:rFonts w:ascii="Times New Roman" w:eastAsia="Times New Roman" w:hAnsi="Times New Roman"/>
          <w:bCs/>
          <w:u w:val="single"/>
          <w:lang w:val="el-GR"/>
        </w:rPr>
        <w:t>Απορρόφηση</w:t>
      </w:r>
      <w:r w:rsidR="00964C33" w:rsidRPr="00B31273">
        <w:rPr>
          <w:rFonts w:ascii="Times New Roman" w:eastAsia="Times New Roman" w:hAnsi="Times New Roman"/>
          <w:lang w:val="el-GR"/>
        </w:rPr>
        <w:t xml:space="preserve"> </w:t>
      </w:r>
    </w:p>
    <w:p w:rsidR="00964C33" w:rsidRPr="00B31273" w:rsidRDefault="00B31273" w:rsidP="00B31273">
      <w:pPr>
        <w:spacing w:before="100" w:beforeAutospacing="1" w:after="75" w:line="360" w:lineRule="auto"/>
        <w:jc w:val="both"/>
        <w:rPr>
          <w:rFonts w:ascii="Times New Roman" w:eastAsia="Times New Roman" w:hAnsi="Times New Roman"/>
          <w:lang w:val="el-GR"/>
        </w:rPr>
      </w:pPr>
      <w:r w:rsidRPr="00B31273">
        <w:rPr>
          <w:rFonts w:ascii="Times New Roman" w:eastAsia="Times New Roman" w:hAnsi="Times New Roman"/>
        </w:rPr>
        <w:t>T</w:t>
      </w:r>
      <w:r w:rsidRPr="00B31273">
        <w:rPr>
          <w:rFonts w:ascii="Times New Roman" w:eastAsia="Times New Roman" w:hAnsi="Times New Roman"/>
          <w:lang w:val="el-GR"/>
        </w:rPr>
        <w:t xml:space="preserve">α μέγιστα επίπεδα της </w:t>
      </w:r>
      <w:r>
        <w:rPr>
          <w:rFonts w:ascii="Times New Roman" w:eastAsia="Times New Roman" w:hAnsi="Times New Roman"/>
          <w:lang w:val="el-GR"/>
        </w:rPr>
        <w:t>ροσουβαστατίνης</w:t>
      </w:r>
      <w:r w:rsidRPr="00B31273">
        <w:rPr>
          <w:rFonts w:ascii="Times New Roman" w:eastAsia="Times New Roman" w:hAnsi="Times New Roman"/>
          <w:lang w:val="el-GR"/>
        </w:rPr>
        <w:t xml:space="preserve"> στο πλάσμα επιτυγχάνονται</w:t>
      </w:r>
      <w:r>
        <w:rPr>
          <w:rFonts w:ascii="Times New Roman" w:eastAsia="Times New Roman" w:hAnsi="Times New Roman"/>
          <w:lang w:val="el-GR"/>
        </w:rPr>
        <w:t xml:space="preserve"> </w:t>
      </w:r>
      <w:r w:rsidRPr="00B31273">
        <w:rPr>
          <w:rFonts w:ascii="Times New Roman" w:eastAsia="Times New Roman" w:hAnsi="Times New Roman"/>
          <w:lang w:val="el-GR"/>
        </w:rPr>
        <w:t>περίπου 5 ώρες μετά την από του στόματος χορήγηση. Η απόλυτη</w:t>
      </w:r>
      <w:r>
        <w:rPr>
          <w:rFonts w:ascii="Times New Roman" w:eastAsia="Times New Roman" w:hAnsi="Times New Roman"/>
          <w:lang w:val="el-GR"/>
        </w:rPr>
        <w:t xml:space="preserve"> </w:t>
      </w:r>
      <w:r w:rsidRPr="00B31273">
        <w:rPr>
          <w:rFonts w:ascii="Times New Roman" w:eastAsia="Times New Roman" w:hAnsi="Times New Roman"/>
          <w:lang w:val="el-GR"/>
        </w:rPr>
        <w:t>βιοδιαθεσιμότητα είναι περίπου 20%.</w:t>
      </w:r>
      <w:r w:rsidR="00964C33" w:rsidRPr="00B31273">
        <w:rPr>
          <w:rFonts w:ascii="Times New Roman" w:eastAsia="Times New Roman" w:hAnsi="Times New Roman"/>
          <w:lang w:val="el-GR"/>
        </w:rPr>
        <w:t xml:space="preserve"> </w:t>
      </w:r>
    </w:p>
    <w:p w:rsidR="003B12ED" w:rsidRPr="00B31273" w:rsidRDefault="00A376A3" w:rsidP="003170C4">
      <w:pPr>
        <w:spacing w:before="100" w:beforeAutospacing="1" w:after="75" w:line="360" w:lineRule="auto"/>
        <w:jc w:val="both"/>
        <w:rPr>
          <w:rFonts w:ascii="Times New Roman" w:eastAsia="Times New Roman" w:hAnsi="Times New Roman"/>
          <w:u w:val="single"/>
          <w:lang w:val="el-GR"/>
        </w:rPr>
      </w:pPr>
      <w:r w:rsidRPr="00B31273">
        <w:rPr>
          <w:rFonts w:ascii="Times New Roman" w:eastAsia="Times New Roman" w:hAnsi="Times New Roman"/>
          <w:bCs/>
          <w:u w:val="single"/>
          <w:lang w:val="el-GR"/>
        </w:rPr>
        <w:t>Κατανομή</w:t>
      </w:r>
    </w:p>
    <w:p w:rsidR="00964C33" w:rsidRPr="00D740E2" w:rsidRDefault="00761CBE" w:rsidP="00761CBE">
      <w:pPr>
        <w:spacing w:before="100" w:beforeAutospacing="1" w:after="75" w:line="360" w:lineRule="auto"/>
        <w:jc w:val="both"/>
        <w:rPr>
          <w:rFonts w:ascii="Times New Roman" w:eastAsia="Times New Roman" w:hAnsi="Times New Roman"/>
          <w:lang w:val="el-GR"/>
        </w:rPr>
      </w:pPr>
      <w:r w:rsidRPr="00761CBE">
        <w:rPr>
          <w:rFonts w:ascii="Times New Roman" w:eastAsia="Times New Roman" w:hAnsi="Times New Roman"/>
          <w:lang w:val="el-GR"/>
        </w:rPr>
        <w:lastRenderedPageBreak/>
        <w:t xml:space="preserve">Η </w:t>
      </w:r>
      <w:r>
        <w:rPr>
          <w:rFonts w:ascii="Times New Roman" w:eastAsia="Times New Roman" w:hAnsi="Times New Roman"/>
          <w:lang w:val="el-GR"/>
        </w:rPr>
        <w:t>ροσουβαστατίνη</w:t>
      </w:r>
      <w:r w:rsidRPr="00761CBE">
        <w:rPr>
          <w:rFonts w:ascii="Times New Roman" w:eastAsia="Times New Roman" w:hAnsi="Times New Roman"/>
          <w:lang w:val="el-GR"/>
        </w:rPr>
        <w:t xml:space="preserve"> συγκεντρώνεται σε μεγάλο βαθμό στο ήπαρ που είναι</w:t>
      </w:r>
      <w:r>
        <w:rPr>
          <w:rFonts w:ascii="Times New Roman" w:eastAsia="Times New Roman" w:hAnsi="Times New Roman"/>
          <w:lang w:val="el-GR"/>
        </w:rPr>
        <w:t xml:space="preserve"> </w:t>
      </w:r>
      <w:r w:rsidRPr="00761CBE">
        <w:rPr>
          <w:rFonts w:ascii="Times New Roman" w:eastAsia="Times New Roman" w:hAnsi="Times New Roman"/>
          <w:lang w:val="el-GR"/>
        </w:rPr>
        <w:t xml:space="preserve">η κύρια περιοχή σύνθεσης της χοληστερόλης και αποβολής της </w:t>
      </w:r>
      <w:r w:rsidRPr="00761CBE">
        <w:rPr>
          <w:rFonts w:ascii="Times New Roman" w:eastAsia="Times New Roman" w:hAnsi="Times New Roman"/>
        </w:rPr>
        <w:t>LDL</w:t>
      </w:r>
      <w:r>
        <w:rPr>
          <w:rFonts w:ascii="Times New Roman" w:eastAsia="Times New Roman" w:hAnsi="Times New Roman"/>
          <w:lang w:val="el-GR"/>
        </w:rPr>
        <w:t xml:space="preserve"> – </w:t>
      </w:r>
      <w:r w:rsidRPr="00761CBE">
        <w:rPr>
          <w:rFonts w:ascii="Times New Roman" w:eastAsia="Times New Roman" w:hAnsi="Times New Roman"/>
          <w:lang w:val="el-GR"/>
        </w:rPr>
        <w:t xml:space="preserve">χοληστερόλης. Ο όγκος κατανομής της </w:t>
      </w:r>
      <w:r>
        <w:rPr>
          <w:rFonts w:ascii="Times New Roman" w:eastAsia="Times New Roman" w:hAnsi="Times New Roman"/>
          <w:lang w:val="el-GR"/>
        </w:rPr>
        <w:t>ροσουβαστατίνης</w:t>
      </w:r>
      <w:r w:rsidRPr="00761CBE">
        <w:rPr>
          <w:rFonts w:ascii="Times New Roman" w:eastAsia="Times New Roman" w:hAnsi="Times New Roman"/>
          <w:lang w:val="el-GR"/>
        </w:rPr>
        <w:t xml:space="preserve"> είναι περίπου 134 </w:t>
      </w:r>
      <w:r w:rsidRPr="00761CBE">
        <w:rPr>
          <w:rFonts w:ascii="Times New Roman" w:eastAsia="Times New Roman" w:hAnsi="Times New Roman"/>
        </w:rPr>
        <w:t>L</w:t>
      </w:r>
      <w:r w:rsidRPr="00761CBE">
        <w:rPr>
          <w:rFonts w:ascii="Times New Roman" w:eastAsia="Times New Roman" w:hAnsi="Times New Roman"/>
          <w:lang w:val="el-GR"/>
        </w:rPr>
        <w:t>. Περίπου</w:t>
      </w:r>
      <w:r>
        <w:rPr>
          <w:rFonts w:ascii="Times New Roman" w:eastAsia="Times New Roman" w:hAnsi="Times New Roman"/>
          <w:lang w:val="el-GR"/>
        </w:rPr>
        <w:t xml:space="preserve"> </w:t>
      </w:r>
      <w:r w:rsidRPr="00761CBE">
        <w:rPr>
          <w:rFonts w:ascii="Times New Roman" w:eastAsia="Times New Roman" w:hAnsi="Times New Roman"/>
          <w:lang w:val="el-GR"/>
        </w:rPr>
        <w:t>το 90% της ροσουβαστατίνης είναι συνδεδεμένο με τις πρωτεΐνες του πλάσματος,</w:t>
      </w:r>
      <w:r>
        <w:rPr>
          <w:rFonts w:ascii="Times New Roman" w:eastAsia="Times New Roman" w:hAnsi="Times New Roman"/>
          <w:lang w:val="el-GR"/>
        </w:rPr>
        <w:t xml:space="preserve"> </w:t>
      </w:r>
      <w:r w:rsidRPr="00761CBE">
        <w:rPr>
          <w:rFonts w:ascii="Times New Roman" w:eastAsia="Times New Roman" w:hAnsi="Times New Roman"/>
          <w:lang w:val="el-GR"/>
        </w:rPr>
        <w:t>κυρίως με τη λευκωματίνη</w:t>
      </w:r>
      <w:r>
        <w:rPr>
          <w:rFonts w:ascii="Times New Roman" w:eastAsia="Times New Roman" w:hAnsi="Times New Roman"/>
          <w:lang w:val="el-GR"/>
        </w:rPr>
        <w:t>.</w:t>
      </w:r>
      <w:r w:rsidR="00964C33" w:rsidRPr="00D740E2">
        <w:rPr>
          <w:rFonts w:ascii="Times New Roman" w:eastAsia="Times New Roman" w:hAnsi="Times New Roman"/>
          <w:lang w:val="el-GR"/>
        </w:rPr>
        <w:t xml:space="preserve"> </w:t>
      </w:r>
    </w:p>
    <w:p w:rsidR="003B12ED" w:rsidRPr="00D740E2" w:rsidRDefault="00D740E2" w:rsidP="006E32AB">
      <w:pPr>
        <w:spacing w:before="100" w:beforeAutospacing="1" w:after="75" w:line="360" w:lineRule="auto"/>
        <w:jc w:val="both"/>
        <w:rPr>
          <w:rFonts w:ascii="Times New Roman" w:eastAsia="Times New Roman" w:hAnsi="Times New Roman"/>
          <w:lang w:val="el-GR"/>
        </w:rPr>
      </w:pPr>
      <w:r w:rsidRPr="00D740E2">
        <w:rPr>
          <w:rFonts w:ascii="Times New Roman" w:eastAsia="Times New Roman" w:hAnsi="Times New Roman"/>
          <w:bCs/>
          <w:u w:val="single"/>
          <w:lang w:val="el-GR"/>
        </w:rPr>
        <w:t>Μεταβολισμός</w:t>
      </w:r>
    </w:p>
    <w:p w:rsidR="00D740E2" w:rsidRDefault="00D740E2" w:rsidP="00D740E2">
      <w:pPr>
        <w:spacing w:before="100" w:beforeAutospacing="1" w:after="75" w:line="360" w:lineRule="auto"/>
        <w:jc w:val="both"/>
        <w:rPr>
          <w:rFonts w:ascii="Times New Roman" w:eastAsia="Times New Roman" w:hAnsi="Times New Roman"/>
          <w:lang w:val="el-GR"/>
        </w:rPr>
      </w:pPr>
      <w:r w:rsidRPr="00D740E2">
        <w:rPr>
          <w:rFonts w:ascii="Times New Roman" w:eastAsia="Times New Roman" w:hAnsi="Times New Roman"/>
        </w:rPr>
        <w:t>H</w:t>
      </w:r>
      <w:r w:rsidRPr="00D740E2">
        <w:rPr>
          <w:rFonts w:ascii="Times New Roman" w:eastAsia="Times New Roman" w:hAnsi="Times New Roman"/>
          <w:lang w:val="el-GR"/>
        </w:rPr>
        <w:t xml:space="preserve"> </w:t>
      </w:r>
      <w:r>
        <w:rPr>
          <w:rFonts w:ascii="Times New Roman" w:eastAsia="Times New Roman" w:hAnsi="Times New Roman"/>
          <w:lang w:val="el-GR"/>
        </w:rPr>
        <w:t>ροσουβαστατίνη</w:t>
      </w:r>
      <w:r w:rsidRPr="00D740E2">
        <w:rPr>
          <w:rFonts w:ascii="Times New Roman" w:eastAsia="Times New Roman" w:hAnsi="Times New Roman"/>
          <w:lang w:val="el-GR"/>
        </w:rPr>
        <w:t xml:space="preserve"> υπόκειται σε περιορισμένο μεταβολισμό (περίπου</w:t>
      </w:r>
      <w:r>
        <w:rPr>
          <w:rFonts w:ascii="Times New Roman" w:eastAsia="Times New Roman" w:hAnsi="Times New Roman"/>
          <w:lang w:val="el-GR"/>
        </w:rPr>
        <w:t xml:space="preserve"> </w:t>
      </w:r>
      <w:r w:rsidRPr="00D740E2">
        <w:rPr>
          <w:rFonts w:ascii="Times New Roman" w:eastAsia="Times New Roman" w:hAnsi="Times New Roman"/>
          <w:lang w:val="el-GR"/>
        </w:rPr>
        <w:t xml:space="preserve">10%). Μελέτες μεταβολισμού </w:t>
      </w:r>
      <w:r w:rsidRPr="00D740E2">
        <w:rPr>
          <w:rFonts w:ascii="Times New Roman" w:eastAsia="Times New Roman" w:hAnsi="Times New Roman"/>
          <w:i/>
        </w:rPr>
        <w:t>in</w:t>
      </w:r>
      <w:r w:rsidRPr="00D740E2">
        <w:rPr>
          <w:rFonts w:ascii="Times New Roman" w:eastAsia="Times New Roman" w:hAnsi="Times New Roman"/>
          <w:i/>
          <w:lang w:val="el-GR"/>
        </w:rPr>
        <w:t xml:space="preserve"> </w:t>
      </w:r>
      <w:r w:rsidRPr="00D740E2">
        <w:rPr>
          <w:rFonts w:ascii="Times New Roman" w:eastAsia="Times New Roman" w:hAnsi="Times New Roman"/>
          <w:i/>
        </w:rPr>
        <w:t>vitro</w:t>
      </w:r>
      <w:r w:rsidRPr="00D740E2">
        <w:rPr>
          <w:rFonts w:ascii="Times New Roman" w:eastAsia="Times New Roman" w:hAnsi="Times New Roman"/>
          <w:lang w:val="el-GR"/>
        </w:rPr>
        <w:t xml:space="preserve"> με χρήση ανθρώπινων ηπατοκυττάρων,</w:t>
      </w:r>
      <w:r>
        <w:rPr>
          <w:rFonts w:ascii="Times New Roman" w:eastAsia="Times New Roman" w:hAnsi="Times New Roman"/>
          <w:lang w:val="el-GR"/>
        </w:rPr>
        <w:t xml:space="preserve"> </w:t>
      </w:r>
      <w:r w:rsidRPr="00D740E2">
        <w:rPr>
          <w:rFonts w:ascii="Times New Roman" w:eastAsia="Times New Roman" w:hAnsi="Times New Roman"/>
          <w:lang w:val="el-GR"/>
        </w:rPr>
        <w:t>υποδηλώνουν ότι η ροσουβαστατίνη είναι φτωχό υπόστρωμα του μεταβολισμού που</w:t>
      </w:r>
      <w:r>
        <w:rPr>
          <w:rFonts w:ascii="Times New Roman" w:eastAsia="Times New Roman" w:hAnsi="Times New Roman"/>
          <w:lang w:val="el-GR"/>
        </w:rPr>
        <w:t xml:space="preserve"> </w:t>
      </w:r>
      <w:r w:rsidRPr="00D740E2">
        <w:rPr>
          <w:rFonts w:ascii="Times New Roman" w:eastAsia="Times New Roman" w:hAnsi="Times New Roman"/>
          <w:lang w:val="el-GR"/>
        </w:rPr>
        <w:t xml:space="preserve">βασίζεται στο κυτόχρωμα </w:t>
      </w:r>
      <w:r w:rsidRPr="00D740E2">
        <w:rPr>
          <w:rFonts w:ascii="Times New Roman" w:eastAsia="Times New Roman" w:hAnsi="Times New Roman"/>
        </w:rPr>
        <w:t>P</w:t>
      </w:r>
      <w:r w:rsidRPr="00D740E2">
        <w:rPr>
          <w:rFonts w:ascii="Times New Roman" w:eastAsia="Times New Roman" w:hAnsi="Times New Roman"/>
          <w:lang w:val="el-GR"/>
        </w:rPr>
        <w:t xml:space="preserve">450. Το </w:t>
      </w:r>
      <w:r w:rsidRPr="00D740E2">
        <w:rPr>
          <w:rFonts w:ascii="Times New Roman" w:eastAsia="Times New Roman" w:hAnsi="Times New Roman"/>
        </w:rPr>
        <w:t>CYP</w:t>
      </w:r>
      <w:r w:rsidRPr="00D740E2">
        <w:rPr>
          <w:rFonts w:ascii="Times New Roman" w:eastAsia="Times New Roman" w:hAnsi="Times New Roman"/>
          <w:lang w:val="el-GR"/>
        </w:rPr>
        <w:t>2</w:t>
      </w:r>
      <w:r w:rsidRPr="00D740E2">
        <w:rPr>
          <w:rFonts w:ascii="Times New Roman" w:eastAsia="Times New Roman" w:hAnsi="Times New Roman"/>
        </w:rPr>
        <w:t>C</w:t>
      </w:r>
      <w:r w:rsidRPr="00D740E2">
        <w:rPr>
          <w:rFonts w:ascii="Times New Roman" w:eastAsia="Times New Roman" w:hAnsi="Times New Roman"/>
          <w:lang w:val="el-GR"/>
        </w:rPr>
        <w:t>9 ήταν το κυρίως ισοένζυμο που</w:t>
      </w:r>
      <w:r>
        <w:rPr>
          <w:rFonts w:ascii="Times New Roman" w:eastAsia="Times New Roman" w:hAnsi="Times New Roman"/>
          <w:lang w:val="el-GR"/>
        </w:rPr>
        <w:t xml:space="preserve"> </w:t>
      </w:r>
      <w:r w:rsidRPr="00D740E2">
        <w:rPr>
          <w:rFonts w:ascii="Times New Roman" w:eastAsia="Times New Roman" w:hAnsi="Times New Roman"/>
          <w:lang w:val="el-GR"/>
        </w:rPr>
        <w:t>εμπλέκεται, ενώ τα 2</w:t>
      </w:r>
      <w:r w:rsidRPr="00D740E2">
        <w:rPr>
          <w:rFonts w:ascii="Times New Roman" w:eastAsia="Times New Roman" w:hAnsi="Times New Roman"/>
        </w:rPr>
        <w:t>C</w:t>
      </w:r>
      <w:r w:rsidRPr="00D740E2">
        <w:rPr>
          <w:rFonts w:ascii="Times New Roman" w:eastAsia="Times New Roman" w:hAnsi="Times New Roman"/>
          <w:lang w:val="el-GR"/>
        </w:rPr>
        <w:t>19, 3</w:t>
      </w:r>
      <w:r w:rsidRPr="00D740E2">
        <w:rPr>
          <w:rFonts w:ascii="Times New Roman" w:eastAsia="Times New Roman" w:hAnsi="Times New Roman"/>
        </w:rPr>
        <w:t>A</w:t>
      </w:r>
      <w:r w:rsidRPr="00D740E2">
        <w:rPr>
          <w:rFonts w:ascii="Times New Roman" w:eastAsia="Times New Roman" w:hAnsi="Times New Roman"/>
          <w:lang w:val="el-GR"/>
        </w:rPr>
        <w:t>4 και 2</w:t>
      </w:r>
      <w:r w:rsidRPr="00D740E2">
        <w:rPr>
          <w:rFonts w:ascii="Times New Roman" w:eastAsia="Times New Roman" w:hAnsi="Times New Roman"/>
        </w:rPr>
        <w:t>D</w:t>
      </w:r>
      <w:r w:rsidRPr="00D740E2">
        <w:rPr>
          <w:rFonts w:ascii="Times New Roman" w:eastAsia="Times New Roman" w:hAnsi="Times New Roman"/>
          <w:lang w:val="el-GR"/>
        </w:rPr>
        <w:t>6 εμπλέκονται σε μικρότερο βαθμό. Οι</w:t>
      </w:r>
      <w:r>
        <w:rPr>
          <w:rFonts w:ascii="Times New Roman" w:eastAsia="Times New Roman" w:hAnsi="Times New Roman"/>
          <w:lang w:val="el-GR"/>
        </w:rPr>
        <w:t xml:space="preserve"> </w:t>
      </w:r>
      <w:r w:rsidRPr="00D740E2">
        <w:rPr>
          <w:rFonts w:ascii="Times New Roman" w:eastAsia="Times New Roman" w:hAnsi="Times New Roman"/>
          <w:lang w:val="el-GR"/>
        </w:rPr>
        <w:t>κύριοι μεταβολίτες που προσδιορίζονται είναι ο Ν-απομεθυλιωμένος μεταβολίτης</w:t>
      </w:r>
      <w:r>
        <w:rPr>
          <w:rFonts w:ascii="Times New Roman" w:eastAsia="Times New Roman" w:hAnsi="Times New Roman"/>
          <w:lang w:val="el-GR"/>
        </w:rPr>
        <w:t xml:space="preserve"> </w:t>
      </w:r>
      <w:r w:rsidRPr="00D740E2">
        <w:rPr>
          <w:rFonts w:ascii="Times New Roman" w:eastAsia="Times New Roman" w:hAnsi="Times New Roman"/>
          <w:lang w:val="el-GR"/>
        </w:rPr>
        <w:t>και οι λακτονικοί μεταβολίτες. Ο Ν-απομεθυλιωμένος μεταβολίτης είναι κατά</w:t>
      </w:r>
      <w:r>
        <w:rPr>
          <w:rFonts w:ascii="Times New Roman" w:eastAsia="Times New Roman" w:hAnsi="Times New Roman"/>
          <w:lang w:val="el-GR"/>
        </w:rPr>
        <w:t xml:space="preserve"> </w:t>
      </w:r>
      <w:r w:rsidRPr="00D740E2">
        <w:rPr>
          <w:rFonts w:ascii="Times New Roman" w:eastAsia="Times New Roman" w:hAnsi="Times New Roman"/>
          <w:lang w:val="el-GR"/>
        </w:rPr>
        <w:t xml:space="preserve">περίπου 50% λιγότερο δραστικός από την </w:t>
      </w:r>
      <w:r w:rsidRPr="00D740E2">
        <w:rPr>
          <w:rFonts w:ascii="Times New Roman" w:eastAsia="Times New Roman" w:hAnsi="Times New Roman"/>
        </w:rPr>
        <w:t>rosuvastatin</w:t>
      </w:r>
      <w:r w:rsidRPr="00D740E2">
        <w:rPr>
          <w:rFonts w:ascii="Times New Roman" w:eastAsia="Times New Roman" w:hAnsi="Times New Roman"/>
          <w:lang w:val="el-GR"/>
        </w:rPr>
        <w:t>, ενώ η λακτονική μορφή</w:t>
      </w:r>
      <w:r>
        <w:rPr>
          <w:rFonts w:ascii="Times New Roman" w:eastAsia="Times New Roman" w:hAnsi="Times New Roman"/>
          <w:lang w:val="el-GR"/>
        </w:rPr>
        <w:t xml:space="preserve"> </w:t>
      </w:r>
      <w:r w:rsidRPr="00D740E2">
        <w:rPr>
          <w:rFonts w:ascii="Times New Roman" w:eastAsia="Times New Roman" w:hAnsi="Times New Roman"/>
          <w:lang w:val="el-GR"/>
        </w:rPr>
        <w:t>θεωρείται κλινικά ανενεργή. Η ροσουβαστατίνη επηρεάζει περισσότερο από το 90%</w:t>
      </w:r>
      <w:r>
        <w:rPr>
          <w:rFonts w:ascii="Times New Roman" w:eastAsia="Times New Roman" w:hAnsi="Times New Roman"/>
          <w:lang w:val="el-GR"/>
        </w:rPr>
        <w:t xml:space="preserve"> </w:t>
      </w:r>
      <w:r w:rsidRPr="00D740E2">
        <w:rPr>
          <w:rFonts w:ascii="Times New Roman" w:eastAsia="Times New Roman" w:hAnsi="Times New Roman"/>
          <w:lang w:val="el-GR"/>
        </w:rPr>
        <w:t xml:space="preserve">της ανασταλτικής δραστικότητας της κυκλοφορούσης στο αίμα </w:t>
      </w:r>
      <w:r w:rsidRPr="00D740E2">
        <w:rPr>
          <w:rFonts w:ascii="Times New Roman" w:eastAsia="Times New Roman" w:hAnsi="Times New Roman"/>
        </w:rPr>
        <w:t>HMG</w:t>
      </w:r>
      <w:r w:rsidRPr="00D740E2">
        <w:rPr>
          <w:rFonts w:ascii="Times New Roman" w:eastAsia="Times New Roman" w:hAnsi="Times New Roman"/>
          <w:lang w:val="el-GR"/>
        </w:rPr>
        <w:t xml:space="preserve"> </w:t>
      </w:r>
      <w:r w:rsidRPr="00D740E2">
        <w:rPr>
          <w:rFonts w:ascii="Times New Roman" w:eastAsia="Times New Roman" w:hAnsi="Times New Roman"/>
        </w:rPr>
        <w:t>CoA</w:t>
      </w:r>
      <w:r>
        <w:rPr>
          <w:rFonts w:ascii="Times New Roman" w:eastAsia="Times New Roman" w:hAnsi="Times New Roman"/>
          <w:lang w:val="el-GR"/>
        </w:rPr>
        <w:t xml:space="preserve"> </w:t>
      </w:r>
      <w:r w:rsidRPr="00D740E2">
        <w:rPr>
          <w:rFonts w:ascii="Times New Roman" w:eastAsia="Times New Roman" w:hAnsi="Times New Roman"/>
          <w:lang w:val="el-GR"/>
        </w:rPr>
        <w:t>αναγωγάσης.</w:t>
      </w:r>
    </w:p>
    <w:p w:rsidR="003B12ED" w:rsidRPr="007424E0" w:rsidRDefault="00D740E2" w:rsidP="00694556">
      <w:pPr>
        <w:spacing w:before="100" w:beforeAutospacing="1" w:after="75" w:line="360" w:lineRule="auto"/>
        <w:jc w:val="both"/>
        <w:rPr>
          <w:rFonts w:ascii="Times New Roman" w:eastAsia="Times New Roman" w:hAnsi="Times New Roman"/>
          <w:lang w:val="el-GR"/>
        </w:rPr>
      </w:pPr>
      <w:r w:rsidRPr="007424E0">
        <w:rPr>
          <w:rFonts w:ascii="Times New Roman" w:eastAsia="Times New Roman" w:hAnsi="Times New Roman"/>
          <w:bCs/>
          <w:iCs/>
          <w:u w:val="single"/>
          <w:lang w:val="el-GR"/>
        </w:rPr>
        <w:t>Απέκκριση</w:t>
      </w:r>
      <w:r w:rsidR="00964C33" w:rsidRPr="007424E0">
        <w:rPr>
          <w:rFonts w:ascii="Times New Roman" w:eastAsia="Times New Roman" w:hAnsi="Times New Roman"/>
          <w:lang w:val="el-GR"/>
        </w:rPr>
        <w:t xml:space="preserve"> </w:t>
      </w:r>
    </w:p>
    <w:p w:rsidR="00964C33" w:rsidRPr="00426846" w:rsidRDefault="007424E0" w:rsidP="007424E0">
      <w:pPr>
        <w:spacing w:before="100" w:beforeAutospacing="1" w:after="75" w:line="360" w:lineRule="auto"/>
        <w:jc w:val="both"/>
        <w:rPr>
          <w:rFonts w:ascii="Times New Roman" w:eastAsia="Times New Roman" w:hAnsi="Times New Roman"/>
        </w:rPr>
      </w:pPr>
      <w:r w:rsidRPr="007424E0">
        <w:rPr>
          <w:rFonts w:ascii="Times New Roman" w:eastAsia="Times New Roman" w:hAnsi="Times New Roman"/>
          <w:lang w:val="el-GR"/>
        </w:rPr>
        <w:t>Περίπου 90% της δόσης της ροσουβαστατίνη</w:t>
      </w:r>
      <w:r>
        <w:rPr>
          <w:rFonts w:ascii="Times New Roman" w:eastAsia="Times New Roman" w:hAnsi="Times New Roman"/>
          <w:lang w:val="el-GR"/>
        </w:rPr>
        <w:t>ς</w:t>
      </w:r>
      <w:r w:rsidRPr="007424E0">
        <w:rPr>
          <w:rFonts w:ascii="Times New Roman" w:eastAsia="Times New Roman" w:hAnsi="Times New Roman"/>
          <w:lang w:val="el-GR"/>
        </w:rPr>
        <w:t xml:space="preserve"> απεκκρίνεται αμετάβλητη</w:t>
      </w:r>
      <w:r>
        <w:rPr>
          <w:rFonts w:ascii="Times New Roman" w:eastAsia="Times New Roman" w:hAnsi="Times New Roman"/>
          <w:lang w:val="el-GR"/>
        </w:rPr>
        <w:t xml:space="preserve"> </w:t>
      </w:r>
      <w:r w:rsidRPr="007424E0">
        <w:rPr>
          <w:rFonts w:ascii="Times New Roman" w:eastAsia="Times New Roman" w:hAnsi="Times New Roman"/>
          <w:lang w:val="el-GR"/>
        </w:rPr>
        <w:t>στα κόπρανα (αποτελούμενη από προσροφημένη και μη δραστική ουσία) και το</w:t>
      </w:r>
      <w:r>
        <w:rPr>
          <w:rFonts w:ascii="Times New Roman" w:eastAsia="Times New Roman" w:hAnsi="Times New Roman"/>
          <w:lang w:val="el-GR"/>
        </w:rPr>
        <w:t xml:space="preserve"> </w:t>
      </w:r>
      <w:r w:rsidRPr="007424E0">
        <w:rPr>
          <w:rFonts w:ascii="Times New Roman" w:eastAsia="Times New Roman" w:hAnsi="Times New Roman"/>
          <w:lang w:val="el-GR"/>
        </w:rPr>
        <w:t>υπόλοιπο ποσοστό αποβάλλεται στα ούρα. Ποσοστό περίπου 5% απεκκρίνεται</w:t>
      </w:r>
      <w:r>
        <w:rPr>
          <w:rFonts w:ascii="Times New Roman" w:eastAsia="Times New Roman" w:hAnsi="Times New Roman"/>
          <w:lang w:val="el-GR"/>
        </w:rPr>
        <w:t xml:space="preserve"> </w:t>
      </w:r>
      <w:r w:rsidRPr="007424E0">
        <w:rPr>
          <w:rFonts w:ascii="Times New Roman" w:eastAsia="Times New Roman" w:hAnsi="Times New Roman"/>
          <w:lang w:val="el-GR"/>
        </w:rPr>
        <w:t>αμετάβλητο από τα ούρα. Η ημιπερίοδος ζωής της απομάκρυνσης της ροσουβαστατίνη</w:t>
      </w:r>
      <w:r>
        <w:rPr>
          <w:rFonts w:ascii="Times New Roman" w:eastAsia="Times New Roman" w:hAnsi="Times New Roman"/>
          <w:lang w:val="el-GR"/>
        </w:rPr>
        <w:t>ς</w:t>
      </w:r>
      <w:r w:rsidRPr="007424E0">
        <w:rPr>
          <w:rFonts w:ascii="Times New Roman" w:eastAsia="Times New Roman" w:hAnsi="Times New Roman"/>
          <w:lang w:val="el-GR"/>
        </w:rPr>
        <w:t xml:space="preserve"> από το πλάσμα είναι 19 ώρες. Η ημιπερίοδος ζωής της απομάκρυνσης δεν</w:t>
      </w:r>
      <w:r>
        <w:rPr>
          <w:rFonts w:ascii="Times New Roman" w:eastAsia="Times New Roman" w:hAnsi="Times New Roman"/>
          <w:lang w:val="el-GR"/>
        </w:rPr>
        <w:t xml:space="preserve"> </w:t>
      </w:r>
      <w:r w:rsidRPr="007424E0">
        <w:rPr>
          <w:rFonts w:ascii="Times New Roman" w:eastAsia="Times New Roman" w:hAnsi="Times New Roman"/>
          <w:lang w:val="el-GR"/>
        </w:rPr>
        <w:t xml:space="preserve">αυξάνεται σε υψηλότερες δόσεις. </w:t>
      </w:r>
      <w:r w:rsidRPr="007424E0">
        <w:rPr>
          <w:rFonts w:ascii="Times New Roman" w:eastAsia="Times New Roman" w:hAnsi="Times New Roman"/>
        </w:rPr>
        <w:t>H</w:t>
      </w:r>
      <w:r w:rsidRPr="007424E0">
        <w:rPr>
          <w:rFonts w:ascii="Times New Roman" w:eastAsia="Times New Roman" w:hAnsi="Times New Roman"/>
          <w:lang w:val="el-GR"/>
        </w:rPr>
        <w:t xml:space="preserve"> μέση γεωμετρική κάθαρση από το πλάσμα</w:t>
      </w:r>
      <w:r>
        <w:rPr>
          <w:rFonts w:ascii="Times New Roman" w:eastAsia="Times New Roman" w:hAnsi="Times New Roman"/>
          <w:lang w:val="el-GR"/>
        </w:rPr>
        <w:t xml:space="preserve"> </w:t>
      </w:r>
      <w:r w:rsidRPr="007424E0">
        <w:rPr>
          <w:rFonts w:ascii="Times New Roman" w:eastAsia="Times New Roman" w:hAnsi="Times New Roman"/>
          <w:lang w:val="el-GR"/>
        </w:rPr>
        <w:t>είναι περίπου 50 λίτρα/ώρα (συντελεστής μεταβλητότητας 21,7%). Όπως και με</w:t>
      </w:r>
      <w:r>
        <w:rPr>
          <w:rFonts w:ascii="Times New Roman" w:eastAsia="Times New Roman" w:hAnsi="Times New Roman"/>
          <w:lang w:val="el-GR"/>
        </w:rPr>
        <w:t xml:space="preserve"> </w:t>
      </w:r>
      <w:r w:rsidRPr="007424E0">
        <w:rPr>
          <w:rFonts w:ascii="Times New Roman" w:eastAsia="Times New Roman" w:hAnsi="Times New Roman"/>
          <w:lang w:val="el-GR"/>
        </w:rPr>
        <w:t xml:space="preserve">τους άλλους αναστολείς της </w:t>
      </w:r>
      <w:r w:rsidRPr="007424E0">
        <w:rPr>
          <w:rFonts w:ascii="Times New Roman" w:eastAsia="Times New Roman" w:hAnsi="Times New Roman"/>
        </w:rPr>
        <w:t>HMG</w:t>
      </w:r>
      <w:r w:rsidRPr="007424E0">
        <w:rPr>
          <w:rFonts w:ascii="Times New Roman" w:eastAsia="Times New Roman" w:hAnsi="Times New Roman"/>
          <w:lang w:val="el-GR"/>
        </w:rPr>
        <w:t>-</w:t>
      </w:r>
      <w:r w:rsidRPr="007424E0">
        <w:rPr>
          <w:rFonts w:ascii="Times New Roman" w:eastAsia="Times New Roman" w:hAnsi="Times New Roman"/>
        </w:rPr>
        <w:t>CoA</w:t>
      </w:r>
      <w:r w:rsidRPr="007424E0">
        <w:rPr>
          <w:rFonts w:ascii="Times New Roman" w:eastAsia="Times New Roman" w:hAnsi="Times New Roman"/>
          <w:lang w:val="el-GR"/>
        </w:rPr>
        <w:t xml:space="preserve"> αναγωγάσης, η πρόσληψη της </w:t>
      </w:r>
      <w:r w:rsidR="00C516F9" w:rsidRPr="00C516F9">
        <w:rPr>
          <w:rFonts w:ascii="Times New Roman" w:eastAsia="Times New Roman" w:hAnsi="Times New Roman"/>
          <w:lang w:val="el-GR"/>
        </w:rPr>
        <w:t>ροσουβαστατίνη</w:t>
      </w:r>
      <w:r w:rsidR="00C516F9">
        <w:rPr>
          <w:rFonts w:ascii="Times New Roman" w:eastAsia="Times New Roman" w:hAnsi="Times New Roman"/>
          <w:lang w:val="el-GR"/>
        </w:rPr>
        <w:t>ς</w:t>
      </w:r>
      <w:r w:rsidR="00C516F9" w:rsidRPr="00C516F9">
        <w:rPr>
          <w:rFonts w:ascii="Times New Roman" w:eastAsia="Times New Roman" w:hAnsi="Times New Roman"/>
          <w:lang w:val="el-GR"/>
        </w:rPr>
        <w:t xml:space="preserve"> </w:t>
      </w:r>
      <w:r w:rsidRPr="007424E0">
        <w:rPr>
          <w:rFonts w:ascii="Times New Roman" w:eastAsia="Times New Roman" w:hAnsi="Times New Roman"/>
          <w:lang w:val="el-GR"/>
        </w:rPr>
        <w:t xml:space="preserve">από το ήπαρ εμπλέκει τον μεμβρανικό μεταφορέα </w:t>
      </w:r>
      <w:r w:rsidRPr="007424E0">
        <w:rPr>
          <w:rFonts w:ascii="Times New Roman" w:eastAsia="Times New Roman" w:hAnsi="Times New Roman"/>
        </w:rPr>
        <w:t>OATP</w:t>
      </w:r>
      <w:r w:rsidRPr="007424E0">
        <w:rPr>
          <w:rFonts w:ascii="Times New Roman" w:eastAsia="Times New Roman" w:hAnsi="Times New Roman"/>
          <w:lang w:val="el-GR"/>
        </w:rPr>
        <w:t>-</w:t>
      </w:r>
      <w:r w:rsidRPr="007424E0">
        <w:rPr>
          <w:rFonts w:ascii="Times New Roman" w:eastAsia="Times New Roman" w:hAnsi="Times New Roman"/>
        </w:rPr>
        <w:t>C</w:t>
      </w:r>
      <w:r w:rsidRPr="007424E0">
        <w:rPr>
          <w:rFonts w:ascii="Times New Roman" w:eastAsia="Times New Roman" w:hAnsi="Times New Roman"/>
          <w:lang w:val="el-GR"/>
        </w:rPr>
        <w:t xml:space="preserve">. Ο μεταφορέας </w:t>
      </w:r>
      <w:r>
        <w:rPr>
          <w:rFonts w:ascii="Times New Roman" w:eastAsia="Times New Roman" w:hAnsi="Times New Roman"/>
          <w:lang w:val="el-GR"/>
        </w:rPr>
        <w:t xml:space="preserve">αυτός </w:t>
      </w:r>
      <w:r w:rsidRPr="007424E0">
        <w:rPr>
          <w:rFonts w:ascii="Times New Roman" w:eastAsia="Times New Roman" w:hAnsi="Times New Roman"/>
          <w:lang w:val="el-GR"/>
        </w:rPr>
        <w:t>είναι σημαντικός για την ηπατική απέκκριση της ροσουβαστατίνη</w:t>
      </w:r>
      <w:r>
        <w:rPr>
          <w:rFonts w:ascii="Times New Roman" w:eastAsia="Times New Roman" w:hAnsi="Times New Roman"/>
          <w:lang w:val="el-GR"/>
        </w:rPr>
        <w:t>ς</w:t>
      </w:r>
      <w:r w:rsidRPr="007424E0">
        <w:rPr>
          <w:rFonts w:ascii="Times New Roman" w:eastAsia="Times New Roman" w:hAnsi="Times New Roman"/>
          <w:lang w:val="el-GR"/>
        </w:rPr>
        <w:t xml:space="preserve">. </w:t>
      </w:r>
    </w:p>
    <w:p w:rsidR="003B12ED" w:rsidRPr="00AA5076" w:rsidRDefault="00AA5076" w:rsidP="00AC1E02">
      <w:pPr>
        <w:spacing w:before="100" w:beforeAutospacing="1" w:after="75" w:line="360" w:lineRule="auto"/>
        <w:jc w:val="both"/>
        <w:rPr>
          <w:rFonts w:ascii="Times New Roman" w:eastAsia="Times New Roman" w:hAnsi="Times New Roman"/>
          <w:u w:val="single"/>
          <w:lang w:val="el-GR"/>
        </w:rPr>
      </w:pPr>
      <w:r w:rsidRPr="00AA5076">
        <w:rPr>
          <w:rFonts w:ascii="Times New Roman" w:eastAsia="Times New Roman" w:hAnsi="Times New Roman"/>
          <w:bCs/>
          <w:u w:val="single"/>
          <w:lang w:val="el-GR"/>
        </w:rPr>
        <w:t>Γραμμικότητα</w:t>
      </w:r>
      <w:r>
        <w:rPr>
          <w:rFonts w:ascii="Times New Roman" w:eastAsia="Times New Roman" w:hAnsi="Times New Roman"/>
          <w:bCs/>
          <w:u w:val="single"/>
          <w:lang w:val="el-GR"/>
        </w:rPr>
        <w:t>/</w:t>
      </w:r>
      <w:r w:rsidR="008F44FE">
        <w:rPr>
          <w:rFonts w:ascii="Times New Roman" w:eastAsia="Times New Roman" w:hAnsi="Times New Roman"/>
          <w:bCs/>
          <w:u w:val="single"/>
          <w:lang w:val="el-GR"/>
        </w:rPr>
        <w:t>Μ</w:t>
      </w:r>
      <w:r>
        <w:rPr>
          <w:rFonts w:ascii="Times New Roman" w:eastAsia="Times New Roman" w:hAnsi="Times New Roman"/>
          <w:bCs/>
          <w:u w:val="single"/>
          <w:lang w:val="el-GR"/>
        </w:rPr>
        <w:t>η-γραμμικότητα</w:t>
      </w:r>
      <w:r w:rsidRPr="00AA5076">
        <w:rPr>
          <w:rFonts w:ascii="Times New Roman" w:eastAsia="Times New Roman" w:hAnsi="Times New Roman"/>
          <w:bCs/>
          <w:u w:val="single"/>
          <w:lang w:val="el-GR"/>
        </w:rPr>
        <w:t>:</w:t>
      </w:r>
    </w:p>
    <w:p w:rsidR="00517F1F" w:rsidRDefault="00517F1F" w:rsidP="00517F1F">
      <w:pPr>
        <w:spacing w:before="100" w:beforeAutospacing="1" w:after="75" w:line="360" w:lineRule="auto"/>
        <w:jc w:val="both"/>
        <w:rPr>
          <w:rFonts w:ascii="Times New Roman" w:eastAsia="Times New Roman" w:hAnsi="Times New Roman"/>
          <w:lang w:val="el-GR"/>
        </w:rPr>
      </w:pPr>
      <w:r w:rsidRPr="00517F1F">
        <w:rPr>
          <w:rFonts w:ascii="Times New Roman" w:eastAsia="Times New Roman" w:hAnsi="Times New Roman"/>
          <w:lang w:val="el-GR"/>
        </w:rPr>
        <w:t>Η συστηματική έκθεση στη ροσουβαστατίνη</w:t>
      </w:r>
      <w:r>
        <w:rPr>
          <w:rFonts w:ascii="Times New Roman" w:eastAsia="Times New Roman" w:hAnsi="Times New Roman"/>
          <w:lang w:val="el-GR"/>
        </w:rPr>
        <w:t xml:space="preserve"> </w:t>
      </w:r>
      <w:r w:rsidRPr="00517F1F">
        <w:rPr>
          <w:rFonts w:ascii="Times New Roman" w:eastAsia="Times New Roman" w:hAnsi="Times New Roman"/>
          <w:lang w:val="el-GR"/>
        </w:rPr>
        <w:t>αυξάνει αναλογικά με τη</w:t>
      </w:r>
      <w:r>
        <w:rPr>
          <w:rFonts w:ascii="Times New Roman" w:eastAsia="Times New Roman" w:hAnsi="Times New Roman"/>
          <w:lang w:val="el-GR"/>
        </w:rPr>
        <w:t xml:space="preserve"> </w:t>
      </w:r>
      <w:r w:rsidRPr="00517F1F">
        <w:rPr>
          <w:rFonts w:ascii="Times New Roman" w:eastAsia="Times New Roman" w:hAnsi="Times New Roman"/>
          <w:lang w:val="el-GR"/>
        </w:rPr>
        <w:t>δόση. Δεν υπάρχουν μεταβολές στις φαρμακοκινητικές παραμέτρους μετά από</w:t>
      </w:r>
      <w:r>
        <w:rPr>
          <w:rFonts w:ascii="Times New Roman" w:eastAsia="Times New Roman" w:hAnsi="Times New Roman"/>
          <w:lang w:val="el-GR"/>
        </w:rPr>
        <w:t xml:space="preserve"> </w:t>
      </w:r>
      <w:r w:rsidRPr="00517F1F">
        <w:rPr>
          <w:rFonts w:ascii="Times New Roman" w:eastAsia="Times New Roman" w:hAnsi="Times New Roman"/>
          <w:lang w:val="el-GR"/>
        </w:rPr>
        <w:t>επαναλαμβανόμενες ημερήσιες δόσεις.</w:t>
      </w:r>
    </w:p>
    <w:p w:rsidR="00964C33" w:rsidRPr="002B147A" w:rsidRDefault="001431BA" w:rsidP="00AC1E02">
      <w:pPr>
        <w:spacing w:before="100" w:beforeAutospacing="1" w:after="75" w:line="360" w:lineRule="auto"/>
        <w:jc w:val="both"/>
        <w:rPr>
          <w:rFonts w:ascii="Times New Roman" w:eastAsia="Times New Roman" w:hAnsi="Times New Roman"/>
          <w:lang w:val="el-GR"/>
        </w:rPr>
      </w:pPr>
      <w:r w:rsidRPr="002B147A">
        <w:rPr>
          <w:rFonts w:ascii="Times New Roman" w:eastAsia="Times New Roman" w:hAnsi="Times New Roman"/>
          <w:b/>
          <w:bCs/>
          <w:lang w:val="el-GR"/>
        </w:rPr>
        <w:t>Ειδικ</w:t>
      </w:r>
      <w:r>
        <w:rPr>
          <w:rFonts w:ascii="Times New Roman" w:eastAsia="Times New Roman" w:hAnsi="Times New Roman"/>
          <w:b/>
          <w:bCs/>
          <w:lang w:val="el-GR"/>
        </w:rPr>
        <w:t>οί</w:t>
      </w:r>
      <w:r w:rsidRPr="002B147A">
        <w:rPr>
          <w:rFonts w:ascii="Times New Roman" w:eastAsia="Times New Roman" w:hAnsi="Times New Roman"/>
          <w:b/>
          <w:bCs/>
          <w:lang w:val="el-GR"/>
        </w:rPr>
        <w:t xml:space="preserve"> πληθυσμο</w:t>
      </w:r>
      <w:r>
        <w:rPr>
          <w:rFonts w:ascii="Times New Roman" w:eastAsia="Times New Roman" w:hAnsi="Times New Roman"/>
          <w:b/>
          <w:bCs/>
          <w:lang w:val="el-GR"/>
        </w:rPr>
        <w:t>ί</w:t>
      </w:r>
      <w:r w:rsidR="00964C33" w:rsidRPr="002B147A">
        <w:rPr>
          <w:rFonts w:ascii="Times New Roman" w:eastAsia="Times New Roman" w:hAnsi="Times New Roman"/>
          <w:b/>
          <w:bCs/>
          <w:lang w:val="el-GR"/>
        </w:rPr>
        <w:t>:</w:t>
      </w:r>
    </w:p>
    <w:p w:rsidR="00964C33" w:rsidRPr="00426846" w:rsidRDefault="002B147A" w:rsidP="002B147A">
      <w:pPr>
        <w:spacing w:before="100" w:beforeAutospacing="1" w:after="75" w:line="360" w:lineRule="auto"/>
        <w:jc w:val="both"/>
        <w:rPr>
          <w:rFonts w:ascii="Times New Roman" w:eastAsia="Times New Roman" w:hAnsi="Times New Roman"/>
        </w:rPr>
      </w:pPr>
      <w:r w:rsidRPr="002B147A">
        <w:rPr>
          <w:rFonts w:ascii="Times New Roman" w:eastAsia="Times New Roman" w:hAnsi="Times New Roman"/>
          <w:b/>
          <w:bCs/>
          <w:lang w:val="el-GR"/>
        </w:rPr>
        <w:lastRenderedPageBreak/>
        <w:t>Ηλικία και φύλο</w:t>
      </w:r>
      <w:r w:rsidR="00964C33" w:rsidRPr="002B147A">
        <w:rPr>
          <w:rFonts w:ascii="Times New Roman" w:eastAsia="Times New Roman" w:hAnsi="Times New Roman"/>
          <w:b/>
          <w:bCs/>
          <w:lang w:val="el-GR"/>
        </w:rPr>
        <w:t xml:space="preserve">: </w:t>
      </w:r>
      <w:r w:rsidRPr="002B147A">
        <w:rPr>
          <w:rFonts w:ascii="Times New Roman" w:eastAsia="Times New Roman" w:hAnsi="Times New Roman"/>
          <w:bCs/>
          <w:lang w:val="el-GR"/>
        </w:rPr>
        <w:t xml:space="preserve">Δεν παρουσιάστηκε σχετική κλινικής σημασίας επίδραση </w:t>
      </w:r>
      <w:r>
        <w:rPr>
          <w:rFonts w:ascii="Times New Roman" w:eastAsia="Times New Roman" w:hAnsi="Times New Roman"/>
          <w:bCs/>
          <w:lang w:val="el-GR"/>
        </w:rPr>
        <w:t xml:space="preserve">της </w:t>
      </w:r>
      <w:r w:rsidRPr="002B147A">
        <w:rPr>
          <w:rFonts w:ascii="Times New Roman" w:eastAsia="Times New Roman" w:hAnsi="Times New Roman"/>
          <w:bCs/>
          <w:lang w:val="el-GR"/>
        </w:rPr>
        <w:t xml:space="preserve">ηλικίας ή του φύλου στη φαρμακοκινητική της </w:t>
      </w:r>
      <w:r w:rsidRPr="002B147A">
        <w:rPr>
          <w:rFonts w:ascii="Times New Roman" w:eastAsia="Times New Roman" w:hAnsi="Times New Roman"/>
          <w:bCs/>
        </w:rPr>
        <w:t>rosuvastatin</w:t>
      </w:r>
      <w:r w:rsidRPr="002B147A">
        <w:rPr>
          <w:rFonts w:ascii="Times New Roman" w:eastAsia="Times New Roman" w:hAnsi="Times New Roman"/>
          <w:bCs/>
          <w:lang w:val="el-GR"/>
        </w:rPr>
        <w:t xml:space="preserve"> σε ενήλικες. Η</w:t>
      </w:r>
      <w:r>
        <w:rPr>
          <w:rFonts w:ascii="Times New Roman" w:eastAsia="Times New Roman" w:hAnsi="Times New Roman"/>
          <w:bCs/>
          <w:lang w:val="el-GR"/>
        </w:rPr>
        <w:t xml:space="preserve"> </w:t>
      </w:r>
      <w:r w:rsidRPr="002B147A">
        <w:rPr>
          <w:rFonts w:ascii="Times New Roman" w:eastAsia="Times New Roman" w:hAnsi="Times New Roman"/>
          <w:bCs/>
          <w:lang w:val="el-GR"/>
        </w:rPr>
        <w:t xml:space="preserve">φαρμακοκινητική της </w:t>
      </w:r>
      <w:r>
        <w:rPr>
          <w:rFonts w:ascii="Times New Roman" w:eastAsia="Times New Roman" w:hAnsi="Times New Roman"/>
          <w:bCs/>
          <w:lang w:val="el-GR"/>
        </w:rPr>
        <w:t>ροσουβαστατίνης</w:t>
      </w:r>
      <w:r w:rsidRPr="002B147A">
        <w:rPr>
          <w:rFonts w:ascii="Times New Roman" w:eastAsia="Times New Roman" w:hAnsi="Times New Roman"/>
          <w:bCs/>
          <w:lang w:val="el-GR"/>
        </w:rPr>
        <w:t xml:space="preserve"> σε παιδιά και εφήβους με ετερόζυγη οικογενή</w:t>
      </w:r>
      <w:r>
        <w:rPr>
          <w:rFonts w:ascii="Times New Roman" w:eastAsia="Times New Roman" w:hAnsi="Times New Roman"/>
          <w:bCs/>
          <w:lang w:val="el-GR"/>
        </w:rPr>
        <w:t xml:space="preserve"> </w:t>
      </w:r>
      <w:r w:rsidRPr="002B147A">
        <w:rPr>
          <w:rFonts w:ascii="Times New Roman" w:eastAsia="Times New Roman" w:hAnsi="Times New Roman"/>
          <w:bCs/>
          <w:lang w:val="el-GR"/>
        </w:rPr>
        <w:t>υπερχοληστερολαιμία ήταν παρόμοια με αυτή των ενήλικων εθελοντών (βλ.</w:t>
      </w:r>
      <w:r>
        <w:rPr>
          <w:rFonts w:ascii="Times New Roman" w:eastAsia="Times New Roman" w:hAnsi="Times New Roman"/>
          <w:bCs/>
          <w:lang w:val="el-GR"/>
        </w:rPr>
        <w:t xml:space="preserve"> </w:t>
      </w:r>
      <w:r w:rsidRPr="002B147A">
        <w:rPr>
          <w:rFonts w:ascii="Times New Roman" w:eastAsia="Times New Roman" w:hAnsi="Times New Roman"/>
          <w:bCs/>
        </w:rPr>
        <w:t>«Παιδιατρικός πληθυσμός» παρακάτω).</w:t>
      </w:r>
      <w:r w:rsidR="00964C33" w:rsidRPr="00426846">
        <w:rPr>
          <w:rFonts w:ascii="Times New Roman" w:eastAsia="Times New Roman" w:hAnsi="Times New Roman"/>
        </w:rPr>
        <w:t xml:space="preserve"> </w:t>
      </w:r>
    </w:p>
    <w:p w:rsidR="00964C33" w:rsidRPr="00426846" w:rsidRDefault="00F717DF" w:rsidP="00F717DF">
      <w:pPr>
        <w:spacing w:before="100" w:beforeAutospacing="1" w:after="75" w:line="360" w:lineRule="auto"/>
        <w:jc w:val="both"/>
        <w:rPr>
          <w:rFonts w:ascii="Times New Roman" w:eastAsia="Times New Roman" w:hAnsi="Times New Roman"/>
        </w:rPr>
      </w:pPr>
      <w:r w:rsidRPr="00F717DF">
        <w:rPr>
          <w:rFonts w:ascii="Times New Roman" w:eastAsia="Times New Roman" w:hAnsi="Times New Roman"/>
          <w:b/>
          <w:bCs/>
          <w:lang w:val="el-GR"/>
        </w:rPr>
        <w:t xml:space="preserve">Φυλή: </w:t>
      </w:r>
      <w:r w:rsidRPr="00F717DF">
        <w:rPr>
          <w:rFonts w:ascii="Times New Roman" w:eastAsia="Times New Roman" w:hAnsi="Times New Roman"/>
          <w:bCs/>
          <w:lang w:val="el-GR"/>
        </w:rPr>
        <w:t xml:space="preserve">Οι φαρμακοκινητικές μελέτες δείχνουν σχεδόν διπλασιασμό της μέσης </w:t>
      </w:r>
      <w:r w:rsidRPr="00F717DF">
        <w:rPr>
          <w:rFonts w:ascii="Times New Roman" w:eastAsia="Times New Roman" w:hAnsi="Times New Roman"/>
          <w:bCs/>
        </w:rPr>
        <w:t>AUC</w:t>
      </w:r>
      <w:r w:rsidR="000C464C">
        <w:rPr>
          <w:rFonts w:ascii="Times New Roman" w:eastAsia="Times New Roman" w:hAnsi="Times New Roman"/>
          <w:bCs/>
          <w:lang w:val="el-GR"/>
        </w:rPr>
        <w:t xml:space="preserve"> </w:t>
      </w:r>
      <w:r w:rsidRPr="00F717DF">
        <w:rPr>
          <w:rFonts w:ascii="Times New Roman" w:eastAsia="Times New Roman" w:hAnsi="Times New Roman"/>
          <w:bCs/>
          <w:lang w:val="el-GR"/>
        </w:rPr>
        <w:t xml:space="preserve">και της </w:t>
      </w:r>
      <w:r w:rsidRPr="00F717DF">
        <w:rPr>
          <w:rFonts w:ascii="Times New Roman" w:eastAsia="Times New Roman" w:hAnsi="Times New Roman"/>
          <w:bCs/>
        </w:rPr>
        <w:t>C</w:t>
      </w:r>
      <w:r w:rsidRPr="00F717DF">
        <w:rPr>
          <w:rFonts w:ascii="Times New Roman" w:eastAsia="Times New Roman" w:hAnsi="Times New Roman"/>
          <w:vertAlign w:val="subscript"/>
        </w:rPr>
        <w:t>max</w:t>
      </w:r>
      <w:r w:rsidRPr="00F717DF">
        <w:rPr>
          <w:rFonts w:ascii="Times New Roman" w:eastAsia="Times New Roman" w:hAnsi="Times New Roman"/>
          <w:bCs/>
          <w:lang w:val="el-GR"/>
        </w:rPr>
        <w:t xml:space="preserve"> στους Ασιάτες (Ιάπωνες, Κινέζους, Φιλιππινέζους, Βιετναμέζους και Κορεάτες) σε σχέση με τους Καυκάσιους. Ασιάτες – Ινδοί παρουσιάζουν περίπου 1,3 φορά αύξηση στην μέση </w:t>
      </w:r>
      <w:r w:rsidRPr="00F717DF">
        <w:rPr>
          <w:rFonts w:ascii="Times New Roman" w:eastAsia="Times New Roman" w:hAnsi="Times New Roman"/>
          <w:bCs/>
        </w:rPr>
        <w:t>AUC</w:t>
      </w:r>
      <w:r w:rsidRPr="00F717DF">
        <w:rPr>
          <w:rFonts w:ascii="Times New Roman" w:eastAsia="Times New Roman" w:hAnsi="Times New Roman"/>
          <w:bCs/>
          <w:lang w:val="el-GR"/>
        </w:rPr>
        <w:t xml:space="preserve"> και </w:t>
      </w:r>
      <w:r w:rsidRPr="00F717DF">
        <w:rPr>
          <w:rFonts w:ascii="Times New Roman" w:eastAsia="Times New Roman" w:hAnsi="Times New Roman"/>
          <w:bCs/>
        </w:rPr>
        <w:t>C</w:t>
      </w:r>
      <w:r w:rsidRPr="000C464C">
        <w:rPr>
          <w:rFonts w:ascii="Times New Roman" w:eastAsia="Times New Roman" w:hAnsi="Times New Roman"/>
          <w:vertAlign w:val="subscript"/>
        </w:rPr>
        <w:t>max</w:t>
      </w:r>
      <w:r w:rsidRPr="00F717DF">
        <w:rPr>
          <w:rFonts w:ascii="Times New Roman" w:eastAsia="Times New Roman" w:hAnsi="Times New Roman"/>
          <w:bCs/>
          <w:lang w:val="el-GR"/>
        </w:rPr>
        <w:t>. Μια πληθυσμιακή φαρμακοκινητική ανάλυση δεν έδειξε κλινικά σημαντικές διαφορές στα φαρμακοκινητικά δεδομένα μεταξύ Καυκασίων και Νέγρων.</w:t>
      </w:r>
      <w:r w:rsidR="00964C33" w:rsidRPr="00F717DF">
        <w:rPr>
          <w:rFonts w:ascii="Times New Roman" w:eastAsia="Times New Roman" w:hAnsi="Times New Roman"/>
          <w:lang w:val="el-GR"/>
        </w:rPr>
        <w:t xml:space="preserve"> </w:t>
      </w:r>
    </w:p>
    <w:p w:rsidR="00966515" w:rsidRPr="00966515" w:rsidRDefault="00966515" w:rsidP="00966515">
      <w:pPr>
        <w:spacing w:before="100" w:beforeAutospacing="1" w:after="75" w:line="360" w:lineRule="auto"/>
        <w:jc w:val="both"/>
        <w:rPr>
          <w:rFonts w:ascii="Times New Roman" w:eastAsia="Times New Roman" w:hAnsi="Times New Roman"/>
          <w:lang w:val="el-GR"/>
        </w:rPr>
      </w:pPr>
      <w:r w:rsidRPr="00966515">
        <w:rPr>
          <w:rFonts w:ascii="Times New Roman" w:eastAsia="Times New Roman" w:hAnsi="Times New Roman"/>
          <w:b/>
          <w:bCs/>
          <w:lang w:val="el-GR"/>
        </w:rPr>
        <w:t>Νεφρική ανεπάρκεια</w:t>
      </w:r>
      <w:r w:rsidR="00964C33" w:rsidRPr="00966515">
        <w:rPr>
          <w:rFonts w:ascii="Times New Roman" w:eastAsia="Times New Roman" w:hAnsi="Times New Roman"/>
          <w:b/>
          <w:bCs/>
          <w:lang w:val="el-GR"/>
        </w:rPr>
        <w:t>:</w:t>
      </w:r>
      <w:r w:rsidR="00964C33" w:rsidRPr="00966515">
        <w:rPr>
          <w:rFonts w:ascii="Times New Roman" w:eastAsia="Times New Roman" w:hAnsi="Times New Roman"/>
          <w:lang w:val="el-GR"/>
        </w:rPr>
        <w:t xml:space="preserve"> </w:t>
      </w:r>
      <w:r w:rsidRPr="00966515">
        <w:rPr>
          <w:rFonts w:ascii="Times New Roman" w:eastAsia="Times New Roman" w:hAnsi="Times New Roman"/>
          <w:lang w:val="el-GR"/>
        </w:rPr>
        <w:t>Σε μία μελέτη που έγινε σε άτομα με διαφορετικής</w:t>
      </w:r>
      <w:r>
        <w:rPr>
          <w:rFonts w:ascii="Times New Roman" w:eastAsia="Times New Roman" w:hAnsi="Times New Roman"/>
          <w:lang w:val="el-GR"/>
        </w:rPr>
        <w:t xml:space="preserve"> </w:t>
      </w:r>
      <w:r w:rsidRPr="00966515">
        <w:rPr>
          <w:rFonts w:ascii="Times New Roman" w:eastAsia="Times New Roman" w:hAnsi="Times New Roman"/>
          <w:lang w:val="el-GR"/>
        </w:rPr>
        <w:t>βαρύτητας νεφρική δυσλειτουργία, η ήπια έως μέτρια νεφρική νόσος δεν είχε</w:t>
      </w:r>
      <w:r>
        <w:rPr>
          <w:rFonts w:ascii="Times New Roman" w:eastAsia="Times New Roman" w:hAnsi="Times New Roman"/>
          <w:lang w:val="el-GR"/>
        </w:rPr>
        <w:t xml:space="preserve"> </w:t>
      </w:r>
      <w:r w:rsidRPr="00966515">
        <w:rPr>
          <w:rFonts w:ascii="Times New Roman" w:eastAsia="Times New Roman" w:hAnsi="Times New Roman"/>
          <w:lang w:val="el-GR"/>
        </w:rPr>
        <w:t xml:space="preserve">καμία επίδραση στα επίπεδα της </w:t>
      </w:r>
      <w:r w:rsidR="0061326E">
        <w:rPr>
          <w:rFonts w:ascii="Times New Roman" w:eastAsia="Times New Roman" w:hAnsi="Times New Roman"/>
          <w:lang w:val="el-GR"/>
        </w:rPr>
        <w:t>ροσουβαστατίνης</w:t>
      </w:r>
      <w:r w:rsidRPr="00966515">
        <w:rPr>
          <w:rFonts w:ascii="Times New Roman" w:eastAsia="Times New Roman" w:hAnsi="Times New Roman"/>
          <w:lang w:val="el-GR"/>
        </w:rPr>
        <w:t xml:space="preserve"> ή του Ν-απομεθυλιωμένου</w:t>
      </w:r>
      <w:r>
        <w:rPr>
          <w:rFonts w:ascii="Times New Roman" w:eastAsia="Times New Roman" w:hAnsi="Times New Roman"/>
          <w:lang w:val="el-GR"/>
        </w:rPr>
        <w:t xml:space="preserve"> </w:t>
      </w:r>
      <w:r w:rsidRPr="00966515">
        <w:rPr>
          <w:rFonts w:ascii="Times New Roman" w:eastAsia="Times New Roman" w:hAnsi="Times New Roman"/>
          <w:lang w:val="el-GR"/>
        </w:rPr>
        <w:t>μεταβολίτη στο πλάσμα. Άτομα με σοβαρή νεφρική δυσλειτουργία</w:t>
      </w:r>
      <w:r>
        <w:rPr>
          <w:rFonts w:ascii="Times New Roman" w:eastAsia="Times New Roman" w:hAnsi="Times New Roman"/>
          <w:lang w:val="el-GR"/>
        </w:rPr>
        <w:t xml:space="preserve"> </w:t>
      </w:r>
      <w:r w:rsidRPr="00966515">
        <w:rPr>
          <w:rFonts w:ascii="Times New Roman" w:eastAsia="Times New Roman" w:hAnsi="Times New Roman"/>
          <w:lang w:val="el-GR"/>
        </w:rPr>
        <w:t>(</w:t>
      </w:r>
      <w:r w:rsidRPr="00966515">
        <w:rPr>
          <w:rFonts w:ascii="Times New Roman" w:eastAsia="Times New Roman" w:hAnsi="Times New Roman"/>
        </w:rPr>
        <w:t>CrCl</w:t>
      </w:r>
      <w:r w:rsidRPr="00966515">
        <w:rPr>
          <w:rFonts w:ascii="Times New Roman" w:eastAsia="Times New Roman" w:hAnsi="Times New Roman"/>
          <w:lang w:val="el-GR"/>
        </w:rPr>
        <w:t>&lt;30</w:t>
      </w:r>
      <w:r w:rsidRPr="00966515">
        <w:rPr>
          <w:rFonts w:ascii="Times New Roman" w:eastAsia="Times New Roman" w:hAnsi="Times New Roman"/>
        </w:rPr>
        <w:t>ml</w:t>
      </w:r>
      <w:r w:rsidRPr="00966515">
        <w:rPr>
          <w:rFonts w:ascii="Times New Roman" w:eastAsia="Times New Roman" w:hAnsi="Times New Roman"/>
          <w:lang w:val="el-GR"/>
        </w:rPr>
        <w:t>/</w:t>
      </w:r>
      <w:r w:rsidRPr="00966515">
        <w:rPr>
          <w:rFonts w:ascii="Times New Roman" w:eastAsia="Times New Roman" w:hAnsi="Times New Roman"/>
        </w:rPr>
        <w:t>min</w:t>
      </w:r>
      <w:r w:rsidRPr="00966515">
        <w:rPr>
          <w:rFonts w:ascii="Times New Roman" w:eastAsia="Times New Roman" w:hAnsi="Times New Roman"/>
          <w:lang w:val="el-GR"/>
        </w:rPr>
        <w:t>) είχαν τριπλάσια αύξηση στα επίπεδα πλάσματος και 9πλάσια</w:t>
      </w:r>
      <w:r>
        <w:rPr>
          <w:rFonts w:ascii="Times New Roman" w:eastAsia="Times New Roman" w:hAnsi="Times New Roman"/>
          <w:lang w:val="el-GR"/>
        </w:rPr>
        <w:t xml:space="preserve"> </w:t>
      </w:r>
      <w:r w:rsidRPr="00966515">
        <w:rPr>
          <w:rFonts w:ascii="Times New Roman" w:eastAsia="Times New Roman" w:hAnsi="Times New Roman"/>
          <w:lang w:val="el-GR"/>
        </w:rPr>
        <w:t>αύξηση στη συγκέντρωση του Ν-απομεθυλιωμένου μεταβολίτη σε σύγκριση με</w:t>
      </w:r>
      <w:r>
        <w:rPr>
          <w:rFonts w:ascii="Times New Roman" w:eastAsia="Times New Roman" w:hAnsi="Times New Roman"/>
          <w:lang w:val="el-GR"/>
        </w:rPr>
        <w:t xml:space="preserve"> </w:t>
      </w:r>
      <w:r w:rsidRPr="00966515">
        <w:rPr>
          <w:rFonts w:ascii="Times New Roman" w:eastAsia="Times New Roman" w:hAnsi="Times New Roman"/>
          <w:lang w:val="el-GR"/>
        </w:rPr>
        <w:t xml:space="preserve">τους υγιείς εθελοντές. Τα επίπεδα πλάσματος της </w:t>
      </w:r>
      <w:r w:rsidR="0061326E" w:rsidRPr="0061326E">
        <w:rPr>
          <w:rFonts w:ascii="Times New Roman" w:eastAsia="Times New Roman" w:hAnsi="Times New Roman"/>
          <w:lang w:val="el-GR"/>
        </w:rPr>
        <w:t xml:space="preserve">ροσουβαστατίνης </w:t>
      </w:r>
      <w:r w:rsidRPr="00966515">
        <w:rPr>
          <w:rFonts w:ascii="Times New Roman" w:eastAsia="Times New Roman" w:hAnsi="Times New Roman"/>
          <w:lang w:val="el-GR"/>
        </w:rPr>
        <w:t>σε</w:t>
      </w:r>
      <w:r>
        <w:rPr>
          <w:rFonts w:ascii="Times New Roman" w:eastAsia="Times New Roman" w:hAnsi="Times New Roman"/>
          <w:lang w:val="el-GR"/>
        </w:rPr>
        <w:t xml:space="preserve"> </w:t>
      </w:r>
      <w:r w:rsidRPr="00966515">
        <w:rPr>
          <w:rFonts w:ascii="Times New Roman" w:eastAsia="Times New Roman" w:hAnsi="Times New Roman"/>
          <w:lang w:val="el-GR"/>
        </w:rPr>
        <w:t>σταθεροποιημένη κατάσταση σε ασθενείς που υπόκεινται σε αιμοδιάλυση ήταν</w:t>
      </w:r>
      <w:r>
        <w:rPr>
          <w:rFonts w:ascii="Times New Roman" w:eastAsia="Times New Roman" w:hAnsi="Times New Roman"/>
          <w:lang w:val="el-GR"/>
        </w:rPr>
        <w:t xml:space="preserve"> </w:t>
      </w:r>
      <w:r w:rsidRPr="00966515">
        <w:rPr>
          <w:rFonts w:ascii="Times New Roman" w:eastAsia="Times New Roman" w:hAnsi="Times New Roman"/>
          <w:lang w:val="el-GR"/>
        </w:rPr>
        <w:t>περίπου 50% υψηλότερα σε σύγκριση με αυτά των υγιών εθελοντών.</w:t>
      </w:r>
    </w:p>
    <w:p w:rsidR="00150F14" w:rsidRPr="00150F14" w:rsidRDefault="00150F14" w:rsidP="00150F14">
      <w:pPr>
        <w:spacing w:before="100" w:beforeAutospacing="1" w:after="75" w:line="360" w:lineRule="auto"/>
        <w:jc w:val="both"/>
        <w:rPr>
          <w:rFonts w:ascii="Times New Roman" w:eastAsia="Times New Roman" w:hAnsi="Times New Roman"/>
          <w:lang w:val="el-GR"/>
        </w:rPr>
      </w:pPr>
      <w:r w:rsidRPr="00150F14">
        <w:rPr>
          <w:rFonts w:ascii="Times New Roman" w:eastAsia="Times New Roman" w:hAnsi="Times New Roman"/>
          <w:b/>
          <w:bCs/>
          <w:lang w:val="el-GR"/>
        </w:rPr>
        <w:t>Ηπατική ανεπάρκεια</w:t>
      </w:r>
      <w:r w:rsidR="00964C33" w:rsidRPr="00150F14">
        <w:rPr>
          <w:rFonts w:ascii="Times New Roman" w:eastAsia="Times New Roman" w:hAnsi="Times New Roman"/>
          <w:b/>
          <w:bCs/>
          <w:lang w:val="el-GR"/>
        </w:rPr>
        <w:t>:</w:t>
      </w:r>
      <w:r w:rsidR="00964C33" w:rsidRPr="00150F14">
        <w:rPr>
          <w:rFonts w:ascii="Times New Roman" w:eastAsia="Times New Roman" w:hAnsi="Times New Roman"/>
          <w:lang w:val="el-GR"/>
        </w:rPr>
        <w:t xml:space="preserve"> </w:t>
      </w:r>
      <w:r w:rsidRPr="00150F14">
        <w:rPr>
          <w:rFonts w:ascii="Times New Roman" w:eastAsia="Times New Roman" w:hAnsi="Times New Roman"/>
          <w:lang w:val="el-GR"/>
        </w:rPr>
        <w:t>Σε μία μελέτη σε άτομα με διαφορετικής βαρύτητας</w:t>
      </w:r>
      <w:r>
        <w:rPr>
          <w:rFonts w:ascii="Times New Roman" w:eastAsia="Times New Roman" w:hAnsi="Times New Roman"/>
          <w:lang w:val="el-GR"/>
        </w:rPr>
        <w:t xml:space="preserve"> </w:t>
      </w:r>
      <w:r w:rsidRPr="00150F14">
        <w:rPr>
          <w:rFonts w:ascii="Times New Roman" w:eastAsia="Times New Roman" w:hAnsi="Times New Roman"/>
          <w:lang w:val="el-GR"/>
        </w:rPr>
        <w:t xml:space="preserve">ηπατική δυσλειτουργία δεν υπήρξαν στοιχεία αυξημένης έκθεσης στη </w:t>
      </w:r>
      <w:r>
        <w:rPr>
          <w:rFonts w:ascii="Times New Roman" w:eastAsia="Times New Roman" w:hAnsi="Times New Roman"/>
          <w:lang w:val="el-GR"/>
        </w:rPr>
        <w:t xml:space="preserve">ροσουβαστατίνη </w:t>
      </w:r>
      <w:r w:rsidRPr="00150F14">
        <w:rPr>
          <w:rFonts w:ascii="Times New Roman" w:eastAsia="Times New Roman" w:hAnsi="Times New Roman"/>
          <w:lang w:val="el-GR"/>
        </w:rPr>
        <w:t xml:space="preserve">σε άτομα με βαθμολόγηση </w:t>
      </w:r>
      <w:r w:rsidRPr="00150F14">
        <w:rPr>
          <w:rFonts w:ascii="Times New Roman" w:eastAsia="Times New Roman" w:hAnsi="Times New Roman"/>
        </w:rPr>
        <w:t>Child</w:t>
      </w:r>
      <w:r w:rsidRPr="00150F14">
        <w:rPr>
          <w:rFonts w:ascii="Times New Roman" w:eastAsia="Times New Roman" w:hAnsi="Times New Roman"/>
          <w:lang w:val="el-GR"/>
        </w:rPr>
        <w:t>-</w:t>
      </w:r>
      <w:r w:rsidRPr="00150F14">
        <w:rPr>
          <w:rFonts w:ascii="Times New Roman" w:eastAsia="Times New Roman" w:hAnsi="Times New Roman"/>
        </w:rPr>
        <w:t>Pugh</w:t>
      </w:r>
      <w:r w:rsidRPr="00150F14">
        <w:rPr>
          <w:rFonts w:ascii="Times New Roman" w:eastAsia="Times New Roman" w:hAnsi="Times New Roman"/>
          <w:lang w:val="el-GR"/>
        </w:rPr>
        <w:t xml:space="preserve"> 7 και μικρότερη. Εντούτοις, δύο</w:t>
      </w:r>
      <w:r>
        <w:rPr>
          <w:rFonts w:ascii="Times New Roman" w:eastAsia="Times New Roman" w:hAnsi="Times New Roman"/>
          <w:lang w:val="el-GR"/>
        </w:rPr>
        <w:t xml:space="preserve"> </w:t>
      </w:r>
      <w:r w:rsidRPr="00150F14">
        <w:rPr>
          <w:rFonts w:ascii="Times New Roman" w:eastAsia="Times New Roman" w:hAnsi="Times New Roman"/>
          <w:lang w:val="el-GR"/>
        </w:rPr>
        <w:t xml:space="preserve">περιστατικά με βαθμολόγηση 8 και 9 κατά </w:t>
      </w:r>
      <w:r w:rsidRPr="00150F14">
        <w:rPr>
          <w:rFonts w:ascii="Times New Roman" w:eastAsia="Times New Roman" w:hAnsi="Times New Roman"/>
        </w:rPr>
        <w:t>Child</w:t>
      </w:r>
      <w:r w:rsidRPr="00150F14">
        <w:rPr>
          <w:rFonts w:ascii="Times New Roman" w:eastAsia="Times New Roman" w:hAnsi="Times New Roman"/>
          <w:lang w:val="el-GR"/>
        </w:rPr>
        <w:t>-</w:t>
      </w:r>
      <w:r w:rsidRPr="00150F14">
        <w:rPr>
          <w:rFonts w:ascii="Times New Roman" w:eastAsia="Times New Roman" w:hAnsi="Times New Roman"/>
        </w:rPr>
        <w:t>Pugh</w:t>
      </w:r>
      <w:r w:rsidRPr="00150F14">
        <w:rPr>
          <w:rFonts w:ascii="Times New Roman" w:eastAsia="Times New Roman" w:hAnsi="Times New Roman"/>
          <w:lang w:val="el-GR"/>
        </w:rPr>
        <w:t xml:space="preserve"> παρουσίασαν αύξηση στη</w:t>
      </w:r>
      <w:r>
        <w:rPr>
          <w:rFonts w:ascii="Times New Roman" w:eastAsia="Times New Roman" w:hAnsi="Times New Roman"/>
          <w:lang w:val="el-GR"/>
        </w:rPr>
        <w:t xml:space="preserve"> </w:t>
      </w:r>
      <w:r w:rsidRPr="00150F14">
        <w:rPr>
          <w:rFonts w:ascii="Times New Roman" w:eastAsia="Times New Roman" w:hAnsi="Times New Roman"/>
          <w:lang w:val="el-GR"/>
        </w:rPr>
        <w:t>συστηματική έκθεση τουλάχιστον διπλάσια σε σύγκριση με τα άτομα με</w:t>
      </w:r>
      <w:r>
        <w:rPr>
          <w:rFonts w:ascii="Times New Roman" w:eastAsia="Times New Roman" w:hAnsi="Times New Roman"/>
          <w:lang w:val="el-GR"/>
        </w:rPr>
        <w:t xml:space="preserve"> </w:t>
      </w:r>
      <w:r w:rsidRPr="00150F14">
        <w:rPr>
          <w:rFonts w:ascii="Times New Roman" w:eastAsia="Times New Roman" w:hAnsi="Times New Roman"/>
          <w:lang w:val="el-GR"/>
        </w:rPr>
        <w:t xml:space="preserve">χαμηλότερους βαθμούς </w:t>
      </w:r>
      <w:r w:rsidRPr="00150F14">
        <w:rPr>
          <w:rFonts w:ascii="Times New Roman" w:eastAsia="Times New Roman" w:hAnsi="Times New Roman"/>
        </w:rPr>
        <w:t>Child</w:t>
      </w:r>
      <w:r w:rsidRPr="00150F14">
        <w:rPr>
          <w:rFonts w:ascii="Times New Roman" w:eastAsia="Times New Roman" w:hAnsi="Times New Roman"/>
          <w:lang w:val="el-GR"/>
        </w:rPr>
        <w:t>-</w:t>
      </w:r>
      <w:r w:rsidRPr="00150F14">
        <w:rPr>
          <w:rFonts w:ascii="Times New Roman" w:eastAsia="Times New Roman" w:hAnsi="Times New Roman"/>
        </w:rPr>
        <w:t>Pugh</w:t>
      </w:r>
      <w:r w:rsidRPr="00150F14">
        <w:rPr>
          <w:rFonts w:ascii="Times New Roman" w:eastAsia="Times New Roman" w:hAnsi="Times New Roman"/>
          <w:lang w:val="el-GR"/>
        </w:rPr>
        <w:t>. Δεν υπάρχει εμπειρία σε άτομα με</w:t>
      </w:r>
      <w:r>
        <w:rPr>
          <w:rFonts w:ascii="Times New Roman" w:eastAsia="Times New Roman" w:hAnsi="Times New Roman"/>
          <w:lang w:val="el-GR"/>
        </w:rPr>
        <w:t xml:space="preserve"> </w:t>
      </w:r>
      <w:r w:rsidRPr="00150F14">
        <w:rPr>
          <w:rFonts w:ascii="Times New Roman" w:eastAsia="Times New Roman" w:hAnsi="Times New Roman"/>
          <w:lang w:val="el-GR"/>
        </w:rPr>
        <w:t xml:space="preserve">βαθμολόγηση </w:t>
      </w:r>
      <w:r w:rsidRPr="00150F14">
        <w:rPr>
          <w:rFonts w:ascii="Times New Roman" w:eastAsia="Times New Roman" w:hAnsi="Times New Roman"/>
        </w:rPr>
        <w:t>Child</w:t>
      </w:r>
      <w:r w:rsidRPr="00150F14">
        <w:rPr>
          <w:rFonts w:ascii="Times New Roman" w:eastAsia="Times New Roman" w:hAnsi="Times New Roman"/>
          <w:lang w:val="el-GR"/>
        </w:rPr>
        <w:t>-</w:t>
      </w:r>
      <w:r w:rsidRPr="00150F14">
        <w:rPr>
          <w:rFonts w:ascii="Times New Roman" w:eastAsia="Times New Roman" w:hAnsi="Times New Roman"/>
        </w:rPr>
        <w:t>Pugh</w:t>
      </w:r>
      <w:r w:rsidRPr="00150F14">
        <w:rPr>
          <w:rFonts w:ascii="Times New Roman" w:eastAsia="Times New Roman" w:hAnsi="Times New Roman"/>
          <w:lang w:val="el-GR"/>
        </w:rPr>
        <w:t xml:space="preserve"> 9 και άνω.</w:t>
      </w:r>
    </w:p>
    <w:p w:rsidR="006D5206" w:rsidRPr="00AC1E02" w:rsidRDefault="006D5206" w:rsidP="00AC1E02">
      <w:pPr>
        <w:suppressLineNumbers/>
        <w:spacing w:before="100" w:beforeAutospacing="1" w:line="360" w:lineRule="auto"/>
        <w:jc w:val="both"/>
        <w:outlineLvl w:val="0"/>
        <w:rPr>
          <w:rFonts w:ascii="Times New Roman" w:eastAsia="Times New Roman" w:hAnsi="Times New Roman"/>
          <w:bCs/>
        </w:rPr>
      </w:pPr>
      <w:r w:rsidRPr="006D5206">
        <w:rPr>
          <w:rFonts w:ascii="Times New Roman" w:eastAsia="Times New Roman" w:hAnsi="Times New Roman"/>
          <w:b/>
          <w:bCs/>
        </w:rPr>
        <w:t xml:space="preserve">Genetic polymorphisms: </w:t>
      </w:r>
      <w:r w:rsidRPr="00AC1E02">
        <w:rPr>
          <w:rFonts w:ascii="Times New Roman" w:eastAsia="Times New Roman" w:hAnsi="Times New Roman"/>
          <w:bCs/>
        </w:rPr>
        <w:t xml:space="preserve">Disposition of HMG-CoA reductase inhibitors, including rosuvastatin, involves OATP1B1 and BCRP transporter proteins. In patients with SLCO1B1 (OATP1B1) and/or ABCG2 (BCRP) genetic polymorphisms there is a risk of increased rosuvastatin exposure. Individual polymorphisms of SLCO1B1 c.521CC and ABCG2 c.421AA are associated with a higher rosuvastatin exposure (AUC) compared to the SLCO1B1 c.521TT or ABCG2 c.421CC genotypes. This specific genotyping is not established in clinical practice, but for patients who are known to have these types of polymorphisms, a lower daily dose of </w:t>
      </w:r>
      <w:r w:rsidR="007D287D">
        <w:rPr>
          <w:rFonts w:ascii="Times New Roman" w:eastAsia="Times New Roman" w:hAnsi="Times New Roman"/>
          <w:bCs/>
        </w:rPr>
        <w:t xml:space="preserve">PRODUCT </w:t>
      </w:r>
      <w:r w:rsidR="007D287D" w:rsidRPr="006D5206">
        <w:rPr>
          <w:rFonts w:ascii="Times New Roman" w:eastAsia="Times New Roman" w:hAnsi="Times New Roman"/>
          <w:bCs/>
        </w:rPr>
        <w:t>is</w:t>
      </w:r>
      <w:r w:rsidRPr="00AC1E02">
        <w:rPr>
          <w:rFonts w:ascii="Times New Roman" w:eastAsia="Times New Roman" w:hAnsi="Times New Roman"/>
          <w:bCs/>
        </w:rPr>
        <w:t xml:space="preserve"> recommended. </w:t>
      </w:r>
    </w:p>
    <w:p w:rsidR="00B762AA" w:rsidRPr="00B762AA" w:rsidRDefault="00B762AA" w:rsidP="00B762AA">
      <w:pPr>
        <w:suppressLineNumbers/>
        <w:spacing w:before="100" w:beforeAutospacing="1" w:line="360" w:lineRule="auto"/>
        <w:jc w:val="both"/>
        <w:outlineLvl w:val="0"/>
        <w:rPr>
          <w:rFonts w:ascii="Times New Roman" w:eastAsia="Times New Roman" w:hAnsi="Times New Roman"/>
          <w:lang w:val="el-GR"/>
        </w:rPr>
      </w:pPr>
      <w:r w:rsidRPr="00B762AA">
        <w:rPr>
          <w:rFonts w:ascii="Times New Roman" w:eastAsia="Times New Roman" w:hAnsi="Times New Roman"/>
          <w:b/>
          <w:bCs/>
          <w:lang w:val="el-GR"/>
        </w:rPr>
        <w:t>Παιδιατρικός πληθυσμός</w:t>
      </w:r>
      <w:r w:rsidR="00964C33" w:rsidRPr="00B762AA">
        <w:rPr>
          <w:rFonts w:ascii="Times New Roman" w:eastAsia="Times New Roman" w:hAnsi="Times New Roman"/>
          <w:b/>
          <w:bCs/>
          <w:lang w:val="el-GR"/>
        </w:rPr>
        <w:t>:</w:t>
      </w:r>
      <w:r w:rsidR="00964C33" w:rsidRPr="00B762AA">
        <w:rPr>
          <w:rFonts w:ascii="Times New Roman" w:eastAsia="Times New Roman" w:hAnsi="Times New Roman"/>
          <w:lang w:val="el-GR"/>
        </w:rPr>
        <w:t xml:space="preserve"> </w:t>
      </w:r>
      <w:r w:rsidRPr="00B762AA">
        <w:rPr>
          <w:rFonts w:ascii="Times New Roman" w:eastAsia="Times New Roman" w:hAnsi="Times New Roman"/>
          <w:lang w:val="el-GR"/>
        </w:rPr>
        <w:t>Οι φαρμακοκινητικές παράμετροι σε παιδιατρικούς</w:t>
      </w:r>
      <w:r>
        <w:rPr>
          <w:rFonts w:ascii="Times New Roman" w:eastAsia="Times New Roman" w:hAnsi="Times New Roman"/>
          <w:lang w:val="el-GR"/>
        </w:rPr>
        <w:t xml:space="preserve"> </w:t>
      </w:r>
      <w:r w:rsidRPr="00B762AA">
        <w:rPr>
          <w:rFonts w:ascii="Times New Roman" w:eastAsia="Times New Roman" w:hAnsi="Times New Roman"/>
          <w:lang w:val="el-GR"/>
        </w:rPr>
        <w:t>ασθενείς με ετερόζυγη οικογενή υπερχοληστερολαιμία, ηλικίας 10 με 17 ετών δεν</w:t>
      </w:r>
      <w:r>
        <w:rPr>
          <w:rFonts w:ascii="Times New Roman" w:eastAsia="Times New Roman" w:hAnsi="Times New Roman"/>
          <w:lang w:val="el-GR"/>
        </w:rPr>
        <w:t xml:space="preserve"> </w:t>
      </w:r>
      <w:r w:rsidRPr="00B762AA">
        <w:rPr>
          <w:rFonts w:ascii="Times New Roman" w:eastAsia="Times New Roman" w:hAnsi="Times New Roman"/>
          <w:lang w:val="el-GR"/>
        </w:rPr>
        <w:t xml:space="preserve">έχουν διερευνηθεί πλήρως. Μία μικρή φαρμακοκινητική μελέτη με </w:t>
      </w:r>
      <w:r>
        <w:rPr>
          <w:rFonts w:ascii="Times New Roman" w:eastAsia="Times New Roman" w:hAnsi="Times New Roman"/>
          <w:lang w:val="el-GR"/>
        </w:rPr>
        <w:t xml:space="preserve">ροσουβαστατίνη </w:t>
      </w:r>
      <w:r w:rsidRPr="00B762AA">
        <w:rPr>
          <w:rFonts w:ascii="Times New Roman" w:eastAsia="Times New Roman" w:hAnsi="Times New Roman"/>
          <w:lang w:val="el-GR"/>
        </w:rPr>
        <w:t xml:space="preserve">(δίδεται ως πίνακας) σε 18 παιδιατρικούς ασθενείς απέδειξε ότι η έκθεση </w:t>
      </w:r>
      <w:r>
        <w:rPr>
          <w:rFonts w:ascii="Times New Roman" w:eastAsia="Times New Roman" w:hAnsi="Times New Roman"/>
          <w:lang w:val="el-GR"/>
        </w:rPr>
        <w:t xml:space="preserve">στους </w:t>
      </w:r>
      <w:r w:rsidRPr="00B762AA">
        <w:rPr>
          <w:rFonts w:ascii="Times New Roman" w:eastAsia="Times New Roman" w:hAnsi="Times New Roman"/>
          <w:lang w:val="el-GR"/>
        </w:rPr>
        <w:t xml:space="preserve">παιδιατρικούς ασθενείς είναι συγκρίσιμη με την έκθεση στους </w:t>
      </w:r>
      <w:r w:rsidRPr="00B762AA">
        <w:rPr>
          <w:rFonts w:ascii="Times New Roman" w:eastAsia="Times New Roman" w:hAnsi="Times New Roman"/>
          <w:lang w:val="el-GR"/>
        </w:rPr>
        <w:lastRenderedPageBreak/>
        <w:t>ενήλικους ασθενείς.</w:t>
      </w:r>
      <w:r>
        <w:rPr>
          <w:rFonts w:ascii="Times New Roman" w:eastAsia="Times New Roman" w:hAnsi="Times New Roman"/>
          <w:lang w:val="el-GR"/>
        </w:rPr>
        <w:t xml:space="preserve"> </w:t>
      </w:r>
      <w:r w:rsidRPr="00B762AA">
        <w:rPr>
          <w:rFonts w:ascii="Times New Roman" w:eastAsia="Times New Roman" w:hAnsi="Times New Roman"/>
          <w:lang w:val="el-GR"/>
        </w:rPr>
        <w:t>Επιπλέον, τα αποτελέσματα υποδεικνύουν ότι δεν αναμένεται μεγάλη απόκλιση</w:t>
      </w:r>
      <w:r>
        <w:rPr>
          <w:rFonts w:ascii="Times New Roman" w:eastAsia="Times New Roman" w:hAnsi="Times New Roman"/>
          <w:lang w:val="el-GR"/>
        </w:rPr>
        <w:t xml:space="preserve"> </w:t>
      </w:r>
      <w:r w:rsidRPr="00B762AA">
        <w:rPr>
          <w:rFonts w:ascii="Times New Roman" w:eastAsia="Times New Roman" w:hAnsi="Times New Roman"/>
          <w:lang w:val="el-GR"/>
        </w:rPr>
        <w:t>από την αναλογικότητα της δόσης.</w:t>
      </w:r>
    </w:p>
    <w:p w:rsidR="00964C33" w:rsidRPr="00426846" w:rsidRDefault="00964C33" w:rsidP="00AC1E02">
      <w:pPr>
        <w:suppressLineNumbers/>
        <w:spacing w:line="360" w:lineRule="auto"/>
        <w:jc w:val="both"/>
        <w:outlineLvl w:val="0"/>
        <w:rPr>
          <w:rFonts w:ascii="Times New Roman" w:hAnsi="Times New Roman"/>
          <w:b/>
          <w:noProof/>
        </w:rPr>
      </w:pPr>
    </w:p>
    <w:p w:rsidR="004C7928" w:rsidRPr="00B762AA" w:rsidRDefault="004C7928" w:rsidP="00AC1E02">
      <w:pPr>
        <w:suppressLineNumbers/>
        <w:spacing w:line="360" w:lineRule="auto"/>
        <w:jc w:val="both"/>
        <w:outlineLvl w:val="0"/>
        <w:rPr>
          <w:rFonts w:ascii="Times New Roman" w:hAnsi="Times New Roman"/>
          <w:noProof/>
          <w:lang w:val="el-GR"/>
        </w:rPr>
      </w:pPr>
      <w:r w:rsidRPr="00B762AA">
        <w:rPr>
          <w:rFonts w:ascii="Times New Roman" w:hAnsi="Times New Roman"/>
          <w:b/>
          <w:noProof/>
          <w:lang w:val="el-GR"/>
        </w:rPr>
        <w:t>5.3</w:t>
      </w:r>
      <w:r w:rsidRPr="00B762AA">
        <w:rPr>
          <w:rFonts w:ascii="Times New Roman" w:hAnsi="Times New Roman"/>
          <w:b/>
          <w:noProof/>
          <w:lang w:val="el-GR"/>
        </w:rPr>
        <w:tab/>
      </w:r>
      <w:r w:rsidR="00B762AA" w:rsidRPr="00B762AA">
        <w:rPr>
          <w:rFonts w:ascii="Times New Roman" w:hAnsi="Times New Roman"/>
          <w:b/>
          <w:noProof/>
          <w:lang w:val="el-GR"/>
        </w:rPr>
        <w:t>Προκλινικά δεδομένα για την ασφάλεια</w:t>
      </w:r>
    </w:p>
    <w:p w:rsidR="00574797" w:rsidRDefault="00574797" w:rsidP="00574797">
      <w:pPr>
        <w:spacing w:after="0" w:line="360" w:lineRule="auto"/>
        <w:jc w:val="both"/>
        <w:rPr>
          <w:rFonts w:ascii="Times New Roman" w:eastAsia="Times New Roman" w:hAnsi="Times New Roman"/>
          <w:lang w:val="el-GR"/>
        </w:rPr>
      </w:pPr>
      <w:r w:rsidRPr="00574797">
        <w:rPr>
          <w:rFonts w:ascii="Times New Roman" w:eastAsia="Times New Roman" w:hAnsi="Times New Roman"/>
          <w:lang w:val="el-GR"/>
        </w:rPr>
        <w:t>Τα προκλινικά δεδομένα δεν αποκαλύπτουν ιδιαίτερο κίνδυνο για τον άνθρωπο με</w:t>
      </w:r>
      <w:r>
        <w:rPr>
          <w:rFonts w:ascii="Times New Roman" w:eastAsia="Times New Roman" w:hAnsi="Times New Roman"/>
          <w:lang w:val="el-GR"/>
        </w:rPr>
        <w:t xml:space="preserve"> </w:t>
      </w:r>
      <w:r w:rsidRPr="00574797">
        <w:rPr>
          <w:rFonts w:ascii="Times New Roman" w:eastAsia="Times New Roman" w:hAnsi="Times New Roman"/>
          <w:lang w:val="el-GR"/>
        </w:rPr>
        <w:t>βάση τις συμβατικές μελέτες φαρμακολογικής ασφάλειας,</w:t>
      </w:r>
      <w:r>
        <w:rPr>
          <w:rFonts w:ascii="Times New Roman" w:eastAsia="Times New Roman" w:hAnsi="Times New Roman"/>
          <w:lang w:val="el-GR"/>
        </w:rPr>
        <w:t xml:space="preserve"> τοξικότητας </w:t>
      </w:r>
      <w:r w:rsidRPr="00574797">
        <w:rPr>
          <w:rFonts w:ascii="Times New Roman" w:eastAsia="Times New Roman" w:hAnsi="Times New Roman"/>
          <w:lang w:val="el-GR"/>
        </w:rPr>
        <w:t>επαναλαμβανόμενων δόσεων</w:t>
      </w:r>
      <w:r>
        <w:rPr>
          <w:rFonts w:ascii="Times New Roman" w:eastAsia="Times New Roman" w:hAnsi="Times New Roman"/>
          <w:lang w:val="el-GR"/>
        </w:rPr>
        <w:t>,</w:t>
      </w:r>
      <w:r w:rsidRPr="00574797">
        <w:rPr>
          <w:rFonts w:ascii="Times New Roman" w:eastAsia="Times New Roman" w:hAnsi="Times New Roman"/>
          <w:lang w:val="el-GR"/>
        </w:rPr>
        <w:t xml:space="preserve"> γενοτοξικότητας</w:t>
      </w:r>
      <w:r>
        <w:rPr>
          <w:rFonts w:ascii="Times New Roman" w:eastAsia="Times New Roman" w:hAnsi="Times New Roman"/>
          <w:lang w:val="el-GR"/>
        </w:rPr>
        <w:t>,</w:t>
      </w:r>
      <w:r w:rsidRPr="00574797">
        <w:rPr>
          <w:rFonts w:ascii="Times New Roman" w:eastAsia="Times New Roman" w:hAnsi="Times New Roman"/>
          <w:lang w:val="el-GR"/>
        </w:rPr>
        <w:t xml:space="preserve"> ενδεχόμενης καρκινογόνου δράσης</w:t>
      </w:r>
      <w:r>
        <w:rPr>
          <w:rFonts w:ascii="Times New Roman" w:eastAsia="Times New Roman" w:hAnsi="Times New Roman"/>
          <w:lang w:val="el-GR"/>
        </w:rPr>
        <w:t>,</w:t>
      </w:r>
      <w:r w:rsidRPr="00574797">
        <w:rPr>
          <w:lang w:val="el-GR"/>
        </w:rPr>
        <w:t xml:space="preserve"> </w:t>
      </w:r>
      <w:r w:rsidRPr="00574797">
        <w:rPr>
          <w:rFonts w:ascii="Times New Roman" w:eastAsia="Times New Roman" w:hAnsi="Times New Roman"/>
          <w:lang w:val="el-GR"/>
        </w:rPr>
        <w:t>τοξικότητας στην αναπαραγωγική ικανότητα και ανάπτυξη. Ειδικά τεστ για την επίδραση στο hERG δεν</w:t>
      </w:r>
      <w:r>
        <w:rPr>
          <w:rFonts w:ascii="Times New Roman" w:eastAsia="Times New Roman" w:hAnsi="Times New Roman"/>
          <w:lang w:val="el-GR"/>
        </w:rPr>
        <w:t xml:space="preserve"> </w:t>
      </w:r>
      <w:r w:rsidRPr="00574797">
        <w:rPr>
          <w:rFonts w:ascii="Times New Roman" w:eastAsia="Times New Roman" w:hAnsi="Times New Roman"/>
          <w:lang w:val="el-GR"/>
        </w:rPr>
        <w:t>έχουν αξιολογηθεί. Ανεπιθύμητες ενέργειες που δεν παρατηρήθηκαν σε κλινικές</w:t>
      </w:r>
      <w:r>
        <w:rPr>
          <w:rFonts w:ascii="Times New Roman" w:eastAsia="Times New Roman" w:hAnsi="Times New Roman"/>
          <w:lang w:val="el-GR"/>
        </w:rPr>
        <w:t xml:space="preserve"> </w:t>
      </w:r>
      <w:r w:rsidRPr="00574797">
        <w:rPr>
          <w:rFonts w:ascii="Times New Roman" w:eastAsia="Times New Roman" w:hAnsi="Times New Roman"/>
          <w:lang w:val="el-GR"/>
        </w:rPr>
        <w:t>μελέτες αλλά εμφανίστηκαν σε ζώα σε επίπεδα έκθεσης παρόμοια με τα κλινικά</w:t>
      </w:r>
      <w:r>
        <w:rPr>
          <w:rFonts w:ascii="Times New Roman" w:eastAsia="Times New Roman" w:hAnsi="Times New Roman"/>
          <w:lang w:val="el-GR"/>
        </w:rPr>
        <w:t xml:space="preserve"> </w:t>
      </w:r>
      <w:r w:rsidRPr="00574797">
        <w:rPr>
          <w:rFonts w:ascii="Times New Roman" w:eastAsia="Times New Roman" w:hAnsi="Times New Roman"/>
          <w:lang w:val="el-GR"/>
        </w:rPr>
        <w:t>επίπεδα έκθεσης ήταν ως ακολούθως: Σε μελέτες τοξικότητας</w:t>
      </w:r>
      <w:r>
        <w:rPr>
          <w:rFonts w:ascii="Times New Roman" w:eastAsia="Times New Roman" w:hAnsi="Times New Roman"/>
          <w:lang w:val="el-GR"/>
        </w:rPr>
        <w:t xml:space="preserve"> </w:t>
      </w:r>
      <w:r w:rsidRPr="00574797">
        <w:rPr>
          <w:rFonts w:ascii="Times New Roman" w:eastAsia="Times New Roman" w:hAnsi="Times New Roman"/>
          <w:lang w:val="el-GR"/>
        </w:rPr>
        <w:t>επαναλαμβανόμενων δόσεων ιστοπαθολογικές ηπατικέ</w:t>
      </w:r>
      <w:r>
        <w:rPr>
          <w:rFonts w:ascii="Times New Roman" w:eastAsia="Times New Roman" w:hAnsi="Times New Roman"/>
          <w:lang w:val="el-GR"/>
        </w:rPr>
        <w:t>ς</w:t>
      </w:r>
      <w:r w:rsidRPr="00574797">
        <w:rPr>
          <w:rFonts w:ascii="Times New Roman" w:eastAsia="Times New Roman" w:hAnsi="Times New Roman"/>
          <w:lang w:val="el-GR"/>
        </w:rPr>
        <w:t xml:space="preserve"> αλλαγές που οφείλονται</w:t>
      </w:r>
      <w:r>
        <w:rPr>
          <w:rFonts w:ascii="Times New Roman" w:eastAsia="Times New Roman" w:hAnsi="Times New Roman"/>
          <w:lang w:val="el-GR"/>
        </w:rPr>
        <w:t xml:space="preserve"> </w:t>
      </w:r>
      <w:r w:rsidRPr="00574797">
        <w:rPr>
          <w:rFonts w:ascii="Times New Roman" w:eastAsia="Times New Roman" w:hAnsi="Times New Roman"/>
          <w:lang w:val="el-GR"/>
        </w:rPr>
        <w:t>στη φαρμακολογική δράση της ροσουβαστατίνης παρατηρήθηκαν σε ποντίκια,</w:t>
      </w:r>
      <w:r>
        <w:rPr>
          <w:rFonts w:ascii="Times New Roman" w:eastAsia="Times New Roman" w:hAnsi="Times New Roman"/>
          <w:lang w:val="el-GR"/>
        </w:rPr>
        <w:t xml:space="preserve"> </w:t>
      </w:r>
      <w:r w:rsidRPr="00574797">
        <w:rPr>
          <w:rFonts w:ascii="Times New Roman" w:eastAsia="Times New Roman" w:hAnsi="Times New Roman"/>
          <w:lang w:val="el-GR"/>
        </w:rPr>
        <w:t>αρουραίους και σε μικρότερο ποσό με επιδράσεις στη χοληδόχο κύστη σε σκύλους</w:t>
      </w:r>
      <w:r>
        <w:rPr>
          <w:rFonts w:ascii="Times New Roman" w:eastAsia="Times New Roman" w:hAnsi="Times New Roman"/>
          <w:lang w:val="el-GR"/>
        </w:rPr>
        <w:t xml:space="preserve"> </w:t>
      </w:r>
      <w:r w:rsidRPr="00574797">
        <w:rPr>
          <w:rFonts w:ascii="Times New Roman" w:eastAsia="Times New Roman" w:hAnsi="Times New Roman"/>
          <w:lang w:val="el-GR"/>
        </w:rPr>
        <w:t xml:space="preserve">αλλά όχι σε πιθήκους. </w:t>
      </w:r>
      <w:r>
        <w:rPr>
          <w:rFonts w:ascii="Times New Roman" w:eastAsia="Times New Roman" w:hAnsi="Times New Roman"/>
          <w:lang w:val="el-GR"/>
        </w:rPr>
        <w:t>Επιπρόσθετα,</w:t>
      </w:r>
      <w:r w:rsidRPr="00574797">
        <w:rPr>
          <w:rFonts w:ascii="Times New Roman" w:eastAsia="Times New Roman" w:hAnsi="Times New Roman"/>
          <w:lang w:val="el-GR"/>
        </w:rPr>
        <w:t>, τοξικότητα στους όρχεις παρατηρήθηκε σε</w:t>
      </w:r>
      <w:r>
        <w:rPr>
          <w:rFonts w:ascii="Times New Roman" w:eastAsia="Times New Roman" w:hAnsi="Times New Roman"/>
          <w:lang w:val="el-GR"/>
        </w:rPr>
        <w:t xml:space="preserve"> </w:t>
      </w:r>
      <w:r w:rsidRPr="00574797">
        <w:rPr>
          <w:rFonts w:ascii="Times New Roman" w:eastAsia="Times New Roman" w:hAnsi="Times New Roman"/>
          <w:lang w:val="el-GR"/>
        </w:rPr>
        <w:t>πιθήκους και σκύλους σε υψηλότερες δόσεις. Η αναπαραγωγική τοξικότητα ήταν</w:t>
      </w:r>
      <w:r>
        <w:rPr>
          <w:rFonts w:ascii="Times New Roman" w:eastAsia="Times New Roman" w:hAnsi="Times New Roman"/>
          <w:lang w:val="el-GR"/>
        </w:rPr>
        <w:t xml:space="preserve"> </w:t>
      </w:r>
      <w:r w:rsidRPr="00574797">
        <w:rPr>
          <w:rFonts w:ascii="Times New Roman" w:eastAsia="Times New Roman" w:hAnsi="Times New Roman"/>
          <w:lang w:val="el-GR"/>
        </w:rPr>
        <w:t>εμφανής σε αρουραίους, με μειωμένο αριθμό νεογνών της γέννας, βάρος</w:t>
      </w:r>
      <w:r>
        <w:rPr>
          <w:rFonts w:ascii="Times New Roman" w:eastAsia="Times New Roman" w:hAnsi="Times New Roman"/>
          <w:lang w:val="el-GR"/>
        </w:rPr>
        <w:t xml:space="preserve"> </w:t>
      </w:r>
      <w:r w:rsidRPr="00574797">
        <w:rPr>
          <w:rFonts w:ascii="Times New Roman" w:eastAsia="Times New Roman" w:hAnsi="Times New Roman"/>
          <w:lang w:val="el-GR"/>
        </w:rPr>
        <w:t>νεογνών της γέννας και επιβίωση των νεογνών όπου η συστηματική έκθεση ήταν</w:t>
      </w:r>
      <w:r>
        <w:rPr>
          <w:rFonts w:ascii="Times New Roman" w:eastAsia="Times New Roman" w:hAnsi="Times New Roman"/>
          <w:lang w:val="el-GR"/>
        </w:rPr>
        <w:t xml:space="preserve"> </w:t>
      </w:r>
      <w:r w:rsidRPr="00574797">
        <w:rPr>
          <w:rFonts w:ascii="Times New Roman" w:eastAsia="Times New Roman" w:hAnsi="Times New Roman"/>
          <w:lang w:val="el-GR"/>
        </w:rPr>
        <w:t>αρκετές φορές πολλαπλάσια των θεραπευτικών επιπέδων έκθεσης.</w:t>
      </w:r>
    </w:p>
    <w:p w:rsidR="00964C33" w:rsidRPr="00426846" w:rsidRDefault="00964C33" w:rsidP="00AC1E02">
      <w:pPr>
        <w:spacing w:after="0" w:line="360" w:lineRule="auto"/>
        <w:jc w:val="both"/>
        <w:rPr>
          <w:rFonts w:ascii="Times New Roman" w:eastAsia="Times New Roman" w:hAnsi="Times New Roman"/>
        </w:rPr>
      </w:pPr>
    </w:p>
    <w:p w:rsidR="00860F72" w:rsidRDefault="00860F72" w:rsidP="00AC1E02">
      <w:pPr>
        <w:shd w:val="clear" w:color="auto" w:fill="FFFFFF"/>
        <w:spacing w:after="0" w:line="360" w:lineRule="auto"/>
        <w:jc w:val="both"/>
        <w:rPr>
          <w:rFonts w:ascii="Times New Roman" w:eastAsia="Times New Roman" w:hAnsi="Times New Roman"/>
        </w:rPr>
      </w:pPr>
    </w:p>
    <w:p w:rsidR="00964C33" w:rsidRPr="00426846" w:rsidRDefault="004C7928" w:rsidP="00AC1E02">
      <w:pPr>
        <w:shd w:val="clear" w:color="auto" w:fill="FFFFFF"/>
        <w:spacing w:after="0" w:line="360" w:lineRule="auto"/>
        <w:jc w:val="both"/>
        <w:rPr>
          <w:rFonts w:ascii="Times New Roman" w:eastAsia="Times New Roman" w:hAnsi="Times New Roman"/>
        </w:rPr>
      </w:pPr>
      <w:bookmarkStart w:id="15" w:name="PHARMACEUTICAL_PARTS"/>
      <w:bookmarkEnd w:id="15"/>
      <w:r w:rsidRPr="00426846">
        <w:rPr>
          <w:rFonts w:ascii="Times New Roman" w:hAnsi="Times New Roman"/>
          <w:b/>
          <w:noProof/>
        </w:rPr>
        <w:t>6.</w:t>
      </w:r>
      <w:r w:rsidRPr="00426846">
        <w:rPr>
          <w:rFonts w:ascii="Times New Roman" w:hAnsi="Times New Roman"/>
          <w:b/>
          <w:noProof/>
        </w:rPr>
        <w:tab/>
      </w:r>
      <w:r w:rsidR="00B762AA" w:rsidRPr="00B762AA">
        <w:rPr>
          <w:rFonts w:ascii="Times New Roman" w:hAnsi="Times New Roman"/>
          <w:b/>
          <w:noProof/>
        </w:rPr>
        <w:t>ΦΑΡΜΑΚΕΥΤΙΚΕΣ ΠΛΗΡΟΦΟΡΙΕΣ</w:t>
      </w:r>
    </w:p>
    <w:p w:rsidR="00964C33" w:rsidRPr="00426846" w:rsidRDefault="00964C33" w:rsidP="00AC1E02">
      <w:pPr>
        <w:shd w:val="clear" w:color="auto" w:fill="FFFFFF"/>
        <w:spacing w:after="0" w:line="360" w:lineRule="auto"/>
        <w:jc w:val="both"/>
        <w:rPr>
          <w:rFonts w:ascii="Times New Roman" w:eastAsia="Times New Roman" w:hAnsi="Times New Roman"/>
        </w:rPr>
      </w:pPr>
    </w:p>
    <w:p w:rsidR="004C7928" w:rsidRPr="00426846" w:rsidRDefault="004C7928" w:rsidP="00AC1E02">
      <w:pPr>
        <w:shd w:val="clear" w:color="auto" w:fill="FFFFFF"/>
        <w:spacing w:after="0" w:line="360" w:lineRule="auto"/>
        <w:jc w:val="both"/>
        <w:rPr>
          <w:rFonts w:ascii="Times New Roman" w:eastAsia="Times New Roman" w:hAnsi="Times New Roman"/>
        </w:rPr>
      </w:pPr>
      <w:r w:rsidRPr="00426846">
        <w:rPr>
          <w:rFonts w:ascii="Times New Roman" w:hAnsi="Times New Roman"/>
          <w:b/>
          <w:noProof/>
        </w:rPr>
        <w:t>6.1</w:t>
      </w:r>
      <w:r w:rsidRPr="00426846">
        <w:rPr>
          <w:rFonts w:ascii="Times New Roman" w:hAnsi="Times New Roman"/>
          <w:b/>
          <w:noProof/>
        </w:rPr>
        <w:tab/>
      </w:r>
      <w:r w:rsidR="00B762AA" w:rsidRPr="00B762AA">
        <w:rPr>
          <w:rFonts w:ascii="Times New Roman" w:hAnsi="Times New Roman"/>
          <w:b/>
          <w:noProof/>
        </w:rPr>
        <w:t>Κατάλογος εκδόχων</w:t>
      </w:r>
    </w:p>
    <w:p w:rsidR="00BA1E78" w:rsidRPr="00426846" w:rsidRDefault="005636C5" w:rsidP="00AC1E02">
      <w:pPr>
        <w:shd w:val="clear" w:color="auto" w:fill="FFFFFF"/>
        <w:spacing w:after="0" w:line="360" w:lineRule="auto"/>
        <w:ind w:left="-180"/>
        <w:jc w:val="both"/>
        <w:rPr>
          <w:rFonts w:ascii="Times New Roman" w:eastAsia="Times New Roman" w:hAnsi="Times New Roman"/>
          <w:b/>
          <w:bCs/>
        </w:rPr>
      </w:pPr>
      <w:r>
        <w:rPr>
          <w:rFonts w:ascii="Times New Roman" w:eastAsia="Times New Roman" w:hAnsi="Times New Roman"/>
          <w:bCs/>
          <w:lang w:val="el-GR"/>
        </w:rPr>
        <w:t xml:space="preserve">    </w:t>
      </w:r>
      <w:r w:rsidR="006A5B29">
        <w:rPr>
          <w:rFonts w:ascii="Times New Roman" w:eastAsia="Times New Roman" w:hAnsi="Times New Roman"/>
          <w:bCs/>
          <w:u w:val="single"/>
          <w:lang w:val="el-GR"/>
        </w:rPr>
        <w:t>Πυρήνας</w:t>
      </w:r>
      <w:r w:rsidR="006A5B29" w:rsidRPr="00B762AA">
        <w:rPr>
          <w:rFonts w:ascii="Times New Roman" w:eastAsia="Times New Roman" w:hAnsi="Times New Roman"/>
          <w:bCs/>
          <w:u w:val="single"/>
        </w:rPr>
        <w:t xml:space="preserve"> </w:t>
      </w:r>
      <w:r w:rsidR="006A5B29">
        <w:rPr>
          <w:rFonts w:ascii="Times New Roman" w:eastAsia="Times New Roman" w:hAnsi="Times New Roman"/>
          <w:bCs/>
          <w:u w:val="single"/>
          <w:lang w:val="el-GR"/>
        </w:rPr>
        <w:t>δισκίου</w:t>
      </w:r>
      <w:r w:rsidR="00BA1E78" w:rsidRPr="00426846">
        <w:rPr>
          <w:rFonts w:ascii="Times New Roman" w:eastAsia="Times New Roman" w:hAnsi="Times New Roman"/>
          <w:bCs/>
        </w:rPr>
        <w:t>:</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Cellulose Microcrystalline PH-101,</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Silica Colloidal Anhydrous,</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Crospovidone</w:t>
      </w:r>
      <w:r w:rsidR="00860F72">
        <w:rPr>
          <w:rFonts w:ascii="Times New Roman" w:eastAsia="Times New Roman" w:hAnsi="Times New Roman"/>
          <w:bCs/>
        </w:rPr>
        <w:t xml:space="preserve"> Type A</w:t>
      </w:r>
      <w:r w:rsidRPr="00426846">
        <w:rPr>
          <w:rFonts w:ascii="Times New Roman" w:eastAsia="Times New Roman" w:hAnsi="Times New Roman"/>
          <w:bCs/>
        </w:rPr>
        <w:t>,</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Cellulose Microcrystalline PH-102,</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Lactose Monohydrate,</w:t>
      </w:r>
    </w:p>
    <w:p w:rsidR="00BA1E78" w:rsidRPr="00426846" w:rsidRDefault="00BA1E78" w:rsidP="00AC1E02">
      <w:pPr>
        <w:shd w:val="clear" w:color="auto" w:fill="FFFFFF"/>
        <w:spacing w:after="0" w:line="360" w:lineRule="auto"/>
        <w:jc w:val="both"/>
        <w:rPr>
          <w:rFonts w:ascii="Times New Roman" w:eastAsia="Times New Roman" w:hAnsi="Times New Roman"/>
          <w:bCs/>
        </w:rPr>
      </w:pPr>
      <w:r w:rsidRPr="00426846">
        <w:rPr>
          <w:rFonts w:ascii="Times New Roman" w:eastAsia="Times New Roman" w:hAnsi="Times New Roman"/>
          <w:bCs/>
        </w:rPr>
        <w:t>Magnesium Stearate.</w:t>
      </w:r>
    </w:p>
    <w:p w:rsidR="00BA1E78" w:rsidRPr="00426846" w:rsidRDefault="00BA1E78" w:rsidP="00AC1E02">
      <w:pPr>
        <w:shd w:val="clear" w:color="auto" w:fill="FFFFFF"/>
        <w:spacing w:after="0" w:line="360" w:lineRule="auto"/>
        <w:jc w:val="both"/>
        <w:rPr>
          <w:rFonts w:ascii="Times New Roman" w:eastAsia="Times New Roman" w:hAnsi="Times New Roman"/>
          <w:bCs/>
        </w:rPr>
      </w:pPr>
    </w:p>
    <w:p w:rsidR="00BA1E78" w:rsidRPr="00426846" w:rsidRDefault="006A5B29" w:rsidP="00AC1E02">
      <w:pPr>
        <w:shd w:val="clear" w:color="auto" w:fill="FFFFFF"/>
        <w:spacing w:after="0" w:line="360" w:lineRule="auto"/>
        <w:jc w:val="both"/>
        <w:rPr>
          <w:rFonts w:ascii="Times New Roman" w:eastAsia="Times New Roman" w:hAnsi="Times New Roman"/>
          <w:bCs/>
        </w:rPr>
      </w:pPr>
      <w:r>
        <w:rPr>
          <w:rFonts w:ascii="Times New Roman" w:eastAsia="Times New Roman" w:hAnsi="Times New Roman"/>
          <w:bCs/>
          <w:u w:val="single"/>
          <w:lang w:val="el-GR"/>
        </w:rPr>
        <w:t>Επικάλυψη</w:t>
      </w:r>
      <w:r w:rsidR="00BA1E78" w:rsidRPr="00426846">
        <w:rPr>
          <w:rFonts w:ascii="Times New Roman" w:eastAsia="Times New Roman" w:hAnsi="Times New Roman"/>
          <w:bCs/>
        </w:rPr>
        <w:t>:</w:t>
      </w:r>
    </w:p>
    <w:p w:rsidR="00BA1E78" w:rsidRPr="00426846" w:rsidRDefault="006A5B29" w:rsidP="00AC1E02">
      <w:pPr>
        <w:spacing w:line="360" w:lineRule="auto"/>
        <w:jc w:val="both"/>
        <w:rPr>
          <w:rFonts w:ascii="Times New Roman" w:hAnsi="Times New Roman"/>
          <w:bCs/>
        </w:rPr>
      </w:pPr>
      <w:r w:rsidRPr="006A5B29">
        <w:rPr>
          <w:rFonts w:ascii="Times New Roman" w:hAnsi="Times New Roman"/>
          <w:bCs/>
        </w:rPr>
        <w:t>CELMANTIN 5 mg επικαλυμμένα με λεπτό υμένιο δισκία</w:t>
      </w:r>
      <w:r w:rsidR="00BA1E78" w:rsidRPr="00426846">
        <w:rPr>
          <w:rFonts w:ascii="Times New Roman" w:hAnsi="Times New Roman"/>
          <w:bCs/>
        </w:rPr>
        <w:t xml:space="preserve">: </w:t>
      </w:r>
      <w:r w:rsidR="00860F72">
        <w:rPr>
          <w:rFonts w:ascii="Times New Roman" w:hAnsi="Times New Roman"/>
          <w:bCs/>
        </w:rPr>
        <w:t>Hypromellose</w:t>
      </w:r>
      <w:r w:rsidR="00385E2C">
        <w:rPr>
          <w:rFonts w:ascii="Times New Roman" w:hAnsi="Times New Roman"/>
          <w:bCs/>
        </w:rPr>
        <w:t>, Titanium dioxide</w:t>
      </w:r>
      <w:r w:rsidR="00860F72">
        <w:rPr>
          <w:rFonts w:ascii="Times New Roman" w:hAnsi="Times New Roman"/>
          <w:bCs/>
        </w:rPr>
        <w:t xml:space="preserve"> (E171)</w:t>
      </w:r>
      <w:r w:rsidR="00385E2C">
        <w:rPr>
          <w:rFonts w:ascii="Times New Roman" w:hAnsi="Times New Roman"/>
          <w:bCs/>
        </w:rPr>
        <w:t>, Lactose monohydrate, Triacetin, Iron oxide yellow</w:t>
      </w:r>
      <w:r w:rsidR="00860F72">
        <w:rPr>
          <w:rFonts w:ascii="Times New Roman" w:hAnsi="Times New Roman"/>
          <w:bCs/>
        </w:rPr>
        <w:t xml:space="preserve"> (E172).</w:t>
      </w:r>
    </w:p>
    <w:p w:rsidR="00385E2C" w:rsidRPr="00BE628B" w:rsidRDefault="006A5B29" w:rsidP="00AC1E02">
      <w:pPr>
        <w:spacing w:line="360" w:lineRule="auto"/>
        <w:jc w:val="both"/>
        <w:rPr>
          <w:rFonts w:ascii="Times New Roman" w:hAnsi="Times New Roman"/>
          <w:bCs/>
        </w:rPr>
      </w:pPr>
      <w:r w:rsidRPr="006A5B29">
        <w:rPr>
          <w:rFonts w:ascii="Times New Roman" w:hAnsi="Times New Roman"/>
          <w:bCs/>
        </w:rPr>
        <w:lastRenderedPageBreak/>
        <w:t>CELMANTIN 10 mg επικαλυμμένα με λεπτό υμένιο δισκία</w:t>
      </w:r>
      <w:r w:rsidR="00BA1E78" w:rsidRPr="00426846">
        <w:rPr>
          <w:rFonts w:ascii="Times New Roman" w:hAnsi="Times New Roman"/>
          <w:bCs/>
        </w:rPr>
        <w:t xml:space="preserve">: </w:t>
      </w:r>
      <w:r w:rsidR="00860F72">
        <w:rPr>
          <w:rFonts w:ascii="Times New Roman" w:hAnsi="Times New Roman"/>
          <w:bCs/>
        </w:rPr>
        <w:t>Hypromellose</w:t>
      </w:r>
      <w:r w:rsidR="00385E2C">
        <w:rPr>
          <w:rFonts w:ascii="Times New Roman" w:hAnsi="Times New Roman"/>
          <w:bCs/>
        </w:rPr>
        <w:t>, Titanium dioxide</w:t>
      </w:r>
      <w:r w:rsidR="00860F72">
        <w:rPr>
          <w:rFonts w:ascii="Times New Roman" w:hAnsi="Times New Roman"/>
          <w:bCs/>
        </w:rPr>
        <w:t xml:space="preserve"> (E171)</w:t>
      </w:r>
      <w:r w:rsidR="00385E2C">
        <w:rPr>
          <w:rFonts w:ascii="Times New Roman" w:hAnsi="Times New Roman"/>
          <w:bCs/>
        </w:rPr>
        <w:t>, Lactose monohydrate, Triacetin, Iron oxide red</w:t>
      </w:r>
      <w:r w:rsidR="00860F72">
        <w:rPr>
          <w:rFonts w:ascii="Times New Roman" w:hAnsi="Times New Roman"/>
          <w:bCs/>
        </w:rPr>
        <w:t xml:space="preserve"> (E172).</w:t>
      </w:r>
    </w:p>
    <w:p w:rsidR="00385E2C" w:rsidRPr="00BE628B" w:rsidRDefault="006A5B29" w:rsidP="00AC1E02">
      <w:pPr>
        <w:spacing w:line="360" w:lineRule="auto"/>
        <w:jc w:val="both"/>
        <w:rPr>
          <w:rFonts w:ascii="Times New Roman" w:hAnsi="Times New Roman"/>
          <w:bCs/>
        </w:rPr>
      </w:pPr>
      <w:r w:rsidRPr="006A5B29">
        <w:rPr>
          <w:rFonts w:ascii="Times New Roman" w:hAnsi="Times New Roman"/>
          <w:bCs/>
        </w:rPr>
        <w:t>CELMANTIN 20 mg επικαλυμμένα με λεπτό υμένιο δισκία</w:t>
      </w:r>
      <w:r w:rsidR="00BA1E78" w:rsidRPr="00426846">
        <w:rPr>
          <w:rFonts w:ascii="Times New Roman" w:hAnsi="Times New Roman"/>
          <w:bCs/>
        </w:rPr>
        <w:t xml:space="preserve">: </w:t>
      </w:r>
      <w:r w:rsidR="00860F72">
        <w:rPr>
          <w:rFonts w:ascii="Times New Roman" w:hAnsi="Times New Roman"/>
          <w:bCs/>
        </w:rPr>
        <w:t>Hypromellose</w:t>
      </w:r>
      <w:r w:rsidR="00385E2C">
        <w:rPr>
          <w:rFonts w:ascii="Times New Roman" w:hAnsi="Times New Roman"/>
          <w:bCs/>
        </w:rPr>
        <w:t>, Titanium dioxide</w:t>
      </w:r>
      <w:r w:rsidR="00860F72">
        <w:rPr>
          <w:rFonts w:ascii="Times New Roman" w:hAnsi="Times New Roman"/>
          <w:bCs/>
        </w:rPr>
        <w:t xml:space="preserve"> (E171)</w:t>
      </w:r>
      <w:r w:rsidR="00385E2C">
        <w:rPr>
          <w:rFonts w:ascii="Times New Roman" w:hAnsi="Times New Roman"/>
          <w:bCs/>
        </w:rPr>
        <w:t>, Lactose monohydrate, Triacetin, Iron oxide red</w:t>
      </w:r>
      <w:r w:rsidR="00860F72">
        <w:rPr>
          <w:rFonts w:ascii="Times New Roman" w:hAnsi="Times New Roman"/>
          <w:bCs/>
        </w:rPr>
        <w:t xml:space="preserve"> (E172).</w:t>
      </w:r>
    </w:p>
    <w:p w:rsidR="00385E2C" w:rsidRPr="00BE628B" w:rsidRDefault="006A5B29" w:rsidP="00AC1E02">
      <w:pPr>
        <w:spacing w:line="360" w:lineRule="auto"/>
        <w:jc w:val="both"/>
        <w:rPr>
          <w:rFonts w:ascii="Times New Roman" w:hAnsi="Times New Roman"/>
          <w:bCs/>
        </w:rPr>
      </w:pPr>
      <w:r w:rsidRPr="006A5B29">
        <w:rPr>
          <w:rFonts w:ascii="Times New Roman" w:hAnsi="Times New Roman"/>
          <w:bCs/>
        </w:rPr>
        <w:t>CELMANTIN 40 mg επικαλυμμένα με λεπτό υμένιο δισκία</w:t>
      </w:r>
      <w:r w:rsidR="00BA1E78" w:rsidRPr="00426846">
        <w:rPr>
          <w:rFonts w:ascii="Times New Roman" w:hAnsi="Times New Roman"/>
          <w:bCs/>
        </w:rPr>
        <w:t xml:space="preserve">: </w:t>
      </w:r>
      <w:r w:rsidR="00860F72">
        <w:rPr>
          <w:rFonts w:ascii="Times New Roman" w:hAnsi="Times New Roman"/>
          <w:bCs/>
        </w:rPr>
        <w:t>Hypromellose</w:t>
      </w:r>
      <w:r w:rsidR="00385E2C">
        <w:rPr>
          <w:rFonts w:ascii="Times New Roman" w:hAnsi="Times New Roman"/>
          <w:bCs/>
        </w:rPr>
        <w:t>, Titanium dioxide</w:t>
      </w:r>
      <w:r w:rsidR="00860F72">
        <w:rPr>
          <w:rFonts w:ascii="Times New Roman" w:hAnsi="Times New Roman"/>
          <w:bCs/>
        </w:rPr>
        <w:t xml:space="preserve"> (E171)</w:t>
      </w:r>
      <w:r w:rsidR="00385E2C">
        <w:rPr>
          <w:rFonts w:ascii="Times New Roman" w:hAnsi="Times New Roman"/>
          <w:bCs/>
        </w:rPr>
        <w:t>, Lactose monohydrate, Triacetin, Iron oxide red</w:t>
      </w:r>
      <w:r w:rsidR="00860F72">
        <w:rPr>
          <w:rFonts w:ascii="Times New Roman" w:hAnsi="Times New Roman"/>
          <w:bCs/>
        </w:rPr>
        <w:t xml:space="preserve"> (E172).</w:t>
      </w:r>
    </w:p>
    <w:p w:rsidR="00C4574A" w:rsidRDefault="00C4574A" w:rsidP="003170C4">
      <w:pPr>
        <w:shd w:val="clear" w:color="auto" w:fill="FFFFFF"/>
        <w:spacing w:after="0" w:line="360" w:lineRule="auto"/>
        <w:jc w:val="both"/>
        <w:rPr>
          <w:rFonts w:ascii="Times New Roman" w:eastAsia="Times New Roman" w:hAnsi="Times New Roman"/>
        </w:rPr>
      </w:pPr>
    </w:p>
    <w:p w:rsidR="004C7928" w:rsidRDefault="005636C5" w:rsidP="005636C5">
      <w:pPr>
        <w:numPr>
          <w:ilvl w:val="1"/>
          <w:numId w:val="2"/>
        </w:numPr>
        <w:shd w:val="clear" w:color="auto" w:fill="FFFFFF"/>
        <w:spacing w:after="0" w:line="360" w:lineRule="auto"/>
        <w:jc w:val="both"/>
        <w:rPr>
          <w:rFonts w:ascii="Times New Roman" w:hAnsi="Times New Roman"/>
          <w:b/>
          <w:noProof/>
        </w:rPr>
      </w:pPr>
      <w:bookmarkStart w:id="16" w:name="EXCIPIENTS"/>
      <w:bookmarkStart w:id="17" w:name="INCOMPATIBILITIES"/>
      <w:bookmarkEnd w:id="16"/>
      <w:bookmarkEnd w:id="17"/>
      <w:r w:rsidRPr="005636C5">
        <w:rPr>
          <w:rFonts w:ascii="Times New Roman" w:hAnsi="Times New Roman"/>
          <w:b/>
          <w:noProof/>
        </w:rPr>
        <w:t>Ασυμβατότητες</w:t>
      </w:r>
    </w:p>
    <w:p w:rsidR="001B3A53" w:rsidRDefault="005636C5" w:rsidP="006E32AB">
      <w:pPr>
        <w:shd w:val="clear" w:color="auto" w:fill="FFFFFF"/>
        <w:spacing w:after="0" w:line="360" w:lineRule="auto"/>
        <w:jc w:val="both"/>
        <w:rPr>
          <w:rFonts w:ascii="Times New Roman" w:eastAsia="Times New Roman" w:hAnsi="Times New Roman"/>
        </w:rPr>
      </w:pPr>
      <w:r w:rsidRPr="005636C5">
        <w:rPr>
          <w:rFonts w:ascii="Times New Roman" w:eastAsia="Times New Roman" w:hAnsi="Times New Roman"/>
        </w:rPr>
        <w:t>Δεν εφαρμόζεται</w:t>
      </w:r>
      <w:r w:rsidR="001B3A53" w:rsidRPr="00426846">
        <w:rPr>
          <w:rFonts w:ascii="Times New Roman" w:eastAsia="Times New Roman" w:hAnsi="Times New Roman"/>
        </w:rPr>
        <w:t>.</w:t>
      </w:r>
    </w:p>
    <w:p w:rsidR="002A1C0B" w:rsidRDefault="002A1C0B" w:rsidP="00694556">
      <w:pPr>
        <w:suppressLineNumbers/>
        <w:spacing w:line="360" w:lineRule="auto"/>
        <w:ind w:left="567" w:hanging="567"/>
        <w:jc w:val="both"/>
        <w:outlineLvl w:val="0"/>
        <w:rPr>
          <w:rFonts w:ascii="Times New Roman" w:hAnsi="Times New Roman"/>
          <w:b/>
          <w:noProof/>
        </w:rPr>
      </w:pPr>
      <w:bookmarkStart w:id="18" w:name="SHELF_LIFE"/>
      <w:bookmarkEnd w:id="18"/>
    </w:p>
    <w:p w:rsidR="004C7928" w:rsidRPr="00426846" w:rsidRDefault="004C7928" w:rsidP="00AC1E02">
      <w:pPr>
        <w:suppressLineNumbers/>
        <w:spacing w:line="360" w:lineRule="auto"/>
        <w:ind w:left="567" w:hanging="567"/>
        <w:jc w:val="both"/>
        <w:outlineLvl w:val="0"/>
        <w:rPr>
          <w:rFonts w:ascii="Times New Roman" w:hAnsi="Times New Roman"/>
          <w:b/>
          <w:noProof/>
        </w:rPr>
      </w:pPr>
      <w:r w:rsidRPr="00426846">
        <w:rPr>
          <w:rFonts w:ascii="Times New Roman" w:hAnsi="Times New Roman"/>
          <w:b/>
          <w:noProof/>
        </w:rPr>
        <w:t>6.3</w:t>
      </w:r>
      <w:r w:rsidRPr="00426846">
        <w:rPr>
          <w:rFonts w:ascii="Times New Roman" w:hAnsi="Times New Roman"/>
          <w:b/>
          <w:noProof/>
        </w:rPr>
        <w:tab/>
      </w:r>
      <w:r w:rsidR="00A17CCA" w:rsidRPr="00A17CCA">
        <w:rPr>
          <w:rFonts w:ascii="Times New Roman" w:hAnsi="Times New Roman"/>
          <w:b/>
          <w:noProof/>
        </w:rPr>
        <w:t>Διάρκεια ζωής</w:t>
      </w:r>
    </w:p>
    <w:p w:rsidR="00964C33" w:rsidRPr="00BD5991" w:rsidRDefault="00052E35" w:rsidP="00AC1E02">
      <w:pPr>
        <w:suppressLineNumbers/>
        <w:spacing w:line="360" w:lineRule="auto"/>
        <w:ind w:left="567" w:hanging="567"/>
        <w:jc w:val="both"/>
        <w:outlineLvl w:val="0"/>
        <w:rPr>
          <w:rFonts w:ascii="Times New Roman" w:hAnsi="Times New Roman"/>
          <w:noProof/>
          <w:lang w:val="el-GR"/>
        </w:rPr>
      </w:pPr>
      <w:r>
        <w:rPr>
          <w:rFonts w:ascii="Times New Roman" w:hAnsi="Times New Roman"/>
        </w:rPr>
        <w:t>30</w:t>
      </w:r>
      <w:r w:rsidRPr="00052E35">
        <w:rPr>
          <w:rFonts w:ascii="Times New Roman" w:hAnsi="Times New Roman"/>
        </w:rPr>
        <w:t xml:space="preserve"> </w:t>
      </w:r>
      <w:r w:rsidR="00BD5991">
        <w:rPr>
          <w:rFonts w:ascii="Times New Roman" w:hAnsi="Times New Roman"/>
          <w:lang w:val="el-GR"/>
        </w:rPr>
        <w:t>μήνες</w:t>
      </w:r>
    </w:p>
    <w:p w:rsidR="00732D3D" w:rsidRDefault="00732D3D" w:rsidP="00AC1E02">
      <w:pPr>
        <w:suppressLineNumbers/>
        <w:spacing w:line="360" w:lineRule="auto"/>
        <w:ind w:left="567" w:hanging="567"/>
        <w:jc w:val="both"/>
        <w:outlineLvl w:val="0"/>
        <w:rPr>
          <w:rFonts w:ascii="Times New Roman" w:hAnsi="Times New Roman"/>
          <w:b/>
          <w:noProof/>
        </w:rPr>
      </w:pPr>
    </w:p>
    <w:p w:rsidR="004C7928" w:rsidRPr="00A17CCA" w:rsidRDefault="004C7928" w:rsidP="00AC1E02">
      <w:pPr>
        <w:suppressLineNumbers/>
        <w:spacing w:line="360" w:lineRule="auto"/>
        <w:ind w:left="567" w:hanging="567"/>
        <w:jc w:val="both"/>
        <w:outlineLvl w:val="0"/>
        <w:rPr>
          <w:rFonts w:ascii="Times New Roman" w:hAnsi="Times New Roman"/>
          <w:b/>
          <w:noProof/>
          <w:lang w:val="el-GR"/>
        </w:rPr>
      </w:pPr>
      <w:r w:rsidRPr="00A17CCA">
        <w:rPr>
          <w:rFonts w:ascii="Times New Roman" w:hAnsi="Times New Roman"/>
          <w:b/>
          <w:noProof/>
          <w:lang w:val="el-GR"/>
        </w:rPr>
        <w:t>6.4</w:t>
      </w:r>
      <w:r w:rsidRPr="00A17CCA">
        <w:rPr>
          <w:rFonts w:ascii="Times New Roman" w:hAnsi="Times New Roman"/>
          <w:b/>
          <w:noProof/>
          <w:lang w:val="el-GR"/>
        </w:rPr>
        <w:tab/>
      </w:r>
      <w:r w:rsidR="00A17CCA" w:rsidRPr="00A17CCA">
        <w:rPr>
          <w:rFonts w:ascii="Times New Roman" w:hAnsi="Times New Roman"/>
          <w:b/>
          <w:noProof/>
          <w:lang w:val="el-GR"/>
        </w:rPr>
        <w:t>Ιδιαίτερες προφυλάξεις κατά την φύλαξη του προϊόντος</w:t>
      </w:r>
    </w:p>
    <w:p w:rsidR="00CD32B2" w:rsidRPr="00E5296D" w:rsidRDefault="00E5296D" w:rsidP="00AC1E02">
      <w:pPr>
        <w:suppressLineNumbers/>
        <w:spacing w:after="0" w:line="360" w:lineRule="auto"/>
        <w:jc w:val="both"/>
        <w:outlineLvl w:val="0"/>
        <w:rPr>
          <w:rFonts w:ascii="Times New Roman" w:hAnsi="Times New Roman"/>
          <w:lang w:val="el-GR"/>
        </w:rPr>
      </w:pPr>
      <w:r w:rsidRPr="00E5296D">
        <w:rPr>
          <w:rFonts w:ascii="Times New Roman" w:hAnsi="Times New Roman"/>
          <w:lang w:val="el-GR"/>
        </w:rPr>
        <w:t xml:space="preserve">Αυτό το φαρμακευτικό προϊόν δεν απαιτεί ιδιαίτερες συνθήκες </w:t>
      </w:r>
      <w:r>
        <w:rPr>
          <w:rFonts w:ascii="Times New Roman" w:hAnsi="Times New Roman"/>
          <w:lang w:val="el-GR"/>
        </w:rPr>
        <w:t xml:space="preserve">θερμοκρασίας για τη </w:t>
      </w:r>
      <w:r w:rsidRPr="00E5296D">
        <w:rPr>
          <w:rFonts w:ascii="Times New Roman" w:hAnsi="Times New Roman"/>
          <w:lang w:val="el-GR"/>
        </w:rPr>
        <w:t>φύλαξη.</w:t>
      </w:r>
    </w:p>
    <w:p w:rsidR="00291802" w:rsidRPr="00B524C6" w:rsidRDefault="00E5296D" w:rsidP="00AC1E02">
      <w:pPr>
        <w:suppressLineNumbers/>
        <w:spacing w:after="0" w:line="360" w:lineRule="auto"/>
        <w:jc w:val="both"/>
        <w:outlineLvl w:val="0"/>
        <w:rPr>
          <w:rFonts w:ascii="Times New Roman" w:hAnsi="Times New Roman"/>
          <w:noProof/>
          <w:lang w:val="el-GR"/>
        </w:rPr>
      </w:pPr>
      <w:r>
        <w:rPr>
          <w:rFonts w:ascii="Times New Roman" w:hAnsi="Times New Roman"/>
          <w:lang w:val="el-GR"/>
        </w:rPr>
        <w:t>Φυλάσσεται</w:t>
      </w:r>
      <w:r w:rsidRPr="00B524C6">
        <w:rPr>
          <w:rFonts w:ascii="Times New Roman" w:hAnsi="Times New Roman"/>
          <w:lang w:val="el-GR"/>
        </w:rPr>
        <w:t xml:space="preserve"> </w:t>
      </w:r>
      <w:r>
        <w:rPr>
          <w:rFonts w:ascii="Times New Roman" w:hAnsi="Times New Roman"/>
          <w:lang w:val="el-GR"/>
        </w:rPr>
        <w:t>στην</w:t>
      </w:r>
      <w:r w:rsidRPr="00B524C6">
        <w:rPr>
          <w:rFonts w:ascii="Times New Roman" w:hAnsi="Times New Roman"/>
          <w:lang w:val="el-GR"/>
        </w:rPr>
        <w:t xml:space="preserve"> </w:t>
      </w:r>
      <w:r>
        <w:rPr>
          <w:rFonts w:ascii="Times New Roman" w:hAnsi="Times New Roman"/>
          <w:lang w:val="el-GR"/>
        </w:rPr>
        <w:t>αρχική</w:t>
      </w:r>
      <w:r w:rsidRPr="00B524C6">
        <w:rPr>
          <w:rFonts w:ascii="Times New Roman" w:hAnsi="Times New Roman"/>
          <w:lang w:val="el-GR"/>
        </w:rPr>
        <w:t xml:space="preserve"> </w:t>
      </w:r>
      <w:r w:rsidR="00B524C6">
        <w:rPr>
          <w:rFonts w:ascii="Times New Roman" w:hAnsi="Times New Roman"/>
          <w:lang w:val="el-GR"/>
        </w:rPr>
        <w:t>του συσκευασία</w:t>
      </w:r>
      <w:r w:rsidR="00B524C6" w:rsidRPr="00B524C6">
        <w:rPr>
          <w:rFonts w:ascii="Times New Roman" w:hAnsi="Times New Roman"/>
          <w:lang w:val="el-GR"/>
        </w:rPr>
        <w:t xml:space="preserve"> </w:t>
      </w:r>
      <w:r w:rsidR="00B524C6">
        <w:rPr>
          <w:rFonts w:ascii="Times New Roman" w:hAnsi="Times New Roman"/>
          <w:lang w:val="el-GR"/>
        </w:rPr>
        <w:t>για</w:t>
      </w:r>
      <w:r w:rsidR="00B524C6" w:rsidRPr="00B524C6">
        <w:rPr>
          <w:rFonts w:ascii="Times New Roman" w:hAnsi="Times New Roman"/>
          <w:lang w:val="el-GR"/>
        </w:rPr>
        <w:t xml:space="preserve"> </w:t>
      </w:r>
      <w:r w:rsidR="00B524C6">
        <w:rPr>
          <w:rFonts w:ascii="Times New Roman" w:hAnsi="Times New Roman"/>
          <w:lang w:val="el-GR"/>
        </w:rPr>
        <w:t>προστασία</w:t>
      </w:r>
      <w:r w:rsidR="00B524C6" w:rsidRPr="00B524C6">
        <w:rPr>
          <w:rFonts w:ascii="Times New Roman" w:hAnsi="Times New Roman"/>
          <w:lang w:val="el-GR"/>
        </w:rPr>
        <w:t xml:space="preserve"> </w:t>
      </w:r>
      <w:r w:rsidR="00B524C6">
        <w:rPr>
          <w:rFonts w:ascii="Times New Roman" w:hAnsi="Times New Roman"/>
          <w:lang w:val="el-GR"/>
        </w:rPr>
        <w:t>από το φως</w:t>
      </w:r>
      <w:r w:rsidR="00291802" w:rsidRPr="00B524C6">
        <w:rPr>
          <w:rFonts w:ascii="Times New Roman" w:hAnsi="Times New Roman"/>
          <w:lang w:val="el-GR"/>
        </w:rPr>
        <w:t>.</w:t>
      </w:r>
    </w:p>
    <w:p w:rsidR="002A1C0B" w:rsidRPr="00B524C6" w:rsidRDefault="002A1C0B" w:rsidP="00AC1E02">
      <w:pPr>
        <w:suppressLineNumbers/>
        <w:spacing w:line="360" w:lineRule="auto"/>
        <w:ind w:left="567" w:hanging="567"/>
        <w:jc w:val="both"/>
        <w:outlineLvl w:val="0"/>
        <w:rPr>
          <w:rFonts w:ascii="Times New Roman" w:hAnsi="Times New Roman"/>
          <w:b/>
          <w:noProof/>
          <w:lang w:val="el-GR"/>
        </w:rPr>
      </w:pPr>
    </w:p>
    <w:p w:rsidR="004C7928" w:rsidRPr="00B524C6" w:rsidRDefault="004C7928" w:rsidP="00AC1E02">
      <w:pPr>
        <w:suppressLineNumbers/>
        <w:spacing w:line="360" w:lineRule="auto"/>
        <w:ind w:left="567" w:hanging="567"/>
        <w:jc w:val="both"/>
        <w:outlineLvl w:val="0"/>
        <w:rPr>
          <w:rFonts w:ascii="Times New Roman" w:hAnsi="Times New Roman"/>
          <w:b/>
          <w:noProof/>
          <w:lang w:val="el-GR"/>
        </w:rPr>
      </w:pPr>
      <w:r w:rsidRPr="00B524C6">
        <w:rPr>
          <w:rFonts w:ascii="Times New Roman" w:hAnsi="Times New Roman"/>
          <w:b/>
          <w:noProof/>
          <w:lang w:val="el-GR"/>
        </w:rPr>
        <w:t>6.5</w:t>
      </w:r>
      <w:r w:rsidRPr="00B524C6">
        <w:rPr>
          <w:rFonts w:ascii="Times New Roman" w:hAnsi="Times New Roman"/>
          <w:b/>
          <w:noProof/>
          <w:lang w:val="el-GR"/>
        </w:rPr>
        <w:tab/>
      </w:r>
      <w:r w:rsidR="00A17CCA" w:rsidRPr="00B524C6">
        <w:rPr>
          <w:rFonts w:ascii="Times New Roman" w:hAnsi="Times New Roman"/>
          <w:b/>
          <w:noProof/>
          <w:lang w:val="el-GR"/>
        </w:rPr>
        <w:t>Φύση και συστατικά του περιέκτη</w:t>
      </w:r>
    </w:p>
    <w:p w:rsidR="001B3A53" w:rsidRPr="00426846" w:rsidRDefault="00E4686A" w:rsidP="00AC1E02">
      <w:pPr>
        <w:suppressLineNumbers/>
        <w:spacing w:line="360" w:lineRule="auto"/>
        <w:jc w:val="both"/>
        <w:outlineLvl w:val="0"/>
        <w:rPr>
          <w:rFonts w:ascii="Times New Roman" w:eastAsia="Times New Roman" w:hAnsi="Times New Roman"/>
        </w:rPr>
      </w:pPr>
      <w:r w:rsidRPr="00AC1E02">
        <w:rPr>
          <w:rFonts w:ascii="Times New Roman" w:hAnsi="Times New Roman"/>
          <w:bCs/>
          <w:iCs/>
        </w:rPr>
        <w:t>OPA-Al-PVC/Al</w:t>
      </w:r>
      <w:r w:rsidR="00860F72" w:rsidRPr="006E32AB">
        <w:rPr>
          <w:rFonts w:ascii="Times New Roman" w:eastAsia="Times New Roman" w:hAnsi="Times New Roman"/>
        </w:rPr>
        <w:t xml:space="preserve"> </w:t>
      </w:r>
      <w:r w:rsidR="00860F72" w:rsidRPr="00E4686A">
        <w:rPr>
          <w:rFonts w:ascii="Times New Roman" w:eastAsia="Times New Roman" w:hAnsi="Times New Roman"/>
        </w:rPr>
        <w:t>blisters.</w:t>
      </w:r>
    </w:p>
    <w:p w:rsidR="001B3A53" w:rsidRPr="00164A73" w:rsidRDefault="00164A73" w:rsidP="00AC1E02">
      <w:pPr>
        <w:suppressLineNumbers/>
        <w:spacing w:line="360" w:lineRule="auto"/>
        <w:jc w:val="both"/>
        <w:outlineLvl w:val="0"/>
        <w:rPr>
          <w:rFonts w:ascii="Times New Roman" w:eastAsia="Times New Roman" w:hAnsi="Times New Roman"/>
          <w:lang w:val="el-GR"/>
        </w:rPr>
      </w:pPr>
      <w:r>
        <w:rPr>
          <w:rFonts w:ascii="Times New Roman" w:eastAsia="Times New Roman" w:hAnsi="Times New Roman"/>
          <w:lang w:val="el-GR"/>
        </w:rPr>
        <w:t>Μ</w:t>
      </w:r>
      <w:r w:rsidRPr="00164A73">
        <w:rPr>
          <w:rFonts w:ascii="Times New Roman" w:eastAsia="Times New Roman" w:hAnsi="Times New Roman"/>
          <w:lang w:val="el-GR"/>
        </w:rPr>
        <w:t>εγέθη συσκευασιών</w:t>
      </w:r>
      <w:r w:rsidR="001B3A53" w:rsidRPr="00164A73">
        <w:rPr>
          <w:rFonts w:ascii="Times New Roman" w:eastAsia="Times New Roman" w:hAnsi="Times New Roman"/>
          <w:lang w:val="el-GR"/>
        </w:rPr>
        <w:t xml:space="preserve">: 14, 20, 28, 30, 56, 60, 84, 90 </w:t>
      </w:r>
      <w:r>
        <w:rPr>
          <w:rFonts w:ascii="Times New Roman" w:eastAsia="Times New Roman" w:hAnsi="Times New Roman"/>
          <w:lang w:val="el-GR"/>
        </w:rPr>
        <w:t>και</w:t>
      </w:r>
      <w:r w:rsidR="001B3A53" w:rsidRPr="00164A73">
        <w:rPr>
          <w:rFonts w:ascii="Times New Roman" w:eastAsia="Times New Roman" w:hAnsi="Times New Roman"/>
          <w:lang w:val="el-GR"/>
        </w:rPr>
        <w:t xml:space="preserve"> 100 </w:t>
      </w:r>
      <w:r>
        <w:rPr>
          <w:rFonts w:ascii="Times New Roman" w:eastAsia="Times New Roman" w:hAnsi="Times New Roman"/>
          <w:lang w:val="el-GR"/>
        </w:rPr>
        <w:t>επικαλυμμένα με λεπτό υμένιο δισκία</w:t>
      </w:r>
      <w:r w:rsidR="00860F72" w:rsidRPr="00164A73">
        <w:rPr>
          <w:rFonts w:ascii="Times New Roman" w:eastAsia="Times New Roman" w:hAnsi="Times New Roman"/>
          <w:lang w:val="el-GR"/>
        </w:rPr>
        <w:t>.</w:t>
      </w:r>
    </w:p>
    <w:p w:rsidR="004C7928" w:rsidRPr="00E5296D" w:rsidRDefault="00E5296D" w:rsidP="00AC1E02">
      <w:pPr>
        <w:suppressLineNumbers/>
        <w:spacing w:line="360" w:lineRule="auto"/>
        <w:jc w:val="both"/>
        <w:outlineLvl w:val="0"/>
        <w:rPr>
          <w:rFonts w:ascii="Times New Roman" w:hAnsi="Times New Roman"/>
          <w:noProof/>
          <w:lang w:val="el-GR"/>
        </w:rPr>
      </w:pPr>
      <w:r w:rsidRPr="00E5296D">
        <w:rPr>
          <w:rFonts w:ascii="Times New Roman" w:eastAsia="Times New Roman" w:hAnsi="Times New Roman"/>
          <w:lang w:val="el-GR"/>
        </w:rPr>
        <w:t>Μπορεί να μην κυκλοφορούν όλες οι συσκευασίες</w:t>
      </w:r>
      <w:r w:rsidR="004C7928" w:rsidRPr="00E5296D">
        <w:rPr>
          <w:rFonts w:ascii="Times New Roman" w:eastAsia="Times New Roman" w:hAnsi="Times New Roman"/>
          <w:lang w:val="el-GR"/>
        </w:rPr>
        <w:t>.</w:t>
      </w:r>
    </w:p>
    <w:p w:rsidR="00CD32B2" w:rsidRPr="00E5296D" w:rsidRDefault="00CD32B2" w:rsidP="00AC1E02">
      <w:pPr>
        <w:shd w:val="clear" w:color="auto" w:fill="FFFFFF"/>
        <w:spacing w:after="0" w:line="360" w:lineRule="auto"/>
        <w:jc w:val="both"/>
        <w:rPr>
          <w:rFonts w:ascii="Times New Roman" w:hAnsi="Times New Roman"/>
          <w:b/>
          <w:noProof/>
          <w:lang w:val="el-GR"/>
        </w:rPr>
      </w:pPr>
    </w:p>
    <w:p w:rsidR="00C4574A" w:rsidRPr="00836F60" w:rsidRDefault="004C7928" w:rsidP="00AC1E02">
      <w:pPr>
        <w:shd w:val="clear" w:color="auto" w:fill="FFFFFF"/>
        <w:spacing w:after="0" w:line="360" w:lineRule="auto"/>
        <w:jc w:val="both"/>
        <w:rPr>
          <w:rFonts w:ascii="Times New Roman" w:eastAsia="Times New Roman" w:hAnsi="Times New Roman"/>
          <w:lang w:val="el-GR"/>
        </w:rPr>
      </w:pPr>
      <w:r w:rsidRPr="00836F60">
        <w:rPr>
          <w:rFonts w:ascii="Times New Roman" w:hAnsi="Times New Roman"/>
          <w:b/>
          <w:noProof/>
          <w:lang w:val="el-GR"/>
        </w:rPr>
        <w:t>6.6</w:t>
      </w:r>
      <w:r w:rsidRPr="00836F60">
        <w:rPr>
          <w:rFonts w:ascii="Times New Roman" w:hAnsi="Times New Roman"/>
          <w:b/>
          <w:noProof/>
          <w:lang w:val="el-GR"/>
        </w:rPr>
        <w:tab/>
      </w:r>
      <w:r w:rsidR="00E5296D" w:rsidRPr="00836F60">
        <w:rPr>
          <w:rFonts w:ascii="Times New Roman" w:hAnsi="Times New Roman"/>
          <w:b/>
          <w:noProof/>
          <w:lang w:val="el-GR"/>
        </w:rPr>
        <w:t>Οδηγίες χρήσης και χειρισμού</w:t>
      </w:r>
    </w:p>
    <w:p w:rsidR="00C4574A" w:rsidRPr="00836F60" w:rsidRDefault="00836F60" w:rsidP="00AC1E02">
      <w:pPr>
        <w:shd w:val="clear" w:color="auto" w:fill="FFFFFF"/>
        <w:spacing w:after="0" w:line="360" w:lineRule="auto"/>
        <w:jc w:val="both"/>
        <w:rPr>
          <w:rFonts w:ascii="Times New Roman" w:hAnsi="Times New Roman"/>
          <w:noProof/>
          <w:lang w:val="el-GR"/>
        </w:rPr>
      </w:pPr>
      <w:r w:rsidRPr="00836F60">
        <w:rPr>
          <w:rFonts w:ascii="Times New Roman" w:hAnsi="Times New Roman"/>
          <w:noProof/>
          <w:lang w:val="el-GR"/>
        </w:rPr>
        <w:t>Κάθε μη χρησιμοποιηθέν φαρμακευτικό προϊόν ή υλικό πρέπει να απορρίπτεται σύμφωνα με τις κατά τόπους οδηγίες</w:t>
      </w:r>
      <w:r w:rsidR="004C7928" w:rsidRPr="00836F60">
        <w:rPr>
          <w:rFonts w:ascii="Times New Roman" w:hAnsi="Times New Roman"/>
          <w:noProof/>
          <w:lang w:val="el-GR"/>
        </w:rPr>
        <w:t>.</w:t>
      </w:r>
      <w:bookmarkStart w:id="19" w:name="STORAGE"/>
      <w:bookmarkEnd w:id="19"/>
    </w:p>
    <w:p w:rsidR="00830982" w:rsidRPr="00836F60" w:rsidRDefault="00830982" w:rsidP="00AC1E02">
      <w:pPr>
        <w:shd w:val="clear" w:color="auto" w:fill="FFFFFF"/>
        <w:spacing w:after="0" w:line="360" w:lineRule="auto"/>
        <w:jc w:val="both"/>
        <w:rPr>
          <w:rFonts w:ascii="Times New Roman" w:hAnsi="Times New Roman"/>
          <w:noProof/>
          <w:lang w:val="el-GR"/>
        </w:rPr>
      </w:pPr>
    </w:p>
    <w:p w:rsidR="00732D3D" w:rsidRPr="00836F60" w:rsidRDefault="00732D3D" w:rsidP="00AC1E02">
      <w:pPr>
        <w:suppressLineNumbers/>
        <w:spacing w:line="360" w:lineRule="auto"/>
        <w:jc w:val="both"/>
        <w:rPr>
          <w:rFonts w:ascii="Times New Roman" w:hAnsi="Times New Roman"/>
          <w:b/>
          <w:noProof/>
          <w:lang w:val="el-GR"/>
        </w:rPr>
      </w:pPr>
    </w:p>
    <w:p w:rsidR="004C7928" w:rsidRPr="001D77DE" w:rsidRDefault="004C7928" w:rsidP="00AC1E02">
      <w:pPr>
        <w:suppressLineNumbers/>
        <w:spacing w:line="360" w:lineRule="auto"/>
        <w:jc w:val="both"/>
        <w:rPr>
          <w:rFonts w:ascii="Times New Roman" w:hAnsi="Times New Roman"/>
          <w:noProof/>
          <w:lang w:val="el-GR"/>
        </w:rPr>
      </w:pPr>
      <w:r w:rsidRPr="001D77DE">
        <w:rPr>
          <w:rFonts w:ascii="Times New Roman" w:hAnsi="Times New Roman"/>
          <w:b/>
          <w:noProof/>
          <w:lang w:val="el-GR"/>
        </w:rPr>
        <w:t>7.</w:t>
      </w:r>
      <w:r w:rsidRPr="001D77DE">
        <w:rPr>
          <w:rFonts w:ascii="Times New Roman" w:hAnsi="Times New Roman"/>
          <w:b/>
          <w:noProof/>
          <w:lang w:val="el-GR"/>
        </w:rPr>
        <w:tab/>
      </w:r>
      <w:r w:rsidR="00CA605B" w:rsidRPr="001D77DE">
        <w:rPr>
          <w:rFonts w:ascii="Times New Roman" w:hAnsi="Times New Roman"/>
          <w:b/>
          <w:noProof/>
          <w:lang w:val="el-GR"/>
        </w:rPr>
        <w:t>ΚΑΤΟΧΟΣ ΤΗΣ ΑΔΕΙΑΣ ΚΥΚΛΟΦΟΡΙΑΣ</w:t>
      </w:r>
    </w:p>
    <w:p w:rsidR="007D6602" w:rsidRPr="007D6602" w:rsidRDefault="007D6602" w:rsidP="007D6602">
      <w:pPr>
        <w:suppressLineNumbers/>
        <w:spacing w:line="360" w:lineRule="auto"/>
        <w:jc w:val="both"/>
        <w:rPr>
          <w:rFonts w:ascii="Times New Roman" w:hAnsi="Times New Roman"/>
          <w:noProof/>
        </w:rPr>
      </w:pPr>
      <w:r w:rsidRPr="007D6602">
        <w:rPr>
          <w:rFonts w:ascii="Times New Roman" w:hAnsi="Times New Roman"/>
          <w:noProof/>
        </w:rPr>
        <w:lastRenderedPageBreak/>
        <w:t>Medochemie Hellas A.E.</w:t>
      </w:r>
    </w:p>
    <w:p w:rsidR="007D6602" w:rsidRPr="007D6602" w:rsidRDefault="007D6602" w:rsidP="007D6602">
      <w:pPr>
        <w:suppressLineNumbers/>
        <w:spacing w:line="360" w:lineRule="auto"/>
        <w:jc w:val="both"/>
        <w:rPr>
          <w:rFonts w:ascii="Times New Roman" w:hAnsi="Times New Roman"/>
          <w:noProof/>
        </w:rPr>
      </w:pPr>
      <w:r w:rsidRPr="007D6602">
        <w:rPr>
          <w:rFonts w:ascii="Times New Roman" w:hAnsi="Times New Roman"/>
          <w:noProof/>
          <w:lang w:val="el-GR"/>
        </w:rPr>
        <w:t>Παστέρ</w:t>
      </w:r>
      <w:r w:rsidRPr="007D6602">
        <w:rPr>
          <w:rFonts w:ascii="Times New Roman" w:hAnsi="Times New Roman"/>
          <w:noProof/>
        </w:rPr>
        <w:t xml:space="preserve"> 6, 115 21, </w:t>
      </w:r>
      <w:r w:rsidRPr="007D6602">
        <w:rPr>
          <w:rFonts w:ascii="Times New Roman" w:hAnsi="Times New Roman"/>
          <w:noProof/>
          <w:lang w:val="el-GR"/>
        </w:rPr>
        <w:t>Αθήνα</w:t>
      </w:r>
    </w:p>
    <w:p w:rsidR="007D6602" w:rsidRPr="007D6602" w:rsidRDefault="007D6602" w:rsidP="007D6602">
      <w:pPr>
        <w:suppressLineNumbers/>
        <w:spacing w:line="360" w:lineRule="auto"/>
        <w:jc w:val="both"/>
        <w:rPr>
          <w:rFonts w:ascii="Times New Roman" w:hAnsi="Times New Roman"/>
          <w:noProof/>
          <w:lang w:val="el-GR"/>
        </w:rPr>
      </w:pPr>
      <w:r w:rsidRPr="007D6602">
        <w:rPr>
          <w:rFonts w:ascii="Times New Roman" w:hAnsi="Times New Roman"/>
          <w:noProof/>
          <w:lang w:val="el-GR"/>
        </w:rPr>
        <w:t>Τηλ: 2106413160</w:t>
      </w:r>
    </w:p>
    <w:p w:rsidR="007D6602" w:rsidRPr="007D6602" w:rsidRDefault="007D6602" w:rsidP="007D6602">
      <w:pPr>
        <w:suppressLineNumbers/>
        <w:spacing w:line="360" w:lineRule="auto"/>
        <w:jc w:val="both"/>
        <w:rPr>
          <w:rFonts w:ascii="Times New Roman" w:hAnsi="Times New Roman"/>
          <w:noProof/>
          <w:lang w:val="el-GR"/>
        </w:rPr>
      </w:pPr>
      <w:r w:rsidRPr="007D6602">
        <w:rPr>
          <w:rFonts w:ascii="Times New Roman" w:hAnsi="Times New Roman"/>
          <w:noProof/>
          <w:lang w:val="el-GR"/>
        </w:rPr>
        <w:t>Φαξ: 2106445375</w:t>
      </w:r>
    </w:p>
    <w:p w:rsidR="00E021E1" w:rsidRPr="001D77DE" w:rsidRDefault="007D6602" w:rsidP="007D6602">
      <w:pPr>
        <w:suppressLineNumbers/>
        <w:spacing w:line="360" w:lineRule="auto"/>
        <w:jc w:val="both"/>
        <w:rPr>
          <w:rFonts w:ascii="Times New Roman" w:hAnsi="Times New Roman"/>
          <w:noProof/>
          <w:lang w:val="el-GR"/>
        </w:rPr>
      </w:pPr>
      <w:r w:rsidRPr="007D6602">
        <w:rPr>
          <w:rFonts w:ascii="Times New Roman" w:hAnsi="Times New Roman"/>
          <w:noProof/>
          <w:lang w:val="el-GR"/>
        </w:rPr>
        <w:t>E-mail: greece@medochemie.com</w:t>
      </w:r>
    </w:p>
    <w:p w:rsidR="002A1C0B" w:rsidRPr="001D77DE" w:rsidRDefault="002A1C0B" w:rsidP="00AC1E02">
      <w:pPr>
        <w:suppressLineNumbers/>
        <w:spacing w:before="240" w:line="360" w:lineRule="auto"/>
        <w:jc w:val="both"/>
        <w:rPr>
          <w:rFonts w:ascii="Times New Roman" w:hAnsi="Times New Roman"/>
          <w:b/>
          <w:noProof/>
          <w:lang w:val="el-GR"/>
        </w:rPr>
      </w:pPr>
    </w:p>
    <w:p w:rsidR="004C7928" w:rsidRPr="001D77DE" w:rsidRDefault="004C7928" w:rsidP="00AC1E02">
      <w:pPr>
        <w:suppressLineNumbers/>
        <w:spacing w:before="240" w:line="360" w:lineRule="auto"/>
        <w:jc w:val="both"/>
        <w:rPr>
          <w:rFonts w:ascii="Times New Roman" w:hAnsi="Times New Roman"/>
          <w:b/>
          <w:noProof/>
          <w:lang w:val="el-GR"/>
        </w:rPr>
      </w:pPr>
      <w:r w:rsidRPr="001D77DE">
        <w:rPr>
          <w:rFonts w:ascii="Times New Roman" w:hAnsi="Times New Roman"/>
          <w:b/>
          <w:noProof/>
          <w:lang w:val="el-GR"/>
        </w:rPr>
        <w:t>8.</w:t>
      </w:r>
      <w:r w:rsidRPr="001D77DE">
        <w:rPr>
          <w:rFonts w:ascii="Times New Roman" w:hAnsi="Times New Roman"/>
          <w:b/>
          <w:noProof/>
          <w:lang w:val="el-GR"/>
        </w:rPr>
        <w:tab/>
      </w:r>
      <w:r w:rsidR="001D77DE" w:rsidRPr="001D77DE">
        <w:rPr>
          <w:rFonts w:ascii="Times New Roman" w:hAnsi="Times New Roman"/>
          <w:b/>
          <w:noProof/>
          <w:lang w:val="el-GR"/>
        </w:rPr>
        <w:t>ΑΡΙΘΜΟΣ(ΟΙ) ΑΔΕΙΑΣ ΚΥΚΛΟΦΟΡΙΑΣ</w:t>
      </w:r>
    </w:p>
    <w:p w:rsidR="004C7928" w:rsidRPr="00426846" w:rsidRDefault="00860F72" w:rsidP="00AC1E02">
      <w:pPr>
        <w:suppressLineNumbers/>
        <w:spacing w:line="360" w:lineRule="auto"/>
        <w:jc w:val="both"/>
        <w:rPr>
          <w:rFonts w:ascii="Times New Roman" w:hAnsi="Times New Roman"/>
          <w:noProof/>
        </w:rPr>
      </w:pPr>
      <w:r>
        <w:rPr>
          <w:rFonts w:ascii="Times New Roman" w:hAnsi="Times New Roman"/>
          <w:noProof/>
        </w:rPr>
        <w:t>[</w:t>
      </w:r>
      <w:r w:rsidR="009B0815" w:rsidRPr="009B0815">
        <w:rPr>
          <w:rFonts w:ascii="Times New Roman" w:hAnsi="Times New Roman"/>
          <w:noProof/>
        </w:rPr>
        <w:t>Συμπληρώνεται εθνικά</w:t>
      </w:r>
      <w:r>
        <w:rPr>
          <w:rFonts w:ascii="Times New Roman" w:hAnsi="Times New Roman"/>
          <w:noProof/>
        </w:rPr>
        <w:t>]</w:t>
      </w:r>
    </w:p>
    <w:p w:rsidR="002A1C0B" w:rsidRPr="00602D74" w:rsidRDefault="002A1C0B" w:rsidP="00AC1E02">
      <w:pPr>
        <w:suppressLineNumbers/>
        <w:spacing w:line="360" w:lineRule="auto"/>
        <w:jc w:val="both"/>
        <w:rPr>
          <w:rFonts w:ascii="Times New Roman" w:hAnsi="Times New Roman"/>
          <w:b/>
        </w:rPr>
      </w:pPr>
    </w:p>
    <w:p w:rsidR="004C7928" w:rsidRPr="00E81292" w:rsidRDefault="004C7928" w:rsidP="00AC1E02">
      <w:pPr>
        <w:suppressLineNumbers/>
        <w:spacing w:line="360" w:lineRule="auto"/>
        <w:jc w:val="both"/>
        <w:rPr>
          <w:rFonts w:ascii="Times New Roman" w:hAnsi="Times New Roman"/>
          <w:noProof/>
          <w:lang w:val="el-GR"/>
        </w:rPr>
      </w:pPr>
      <w:r w:rsidRPr="00E81292">
        <w:rPr>
          <w:rFonts w:ascii="Times New Roman" w:hAnsi="Times New Roman"/>
          <w:b/>
          <w:noProof/>
          <w:lang w:val="el-GR"/>
        </w:rPr>
        <w:t>9.</w:t>
      </w:r>
      <w:r w:rsidRPr="00E81292">
        <w:rPr>
          <w:rFonts w:ascii="Times New Roman" w:hAnsi="Times New Roman"/>
          <w:b/>
          <w:noProof/>
          <w:lang w:val="el-GR"/>
        </w:rPr>
        <w:tab/>
      </w:r>
      <w:r w:rsidR="00E81292" w:rsidRPr="00E81292">
        <w:rPr>
          <w:rFonts w:ascii="Times New Roman" w:hAnsi="Times New Roman"/>
          <w:b/>
          <w:noProof/>
          <w:lang w:val="el-GR"/>
        </w:rPr>
        <w:t>ΗΜΕΡΟΜΗΝΙΑ ΠΡΩΤΗΣ ΕΓΚΡΙΣΗΣ/ΑΝΑΝΕΩΣΗΣ ΤΗΣ ΕΓΚΡΙΣΗΣ</w:t>
      </w:r>
    </w:p>
    <w:p w:rsidR="00E021E1" w:rsidRPr="00F96D0F" w:rsidRDefault="00F96D0F" w:rsidP="00AC1E02">
      <w:pPr>
        <w:suppressLineNumbers/>
        <w:spacing w:line="360" w:lineRule="auto"/>
        <w:jc w:val="both"/>
        <w:rPr>
          <w:rFonts w:ascii="Times New Roman" w:hAnsi="Times New Roman"/>
          <w:noProof/>
          <w:lang w:val="el-GR"/>
        </w:rPr>
      </w:pPr>
      <w:r>
        <w:rPr>
          <w:rFonts w:ascii="Times New Roman" w:hAnsi="Times New Roman"/>
          <w:noProof/>
          <w:lang w:val="el-GR"/>
        </w:rPr>
        <w:t>Ημερομηνία πρώτης έγκρισης</w:t>
      </w:r>
      <w:r w:rsidR="00860F72" w:rsidRPr="00F96D0F">
        <w:rPr>
          <w:rFonts w:ascii="Times New Roman" w:hAnsi="Times New Roman"/>
          <w:noProof/>
          <w:lang w:val="el-GR"/>
        </w:rPr>
        <w:t xml:space="preserve">: </w:t>
      </w:r>
    </w:p>
    <w:p w:rsidR="00793DBB" w:rsidRPr="00F96D0F" w:rsidRDefault="00793DBB" w:rsidP="00AC1E02">
      <w:pPr>
        <w:suppressLineNumbers/>
        <w:spacing w:line="360" w:lineRule="auto"/>
        <w:jc w:val="both"/>
        <w:rPr>
          <w:rFonts w:ascii="Times New Roman" w:hAnsi="Times New Roman"/>
          <w:noProof/>
          <w:lang w:val="el-GR"/>
        </w:rPr>
      </w:pPr>
      <w:r w:rsidRPr="00F96D0F">
        <w:rPr>
          <w:rFonts w:ascii="Times New Roman" w:hAnsi="Times New Roman"/>
          <w:noProof/>
          <w:lang w:val="el-GR"/>
        </w:rPr>
        <w:t>[</w:t>
      </w:r>
      <w:r w:rsidR="00F96D0F">
        <w:rPr>
          <w:rFonts w:ascii="Times New Roman" w:hAnsi="Times New Roman"/>
          <w:noProof/>
          <w:lang w:val="el-GR"/>
        </w:rPr>
        <w:t>Συμπληρώνεται εθνικά</w:t>
      </w:r>
      <w:r w:rsidRPr="00F96D0F">
        <w:rPr>
          <w:rFonts w:ascii="Times New Roman" w:hAnsi="Times New Roman"/>
          <w:noProof/>
          <w:lang w:val="el-GR"/>
        </w:rPr>
        <w:t>]</w:t>
      </w:r>
    </w:p>
    <w:p w:rsidR="00793DBB" w:rsidRPr="00F96D0F" w:rsidRDefault="00793DBB" w:rsidP="00AC1E02">
      <w:pPr>
        <w:suppressLineNumbers/>
        <w:spacing w:line="360" w:lineRule="auto"/>
        <w:jc w:val="both"/>
        <w:rPr>
          <w:rFonts w:ascii="Times New Roman" w:hAnsi="Times New Roman"/>
          <w:noProof/>
          <w:lang w:val="el-GR"/>
        </w:rPr>
      </w:pPr>
    </w:p>
    <w:p w:rsidR="004C7928" w:rsidRPr="00E81292" w:rsidRDefault="004C7928" w:rsidP="00AC1E02">
      <w:pPr>
        <w:suppressLineNumbers/>
        <w:spacing w:line="360" w:lineRule="auto"/>
        <w:jc w:val="both"/>
        <w:rPr>
          <w:rFonts w:ascii="Times New Roman" w:hAnsi="Times New Roman"/>
          <w:b/>
          <w:noProof/>
          <w:lang w:val="el-GR"/>
        </w:rPr>
      </w:pPr>
      <w:r w:rsidRPr="00E81292">
        <w:rPr>
          <w:rFonts w:ascii="Times New Roman" w:hAnsi="Times New Roman"/>
          <w:b/>
          <w:noProof/>
          <w:lang w:val="el-GR"/>
        </w:rPr>
        <w:t>10.</w:t>
      </w:r>
      <w:r w:rsidRPr="00E81292">
        <w:rPr>
          <w:rFonts w:ascii="Times New Roman" w:hAnsi="Times New Roman"/>
          <w:b/>
          <w:noProof/>
          <w:lang w:val="el-GR"/>
        </w:rPr>
        <w:tab/>
      </w:r>
      <w:r w:rsidR="00172193" w:rsidRPr="00E81292">
        <w:rPr>
          <w:rFonts w:ascii="Times New Roman" w:hAnsi="Times New Roman"/>
          <w:b/>
          <w:noProof/>
          <w:lang w:val="el-GR"/>
        </w:rPr>
        <w:t>ΗΜΕΡΟΜΗΝΙΑ ΑΝΑΘΕΩΡΗΣΗΣ ΤΟΥ ΚΕΙΜΕΝΟΥ</w:t>
      </w:r>
    </w:p>
    <w:p w:rsidR="004C7928" w:rsidRPr="002452DE" w:rsidRDefault="00172193" w:rsidP="00AC1E02">
      <w:pPr>
        <w:suppressLineNumbers/>
        <w:spacing w:line="360" w:lineRule="auto"/>
        <w:ind w:left="567" w:hanging="567"/>
        <w:jc w:val="both"/>
        <w:rPr>
          <w:rFonts w:ascii="Times New Roman" w:hAnsi="Times New Roman"/>
          <w:noProof/>
        </w:rPr>
      </w:pPr>
      <w:r>
        <w:rPr>
          <w:rFonts w:ascii="Times New Roman" w:hAnsi="Times New Roman"/>
          <w:noProof/>
          <w:lang w:val="el-GR"/>
        </w:rPr>
        <w:t>Ιούλιος</w:t>
      </w:r>
      <w:r w:rsidR="00227C20" w:rsidRPr="00E81292">
        <w:rPr>
          <w:rFonts w:ascii="Times New Roman" w:hAnsi="Times New Roman"/>
          <w:noProof/>
          <w:lang w:val="el-GR"/>
        </w:rPr>
        <w:t xml:space="preserve"> </w:t>
      </w:r>
      <w:r w:rsidR="00830982" w:rsidRPr="00E81292">
        <w:rPr>
          <w:rFonts w:ascii="Times New Roman" w:hAnsi="Times New Roman"/>
          <w:noProof/>
          <w:lang w:val="el-GR"/>
        </w:rPr>
        <w:t>201</w:t>
      </w:r>
      <w:r w:rsidR="00E27E10" w:rsidRPr="00E81292">
        <w:rPr>
          <w:rFonts w:ascii="Times New Roman" w:hAnsi="Times New Roman"/>
          <w:noProof/>
          <w:lang w:val="el-GR"/>
        </w:rPr>
        <w:t>3</w:t>
      </w:r>
    </w:p>
    <w:sectPr w:rsidR="004C7928" w:rsidRPr="002452DE" w:rsidSect="007D1DDB">
      <w:headerReference w:type="default"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73" w:rsidRDefault="003C6E73" w:rsidP="00CD32B2">
      <w:pPr>
        <w:spacing w:after="0" w:line="240" w:lineRule="auto"/>
      </w:pPr>
      <w:r>
        <w:separator/>
      </w:r>
    </w:p>
  </w:endnote>
  <w:endnote w:type="continuationSeparator" w:id="0">
    <w:p w:rsidR="003C6E73" w:rsidRDefault="003C6E73" w:rsidP="00CD32B2">
      <w:pPr>
        <w:spacing w:after="0" w:line="240" w:lineRule="auto"/>
      </w:pPr>
      <w:r>
        <w:continuationSeparator/>
      </w:r>
    </w:p>
  </w:endnote>
  <w:endnote w:type="continuationNotice" w:id="1">
    <w:p w:rsidR="003C6E73" w:rsidRDefault="003C6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6A" w:rsidRDefault="003C6E73">
    <w:pPr>
      <w:pStyle w:val="a5"/>
      <w:jc w:val="right"/>
    </w:pPr>
    <w:r>
      <w:fldChar w:fldCharType="begin"/>
    </w:r>
    <w:r>
      <w:instrText xml:space="preserve"> PAGE   \* MERGEFORMAT </w:instrText>
    </w:r>
    <w:r>
      <w:fldChar w:fldCharType="separate"/>
    </w:r>
    <w:r w:rsidR="007E7091">
      <w:rPr>
        <w:noProof/>
      </w:rPr>
      <w:t>2</w:t>
    </w:r>
    <w:r>
      <w:rPr>
        <w:noProof/>
      </w:rPr>
      <w:fldChar w:fldCharType="end"/>
    </w:r>
  </w:p>
  <w:p w:rsidR="002A11DF" w:rsidRDefault="002A11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73" w:rsidRDefault="003C6E73" w:rsidP="00CD32B2">
      <w:pPr>
        <w:spacing w:after="0" w:line="240" w:lineRule="auto"/>
      </w:pPr>
      <w:r>
        <w:separator/>
      </w:r>
    </w:p>
  </w:footnote>
  <w:footnote w:type="continuationSeparator" w:id="0">
    <w:p w:rsidR="003C6E73" w:rsidRDefault="003C6E73" w:rsidP="00CD32B2">
      <w:pPr>
        <w:spacing w:after="0" w:line="240" w:lineRule="auto"/>
      </w:pPr>
      <w:r>
        <w:continuationSeparator/>
      </w:r>
    </w:p>
  </w:footnote>
  <w:footnote w:type="continuationNotice" w:id="1">
    <w:p w:rsidR="003C6E73" w:rsidRDefault="003C6E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97" w:rsidRPr="00AC1E02" w:rsidRDefault="004D4497" w:rsidP="00CD32B2">
    <w:pPr>
      <w:pStyle w:val="a4"/>
      <w:jc w:val="right"/>
      <w:rPr>
        <w:rFonts w:ascii="Times New Roman" w:hAnsi="Times New Roman"/>
        <w:sz w:val="18"/>
        <w:szCs w:val="18"/>
        <w:lang w:val="en-GB"/>
      </w:rPr>
    </w:pPr>
    <w:r>
      <w:rPr>
        <w:lang w:val="en-GB"/>
      </w:rPr>
      <w:tab/>
    </w:r>
    <w:r>
      <w:rPr>
        <w:lang w:val="en-GB"/>
      </w:rPr>
      <w:tab/>
    </w:r>
    <w:r w:rsidRPr="00CD32B2">
      <w:rPr>
        <w:rFonts w:ascii="Times New Roman" w:hAnsi="Times New Roman"/>
        <w:sz w:val="18"/>
        <w:szCs w:val="18"/>
      </w:rPr>
      <w:t>SPCrostabCY1</w:t>
    </w:r>
    <w:r w:rsidR="00E27E10">
      <w:rPr>
        <w:rFonts w:ascii="Times New Roman" w:hAnsi="Times New Roman"/>
        <w:sz w:val="18"/>
        <w:szCs w:val="18"/>
      </w:rPr>
      <w:t>.</w:t>
    </w:r>
    <w:r w:rsidR="00227C20">
      <w:rPr>
        <w:rFonts w:ascii="Times New Roman" w:hAnsi="Times New Roman"/>
        <w:sz w:val="18"/>
        <w:szCs w:val="18"/>
        <w:lang w:val="en-GB"/>
      </w:rPr>
      <w:t>3</w:t>
    </w:r>
  </w:p>
  <w:p w:rsidR="004D4497" w:rsidRPr="00CD32B2" w:rsidRDefault="004D4497">
    <w:pPr>
      <w:pStyle w:val="a4"/>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B01343C"/>
    <w:multiLevelType w:val="hybridMultilevel"/>
    <w:tmpl w:val="1CA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A228A"/>
    <w:multiLevelType w:val="multilevel"/>
    <w:tmpl w:val="894CC6E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6C07ADC"/>
    <w:multiLevelType w:val="hybridMultilevel"/>
    <w:tmpl w:val="232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C41D7"/>
    <w:multiLevelType w:val="multilevel"/>
    <w:tmpl w:val="2DF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A"/>
    <w:rsid w:val="00004699"/>
    <w:rsid w:val="0001321C"/>
    <w:rsid w:val="00015AB2"/>
    <w:rsid w:val="00016069"/>
    <w:rsid w:val="00016DAF"/>
    <w:rsid w:val="000208E2"/>
    <w:rsid w:val="00021DB8"/>
    <w:rsid w:val="00023710"/>
    <w:rsid w:val="000267E9"/>
    <w:rsid w:val="00030BAF"/>
    <w:rsid w:val="00050203"/>
    <w:rsid w:val="00052E35"/>
    <w:rsid w:val="00067B72"/>
    <w:rsid w:val="00070747"/>
    <w:rsid w:val="0007157A"/>
    <w:rsid w:val="00072AC1"/>
    <w:rsid w:val="00075A8C"/>
    <w:rsid w:val="00077A26"/>
    <w:rsid w:val="00084A5E"/>
    <w:rsid w:val="00094076"/>
    <w:rsid w:val="000963C2"/>
    <w:rsid w:val="000A7F13"/>
    <w:rsid w:val="000B247D"/>
    <w:rsid w:val="000C464C"/>
    <w:rsid w:val="000D51C3"/>
    <w:rsid w:val="000D616B"/>
    <w:rsid w:val="000E1F16"/>
    <w:rsid w:val="000F0A76"/>
    <w:rsid w:val="001062D6"/>
    <w:rsid w:val="001073E5"/>
    <w:rsid w:val="00110551"/>
    <w:rsid w:val="00127266"/>
    <w:rsid w:val="0013043A"/>
    <w:rsid w:val="001309B0"/>
    <w:rsid w:val="00130E20"/>
    <w:rsid w:val="00136D3E"/>
    <w:rsid w:val="001431BA"/>
    <w:rsid w:val="00150F14"/>
    <w:rsid w:val="001642EB"/>
    <w:rsid w:val="0016453E"/>
    <w:rsid w:val="001645A2"/>
    <w:rsid w:val="00164A73"/>
    <w:rsid w:val="00172193"/>
    <w:rsid w:val="00174DA3"/>
    <w:rsid w:val="001800F0"/>
    <w:rsid w:val="001931E0"/>
    <w:rsid w:val="001959EC"/>
    <w:rsid w:val="00195A54"/>
    <w:rsid w:val="00197DC3"/>
    <w:rsid w:val="001B31F4"/>
    <w:rsid w:val="001B3A53"/>
    <w:rsid w:val="001B4D10"/>
    <w:rsid w:val="001B5993"/>
    <w:rsid w:val="001B6B93"/>
    <w:rsid w:val="001C0FC4"/>
    <w:rsid w:val="001D2048"/>
    <w:rsid w:val="001D42DE"/>
    <w:rsid w:val="001D472F"/>
    <w:rsid w:val="001D4A1C"/>
    <w:rsid w:val="001D77DE"/>
    <w:rsid w:val="001E001D"/>
    <w:rsid w:val="001E13BF"/>
    <w:rsid w:val="001E30AA"/>
    <w:rsid w:val="001F3F35"/>
    <w:rsid w:val="002078B0"/>
    <w:rsid w:val="002120DD"/>
    <w:rsid w:val="00216FE2"/>
    <w:rsid w:val="002238D4"/>
    <w:rsid w:val="00224ABE"/>
    <w:rsid w:val="00227C20"/>
    <w:rsid w:val="002342A0"/>
    <w:rsid w:val="00241521"/>
    <w:rsid w:val="00244FB9"/>
    <w:rsid w:val="002452DE"/>
    <w:rsid w:val="00246850"/>
    <w:rsid w:val="0026637F"/>
    <w:rsid w:val="002703D9"/>
    <w:rsid w:val="002862B9"/>
    <w:rsid w:val="002868A1"/>
    <w:rsid w:val="00291802"/>
    <w:rsid w:val="002A11DF"/>
    <w:rsid w:val="002A1C0B"/>
    <w:rsid w:val="002A6A0C"/>
    <w:rsid w:val="002B147A"/>
    <w:rsid w:val="002B266D"/>
    <w:rsid w:val="002D1B4F"/>
    <w:rsid w:val="002D2115"/>
    <w:rsid w:val="002D3890"/>
    <w:rsid w:val="002D4309"/>
    <w:rsid w:val="002D6225"/>
    <w:rsid w:val="002E0B64"/>
    <w:rsid w:val="002E1169"/>
    <w:rsid w:val="002E243F"/>
    <w:rsid w:val="002E67FC"/>
    <w:rsid w:val="002E77B8"/>
    <w:rsid w:val="002F0FCE"/>
    <w:rsid w:val="00310ABB"/>
    <w:rsid w:val="00312929"/>
    <w:rsid w:val="003170C4"/>
    <w:rsid w:val="003264E2"/>
    <w:rsid w:val="0033086B"/>
    <w:rsid w:val="00332221"/>
    <w:rsid w:val="003378CD"/>
    <w:rsid w:val="00342597"/>
    <w:rsid w:val="00353698"/>
    <w:rsid w:val="00364AB5"/>
    <w:rsid w:val="003651C1"/>
    <w:rsid w:val="00367C83"/>
    <w:rsid w:val="00370662"/>
    <w:rsid w:val="00374037"/>
    <w:rsid w:val="00377AEE"/>
    <w:rsid w:val="00384251"/>
    <w:rsid w:val="00385E2C"/>
    <w:rsid w:val="00391031"/>
    <w:rsid w:val="00393411"/>
    <w:rsid w:val="003A0F4E"/>
    <w:rsid w:val="003B0811"/>
    <w:rsid w:val="003B12ED"/>
    <w:rsid w:val="003B3D4D"/>
    <w:rsid w:val="003B46CD"/>
    <w:rsid w:val="003B5224"/>
    <w:rsid w:val="003B6EB2"/>
    <w:rsid w:val="003C6E73"/>
    <w:rsid w:val="003D19DA"/>
    <w:rsid w:val="003E5476"/>
    <w:rsid w:val="003F1A19"/>
    <w:rsid w:val="00404FEE"/>
    <w:rsid w:val="004058BC"/>
    <w:rsid w:val="00406284"/>
    <w:rsid w:val="00407C7F"/>
    <w:rsid w:val="004123B1"/>
    <w:rsid w:val="0041286F"/>
    <w:rsid w:val="00415D2A"/>
    <w:rsid w:val="00421B97"/>
    <w:rsid w:val="00426846"/>
    <w:rsid w:val="00435E04"/>
    <w:rsid w:val="00441FFA"/>
    <w:rsid w:val="00442ACD"/>
    <w:rsid w:val="00457C85"/>
    <w:rsid w:val="0046682B"/>
    <w:rsid w:val="00466EA7"/>
    <w:rsid w:val="00470A3D"/>
    <w:rsid w:val="004818C0"/>
    <w:rsid w:val="00482234"/>
    <w:rsid w:val="00484884"/>
    <w:rsid w:val="00490ACC"/>
    <w:rsid w:val="004A3169"/>
    <w:rsid w:val="004A6080"/>
    <w:rsid w:val="004B0391"/>
    <w:rsid w:val="004B1E0A"/>
    <w:rsid w:val="004B24FC"/>
    <w:rsid w:val="004B2828"/>
    <w:rsid w:val="004B2B1E"/>
    <w:rsid w:val="004B34DE"/>
    <w:rsid w:val="004B6605"/>
    <w:rsid w:val="004C09E7"/>
    <w:rsid w:val="004C7928"/>
    <w:rsid w:val="004D4497"/>
    <w:rsid w:val="004D68F3"/>
    <w:rsid w:val="004D7958"/>
    <w:rsid w:val="004E2D2D"/>
    <w:rsid w:val="004E444F"/>
    <w:rsid w:val="004E55FB"/>
    <w:rsid w:val="004F19E9"/>
    <w:rsid w:val="004F3121"/>
    <w:rsid w:val="004F7CC3"/>
    <w:rsid w:val="005042CD"/>
    <w:rsid w:val="005132C7"/>
    <w:rsid w:val="00517F1F"/>
    <w:rsid w:val="00520ECD"/>
    <w:rsid w:val="0052327D"/>
    <w:rsid w:val="0052744B"/>
    <w:rsid w:val="00533BF3"/>
    <w:rsid w:val="00543309"/>
    <w:rsid w:val="00545A84"/>
    <w:rsid w:val="00561031"/>
    <w:rsid w:val="005636C5"/>
    <w:rsid w:val="005662D1"/>
    <w:rsid w:val="00573D3F"/>
    <w:rsid w:val="00574797"/>
    <w:rsid w:val="00575FFF"/>
    <w:rsid w:val="00586A85"/>
    <w:rsid w:val="005A3754"/>
    <w:rsid w:val="005A6BBF"/>
    <w:rsid w:val="005C63E4"/>
    <w:rsid w:val="005D0C38"/>
    <w:rsid w:val="005D6E98"/>
    <w:rsid w:val="005E2169"/>
    <w:rsid w:val="005E4784"/>
    <w:rsid w:val="005F0B61"/>
    <w:rsid w:val="005F0D84"/>
    <w:rsid w:val="005F5271"/>
    <w:rsid w:val="005F5D57"/>
    <w:rsid w:val="005F7F85"/>
    <w:rsid w:val="00602D74"/>
    <w:rsid w:val="0061326E"/>
    <w:rsid w:val="00613716"/>
    <w:rsid w:val="00616579"/>
    <w:rsid w:val="00620620"/>
    <w:rsid w:val="00625084"/>
    <w:rsid w:val="00627510"/>
    <w:rsid w:val="006318DA"/>
    <w:rsid w:val="00635CDD"/>
    <w:rsid w:val="00637832"/>
    <w:rsid w:val="00641882"/>
    <w:rsid w:val="00641962"/>
    <w:rsid w:val="0065511D"/>
    <w:rsid w:val="00655DFE"/>
    <w:rsid w:val="006700B8"/>
    <w:rsid w:val="0067222A"/>
    <w:rsid w:val="00675C26"/>
    <w:rsid w:val="006763D2"/>
    <w:rsid w:val="00681E91"/>
    <w:rsid w:val="00685D93"/>
    <w:rsid w:val="00686554"/>
    <w:rsid w:val="00686621"/>
    <w:rsid w:val="006871B1"/>
    <w:rsid w:val="00691192"/>
    <w:rsid w:val="00694556"/>
    <w:rsid w:val="00694B46"/>
    <w:rsid w:val="00697010"/>
    <w:rsid w:val="00697A7F"/>
    <w:rsid w:val="006A136A"/>
    <w:rsid w:val="006A5B29"/>
    <w:rsid w:val="006A5CD9"/>
    <w:rsid w:val="006A6F59"/>
    <w:rsid w:val="006B0287"/>
    <w:rsid w:val="006B4F81"/>
    <w:rsid w:val="006C3180"/>
    <w:rsid w:val="006D5206"/>
    <w:rsid w:val="006E32AB"/>
    <w:rsid w:val="006F6604"/>
    <w:rsid w:val="00703A7D"/>
    <w:rsid w:val="00704AA8"/>
    <w:rsid w:val="00704C7F"/>
    <w:rsid w:val="00717BF0"/>
    <w:rsid w:val="00721521"/>
    <w:rsid w:val="007234CC"/>
    <w:rsid w:val="00726182"/>
    <w:rsid w:val="007265B4"/>
    <w:rsid w:val="00727D38"/>
    <w:rsid w:val="00730386"/>
    <w:rsid w:val="00730771"/>
    <w:rsid w:val="00730D59"/>
    <w:rsid w:val="00732D3D"/>
    <w:rsid w:val="00733670"/>
    <w:rsid w:val="007424E0"/>
    <w:rsid w:val="0074260D"/>
    <w:rsid w:val="007519FF"/>
    <w:rsid w:val="00761CBE"/>
    <w:rsid w:val="007622DA"/>
    <w:rsid w:val="0076331E"/>
    <w:rsid w:val="007731A7"/>
    <w:rsid w:val="007829A1"/>
    <w:rsid w:val="00785B5C"/>
    <w:rsid w:val="00793DBB"/>
    <w:rsid w:val="00796460"/>
    <w:rsid w:val="007A2FA7"/>
    <w:rsid w:val="007A406F"/>
    <w:rsid w:val="007B2701"/>
    <w:rsid w:val="007B48A8"/>
    <w:rsid w:val="007C032F"/>
    <w:rsid w:val="007C42EA"/>
    <w:rsid w:val="007C517B"/>
    <w:rsid w:val="007D1DDB"/>
    <w:rsid w:val="007D287D"/>
    <w:rsid w:val="007D3021"/>
    <w:rsid w:val="007D6602"/>
    <w:rsid w:val="007E0711"/>
    <w:rsid w:val="007E0880"/>
    <w:rsid w:val="007E7091"/>
    <w:rsid w:val="007E7FA8"/>
    <w:rsid w:val="007F3901"/>
    <w:rsid w:val="007F4545"/>
    <w:rsid w:val="00821201"/>
    <w:rsid w:val="00830982"/>
    <w:rsid w:val="0083477A"/>
    <w:rsid w:val="00836F60"/>
    <w:rsid w:val="0084778E"/>
    <w:rsid w:val="00852DE2"/>
    <w:rsid w:val="00852F13"/>
    <w:rsid w:val="00855012"/>
    <w:rsid w:val="00860F72"/>
    <w:rsid w:val="008711CB"/>
    <w:rsid w:val="008739B6"/>
    <w:rsid w:val="008762D7"/>
    <w:rsid w:val="00884BE4"/>
    <w:rsid w:val="0089137F"/>
    <w:rsid w:val="00897650"/>
    <w:rsid w:val="008A2891"/>
    <w:rsid w:val="008A53E9"/>
    <w:rsid w:val="008A60CF"/>
    <w:rsid w:val="008C5D84"/>
    <w:rsid w:val="008D03DA"/>
    <w:rsid w:val="008F44FE"/>
    <w:rsid w:val="009076A8"/>
    <w:rsid w:val="00910A99"/>
    <w:rsid w:val="009119C7"/>
    <w:rsid w:val="00912016"/>
    <w:rsid w:val="00916377"/>
    <w:rsid w:val="009309EF"/>
    <w:rsid w:val="00935901"/>
    <w:rsid w:val="00936685"/>
    <w:rsid w:val="009401AC"/>
    <w:rsid w:val="00940C2A"/>
    <w:rsid w:val="00944FF1"/>
    <w:rsid w:val="009511D8"/>
    <w:rsid w:val="009538BE"/>
    <w:rsid w:val="0095522D"/>
    <w:rsid w:val="00960257"/>
    <w:rsid w:val="00964C33"/>
    <w:rsid w:val="00966515"/>
    <w:rsid w:val="00976824"/>
    <w:rsid w:val="009835A6"/>
    <w:rsid w:val="00990895"/>
    <w:rsid w:val="00991775"/>
    <w:rsid w:val="009928A7"/>
    <w:rsid w:val="00993B7D"/>
    <w:rsid w:val="00995667"/>
    <w:rsid w:val="009A0A64"/>
    <w:rsid w:val="009B0815"/>
    <w:rsid w:val="009C1B5F"/>
    <w:rsid w:val="009E2558"/>
    <w:rsid w:val="009E3F54"/>
    <w:rsid w:val="009F706C"/>
    <w:rsid w:val="00A01697"/>
    <w:rsid w:val="00A03F67"/>
    <w:rsid w:val="00A17CCA"/>
    <w:rsid w:val="00A25861"/>
    <w:rsid w:val="00A376A3"/>
    <w:rsid w:val="00A40B70"/>
    <w:rsid w:val="00A418D7"/>
    <w:rsid w:val="00A42101"/>
    <w:rsid w:val="00A4365C"/>
    <w:rsid w:val="00A50549"/>
    <w:rsid w:val="00A50B86"/>
    <w:rsid w:val="00A53C2B"/>
    <w:rsid w:val="00A53ED7"/>
    <w:rsid w:val="00A602E9"/>
    <w:rsid w:val="00A603F9"/>
    <w:rsid w:val="00A611EC"/>
    <w:rsid w:val="00A62EB9"/>
    <w:rsid w:val="00A72145"/>
    <w:rsid w:val="00A76596"/>
    <w:rsid w:val="00A905D4"/>
    <w:rsid w:val="00A92C0F"/>
    <w:rsid w:val="00A9777F"/>
    <w:rsid w:val="00AA1333"/>
    <w:rsid w:val="00AA5076"/>
    <w:rsid w:val="00AB1732"/>
    <w:rsid w:val="00AB51E2"/>
    <w:rsid w:val="00AC1E02"/>
    <w:rsid w:val="00AC7A12"/>
    <w:rsid w:val="00AE4A8B"/>
    <w:rsid w:val="00AF1502"/>
    <w:rsid w:val="00AF1C71"/>
    <w:rsid w:val="00B12053"/>
    <w:rsid w:val="00B14B3E"/>
    <w:rsid w:val="00B172F2"/>
    <w:rsid w:val="00B21EC3"/>
    <w:rsid w:val="00B22EF2"/>
    <w:rsid w:val="00B31273"/>
    <w:rsid w:val="00B40B80"/>
    <w:rsid w:val="00B44780"/>
    <w:rsid w:val="00B524C6"/>
    <w:rsid w:val="00B52EC0"/>
    <w:rsid w:val="00B54C7D"/>
    <w:rsid w:val="00B5660F"/>
    <w:rsid w:val="00B568D4"/>
    <w:rsid w:val="00B62284"/>
    <w:rsid w:val="00B62842"/>
    <w:rsid w:val="00B62F60"/>
    <w:rsid w:val="00B7135B"/>
    <w:rsid w:val="00B7480F"/>
    <w:rsid w:val="00B762AA"/>
    <w:rsid w:val="00B80C7D"/>
    <w:rsid w:val="00B82C01"/>
    <w:rsid w:val="00B8735C"/>
    <w:rsid w:val="00B91457"/>
    <w:rsid w:val="00B91FCE"/>
    <w:rsid w:val="00B93901"/>
    <w:rsid w:val="00B9556A"/>
    <w:rsid w:val="00B9666D"/>
    <w:rsid w:val="00BA1E78"/>
    <w:rsid w:val="00BA6F06"/>
    <w:rsid w:val="00BC35FB"/>
    <w:rsid w:val="00BD5991"/>
    <w:rsid w:val="00BD6CC4"/>
    <w:rsid w:val="00BE7082"/>
    <w:rsid w:val="00BF33E3"/>
    <w:rsid w:val="00C019E5"/>
    <w:rsid w:val="00C030BE"/>
    <w:rsid w:val="00C031B4"/>
    <w:rsid w:val="00C07732"/>
    <w:rsid w:val="00C16996"/>
    <w:rsid w:val="00C21D49"/>
    <w:rsid w:val="00C31497"/>
    <w:rsid w:val="00C347D6"/>
    <w:rsid w:val="00C4574A"/>
    <w:rsid w:val="00C46FF8"/>
    <w:rsid w:val="00C472FE"/>
    <w:rsid w:val="00C516F9"/>
    <w:rsid w:val="00C566B4"/>
    <w:rsid w:val="00C62BC4"/>
    <w:rsid w:val="00C6363B"/>
    <w:rsid w:val="00C641C1"/>
    <w:rsid w:val="00C713D9"/>
    <w:rsid w:val="00C71CDC"/>
    <w:rsid w:val="00C811FC"/>
    <w:rsid w:val="00C91FA1"/>
    <w:rsid w:val="00CA46F3"/>
    <w:rsid w:val="00CA605B"/>
    <w:rsid w:val="00CB1693"/>
    <w:rsid w:val="00CB2AE6"/>
    <w:rsid w:val="00CB4761"/>
    <w:rsid w:val="00CC14ED"/>
    <w:rsid w:val="00CC2D5F"/>
    <w:rsid w:val="00CC4A08"/>
    <w:rsid w:val="00CC6662"/>
    <w:rsid w:val="00CD1610"/>
    <w:rsid w:val="00CD32B2"/>
    <w:rsid w:val="00CD38C4"/>
    <w:rsid w:val="00CD5495"/>
    <w:rsid w:val="00CD5874"/>
    <w:rsid w:val="00CD7A36"/>
    <w:rsid w:val="00CE1758"/>
    <w:rsid w:val="00CE2BAD"/>
    <w:rsid w:val="00CF234B"/>
    <w:rsid w:val="00CF7A91"/>
    <w:rsid w:val="00D135BC"/>
    <w:rsid w:val="00D221C3"/>
    <w:rsid w:val="00D326C0"/>
    <w:rsid w:val="00D330AE"/>
    <w:rsid w:val="00D35032"/>
    <w:rsid w:val="00D363EB"/>
    <w:rsid w:val="00D40F6F"/>
    <w:rsid w:val="00D42683"/>
    <w:rsid w:val="00D51438"/>
    <w:rsid w:val="00D740E2"/>
    <w:rsid w:val="00D864EB"/>
    <w:rsid w:val="00D9259A"/>
    <w:rsid w:val="00D955E8"/>
    <w:rsid w:val="00DA3AB1"/>
    <w:rsid w:val="00DA5053"/>
    <w:rsid w:val="00DA5DFD"/>
    <w:rsid w:val="00DA6388"/>
    <w:rsid w:val="00DB7076"/>
    <w:rsid w:val="00DC0E05"/>
    <w:rsid w:val="00DC453F"/>
    <w:rsid w:val="00DC4C84"/>
    <w:rsid w:val="00DC6EAF"/>
    <w:rsid w:val="00DD3394"/>
    <w:rsid w:val="00DE47FD"/>
    <w:rsid w:val="00DE6C13"/>
    <w:rsid w:val="00DF116C"/>
    <w:rsid w:val="00DF3BDD"/>
    <w:rsid w:val="00DF3DDD"/>
    <w:rsid w:val="00DF5CE4"/>
    <w:rsid w:val="00E021E1"/>
    <w:rsid w:val="00E07F28"/>
    <w:rsid w:val="00E10A1D"/>
    <w:rsid w:val="00E123B5"/>
    <w:rsid w:val="00E20514"/>
    <w:rsid w:val="00E2484A"/>
    <w:rsid w:val="00E257A2"/>
    <w:rsid w:val="00E273A6"/>
    <w:rsid w:val="00E27DA7"/>
    <w:rsid w:val="00E27E10"/>
    <w:rsid w:val="00E32D87"/>
    <w:rsid w:val="00E3390E"/>
    <w:rsid w:val="00E369EF"/>
    <w:rsid w:val="00E400A5"/>
    <w:rsid w:val="00E43D7C"/>
    <w:rsid w:val="00E45D0C"/>
    <w:rsid w:val="00E4686A"/>
    <w:rsid w:val="00E5296D"/>
    <w:rsid w:val="00E57B1B"/>
    <w:rsid w:val="00E609DE"/>
    <w:rsid w:val="00E72291"/>
    <w:rsid w:val="00E81292"/>
    <w:rsid w:val="00E874E5"/>
    <w:rsid w:val="00E904C6"/>
    <w:rsid w:val="00E95080"/>
    <w:rsid w:val="00E971F2"/>
    <w:rsid w:val="00EA6C4D"/>
    <w:rsid w:val="00EB2A6D"/>
    <w:rsid w:val="00EB3635"/>
    <w:rsid w:val="00EB6563"/>
    <w:rsid w:val="00EC0068"/>
    <w:rsid w:val="00EC0181"/>
    <w:rsid w:val="00EC20C8"/>
    <w:rsid w:val="00EC7533"/>
    <w:rsid w:val="00EE172A"/>
    <w:rsid w:val="00EE3A25"/>
    <w:rsid w:val="00EF192E"/>
    <w:rsid w:val="00EF2F6B"/>
    <w:rsid w:val="00EF34E3"/>
    <w:rsid w:val="00F00ABC"/>
    <w:rsid w:val="00F03A86"/>
    <w:rsid w:val="00F03C6D"/>
    <w:rsid w:val="00F16B15"/>
    <w:rsid w:val="00F27C04"/>
    <w:rsid w:val="00F302B9"/>
    <w:rsid w:val="00F33D5C"/>
    <w:rsid w:val="00F36664"/>
    <w:rsid w:val="00F42ACB"/>
    <w:rsid w:val="00F43CA2"/>
    <w:rsid w:val="00F465A9"/>
    <w:rsid w:val="00F46C29"/>
    <w:rsid w:val="00F478B7"/>
    <w:rsid w:val="00F50398"/>
    <w:rsid w:val="00F50C4C"/>
    <w:rsid w:val="00F547E0"/>
    <w:rsid w:val="00F54F78"/>
    <w:rsid w:val="00F56FCB"/>
    <w:rsid w:val="00F63A99"/>
    <w:rsid w:val="00F6493B"/>
    <w:rsid w:val="00F657BE"/>
    <w:rsid w:val="00F66106"/>
    <w:rsid w:val="00F717DF"/>
    <w:rsid w:val="00F83F1E"/>
    <w:rsid w:val="00F9224E"/>
    <w:rsid w:val="00F9371A"/>
    <w:rsid w:val="00F945C0"/>
    <w:rsid w:val="00F94911"/>
    <w:rsid w:val="00F9622D"/>
    <w:rsid w:val="00F96D0F"/>
    <w:rsid w:val="00FA3F77"/>
    <w:rsid w:val="00FA5B20"/>
    <w:rsid w:val="00FB2EC5"/>
    <w:rsid w:val="00FB5EBD"/>
    <w:rsid w:val="00FB642B"/>
    <w:rsid w:val="00FC0051"/>
    <w:rsid w:val="00FC0CF2"/>
    <w:rsid w:val="00FC6847"/>
    <w:rsid w:val="00FE2FB3"/>
    <w:rsid w:val="00FE7D2D"/>
    <w:rsid w:val="00FF3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D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574A"/>
    <w:pPr>
      <w:spacing w:before="100" w:beforeAutospacing="1" w:after="75" w:line="240" w:lineRule="auto"/>
    </w:pPr>
    <w:rPr>
      <w:rFonts w:ascii="Times New Roman" w:eastAsia="Times New Roman" w:hAnsi="Times New Roman"/>
      <w:color w:val="000000"/>
      <w:sz w:val="24"/>
      <w:szCs w:val="24"/>
    </w:rPr>
  </w:style>
  <w:style w:type="paragraph" w:styleId="a3">
    <w:name w:val="List Paragraph"/>
    <w:basedOn w:val="a"/>
    <w:uiPriority w:val="34"/>
    <w:qFormat/>
    <w:rsid w:val="005F0B61"/>
    <w:pPr>
      <w:ind w:left="720"/>
      <w:contextualSpacing/>
    </w:pPr>
  </w:style>
  <w:style w:type="paragraph" w:styleId="a4">
    <w:name w:val="header"/>
    <w:basedOn w:val="a"/>
    <w:link w:val="Char"/>
    <w:unhideWhenUsed/>
    <w:rsid w:val="00CD32B2"/>
    <w:pPr>
      <w:tabs>
        <w:tab w:val="center" w:pos="4536"/>
        <w:tab w:val="right" w:pos="9072"/>
      </w:tabs>
    </w:pPr>
  </w:style>
  <w:style w:type="character" w:customStyle="1" w:styleId="Char">
    <w:name w:val="Κεφαλίδα Char"/>
    <w:link w:val="a4"/>
    <w:rsid w:val="00CD32B2"/>
    <w:rPr>
      <w:sz w:val="22"/>
      <w:szCs w:val="22"/>
    </w:rPr>
  </w:style>
  <w:style w:type="paragraph" w:styleId="a5">
    <w:name w:val="footer"/>
    <w:basedOn w:val="a"/>
    <w:link w:val="Char0"/>
    <w:uiPriority w:val="99"/>
    <w:unhideWhenUsed/>
    <w:rsid w:val="00CD32B2"/>
    <w:pPr>
      <w:tabs>
        <w:tab w:val="center" w:pos="4536"/>
        <w:tab w:val="right" w:pos="9072"/>
      </w:tabs>
    </w:pPr>
  </w:style>
  <w:style w:type="character" w:customStyle="1" w:styleId="Char0">
    <w:name w:val="Υποσέλιδο Char"/>
    <w:link w:val="a5"/>
    <w:uiPriority w:val="99"/>
    <w:rsid w:val="00CD32B2"/>
    <w:rPr>
      <w:sz w:val="22"/>
      <w:szCs w:val="22"/>
    </w:rPr>
  </w:style>
  <w:style w:type="paragraph" w:styleId="a6">
    <w:name w:val="Balloon Text"/>
    <w:basedOn w:val="a"/>
    <w:semiHidden/>
    <w:rsid w:val="00B21EC3"/>
    <w:rPr>
      <w:rFonts w:ascii="Tahoma" w:hAnsi="Tahoma" w:cs="Tahoma"/>
      <w:sz w:val="16"/>
      <w:szCs w:val="16"/>
    </w:rPr>
  </w:style>
  <w:style w:type="character" w:styleId="a7">
    <w:name w:val="annotation reference"/>
    <w:uiPriority w:val="99"/>
    <w:semiHidden/>
    <w:unhideWhenUsed/>
    <w:rsid w:val="00860F72"/>
    <w:rPr>
      <w:sz w:val="16"/>
      <w:szCs w:val="16"/>
    </w:rPr>
  </w:style>
  <w:style w:type="paragraph" w:styleId="a8">
    <w:name w:val="annotation text"/>
    <w:basedOn w:val="a"/>
    <w:link w:val="Char1"/>
    <w:uiPriority w:val="99"/>
    <w:semiHidden/>
    <w:unhideWhenUsed/>
    <w:rsid w:val="00860F72"/>
    <w:rPr>
      <w:sz w:val="20"/>
      <w:szCs w:val="20"/>
    </w:rPr>
  </w:style>
  <w:style w:type="character" w:customStyle="1" w:styleId="Char1">
    <w:name w:val="Κείμενο σχολίου Char"/>
    <w:link w:val="a8"/>
    <w:uiPriority w:val="99"/>
    <w:semiHidden/>
    <w:rsid w:val="00860F72"/>
    <w:rPr>
      <w:lang w:val="en-US" w:eastAsia="en-US"/>
    </w:rPr>
  </w:style>
  <w:style w:type="paragraph" w:styleId="a9">
    <w:name w:val="annotation subject"/>
    <w:basedOn w:val="a8"/>
    <w:next w:val="a8"/>
    <w:link w:val="Char2"/>
    <w:uiPriority w:val="99"/>
    <w:semiHidden/>
    <w:unhideWhenUsed/>
    <w:rsid w:val="00860F72"/>
    <w:rPr>
      <w:b/>
      <w:bCs/>
    </w:rPr>
  </w:style>
  <w:style w:type="character" w:customStyle="1" w:styleId="Char2">
    <w:name w:val="Θέμα σχολίου Char"/>
    <w:link w:val="a9"/>
    <w:uiPriority w:val="99"/>
    <w:semiHidden/>
    <w:rsid w:val="00860F7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D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574A"/>
    <w:pPr>
      <w:spacing w:before="100" w:beforeAutospacing="1" w:after="75" w:line="240" w:lineRule="auto"/>
    </w:pPr>
    <w:rPr>
      <w:rFonts w:ascii="Times New Roman" w:eastAsia="Times New Roman" w:hAnsi="Times New Roman"/>
      <w:color w:val="000000"/>
      <w:sz w:val="24"/>
      <w:szCs w:val="24"/>
    </w:rPr>
  </w:style>
  <w:style w:type="paragraph" w:styleId="a3">
    <w:name w:val="List Paragraph"/>
    <w:basedOn w:val="a"/>
    <w:uiPriority w:val="34"/>
    <w:qFormat/>
    <w:rsid w:val="005F0B61"/>
    <w:pPr>
      <w:ind w:left="720"/>
      <w:contextualSpacing/>
    </w:pPr>
  </w:style>
  <w:style w:type="paragraph" w:styleId="a4">
    <w:name w:val="header"/>
    <w:basedOn w:val="a"/>
    <w:link w:val="Char"/>
    <w:unhideWhenUsed/>
    <w:rsid w:val="00CD32B2"/>
    <w:pPr>
      <w:tabs>
        <w:tab w:val="center" w:pos="4536"/>
        <w:tab w:val="right" w:pos="9072"/>
      </w:tabs>
    </w:pPr>
  </w:style>
  <w:style w:type="character" w:customStyle="1" w:styleId="Char">
    <w:name w:val="Κεφαλίδα Char"/>
    <w:link w:val="a4"/>
    <w:rsid w:val="00CD32B2"/>
    <w:rPr>
      <w:sz w:val="22"/>
      <w:szCs w:val="22"/>
    </w:rPr>
  </w:style>
  <w:style w:type="paragraph" w:styleId="a5">
    <w:name w:val="footer"/>
    <w:basedOn w:val="a"/>
    <w:link w:val="Char0"/>
    <w:uiPriority w:val="99"/>
    <w:unhideWhenUsed/>
    <w:rsid w:val="00CD32B2"/>
    <w:pPr>
      <w:tabs>
        <w:tab w:val="center" w:pos="4536"/>
        <w:tab w:val="right" w:pos="9072"/>
      </w:tabs>
    </w:pPr>
  </w:style>
  <w:style w:type="character" w:customStyle="1" w:styleId="Char0">
    <w:name w:val="Υποσέλιδο Char"/>
    <w:link w:val="a5"/>
    <w:uiPriority w:val="99"/>
    <w:rsid w:val="00CD32B2"/>
    <w:rPr>
      <w:sz w:val="22"/>
      <w:szCs w:val="22"/>
    </w:rPr>
  </w:style>
  <w:style w:type="paragraph" w:styleId="a6">
    <w:name w:val="Balloon Text"/>
    <w:basedOn w:val="a"/>
    <w:semiHidden/>
    <w:rsid w:val="00B21EC3"/>
    <w:rPr>
      <w:rFonts w:ascii="Tahoma" w:hAnsi="Tahoma" w:cs="Tahoma"/>
      <w:sz w:val="16"/>
      <w:szCs w:val="16"/>
    </w:rPr>
  </w:style>
  <w:style w:type="character" w:styleId="a7">
    <w:name w:val="annotation reference"/>
    <w:uiPriority w:val="99"/>
    <w:semiHidden/>
    <w:unhideWhenUsed/>
    <w:rsid w:val="00860F72"/>
    <w:rPr>
      <w:sz w:val="16"/>
      <w:szCs w:val="16"/>
    </w:rPr>
  </w:style>
  <w:style w:type="paragraph" w:styleId="a8">
    <w:name w:val="annotation text"/>
    <w:basedOn w:val="a"/>
    <w:link w:val="Char1"/>
    <w:uiPriority w:val="99"/>
    <w:semiHidden/>
    <w:unhideWhenUsed/>
    <w:rsid w:val="00860F72"/>
    <w:rPr>
      <w:sz w:val="20"/>
      <w:szCs w:val="20"/>
    </w:rPr>
  </w:style>
  <w:style w:type="character" w:customStyle="1" w:styleId="Char1">
    <w:name w:val="Κείμενο σχολίου Char"/>
    <w:link w:val="a8"/>
    <w:uiPriority w:val="99"/>
    <w:semiHidden/>
    <w:rsid w:val="00860F72"/>
    <w:rPr>
      <w:lang w:val="en-US" w:eastAsia="en-US"/>
    </w:rPr>
  </w:style>
  <w:style w:type="paragraph" w:styleId="a9">
    <w:name w:val="annotation subject"/>
    <w:basedOn w:val="a8"/>
    <w:next w:val="a8"/>
    <w:link w:val="Char2"/>
    <w:uiPriority w:val="99"/>
    <w:semiHidden/>
    <w:unhideWhenUsed/>
    <w:rsid w:val="00860F72"/>
    <w:rPr>
      <w:b/>
      <w:bCs/>
    </w:rPr>
  </w:style>
  <w:style w:type="character" w:customStyle="1" w:styleId="Char2">
    <w:name w:val="Θέμα σχολίου Char"/>
    <w:link w:val="a9"/>
    <w:uiPriority w:val="99"/>
    <w:semiHidden/>
    <w:rsid w:val="00860F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289">
      <w:bodyDiv w:val="1"/>
      <w:marLeft w:val="0"/>
      <w:marRight w:val="0"/>
      <w:marTop w:val="0"/>
      <w:marBottom w:val="0"/>
      <w:divBdr>
        <w:top w:val="none" w:sz="0" w:space="0" w:color="auto"/>
        <w:left w:val="none" w:sz="0" w:space="0" w:color="auto"/>
        <w:bottom w:val="none" w:sz="0" w:space="0" w:color="auto"/>
        <w:right w:val="none" w:sz="0" w:space="0" w:color="auto"/>
      </w:divBdr>
    </w:div>
    <w:div w:id="174733303">
      <w:bodyDiv w:val="1"/>
      <w:marLeft w:val="0"/>
      <w:marRight w:val="0"/>
      <w:marTop w:val="0"/>
      <w:marBottom w:val="0"/>
      <w:divBdr>
        <w:top w:val="none" w:sz="0" w:space="0" w:color="auto"/>
        <w:left w:val="none" w:sz="0" w:space="0" w:color="auto"/>
        <w:bottom w:val="none" w:sz="0" w:space="0" w:color="auto"/>
        <w:right w:val="none" w:sz="0" w:space="0" w:color="auto"/>
      </w:divBdr>
      <w:divsChild>
        <w:div w:id="1320034396">
          <w:marLeft w:val="0"/>
          <w:marRight w:val="0"/>
          <w:marTop w:val="0"/>
          <w:marBottom w:val="0"/>
          <w:divBdr>
            <w:top w:val="none" w:sz="0" w:space="0" w:color="auto"/>
            <w:left w:val="none" w:sz="0" w:space="0" w:color="auto"/>
            <w:bottom w:val="none" w:sz="0" w:space="0" w:color="auto"/>
            <w:right w:val="none" w:sz="0" w:space="0" w:color="auto"/>
          </w:divBdr>
          <w:divsChild>
            <w:div w:id="360012748">
              <w:marLeft w:val="0"/>
              <w:marRight w:val="0"/>
              <w:marTop w:val="0"/>
              <w:marBottom w:val="0"/>
              <w:divBdr>
                <w:top w:val="none" w:sz="0" w:space="0" w:color="auto"/>
                <w:left w:val="none" w:sz="0" w:space="0" w:color="auto"/>
                <w:bottom w:val="none" w:sz="0" w:space="0" w:color="auto"/>
                <w:right w:val="none" w:sz="0" w:space="0" w:color="auto"/>
              </w:divBdr>
              <w:divsChild>
                <w:div w:id="1472596703">
                  <w:marLeft w:val="0"/>
                  <w:marRight w:val="0"/>
                  <w:marTop w:val="0"/>
                  <w:marBottom w:val="0"/>
                  <w:divBdr>
                    <w:top w:val="none" w:sz="0" w:space="0" w:color="auto"/>
                    <w:left w:val="none" w:sz="0" w:space="0" w:color="auto"/>
                    <w:bottom w:val="none" w:sz="0" w:space="0" w:color="auto"/>
                    <w:right w:val="none" w:sz="0" w:space="0" w:color="auto"/>
                  </w:divBdr>
                  <w:divsChild>
                    <w:div w:id="167838873">
                      <w:marLeft w:val="0"/>
                      <w:marRight w:val="0"/>
                      <w:marTop w:val="0"/>
                      <w:marBottom w:val="0"/>
                      <w:divBdr>
                        <w:top w:val="none" w:sz="0" w:space="0" w:color="auto"/>
                        <w:left w:val="none" w:sz="0" w:space="0" w:color="auto"/>
                        <w:bottom w:val="none" w:sz="0" w:space="0" w:color="auto"/>
                        <w:right w:val="none" w:sz="0" w:space="0" w:color="auto"/>
                      </w:divBdr>
                      <w:divsChild>
                        <w:div w:id="678699507">
                          <w:marLeft w:val="0"/>
                          <w:marRight w:val="0"/>
                          <w:marTop w:val="0"/>
                          <w:marBottom w:val="0"/>
                          <w:divBdr>
                            <w:top w:val="none" w:sz="0" w:space="0" w:color="auto"/>
                            <w:left w:val="none" w:sz="0" w:space="0" w:color="auto"/>
                            <w:bottom w:val="none" w:sz="0" w:space="0" w:color="auto"/>
                            <w:right w:val="none" w:sz="0" w:space="0" w:color="auto"/>
                          </w:divBdr>
                          <w:divsChild>
                            <w:div w:id="604117875">
                              <w:marLeft w:val="0"/>
                              <w:marRight w:val="0"/>
                              <w:marTop w:val="0"/>
                              <w:marBottom w:val="0"/>
                              <w:divBdr>
                                <w:top w:val="none" w:sz="0" w:space="0" w:color="auto"/>
                                <w:left w:val="none" w:sz="0" w:space="0" w:color="auto"/>
                                <w:bottom w:val="none" w:sz="0" w:space="0" w:color="auto"/>
                                <w:right w:val="none" w:sz="0" w:space="0" w:color="auto"/>
                              </w:divBdr>
                              <w:divsChild>
                                <w:div w:id="1331058315">
                                  <w:marLeft w:val="0"/>
                                  <w:marRight w:val="0"/>
                                  <w:marTop w:val="0"/>
                                  <w:marBottom w:val="0"/>
                                  <w:divBdr>
                                    <w:top w:val="none" w:sz="0" w:space="0" w:color="auto"/>
                                    <w:left w:val="none" w:sz="0" w:space="0" w:color="auto"/>
                                    <w:bottom w:val="none" w:sz="0" w:space="0" w:color="auto"/>
                                    <w:right w:val="none" w:sz="0" w:space="0" w:color="auto"/>
                                  </w:divBdr>
                                  <w:divsChild>
                                    <w:div w:id="876164662">
                                      <w:marLeft w:val="60"/>
                                      <w:marRight w:val="0"/>
                                      <w:marTop w:val="0"/>
                                      <w:marBottom w:val="0"/>
                                      <w:divBdr>
                                        <w:top w:val="none" w:sz="0" w:space="0" w:color="auto"/>
                                        <w:left w:val="none" w:sz="0" w:space="0" w:color="auto"/>
                                        <w:bottom w:val="none" w:sz="0" w:space="0" w:color="auto"/>
                                        <w:right w:val="none" w:sz="0" w:space="0" w:color="auto"/>
                                      </w:divBdr>
                                      <w:divsChild>
                                        <w:div w:id="1824395313">
                                          <w:marLeft w:val="0"/>
                                          <w:marRight w:val="0"/>
                                          <w:marTop w:val="0"/>
                                          <w:marBottom w:val="0"/>
                                          <w:divBdr>
                                            <w:top w:val="none" w:sz="0" w:space="0" w:color="auto"/>
                                            <w:left w:val="none" w:sz="0" w:space="0" w:color="auto"/>
                                            <w:bottom w:val="none" w:sz="0" w:space="0" w:color="auto"/>
                                            <w:right w:val="none" w:sz="0" w:space="0" w:color="auto"/>
                                          </w:divBdr>
                                          <w:divsChild>
                                            <w:div w:id="808405157">
                                              <w:marLeft w:val="0"/>
                                              <w:marRight w:val="0"/>
                                              <w:marTop w:val="0"/>
                                              <w:marBottom w:val="120"/>
                                              <w:divBdr>
                                                <w:top w:val="single" w:sz="6" w:space="0" w:color="F5F5F5"/>
                                                <w:left w:val="single" w:sz="6" w:space="0" w:color="F5F5F5"/>
                                                <w:bottom w:val="single" w:sz="6" w:space="0" w:color="F5F5F5"/>
                                                <w:right w:val="single" w:sz="6" w:space="0" w:color="F5F5F5"/>
                                              </w:divBdr>
                                              <w:divsChild>
                                                <w:div w:id="1991329681">
                                                  <w:marLeft w:val="0"/>
                                                  <w:marRight w:val="0"/>
                                                  <w:marTop w:val="0"/>
                                                  <w:marBottom w:val="0"/>
                                                  <w:divBdr>
                                                    <w:top w:val="none" w:sz="0" w:space="0" w:color="auto"/>
                                                    <w:left w:val="none" w:sz="0" w:space="0" w:color="auto"/>
                                                    <w:bottom w:val="none" w:sz="0" w:space="0" w:color="auto"/>
                                                    <w:right w:val="none" w:sz="0" w:space="0" w:color="auto"/>
                                                  </w:divBdr>
                                                  <w:divsChild>
                                                    <w:div w:id="19657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07996">
      <w:bodyDiv w:val="1"/>
      <w:marLeft w:val="0"/>
      <w:marRight w:val="0"/>
      <w:marTop w:val="0"/>
      <w:marBottom w:val="0"/>
      <w:divBdr>
        <w:top w:val="none" w:sz="0" w:space="0" w:color="auto"/>
        <w:left w:val="none" w:sz="0" w:space="0" w:color="auto"/>
        <w:bottom w:val="none" w:sz="0" w:space="0" w:color="auto"/>
        <w:right w:val="none" w:sz="0" w:space="0" w:color="auto"/>
      </w:divBdr>
    </w:div>
    <w:div w:id="1504667168">
      <w:bodyDiv w:val="1"/>
      <w:marLeft w:val="0"/>
      <w:marRight w:val="0"/>
      <w:marTop w:val="0"/>
      <w:marBottom w:val="0"/>
      <w:divBdr>
        <w:top w:val="none" w:sz="0" w:space="0" w:color="auto"/>
        <w:left w:val="none" w:sz="0" w:space="0" w:color="auto"/>
        <w:bottom w:val="none" w:sz="0" w:space="0" w:color="auto"/>
        <w:right w:val="none" w:sz="0" w:space="0" w:color="auto"/>
      </w:divBdr>
    </w:div>
    <w:div w:id="1754936847">
      <w:bodyDiv w:val="1"/>
      <w:marLeft w:val="0"/>
      <w:marRight w:val="0"/>
      <w:marTop w:val="0"/>
      <w:marBottom w:val="0"/>
      <w:divBdr>
        <w:top w:val="none" w:sz="0" w:space="0" w:color="auto"/>
        <w:left w:val="none" w:sz="0" w:space="0" w:color="auto"/>
        <w:bottom w:val="none" w:sz="0" w:space="0" w:color="auto"/>
        <w:right w:val="none" w:sz="0" w:space="0" w:color="auto"/>
      </w:divBdr>
      <w:divsChild>
        <w:div w:id="1742750574">
          <w:marLeft w:val="0"/>
          <w:marRight w:val="0"/>
          <w:marTop w:val="100"/>
          <w:marBottom w:val="100"/>
          <w:divBdr>
            <w:top w:val="none" w:sz="0" w:space="0" w:color="auto"/>
            <w:left w:val="none" w:sz="0" w:space="0" w:color="auto"/>
            <w:bottom w:val="none" w:sz="0" w:space="0" w:color="auto"/>
            <w:right w:val="none" w:sz="0" w:space="0" w:color="auto"/>
          </w:divBdr>
          <w:divsChild>
            <w:div w:id="606229309">
              <w:marLeft w:val="0"/>
              <w:marRight w:val="0"/>
              <w:marTop w:val="100"/>
              <w:marBottom w:val="100"/>
              <w:divBdr>
                <w:top w:val="single" w:sz="6" w:space="0" w:color="E0E0E0"/>
                <w:left w:val="single" w:sz="6" w:space="4" w:color="E0E0E0"/>
                <w:bottom w:val="single" w:sz="6" w:space="0" w:color="E0E0E0"/>
                <w:right w:val="single" w:sz="6" w:space="4" w:color="E0E0E0"/>
              </w:divBdr>
              <w:divsChild>
                <w:div w:id="605499386">
                  <w:marLeft w:val="0"/>
                  <w:marRight w:val="0"/>
                  <w:marTop w:val="0"/>
                  <w:marBottom w:val="0"/>
                  <w:divBdr>
                    <w:top w:val="none" w:sz="0" w:space="0" w:color="auto"/>
                    <w:left w:val="none" w:sz="0" w:space="0" w:color="auto"/>
                    <w:bottom w:val="none" w:sz="0" w:space="0" w:color="auto"/>
                    <w:right w:val="none" w:sz="0" w:space="0" w:color="auto"/>
                  </w:divBdr>
                  <w:divsChild>
                    <w:div w:id="1985814201">
                      <w:marLeft w:val="0"/>
                      <w:marRight w:val="0"/>
                      <w:marTop w:val="0"/>
                      <w:marBottom w:val="0"/>
                      <w:divBdr>
                        <w:top w:val="none" w:sz="0" w:space="0" w:color="auto"/>
                        <w:left w:val="none" w:sz="0" w:space="0" w:color="auto"/>
                        <w:bottom w:val="none" w:sz="0" w:space="0" w:color="auto"/>
                        <w:right w:val="none" w:sz="0" w:space="0" w:color="auto"/>
                      </w:divBdr>
                      <w:divsChild>
                        <w:div w:id="1884630049">
                          <w:marLeft w:val="0"/>
                          <w:marRight w:val="0"/>
                          <w:marTop w:val="0"/>
                          <w:marBottom w:val="0"/>
                          <w:divBdr>
                            <w:top w:val="none" w:sz="0" w:space="0" w:color="auto"/>
                            <w:left w:val="none" w:sz="0" w:space="0" w:color="auto"/>
                            <w:bottom w:val="none" w:sz="0" w:space="0" w:color="auto"/>
                            <w:right w:val="none" w:sz="0" w:space="0" w:color="auto"/>
                          </w:divBdr>
                          <w:divsChild>
                            <w:div w:id="1622345237">
                              <w:marLeft w:val="0"/>
                              <w:marRight w:val="0"/>
                              <w:marTop w:val="0"/>
                              <w:marBottom w:val="0"/>
                              <w:divBdr>
                                <w:top w:val="none" w:sz="0" w:space="0" w:color="auto"/>
                                <w:left w:val="none" w:sz="0" w:space="0" w:color="auto"/>
                                <w:bottom w:val="none" w:sz="0" w:space="0" w:color="auto"/>
                                <w:right w:val="none" w:sz="0" w:space="0" w:color="auto"/>
                              </w:divBdr>
                              <w:divsChild>
                                <w:div w:id="2106883237">
                                  <w:marLeft w:val="0"/>
                                  <w:marRight w:val="0"/>
                                  <w:marTop w:val="0"/>
                                  <w:marBottom w:val="0"/>
                                  <w:divBdr>
                                    <w:top w:val="none" w:sz="0" w:space="0" w:color="auto"/>
                                    <w:left w:val="none" w:sz="0" w:space="0" w:color="auto"/>
                                    <w:bottom w:val="none" w:sz="0" w:space="0" w:color="auto"/>
                                    <w:right w:val="none" w:sz="0" w:space="0" w:color="auto"/>
                                  </w:divBdr>
                                  <w:divsChild>
                                    <w:div w:id="725447491">
                                      <w:marLeft w:val="0"/>
                                      <w:marRight w:val="0"/>
                                      <w:marTop w:val="0"/>
                                      <w:marBottom w:val="0"/>
                                      <w:divBdr>
                                        <w:top w:val="none" w:sz="0" w:space="0" w:color="auto"/>
                                        <w:left w:val="none" w:sz="0" w:space="0" w:color="auto"/>
                                        <w:bottom w:val="none" w:sz="0" w:space="0" w:color="auto"/>
                                        <w:right w:val="none" w:sz="0" w:space="0" w:color="auto"/>
                                      </w:divBdr>
                                      <w:divsChild>
                                        <w:div w:id="1066681692">
                                          <w:marLeft w:val="75"/>
                                          <w:marRight w:val="0"/>
                                          <w:marTop w:val="0"/>
                                          <w:marBottom w:val="0"/>
                                          <w:divBdr>
                                            <w:top w:val="none" w:sz="0" w:space="0" w:color="auto"/>
                                            <w:left w:val="none" w:sz="0" w:space="0" w:color="auto"/>
                                            <w:bottom w:val="none" w:sz="0" w:space="0" w:color="auto"/>
                                            <w:right w:val="none" w:sz="0" w:space="0" w:color="auto"/>
                                          </w:divBdr>
                                        </w:div>
                                        <w:div w:id="1464080093">
                                          <w:marLeft w:val="0"/>
                                          <w:marRight w:val="0"/>
                                          <w:marTop w:val="0"/>
                                          <w:marBottom w:val="0"/>
                                          <w:divBdr>
                                            <w:top w:val="none" w:sz="0" w:space="0" w:color="auto"/>
                                            <w:left w:val="none" w:sz="0" w:space="0" w:color="auto"/>
                                            <w:bottom w:val="none" w:sz="0" w:space="0" w:color="auto"/>
                                            <w:right w:val="none" w:sz="0" w:space="0" w:color="auto"/>
                                          </w:divBdr>
                                          <w:divsChild>
                                            <w:div w:id="10497130">
                                              <w:marLeft w:val="150"/>
                                              <w:marRight w:val="0"/>
                                              <w:marTop w:val="0"/>
                                              <w:marBottom w:val="0"/>
                                              <w:divBdr>
                                                <w:top w:val="none" w:sz="0" w:space="0" w:color="auto"/>
                                                <w:left w:val="none" w:sz="0" w:space="0" w:color="auto"/>
                                                <w:bottom w:val="none" w:sz="0" w:space="0" w:color="auto"/>
                                                <w:right w:val="none" w:sz="0" w:space="0" w:color="auto"/>
                                              </w:divBdr>
                                            </w:div>
                                            <w:div w:id="23793952">
                                              <w:marLeft w:val="150"/>
                                              <w:marRight w:val="0"/>
                                              <w:marTop w:val="0"/>
                                              <w:marBottom w:val="0"/>
                                              <w:divBdr>
                                                <w:top w:val="none" w:sz="0" w:space="0" w:color="auto"/>
                                                <w:left w:val="none" w:sz="0" w:space="0" w:color="auto"/>
                                                <w:bottom w:val="none" w:sz="0" w:space="0" w:color="auto"/>
                                                <w:right w:val="none" w:sz="0" w:space="0" w:color="auto"/>
                                              </w:divBdr>
                                            </w:div>
                                            <w:div w:id="33433886">
                                              <w:marLeft w:val="150"/>
                                              <w:marRight w:val="0"/>
                                              <w:marTop w:val="0"/>
                                              <w:marBottom w:val="0"/>
                                              <w:divBdr>
                                                <w:top w:val="none" w:sz="0" w:space="0" w:color="auto"/>
                                                <w:left w:val="none" w:sz="0" w:space="0" w:color="auto"/>
                                                <w:bottom w:val="none" w:sz="0" w:space="0" w:color="auto"/>
                                                <w:right w:val="none" w:sz="0" w:space="0" w:color="auto"/>
                                              </w:divBdr>
                                            </w:div>
                                            <w:div w:id="206069173">
                                              <w:marLeft w:val="0"/>
                                              <w:marRight w:val="0"/>
                                              <w:marTop w:val="0"/>
                                              <w:marBottom w:val="0"/>
                                              <w:divBdr>
                                                <w:top w:val="none" w:sz="0" w:space="0" w:color="auto"/>
                                                <w:left w:val="none" w:sz="0" w:space="0" w:color="auto"/>
                                                <w:bottom w:val="none" w:sz="0" w:space="0" w:color="auto"/>
                                                <w:right w:val="none" w:sz="0" w:space="0" w:color="auto"/>
                                              </w:divBdr>
                                            </w:div>
                                            <w:div w:id="376661414">
                                              <w:marLeft w:val="150"/>
                                              <w:marRight w:val="0"/>
                                              <w:marTop w:val="0"/>
                                              <w:marBottom w:val="0"/>
                                              <w:divBdr>
                                                <w:top w:val="none" w:sz="0" w:space="0" w:color="auto"/>
                                                <w:left w:val="none" w:sz="0" w:space="0" w:color="auto"/>
                                                <w:bottom w:val="none" w:sz="0" w:space="0" w:color="auto"/>
                                                <w:right w:val="none" w:sz="0" w:space="0" w:color="auto"/>
                                              </w:divBdr>
                                            </w:div>
                                            <w:div w:id="443116510">
                                              <w:marLeft w:val="0"/>
                                              <w:marRight w:val="0"/>
                                              <w:marTop w:val="0"/>
                                              <w:marBottom w:val="0"/>
                                              <w:divBdr>
                                                <w:top w:val="none" w:sz="0" w:space="0" w:color="auto"/>
                                                <w:left w:val="none" w:sz="0" w:space="0" w:color="auto"/>
                                                <w:bottom w:val="none" w:sz="0" w:space="0" w:color="auto"/>
                                                <w:right w:val="none" w:sz="0" w:space="0" w:color="auto"/>
                                              </w:divBdr>
                                            </w:div>
                                            <w:div w:id="678118660">
                                              <w:marLeft w:val="150"/>
                                              <w:marRight w:val="0"/>
                                              <w:marTop w:val="0"/>
                                              <w:marBottom w:val="0"/>
                                              <w:divBdr>
                                                <w:top w:val="none" w:sz="0" w:space="0" w:color="auto"/>
                                                <w:left w:val="none" w:sz="0" w:space="0" w:color="auto"/>
                                                <w:bottom w:val="none" w:sz="0" w:space="0" w:color="auto"/>
                                                <w:right w:val="none" w:sz="0" w:space="0" w:color="auto"/>
                                              </w:divBdr>
                                            </w:div>
                                            <w:div w:id="729613377">
                                              <w:marLeft w:val="0"/>
                                              <w:marRight w:val="0"/>
                                              <w:marTop w:val="0"/>
                                              <w:marBottom w:val="0"/>
                                              <w:divBdr>
                                                <w:top w:val="none" w:sz="0" w:space="0" w:color="auto"/>
                                                <w:left w:val="none" w:sz="0" w:space="0" w:color="auto"/>
                                                <w:bottom w:val="none" w:sz="0" w:space="0" w:color="auto"/>
                                                <w:right w:val="none" w:sz="0" w:space="0" w:color="auto"/>
                                              </w:divBdr>
                                            </w:div>
                                            <w:div w:id="774177189">
                                              <w:marLeft w:val="0"/>
                                              <w:marRight w:val="0"/>
                                              <w:marTop w:val="0"/>
                                              <w:marBottom w:val="0"/>
                                              <w:divBdr>
                                                <w:top w:val="none" w:sz="0" w:space="0" w:color="auto"/>
                                                <w:left w:val="none" w:sz="0" w:space="0" w:color="auto"/>
                                                <w:bottom w:val="none" w:sz="0" w:space="0" w:color="auto"/>
                                                <w:right w:val="none" w:sz="0" w:space="0" w:color="auto"/>
                                              </w:divBdr>
                                            </w:div>
                                            <w:div w:id="856819359">
                                              <w:marLeft w:val="0"/>
                                              <w:marRight w:val="0"/>
                                              <w:marTop w:val="0"/>
                                              <w:marBottom w:val="0"/>
                                              <w:divBdr>
                                                <w:top w:val="none" w:sz="0" w:space="0" w:color="auto"/>
                                                <w:left w:val="none" w:sz="0" w:space="0" w:color="auto"/>
                                                <w:bottom w:val="none" w:sz="0" w:space="0" w:color="auto"/>
                                                <w:right w:val="none" w:sz="0" w:space="0" w:color="auto"/>
                                              </w:divBdr>
                                            </w:div>
                                            <w:div w:id="904880947">
                                              <w:marLeft w:val="0"/>
                                              <w:marRight w:val="0"/>
                                              <w:marTop w:val="0"/>
                                              <w:marBottom w:val="0"/>
                                              <w:divBdr>
                                                <w:top w:val="none" w:sz="0" w:space="0" w:color="auto"/>
                                                <w:left w:val="none" w:sz="0" w:space="0" w:color="auto"/>
                                                <w:bottom w:val="none" w:sz="0" w:space="0" w:color="auto"/>
                                                <w:right w:val="none" w:sz="0" w:space="0" w:color="auto"/>
                                              </w:divBdr>
                                            </w:div>
                                            <w:div w:id="906306282">
                                              <w:marLeft w:val="0"/>
                                              <w:marRight w:val="0"/>
                                              <w:marTop w:val="0"/>
                                              <w:marBottom w:val="0"/>
                                              <w:divBdr>
                                                <w:top w:val="none" w:sz="0" w:space="0" w:color="auto"/>
                                                <w:left w:val="none" w:sz="0" w:space="0" w:color="auto"/>
                                                <w:bottom w:val="none" w:sz="0" w:space="0" w:color="auto"/>
                                                <w:right w:val="none" w:sz="0" w:space="0" w:color="auto"/>
                                              </w:divBdr>
                                            </w:div>
                                            <w:div w:id="963271165">
                                              <w:marLeft w:val="150"/>
                                              <w:marRight w:val="0"/>
                                              <w:marTop w:val="0"/>
                                              <w:marBottom w:val="0"/>
                                              <w:divBdr>
                                                <w:top w:val="none" w:sz="0" w:space="0" w:color="auto"/>
                                                <w:left w:val="none" w:sz="0" w:space="0" w:color="auto"/>
                                                <w:bottom w:val="none" w:sz="0" w:space="0" w:color="auto"/>
                                                <w:right w:val="none" w:sz="0" w:space="0" w:color="auto"/>
                                              </w:divBdr>
                                            </w:div>
                                            <w:div w:id="1109543179">
                                              <w:marLeft w:val="150"/>
                                              <w:marRight w:val="0"/>
                                              <w:marTop w:val="0"/>
                                              <w:marBottom w:val="0"/>
                                              <w:divBdr>
                                                <w:top w:val="none" w:sz="0" w:space="0" w:color="auto"/>
                                                <w:left w:val="none" w:sz="0" w:space="0" w:color="auto"/>
                                                <w:bottom w:val="none" w:sz="0" w:space="0" w:color="auto"/>
                                                <w:right w:val="none" w:sz="0" w:space="0" w:color="auto"/>
                                              </w:divBdr>
                                            </w:div>
                                            <w:div w:id="1152866957">
                                              <w:marLeft w:val="150"/>
                                              <w:marRight w:val="0"/>
                                              <w:marTop w:val="0"/>
                                              <w:marBottom w:val="0"/>
                                              <w:divBdr>
                                                <w:top w:val="none" w:sz="0" w:space="0" w:color="auto"/>
                                                <w:left w:val="none" w:sz="0" w:space="0" w:color="auto"/>
                                                <w:bottom w:val="none" w:sz="0" w:space="0" w:color="auto"/>
                                                <w:right w:val="none" w:sz="0" w:space="0" w:color="auto"/>
                                              </w:divBdr>
                                            </w:div>
                                            <w:div w:id="1232472861">
                                              <w:marLeft w:val="0"/>
                                              <w:marRight w:val="0"/>
                                              <w:marTop w:val="0"/>
                                              <w:marBottom w:val="0"/>
                                              <w:divBdr>
                                                <w:top w:val="none" w:sz="0" w:space="0" w:color="auto"/>
                                                <w:left w:val="none" w:sz="0" w:space="0" w:color="auto"/>
                                                <w:bottom w:val="none" w:sz="0" w:space="0" w:color="auto"/>
                                                <w:right w:val="none" w:sz="0" w:space="0" w:color="auto"/>
                                              </w:divBdr>
                                            </w:div>
                                            <w:div w:id="1256086082">
                                              <w:marLeft w:val="150"/>
                                              <w:marRight w:val="0"/>
                                              <w:marTop w:val="0"/>
                                              <w:marBottom w:val="0"/>
                                              <w:divBdr>
                                                <w:top w:val="none" w:sz="0" w:space="0" w:color="auto"/>
                                                <w:left w:val="none" w:sz="0" w:space="0" w:color="auto"/>
                                                <w:bottom w:val="none" w:sz="0" w:space="0" w:color="auto"/>
                                                <w:right w:val="none" w:sz="0" w:space="0" w:color="auto"/>
                                              </w:divBdr>
                                            </w:div>
                                            <w:div w:id="1354191023">
                                              <w:marLeft w:val="150"/>
                                              <w:marRight w:val="0"/>
                                              <w:marTop w:val="0"/>
                                              <w:marBottom w:val="0"/>
                                              <w:divBdr>
                                                <w:top w:val="none" w:sz="0" w:space="0" w:color="auto"/>
                                                <w:left w:val="none" w:sz="0" w:space="0" w:color="auto"/>
                                                <w:bottom w:val="none" w:sz="0" w:space="0" w:color="auto"/>
                                                <w:right w:val="none" w:sz="0" w:space="0" w:color="auto"/>
                                              </w:divBdr>
                                            </w:div>
                                            <w:div w:id="1612517120">
                                              <w:marLeft w:val="150"/>
                                              <w:marRight w:val="0"/>
                                              <w:marTop w:val="0"/>
                                              <w:marBottom w:val="0"/>
                                              <w:divBdr>
                                                <w:top w:val="none" w:sz="0" w:space="0" w:color="auto"/>
                                                <w:left w:val="none" w:sz="0" w:space="0" w:color="auto"/>
                                                <w:bottom w:val="none" w:sz="0" w:space="0" w:color="auto"/>
                                                <w:right w:val="none" w:sz="0" w:space="0" w:color="auto"/>
                                              </w:divBdr>
                                            </w:div>
                                            <w:div w:id="1737972402">
                                              <w:marLeft w:val="0"/>
                                              <w:marRight w:val="0"/>
                                              <w:marTop w:val="0"/>
                                              <w:marBottom w:val="0"/>
                                              <w:divBdr>
                                                <w:top w:val="none" w:sz="0" w:space="0" w:color="auto"/>
                                                <w:left w:val="none" w:sz="0" w:space="0" w:color="auto"/>
                                                <w:bottom w:val="none" w:sz="0" w:space="0" w:color="auto"/>
                                                <w:right w:val="none" w:sz="0" w:space="0" w:color="auto"/>
                                              </w:divBdr>
                                            </w:div>
                                            <w:div w:id="1751778432">
                                              <w:marLeft w:val="150"/>
                                              <w:marRight w:val="0"/>
                                              <w:marTop w:val="0"/>
                                              <w:marBottom w:val="0"/>
                                              <w:divBdr>
                                                <w:top w:val="none" w:sz="0" w:space="0" w:color="auto"/>
                                                <w:left w:val="none" w:sz="0" w:space="0" w:color="auto"/>
                                                <w:bottom w:val="none" w:sz="0" w:space="0" w:color="auto"/>
                                                <w:right w:val="none" w:sz="0" w:space="0" w:color="auto"/>
                                              </w:divBdr>
                                            </w:div>
                                            <w:div w:id="1873614826">
                                              <w:marLeft w:val="150"/>
                                              <w:marRight w:val="0"/>
                                              <w:marTop w:val="0"/>
                                              <w:marBottom w:val="0"/>
                                              <w:divBdr>
                                                <w:top w:val="none" w:sz="0" w:space="0" w:color="auto"/>
                                                <w:left w:val="none" w:sz="0" w:space="0" w:color="auto"/>
                                                <w:bottom w:val="none" w:sz="0" w:space="0" w:color="auto"/>
                                                <w:right w:val="none" w:sz="0" w:space="0" w:color="auto"/>
                                              </w:divBdr>
                                            </w:div>
                                            <w:div w:id="1914658380">
                                              <w:marLeft w:val="0"/>
                                              <w:marRight w:val="0"/>
                                              <w:marTop w:val="0"/>
                                              <w:marBottom w:val="0"/>
                                              <w:divBdr>
                                                <w:top w:val="none" w:sz="0" w:space="0" w:color="auto"/>
                                                <w:left w:val="none" w:sz="0" w:space="0" w:color="auto"/>
                                                <w:bottom w:val="none" w:sz="0" w:space="0" w:color="auto"/>
                                                <w:right w:val="none" w:sz="0" w:space="0" w:color="auto"/>
                                              </w:divBdr>
                                            </w:div>
                                            <w:div w:id="1952084543">
                                              <w:marLeft w:val="150"/>
                                              <w:marRight w:val="0"/>
                                              <w:marTop w:val="0"/>
                                              <w:marBottom w:val="0"/>
                                              <w:divBdr>
                                                <w:top w:val="none" w:sz="0" w:space="0" w:color="auto"/>
                                                <w:left w:val="none" w:sz="0" w:space="0" w:color="auto"/>
                                                <w:bottom w:val="none" w:sz="0" w:space="0" w:color="auto"/>
                                                <w:right w:val="none" w:sz="0" w:space="0" w:color="auto"/>
                                              </w:divBdr>
                                            </w:div>
                                            <w:div w:id="1977444725">
                                              <w:marLeft w:val="150"/>
                                              <w:marRight w:val="0"/>
                                              <w:marTop w:val="0"/>
                                              <w:marBottom w:val="0"/>
                                              <w:divBdr>
                                                <w:top w:val="none" w:sz="0" w:space="0" w:color="auto"/>
                                                <w:left w:val="none" w:sz="0" w:space="0" w:color="auto"/>
                                                <w:bottom w:val="none" w:sz="0" w:space="0" w:color="auto"/>
                                                <w:right w:val="none" w:sz="0" w:space="0" w:color="auto"/>
                                              </w:divBdr>
                                            </w:div>
                                            <w:div w:id="1980768850">
                                              <w:marLeft w:val="150"/>
                                              <w:marRight w:val="0"/>
                                              <w:marTop w:val="0"/>
                                              <w:marBottom w:val="0"/>
                                              <w:divBdr>
                                                <w:top w:val="none" w:sz="0" w:space="0" w:color="auto"/>
                                                <w:left w:val="none" w:sz="0" w:space="0" w:color="auto"/>
                                                <w:bottom w:val="none" w:sz="0" w:space="0" w:color="auto"/>
                                                <w:right w:val="none" w:sz="0" w:space="0" w:color="auto"/>
                                              </w:divBdr>
                                            </w:div>
                                            <w:div w:id="1981614549">
                                              <w:marLeft w:val="150"/>
                                              <w:marRight w:val="0"/>
                                              <w:marTop w:val="0"/>
                                              <w:marBottom w:val="0"/>
                                              <w:divBdr>
                                                <w:top w:val="none" w:sz="0" w:space="0" w:color="auto"/>
                                                <w:left w:val="none" w:sz="0" w:space="0" w:color="auto"/>
                                                <w:bottom w:val="none" w:sz="0" w:space="0" w:color="auto"/>
                                                <w:right w:val="none" w:sz="0" w:space="0" w:color="auto"/>
                                              </w:divBdr>
                                            </w:div>
                                            <w:div w:id="19927823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C2D3-AEBE-4B34-9E75-A0176882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8353</Words>
  <Characters>45108</Characters>
  <Application>Microsoft Office Word</Application>
  <DocSecurity>0</DocSecurity>
  <Lines>375</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monicam</dc:creator>
  <cp:lastModifiedBy>GINA</cp:lastModifiedBy>
  <cp:revision>2</cp:revision>
  <cp:lastPrinted>2013-09-23T15:28:00Z</cp:lastPrinted>
  <dcterms:created xsi:type="dcterms:W3CDTF">2015-02-25T13:16:00Z</dcterms:created>
  <dcterms:modified xsi:type="dcterms:W3CDTF">2015-02-25T13:16:00Z</dcterms:modified>
</cp:coreProperties>
</file>