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rsidP="00542F6D"/>
    <w:p w:rsidR="00496809" w:rsidRPr="00786D07" w:rsidRDefault="00496809">
      <w:pPr>
        <w:jc w:val="center"/>
      </w:pPr>
      <w:r w:rsidRPr="00786D07">
        <w:rPr>
          <w:b/>
          <w:noProof/>
        </w:rPr>
        <w:t>ΠΕΡΙΛΗΨΗ ΤΩΝ ΧΑΡΑΚΤΗΡΙΣΤΙΚΩΝ ΤΟΥ ΠΡΟΪΟΝΤΟΣ</w:t>
      </w:r>
    </w:p>
    <w:p w:rsidR="00DB5FFC" w:rsidRDefault="00496809" w:rsidP="00CE2C21">
      <w:pPr>
        <w:tabs>
          <w:tab w:val="left" w:pos="567"/>
        </w:tabs>
      </w:pPr>
      <w:r w:rsidRPr="00786D07">
        <w:br w:type="page"/>
      </w:r>
    </w:p>
    <w:p w:rsidR="00496809" w:rsidRPr="00786D07" w:rsidRDefault="00496809" w:rsidP="00CE2C21">
      <w:pPr>
        <w:tabs>
          <w:tab w:val="left" w:pos="567"/>
        </w:tabs>
      </w:pPr>
      <w:r w:rsidRPr="00786D07">
        <w:rPr>
          <w:b/>
        </w:rPr>
        <w:t>1.</w:t>
      </w:r>
      <w:r w:rsidRPr="00786D07">
        <w:rPr>
          <w:b/>
        </w:rPr>
        <w:tab/>
        <w:t>ΟΝΟΜΑΣΙΑ ΤΟΥ ΦΑΡΜΑΚΕΥΤΙΚΟΥ ΠΡΟΪΟΝΤΟΣ</w:t>
      </w:r>
    </w:p>
    <w:p w:rsidR="00496809" w:rsidRPr="00786D07" w:rsidRDefault="00496809"/>
    <w:p w:rsidR="00496809" w:rsidRPr="00786D07" w:rsidRDefault="0058226E">
      <w:r w:rsidRPr="00060763">
        <w:rPr>
          <w:szCs w:val="22"/>
          <w:lang w:val="en-GB"/>
        </w:rPr>
        <w:t>Brufen</w:t>
      </w:r>
      <w:r w:rsidRPr="00C721EF">
        <w:rPr>
          <w:szCs w:val="22"/>
        </w:rPr>
        <w:t xml:space="preserve"> </w:t>
      </w:r>
      <w:r w:rsidRPr="00060763">
        <w:rPr>
          <w:szCs w:val="22"/>
          <w:lang w:val="en-GB"/>
        </w:rPr>
        <w:t>Plus</w:t>
      </w:r>
      <w:r w:rsidRPr="00AC5284">
        <w:rPr>
          <w:szCs w:val="22"/>
          <w:vertAlign w:val="superscript"/>
        </w:rPr>
        <w:t>®</w:t>
      </w:r>
      <w:r w:rsidRPr="0058226E">
        <w:t xml:space="preserve"> </w:t>
      </w:r>
      <w:r w:rsidR="00490BF3" w:rsidRPr="00490BF3">
        <w:t>400</w:t>
      </w:r>
      <w:r w:rsidR="00490BF3">
        <w:rPr>
          <w:lang w:val="en-US"/>
        </w:rPr>
        <w:t> </w:t>
      </w:r>
      <w:r w:rsidR="00490BF3" w:rsidRPr="00490BF3">
        <w:t>mg/30</w:t>
      </w:r>
      <w:r w:rsidR="00490BF3">
        <w:rPr>
          <w:lang w:val="en-US"/>
        </w:rPr>
        <w:t> </w:t>
      </w:r>
      <w:r w:rsidR="00490BF3" w:rsidRPr="00490BF3">
        <w:t>mg Επικαλυμμένα με λεπτό υμένιο δισκία</w:t>
      </w:r>
    </w:p>
    <w:p w:rsidR="00496809" w:rsidRDefault="00496809"/>
    <w:p w:rsidR="00325F65" w:rsidRPr="00786D07" w:rsidRDefault="00325F65"/>
    <w:p w:rsidR="00496809" w:rsidRPr="00786D07" w:rsidRDefault="00496809" w:rsidP="00CE2C21">
      <w:pPr>
        <w:tabs>
          <w:tab w:val="left" w:pos="567"/>
        </w:tabs>
      </w:pPr>
      <w:r w:rsidRPr="00786D07">
        <w:rPr>
          <w:b/>
        </w:rPr>
        <w:t>2.</w:t>
      </w:r>
      <w:r w:rsidRPr="00786D07">
        <w:rPr>
          <w:b/>
        </w:rPr>
        <w:tab/>
        <w:t>ΠΟΙΟΤΙΚΗ ΚΑΙ ΠΟΣΟΤΙΚΗ ΣΥΝΘΕΣΗ</w:t>
      </w:r>
    </w:p>
    <w:p w:rsidR="004002EF" w:rsidRDefault="004002EF" w:rsidP="004002EF">
      <w:pPr>
        <w:rPr>
          <w:highlight w:val="yellow"/>
        </w:rPr>
      </w:pPr>
    </w:p>
    <w:p w:rsidR="004002EF" w:rsidRPr="004002EF" w:rsidRDefault="004002EF" w:rsidP="004002EF">
      <w:r w:rsidRPr="004002EF">
        <w:t>Κάθε επικαλυμμένο με λεπτό υμένιο δισκίο περιέχει:</w:t>
      </w:r>
    </w:p>
    <w:p w:rsidR="004002EF" w:rsidRDefault="004002EF" w:rsidP="004002EF">
      <w:r>
        <w:t xml:space="preserve">Δραστικές ουσίες: </w:t>
      </w:r>
      <w:r w:rsidRPr="004002EF">
        <w:t>ιβουπροφαίνη 400</w:t>
      </w:r>
      <w:r>
        <w:t> </w:t>
      </w:r>
      <w:r w:rsidRPr="004002EF">
        <w:t xml:space="preserve">mg και </w:t>
      </w:r>
      <w:r w:rsidR="00301BF4" w:rsidRPr="00EA1A53">
        <w:rPr>
          <w:noProof/>
        </w:rPr>
        <w:t>ημιυδρική</w:t>
      </w:r>
      <w:r w:rsidR="00301BF4" w:rsidRPr="004002EF">
        <w:t xml:space="preserve"> </w:t>
      </w:r>
      <w:r w:rsidR="00301BF4">
        <w:t xml:space="preserve">φωσφορική </w:t>
      </w:r>
      <w:r w:rsidRPr="004002EF">
        <w:t>κωδεΐνη 30</w:t>
      </w:r>
      <w:r>
        <w:t> </w:t>
      </w:r>
      <w:r w:rsidRPr="004002EF">
        <w:t>mg</w:t>
      </w:r>
    </w:p>
    <w:p w:rsidR="00496809" w:rsidRPr="00786D07" w:rsidRDefault="00496809"/>
    <w:p w:rsidR="00496809" w:rsidRPr="00786D07" w:rsidRDefault="00496809">
      <w:pPr>
        <w:widowControl/>
        <w:tabs>
          <w:tab w:val="left" w:pos="567"/>
        </w:tabs>
        <w:spacing w:line="260" w:lineRule="exact"/>
      </w:pPr>
      <w:r w:rsidRPr="00786D07">
        <w:t>Για τον πλήρη κατάλογο των εκδόχων, βλ. παράγραφο 6.1.</w:t>
      </w:r>
    </w:p>
    <w:p w:rsidR="00496809" w:rsidRDefault="00496809"/>
    <w:p w:rsidR="00325F65" w:rsidRPr="00786D07" w:rsidRDefault="00325F65"/>
    <w:p w:rsidR="00496809" w:rsidRPr="00786D07" w:rsidRDefault="00496809" w:rsidP="00CE2C21">
      <w:pPr>
        <w:tabs>
          <w:tab w:val="left" w:pos="567"/>
        </w:tabs>
      </w:pPr>
      <w:r w:rsidRPr="00786D07">
        <w:rPr>
          <w:b/>
        </w:rPr>
        <w:t>3.</w:t>
      </w:r>
      <w:r w:rsidRPr="00786D07">
        <w:rPr>
          <w:b/>
        </w:rPr>
        <w:tab/>
        <w:t>ΦΑΡΜΑΚΟΤΕΧΝΙΚΗ ΜΟΡΦΗ</w:t>
      </w:r>
    </w:p>
    <w:p w:rsidR="00496809" w:rsidRPr="00786D07" w:rsidRDefault="00496809"/>
    <w:p w:rsidR="00CB2B8C" w:rsidRDefault="00CB2B8C" w:rsidP="00CB2B8C">
      <w:r w:rsidRPr="00CB2B8C">
        <w:t>Επικαλυμμένο με λεπτό υμένιο δισκίο</w:t>
      </w:r>
    </w:p>
    <w:p w:rsidR="00490BF3" w:rsidRDefault="00490BF3" w:rsidP="00490BF3"/>
    <w:p w:rsidR="00490BF3" w:rsidRDefault="00490BF3" w:rsidP="00490BF3">
      <w:r w:rsidRPr="00CB2B8C">
        <w:t xml:space="preserve">Περιγραφή του προϊόντος: </w:t>
      </w:r>
      <w:r w:rsidR="00CB2B8C">
        <w:t>λ</w:t>
      </w:r>
      <w:r w:rsidRPr="00CB2B8C">
        <w:t xml:space="preserve">ευκό, επίμηκες, επικαλυμμένο με </w:t>
      </w:r>
      <w:r w:rsidR="00CB2B8C">
        <w:t xml:space="preserve">λεπτό </w:t>
      </w:r>
      <w:r w:rsidRPr="00CB2B8C">
        <w:t>υμένιο δισκίο, περίπου 17</w:t>
      </w:r>
      <w:r w:rsidR="00CB2B8C">
        <w:t> </w:t>
      </w:r>
      <w:r w:rsidR="00CB2B8C">
        <w:rPr>
          <w:lang w:val="en-US"/>
        </w:rPr>
        <w:t>mm</w:t>
      </w:r>
      <w:r w:rsidRPr="00CB2B8C">
        <w:t xml:space="preserve"> x 8</w:t>
      </w:r>
      <w:r w:rsidR="00CB2B8C">
        <w:rPr>
          <w:lang w:val="en-US"/>
        </w:rPr>
        <w:t> </w:t>
      </w:r>
      <w:r w:rsidRPr="00CB2B8C">
        <w:t>mm x 6,6</w:t>
      </w:r>
      <w:r w:rsidR="00CB2B8C">
        <w:rPr>
          <w:lang w:val="en-US"/>
        </w:rPr>
        <w:t> </w:t>
      </w:r>
      <w:r w:rsidRPr="00CB2B8C">
        <w:t>mm</w:t>
      </w:r>
    </w:p>
    <w:p w:rsidR="00496809" w:rsidRPr="00786D07" w:rsidRDefault="00496809"/>
    <w:p w:rsidR="00496809" w:rsidRPr="00786D07" w:rsidRDefault="00496809"/>
    <w:p w:rsidR="00496809" w:rsidRPr="00786D07" w:rsidRDefault="00496809" w:rsidP="00CE2C21">
      <w:pPr>
        <w:tabs>
          <w:tab w:val="left" w:pos="567"/>
        </w:tabs>
      </w:pPr>
      <w:r w:rsidRPr="00786D07">
        <w:rPr>
          <w:b/>
        </w:rPr>
        <w:t>4.</w:t>
      </w:r>
      <w:r w:rsidRPr="00786D07">
        <w:rPr>
          <w:b/>
        </w:rPr>
        <w:tab/>
        <w:t>ΚΛΙΝΙΚΕΣ ΠΛΗΡΟΦΟΡΙΕΣ</w:t>
      </w:r>
    </w:p>
    <w:p w:rsidR="00496809" w:rsidRPr="00786D07" w:rsidRDefault="00496809"/>
    <w:p w:rsidR="00496809" w:rsidRPr="00786D07" w:rsidRDefault="00496809" w:rsidP="00CE2C21">
      <w:pPr>
        <w:tabs>
          <w:tab w:val="left" w:pos="567"/>
        </w:tabs>
      </w:pPr>
      <w:r w:rsidRPr="00786D07">
        <w:rPr>
          <w:b/>
        </w:rPr>
        <w:t>4.1</w:t>
      </w:r>
      <w:r w:rsidRPr="00786D07">
        <w:rPr>
          <w:b/>
        </w:rPr>
        <w:tab/>
        <w:t>Θεραπευτικές ενδείξεις</w:t>
      </w:r>
    </w:p>
    <w:p w:rsidR="00496809" w:rsidRPr="00786D07" w:rsidRDefault="00496809"/>
    <w:p w:rsidR="00CB2B8C" w:rsidRPr="00786D07" w:rsidRDefault="00485917" w:rsidP="00CB2B8C">
      <w:r>
        <w:t xml:space="preserve">Το </w:t>
      </w:r>
      <w:r w:rsidR="0058226E" w:rsidRPr="00060763">
        <w:rPr>
          <w:szCs w:val="22"/>
          <w:lang w:val="en-GB"/>
        </w:rPr>
        <w:t>Brufen</w:t>
      </w:r>
      <w:r w:rsidR="0058226E" w:rsidRPr="00C721EF">
        <w:rPr>
          <w:szCs w:val="22"/>
        </w:rPr>
        <w:t xml:space="preserve"> </w:t>
      </w:r>
      <w:r w:rsidR="0058226E" w:rsidRPr="00060763">
        <w:rPr>
          <w:szCs w:val="22"/>
          <w:lang w:val="en-GB"/>
        </w:rPr>
        <w:t>Plus</w:t>
      </w:r>
      <w:r w:rsidR="0058226E" w:rsidRPr="0058226E">
        <w:t xml:space="preserve"> </w:t>
      </w:r>
      <w:r w:rsidR="00CB2B8C" w:rsidRPr="00CB2B8C">
        <w:t>ενδείκνυται για τη συμπτωματική θεραπεία ήπι</w:t>
      </w:r>
      <w:r w:rsidR="00BF7109">
        <w:t>ας</w:t>
      </w:r>
      <w:r w:rsidR="00CB2B8C" w:rsidRPr="00CB2B8C">
        <w:t xml:space="preserve"> έως μέτρι</w:t>
      </w:r>
      <w:r w:rsidR="00BF7109">
        <w:t>ας</w:t>
      </w:r>
      <w:r w:rsidR="00CB2B8C">
        <w:t xml:space="preserve"> </w:t>
      </w:r>
      <w:r w:rsidR="00BF7109">
        <w:t xml:space="preserve">έντασης </w:t>
      </w:r>
      <w:r w:rsidR="00CB2B8C">
        <w:t xml:space="preserve">πόνου σε ενήλικες, σε περίπτωση που δεν ανακουφίζεται ικανοποιητικά </w:t>
      </w:r>
      <w:r w:rsidR="00CB2B8C" w:rsidRPr="00CB2B8C">
        <w:t>από άλλα αναλγητικά</w:t>
      </w:r>
      <w:r w:rsidR="00107B9C">
        <w:t>,</w:t>
      </w:r>
      <w:r w:rsidR="00CB2B8C" w:rsidRPr="00CB2B8C">
        <w:t xml:space="preserve"> όπως η παρακεταμόλη ή </w:t>
      </w:r>
      <w:r w:rsidR="00107B9C">
        <w:t xml:space="preserve">η </w:t>
      </w:r>
      <w:r w:rsidR="00CB2B8C" w:rsidRPr="00CB2B8C">
        <w:t>ιβουπροφαίνη.</w:t>
      </w:r>
    </w:p>
    <w:p w:rsidR="00E404FE" w:rsidRPr="00490BF3" w:rsidRDefault="00E404FE"/>
    <w:p w:rsidR="00496809" w:rsidRPr="00786D07" w:rsidRDefault="00496809" w:rsidP="00CE2C21">
      <w:pPr>
        <w:tabs>
          <w:tab w:val="left" w:pos="567"/>
        </w:tabs>
      </w:pPr>
      <w:r w:rsidRPr="00786D07">
        <w:rPr>
          <w:b/>
        </w:rPr>
        <w:t>4.2</w:t>
      </w:r>
      <w:r w:rsidRPr="00786D07">
        <w:rPr>
          <w:b/>
        </w:rPr>
        <w:tab/>
        <w:t>Δοσολογία και τρόπος χορήγησης</w:t>
      </w:r>
    </w:p>
    <w:p w:rsidR="00496809" w:rsidRPr="00786D07" w:rsidRDefault="00496809"/>
    <w:p w:rsidR="00056716" w:rsidRPr="00786D07" w:rsidRDefault="00056716" w:rsidP="00056716">
      <w:pPr>
        <w:rPr>
          <w:noProof/>
          <w:u w:val="single"/>
        </w:rPr>
      </w:pPr>
      <w:r w:rsidRPr="00786D07">
        <w:rPr>
          <w:noProof/>
          <w:u w:val="single"/>
        </w:rPr>
        <w:t>Δοσολογία</w:t>
      </w:r>
    </w:p>
    <w:p w:rsidR="00056716" w:rsidRDefault="00056716" w:rsidP="00056716">
      <w:pPr>
        <w:rPr>
          <w:noProof/>
          <w:u w:val="single"/>
        </w:rPr>
      </w:pPr>
    </w:p>
    <w:p w:rsidR="00E404FE" w:rsidRDefault="00E404FE" w:rsidP="00056716">
      <w:pPr>
        <w:rPr>
          <w:noProof/>
        </w:rPr>
      </w:pPr>
      <w:r w:rsidRPr="00E404FE">
        <w:rPr>
          <w:noProof/>
        </w:rPr>
        <w:t xml:space="preserve">Οι ανεπιθύμητες ενέργειες μπορούν να ελαχιστοποιηθούν χρησιμοποιώντας τη </w:t>
      </w:r>
      <w:r w:rsidR="00BB2A11">
        <w:rPr>
          <w:noProof/>
        </w:rPr>
        <w:t>χαμηλότερη</w:t>
      </w:r>
      <w:r w:rsidR="00BB2A11" w:rsidRPr="00E404FE">
        <w:rPr>
          <w:noProof/>
        </w:rPr>
        <w:t xml:space="preserve"> </w:t>
      </w:r>
      <w:r w:rsidRPr="00E404FE">
        <w:rPr>
          <w:noProof/>
        </w:rPr>
        <w:t>αποτελεσματική δόση για τ</w:t>
      </w:r>
      <w:r w:rsidR="00BF7109">
        <w:rPr>
          <w:noProof/>
        </w:rPr>
        <w:t>η</w:t>
      </w:r>
      <w:r w:rsidRPr="00E404FE">
        <w:rPr>
          <w:noProof/>
        </w:rPr>
        <w:t xml:space="preserve"> μικρότερ</w:t>
      </w:r>
      <w:r w:rsidR="00BF7109">
        <w:rPr>
          <w:noProof/>
        </w:rPr>
        <w:t>η</w:t>
      </w:r>
      <w:r w:rsidRPr="00E404FE">
        <w:rPr>
          <w:noProof/>
        </w:rPr>
        <w:t xml:space="preserve"> </w:t>
      </w:r>
      <w:r w:rsidR="00BB2A11">
        <w:rPr>
          <w:noProof/>
        </w:rPr>
        <w:t>διάρκεια, η οποία είναι απαραίτητη</w:t>
      </w:r>
      <w:r w:rsidRPr="00E404FE">
        <w:rPr>
          <w:noProof/>
        </w:rPr>
        <w:t xml:space="preserve"> γ</w:t>
      </w:r>
      <w:r w:rsidR="00CE2C21">
        <w:rPr>
          <w:noProof/>
        </w:rPr>
        <w:t>ια τον έλεγχο των συμπτωμάτων (</w:t>
      </w:r>
      <w:r w:rsidRPr="00E404FE">
        <w:rPr>
          <w:noProof/>
        </w:rPr>
        <w:t>βλ</w:t>
      </w:r>
      <w:r w:rsidR="00BB2A11">
        <w:rPr>
          <w:noProof/>
        </w:rPr>
        <w:t>.</w:t>
      </w:r>
      <w:r w:rsidRPr="00E404FE">
        <w:rPr>
          <w:noProof/>
        </w:rPr>
        <w:t xml:space="preserve"> παράγραφο </w:t>
      </w:r>
      <w:r>
        <w:rPr>
          <w:noProof/>
        </w:rPr>
        <w:t>4.4)</w:t>
      </w:r>
      <w:r w:rsidRPr="00E404FE">
        <w:rPr>
          <w:noProof/>
        </w:rPr>
        <w:t>.</w:t>
      </w:r>
    </w:p>
    <w:p w:rsidR="00E404FE" w:rsidRDefault="00E404FE" w:rsidP="00E404FE">
      <w:pPr>
        <w:rPr>
          <w:noProof/>
        </w:rPr>
      </w:pPr>
    </w:p>
    <w:p w:rsidR="00E404FE" w:rsidRPr="00E404FE" w:rsidRDefault="00E404FE" w:rsidP="00E404FE">
      <w:pPr>
        <w:rPr>
          <w:b/>
          <w:i/>
          <w:noProof/>
        </w:rPr>
      </w:pPr>
      <w:r w:rsidRPr="00E404FE">
        <w:rPr>
          <w:b/>
          <w:i/>
          <w:noProof/>
        </w:rPr>
        <w:t>Ενήλικες</w:t>
      </w:r>
    </w:p>
    <w:p w:rsidR="00E404FE" w:rsidRDefault="00E404FE" w:rsidP="00E404FE">
      <w:pPr>
        <w:rPr>
          <w:noProof/>
        </w:rPr>
      </w:pPr>
      <w:r>
        <w:rPr>
          <w:noProof/>
        </w:rPr>
        <w:t xml:space="preserve">Ένα δισκίο κάθε 4 έως 6 ώρες. Η δόση δεν πρέπει να υπερβαίνει τα 6 δισκία (2400 mg ιβουπροφαίνης/180 mg </w:t>
      </w:r>
      <w:r w:rsidR="00301BF4">
        <w:rPr>
          <w:noProof/>
        </w:rPr>
        <w:t xml:space="preserve">ημιυδρικής φωσφορικής </w:t>
      </w:r>
      <w:r>
        <w:rPr>
          <w:noProof/>
        </w:rPr>
        <w:t>κωδεΐνης) σε διάστημα 24 ωρών.</w:t>
      </w:r>
    </w:p>
    <w:p w:rsidR="00E404FE" w:rsidRDefault="00E404FE" w:rsidP="00E404FE">
      <w:pPr>
        <w:rPr>
          <w:noProof/>
        </w:rPr>
      </w:pPr>
    </w:p>
    <w:p w:rsidR="00E404FE" w:rsidRPr="00632E0F" w:rsidRDefault="00632E0F" w:rsidP="00E404FE">
      <w:pPr>
        <w:rPr>
          <w:b/>
          <w:i/>
          <w:noProof/>
        </w:rPr>
      </w:pPr>
      <w:r w:rsidRPr="00632E0F">
        <w:rPr>
          <w:b/>
          <w:i/>
          <w:noProof/>
        </w:rPr>
        <w:t>Η</w:t>
      </w:r>
      <w:r w:rsidR="00E404FE" w:rsidRPr="00632E0F">
        <w:rPr>
          <w:b/>
          <w:i/>
          <w:noProof/>
        </w:rPr>
        <w:t>λικιωμένοι</w:t>
      </w:r>
    </w:p>
    <w:p w:rsidR="00E404FE" w:rsidRPr="00E404FE" w:rsidRDefault="00E404FE" w:rsidP="00E404FE">
      <w:pPr>
        <w:rPr>
          <w:noProof/>
        </w:rPr>
      </w:pPr>
      <w:r>
        <w:rPr>
          <w:noProof/>
        </w:rPr>
        <w:t xml:space="preserve">Δεν απαιτούνται ειδικές τροποποιήσεις </w:t>
      </w:r>
      <w:r w:rsidR="00632E0F">
        <w:rPr>
          <w:noProof/>
        </w:rPr>
        <w:t xml:space="preserve">της </w:t>
      </w:r>
      <w:r>
        <w:rPr>
          <w:noProof/>
        </w:rPr>
        <w:t>δόση</w:t>
      </w:r>
      <w:r w:rsidR="00632E0F">
        <w:rPr>
          <w:noProof/>
        </w:rPr>
        <w:t>ς</w:t>
      </w:r>
      <w:r>
        <w:rPr>
          <w:noProof/>
        </w:rPr>
        <w:t xml:space="preserve"> για τους ηλικιωμένους ασθενείς, εκτός εάν </w:t>
      </w:r>
      <w:r w:rsidR="005F5BA7">
        <w:rPr>
          <w:noProof/>
        </w:rPr>
        <w:t>υπάρχει</w:t>
      </w:r>
      <w:r w:rsidR="00632E0F">
        <w:rPr>
          <w:noProof/>
        </w:rPr>
        <w:t xml:space="preserve"> </w:t>
      </w:r>
      <w:r>
        <w:rPr>
          <w:noProof/>
        </w:rPr>
        <w:t xml:space="preserve">νεφρική ή </w:t>
      </w:r>
      <w:r w:rsidR="00632E0F">
        <w:rPr>
          <w:noProof/>
        </w:rPr>
        <w:t xml:space="preserve">η </w:t>
      </w:r>
      <w:r>
        <w:rPr>
          <w:noProof/>
        </w:rPr>
        <w:t xml:space="preserve">ηπατική </w:t>
      </w:r>
      <w:r w:rsidR="005F5BA7">
        <w:rPr>
          <w:noProof/>
        </w:rPr>
        <w:t>δυσ</w:t>
      </w:r>
      <w:r>
        <w:rPr>
          <w:noProof/>
        </w:rPr>
        <w:t xml:space="preserve">λειτουργία ή αυξημένη πιθανότητα ευαισθησίας στις κεντρικές επιδράσεις των οπιοειδών ή συμπτώματα υπερτροφίας </w:t>
      </w:r>
      <w:r w:rsidR="006E0728">
        <w:rPr>
          <w:noProof/>
        </w:rPr>
        <w:t>του προστάτη. Σε αυτές τις περιπτώσεις</w:t>
      </w:r>
      <w:r>
        <w:rPr>
          <w:noProof/>
        </w:rPr>
        <w:t xml:space="preserve">, η δοσολογία θα πρέπει να </w:t>
      </w:r>
      <w:r w:rsidR="006E0728">
        <w:rPr>
          <w:noProof/>
        </w:rPr>
        <w:t>καθορίζεται</w:t>
      </w:r>
      <w:r>
        <w:rPr>
          <w:noProof/>
        </w:rPr>
        <w:t xml:space="preserve"> </w:t>
      </w:r>
      <w:r w:rsidR="006E0728">
        <w:rPr>
          <w:noProof/>
        </w:rPr>
        <w:t>ανά ασθενή</w:t>
      </w:r>
      <w:r>
        <w:rPr>
          <w:noProof/>
        </w:rPr>
        <w:t>.</w:t>
      </w:r>
    </w:p>
    <w:p w:rsidR="006E0728" w:rsidRDefault="006E0728" w:rsidP="00056716">
      <w:pPr>
        <w:rPr>
          <w:i/>
          <w:noProof/>
        </w:rPr>
      </w:pPr>
    </w:p>
    <w:p w:rsidR="006E0728" w:rsidRPr="006E0728" w:rsidRDefault="006E0728" w:rsidP="006E0728">
      <w:pPr>
        <w:rPr>
          <w:b/>
          <w:i/>
          <w:noProof/>
        </w:rPr>
      </w:pPr>
      <w:r w:rsidRPr="006E0728">
        <w:rPr>
          <w:b/>
          <w:i/>
          <w:noProof/>
        </w:rPr>
        <w:t>Παιδιά και έφηβοι</w:t>
      </w:r>
    </w:p>
    <w:p w:rsidR="006E0728" w:rsidRDefault="00CE2C21" w:rsidP="006E0728">
      <w:pPr>
        <w:rPr>
          <w:noProof/>
        </w:rPr>
      </w:pPr>
      <w:r>
        <w:t xml:space="preserve">Το </w:t>
      </w:r>
      <w:r w:rsidR="0058226E" w:rsidRPr="00060763">
        <w:rPr>
          <w:szCs w:val="22"/>
          <w:lang w:val="en-GB"/>
        </w:rPr>
        <w:t>Brufen</w:t>
      </w:r>
      <w:r w:rsidR="0058226E" w:rsidRPr="00C721EF">
        <w:rPr>
          <w:szCs w:val="22"/>
        </w:rPr>
        <w:t xml:space="preserve"> </w:t>
      </w:r>
      <w:r w:rsidR="0058226E" w:rsidRPr="00060763">
        <w:rPr>
          <w:szCs w:val="22"/>
          <w:lang w:val="en-GB"/>
        </w:rPr>
        <w:t>Plus</w:t>
      </w:r>
      <w:r w:rsidR="0058226E" w:rsidRPr="0058226E">
        <w:t xml:space="preserve"> </w:t>
      </w:r>
      <w:r w:rsidR="006E0728">
        <w:rPr>
          <w:noProof/>
        </w:rPr>
        <w:t>δε συνιστάται σε παιδιά και εφήβους κάτω των 18 ετών.</w:t>
      </w:r>
    </w:p>
    <w:p w:rsidR="006E0728" w:rsidRDefault="006E0728" w:rsidP="006E0728">
      <w:pPr>
        <w:rPr>
          <w:noProof/>
        </w:rPr>
      </w:pPr>
    </w:p>
    <w:p w:rsidR="006E0728" w:rsidRPr="00071E1A" w:rsidRDefault="00071E1A" w:rsidP="006E0728">
      <w:pPr>
        <w:rPr>
          <w:b/>
          <w:i/>
          <w:noProof/>
        </w:rPr>
      </w:pPr>
      <w:r>
        <w:rPr>
          <w:b/>
          <w:i/>
          <w:noProof/>
        </w:rPr>
        <w:t>Νεφρική δυσλειτουργία</w:t>
      </w:r>
    </w:p>
    <w:p w:rsidR="006E0728" w:rsidRDefault="006E0728" w:rsidP="006E0728">
      <w:pPr>
        <w:rPr>
          <w:noProof/>
        </w:rPr>
      </w:pPr>
      <w:r>
        <w:rPr>
          <w:noProof/>
        </w:rPr>
        <w:t xml:space="preserve">Σε ασθενείς με ήπια έως μέτρια </w:t>
      </w:r>
      <w:r w:rsidR="00071E1A">
        <w:rPr>
          <w:noProof/>
        </w:rPr>
        <w:t>ν</w:t>
      </w:r>
      <w:r w:rsidR="00071E1A" w:rsidRPr="00071E1A">
        <w:rPr>
          <w:noProof/>
        </w:rPr>
        <w:t>εφρική δυσλειτουργία</w:t>
      </w:r>
      <w:r>
        <w:rPr>
          <w:noProof/>
        </w:rPr>
        <w:t>, η δόση θα πρέπει να διατηρείται όσο το δυνατόν χαμηλότερη και η νεφρική λειτουργία να παρακολουθείται (για ασθενείς με σοβαρή νεφρική ανεπάρκεια βλ</w:t>
      </w:r>
      <w:r w:rsidR="0081082C">
        <w:rPr>
          <w:noProof/>
        </w:rPr>
        <w:t>.</w:t>
      </w:r>
      <w:r>
        <w:rPr>
          <w:noProof/>
        </w:rPr>
        <w:t xml:space="preserve"> παράγραφο 4.3).</w:t>
      </w:r>
    </w:p>
    <w:p w:rsidR="006E0728" w:rsidRDefault="006E0728" w:rsidP="006E0728">
      <w:pPr>
        <w:rPr>
          <w:noProof/>
        </w:rPr>
      </w:pPr>
    </w:p>
    <w:p w:rsidR="00071E1A" w:rsidRPr="00071E1A" w:rsidRDefault="00071E1A" w:rsidP="00071E1A">
      <w:pPr>
        <w:rPr>
          <w:b/>
          <w:i/>
          <w:noProof/>
        </w:rPr>
      </w:pPr>
      <w:r>
        <w:rPr>
          <w:b/>
          <w:i/>
          <w:noProof/>
        </w:rPr>
        <w:lastRenderedPageBreak/>
        <w:t>Ηπατική δυσλειτουργία</w:t>
      </w:r>
    </w:p>
    <w:p w:rsidR="006E0728" w:rsidRPr="006E0728" w:rsidRDefault="006E0728" w:rsidP="006E0728">
      <w:pPr>
        <w:rPr>
          <w:noProof/>
        </w:rPr>
      </w:pPr>
      <w:r>
        <w:rPr>
          <w:noProof/>
        </w:rPr>
        <w:t xml:space="preserve">Σε ασθενείς με ήπια έως μέτρια </w:t>
      </w:r>
      <w:r w:rsidR="00071E1A">
        <w:rPr>
          <w:noProof/>
        </w:rPr>
        <w:t>ν</w:t>
      </w:r>
      <w:r w:rsidR="00071E1A" w:rsidRPr="00071E1A">
        <w:rPr>
          <w:noProof/>
        </w:rPr>
        <w:t>εφρική δυσλειτουργία</w:t>
      </w:r>
      <w:r>
        <w:rPr>
          <w:noProof/>
        </w:rPr>
        <w:t>, η δόση θα πρέπει να διατηρείται όσο το δυνατόν χαμηλότερη (για ασθενείς με σοβαρή ηπατική ανεπάρκεια βλ</w:t>
      </w:r>
      <w:r w:rsidR="0081082C">
        <w:rPr>
          <w:noProof/>
        </w:rPr>
        <w:t>.</w:t>
      </w:r>
      <w:r>
        <w:rPr>
          <w:noProof/>
        </w:rPr>
        <w:t xml:space="preserve"> παράγραφο 4.3).</w:t>
      </w:r>
    </w:p>
    <w:p w:rsidR="0081082C" w:rsidRDefault="0081082C" w:rsidP="00056716">
      <w:pPr>
        <w:rPr>
          <w:noProof/>
          <w:u w:val="single"/>
        </w:rPr>
      </w:pPr>
    </w:p>
    <w:p w:rsidR="00056716" w:rsidRPr="00786D07" w:rsidRDefault="00056716" w:rsidP="00056716">
      <w:pPr>
        <w:rPr>
          <w:noProof/>
          <w:u w:val="single"/>
        </w:rPr>
      </w:pPr>
      <w:r w:rsidRPr="00786D07">
        <w:rPr>
          <w:noProof/>
          <w:u w:val="single"/>
        </w:rPr>
        <w:t>Τρόπος χορήγησης</w:t>
      </w:r>
    </w:p>
    <w:p w:rsidR="0081082C" w:rsidRDefault="0081082C" w:rsidP="0081082C">
      <w:pPr>
        <w:rPr>
          <w:noProof/>
        </w:rPr>
      </w:pPr>
    </w:p>
    <w:p w:rsidR="0081082C" w:rsidRPr="0081082C" w:rsidRDefault="0081082C" w:rsidP="0081082C">
      <w:pPr>
        <w:rPr>
          <w:noProof/>
        </w:rPr>
      </w:pPr>
      <w:r>
        <w:rPr>
          <w:noProof/>
        </w:rPr>
        <w:t>Τ</w:t>
      </w:r>
      <w:r w:rsidRPr="0081082C">
        <w:rPr>
          <w:noProof/>
        </w:rPr>
        <w:t xml:space="preserve">ο φάρμακο </w:t>
      </w:r>
      <w:r>
        <w:rPr>
          <w:noProof/>
        </w:rPr>
        <w:t xml:space="preserve">αυτό </w:t>
      </w:r>
      <w:r w:rsidR="00217FDE">
        <w:rPr>
          <w:noProof/>
        </w:rPr>
        <w:t xml:space="preserve">θα </w:t>
      </w:r>
      <w:r w:rsidRPr="0081082C">
        <w:rPr>
          <w:noProof/>
        </w:rPr>
        <w:t>πρέπει να λαμβάν</w:t>
      </w:r>
      <w:r>
        <w:rPr>
          <w:noProof/>
        </w:rPr>
        <w:t>ε</w:t>
      </w:r>
      <w:r w:rsidRPr="0081082C">
        <w:rPr>
          <w:noProof/>
        </w:rPr>
        <w:t>ται κατά τη διάρκεια</w:t>
      </w:r>
      <w:r>
        <w:rPr>
          <w:noProof/>
        </w:rPr>
        <w:t xml:space="preserve"> των</w:t>
      </w:r>
      <w:r w:rsidRPr="0081082C">
        <w:rPr>
          <w:noProof/>
        </w:rPr>
        <w:t xml:space="preserve"> </w:t>
      </w:r>
      <w:r>
        <w:rPr>
          <w:noProof/>
        </w:rPr>
        <w:t xml:space="preserve">γευμάτων </w:t>
      </w:r>
      <w:r w:rsidRPr="0081082C">
        <w:rPr>
          <w:noProof/>
        </w:rPr>
        <w:t xml:space="preserve">ή με </w:t>
      </w:r>
      <w:r>
        <w:rPr>
          <w:noProof/>
        </w:rPr>
        <w:t>τροφή</w:t>
      </w:r>
      <w:r w:rsidRPr="0081082C">
        <w:rPr>
          <w:noProof/>
        </w:rPr>
        <w:t>, προκειμένου να αποφ</w:t>
      </w:r>
      <w:r>
        <w:rPr>
          <w:noProof/>
        </w:rPr>
        <w:t>ευχθεί η γαστρεντερική δυσφορία</w:t>
      </w:r>
      <w:r w:rsidRPr="0081082C">
        <w:rPr>
          <w:noProof/>
        </w:rPr>
        <w:t>. Εάν ένας ασθενής εμφανίσει</w:t>
      </w:r>
      <w:r w:rsidR="00B579C0">
        <w:rPr>
          <w:noProof/>
        </w:rPr>
        <w:t xml:space="preserve"> </w:t>
      </w:r>
      <w:r w:rsidR="00C76B9D">
        <w:rPr>
          <w:noProof/>
        </w:rPr>
        <w:t xml:space="preserve">ενοχλήσεις κατά την πέψη, </w:t>
      </w:r>
      <w:r w:rsidRPr="0081082C">
        <w:rPr>
          <w:noProof/>
        </w:rPr>
        <w:t>πρέπει να συμβουλεύ</w:t>
      </w:r>
      <w:r w:rsidR="00C76B9D">
        <w:rPr>
          <w:noProof/>
        </w:rPr>
        <w:t>ε</w:t>
      </w:r>
      <w:r w:rsidRPr="0081082C">
        <w:rPr>
          <w:noProof/>
        </w:rPr>
        <w:t>ται το γιατρό του πριν λάβ</w:t>
      </w:r>
      <w:r w:rsidR="00CE2C21">
        <w:rPr>
          <w:noProof/>
        </w:rPr>
        <w:t>ει</w:t>
      </w:r>
      <w:r w:rsidRPr="0081082C">
        <w:rPr>
          <w:noProof/>
        </w:rPr>
        <w:t xml:space="preserve"> το φάρμακο αυτό.</w:t>
      </w:r>
    </w:p>
    <w:p w:rsidR="0081082C" w:rsidRPr="0081082C" w:rsidRDefault="0081082C" w:rsidP="0081082C">
      <w:pPr>
        <w:rPr>
          <w:noProof/>
        </w:rPr>
      </w:pPr>
    </w:p>
    <w:p w:rsidR="00056716" w:rsidRDefault="0081082C" w:rsidP="0081082C">
      <w:pPr>
        <w:rPr>
          <w:noProof/>
        </w:rPr>
      </w:pPr>
      <w:r w:rsidRPr="0081082C">
        <w:rPr>
          <w:noProof/>
        </w:rPr>
        <w:t xml:space="preserve">Πάρτε </w:t>
      </w:r>
      <w:r w:rsidR="00C76B9D">
        <w:rPr>
          <w:noProof/>
        </w:rPr>
        <w:t xml:space="preserve">τα </w:t>
      </w:r>
      <w:r w:rsidR="00C76B9D" w:rsidRPr="0081082C">
        <w:rPr>
          <w:noProof/>
        </w:rPr>
        <w:t xml:space="preserve">δισκία </w:t>
      </w:r>
      <w:r w:rsidR="0058226E" w:rsidRPr="00060763">
        <w:rPr>
          <w:szCs w:val="22"/>
          <w:lang w:val="en-GB"/>
        </w:rPr>
        <w:t>Brufen</w:t>
      </w:r>
      <w:r w:rsidR="0058226E" w:rsidRPr="00C721EF">
        <w:rPr>
          <w:szCs w:val="22"/>
        </w:rPr>
        <w:t xml:space="preserve"> </w:t>
      </w:r>
      <w:r w:rsidR="0058226E" w:rsidRPr="00060763">
        <w:rPr>
          <w:szCs w:val="22"/>
          <w:lang w:val="en-GB"/>
        </w:rPr>
        <w:t>Plus</w:t>
      </w:r>
      <w:r w:rsidR="0058226E" w:rsidRPr="0058226E">
        <w:t xml:space="preserve"> </w:t>
      </w:r>
      <w:r w:rsidRPr="0081082C">
        <w:rPr>
          <w:noProof/>
        </w:rPr>
        <w:t>με ένα ποτήρι νερό.</w:t>
      </w:r>
      <w:r w:rsidR="00C76B9D">
        <w:rPr>
          <w:noProof/>
        </w:rPr>
        <w:t xml:space="preserve"> Τα δισκία</w:t>
      </w:r>
      <w:r w:rsidRPr="0081082C">
        <w:rPr>
          <w:noProof/>
        </w:rPr>
        <w:t xml:space="preserve"> </w:t>
      </w:r>
      <w:r w:rsidR="0058226E" w:rsidRPr="00060763">
        <w:rPr>
          <w:szCs w:val="22"/>
          <w:lang w:val="en-GB"/>
        </w:rPr>
        <w:t>Brufen</w:t>
      </w:r>
      <w:r w:rsidR="0058226E" w:rsidRPr="00C721EF">
        <w:rPr>
          <w:szCs w:val="22"/>
        </w:rPr>
        <w:t xml:space="preserve"> </w:t>
      </w:r>
      <w:r w:rsidR="0058226E" w:rsidRPr="00060763">
        <w:rPr>
          <w:szCs w:val="22"/>
          <w:lang w:val="en-GB"/>
        </w:rPr>
        <w:t>Plus</w:t>
      </w:r>
      <w:r w:rsidR="0058226E" w:rsidRPr="0058226E">
        <w:t xml:space="preserve"> </w:t>
      </w:r>
      <w:r w:rsidRPr="0081082C">
        <w:rPr>
          <w:noProof/>
        </w:rPr>
        <w:t xml:space="preserve">πρέπει να καταπίνονται ολόκληρα </w:t>
      </w:r>
      <w:r w:rsidR="00294C75">
        <w:rPr>
          <w:noProof/>
        </w:rPr>
        <w:t xml:space="preserve">και δεν πρέπει </w:t>
      </w:r>
      <w:r w:rsidRPr="0081082C">
        <w:rPr>
          <w:noProof/>
        </w:rPr>
        <w:t>να μασ</w:t>
      </w:r>
      <w:r w:rsidR="00C76B9D">
        <w:rPr>
          <w:noProof/>
        </w:rPr>
        <w:t>ώ</w:t>
      </w:r>
      <w:r w:rsidRPr="0081082C">
        <w:rPr>
          <w:noProof/>
        </w:rPr>
        <w:t xml:space="preserve">νται, </w:t>
      </w:r>
      <w:r w:rsidR="00C76B9D">
        <w:rPr>
          <w:noProof/>
        </w:rPr>
        <w:t xml:space="preserve">να σπάζονται, να </w:t>
      </w:r>
      <w:r w:rsidR="00463BAA">
        <w:rPr>
          <w:noProof/>
        </w:rPr>
        <w:t>θρυμματίζονται</w:t>
      </w:r>
      <w:r w:rsidR="00C76B9D">
        <w:rPr>
          <w:noProof/>
        </w:rPr>
        <w:t xml:space="preserve"> ή να </w:t>
      </w:r>
      <w:r w:rsidR="00294C75">
        <w:rPr>
          <w:noProof/>
        </w:rPr>
        <w:t xml:space="preserve">πιπιλίζονται </w:t>
      </w:r>
      <w:r w:rsidRPr="0081082C">
        <w:rPr>
          <w:noProof/>
        </w:rPr>
        <w:t xml:space="preserve">για να αποφευχθεί η </w:t>
      </w:r>
      <w:r w:rsidR="00C76B9D">
        <w:rPr>
          <w:noProof/>
        </w:rPr>
        <w:t xml:space="preserve">δυσφορία </w:t>
      </w:r>
      <w:r w:rsidRPr="0081082C">
        <w:rPr>
          <w:noProof/>
        </w:rPr>
        <w:t xml:space="preserve">του στόματος και </w:t>
      </w:r>
      <w:r w:rsidR="00C76B9D">
        <w:rPr>
          <w:noProof/>
        </w:rPr>
        <w:t xml:space="preserve">ο </w:t>
      </w:r>
      <w:r w:rsidRPr="0081082C">
        <w:rPr>
          <w:noProof/>
        </w:rPr>
        <w:t>ερεθισμός του λαιμού.</w:t>
      </w:r>
    </w:p>
    <w:p w:rsidR="00C76B9D" w:rsidRPr="00786D07" w:rsidRDefault="00C76B9D" w:rsidP="0081082C">
      <w:pPr>
        <w:rPr>
          <w:noProof/>
          <w:u w:val="single"/>
        </w:rPr>
      </w:pPr>
    </w:p>
    <w:p w:rsidR="00496809" w:rsidRPr="00786D07" w:rsidRDefault="00496809" w:rsidP="00CE2C21">
      <w:pPr>
        <w:tabs>
          <w:tab w:val="left" w:pos="567"/>
        </w:tabs>
      </w:pPr>
      <w:r w:rsidRPr="00786D07">
        <w:rPr>
          <w:b/>
        </w:rPr>
        <w:t>4.3</w:t>
      </w:r>
      <w:r w:rsidRPr="00786D07">
        <w:rPr>
          <w:b/>
        </w:rPr>
        <w:tab/>
        <w:t>Αντενδείξεις</w:t>
      </w:r>
    </w:p>
    <w:p w:rsidR="00496809" w:rsidRPr="00786D07" w:rsidRDefault="00496809"/>
    <w:p w:rsidR="008F6A8F" w:rsidRPr="00A006BD" w:rsidRDefault="008F6A8F" w:rsidP="008F6A8F">
      <w:r w:rsidRPr="00A006BD">
        <w:t>Υ</w:t>
      </w:r>
      <w:r w:rsidR="00A006BD" w:rsidRPr="00A006BD">
        <w:t>περευαισθησία στην ιβουπροφαίνη</w:t>
      </w:r>
      <w:r w:rsidRPr="00A006BD">
        <w:t xml:space="preserve">, </w:t>
      </w:r>
      <w:r w:rsidR="00A006BD" w:rsidRPr="00A006BD">
        <w:t xml:space="preserve">στην </w:t>
      </w:r>
      <w:r w:rsidRPr="00A006BD">
        <w:t>κωδεΐνη ή σε οποιοδήποτε από</w:t>
      </w:r>
      <w:r w:rsidR="00A006BD">
        <w:t xml:space="preserve"> τα έκδοχα</w:t>
      </w:r>
      <w:r w:rsidRPr="00A006BD">
        <w:t>.</w:t>
      </w:r>
    </w:p>
    <w:p w:rsidR="008F6A8F" w:rsidRPr="00A006BD" w:rsidRDefault="008F6A8F" w:rsidP="008F6A8F"/>
    <w:p w:rsidR="008F6A8F" w:rsidRPr="00A006BD" w:rsidRDefault="008F6A8F" w:rsidP="008F6A8F">
      <w:r w:rsidRPr="00A006BD">
        <w:t>Ενεργό ή ιστορικό υποτροπιάζοντο</w:t>
      </w:r>
      <w:r w:rsidR="007E45A9">
        <w:t>ς πεπτικού έλκους/αιμορραγίας (</w:t>
      </w:r>
      <w:r w:rsidRPr="00A006BD">
        <w:t>δύο ή περισσότερα επεισόδια αποδεδειγμέν</w:t>
      </w:r>
      <w:r w:rsidR="00A006BD" w:rsidRPr="00A006BD">
        <w:t>ου</w:t>
      </w:r>
      <w:r w:rsidRPr="00A006BD">
        <w:t xml:space="preserve"> έλκους ή αιμορραγίας).</w:t>
      </w:r>
    </w:p>
    <w:p w:rsidR="008F6A8F" w:rsidRPr="00A006BD" w:rsidRDefault="008F6A8F" w:rsidP="008F6A8F"/>
    <w:p w:rsidR="008F6A8F" w:rsidRPr="00A006BD" w:rsidRDefault="008F6A8F" w:rsidP="008F6A8F">
      <w:r w:rsidRPr="00A006BD">
        <w:t>Ιστορικό γαστρεντερικής αιμορραγίας ή διάτρησης που σχετίζ</w:t>
      </w:r>
      <w:r w:rsidR="007E45A9">
        <w:t>ε</w:t>
      </w:r>
      <w:r w:rsidRPr="00A006BD">
        <w:t xml:space="preserve">ται με </w:t>
      </w:r>
      <w:r w:rsidR="00A006BD" w:rsidRPr="00A006BD">
        <w:t xml:space="preserve">παλιότερη </w:t>
      </w:r>
      <w:r w:rsidRPr="00A006BD">
        <w:t>θεραπεία με ΜΣΑΦ</w:t>
      </w:r>
      <w:r w:rsidR="00A006BD">
        <w:t xml:space="preserve"> (Μη Στεροειδή Αντιφλεγμονώδη Φάρμακα)</w:t>
      </w:r>
      <w:r w:rsidRPr="00A006BD">
        <w:t>.</w:t>
      </w:r>
    </w:p>
    <w:p w:rsidR="008F6A8F" w:rsidRPr="00A006BD" w:rsidRDefault="008F6A8F" w:rsidP="008F6A8F"/>
    <w:p w:rsidR="008F6A8F" w:rsidRPr="00A006BD" w:rsidRDefault="007E45A9" w:rsidP="008F6A8F">
      <w:r>
        <w:t xml:space="preserve">Το </w:t>
      </w:r>
      <w:r w:rsidR="0058226E" w:rsidRPr="00060763">
        <w:rPr>
          <w:szCs w:val="22"/>
          <w:lang w:val="en-GB"/>
        </w:rPr>
        <w:t>Brufen</w:t>
      </w:r>
      <w:r w:rsidR="0058226E" w:rsidRPr="00C721EF">
        <w:rPr>
          <w:szCs w:val="22"/>
        </w:rPr>
        <w:t xml:space="preserve"> </w:t>
      </w:r>
      <w:r w:rsidR="0058226E" w:rsidRPr="00060763">
        <w:rPr>
          <w:szCs w:val="22"/>
          <w:lang w:val="en-GB"/>
        </w:rPr>
        <w:t>Plus</w:t>
      </w:r>
      <w:r w:rsidR="0058226E" w:rsidRPr="00A006BD">
        <w:t xml:space="preserve"> </w:t>
      </w:r>
      <w:r w:rsidR="008F6A8F" w:rsidRPr="00A006BD">
        <w:t xml:space="preserve">δεν πρέπει να χορηγείται σε ασθενείς που </w:t>
      </w:r>
      <w:r w:rsidR="00A006BD">
        <w:t>έχουν εμφανίσει</w:t>
      </w:r>
      <w:r w:rsidR="008F6A8F" w:rsidRPr="00A006BD">
        <w:t xml:space="preserve"> άσθμα, κνίδωση ή αντιδράσεις αλλεργικού τύπου μετά τη λήψη ακετυλ</w:t>
      </w:r>
      <w:r w:rsidR="00A006BD">
        <w:t>οσαλικυλικού οξέος ή άλλων ΜΣΑΦ</w:t>
      </w:r>
      <w:r w:rsidR="008F6A8F" w:rsidRPr="00A006BD">
        <w:t>.</w:t>
      </w:r>
    </w:p>
    <w:p w:rsidR="008F6A8F" w:rsidRPr="00A006BD" w:rsidRDefault="008F6A8F" w:rsidP="008F6A8F"/>
    <w:p w:rsidR="008F6A8F" w:rsidRPr="00A006BD" w:rsidRDefault="008F6A8F" w:rsidP="008F6A8F">
      <w:r w:rsidRPr="00A006BD">
        <w:t>Σοβαρό άσθμα ή αναπνευστική ανεπάρκεια.</w:t>
      </w:r>
    </w:p>
    <w:p w:rsidR="008F6A8F" w:rsidRPr="00A006BD" w:rsidRDefault="008F6A8F" w:rsidP="008F6A8F"/>
    <w:p w:rsidR="008F6A8F" w:rsidRPr="00A006BD" w:rsidRDefault="008F6A8F" w:rsidP="008F6A8F">
      <w:r w:rsidRPr="00A006BD">
        <w:t>Χρόνια δυσκοιλιότητα.</w:t>
      </w:r>
    </w:p>
    <w:p w:rsidR="008F6A8F" w:rsidRPr="00A006BD" w:rsidRDefault="008F6A8F" w:rsidP="008F6A8F"/>
    <w:p w:rsidR="008F6A8F" w:rsidRPr="00A006BD" w:rsidRDefault="008F6A8F" w:rsidP="008F6A8F">
      <w:r w:rsidRPr="00A006BD">
        <w:t>Σοβαρή καρδιακή ανεπάρκεια</w:t>
      </w:r>
      <w:r w:rsidR="00BB2A11">
        <w:t xml:space="preserve"> (Κατηγορία </w:t>
      </w:r>
      <w:r w:rsidR="00BB2A11">
        <w:rPr>
          <w:lang w:val="en-US"/>
        </w:rPr>
        <w:t>IV</w:t>
      </w:r>
      <w:r w:rsidR="00BB2A11" w:rsidRPr="00A30250">
        <w:t xml:space="preserve"> </w:t>
      </w:r>
      <w:r w:rsidR="00BB2A11">
        <w:t xml:space="preserve">κατά </w:t>
      </w:r>
      <w:r w:rsidR="00BB2A11">
        <w:rPr>
          <w:lang w:val="en-US"/>
        </w:rPr>
        <w:t>NYHA</w:t>
      </w:r>
      <w:r w:rsidR="00BB2A11" w:rsidRPr="00A30250">
        <w:t>)</w:t>
      </w:r>
      <w:r w:rsidRPr="00A006BD">
        <w:t>.</w:t>
      </w:r>
    </w:p>
    <w:p w:rsidR="008F6A8F" w:rsidRPr="00A006BD" w:rsidRDefault="008F6A8F" w:rsidP="008F6A8F"/>
    <w:p w:rsidR="008F6A8F" w:rsidRPr="00A006BD" w:rsidRDefault="00A006BD" w:rsidP="008F6A8F">
      <w:r w:rsidRPr="00A006BD">
        <w:t>Σοβαρή ηπατική ανεπάρκεια</w:t>
      </w:r>
      <w:r w:rsidR="008F6A8F" w:rsidRPr="00A006BD">
        <w:t>.</w:t>
      </w:r>
    </w:p>
    <w:p w:rsidR="008F6A8F" w:rsidRPr="00A006BD" w:rsidRDefault="008F6A8F" w:rsidP="008F6A8F"/>
    <w:p w:rsidR="008F6A8F" w:rsidRPr="00A006BD" w:rsidRDefault="008F6A8F" w:rsidP="008F6A8F">
      <w:r w:rsidRPr="00A006BD">
        <w:t>Σοβαρή νεφρική ανεπάρκεια (σπειραματική διήθηση μικρότερη από 30</w:t>
      </w:r>
      <w:r w:rsidR="00A006BD">
        <w:t> </w:t>
      </w:r>
      <w:r w:rsidRPr="00A006BD">
        <w:t>ml/min).</w:t>
      </w:r>
    </w:p>
    <w:p w:rsidR="008F6A8F" w:rsidRPr="004B65C5" w:rsidRDefault="008F6A8F" w:rsidP="008F6A8F"/>
    <w:p w:rsidR="008F6A8F" w:rsidRPr="004B65C5" w:rsidRDefault="008F6A8F" w:rsidP="008F6A8F">
      <w:r w:rsidRPr="004B65C5">
        <w:t>Φλεγμονώδη</w:t>
      </w:r>
      <w:r w:rsidR="004B65C5">
        <w:t>ς</w:t>
      </w:r>
      <w:r w:rsidRPr="004B65C5">
        <w:t xml:space="preserve"> νόσο</w:t>
      </w:r>
      <w:r w:rsidR="004B65C5">
        <w:t>ς</w:t>
      </w:r>
      <w:r w:rsidRPr="004B65C5">
        <w:t xml:space="preserve"> του εντέρου ή εντερική αιμορραγία.</w:t>
      </w:r>
    </w:p>
    <w:p w:rsidR="008F6A8F" w:rsidRPr="008F6A8F" w:rsidRDefault="008F6A8F" w:rsidP="008F6A8F">
      <w:pPr>
        <w:rPr>
          <w:highlight w:val="yellow"/>
        </w:rPr>
      </w:pPr>
    </w:p>
    <w:p w:rsidR="008F6A8F" w:rsidRPr="004B65C5" w:rsidRDefault="007E45A9" w:rsidP="008F6A8F">
      <w:r>
        <w:t xml:space="preserve">Το </w:t>
      </w:r>
      <w:r w:rsidR="00947287" w:rsidRPr="00060763">
        <w:rPr>
          <w:szCs w:val="22"/>
          <w:lang w:val="en-GB"/>
        </w:rPr>
        <w:t>Brufen</w:t>
      </w:r>
      <w:r w:rsidR="00947287" w:rsidRPr="00C721EF">
        <w:rPr>
          <w:szCs w:val="22"/>
        </w:rPr>
        <w:t xml:space="preserve"> </w:t>
      </w:r>
      <w:r w:rsidR="00947287" w:rsidRPr="00060763">
        <w:rPr>
          <w:szCs w:val="22"/>
          <w:lang w:val="en-GB"/>
        </w:rPr>
        <w:t>Plus</w:t>
      </w:r>
      <w:r w:rsidR="00947287" w:rsidRPr="0058226E">
        <w:t xml:space="preserve"> </w:t>
      </w:r>
      <w:r w:rsidR="008F6A8F" w:rsidRPr="004B65C5">
        <w:t>δεν πρέ</w:t>
      </w:r>
      <w:r>
        <w:t xml:space="preserve">πει να χορηγείται σε ασθενείς </w:t>
      </w:r>
      <w:r w:rsidR="00217FDE">
        <w:t xml:space="preserve">με αυξημένο κίνδυνο </w:t>
      </w:r>
      <w:r w:rsidR="008F6A8F" w:rsidRPr="004B65C5">
        <w:t>αιμορραγία</w:t>
      </w:r>
      <w:r w:rsidR="00217FDE">
        <w:t>ς</w:t>
      </w:r>
      <w:r w:rsidR="008F6A8F" w:rsidRPr="004B65C5">
        <w:t>.</w:t>
      </w:r>
    </w:p>
    <w:p w:rsidR="008F6A8F" w:rsidRPr="004B65C5" w:rsidRDefault="008F6A8F" w:rsidP="008F6A8F"/>
    <w:p w:rsidR="008F6A8F" w:rsidRPr="004B65C5" w:rsidRDefault="008F6A8F" w:rsidP="008F6A8F">
      <w:r w:rsidRPr="004B65C5">
        <w:t xml:space="preserve">Τρίτο τρίμηνο της </w:t>
      </w:r>
      <w:r w:rsidR="004B65C5">
        <w:t>κύησης</w:t>
      </w:r>
      <w:r w:rsidRPr="004B65C5">
        <w:t>.</w:t>
      </w:r>
    </w:p>
    <w:p w:rsidR="008F6A8F" w:rsidRPr="004B65C5" w:rsidRDefault="008F6A8F" w:rsidP="008F6A8F"/>
    <w:p w:rsidR="008F6A8F" w:rsidRPr="004B65C5" w:rsidRDefault="004B65C5" w:rsidP="008F6A8F">
      <w:r>
        <w:t>Γ</w:t>
      </w:r>
      <w:r w:rsidR="008F6A8F" w:rsidRPr="004B65C5">
        <w:t xml:space="preserve">υναίκες </w:t>
      </w:r>
      <w:r>
        <w:t>κατά τη διάρκεια του θηλασμού (</w:t>
      </w:r>
      <w:r w:rsidR="008F6A8F" w:rsidRPr="004B65C5">
        <w:t>βλ</w:t>
      </w:r>
      <w:r>
        <w:t>.</w:t>
      </w:r>
      <w:r w:rsidR="008F6A8F" w:rsidRPr="004B65C5">
        <w:t xml:space="preserve"> παράγραφο 4.6).</w:t>
      </w:r>
    </w:p>
    <w:p w:rsidR="008F6A8F" w:rsidRPr="004B65C5" w:rsidRDefault="008F6A8F" w:rsidP="008F6A8F"/>
    <w:p w:rsidR="00496809" w:rsidRDefault="004B65C5" w:rsidP="008F6A8F">
      <w:r>
        <w:t>Α</w:t>
      </w:r>
      <w:r w:rsidR="008F6A8F" w:rsidRPr="004B65C5">
        <w:t xml:space="preserve">σθενείς </w:t>
      </w:r>
      <w:r w:rsidR="00C47C4D">
        <w:t xml:space="preserve">για τους οποίους είναι γνωστό ότι έχουν </w:t>
      </w:r>
      <w:r w:rsidRPr="004B65C5">
        <w:t>υπερταχεία μεταβολική ικανότητα του CYP2D6</w:t>
      </w:r>
      <w:r>
        <w:t>.</w:t>
      </w:r>
    </w:p>
    <w:p w:rsidR="004B65C5" w:rsidRPr="004B65C5" w:rsidRDefault="004B65C5" w:rsidP="008F6A8F"/>
    <w:p w:rsidR="00496809" w:rsidRDefault="00496809" w:rsidP="00CE2C21">
      <w:pPr>
        <w:tabs>
          <w:tab w:val="left" w:pos="567"/>
        </w:tabs>
        <w:rPr>
          <w:b/>
        </w:rPr>
      </w:pPr>
      <w:r w:rsidRPr="004B65C5">
        <w:rPr>
          <w:b/>
        </w:rPr>
        <w:t>4.4</w:t>
      </w:r>
      <w:r w:rsidRPr="004B65C5">
        <w:rPr>
          <w:b/>
        </w:rPr>
        <w:tab/>
        <w:t>Ειδικές προειδοποιήσεις και προφυλάξεις κατά τη χρήση</w:t>
      </w:r>
    </w:p>
    <w:p w:rsidR="004B65C5" w:rsidRDefault="004B65C5" w:rsidP="008F6A8F">
      <w:pPr>
        <w:rPr>
          <w:b/>
          <w:i/>
        </w:rPr>
      </w:pPr>
    </w:p>
    <w:p w:rsidR="008F6A8F" w:rsidRPr="004B65C5" w:rsidRDefault="008F6A8F" w:rsidP="008F6A8F">
      <w:pPr>
        <w:rPr>
          <w:b/>
          <w:i/>
        </w:rPr>
      </w:pPr>
      <w:r w:rsidRPr="004B65C5">
        <w:rPr>
          <w:b/>
          <w:i/>
        </w:rPr>
        <w:t>Γενικές προειδοποιήσεις</w:t>
      </w:r>
    </w:p>
    <w:p w:rsidR="008F6A8F" w:rsidRPr="004B65C5" w:rsidRDefault="008F6A8F" w:rsidP="008F6A8F">
      <w:r w:rsidRPr="004B65C5">
        <w:t>Πρέπει να δίνεται προσοχή σε ασθενείς που λαμβάνουν ταυτόχρονα φάρμακα που θα μπορούσαν να αυξήσουν τον κίνδυνο έλκους ή αιμορραγίας.</w:t>
      </w:r>
    </w:p>
    <w:p w:rsidR="008F6A8F" w:rsidRPr="004B65C5" w:rsidRDefault="008F6A8F" w:rsidP="008F6A8F"/>
    <w:p w:rsidR="008F6A8F" w:rsidRPr="004B65C5" w:rsidRDefault="00A414B0" w:rsidP="008F6A8F">
      <w:r w:rsidRPr="00E404FE">
        <w:rPr>
          <w:noProof/>
        </w:rPr>
        <w:t>Οι ανεπιθύμητες ενέργειες μπορούν να ελαχιστοποιηθούν χρησιμοποιώντας τη μικρότερη αποτελεσματική δόση για τ</w:t>
      </w:r>
      <w:r w:rsidR="00C47C4D">
        <w:rPr>
          <w:noProof/>
        </w:rPr>
        <w:t>η</w:t>
      </w:r>
      <w:r w:rsidRPr="00E404FE">
        <w:rPr>
          <w:noProof/>
        </w:rPr>
        <w:t xml:space="preserve"> μικρότερ</w:t>
      </w:r>
      <w:r w:rsidR="00C47C4D">
        <w:rPr>
          <w:noProof/>
        </w:rPr>
        <w:t>η</w:t>
      </w:r>
      <w:r w:rsidRPr="00E404FE">
        <w:rPr>
          <w:noProof/>
        </w:rPr>
        <w:t xml:space="preserve"> χρονικ</w:t>
      </w:r>
      <w:r w:rsidR="00C47C4D">
        <w:rPr>
          <w:noProof/>
        </w:rPr>
        <w:t>ή</w:t>
      </w:r>
      <w:r w:rsidRPr="00E404FE">
        <w:rPr>
          <w:noProof/>
        </w:rPr>
        <w:t xml:space="preserve"> </w:t>
      </w:r>
      <w:r w:rsidR="00C47C4D">
        <w:rPr>
          <w:noProof/>
        </w:rPr>
        <w:t xml:space="preserve">περίοδο </w:t>
      </w:r>
      <w:r w:rsidRPr="00E404FE">
        <w:rPr>
          <w:noProof/>
        </w:rPr>
        <w:t xml:space="preserve">που απαιτείται για τον έλεγχο των συμπτωμάτων (βλέπε παράγραφο </w:t>
      </w:r>
      <w:r>
        <w:rPr>
          <w:noProof/>
        </w:rPr>
        <w:t>4</w:t>
      </w:r>
      <w:r w:rsidR="008F6A8F" w:rsidRPr="004B65C5">
        <w:t>.2 και το</w:t>
      </w:r>
      <w:r>
        <w:t>υς κινδύνους στο</w:t>
      </w:r>
      <w:r w:rsidR="008F6A8F" w:rsidRPr="004B65C5">
        <w:t xml:space="preserve"> γαστρεντερικό και το καρδιαγγειακό </w:t>
      </w:r>
      <w:r>
        <w:lastRenderedPageBreak/>
        <w:t xml:space="preserve">σύστημα </w:t>
      </w:r>
      <w:r w:rsidR="008F6A8F" w:rsidRPr="004B65C5">
        <w:t>παρακάτω).</w:t>
      </w:r>
    </w:p>
    <w:p w:rsidR="008F6A8F" w:rsidRPr="00A414B0" w:rsidRDefault="008F6A8F" w:rsidP="008F6A8F"/>
    <w:p w:rsidR="008F6A8F" w:rsidRPr="00A414B0" w:rsidRDefault="008F6A8F" w:rsidP="008F6A8F">
      <w:r w:rsidRPr="00A414B0">
        <w:t>Όπως και με άλλα ΜΣΑΦ, η ιβουπροφαίνη μπορεί να καλύψει τα συμπτώματα λοίμωξης.</w:t>
      </w:r>
    </w:p>
    <w:p w:rsidR="008F6A8F" w:rsidRPr="00A414B0" w:rsidRDefault="008F6A8F" w:rsidP="008F6A8F"/>
    <w:p w:rsidR="008F6A8F" w:rsidRPr="00A414B0" w:rsidRDefault="00A414B0" w:rsidP="008F6A8F">
      <w:r w:rsidRPr="00A414B0">
        <w:t>Οι η</w:t>
      </w:r>
      <w:r w:rsidR="008F6A8F" w:rsidRPr="00A414B0">
        <w:t xml:space="preserve">λικιωμένοι ασθενείς έχουν αυξημένη συχνότητα </w:t>
      </w:r>
      <w:r w:rsidRPr="00A414B0">
        <w:t>εμφάνισης ανεπιθύμητων ενεργειών από ΜΣΑΦ</w:t>
      </w:r>
      <w:r w:rsidR="008F6A8F" w:rsidRPr="00A414B0">
        <w:t>, ειδικά γαστρε</w:t>
      </w:r>
      <w:r w:rsidRPr="00A414B0">
        <w:t>ντερική αιμορραγία και διάτρηση</w:t>
      </w:r>
      <w:r w:rsidR="008F6A8F" w:rsidRPr="00A414B0">
        <w:t xml:space="preserve">, </w:t>
      </w:r>
      <w:r w:rsidRPr="00A414B0">
        <w:t>τα οποία μπορεί να αποβούν μοιραία</w:t>
      </w:r>
      <w:r w:rsidR="008F6A8F" w:rsidRPr="00A414B0">
        <w:t>.</w:t>
      </w:r>
    </w:p>
    <w:p w:rsidR="008F6A8F" w:rsidRPr="00A414B0" w:rsidRDefault="008F6A8F" w:rsidP="008F6A8F">
      <w:r w:rsidRPr="00A414B0">
        <w:t>Η κωδεΐνη μπορεί να πρ</w:t>
      </w:r>
      <w:r w:rsidR="00A414B0" w:rsidRPr="00A414B0">
        <w:t>οκαλέσει σύγχυση και υπερ</w:t>
      </w:r>
      <w:r w:rsidRPr="00A414B0">
        <w:t>καταστολή στους ηλικιωμένους. Αυτές οι ενέργειες μπορούν να ελαχιστοποιηθούν χρησιμοποιώντας τη μικρότερη αποτελεσματική δόση για το μικρότερο χρονικό διάστημα που απαιτείται</w:t>
      </w:r>
      <w:r w:rsidR="00A414B0" w:rsidRPr="00A414B0">
        <w:t xml:space="preserve"> για τον έλεγχο των συμπτωμάτων</w:t>
      </w:r>
      <w:r w:rsidRPr="00A414B0">
        <w:t>.</w:t>
      </w:r>
    </w:p>
    <w:p w:rsidR="008F6A8F" w:rsidRPr="00A414B0" w:rsidRDefault="008F6A8F" w:rsidP="008F6A8F"/>
    <w:p w:rsidR="008F6A8F" w:rsidRPr="00A414B0" w:rsidRDefault="00485917" w:rsidP="008F6A8F">
      <w:r>
        <w:t xml:space="preserve">Το </w:t>
      </w:r>
      <w:r w:rsidR="00947287" w:rsidRPr="00060763">
        <w:rPr>
          <w:szCs w:val="22"/>
          <w:lang w:val="en-GB"/>
        </w:rPr>
        <w:t>Brufen</w:t>
      </w:r>
      <w:r w:rsidR="00947287" w:rsidRPr="00C721EF">
        <w:rPr>
          <w:szCs w:val="22"/>
        </w:rPr>
        <w:t xml:space="preserve"> </w:t>
      </w:r>
      <w:r w:rsidR="00947287" w:rsidRPr="00060763">
        <w:rPr>
          <w:szCs w:val="22"/>
          <w:lang w:val="en-GB"/>
        </w:rPr>
        <w:t>Plus</w:t>
      </w:r>
      <w:r w:rsidR="00947287" w:rsidRPr="0058226E">
        <w:t xml:space="preserve"> </w:t>
      </w:r>
      <w:r w:rsidR="008F6A8F" w:rsidRPr="00A414B0">
        <w:t>πρέπει να χρησιμοποιείται με προσοχή σε ασθενείς με υπόταση</w:t>
      </w:r>
      <w:r w:rsidR="00A414B0" w:rsidRPr="00A414B0">
        <w:t>, υποθυρεοειδισμό</w:t>
      </w:r>
      <w:r w:rsidR="008F6A8F" w:rsidRPr="00A414B0">
        <w:t xml:space="preserve">, </w:t>
      </w:r>
      <w:r w:rsidR="00071E1A">
        <w:t>προδιάθεση</w:t>
      </w:r>
      <w:r w:rsidR="008F6A8F" w:rsidRPr="00A414B0">
        <w:t xml:space="preserve"> για σπασμούς, αυξημένη ενδοκρανιακή πίεση ή τραύμα στο κεφάλι.</w:t>
      </w:r>
    </w:p>
    <w:p w:rsidR="008F6A8F" w:rsidRPr="008F6A8F" w:rsidRDefault="008F6A8F" w:rsidP="008F6A8F">
      <w:pPr>
        <w:rPr>
          <w:highlight w:val="yellow"/>
        </w:rPr>
      </w:pPr>
    </w:p>
    <w:p w:rsidR="008F6A8F" w:rsidRPr="00A414B0" w:rsidRDefault="00485917" w:rsidP="008F6A8F">
      <w:r>
        <w:t xml:space="preserve">Το </w:t>
      </w:r>
      <w:r w:rsidR="00947287" w:rsidRPr="00060763">
        <w:rPr>
          <w:szCs w:val="22"/>
          <w:lang w:val="en-GB"/>
        </w:rPr>
        <w:t>Brufen</w:t>
      </w:r>
      <w:r w:rsidR="00947287" w:rsidRPr="00C721EF">
        <w:rPr>
          <w:szCs w:val="22"/>
        </w:rPr>
        <w:t xml:space="preserve"> </w:t>
      </w:r>
      <w:r w:rsidR="00947287" w:rsidRPr="00060763">
        <w:rPr>
          <w:szCs w:val="22"/>
          <w:lang w:val="en-GB"/>
        </w:rPr>
        <w:t>Plus</w:t>
      </w:r>
      <w:r w:rsidR="00947287" w:rsidRPr="0058226E">
        <w:t xml:space="preserve"> </w:t>
      </w:r>
      <w:r w:rsidR="008F6A8F" w:rsidRPr="00A414B0">
        <w:t>πρέπει να χρησιμοποιείται με προσοχή σε άτομα με ηπατική, νεφρική ή καρδιακή ανεπάρκεια</w:t>
      </w:r>
      <w:r w:rsidR="00A414B0">
        <w:t>, καθώς</w:t>
      </w:r>
      <w:r w:rsidR="008F6A8F" w:rsidRPr="00A414B0">
        <w:t xml:space="preserve"> η χρήση των ΜΣΑΦ μπορεί να επηρεάσει τη νεφρική λειτουργία. Σε αυτούς τους ασθενείς, η δόση του φαρμάκου πρέπει </w:t>
      </w:r>
      <w:r w:rsidR="00217FDE">
        <w:t>να είναι η ελάχιστη</w:t>
      </w:r>
      <w:r w:rsidR="008F6A8F" w:rsidRPr="00A414B0">
        <w:t xml:space="preserve"> και η ηπατική και νεφρική λειτουργία πρέπει να παρακολουθούνται τακτικά.</w:t>
      </w:r>
    </w:p>
    <w:p w:rsidR="008F6A8F" w:rsidRPr="00A414B0" w:rsidRDefault="008F6A8F" w:rsidP="008F6A8F"/>
    <w:p w:rsidR="008F6A8F" w:rsidRPr="00543006" w:rsidRDefault="008F6A8F" w:rsidP="008F6A8F">
      <w:r w:rsidRPr="00543006">
        <w:t>Η ταυτόχρονη χρήση αλκοόλ πρέπει να αποφεύγεται.</w:t>
      </w:r>
    </w:p>
    <w:p w:rsidR="008F6A8F" w:rsidRPr="00543006" w:rsidRDefault="008F6A8F" w:rsidP="008F6A8F"/>
    <w:p w:rsidR="008F6A8F" w:rsidRPr="00543006" w:rsidRDefault="00543006" w:rsidP="008F6A8F">
      <w:pPr>
        <w:rPr>
          <w:b/>
          <w:i/>
        </w:rPr>
      </w:pPr>
      <w:r w:rsidRPr="00543006">
        <w:rPr>
          <w:b/>
          <w:i/>
        </w:rPr>
        <w:t>Μ</w:t>
      </w:r>
      <w:r w:rsidR="008F6A8F" w:rsidRPr="00543006">
        <w:rPr>
          <w:b/>
          <w:i/>
        </w:rPr>
        <w:t>εταβολισμό</w:t>
      </w:r>
      <w:r w:rsidRPr="00543006">
        <w:rPr>
          <w:b/>
          <w:i/>
        </w:rPr>
        <w:t>ς</w:t>
      </w:r>
      <w:r w:rsidR="008F6A8F" w:rsidRPr="00543006">
        <w:rPr>
          <w:b/>
          <w:i/>
        </w:rPr>
        <w:t xml:space="preserve"> </w:t>
      </w:r>
      <w:r w:rsidRPr="00543006">
        <w:rPr>
          <w:b/>
          <w:i/>
        </w:rPr>
        <w:t xml:space="preserve">μέσω του </w:t>
      </w:r>
      <w:r w:rsidR="008F6A8F" w:rsidRPr="00543006">
        <w:rPr>
          <w:b/>
          <w:i/>
        </w:rPr>
        <w:t>CYP2D6</w:t>
      </w:r>
    </w:p>
    <w:p w:rsidR="00C47C4D" w:rsidRDefault="00C47C4D" w:rsidP="00C47C4D">
      <w:r>
        <w:t>Η κωδεΐνη μεταβολίζεται από το ένζυμο του ήπατος CYP2D6 σε μορφίνη, τον ενεργό μεταβολίτη της. Εάν ένας ασθενής έχει ανεπάρκεια ή παντελή έλλειψη του ενζύμου δεν θα επιτευχθεί επαρκής αναλγητική δράση. Εκτιμήσεις δείχνουν ότι μέχρι το 7% του πληθυσμού των Καυκασίων μπορεί να έχει αυτή την ανεπάρκεια. Ωστόσο, εάν ο ασθενής έχει εκτεταμένη ή υπερταχεία μεταβολική ικανότητα υπάρχει αυξημένος κίνδυνος εμφάνισης ανεπιθύμητων ενεργειών τοξικότητας από οπιοειδή</w:t>
      </w:r>
      <w:r w:rsidR="00947287">
        <w:t>,</w:t>
      </w:r>
      <w:r>
        <w:t xml:space="preserve"> ακόμη και σε συνήθεις συνταγογραφούμενες δόσεις. Οι ασθενείς αυτοί μετατρέπουν την κωδεΐνη σε μορφίνη ταχέως, με αποτέλεσμα</w:t>
      </w:r>
      <w:r w:rsidR="007E45A9">
        <w:t xml:space="preserve"> να παρατηρούνται</w:t>
      </w:r>
      <w:r>
        <w:t xml:space="preserve"> υψηλότερα από τ</w:t>
      </w:r>
      <w:r w:rsidR="00C90919">
        <w:t>α</w:t>
      </w:r>
      <w:r>
        <w:t xml:space="preserve"> αναμενόμενα επίπεδα μορφίνης στον ορό.</w:t>
      </w:r>
    </w:p>
    <w:p w:rsidR="003647A6" w:rsidRDefault="003647A6" w:rsidP="00C47C4D"/>
    <w:p w:rsidR="00C47C4D" w:rsidRDefault="003647A6" w:rsidP="00C47C4D">
      <w:r>
        <w:t>Τα γ</w:t>
      </w:r>
      <w:r w:rsidR="00C47C4D">
        <w:t xml:space="preserve">ενικά συμπτώματα της τοξικότητας από οπιοειδή περιλαμβάνουν σύγχυση, υπνηλία, </w:t>
      </w:r>
      <w:r w:rsidR="00217FDE">
        <w:t>επιφανειακή</w:t>
      </w:r>
      <w:r w:rsidR="00C47C4D">
        <w:t xml:space="preserve"> αναπνοή, συσταλμένες κόρες, ναυτία, έμετο, δυσκοιλιότητα και έλλειψη όρεξης. Σε σοβαρές περιπτώσεις μπορεί να περιλαμβάνει συμπτώματα καταστολής του κυκλοφορικού και αναπνευστικού, </w:t>
      </w:r>
      <w:r>
        <w:t>τα</w:t>
      </w:r>
      <w:r w:rsidR="00C47C4D">
        <w:t xml:space="preserve"> οποία μπορεί να είναι απειλητικ</w:t>
      </w:r>
      <w:r>
        <w:t>ά</w:t>
      </w:r>
      <w:r w:rsidR="00C47C4D">
        <w:t xml:space="preserve"> για τη ζωή και πολύ σπάνια θανατηφόρα.</w:t>
      </w:r>
    </w:p>
    <w:p w:rsidR="003647A6" w:rsidRDefault="003647A6" w:rsidP="00C47C4D"/>
    <w:p w:rsidR="008F6A8F" w:rsidRPr="008F6A8F" w:rsidRDefault="00C47C4D" w:rsidP="00C47C4D">
      <w:r>
        <w:t>Εκτιμήσεις για τον επιπολασμό της υπερταχείας μεταβολικής ικανότητας σε διαφορετικούς πληθυσμούς συνοψίζονται παρακάτω: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2977"/>
      </w:tblGrid>
      <w:tr w:rsidR="008F6A8F" w:rsidRPr="008F6A8F" w:rsidTr="00463BAA">
        <w:tblPrEx>
          <w:tblCellMar>
            <w:top w:w="0" w:type="dxa"/>
            <w:bottom w:w="0" w:type="dxa"/>
          </w:tblCellMar>
        </w:tblPrEx>
        <w:trPr>
          <w:trHeight w:val="121"/>
        </w:trPr>
        <w:tc>
          <w:tcPr>
            <w:tcW w:w="3119" w:type="dxa"/>
          </w:tcPr>
          <w:p w:rsidR="008F6A8F" w:rsidRPr="008F6A8F" w:rsidRDefault="003647A6" w:rsidP="003647A6">
            <w:pPr>
              <w:keepNext/>
              <w:tabs>
                <w:tab w:val="left" w:pos="567"/>
              </w:tabs>
              <w:spacing w:line="260" w:lineRule="exact"/>
              <w:rPr>
                <w:b/>
                <w:szCs w:val="22"/>
                <w:lang w:val="fi-FI"/>
              </w:rPr>
            </w:pPr>
            <w:r w:rsidRPr="00674A5D">
              <w:rPr>
                <w:b/>
                <w:szCs w:val="22"/>
              </w:rPr>
              <w:t>Πληθυσμός</w:t>
            </w:r>
          </w:p>
        </w:tc>
        <w:tc>
          <w:tcPr>
            <w:tcW w:w="2977" w:type="dxa"/>
          </w:tcPr>
          <w:p w:rsidR="008F6A8F" w:rsidRPr="008F6A8F" w:rsidRDefault="003647A6" w:rsidP="008F6A8F">
            <w:pPr>
              <w:keepNext/>
              <w:tabs>
                <w:tab w:val="left" w:pos="567"/>
              </w:tabs>
              <w:spacing w:line="260" w:lineRule="exact"/>
              <w:rPr>
                <w:b/>
                <w:szCs w:val="22"/>
                <w:lang w:val="fi-FI"/>
              </w:rPr>
            </w:pPr>
            <w:r w:rsidRPr="00674A5D">
              <w:rPr>
                <w:b/>
                <w:szCs w:val="22"/>
              </w:rPr>
              <w:t>Επιπολασμός</w:t>
            </w:r>
            <w:r w:rsidR="008F6A8F" w:rsidRPr="008F6A8F">
              <w:rPr>
                <w:b/>
                <w:szCs w:val="22"/>
                <w:lang w:val="fi-FI"/>
              </w:rPr>
              <w:t xml:space="preserve"> % </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Αφρικανοί/Αιθίοπες</w:t>
            </w:r>
          </w:p>
        </w:tc>
        <w:tc>
          <w:tcPr>
            <w:tcW w:w="2977" w:type="dxa"/>
          </w:tcPr>
          <w:p w:rsidR="008F6A8F" w:rsidRPr="00C90919" w:rsidRDefault="00C90919" w:rsidP="008F6A8F">
            <w:pPr>
              <w:keepNext/>
              <w:tabs>
                <w:tab w:val="left" w:pos="567"/>
              </w:tabs>
              <w:spacing w:line="260" w:lineRule="exact"/>
              <w:rPr>
                <w:szCs w:val="22"/>
              </w:rPr>
            </w:pPr>
            <w:r>
              <w:rPr>
                <w:szCs w:val="22"/>
                <w:lang w:val="fi-FI"/>
              </w:rPr>
              <w:t>29%</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lang w:val="fi-FI"/>
              </w:rPr>
            </w:pPr>
            <w:r w:rsidRPr="00674A5D">
              <w:rPr>
                <w:szCs w:val="22"/>
              </w:rPr>
              <w:t>Αφρο-αμερικάνοι</w:t>
            </w:r>
            <w:r w:rsidR="008F6A8F" w:rsidRPr="008F6A8F">
              <w:rPr>
                <w:szCs w:val="22"/>
                <w:lang w:val="fi-FI"/>
              </w:rPr>
              <w:t xml:space="preserve"> </w:t>
            </w:r>
          </w:p>
        </w:tc>
        <w:tc>
          <w:tcPr>
            <w:tcW w:w="2977" w:type="dxa"/>
          </w:tcPr>
          <w:p w:rsidR="008F6A8F" w:rsidRPr="00C90919" w:rsidRDefault="00674A5D" w:rsidP="00674A5D">
            <w:pPr>
              <w:keepNext/>
              <w:tabs>
                <w:tab w:val="left" w:pos="567"/>
              </w:tabs>
              <w:spacing w:line="260" w:lineRule="exact"/>
              <w:rPr>
                <w:szCs w:val="22"/>
              </w:rPr>
            </w:pPr>
            <w:r w:rsidRPr="00674A5D">
              <w:rPr>
                <w:szCs w:val="22"/>
                <w:lang w:val="fi-FI"/>
              </w:rPr>
              <w:t>3</w:t>
            </w:r>
            <w:r w:rsidRPr="00674A5D">
              <w:rPr>
                <w:szCs w:val="22"/>
              </w:rPr>
              <w:t>,</w:t>
            </w:r>
            <w:r w:rsidRPr="00674A5D">
              <w:rPr>
                <w:szCs w:val="22"/>
                <w:lang w:val="fi-FI"/>
              </w:rPr>
              <w:t xml:space="preserve">4% </w:t>
            </w:r>
            <w:r w:rsidRPr="00674A5D">
              <w:rPr>
                <w:szCs w:val="22"/>
              </w:rPr>
              <w:t>έως</w:t>
            </w:r>
            <w:r w:rsidR="008F6A8F" w:rsidRPr="008F6A8F">
              <w:rPr>
                <w:szCs w:val="22"/>
                <w:lang w:val="fi-FI"/>
              </w:rPr>
              <w:t xml:space="preserve"> 6</w:t>
            </w:r>
            <w:r w:rsidRPr="00674A5D">
              <w:rPr>
                <w:szCs w:val="22"/>
              </w:rPr>
              <w:t>,</w:t>
            </w:r>
            <w:r w:rsidR="00C90919">
              <w:rPr>
                <w:szCs w:val="22"/>
                <w:lang w:val="fi-FI"/>
              </w:rPr>
              <w:t>5%</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Ασιάτες</w:t>
            </w:r>
          </w:p>
        </w:tc>
        <w:tc>
          <w:tcPr>
            <w:tcW w:w="2977" w:type="dxa"/>
          </w:tcPr>
          <w:p w:rsidR="008F6A8F" w:rsidRPr="00C90919" w:rsidRDefault="00674A5D" w:rsidP="008F6A8F">
            <w:pPr>
              <w:keepNext/>
              <w:tabs>
                <w:tab w:val="left" w:pos="567"/>
              </w:tabs>
              <w:spacing w:line="260" w:lineRule="exact"/>
              <w:rPr>
                <w:szCs w:val="22"/>
              </w:rPr>
            </w:pPr>
            <w:r w:rsidRPr="00674A5D">
              <w:rPr>
                <w:szCs w:val="22"/>
                <w:lang w:val="fi-FI"/>
              </w:rPr>
              <w:t>1</w:t>
            </w:r>
            <w:r w:rsidRPr="00674A5D">
              <w:rPr>
                <w:szCs w:val="22"/>
              </w:rPr>
              <w:t>,</w:t>
            </w:r>
            <w:r w:rsidRPr="00674A5D">
              <w:rPr>
                <w:szCs w:val="22"/>
                <w:lang w:val="fi-FI"/>
              </w:rPr>
              <w:t xml:space="preserve">2% </w:t>
            </w:r>
            <w:r w:rsidRPr="00674A5D">
              <w:rPr>
                <w:szCs w:val="22"/>
              </w:rPr>
              <w:t>έως</w:t>
            </w:r>
            <w:r w:rsidR="00C90919">
              <w:rPr>
                <w:szCs w:val="22"/>
                <w:lang w:val="fi-FI"/>
              </w:rPr>
              <w:t xml:space="preserve"> 2%</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Καυκάσιοι</w:t>
            </w:r>
          </w:p>
        </w:tc>
        <w:tc>
          <w:tcPr>
            <w:tcW w:w="2977" w:type="dxa"/>
          </w:tcPr>
          <w:p w:rsidR="008F6A8F" w:rsidRPr="00C90919" w:rsidRDefault="00674A5D" w:rsidP="00674A5D">
            <w:pPr>
              <w:keepNext/>
              <w:tabs>
                <w:tab w:val="left" w:pos="567"/>
              </w:tabs>
              <w:spacing w:line="260" w:lineRule="exact"/>
              <w:rPr>
                <w:szCs w:val="22"/>
              </w:rPr>
            </w:pPr>
            <w:r w:rsidRPr="00674A5D">
              <w:rPr>
                <w:szCs w:val="22"/>
                <w:lang w:val="fi-FI"/>
              </w:rPr>
              <w:t>3</w:t>
            </w:r>
            <w:r w:rsidRPr="00674A5D">
              <w:rPr>
                <w:szCs w:val="22"/>
              </w:rPr>
              <w:t>,</w:t>
            </w:r>
            <w:r w:rsidR="008F6A8F" w:rsidRPr="008F6A8F">
              <w:rPr>
                <w:szCs w:val="22"/>
                <w:lang w:val="fi-FI"/>
              </w:rPr>
              <w:t xml:space="preserve">6% </w:t>
            </w:r>
            <w:r w:rsidRPr="00674A5D">
              <w:rPr>
                <w:szCs w:val="22"/>
              </w:rPr>
              <w:t>έως</w:t>
            </w:r>
            <w:r w:rsidR="008F6A8F" w:rsidRPr="008F6A8F">
              <w:rPr>
                <w:szCs w:val="22"/>
                <w:lang w:val="fi-FI"/>
              </w:rPr>
              <w:t xml:space="preserve"> 6</w:t>
            </w:r>
            <w:r w:rsidRPr="00674A5D">
              <w:rPr>
                <w:szCs w:val="22"/>
              </w:rPr>
              <w:t>,</w:t>
            </w:r>
            <w:r w:rsidR="00C90919">
              <w:rPr>
                <w:szCs w:val="22"/>
                <w:lang w:val="fi-FI"/>
              </w:rPr>
              <w:t>5%</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Έλληνες</w:t>
            </w:r>
          </w:p>
        </w:tc>
        <w:tc>
          <w:tcPr>
            <w:tcW w:w="2977" w:type="dxa"/>
          </w:tcPr>
          <w:p w:rsidR="008F6A8F" w:rsidRPr="00C90919" w:rsidRDefault="00674A5D" w:rsidP="008F6A8F">
            <w:pPr>
              <w:keepNext/>
              <w:tabs>
                <w:tab w:val="left" w:pos="567"/>
              </w:tabs>
              <w:spacing w:line="260" w:lineRule="exact"/>
              <w:rPr>
                <w:szCs w:val="22"/>
              </w:rPr>
            </w:pPr>
            <w:r w:rsidRPr="00674A5D">
              <w:rPr>
                <w:szCs w:val="22"/>
                <w:lang w:val="fi-FI"/>
              </w:rPr>
              <w:t>6</w:t>
            </w:r>
            <w:r w:rsidRPr="00674A5D">
              <w:rPr>
                <w:szCs w:val="22"/>
              </w:rPr>
              <w:t>,</w:t>
            </w:r>
            <w:r w:rsidR="00C90919">
              <w:rPr>
                <w:szCs w:val="22"/>
                <w:lang w:val="fi-FI"/>
              </w:rPr>
              <w:t>0%</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Ούγγροι</w:t>
            </w:r>
          </w:p>
        </w:tc>
        <w:tc>
          <w:tcPr>
            <w:tcW w:w="2977" w:type="dxa"/>
          </w:tcPr>
          <w:p w:rsidR="008F6A8F" w:rsidRPr="00C90919" w:rsidRDefault="00674A5D" w:rsidP="008F6A8F">
            <w:pPr>
              <w:keepNext/>
              <w:tabs>
                <w:tab w:val="left" w:pos="567"/>
              </w:tabs>
              <w:spacing w:line="260" w:lineRule="exact"/>
              <w:rPr>
                <w:szCs w:val="22"/>
              </w:rPr>
            </w:pPr>
            <w:r w:rsidRPr="00674A5D">
              <w:rPr>
                <w:szCs w:val="22"/>
                <w:lang w:val="fi-FI"/>
              </w:rPr>
              <w:t>1</w:t>
            </w:r>
            <w:r w:rsidRPr="00674A5D">
              <w:rPr>
                <w:szCs w:val="22"/>
              </w:rPr>
              <w:t>,</w:t>
            </w:r>
            <w:r w:rsidR="00C90919">
              <w:rPr>
                <w:szCs w:val="22"/>
                <w:lang w:val="fi-FI"/>
              </w:rPr>
              <w:t>9%</w:t>
            </w:r>
          </w:p>
        </w:tc>
      </w:tr>
      <w:tr w:rsidR="008F6A8F" w:rsidRPr="008F6A8F" w:rsidTr="00463BAA">
        <w:tblPrEx>
          <w:tblCellMar>
            <w:top w:w="0" w:type="dxa"/>
            <w:bottom w:w="0" w:type="dxa"/>
          </w:tblCellMar>
        </w:tblPrEx>
        <w:trPr>
          <w:trHeight w:val="121"/>
        </w:trPr>
        <w:tc>
          <w:tcPr>
            <w:tcW w:w="3119" w:type="dxa"/>
          </w:tcPr>
          <w:p w:rsidR="008F6A8F" w:rsidRPr="008F6A8F" w:rsidRDefault="00674A5D" w:rsidP="008F6A8F">
            <w:pPr>
              <w:keepNext/>
              <w:tabs>
                <w:tab w:val="left" w:pos="567"/>
              </w:tabs>
              <w:spacing w:line="260" w:lineRule="exact"/>
              <w:rPr>
                <w:szCs w:val="22"/>
              </w:rPr>
            </w:pPr>
            <w:r w:rsidRPr="00674A5D">
              <w:rPr>
                <w:szCs w:val="22"/>
              </w:rPr>
              <w:t>Βορειοευρωπαίοι</w:t>
            </w:r>
          </w:p>
        </w:tc>
        <w:tc>
          <w:tcPr>
            <w:tcW w:w="2977" w:type="dxa"/>
          </w:tcPr>
          <w:p w:rsidR="008F6A8F" w:rsidRPr="00C90919" w:rsidRDefault="00C90919" w:rsidP="008F6A8F">
            <w:pPr>
              <w:keepNext/>
              <w:tabs>
                <w:tab w:val="left" w:pos="567"/>
              </w:tabs>
              <w:spacing w:line="260" w:lineRule="exact"/>
              <w:rPr>
                <w:szCs w:val="22"/>
              </w:rPr>
            </w:pPr>
            <w:r>
              <w:rPr>
                <w:szCs w:val="22"/>
                <w:lang w:val="fi-FI"/>
              </w:rPr>
              <w:t>1%-2%</w:t>
            </w:r>
          </w:p>
        </w:tc>
      </w:tr>
    </w:tbl>
    <w:p w:rsidR="00056716" w:rsidRPr="008F6A8F" w:rsidRDefault="00056716" w:rsidP="00056716">
      <w:pPr>
        <w:rPr>
          <w:i/>
          <w:noProof/>
          <w:highlight w:val="yellow"/>
        </w:rPr>
      </w:pPr>
    </w:p>
    <w:p w:rsidR="008F6A8F" w:rsidRPr="00C85721" w:rsidRDefault="00C85721" w:rsidP="008F6A8F">
      <w:pPr>
        <w:rPr>
          <w:b/>
          <w:i/>
          <w:noProof/>
          <w:highlight w:val="yellow"/>
        </w:rPr>
      </w:pPr>
      <w:r w:rsidRPr="00C85721">
        <w:rPr>
          <w:b/>
          <w:i/>
          <w:noProof/>
        </w:rPr>
        <w:t>Γ</w:t>
      </w:r>
      <w:r w:rsidR="008F6A8F" w:rsidRPr="00C85721">
        <w:rPr>
          <w:b/>
          <w:i/>
          <w:noProof/>
        </w:rPr>
        <w:t>υναικεία γονιμότητα</w:t>
      </w:r>
    </w:p>
    <w:p w:rsidR="008F6A8F" w:rsidRPr="00C85721" w:rsidRDefault="008F6A8F" w:rsidP="008F6A8F">
      <w:pPr>
        <w:rPr>
          <w:noProof/>
        </w:rPr>
      </w:pPr>
      <w:r w:rsidRPr="00C85721">
        <w:rPr>
          <w:noProof/>
        </w:rPr>
        <w:t xml:space="preserve">Η χρήση </w:t>
      </w:r>
      <w:r w:rsidR="00485917">
        <w:rPr>
          <w:noProof/>
        </w:rPr>
        <w:t xml:space="preserve">του </w:t>
      </w:r>
      <w:r w:rsidR="00947287" w:rsidRPr="00060763">
        <w:rPr>
          <w:szCs w:val="22"/>
          <w:lang w:val="en-GB"/>
        </w:rPr>
        <w:t>Brufen</w:t>
      </w:r>
      <w:r w:rsidR="00947287" w:rsidRPr="00C721EF">
        <w:rPr>
          <w:szCs w:val="22"/>
        </w:rPr>
        <w:t xml:space="preserve"> </w:t>
      </w:r>
      <w:r w:rsidR="00947287" w:rsidRPr="00060763">
        <w:rPr>
          <w:szCs w:val="22"/>
          <w:lang w:val="en-GB"/>
        </w:rPr>
        <w:t>Plus</w:t>
      </w:r>
      <w:r w:rsidR="00947287" w:rsidRPr="0058226E">
        <w:t xml:space="preserve"> </w:t>
      </w:r>
      <w:r w:rsidRPr="00C85721">
        <w:rPr>
          <w:noProof/>
        </w:rPr>
        <w:t xml:space="preserve">μπορεί να επηρεάσει τη γυναικεία γονιμότητα και δεν συνιστάται για τις γυναίκες που προσπαθούν να μείνουν έγκυες. Η διακοπή της </w:t>
      </w:r>
      <w:r w:rsidR="00C85721" w:rsidRPr="00C85721">
        <w:rPr>
          <w:noProof/>
        </w:rPr>
        <w:t xml:space="preserve">θεραπείας με </w:t>
      </w:r>
      <w:r w:rsidR="00947287" w:rsidRPr="00060763">
        <w:rPr>
          <w:szCs w:val="22"/>
          <w:lang w:val="en-GB"/>
        </w:rPr>
        <w:t>Brufen</w:t>
      </w:r>
      <w:r w:rsidR="00947287" w:rsidRPr="00C721EF">
        <w:rPr>
          <w:szCs w:val="22"/>
        </w:rPr>
        <w:t xml:space="preserve"> </w:t>
      </w:r>
      <w:r w:rsidR="00947287" w:rsidRPr="00060763">
        <w:rPr>
          <w:szCs w:val="22"/>
          <w:lang w:val="en-GB"/>
        </w:rPr>
        <w:t>Plus</w:t>
      </w:r>
      <w:r w:rsidR="00947287" w:rsidRPr="00490BF3">
        <w:t xml:space="preserve"> </w:t>
      </w:r>
      <w:r w:rsidRPr="00C85721">
        <w:rPr>
          <w:noProof/>
        </w:rPr>
        <w:t>πρέπει να εξετάζεται εάν η γυναίκα έχει πρόβλημα να συλλάβ</w:t>
      </w:r>
      <w:r w:rsidR="00C85721" w:rsidRPr="00C85721">
        <w:rPr>
          <w:noProof/>
        </w:rPr>
        <w:t>ει</w:t>
      </w:r>
      <w:r w:rsidRPr="00C85721">
        <w:rPr>
          <w:noProof/>
        </w:rPr>
        <w:t xml:space="preserve"> ή </w:t>
      </w:r>
      <w:r w:rsidR="00C85721" w:rsidRPr="00C85721">
        <w:rPr>
          <w:noProof/>
        </w:rPr>
        <w:t>ελέγχεται</w:t>
      </w:r>
      <w:r w:rsidRPr="00C85721">
        <w:rPr>
          <w:noProof/>
        </w:rPr>
        <w:t xml:space="preserve"> για υπογονιμότητα.</w:t>
      </w:r>
    </w:p>
    <w:p w:rsidR="008F6A8F" w:rsidRPr="00C85721" w:rsidRDefault="008F6A8F" w:rsidP="008F6A8F">
      <w:pPr>
        <w:rPr>
          <w:noProof/>
        </w:rPr>
      </w:pPr>
    </w:p>
    <w:p w:rsidR="008F6A8F" w:rsidRPr="00C85721" w:rsidRDefault="008F6A8F" w:rsidP="008F6A8F">
      <w:pPr>
        <w:rPr>
          <w:b/>
          <w:i/>
          <w:noProof/>
        </w:rPr>
      </w:pPr>
      <w:r w:rsidRPr="00C85721">
        <w:rPr>
          <w:b/>
          <w:i/>
          <w:noProof/>
        </w:rPr>
        <w:t>Γαστρεντερική αιμορραγία, εξέλκωση και διάτρηση</w:t>
      </w:r>
    </w:p>
    <w:p w:rsidR="008F6A8F" w:rsidRPr="00C85721" w:rsidRDefault="008F6A8F" w:rsidP="008F6A8F">
      <w:pPr>
        <w:rPr>
          <w:noProof/>
        </w:rPr>
      </w:pPr>
      <w:r w:rsidRPr="00C85721">
        <w:rPr>
          <w:noProof/>
        </w:rPr>
        <w:t xml:space="preserve">Γαστρεντερική αιμορραγία, εξέλκωση ή διάτρηση, </w:t>
      </w:r>
      <w:r w:rsidR="00217FDE">
        <w:rPr>
          <w:noProof/>
        </w:rPr>
        <w:t>που</w:t>
      </w:r>
      <w:r w:rsidRPr="00C85721">
        <w:rPr>
          <w:noProof/>
        </w:rPr>
        <w:t xml:space="preserve"> μπορεί να αποβ</w:t>
      </w:r>
      <w:r w:rsidR="00C85721" w:rsidRPr="00C85721">
        <w:rPr>
          <w:noProof/>
        </w:rPr>
        <w:t>ούν</w:t>
      </w:r>
      <w:r w:rsidRPr="00C85721">
        <w:rPr>
          <w:noProof/>
        </w:rPr>
        <w:t xml:space="preserve"> μοιραία, έχ</w:t>
      </w:r>
      <w:r w:rsidR="00C85721" w:rsidRPr="00C85721">
        <w:rPr>
          <w:noProof/>
        </w:rPr>
        <w:t>ουν</w:t>
      </w:r>
      <w:r w:rsidRPr="00C85721">
        <w:rPr>
          <w:noProof/>
        </w:rPr>
        <w:t xml:space="preserve"> αναφερθεί με όλα τα ΜΣΑΦ σε οποιαδήποτε στιγμή κατά τη διάρκεια της θεραπείας, με ή χωρίς προειδοποιητικά συμπτώματα ή προηγούμενο ιστορικό σοβαρών γαστρεντερικών συμβαμάτων.</w:t>
      </w:r>
    </w:p>
    <w:p w:rsidR="008F6A8F" w:rsidRPr="00EC13D2" w:rsidRDefault="008F6A8F" w:rsidP="008F6A8F">
      <w:pPr>
        <w:rPr>
          <w:noProof/>
        </w:rPr>
      </w:pPr>
    </w:p>
    <w:p w:rsidR="008F6A8F" w:rsidRPr="003D4FB9" w:rsidRDefault="008F6A8F" w:rsidP="008F6A8F">
      <w:pPr>
        <w:rPr>
          <w:noProof/>
        </w:rPr>
      </w:pPr>
      <w:r w:rsidRPr="00EC13D2">
        <w:rPr>
          <w:noProof/>
        </w:rPr>
        <w:t xml:space="preserve">Ο κίνδυνος </w:t>
      </w:r>
      <w:r w:rsidR="00EC13D2" w:rsidRPr="00EC13D2">
        <w:rPr>
          <w:noProof/>
        </w:rPr>
        <w:t xml:space="preserve">γαστρεντερικής </w:t>
      </w:r>
      <w:r w:rsidRPr="00EC13D2">
        <w:rPr>
          <w:noProof/>
        </w:rPr>
        <w:t>αιμορραγίας, εξέλκωση</w:t>
      </w:r>
      <w:r w:rsidR="00EC13D2" w:rsidRPr="00EC13D2">
        <w:rPr>
          <w:noProof/>
        </w:rPr>
        <w:t>ς</w:t>
      </w:r>
      <w:r w:rsidRPr="00EC13D2">
        <w:rPr>
          <w:noProof/>
        </w:rPr>
        <w:t xml:space="preserve"> ή διάτρηση</w:t>
      </w:r>
      <w:r w:rsidR="00EC13D2" w:rsidRPr="00EC13D2">
        <w:rPr>
          <w:noProof/>
        </w:rPr>
        <w:t>ς</w:t>
      </w:r>
      <w:r w:rsidRPr="00EC13D2">
        <w:rPr>
          <w:noProof/>
        </w:rPr>
        <w:t xml:space="preserve"> είναι μεγαλύτερος με την αύξηση </w:t>
      </w:r>
      <w:r w:rsidR="00EC13D2" w:rsidRPr="00EC13D2">
        <w:rPr>
          <w:noProof/>
        </w:rPr>
        <w:t xml:space="preserve">των </w:t>
      </w:r>
      <w:r w:rsidRPr="00EC13D2">
        <w:rPr>
          <w:noProof/>
        </w:rPr>
        <w:t>δόσε</w:t>
      </w:r>
      <w:r w:rsidR="00EC13D2" w:rsidRPr="00EC13D2">
        <w:rPr>
          <w:noProof/>
        </w:rPr>
        <w:t>ων</w:t>
      </w:r>
      <w:r w:rsidRPr="00EC13D2">
        <w:rPr>
          <w:noProof/>
        </w:rPr>
        <w:t xml:space="preserve"> των ΜΣΑΦ σε ασθενείς με ιστορικό έλκους, ιδιαίτερα αν αυτό </w:t>
      </w:r>
      <w:r w:rsidR="00EC13D2" w:rsidRPr="00EC13D2">
        <w:rPr>
          <w:noProof/>
        </w:rPr>
        <w:t xml:space="preserve">συνδέεται </w:t>
      </w:r>
      <w:r w:rsidRPr="00EC13D2">
        <w:rPr>
          <w:noProof/>
        </w:rPr>
        <w:t>με αιμορραγία ή διάτρηση (βλ. παράγραφο 4.3), και στους ηλικιωμ</w:t>
      </w:r>
      <w:r w:rsidR="00EC13D2" w:rsidRPr="00EC13D2">
        <w:rPr>
          <w:noProof/>
        </w:rPr>
        <w:t>ένους</w:t>
      </w:r>
      <w:r w:rsidRPr="00EC13D2">
        <w:rPr>
          <w:noProof/>
        </w:rPr>
        <w:t xml:space="preserve">. Οι ασθενείς αυτοί πρέπει να αρχίσουν τη </w:t>
      </w:r>
      <w:r w:rsidRPr="003D4FB9">
        <w:rPr>
          <w:noProof/>
        </w:rPr>
        <w:t>θεραπεία με την</w:t>
      </w:r>
      <w:r w:rsidR="00EC13D2" w:rsidRPr="003D4FB9">
        <w:rPr>
          <w:noProof/>
        </w:rPr>
        <w:t xml:space="preserve"> ελάχιστη διαθέσιμη δόση</w:t>
      </w:r>
      <w:r w:rsidRPr="003D4FB9">
        <w:rPr>
          <w:noProof/>
        </w:rPr>
        <w:t>.</w:t>
      </w:r>
    </w:p>
    <w:p w:rsidR="008F6A8F" w:rsidRPr="003D4FB9" w:rsidRDefault="008F6A8F" w:rsidP="008F6A8F">
      <w:pPr>
        <w:rPr>
          <w:noProof/>
        </w:rPr>
      </w:pPr>
    </w:p>
    <w:p w:rsidR="008F6A8F" w:rsidRPr="003D4FB9" w:rsidRDefault="00F06E13" w:rsidP="008F6A8F">
      <w:pPr>
        <w:rPr>
          <w:noProof/>
        </w:rPr>
      </w:pPr>
      <w:r w:rsidRPr="003D4FB9">
        <w:rPr>
          <w:noProof/>
        </w:rPr>
        <w:t xml:space="preserve">Η </w:t>
      </w:r>
      <w:r w:rsidR="00217FDE">
        <w:rPr>
          <w:noProof/>
        </w:rPr>
        <w:t>συγ</w:t>
      </w:r>
      <w:r w:rsidRPr="003D4FB9">
        <w:rPr>
          <w:noProof/>
        </w:rPr>
        <w:t xml:space="preserve">χορήγηση </w:t>
      </w:r>
      <w:r w:rsidR="008F6A8F" w:rsidRPr="003D4FB9">
        <w:rPr>
          <w:noProof/>
        </w:rPr>
        <w:t>με προστατευτικ</w:t>
      </w:r>
      <w:r w:rsidR="003D4FB9" w:rsidRPr="003D4FB9">
        <w:rPr>
          <w:noProof/>
        </w:rPr>
        <w:t>ούς</w:t>
      </w:r>
      <w:r w:rsidR="008F6A8F" w:rsidRPr="003D4FB9">
        <w:rPr>
          <w:noProof/>
        </w:rPr>
        <w:t xml:space="preserve"> </w:t>
      </w:r>
      <w:r w:rsidR="003D4FB9" w:rsidRPr="003D4FB9">
        <w:rPr>
          <w:noProof/>
        </w:rPr>
        <w:t>παράγοντες</w:t>
      </w:r>
      <w:r w:rsidR="008F6A8F" w:rsidRPr="003D4FB9">
        <w:rPr>
          <w:noProof/>
        </w:rPr>
        <w:t xml:space="preserve"> (π.χ. μισοπροστόλη ή αναστολείς </w:t>
      </w:r>
      <w:r w:rsidRPr="003D4FB9">
        <w:rPr>
          <w:noProof/>
        </w:rPr>
        <w:t xml:space="preserve">της </w:t>
      </w:r>
      <w:r w:rsidR="008F6A8F" w:rsidRPr="003D4FB9">
        <w:rPr>
          <w:noProof/>
        </w:rPr>
        <w:t xml:space="preserve">αντλίας πρωτονίων) πρέπει να </w:t>
      </w:r>
      <w:r w:rsidRPr="003D4FB9">
        <w:rPr>
          <w:noProof/>
        </w:rPr>
        <w:t>εξετάζεται</w:t>
      </w:r>
      <w:r w:rsidR="008F6A8F" w:rsidRPr="003D4FB9">
        <w:rPr>
          <w:noProof/>
        </w:rPr>
        <w:t xml:space="preserve"> για αυτούς τους ασθενείς, </w:t>
      </w:r>
      <w:r w:rsidR="003D4FB9" w:rsidRPr="003D4FB9">
        <w:rPr>
          <w:noProof/>
        </w:rPr>
        <w:t>όπως</w:t>
      </w:r>
      <w:r w:rsidR="008F6A8F" w:rsidRPr="003D4FB9">
        <w:rPr>
          <w:noProof/>
        </w:rPr>
        <w:t xml:space="preserve"> και για ασθενείς που </w:t>
      </w:r>
      <w:r w:rsidR="003D4FB9" w:rsidRPr="003D4FB9">
        <w:rPr>
          <w:noProof/>
        </w:rPr>
        <w:t xml:space="preserve">χρειάζονται </w:t>
      </w:r>
      <w:r w:rsidR="008F6A8F" w:rsidRPr="003D4FB9">
        <w:rPr>
          <w:noProof/>
        </w:rPr>
        <w:t xml:space="preserve">ταυτόχρονα χαμηλή δόση ακετυλοσαλικυλικού οξέος ή άλλων φαρμάκων </w:t>
      </w:r>
      <w:r w:rsidR="003D4FB9" w:rsidRPr="003D4FB9">
        <w:rPr>
          <w:noProof/>
        </w:rPr>
        <w:t>τα οποία είναι πιθανό να προκαλέσουν</w:t>
      </w:r>
      <w:r w:rsidR="008F6A8F" w:rsidRPr="003D4FB9">
        <w:rPr>
          <w:noProof/>
        </w:rPr>
        <w:t xml:space="preserve"> α</w:t>
      </w:r>
      <w:r w:rsidR="003D4FB9" w:rsidRPr="003D4FB9">
        <w:rPr>
          <w:noProof/>
        </w:rPr>
        <w:t>ύ</w:t>
      </w:r>
      <w:r w:rsidR="008F6A8F" w:rsidRPr="003D4FB9">
        <w:rPr>
          <w:noProof/>
        </w:rPr>
        <w:t>ξ</w:t>
      </w:r>
      <w:r w:rsidR="003D4FB9" w:rsidRPr="003D4FB9">
        <w:rPr>
          <w:noProof/>
        </w:rPr>
        <w:t>ηση</w:t>
      </w:r>
      <w:r w:rsidR="008F6A8F" w:rsidRPr="003D4FB9">
        <w:rPr>
          <w:noProof/>
        </w:rPr>
        <w:t xml:space="preserve"> </w:t>
      </w:r>
      <w:r w:rsidR="003D4FB9" w:rsidRPr="003D4FB9">
        <w:rPr>
          <w:noProof/>
        </w:rPr>
        <w:t>τ</w:t>
      </w:r>
      <w:r w:rsidR="00217FDE">
        <w:rPr>
          <w:noProof/>
        </w:rPr>
        <w:t>ου</w:t>
      </w:r>
      <w:r w:rsidR="003D4FB9" w:rsidRPr="003D4FB9">
        <w:rPr>
          <w:noProof/>
        </w:rPr>
        <w:t xml:space="preserve"> </w:t>
      </w:r>
      <w:r w:rsidR="008F6A8F" w:rsidRPr="003D4FB9">
        <w:rPr>
          <w:noProof/>
        </w:rPr>
        <w:t>γαστρεντερικ</w:t>
      </w:r>
      <w:r w:rsidR="00217FDE">
        <w:rPr>
          <w:noProof/>
        </w:rPr>
        <w:t>ού</w:t>
      </w:r>
      <w:r w:rsidRPr="003D4FB9">
        <w:rPr>
          <w:noProof/>
        </w:rPr>
        <w:t xml:space="preserve"> </w:t>
      </w:r>
      <w:r w:rsidR="003D4FB9" w:rsidRPr="003D4FB9">
        <w:rPr>
          <w:noProof/>
        </w:rPr>
        <w:t>κινδύν</w:t>
      </w:r>
      <w:r w:rsidR="00217FDE">
        <w:rPr>
          <w:noProof/>
        </w:rPr>
        <w:t>ου</w:t>
      </w:r>
      <w:r w:rsidR="003D4FB9" w:rsidRPr="003D4FB9">
        <w:rPr>
          <w:noProof/>
        </w:rPr>
        <w:t xml:space="preserve"> </w:t>
      </w:r>
      <w:r w:rsidR="008F6A8F" w:rsidRPr="003D4FB9">
        <w:rPr>
          <w:noProof/>
        </w:rPr>
        <w:t>(βλ. παρακάτω και παράγραφο 4.5).</w:t>
      </w:r>
    </w:p>
    <w:p w:rsidR="008F6A8F" w:rsidRPr="003D4FB9" w:rsidRDefault="008F6A8F" w:rsidP="008F6A8F">
      <w:pPr>
        <w:rPr>
          <w:noProof/>
        </w:rPr>
      </w:pPr>
    </w:p>
    <w:p w:rsidR="008F6A8F" w:rsidRPr="00923CC8" w:rsidRDefault="008F6A8F" w:rsidP="008F6A8F">
      <w:pPr>
        <w:rPr>
          <w:noProof/>
        </w:rPr>
      </w:pPr>
      <w:r w:rsidRPr="003D4FB9">
        <w:rPr>
          <w:noProof/>
        </w:rPr>
        <w:t>Η ταυτόχρονη χορήγηση ιβουπροφαίνης και άλλ</w:t>
      </w:r>
      <w:r w:rsidR="003D4FB9" w:rsidRPr="003D4FB9">
        <w:rPr>
          <w:noProof/>
        </w:rPr>
        <w:t>ων</w:t>
      </w:r>
      <w:r w:rsidRPr="003D4FB9">
        <w:rPr>
          <w:noProof/>
        </w:rPr>
        <w:t xml:space="preserve"> ΜΣΑΦ, συμπεριλαμβανομέν</w:t>
      </w:r>
      <w:r w:rsidR="003D4FB9" w:rsidRPr="003D4FB9">
        <w:rPr>
          <w:noProof/>
        </w:rPr>
        <w:t>ων των</w:t>
      </w:r>
      <w:r w:rsidRPr="003D4FB9">
        <w:rPr>
          <w:noProof/>
        </w:rPr>
        <w:t xml:space="preserve"> </w:t>
      </w:r>
      <w:r w:rsidR="003D4FB9" w:rsidRPr="003D4FB9">
        <w:rPr>
          <w:noProof/>
        </w:rPr>
        <w:t xml:space="preserve">εκλεκτικών αναστολέων </w:t>
      </w:r>
      <w:r w:rsidRPr="003D4FB9">
        <w:rPr>
          <w:noProof/>
        </w:rPr>
        <w:t xml:space="preserve">της κυκλοοξυγενάσης-2 (COX-2), πρέπει να αποφεύγεται λόγω του αυξημένου κινδύνου </w:t>
      </w:r>
      <w:r w:rsidR="003D4FB9" w:rsidRPr="003D4FB9">
        <w:rPr>
          <w:noProof/>
        </w:rPr>
        <w:t>εξέλκωσης</w:t>
      </w:r>
      <w:r w:rsidRPr="003D4FB9">
        <w:rPr>
          <w:noProof/>
        </w:rPr>
        <w:t xml:space="preserve"> ή αιμορραγίας </w:t>
      </w:r>
      <w:r w:rsidR="003D4FB9" w:rsidRPr="003D4FB9">
        <w:rPr>
          <w:noProof/>
        </w:rPr>
        <w:t>(</w:t>
      </w:r>
      <w:r w:rsidRPr="003D4FB9">
        <w:rPr>
          <w:noProof/>
        </w:rPr>
        <w:t xml:space="preserve">βλ. παράγραφο 4.5). Οι ασθενείς με ιστορικό γαστρεντερικής τοξικότητας, </w:t>
      </w:r>
      <w:r w:rsidRPr="00923CC8">
        <w:rPr>
          <w:noProof/>
        </w:rPr>
        <w:t>ιδιαίτερα σε ηλικιωμένους ασθενείς, πρέπει να αναφέρουν οποιαδήποτε ασυνήθιστα κοιλιακά συμπτώματα (</w:t>
      </w:r>
      <w:r w:rsidR="003D4FB9" w:rsidRPr="00923CC8">
        <w:rPr>
          <w:noProof/>
        </w:rPr>
        <w:t>ιδιαίτερα</w:t>
      </w:r>
      <w:r w:rsidRPr="00923CC8">
        <w:rPr>
          <w:noProof/>
        </w:rPr>
        <w:t xml:space="preserve"> </w:t>
      </w:r>
      <w:r w:rsidR="003D4FB9" w:rsidRPr="00923CC8">
        <w:rPr>
          <w:noProof/>
        </w:rPr>
        <w:t xml:space="preserve">γαστρεντερική </w:t>
      </w:r>
      <w:r w:rsidRPr="00923CC8">
        <w:rPr>
          <w:noProof/>
        </w:rPr>
        <w:t xml:space="preserve">αιμορραγία), </w:t>
      </w:r>
      <w:r w:rsidR="003D4FB9" w:rsidRPr="00923CC8">
        <w:rPr>
          <w:noProof/>
        </w:rPr>
        <w:t>ειδικά</w:t>
      </w:r>
      <w:r w:rsidRPr="00923CC8">
        <w:rPr>
          <w:noProof/>
        </w:rPr>
        <w:t xml:space="preserve"> </w:t>
      </w:r>
      <w:r w:rsidR="003D4FB9" w:rsidRPr="00923CC8">
        <w:rPr>
          <w:noProof/>
        </w:rPr>
        <w:t>στα αρχικά στάδια της θεραπείας</w:t>
      </w:r>
      <w:r w:rsidRPr="00923CC8">
        <w:rPr>
          <w:noProof/>
        </w:rPr>
        <w:t>.</w:t>
      </w:r>
    </w:p>
    <w:p w:rsidR="008F6A8F" w:rsidRPr="00923CC8" w:rsidRDefault="008F6A8F" w:rsidP="008F6A8F">
      <w:pPr>
        <w:rPr>
          <w:noProof/>
        </w:rPr>
      </w:pPr>
    </w:p>
    <w:p w:rsidR="008F6A8F" w:rsidRPr="00923CC8" w:rsidRDefault="003D4FB9" w:rsidP="008F6A8F">
      <w:pPr>
        <w:rPr>
          <w:noProof/>
        </w:rPr>
      </w:pPr>
      <w:r w:rsidRPr="00923CC8">
        <w:rPr>
          <w:noProof/>
        </w:rPr>
        <w:t>Σ</w:t>
      </w:r>
      <w:r w:rsidR="008F6A8F" w:rsidRPr="00923CC8">
        <w:rPr>
          <w:noProof/>
        </w:rPr>
        <w:t xml:space="preserve">ε ασθενείς που λαμβάνουν ταυτόχρονα φάρμακα που θα μπορούσαν να αυξήσουν τον κίνδυνο </w:t>
      </w:r>
      <w:r w:rsidR="00923CC8" w:rsidRPr="00923CC8">
        <w:rPr>
          <w:noProof/>
        </w:rPr>
        <w:t>εξέλκωσης</w:t>
      </w:r>
      <w:r w:rsidR="008F6A8F" w:rsidRPr="00923CC8">
        <w:rPr>
          <w:noProof/>
        </w:rPr>
        <w:t xml:space="preserve"> ή αιμορραγίας, όπως από του στόματος κορτικοστεροειδή, αντιπηκτικά όπως η βαρφαρίνη, εκλεκτικούς αναστολείς επαναπρόσληψης </w:t>
      </w:r>
      <w:r w:rsidR="00923CC8" w:rsidRPr="00923CC8">
        <w:rPr>
          <w:noProof/>
        </w:rPr>
        <w:t xml:space="preserve">της </w:t>
      </w:r>
      <w:r w:rsidR="008F6A8F" w:rsidRPr="00923CC8">
        <w:rPr>
          <w:noProof/>
        </w:rPr>
        <w:t>σεροτονίνης ή αντιαιμοπεταλιακά φάρμακα, όπως το ακετυλοσαλικυλικό οξύ</w:t>
      </w:r>
      <w:r w:rsidR="00923CC8" w:rsidRPr="00923CC8">
        <w:rPr>
          <w:noProof/>
        </w:rPr>
        <w:t>,</w:t>
      </w:r>
      <w:r w:rsidR="008F6A8F" w:rsidRPr="00923CC8">
        <w:rPr>
          <w:noProof/>
        </w:rPr>
        <w:t xml:space="preserve"> </w:t>
      </w:r>
      <w:r w:rsidR="00923CC8" w:rsidRPr="00923CC8">
        <w:rPr>
          <w:noProof/>
        </w:rPr>
        <w:t xml:space="preserve">συνιστάται προσοχή </w:t>
      </w:r>
      <w:r w:rsidR="008F6A8F" w:rsidRPr="00923CC8">
        <w:rPr>
          <w:noProof/>
        </w:rPr>
        <w:t>(βλ. παράγραφο 4.5).</w:t>
      </w:r>
    </w:p>
    <w:p w:rsidR="008F6A8F" w:rsidRPr="00923CC8" w:rsidRDefault="008F6A8F" w:rsidP="008F6A8F">
      <w:pPr>
        <w:rPr>
          <w:noProof/>
        </w:rPr>
      </w:pPr>
    </w:p>
    <w:p w:rsidR="008F6A8F" w:rsidRPr="00923CC8" w:rsidRDefault="008F6A8F" w:rsidP="008F6A8F">
      <w:pPr>
        <w:rPr>
          <w:noProof/>
        </w:rPr>
      </w:pPr>
      <w:r w:rsidRPr="00923CC8">
        <w:rPr>
          <w:noProof/>
        </w:rPr>
        <w:t xml:space="preserve">Εάν </w:t>
      </w:r>
      <w:r w:rsidR="00923CC8" w:rsidRPr="00923CC8">
        <w:rPr>
          <w:noProof/>
        </w:rPr>
        <w:t xml:space="preserve">παρουσιαστεί </w:t>
      </w:r>
      <w:r w:rsidRPr="00923CC8">
        <w:rPr>
          <w:noProof/>
        </w:rPr>
        <w:t xml:space="preserve">γαστρεντερικό έλκος ή αιμορραγία, ο ασθενής πρέπει να διακόψει τη χρήση </w:t>
      </w:r>
      <w:r w:rsidR="00947287" w:rsidRPr="00060763">
        <w:rPr>
          <w:szCs w:val="22"/>
          <w:lang w:val="en-GB"/>
        </w:rPr>
        <w:t>Brufen</w:t>
      </w:r>
      <w:r w:rsidR="00947287" w:rsidRPr="00F97F5E">
        <w:rPr>
          <w:szCs w:val="22"/>
        </w:rPr>
        <w:t xml:space="preserve"> </w:t>
      </w:r>
      <w:r w:rsidR="00947287" w:rsidRPr="00060763">
        <w:rPr>
          <w:szCs w:val="22"/>
          <w:lang w:val="en-GB"/>
        </w:rPr>
        <w:t>Plus</w:t>
      </w:r>
      <w:r w:rsidRPr="00923CC8">
        <w:rPr>
          <w:noProof/>
        </w:rPr>
        <w:t>.</w:t>
      </w:r>
    </w:p>
    <w:p w:rsidR="008F6A8F" w:rsidRPr="00923CC8" w:rsidRDefault="008F6A8F" w:rsidP="008F6A8F">
      <w:pPr>
        <w:rPr>
          <w:noProof/>
        </w:rPr>
      </w:pPr>
    </w:p>
    <w:p w:rsidR="008F6A8F" w:rsidRPr="00923CC8" w:rsidRDefault="008F6A8F" w:rsidP="008F6A8F">
      <w:pPr>
        <w:rPr>
          <w:noProof/>
        </w:rPr>
      </w:pPr>
      <w:r w:rsidRPr="00923CC8">
        <w:rPr>
          <w:noProof/>
        </w:rPr>
        <w:t>Τα ΜΣΑΦ πρέπει να χορηγούνται με προσοχή σε ασθενείς με ιστορικό νόσου του γαστρεντερικού συστήματος (</w:t>
      </w:r>
      <w:r w:rsidR="00923CC8" w:rsidRPr="00923CC8">
        <w:rPr>
          <w:noProof/>
        </w:rPr>
        <w:t>π.χ. ελκώδης κολίτιδα και</w:t>
      </w:r>
      <w:r w:rsidRPr="00923CC8">
        <w:rPr>
          <w:noProof/>
        </w:rPr>
        <w:t xml:space="preserve"> νόσος του Crohn), </w:t>
      </w:r>
      <w:r w:rsidR="00923CC8" w:rsidRPr="00923CC8">
        <w:rPr>
          <w:noProof/>
        </w:rPr>
        <w:t xml:space="preserve">καθώς </w:t>
      </w:r>
      <w:r w:rsidR="00332A57">
        <w:rPr>
          <w:noProof/>
        </w:rPr>
        <w:t>αυτές οι</w:t>
      </w:r>
      <w:r w:rsidRPr="00923CC8">
        <w:rPr>
          <w:noProof/>
        </w:rPr>
        <w:t xml:space="preserve"> </w:t>
      </w:r>
      <w:r w:rsidR="00B97CB8">
        <w:rPr>
          <w:noProof/>
        </w:rPr>
        <w:t>νόσοι</w:t>
      </w:r>
      <w:r w:rsidRPr="00923CC8">
        <w:rPr>
          <w:noProof/>
        </w:rPr>
        <w:t xml:space="preserve"> μπορεί να επιδεινωθ</w:t>
      </w:r>
      <w:r w:rsidR="00923CC8" w:rsidRPr="00923CC8">
        <w:rPr>
          <w:noProof/>
        </w:rPr>
        <w:t>ούν</w:t>
      </w:r>
      <w:r w:rsidRPr="00923CC8">
        <w:rPr>
          <w:noProof/>
        </w:rPr>
        <w:t xml:space="preserve"> (βλ. παράγραφο 4.8).</w:t>
      </w:r>
    </w:p>
    <w:p w:rsidR="008F6A8F" w:rsidRPr="00FB0FA3" w:rsidRDefault="008F6A8F" w:rsidP="008F6A8F">
      <w:pPr>
        <w:rPr>
          <w:noProof/>
        </w:rPr>
      </w:pPr>
    </w:p>
    <w:p w:rsidR="008F6A8F" w:rsidRPr="00327B06" w:rsidRDefault="00923CC8" w:rsidP="008F6A8F">
      <w:pPr>
        <w:rPr>
          <w:noProof/>
        </w:rPr>
      </w:pPr>
      <w:r w:rsidRPr="00FB0FA3">
        <w:rPr>
          <w:noProof/>
        </w:rPr>
        <w:t>Η κ</w:t>
      </w:r>
      <w:r w:rsidR="008F6A8F" w:rsidRPr="00FB0FA3">
        <w:rPr>
          <w:noProof/>
        </w:rPr>
        <w:t xml:space="preserve">ωδεΐνη πρέπει να χρησιμοποιείται με προσοχή σε ασθενείς με νόσο των χοληφόρων, </w:t>
      </w:r>
      <w:r w:rsidR="008F6A8F" w:rsidRPr="00327B06">
        <w:rPr>
          <w:noProof/>
        </w:rPr>
        <w:t xml:space="preserve">συμπεριλαμβανομένης της οξείας παγκρεατίτιδας, </w:t>
      </w:r>
      <w:r w:rsidR="00FB0FA3" w:rsidRPr="00327B06">
        <w:rPr>
          <w:noProof/>
        </w:rPr>
        <w:t xml:space="preserve">καθώς </w:t>
      </w:r>
      <w:r w:rsidR="008F6A8F" w:rsidRPr="00327B06">
        <w:rPr>
          <w:noProof/>
        </w:rPr>
        <w:t xml:space="preserve">η κωδεΐνη μπορεί να προκαλέσει σπασμό του σφιγκτήρα του Oddi και </w:t>
      </w:r>
      <w:r w:rsidR="00FB0FA3" w:rsidRPr="00327B06">
        <w:rPr>
          <w:noProof/>
        </w:rPr>
        <w:t>να μειώσει τις εκκρίσεις της</w:t>
      </w:r>
      <w:r w:rsidR="008F6A8F" w:rsidRPr="00327B06">
        <w:rPr>
          <w:noProof/>
        </w:rPr>
        <w:t xml:space="preserve"> χολής και </w:t>
      </w:r>
      <w:r w:rsidR="00FB0FA3" w:rsidRPr="00327B06">
        <w:rPr>
          <w:noProof/>
        </w:rPr>
        <w:t xml:space="preserve">του </w:t>
      </w:r>
      <w:r w:rsidR="008F6A8F" w:rsidRPr="00327B06">
        <w:rPr>
          <w:noProof/>
        </w:rPr>
        <w:t>παγκρ</w:t>
      </w:r>
      <w:r w:rsidR="00FB0FA3" w:rsidRPr="00327B06">
        <w:rPr>
          <w:noProof/>
        </w:rPr>
        <w:t>έατος</w:t>
      </w:r>
      <w:r w:rsidR="008F6A8F" w:rsidRPr="00327B06">
        <w:rPr>
          <w:noProof/>
        </w:rPr>
        <w:t>.</w:t>
      </w:r>
    </w:p>
    <w:p w:rsidR="008F6A8F" w:rsidRPr="00327B06" w:rsidRDefault="008F6A8F" w:rsidP="008F6A8F">
      <w:pPr>
        <w:rPr>
          <w:noProof/>
        </w:rPr>
      </w:pPr>
    </w:p>
    <w:p w:rsidR="008F6A8F" w:rsidRPr="00327B06" w:rsidRDefault="008F6A8F" w:rsidP="008F6A8F">
      <w:pPr>
        <w:rPr>
          <w:b/>
          <w:i/>
          <w:noProof/>
        </w:rPr>
      </w:pPr>
      <w:r w:rsidRPr="00327B06">
        <w:rPr>
          <w:b/>
          <w:i/>
          <w:noProof/>
        </w:rPr>
        <w:t>Καρδιαγγειακ</w:t>
      </w:r>
      <w:r w:rsidR="00FB0FA3" w:rsidRPr="00327B06">
        <w:rPr>
          <w:b/>
          <w:i/>
          <w:noProof/>
        </w:rPr>
        <w:t>ές</w:t>
      </w:r>
      <w:r w:rsidR="00485917" w:rsidRPr="00327B06">
        <w:rPr>
          <w:b/>
          <w:i/>
          <w:noProof/>
        </w:rPr>
        <w:t xml:space="preserve"> </w:t>
      </w:r>
      <w:r w:rsidRPr="00327B06">
        <w:rPr>
          <w:b/>
          <w:i/>
          <w:noProof/>
        </w:rPr>
        <w:t>και εγκεφα</w:t>
      </w:r>
      <w:r w:rsidR="00FB0FA3" w:rsidRPr="00327B06">
        <w:rPr>
          <w:b/>
          <w:i/>
          <w:noProof/>
        </w:rPr>
        <w:t>λοαγγειακές</w:t>
      </w:r>
      <w:r w:rsidRPr="00327B06">
        <w:rPr>
          <w:b/>
          <w:i/>
          <w:noProof/>
        </w:rPr>
        <w:t xml:space="preserve"> </w:t>
      </w:r>
      <w:r w:rsidR="00FB0FA3" w:rsidRPr="00327B06">
        <w:rPr>
          <w:b/>
          <w:i/>
          <w:noProof/>
        </w:rPr>
        <w:t>επιδράσεις</w:t>
      </w:r>
    </w:p>
    <w:p w:rsidR="008F6A8F" w:rsidRPr="00327B06" w:rsidRDefault="00FB0FA3" w:rsidP="008F6A8F">
      <w:pPr>
        <w:rPr>
          <w:noProof/>
        </w:rPr>
      </w:pPr>
      <w:r w:rsidRPr="00327B06">
        <w:rPr>
          <w:noProof/>
        </w:rPr>
        <w:t>Σ</w:t>
      </w:r>
      <w:r w:rsidR="008F6A8F" w:rsidRPr="00327B06">
        <w:rPr>
          <w:noProof/>
        </w:rPr>
        <w:t>ε ασθενείς με ιστορικό υπέρτασης και/ή ήπι</w:t>
      </w:r>
      <w:r w:rsidR="00071E1A">
        <w:rPr>
          <w:noProof/>
        </w:rPr>
        <w:t>ου</w:t>
      </w:r>
      <w:r w:rsidR="008F6A8F" w:rsidRPr="00327B06">
        <w:rPr>
          <w:noProof/>
        </w:rPr>
        <w:t xml:space="preserve"> έως μέτρι</w:t>
      </w:r>
      <w:r w:rsidR="00071E1A">
        <w:rPr>
          <w:noProof/>
        </w:rPr>
        <w:t>ου</w:t>
      </w:r>
      <w:r w:rsidR="008F6A8F" w:rsidRPr="00327B06">
        <w:rPr>
          <w:noProof/>
        </w:rPr>
        <w:t xml:space="preserve"> </w:t>
      </w:r>
      <w:r w:rsidR="00071E1A">
        <w:rPr>
          <w:noProof/>
        </w:rPr>
        <w:t xml:space="preserve">βαθμού </w:t>
      </w:r>
      <w:r w:rsidR="008F6A8F" w:rsidRPr="00327B06">
        <w:rPr>
          <w:noProof/>
        </w:rPr>
        <w:t>συμφορητική καρδιακ</w:t>
      </w:r>
      <w:r w:rsidRPr="00327B06">
        <w:rPr>
          <w:noProof/>
        </w:rPr>
        <w:t>ή</w:t>
      </w:r>
      <w:r w:rsidR="008F6A8F" w:rsidRPr="00327B06">
        <w:rPr>
          <w:noProof/>
        </w:rPr>
        <w:t xml:space="preserve"> ανεπάρκεια</w:t>
      </w:r>
      <w:r w:rsidR="00095F10" w:rsidRPr="00327B06">
        <w:rPr>
          <w:noProof/>
        </w:rPr>
        <w:t xml:space="preserve"> απαιτ</w:t>
      </w:r>
      <w:r w:rsidR="00B97CB8">
        <w:rPr>
          <w:noProof/>
        </w:rPr>
        <w:t>εί</w:t>
      </w:r>
      <w:r w:rsidR="00095F10" w:rsidRPr="00327B06">
        <w:rPr>
          <w:noProof/>
        </w:rPr>
        <w:t xml:space="preserve">ται κατάλληλη παρακολούθηση </w:t>
      </w:r>
      <w:r w:rsidR="00B97CB8">
        <w:rPr>
          <w:noProof/>
        </w:rPr>
        <w:t>(</w:t>
      </w:r>
      <w:r w:rsidR="00095F10" w:rsidRPr="00327B06">
        <w:rPr>
          <w:noProof/>
        </w:rPr>
        <w:t>και συμβουλή</w:t>
      </w:r>
      <w:r w:rsidR="00B97CB8">
        <w:rPr>
          <w:noProof/>
        </w:rPr>
        <w:t>)</w:t>
      </w:r>
      <w:r w:rsidR="008F6A8F" w:rsidRPr="00327B06">
        <w:rPr>
          <w:noProof/>
        </w:rPr>
        <w:t xml:space="preserve">, </w:t>
      </w:r>
      <w:r w:rsidR="00095F10" w:rsidRPr="00327B06">
        <w:rPr>
          <w:noProof/>
        </w:rPr>
        <w:t xml:space="preserve">καθώς </w:t>
      </w:r>
      <w:r w:rsidR="00B97CB8" w:rsidRPr="00327B06">
        <w:rPr>
          <w:noProof/>
        </w:rPr>
        <w:t>έχουν αναφερθεί</w:t>
      </w:r>
      <w:r w:rsidR="00B97CB8" w:rsidRPr="00B97CB8">
        <w:rPr>
          <w:noProof/>
        </w:rPr>
        <w:t xml:space="preserve"> </w:t>
      </w:r>
      <w:r w:rsidR="00B97CB8" w:rsidRPr="00327B06">
        <w:rPr>
          <w:noProof/>
        </w:rPr>
        <w:t>κατακράτηση υγρών, υπέρταση και οίδημα</w:t>
      </w:r>
      <w:r w:rsidR="00B97CB8">
        <w:rPr>
          <w:noProof/>
        </w:rPr>
        <w:t>,</w:t>
      </w:r>
      <w:r w:rsidR="00B97CB8" w:rsidRPr="00327B06">
        <w:rPr>
          <w:noProof/>
        </w:rPr>
        <w:t xml:space="preserve"> σε συνδυασμό με θεραπεία ΜΣΑΦ</w:t>
      </w:r>
      <w:r w:rsidR="008F6A8F" w:rsidRPr="00327B06">
        <w:rPr>
          <w:noProof/>
        </w:rPr>
        <w:t>.</w:t>
      </w:r>
    </w:p>
    <w:p w:rsidR="008F6A8F" w:rsidRPr="00327B06" w:rsidRDefault="008F6A8F" w:rsidP="008F6A8F">
      <w:pPr>
        <w:rPr>
          <w:noProof/>
        </w:rPr>
      </w:pPr>
    </w:p>
    <w:p w:rsidR="008F6A8F" w:rsidRPr="00252234" w:rsidRDefault="008F6A8F" w:rsidP="008F6A8F">
      <w:pPr>
        <w:rPr>
          <w:noProof/>
        </w:rPr>
      </w:pPr>
      <w:r w:rsidRPr="00327B06">
        <w:rPr>
          <w:noProof/>
        </w:rPr>
        <w:t xml:space="preserve">Κλινικές </w:t>
      </w:r>
      <w:r w:rsidR="004308A5">
        <w:rPr>
          <w:noProof/>
        </w:rPr>
        <w:t>μελέτες υποδεικνύουν</w:t>
      </w:r>
      <w:r w:rsidR="00095F10" w:rsidRPr="00327B06">
        <w:rPr>
          <w:noProof/>
        </w:rPr>
        <w:t xml:space="preserve"> ότι η χρήση </w:t>
      </w:r>
      <w:r w:rsidR="004308A5">
        <w:rPr>
          <w:noProof/>
        </w:rPr>
        <w:t xml:space="preserve">της </w:t>
      </w:r>
      <w:r w:rsidR="00095F10" w:rsidRPr="00327B06">
        <w:rPr>
          <w:noProof/>
        </w:rPr>
        <w:t>ιβουπροφαίνης, ιδιαίτερα σε υψηλ</w:t>
      </w:r>
      <w:r w:rsidR="004308A5">
        <w:rPr>
          <w:noProof/>
        </w:rPr>
        <w:t>ές</w:t>
      </w:r>
      <w:r w:rsidR="00095F10" w:rsidRPr="00327B06">
        <w:rPr>
          <w:noProof/>
        </w:rPr>
        <w:t xml:space="preserve"> δόσ</w:t>
      </w:r>
      <w:r w:rsidR="004308A5">
        <w:rPr>
          <w:noProof/>
        </w:rPr>
        <w:t>εις</w:t>
      </w:r>
      <w:r w:rsidR="00095F10" w:rsidRPr="00327B06">
        <w:rPr>
          <w:noProof/>
        </w:rPr>
        <w:t xml:space="preserve"> (2400 </w:t>
      </w:r>
      <w:r w:rsidRPr="00327B06">
        <w:rPr>
          <w:noProof/>
        </w:rPr>
        <w:t>mg</w:t>
      </w:r>
      <w:r w:rsidR="004308A5">
        <w:rPr>
          <w:noProof/>
        </w:rPr>
        <w:t>/ημέρα</w:t>
      </w:r>
      <w:r w:rsidRPr="00327B06">
        <w:rPr>
          <w:noProof/>
        </w:rPr>
        <w:t>)</w:t>
      </w:r>
      <w:r w:rsidR="00332A57">
        <w:rPr>
          <w:noProof/>
        </w:rPr>
        <w:t>,</w:t>
      </w:r>
      <w:r w:rsidRPr="00327B06">
        <w:rPr>
          <w:noProof/>
        </w:rPr>
        <w:t xml:space="preserve"> μπορεί να σχετίζεται με </w:t>
      </w:r>
      <w:r w:rsidR="00D23B1B">
        <w:rPr>
          <w:noProof/>
        </w:rPr>
        <w:t>μία μικρή αύξηση του κινδύνου</w:t>
      </w:r>
      <w:r w:rsidR="00E32C5A" w:rsidRPr="00E32C5A">
        <w:rPr>
          <w:noProof/>
        </w:rPr>
        <w:t xml:space="preserve"> </w:t>
      </w:r>
      <w:r w:rsidR="00D23B1B">
        <w:rPr>
          <w:noProof/>
        </w:rPr>
        <w:t>εμφάνισης θρομβωτικών</w:t>
      </w:r>
      <w:r w:rsidRPr="00327B06">
        <w:rPr>
          <w:noProof/>
        </w:rPr>
        <w:t xml:space="preserve"> αρτ</w:t>
      </w:r>
      <w:r w:rsidR="00327B06" w:rsidRPr="00327B06">
        <w:rPr>
          <w:noProof/>
        </w:rPr>
        <w:t>ηριακών συμβάντων (για παράδειγμα έμφ</w:t>
      </w:r>
      <w:r w:rsidRPr="00327B06">
        <w:rPr>
          <w:noProof/>
        </w:rPr>
        <w:t>ρ</w:t>
      </w:r>
      <w:r w:rsidR="00327B06" w:rsidRPr="00327B06">
        <w:rPr>
          <w:noProof/>
        </w:rPr>
        <w:t>α</w:t>
      </w:r>
      <w:r w:rsidRPr="00327B06">
        <w:rPr>
          <w:noProof/>
        </w:rPr>
        <w:t>γμα του μυ</w:t>
      </w:r>
      <w:r w:rsidR="00327B06" w:rsidRPr="00327B06">
        <w:rPr>
          <w:noProof/>
        </w:rPr>
        <w:t xml:space="preserve">οκαρδίου ή </w:t>
      </w:r>
      <w:r w:rsidR="00D23B1B">
        <w:rPr>
          <w:noProof/>
        </w:rPr>
        <w:t xml:space="preserve">αγγειακό </w:t>
      </w:r>
      <w:r w:rsidR="00327B06" w:rsidRPr="00327B06">
        <w:rPr>
          <w:noProof/>
        </w:rPr>
        <w:t xml:space="preserve">εγκεφαλικό επεισόδιο). Συνολικά, </w:t>
      </w:r>
      <w:r w:rsidR="00D23B1B">
        <w:rPr>
          <w:noProof/>
        </w:rPr>
        <w:t xml:space="preserve">οι </w:t>
      </w:r>
      <w:r w:rsidR="00327B06" w:rsidRPr="00327B06">
        <w:rPr>
          <w:noProof/>
        </w:rPr>
        <w:t>επιδημιολογικές μελέτες δε</w:t>
      </w:r>
      <w:r w:rsidR="00D23B1B">
        <w:rPr>
          <w:noProof/>
        </w:rPr>
        <w:t>ν υποδεικνύουν</w:t>
      </w:r>
      <w:r w:rsidR="00327B06" w:rsidRPr="00327B06">
        <w:rPr>
          <w:noProof/>
        </w:rPr>
        <w:t xml:space="preserve"> ότι </w:t>
      </w:r>
      <w:r w:rsidR="00D23B1B">
        <w:rPr>
          <w:noProof/>
        </w:rPr>
        <w:t>οι</w:t>
      </w:r>
      <w:r w:rsidR="00327B06" w:rsidRPr="00327B06">
        <w:rPr>
          <w:noProof/>
        </w:rPr>
        <w:t xml:space="preserve"> χαμηλ</w:t>
      </w:r>
      <w:r w:rsidR="00D23B1B">
        <w:rPr>
          <w:noProof/>
        </w:rPr>
        <w:t>ές</w:t>
      </w:r>
      <w:r w:rsidR="00327B06" w:rsidRPr="00327B06">
        <w:rPr>
          <w:noProof/>
        </w:rPr>
        <w:t xml:space="preserve"> δόσ</w:t>
      </w:r>
      <w:r w:rsidR="00D23B1B">
        <w:rPr>
          <w:noProof/>
        </w:rPr>
        <w:t>εις</w:t>
      </w:r>
      <w:r w:rsidR="00327B06" w:rsidRPr="00327B06">
        <w:rPr>
          <w:noProof/>
        </w:rPr>
        <w:t xml:space="preserve"> ιβ</w:t>
      </w:r>
      <w:r w:rsidRPr="00327B06">
        <w:rPr>
          <w:noProof/>
        </w:rPr>
        <w:t>ουπροφ</w:t>
      </w:r>
      <w:r w:rsidR="0001399E">
        <w:rPr>
          <w:noProof/>
        </w:rPr>
        <w:t>αί</w:t>
      </w:r>
      <w:r w:rsidRPr="00327B06">
        <w:rPr>
          <w:noProof/>
        </w:rPr>
        <w:t>ν</w:t>
      </w:r>
      <w:r w:rsidR="00327B06" w:rsidRPr="00327B06">
        <w:rPr>
          <w:noProof/>
        </w:rPr>
        <w:t>ης</w:t>
      </w:r>
      <w:r w:rsidRPr="00327B06">
        <w:rPr>
          <w:noProof/>
        </w:rPr>
        <w:t xml:space="preserve"> (π.χ. </w:t>
      </w:r>
      <w:r w:rsidR="00327B06" w:rsidRPr="00327B06">
        <w:rPr>
          <w:noProof/>
        </w:rPr>
        <w:t>≤1200 mg</w:t>
      </w:r>
      <w:r w:rsidR="00D23B1B">
        <w:rPr>
          <w:noProof/>
        </w:rPr>
        <w:t>/ημέρα</w:t>
      </w:r>
      <w:r w:rsidRPr="00327B06">
        <w:rPr>
          <w:noProof/>
        </w:rPr>
        <w:t>) συνδέ</w:t>
      </w:r>
      <w:r w:rsidR="00D23B1B">
        <w:rPr>
          <w:noProof/>
        </w:rPr>
        <w:t>ον</w:t>
      </w:r>
      <w:r w:rsidRPr="00327B06">
        <w:rPr>
          <w:noProof/>
        </w:rPr>
        <w:t>ται με αυξημένο κίνδυν</w:t>
      </w:r>
      <w:r w:rsidR="00327B06" w:rsidRPr="00327B06">
        <w:rPr>
          <w:noProof/>
        </w:rPr>
        <w:t xml:space="preserve">ο </w:t>
      </w:r>
      <w:r w:rsidR="00D23B1B">
        <w:rPr>
          <w:noProof/>
        </w:rPr>
        <w:t>εμφάνισης προμβωτικών αρτηριακών συμβάντων</w:t>
      </w:r>
      <w:r w:rsidRPr="00252234">
        <w:rPr>
          <w:noProof/>
        </w:rPr>
        <w:t>.</w:t>
      </w:r>
    </w:p>
    <w:p w:rsidR="008F6A8F" w:rsidRPr="00252234" w:rsidRDefault="008F6A8F" w:rsidP="008F6A8F">
      <w:pPr>
        <w:rPr>
          <w:noProof/>
        </w:rPr>
      </w:pPr>
    </w:p>
    <w:p w:rsidR="00D23B1B" w:rsidRDefault="008F6A8F" w:rsidP="008F6A8F">
      <w:pPr>
        <w:rPr>
          <w:noProof/>
        </w:rPr>
      </w:pPr>
      <w:r w:rsidRPr="00252234">
        <w:rPr>
          <w:noProof/>
        </w:rPr>
        <w:t>Οι ασθ</w:t>
      </w:r>
      <w:r w:rsidR="00327B06" w:rsidRPr="00252234">
        <w:rPr>
          <w:noProof/>
        </w:rPr>
        <w:t>ενείς με μη ελεγχόμενη υπέρταση,</w:t>
      </w:r>
      <w:r w:rsidRPr="00252234">
        <w:rPr>
          <w:noProof/>
        </w:rPr>
        <w:t xml:space="preserve"> </w:t>
      </w:r>
      <w:r w:rsidR="00F24F03" w:rsidRPr="00252234">
        <w:rPr>
          <w:noProof/>
        </w:rPr>
        <w:t>συμφορητική καρδιακή ανεπάρκεια</w:t>
      </w:r>
      <w:r w:rsidR="00D23B1B">
        <w:rPr>
          <w:noProof/>
        </w:rPr>
        <w:t xml:space="preserve"> (</w:t>
      </w:r>
      <w:r w:rsidR="00D23B1B">
        <w:rPr>
          <w:noProof/>
          <w:lang w:val="en-US"/>
        </w:rPr>
        <w:t>NYHA</w:t>
      </w:r>
      <w:r w:rsidR="00D23B1B" w:rsidRPr="00A30250">
        <w:rPr>
          <w:noProof/>
        </w:rPr>
        <w:t xml:space="preserve"> </w:t>
      </w:r>
      <w:r w:rsidR="00D23B1B">
        <w:rPr>
          <w:noProof/>
          <w:lang w:val="en-US"/>
        </w:rPr>
        <w:t>II</w:t>
      </w:r>
      <w:r w:rsidR="00D23B1B" w:rsidRPr="00A30250">
        <w:rPr>
          <w:noProof/>
        </w:rPr>
        <w:t>-</w:t>
      </w:r>
      <w:r w:rsidR="00D23B1B">
        <w:rPr>
          <w:noProof/>
          <w:lang w:val="en-US"/>
        </w:rPr>
        <w:t>III</w:t>
      </w:r>
      <w:r w:rsidR="00D23B1B" w:rsidRPr="00A30250">
        <w:rPr>
          <w:noProof/>
        </w:rPr>
        <w:t>)</w:t>
      </w:r>
      <w:r w:rsidRPr="00252234">
        <w:rPr>
          <w:noProof/>
        </w:rPr>
        <w:t xml:space="preserve">, </w:t>
      </w:r>
      <w:r w:rsidR="00D23B1B">
        <w:rPr>
          <w:noProof/>
        </w:rPr>
        <w:t>διαγνωσμένη</w:t>
      </w:r>
      <w:r w:rsidR="00D23B1B" w:rsidRPr="00252234">
        <w:rPr>
          <w:noProof/>
        </w:rPr>
        <w:t xml:space="preserve"> </w:t>
      </w:r>
      <w:r w:rsidR="00F24F03" w:rsidRPr="00252234">
        <w:rPr>
          <w:noProof/>
        </w:rPr>
        <w:t xml:space="preserve">ισχαιμική </w:t>
      </w:r>
      <w:r w:rsidR="00D23B1B">
        <w:rPr>
          <w:noProof/>
        </w:rPr>
        <w:t>καρδιακή νόσο</w:t>
      </w:r>
      <w:r w:rsidR="00F24F03" w:rsidRPr="00252234">
        <w:rPr>
          <w:noProof/>
        </w:rPr>
        <w:t>, περιφερική αρτηρι</w:t>
      </w:r>
      <w:r w:rsidR="00D23B1B">
        <w:rPr>
          <w:noProof/>
        </w:rPr>
        <w:t>ακή νόσο</w:t>
      </w:r>
      <w:r w:rsidR="00F24F03" w:rsidRPr="00252234">
        <w:rPr>
          <w:noProof/>
        </w:rPr>
        <w:t xml:space="preserve"> και/</w:t>
      </w:r>
      <w:r w:rsidRPr="00252234">
        <w:rPr>
          <w:noProof/>
        </w:rPr>
        <w:t xml:space="preserve">ή </w:t>
      </w:r>
      <w:r w:rsidR="00D23B1B">
        <w:rPr>
          <w:noProof/>
        </w:rPr>
        <w:t>εγκεφαλο</w:t>
      </w:r>
      <w:r w:rsidRPr="00252234">
        <w:rPr>
          <w:noProof/>
        </w:rPr>
        <w:t xml:space="preserve">αγγειακή νόσο πρέπει να </w:t>
      </w:r>
      <w:r w:rsidR="00D23B1B">
        <w:rPr>
          <w:noProof/>
        </w:rPr>
        <w:t xml:space="preserve">λαμβάνουν θεραπεία </w:t>
      </w:r>
      <w:r w:rsidR="00F24F03" w:rsidRPr="00252234">
        <w:rPr>
          <w:noProof/>
        </w:rPr>
        <w:t>με ιβουπροφαίνη</w:t>
      </w:r>
      <w:r w:rsidR="00D23B1B">
        <w:rPr>
          <w:noProof/>
        </w:rPr>
        <w:t xml:space="preserve"> κατόπιν </w:t>
      </w:r>
      <w:r w:rsidR="00F24F03" w:rsidRPr="00252234">
        <w:rPr>
          <w:noProof/>
        </w:rPr>
        <w:t xml:space="preserve">προσεκτική </w:t>
      </w:r>
      <w:r w:rsidR="00D23B1B">
        <w:rPr>
          <w:noProof/>
        </w:rPr>
        <w:t>αξιολόγησης, ενώ πρέπει να αποφεύγονται οι υψηλές δόσεις (2400 </w:t>
      </w:r>
      <w:r w:rsidR="00D23B1B">
        <w:rPr>
          <w:noProof/>
          <w:lang w:val="en-US"/>
        </w:rPr>
        <w:t>mg</w:t>
      </w:r>
      <w:r w:rsidR="00D23B1B">
        <w:rPr>
          <w:noProof/>
        </w:rPr>
        <w:t>/ημέρα)</w:t>
      </w:r>
      <w:r w:rsidRPr="00252234">
        <w:rPr>
          <w:noProof/>
        </w:rPr>
        <w:t>.</w:t>
      </w:r>
    </w:p>
    <w:p w:rsidR="00D23B1B" w:rsidRDefault="00D23B1B" w:rsidP="008F6A8F">
      <w:pPr>
        <w:rPr>
          <w:noProof/>
        </w:rPr>
      </w:pPr>
    </w:p>
    <w:p w:rsidR="008F6A8F" w:rsidRPr="00252234" w:rsidRDefault="00D23B1B" w:rsidP="008F6A8F">
      <w:pPr>
        <w:rPr>
          <w:noProof/>
        </w:rPr>
      </w:pPr>
      <w:r>
        <w:rPr>
          <w:noProof/>
        </w:rPr>
        <w:t>Απαιτείται επίσης προσεκτική</w:t>
      </w:r>
      <w:r w:rsidR="008F6A8F" w:rsidRPr="00252234">
        <w:rPr>
          <w:noProof/>
        </w:rPr>
        <w:t xml:space="preserve"> </w:t>
      </w:r>
      <w:r>
        <w:rPr>
          <w:noProof/>
        </w:rPr>
        <w:t xml:space="preserve">αξιολόγηση </w:t>
      </w:r>
      <w:r w:rsidR="008F6A8F" w:rsidRPr="00252234">
        <w:rPr>
          <w:noProof/>
        </w:rPr>
        <w:t>πριν την έναρξη μακρο</w:t>
      </w:r>
      <w:r>
        <w:rPr>
          <w:noProof/>
        </w:rPr>
        <w:t>πρόθεσμης</w:t>
      </w:r>
      <w:r w:rsidR="008F6A8F" w:rsidRPr="00252234">
        <w:rPr>
          <w:noProof/>
        </w:rPr>
        <w:t xml:space="preserve"> θεραπείας </w:t>
      </w:r>
      <w:r w:rsidR="00085686">
        <w:rPr>
          <w:noProof/>
        </w:rPr>
        <w:t xml:space="preserve">σε </w:t>
      </w:r>
      <w:r w:rsidR="008F6A8F" w:rsidRPr="00252234">
        <w:rPr>
          <w:noProof/>
        </w:rPr>
        <w:t>ασθεν</w:t>
      </w:r>
      <w:r w:rsidR="00085686">
        <w:rPr>
          <w:noProof/>
        </w:rPr>
        <w:t>είς</w:t>
      </w:r>
      <w:r w:rsidR="008F6A8F" w:rsidRPr="00252234">
        <w:rPr>
          <w:noProof/>
        </w:rPr>
        <w:t xml:space="preserve"> με </w:t>
      </w:r>
      <w:r w:rsidR="00085686">
        <w:rPr>
          <w:noProof/>
        </w:rPr>
        <w:t>παράγοντες κ</w:t>
      </w:r>
      <w:r w:rsidR="001A7B48">
        <w:rPr>
          <w:noProof/>
        </w:rPr>
        <w:t>ι</w:t>
      </w:r>
      <w:r w:rsidR="00085686">
        <w:rPr>
          <w:noProof/>
        </w:rPr>
        <w:t xml:space="preserve">νδύνου εμφάνισης </w:t>
      </w:r>
      <w:r w:rsidR="00252234" w:rsidRPr="00252234">
        <w:rPr>
          <w:noProof/>
        </w:rPr>
        <w:t xml:space="preserve">καρδιαγγειακών </w:t>
      </w:r>
      <w:r w:rsidR="00085686">
        <w:rPr>
          <w:noProof/>
        </w:rPr>
        <w:t xml:space="preserve">επεισοδίων </w:t>
      </w:r>
      <w:r w:rsidR="00252234" w:rsidRPr="00252234">
        <w:rPr>
          <w:noProof/>
        </w:rPr>
        <w:t>(</w:t>
      </w:r>
      <w:r w:rsidR="008F6A8F" w:rsidRPr="00252234">
        <w:rPr>
          <w:noProof/>
        </w:rPr>
        <w:t>π</w:t>
      </w:r>
      <w:r w:rsidR="00252234" w:rsidRPr="00252234">
        <w:rPr>
          <w:noProof/>
        </w:rPr>
        <w:t>.χ. υπέρταση, υπερλιπιδαιμία, σακχαρώδη διαβήτη, κάπνισμα)</w:t>
      </w:r>
      <w:r w:rsidR="00085686">
        <w:rPr>
          <w:noProof/>
        </w:rPr>
        <w:t>, ιδιαίτερα εάν απαιτείται η χορήγηση υψηλών δόσεων ιβουπροφαίνης (2400</w:t>
      </w:r>
      <w:r w:rsidR="00085686">
        <w:rPr>
          <w:noProof/>
          <w:lang w:val="en-US"/>
        </w:rPr>
        <w:t>mg</w:t>
      </w:r>
      <w:r w:rsidR="00085686">
        <w:rPr>
          <w:noProof/>
        </w:rPr>
        <w:t>/ημέρα)</w:t>
      </w:r>
      <w:r w:rsidR="008F6A8F" w:rsidRPr="00252234">
        <w:rPr>
          <w:noProof/>
        </w:rPr>
        <w:t>.</w:t>
      </w:r>
    </w:p>
    <w:p w:rsidR="008F6A8F" w:rsidRPr="00252234" w:rsidRDefault="008F6A8F" w:rsidP="008F6A8F">
      <w:pPr>
        <w:rPr>
          <w:noProof/>
        </w:rPr>
      </w:pPr>
    </w:p>
    <w:p w:rsidR="008F6A8F" w:rsidRPr="00252234" w:rsidRDefault="00252234" w:rsidP="008F6A8F">
      <w:pPr>
        <w:rPr>
          <w:b/>
          <w:i/>
          <w:noProof/>
        </w:rPr>
      </w:pPr>
      <w:r w:rsidRPr="00252234">
        <w:rPr>
          <w:b/>
          <w:i/>
          <w:noProof/>
        </w:rPr>
        <w:t>Ε</w:t>
      </w:r>
      <w:r w:rsidR="008F6A8F" w:rsidRPr="00252234">
        <w:rPr>
          <w:b/>
          <w:i/>
          <w:noProof/>
        </w:rPr>
        <w:t>πιδράσεις στο αναπνευστικό σύστημα</w:t>
      </w:r>
    </w:p>
    <w:p w:rsidR="008F6A8F" w:rsidRPr="003B359C" w:rsidRDefault="00E97F1B" w:rsidP="008F6A8F">
      <w:pPr>
        <w:rPr>
          <w:noProof/>
        </w:rPr>
      </w:pPr>
      <w:r w:rsidRPr="00E97F1B">
        <w:lastRenderedPageBreak/>
        <w:t xml:space="preserve">Το </w:t>
      </w:r>
      <w:r w:rsidR="00947287" w:rsidRPr="00060763">
        <w:rPr>
          <w:szCs w:val="22"/>
          <w:lang w:val="en-GB"/>
        </w:rPr>
        <w:t>Brufen</w:t>
      </w:r>
      <w:r w:rsidR="00947287" w:rsidRPr="00F97F5E">
        <w:rPr>
          <w:szCs w:val="22"/>
        </w:rPr>
        <w:t xml:space="preserve"> </w:t>
      </w:r>
      <w:r w:rsidR="00947287" w:rsidRPr="00060763">
        <w:rPr>
          <w:szCs w:val="22"/>
          <w:lang w:val="en-GB"/>
        </w:rPr>
        <w:t>Plus</w:t>
      </w:r>
      <w:r w:rsidR="00F43003" w:rsidRPr="000C7150">
        <w:rPr>
          <w:szCs w:val="22"/>
        </w:rPr>
        <w:t xml:space="preserve"> </w:t>
      </w:r>
      <w:r w:rsidR="008F6A8F" w:rsidRPr="00E97F1B">
        <w:rPr>
          <w:noProof/>
        </w:rPr>
        <w:t>πρέπει να χρησιμοποιείται με προσοχή σε ασθενείς με άσθμα λόγω τ</w:t>
      </w:r>
      <w:r w:rsidRPr="00E97F1B">
        <w:rPr>
          <w:noProof/>
        </w:rPr>
        <w:t>ης</w:t>
      </w:r>
      <w:r w:rsidR="008F6A8F" w:rsidRPr="00E97F1B">
        <w:rPr>
          <w:noProof/>
        </w:rPr>
        <w:t xml:space="preserve"> κωδεΐνη</w:t>
      </w:r>
      <w:r w:rsidRPr="00E97F1B">
        <w:rPr>
          <w:noProof/>
        </w:rPr>
        <w:t>ς</w:t>
      </w:r>
      <w:r w:rsidR="008F6A8F" w:rsidRPr="00E97F1B">
        <w:rPr>
          <w:noProof/>
        </w:rPr>
        <w:t xml:space="preserve"> και </w:t>
      </w:r>
      <w:r w:rsidRPr="00E97F1B">
        <w:rPr>
          <w:noProof/>
        </w:rPr>
        <w:t>τ</w:t>
      </w:r>
      <w:r w:rsidR="008F6A8F" w:rsidRPr="00E97F1B">
        <w:rPr>
          <w:noProof/>
        </w:rPr>
        <w:t>η</w:t>
      </w:r>
      <w:r w:rsidRPr="00E97F1B">
        <w:rPr>
          <w:noProof/>
        </w:rPr>
        <w:t>ς</w:t>
      </w:r>
      <w:r w:rsidR="008F6A8F" w:rsidRPr="00E97F1B">
        <w:rPr>
          <w:noProof/>
        </w:rPr>
        <w:t xml:space="preserve"> ιβουπροφαίνη</w:t>
      </w:r>
      <w:r w:rsidRPr="00E97F1B">
        <w:rPr>
          <w:noProof/>
        </w:rPr>
        <w:t>ς</w:t>
      </w:r>
      <w:r w:rsidR="008F6A8F" w:rsidRPr="00E97F1B">
        <w:rPr>
          <w:noProof/>
        </w:rPr>
        <w:t xml:space="preserve"> που περιέχει. Η ιβουπροφαίνη μπορεί να επάγ</w:t>
      </w:r>
      <w:r w:rsidRPr="00E97F1B">
        <w:rPr>
          <w:noProof/>
        </w:rPr>
        <w:t>ει</w:t>
      </w:r>
      <w:r w:rsidR="008F6A8F" w:rsidRPr="00E97F1B">
        <w:rPr>
          <w:noProof/>
        </w:rPr>
        <w:t xml:space="preserve"> συμπτώματα του άσθματος</w:t>
      </w:r>
      <w:r w:rsidRPr="00E97F1B">
        <w:rPr>
          <w:noProof/>
        </w:rPr>
        <w:t>,</w:t>
      </w:r>
      <w:r w:rsidR="008F6A8F" w:rsidRPr="00E97F1B">
        <w:rPr>
          <w:noProof/>
        </w:rPr>
        <w:t xml:space="preserve"> ιδιαίτερα σε άτομα </w:t>
      </w:r>
      <w:r w:rsidRPr="00E97F1B">
        <w:rPr>
          <w:noProof/>
        </w:rPr>
        <w:t xml:space="preserve">με </w:t>
      </w:r>
      <w:r w:rsidR="008F6A8F" w:rsidRPr="00E97F1B">
        <w:rPr>
          <w:noProof/>
        </w:rPr>
        <w:t xml:space="preserve">υπερευαισθησία στο ακετυλοσαλικυλικό οξύ. Όπως και άλλα οπιοειδή, η κωδεΐνη μπορεί να προκαλέσει αναπνευστική καταστολή. Τα αποτελέσματα κυμαίνονται από ήπια συμπτώματα </w:t>
      </w:r>
      <w:r w:rsidRPr="00E97F1B">
        <w:rPr>
          <w:noProof/>
        </w:rPr>
        <w:t>έως</w:t>
      </w:r>
      <w:r w:rsidR="008F6A8F" w:rsidRPr="00E97F1B">
        <w:rPr>
          <w:noProof/>
        </w:rPr>
        <w:t xml:space="preserve"> απειλητικ</w:t>
      </w:r>
      <w:r w:rsidRPr="00E97F1B">
        <w:rPr>
          <w:noProof/>
        </w:rPr>
        <w:t>ούς</w:t>
      </w:r>
      <w:r w:rsidR="008F6A8F" w:rsidRPr="00E97F1B">
        <w:rPr>
          <w:noProof/>
        </w:rPr>
        <w:t xml:space="preserve"> για τη ζωή </w:t>
      </w:r>
      <w:r w:rsidR="008F6A8F" w:rsidRPr="003B359C">
        <w:rPr>
          <w:noProof/>
        </w:rPr>
        <w:t>σπασμούς</w:t>
      </w:r>
      <w:r w:rsidR="009060AF">
        <w:rPr>
          <w:noProof/>
        </w:rPr>
        <w:t xml:space="preserve"> των αναπνευστικών μυών</w:t>
      </w:r>
      <w:r w:rsidR="008F6A8F" w:rsidRPr="003B359C">
        <w:rPr>
          <w:noProof/>
        </w:rPr>
        <w:t>.</w:t>
      </w:r>
    </w:p>
    <w:p w:rsidR="008F6A8F" w:rsidRPr="003B359C" w:rsidRDefault="008F6A8F" w:rsidP="008F6A8F">
      <w:pPr>
        <w:rPr>
          <w:noProof/>
        </w:rPr>
      </w:pPr>
    </w:p>
    <w:p w:rsidR="008F6A8F" w:rsidRPr="003B359C" w:rsidRDefault="00E97F1B" w:rsidP="008F6A8F">
      <w:pPr>
        <w:rPr>
          <w:b/>
          <w:i/>
          <w:noProof/>
        </w:rPr>
      </w:pPr>
      <w:r w:rsidRPr="003B359C">
        <w:rPr>
          <w:b/>
          <w:i/>
          <w:noProof/>
        </w:rPr>
        <w:t>Ε</w:t>
      </w:r>
      <w:r w:rsidR="008F6A8F" w:rsidRPr="003B359C">
        <w:rPr>
          <w:b/>
          <w:i/>
          <w:noProof/>
        </w:rPr>
        <w:t>πιδράσεις των οπιοειδών</w:t>
      </w:r>
    </w:p>
    <w:p w:rsidR="008F6A8F" w:rsidRPr="003B359C" w:rsidRDefault="008F6A8F" w:rsidP="008F6A8F">
      <w:pPr>
        <w:rPr>
          <w:noProof/>
        </w:rPr>
      </w:pPr>
      <w:r w:rsidRPr="003B359C">
        <w:rPr>
          <w:noProof/>
        </w:rPr>
        <w:t xml:space="preserve">Η κωδεΐνη μπορεί να προκαλέσει εξάρτηση. </w:t>
      </w:r>
      <w:r w:rsidR="005808FC" w:rsidRPr="003B359C">
        <w:rPr>
          <w:noProof/>
        </w:rPr>
        <w:t>Κ</w:t>
      </w:r>
      <w:r w:rsidRPr="003B359C">
        <w:rPr>
          <w:noProof/>
        </w:rPr>
        <w:t>ατά τη μακροχρόνια χρήση</w:t>
      </w:r>
      <w:r w:rsidR="005808FC" w:rsidRPr="003B359C">
        <w:rPr>
          <w:noProof/>
        </w:rPr>
        <w:t xml:space="preserve"> μπορεί να αναπτυχθεί φυσική εξάρτηση</w:t>
      </w:r>
      <w:r w:rsidRPr="003B359C">
        <w:rPr>
          <w:noProof/>
        </w:rPr>
        <w:t xml:space="preserve">, </w:t>
      </w:r>
      <w:r w:rsidR="005808FC" w:rsidRPr="003B359C">
        <w:rPr>
          <w:noProof/>
        </w:rPr>
        <w:t>καθώς επίσης</w:t>
      </w:r>
      <w:r w:rsidRPr="003B359C">
        <w:rPr>
          <w:noProof/>
        </w:rPr>
        <w:t xml:space="preserve"> </w:t>
      </w:r>
      <w:r w:rsidR="005808FC" w:rsidRPr="003B359C">
        <w:rPr>
          <w:noProof/>
        </w:rPr>
        <w:t xml:space="preserve">μπορεί να προκύψει </w:t>
      </w:r>
      <w:r w:rsidRPr="003B359C">
        <w:rPr>
          <w:noProof/>
        </w:rPr>
        <w:t xml:space="preserve">διασταυρούμενη ανοχή </w:t>
      </w:r>
      <w:r w:rsidR="005808FC" w:rsidRPr="003B359C">
        <w:rPr>
          <w:noProof/>
        </w:rPr>
        <w:t>σ</w:t>
      </w:r>
      <w:r w:rsidRPr="003B359C">
        <w:rPr>
          <w:noProof/>
        </w:rPr>
        <w:t>ε άλλα οπιοειδή</w:t>
      </w:r>
      <w:r w:rsidR="005808FC" w:rsidRPr="003B359C">
        <w:rPr>
          <w:noProof/>
        </w:rPr>
        <w:t>. Εξαιτίας της</w:t>
      </w:r>
      <w:r w:rsidRPr="003B359C">
        <w:rPr>
          <w:noProof/>
        </w:rPr>
        <w:t xml:space="preserve"> </w:t>
      </w:r>
      <w:r w:rsidR="005808FC" w:rsidRPr="003B359C">
        <w:rPr>
          <w:noProof/>
        </w:rPr>
        <w:t>πιθανότητας</w:t>
      </w:r>
      <w:r w:rsidRPr="003B359C">
        <w:rPr>
          <w:noProof/>
        </w:rPr>
        <w:t xml:space="preserve"> ανάπτυξης της </w:t>
      </w:r>
      <w:r w:rsidR="005808FC" w:rsidRPr="003B359C">
        <w:rPr>
          <w:noProof/>
        </w:rPr>
        <w:t>φυσικής</w:t>
      </w:r>
      <w:r w:rsidRPr="003B359C">
        <w:rPr>
          <w:noProof/>
        </w:rPr>
        <w:t xml:space="preserve"> εξάρτησης </w:t>
      </w:r>
      <w:r w:rsidR="005808FC" w:rsidRPr="003B359C">
        <w:rPr>
          <w:noProof/>
        </w:rPr>
        <w:t>στην</w:t>
      </w:r>
      <w:r w:rsidRPr="003B359C">
        <w:rPr>
          <w:noProof/>
        </w:rPr>
        <w:t xml:space="preserve"> κωδεΐνη, η μακροχρόνια χρήση δε συνιστάται.</w:t>
      </w:r>
    </w:p>
    <w:p w:rsidR="008F6A8F" w:rsidRPr="003B359C" w:rsidRDefault="008F6A8F" w:rsidP="008F6A8F">
      <w:pPr>
        <w:rPr>
          <w:noProof/>
        </w:rPr>
      </w:pPr>
    </w:p>
    <w:p w:rsidR="008F6A8F" w:rsidRPr="003B359C" w:rsidRDefault="005808FC" w:rsidP="008F6A8F">
      <w:pPr>
        <w:rPr>
          <w:noProof/>
        </w:rPr>
      </w:pPr>
      <w:r w:rsidRPr="003B359C">
        <w:rPr>
          <w:noProof/>
        </w:rPr>
        <w:t>Σ</w:t>
      </w:r>
      <w:r w:rsidR="008F6A8F" w:rsidRPr="003B359C">
        <w:rPr>
          <w:noProof/>
        </w:rPr>
        <w:t>ε ασθενείς με προηγούμεν</w:t>
      </w:r>
      <w:r w:rsidRPr="003B359C">
        <w:rPr>
          <w:noProof/>
        </w:rPr>
        <w:t>ο ιστορικό εξάρτησης σε χημικές ουσίες συνιστάται προσοχή</w:t>
      </w:r>
      <w:r w:rsidR="008F6A8F" w:rsidRPr="003B359C">
        <w:rPr>
          <w:noProof/>
        </w:rPr>
        <w:t>.</w:t>
      </w:r>
    </w:p>
    <w:p w:rsidR="008F6A8F" w:rsidRPr="003B359C" w:rsidRDefault="008F6A8F" w:rsidP="008F6A8F">
      <w:pPr>
        <w:rPr>
          <w:noProof/>
        </w:rPr>
      </w:pPr>
    </w:p>
    <w:p w:rsidR="008F6A8F" w:rsidRPr="003B359C" w:rsidRDefault="005808FC" w:rsidP="008F6A8F">
      <w:pPr>
        <w:rPr>
          <w:noProof/>
        </w:rPr>
      </w:pPr>
      <w:r w:rsidRPr="003B359C">
        <w:rPr>
          <w:noProof/>
        </w:rPr>
        <w:t>Σ</w:t>
      </w:r>
      <w:r w:rsidR="008F6A8F" w:rsidRPr="003B359C">
        <w:rPr>
          <w:noProof/>
        </w:rPr>
        <w:t xml:space="preserve">ε ασθενείς με διαταραχές εθισμού </w:t>
      </w:r>
      <w:r w:rsidRPr="003B359C">
        <w:rPr>
          <w:noProof/>
        </w:rPr>
        <w:t>συνιστάται προσοχή</w:t>
      </w:r>
      <w:r w:rsidR="008F6A8F" w:rsidRPr="003B359C">
        <w:rPr>
          <w:noProof/>
        </w:rPr>
        <w:t>.</w:t>
      </w:r>
    </w:p>
    <w:p w:rsidR="008F6A8F" w:rsidRPr="003B359C" w:rsidRDefault="008F6A8F" w:rsidP="008F6A8F">
      <w:pPr>
        <w:rPr>
          <w:noProof/>
        </w:rPr>
      </w:pPr>
    </w:p>
    <w:p w:rsidR="008F6A8F" w:rsidRPr="003B359C" w:rsidRDefault="008F6A8F" w:rsidP="008F6A8F">
      <w:pPr>
        <w:rPr>
          <w:noProof/>
        </w:rPr>
      </w:pPr>
      <w:r w:rsidRPr="003B359C">
        <w:rPr>
          <w:noProof/>
        </w:rPr>
        <w:t xml:space="preserve">Η χρόνια χρήση οπιοειδών, </w:t>
      </w:r>
      <w:r w:rsidR="005808FC" w:rsidRPr="003B359C">
        <w:rPr>
          <w:noProof/>
        </w:rPr>
        <w:t>συμπεριλαμβανομένης της</w:t>
      </w:r>
      <w:r w:rsidRPr="003B359C">
        <w:rPr>
          <w:noProof/>
        </w:rPr>
        <w:t xml:space="preserve"> κωδεΐνη</w:t>
      </w:r>
      <w:r w:rsidR="005808FC" w:rsidRPr="003B359C">
        <w:rPr>
          <w:noProof/>
        </w:rPr>
        <w:t>ς</w:t>
      </w:r>
      <w:r w:rsidRPr="003B359C">
        <w:rPr>
          <w:noProof/>
        </w:rPr>
        <w:t>, μπορεί να προκαλέσει ή να επιδεινώσει χρόνια δυσκοιλιότητα, δεδομένου ότι, α</w:t>
      </w:r>
      <w:r w:rsidR="005808FC" w:rsidRPr="003B359C">
        <w:rPr>
          <w:noProof/>
        </w:rPr>
        <w:t xml:space="preserve">ν και </w:t>
      </w:r>
      <w:r w:rsidR="009060AF">
        <w:rPr>
          <w:noProof/>
        </w:rPr>
        <w:t>αναπτύσσεται</w:t>
      </w:r>
      <w:r w:rsidR="009060AF" w:rsidRPr="003B359C">
        <w:rPr>
          <w:noProof/>
        </w:rPr>
        <w:t xml:space="preserve"> </w:t>
      </w:r>
      <w:r w:rsidR="005808FC" w:rsidRPr="003B359C">
        <w:rPr>
          <w:noProof/>
        </w:rPr>
        <w:t xml:space="preserve">το επίπεδο της ανοχής στη δράση </w:t>
      </w:r>
      <w:r w:rsidRPr="003B359C">
        <w:rPr>
          <w:noProof/>
        </w:rPr>
        <w:t xml:space="preserve">των οπιούχων </w:t>
      </w:r>
      <w:r w:rsidR="005808FC" w:rsidRPr="003B359C">
        <w:rPr>
          <w:noProof/>
        </w:rPr>
        <w:t>σ</w:t>
      </w:r>
      <w:r w:rsidRPr="003B359C">
        <w:rPr>
          <w:noProof/>
        </w:rPr>
        <w:t>τις κινήσεις του εντέρου, οι ασθενείς που λαμβ</w:t>
      </w:r>
      <w:r w:rsidR="00071E1A">
        <w:rPr>
          <w:noProof/>
        </w:rPr>
        <w:t>άνουν οπιούχα για τη θεραπεία μί</w:t>
      </w:r>
      <w:r w:rsidRPr="003B359C">
        <w:rPr>
          <w:noProof/>
        </w:rPr>
        <w:t>ας χρόνιας κατάστασης συνεχίζουν</w:t>
      </w:r>
      <w:r w:rsidR="005808FC" w:rsidRPr="003B359C">
        <w:rPr>
          <w:noProof/>
        </w:rPr>
        <w:t xml:space="preserve"> να υποφέρουν από δυσκοιλιότητα</w:t>
      </w:r>
      <w:r w:rsidRPr="003B359C">
        <w:rPr>
          <w:noProof/>
        </w:rPr>
        <w:t>.</w:t>
      </w:r>
    </w:p>
    <w:p w:rsidR="008F6A8F" w:rsidRPr="003B359C" w:rsidRDefault="008F6A8F" w:rsidP="008F6A8F">
      <w:pPr>
        <w:rPr>
          <w:noProof/>
        </w:rPr>
      </w:pPr>
    </w:p>
    <w:p w:rsidR="008F6A8F" w:rsidRPr="003B359C" w:rsidRDefault="008F6A8F" w:rsidP="008F6A8F">
      <w:pPr>
        <w:rPr>
          <w:b/>
          <w:i/>
          <w:noProof/>
        </w:rPr>
      </w:pPr>
      <w:r w:rsidRPr="003B359C">
        <w:rPr>
          <w:b/>
          <w:i/>
          <w:noProof/>
        </w:rPr>
        <w:t>Δερματολογικ</w:t>
      </w:r>
      <w:r w:rsidR="00B13BCF">
        <w:rPr>
          <w:b/>
          <w:i/>
          <w:noProof/>
        </w:rPr>
        <w:t>ές</w:t>
      </w:r>
      <w:r w:rsidRPr="003B359C">
        <w:rPr>
          <w:b/>
          <w:i/>
          <w:noProof/>
        </w:rPr>
        <w:t xml:space="preserve"> </w:t>
      </w:r>
      <w:r w:rsidR="00B13BCF">
        <w:rPr>
          <w:b/>
          <w:i/>
          <w:noProof/>
        </w:rPr>
        <w:t>επιδράσεις</w:t>
      </w:r>
    </w:p>
    <w:p w:rsidR="008F6A8F" w:rsidRPr="003B359C" w:rsidRDefault="008F6A8F" w:rsidP="008F6A8F">
      <w:pPr>
        <w:rPr>
          <w:noProof/>
        </w:rPr>
      </w:pPr>
      <w:r w:rsidRPr="003B359C">
        <w:rPr>
          <w:noProof/>
        </w:rPr>
        <w:t xml:space="preserve">Σοβαρές δερματικές αντιδράσεις, μερικές από τις οποίες </w:t>
      </w:r>
      <w:r w:rsidR="003B359C" w:rsidRPr="003B359C">
        <w:rPr>
          <w:noProof/>
        </w:rPr>
        <w:t xml:space="preserve">είναι </w:t>
      </w:r>
      <w:r w:rsidRPr="003B359C">
        <w:rPr>
          <w:noProof/>
        </w:rPr>
        <w:t xml:space="preserve">θανατηφόρες, που περιλαμβάνουν </w:t>
      </w:r>
      <w:r w:rsidR="003B359C" w:rsidRPr="003B359C">
        <w:rPr>
          <w:noProof/>
        </w:rPr>
        <w:t xml:space="preserve">την </w:t>
      </w:r>
      <w:r w:rsidRPr="003B359C">
        <w:rPr>
          <w:noProof/>
        </w:rPr>
        <w:t xml:space="preserve">αποφολιδωτική δερματίτιδα, </w:t>
      </w:r>
      <w:r w:rsidR="003B359C" w:rsidRPr="003B359C">
        <w:rPr>
          <w:noProof/>
        </w:rPr>
        <w:t xml:space="preserve">το </w:t>
      </w:r>
      <w:r w:rsidRPr="003B359C">
        <w:rPr>
          <w:noProof/>
        </w:rPr>
        <w:t xml:space="preserve">σύνδρομο Stevens-Johnson και </w:t>
      </w:r>
      <w:r w:rsidR="003B359C" w:rsidRPr="003B359C">
        <w:rPr>
          <w:noProof/>
        </w:rPr>
        <w:t xml:space="preserve">την </w:t>
      </w:r>
      <w:r w:rsidRPr="003B359C">
        <w:rPr>
          <w:noProof/>
        </w:rPr>
        <w:t xml:space="preserve">τοξική επιδερμική νεκρόλυση, έχουν αναφερθεί πολύ σπάνια σε σχέση με τη χρήση των ΜΣΑΦ (βλ. παράγραφο 4.8). Οι ασθενείς φαίνεται να εμφανίζουν υψηλότερο κίνδυνο αυτών των ανεπιθύμητων ενεργειών κατά </w:t>
      </w:r>
      <w:r w:rsidR="003B359C" w:rsidRPr="003B359C">
        <w:rPr>
          <w:noProof/>
        </w:rPr>
        <w:t>την πρώιμη φάση της θεραπείας</w:t>
      </w:r>
      <w:r w:rsidRPr="003B359C">
        <w:rPr>
          <w:noProof/>
        </w:rPr>
        <w:t xml:space="preserve">. Στην πλειονότητα των περιπτώσεων, η έναρξη της αντίδρασης λαμβάνει χώρα μέσα στον πρώτο μήνα της θεραπείας. Η χρήση </w:t>
      </w:r>
      <w:r w:rsidR="003B359C" w:rsidRPr="003B359C">
        <w:t xml:space="preserve">του </w:t>
      </w:r>
      <w:r w:rsidR="00947287" w:rsidRPr="00060763">
        <w:rPr>
          <w:szCs w:val="22"/>
          <w:lang w:val="en-GB"/>
        </w:rPr>
        <w:t>Brufen</w:t>
      </w:r>
      <w:r w:rsidR="00947287" w:rsidRPr="00F97F5E">
        <w:rPr>
          <w:szCs w:val="22"/>
        </w:rPr>
        <w:t xml:space="preserve"> </w:t>
      </w:r>
      <w:r w:rsidR="00947287" w:rsidRPr="00060763">
        <w:rPr>
          <w:szCs w:val="22"/>
          <w:lang w:val="en-GB"/>
        </w:rPr>
        <w:t>Plus</w:t>
      </w:r>
      <w:r w:rsidR="00F43003" w:rsidRPr="000C7150">
        <w:rPr>
          <w:szCs w:val="22"/>
        </w:rPr>
        <w:t xml:space="preserve"> </w:t>
      </w:r>
      <w:r w:rsidRPr="003B359C">
        <w:rPr>
          <w:noProof/>
        </w:rPr>
        <w:t>πρέπει να διακοπεί με την πρώτη εμφάνιση δερματικού εξανθήματος, βλάβης του βλεννογόνου ή άλλ</w:t>
      </w:r>
      <w:r w:rsidR="00B13BCF">
        <w:rPr>
          <w:noProof/>
        </w:rPr>
        <w:t>ων</w:t>
      </w:r>
      <w:r w:rsidRPr="003B359C">
        <w:rPr>
          <w:noProof/>
        </w:rPr>
        <w:t xml:space="preserve"> συμπτ</w:t>
      </w:r>
      <w:r w:rsidR="00B13BCF">
        <w:rPr>
          <w:noProof/>
        </w:rPr>
        <w:t>ωμάτων</w:t>
      </w:r>
      <w:r w:rsidRPr="003B359C">
        <w:rPr>
          <w:noProof/>
        </w:rPr>
        <w:t xml:space="preserve"> υπερευαισθησίας.</w:t>
      </w:r>
    </w:p>
    <w:p w:rsidR="008F6A8F" w:rsidRPr="00E53E8C" w:rsidRDefault="008F6A8F" w:rsidP="008F6A8F">
      <w:pPr>
        <w:rPr>
          <w:b/>
          <w:i/>
          <w:noProof/>
        </w:rPr>
      </w:pPr>
    </w:p>
    <w:p w:rsidR="008F6A8F" w:rsidRPr="00E53E8C" w:rsidRDefault="008F6A8F" w:rsidP="008F6A8F">
      <w:pPr>
        <w:rPr>
          <w:b/>
          <w:i/>
          <w:noProof/>
        </w:rPr>
      </w:pPr>
      <w:r w:rsidRPr="00E53E8C">
        <w:rPr>
          <w:b/>
          <w:i/>
          <w:noProof/>
        </w:rPr>
        <w:t>Νεφρικ</w:t>
      </w:r>
      <w:r w:rsidR="00B13BCF">
        <w:rPr>
          <w:b/>
          <w:i/>
          <w:noProof/>
        </w:rPr>
        <w:t>ές επιδράσεις</w:t>
      </w:r>
    </w:p>
    <w:p w:rsidR="008F6A8F" w:rsidRPr="00D30FED" w:rsidRDefault="003B359C" w:rsidP="008F6A8F">
      <w:pPr>
        <w:rPr>
          <w:noProof/>
        </w:rPr>
      </w:pPr>
      <w:r w:rsidRPr="00E53E8C">
        <w:rPr>
          <w:noProof/>
        </w:rPr>
        <w:t>Σ</w:t>
      </w:r>
      <w:r w:rsidR="008F6A8F" w:rsidRPr="00E53E8C">
        <w:rPr>
          <w:noProof/>
        </w:rPr>
        <w:t xml:space="preserve">ε ασθενείς με σημαντική αφυδάτωση </w:t>
      </w:r>
      <w:r w:rsidRPr="00E53E8C">
        <w:rPr>
          <w:noProof/>
        </w:rPr>
        <w:t xml:space="preserve">θα πρέπει να δίνεται προσοχή κατά την έναρξη της θεραπείας </w:t>
      </w:r>
      <w:r w:rsidRPr="00D30FED">
        <w:rPr>
          <w:noProof/>
        </w:rPr>
        <w:t>με ιβουπροφαίνη</w:t>
      </w:r>
      <w:r w:rsidR="008F6A8F" w:rsidRPr="00D30FED">
        <w:rPr>
          <w:noProof/>
        </w:rPr>
        <w:t>.</w:t>
      </w:r>
    </w:p>
    <w:p w:rsidR="008F6A8F" w:rsidRPr="00D30FED" w:rsidRDefault="008F6A8F" w:rsidP="008F6A8F">
      <w:pPr>
        <w:rPr>
          <w:noProof/>
        </w:rPr>
      </w:pPr>
    </w:p>
    <w:p w:rsidR="008F6A8F" w:rsidRPr="00D30FED" w:rsidRDefault="008F6A8F" w:rsidP="008F6A8F">
      <w:pPr>
        <w:rPr>
          <w:noProof/>
        </w:rPr>
      </w:pPr>
      <w:r w:rsidRPr="00D30FED">
        <w:rPr>
          <w:noProof/>
        </w:rPr>
        <w:t xml:space="preserve">Όπως και με άλλα ΜΣΑΦ, η μακροχρόνια χορήγηση </w:t>
      </w:r>
      <w:r w:rsidR="00E53E8C" w:rsidRPr="00D30FED">
        <w:rPr>
          <w:noProof/>
        </w:rPr>
        <w:t>της ιβουπροφαίνης</w:t>
      </w:r>
      <w:r w:rsidRPr="00D30FED">
        <w:rPr>
          <w:noProof/>
        </w:rPr>
        <w:t xml:space="preserve"> έχει οδηγήσει σε νέκρωση των νεφρικών θηλών και άλλες νεφρικές παθολογικές αλλαγές. Νεφρική τοξικότητα έχει επίσης </w:t>
      </w:r>
      <w:r w:rsidR="00E53E8C" w:rsidRPr="00D30FED">
        <w:rPr>
          <w:noProof/>
        </w:rPr>
        <w:t>παρατηρηθεί</w:t>
      </w:r>
      <w:r w:rsidRPr="00D30FED">
        <w:rPr>
          <w:noProof/>
        </w:rPr>
        <w:t xml:space="preserve"> σε ασθενείς στους οποίους </w:t>
      </w:r>
      <w:r w:rsidR="00E53E8C" w:rsidRPr="00D30FED">
        <w:rPr>
          <w:noProof/>
        </w:rPr>
        <w:t xml:space="preserve">οι </w:t>
      </w:r>
      <w:r w:rsidRPr="00D30FED">
        <w:rPr>
          <w:noProof/>
        </w:rPr>
        <w:t xml:space="preserve">νεφρικές προσταγλανδίνες έχουν αντισταθμιστικό ρόλο στη διατήρηση της φυσιολογικής νεφρικής αιμάτωσης. Σε αυτούς τους ασθενείς, η χορήγηση ενός </w:t>
      </w:r>
      <w:r w:rsidR="00E53E8C" w:rsidRPr="00D30FED">
        <w:rPr>
          <w:noProof/>
        </w:rPr>
        <w:t>ΜΣΑΦ</w:t>
      </w:r>
      <w:r w:rsidRPr="00D30FED">
        <w:rPr>
          <w:noProof/>
        </w:rPr>
        <w:t xml:space="preserve"> μπορεί να προκαλέσει μια δοσοεξαρτώμενη μείωση στο σχηματισμό των προσταγλανδινών</w:t>
      </w:r>
      <w:r w:rsidR="00E53E8C" w:rsidRPr="00D30FED">
        <w:rPr>
          <w:noProof/>
        </w:rPr>
        <w:t>, και δευτερευόντως στη</w:t>
      </w:r>
      <w:r w:rsidRPr="00D30FED">
        <w:rPr>
          <w:noProof/>
        </w:rPr>
        <w:t xml:space="preserve"> νεφρική ροή του αίματος που μπορεί να προκαλέσει νεφρική ανεπάρκεια. Ασθενείς σε μεγαλύτερο κίνδυνο αυτής της αντίδρασης είναι εκείνοι</w:t>
      </w:r>
      <w:r w:rsidR="005F5BA7">
        <w:rPr>
          <w:noProof/>
        </w:rPr>
        <w:t xml:space="preserve"> με</w:t>
      </w:r>
      <w:r w:rsidRPr="00D30FED">
        <w:rPr>
          <w:noProof/>
        </w:rPr>
        <w:t xml:space="preserve"> νεφρική </w:t>
      </w:r>
      <w:r w:rsidR="005F5BA7">
        <w:rPr>
          <w:noProof/>
        </w:rPr>
        <w:t>δυσ</w:t>
      </w:r>
      <w:r w:rsidRPr="00D30FED">
        <w:rPr>
          <w:noProof/>
        </w:rPr>
        <w:t>λειτουργία, καρδιακή ανεπάρκεια, ηπατική δυσλειτουργία, εκείν</w:t>
      </w:r>
      <w:r w:rsidR="00E53E8C" w:rsidRPr="00D30FED">
        <w:rPr>
          <w:noProof/>
        </w:rPr>
        <w:t>οι</w:t>
      </w:r>
      <w:r w:rsidRPr="00D30FED">
        <w:rPr>
          <w:noProof/>
        </w:rPr>
        <w:t xml:space="preserve"> που λαμβάνουν διουρητικά και αναστολείς </w:t>
      </w:r>
      <w:r w:rsidR="00D30FED" w:rsidRPr="00D30FED">
        <w:rPr>
          <w:noProof/>
        </w:rPr>
        <w:t>του μετατρεπτικού ενζύμου της αγγειοτενσίνης (</w:t>
      </w:r>
      <w:r w:rsidR="00D30FED">
        <w:rPr>
          <w:noProof/>
        </w:rPr>
        <w:t>αναστολείς ΜΕΑ</w:t>
      </w:r>
      <w:r w:rsidR="00D30FED" w:rsidRPr="00D30FED">
        <w:rPr>
          <w:noProof/>
        </w:rPr>
        <w:t>)</w:t>
      </w:r>
      <w:r w:rsidRPr="00D30FED">
        <w:rPr>
          <w:noProof/>
        </w:rPr>
        <w:t xml:space="preserve"> και </w:t>
      </w:r>
      <w:r w:rsidR="00E53E8C" w:rsidRPr="00D30FED">
        <w:rPr>
          <w:noProof/>
        </w:rPr>
        <w:t>οι</w:t>
      </w:r>
      <w:r w:rsidRPr="00D30FED">
        <w:rPr>
          <w:noProof/>
        </w:rPr>
        <w:t xml:space="preserve"> ηλικιωμένο</w:t>
      </w:r>
      <w:r w:rsidR="00E53E8C" w:rsidRPr="00D30FED">
        <w:rPr>
          <w:noProof/>
        </w:rPr>
        <w:t>ι</w:t>
      </w:r>
      <w:r w:rsidRPr="00D30FED">
        <w:rPr>
          <w:noProof/>
        </w:rPr>
        <w:t>. Η διακοπή της θεραπείας με ΜΣΑΦ συνήθω</w:t>
      </w:r>
      <w:r w:rsidR="00D30FED" w:rsidRPr="00D30FED">
        <w:rPr>
          <w:noProof/>
        </w:rPr>
        <w:t xml:space="preserve">ς ακολουθείται από </w:t>
      </w:r>
      <w:r w:rsidR="000F7D67">
        <w:rPr>
          <w:noProof/>
        </w:rPr>
        <w:t>επαναφορά</w:t>
      </w:r>
      <w:r w:rsidRPr="00D30FED">
        <w:rPr>
          <w:noProof/>
        </w:rPr>
        <w:t xml:space="preserve"> </w:t>
      </w:r>
      <w:r w:rsidR="00D030CF" w:rsidRPr="00D30FED">
        <w:rPr>
          <w:noProof/>
        </w:rPr>
        <w:t>στην κατάσταση πριν τη θεραπεία</w:t>
      </w:r>
      <w:r w:rsidRPr="00D30FED">
        <w:rPr>
          <w:noProof/>
        </w:rPr>
        <w:t>.</w:t>
      </w:r>
    </w:p>
    <w:p w:rsidR="008F6A8F" w:rsidRPr="00D30FED" w:rsidRDefault="008F6A8F" w:rsidP="008F6A8F">
      <w:pPr>
        <w:rPr>
          <w:noProof/>
        </w:rPr>
      </w:pPr>
    </w:p>
    <w:p w:rsidR="008F6A8F" w:rsidRPr="00D30FED" w:rsidRDefault="008F6A8F" w:rsidP="008F6A8F">
      <w:pPr>
        <w:rPr>
          <w:b/>
          <w:i/>
          <w:noProof/>
        </w:rPr>
      </w:pPr>
      <w:r w:rsidRPr="00D30FED">
        <w:rPr>
          <w:b/>
          <w:i/>
          <w:noProof/>
        </w:rPr>
        <w:t>Αιματολογικές επιδράσεις</w:t>
      </w:r>
    </w:p>
    <w:p w:rsidR="008F6A8F" w:rsidRPr="00D30FED" w:rsidRDefault="00D30FED" w:rsidP="008F6A8F">
      <w:pPr>
        <w:rPr>
          <w:noProof/>
        </w:rPr>
      </w:pPr>
      <w:r>
        <w:rPr>
          <w:noProof/>
        </w:rPr>
        <w:t>Η ιβουπροφαίνη</w:t>
      </w:r>
      <w:r w:rsidR="008F6A8F" w:rsidRPr="00D30FED">
        <w:rPr>
          <w:noProof/>
        </w:rPr>
        <w:t xml:space="preserve">, όπως και άλλα </w:t>
      </w:r>
      <w:r>
        <w:rPr>
          <w:noProof/>
        </w:rPr>
        <w:t>ΜΣΑΦ</w:t>
      </w:r>
      <w:r w:rsidR="008F6A8F" w:rsidRPr="00D30FED">
        <w:rPr>
          <w:noProof/>
        </w:rPr>
        <w:t xml:space="preserve">, μπορεί να αναστέλλει τη συσσώρευση των αιμοπεταλίων και έχει </w:t>
      </w:r>
      <w:r w:rsidR="00E416BA">
        <w:rPr>
          <w:noProof/>
        </w:rPr>
        <w:t>δειχθεί ότι παρατείνει το χρόνο ροής</w:t>
      </w:r>
      <w:r w:rsidR="008F6A8F" w:rsidRPr="00D30FED">
        <w:rPr>
          <w:noProof/>
        </w:rPr>
        <w:t xml:space="preserve"> σε </w:t>
      </w:r>
      <w:r w:rsidR="00E416BA">
        <w:rPr>
          <w:noProof/>
        </w:rPr>
        <w:t xml:space="preserve">φυσιολογικά </w:t>
      </w:r>
      <w:r>
        <w:rPr>
          <w:noProof/>
        </w:rPr>
        <w:t>άτομα</w:t>
      </w:r>
      <w:r w:rsidR="008F6A8F" w:rsidRPr="00D30FED">
        <w:rPr>
          <w:noProof/>
        </w:rPr>
        <w:t>.</w:t>
      </w:r>
    </w:p>
    <w:p w:rsidR="008F6A8F" w:rsidRPr="00D30FED" w:rsidRDefault="008F6A8F" w:rsidP="008F6A8F">
      <w:pPr>
        <w:rPr>
          <w:noProof/>
        </w:rPr>
      </w:pPr>
    </w:p>
    <w:p w:rsidR="008F6A8F" w:rsidRPr="00D30FED" w:rsidRDefault="00D30FED" w:rsidP="008F6A8F">
      <w:pPr>
        <w:rPr>
          <w:noProof/>
        </w:rPr>
      </w:pPr>
      <w:r w:rsidRPr="00D30FED">
        <w:t xml:space="preserve">Το </w:t>
      </w:r>
      <w:r w:rsidR="00947287" w:rsidRPr="00060763">
        <w:rPr>
          <w:szCs w:val="22"/>
          <w:lang w:val="en-GB"/>
        </w:rPr>
        <w:t>Brufen</w:t>
      </w:r>
      <w:r w:rsidR="00947287" w:rsidRPr="00F97F5E">
        <w:rPr>
          <w:szCs w:val="22"/>
        </w:rPr>
        <w:t xml:space="preserve"> </w:t>
      </w:r>
      <w:r w:rsidR="00947287" w:rsidRPr="00060763">
        <w:rPr>
          <w:szCs w:val="22"/>
          <w:lang w:val="en-GB"/>
        </w:rPr>
        <w:t>Plus</w:t>
      </w:r>
      <w:r w:rsidR="00F43003" w:rsidRPr="000C7150">
        <w:rPr>
          <w:szCs w:val="22"/>
        </w:rPr>
        <w:t xml:space="preserve"> </w:t>
      </w:r>
      <w:r w:rsidR="008F6A8F" w:rsidRPr="00D30FED">
        <w:rPr>
          <w:noProof/>
        </w:rPr>
        <w:t>πρέπει να χορηγ</w:t>
      </w:r>
      <w:r w:rsidRPr="00D30FED">
        <w:rPr>
          <w:noProof/>
        </w:rPr>
        <w:t>εί</w:t>
      </w:r>
      <w:r w:rsidR="008F6A8F" w:rsidRPr="00D30FED">
        <w:rPr>
          <w:noProof/>
        </w:rPr>
        <w:t>ται με προσοχή σε ασθενείς που λαμβάνουν αντιπηκτική θεραπεία.</w:t>
      </w:r>
      <w:r w:rsidRPr="00D30FED">
        <w:rPr>
          <w:noProof/>
        </w:rPr>
        <w:t xml:space="preserve"> Ο χ</w:t>
      </w:r>
      <w:r w:rsidR="008F6A8F" w:rsidRPr="00D30FED">
        <w:rPr>
          <w:noProof/>
        </w:rPr>
        <w:t>ρόνος προθρομβίνης πρέπει να παρακολουθ</w:t>
      </w:r>
      <w:r w:rsidRPr="00D30FED">
        <w:rPr>
          <w:noProof/>
        </w:rPr>
        <w:t>εί</w:t>
      </w:r>
      <w:r w:rsidR="008F6A8F" w:rsidRPr="00D30FED">
        <w:rPr>
          <w:noProof/>
        </w:rPr>
        <w:t>ται καθημερινά για τις πρώτες ημέρες της συνδυασμένης θεραπείας.</w:t>
      </w:r>
    </w:p>
    <w:p w:rsidR="008F6A8F" w:rsidRPr="00D30FED" w:rsidRDefault="008F6A8F" w:rsidP="008F6A8F">
      <w:pPr>
        <w:rPr>
          <w:noProof/>
        </w:rPr>
      </w:pPr>
    </w:p>
    <w:p w:rsidR="008F6A8F" w:rsidRPr="008C5A40" w:rsidRDefault="00D30FED" w:rsidP="008F6A8F">
      <w:pPr>
        <w:rPr>
          <w:b/>
          <w:i/>
          <w:noProof/>
        </w:rPr>
      </w:pPr>
      <w:r w:rsidRPr="008C5A40">
        <w:rPr>
          <w:b/>
          <w:i/>
          <w:noProof/>
        </w:rPr>
        <w:t>Ά</w:t>
      </w:r>
      <w:r w:rsidR="008F6A8F" w:rsidRPr="008C5A40">
        <w:rPr>
          <w:b/>
          <w:i/>
          <w:noProof/>
        </w:rPr>
        <w:t>σηπτη μηνιγγίτιδα</w:t>
      </w:r>
    </w:p>
    <w:p w:rsidR="008F6A8F" w:rsidRPr="006C336D" w:rsidRDefault="008F6A8F" w:rsidP="008F6A8F">
      <w:pPr>
        <w:rPr>
          <w:noProof/>
        </w:rPr>
      </w:pPr>
      <w:r w:rsidRPr="008C5A40">
        <w:rPr>
          <w:noProof/>
        </w:rPr>
        <w:t xml:space="preserve">Άσηπτη μηνιγγίτιδα έχει παρατηρηθεί σε σπάνιες περιπτώσεις σε ασθενείς που λαμβάνουν θεραπεία </w:t>
      </w:r>
      <w:r w:rsidR="00D30FED" w:rsidRPr="006C336D">
        <w:rPr>
          <w:noProof/>
        </w:rPr>
        <w:lastRenderedPageBreak/>
        <w:t>με ιβουπροφαίνη</w:t>
      </w:r>
      <w:r w:rsidRPr="006C336D">
        <w:rPr>
          <w:noProof/>
        </w:rPr>
        <w:t xml:space="preserve">. Αν και είναι ίσως πιο πιθανό να συμβεί σε ασθενείς με συστηματικό ερυθηματώδη λύκο και συναφών νόσων του συνδετικού ιστού, έχει αναφερθεί σε ασθενείς οι οποίοι δεν έχουν </w:t>
      </w:r>
      <w:r w:rsidR="000F7D67">
        <w:rPr>
          <w:noProof/>
        </w:rPr>
        <w:t>κάποια</w:t>
      </w:r>
      <w:r w:rsidRPr="006C336D">
        <w:rPr>
          <w:noProof/>
        </w:rPr>
        <w:t xml:space="preserve"> υποκείμενη χρόνια ασθένεια.</w:t>
      </w:r>
    </w:p>
    <w:p w:rsidR="00496809" w:rsidRPr="006C336D" w:rsidRDefault="00496809"/>
    <w:p w:rsidR="00496809" w:rsidRPr="006C336D" w:rsidRDefault="00496809" w:rsidP="00CE2C21">
      <w:pPr>
        <w:tabs>
          <w:tab w:val="left" w:pos="567"/>
        </w:tabs>
      </w:pPr>
      <w:r w:rsidRPr="006C336D">
        <w:rPr>
          <w:b/>
        </w:rPr>
        <w:t>4.5</w:t>
      </w:r>
      <w:r w:rsidRPr="006C336D">
        <w:rPr>
          <w:b/>
        </w:rPr>
        <w:tab/>
        <w:t>Αλληλεπιδράσεις με άλλα φαρμακευτικά προϊόντα και άλλες μορφές αλληλεπίδρασης</w:t>
      </w:r>
    </w:p>
    <w:p w:rsidR="00496809" w:rsidRPr="006C336D" w:rsidRDefault="00496809"/>
    <w:p w:rsidR="008F6A8F" w:rsidRPr="006C336D" w:rsidRDefault="008F6A8F" w:rsidP="008F6A8F">
      <w:r w:rsidRPr="006C336D">
        <w:t>Πρέπει να λαμβάνεται μέριμνα σε ασθενείς που έλαβαν θεραπεία με οποιοδήποτε από τα ακόλουθα φάρμακα</w:t>
      </w:r>
      <w:r w:rsidR="00D30FED" w:rsidRPr="006C336D">
        <w:t xml:space="preserve"> καθώς έχουν αναφερθεί</w:t>
      </w:r>
      <w:r w:rsidRPr="006C336D">
        <w:t xml:space="preserve"> αλληλεπιδράσεις σε ορισμένους ασθενείς:</w:t>
      </w:r>
    </w:p>
    <w:p w:rsidR="008F6A8F" w:rsidRPr="006C336D" w:rsidRDefault="008F6A8F" w:rsidP="008F6A8F"/>
    <w:p w:rsidR="008F6A8F" w:rsidRPr="006C336D" w:rsidRDefault="008F6A8F" w:rsidP="008F6A8F">
      <w:r w:rsidRPr="006C336D">
        <w:rPr>
          <w:u w:val="single"/>
        </w:rPr>
        <w:t>Διουρητικά, β-αποκλειστές, αναστολείς Μ</w:t>
      </w:r>
      <w:r w:rsidR="00D30FED" w:rsidRPr="006C336D">
        <w:rPr>
          <w:u w:val="single"/>
        </w:rPr>
        <w:t>ΕΑ και ανταγωνιστές της αγγειοτεν</w:t>
      </w:r>
      <w:r w:rsidRPr="006C336D">
        <w:rPr>
          <w:u w:val="single"/>
        </w:rPr>
        <w:t>σίνης ΙΙ:</w:t>
      </w:r>
      <w:r w:rsidRPr="006C336D">
        <w:t xml:space="preserve"> Τα ΜΣΑΦ μπορεί να μειώσουν την υποτασική δράση των διουρητικών, </w:t>
      </w:r>
      <w:r w:rsidR="00D30FED" w:rsidRPr="006C336D">
        <w:t xml:space="preserve">των </w:t>
      </w:r>
      <w:r w:rsidRPr="006C336D">
        <w:t>β-αποκλειστ</w:t>
      </w:r>
      <w:r w:rsidR="00D30FED" w:rsidRPr="006C336D">
        <w:t>ών</w:t>
      </w:r>
      <w:r w:rsidRPr="006C336D">
        <w:t xml:space="preserve"> και άλλων αντιυπερτασικών παραγόντων. Τα διουρητικά μπορεί να αυξήσουν τον κίνδυνο της νεφροτοξικότητας των ΜΣΑΦ. Σε κάποιους ασθενείς με επιβαρημένη νεφρική λειτουργία (π.χ. αφυδατωμένοι ασθενείς ή ηλικιωμένοι ασθενείς με επιβαρημένη νεφρική λειτουργία) η συγχορήγηση ενός αναστολέα ΜΕΑ, β-αναστολ</w:t>
      </w:r>
      <w:r w:rsidR="008C5A40" w:rsidRPr="006C336D">
        <w:t>έα</w:t>
      </w:r>
      <w:r w:rsidRPr="006C336D">
        <w:t xml:space="preserve"> ή ανταγωνισ</w:t>
      </w:r>
      <w:r w:rsidR="008C5A40" w:rsidRPr="006C336D">
        <w:t>τή της αγγειοτενσίνης ΙΙ και παραγόντων</w:t>
      </w:r>
      <w:r w:rsidRPr="006C336D">
        <w:t xml:space="preserve"> που αναστέλλ</w:t>
      </w:r>
      <w:r w:rsidR="008C5A40" w:rsidRPr="006C336D">
        <w:t>ουν</w:t>
      </w:r>
      <w:r w:rsidRPr="006C336D">
        <w:t xml:space="preserve"> την κυκλοοξυγενάση μπορεί να οδηγήσει σε περαιτέρω επιδείνωση της νεφρικής λειτουργίας, συμπεριλαμβανομένης </w:t>
      </w:r>
      <w:r w:rsidR="008C5A40" w:rsidRPr="006C336D">
        <w:t xml:space="preserve">της </w:t>
      </w:r>
      <w:r w:rsidRPr="006C336D">
        <w:t xml:space="preserve">πιθανής οξείας νεφρικής ανεπάρκειας, η οποία είναι συνήθως αναστρέψιμη. Ως εκ τούτου, ο συνδυασμός των </w:t>
      </w:r>
      <w:r w:rsidR="008C5A40" w:rsidRPr="006C336D">
        <w:t>ΜΣΑΦ</w:t>
      </w:r>
      <w:r w:rsidRPr="006C336D">
        <w:t xml:space="preserve"> και </w:t>
      </w:r>
      <w:r w:rsidR="008C5A40" w:rsidRPr="006C336D">
        <w:t>των</w:t>
      </w:r>
      <w:r w:rsidRPr="006C336D">
        <w:t xml:space="preserve"> αναστολ</w:t>
      </w:r>
      <w:r w:rsidR="008C5A40" w:rsidRPr="006C336D">
        <w:t>έων</w:t>
      </w:r>
      <w:r w:rsidRPr="006C336D">
        <w:t xml:space="preserve"> ACE, </w:t>
      </w:r>
      <w:r w:rsidR="008C5A40" w:rsidRPr="006C336D">
        <w:t xml:space="preserve">των </w:t>
      </w:r>
      <w:r w:rsidRPr="006C336D">
        <w:t>β-αποκλειστ</w:t>
      </w:r>
      <w:r w:rsidR="008C5A40" w:rsidRPr="006C336D">
        <w:t>ών</w:t>
      </w:r>
      <w:r w:rsidRPr="006C336D">
        <w:t xml:space="preserve"> ή </w:t>
      </w:r>
      <w:r w:rsidR="008C5A40" w:rsidRPr="006C336D">
        <w:t xml:space="preserve">των </w:t>
      </w:r>
      <w:r w:rsidRPr="006C336D">
        <w:t>ανταγωνιστ</w:t>
      </w:r>
      <w:r w:rsidR="008C5A40" w:rsidRPr="006C336D">
        <w:t>ών</w:t>
      </w:r>
      <w:r w:rsidRPr="006C336D">
        <w:t xml:space="preserve"> της αγγειοτ</w:t>
      </w:r>
      <w:r w:rsidR="008C5A40" w:rsidRPr="006C336D">
        <w:t>εν</w:t>
      </w:r>
      <w:r w:rsidRPr="006C336D">
        <w:t>σίνης ΙΙ πρέπει να χορηγείται με προσοχή, ιδιαίτερα στους ηλικιωμένους. Οι ασθενείς πρέπει να ενυδατώνονται επαρκώς και θα πρέπει να δίνεται προσοχή στην παρακολούθηση της νεφρικής λειτουργίας μετά την έναρξη της ταυτόχρονης θεραπ</w:t>
      </w:r>
      <w:r w:rsidR="008C5A40" w:rsidRPr="006C336D">
        <w:t>είας και στη συνέχεια να γίνεται περιοδικά</w:t>
      </w:r>
      <w:r w:rsidRPr="006C336D">
        <w:t>.</w:t>
      </w:r>
    </w:p>
    <w:p w:rsidR="008F6A8F" w:rsidRPr="006C336D" w:rsidRDefault="008F6A8F" w:rsidP="008F6A8F"/>
    <w:p w:rsidR="008F6A8F" w:rsidRPr="006C336D" w:rsidRDefault="008C5A40" w:rsidP="008F6A8F">
      <w:r w:rsidRPr="006C336D">
        <w:t xml:space="preserve">Τα </w:t>
      </w:r>
      <w:r w:rsidR="008F6A8F" w:rsidRPr="006C336D">
        <w:t xml:space="preserve">προϊόντα </w:t>
      </w:r>
      <w:r w:rsidRPr="006C336D">
        <w:t>που περιέχουν ιβουπροφαίνη δεν</w:t>
      </w:r>
      <w:r w:rsidR="008F6A8F" w:rsidRPr="006C336D">
        <w:t xml:space="preserve"> πρέπει να χορηγ</w:t>
      </w:r>
      <w:r w:rsidRPr="006C336D">
        <w:t>ούν</w:t>
      </w:r>
      <w:r w:rsidR="008F6A8F" w:rsidRPr="006C336D">
        <w:t xml:space="preserve">ται ταυτόχρονα με άλλα </w:t>
      </w:r>
      <w:r w:rsidR="003A6470">
        <w:t>φάρμακα</w:t>
      </w:r>
      <w:r w:rsidR="008F6A8F" w:rsidRPr="006C336D">
        <w:t xml:space="preserve"> </w:t>
      </w:r>
      <w:r w:rsidR="003A6470">
        <w:t xml:space="preserve">που αυξάνουν </w:t>
      </w:r>
      <w:r w:rsidR="008F6A8F" w:rsidRPr="006C336D">
        <w:t>τον κίνδυνο γαστρεντερικής αιμορραγίας.</w:t>
      </w:r>
    </w:p>
    <w:p w:rsidR="008F6A8F" w:rsidRPr="006C336D" w:rsidRDefault="008F6A8F" w:rsidP="008F6A8F"/>
    <w:p w:rsidR="008F6A8F" w:rsidRPr="006C336D" w:rsidRDefault="008F6A8F" w:rsidP="008F6A8F">
      <w:r w:rsidRPr="006C336D">
        <w:rPr>
          <w:u w:val="single"/>
        </w:rPr>
        <w:t>Αντιπηκτικά:</w:t>
      </w:r>
      <w:r w:rsidRPr="006C336D">
        <w:t xml:space="preserve"> Τα ΜΣΑΦ μπορεί</w:t>
      </w:r>
      <w:r w:rsidR="008C5A40" w:rsidRPr="006C336D">
        <w:t xml:space="preserve"> να</w:t>
      </w:r>
      <w:r w:rsidRPr="006C336D">
        <w:t xml:space="preserve"> αυξήσουν </w:t>
      </w:r>
      <w:r w:rsidR="008C5A40" w:rsidRPr="006C336D">
        <w:t xml:space="preserve">τη δράση </w:t>
      </w:r>
      <w:r w:rsidRPr="006C336D">
        <w:t xml:space="preserve">των αντιπηκτικών, π.χ. </w:t>
      </w:r>
      <w:r w:rsidR="008C5A40" w:rsidRPr="006C336D">
        <w:t xml:space="preserve">της </w:t>
      </w:r>
      <w:r w:rsidRPr="006C336D">
        <w:t>βαρφαρίνης (βλ. παράγραφο 4.4).</w:t>
      </w:r>
    </w:p>
    <w:p w:rsidR="008F6A8F" w:rsidRPr="006C336D" w:rsidRDefault="008F6A8F" w:rsidP="008F6A8F"/>
    <w:p w:rsidR="008F6A8F" w:rsidRPr="0054279F" w:rsidRDefault="008F6A8F" w:rsidP="008F6A8F">
      <w:r w:rsidRPr="006C336D">
        <w:rPr>
          <w:u w:val="single"/>
        </w:rPr>
        <w:t>Αντιαιμοπεταλιακοί παράγοντες:</w:t>
      </w:r>
      <w:r w:rsidRPr="006C336D">
        <w:t xml:space="preserve"> Τα ΜΣΑΦ δεν πρέπει να συνδυάζ</w:t>
      </w:r>
      <w:r w:rsidR="008C5A40" w:rsidRPr="006C336D">
        <w:t>ον</w:t>
      </w:r>
      <w:r w:rsidRPr="006C336D">
        <w:t>ται με αντιαιμοπεταλιακούς παράγοντες, όπως η τικλοπιδίνη</w:t>
      </w:r>
      <w:r w:rsidR="003A6470">
        <w:t>,</w:t>
      </w:r>
      <w:r w:rsidRPr="006C336D">
        <w:t xml:space="preserve"> </w:t>
      </w:r>
      <w:r w:rsidR="008C5A40" w:rsidRPr="006C336D">
        <w:t xml:space="preserve">εξαιτίας </w:t>
      </w:r>
      <w:r w:rsidRPr="006C336D">
        <w:t>τη</w:t>
      </w:r>
      <w:r w:rsidR="008C5A40" w:rsidRPr="006C336D">
        <w:t>ς</w:t>
      </w:r>
      <w:r w:rsidRPr="006C336D">
        <w:t xml:space="preserve"> </w:t>
      </w:r>
      <w:r w:rsidR="00071E1A">
        <w:t xml:space="preserve">πρόσθετης </w:t>
      </w:r>
      <w:r w:rsidRPr="006C336D">
        <w:t>αναστολή</w:t>
      </w:r>
      <w:r w:rsidR="008C5A40" w:rsidRPr="006C336D">
        <w:t>ς</w:t>
      </w:r>
      <w:r w:rsidRPr="006C336D">
        <w:t xml:space="preserve"> της λειτουργίας των αιμοπεταλίων. </w:t>
      </w:r>
      <w:r w:rsidR="008C5A40" w:rsidRPr="006C336D">
        <w:t xml:space="preserve">Υπάρχει </w:t>
      </w:r>
      <w:r w:rsidR="008C5A40" w:rsidRPr="0054279F">
        <w:t>α</w:t>
      </w:r>
      <w:r w:rsidRPr="0054279F">
        <w:t xml:space="preserve">υξημένος κίνδυνος </w:t>
      </w:r>
      <w:r w:rsidR="003A6470" w:rsidRPr="0054279F">
        <w:t>γαστρεντερικ</w:t>
      </w:r>
      <w:r w:rsidR="003A6470">
        <w:t>ής</w:t>
      </w:r>
      <w:r w:rsidR="003A6470" w:rsidRPr="0054279F">
        <w:t xml:space="preserve"> </w:t>
      </w:r>
      <w:r w:rsidRPr="0054279F">
        <w:t>αιμορραγίας (</w:t>
      </w:r>
      <w:r w:rsidR="006C336D" w:rsidRPr="0054279F">
        <w:t>βλ. παράγραφο 4.4</w:t>
      </w:r>
      <w:r w:rsidRPr="0054279F">
        <w:t>).</w:t>
      </w:r>
    </w:p>
    <w:p w:rsidR="008F6A8F" w:rsidRPr="0054279F" w:rsidRDefault="008F6A8F" w:rsidP="008F6A8F"/>
    <w:p w:rsidR="008F6A8F" w:rsidRPr="0054279F" w:rsidRDefault="008F6A8F" w:rsidP="008F6A8F">
      <w:r w:rsidRPr="0054279F">
        <w:rPr>
          <w:u w:val="single"/>
        </w:rPr>
        <w:t>Εκλεκτικοί αναστολε</w:t>
      </w:r>
      <w:r w:rsidR="006C336D" w:rsidRPr="0054279F">
        <w:rPr>
          <w:u w:val="single"/>
        </w:rPr>
        <w:t>ίς επαναπρόσληψης σεροτονίνης (</w:t>
      </w:r>
      <w:r w:rsidRPr="0054279F">
        <w:rPr>
          <w:u w:val="single"/>
        </w:rPr>
        <w:t>SSRIs):</w:t>
      </w:r>
      <w:r w:rsidRPr="0054279F">
        <w:t xml:space="preserve"> </w:t>
      </w:r>
      <w:r w:rsidR="00071E1A">
        <w:t>Τόσο ο</w:t>
      </w:r>
      <w:r w:rsidR="006C336D" w:rsidRPr="0054279F">
        <w:t xml:space="preserve">ι </w:t>
      </w:r>
      <w:r w:rsidRPr="0054279F">
        <w:t xml:space="preserve">SSRIs </w:t>
      </w:r>
      <w:r w:rsidR="00071E1A">
        <w:t xml:space="preserve">όσο </w:t>
      </w:r>
      <w:r w:rsidRPr="0054279F">
        <w:t xml:space="preserve">και </w:t>
      </w:r>
      <w:r w:rsidR="006C336D" w:rsidRPr="0054279F">
        <w:t xml:space="preserve">τα </w:t>
      </w:r>
      <w:r w:rsidRPr="0054279F">
        <w:t>ΜΣ</w:t>
      </w:r>
      <w:r w:rsidR="006C336D" w:rsidRPr="0054279F">
        <w:t>ΑΦ</w:t>
      </w:r>
      <w:r w:rsidR="0054279F" w:rsidRPr="0054279F">
        <w:t xml:space="preserve"> </w:t>
      </w:r>
      <w:r w:rsidR="00071E1A">
        <w:t>συνδέονται με</w:t>
      </w:r>
      <w:r w:rsidRPr="0054279F">
        <w:t xml:space="preserve"> αυξημένο κίνδυνο αιμορραγίας, π</w:t>
      </w:r>
      <w:r w:rsidR="0054279F" w:rsidRPr="0054279F">
        <w:t>.χ. από το γαστρεντερικό σωλήνα</w:t>
      </w:r>
      <w:r w:rsidRPr="0054279F">
        <w:t>. Αυτός ο κίνδυνος αυξάνεται με τη συνδυασμένη θεραπεία (βλέπε παράγραφο 4.4). Ο μηχανισμός μπορεί ενδεχομένως να συνδέεται με μειωμένη πρόσληψη σεροτονίνης στα αιμοπετάλια.</w:t>
      </w:r>
    </w:p>
    <w:p w:rsidR="008F6A8F" w:rsidRPr="0054279F" w:rsidRDefault="008F6A8F" w:rsidP="008F6A8F"/>
    <w:p w:rsidR="008F6A8F" w:rsidRPr="0054279F" w:rsidRDefault="008F6A8F" w:rsidP="008F6A8F">
      <w:r w:rsidRPr="0054279F">
        <w:rPr>
          <w:u w:val="single"/>
        </w:rPr>
        <w:t>Μεθοτρεξάτη:</w:t>
      </w:r>
      <w:r w:rsidRPr="0054279F">
        <w:t xml:space="preserve"> Τα ΜΣΑΦ, συμπεριλαμβανομέν</w:t>
      </w:r>
      <w:r w:rsidR="0054279F" w:rsidRPr="0054279F">
        <w:t>ης της</w:t>
      </w:r>
      <w:r w:rsidRPr="0054279F">
        <w:t xml:space="preserve"> ιβουπροφαίνη</w:t>
      </w:r>
      <w:r w:rsidR="0054279F" w:rsidRPr="0054279F">
        <w:t>ς, μπορεί να αναστείλουν</w:t>
      </w:r>
      <w:r w:rsidRPr="0054279F">
        <w:t xml:space="preserve"> την απέκκριση της μεθοτρεξάτης και να μειώσ</w:t>
      </w:r>
      <w:r w:rsidR="0054279F" w:rsidRPr="0054279F">
        <w:t>ουν</w:t>
      </w:r>
      <w:r w:rsidRPr="0054279F">
        <w:t xml:space="preserve"> </w:t>
      </w:r>
      <w:r w:rsidR="0054279F" w:rsidRPr="0054279F">
        <w:t xml:space="preserve">την </w:t>
      </w:r>
      <w:r w:rsidRPr="0054279F">
        <w:t>κάθαρση της μεθοτρεξάτης.</w:t>
      </w:r>
    </w:p>
    <w:p w:rsidR="008F6A8F" w:rsidRPr="0054279F" w:rsidRDefault="008F6A8F" w:rsidP="008F6A8F"/>
    <w:p w:rsidR="008F6A8F" w:rsidRPr="0054279F" w:rsidRDefault="0054279F" w:rsidP="008F6A8F">
      <w:r w:rsidRPr="0054279F">
        <w:rPr>
          <w:u w:val="single"/>
        </w:rPr>
        <w:t>Αμινογλυκοσίδες</w:t>
      </w:r>
      <w:r w:rsidR="008F6A8F" w:rsidRPr="0054279F">
        <w:rPr>
          <w:u w:val="single"/>
        </w:rPr>
        <w:t>:</w:t>
      </w:r>
      <w:r w:rsidR="008F6A8F" w:rsidRPr="0054279F">
        <w:t xml:space="preserve"> Τα ΜΣΑΦ μπορεί να μειώσουν την αποβολή των αμινογλυκοσιδών.</w:t>
      </w:r>
    </w:p>
    <w:p w:rsidR="008F6A8F" w:rsidRPr="00874F9D" w:rsidRDefault="008F6A8F" w:rsidP="008F6A8F"/>
    <w:p w:rsidR="008F6A8F" w:rsidRPr="00874F9D" w:rsidRDefault="008F6A8F" w:rsidP="008F6A8F">
      <w:r w:rsidRPr="00874F9D">
        <w:rPr>
          <w:u w:val="single"/>
        </w:rPr>
        <w:t>Καρδιακές γλυκοσίδες:</w:t>
      </w:r>
      <w:r w:rsidRPr="00874F9D">
        <w:t xml:space="preserve"> Τα ΜΣΑΦ μπορεί να επιδεινώσ</w:t>
      </w:r>
      <w:r w:rsidR="00EC52C0" w:rsidRPr="00874F9D">
        <w:t>ουν την καρδιακή ανεπάρκεια</w:t>
      </w:r>
      <w:r w:rsidRPr="00874F9D">
        <w:t xml:space="preserve">, </w:t>
      </w:r>
      <w:r w:rsidR="00EC52C0" w:rsidRPr="00874F9D">
        <w:t xml:space="preserve">να </w:t>
      </w:r>
      <w:r w:rsidR="000B1E35" w:rsidRPr="00874F9D">
        <w:t>επηρεάσουν</w:t>
      </w:r>
      <w:r w:rsidRPr="00874F9D">
        <w:t xml:space="preserve"> το ρυθμό σπειραματικής διήθησης και </w:t>
      </w:r>
      <w:r w:rsidR="00EC52C0" w:rsidRPr="00874F9D">
        <w:t>να</w:t>
      </w:r>
      <w:r w:rsidRPr="00874F9D">
        <w:t xml:space="preserve"> α</w:t>
      </w:r>
      <w:r w:rsidR="00EC52C0" w:rsidRPr="00874F9D">
        <w:t>υξήσουν</w:t>
      </w:r>
      <w:r w:rsidRPr="00874F9D">
        <w:t xml:space="preserve"> τ</w:t>
      </w:r>
      <w:r w:rsidR="00EC52C0" w:rsidRPr="00874F9D">
        <w:t>α</w:t>
      </w:r>
      <w:r w:rsidRPr="00874F9D">
        <w:t xml:space="preserve"> επ</w:t>
      </w:r>
      <w:r w:rsidR="00EC52C0" w:rsidRPr="00874F9D">
        <w:t>ίπεδα</w:t>
      </w:r>
      <w:r w:rsidRPr="00874F9D">
        <w:t xml:space="preserve"> των καρδιακών γλυκο</w:t>
      </w:r>
      <w:r w:rsidR="00EC52C0" w:rsidRPr="00874F9D">
        <w:t>σιδ</w:t>
      </w:r>
      <w:r w:rsidRPr="00874F9D">
        <w:t>ών στο πλάσμα.</w:t>
      </w:r>
    </w:p>
    <w:p w:rsidR="000B1E35" w:rsidRPr="00874F9D" w:rsidRDefault="000B1E35" w:rsidP="008F6A8F"/>
    <w:p w:rsidR="008F6A8F" w:rsidRPr="00874F9D" w:rsidRDefault="000B1E35" w:rsidP="008F6A8F">
      <w:r w:rsidRPr="00874F9D">
        <w:rPr>
          <w:u w:val="single"/>
        </w:rPr>
        <w:t>Διγοξίνη</w:t>
      </w:r>
      <w:r w:rsidR="008F6A8F" w:rsidRPr="00874F9D">
        <w:rPr>
          <w:u w:val="single"/>
        </w:rPr>
        <w:t>:</w:t>
      </w:r>
      <w:r w:rsidR="008F6A8F" w:rsidRPr="00874F9D">
        <w:t xml:space="preserve"> </w:t>
      </w:r>
      <w:r w:rsidRPr="00874F9D">
        <w:t>Η</w:t>
      </w:r>
      <w:r w:rsidR="008F6A8F" w:rsidRPr="00874F9D">
        <w:t xml:space="preserve"> ιβουπροφαίνη</w:t>
      </w:r>
      <w:r w:rsidRPr="00874F9D">
        <w:t xml:space="preserve"> καθυστερεί</w:t>
      </w:r>
      <w:r w:rsidR="008F6A8F" w:rsidRPr="00874F9D">
        <w:t xml:space="preserve"> </w:t>
      </w:r>
      <w:r w:rsidRPr="00874F9D">
        <w:t>τ</w:t>
      </w:r>
      <w:r w:rsidR="008F6A8F" w:rsidRPr="00874F9D">
        <w:t>η νεφρική κάθαρση της διγοξίνης, γεγονός που οδηγεί σε αυξημένες σ</w:t>
      </w:r>
      <w:r w:rsidRPr="00874F9D">
        <w:t>υγκεντρώσεις διγοξίνης στον ορό</w:t>
      </w:r>
      <w:r w:rsidR="008F6A8F" w:rsidRPr="00874F9D">
        <w:t>.</w:t>
      </w:r>
    </w:p>
    <w:p w:rsidR="008F6A8F" w:rsidRPr="00874F9D" w:rsidRDefault="008F6A8F" w:rsidP="008F6A8F"/>
    <w:p w:rsidR="008F6A8F" w:rsidRPr="00874F9D" w:rsidRDefault="008F6A8F" w:rsidP="008F6A8F">
      <w:r w:rsidRPr="00874F9D">
        <w:rPr>
          <w:u w:val="single"/>
        </w:rPr>
        <w:t>Λίθιο:</w:t>
      </w:r>
      <w:r w:rsidRPr="00874F9D">
        <w:t xml:space="preserve"> Η ιβουπροφαίνη μειώνει τη νεφρική κάθαρση του λιθίου, η οποία οδηγεί</w:t>
      </w:r>
      <w:r w:rsidR="000B1E35" w:rsidRPr="00874F9D">
        <w:t xml:space="preserve"> σε αυξημένες συγκεντρώσεις </w:t>
      </w:r>
      <w:r w:rsidRPr="00874F9D">
        <w:t>λιθίου στο πλάσμα.</w:t>
      </w:r>
    </w:p>
    <w:p w:rsidR="008F6A8F" w:rsidRPr="00874F9D" w:rsidRDefault="008F6A8F" w:rsidP="008F6A8F"/>
    <w:p w:rsidR="008F6A8F" w:rsidRPr="00874F9D" w:rsidRDefault="008F6A8F" w:rsidP="008F6A8F">
      <w:r w:rsidRPr="00874F9D">
        <w:rPr>
          <w:u w:val="single"/>
        </w:rPr>
        <w:t xml:space="preserve">Κυκλοσπορίνη και </w:t>
      </w:r>
      <w:r w:rsidR="000B1E35" w:rsidRPr="00874F9D">
        <w:rPr>
          <w:u w:val="single"/>
        </w:rPr>
        <w:t>τακρόλιμους</w:t>
      </w:r>
      <w:r w:rsidRPr="00874F9D">
        <w:rPr>
          <w:u w:val="single"/>
        </w:rPr>
        <w:t>:</w:t>
      </w:r>
      <w:r w:rsidRPr="00874F9D">
        <w:t xml:space="preserve"> </w:t>
      </w:r>
      <w:r w:rsidR="000B1E35" w:rsidRPr="00874F9D">
        <w:t>Η ν</w:t>
      </w:r>
      <w:r w:rsidRPr="00874F9D">
        <w:t xml:space="preserve">εφροτοξικότητα μπορεί να αυξηθεί </w:t>
      </w:r>
      <w:r w:rsidR="000B1E35" w:rsidRPr="00874F9D">
        <w:t xml:space="preserve">καθώς </w:t>
      </w:r>
      <w:r w:rsidRPr="00874F9D">
        <w:t xml:space="preserve">η ιβουπροφαίνη </w:t>
      </w:r>
      <w:r w:rsidR="000B1E35" w:rsidRPr="00874F9D">
        <w:t>επηρεάζει</w:t>
      </w:r>
      <w:r w:rsidRPr="00874F9D">
        <w:t xml:space="preserve"> τη νεφρική κυκλοφορία.</w:t>
      </w:r>
    </w:p>
    <w:p w:rsidR="008F6A8F" w:rsidRPr="00874F9D" w:rsidRDefault="008F6A8F" w:rsidP="008F6A8F"/>
    <w:p w:rsidR="008F6A8F" w:rsidRPr="00874F9D" w:rsidRDefault="008F6A8F" w:rsidP="008F6A8F">
      <w:r w:rsidRPr="00874F9D">
        <w:rPr>
          <w:u w:val="single"/>
        </w:rPr>
        <w:lastRenderedPageBreak/>
        <w:t>Κορτικοστεροειδή:</w:t>
      </w:r>
      <w:r w:rsidRPr="00874F9D">
        <w:t xml:space="preserve"> </w:t>
      </w:r>
      <w:r w:rsidR="000B1E35" w:rsidRPr="00874F9D">
        <w:t xml:space="preserve">Υπάρχει </w:t>
      </w:r>
      <w:r w:rsidRPr="00874F9D">
        <w:t xml:space="preserve">αυξημένος κίνδυνος έλκους ή αιμορραγίας </w:t>
      </w:r>
      <w:r w:rsidR="00874F9D" w:rsidRPr="00874F9D">
        <w:t xml:space="preserve">του γαστρεντερικού σωλήνα </w:t>
      </w:r>
      <w:r w:rsidRPr="00874F9D">
        <w:t>με ΜΣΑΦ (βλ. παράγραφο 4.4).</w:t>
      </w:r>
    </w:p>
    <w:p w:rsidR="008F6A8F" w:rsidRPr="00874F9D" w:rsidRDefault="008F6A8F" w:rsidP="008F6A8F"/>
    <w:p w:rsidR="008F6A8F" w:rsidRPr="00874F9D" w:rsidRDefault="00874F9D" w:rsidP="008F6A8F">
      <w:r w:rsidRPr="00874F9D">
        <w:rPr>
          <w:u w:val="single"/>
        </w:rPr>
        <w:t>Χολεστυραμίνη</w:t>
      </w:r>
      <w:r w:rsidR="008F6A8F" w:rsidRPr="00874F9D">
        <w:rPr>
          <w:u w:val="single"/>
        </w:rPr>
        <w:t>:</w:t>
      </w:r>
      <w:r w:rsidR="008F6A8F" w:rsidRPr="00874F9D">
        <w:t xml:space="preserve"> Η ταυτόχρονη χορήγηση ιβουπροφαίνης και χολεστυραμίνης μπορεί να μειώσει την απορρόφηση </w:t>
      </w:r>
      <w:r w:rsidRPr="00874F9D">
        <w:t xml:space="preserve">της ιβουπροφαίνης </w:t>
      </w:r>
      <w:r w:rsidR="008F6A8F" w:rsidRPr="00874F9D">
        <w:t>στο γαστρεντερικό σωλήνα. Ωστόσο, η κλινική σημασία είναι άγνωστη.</w:t>
      </w:r>
    </w:p>
    <w:p w:rsidR="008F6A8F" w:rsidRPr="00874F9D" w:rsidRDefault="008F6A8F" w:rsidP="008F6A8F"/>
    <w:p w:rsidR="008F6A8F" w:rsidRPr="00874F9D" w:rsidRDefault="00874F9D" w:rsidP="008F6A8F">
      <w:r w:rsidRPr="000F7D67">
        <w:rPr>
          <w:u w:val="single"/>
        </w:rPr>
        <w:t xml:space="preserve">Εκχύλισμα </w:t>
      </w:r>
      <w:r w:rsidR="008F6A8F" w:rsidRPr="000F7D67">
        <w:rPr>
          <w:u w:val="single"/>
        </w:rPr>
        <w:t>Ginkgo biloba:</w:t>
      </w:r>
      <w:r w:rsidR="008F6A8F" w:rsidRPr="00874F9D">
        <w:t xml:space="preserve"> Ταυτόχρονη χρήση με ιβουπροφαίνη μπορεί να αυξήσει τον κίνδυνο αιμορραγίας με ΜΣΑΦ.</w:t>
      </w:r>
    </w:p>
    <w:p w:rsidR="008F6A8F" w:rsidRPr="00A25012" w:rsidRDefault="008F6A8F" w:rsidP="008F6A8F"/>
    <w:p w:rsidR="008F6A8F" w:rsidRPr="00A25012" w:rsidRDefault="00874F9D" w:rsidP="008F6A8F">
      <w:r w:rsidRPr="00A25012">
        <w:rPr>
          <w:u w:val="single"/>
        </w:rPr>
        <w:t>Μιφεπριστόνη</w:t>
      </w:r>
      <w:r w:rsidR="008F6A8F" w:rsidRPr="00A25012">
        <w:rPr>
          <w:u w:val="single"/>
        </w:rPr>
        <w:t>:</w:t>
      </w:r>
      <w:r w:rsidR="008F6A8F" w:rsidRPr="00A25012">
        <w:t xml:space="preserve"> </w:t>
      </w:r>
      <w:r w:rsidR="00294C75">
        <w:t>Λ</w:t>
      </w:r>
      <w:r w:rsidR="00294C75" w:rsidRPr="00A25012">
        <w:t xml:space="preserve">όγω των αντι-προσταγλαδινικών ιδιοτήτων των ΜΣΑΦ μπορεί θεωρητικά να </w:t>
      </w:r>
      <w:r w:rsidR="00294C75">
        <w:t>παρατηρηθεί</w:t>
      </w:r>
      <w:r w:rsidR="00294C75" w:rsidRPr="00A25012">
        <w:t xml:space="preserve"> </w:t>
      </w:r>
      <w:r w:rsidR="008F6A8F" w:rsidRPr="00A25012">
        <w:t xml:space="preserve">μείωση στην αποτελεσματικότητα του φαρμακευτικού προϊόντος. Περιορισμένες ενδείξεις υποδεικνύουν ότι η συγχορήγηση των ΜΣΑΦ κατά την ημέρα της χορήγησης της προσταγλανδίνης δεν επηρεάζει αρνητικά τα αποτελέσματα της μιφεπριστόνης ή της προσταγλανδίνης επί </w:t>
      </w:r>
      <w:r w:rsidR="003A6470">
        <w:t xml:space="preserve">της </w:t>
      </w:r>
      <w:r w:rsidR="008F6A8F" w:rsidRPr="00A25012">
        <w:t>τραχηλικής ωρίμανσης ή συσταλτικότητα</w:t>
      </w:r>
      <w:r w:rsidRPr="00A25012">
        <w:t>ς</w:t>
      </w:r>
      <w:r w:rsidR="008F6A8F" w:rsidRPr="00A25012">
        <w:t xml:space="preserve"> της μήτρας και δε μειών</w:t>
      </w:r>
      <w:r w:rsidRPr="00A25012">
        <w:t>ει</w:t>
      </w:r>
      <w:r w:rsidR="008F6A8F" w:rsidRPr="00A25012">
        <w:t xml:space="preserve"> την κλινική αποτελεσματικότητα τ</w:t>
      </w:r>
      <w:r w:rsidRPr="00A25012">
        <w:t>ης</w:t>
      </w:r>
      <w:r w:rsidR="008F6A8F" w:rsidRPr="00A25012">
        <w:t xml:space="preserve"> φαρμακευτικ</w:t>
      </w:r>
      <w:r w:rsidRPr="00A25012">
        <w:t>ής</w:t>
      </w:r>
      <w:r w:rsidR="008F6A8F" w:rsidRPr="00A25012">
        <w:t xml:space="preserve"> διακοπή</w:t>
      </w:r>
      <w:r w:rsidRPr="00A25012">
        <w:t>ς</w:t>
      </w:r>
      <w:r w:rsidR="008F6A8F" w:rsidRPr="00A25012">
        <w:t xml:space="preserve"> της κύησης.</w:t>
      </w:r>
    </w:p>
    <w:p w:rsidR="008F6A8F" w:rsidRPr="00A25012" w:rsidRDefault="008F6A8F" w:rsidP="008F6A8F"/>
    <w:p w:rsidR="008F6A8F" w:rsidRPr="00A25012" w:rsidRDefault="008F6A8F" w:rsidP="008F6A8F">
      <w:r w:rsidRPr="00A25012">
        <w:rPr>
          <w:u w:val="single"/>
        </w:rPr>
        <w:t>Α</w:t>
      </w:r>
      <w:r w:rsidR="00874F9D" w:rsidRPr="00A25012">
        <w:rPr>
          <w:u w:val="single"/>
        </w:rPr>
        <w:t>ναστολείς της μονοαμινοξειδάσης</w:t>
      </w:r>
      <w:r w:rsidRPr="00A25012">
        <w:rPr>
          <w:u w:val="single"/>
        </w:rPr>
        <w:t>:</w:t>
      </w:r>
      <w:r w:rsidRPr="00A25012">
        <w:t xml:space="preserve"> </w:t>
      </w:r>
      <w:r w:rsidR="00874F9D" w:rsidRPr="00A25012">
        <w:t>Α</w:t>
      </w:r>
      <w:r w:rsidRPr="00A25012">
        <w:t xml:space="preserve">γωνιστές οπιούχων </w:t>
      </w:r>
      <w:r w:rsidR="00874F9D" w:rsidRPr="00A25012">
        <w:t>μπορεί να ενισχύσουν</w:t>
      </w:r>
      <w:r w:rsidRPr="00A25012">
        <w:t xml:space="preserve"> </w:t>
      </w:r>
      <w:r w:rsidR="00874F9D" w:rsidRPr="00A25012">
        <w:t xml:space="preserve">τη δράση </w:t>
      </w:r>
      <w:r w:rsidRPr="00A25012">
        <w:t>των αναστολ</w:t>
      </w:r>
      <w:r w:rsidR="00874F9D" w:rsidRPr="00A25012">
        <w:t>έων της μονοαμινοξειδάσης. Υπάρχ</w:t>
      </w:r>
      <w:r w:rsidR="003A6470">
        <w:t>ει</w:t>
      </w:r>
      <w:r w:rsidR="00874F9D" w:rsidRPr="00A25012">
        <w:t xml:space="preserve"> α</w:t>
      </w:r>
      <w:r w:rsidRPr="00A25012">
        <w:t xml:space="preserve">υξημένος κίνδυνος </w:t>
      </w:r>
      <w:r w:rsidR="003A6470">
        <w:t>επίδρασης σ</w:t>
      </w:r>
      <w:r w:rsidRPr="00A25012">
        <w:t>τ</w:t>
      </w:r>
      <w:r w:rsidR="003A6470">
        <w:t>ο</w:t>
      </w:r>
      <w:r w:rsidRPr="00A25012">
        <w:t xml:space="preserve"> κεντρικ</w:t>
      </w:r>
      <w:r w:rsidR="003A6470">
        <w:t>ό</w:t>
      </w:r>
      <w:r w:rsidRPr="00A25012">
        <w:t xml:space="preserve"> νευρικ</w:t>
      </w:r>
      <w:r w:rsidR="003A6470">
        <w:t>ό</w:t>
      </w:r>
      <w:r w:rsidRPr="00A25012">
        <w:t xml:space="preserve"> σ</w:t>
      </w:r>
      <w:r w:rsidR="003A6470">
        <w:t>ύ</w:t>
      </w:r>
      <w:r w:rsidRPr="00A25012">
        <w:t>στ</w:t>
      </w:r>
      <w:r w:rsidR="003A6470">
        <w:t>η</w:t>
      </w:r>
      <w:r w:rsidRPr="00A25012">
        <w:t>μα και</w:t>
      </w:r>
      <w:r w:rsidR="003A6470">
        <w:t xml:space="preserve"> στην </w:t>
      </w:r>
      <w:r w:rsidRPr="00A25012">
        <w:t>καταστολή</w:t>
      </w:r>
      <w:r w:rsidR="003A6470">
        <w:t xml:space="preserve"> της αναπνοής</w:t>
      </w:r>
      <w:r w:rsidRPr="00A25012">
        <w:t>.</w:t>
      </w:r>
    </w:p>
    <w:p w:rsidR="008F6A8F" w:rsidRPr="00A25012" w:rsidRDefault="008F6A8F" w:rsidP="008F6A8F"/>
    <w:p w:rsidR="008F6A8F" w:rsidRPr="00A25012" w:rsidRDefault="00874F9D" w:rsidP="008F6A8F">
      <w:r w:rsidRPr="00A25012">
        <w:rPr>
          <w:u w:val="single"/>
        </w:rPr>
        <w:t>Αναστολείς του CYP2D6</w:t>
      </w:r>
      <w:r w:rsidR="008F6A8F" w:rsidRPr="00A25012">
        <w:rPr>
          <w:u w:val="single"/>
        </w:rPr>
        <w:t>:</w:t>
      </w:r>
      <w:r w:rsidR="008F6A8F" w:rsidRPr="00A25012">
        <w:t xml:space="preserve"> </w:t>
      </w:r>
      <w:r w:rsidRPr="00A25012">
        <w:t xml:space="preserve">Οι </w:t>
      </w:r>
      <w:r w:rsidR="008F6A8F" w:rsidRPr="00A25012">
        <w:t>αναστολείς του CYP2D6 (π.χ. κινιδίνη) μειώνουν το σχηματισμό της μορφίνης από κωδεΐνη. Η αναλγητική δράση της κωδεΐνης μπορεί να μειωθεί σημαντικά.</w:t>
      </w:r>
    </w:p>
    <w:p w:rsidR="008F6A8F" w:rsidRPr="00A25012" w:rsidRDefault="008F6A8F" w:rsidP="008F6A8F"/>
    <w:p w:rsidR="008F6A8F" w:rsidRPr="00A25012" w:rsidRDefault="00874F9D" w:rsidP="008F6A8F">
      <w:r w:rsidRPr="00A25012">
        <w:rPr>
          <w:u w:val="single"/>
        </w:rPr>
        <w:t>Κινολόνες</w:t>
      </w:r>
      <w:r w:rsidR="008F6A8F" w:rsidRPr="00A25012">
        <w:rPr>
          <w:u w:val="single"/>
        </w:rPr>
        <w:t>:</w:t>
      </w:r>
      <w:r w:rsidR="008F6A8F" w:rsidRPr="00A25012">
        <w:t xml:space="preserve"> </w:t>
      </w:r>
      <w:r w:rsidRPr="00A25012">
        <w:t>Σ</w:t>
      </w:r>
      <w:r w:rsidR="008F6A8F" w:rsidRPr="00A25012">
        <w:t xml:space="preserve">τοιχεία </w:t>
      </w:r>
      <w:r w:rsidRPr="00A25012">
        <w:t>από</w:t>
      </w:r>
      <w:r w:rsidR="008F6A8F" w:rsidRPr="00A25012">
        <w:t xml:space="preserve"> ζώα δείχνουν ότι τα ΜΣΑΦ μπορεί να αυξήσ</w:t>
      </w:r>
      <w:r w:rsidRPr="00A25012">
        <w:t>ουν</w:t>
      </w:r>
      <w:r w:rsidR="008F6A8F" w:rsidRPr="00A25012">
        <w:t xml:space="preserve"> τον κίνδυνο σπασμών που σχετίζονται με κινολόνες. Οι ασθενείς που λαμβάνουν </w:t>
      </w:r>
      <w:r w:rsidRPr="00A25012">
        <w:t>ΜΣΑΦ</w:t>
      </w:r>
      <w:r w:rsidR="008F6A8F" w:rsidRPr="00A25012">
        <w:t xml:space="preserve"> και κινολόνες μπορεί να έχουν αυξημένο κίνδυνο εμφάνισης σπασμών.</w:t>
      </w:r>
    </w:p>
    <w:p w:rsidR="008F6A8F" w:rsidRPr="00A25012" w:rsidRDefault="008F6A8F" w:rsidP="008F6A8F"/>
    <w:p w:rsidR="008F6A8F" w:rsidRPr="00A25012" w:rsidRDefault="00874F9D" w:rsidP="008F6A8F">
      <w:r w:rsidRPr="00A25012">
        <w:rPr>
          <w:u w:val="single"/>
        </w:rPr>
        <w:t>Σουλφονυλουρίες</w:t>
      </w:r>
      <w:r w:rsidR="008F6A8F" w:rsidRPr="00A25012">
        <w:rPr>
          <w:u w:val="single"/>
        </w:rPr>
        <w:t>:</w:t>
      </w:r>
      <w:r w:rsidR="008F6A8F" w:rsidRPr="00A25012">
        <w:t xml:space="preserve"> Τα ΜΣΑΦ μπορεί να ενισχύσ</w:t>
      </w:r>
      <w:r w:rsidRPr="00A25012">
        <w:t>ουν</w:t>
      </w:r>
      <w:r w:rsidR="008F6A8F" w:rsidRPr="00A25012">
        <w:t xml:space="preserve"> </w:t>
      </w:r>
      <w:r w:rsidRPr="00A25012">
        <w:t xml:space="preserve">τη δράση </w:t>
      </w:r>
      <w:r w:rsidR="008F6A8F" w:rsidRPr="00A25012">
        <w:t>των σουλφονυλουρ</w:t>
      </w:r>
      <w:r w:rsidR="00A25012" w:rsidRPr="00A25012">
        <w:t>ιών</w:t>
      </w:r>
      <w:r w:rsidR="008F6A8F" w:rsidRPr="00A25012">
        <w:t>. Υπήρξαν σπάνιες αναφορές υπογλυκαιμίας σε ασθενείς που λαμβάνουν σ</w:t>
      </w:r>
      <w:r w:rsidR="00A25012" w:rsidRPr="00A25012">
        <w:t xml:space="preserve">ουλφονυλουρίες και </w:t>
      </w:r>
      <w:r w:rsidR="008F6A8F" w:rsidRPr="00A25012">
        <w:t>ιβουπροφαίνη.</w:t>
      </w:r>
    </w:p>
    <w:p w:rsidR="00A25012" w:rsidRPr="00A25012" w:rsidRDefault="00A25012" w:rsidP="008F6A8F"/>
    <w:p w:rsidR="008F6A8F" w:rsidRPr="00A25012" w:rsidRDefault="00A25012" w:rsidP="008F6A8F">
      <w:r w:rsidRPr="00A25012">
        <w:rPr>
          <w:u w:val="single"/>
        </w:rPr>
        <w:t>Ζιδοβουδίνη</w:t>
      </w:r>
      <w:r w:rsidR="008F6A8F" w:rsidRPr="00A25012">
        <w:rPr>
          <w:u w:val="single"/>
        </w:rPr>
        <w:t>:</w:t>
      </w:r>
      <w:r w:rsidR="008F6A8F" w:rsidRPr="00A25012">
        <w:t xml:space="preserve"> </w:t>
      </w:r>
      <w:r w:rsidRPr="00A25012">
        <w:t>Υπάρχει α</w:t>
      </w:r>
      <w:r w:rsidR="008F6A8F" w:rsidRPr="00A25012">
        <w:t xml:space="preserve">υξημένος κίνδυνος αιματολογικής τοξικότητας όταν </w:t>
      </w:r>
      <w:r w:rsidRPr="00A25012">
        <w:t>χορηγούνται</w:t>
      </w:r>
      <w:r w:rsidR="008F6A8F" w:rsidRPr="00A25012">
        <w:t xml:space="preserve"> </w:t>
      </w:r>
      <w:r w:rsidR="00294C75" w:rsidRPr="00A25012">
        <w:t xml:space="preserve">ΜΣΑΦ </w:t>
      </w:r>
      <w:r w:rsidR="00294C75">
        <w:t xml:space="preserve">μαζί </w:t>
      </w:r>
      <w:r w:rsidR="008F6A8F" w:rsidRPr="00A25012">
        <w:t>με ζιδοβουδίνη. Υπάρχουν ενδείξεις αυξημένου κινδύνου α</w:t>
      </w:r>
      <w:r w:rsidR="003A6470">
        <w:t>ι</w:t>
      </w:r>
      <w:r w:rsidR="008F6A8F" w:rsidRPr="00A25012">
        <w:t>μ</w:t>
      </w:r>
      <w:r w:rsidR="003A6470">
        <w:t>ά</w:t>
      </w:r>
      <w:r w:rsidR="008F6A8F" w:rsidRPr="00A25012">
        <w:t xml:space="preserve">ρθρων και </w:t>
      </w:r>
      <w:r w:rsidR="000F7D67">
        <w:t>αιματώματος</w:t>
      </w:r>
      <w:r w:rsidR="008F6A8F" w:rsidRPr="00A25012">
        <w:t xml:space="preserve"> </w:t>
      </w:r>
      <w:r w:rsidRPr="00A25012">
        <w:t>σε</w:t>
      </w:r>
      <w:r w:rsidR="008F6A8F" w:rsidRPr="00A25012">
        <w:t xml:space="preserve"> HIV</w:t>
      </w:r>
      <w:r w:rsidRPr="00A25012">
        <w:t xml:space="preserve"> θετικούς</w:t>
      </w:r>
      <w:r w:rsidR="008F6A8F" w:rsidRPr="00A25012">
        <w:t xml:space="preserve"> αιμορροφιλικούς</w:t>
      </w:r>
      <w:r w:rsidRPr="00A25012">
        <w:t xml:space="preserve"> ασθενείς</w:t>
      </w:r>
      <w:r w:rsidR="008F6A8F" w:rsidRPr="00A25012">
        <w:t xml:space="preserve"> που λαμβάνουν ταυτόχρονη θεραπεία με ζιδοβουδίνη και ιβουπροφαίνη.</w:t>
      </w:r>
    </w:p>
    <w:p w:rsidR="008F6A8F" w:rsidRPr="00A25012" w:rsidRDefault="008F6A8F" w:rsidP="008F6A8F"/>
    <w:p w:rsidR="008F6A8F" w:rsidRPr="00A25012" w:rsidRDefault="008F6A8F" w:rsidP="008F6A8F">
      <w:r w:rsidRPr="00A25012">
        <w:rPr>
          <w:u w:val="single"/>
        </w:rPr>
        <w:t xml:space="preserve">Αναστολείς </w:t>
      </w:r>
      <w:r w:rsidR="00A25012" w:rsidRPr="00A25012">
        <w:rPr>
          <w:u w:val="single"/>
        </w:rPr>
        <w:t xml:space="preserve">του </w:t>
      </w:r>
      <w:r w:rsidRPr="00A25012">
        <w:rPr>
          <w:u w:val="single"/>
        </w:rPr>
        <w:t>CYP2C9:</w:t>
      </w:r>
      <w:r w:rsidRPr="00A25012">
        <w:t xml:space="preserve"> Η ταυτόχρονη χορήγηση </w:t>
      </w:r>
      <w:r w:rsidR="00A25012" w:rsidRPr="00A25012">
        <w:t>ιβουπροφαίνης</w:t>
      </w:r>
      <w:r w:rsidRPr="00A25012">
        <w:t xml:space="preserve"> με </w:t>
      </w:r>
      <w:r w:rsidR="00A25012" w:rsidRPr="00A25012">
        <w:t xml:space="preserve">αναστολείς του </w:t>
      </w:r>
      <w:r w:rsidRPr="00A25012">
        <w:t xml:space="preserve">CYP2C9 μπορεί να αυξήσει την έκθεση στην ιβουπροφαίνη (υπόστρωμα του CYP2C9). Σε μια μελέτη με βορικοναζόλη και φλουκοναζόλη (αναστολείς CYP2C9), </w:t>
      </w:r>
      <w:r w:rsidR="00A25012" w:rsidRPr="00A25012">
        <w:t xml:space="preserve">έχει αποδειχθεί </w:t>
      </w:r>
      <w:r w:rsidRPr="00A25012">
        <w:t xml:space="preserve">αυξημένη </w:t>
      </w:r>
      <w:r w:rsidR="00A25012" w:rsidRPr="00A25012">
        <w:t xml:space="preserve">έκθεση </w:t>
      </w:r>
      <w:r w:rsidR="003A6470">
        <w:t>S(+)</w:t>
      </w:r>
      <w:r w:rsidR="003A6470">
        <w:noBreakHyphen/>
      </w:r>
      <w:r w:rsidR="00A25012" w:rsidRPr="00A25012">
        <w:t>ιβουπροφ</w:t>
      </w:r>
      <w:r w:rsidR="0001399E">
        <w:t>αί</w:t>
      </w:r>
      <w:r w:rsidR="00A25012" w:rsidRPr="00A25012">
        <w:t>νης</w:t>
      </w:r>
      <w:r w:rsidRPr="00A25012">
        <w:t xml:space="preserve"> κατά περίπου 80 έως 100%. Μείωση της δόσης </w:t>
      </w:r>
      <w:r w:rsidR="00A25012" w:rsidRPr="00A25012">
        <w:t>ιβουπροφ</w:t>
      </w:r>
      <w:r w:rsidR="0001399E">
        <w:t>αί</w:t>
      </w:r>
      <w:r w:rsidR="00A25012" w:rsidRPr="00A25012">
        <w:t>νης</w:t>
      </w:r>
      <w:r w:rsidRPr="00A25012">
        <w:t xml:space="preserve"> π</w:t>
      </w:r>
      <w:r w:rsidR="00A25012" w:rsidRPr="00A25012">
        <w:t>ρέπει να λαμβάνεται υπόψη όταν</w:t>
      </w:r>
      <w:r w:rsidRPr="00A25012">
        <w:t xml:space="preserve"> </w:t>
      </w:r>
      <w:r w:rsidR="00A25012" w:rsidRPr="00A25012">
        <w:t>ισχυροί αναστολείς CYP2C9 χορηγούν</w:t>
      </w:r>
      <w:r w:rsidRPr="00A25012">
        <w:t xml:space="preserve">ται ταυτόχρονα, ιδιαίτερα όταν υψηλή δόση </w:t>
      </w:r>
      <w:r w:rsidR="00A25012" w:rsidRPr="00A25012">
        <w:t>ιβουπροφ</w:t>
      </w:r>
      <w:r w:rsidR="0001399E">
        <w:t>αί</w:t>
      </w:r>
      <w:r w:rsidR="00A25012" w:rsidRPr="00A25012">
        <w:t xml:space="preserve">νης </w:t>
      </w:r>
      <w:r w:rsidRPr="00A25012">
        <w:t>χορηγείται είτε με βορικοναζόλη ή</w:t>
      </w:r>
      <w:r w:rsidR="00A25012" w:rsidRPr="00A25012">
        <w:t xml:space="preserve"> με</w:t>
      </w:r>
      <w:r w:rsidRPr="00A25012">
        <w:t xml:space="preserve"> φλουκοναζόλη.</w:t>
      </w:r>
    </w:p>
    <w:p w:rsidR="008F6A8F" w:rsidRPr="008F6A8F" w:rsidRDefault="008F6A8F" w:rsidP="008F6A8F">
      <w:pPr>
        <w:rPr>
          <w:highlight w:val="yellow"/>
        </w:rPr>
      </w:pPr>
    </w:p>
    <w:p w:rsidR="008F6A8F" w:rsidRPr="00E77514" w:rsidRDefault="00A25012" w:rsidP="008F6A8F">
      <w:r w:rsidRPr="00E77514">
        <w:rPr>
          <w:u w:val="single"/>
        </w:rPr>
        <w:t>Αναστολείς του Κ</w:t>
      </w:r>
      <w:r w:rsidR="008F6A8F" w:rsidRPr="00E77514">
        <w:rPr>
          <w:u w:val="single"/>
        </w:rPr>
        <w:t>εντρικ</w:t>
      </w:r>
      <w:r w:rsidRPr="00E77514">
        <w:rPr>
          <w:u w:val="single"/>
        </w:rPr>
        <w:t>ού</w:t>
      </w:r>
      <w:r w:rsidR="008F6A8F" w:rsidRPr="00E77514">
        <w:rPr>
          <w:u w:val="single"/>
        </w:rPr>
        <w:t xml:space="preserve"> </w:t>
      </w:r>
      <w:r w:rsidRPr="00E77514">
        <w:rPr>
          <w:u w:val="single"/>
        </w:rPr>
        <w:t>Ν</w:t>
      </w:r>
      <w:r w:rsidR="008F6A8F" w:rsidRPr="00E77514">
        <w:rPr>
          <w:u w:val="single"/>
        </w:rPr>
        <w:t>ευρι</w:t>
      </w:r>
      <w:r w:rsidRPr="00E77514">
        <w:rPr>
          <w:u w:val="single"/>
        </w:rPr>
        <w:t>κού</w:t>
      </w:r>
      <w:r w:rsidR="008F6A8F" w:rsidRPr="00E77514">
        <w:rPr>
          <w:u w:val="single"/>
        </w:rPr>
        <w:t xml:space="preserve"> </w:t>
      </w:r>
      <w:r w:rsidRPr="00E77514">
        <w:rPr>
          <w:u w:val="single"/>
        </w:rPr>
        <w:t>Συστήματος</w:t>
      </w:r>
      <w:r w:rsidR="008F6A8F" w:rsidRPr="00E77514">
        <w:rPr>
          <w:u w:val="single"/>
        </w:rPr>
        <w:t>:</w:t>
      </w:r>
      <w:r w:rsidR="008F6A8F" w:rsidRPr="00E77514">
        <w:t xml:space="preserve"> </w:t>
      </w:r>
      <w:r w:rsidRPr="00E77514">
        <w:t xml:space="preserve">Η δράση των αναστολέων </w:t>
      </w:r>
      <w:r w:rsidR="008F6A8F" w:rsidRPr="00E77514">
        <w:t>του ΚΝΣ (άλλα οπιοειδή, αντιισταμινικά, αγχολυτικά, καταπραϋντικά, υπνωτικά, αντιψυχωτικά, νευροληπτικά, συμπεριλαμβανομένου του αλκοόλ), μπορεί να ενισχυθεί από την κωδεΐνη.</w:t>
      </w:r>
    </w:p>
    <w:p w:rsidR="008F6A8F" w:rsidRPr="00E77514" w:rsidRDefault="008F6A8F" w:rsidP="008F6A8F"/>
    <w:p w:rsidR="008F6A8F" w:rsidRPr="0001399E" w:rsidRDefault="008F6A8F" w:rsidP="008F6A8F">
      <w:r w:rsidRPr="00E77514">
        <w:rPr>
          <w:u w:val="single"/>
        </w:rPr>
        <w:t>Αν</w:t>
      </w:r>
      <w:r w:rsidR="00A25012" w:rsidRPr="00E77514">
        <w:rPr>
          <w:u w:val="single"/>
        </w:rPr>
        <w:t>τιχολινεργικά</w:t>
      </w:r>
      <w:r w:rsidRPr="00E77514">
        <w:rPr>
          <w:u w:val="single"/>
        </w:rPr>
        <w:t>:</w:t>
      </w:r>
      <w:r w:rsidRPr="00E77514">
        <w:t xml:space="preserve"> </w:t>
      </w:r>
      <w:r w:rsidR="00E77514" w:rsidRPr="00E77514">
        <w:t>Α</w:t>
      </w:r>
      <w:r w:rsidRPr="00E77514">
        <w:t xml:space="preserve">ντιχολινεργικά ή άλλα φάρμακα με αντιχολινεργική δράση όταν </w:t>
      </w:r>
      <w:r w:rsidRPr="0001399E">
        <w:t>χρησιμοποι</w:t>
      </w:r>
      <w:r w:rsidR="00E77514" w:rsidRPr="0001399E">
        <w:t>ούν</w:t>
      </w:r>
      <w:r w:rsidRPr="0001399E">
        <w:t xml:space="preserve">ται </w:t>
      </w:r>
      <w:r w:rsidR="00E77514" w:rsidRPr="0001399E">
        <w:t>παράλληλα</w:t>
      </w:r>
      <w:r w:rsidRPr="0001399E">
        <w:t xml:space="preserve"> με οπιοειδή αναλγητικά, συμπεριλαμβανομένης της κωδεΐνης, μπορεί να οδηγήσ</w:t>
      </w:r>
      <w:r w:rsidR="00E77514" w:rsidRPr="0001399E">
        <w:t>ουν</w:t>
      </w:r>
      <w:r w:rsidRPr="0001399E">
        <w:t xml:space="preserve"> σε αυξημένο</w:t>
      </w:r>
      <w:r w:rsidR="00E77514" w:rsidRPr="0001399E">
        <w:t xml:space="preserve"> κίνδυνο κατακράτησης ούρων και</w:t>
      </w:r>
      <w:r w:rsidRPr="0001399E">
        <w:t xml:space="preserve">/ή σοβαρή δυσκοιλιότητα, </w:t>
      </w:r>
      <w:r w:rsidR="00E77514" w:rsidRPr="0001399E">
        <w:t xml:space="preserve">που </w:t>
      </w:r>
      <w:r w:rsidRPr="0001399E">
        <w:t>μπορεί να οδηγήσει σε παραλυτικό ειλεό.</w:t>
      </w:r>
    </w:p>
    <w:p w:rsidR="008F6A8F" w:rsidRPr="0001399E" w:rsidRDefault="008F6A8F" w:rsidP="008F6A8F"/>
    <w:p w:rsidR="008F6A8F" w:rsidRPr="0001399E" w:rsidRDefault="00E77514" w:rsidP="008F6A8F">
      <w:r w:rsidRPr="0001399E">
        <w:rPr>
          <w:u w:val="single"/>
        </w:rPr>
        <w:t>Αλκοόλ</w:t>
      </w:r>
      <w:r w:rsidR="008F6A8F" w:rsidRPr="0001399E">
        <w:rPr>
          <w:u w:val="single"/>
        </w:rPr>
        <w:t>:</w:t>
      </w:r>
      <w:r w:rsidR="008F6A8F" w:rsidRPr="0001399E">
        <w:t xml:space="preserve"> Μπορεί να αυξήσει την </w:t>
      </w:r>
      <w:r w:rsidRPr="0001399E">
        <w:t>κατασταλτική δράση</w:t>
      </w:r>
      <w:r w:rsidR="008F6A8F" w:rsidRPr="0001399E">
        <w:t xml:space="preserve"> τ</w:t>
      </w:r>
      <w:r w:rsidRPr="0001399E">
        <w:t>ης</w:t>
      </w:r>
      <w:r w:rsidR="008F6A8F" w:rsidRPr="0001399E">
        <w:t xml:space="preserve"> κωδεΐνη</w:t>
      </w:r>
      <w:r w:rsidRPr="0001399E">
        <w:t>ς</w:t>
      </w:r>
      <w:r w:rsidR="008F6A8F" w:rsidRPr="0001399E">
        <w:t>.</w:t>
      </w:r>
    </w:p>
    <w:p w:rsidR="008F6A8F" w:rsidRPr="0001399E" w:rsidRDefault="008F6A8F" w:rsidP="008F6A8F"/>
    <w:p w:rsidR="008F6A8F" w:rsidRPr="0001399E" w:rsidRDefault="008F6A8F" w:rsidP="008F6A8F">
      <w:r w:rsidRPr="0001399E">
        <w:rPr>
          <w:u w:val="single"/>
        </w:rPr>
        <w:t>Αν</w:t>
      </w:r>
      <w:r w:rsidR="00E77514" w:rsidRPr="0001399E">
        <w:rPr>
          <w:u w:val="single"/>
        </w:rPr>
        <w:t>αστολείς COX-2 και τα άλλα ΜΣΑΦ</w:t>
      </w:r>
      <w:r w:rsidRPr="0001399E">
        <w:rPr>
          <w:u w:val="single"/>
        </w:rPr>
        <w:t>:</w:t>
      </w:r>
      <w:r w:rsidRPr="0001399E">
        <w:t xml:space="preserve"> Η ταυτόχρονη χρήση με άλλα ΜΣΑΦ, </w:t>
      </w:r>
      <w:r w:rsidR="00E77514" w:rsidRPr="0001399E">
        <w:t>σ</w:t>
      </w:r>
      <w:r w:rsidRPr="0001399E">
        <w:t xml:space="preserve">υμπεριλαμβανομένων </w:t>
      </w:r>
      <w:r w:rsidR="00E77514" w:rsidRPr="0001399E">
        <w:t xml:space="preserve">των εκλεκτικών αναστολέων </w:t>
      </w:r>
      <w:r w:rsidRPr="0001399E">
        <w:t>της κυκλοοξυγενάσης-</w:t>
      </w:r>
      <w:r w:rsidR="00E77514" w:rsidRPr="0001399E">
        <w:t>2</w:t>
      </w:r>
      <w:r w:rsidRPr="0001399E">
        <w:t xml:space="preserve">, πρέπει να αποφεύγεται </w:t>
      </w:r>
      <w:r w:rsidRPr="0001399E">
        <w:lastRenderedPageBreak/>
        <w:t>λόγω της πι</w:t>
      </w:r>
      <w:r w:rsidR="00E77514" w:rsidRPr="0001399E">
        <w:t>θανότητας αθροιστικών δράσεων</w:t>
      </w:r>
      <w:r w:rsidRPr="0001399E">
        <w:t>.</w:t>
      </w:r>
    </w:p>
    <w:p w:rsidR="00E77514" w:rsidRPr="0001399E" w:rsidRDefault="00E77514" w:rsidP="008F6A8F"/>
    <w:p w:rsidR="008F6A8F" w:rsidRDefault="00E77514" w:rsidP="008F6A8F">
      <w:r w:rsidRPr="0001399E">
        <w:rPr>
          <w:u w:val="single"/>
        </w:rPr>
        <w:t>Α</w:t>
      </w:r>
      <w:r w:rsidR="008F6A8F" w:rsidRPr="0001399E">
        <w:rPr>
          <w:u w:val="single"/>
        </w:rPr>
        <w:t>κετυλοσαλικυλικό οξύ:</w:t>
      </w:r>
      <w:r w:rsidR="008F6A8F" w:rsidRPr="0001399E">
        <w:t xml:space="preserve"> </w:t>
      </w:r>
      <w:r w:rsidR="000E3DDF">
        <w:t xml:space="preserve">Η ταυτόχρονη </w:t>
      </w:r>
      <w:r w:rsidR="008F6A8F" w:rsidRPr="0001399E">
        <w:t>χορήγηση ιβουπροφαίνης και ακετυλοσαλικυλικ</w:t>
      </w:r>
      <w:r w:rsidR="0001399E" w:rsidRPr="0001399E">
        <w:t>ού</w:t>
      </w:r>
      <w:r w:rsidR="008F6A8F" w:rsidRPr="0001399E">
        <w:t xml:space="preserve"> οξ</w:t>
      </w:r>
      <w:r w:rsidR="0001399E" w:rsidRPr="0001399E">
        <w:t>έος</w:t>
      </w:r>
      <w:r w:rsidR="008F6A8F" w:rsidRPr="0001399E">
        <w:t xml:space="preserve"> γενικά </w:t>
      </w:r>
      <w:r w:rsidR="000E3DDF">
        <w:t xml:space="preserve">αντενδείκνυται </w:t>
      </w:r>
      <w:r w:rsidR="008F6A8F" w:rsidRPr="0001399E">
        <w:t>λόγω τ</w:t>
      </w:r>
      <w:r w:rsidR="000E3DDF">
        <w:t>ου</w:t>
      </w:r>
      <w:r w:rsidR="008F6A8F" w:rsidRPr="0001399E">
        <w:t xml:space="preserve"> </w:t>
      </w:r>
      <w:r w:rsidR="000E3DDF">
        <w:t xml:space="preserve">ενδεχομένου </w:t>
      </w:r>
      <w:r w:rsidR="008F6A8F" w:rsidRPr="0001399E">
        <w:t>αυξημέν</w:t>
      </w:r>
      <w:r w:rsidR="000E3DDF">
        <w:t>ης</w:t>
      </w:r>
      <w:r w:rsidR="008F6A8F" w:rsidRPr="0001399E">
        <w:t xml:space="preserve"> </w:t>
      </w:r>
      <w:r w:rsidR="000E3DDF">
        <w:t xml:space="preserve">εμφάνισης </w:t>
      </w:r>
      <w:r w:rsidR="008F6A8F" w:rsidRPr="0001399E">
        <w:t>ανεπιθύμητων ενεργειών.</w:t>
      </w:r>
    </w:p>
    <w:p w:rsidR="000E3DDF" w:rsidRPr="0001399E" w:rsidRDefault="000E3DDF" w:rsidP="008F6A8F"/>
    <w:p w:rsidR="00496809" w:rsidRDefault="008F6A8F" w:rsidP="008F6A8F">
      <w:r w:rsidRPr="0001399E">
        <w:t>Πειραματικά δεδομένα υποδ</w:t>
      </w:r>
      <w:r w:rsidR="000E3DDF">
        <w:t xml:space="preserve">εικνύουν </w:t>
      </w:r>
      <w:r w:rsidRPr="0001399E">
        <w:t xml:space="preserve">ότι η ιβουπροφαίνη </w:t>
      </w:r>
      <w:r w:rsidR="000E3DDF">
        <w:t xml:space="preserve">πιθανόν </w:t>
      </w:r>
      <w:r w:rsidRPr="0001399E">
        <w:t xml:space="preserve">να αναστείλει </w:t>
      </w:r>
      <w:r w:rsidR="000E3DDF">
        <w:t xml:space="preserve">ανταγωνιστικά </w:t>
      </w:r>
      <w:r w:rsidRPr="0001399E">
        <w:t>τη</w:t>
      </w:r>
      <w:r w:rsidR="007E17C2">
        <w:t>ν</w:t>
      </w:r>
      <w:r w:rsidR="0001399E" w:rsidRPr="0001399E">
        <w:t xml:space="preserve"> </w:t>
      </w:r>
      <w:r w:rsidR="007E17C2">
        <w:t>επί</w:t>
      </w:r>
      <w:r w:rsidRPr="0001399E">
        <w:t>δρ</w:t>
      </w:r>
      <w:r w:rsidR="007E17C2">
        <w:t>α</w:t>
      </w:r>
      <w:r w:rsidRPr="0001399E">
        <w:t>ση τ</w:t>
      </w:r>
      <w:r w:rsidR="007E17C2">
        <w:t>ων</w:t>
      </w:r>
      <w:r w:rsidRPr="0001399E">
        <w:t xml:space="preserve"> χαμηλ</w:t>
      </w:r>
      <w:r w:rsidR="007E17C2">
        <w:t>ών</w:t>
      </w:r>
      <w:r w:rsidRPr="0001399E">
        <w:t xml:space="preserve"> δόσ</w:t>
      </w:r>
      <w:r w:rsidR="007E17C2">
        <w:t>εων</w:t>
      </w:r>
      <w:r w:rsidRPr="0001399E">
        <w:t xml:space="preserve"> ακετυλοσαλικυλικού οξέος στη </w:t>
      </w:r>
      <w:r w:rsidR="003A6470">
        <w:t>συσσώρευση</w:t>
      </w:r>
      <w:r w:rsidRPr="0001399E">
        <w:t xml:space="preserve"> των αιμοπεταλίων όταν </w:t>
      </w:r>
      <w:r w:rsidR="007E17C2">
        <w:t xml:space="preserve">τα δύο φάρμακα </w:t>
      </w:r>
      <w:r w:rsidR="0001399E" w:rsidRPr="0001399E">
        <w:t xml:space="preserve">χορηγούνται </w:t>
      </w:r>
      <w:r w:rsidRPr="0001399E">
        <w:t xml:space="preserve">ταυτόχρονα. </w:t>
      </w:r>
      <w:r w:rsidR="007E17C2" w:rsidRPr="007E17C2">
        <w:t>Παρόλο που υπάρχουν ασάφειες ως προς την παρέκταση των εν λόγω δεδομένων σε κλινικές συνθήκες, δεν αποκλείεται η πιθανότητα ότι η τακτική, μακροπρόθεσμη χρήση της ιβουπροφαίνης ενδέχεται να συμβάλει στη μείωση της καρδιοπροστατευτικής επίδρασης του ακετυλοσαλικυλικού οξέος χαμηλής δοσολογίας.</w:t>
      </w:r>
      <w:r w:rsidRPr="0001399E">
        <w:t xml:space="preserve"> </w:t>
      </w:r>
      <w:r w:rsidR="007E17C2">
        <w:t xml:space="preserve">Δεν υπάρχει το ενδεχόμενο </w:t>
      </w:r>
      <w:r w:rsidRPr="0001399E">
        <w:t xml:space="preserve">κλινικά σχετικής </w:t>
      </w:r>
      <w:r w:rsidR="007E17C2">
        <w:t>επί</w:t>
      </w:r>
      <w:r w:rsidR="0001399E" w:rsidRPr="0001399E">
        <w:t>δρ</w:t>
      </w:r>
      <w:r w:rsidR="007E17C2">
        <w:t>α</w:t>
      </w:r>
      <w:r w:rsidRPr="0001399E">
        <w:t xml:space="preserve">σης </w:t>
      </w:r>
      <w:r w:rsidR="007E17C2">
        <w:t>από</w:t>
      </w:r>
      <w:r w:rsidRPr="0001399E">
        <w:t xml:space="preserve"> την περιστασιακή χρήση </w:t>
      </w:r>
      <w:r w:rsidR="0001399E" w:rsidRPr="0001399E">
        <w:t xml:space="preserve">της </w:t>
      </w:r>
      <w:r w:rsidRPr="0001399E">
        <w:t>ιβουπροφαίνης (βλ. παράγραφο 5.1).</w:t>
      </w:r>
    </w:p>
    <w:p w:rsidR="0001399E" w:rsidRPr="008F6A8F" w:rsidRDefault="0001399E" w:rsidP="008F6A8F"/>
    <w:p w:rsidR="00496809" w:rsidRDefault="00496809" w:rsidP="00CE2C21">
      <w:pPr>
        <w:tabs>
          <w:tab w:val="left" w:pos="567"/>
        </w:tabs>
        <w:rPr>
          <w:b/>
        </w:rPr>
      </w:pPr>
      <w:r w:rsidRPr="00786D07">
        <w:rPr>
          <w:b/>
        </w:rPr>
        <w:t>4.6</w:t>
      </w:r>
      <w:r w:rsidRPr="00786D07">
        <w:rPr>
          <w:b/>
        </w:rPr>
        <w:tab/>
      </w:r>
      <w:r w:rsidR="00056716" w:rsidRPr="00786D07">
        <w:rPr>
          <w:b/>
          <w:noProof/>
        </w:rPr>
        <w:t>Γονιμότητα, κ</w:t>
      </w:r>
      <w:r w:rsidRPr="00786D07">
        <w:rPr>
          <w:b/>
        </w:rPr>
        <w:t>ύηση και γαλουχία</w:t>
      </w:r>
    </w:p>
    <w:p w:rsidR="004571FD" w:rsidRPr="004571FD" w:rsidRDefault="004571FD"/>
    <w:p w:rsidR="008F6A8F" w:rsidRPr="00AA45CA" w:rsidRDefault="008F6A8F" w:rsidP="008F6A8F">
      <w:r w:rsidRPr="00AA45CA">
        <w:t>Η χρήση της ιβουπροφαίνης κατά τη διάρκεια της εγκυμοσύνης δεν συνιστάται καθώς η ασφάλεια του φαρμάκου δεν έχει τεκμηριωθεί (βλ. παράγραφο 4.3).</w:t>
      </w:r>
    </w:p>
    <w:p w:rsidR="008F6A8F" w:rsidRPr="00AA45CA" w:rsidRDefault="008F6A8F" w:rsidP="008F6A8F"/>
    <w:p w:rsidR="008F6A8F" w:rsidRPr="00AA45CA" w:rsidRDefault="004571FD" w:rsidP="008F6A8F">
      <w:pPr>
        <w:rPr>
          <w:b/>
          <w:i/>
        </w:rPr>
      </w:pPr>
      <w:r w:rsidRPr="00AA45CA">
        <w:rPr>
          <w:b/>
          <w:i/>
        </w:rPr>
        <w:t>Ε</w:t>
      </w:r>
      <w:r w:rsidR="008F6A8F" w:rsidRPr="00AA45CA">
        <w:rPr>
          <w:b/>
          <w:i/>
        </w:rPr>
        <w:t>γκυμοσύνη</w:t>
      </w:r>
    </w:p>
    <w:p w:rsidR="008F6A8F" w:rsidRPr="00AA45CA" w:rsidRDefault="008F6A8F" w:rsidP="008F6A8F">
      <w:r w:rsidRPr="00AA45CA">
        <w:t>Η αναστολή της σύνθεσης των προσταγλανδινών μπορεί να επηρ</w:t>
      </w:r>
      <w:r w:rsidR="004571FD" w:rsidRPr="00AA45CA">
        <w:t>εάσει αρνητικά την εγκυμοσύνη και</w:t>
      </w:r>
      <w:r w:rsidRPr="00AA45CA">
        <w:t>/</w:t>
      </w:r>
      <w:r w:rsidR="004571FD" w:rsidRPr="00AA45CA">
        <w:t>ή</w:t>
      </w:r>
      <w:r w:rsidRPr="00AA45CA">
        <w:t xml:space="preserve"> την ανάπτυξη του εμβρύου/νεογνού. Στοιχεία από επιδημιολογικές μελέτες δείχνουν αυξημένο κίνδυνο αποβολής και καρδιακής δυσμορφίας και γαστρόσχισης μετά από χρήση ενός αναστολέα της σύνθεσης προσταγλανδινών στην αρχή της εγκυμοσύνης. Ο απόλυτος κίνδυνος για καρδιαγγειακή δυσμορφία ήταν αυξημένος </w:t>
      </w:r>
      <w:r w:rsidR="00071E1A">
        <w:t>σε</w:t>
      </w:r>
      <w:r w:rsidRPr="00AA45CA">
        <w:t xml:space="preserve"> </w:t>
      </w:r>
      <w:r w:rsidR="00973783">
        <w:t xml:space="preserve">ποσοστό </w:t>
      </w:r>
      <w:r w:rsidR="00071E1A">
        <w:t>λιγότερο</w:t>
      </w:r>
      <w:r w:rsidR="00973783">
        <w:t xml:space="preserve"> </w:t>
      </w:r>
      <w:r w:rsidRPr="00AA45CA">
        <w:t>από 1% έως περίπου 1,5%. Ο κίνδυνος πιστεύεται ότι αυξάνεται με τη δόση και τη διάρκεια της θεραπείας.</w:t>
      </w:r>
    </w:p>
    <w:p w:rsidR="008F6A8F" w:rsidRPr="00AA45CA" w:rsidRDefault="008F6A8F" w:rsidP="008F6A8F">
      <w:r w:rsidRPr="00AA45CA">
        <w:t>Σε ζώα, η χορήγηση ενός αναστολέα σύνθεσης προσταγλανδινών έχει δειχθεί ότι οδηγεί σε αυξημ</w:t>
      </w:r>
      <w:r w:rsidR="004571FD" w:rsidRPr="00AA45CA">
        <w:t>ένη απώλεια πριν</w:t>
      </w:r>
      <w:r w:rsidRPr="00AA45CA">
        <w:t xml:space="preserve"> και μετά την εμφύτευση και </w:t>
      </w:r>
      <w:r w:rsidR="004571FD" w:rsidRPr="00AA45CA">
        <w:t>θνησιμότητα του εμβρύου</w:t>
      </w:r>
      <w:r w:rsidRPr="00AA45CA">
        <w:t xml:space="preserve">/νεογνού. Επιπλέον, αυξημένες επιπτώσεις διαφόρων δυσπλασιών, περιλαμβανομένων και των καρδιαγγειακών, έχουν αναφερθεί σε </w:t>
      </w:r>
      <w:r w:rsidR="00AA45CA" w:rsidRPr="00AA45CA">
        <w:t>ζώα</w:t>
      </w:r>
      <w:r w:rsidRPr="00AA45CA">
        <w:t xml:space="preserve"> στα οποία χορηγήθηκε αναστολέας της σύνθεσης των προσταγλανδινών κατά την περίοδο της οργανογένεσης.</w:t>
      </w:r>
    </w:p>
    <w:p w:rsidR="008F6A8F" w:rsidRPr="00AA45CA" w:rsidRDefault="008F6A8F" w:rsidP="008F6A8F"/>
    <w:p w:rsidR="008F6A8F" w:rsidRPr="00AA45CA" w:rsidRDefault="008F6A8F" w:rsidP="008F6A8F">
      <w:r w:rsidRPr="00AA45CA">
        <w:t xml:space="preserve">Κατά τη διάρκεια του πρώτου και του δεύτερου τριμήνου της εγκυμοσύνης </w:t>
      </w:r>
      <w:r w:rsidR="00AA45CA" w:rsidRPr="00AA45CA">
        <w:rPr>
          <w:noProof/>
        </w:rPr>
        <w:t xml:space="preserve">το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Pr="00AA45CA">
        <w:t>δεν πρέπει να χορηγείται, εκτ</w:t>
      </w:r>
      <w:r w:rsidR="00F1617F">
        <w:t>ός εάν είναι σαφώς απαραίτητο. Εά</w:t>
      </w:r>
      <w:r w:rsidRPr="00AA45CA">
        <w:t xml:space="preserve">ν </w:t>
      </w:r>
      <w:r w:rsidR="00AA45CA" w:rsidRPr="00AA45CA">
        <w:rPr>
          <w:noProof/>
        </w:rPr>
        <w:t xml:space="preserve">το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sidRPr="00AA45CA">
        <w:rPr>
          <w:noProof/>
        </w:rPr>
        <w:t xml:space="preserve"> </w:t>
      </w:r>
      <w:r w:rsidRPr="00AA45CA">
        <w:t>χρησιμοποιείται από μία γυναίκα που προσπαθεί να συλλά</w:t>
      </w:r>
      <w:r w:rsidR="00AA45CA" w:rsidRPr="00AA45CA">
        <w:t>βει</w:t>
      </w:r>
      <w:r w:rsidRPr="00AA45CA">
        <w:t xml:space="preserve">, ή κατά τη διάρκεια του πρώτου και δεύτερου τριμήνου της εγκυμοσύνης, η δόση θα πρέπει να διατηρείται όσο </w:t>
      </w:r>
      <w:r w:rsidR="00AA45CA" w:rsidRPr="00AA45CA">
        <w:t xml:space="preserve">το δυνατόν πιο </w:t>
      </w:r>
      <w:r w:rsidRPr="00AA45CA">
        <w:t xml:space="preserve">χαμηλή και η διάρκεια της θεραπείας όσο το δυνατόν </w:t>
      </w:r>
      <w:r w:rsidR="00AA45CA" w:rsidRPr="00AA45CA">
        <w:t>πιο μικρή</w:t>
      </w:r>
      <w:r w:rsidRPr="00AA45CA">
        <w:t>.</w:t>
      </w:r>
    </w:p>
    <w:p w:rsidR="008F6A8F" w:rsidRPr="00AA45CA" w:rsidRDefault="008F6A8F" w:rsidP="008F6A8F"/>
    <w:p w:rsidR="008F6A8F" w:rsidRPr="00AA45CA" w:rsidRDefault="008F6A8F" w:rsidP="008F6A8F">
      <w:r w:rsidRPr="00AA45CA">
        <w:t>Κατά τη διάρκεια του τρίτου τριμήνου της εγκυμοσύνης, όλοι οι αναστολείς σύνθεσης προσταγλανδινών μπορεί να εκθέσουν:</w:t>
      </w:r>
    </w:p>
    <w:p w:rsidR="008F6A8F" w:rsidRPr="00AA45CA" w:rsidRDefault="008F6A8F" w:rsidP="008F6A8F"/>
    <w:p w:rsidR="008F6A8F" w:rsidRPr="00AA45CA" w:rsidRDefault="008F6A8F" w:rsidP="008F6A8F">
      <w:r w:rsidRPr="00AA45CA">
        <w:t>Το έμβρυο</w:t>
      </w:r>
      <w:r w:rsidR="00AA45CA" w:rsidRPr="00AA45CA">
        <w:t xml:space="preserve"> σε</w:t>
      </w:r>
    </w:p>
    <w:p w:rsidR="008F6A8F" w:rsidRPr="00AA45CA" w:rsidRDefault="008F6A8F" w:rsidP="00294C75">
      <w:pPr>
        <w:tabs>
          <w:tab w:val="left" w:pos="567"/>
        </w:tabs>
        <w:ind w:left="567" w:hanging="567"/>
      </w:pPr>
      <w:r w:rsidRPr="00AA45CA">
        <w:t>-</w:t>
      </w:r>
      <w:r w:rsidR="00AA45CA" w:rsidRPr="00AA45CA">
        <w:tab/>
        <w:t>καρδιοπνευμονική τοξικότητα (</w:t>
      </w:r>
      <w:r w:rsidRPr="00AA45CA">
        <w:t>με πρόωρη σύγκλειση του αρτηριακού πόρου και πνευμονική υπέρταση),</w:t>
      </w:r>
    </w:p>
    <w:p w:rsidR="008F6A8F" w:rsidRPr="00AA45CA" w:rsidRDefault="00AA45CA" w:rsidP="00294C75">
      <w:pPr>
        <w:tabs>
          <w:tab w:val="left" w:pos="567"/>
        </w:tabs>
        <w:ind w:left="567" w:hanging="567"/>
      </w:pPr>
      <w:r w:rsidRPr="00AA45CA">
        <w:t>-</w:t>
      </w:r>
      <w:r w:rsidRPr="00AA45CA">
        <w:tab/>
      </w:r>
      <w:r w:rsidR="008F6A8F" w:rsidRPr="00AA45CA">
        <w:t>νεφρική δυσλειτουργία, η οποία μπορεί να εξελιχθεί σε νεφρική ανεπάρκεια με ολιγοϋδράμνιο.</w:t>
      </w:r>
    </w:p>
    <w:p w:rsidR="008F6A8F" w:rsidRPr="00AA45CA" w:rsidRDefault="008F6A8F" w:rsidP="008F6A8F"/>
    <w:p w:rsidR="008F6A8F" w:rsidRPr="00AA45CA" w:rsidRDefault="00AA45CA" w:rsidP="008F6A8F">
      <w:r w:rsidRPr="00AA45CA">
        <w:t>Τη</w:t>
      </w:r>
      <w:r w:rsidR="008F6A8F" w:rsidRPr="00AA45CA">
        <w:t xml:space="preserve"> μητέρα και το νεογνό, κατά το τέλος της κύησης</w:t>
      </w:r>
      <w:r w:rsidRPr="00AA45CA">
        <w:t>, σε</w:t>
      </w:r>
    </w:p>
    <w:p w:rsidR="008F6A8F" w:rsidRPr="00AA45CA" w:rsidRDefault="00AA45CA" w:rsidP="00294C75">
      <w:pPr>
        <w:tabs>
          <w:tab w:val="left" w:pos="567"/>
        </w:tabs>
        <w:ind w:left="567" w:hanging="567"/>
      </w:pPr>
      <w:r w:rsidRPr="009E5B53">
        <w:t>-</w:t>
      </w:r>
      <w:r w:rsidRPr="009E5B53">
        <w:tab/>
      </w:r>
      <w:r w:rsidR="008F6A8F" w:rsidRPr="009E5B53">
        <w:t xml:space="preserve">πιθανή παράταση του χρόνου </w:t>
      </w:r>
      <w:r w:rsidR="009E5B53" w:rsidRPr="009E5B53">
        <w:t>αιμορραγίας</w:t>
      </w:r>
      <w:r w:rsidR="008F6A8F" w:rsidRPr="009E5B53">
        <w:t xml:space="preserve">, μία αντι- συσσωρευτική </w:t>
      </w:r>
      <w:r w:rsidR="00F1617F" w:rsidRPr="009E5B53">
        <w:t>δράση</w:t>
      </w:r>
      <w:r w:rsidRPr="009E5B53">
        <w:t xml:space="preserve"> που μπορεί να</w:t>
      </w:r>
      <w:r w:rsidRPr="00AA45CA">
        <w:t xml:space="preserve"> συμβεί ακόμα και σε πολύ χαμηλές δόσεις</w:t>
      </w:r>
      <w:r w:rsidR="008F6A8F" w:rsidRPr="00AA45CA">
        <w:t>,</w:t>
      </w:r>
    </w:p>
    <w:p w:rsidR="008F6A8F" w:rsidRPr="00AA45CA" w:rsidRDefault="00AA45CA" w:rsidP="00294C75">
      <w:pPr>
        <w:tabs>
          <w:tab w:val="left" w:pos="567"/>
        </w:tabs>
        <w:ind w:left="567" w:hanging="567"/>
      </w:pPr>
      <w:r w:rsidRPr="00AA45CA">
        <w:t>-</w:t>
      </w:r>
      <w:r w:rsidRPr="00AA45CA">
        <w:tab/>
      </w:r>
      <w:r w:rsidR="008F6A8F" w:rsidRPr="00AA45CA">
        <w:t>αναστολή των συσπάσεων της μήτρας, με αποτέλεσμα καθυ</w:t>
      </w:r>
      <w:r w:rsidRPr="00AA45CA">
        <w:t>στερημένο ή παρατεταμένο τοκετό</w:t>
      </w:r>
      <w:r w:rsidR="008F6A8F" w:rsidRPr="00AA45CA">
        <w:t>.</w:t>
      </w:r>
    </w:p>
    <w:p w:rsidR="008F6A8F" w:rsidRPr="00AA45CA" w:rsidRDefault="008F6A8F" w:rsidP="008F6A8F"/>
    <w:p w:rsidR="008F6A8F" w:rsidRPr="00025B66" w:rsidRDefault="008F6A8F" w:rsidP="008F6A8F">
      <w:r w:rsidRPr="00AA45CA">
        <w:t xml:space="preserve">Η κωδεΐνη μπορεί να παρατείνει </w:t>
      </w:r>
      <w:r w:rsidR="00AA45CA" w:rsidRPr="00AA45CA">
        <w:t>τον τοκετό</w:t>
      </w:r>
      <w:r w:rsidRPr="00AA45CA">
        <w:t xml:space="preserve">. </w:t>
      </w:r>
      <w:r w:rsidR="00AA45CA" w:rsidRPr="00AA45CA">
        <w:t>Η κ</w:t>
      </w:r>
      <w:r w:rsidRPr="00AA45CA">
        <w:t xml:space="preserve">ωδεΐνη σε υψηλές δόσεις κοντά </w:t>
      </w:r>
      <w:r w:rsidR="00AA45CA" w:rsidRPr="00AA45CA">
        <w:t>στον τοκετό</w:t>
      </w:r>
      <w:r w:rsidRPr="00AA45CA">
        <w:t xml:space="preserve"> μπορεί να προκαλέσει αναπνευστική καταστολή</w:t>
      </w:r>
      <w:r w:rsidR="00AA45CA" w:rsidRPr="00AA45CA">
        <w:t xml:space="preserve"> του νεογνού</w:t>
      </w:r>
      <w:r w:rsidRPr="00AA45CA">
        <w:t xml:space="preserve">. Δεν </w:t>
      </w:r>
      <w:r w:rsidR="00AA45CA" w:rsidRPr="00AA45CA">
        <w:t>προτείνεται</w:t>
      </w:r>
      <w:r w:rsidRPr="00AA45CA">
        <w:t xml:space="preserve"> να χρησιμοποι</w:t>
      </w:r>
      <w:r w:rsidR="00AA45CA" w:rsidRPr="00AA45CA">
        <w:t>είται</w:t>
      </w:r>
      <w:r w:rsidRPr="00AA45CA">
        <w:t xml:space="preserve"> κατά τη διάρκεια τ</w:t>
      </w:r>
      <w:r w:rsidR="00AA45CA" w:rsidRPr="00AA45CA">
        <w:t>ου τοκετού, εά</w:t>
      </w:r>
      <w:r w:rsidRPr="00AA45CA">
        <w:t xml:space="preserve">ν το μωρό είναι πρόωρο. Τα οπιοειδή αναλγητικά </w:t>
      </w:r>
      <w:r w:rsidR="00AA45CA" w:rsidRPr="00AA45CA">
        <w:t xml:space="preserve">διαπερνούν </w:t>
      </w:r>
      <w:r w:rsidRPr="00AA45CA">
        <w:t xml:space="preserve">το φραγμό του </w:t>
      </w:r>
      <w:r w:rsidRPr="00025B66">
        <w:t xml:space="preserve">πλακούντα. Η κωδεΐνη μπορεί να προκαλέσει </w:t>
      </w:r>
      <w:r w:rsidR="00025B66" w:rsidRPr="00025B66">
        <w:t>σ</w:t>
      </w:r>
      <w:r w:rsidRPr="00025B66">
        <w:t>το νεογ</w:t>
      </w:r>
      <w:r w:rsidR="00025B66" w:rsidRPr="00025B66">
        <w:t>νό</w:t>
      </w:r>
      <w:r w:rsidRPr="00025B66">
        <w:t xml:space="preserve"> σύνδρομο στέρησης σε περίπτωση χορήγησης </w:t>
      </w:r>
      <w:r w:rsidR="00025B66" w:rsidRPr="00025B66">
        <w:t xml:space="preserve">φαρμάκων που περιέχουν </w:t>
      </w:r>
      <w:r w:rsidRPr="00025B66">
        <w:t xml:space="preserve">κωδεΐνη </w:t>
      </w:r>
      <w:r w:rsidR="00025B66" w:rsidRPr="00025B66">
        <w:t>κατά τις ημέρες πριν από τον τοκετό</w:t>
      </w:r>
      <w:r w:rsidRPr="00025B66">
        <w:t>. Γι</w:t>
      </w:r>
      <w:r w:rsidR="00025B66" w:rsidRPr="00025B66">
        <w:t xml:space="preserve">α το λόγο </w:t>
      </w:r>
      <w:r w:rsidRPr="00025B66">
        <w:t xml:space="preserve">αυτό </w:t>
      </w:r>
      <w:r w:rsidRPr="00025B66">
        <w:lastRenderedPageBreak/>
        <w:t xml:space="preserve">συνιστάται </w:t>
      </w:r>
      <w:r w:rsidR="00025B66" w:rsidRPr="00025B66">
        <w:t>προσεκτική</w:t>
      </w:r>
      <w:r w:rsidRPr="00025B66">
        <w:t xml:space="preserve"> παρακολ</w:t>
      </w:r>
      <w:r w:rsidR="00025B66" w:rsidRPr="00025B66">
        <w:t>ούθηση</w:t>
      </w:r>
      <w:r w:rsidRPr="00025B66">
        <w:t xml:space="preserve"> </w:t>
      </w:r>
      <w:r w:rsidR="00025B66" w:rsidRPr="00025B66">
        <w:t>των νεογνών</w:t>
      </w:r>
      <w:r w:rsidRPr="00025B66">
        <w:t xml:space="preserve"> </w:t>
      </w:r>
      <w:r w:rsidR="00F1617F">
        <w:t xml:space="preserve">των </w:t>
      </w:r>
      <w:r w:rsidRPr="00025B66">
        <w:t>οποίων οι μητέρες έλαβ</w:t>
      </w:r>
      <w:r w:rsidR="00025B66" w:rsidRPr="00025B66">
        <w:t xml:space="preserve">αν οπιούχα κατά τη διάρκεια του τοκετού </w:t>
      </w:r>
      <w:r w:rsidRPr="00025B66">
        <w:t xml:space="preserve">(FDA κατηγορία Γ) (εάν </w:t>
      </w:r>
      <w:r w:rsidR="00025B66" w:rsidRPr="00025B66">
        <w:t xml:space="preserve">η </w:t>
      </w:r>
      <w:r w:rsidRPr="00025B66">
        <w:t>αναπνευστική κατ</w:t>
      </w:r>
      <w:r w:rsidR="00025B66" w:rsidRPr="00025B66">
        <w:t>αστολή</w:t>
      </w:r>
      <w:r w:rsidRPr="00025B66">
        <w:t xml:space="preserve"> είναι σοβαρή</w:t>
      </w:r>
      <w:r w:rsidR="00025B66" w:rsidRPr="00025B66">
        <w:t>,</w:t>
      </w:r>
      <w:r w:rsidRPr="00025B66">
        <w:t xml:space="preserve"> μπορεί να απαιτηθεί </w:t>
      </w:r>
      <w:r w:rsidR="00025B66" w:rsidRPr="00025B66">
        <w:t>χορήγηση ναλοξόνης</w:t>
      </w:r>
      <w:r w:rsidRPr="00025B66">
        <w:t>).</w:t>
      </w:r>
    </w:p>
    <w:p w:rsidR="008F6A8F" w:rsidRPr="00370F35" w:rsidRDefault="008F6A8F" w:rsidP="008F6A8F"/>
    <w:p w:rsidR="008F6A8F" w:rsidRPr="00370F35" w:rsidRDefault="008F6A8F" w:rsidP="008F6A8F">
      <w:r w:rsidRPr="00370F35">
        <w:t xml:space="preserve">Κατά συνέπεια, </w:t>
      </w:r>
      <w:r w:rsidR="00025B66" w:rsidRPr="00370F35">
        <w:t xml:space="preserve">το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Pr="00370F35">
        <w:t>αντενδείκνυται κατά τη διάρκεια του</w:t>
      </w:r>
      <w:r w:rsidR="00370F35" w:rsidRPr="00370F35">
        <w:t xml:space="preserve"> τελευταίου τριμήνου της κύησης</w:t>
      </w:r>
      <w:r w:rsidRPr="00370F35">
        <w:t>.</w:t>
      </w:r>
    </w:p>
    <w:p w:rsidR="008F6A8F" w:rsidRPr="00370F35" w:rsidRDefault="008F6A8F" w:rsidP="008F6A8F"/>
    <w:p w:rsidR="008F6A8F" w:rsidRPr="00432376" w:rsidRDefault="008F6A8F" w:rsidP="008F6A8F">
      <w:pPr>
        <w:rPr>
          <w:b/>
          <w:i/>
        </w:rPr>
      </w:pPr>
      <w:r w:rsidRPr="00432376">
        <w:rPr>
          <w:b/>
          <w:i/>
        </w:rPr>
        <w:t>Θηλασμός</w:t>
      </w:r>
    </w:p>
    <w:p w:rsidR="008F6A8F" w:rsidRPr="00432376" w:rsidRDefault="008F6A8F" w:rsidP="008F6A8F">
      <w:r w:rsidRPr="00432376">
        <w:t>Τόσο η ιβουπροφαίνη όσο και η κωδεΐνη απεκκρίνονται στο μητρικό γάλα. Η κωδεΐνη δεν πρέπει να χρησιμοποιείται κατά τη διάρκεια του θηλασμού (βλ</w:t>
      </w:r>
      <w:r w:rsidR="00A176F7" w:rsidRPr="00432376">
        <w:t>.</w:t>
      </w:r>
      <w:r w:rsidRPr="00432376">
        <w:t xml:space="preserve"> παράγραφο 4.3).</w:t>
      </w:r>
    </w:p>
    <w:p w:rsidR="008F6A8F" w:rsidRPr="00432376" w:rsidRDefault="008F6A8F" w:rsidP="008F6A8F"/>
    <w:p w:rsidR="008F6A8F" w:rsidRPr="00432376" w:rsidRDefault="008F6A8F" w:rsidP="008F6A8F">
      <w:r w:rsidRPr="00432376">
        <w:t>Σε κανονικές θεραπευτικές δόσεις</w:t>
      </w:r>
      <w:r w:rsidR="00434532" w:rsidRPr="00432376">
        <w:t>,</w:t>
      </w:r>
      <w:r w:rsidRPr="00432376">
        <w:t xml:space="preserve"> </w:t>
      </w:r>
      <w:r w:rsidR="00434532" w:rsidRPr="00432376">
        <w:t xml:space="preserve">η </w:t>
      </w:r>
      <w:r w:rsidRPr="00432376">
        <w:t>κωδεΐνη και ο ενεργ</w:t>
      </w:r>
      <w:r w:rsidR="00434532" w:rsidRPr="00432376">
        <w:t xml:space="preserve">ός </w:t>
      </w:r>
      <w:r w:rsidRPr="00432376">
        <w:t>μεταβολίτη</w:t>
      </w:r>
      <w:r w:rsidR="00434532" w:rsidRPr="00432376">
        <w:t>ς</w:t>
      </w:r>
      <w:r w:rsidRPr="00432376">
        <w:t xml:space="preserve"> </w:t>
      </w:r>
      <w:r w:rsidR="00434532" w:rsidRPr="00432376">
        <w:t xml:space="preserve">της </w:t>
      </w:r>
      <w:r w:rsidRPr="00432376">
        <w:t>μπορεί να υπάρχουν στο μητρικό γάλα σε πολύ χαμηλές δόσεις και είναι απίθανο να επηρεάσ</w:t>
      </w:r>
      <w:r w:rsidR="00432376">
        <w:t>ουν</w:t>
      </w:r>
      <w:r w:rsidRPr="00432376">
        <w:t xml:space="preserve"> δυσμενώς τ</w:t>
      </w:r>
      <w:r w:rsidR="00432376">
        <w:t>ο</w:t>
      </w:r>
      <w:r w:rsidRPr="00432376">
        <w:t xml:space="preserve"> θηλάζον βρέφος. Ωστόσο, εάν ο ασθενής </w:t>
      </w:r>
      <w:r w:rsidR="00434532" w:rsidRPr="00432376">
        <w:t>έχει υπερταχεία μεταβολική ικανότητα μέσω του CYP2D6</w:t>
      </w:r>
      <w:r w:rsidRPr="00432376">
        <w:t xml:space="preserve">, τα υψηλότερα επίπεδα του </w:t>
      </w:r>
      <w:r w:rsidR="00432376" w:rsidRPr="00432376">
        <w:t>ενεργού</w:t>
      </w:r>
      <w:r w:rsidRPr="00432376">
        <w:t xml:space="preserve"> μεταβολίτη, </w:t>
      </w:r>
      <w:r w:rsidR="00432376" w:rsidRPr="00432376">
        <w:t xml:space="preserve">της </w:t>
      </w:r>
      <w:r w:rsidRPr="00432376">
        <w:t>μορφίνη</w:t>
      </w:r>
      <w:r w:rsidR="00432376" w:rsidRPr="00432376">
        <w:t>ς</w:t>
      </w:r>
      <w:r w:rsidRPr="00432376">
        <w:t>, μπορεί να είναι παρόν</w:t>
      </w:r>
      <w:r w:rsidR="00432376">
        <w:t>τα</w:t>
      </w:r>
      <w:r w:rsidRPr="00432376">
        <w:t xml:space="preserve"> στο μητρικό γάλα και σε πολύ σπάνιες περιπτώσεις μπορεί να οδηγήσ</w:t>
      </w:r>
      <w:r w:rsidR="00432376">
        <w:t>ουν</w:t>
      </w:r>
      <w:r w:rsidRPr="00432376">
        <w:t xml:space="preserve"> σε συμπτώματα τοξικότητας οπιοειδούς στο βρέφος, </w:t>
      </w:r>
      <w:r w:rsidR="00973783">
        <w:t>τα</w:t>
      </w:r>
      <w:r w:rsidRPr="00432376">
        <w:t xml:space="preserve"> οποία μπορ</w:t>
      </w:r>
      <w:r w:rsidR="00973783">
        <w:t>ούν</w:t>
      </w:r>
      <w:r w:rsidRPr="00432376">
        <w:t xml:space="preserve"> να αποβ</w:t>
      </w:r>
      <w:r w:rsidR="00973783">
        <w:t>ούν</w:t>
      </w:r>
      <w:r w:rsidRPr="00432376">
        <w:t xml:space="preserve"> μοιραία.</w:t>
      </w:r>
    </w:p>
    <w:p w:rsidR="008F6A8F" w:rsidRPr="00432376" w:rsidRDefault="008F6A8F" w:rsidP="008F6A8F"/>
    <w:p w:rsidR="008F6A8F" w:rsidRPr="00432376" w:rsidRDefault="00AA45CA" w:rsidP="008F6A8F">
      <w:pPr>
        <w:rPr>
          <w:b/>
          <w:i/>
        </w:rPr>
      </w:pPr>
      <w:r w:rsidRPr="00432376">
        <w:rPr>
          <w:b/>
          <w:i/>
        </w:rPr>
        <w:t>Γ</w:t>
      </w:r>
      <w:r w:rsidR="008F6A8F" w:rsidRPr="00432376">
        <w:rPr>
          <w:b/>
          <w:i/>
        </w:rPr>
        <w:t>ονιμότητα</w:t>
      </w:r>
    </w:p>
    <w:p w:rsidR="00496809" w:rsidRDefault="008F6A8F" w:rsidP="008F6A8F">
      <w:r w:rsidRPr="00432376">
        <w:t xml:space="preserve">Η χρήση της ιβουπροφαίνης μπορεί να βλάψει τη γονιμότητα και δεν συνιστάται σε γυναίκες που προσπαθούν να συλλάβουν. Σε γυναίκες που έχουν δυσκολίες να συλλάβουν ή που υποβάλλονται σε έλεγχο για στειρότητα, </w:t>
      </w:r>
      <w:r w:rsidR="00432376" w:rsidRPr="00432376">
        <w:t xml:space="preserve">πρέπει να εξετάζεται η </w:t>
      </w:r>
      <w:r w:rsidRPr="00432376">
        <w:t>διακοπή της ιβουπροφαίνης.</w:t>
      </w:r>
    </w:p>
    <w:p w:rsidR="00432376" w:rsidRPr="00786D07" w:rsidRDefault="00432376" w:rsidP="008F6A8F"/>
    <w:p w:rsidR="00496809" w:rsidRPr="004571FD" w:rsidRDefault="00496809" w:rsidP="00CE2C21">
      <w:pPr>
        <w:tabs>
          <w:tab w:val="left" w:pos="567"/>
        </w:tabs>
      </w:pPr>
      <w:r w:rsidRPr="004571FD">
        <w:rPr>
          <w:b/>
        </w:rPr>
        <w:t>4.7</w:t>
      </w:r>
      <w:r w:rsidRPr="004571FD">
        <w:rPr>
          <w:b/>
        </w:rPr>
        <w:tab/>
        <w:t>Επιδράσεις στην ικανότητα οδήγησης και χειρισμού μηχανών</w:t>
      </w:r>
    </w:p>
    <w:p w:rsidR="00496809" w:rsidRPr="004571FD" w:rsidRDefault="00496809"/>
    <w:p w:rsidR="00496809" w:rsidRPr="00786D07" w:rsidRDefault="008F6A8F">
      <w:r w:rsidRPr="004571FD">
        <w:t xml:space="preserve">Ανεπιθύμητες ενέργειες όπως ζάλη, υπνηλία, κόπωση και διαταραχές της όρασης είναι </w:t>
      </w:r>
      <w:r w:rsidR="00975621" w:rsidRPr="004571FD">
        <w:t xml:space="preserve">πιθανό να εμφανιστούν </w:t>
      </w:r>
      <w:r w:rsidRPr="004571FD">
        <w:t xml:space="preserve">μετά τη λήψη ΜΣΑΦ. Καταστολή με </w:t>
      </w:r>
      <w:r w:rsidR="004571FD" w:rsidRPr="004571FD">
        <w:t>διαφορετικό</w:t>
      </w:r>
      <w:r w:rsidRPr="004571FD">
        <w:t xml:space="preserve"> χρόνο αντίδρασης </w:t>
      </w:r>
      <w:r w:rsidR="00973783" w:rsidRPr="004571FD">
        <w:t xml:space="preserve">μπορεί να συμβεί </w:t>
      </w:r>
      <w:r w:rsidRPr="004571FD">
        <w:t xml:space="preserve">λόγω </w:t>
      </w:r>
      <w:r w:rsidR="004571FD" w:rsidRPr="004571FD">
        <w:t xml:space="preserve">της </w:t>
      </w:r>
      <w:r w:rsidRPr="004571FD">
        <w:t>κωδεΐνη</w:t>
      </w:r>
      <w:r w:rsidR="004571FD" w:rsidRPr="004571FD">
        <w:t>ς</w:t>
      </w:r>
      <w:r w:rsidRPr="004571FD">
        <w:t>. Εάν αυτό συμβεί, οι ασθενείς δεν πρέπει να οδηγούν ή να χειρίζονται μηχανήματα.</w:t>
      </w:r>
    </w:p>
    <w:p w:rsidR="00975621" w:rsidRPr="00975621" w:rsidRDefault="00975621"/>
    <w:p w:rsidR="00496809" w:rsidRPr="00786D07" w:rsidRDefault="00496809" w:rsidP="00CE2C21">
      <w:pPr>
        <w:tabs>
          <w:tab w:val="left" w:pos="567"/>
        </w:tabs>
      </w:pPr>
      <w:r w:rsidRPr="00786D07">
        <w:rPr>
          <w:b/>
        </w:rPr>
        <w:t>4.8</w:t>
      </w:r>
      <w:r w:rsidRPr="00786D07">
        <w:rPr>
          <w:b/>
        </w:rPr>
        <w:tab/>
        <w:t>Ανεπιθύμητες ενέργειες</w:t>
      </w:r>
    </w:p>
    <w:p w:rsidR="00975621" w:rsidRDefault="00975621" w:rsidP="008F6A8F">
      <w:pPr>
        <w:rPr>
          <w:bCs/>
          <w:highlight w:val="yellow"/>
        </w:rPr>
      </w:pPr>
    </w:p>
    <w:p w:rsidR="008F6A8F" w:rsidRPr="00975621" w:rsidRDefault="008F6A8F" w:rsidP="008F6A8F">
      <w:pPr>
        <w:rPr>
          <w:bCs/>
        </w:rPr>
      </w:pPr>
      <w:r w:rsidRPr="00975621">
        <w:rPr>
          <w:bCs/>
        </w:rPr>
        <w:t>Οι πιο συχνές ανεπιθύμητες ενέργειες είναι γαστρεντερικής φύσης. Πεπτικά έλκη, διάτρηση ή αιμορραγία του γαστρεντερικού σωλήνα, μερικές φορές θανατηφόρες, ιδιαίτερα στους ηλικιωμένους, μπορεί να εμφανισθούν (βλ. παράγραφο 4.4). Ναυτία, εμετός, διάρροια, μετεωρισμός, δυσκοιλιότητα, δυσπεψία, κοιλιακό άλγος, μέλαινα, αιματέμεση, ελκώδης στοματίτιδα, επιδείνωση της κολίτιδας και</w:t>
      </w:r>
      <w:r w:rsidR="00975621" w:rsidRPr="00975621">
        <w:rPr>
          <w:bCs/>
        </w:rPr>
        <w:t xml:space="preserve"> της </w:t>
      </w:r>
      <w:r w:rsidRPr="00975621">
        <w:rPr>
          <w:bCs/>
        </w:rPr>
        <w:t>νόσου του Crohn (βλ. παράγραφο 4.4) έχουν αναφερθεί μετά τη χορήγηση. Λιγότερο συχνά, έχει παρατηρηθεί γαστρίτιδα.</w:t>
      </w:r>
    </w:p>
    <w:p w:rsidR="008F6A8F" w:rsidRPr="00975621" w:rsidRDefault="008F6A8F" w:rsidP="008F6A8F">
      <w:pPr>
        <w:rPr>
          <w:bCs/>
        </w:rPr>
      </w:pPr>
    </w:p>
    <w:p w:rsidR="008F6A8F" w:rsidRPr="00975621" w:rsidRDefault="00975621" w:rsidP="008F6A8F">
      <w:pPr>
        <w:rPr>
          <w:bCs/>
        </w:rPr>
      </w:pPr>
      <w:r w:rsidRPr="00975621">
        <w:rPr>
          <w:bCs/>
        </w:rPr>
        <w:t>Υπερευαισθησία: Έ</w:t>
      </w:r>
      <w:r w:rsidR="008F6A8F" w:rsidRPr="00975621">
        <w:rPr>
          <w:bCs/>
        </w:rPr>
        <w:t>χουν αναφερθεί αντιδράσεις υπερευαισθησίας μετά τη θεραπεία με ΜΣΑΦ. Αυτά μπορεί να αποτελ</w:t>
      </w:r>
      <w:r w:rsidRPr="00975621">
        <w:rPr>
          <w:bCs/>
        </w:rPr>
        <w:t>ούντ</w:t>
      </w:r>
      <w:r w:rsidR="008F6A8F" w:rsidRPr="00975621">
        <w:rPr>
          <w:bCs/>
        </w:rPr>
        <w:t xml:space="preserve">αι από </w:t>
      </w:r>
      <w:r w:rsidRPr="00975621">
        <w:rPr>
          <w:bCs/>
        </w:rPr>
        <w:t>(</w:t>
      </w:r>
      <w:r w:rsidR="008F6A8F" w:rsidRPr="00975621">
        <w:rPr>
          <w:bCs/>
        </w:rPr>
        <w:t>α) μη ειδικές αλλεργικές αντιδράσεις και αναφυλαξία</w:t>
      </w:r>
      <w:r w:rsidRPr="00975621">
        <w:rPr>
          <w:bCs/>
        </w:rPr>
        <w:t>,</w:t>
      </w:r>
      <w:r w:rsidR="008F6A8F" w:rsidRPr="00975621">
        <w:rPr>
          <w:bCs/>
        </w:rPr>
        <w:t xml:space="preserve"> (β) </w:t>
      </w:r>
      <w:r w:rsidR="00973783">
        <w:rPr>
          <w:bCs/>
        </w:rPr>
        <w:t>αντίδραση της</w:t>
      </w:r>
      <w:r w:rsidR="008F6A8F" w:rsidRPr="00975621">
        <w:rPr>
          <w:bCs/>
        </w:rPr>
        <w:t xml:space="preserve"> αναπνευστικής οδού που περιλαμβάνει άσθμα, επιδειν</w:t>
      </w:r>
      <w:r w:rsidRPr="00975621">
        <w:rPr>
          <w:bCs/>
        </w:rPr>
        <w:t>ούμενο</w:t>
      </w:r>
      <w:r w:rsidR="008F6A8F" w:rsidRPr="00975621">
        <w:rPr>
          <w:bCs/>
        </w:rPr>
        <w:t xml:space="preserve"> άσθμα, βρογχόσπασμο ή δύσπνοια, ή (γ) αν</w:t>
      </w:r>
      <w:r w:rsidRPr="00975621">
        <w:rPr>
          <w:bCs/>
        </w:rPr>
        <w:t>άμικτες διαταραχές του δέρματος</w:t>
      </w:r>
      <w:r w:rsidR="008F6A8F" w:rsidRPr="00975621">
        <w:rPr>
          <w:bCs/>
        </w:rPr>
        <w:t xml:space="preserve">, </w:t>
      </w:r>
      <w:r w:rsidRPr="00975621">
        <w:rPr>
          <w:bCs/>
        </w:rPr>
        <w:t xml:space="preserve">συμπεριλαμβανομένων </w:t>
      </w:r>
      <w:r w:rsidR="008F6A8F" w:rsidRPr="00975621">
        <w:rPr>
          <w:bCs/>
        </w:rPr>
        <w:t>εξανθ</w:t>
      </w:r>
      <w:r w:rsidRPr="00975621">
        <w:rPr>
          <w:bCs/>
        </w:rPr>
        <w:t>ημάτων</w:t>
      </w:r>
      <w:r w:rsidR="008F6A8F" w:rsidRPr="00975621">
        <w:rPr>
          <w:bCs/>
        </w:rPr>
        <w:t xml:space="preserve"> διαφόρων τύπων, κνησμ</w:t>
      </w:r>
      <w:r w:rsidRPr="00975621">
        <w:rPr>
          <w:bCs/>
        </w:rPr>
        <w:t>ού</w:t>
      </w:r>
      <w:r w:rsidR="008F6A8F" w:rsidRPr="00975621">
        <w:rPr>
          <w:bCs/>
        </w:rPr>
        <w:t>, κνίδωση</w:t>
      </w:r>
      <w:r w:rsidRPr="00975621">
        <w:rPr>
          <w:bCs/>
        </w:rPr>
        <w:t>ς</w:t>
      </w:r>
      <w:r w:rsidR="008F6A8F" w:rsidRPr="00975621">
        <w:rPr>
          <w:bCs/>
        </w:rPr>
        <w:t>, πορφύρα</w:t>
      </w:r>
      <w:r w:rsidRPr="00975621">
        <w:rPr>
          <w:bCs/>
        </w:rPr>
        <w:t>ς</w:t>
      </w:r>
      <w:r w:rsidR="008F6A8F" w:rsidRPr="00975621">
        <w:rPr>
          <w:bCs/>
        </w:rPr>
        <w:t>, αγγειοο</w:t>
      </w:r>
      <w:r w:rsidRPr="00975621">
        <w:rPr>
          <w:bCs/>
        </w:rPr>
        <w:t>ιδή</w:t>
      </w:r>
      <w:r w:rsidR="008F6A8F" w:rsidRPr="00975621">
        <w:rPr>
          <w:bCs/>
        </w:rPr>
        <w:t>μα</w:t>
      </w:r>
      <w:r w:rsidRPr="00975621">
        <w:rPr>
          <w:bCs/>
        </w:rPr>
        <w:t>τος</w:t>
      </w:r>
      <w:r w:rsidR="008F6A8F" w:rsidRPr="00975621">
        <w:rPr>
          <w:bCs/>
        </w:rPr>
        <w:t xml:space="preserve"> και, σπανιότερα, απολεπιστικ</w:t>
      </w:r>
      <w:r w:rsidR="00F1617F">
        <w:rPr>
          <w:bCs/>
        </w:rPr>
        <w:t>ών</w:t>
      </w:r>
      <w:r w:rsidR="008F6A8F" w:rsidRPr="00975621">
        <w:rPr>
          <w:bCs/>
        </w:rPr>
        <w:t xml:space="preserve"> και πομφολυγ</w:t>
      </w:r>
      <w:r w:rsidRPr="00975621">
        <w:rPr>
          <w:bCs/>
        </w:rPr>
        <w:t>ωδών</w:t>
      </w:r>
      <w:r w:rsidR="008F6A8F" w:rsidRPr="00975621">
        <w:rPr>
          <w:bCs/>
        </w:rPr>
        <w:t xml:space="preserve"> δερματοπ</w:t>
      </w:r>
      <w:r w:rsidRPr="00975621">
        <w:rPr>
          <w:bCs/>
        </w:rPr>
        <w:t>α</w:t>
      </w:r>
      <w:r w:rsidR="008F6A8F" w:rsidRPr="00975621">
        <w:rPr>
          <w:bCs/>
        </w:rPr>
        <w:t>θε</w:t>
      </w:r>
      <w:r w:rsidRPr="00975621">
        <w:rPr>
          <w:bCs/>
        </w:rPr>
        <w:t>ιών</w:t>
      </w:r>
      <w:r w:rsidR="008F6A8F" w:rsidRPr="00975621">
        <w:rPr>
          <w:bCs/>
        </w:rPr>
        <w:t xml:space="preserve"> (συμπεριλαμβανομένου του συνδρόμου Stevens-Johnson, </w:t>
      </w:r>
      <w:r w:rsidRPr="00975621">
        <w:rPr>
          <w:bCs/>
        </w:rPr>
        <w:t xml:space="preserve">της </w:t>
      </w:r>
      <w:r w:rsidR="008F6A8F" w:rsidRPr="00975621">
        <w:rPr>
          <w:bCs/>
        </w:rPr>
        <w:t>τοξική</w:t>
      </w:r>
      <w:r w:rsidRPr="00975621">
        <w:rPr>
          <w:bCs/>
        </w:rPr>
        <w:t>ς</w:t>
      </w:r>
      <w:r w:rsidR="008F6A8F" w:rsidRPr="00975621">
        <w:rPr>
          <w:bCs/>
        </w:rPr>
        <w:t xml:space="preserve"> επιδερμική</w:t>
      </w:r>
      <w:r w:rsidRPr="00975621">
        <w:rPr>
          <w:bCs/>
        </w:rPr>
        <w:t>ς</w:t>
      </w:r>
      <w:r w:rsidR="008F6A8F" w:rsidRPr="00975621">
        <w:rPr>
          <w:bCs/>
        </w:rPr>
        <w:t xml:space="preserve"> νεκρόλυση</w:t>
      </w:r>
      <w:r w:rsidRPr="00975621">
        <w:rPr>
          <w:bCs/>
        </w:rPr>
        <w:t>ς</w:t>
      </w:r>
      <w:r w:rsidR="008F6A8F" w:rsidRPr="00975621">
        <w:rPr>
          <w:bCs/>
        </w:rPr>
        <w:t xml:space="preserve"> και το</w:t>
      </w:r>
      <w:r w:rsidRPr="00975621">
        <w:rPr>
          <w:bCs/>
        </w:rPr>
        <w:t>υ</w:t>
      </w:r>
      <w:r w:rsidR="008F6A8F" w:rsidRPr="00975621">
        <w:rPr>
          <w:bCs/>
        </w:rPr>
        <w:t xml:space="preserve"> πολύμορφο</w:t>
      </w:r>
      <w:r w:rsidRPr="00975621">
        <w:rPr>
          <w:bCs/>
        </w:rPr>
        <w:t>υ ερυθή</w:t>
      </w:r>
      <w:r w:rsidR="008F6A8F" w:rsidRPr="00975621">
        <w:rPr>
          <w:bCs/>
        </w:rPr>
        <w:t>μα</w:t>
      </w:r>
      <w:r w:rsidRPr="00975621">
        <w:rPr>
          <w:bCs/>
        </w:rPr>
        <w:t>τος)</w:t>
      </w:r>
      <w:r w:rsidR="008F6A8F" w:rsidRPr="00975621">
        <w:rPr>
          <w:bCs/>
        </w:rPr>
        <w:t>.</w:t>
      </w:r>
    </w:p>
    <w:p w:rsidR="008F6A8F" w:rsidRPr="008F6A8F" w:rsidRDefault="008F6A8F" w:rsidP="008F6A8F">
      <w:pPr>
        <w:rPr>
          <w:bCs/>
          <w:highlight w:val="yellow"/>
        </w:rPr>
      </w:pPr>
    </w:p>
    <w:p w:rsidR="008F6A8F" w:rsidRPr="00F75200" w:rsidRDefault="008F6A8F" w:rsidP="008F6A8F">
      <w:pPr>
        <w:rPr>
          <w:bCs/>
        </w:rPr>
      </w:pPr>
      <w:r w:rsidRPr="00F75200">
        <w:rPr>
          <w:bCs/>
        </w:rPr>
        <w:t xml:space="preserve">Οι ανεπιθύμητες ενέργειες </w:t>
      </w:r>
      <w:r w:rsidR="00F75200" w:rsidRPr="00F75200">
        <w:rPr>
          <w:bCs/>
        </w:rPr>
        <w:t>που</w:t>
      </w:r>
      <w:r w:rsidRPr="00F75200">
        <w:rPr>
          <w:bCs/>
        </w:rPr>
        <w:t xml:space="preserve"> πιθανώς σχετ</w:t>
      </w:r>
      <w:r w:rsidR="00F75200" w:rsidRPr="00F75200">
        <w:rPr>
          <w:bCs/>
        </w:rPr>
        <w:t>ίζονται</w:t>
      </w:r>
      <w:r w:rsidRPr="00F75200">
        <w:rPr>
          <w:bCs/>
        </w:rPr>
        <w:t xml:space="preserve"> με </w:t>
      </w:r>
      <w:r w:rsidR="0001399E">
        <w:rPr>
          <w:bCs/>
        </w:rPr>
        <w:t>την ιβουπροφαί</w:t>
      </w:r>
      <w:r w:rsidR="0088494F" w:rsidRPr="00F75200">
        <w:rPr>
          <w:bCs/>
        </w:rPr>
        <w:t>νη</w:t>
      </w:r>
      <w:r w:rsidRPr="00F75200">
        <w:rPr>
          <w:bCs/>
        </w:rPr>
        <w:t xml:space="preserve"> εμφανίζονται </w:t>
      </w:r>
      <w:r w:rsidR="002C4287">
        <w:rPr>
          <w:bCs/>
        </w:rPr>
        <w:t xml:space="preserve">ανά </w:t>
      </w:r>
      <w:r w:rsidRPr="00F75200">
        <w:rPr>
          <w:bCs/>
        </w:rPr>
        <w:t>συχνότητα</w:t>
      </w:r>
      <w:r w:rsidR="002C4287">
        <w:rPr>
          <w:bCs/>
        </w:rPr>
        <w:t xml:space="preserve"> </w:t>
      </w:r>
      <w:r w:rsidR="002C4287" w:rsidRPr="00F75200">
        <w:rPr>
          <w:bCs/>
        </w:rPr>
        <w:t>σύμφωνα με τη συνθήκη</w:t>
      </w:r>
      <w:r w:rsidRPr="00F75200">
        <w:rPr>
          <w:bCs/>
        </w:rPr>
        <w:t xml:space="preserve"> </w:t>
      </w:r>
      <w:r w:rsidR="00F75200" w:rsidRPr="00F75200">
        <w:rPr>
          <w:bCs/>
        </w:rPr>
        <w:t>MedDRA και ανά Κ</w:t>
      </w:r>
      <w:r w:rsidRPr="00F75200">
        <w:rPr>
          <w:bCs/>
        </w:rPr>
        <w:t>ατηγορία</w:t>
      </w:r>
      <w:r w:rsidR="00F75200" w:rsidRPr="00F75200">
        <w:rPr>
          <w:bCs/>
        </w:rPr>
        <w:t>/Ο</w:t>
      </w:r>
      <w:r w:rsidRPr="00F75200">
        <w:rPr>
          <w:bCs/>
        </w:rPr>
        <w:t>ργ</w:t>
      </w:r>
      <w:r w:rsidR="00F75200" w:rsidRPr="00F75200">
        <w:rPr>
          <w:bCs/>
        </w:rPr>
        <w:t>ανικό</w:t>
      </w:r>
      <w:r w:rsidRPr="00F75200">
        <w:rPr>
          <w:bCs/>
        </w:rPr>
        <w:t xml:space="preserve"> </w:t>
      </w:r>
      <w:r w:rsidR="00F75200" w:rsidRPr="00F75200">
        <w:rPr>
          <w:bCs/>
        </w:rPr>
        <w:t>Σύστημα</w:t>
      </w:r>
      <w:r w:rsidRPr="00F75200">
        <w:rPr>
          <w:bCs/>
        </w:rPr>
        <w:t xml:space="preserve">. Οι ακόλουθες ομάδες </w:t>
      </w:r>
      <w:r w:rsidR="0088494F" w:rsidRPr="00F75200">
        <w:rPr>
          <w:bCs/>
        </w:rPr>
        <w:t>συχνοτήτων χρησιμοποιούνται: Πολύ συχνές (</w:t>
      </w:r>
      <w:r w:rsidR="0088494F" w:rsidRPr="00F75200">
        <w:rPr>
          <w:noProof/>
        </w:rPr>
        <w:sym w:font="Symbol" w:char="F0B3"/>
      </w:r>
      <w:r w:rsidRPr="00F75200">
        <w:rPr>
          <w:bCs/>
        </w:rPr>
        <w:t>1/10), Συχνές (</w:t>
      </w:r>
      <w:r w:rsidR="0088494F" w:rsidRPr="00F75200">
        <w:rPr>
          <w:noProof/>
        </w:rPr>
        <w:sym w:font="Symbol" w:char="F0B3"/>
      </w:r>
      <w:r w:rsidRPr="00F75200">
        <w:rPr>
          <w:bCs/>
        </w:rPr>
        <w:t>1/100 έως &lt;1/10</w:t>
      </w:r>
      <w:r w:rsidR="0088494F" w:rsidRPr="00F75200">
        <w:rPr>
          <w:bCs/>
        </w:rPr>
        <w:t>)</w:t>
      </w:r>
      <w:r w:rsidRPr="00F75200">
        <w:rPr>
          <w:bCs/>
        </w:rPr>
        <w:t>,</w:t>
      </w:r>
      <w:r w:rsidR="0088494F" w:rsidRPr="00F75200">
        <w:rPr>
          <w:bCs/>
        </w:rPr>
        <w:t xml:space="preserve"> Ό</w:t>
      </w:r>
      <w:r w:rsidRPr="00F75200">
        <w:rPr>
          <w:bCs/>
        </w:rPr>
        <w:t>χι συχνές (</w:t>
      </w:r>
      <w:r w:rsidR="0088494F" w:rsidRPr="00F75200">
        <w:rPr>
          <w:noProof/>
        </w:rPr>
        <w:sym w:font="Symbol" w:char="F0B3"/>
      </w:r>
      <w:r w:rsidRPr="00F75200">
        <w:rPr>
          <w:bCs/>
        </w:rPr>
        <w:t>1/1</w:t>
      </w:r>
      <w:r w:rsidR="0088494F" w:rsidRPr="00F75200">
        <w:rPr>
          <w:bCs/>
        </w:rPr>
        <w:t>.</w:t>
      </w:r>
      <w:r w:rsidRPr="00F75200">
        <w:rPr>
          <w:bCs/>
        </w:rPr>
        <w:t>000 έως &lt;1/100), Σπάνιες (</w:t>
      </w:r>
      <w:r w:rsidR="0088494F" w:rsidRPr="00F75200">
        <w:rPr>
          <w:noProof/>
        </w:rPr>
        <w:sym w:font="Symbol" w:char="F0B3"/>
      </w:r>
      <w:r w:rsidR="0088494F" w:rsidRPr="00F75200">
        <w:rPr>
          <w:noProof/>
        </w:rPr>
        <w:t>1</w:t>
      </w:r>
      <w:r w:rsidRPr="00F75200">
        <w:rPr>
          <w:bCs/>
        </w:rPr>
        <w:t>/10</w:t>
      </w:r>
      <w:r w:rsidR="0088494F" w:rsidRPr="00F75200">
        <w:rPr>
          <w:bCs/>
        </w:rPr>
        <w:t>.</w:t>
      </w:r>
      <w:r w:rsidRPr="00F75200">
        <w:rPr>
          <w:bCs/>
        </w:rPr>
        <w:t>000 έως &lt;1/1</w:t>
      </w:r>
      <w:r w:rsidR="0088494F" w:rsidRPr="00F75200">
        <w:rPr>
          <w:bCs/>
        </w:rPr>
        <w:t>.</w:t>
      </w:r>
      <w:r w:rsidRPr="00F75200">
        <w:rPr>
          <w:bCs/>
        </w:rPr>
        <w:t>000)</w:t>
      </w:r>
      <w:r w:rsidR="0088494F" w:rsidRPr="00F75200">
        <w:rPr>
          <w:bCs/>
        </w:rPr>
        <w:t>, Π</w:t>
      </w:r>
      <w:r w:rsidRPr="00F75200">
        <w:rPr>
          <w:bCs/>
        </w:rPr>
        <w:t>ολύ σπάνιες (&lt; 1/10</w:t>
      </w:r>
      <w:r w:rsidR="0088494F" w:rsidRPr="00F75200">
        <w:rPr>
          <w:bCs/>
        </w:rPr>
        <w:t>.</w:t>
      </w:r>
      <w:r w:rsidRPr="00F75200">
        <w:rPr>
          <w:bCs/>
        </w:rPr>
        <w:t xml:space="preserve">000) και </w:t>
      </w:r>
      <w:r w:rsidR="0088494F" w:rsidRPr="00F75200">
        <w:rPr>
          <w:bCs/>
        </w:rPr>
        <w:t>Μ</w:t>
      </w:r>
      <w:r w:rsidRPr="00F75200">
        <w:rPr>
          <w:bCs/>
        </w:rPr>
        <w:t xml:space="preserve">η γνωστές (δεν μπορούν να εκτιμηθούν </w:t>
      </w:r>
      <w:r w:rsidR="0088494F" w:rsidRPr="00F75200">
        <w:rPr>
          <w:bCs/>
        </w:rPr>
        <w:t>με βάση τα διαθέσιμα δεδομένα)</w:t>
      </w:r>
      <w:r w:rsidRPr="00F75200">
        <w:rPr>
          <w:bCs/>
        </w:rPr>
        <w:t>.</w:t>
      </w:r>
    </w:p>
    <w:p w:rsidR="008F6A8F" w:rsidRPr="002C4287" w:rsidRDefault="008F6A8F" w:rsidP="008F6A8F">
      <w:pPr>
        <w:rPr>
          <w:b/>
          <w:bCs/>
          <w:i/>
          <w:highlight w:val="yellow"/>
        </w:rPr>
      </w:pPr>
    </w:p>
    <w:p w:rsidR="00496809" w:rsidRDefault="002C4287" w:rsidP="008F6A8F">
      <w:pPr>
        <w:rPr>
          <w:b/>
          <w:bCs/>
          <w:i/>
        </w:rPr>
      </w:pPr>
      <w:r w:rsidRPr="002C4287">
        <w:rPr>
          <w:b/>
          <w:bCs/>
          <w:i/>
        </w:rPr>
        <w:t>Ανεπιθ</w:t>
      </w:r>
      <w:r w:rsidR="0001399E">
        <w:rPr>
          <w:b/>
          <w:bCs/>
          <w:i/>
        </w:rPr>
        <w:t>ύμητες αντιδράσεις της ιβουπροφαί</w:t>
      </w:r>
      <w:r w:rsidRPr="002C4287">
        <w:rPr>
          <w:b/>
          <w:bCs/>
          <w:i/>
        </w:rPr>
        <w:t>νης</w:t>
      </w:r>
    </w:p>
    <w:p w:rsidR="00DB5FFC" w:rsidRDefault="00DB5FFC" w:rsidP="008F6A8F">
      <w:pPr>
        <w:rPr>
          <w:b/>
          <w:bCs/>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843"/>
        <w:gridCol w:w="4252"/>
      </w:tblGrid>
      <w:tr w:rsidR="008F6A8F" w:rsidRPr="008F6A8F" w:rsidTr="00DB5FFC">
        <w:tc>
          <w:tcPr>
            <w:tcW w:w="2977" w:type="dxa"/>
          </w:tcPr>
          <w:p w:rsidR="008F6A8F" w:rsidRPr="008F6A8F" w:rsidRDefault="006243C6" w:rsidP="00E86692">
            <w:pPr>
              <w:rPr>
                <w:b/>
                <w:bCs/>
                <w:szCs w:val="22"/>
                <w:highlight w:val="yellow"/>
              </w:rPr>
            </w:pPr>
            <w:r w:rsidRPr="006243C6">
              <w:rPr>
                <w:b/>
                <w:bCs/>
                <w:szCs w:val="22"/>
              </w:rPr>
              <w:t xml:space="preserve">Κατηγορία/Οργανικό </w:t>
            </w:r>
            <w:r w:rsidRPr="006243C6">
              <w:rPr>
                <w:b/>
                <w:bCs/>
                <w:szCs w:val="22"/>
              </w:rPr>
              <w:lastRenderedPageBreak/>
              <w:t>Σύστημα</w:t>
            </w:r>
          </w:p>
        </w:tc>
        <w:tc>
          <w:tcPr>
            <w:tcW w:w="1843" w:type="dxa"/>
          </w:tcPr>
          <w:p w:rsidR="008F6A8F" w:rsidRPr="0088494F" w:rsidRDefault="002A0CFA" w:rsidP="00E86692">
            <w:pPr>
              <w:rPr>
                <w:b/>
                <w:bCs/>
                <w:szCs w:val="22"/>
              </w:rPr>
            </w:pPr>
            <w:r w:rsidRPr="0088494F">
              <w:rPr>
                <w:b/>
                <w:bCs/>
                <w:szCs w:val="22"/>
              </w:rPr>
              <w:lastRenderedPageBreak/>
              <w:t>Συχνότητα</w:t>
            </w:r>
          </w:p>
        </w:tc>
        <w:tc>
          <w:tcPr>
            <w:tcW w:w="4252" w:type="dxa"/>
          </w:tcPr>
          <w:p w:rsidR="008F6A8F" w:rsidRPr="002A0CFA" w:rsidRDefault="002A0CFA" w:rsidP="00E86692">
            <w:pPr>
              <w:rPr>
                <w:b/>
                <w:bCs/>
                <w:szCs w:val="22"/>
              </w:rPr>
            </w:pPr>
            <w:r w:rsidRPr="002A0CFA">
              <w:rPr>
                <w:b/>
                <w:bCs/>
                <w:szCs w:val="22"/>
              </w:rPr>
              <w:t>Ανεπιθύμητη ενέργεια</w:t>
            </w:r>
          </w:p>
        </w:tc>
      </w:tr>
      <w:tr w:rsidR="008F6A8F" w:rsidRPr="008F6A8F" w:rsidTr="00DB5FFC">
        <w:tc>
          <w:tcPr>
            <w:tcW w:w="2977" w:type="dxa"/>
            <w:vMerge w:val="restart"/>
          </w:tcPr>
          <w:p w:rsidR="008F6A8F" w:rsidRPr="003D0269" w:rsidRDefault="006243C6" w:rsidP="00E86692">
            <w:pPr>
              <w:rPr>
                <w:szCs w:val="22"/>
              </w:rPr>
            </w:pPr>
            <w:r w:rsidRPr="003D0269">
              <w:rPr>
                <w:szCs w:val="22"/>
              </w:rPr>
              <w:lastRenderedPageBreak/>
              <w:t>Λοιμώξεις και παρασιτώσεις</w:t>
            </w: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6F4F0E" w:rsidP="00E86692">
            <w:pPr>
              <w:rPr>
                <w:szCs w:val="22"/>
              </w:rPr>
            </w:pPr>
            <w:r w:rsidRPr="003D0269">
              <w:rPr>
                <w:szCs w:val="22"/>
              </w:rPr>
              <w:t>Ρινίτιδα</w:t>
            </w:r>
          </w:p>
        </w:tc>
      </w:tr>
      <w:tr w:rsidR="008F6A8F" w:rsidRPr="008F6A8F" w:rsidTr="00DB5FFC">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6F4F0E" w:rsidP="00E86692">
            <w:pPr>
              <w:rPr>
                <w:szCs w:val="22"/>
              </w:rPr>
            </w:pPr>
            <w:r w:rsidRPr="003D0269">
              <w:rPr>
                <w:szCs w:val="22"/>
              </w:rPr>
              <w:t>Μηνιγγίτιδα άσηπτη</w:t>
            </w:r>
          </w:p>
        </w:tc>
      </w:tr>
      <w:tr w:rsidR="008F6A8F" w:rsidRPr="006F4F0E" w:rsidTr="00DB5FFC">
        <w:trPr>
          <w:cantSplit/>
          <w:trHeight w:val="580"/>
        </w:trPr>
        <w:tc>
          <w:tcPr>
            <w:tcW w:w="2977" w:type="dxa"/>
          </w:tcPr>
          <w:p w:rsidR="00A7207A" w:rsidRPr="003D0269" w:rsidRDefault="00A7207A" w:rsidP="00A7207A">
            <w:pPr>
              <w:tabs>
                <w:tab w:val="right" w:pos="3105"/>
              </w:tabs>
              <w:rPr>
                <w:szCs w:val="22"/>
              </w:rPr>
            </w:pPr>
            <w:r w:rsidRPr="003D0269">
              <w:rPr>
                <w:szCs w:val="22"/>
              </w:rPr>
              <w:t>Διαταραχές του αιμοποιητικού και του λεμφικού συστήματος</w:t>
            </w:r>
          </w:p>
          <w:p w:rsidR="008F6A8F" w:rsidRPr="003D0269" w:rsidRDefault="008F6A8F" w:rsidP="00E86692">
            <w:pPr>
              <w:tabs>
                <w:tab w:val="right" w:pos="3105"/>
              </w:tabs>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6F4F0E" w:rsidP="006F4F0E">
            <w:pPr>
              <w:rPr>
                <w:szCs w:val="22"/>
              </w:rPr>
            </w:pPr>
            <w:r w:rsidRPr="003D0269">
              <w:rPr>
                <w:szCs w:val="22"/>
              </w:rPr>
              <w:t>Λευκοπενία</w:t>
            </w:r>
            <w:r w:rsidR="008F6A8F" w:rsidRPr="003D0269">
              <w:rPr>
                <w:szCs w:val="22"/>
              </w:rPr>
              <w:t xml:space="preserve">, </w:t>
            </w:r>
            <w:r w:rsidRPr="003D0269">
              <w:rPr>
                <w:szCs w:val="22"/>
              </w:rPr>
              <w:t>θρομβοπενία</w:t>
            </w:r>
            <w:r w:rsidR="008F6A8F" w:rsidRPr="003D0269">
              <w:rPr>
                <w:szCs w:val="22"/>
              </w:rPr>
              <w:t xml:space="preserve">, </w:t>
            </w:r>
            <w:r w:rsidRPr="003D0269">
              <w:rPr>
                <w:szCs w:val="22"/>
              </w:rPr>
              <w:t>ακοκκιοκυτταραιμία</w:t>
            </w:r>
            <w:r w:rsidR="008F6A8F" w:rsidRPr="003D0269">
              <w:rPr>
                <w:szCs w:val="22"/>
              </w:rPr>
              <w:t xml:space="preserve">, </w:t>
            </w:r>
            <w:r w:rsidRPr="003D0269">
              <w:rPr>
                <w:szCs w:val="22"/>
              </w:rPr>
              <w:t>απλαστική αναιμία και</w:t>
            </w:r>
            <w:r w:rsidR="008F6A8F" w:rsidRPr="003D0269">
              <w:rPr>
                <w:szCs w:val="22"/>
              </w:rPr>
              <w:t xml:space="preserve"> </w:t>
            </w:r>
            <w:r w:rsidRPr="003D0269">
              <w:rPr>
                <w:szCs w:val="22"/>
              </w:rPr>
              <w:t>αιμολυτική αναιμία</w:t>
            </w:r>
          </w:p>
        </w:tc>
      </w:tr>
      <w:tr w:rsidR="008F6A8F" w:rsidRPr="008F6A8F" w:rsidTr="00DB5FFC">
        <w:trPr>
          <w:cantSplit/>
        </w:trPr>
        <w:tc>
          <w:tcPr>
            <w:tcW w:w="2977" w:type="dxa"/>
          </w:tcPr>
          <w:p w:rsidR="008F6A8F" w:rsidRPr="003D0269" w:rsidRDefault="00C10EC2" w:rsidP="00C10EC2">
            <w:pPr>
              <w:rPr>
                <w:szCs w:val="22"/>
              </w:rPr>
            </w:pPr>
            <w:r w:rsidRPr="003D0269">
              <w:rPr>
                <w:szCs w:val="22"/>
              </w:rPr>
              <w:t>Διαταραχές του ανοσοποιητικού συστήματος</w:t>
            </w: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E86692">
            <w:pPr>
              <w:rPr>
                <w:szCs w:val="22"/>
              </w:rPr>
            </w:pPr>
            <w:r w:rsidRPr="003D0269">
              <w:rPr>
                <w:szCs w:val="22"/>
              </w:rPr>
              <w:t>Αναφυλακτική αντίδραση</w:t>
            </w:r>
          </w:p>
        </w:tc>
      </w:tr>
      <w:tr w:rsidR="008F6A8F" w:rsidRPr="008F6A8F" w:rsidTr="00DB5FFC">
        <w:trPr>
          <w:cantSplit/>
        </w:trPr>
        <w:tc>
          <w:tcPr>
            <w:tcW w:w="2977" w:type="dxa"/>
            <w:vMerge w:val="restart"/>
          </w:tcPr>
          <w:p w:rsidR="008F6A8F" w:rsidRPr="003D0269" w:rsidRDefault="00C10EC2" w:rsidP="00E86692">
            <w:pPr>
              <w:rPr>
                <w:szCs w:val="22"/>
              </w:rPr>
            </w:pPr>
            <w:r w:rsidRPr="003D0269">
              <w:rPr>
                <w:szCs w:val="22"/>
              </w:rPr>
              <w:t>Ψυχιατρικές διαταραχές</w:t>
            </w: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Αϋπνία</w:t>
            </w:r>
            <w:r w:rsidR="008F6A8F" w:rsidRPr="003D0269">
              <w:rPr>
                <w:szCs w:val="22"/>
              </w:rPr>
              <w:t xml:space="preserve">, </w:t>
            </w:r>
            <w:r w:rsidRPr="003D0269">
              <w:rPr>
                <w:szCs w:val="22"/>
              </w:rPr>
              <w:t>άγχος</w:t>
            </w:r>
          </w:p>
        </w:tc>
      </w:tr>
      <w:tr w:rsidR="008F6A8F" w:rsidRPr="008F6A8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C2161F">
            <w:pPr>
              <w:rPr>
                <w:szCs w:val="22"/>
              </w:rPr>
            </w:pPr>
            <w:r w:rsidRPr="003D0269">
              <w:rPr>
                <w:szCs w:val="22"/>
              </w:rPr>
              <w:t>Κατάθλιψη</w:t>
            </w:r>
            <w:r w:rsidR="008F6A8F" w:rsidRPr="003D0269">
              <w:rPr>
                <w:szCs w:val="22"/>
              </w:rPr>
              <w:t xml:space="preserve">, </w:t>
            </w:r>
            <w:r w:rsidRPr="003D0269">
              <w:rPr>
                <w:szCs w:val="22"/>
              </w:rPr>
              <w:t>συγχυτική κατάσταση</w:t>
            </w:r>
          </w:p>
        </w:tc>
      </w:tr>
      <w:tr w:rsidR="008F6A8F" w:rsidRPr="008F6A8F" w:rsidTr="00DB5FFC">
        <w:tc>
          <w:tcPr>
            <w:tcW w:w="2977" w:type="dxa"/>
            <w:vMerge w:val="restart"/>
          </w:tcPr>
          <w:p w:rsidR="00FA07DE" w:rsidRPr="003D0269" w:rsidRDefault="00FA07DE" w:rsidP="00FA07DE">
            <w:pPr>
              <w:rPr>
                <w:sz w:val="20"/>
                <w:lang w:val="en-US"/>
              </w:rPr>
            </w:pPr>
            <w:r w:rsidRPr="003D0269">
              <w:rPr>
                <w:szCs w:val="22"/>
              </w:rPr>
              <w:fldChar w:fldCharType="begin"/>
            </w:r>
            <w:r w:rsidRPr="003D0269">
              <w:rPr>
                <w:szCs w:val="22"/>
              </w:rPr>
              <w:instrText xml:space="preserve"> LINK </w:instrText>
            </w:r>
            <w:r w:rsidR="00AF0580">
              <w:rPr>
                <w:szCs w:val="22"/>
              </w:rPr>
              <w:instrText xml:space="preserve">Excel.Sheet.8 "\\\\AIGRD07\\MYLAN\\Regulatory\\EPD\\BRUFEN PLUS\\ANNEXES\\003_IB_PRAC\\MedDRA_4_0.xls" Φύλλο1!R4461C6 </w:instrText>
            </w:r>
            <w:r w:rsidRPr="003D0269">
              <w:rPr>
                <w:szCs w:val="22"/>
              </w:rPr>
              <w:instrText xml:space="preserve">\a \f 5 \h  \* MERGEFORMAT </w:instrText>
            </w:r>
            <w:r w:rsidRPr="003D0269">
              <w:rPr>
                <w:szCs w:val="22"/>
              </w:rPr>
              <w:fldChar w:fldCharType="separate"/>
            </w:r>
            <w:r w:rsidRPr="003D0269">
              <w:rPr>
                <w:szCs w:val="22"/>
              </w:rPr>
              <w:t>Διαταραχές του νευρικού συστήματος</w:t>
            </w:r>
          </w:p>
          <w:p w:rsidR="008F6A8F" w:rsidRPr="003D0269" w:rsidRDefault="00FA07DE" w:rsidP="00FA07DE">
            <w:pPr>
              <w:rPr>
                <w:szCs w:val="22"/>
              </w:rPr>
            </w:pPr>
            <w:r w:rsidRPr="003D0269">
              <w:rPr>
                <w:szCs w:val="22"/>
              </w:rPr>
              <w:fldChar w:fldCharType="end"/>
            </w:r>
          </w:p>
        </w:tc>
        <w:tc>
          <w:tcPr>
            <w:tcW w:w="1843" w:type="dxa"/>
          </w:tcPr>
          <w:p w:rsidR="008F6A8F" w:rsidRPr="003D0269" w:rsidRDefault="002A0CFA" w:rsidP="00E86692">
            <w:pPr>
              <w:rPr>
                <w:szCs w:val="22"/>
              </w:rPr>
            </w:pPr>
            <w:r w:rsidRPr="003D0269">
              <w:rPr>
                <w:bCs/>
              </w:rPr>
              <w:t>Συχνές</w:t>
            </w:r>
          </w:p>
        </w:tc>
        <w:tc>
          <w:tcPr>
            <w:tcW w:w="4252" w:type="dxa"/>
          </w:tcPr>
          <w:p w:rsidR="008F6A8F" w:rsidRPr="003D0269" w:rsidRDefault="00C2161F" w:rsidP="00C2161F">
            <w:pPr>
              <w:rPr>
                <w:szCs w:val="22"/>
              </w:rPr>
            </w:pPr>
            <w:r w:rsidRPr="003D0269">
              <w:rPr>
                <w:szCs w:val="22"/>
              </w:rPr>
              <w:t>Κεφαλαλγία</w:t>
            </w:r>
            <w:r w:rsidR="008F6A8F" w:rsidRPr="003D0269">
              <w:rPr>
                <w:szCs w:val="22"/>
              </w:rPr>
              <w:t xml:space="preserve">, </w:t>
            </w:r>
            <w:r w:rsidRPr="003D0269">
              <w:rPr>
                <w:szCs w:val="22"/>
              </w:rPr>
              <w:t>ζάλη</w:t>
            </w:r>
          </w:p>
        </w:tc>
      </w:tr>
      <w:tr w:rsidR="008F6A8F" w:rsidRPr="008F6A8F" w:rsidTr="00DB5FFC">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Παραισθησία</w:t>
            </w:r>
            <w:r w:rsidR="008F6A8F" w:rsidRPr="003D0269">
              <w:rPr>
                <w:szCs w:val="22"/>
              </w:rPr>
              <w:t xml:space="preserve">, </w:t>
            </w:r>
            <w:r w:rsidRPr="003D0269">
              <w:rPr>
                <w:szCs w:val="22"/>
              </w:rPr>
              <w:t>υπνηλία</w:t>
            </w:r>
          </w:p>
        </w:tc>
      </w:tr>
      <w:tr w:rsidR="008F6A8F" w:rsidRPr="008F6A8F" w:rsidTr="00DB5FFC">
        <w:trPr>
          <w:trHeight w:val="264"/>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E86692">
            <w:pPr>
              <w:rPr>
                <w:szCs w:val="22"/>
              </w:rPr>
            </w:pPr>
            <w:r w:rsidRPr="003D0269">
              <w:rPr>
                <w:szCs w:val="22"/>
              </w:rPr>
              <w:t>Οπτική νευρίτιδα</w:t>
            </w:r>
          </w:p>
        </w:tc>
      </w:tr>
      <w:tr w:rsidR="008F6A8F" w:rsidRPr="008F6A8F" w:rsidTr="00DB5FFC">
        <w:trPr>
          <w:cantSplit/>
        </w:trPr>
        <w:tc>
          <w:tcPr>
            <w:tcW w:w="2977" w:type="dxa"/>
            <w:vMerge w:val="restart"/>
          </w:tcPr>
          <w:p w:rsidR="00FA07DE" w:rsidRPr="003D0269" w:rsidRDefault="00FA07DE" w:rsidP="00FA07DE">
            <w:pPr>
              <w:rPr>
                <w:sz w:val="20"/>
                <w:lang w:val="en-US"/>
              </w:rPr>
            </w:pPr>
            <w:r w:rsidRPr="003D0269">
              <w:rPr>
                <w:szCs w:val="22"/>
              </w:rPr>
              <w:fldChar w:fldCharType="begin"/>
            </w:r>
            <w:r w:rsidRPr="003D0269">
              <w:rPr>
                <w:szCs w:val="22"/>
              </w:rPr>
              <w:instrText xml:space="preserve"> LINK </w:instrText>
            </w:r>
            <w:r w:rsidR="00AF0580">
              <w:rPr>
                <w:szCs w:val="22"/>
              </w:rPr>
              <w:instrText xml:space="preserve">Excel.Sheet.8 "\\\\AIGRD07\\MYLAN\\Regulatory\\EPD\\BRUFEN PLUS\\ANNEXES\\003_IB_PRAC\\MedDRA_4_0.xls" Φύλλο1!R4400C6 </w:instrText>
            </w:r>
            <w:r w:rsidRPr="003D0269">
              <w:rPr>
                <w:szCs w:val="22"/>
              </w:rPr>
              <w:instrText xml:space="preserve">\a \f 5 \h  \* MERGEFORMAT </w:instrText>
            </w:r>
            <w:r w:rsidRPr="003D0269">
              <w:rPr>
                <w:szCs w:val="22"/>
              </w:rPr>
              <w:fldChar w:fldCharType="separate"/>
            </w:r>
            <w:r w:rsidRPr="003D0269">
              <w:rPr>
                <w:szCs w:val="22"/>
              </w:rPr>
              <w:t>Οφθαλμικές διαταραχές</w:t>
            </w:r>
          </w:p>
          <w:p w:rsidR="008F6A8F" w:rsidRPr="003D0269" w:rsidRDefault="00FA07DE" w:rsidP="00DB5FFC">
            <w:pPr>
              <w:rPr>
                <w:szCs w:val="22"/>
              </w:rPr>
            </w:pPr>
            <w:r w:rsidRPr="003D0269">
              <w:rPr>
                <w:szCs w:val="22"/>
              </w:rPr>
              <w:fldChar w:fldCharType="end"/>
            </w: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Οπτική δυσλειτουργία</w:t>
            </w:r>
          </w:p>
        </w:tc>
      </w:tr>
      <w:tr w:rsidR="008F6A8F" w:rsidRPr="008F6A8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C2161F">
            <w:pPr>
              <w:rPr>
                <w:szCs w:val="22"/>
              </w:rPr>
            </w:pPr>
            <w:r w:rsidRPr="003D0269">
              <w:rPr>
                <w:szCs w:val="22"/>
              </w:rPr>
              <w:t>Τοξική οπτική νευροπάθεια</w:t>
            </w:r>
          </w:p>
        </w:tc>
      </w:tr>
      <w:tr w:rsidR="008F6A8F" w:rsidRPr="009E5B53" w:rsidTr="00DB5FFC">
        <w:trPr>
          <w:cantSplit/>
        </w:trPr>
        <w:tc>
          <w:tcPr>
            <w:tcW w:w="2977" w:type="dxa"/>
            <w:vMerge w:val="restart"/>
          </w:tcPr>
          <w:p w:rsidR="008F6A8F" w:rsidRPr="009E5B53" w:rsidRDefault="00EB03D0" w:rsidP="00E86692">
            <w:pPr>
              <w:rPr>
                <w:szCs w:val="22"/>
              </w:rPr>
            </w:pPr>
            <w:r w:rsidRPr="009E5B53">
              <w:rPr>
                <w:szCs w:val="22"/>
              </w:rPr>
              <w:t>Διαταραχές του ωτός και του λαβυρίνθου</w:t>
            </w:r>
          </w:p>
        </w:tc>
        <w:tc>
          <w:tcPr>
            <w:tcW w:w="1843" w:type="dxa"/>
          </w:tcPr>
          <w:p w:rsidR="008F6A8F" w:rsidRPr="009E5B53" w:rsidRDefault="002A0CFA" w:rsidP="00E86692">
            <w:pPr>
              <w:rPr>
                <w:szCs w:val="22"/>
              </w:rPr>
            </w:pPr>
            <w:r w:rsidRPr="009E5B53">
              <w:rPr>
                <w:szCs w:val="22"/>
              </w:rPr>
              <w:t>Όχι συχνές</w:t>
            </w:r>
          </w:p>
        </w:tc>
        <w:tc>
          <w:tcPr>
            <w:tcW w:w="4252" w:type="dxa"/>
          </w:tcPr>
          <w:p w:rsidR="008F6A8F" w:rsidRPr="009E5B53" w:rsidRDefault="009E5B53" w:rsidP="00E86692">
            <w:pPr>
              <w:rPr>
                <w:szCs w:val="22"/>
              </w:rPr>
            </w:pPr>
            <w:r w:rsidRPr="009E5B53">
              <w:rPr>
                <w:szCs w:val="22"/>
              </w:rPr>
              <w:t>Μ</w:t>
            </w:r>
            <w:r w:rsidR="007A1CD1" w:rsidRPr="009E5B53">
              <w:rPr>
                <w:szCs w:val="22"/>
              </w:rPr>
              <w:t>είωση</w:t>
            </w:r>
            <w:r w:rsidR="00C2161F" w:rsidRPr="009E5B53">
              <w:rPr>
                <w:szCs w:val="22"/>
              </w:rPr>
              <w:t xml:space="preserve"> της ακουστικής οξύτητας</w:t>
            </w:r>
          </w:p>
        </w:tc>
      </w:tr>
      <w:tr w:rsidR="008F6A8F" w:rsidRPr="008F6A8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C2161F">
            <w:pPr>
              <w:rPr>
                <w:szCs w:val="22"/>
              </w:rPr>
            </w:pPr>
            <w:r w:rsidRPr="003D0269">
              <w:rPr>
                <w:szCs w:val="22"/>
              </w:rPr>
              <w:t>Εμβοές</w:t>
            </w:r>
            <w:r w:rsidR="008F6A8F" w:rsidRPr="003D0269">
              <w:rPr>
                <w:szCs w:val="22"/>
              </w:rPr>
              <w:t xml:space="preserve">, </w:t>
            </w:r>
            <w:r w:rsidRPr="003D0269">
              <w:rPr>
                <w:szCs w:val="22"/>
              </w:rPr>
              <w:t>ίλιγγος</w:t>
            </w:r>
          </w:p>
        </w:tc>
      </w:tr>
      <w:tr w:rsidR="008F6A8F" w:rsidRPr="008F6A8F" w:rsidTr="00DB5FFC">
        <w:trPr>
          <w:cantSplit/>
          <w:trHeight w:val="810"/>
        </w:trPr>
        <w:tc>
          <w:tcPr>
            <w:tcW w:w="2977" w:type="dxa"/>
          </w:tcPr>
          <w:p w:rsidR="008F6A8F" w:rsidRPr="003D0269" w:rsidRDefault="00EB03D0" w:rsidP="00294C75">
            <w:pPr>
              <w:rPr>
                <w:szCs w:val="22"/>
              </w:rPr>
            </w:pPr>
            <w:r w:rsidRPr="003D0269">
              <w:rPr>
                <w:szCs w:val="22"/>
              </w:rPr>
              <w:t>Διαταραχές του αναπνευστικού συστήματος, του θώρακα και του μεσοθωρακίου</w:t>
            </w: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Βρογχικό άσθμα</w:t>
            </w:r>
            <w:r w:rsidR="008F6A8F" w:rsidRPr="003D0269">
              <w:rPr>
                <w:szCs w:val="22"/>
              </w:rPr>
              <w:t xml:space="preserve">, </w:t>
            </w:r>
            <w:r w:rsidRPr="003D0269">
              <w:rPr>
                <w:szCs w:val="22"/>
              </w:rPr>
              <w:t>βρογχόσπασμος</w:t>
            </w:r>
            <w:r w:rsidR="008F6A8F" w:rsidRPr="003D0269">
              <w:rPr>
                <w:szCs w:val="22"/>
              </w:rPr>
              <w:t xml:space="preserve">, </w:t>
            </w:r>
            <w:r w:rsidRPr="003D0269">
              <w:rPr>
                <w:szCs w:val="22"/>
              </w:rPr>
              <w:t>δύσπνοια</w:t>
            </w:r>
          </w:p>
        </w:tc>
      </w:tr>
      <w:tr w:rsidR="008F6A8F" w:rsidRPr="00C2161F" w:rsidTr="00DB5FFC">
        <w:trPr>
          <w:cantSplit/>
        </w:trPr>
        <w:tc>
          <w:tcPr>
            <w:tcW w:w="2977" w:type="dxa"/>
            <w:vMerge w:val="restart"/>
          </w:tcPr>
          <w:p w:rsidR="009318DD" w:rsidRPr="003D0269" w:rsidRDefault="009318DD" w:rsidP="009318DD">
            <w:pPr>
              <w:widowControl/>
              <w:rPr>
                <w:szCs w:val="22"/>
              </w:rPr>
            </w:pPr>
            <w:r w:rsidRPr="003D0269">
              <w:rPr>
                <w:szCs w:val="22"/>
              </w:rPr>
              <w:t>Διαταραχές του γαστρεντερικού συστήματος</w:t>
            </w:r>
          </w:p>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bCs/>
              </w:rPr>
              <w:t>Συχνές</w:t>
            </w:r>
          </w:p>
        </w:tc>
        <w:tc>
          <w:tcPr>
            <w:tcW w:w="4252" w:type="dxa"/>
          </w:tcPr>
          <w:p w:rsidR="008F6A8F" w:rsidRPr="003D0269" w:rsidRDefault="00C2161F" w:rsidP="00C2161F">
            <w:pPr>
              <w:rPr>
                <w:szCs w:val="22"/>
              </w:rPr>
            </w:pPr>
            <w:r w:rsidRPr="003D0269">
              <w:rPr>
                <w:szCs w:val="22"/>
              </w:rPr>
              <w:t>Δυσπεψία</w:t>
            </w:r>
            <w:r w:rsidR="008F6A8F" w:rsidRPr="003D0269">
              <w:rPr>
                <w:szCs w:val="22"/>
              </w:rPr>
              <w:t xml:space="preserve">, </w:t>
            </w:r>
            <w:r w:rsidRPr="003D0269">
              <w:rPr>
                <w:szCs w:val="22"/>
              </w:rPr>
              <w:t>διάρροια</w:t>
            </w:r>
            <w:r w:rsidR="008F6A8F" w:rsidRPr="003D0269">
              <w:rPr>
                <w:szCs w:val="22"/>
              </w:rPr>
              <w:t xml:space="preserve">, </w:t>
            </w:r>
            <w:r w:rsidRPr="003D0269">
              <w:rPr>
                <w:szCs w:val="22"/>
              </w:rPr>
              <w:t>ναυτία</w:t>
            </w:r>
            <w:r w:rsidR="008F6A8F" w:rsidRPr="003D0269">
              <w:rPr>
                <w:szCs w:val="22"/>
              </w:rPr>
              <w:t xml:space="preserve">, </w:t>
            </w:r>
            <w:r w:rsidRPr="003D0269">
              <w:rPr>
                <w:szCs w:val="22"/>
              </w:rPr>
              <w:t>έμετος</w:t>
            </w:r>
            <w:r w:rsidR="008F6A8F" w:rsidRPr="003D0269">
              <w:rPr>
                <w:szCs w:val="22"/>
              </w:rPr>
              <w:t xml:space="preserve">, </w:t>
            </w:r>
            <w:r w:rsidRPr="003D0269">
              <w:rPr>
                <w:szCs w:val="22"/>
              </w:rPr>
              <w:t>κοιλιακό άλγος</w:t>
            </w:r>
            <w:r w:rsidR="008F6A8F" w:rsidRPr="003D0269">
              <w:rPr>
                <w:szCs w:val="22"/>
              </w:rPr>
              <w:t xml:space="preserve">, </w:t>
            </w:r>
            <w:r w:rsidRPr="003D0269">
              <w:rPr>
                <w:szCs w:val="22"/>
              </w:rPr>
              <w:t>μετεωρισμός</w:t>
            </w:r>
            <w:r w:rsidR="008F6A8F" w:rsidRPr="003D0269">
              <w:rPr>
                <w:szCs w:val="22"/>
              </w:rPr>
              <w:t xml:space="preserve">, </w:t>
            </w:r>
            <w:r w:rsidRPr="003D0269">
              <w:rPr>
                <w:szCs w:val="22"/>
              </w:rPr>
              <w:t>δυσκοιλιότητα</w:t>
            </w:r>
            <w:r w:rsidR="008F6A8F" w:rsidRPr="003D0269">
              <w:rPr>
                <w:szCs w:val="22"/>
              </w:rPr>
              <w:t xml:space="preserve">, </w:t>
            </w:r>
            <w:r w:rsidRPr="003D0269">
              <w:rPr>
                <w:szCs w:val="22"/>
              </w:rPr>
              <w:t>μέλαινα</w:t>
            </w:r>
            <w:r w:rsidR="008F6A8F" w:rsidRPr="003D0269">
              <w:rPr>
                <w:szCs w:val="22"/>
              </w:rPr>
              <w:t xml:space="preserve">, </w:t>
            </w:r>
            <w:r w:rsidRPr="003D0269">
              <w:rPr>
                <w:szCs w:val="22"/>
              </w:rPr>
              <w:t>αιματέμεση</w:t>
            </w:r>
            <w:r w:rsidR="008F6A8F" w:rsidRPr="003D0269">
              <w:rPr>
                <w:szCs w:val="22"/>
              </w:rPr>
              <w:t xml:space="preserve">, </w:t>
            </w:r>
            <w:r w:rsidRPr="003D0269">
              <w:rPr>
                <w:szCs w:val="22"/>
              </w:rPr>
              <w:t>αιμορραγία του γαστρεντερικού σωλήνα</w:t>
            </w:r>
          </w:p>
        </w:tc>
      </w:tr>
      <w:tr w:rsidR="008F6A8F" w:rsidRPr="00C2161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Γαστρίτιδα</w:t>
            </w:r>
            <w:r w:rsidR="008F6A8F" w:rsidRPr="003D0269">
              <w:rPr>
                <w:szCs w:val="22"/>
              </w:rPr>
              <w:t xml:space="preserve">, </w:t>
            </w:r>
            <w:r w:rsidRPr="003D0269">
              <w:rPr>
                <w:szCs w:val="22"/>
              </w:rPr>
              <w:t>δωδεκαδακτυλικό έλκος</w:t>
            </w:r>
            <w:r w:rsidR="008F6A8F" w:rsidRPr="003D0269">
              <w:rPr>
                <w:szCs w:val="22"/>
              </w:rPr>
              <w:t xml:space="preserve">, </w:t>
            </w:r>
            <w:r w:rsidRPr="003D0269">
              <w:rPr>
                <w:szCs w:val="22"/>
              </w:rPr>
              <w:t>γαστρικό έλκος</w:t>
            </w:r>
            <w:r w:rsidR="008F6A8F" w:rsidRPr="003D0269">
              <w:rPr>
                <w:szCs w:val="22"/>
              </w:rPr>
              <w:t xml:space="preserve">, </w:t>
            </w:r>
            <w:r w:rsidRPr="003D0269">
              <w:rPr>
                <w:szCs w:val="22"/>
              </w:rPr>
              <w:t>εξέλκωση του στόματος</w:t>
            </w:r>
            <w:r w:rsidR="008F6A8F" w:rsidRPr="003D0269">
              <w:rPr>
                <w:szCs w:val="22"/>
              </w:rPr>
              <w:t xml:space="preserve">, </w:t>
            </w:r>
            <w:r w:rsidRPr="003D0269">
              <w:rPr>
                <w:szCs w:val="22"/>
              </w:rPr>
              <w:t>διάτρηση του γαστρεντερικού σωλήνα</w:t>
            </w:r>
          </w:p>
        </w:tc>
      </w:tr>
      <w:tr w:rsidR="008F6A8F" w:rsidRPr="008F6A8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2A0CFA" w:rsidP="002A0CFA">
            <w:pPr>
              <w:rPr>
                <w:szCs w:val="22"/>
              </w:rPr>
            </w:pPr>
            <w:r w:rsidRPr="003D0269">
              <w:rPr>
                <w:bCs/>
              </w:rPr>
              <w:t>Πολύ σπάνιες</w:t>
            </w:r>
          </w:p>
        </w:tc>
        <w:tc>
          <w:tcPr>
            <w:tcW w:w="4252" w:type="dxa"/>
          </w:tcPr>
          <w:p w:rsidR="008F6A8F" w:rsidRPr="003D0269" w:rsidRDefault="00C2161F" w:rsidP="00E86692">
            <w:pPr>
              <w:autoSpaceDE w:val="0"/>
              <w:autoSpaceDN w:val="0"/>
              <w:adjustRightInd w:val="0"/>
              <w:rPr>
                <w:szCs w:val="22"/>
              </w:rPr>
            </w:pPr>
            <w:r w:rsidRPr="003D0269">
              <w:rPr>
                <w:szCs w:val="22"/>
              </w:rPr>
              <w:t>Παγκρεατίτιδα</w:t>
            </w:r>
          </w:p>
        </w:tc>
      </w:tr>
      <w:tr w:rsidR="008F6A8F" w:rsidRPr="00C2161F" w:rsidTr="00DB5FFC">
        <w:trPr>
          <w:cantSplit/>
        </w:trPr>
        <w:tc>
          <w:tcPr>
            <w:tcW w:w="2977" w:type="dxa"/>
            <w:vMerge/>
          </w:tcPr>
          <w:p w:rsidR="008F6A8F" w:rsidRPr="003D0269" w:rsidRDefault="008F6A8F" w:rsidP="00E86692">
            <w:pPr>
              <w:rPr>
                <w:szCs w:val="22"/>
              </w:rPr>
            </w:pPr>
          </w:p>
        </w:tc>
        <w:tc>
          <w:tcPr>
            <w:tcW w:w="1843" w:type="dxa"/>
          </w:tcPr>
          <w:p w:rsidR="008F6A8F" w:rsidRPr="003D0269" w:rsidRDefault="0088494F" w:rsidP="00E86692">
            <w:pPr>
              <w:rPr>
                <w:szCs w:val="22"/>
              </w:rPr>
            </w:pPr>
            <w:r w:rsidRPr="003D0269">
              <w:rPr>
                <w:szCs w:val="22"/>
              </w:rPr>
              <w:t>Μη γνωστές</w:t>
            </w:r>
          </w:p>
        </w:tc>
        <w:tc>
          <w:tcPr>
            <w:tcW w:w="4252" w:type="dxa"/>
          </w:tcPr>
          <w:p w:rsidR="008F6A8F" w:rsidRPr="003D0269" w:rsidRDefault="00C2161F" w:rsidP="00C2161F">
            <w:pPr>
              <w:autoSpaceDE w:val="0"/>
              <w:autoSpaceDN w:val="0"/>
              <w:adjustRightInd w:val="0"/>
              <w:rPr>
                <w:szCs w:val="22"/>
              </w:rPr>
            </w:pPr>
            <w:r w:rsidRPr="003D0269">
              <w:rPr>
                <w:szCs w:val="22"/>
              </w:rPr>
              <w:t>Κολίτιδα και νόσος του</w:t>
            </w:r>
            <w:r w:rsidR="008F6A8F" w:rsidRPr="003D0269">
              <w:rPr>
                <w:szCs w:val="22"/>
              </w:rPr>
              <w:t xml:space="preserve"> </w:t>
            </w:r>
            <w:r w:rsidR="008F6A8F" w:rsidRPr="003D0269">
              <w:rPr>
                <w:szCs w:val="22"/>
                <w:lang w:val="en-US"/>
              </w:rPr>
              <w:t>Crohn</w:t>
            </w:r>
          </w:p>
        </w:tc>
      </w:tr>
      <w:tr w:rsidR="008F6A8F" w:rsidRPr="00C2161F" w:rsidTr="00DB5FFC">
        <w:trPr>
          <w:cantSplit/>
          <w:trHeight w:val="278"/>
        </w:trPr>
        <w:tc>
          <w:tcPr>
            <w:tcW w:w="2977" w:type="dxa"/>
            <w:vMerge w:val="restart"/>
          </w:tcPr>
          <w:p w:rsidR="009318DD" w:rsidRPr="003D0269" w:rsidRDefault="009318DD" w:rsidP="009318DD">
            <w:pPr>
              <w:widowControl/>
              <w:rPr>
                <w:szCs w:val="22"/>
              </w:rPr>
            </w:pPr>
            <w:r w:rsidRPr="003D0269">
              <w:rPr>
                <w:szCs w:val="22"/>
              </w:rPr>
              <w:t>Διαταραχές του ήπατος και των χοληφόρων</w:t>
            </w:r>
          </w:p>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Ηπατίτιδα</w:t>
            </w:r>
            <w:r w:rsidR="008F6A8F" w:rsidRPr="003D0269">
              <w:rPr>
                <w:szCs w:val="22"/>
              </w:rPr>
              <w:t xml:space="preserve">, </w:t>
            </w:r>
            <w:r w:rsidRPr="003D0269">
              <w:rPr>
                <w:szCs w:val="22"/>
              </w:rPr>
              <w:t>ίκτερος</w:t>
            </w:r>
            <w:r w:rsidR="008F6A8F" w:rsidRPr="003D0269">
              <w:rPr>
                <w:szCs w:val="22"/>
              </w:rPr>
              <w:t xml:space="preserve">, </w:t>
            </w:r>
            <w:r w:rsidRPr="003D0269">
              <w:rPr>
                <w:szCs w:val="22"/>
              </w:rPr>
              <w:t>ηπατική λειτουργία μη φυσιολογική</w:t>
            </w:r>
          </w:p>
        </w:tc>
      </w:tr>
      <w:tr w:rsidR="008F6A8F" w:rsidRPr="008F6A8F" w:rsidTr="00DB5FFC">
        <w:trPr>
          <w:cantSplit/>
          <w:trHeight w:val="277"/>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C2161F" w:rsidP="00E86692">
            <w:pPr>
              <w:rPr>
                <w:szCs w:val="22"/>
              </w:rPr>
            </w:pPr>
            <w:r w:rsidRPr="003D0269">
              <w:rPr>
                <w:szCs w:val="22"/>
              </w:rPr>
              <w:t>Κάκωση ήπατος</w:t>
            </w:r>
          </w:p>
        </w:tc>
      </w:tr>
      <w:tr w:rsidR="008F6A8F" w:rsidRPr="008F6A8F" w:rsidTr="00DB5FFC">
        <w:trPr>
          <w:cantSplit/>
          <w:trHeight w:val="277"/>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bCs/>
              </w:rPr>
              <w:t>Πολύ σπάνιες</w:t>
            </w:r>
          </w:p>
        </w:tc>
        <w:tc>
          <w:tcPr>
            <w:tcW w:w="4252" w:type="dxa"/>
          </w:tcPr>
          <w:p w:rsidR="008F6A8F" w:rsidRPr="003D0269" w:rsidRDefault="00C2161F" w:rsidP="00E86692">
            <w:pPr>
              <w:rPr>
                <w:szCs w:val="22"/>
              </w:rPr>
            </w:pPr>
            <w:r w:rsidRPr="003D0269">
              <w:rPr>
                <w:szCs w:val="22"/>
              </w:rPr>
              <w:t>Ηπατική ανεπάρκεια</w:t>
            </w:r>
          </w:p>
        </w:tc>
      </w:tr>
      <w:tr w:rsidR="008F6A8F" w:rsidRPr="008F6A8F" w:rsidTr="00DB5FFC">
        <w:trPr>
          <w:cantSplit/>
        </w:trPr>
        <w:tc>
          <w:tcPr>
            <w:tcW w:w="2977" w:type="dxa"/>
            <w:vMerge w:val="restart"/>
          </w:tcPr>
          <w:p w:rsidR="008F6A8F" w:rsidRPr="003D0269" w:rsidRDefault="009318DD" w:rsidP="00E86692">
            <w:pPr>
              <w:rPr>
                <w:szCs w:val="22"/>
              </w:rPr>
            </w:pPr>
            <w:r w:rsidRPr="003D0269">
              <w:rPr>
                <w:szCs w:val="22"/>
              </w:rPr>
              <w:t>Διαταραχές του δέρματος και του υποδόριου ιστού</w:t>
            </w:r>
          </w:p>
        </w:tc>
        <w:tc>
          <w:tcPr>
            <w:tcW w:w="1843" w:type="dxa"/>
          </w:tcPr>
          <w:p w:rsidR="008F6A8F" w:rsidRPr="003D0269" w:rsidRDefault="002A0CFA" w:rsidP="00E86692">
            <w:pPr>
              <w:rPr>
                <w:szCs w:val="22"/>
              </w:rPr>
            </w:pPr>
            <w:r w:rsidRPr="003D0269">
              <w:rPr>
                <w:bCs/>
              </w:rPr>
              <w:t>Συχνές</w:t>
            </w:r>
          </w:p>
        </w:tc>
        <w:tc>
          <w:tcPr>
            <w:tcW w:w="4252" w:type="dxa"/>
          </w:tcPr>
          <w:p w:rsidR="008F6A8F" w:rsidRPr="003D0269" w:rsidRDefault="00C2161F" w:rsidP="00E86692">
            <w:pPr>
              <w:rPr>
                <w:szCs w:val="22"/>
              </w:rPr>
            </w:pPr>
            <w:r w:rsidRPr="003D0269">
              <w:rPr>
                <w:szCs w:val="22"/>
              </w:rPr>
              <w:t>Εξάνθημα</w:t>
            </w:r>
          </w:p>
        </w:tc>
      </w:tr>
      <w:tr w:rsidR="008F6A8F" w:rsidRPr="00C2161F" w:rsidTr="00DB5FFC">
        <w:trPr>
          <w:cantSplit/>
        </w:trPr>
        <w:tc>
          <w:tcPr>
            <w:tcW w:w="2977" w:type="dxa"/>
            <w:vMerge/>
          </w:tcPr>
          <w:p w:rsidR="008F6A8F" w:rsidRPr="003D0269" w:rsidRDefault="008F6A8F" w:rsidP="00E86692">
            <w:pPr>
              <w:autoSpaceDE w:val="0"/>
              <w:autoSpaceDN w:val="0"/>
              <w:adjustRightInd w:val="0"/>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C2161F" w:rsidP="00C2161F">
            <w:pPr>
              <w:rPr>
                <w:szCs w:val="22"/>
              </w:rPr>
            </w:pPr>
            <w:r w:rsidRPr="003D0269">
              <w:rPr>
                <w:szCs w:val="22"/>
              </w:rPr>
              <w:t>Κνίδωση</w:t>
            </w:r>
            <w:r w:rsidR="008F6A8F" w:rsidRPr="003D0269">
              <w:rPr>
                <w:szCs w:val="22"/>
              </w:rPr>
              <w:t xml:space="preserve">, </w:t>
            </w:r>
            <w:r w:rsidRPr="003D0269">
              <w:rPr>
                <w:szCs w:val="22"/>
              </w:rPr>
              <w:t>κνησμός</w:t>
            </w:r>
            <w:r w:rsidR="008F6A8F" w:rsidRPr="003D0269">
              <w:rPr>
                <w:szCs w:val="22"/>
              </w:rPr>
              <w:t xml:space="preserve">, </w:t>
            </w:r>
            <w:r w:rsidRPr="003D0269">
              <w:rPr>
                <w:szCs w:val="22"/>
              </w:rPr>
              <w:t>πορφύρα</w:t>
            </w:r>
            <w:r w:rsidR="008F6A8F" w:rsidRPr="003D0269">
              <w:rPr>
                <w:szCs w:val="22"/>
              </w:rPr>
              <w:t xml:space="preserve">, </w:t>
            </w:r>
            <w:r w:rsidRPr="003D0269">
              <w:rPr>
                <w:szCs w:val="22"/>
              </w:rPr>
              <w:t>αγγειοοίδημα</w:t>
            </w:r>
            <w:r w:rsidR="008F6A8F" w:rsidRPr="003D0269">
              <w:rPr>
                <w:szCs w:val="22"/>
              </w:rPr>
              <w:t xml:space="preserve">, </w:t>
            </w:r>
            <w:r w:rsidRPr="003D0269">
              <w:rPr>
                <w:szCs w:val="22"/>
              </w:rPr>
              <w:t>αντίδραση από φωτοευαισθησία</w:t>
            </w:r>
          </w:p>
        </w:tc>
      </w:tr>
      <w:tr w:rsidR="008F6A8F" w:rsidRPr="00B93375" w:rsidTr="00DB5FFC">
        <w:trPr>
          <w:cantSplit/>
        </w:trPr>
        <w:tc>
          <w:tcPr>
            <w:tcW w:w="2977" w:type="dxa"/>
            <w:vMerge/>
          </w:tcPr>
          <w:p w:rsidR="008F6A8F" w:rsidRPr="003D0269" w:rsidRDefault="008F6A8F" w:rsidP="00E86692">
            <w:pPr>
              <w:autoSpaceDE w:val="0"/>
              <w:autoSpaceDN w:val="0"/>
              <w:adjustRightInd w:val="0"/>
              <w:rPr>
                <w:szCs w:val="22"/>
              </w:rPr>
            </w:pPr>
          </w:p>
        </w:tc>
        <w:tc>
          <w:tcPr>
            <w:tcW w:w="1843" w:type="dxa"/>
          </w:tcPr>
          <w:p w:rsidR="008F6A8F" w:rsidRPr="003D0269" w:rsidRDefault="002A0CFA" w:rsidP="00E86692">
            <w:pPr>
              <w:rPr>
                <w:szCs w:val="22"/>
              </w:rPr>
            </w:pPr>
            <w:r w:rsidRPr="003D0269">
              <w:rPr>
                <w:bCs/>
              </w:rPr>
              <w:t>Πολύ σπάνιες</w:t>
            </w:r>
          </w:p>
        </w:tc>
        <w:tc>
          <w:tcPr>
            <w:tcW w:w="4252" w:type="dxa"/>
          </w:tcPr>
          <w:p w:rsidR="008F6A8F" w:rsidRPr="003D0269" w:rsidRDefault="00B93375" w:rsidP="00B93375">
            <w:pPr>
              <w:rPr>
                <w:szCs w:val="22"/>
              </w:rPr>
            </w:pPr>
            <w:r w:rsidRPr="003D0269">
              <w:rPr>
                <w:szCs w:val="22"/>
              </w:rPr>
              <w:t>Πομφολυγώδεις δερματοπάθειες</w:t>
            </w:r>
            <w:r w:rsidR="008F6A8F" w:rsidRPr="003D0269">
              <w:rPr>
                <w:szCs w:val="22"/>
              </w:rPr>
              <w:t xml:space="preserve">, </w:t>
            </w:r>
            <w:r w:rsidR="00C2161F" w:rsidRPr="003D0269">
              <w:rPr>
                <w:szCs w:val="22"/>
              </w:rPr>
              <w:t>συμπεριλαμβανομένου του συνδρόμου</w:t>
            </w:r>
            <w:r w:rsidR="008F6A8F" w:rsidRPr="003D0269">
              <w:rPr>
                <w:szCs w:val="22"/>
              </w:rPr>
              <w:t xml:space="preserve"> </w:t>
            </w:r>
            <w:r w:rsidR="008F6A8F" w:rsidRPr="003D0269">
              <w:rPr>
                <w:szCs w:val="22"/>
                <w:lang w:val="en-US"/>
              </w:rPr>
              <w:t>Stevens</w:t>
            </w:r>
            <w:r w:rsidR="008F6A8F" w:rsidRPr="003D0269">
              <w:rPr>
                <w:szCs w:val="22"/>
              </w:rPr>
              <w:t>-</w:t>
            </w:r>
            <w:r w:rsidR="008F6A8F" w:rsidRPr="003D0269">
              <w:rPr>
                <w:szCs w:val="22"/>
                <w:lang w:val="en-US"/>
              </w:rPr>
              <w:t>Johnson</w:t>
            </w:r>
            <w:r w:rsidR="008F6A8F" w:rsidRPr="003D0269">
              <w:rPr>
                <w:szCs w:val="22"/>
              </w:rPr>
              <w:t xml:space="preserve">, </w:t>
            </w:r>
            <w:r w:rsidR="00DB5FFC">
              <w:rPr>
                <w:szCs w:val="22"/>
              </w:rPr>
              <w:t xml:space="preserve">της </w:t>
            </w:r>
            <w:r w:rsidRPr="003D0269">
              <w:rPr>
                <w:szCs w:val="22"/>
              </w:rPr>
              <w:t>τοξική</w:t>
            </w:r>
            <w:r w:rsidR="00DB5FFC">
              <w:rPr>
                <w:szCs w:val="22"/>
              </w:rPr>
              <w:t>ς</w:t>
            </w:r>
            <w:r w:rsidRPr="003D0269">
              <w:rPr>
                <w:szCs w:val="22"/>
              </w:rPr>
              <w:t xml:space="preserve"> επιδερμική</w:t>
            </w:r>
            <w:r w:rsidR="00DB5FFC">
              <w:rPr>
                <w:szCs w:val="22"/>
              </w:rPr>
              <w:t>ς</w:t>
            </w:r>
            <w:r w:rsidRPr="003D0269">
              <w:rPr>
                <w:szCs w:val="22"/>
              </w:rPr>
              <w:t xml:space="preserve"> νεκρόλυση</w:t>
            </w:r>
            <w:r w:rsidR="00DB5FFC">
              <w:rPr>
                <w:szCs w:val="22"/>
              </w:rPr>
              <w:t>ς</w:t>
            </w:r>
            <w:r w:rsidRPr="003D0269">
              <w:rPr>
                <w:szCs w:val="22"/>
              </w:rPr>
              <w:t xml:space="preserve"> και</w:t>
            </w:r>
            <w:r w:rsidR="00DB5FFC">
              <w:rPr>
                <w:szCs w:val="22"/>
              </w:rPr>
              <w:t xml:space="preserve"> του</w:t>
            </w:r>
            <w:r w:rsidR="008F6A8F" w:rsidRPr="003D0269">
              <w:rPr>
                <w:szCs w:val="22"/>
              </w:rPr>
              <w:t xml:space="preserve"> </w:t>
            </w:r>
            <w:r w:rsidRPr="003D0269">
              <w:rPr>
                <w:szCs w:val="22"/>
              </w:rPr>
              <w:t>πολύμορφο</w:t>
            </w:r>
            <w:r w:rsidR="00DB5FFC">
              <w:rPr>
                <w:szCs w:val="22"/>
              </w:rPr>
              <w:t>υ ερυθή</w:t>
            </w:r>
            <w:r w:rsidRPr="003D0269">
              <w:rPr>
                <w:szCs w:val="22"/>
              </w:rPr>
              <w:t>μα</w:t>
            </w:r>
            <w:r w:rsidR="00DB5FFC">
              <w:rPr>
                <w:szCs w:val="22"/>
              </w:rPr>
              <w:t>τος</w:t>
            </w:r>
          </w:p>
        </w:tc>
      </w:tr>
      <w:tr w:rsidR="008F6A8F" w:rsidRPr="00B93375" w:rsidTr="00DB5FFC">
        <w:trPr>
          <w:cantSplit/>
          <w:trHeight w:val="580"/>
        </w:trPr>
        <w:tc>
          <w:tcPr>
            <w:tcW w:w="2977" w:type="dxa"/>
          </w:tcPr>
          <w:p w:rsidR="009318DD" w:rsidRPr="003D0269" w:rsidRDefault="009318DD" w:rsidP="009318DD">
            <w:pPr>
              <w:rPr>
                <w:szCs w:val="22"/>
              </w:rPr>
            </w:pPr>
            <w:r w:rsidRPr="003D0269">
              <w:rPr>
                <w:szCs w:val="22"/>
              </w:rPr>
              <w:t>Διαταραχές των νεφρών και των ουροφόρων οδών</w:t>
            </w:r>
          </w:p>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Όχι συχνές</w:t>
            </w:r>
          </w:p>
        </w:tc>
        <w:tc>
          <w:tcPr>
            <w:tcW w:w="4252" w:type="dxa"/>
          </w:tcPr>
          <w:p w:rsidR="008F6A8F" w:rsidRPr="003D0269" w:rsidRDefault="00B93375" w:rsidP="00B93375">
            <w:pPr>
              <w:rPr>
                <w:szCs w:val="22"/>
              </w:rPr>
            </w:pPr>
            <w:r w:rsidRPr="003D0269">
              <w:rPr>
                <w:szCs w:val="22"/>
              </w:rPr>
              <w:t xml:space="preserve">Διάμεση </w:t>
            </w:r>
            <w:r w:rsidRPr="009E5B53">
              <w:rPr>
                <w:szCs w:val="22"/>
              </w:rPr>
              <w:t>νεφρίτιδα των ουροφόρων σωληναρίων</w:t>
            </w:r>
            <w:r w:rsidR="008F6A8F" w:rsidRPr="009E5B53">
              <w:rPr>
                <w:szCs w:val="22"/>
              </w:rPr>
              <w:t xml:space="preserve">, </w:t>
            </w:r>
            <w:r w:rsidRPr="009E5B53">
              <w:rPr>
                <w:szCs w:val="22"/>
              </w:rPr>
              <w:t>νεφρωσικό σύνδρομο και</w:t>
            </w:r>
            <w:r w:rsidR="008F6A8F" w:rsidRPr="009E5B53">
              <w:rPr>
                <w:szCs w:val="22"/>
              </w:rPr>
              <w:t xml:space="preserve"> </w:t>
            </w:r>
            <w:r w:rsidRPr="009E5B53">
              <w:rPr>
                <w:szCs w:val="22"/>
              </w:rPr>
              <w:t>νεφρική ανεπάρκ</w:t>
            </w:r>
            <w:r w:rsidRPr="003D0269">
              <w:rPr>
                <w:szCs w:val="22"/>
              </w:rPr>
              <w:t>εια</w:t>
            </w:r>
          </w:p>
        </w:tc>
      </w:tr>
      <w:tr w:rsidR="008F6A8F" w:rsidRPr="008F6A8F" w:rsidTr="00DB5FFC">
        <w:trPr>
          <w:cantSplit/>
        </w:trPr>
        <w:tc>
          <w:tcPr>
            <w:tcW w:w="2977" w:type="dxa"/>
            <w:vMerge w:val="restart"/>
          </w:tcPr>
          <w:p w:rsidR="008F6A8F" w:rsidRPr="003D0269" w:rsidRDefault="009318DD" w:rsidP="00E86692">
            <w:pPr>
              <w:rPr>
                <w:szCs w:val="22"/>
              </w:rPr>
            </w:pPr>
            <w:r w:rsidRPr="003D0269">
              <w:rPr>
                <w:szCs w:val="22"/>
              </w:rPr>
              <w:t>Γενικές διαταραχές και καταστάσεις της οδού χορήγησης</w:t>
            </w:r>
          </w:p>
        </w:tc>
        <w:tc>
          <w:tcPr>
            <w:tcW w:w="1843" w:type="dxa"/>
          </w:tcPr>
          <w:p w:rsidR="008F6A8F" w:rsidRPr="003D0269" w:rsidRDefault="002A0CFA" w:rsidP="00E86692">
            <w:pPr>
              <w:rPr>
                <w:szCs w:val="22"/>
              </w:rPr>
            </w:pPr>
            <w:r w:rsidRPr="003D0269">
              <w:rPr>
                <w:bCs/>
              </w:rPr>
              <w:t>Συχνές</w:t>
            </w:r>
          </w:p>
        </w:tc>
        <w:tc>
          <w:tcPr>
            <w:tcW w:w="4252" w:type="dxa"/>
          </w:tcPr>
          <w:p w:rsidR="008F6A8F" w:rsidRPr="003D0269" w:rsidRDefault="00B93375" w:rsidP="00E86692">
            <w:pPr>
              <w:rPr>
                <w:szCs w:val="22"/>
              </w:rPr>
            </w:pPr>
            <w:r w:rsidRPr="003D0269">
              <w:rPr>
                <w:szCs w:val="22"/>
              </w:rPr>
              <w:t>Κόπωση</w:t>
            </w:r>
          </w:p>
        </w:tc>
      </w:tr>
      <w:tr w:rsidR="008F6A8F" w:rsidRPr="008F6A8F" w:rsidTr="00DB5FFC">
        <w:trPr>
          <w:cantSplit/>
          <w:trHeight w:val="282"/>
        </w:trPr>
        <w:tc>
          <w:tcPr>
            <w:tcW w:w="2977" w:type="dxa"/>
            <w:vMerge/>
          </w:tcPr>
          <w:p w:rsidR="008F6A8F" w:rsidRPr="003D0269" w:rsidRDefault="008F6A8F" w:rsidP="00E86692">
            <w:pPr>
              <w:rPr>
                <w:szCs w:val="22"/>
              </w:rPr>
            </w:pPr>
          </w:p>
        </w:tc>
        <w:tc>
          <w:tcPr>
            <w:tcW w:w="1843" w:type="dxa"/>
          </w:tcPr>
          <w:p w:rsidR="008F6A8F" w:rsidRPr="003D0269" w:rsidRDefault="002A0CFA" w:rsidP="00E86692">
            <w:pPr>
              <w:rPr>
                <w:szCs w:val="22"/>
              </w:rPr>
            </w:pPr>
            <w:r w:rsidRPr="003D0269">
              <w:rPr>
                <w:szCs w:val="22"/>
              </w:rPr>
              <w:t>Σπάνιες</w:t>
            </w:r>
          </w:p>
        </w:tc>
        <w:tc>
          <w:tcPr>
            <w:tcW w:w="4252" w:type="dxa"/>
          </w:tcPr>
          <w:p w:rsidR="008F6A8F" w:rsidRPr="003D0269" w:rsidRDefault="00B93375" w:rsidP="00E86692">
            <w:pPr>
              <w:rPr>
                <w:szCs w:val="22"/>
              </w:rPr>
            </w:pPr>
            <w:r w:rsidRPr="003D0269">
              <w:rPr>
                <w:szCs w:val="22"/>
              </w:rPr>
              <w:t>Οίδημα</w:t>
            </w:r>
          </w:p>
        </w:tc>
      </w:tr>
    </w:tbl>
    <w:p w:rsidR="00E97785" w:rsidRDefault="00E97785" w:rsidP="008F6A8F">
      <w:pPr>
        <w:rPr>
          <w:bCs/>
        </w:rPr>
      </w:pPr>
    </w:p>
    <w:p w:rsidR="008F6A8F" w:rsidRPr="00E97785" w:rsidRDefault="008F6A8F" w:rsidP="008F6A8F">
      <w:pPr>
        <w:rPr>
          <w:bCs/>
        </w:rPr>
      </w:pPr>
      <w:r w:rsidRPr="00E97785">
        <w:rPr>
          <w:bCs/>
        </w:rPr>
        <w:t xml:space="preserve">Κλινικές </w:t>
      </w:r>
      <w:r w:rsidR="000A7BC8">
        <w:rPr>
          <w:bCs/>
        </w:rPr>
        <w:t>μελέτες</w:t>
      </w:r>
      <w:r w:rsidRPr="00E97785">
        <w:rPr>
          <w:bCs/>
        </w:rPr>
        <w:t xml:space="preserve"> </w:t>
      </w:r>
      <w:r w:rsidR="000A7BC8">
        <w:rPr>
          <w:bCs/>
        </w:rPr>
        <w:t xml:space="preserve">υποδεικνύουν </w:t>
      </w:r>
      <w:r w:rsidRPr="00E97785">
        <w:rPr>
          <w:bCs/>
        </w:rPr>
        <w:t>ότι η χρήση</w:t>
      </w:r>
      <w:r w:rsidR="000A7BC8">
        <w:rPr>
          <w:bCs/>
        </w:rPr>
        <w:t xml:space="preserve"> της ιβουπροφαίνης, </w:t>
      </w:r>
      <w:r w:rsidRPr="00E97785">
        <w:rPr>
          <w:bCs/>
        </w:rPr>
        <w:t>ιδιαίτερα σε υψηλές δόσεις</w:t>
      </w:r>
      <w:r w:rsidR="000A7BC8">
        <w:rPr>
          <w:bCs/>
        </w:rPr>
        <w:t xml:space="preserve"> (2400</w:t>
      </w:r>
      <w:r w:rsidR="000A7BC8">
        <w:rPr>
          <w:bCs/>
          <w:lang w:val="en-US"/>
        </w:rPr>
        <w:t>mg</w:t>
      </w:r>
      <w:r w:rsidR="000A7BC8">
        <w:rPr>
          <w:bCs/>
        </w:rPr>
        <w:t>/ημέρα),</w:t>
      </w:r>
      <w:r w:rsidRPr="00E97785">
        <w:rPr>
          <w:bCs/>
        </w:rPr>
        <w:t xml:space="preserve"> μπορεί να σχετίζεται με </w:t>
      </w:r>
      <w:r w:rsidR="000A7BC8">
        <w:rPr>
          <w:bCs/>
        </w:rPr>
        <w:t>μια μικρή αύξηση</w:t>
      </w:r>
      <w:r w:rsidRPr="00E97785">
        <w:rPr>
          <w:bCs/>
        </w:rPr>
        <w:t xml:space="preserve"> </w:t>
      </w:r>
      <w:r w:rsidR="00B64E39">
        <w:rPr>
          <w:bCs/>
        </w:rPr>
        <w:t xml:space="preserve">του </w:t>
      </w:r>
      <w:r w:rsidRPr="00E97785">
        <w:rPr>
          <w:bCs/>
        </w:rPr>
        <w:t>κ</w:t>
      </w:r>
      <w:r w:rsidR="00B64E39">
        <w:rPr>
          <w:bCs/>
        </w:rPr>
        <w:t>ι</w:t>
      </w:r>
      <w:r w:rsidRPr="00E97785">
        <w:rPr>
          <w:bCs/>
        </w:rPr>
        <w:t>νδ</w:t>
      </w:r>
      <w:r w:rsidR="00B64E39">
        <w:rPr>
          <w:bCs/>
        </w:rPr>
        <w:t>ύ</w:t>
      </w:r>
      <w:r w:rsidRPr="00E97785">
        <w:rPr>
          <w:bCs/>
        </w:rPr>
        <w:t>νο</w:t>
      </w:r>
      <w:r w:rsidR="00B64E39">
        <w:rPr>
          <w:bCs/>
        </w:rPr>
        <w:t>υ</w:t>
      </w:r>
      <w:r w:rsidRPr="00E97785">
        <w:rPr>
          <w:bCs/>
        </w:rPr>
        <w:t xml:space="preserve"> </w:t>
      </w:r>
      <w:r w:rsidR="00B64E39">
        <w:rPr>
          <w:bCs/>
        </w:rPr>
        <w:t xml:space="preserve">εμφάνισης </w:t>
      </w:r>
      <w:r w:rsidRPr="00E97785">
        <w:rPr>
          <w:bCs/>
        </w:rPr>
        <w:t xml:space="preserve">θρομβωτικών </w:t>
      </w:r>
      <w:r w:rsidR="00B64E39" w:rsidRPr="00E97785">
        <w:rPr>
          <w:bCs/>
        </w:rPr>
        <w:t xml:space="preserve">αρτηριακών </w:t>
      </w:r>
      <w:r w:rsidR="00B64E39">
        <w:rPr>
          <w:bCs/>
        </w:rPr>
        <w:t xml:space="preserve">επεισοδίων </w:t>
      </w:r>
      <w:r w:rsidRPr="00E97785">
        <w:rPr>
          <w:bCs/>
        </w:rPr>
        <w:t>(</w:t>
      </w:r>
      <w:r w:rsidR="00601719" w:rsidRPr="00E97785">
        <w:rPr>
          <w:bCs/>
        </w:rPr>
        <w:t>για παράδειγμα έμ</w:t>
      </w:r>
      <w:r w:rsidRPr="00E97785">
        <w:rPr>
          <w:bCs/>
        </w:rPr>
        <w:t>φρ</w:t>
      </w:r>
      <w:r w:rsidR="00601719" w:rsidRPr="00E97785">
        <w:rPr>
          <w:bCs/>
        </w:rPr>
        <w:t>αγμα</w:t>
      </w:r>
      <w:r w:rsidRPr="00E97785">
        <w:rPr>
          <w:bCs/>
        </w:rPr>
        <w:t xml:space="preserve"> του μυοκαρδίου ή </w:t>
      </w:r>
      <w:r w:rsidR="00B64E39">
        <w:rPr>
          <w:bCs/>
        </w:rPr>
        <w:t xml:space="preserve">αγγειακό </w:t>
      </w:r>
      <w:r w:rsidRPr="00E97785">
        <w:rPr>
          <w:bCs/>
        </w:rPr>
        <w:t>εγκεφαλικ</w:t>
      </w:r>
      <w:r w:rsidR="00601719" w:rsidRPr="00E97785">
        <w:rPr>
          <w:bCs/>
        </w:rPr>
        <w:t>ό</w:t>
      </w:r>
      <w:r w:rsidRPr="00E97785">
        <w:rPr>
          <w:bCs/>
        </w:rPr>
        <w:t xml:space="preserve"> επεισ</w:t>
      </w:r>
      <w:r w:rsidR="00601719" w:rsidRPr="00E97785">
        <w:rPr>
          <w:bCs/>
        </w:rPr>
        <w:t>ό</w:t>
      </w:r>
      <w:r w:rsidRPr="00E97785">
        <w:rPr>
          <w:bCs/>
        </w:rPr>
        <w:t>δ</w:t>
      </w:r>
      <w:r w:rsidR="00601719" w:rsidRPr="00E97785">
        <w:rPr>
          <w:bCs/>
        </w:rPr>
        <w:t>ιο</w:t>
      </w:r>
      <w:r w:rsidRPr="00E97785">
        <w:rPr>
          <w:bCs/>
        </w:rPr>
        <w:t>) (βλ. παράγραφο 4.4).</w:t>
      </w:r>
    </w:p>
    <w:p w:rsidR="008F6A8F" w:rsidRPr="00E97785" w:rsidRDefault="008F6A8F" w:rsidP="008F6A8F">
      <w:pPr>
        <w:rPr>
          <w:bCs/>
        </w:rPr>
      </w:pPr>
    </w:p>
    <w:p w:rsidR="008F6A8F" w:rsidRPr="00E97785" w:rsidRDefault="00E97785" w:rsidP="008F6A8F">
      <w:pPr>
        <w:rPr>
          <w:bCs/>
        </w:rPr>
      </w:pPr>
      <w:r w:rsidRPr="00E97785">
        <w:rPr>
          <w:bCs/>
        </w:rPr>
        <w:t>Έλκη</w:t>
      </w:r>
      <w:r w:rsidR="008F6A8F" w:rsidRPr="00E97785">
        <w:rPr>
          <w:bCs/>
        </w:rPr>
        <w:t xml:space="preserve">, διάτρηση ή αιμορραγία </w:t>
      </w:r>
      <w:r w:rsidRPr="00E97785">
        <w:rPr>
          <w:bCs/>
        </w:rPr>
        <w:t xml:space="preserve">του γαστρεντερικού σωλήνα </w:t>
      </w:r>
      <w:r w:rsidR="008F6A8F" w:rsidRPr="00E97785">
        <w:rPr>
          <w:bCs/>
        </w:rPr>
        <w:t>μπορ</w:t>
      </w:r>
      <w:r w:rsidRPr="00E97785">
        <w:rPr>
          <w:bCs/>
        </w:rPr>
        <w:t xml:space="preserve">ούν </w:t>
      </w:r>
      <w:r w:rsidR="008F6A8F" w:rsidRPr="00E97785">
        <w:rPr>
          <w:bCs/>
        </w:rPr>
        <w:t xml:space="preserve">μερικές φορές να είναι μοιραία, </w:t>
      </w:r>
      <w:r w:rsidR="008F6A8F" w:rsidRPr="00E97785">
        <w:rPr>
          <w:bCs/>
        </w:rPr>
        <w:lastRenderedPageBreak/>
        <w:t>ιδιαίτερα σε ηλικιωμένα άτομα (</w:t>
      </w:r>
      <w:r w:rsidRPr="00E97785">
        <w:rPr>
          <w:bCs/>
        </w:rPr>
        <w:t>βλ.</w:t>
      </w:r>
      <w:r w:rsidR="008F6A8F" w:rsidRPr="00E97785">
        <w:rPr>
          <w:bCs/>
        </w:rPr>
        <w:t xml:space="preserve"> παράγραφο 4.4).</w:t>
      </w:r>
    </w:p>
    <w:p w:rsidR="008F6A8F" w:rsidRPr="00E97785" w:rsidRDefault="008F6A8F" w:rsidP="008F6A8F">
      <w:pPr>
        <w:rPr>
          <w:bCs/>
        </w:rPr>
      </w:pPr>
    </w:p>
    <w:p w:rsidR="008F6A8F" w:rsidRPr="00E97785" w:rsidRDefault="008F6A8F" w:rsidP="008F6A8F">
      <w:pPr>
        <w:rPr>
          <w:bCs/>
        </w:rPr>
      </w:pPr>
      <w:r w:rsidRPr="00E97785">
        <w:rPr>
          <w:bCs/>
        </w:rPr>
        <w:t xml:space="preserve">Η ιβουπροφαίνη μπορεί να προκαλέσει παράταση του χρόνου ροής μέσω </w:t>
      </w:r>
      <w:r w:rsidR="00E97785" w:rsidRPr="00E97785">
        <w:rPr>
          <w:bCs/>
        </w:rPr>
        <w:t>αν</w:t>
      </w:r>
      <w:r w:rsidR="00CB05B9">
        <w:rPr>
          <w:bCs/>
        </w:rPr>
        <w:t>ά</w:t>
      </w:r>
      <w:r w:rsidR="00E97785" w:rsidRPr="00E97785">
        <w:rPr>
          <w:bCs/>
        </w:rPr>
        <w:t>στροφης</w:t>
      </w:r>
      <w:r w:rsidRPr="00E97785">
        <w:rPr>
          <w:bCs/>
        </w:rPr>
        <w:t xml:space="preserve"> αναστολής της συσσώρευσης των αιμοπεταλίων.</w:t>
      </w:r>
    </w:p>
    <w:p w:rsidR="008F6A8F" w:rsidRPr="00E97785" w:rsidRDefault="008F6A8F" w:rsidP="008F6A8F">
      <w:pPr>
        <w:rPr>
          <w:bCs/>
        </w:rPr>
      </w:pPr>
    </w:p>
    <w:p w:rsidR="008F6A8F" w:rsidRPr="00E97785" w:rsidRDefault="008F6A8F" w:rsidP="008F6A8F">
      <w:pPr>
        <w:rPr>
          <w:bCs/>
        </w:rPr>
      </w:pPr>
      <w:r w:rsidRPr="00E97785">
        <w:rPr>
          <w:bCs/>
        </w:rPr>
        <w:t xml:space="preserve">Στην πλειοψηφία των περιπτώσεων όπου </w:t>
      </w:r>
      <w:r w:rsidR="00E97785" w:rsidRPr="00E97785">
        <w:rPr>
          <w:bCs/>
        </w:rPr>
        <w:t xml:space="preserve">έχει αναφερθεί </w:t>
      </w:r>
      <w:r w:rsidRPr="00E97785">
        <w:rPr>
          <w:bCs/>
        </w:rPr>
        <w:t>άσηπτη μηνιγγίτιδα, έχει υπάρξει κάποια μορφή υποκείμενης αυτοάνοσης νόσου (ειδικότερα, συστηματικός ερυθηματώδης λύκος και συναφ</w:t>
      </w:r>
      <w:r w:rsidR="00E97785" w:rsidRPr="00E97785">
        <w:rPr>
          <w:bCs/>
        </w:rPr>
        <w:t>είς νόσοι</w:t>
      </w:r>
      <w:r w:rsidRPr="00E97785">
        <w:rPr>
          <w:bCs/>
        </w:rPr>
        <w:t xml:space="preserve"> του συνδετικού ιστού).</w:t>
      </w:r>
    </w:p>
    <w:p w:rsidR="008F6A8F" w:rsidRPr="00E97785" w:rsidRDefault="008F6A8F" w:rsidP="008F6A8F">
      <w:pPr>
        <w:rPr>
          <w:bCs/>
        </w:rPr>
      </w:pPr>
    </w:p>
    <w:p w:rsidR="008F6A8F" w:rsidRPr="00E97785" w:rsidRDefault="008F6A8F" w:rsidP="008F6A8F">
      <w:pPr>
        <w:rPr>
          <w:bCs/>
        </w:rPr>
      </w:pPr>
      <w:r w:rsidRPr="00E97785">
        <w:rPr>
          <w:bCs/>
        </w:rPr>
        <w:t xml:space="preserve">Οίδημα, υπέρταση και καρδιακή ανεπάρκεια, καθώς και </w:t>
      </w:r>
      <w:r w:rsidR="00CB05B9">
        <w:rPr>
          <w:bCs/>
        </w:rPr>
        <w:t>επιδείνωση</w:t>
      </w:r>
      <w:r w:rsidRPr="00E97785">
        <w:rPr>
          <w:bCs/>
        </w:rPr>
        <w:t xml:space="preserve"> της ελκώδους κολίτιδας και της νόσου του Crohn έχουν αναφερθε</w:t>
      </w:r>
      <w:r w:rsidR="00E97785" w:rsidRPr="00E97785">
        <w:rPr>
          <w:bCs/>
        </w:rPr>
        <w:t>ί σε σχέση με την αγωγή με ΜΣΑΦ</w:t>
      </w:r>
      <w:r w:rsidRPr="00E97785">
        <w:rPr>
          <w:bCs/>
        </w:rPr>
        <w:t>.</w:t>
      </w:r>
    </w:p>
    <w:p w:rsidR="00DB5FFC" w:rsidRPr="00E97785" w:rsidRDefault="00DB5FFC" w:rsidP="008F6A8F">
      <w:pPr>
        <w:rPr>
          <w:bCs/>
        </w:rPr>
      </w:pPr>
    </w:p>
    <w:p w:rsidR="008F6A8F" w:rsidRPr="00E97785" w:rsidRDefault="00DB5FFC" w:rsidP="008F6A8F">
      <w:pPr>
        <w:rPr>
          <w:b/>
          <w:bCs/>
          <w:i/>
        </w:rPr>
      </w:pPr>
      <w:r>
        <w:rPr>
          <w:b/>
          <w:bCs/>
          <w:i/>
        </w:rPr>
        <w:t>Ανεπιθύμητες αντιδράσεις</w:t>
      </w:r>
      <w:r w:rsidR="008F6A8F" w:rsidRPr="00E97785">
        <w:rPr>
          <w:b/>
          <w:bCs/>
          <w:i/>
        </w:rPr>
        <w:t xml:space="preserve"> των οπιοειδών</w:t>
      </w:r>
    </w:p>
    <w:p w:rsidR="00DB5FFC" w:rsidRDefault="00DB5FFC" w:rsidP="008F6A8F">
      <w:pPr>
        <w:rPr>
          <w:bCs/>
        </w:rPr>
      </w:pPr>
    </w:p>
    <w:p w:rsidR="008F6A8F" w:rsidRPr="00E97785" w:rsidRDefault="008F6A8F" w:rsidP="008F6A8F">
      <w:pPr>
        <w:rPr>
          <w:bCs/>
        </w:rPr>
      </w:pPr>
      <w:r w:rsidRPr="00E97785">
        <w:rPr>
          <w:bCs/>
        </w:rPr>
        <w:t xml:space="preserve">Η κωδεΐνη μπορεί να έχει </w:t>
      </w:r>
      <w:r w:rsidR="00E97785" w:rsidRPr="00E97785">
        <w:rPr>
          <w:bCs/>
        </w:rPr>
        <w:t xml:space="preserve">τις </w:t>
      </w:r>
      <w:r w:rsidRPr="00E97785">
        <w:rPr>
          <w:bCs/>
        </w:rPr>
        <w:t xml:space="preserve">τυπικές </w:t>
      </w:r>
      <w:r w:rsidR="00DB5FFC">
        <w:rPr>
          <w:bCs/>
        </w:rPr>
        <w:t>αντιδράσεις</w:t>
      </w:r>
      <w:r w:rsidRPr="00E97785">
        <w:rPr>
          <w:bCs/>
        </w:rPr>
        <w:t xml:space="preserve"> των οπιοειδών. Η παρουσία και η σοβαρότητα αυτών των συμπτωμάτων εξαρτάται από τη δόση</w:t>
      </w:r>
      <w:r w:rsidR="00E97785" w:rsidRPr="00E97785">
        <w:rPr>
          <w:bCs/>
        </w:rPr>
        <w:t xml:space="preserve"> που χρησιμοποιείται</w:t>
      </w:r>
      <w:r w:rsidRPr="00E97785">
        <w:rPr>
          <w:bCs/>
        </w:rPr>
        <w:t xml:space="preserve">, τη διάρκεια της θεραπείας και την ατομική ευαισθησία. </w:t>
      </w:r>
      <w:r w:rsidR="00E97785" w:rsidRPr="00E97785">
        <w:rPr>
          <w:bCs/>
        </w:rPr>
        <w:t>Οι α</w:t>
      </w:r>
      <w:r w:rsidRPr="00E97785">
        <w:rPr>
          <w:bCs/>
        </w:rPr>
        <w:t>νεπιθύμητες ενέργειες περιλαμβάνουν:</w:t>
      </w:r>
    </w:p>
    <w:p w:rsidR="008F6A8F" w:rsidRPr="00E97785" w:rsidRDefault="008F6A8F" w:rsidP="008F6A8F">
      <w:pPr>
        <w:rPr>
          <w:bCs/>
        </w:rPr>
      </w:pPr>
    </w:p>
    <w:p w:rsidR="00E97785" w:rsidRPr="00E97785" w:rsidRDefault="00E97785" w:rsidP="008F6A8F">
      <w:pPr>
        <w:rPr>
          <w:bCs/>
          <w:i/>
          <w:u w:val="single"/>
        </w:rPr>
      </w:pPr>
      <w:r w:rsidRPr="00E97785">
        <w:rPr>
          <w:i/>
          <w:szCs w:val="22"/>
          <w:u w:val="single"/>
        </w:rPr>
        <w:t>Διαταραχές του αναπνευστικού συστήματος, του θώρακα και του μεσοθωρακίου</w:t>
      </w:r>
    </w:p>
    <w:p w:rsidR="008F6A8F" w:rsidRPr="00E97785" w:rsidRDefault="008F6A8F" w:rsidP="008F6A8F">
      <w:pPr>
        <w:rPr>
          <w:bCs/>
        </w:rPr>
      </w:pPr>
      <w:r w:rsidRPr="00E97785">
        <w:rPr>
          <w:bCs/>
        </w:rPr>
        <w:t>Βρογχό</w:t>
      </w:r>
      <w:r w:rsidR="00E97785" w:rsidRPr="00E97785">
        <w:rPr>
          <w:bCs/>
        </w:rPr>
        <w:t>σπασμος, αναπνευστική καταστολή</w:t>
      </w:r>
    </w:p>
    <w:p w:rsidR="008F6A8F" w:rsidRPr="00E97785" w:rsidRDefault="008F6A8F" w:rsidP="008F6A8F">
      <w:pPr>
        <w:rPr>
          <w:bCs/>
        </w:rPr>
      </w:pPr>
    </w:p>
    <w:p w:rsidR="008F6A8F" w:rsidRPr="00E97785" w:rsidRDefault="008F6A8F" w:rsidP="008F6A8F">
      <w:pPr>
        <w:rPr>
          <w:i/>
          <w:szCs w:val="22"/>
          <w:u w:val="single"/>
        </w:rPr>
      </w:pPr>
      <w:r w:rsidRPr="00E97785">
        <w:rPr>
          <w:i/>
          <w:szCs w:val="22"/>
          <w:u w:val="single"/>
        </w:rPr>
        <w:t>Ψυχιατρικές διαταραχές</w:t>
      </w:r>
    </w:p>
    <w:p w:rsidR="008F6A8F" w:rsidRPr="00E97785" w:rsidRDefault="00E97785" w:rsidP="008F6A8F">
      <w:pPr>
        <w:rPr>
          <w:bCs/>
        </w:rPr>
      </w:pPr>
      <w:r w:rsidRPr="00E97785">
        <w:rPr>
          <w:bCs/>
        </w:rPr>
        <w:t>Σ</w:t>
      </w:r>
      <w:r w:rsidR="008F6A8F" w:rsidRPr="00E97785">
        <w:rPr>
          <w:bCs/>
        </w:rPr>
        <w:t>ύγχυση</w:t>
      </w:r>
    </w:p>
    <w:p w:rsidR="008F6A8F" w:rsidRPr="00E97785" w:rsidRDefault="008F6A8F" w:rsidP="008F6A8F">
      <w:pPr>
        <w:rPr>
          <w:bCs/>
        </w:rPr>
      </w:pPr>
    </w:p>
    <w:p w:rsidR="008F6A8F" w:rsidRPr="00E97785" w:rsidRDefault="008F6A8F" w:rsidP="008F6A8F">
      <w:pPr>
        <w:rPr>
          <w:i/>
          <w:szCs w:val="22"/>
          <w:u w:val="single"/>
        </w:rPr>
      </w:pPr>
      <w:r w:rsidRPr="00E97785">
        <w:rPr>
          <w:i/>
          <w:szCs w:val="22"/>
          <w:u w:val="single"/>
        </w:rPr>
        <w:t>Διαταραχές του νευρικού συστήματος</w:t>
      </w:r>
    </w:p>
    <w:p w:rsidR="008F6A8F" w:rsidRPr="00E97785" w:rsidRDefault="008F6A8F" w:rsidP="008F6A8F">
      <w:pPr>
        <w:rPr>
          <w:bCs/>
        </w:rPr>
      </w:pPr>
      <w:r w:rsidRPr="00E97785">
        <w:rPr>
          <w:bCs/>
        </w:rPr>
        <w:t>Συχνές: ζάλη, καταστολή και υπνηλία</w:t>
      </w:r>
      <w:r w:rsidR="00E97785" w:rsidRPr="00E97785">
        <w:rPr>
          <w:bCs/>
        </w:rPr>
        <w:t>, εξασθένιση</w:t>
      </w:r>
    </w:p>
    <w:p w:rsidR="008F6A8F" w:rsidRPr="00E97785" w:rsidRDefault="008F6A8F" w:rsidP="008F6A8F">
      <w:pPr>
        <w:rPr>
          <w:bCs/>
        </w:rPr>
      </w:pPr>
    </w:p>
    <w:p w:rsidR="008F6A8F" w:rsidRPr="00E97785" w:rsidRDefault="00E97785" w:rsidP="008F6A8F">
      <w:pPr>
        <w:rPr>
          <w:i/>
          <w:szCs w:val="22"/>
          <w:u w:val="single"/>
        </w:rPr>
      </w:pPr>
      <w:r w:rsidRPr="00E97785">
        <w:rPr>
          <w:i/>
          <w:szCs w:val="22"/>
          <w:u w:val="single"/>
        </w:rPr>
        <w:t>Δ</w:t>
      </w:r>
      <w:r w:rsidR="008F6A8F" w:rsidRPr="00E97785">
        <w:rPr>
          <w:i/>
          <w:szCs w:val="22"/>
          <w:u w:val="single"/>
        </w:rPr>
        <w:t>ιαταραχές του γαστρεντερικού συστήματος</w:t>
      </w:r>
    </w:p>
    <w:p w:rsidR="008F6A8F" w:rsidRPr="00E97785" w:rsidRDefault="008F6A8F" w:rsidP="008F6A8F">
      <w:pPr>
        <w:rPr>
          <w:bCs/>
        </w:rPr>
      </w:pPr>
      <w:r w:rsidRPr="00E97785">
        <w:rPr>
          <w:bCs/>
        </w:rPr>
        <w:t>Συχνές: δυσκοιλιότητα, ναυτία και έμετος</w:t>
      </w:r>
    </w:p>
    <w:p w:rsidR="008F6A8F" w:rsidRPr="00E97785" w:rsidRDefault="008F6A8F" w:rsidP="008F6A8F">
      <w:pPr>
        <w:rPr>
          <w:bCs/>
        </w:rPr>
      </w:pPr>
    </w:p>
    <w:p w:rsidR="008F6A8F" w:rsidRPr="00E97785" w:rsidRDefault="008F6A8F" w:rsidP="008F6A8F">
      <w:pPr>
        <w:rPr>
          <w:i/>
          <w:szCs w:val="22"/>
          <w:u w:val="single"/>
        </w:rPr>
      </w:pPr>
      <w:r w:rsidRPr="00E97785">
        <w:rPr>
          <w:i/>
          <w:szCs w:val="22"/>
          <w:u w:val="single"/>
        </w:rPr>
        <w:t>Διαταραχές του ανοσοποιητικού συστήματος</w:t>
      </w:r>
    </w:p>
    <w:p w:rsidR="008F6A8F" w:rsidRPr="00E97785" w:rsidRDefault="008F6A8F" w:rsidP="008F6A8F">
      <w:pPr>
        <w:rPr>
          <w:bCs/>
        </w:rPr>
      </w:pPr>
      <w:r w:rsidRPr="00E97785">
        <w:rPr>
          <w:bCs/>
        </w:rPr>
        <w:t>Εξάνθημα, κνίδωση, αλλεργικές αντιδράσεις</w:t>
      </w:r>
    </w:p>
    <w:p w:rsidR="008F6A8F" w:rsidRPr="00E97785" w:rsidRDefault="008F6A8F" w:rsidP="008F6A8F">
      <w:pPr>
        <w:rPr>
          <w:bCs/>
        </w:rPr>
      </w:pPr>
    </w:p>
    <w:p w:rsidR="008F6A8F" w:rsidRPr="00E97785" w:rsidRDefault="008F6A8F" w:rsidP="008F6A8F">
      <w:pPr>
        <w:rPr>
          <w:i/>
          <w:szCs w:val="22"/>
          <w:u w:val="single"/>
        </w:rPr>
      </w:pPr>
      <w:r w:rsidRPr="00E97785">
        <w:rPr>
          <w:i/>
          <w:szCs w:val="22"/>
          <w:u w:val="single"/>
        </w:rPr>
        <w:t>Διαταραχές των νεφρών και των ουροφόρων οδών</w:t>
      </w:r>
    </w:p>
    <w:p w:rsidR="008F6A8F" w:rsidRPr="003D4729" w:rsidRDefault="003D4729" w:rsidP="008F6A8F">
      <w:pPr>
        <w:rPr>
          <w:bCs/>
        </w:rPr>
      </w:pPr>
      <w:r w:rsidRPr="003D4729">
        <w:rPr>
          <w:bCs/>
        </w:rPr>
        <w:t>Κ</w:t>
      </w:r>
      <w:r w:rsidR="008F6A8F" w:rsidRPr="003D4729">
        <w:rPr>
          <w:bCs/>
        </w:rPr>
        <w:t>ατακράτηση ούρων</w:t>
      </w:r>
    </w:p>
    <w:p w:rsidR="008F6A8F" w:rsidRPr="003D4729" w:rsidRDefault="008F6A8F" w:rsidP="008F6A8F">
      <w:pPr>
        <w:rPr>
          <w:bCs/>
        </w:rPr>
      </w:pPr>
    </w:p>
    <w:p w:rsidR="008F6A8F" w:rsidRPr="003D4729" w:rsidRDefault="008F6A8F" w:rsidP="008F6A8F">
      <w:pPr>
        <w:rPr>
          <w:i/>
          <w:szCs w:val="22"/>
          <w:u w:val="single"/>
        </w:rPr>
      </w:pPr>
      <w:r w:rsidRPr="003D4729">
        <w:rPr>
          <w:i/>
          <w:szCs w:val="22"/>
          <w:u w:val="single"/>
        </w:rPr>
        <w:t>Γενικές διαταραχές και καταστάσεις της οδού χορήγησης</w:t>
      </w:r>
    </w:p>
    <w:p w:rsidR="008F6A8F" w:rsidRPr="008F6A8F" w:rsidRDefault="008F6A8F" w:rsidP="008F6A8F">
      <w:pPr>
        <w:rPr>
          <w:bCs/>
        </w:rPr>
      </w:pPr>
      <w:r w:rsidRPr="003D4729">
        <w:rPr>
          <w:bCs/>
        </w:rPr>
        <w:t>Ανοχή και εξάρτηση μπορεί να αναπτυχθ</w:t>
      </w:r>
      <w:r w:rsidR="003D4729" w:rsidRPr="003D4729">
        <w:rPr>
          <w:bCs/>
        </w:rPr>
        <w:t>ούν</w:t>
      </w:r>
      <w:r w:rsidRPr="003D4729">
        <w:rPr>
          <w:bCs/>
        </w:rPr>
        <w:t>, ιδίως σε σχέση με τη μακροχρόνια χρήση μεγάλων ποσοτήτων κωδεΐνη</w:t>
      </w:r>
      <w:r w:rsidR="003D4729" w:rsidRPr="003D4729">
        <w:rPr>
          <w:bCs/>
        </w:rPr>
        <w:t>ς</w:t>
      </w:r>
      <w:r w:rsidRPr="003D4729">
        <w:rPr>
          <w:bCs/>
        </w:rPr>
        <w:t xml:space="preserve">. Ο κίνδυνος για την ανάπτυξη της εξάρτησης </w:t>
      </w:r>
      <w:r w:rsidR="00B813A3">
        <w:rPr>
          <w:bCs/>
        </w:rPr>
        <w:t xml:space="preserve">στην </w:t>
      </w:r>
      <w:r w:rsidRPr="003D4729">
        <w:rPr>
          <w:bCs/>
        </w:rPr>
        <w:t>κωδεΐνη είναι χ</w:t>
      </w:r>
      <w:r w:rsidR="003D4729" w:rsidRPr="003D4729">
        <w:rPr>
          <w:bCs/>
        </w:rPr>
        <w:t>αμηλή σε σύγκριση με τη μορφίνη</w:t>
      </w:r>
      <w:r w:rsidRPr="003D4729">
        <w:rPr>
          <w:bCs/>
        </w:rPr>
        <w:t>, αλλά η δυνατότητα αυτή πρέπει ωστόσο να ληφθεί υπόψη.</w:t>
      </w:r>
    </w:p>
    <w:p w:rsidR="003D4729" w:rsidRDefault="003D4729" w:rsidP="003B4BF5">
      <w:pPr>
        <w:autoSpaceDE w:val="0"/>
        <w:autoSpaceDN w:val="0"/>
        <w:adjustRightInd w:val="0"/>
        <w:jc w:val="both"/>
        <w:rPr>
          <w:i/>
          <w:noProof/>
        </w:rPr>
      </w:pPr>
    </w:p>
    <w:p w:rsidR="003B4BF5" w:rsidRPr="00684E83" w:rsidRDefault="003B4BF5" w:rsidP="003B4BF5">
      <w:pPr>
        <w:autoSpaceDE w:val="0"/>
        <w:autoSpaceDN w:val="0"/>
        <w:adjustRightInd w:val="0"/>
        <w:jc w:val="both"/>
        <w:rPr>
          <w:szCs w:val="22"/>
          <w:u w:val="single"/>
        </w:rPr>
      </w:pPr>
      <w:r w:rsidRPr="00684E83">
        <w:rPr>
          <w:noProof/>
          <w:szCs w:val="22"/>
          <w:u w:val="single"/>
        </w:rPr>
        <w:t>Αναφορά πιθανολογούμενων ανεπιθύμητων ενεργειών</w:t>
      </w:r>
    </w:p>
    <w:p w:rsidR="003B4BF5" w:rsidRPr="00684E83" w:rsidRDefault="003B4BF5" w:rsidP="00E52EDA">
      <w:pPr>
        <w:autoSpaceDE w:val="0"/>
        <w:autoSpaceDN w:val="0"/>
        <w:adjustRightInd w:val="0"/>
        <w:rPr>
          <w:noProof/>
          <w:szCs w:val="22"/>
        </w:rPr>
      </w:pPr>
      <w:r w:rsidRPr="00166D11">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684E83">
        <w:rPr>
          <w:noProof/>
          <w:szCs w:val="22"/>
        </w:rPr>
        <w:t>.</w:t>
      </w:r>
      <w:r w:rsidRPr="00684E83">
        <w:rPr>
          <w:szCs w:val="22"/>
        </w:rPr>
        <w:t xml:space="preserve"> </w:t>
      </w:r>
      <w:r w:rsidRPr="00166D11">
        <w:rPr>
          <w:szCs w:val="22"/>
        </w:rPr>
        <w:t>Επιτρέπει τη συνεχή παρακολούθηση της σχέσης οφέλους-κινδύνου του φαρμακευτικού προϊόντος</w:t>
      </w:r>
      <w:r w:rsidRPr="00684E83">
        <w:rPr>
          <w:noProof/>
          <w:szCs w:val="22"/>
        </w:rPr>
        <w:t>.</w:t>
      </w:r>
      <w:r w:rsidRPr="00684E83">
        <w:rPr>
          <w:szCs w:val="22"/>
        </w:rPr>
        <w:t xml:space="preserve"> </w:t>
      </w:r>
      <w:r w:rsidRPr="00166D11">
        <w:rPr>
          <w:szCs w:val="22"/>
        </w:rPr>
        <w:t>Ζητείται από τους επαγγελματίες του τομέα της υγειονομικής περίθαλψης να αναφέρουν ο</w:t>
      </w:r>
      <w:r>
        <w:rPr>
          <w:szCs w:val="22"/>
        </w:rPr>
        <w:t>πο</w:t>
      </w:r>
      <w:r w:rsidRPr="00166D11">
        <w:rPr>
          <w:szCs w:val="22"/>
        </w:rPr>
        <w:t xml:space="preserve">ιεσδήποτε πιθανολογούμενες ανεπιθύμητες ενέργειες </w:t>
      </w:r>
      <w:r w:rsidR="00E52EDA" w:rsidRPr="00444E4F">
        <w:rPr>
          <w:szCs w:val="22"/>
        </w:rPr>
        <w:t>στον Εθνικό Οργανισμό Φαρμάκων</w:t>
      </w:r>
      <w:r w:rsidR="00244B6E">
        <w:rPr>
          <w:szCs w:val="22"/>
        </w:rPr>
        <w:t>,</w:t>
      </w:r>
      <w:r w:rsidR="00325F65">
        <w:rPr>
          <w:szCs w:val="22"/>
        </w:rPr>
        <w:t xml:space="preserve"> </w:t>
      </w:r>
      <w:r w:rsidR="00E52EDA" w:rsidRPr="00444E4F">
        <w:rPr>
          <w:szCs w:val="22"/>
        </w:rPr>
        <w:t xml:space="preserve">Μεσογείων 284, GR-15562 Χολαργός, Αθήνα, Τηλ: + 30 21 32040380/337, Φαξ: + 30 210 6549585, Ιστότοπος: </w:t>
      </w:r>
      <w:r w:rsidR="00E52EDA" w:rsidRPr="00444E4F">
        <w:rPr>
          <w:szCs w:val="22"/>
          <w:u w:val="single"/>
        </w:rPr>
        <w:t>http://www.eof.gr</w:t>
      </w:r>
      <w:r w:rsidRPr="00684E83">
        <w:rPr>
          <w:szCs w:val="22"/>
        </w:rPr>
        <w:t>.</w:t>
      </w:r>
    </w:p>
    <w:p w:rsidR="003B4BF5" w:rsidRPr="00FA63E7" w:rsidRDefault="003B4BF5" w:rsidP="00056716">
      <w:pPr>
        <w:rPr>
          <w:i/>
          <w:noProof/>
        </w:rPr>
      </w:pPr>
    </w:p>
    <w:p w:rsidR="00496809" w:rsidRPr="00786D07" w:rsidRDefault="00496809" w:rsidP="00CE2C21">
      <w:pPr>
        <w:tabs>
          <w:tab w:val="left" w:pos="567"/>
        </w:tabs>
      </w:pPr>
      <w:r w:rsidRPr="00786D07">
        <w:rPr>
          <w:b/>
        </w:rPr>
        <w:t>4.9</w:t>
      </w:r>
      <w:r w:rsidRPr="00786D07">
        <w:rPr>
          <w:b/>
        </w:rPr>
        <w:tab/>
        <w:t>Υπερδοσολογία</w:t>
      </w:r>
    </w:p>
    <w:p w:rsidR="00FA63E7" w:rsidRDefault="00FA63E7" w:rsidP="008F6A8F">
      <w:pPr>
        <w:rPr>
          <w:i/>
          <w:noProof/>
        </w:rPr>
      </w:pPr>
    </w:p>
    <w:p w:rsidR="008F6A8F" w:rsidRPr="00FA63E7" w:rsidRDefault="00FA63E7" w:rsidP="008F6A8F">
      <w:pPr>
        <w:rPr>
          <w:b/>
          <w:i/>
        </w:rPr>
      </w:pPr>
      <w:r w:rsidRPr="00FA63E7">
        <w:rPr>
          <w:b/>
          <w:i/>
        </w:rPr>
        <w:t>Ι</w:t>
      </w:r>
      <w:r w:rsidR="008F6A8F" w:rsidRPr="00FA63E7">
        <w:rPr>
          <w:b/>
          <w:i/>
        </w:rPr>
        <w:t>βουπροφαίνη</w:t>
      </w:r>
    </w:p>
    <w:p w:rsidR="008F6A8F" w:rsidRPr="00FA63E7" w:rsidRDefault="00FA63E7" w:rsidP="008F6A8F">
      <w:pPr>
        <w:rPr>
          <w:i/>
          <w:u w:val="single"/>
        </w:rPr>
      </w:pPr>
      <w:r w:rsidRPr="00FA63E7">
        <w:rPr>
          <w:i/>
          <w:u w:val="single"/>
        </w:rPr>
        <w:t>Τ</w:t>
      </w:r>
      <w:r w:rsidR="008F6A8F" w:rsidRPr="00FA63E7">
        <w:rPr>
          <w:i/>
          <w:u w:val="single"/>
        </w:rPr>
        <w:t>οξικότητα</w:t>
      </w:r>
    </w:p>
    <w:p w:rsidR="008F6A8F" w:rsidRPr="00FA63E7" w:rsidRDefault="008F6A8F" w:rsidP="008F6A8F">
      <w:r w:rsidRPr="00FA63E7">
        <w:t xml:space="preserve">Τα σημεία και </w:t>
      </w:r>
      <w:r w:rsidR="00FA63E7" w:rsidRPr="00FA63E7">
        <w:t xml:space="preserve">τα </w:t>
      </w:r>
      <w:r w:rsidRPr="00FA63E7">
        <w:t xml:space="preserve">συμπτώματα της τοξικότητας γενικά δεν </w:t>
      </w:r>
      <w:r w:rsidR="00FA63E7" w:rsidRPr="00FA63E7">
        <w:t xml:space="preserve">έχουν </w:t>
      </w:r>
      <w:r w:rsidRPr="00FA63E7">
        <w:t>παρατηρ</w:t>
      </w:r>
      <w:r w:rsidR="00FA63E7" w:rsidRPr="00FA63E7">
        <w:t>ηθεί</w:t>
      </w:r>
      <w:r w:rsidRPr="00FA63E7">
        <w:t xml:space="preserve"> σε δόσεις κάτω των 100</w:t>
      </w:r>
      <w:r w:rsidR="00FA63E7" w:rsidRPr="00FA63E7">
        <w:t> </w:t>
      </w:r>
      <w:r w:rsidRPr="00FA63E7">
        <w:t>mg/kg, σε παιδιά ή ενήλικες</w:t>
      </w:r>
      <w:r w:rsidR="00FA63E7" w:rsidRPr="00FA63E7">
        <w:t>. Ωστόσο,</w:t>
      </w:r>
      <w:r w:rsidRPr="00FA63E7">
        <w:t xml:space="preserve"> υποστηρικτική φροντίδα μπορεί να είναι απαρ</w:t>
      </w:r>
      <w:r w:rsidR="00FA63E7" w:rsidRPr="00FA63E7">
        <w:t>αίτητη σε ορισμένες περιπτώσεις</w:t>
      </w:r>
      <w:r w:rsidRPr="00FA63E7">
        <w:t xml:space="preserve">. Τα παιδιά </w:t>
      </w:r>
      <w:r w:rsidR="00FA63E7" w:rsidRPr="00FA63E7">
        <w:t>έχει</w:t>
      </w:r>
      <w:r w:rsidRPr="00FA63E7">
        <w:t xml:space="preserve"> παρατηρηθεί </w:t>
      </w:r>
      <w:r w:rsidR="00FA63E7" w:rsidRPr="00FA63E7">
        <w:t xml:space="preserve">ότι εκδηλώνουν </w:t>
      </w:r>
      <w:r w:rsidRPr="00FA63E7">
        <w:t>σημ</w:t>
      </w:r>
      <w:r w:rsidR="00FA63E7" w:rsidRPr="00FA63E7">
        <w:t>εία</w:t>
      </w:r>
      <w:r w:rsidRPr="00FA63E7">
        <w:t xml:space="preserve"> και συμπτώματα </w:t>
      </w:r>
      <w:r w:rsidRPr="00FA63E7">
        <w:lastRenderedPageBreak/>
        <w:t xml:space="preserve">τοξικότητας μετά από </w:t>
      </w:r>
      <w:r w:rsidR="00FA63E7" w:rsidRPr="00FA63E7">
        <w:t>λήψη</w:t>
      </w:r>
      <w:r w:rsidRPr="00FA63E7">
        <w:t xml:space="preserve"> 400</w:t>
      </w:r>
      <w:r w:rsidR="00FA63E7" w:rsidRPr="00FA63E7">
        <w:t> </w:t>
      </w:r>
      <w:r w:rsidRPr="00FA63E7">
        <w:t xml:space="preserve">mg/kg ή </w:t>
      </w:r>
      <w:r w:rsidR="00FA63E7" w:rsidRPr="00FA63E7">
        <w:t>περισσότερο</w:t>
      </w:r>
      <w:r w:rsidRPr="00FA63E7">
        <w:t>.</w:t>
      </w:r>
    </w:p>
    <w:p w:rsidR="008F6A8F" w:rsidRPr="00FA63E7" w:rsidRDefault="008F6A8F" w:rsidP="008F6A8F"/>
    <w:p w:rsidR="008F6A8F" w:rsidRPr="00FA63E7" w:rsidRDefault="00FA63E7" w:rsidP="008F6A8F">
      <w:pPr>
        <w:rPr>
          <w:i/>
          <w:u w:val="single"/>
        </w:rPr>
      </w:pPr>
      <w:r w:rsidRPr="00FA63E7">
        <w:rPr>
          <w:i/>
          <w:u w:val="single"/>
        </w:rPr>
        <w:t>Σ</w:t>
      </w:r>
      <w:r w:rsidR="008F6A8F" w:rsidRPr="00FA63E7">
        <w:rPr>
          <w:i/>
          <w:u w:val="single"/>
        </w:rPr>
        <w:t>υμπτώματα</w:t>
      </w:r>
    </w:p>
    <w:p w:rsidR="008F6A8F" w:rsidRPr="00FA63E7" w:rsidRDefault="008F6A8F" w:rsidP="008F6A8F">
      <w:r w:rsidRPr="00FA63E7">
        <w:t xml:space="preserve">Οι περισσότεροι ασθενείς που έχουν </w:t>
      </w:r>
      <w:r w:rsidR="00FA63E7" w:rsidRPr="00FA63E7">
        <w:t xml:space="preserve">λάβει σημαντικές ποσότητες ιβουπροφαίνης </w:t>
      </w:r>
      <w:r w:rsidRPr="00FA63E7">
        <w:t xml:space="preserve">θα </w:t>
      </w:r>
      <w:r w:rsidR="00FA63E7" w:rsidRPr="00FA63E7">
        <w:t>εκδηλώσουν</w:t>
      </w:r>
      <w:r w:rsidRPr="00FA63E7">
        <w:t xml:space="preserve"> συμπτώματα μέσα σε 4 έως 6 ώρες.</w:t>
      </w:r>
    </w:p>
    <w:p w:rsidR="008F6A8F" w:rsidRPr="00FA63E7" w:rsidRDefault="008F6A8F" w:rsidP="008F6A8F"/>
    <w:p w:rsidR="008F6A8F" w:rsidRPr="00FA63E7" w:rsidRDefault="008F6A8F" w:rsidP="008F6A8F">
      <w:r w:rsidRPr="00FA63E7">
        <w:t xml:space="preserve">Τα πιο συχνά αναφερόμενα συμπτώματα της υπερδοσολογίας με ιβουπροφαίνη περιλαμβάνουν ναυτία, έμετο, κοιλιακό άλγος, λήθαργο και υπνηλία. Επιδράσεις στο ΚΝΣ περιλαμβάνουν </w:t>
      </w:r>
      <w:r w:rsidR="00B813A3">
        <w:t>κεφαλαλγία</w:t>
      </w:r>
      <w:r w:rsidRPr="00FA63E7">
        <w:t>, εμβοές, ζάλη, σπασμ</w:t>
      </w:r>
      <w:r w:rsidR="00B813A3">
        <w:t>ούς</w:t>
      </w:r>
      <w:r w:rsidRPr="00FA63E7">
        <w:t xml:space="preserve"> και απώλεια συνείδησης. </w:t>
      </w:r>
      <w:r w:rsidR="00D221EB">
        <w:t>Ε</w:t>
      </w:r>
      <w:r w:rsidR="00D221EB" w:rsidRPr="00FA63E7">
        <w:t>πίσης</w:t>
      </w:r>
      <w:r w:rsidR="00D221EB">
        <w:t>,</w:t>
      </w:r>
      <w:r w:rsidR="00D221EB" w:rsidRPr="00FA63E7">
        <w:t xml:space="preserve"> έχουν αναφερθεί σπάνια </w:t>
      </w:r>
      <w:r w:rsidR="00D221EB">
        <w:t>ν</w:t>
      </w:r>
      <w:r w:rsidRPr="00FA63E7">
        <w:t xml:space="preserve">υσταγμός, μεταβολική οξέωση, υποθερμία, νεφρικές επιδράσεις, γαστρεντερική αιμορραγία, κώμα, άπνοια και </w:t>
      </w:r>
      <w:r w:rsidR="00E47607">
        <w:t>καταστολή</w:t>
      </w:r>
      <w:r w:rsidRPr="00FA63E7">
        <w:t xml:space="preserve"> του ΚΝΣ και του αναπνευστικού συστήματος. </w:t>
      </w:r>
      <w:r w:rsidR="00E47607">
        <w:t>Έ</w:t>
      </w:r>
      <w:r w:rsidR="00E47607" w:rsidRPr="00FA63E7">
        <w:t>χ</w:t>
      </w:r>
      <w:r w:rsidR="00E47607">
        <w:t>ει</w:t>
      </w:r>
      <w:r w:rsidR="00E47607" w:rsidRPr="00FA63E7">
        <w:t xml:space="preserve"> αναφερθεί </w:t>
      </w:r>
      <w:r w:rsidR="00E47607">
        <w:t>κ</w:t>
      </w:r>
      <w:r w:rsidRPr="00FA63E7">
        <w:t xml:space="preserve">αρδιαγγειακή τοξικότητα, όπως υπόταση, βραδυκαρδία και ταχυκαρδία. Σε περιπτώσεις σημαντικής υπερδοσολογίας, νεφρική ανεπάρκεια και ηπατική βλάβη είναι </w:t>
      </w:r>
      <w:r w:rsidR="00E47607">
        <w:t>πιθανό να εμφανιστούν</w:t>
      </w:r>
      <w:r w:rsidRPr="00FA63E7">
        <w:t>.</w:t>
      </w:r>
    </w:p>
    <w:p w:rsidR="008F6A8F" w:rsidRPr="00FA63E7" w:rsidRDefault="008F6A8F" w:rsidP="008F6A8F"/>
    <w:p w:rsidR="008F6A8F" w:rsidRPr="00FA63E7" w:rsidRDefault="00FA63E7" w:rsidP="008F6A8F">
      <w:pPr>
        <w:rPr>
          <w:b/>
          <w:i/>
        </w:rPr>
      </w:pPr>
      <w:r w:rsidRPr="00FA63E7">
        <w:rPr>
          <w:b/>
          <w:i/>
        </w:rPr>
        <w:t>Κ</w:t>
      </w:r>
      <w:r w:rsidR="008F6A8F" w:rsidRPr="00FA63E7">
        <w:rPr>
          <w:b/>
          <w:i/>
        </w:rPr>
        <w:t>ωδεΐνη</w:t>
      </w:r>
    </w:p>
    <w:p w:rsidR="008F6A8F" w:rsidRPr="00FA63E7" w:rsidRDefault="008F6A8F" w:rsidP="008F6A8F">
      <w:r w:rsidRPr="00FA63E7">
        <w:t xml:space="preserve">Συμπτώματα που αναφέρθηκαν με οξεία υπερδοσολογία </w:t>
      </w:r>
      <w:r w:rsidR="00FA63E7" w:rsidRPr="00FA63E7">
        <w:t xml:space="preserve">κωδεΐνης </w:t>
      </w:r>
      <w:r w:rsidRPr="00FA63E7">
        <w:t xml:space="preserve">περιλαμβάνουν έξαρση, άγχος, υπνηλία, κεφαλαλγία, σπασμούς, μεταβολές στην </w:t>
      </w:r>
      <w:r w:rsidR="00FA63E7" w:rsidRPr="00FA63E7">
        <w:t xml:space="preserve">αρτηριακή </w:t>
      </w:r>
      <w:r w:rsidRPr="00FA63E7">
        <w:t xml:space="preserve">πίεση, αρρυθμία, ταχυκαρδία, εξάνθημα, μύση, ξηροστομία, γαστρεντερικές διαταραχές, ναυτία, έμετο, κνησμό, </w:t>
      </w:r>
      <w:r w:rsidR="00FA63E7" w:rsidRPr="00FA63E7">
        <w:t>αταξία και πρήξιμο του δέρματος.</w:t>
      </w:r>
      <w:r w:rsidRPr="00FA63E7">
        <w:t xml:space="preserve"> </w:t>
      </w:r>
      <w:r w:rsidR="00FA63E7" w:rsidRPr="00FA63E7">
        <w:t>Έχουν επίσης αναφερθεί α</w:t>
      </w:r>
      <w:r w:rsidRPr="00FA63E7">
        <w:t>ναπνευστική ανεπάρκεια και μερικοί θάνατοι.</w:t>
      </w:r>
    </w:p>
    <w:p w:rsidR="008F6A8F" w:rsidRPr="00FA63E7" w:rsidRDefault="008F6A8F" w:rsidP="008F6A8F"/>
    <w:p w:rsidR="008F6A8F" w:rsidRPr="00D030CF" w:rsidRDefault="00D030CF" w:rsidP="008F6A8F">
      <w:pPr>
        <w:rPr>
          <w:b/>
          <w:i/>
        </w:rPr>
      </w:pPr>
      <w:r w:rsidRPr="00FA63E7">
        <w:rPr>
          <w:b/>
          <w:i/>
        </w:rPr>
        <w:t>Θ</w:t>
      </w:r>
      <w:r w:rsidR="008F6A8F" w:rsidRPr="00FA63E7">
        <w:rPr>
          <w:b/>
          <w:i/>
        </w:rPr>
        <w:t>εραπεία</w:t>
      </w:r>
    </w:p>
    <w:p w:rsidR="00496809" w:rsidRPr="00786D07" w:rsidRDefault="00D030CF" w:rsidP="008F6A8F">
      <w:r w:rsidRPr="00D030CF">
        <w:t>Η α</w:t>
      </w:r>
      <w:r w:rsidR="008F6A8F" w:rsidRPr="00D030CF">
        <w:t xml:space="preserve">ντιμετώπιση υπερδοσολογίας </w:t>
      </w:r>
      <w:r w:rsidR="00B813A3">
        <w:t>δισκίων</w:t>
      </w:r>
      <w:r w:rsidRPr="00D030CF">
        <w:t xml:space="preserve">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008F6A8F" w:rsidRPr="00D030CF">
        <w:t xml:space="preserve">βασίζεται στις γενικές αρχές για τη θεραπεία της δηλητηρίασης </w:t>
      </w:r>
      <w:r w:rsidR="00B813A3">
        <w:t>από ναρκωτικά</w:t>
      </w:r>
      <w:r w:rsidR="008F6A8F" w:rsidRPr="00D030CF">
        <w:t>, με τη χρήση ενεργού άνθρακα. Εάν είναι απαραίτητο,</w:t>
      </w:r>
      <w:r w:rsidRPr="00D030CF">
        <w:t xml:space="preserve"> η</w:t>
      </w:r>
      <w:r w:rsidR="008F6A8F" w:rsidRPr="00D030CF">
        <w:t xml:space="preserve"> ισορροπία των ηλεκτρολυτών στον ορό πρέπει να διορθωθεί. Δεν υπάρχει </w:t>
      </w:r>
      <w:r w:rsidRPr="00D030CF">
        <w:t>συγκεκριμένο</w:t>
      </w:r>
      <w:r w:rsidR="008F6A8F" w:rsidRPr="00D030CF">
        <w:t xml:space="preserve"> αντίδοτο για την υπερδοσολογία ιβουπροφαίνη</w:t>
      </w:r>
      <w:r w:rsidRPr="00D030CF">
        <w:t>ς</w:t>
      </w:r>
      <w:r w:rsidR="008F6A8F" w:rsidRPr="00D030CF">
        <w:t xml:space="preserve">. Σε μια υπερβολική δόση κωδεΐνης, </w:t>
      </w:r>
      <w:r w:rsidR="00294C75" w:rsidRPr="00D030CF">
        <w:t xml:space="preserve">μπορεί να χορηγηθεί </w:t>
      </w:r>
      <w:r w:rsidR="008F6A8F" w:rsidRPr="00D030CF">
        <w:t>παρεντερική ναλοξόνη σε συνδυασμό με ανάνηψη</w:t>
      </w:r>
      <w:r w:rsidRPr="00D030CF">
        <w:t>, εάν έχει παρατηρηθεί σοβαρή αναπνευστική</w:t>
      </w:r>
      <w:r w:rsidR="008F6A8F" w:rsidRPr="00D030CF">
        <w:t xml:space="preserve"> και/ή καρδιαγγειακή </w:t>
      </w:r>
      <w:r w:rsidRPr="00D030CF">
        <w:t>καταστολή</w:t>
      </w:r>
      <w:r w:rsidR="008F6A8F" w:rsidRPr="00D030CF">
        <w:t>. Για τις πιο πρόσφατες πληροφορίες, επικοινωνήστε με το τοπικό Κέντρο Δηλητηριάσεων</w:t>
      </w:r>
      <w:r w:rsidRPr="00D030CF">
        <w:t xml:space="preserve"> (Τηλ.: 210 7793 777</w:t>
      </w:r>
      <w:r w:rsidR="00294C75">
        <w:t>, Αθήνα</w:t>
      </w:r>
      <w:r w:rsidRPr="00D030CF">
        <w:t>)</w:t>
      </w:r>
      <w:r w:rsidR="008F6A8F" w:rsidRPr="00D030CF">
        <w:t>.</w:t>
      </w:r>
    </w:p>
    <w:p w:rsidR="00496809" w:rsidRDefault="00496809"/>
    <w:p w:rsidR="00325F65" w:rsidRPr="00786D07" w:rsidRDefault="00325F65"/>
    <w:p w:rsidR="00496809" w:rsidRPr="00786D07" w:rsidRDefault="00496809" w:rsidP="00CE2C21">
      <w:pPr>
        <w:tabs>
          <w:tab w:val="left" w:pos="567"/>
        </w:tabs>
      </w:pPr>
      <w:r w:rsidRPr="00786D07">
        <w:rPr>
          <w:b/>
        </w:rPr>
        <w:t>5.</w:t>
      </w:r>
      <w:r w:rsidRPr="00786D07">
        <w:rPr>
          <w:b/>
        </w:rPr>
        <w:tab/>
        <w:t>ΦΑΡΜΑΚΟΛΟΓΙΚΕΣ ΙΔΙΟΤΗΤΕΣ</w:t>
      </w:r>
    </w:p>
    <w:p w:rsidR="00496809" w:rsidRPr="00786D07" w:rsidRDefault="00496809"/>
    <w:p w:rsidR="00496809" w:rsidRPr="00786D07" w:rsidRDefault="00496809" w:rsidP="00CE2C21">
      <w:pPr>
        <w:tabs>
          <w:tab w:val="left" w:pos="567"/>
        </w:tabs>
      </w:pPr>
      <w:r w:rsidRPr="00786D07">
        <w:rPr>
          <w:b/>
        </w:rPr>
        <w:t>5.1</w:t>
      </w:r>
      <w:r w:rsidRPr="00786D07">
        <w:rPr>
          <w:b/>
        </w:rPr>
        <w:tab/>
        <w:t>Φαρμακοδυναμικές ιδιότητες</w:t>
      </w:r>
    </w:p>
    <w:p w:rsidR="00496809" w:rsidRPr="00786D07" w:rsidRDefault="00496809"/>
    <w:p w:rsidR="00496809" w:rsidRPr="00786D07" w:rsidRDefault="00496809">
      <w:r w:rsidRPr="00786D07">
        <w:t xml:space="preserve">Φαρμακοθεραπευτική κατηγορία: </w:t>
      </w:r>
      <w:r w:rsidR="00600B1E">
        <w:t>Κωδεΐνη, συνδυασμοί εξαιρουμένων των ψυχοληπτικών</w:t>
      </w:r>
      <w:r w:rsidR="00BB64D0">
        <w:t xml:space="preserve">, </w:t>
      </w:r>
      <w:r w:rsidR="00600B1E">
        <w:t>Κ</w:t>
      </w:r>
      <w:r w:rsidR="00BB64D0">
        <w:t>ωδικός ATC</w:t>
      </w:r>
      <w:r w:rsidR="00BB64D0" w:rsidRPr="007D2698">
        <w:t xml:space="preserve">: </w:t>
      </w:r>
      <w:r w:rsidR="00FD730D" w:rsidRPr="007D2698">
        <w:rPr>
          <w:szCs w:val="22"/>
          <w:lang w:val="en-GB"/>
        </w:rPr>
        <w:t>N</w:t>
      </w:r>
      <w:r w:rsidR="00FD730D" w:rsidRPr="007D2698">
        <w:rPr>
          <w:szCs w:val="22"/>
        </w:rPr>
        <w:t>02</w:t>
      </w:r>
      <w:r w:rsidR="00FD730D" w:rsidRPr="007D2698">
        <w:rPr>
          <w:szCs w:val="22"/>
          <w:lang w:val="en-GB"/>
        </w:rPr>
        <w:t>AA</w:t>
      </w:r>
      <w:r w:rsidR="00FD730D" w:rsidRPr="007D2698">
        <w:rPr>
          <w:szCs w:val="22"/>
        </w:rPr>
        <w:t>59</w:t>
      </w:r>
    </w:p>
    <w:p w:rsidR="00496809" w:rsidRPr="00786D07" w:rsidRDefault="00496809"/>
    <w:p w:rsidR="00FD730D" w:rsidRPr="00504535" w:rsidRDefault="00FD730D" w:rsidP="00FD730D">
      <w:r w:rsidRPr="00504535">
        <w:t xml:space="preserve">Η ιβουπροφαίνη είναι ένα παράγωγο </w:t>
      </w:r>
      <w:r w:rsidR="00600B1E" w:rsidRPr="00504535">
        <w:t>προπιονικού οξέος με αναλγητική</w:t>
      </w:r>
      <w:r w:rsidRPr="00504535">
        <w:t>, αντιπυρετική και αντιφλεγμονώδ</w:t>
      </w:r>
      <w:r w:rsidR="00600B1E" w:rsidRPr="00504535">
        <w:t>η</w:t>
      </w:r>
      <w:r w:rsidRPr="00504535">
        <w:t xml:space="preserve"> </w:t>
      </w:r>
      <w:r w:rsidR="00600B1E" w:rsidRPr="00504535">
        <w:t>δ</w:t>
      </w:r>
      <w:r w:rsidRPr="00504535">
        <w:t>ράσ</w:t>
      </w:r>
      <w:r w:rsidR="00600B1E" w:rsidRPr="00504535">
        <w:t>η</w:t>
      </w:r>
      <w:r w:rsidRPr="00504535">
        <w:t xml:space="preserve">. </w:t>
      </w:r>
      <w:r w:rsidR="00504535" w:rsidRPr="00504535">
        <w:t>Πιστεύεται</w:t>
      </w:r>
      <w:r w:rsidR="00600B1E" w:rsidRPr="00504535">
        <w:t xml:space="preserve"> ότι δρα περιφερ</w:t>
      </w:r>
      <w:r w:rsidRPr="00504535">
        <w:t>ικά αναστέλλοντας τη σύνθεση των προσταγλανδινών και επηρεάζο</w:t>
      </w:r>
      <w:r w:rsidR="00600B1E" w:rsidRPr="00504535">
        <w:t>ντας</w:t>
      </w:r>
      <w:r w:rsidRPr="00504535">
        <w:t xml:space="preserve"> </w:t>
      </w:r>
      <w:r w:rsidR="00600B1E" w:rsidRPr="00504535">
        <w:t xml:space="preserve">τους </w:t>
      </w:r>
      <w:r w:rsidRPr="00504535">
        <w:t>χημικ</w:t>
      </w:r>
      <w:r w:rsidR="00600B1E" w:rsidRPr="00504535">
        <w:t>ούς</w:t>
      </w:r>
      <w:r w:rsidRPr="00504535">
        <w:t xml:space="preserve"> νευροδιαβιβαστ</w:t>
      </w:r>
      <w:r w:rsidR="00600B1E" w:rsidRPr="00504535">
        <w:t>ές</w:t>
      </w:r>
      <w:r w:rsidRPr="00504535">
        <w:t xml:space="preserve"> </w:t>
      </w:r>
      <w:r w:rsidR="00600B1E" w:rsidRPr="00504535">
        <w:t>του</w:t>
      </w:r>
      <w:r w:rsidRPr="00504535">
        <w:t xml:space="preserve"> πόνο</w:t>
      </w:r>
      <w:r w:rsidR="00600B1E" w:rsidRPr="00504535">
        <w:t>υ</w:t>
      </w:r>
      <w:r w:rsidRPr="00504535">
        <w:t>.</w:t>
      </w:r>
    </w:p>
    <w:p w:rsidR="00FD730D" w:rsidRPr="00504535" w:rsidRDefault="00FD730D" w:rsidP="00FD730D"/>
    <w:p w:rsidR="00FD730D" w:rsidRPr="00504535" w:rsidRDefault="00FD730D" w:rsidP="00FD730D">
      <w:r w:rsidRPr="00504535">
        <w:t xml:space="preserve">Πειραματικά δεδομένα </w:t>
      </w:r>
      <w:r w:rsidR="00B64E39">
        <w:t>υποδεικνύουν</w:t>
      </w:r>
      <w:r w:rsidR="00B64E39" w:rsidRPr="00504535">
        <w:t xml:space="preserve"> </w:t>
      </w:r>
      <w:r w:rsidRPr="00504535">
        <w:t xml:space="preserve">ότι η ιβουπροφαίνη </w:t>
      </w:r>
      <w:r w:rsidR="00B64E39">
        <w:t xml:space="preserve">πιθανόν </w:t>
      </w:r>
      <w:r w:rsidRPr="00504535">
        <w:t xml:space="preserve">να αναστείλει </w:t>
      </w:r>
      <w:r w:rsidR="00B64E39">
        <w:t xml:space="preserve">ανταγωνιστικά </w:t>
      </w:r>
      <w:r w:rsidRPr="00504535">
        <w:t>τη</w:t>
      </w:r>
      <w:r w:rsidR="00B64E39">
        <w:t>ν</w:t>
      </w:r>
      <w:r w:rsidRPr="00504535">
        <w:t xml:space="preserve"> </w:t>
      </w:r>
      <w:r w:rsidR="00B64E39">
        <w:t>επί</w:t>
      </w:r>
      <w:r w:rsidR="00504535" w:rsidRPr="00504535">
        <w:t>δρ</w:t>
      </w:r>
      <w:r w:rsidR="00B64E39">
        <w:t>α</w:t>
      </w:r>
      <w:r w:rsidR="00504535" w:rsidRPr="00504535">
        <w:t>ση</w:t>
      </w:r>
      <w:r w:rsidRPr="00504535">
        <w:t xml:space="preserve"> τ</w:t>
      </w:r>
      <w:r w:rsidR="00B64E39">
        <w:t>ων</w:t>
      </w:r>
      <w:r w:rsidRPr="00504535">
        <w:t xml:space="preserve"> χαμηλ</w:t>
      </w:r>
      <w:r w:rsidR="00B64E39">
        <w:t>ών</w:t>
      </w:r>
      <w:r w:rsidRPr="00504535">
        <w:t xml:space="preserve"> δόσ</w:t>
      </w:r>
      <w:r w:rsidR="00B64E39">
        <w:t>εων</w:t>
      </w:r>
      <w:r w:rsidRPr="00504535">
        <w:t xml:space="preserve"> ακετυλοσαλικυλικού οξέος στη </w:t>
      </w:r>
      <w:r w:rsidR="003A6470">
        <w:t>συσσώρευση</w:t>
      </w:r>
      <w:r w:rsidRPr="00504535">
        <w:t xml:space="preserve"> των αιμοπεταλίων όταν</w:t>
      </w:r>
      <w:r w:rsidR="00B64E39">
        <w:t xml:space="preserve"> τα δύο φάρμακα</w:t>
      </w:r>
      <w:r w:rsidRPr="00504535">
        <w:t xml:space="preserve"> </w:t>
      </w:r>
      <w:r w:rsidR="00504535" w:rsidRPr="00504535">
        <w:t>χορηγούνται</w:t>
      </w:r>
      <w:r w:rsidRPr="00504535">
        <w:t xml:space="preserve"> ταυτόχρονα. </w:t>
      </w:r>
      <w:r w:rsidR="00B64E39">
        <w:t>Ορισμένες φαρμακοδυναμικές μελέτες υποδεικνύουν ότι</w:t>
      </w:r>
      <w:r w:rsidRPr="00504535">
        <w:t xml:space="preserve">, όταν </w:t>
      </w:r>
      <w:r w:rsidR="00B64E39">
        <w:t xml:space="preserve">χορηγήθηκε </w:t>
      </w:r>
      <w:r w:rsidRPr="00504535">
        <w:t>μια εφάπαξ δόση 400</w:t>
      </w:r>
      <w:r w:rsidR="00504535" w:rsidRPr="00504535">
        <w:t> </w:t>
      </w:r>
      <w:r w:rsidRPr="00504535">
        <w:t xml:space="preserve">mg ιβουπροφαίνης εντός 8 </w:t>
      </w:r>
      <w:r w:rsidR="00504535" w:rsidRPr="00504535">
        <w:t>ωρών</w:t>
      </w:r>
      <w:r w:rsidRPr="00504535">
        <w:t xml:space="preserve"> πριν ή </w:t>
      </w:r>
      <w:r w:rsidR="00504535" w:rsidRPr="00504535">
        <w:t>εντός</w:t>
      </w:r>
      <w:r w:rsidRPr="00504535">
        <w:t xml:space="preserve"> 30 λεπτ</w:t>
      </w:r>
      <w:r w:rsidR="00504535" w:rsidRPr="00504535">
        <w:t>ών</w:t>
      </w:r>
      <w:r w:rsidRPr="00504535">
        <w:t xml:space="preserve"> μετά τη</w:t>
      </w:r>
      <w:r w:rsidR="00504535" w:rsidRPr="00504535">
        <w:t xml:space="preserve"> </w:t>
      </w:r>
      <w:r w:rsidR="00C04030">
        <w:t xml:space="preserve">λήψη </w:t>
      </w:r>
      <w:r w:rsidRPr="00504535">
        <w:t xml:space="preserve">ακετυλοσαλικυλικού οξέος </w:t>
      </w:r>
      <w:r w:rsidR="00504535" w:rsidRPr="00504535">
        <w:t>άμεση</w:t>
      </w:r>
      <w:r w:rsidR="00B843B0">
        <w:t>ς</w:t>
      </w:r>
      <w:r w:rsidR="00504535" w:rsidRPr="00504535">
        <w:t xml:space="preserve"> αποδέσμευσης</w:t>
      </w:r>
      <w:r w:rsidRPr="00504535">
        <w:t xml:space="preserve"> (81</w:t>
      </w:r>
      <w:r w:rsidR="00504535" w:rsidRPr="00504535">
        <w:t> </w:t>
      </w:r>
      <w:r w:rsidRPr="00504535">
        <w:t xml:space="preserve">mg), </w:t>
      </w:r>
      <w:r w:rsidR="00504535" w:rsidRPr="00504535">
        <w:t xml:space="preserve">παρατηρήθηκε </w:t>
      </w:r>
      <w:r w:rsidRPr="00504535">
        <w:t>με</w:t>
      </w:r>
      <w:r w:rsidR="00C04030">
        <w:t>ί</w:t>
      </w:r>
      <w:r w:rsidRPr="00504535">
        <w:t>ω</w:t>
      </w:r>
      <w:r w:rsidR="00C04030">
        <w:t>σ</w:t>
      </w:r>
      <w:r w:rsidRPr="00504535">
        <w:t>η</w:t>
      </w:r>
      <w:r w:rsidR="00C04030">
        <w:t xml:space="preserve"> της</w:t>
      </w:r>
      <w:r w:rsidRPr="00504535">
        <w:t xml:space="preserve"> </w:t>
      </w:r>
      <w:r w:rsidR="00504535" w:rsidRPr="00504535">
        <w:t>δρά</w:t>
      </w:r>
      <w:r w:rsidRPr="00504535">
        <w:t>ση</w:t>
      </w:r>
      <w:r w:rsidR="00C04030">
        <w:t>ς</w:t>
      </w:r>
      <w:r w:rsidRPr="00504535">
        <w:t xml:space="preserve"> του ακετυλοσαλικυλικού οξέος </w:t>
      </w:r>
      <w:r w:rsidR="00504535" w:rsidRPr="00504535">
        <w:t>σ</w:t>
      </w:r>
      <w:r w:rsidRPr="00504535">
        <w:t xml:space="preserve">το σχηματισμό </w:t>
      </w:r>
      <w:r w:rsidR="00587894">
        <w:t xml:space="preserve">θρομβοξάνης </w:t>
      </w:r>
      <w:r w:rsidRPr="00504535">
        <w:t xml:space="preserve">ή </w:t>
      </w:r>
      <w:r w:rsidR="00D42977">
        <w:t>στη</w:t>
      </w:r>
      <w:r w:rsidR="00504535" w:rsidRPr="00504535">
        <w:t xml:space="preserve"> </w:t>
      </w:r>
      <w:r w:rsidR="003A6470">
        <w:t>συσσώρευση</w:t>
      </w:r>
      <w:r w:rsidRPr="00504535">
        <w:t xml:space="preserve"> αιμοπεταλίων. </w:t>
      </w:r>
      <w:r w:rsidR="00D42977" w:rsidRPr="00D42977">
        <w:t xml:space="preserve">Παρόλο που υπάρχουν ασάφειες ως προς την παρέκταση των εν λόγω δεδομένων σε κλινικές συνθήκες, δεν αποκλείεται η πιθανότητα ότι η τακτική, μακροπρόθεσμη χρήση της ιβουπροφαίνης ενδέχεται να συμβάλει στη μείωση της καρδιοπροστατευτικής επίδρασης του ακετυλοσαλικυλικού οξέος χαμηλής δοσολογίας. Δεν υπάρχει το ενδεχόμενο </w:t>
      </w:r>
      <w:r w:rsidRPr="00504535">
        <w:t>κλινικά σχετική</w:t>
      </w:r>
      <w:r w:rsidR="00D42977">
        <w:t>ς</w:t>
      </w:r>
      <w:r w:rsidRPr="00504535">
        <w:t xml:space="preserve"> επίδραση</w:t>
      </w:r>
      <w:r w:rsidR="00D42977">
        <w:t>ς</w:t>
      </w:r>
      <w:r w:rsidRPr="00504535">
        <w:t xml:space="preserve"> </w:t>
      </w:r>
      <w:r w:rsidR="00D42977">
        <w:t>από</w:t>
      </w:r>
      <w:r w:rsidRPr="00504535">
        <w:t xml:space="preserve"> την περισ</w:t>
      </w:r>
      <w:r w:rsidR="00504535" w:rsidRPr="00504535">
        <w:t>τασιακή χρήση της ιβουπροφαίνης</w:t>
      </w:r>
      <w:r w:rsidR="00D42977">
        <w:t xml:space="preserve"> (βλ. παράγραφο 4.5)</w:t>
      </w:r>
      <w:r w:rsidRPr="00504535">
        <w:t>.</w:t>
      </w:r>
    </w:p>
    <w:p w:rsidR="00FD730D" w:rsidRPr="00504535" w:rsidRDefault="00FD730D" w:rsidP="00FD730D"/>
    <w:p w:rsidR="00FD730D" w:rsidRPr="00BB64D0" w:rsidRDefault="00FD730D" w:rsidP="00FD730D">
      <w:r w:rsidRPr="00504535">
        <w:t>Η κωδεΐνη</w:t>
      </w:r>
      <w:r w:rsidRPr="00BB64D0">
        <w:t xml:space="preserve"> είναι </w:t>
      </w:r>
      <w:r w:rsidR="007E6F4D" w:rsidRPr="00BB64D0">
        <w:t>ένα ασθενές</w:t>
      </w:r>
      <w:r w:rsidRPr="00BB64D0">
        <w:t xml:space="preserve"> αναλγητικό </w:t>
      </w:r>
      <w:r w:rsidR="007E6F4D" w:rsidRPr="00BB64D0">
        <w:t>με κεντρική δράση</w:t>
      </w:r>
      <w:r w:rsidRPr="00BB64D0">
        <w:t xml:space="preserve">. </w:t>
      </w:r>
      <w:r w:rsidR="007E6F4D" w:rsidRPr="00BB64D0">
        <w:t>Η κ</w:t>
      </w:r>
      <w:r w:rsidRPr="00BB64D0">
        <w:t>ωδεΐνη ασκεί τη</w:t>
      </w:r>
      <w:r w:rsidR="007E6F4D" w:rsidRPr="00BB64D0">
        <w:t xml:space="preserve"> </w:t>
      </w:r>
      <w:r w:rsidRPr="00BB64D0">
        <w:t>δρ</w:t>
      </w:r>
      <w:r w:rsidR="007E6F4D" w:rsidRPr="00BB64D0">
        <w:t>άση</w:t>
      </w:r>
      <w:r w:rsidRPr="00BB64D0">
        <w:t xml:space="preserve"> τ</w:t>
      </w:r>
      <w:r w:rsidR="007E6F4D" w:rsidRPr="00BB64D0">
        <w:t>ης</w:t>
      </w:r>
      <w:r w:rsidRPr="00BB64D0">
        <w:t xml:space="preserve"> μέσω </w:t>
      </w:r>
      <w:r w:rsidR="00782396">
        <w:t xml:space="preserve">των </w:t>
      </w:r>
      <w:r w:rsidRPr="00BB64D0">
        <w:t>μ</w:t>
      </w:r>
      <w:r w:rsidR="00782396">
        <w:t>-</w:t>
      </w:r>
      <w:r w:rsidR="007E6F4D" w:rsidRPr="00BB64D0">
        <w:t>υποδοχέων</w:t>
      </w:r>
      <w:r w:rsidR="00782396">
        <w:t xml:space="preserve"> των</w:t>
      </w:r>
      <w:r w:rsidR="00782396" w:rsidRPr="00782396">
        <w:t xml:space="preserve"> </w:t>
      </w:r>
      <w:r w:rsidR="00782396" w:rsidRPr="00BB64D0">
        <w:t>οπιοειδών</w:t>
      </w:r>
      <w:r w:rsidRPr="00BB64D0">
        <w:t xml:space="preserve">, </w:t>
      </w:r>
      <w:r w:rsidR="007E6F4D" w:rsidRPr="00BB64D0">
        <w:t>παρόλο που η</w:t>
      </w:r>
      <w:r w:rsidRPr="00BB64D0">
        <w:t xml:space="preserve"> κωδεΐνη έχει χαμηλή συγγένεια </w:t>
      </w:r>
      <w:r w:rsidR="007E6F4D" w:rsidRPr="00BB64D0">
        <w:t>με</w:t>
      </w:r>
      <w:r w:rsidRPr="00BB64D0">
        <w:t xml:space="preserve"> αυτούς τους υποδοχείς, και η αναλγητική </w:t>
      </w:r>
      <w:r w:rsidR="007E6F4D" w:rsidRPr="00BB64D0">
        <w:t>της δράση</w:t>
      </w:r>
      <w:r w:rsidRPr="00BB64D0">
        <w:t xml:space="preserve"> οφείλεται στη μετατροπή τ</w:t>
      </w:r>
      <w:r w:rsidR="007E6F4D" w:rsidRPr="00BB64D0">
        <w:t>ης</w:t>
      </w:r>
      <w:r w:rsidRPr="00BB64D0">
        <w:t xml:space="preserve"> σε μορφίνη. Περίπου το 10% </w:t>
      </w:r>
      <w:r w:rsidRPr="00BB64D0">
        <w:lastRenderedPageBreak/>
        <w:t>της κωδεΐνης μεταβολίζεται σε μορφίνη.</w:t>
      </w:r>
    </w:p>
    <w:p w:rsidR="00FD730D" w:rsidRPr="00BB64D0" w:rsidRDefault="007E6F4D" w:rsidP="00FD730D">
      <w:r w:rsidRPr="00BB64D0">
        <w:t>Η κ</w:t>
      </w:r>
      <w:r w:rsidR="00FD730D" w:rsidRPr="00BB64D0">
        <w:t>ωδεΐνη απελευθερώνει ισταμίνη πιο ισχυρά από τη μορφίνη.</w:t>
      </w:r>
    </w:p>
    <w:p w:rsidR="00FD730D" w:rsidRPr="00BB64D0" w:rsidRDefault="00FD730D" w:rsidP="00FD730D"/>
    <w:p w:rsidR="00FD730D" w:rsidRPr="00BB64D0" w:rsidRDefault="00BB64D0" w:rsidP="00FD730D">
      <w:r w:rsidRPr="00BB64D0">
        <w:t>Η κ</w:t>
      </w:r>
      <w:r w:rsidR="00FD730D" w:rsidRPr="00BB64D0">
        <w:t xml:space="preserve">ωδεΐνη, </w:t>
      </w:r>
      <w:r w:rsidRPr="00BB64D0">
        <w:t xml:space="preserve">ειδικά </w:t>
      </w:r>
      <w:r w:rsidR="00FD730D" w:rsidRPr="00BB64D0">
        <w:t>σε συνδυασμό με άλλα</w:t>
      </w:r>
      <w:r w:rsidRPr="00BB64D0">
        <w:t xml:space="preserve"> αναλγητικά όπως η παρακεταμόλη</w:t>
      </w:r>
      <w:r w:rsidR="00FD730D" w:rsidRPr="00BB64D0">
        <w:t xml:space="preserve">, έχει </w:t>
      </w:r>
      <w:r w:rsidRPr="00BB64D0">
        <w:t xml:space="preserve">δείξει </w:t>
      </w:r>
      <w:r w:rsidR="00FD730D" w:rsidRPr="00BB64D0">
        <w:t xml:space="preserve">ότι είναι αποτελεσματική </w:t>
      </w:r>
      <w:r w:rsidR="00071E1A">
        <w:t>στην οξεία αλγαισθησία</w:t>
      </w:r>
      <w:r w:rsidR="00FD730D" w:rsidRPr="00BB64D0">
        <w:t>.</w:t>
      </w:r>
    </w:p>
    <w:p w:rsidR="00496809" w:rsidRDefault="00FD730D" w:rsidP="00FD730D">
      <w:r w:rsidRPr="00BB64D0">
        <w:t xml:space="preserve">Οι διαφορετικοί μηχανισμοί δράσης της ιβουπροφαίνης και </w:t>
      </w:r>
      <w:r w:rsidR="00BB64D0" w:rsidRPr="00BB64D0">
        <w:t>τ</w:t>
      </w:r>
      <w:r w:rsidRPr="00BB64D0">
        <w:t>η</w:t>
      </w:r>
      <w:r w:rsidR="00BB64D0" w:rsidRPr="00BB64D0">
        <w:t>ς</w:t>
      </w:r>
      <w:r w:rsidRPr="00BB64D0">
        <w:t xml:space="preserve"> κωδεΐνη</w:t>
      </w:r>
      <w:r w:rsidR="00BB64D0" w:rsidRPr="00BB64D0">
        <w:t>ς</w:t>
      </w:r>
      <w:r w:rsidRPr="00BB64D0">
        <w:t xml:space="preserve"> επιτρέπουν βελτιωμένη αναλγησία όταν χρησιμοποιούνται σε συνδυασμό.</w:t>
      </w:r>
    </w:p>
    <w:p w:rsidR="00BB64D0" w:rsidRPr="00786D07" w:rsidRDefault="00BB64D0" w:rsidP="00FD730D"/>
    <w:p w:rsidR="00496809" w:rsidRPr="00786D07" w:rsidRDefault="00496809" w:rsidP="00CE2C21">
      <w:pPr>
        <w:tabs>
          <w:tab w:val="left" w:pos="567"/>
        </w:tabs>
        <w:rPr>
          <w:b/>
        </w:rPr>
      </w:pPr>
      <w:r w:rsidRPr="00786D07">
        <w:rPr>
          <w:b/>
        </w:rPr>
        <w:t>5.2</w:t>
      </w:r>
      <w:r w:rsidRPr="00786D07">
        <w:rPr>
          <w:b/>
        </w:rPr>
        <w:tab/>
        <w:t>Φαρμακοκινητικές ιδιότητες</w:t>
      </w:r>
    </w:p>
    <w:p w:rsidR="00056716" w:rsidRPr="00786D07" w:rsidRDefault="00056716"/>
    <w:p w:rsidR="00FD730D" w:rsidRPr="008F286B" w:rsidRDefault="00FD730D" w:rsidP="00FD730D">
      <w:pPr>
        <w:rPr>
          <w:noProof/>
        </w:rPr>
      </w:pPr>
      <w:r w:rsidRPr="008F286B">
        <w:rPr>
          <w:noProof/>
        </w:rPr>
        <w:t>Η ιβουπρο</w:t>
      </w:r>
      <w:r w:rsidR="00854807" w:rsidRPr="008F286B">
        <w:rPr>
          <w:noProof/>
        </w:rPr>
        <w:t>φαίνη είναι ένα ρακεμικό μείγμα</w:t>
      </w:r>
      <w:r w:rsidR="00782396">
        <w:rPr>
          <w:noProof/>
        </w:rPr>
        <w:t xml:space="preserve"> και η δράση </w:t>
      </w:r>
      <w:r w:rsidRPr="008F286B">
        <w:rPr>
          <w:noProof/>
        </w:rPr>
        <w:t>βασίζεται στο S</w:t>
      </w:r>
      <w:r w:rsidR="00854807" w:rsidRPr="008F286B">
        <w:rPr>
          <w:noProof/>
        </w:rPr>
        <w:t>(</w:t>
      </w:r>
      <w:r w:rsidRPr="008F286B">
        <w:rPr>
          <w:noProof/>
        </w:rPr>
        <w:t>+)-ισομερές.</w:t>
      </w:r>
    </w:p>
    <w:p w:rsidR="00FD730D" w:rsidRPr="008F286B" w:rsidRDefault="00FD730D" w:rsidP="00FD730D">
      <w:pPr>
        <w:rPr>
          <w:noProof/>
        </w:rPr>
      </w:pPr>
    </w:p>
    <w:p w:rsidR="00854807" w:rsidRPr="007C6397" w:rsidRDefault="00854807" w:rsidP="00FD730D">
      <w:pPr>
        <w:rPr>
          <w:b/>
          <w:i/>
          <w:noProof/>
        </w:rPr>
      </w:pPr>
      <w:r w:rsidRPr="007C6397">
        <w:rPr>
          <w:b/>
          <w:i/>
          <w:noProof/>
        </w:rPr>
        <w:t>Απορρόφηση</w:t>
      </w:r>
    </w:p>
    <w:p w:rsidR="00FD730D" w:rsidRPr="008F286B" w:rsidRDefault="00FD730D" w:rsidP="00FD730D">
      <w:pPr>
        <w:rPr>
          <w:noProof/>
        </w:rPr>
      </w:pPr>
      <w:r w:rsidRPr="008F286B">
        <w:rPr>
          <w:noProof/>
        </w:rPr>
        <w:t xml:space="preserve">Η ιβουπροφαίνη απορροφάται ταχέως από το γαστρεντερικό σωλήνα με βιοδιαθεσιμότητα 80-90%. Οι μέγιστες συγκεντρώσεις στον ορό </w:t>
      </w:r>
      <w:r w:rsidR="008F286B" w:rsidRPr="008F286B">
        <w:rPr>
          <w:noProof/>
        </w:rPr>
        <w:t>επιτυγχάνονται</w:t>
      </w:r>
      <w:r w:rsidRPr="008F286B">
        <w:rPr>
          <w:noProof/>
        </w:rPr>
        <w:t xml:space="preserve"> σε 2 ώρες (διάμεση τιμή) μετά τη χορήγηση τ</w:t>
      </w:r>
      <w:r w:rsidR="008F286B" w:rsidRPr="008F286B">
        <w:rPr>
          <w:noProof/>
        </w:rPr>
        <w:t>ου</w:t>
      </w:r>
      <w:r w:rsidRPr="008F286B">
        <w:rPr>
          <w:noProof/>
        </w:rPr>
        <w:t xml:space="preserve">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Pr="008F286B">
        <w:rPr>
          <w:noProof/>
        </w:rPr>
        <w:t xml:space="preserve">μετά </w:t>
      </w:r>
      <w:r w:rsidR="008F286B" w:rsidRPr="008F286B">
        <w:rPr>
          <w:noProof/>
        </w:rPr>
        <w:t>από ένα γεύμα πλούσιο σε λιπαρά</w:t>
      </w:r>
      <w:r w:rsidRPr="008F286B">
        <w:rPr>
          <w:noProof/>
        </w:rPr>
        <w:t>.</w:t>
      </w:r>
    </w:p>
    <w:p w:rsidR="00FD730D" w:rsidRPr="008F286B" w:rsidRDefault="00FD730D" w:rsidP="00FD730D">
      <w:pPr>
        <w:rPr>
          <w:noProof/>
        </w:rPr>
      </w:pPr>
    </w:p>
    <w:p w:rsidR="00FD730D" w:rsidRPr="008F286B" w:rsidRDefault="008F286B" w:rsidP="00FD730D">
      <w:pPr>
        <w:rPr>
          <w:noProof/>
        </w:rPr>
      </w:pPr>
      <w:r w:rsidRPr="008F286B">
        <w:rPr>
          <w:noProof/>
        </w:rPr>
        <w:t>Η κ</w:t>
      </w:r>
      <w:r w:rsidR="00FD730D" w:rsidRPr="008F286B">
        <w:rPr>
          <w:noProof/>
        </w:rPr>
        <w:t xml:space="preserve">ωδεΐνη και τα άλατά της απορροφώνται από το γαστρεντερικό σωλήνα, </w:t>
      </w:r>
      <w:r w:rsidR="00294C75">
        <w:rPr>
          <w:noProof/>
        </w:rPr>
        <w:t xml:space="preserve">καθώς </w:t>
      </w:r>
      <w:r w:rsidR="00782396" w:rsidRPr="008F286B">
        <w:rPr>
          <w:noProof/>
        </w:rPr>
        <w:t xml:space="preserve">επίσης </w:t>
      </w:r>
      <w:r w:rsidR="00294C75">
        <w:rPr>
          <w:noProof/>
        </w:rPr>
        <w:t xml:space="preserve">έχει </w:t>
      </w:r>
      <w:r w:rsidR="00782396" w:rsidRPr="008F286B">
        <w:rPr>
          <w:noProof/>
        </w:rPr>
        <w:t xml:space="preserve">αναφερθεί </w:t>
      </w:r>
      <w:r w:rsidRPr="008F286B">
        <w:rPr>
          <w:noProof/>
        </w:rPr>
        <w:t>απορρόφηση από το ο</w:t>
      </w:r>
      <w:r w:rsidR="00FD730D" w:rsidRPr="008F286B">
        <w:rPr>
          <w:noProof/>
        </w:rPr>
        <w:t>ρθ</w:t>
      </w:r>
      <w:r w:rsidRPr="008F286B">
        <w:rPr>
          <w:noProof/>
        </w:rPr>
        <w:t>ό</w:t>
      </w:r>
      <w:r w:rsidR="00FD730D" w:rsidRPr="008F286B">
        <w:rPr>
          <w:noProof/>
        </w:rPr>
        <w:t xml:space="preserve">. Μετά </w:t>
      </w:r>
      <w:r w:rsidR="00294C75">
        <w:rPr>
          <w:noProof/>
        </w:rPr>
        <w:t xml:space="preserve">την </w:t>
      </w:r>
      <w:r w:rsidR="00FD730D" w:rsidRPr="008F286B">
        <w:rPr>
          <w:noProof/>
        </w:rPr>
        <w:t>από του στόματος χορήγηση τ</w:t>
      </w:r>
      <w:r w:rsidRPr="008F286B">
        <w:rPr>
          <w:noProof/>
        </w:rPr>
        <w:t xml:space="preserve">ου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00FD730D" w:rsidRPr="008F286B">
        <w:rPr>
          <w:noProof/>
        </w:rPr>
        <w:t xml:space="preserve">μετά από ένα γεύμα πλούσιο σε λιπαρά, οι μέγιστες συγκεντρώσεις της κωδεΐνης </w:t>
      </w:r>
      <w:r w:rsidR="00782396">
        <w:rPr>
          <w:noProof/>
        </w:rPr>
        <w:t>στο πλάσμα επιτυγχάνον</w:t>
      </w:r>
      <w:r w:rsidRPr="008F286B">
        <w:rPr>
          <w:noProof/>
        </w:rPr>
        <w:t xml:space="preserve">ται </w:t>
      </w:r>
      <w:r w:rsidR="00FD730D" w:rsidRPr="008F286B">
        <w:rPr>
          <w:noProof/>
        </w:rPr>
        <w:t>σε περίπου 1,75 ώρες (διάμεση τιμή).</w:t>
      </w:r>
    </w:p>
    <w:p w:rsidR="00FD730D" w:rsidRPr="005C2122" w:rsidRDefault="00FD730D" w:rsidP="00FD730D">
      <w:pPr>
        <w:rPr>
          <w:noProof/>
        </w:rPr>
      </w:pPr>
    </w:p>
    <w:p w:rsidR="00FD730D" w:rsidRPr="005C2122" w:rsidRDefault="008F286B" w:rsidP="00FD730D">
      <w:pPr>
        <w:rPr>
          <w:noProof/>
        </w:rPr>
      </w:pPr>
      <w:r w:rsidRPr="005C2122">
        <w:rPr>
          <w:noProof/>
        </w:rPr>
        <w:t>Συγκριτικές</w:t>
      </w:r>
      <w:r w:rsidR="00FD730D" w:rsidRPr="005C2122">
        <w:rPr>
          <w:noProof/>
        </w:rPr>
        <w:t xml:space="preserve"> </w:t>
      </w:r>
      <w:r w:rsidRPr="005C2122">
        <w:rPr>
          <w:noProof/>
        </w:rPr>
        <w:t xml:space="preserve">κλινικές δοκιμές για την </w:t>
      </w:r>
      <w:r w:rsidR="00FD730D" w:rsidRPr="005C2122">
        <w:rPr>
          <w:noProof/>
        </w:rPr>
        <w:t xml:space="preserve">αλληλεπίδραση και </w:t>
      </w:r>
      <w:r w:rsidRPr="005C2122">
        <w:rPr>
          <w:noProof/>
        </w:rPr>
        <w:t xml:space="preserve">τη </w:t>
      </w:r>
      <w:r w:rsidR="00FD730D" w:rsidRPr="005C2122">
        <w:rPr>
          <w:noProof/>
        </w:rPr>
        <w:t xml:space="preserve">βιοδιαθεσιμότητα </w:t>
      </w:r>
      <w:r w:rsidRPr="005C2122">
        <w:rPr>
          <w:noProof/>
        </w:rPr>
        <w:t xml:space="preserve">του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Pr>
          <w:szCs w:val="22"/>
        </w:rPr>
        <w:t xml:space="preserve"> </w:t>
      </w:r>
      <w:r w:rsidRPr="005C2122">
        <w:rPr>
          <w:noProof/>
        </w:rPr>
        <w:t>απο</w:t>
      </w:r>
      <w:r w:rsidR="00FD730D" w:rsidRPr="005C2122">
        <w:rPr>
          <w:noProof/>
        </w:rPr>
        <w:t xml:space="preserve">δεικνύουν ότι </w:t>
      </w:r>
      <w:r w:rsidRPr="005C2122">
        <w:rPr>
          <w:noProof/>
        </w:rPr>
        <w:t xml:space="preserve">ο </w:t>
      </w:r>
      <w:r w:rsidR="00FD730D" w:rsidRPr="005C2122">
        <w:rPr>
          <w:noProof/>
        </w:rPr>
        <w:t xml:space="preserve">συνδυασμός </w:t>
      </w:r>
      <w:r w:rsidRPr="005C2122">
        <w:rPr>
          <w:noProof/>
        </w:rPr>
        <w:t xml:space="preserve">των φαρμακευτικών ουσιών </w:t>
      </w:r>
      <w:r w:rsidR="00FD730D" w:rsidRPr="005C2122">
        <w:rPr>
          <w:noProof/>
        </w:rPr>
        <w:t>ι</w:t>
      </w:r>
      <w:r w:rsidR="0001399E">
        <w:rPr>
          <w:noProof/>
        </w:rPr>
        <w:t>βουπροφαί</w:t>
      </w:r>
      <w:r w:rsidRPr="005C2122">
        <w:rPr>
          <w:noProof/>
        </w:rPr>
        <w:t>νη</w:t>
      </w:r>
      <w:r w:rsidR="00782396">
        <w:rPr>
          <w:noProof/>
        </w:rPr>
        <w:t>ς</w:t>
      </w:r>
      <w:r w:rsidRPr="005C2122">
        <w:rPr>
          <w:noProof/>
        </w:rPr>
        <w:t xml:space="preserve"> και κωδεΐνη</w:t>
      </w:r>
      <w:r w:rsidR="00782396">
        <w:rPr>
          <w:noProof/>
        </w:rPr>
        <w:t>ς</w:t>
      </w:r>
      <w:r w:rsidR="00FD730D" w:rsidRPr="005C2122">
        <w:rPr>
          <w:noProof/>
        </w:rPr>
        <w:t xml:space="preserve"> έχει την ίδια βιοδιαθεσιμότητα </w:t>
      </w:r>
      <w:r w:rsidRPr="005C2122">
        <w:rPr>
          <w:noProof/>
        </w:rPr>
        <w:t>που έχουν</w:t>
      </w:r>
      <w:r w:rsidR="00FD730D" w:rsidRPr="005C2122">
        <w:rPr>
          <w:noProof/>
        </w:rPr>
        <w:t xml:space="preserve"> τα δραστικά συστατικά </w:t>
      </w:r>
      <w:r w:rsidRPr="005C2122">
        <w:rPr>
          <w:noProof/>
        </w:rPr>
        <w:t>όταν</w:t>
      </w:r>
      <w:r w:rsidR="00FD730D" w:rsidRPr="005C2122">
        <w:rPr>
          <w:noProof/>
        </w:rPr>
        <w:t xml:space="preserve"> λαμβάνονται </w:t>
      </w:r>
      <w:r w:rsidRPr="005C2122">
        <w:rPr>
          <w:noProof/>
        </w:rPr>
        <w:t>ξεχωριστά</w:t>
      </w:r>
      <w:r w:rsidR="00FD730D" w:rsidRPr="005C2122">
        <w:rPr>
          <w:noProof/>
        </w:rPr>
        <w:t>. Αυτέ</w:t>
      </w:r>
      <w:r w:rsidRPr="005C2122">
        <w:rPr>
          <w:noProof/>
        </w:rPr>
        <w:t>ς οι δοκιμές αποδεικνύουν ότι η</w:t>
      </w:r>
      <w:r w:rsidR="00FD730D" w:rsidRPr="005C2122">
        <w:rPr>
          <w:noProof/>
        </w:rPr>
        <w:t xml:space="preserve"> φαρμακοκινητικ</w:t>
      </w:r>
      <w:r w:rsidRPr="005C2122">
        <w:rPr>
          <w:noProof/>
        </w:rPr>
        <w:t>ή</w:t>
      </w:r>
      <w:r w:rsidR="00FD730D" w:rsidRPr="005C2122">
        <w:rPr>
          <w:noProof/>
        </w:rPr>
        <w:t xml:space="preserve"> και η βιοδιαθεσιμότητα του συνδυασμού των δύο ουσιών δε μεταβάλλει </w:t>
      </w:r>
      <w:r w:rsidR="005C2122" w:rsidRPr="005C2122">
        <w:rPr>
          <w:noProof/>
        </w:rPr>
        <w:t xml:space="preserve">τη </w:t>
      </w:r>
      <w:r w:rsidR="00FD730D" w:rsidRPr="005C2122">
        <w:rPr>
          <w:noProof/>
        </w:rPr>
        <w:t xml:space="preserve">φαρμακοκινητική και τη βιοδιαθεσιμότητα </w:t>
      </w:r>
      <w:r w:rsidR="005C2122" w:rsidRPr="005C2122">
        <w:rPr>
          <w:noProof/>
        </w:rPr>
        <w:t>της κάθε ουσίας ξεχωριστά</w:t>
      </w:r>
      <w:r w:rsidR="00FD730D" w:rsidRPr="005C2122">
        <w:rPr>
          <w:noProof/>
        </w:rPr>
        <w:t>.</w:t>
      </w:r>
    </w:p>
    <w:p w:rsidR="00FD730D" w:rsidRPr="005C2122" w:rsidRDefault="00FD730D" w:rsidP="00FD730D">
      <w:pPr>
        <w:rPr>
          <w:noProof/>
        </w:rPr>
      </w:pPr>
    </w:p>
    <w:p w:rsidR="00854807" w:rsidRPr="007C6397" w:rsidRDefault="00854807" w:rsidP="00FD730D">
      <w:pPr>
        <w:rPr>
          <w:b/>
          <w:i/>
          <w:noProof/>
        </w:rPr>
      </w:pPr>
      <w:r w:rsidRPr="007C6397">
        <w:rPr>
          <w:b/>
          <w:i/>
          <w:noProof/>
        </w:rPr>
        <w:t>Κατανομή</w:t>
      </w:r>
    </w:p>
    <w:p w:rsidR="00FD730D" w:rsidRPr="007C6397" w:rsidRDefault="00FD730D" w:rsidP="00FD730D">
      <w:pPr>
        <w:rPr>
          <w:noProof/>
        </w:rPr>
      </w:pPr>
      <w:r w:rsidRPr="007C6397">
        <w:rPr>
          <w:noProof/>
        </w:rPr>
        <w:t xml:space="preserve">Η ιβουπροφαίνη </w:t>
      </w:r>
      <w:r w:rsidR="005C2122" w:rsidRPr="007C6397">
        <w:rPr>
          <w:noProof/>
        </w:rPr>
        <w:t>συνδέεται</w:t>
      </w:r>
      <w:r w:rsidRPr="007C6397">
        <w:rPr>
          <w:noProof/>
        </w:rPr>
        <w:t xml:space="preserve"> σε μεγάλο βαθμό με τις πρωτεΐνες του πλάσματος (</w:t>
      </w:r>
      <w:r w:rsidR="005C2122" w:rsidRPr="007C6397">
        <w:rPr>
          <w:noProof/>
        </w:rPr>
        <w:t>99%)</w:t>
      </w:r>
      <w:r w:rsidRPr="007C6397">
        <w:rPr>
          <w:noProof/>
        </w:rPr>
        <w:t>.</w:t>
      </w:r>
      <w:r w:rsidR="005C2122" w:rsidRPr="007C6397">
        <w:rPr>
          <w:noProof/>
        </w:rPr>
        <w:t xml:space="preserve"> Η ιβουπροφ</w:t>
      </w:r>
      <w:r w:rsidR="0001399E">
        <w:rPr>
          <w:noProof/>
        </w:rPr>
        <w:t>αί</w:t>
      </w:r>
      <w:r w:rsidR="005C2122" w:rsidRPr="007C6397">
        <w:rPr>
          <w:noProof/>
        </w:rPr>
        <w:t>νη</w:t>
      </w:r>
      <w:r w:rsidRPr="007C6397">
        <w:rPr>
          <w:noProof/>
        </w:rPr>
        <w:t xml:space="preserve"> έχει μικρό όγκο κατανομής</w:t>
      </w:r>
      <w:r w:rsidR="005C2122" w:rsidRPr="007C6397">
        <w:rPr>
          <w:noProof/>
        </w:rPr>
        <w:t>, που</w:t>
      </w:r>
      <w:r w:rsidRPr="007C6397">
        <w:rPr>
          <w:noProof/>
        </w:rPr>
        <w:t xml:space="preserve"> είναι περίπου 0,12 έως 0,2</w:t>
      </w:r>
      <w:r w:rsidR="005C2122" w:rsidRPr="007C6397">
        <w:rPr>
          <w:noProof/>
        </w:rPr>
        <w:t> </w:t>
      </w:r>
      <w:r w:rsidRPr="007C6397">
        <w:rPr>
          <w:noProof/>
        </w:rPr>
        <w:t>L/kg σε ενήλικες.</w:t>
      </w:r>
    </w:p>
    <w:p w:rsidR="00FD730D" w:rsidRPr="007C6397" w:rsidRDefault="00FD730D" w:rsidP="00FD730D">
      <w:pPr>
        <w:rPr>
          <w:noProof/>
        </w:rPr>
      </w:pPr>
    </w:p>
    <w:p w:rsidR="00FD730D" w:rsidRPr="007C6397" w:rsidRDefault="005C2122" w:rsidP="00FD730D">
      <w:pPr>
        <w:rPr>
          <w:noProof/>
        </w:rPr>
      </w:pPr>
      <w:r w:rsidRPr="007C6397">
        <w:rPr>
          <w:noProof/>
        </w:rPr>
        <w:t>Η κ</w:t>
      </w:r>
      <w:r w:rsidR="00FD730D" w:rsidRPr="007C6397">
        <w:rPr>
          <w:noProof/>
        </w:rPr>
        <w:t xml:space="preserve">ωδεΐνη έχει </w:t>
      </w:r>
      <w:r w:rsidR="007C6397" w:rsidRPr="007C6397">
        <w:rPr>
          <w:noProof/>
        </w:rPr>
        <w:t>χαμηλό ποσοστό σύνδεσης</w:t>
      </w:r>
      <w:r w:rsidR="00FD730D" w:rsidRPr="007C6397">
        <w:rPr>
          <w:noProof/>
        </w:rPr>
        <w:t xml:space="preserve"> </w:t>
      </w:r>
      <w:r w:rsidR="007C6397" w:rsidRPr="007C6397">
        <w:rPr>
          <w:noProof/>
        </w:rPr>
        <w:t xml:space="preserve">με τις </w:t>
      </w:r>
      <w:r w:rsidR="00FD730D" w:rsidRPr="007C6397">
        <w:rPr>
          <w:noProof/>
        </w:rPr>
        <w:t>πρωτεΐν</w:t>
      </w:r>
      <w:r w:rsidR="007C6397" w:rsidRPr="007C6397">
        <w:rPr>
          <w:noProof/>
        </w:rPr>
        <w:t>ε</w:t>
      </w:r>
      <w:r w:rsidR="00FD730D" w:rsidRPr="007C6397">
        <w:rPr>
          <w:noProof/>
        </w:rPr>
        <w:t>ς</w:t>
      </w:r>
      <w:r w:rsidR="007C6397" w:rsidRPr="007C6397">
        <w:rPr>
          <w:noProof/>
        </w:rPr>
        <w:t xml:space="preserve"> του</w:t>
      </w:r>
      <w:r w:rsidR="00FD730D" w:rsidRPr="007C6397">
        <w:rPr>
          <w:noProof/>
        </w:rPr>
        <w:t xml:space="preserve"> πλάσματος από 7 έως 25%. Έχει όγκο κατανομής 2,6</w:t>
      </w:r>
      <w:r w:rsidR="007C6397" w:rsidRPr="007C6397">
        <w:rPr>
          <w:noProof/>
        </w:rPr>
        <w:t> </w:t>
      </w:r>
      <w:r w:rsidR="00FD730D" w:rsidRPr="007C6397">
        <w:rPr>
          <w:noProof/>
        </w:rPr>
        <w:t>L/kg κατά μέσο όρο, που υποδηλώνει εκτεταμένη κατανομή ιστού. Η κωδεΐνη διαπερνά τον αιματοεγκεφαλικό φραγμό. Οι συγκεντρώσεις στο πλάσμα δε συσχετίζονται με τις συγκεντρώσεις στον εγκέφαλο ή την ανακούφιση του πόνου.</w:t>
      </w:r>
    </w:p>
    <w:p w:rsidR="00FD730D" w:rsidRPr="00FD730D" w:rsidRDefault="00FD730D" w:rsidP="00FD730D">
      <w:pPr>
        <w:rPr>
          <w:noProof/>
          <w:highlight w:val="yellow"/>
        </w:rPr>
      </w:pPr>
    </w:p>
    <w:p w:rsidR="00FD730D" w:rsidRPr="007C6397" w:rsidRDefault="00854807" w:rsidP="00FD730D">
      <w:pPr>
        <w:rPr>
          <w:b/>
          <w:i/>
          <w:noProof/>
          <w:highlight w:val="yellow"/>
        </w:rPr>
      </w:pPr>
      <w:r w:rsidRPr="007C6397">
        <w:rPr>
          <w:b/>
          <w:i/>
          <w:noProof/>
        </w:rPr>
        <w:t>Βιομετασχηματισμός</w:t>
      </w:r>
    </w:p>
    <w:p w:rsidR="00FD730D" w:rsidRPr="005D5045" w:rsidRDefault="00FD730D" w:rsidP="00FD730D">
      <w:pPr>
        <w:rPr>
          <w:noProof/>
        </w:rPr>
      </w:pPr>
      <w:r w:rsidRPr="005D5045">
        <w:rPr>
          <w:noProof/>
        </w:rPr>
        <w:t xml:space="preserve">Η ιβουπροφαίνη μεταβολίζεται ταχέως στο </w:t>
      </w:r>
      <w:r w:rsidR="007C6397" w:rsidRPr="005D5045">
        <w:rPr>
          <w:noProof/>
        </w:rPr>
        <w:t>ήπαρ μέσω του κυτοχρώματος P450</w:t>
      </w:r>
      <w:r w:rsidRPr="005D5045">
        <w:rPr>
          <w:noProof/>
        </w:rPr>
        <w:t xml:space="preserve">, </w:t>
      </w:r>
      <w:r w:rsidR="007C6397" w:rsidRPr="005D5045">
        <w:rPr>
          <w:noProof/>
        </w:rPr>
        <w:t xml:space="preserve">και ιδιαίτερα μέσω του </w:t>
      </w:r>
      <w:r w:rsidRPr="005D5045">
        <w:rPr>
          <w:noProof/>
        </w:rPr>
        <w:t>CYP2C9</w:t>
      </w:r>
      <w:r w:rsidR="007C6397" w:rsidRPr="005D5045">
        <w:rPr>
          <w:noProof/>
        </w:rPr>
        <w:t>, σε δύο βασικούς</w:t>
      </w:r>
      <w:r w:rsidRPr="005D5045">
        <w:rPr>
          <w:noProof/>
        </w:rPr>
        <w:t xml:space="preserve"> ανενεργούς μεταβολίτες,</w:t>
      </w:r>
      <w:r w:rsidR="007C6397" w:rsidRPr="005D5045">
        <w:rPr>
          <w:noProof/>
        </w:rPr>
        <w:t xml:space="preserve"> την</w:t>
      </w:r>
      <w:r w:rsidRPr="005D5045">
        <w:rPr>
          <w:noProof/>
        </w:rPr>
        <w:t xml:space="preserve"> 2-hydroxyibuprofen και </w:t>
      </w:r>
      <w:r w:rsidR="007C6397" w:rsidRPr="005D5045">
        <w:rPr>
          <w:noProof/>
        </w:rPr>
        <w:t xml:space="preserve">την </w:t>
      </w:r>
      <w:r w:rsidRPr="005D5045">
        <w:rPr>
          <w:noProof/>
        </w:rPr>
        <w:t xml:space="preserve">3-carboxyibuprofen. Μετά </w:t>
      </w:r>
      <w:r w:rsidR="007C6397" w:rsidRPr="005D5045">
        <w:rPr>
          <w:noProof/>
        </w:rPr>
        <w:t xml:space="preserve">την </w:t>
      </w:r>
      <w:r w:rsidRPr="005D5045">
        <w:rPr>
          <w:noProof/>
        </w:rPr>
        <w:t>από</w:t>
      </w:r>
      <w:r w:rsidR="007C6397" w:rsidRPr="005D5045">
        <w:rPr>
          <w:noProof/>
        </w:rPr>
        <w:t xml:space="preserve"> του στόματος λήψη του φαρμάκου</w:t>
      </w:r>
      <w:r w:rsidRPr="005D5045">
        <w:rPr>
          <w:noProof/>
        </w:rPr>
        <w:t>, ελαφρώς λιγότερο από το 90% της από του στόματος δόση</w:t>
      </w:r>
      <w:r w:rsidR="007C6397" w:rsidRPr="005D5045">
        <w:rPr>
          <w:noProof/>
        </w:rPr>
        <w:t>ς</w:t>
      </w:r>
      <w:r w:rsidRPr="005D5045">
        <w:rPr>
          <w:noProof/>
        </w:rPr>
        <w:t xml:space="preserve"> ιβουπροφαίνης μπορεί να </w:t>
      </w:r>
      <w:r w:rsidR="007C6397" w:rsidRPr="005D5045">
        <w:rPr>
          <w:noProof/>
        </w:rPr>
        <w:t>απομακρυνθεί από</w:t>
      </w:r>
      <w:r w:rsidRPr="005D5045">
        <w:rPr>
          <w:noProof/>
        </w:rPr>
        <w:t xml:space="preserve"> τα ούρα ως οξειδωτικοί μεταβολίτες και </w:t>
      </w:r>
      <w:r w:rsidR="007C6397" w:rsidRPr="005D5045">
        <w:rPr>
          <w:noProof/>
        </w:rPr>
        <w:t>τα</w:t>
      </w:r>
      <w:r w:rsidRPr="005D5045">
        <w:rPr>
          <w:noProof/>
        </w:rPr>
        <w:t xml:space="preserve"> γλυκουρονικ</w:t>
      </w:r>
      <w:r w:rsidR="007C6397" w:rsidRPr="005D5045">
        <w:rPr>
          <w:noProof/>
        </w:rPr>
        <w:t xml:space="preserve">ά παράγωγά </w:t>
      </w:r>
      <w:r w:rsidRPr="005D5045">
        <w:rPr>
          <w:noProof/>
        </w:rPr>
        <w:t xml:space="preserve">τους. </w:t>
      </w:r>
      <w:r w:rsidR="005D5045" w:rsidRPr="005D5045">
        <w:rPr>
          <w:noProof/>
        </w:rPr>
        <w:t>Ένα μικρό ποσοστό</w:t>
      </w:r>
      <w:r w:rsidRPr="005D5045">
        <w:rPr>
          <w:noProof/>
        </w:rPr>
        <w:t xml:space="preserve"> </w:t>
      </w:r>
      <w:r w:rsidR="0001399E">
        <w:rPr>
          <w:noProof/>
        </w:rPr>
        <w:t>ιβουπροφαί</w:t>
      </w:r>
      <w:r w:rsidR="005D5045" w:rsidRPr="005D5045">
        <w:rPr>
          <w:noProof/>
        </w:rPr>
        <w:t>νης</w:t>
      </w:r>
      <w:r w:rsidRPr="005D5045">
        <w:rPr>
          <w:noProof/>
        </w:rPr>
        <w:t xml:space="preserve"> απεκκρίνεται αμετάβλητ</w:t>
      </w:r>
      <w:r w:rsidR="005A10C3">
        <w:rPr>
          <w:noProof/>
        </w:rPr>
        <w:t xml:space="preserve">ο </w:t>
      </w:r>
      <w:r w:rsidRPr="005D5045">
        <w:rPr>
          <w:noProof/>
        </w:rPr>
        <w:t>στα ούρα.</w:t>
      </w:r>
    </w:p>
    <w:p w:rsidR="00FD730D" w:rsidRPr="005D5045" w:rsidRDefault="00FD730D" w:rsidP="00FD730D">
      <w:pPr>
        <w:rPr>
          <w:noProof/>
        </w:rPr>
      </w:pPr>
    </w:p>
    <w:p w:rsidR="00FD730D" w:rsidRPr="005D5045" w:rsidRDefault="00FD730D" w:rsidP="00FD730D">
      <w:pPr>
        <w:rPr>
          <w:noProof/>
        </w:rPr>
      </w:pPr>
      <w:r w:rsidRPr="005D5045">
        <w:rPr>
          <w:noProof/>
        </w:rPr>
        <w:t>Η</w:t>
      </w:r>
      <w:r w:rsidR="005D5045" w:rsidRPr="005D5045">
        <w:rPr>
          <w:noProof/>
        </w:rPr>
        <w:t xml:space="preserve"> κωδεΐνη μεταβολίζεται στο ήπαρ</w:t>
      </w:r>
      <w:r w:rsidRPr="005D5045">
        <w:rPr>
          <w:noProof/>
        </w:rPr>
        <w:t>.</w:t>
      </w:r>
      <w:r w:rsidR="005D5045" w:rsidRPr="005D5045">
        <w:rPr>
          <w:noProof/>
        </w:rPr>
        <w:t xml:space="preserve"> Η </w:t>
      </w:r>
      <w:r w:rsidRPr="005D5045">
        <w:rPr>
          <w:noProof/>
        </w:rPr>
        <w:t xml:space="preserve">Ν-γλυκουρονιδίωση είναι η πιο σημαντική </w:t>
      </w:r>
      <w:r w:rsidR="005D5045" w:rsidRPr="005D5045">
        <w:rPr>
          <w:noProof/>
        </w:rPr>
        <w:t>οδός</w:t>
      </w:r>
      <w:r w:rsidRPr="005D5045">
        <w:rPr>
          <w:noProof/>
        </w:rPr>
        <w:t>.</w:t>
      </w:r>
      <w:r w:rsidR="005D5045" w:rsidRPr="005D5045">
        <w:rPr>
          <w:noProof/>
        </w:rPr>
        <w:t xml:space="preserve"> Το CYP2D6 μεσολαβεί στην </w:t>
      </w:r>
      <w:r w:rsidRPr="005D5045">
        <w:rPr>
          <w:noProof/>
        </w:rPr>
        <w:t xml:space="preserve">Ο-απομεθυλίωση σε μορφίνη και </w:t>
      </w:r>
      <w:r w:rsidR="005D5045" w:rsidRPr="005D5045">
        <w:rPr>
          <w:noProof/>
        </w:rPr>
        <w:t xml:space="preserve">το CYP3A4 μεσολαβεί στην </w:t>
      </w:r>
      <w:r w:rsidRPr="005D5045">
        <w:rPr>
          <w:noProof/>
        </w:rPr>
        <w:t xml:space="preserve">Ν-απομεθυλίωση </w:t>
      </w:r>
      <w:r w:rsidR="005D5045" w:rsidRPr="005D5045">
        <w:rPr>
          <w:noProof/>
        </w:rPr>
        <w:t>σε</w:t>
      </w:r>
      <w:r w:rsidRPr="005D5045">
        <w:rPr>
          <w:noProof/>
        </w:rPr>
        <w:t xml:space="preserve"> νορκοδεΐνη. Άλλοι μεταβολίτες </w:t>
      </w:r>
      <w:r w:rsidR="005A10C3">
        <w:rPr>
          <w:noProof/>
        </w:rPr>
        <w:t>είναι</w:t>
      </w:r>
      <w:r w:rsidRPr="005D5045">
        <w:rPr>
          <w:noProof/>
        </w:rPr>
        <w:t xml:space="preserve"> </w:t>
      </w:r>
      <w:r w:rsidR="005D5045" w:rsidRPr="005D5045">
        <w:rPr>
          <w:noProof/>
        </w:rPr>
        <w:t xml:space="preserve">η </w:t>
      </w:r>
      <w:r w:rsidRPr="005D5045">
        <w:rPr>
          <w:noProof/>
        </w:rPr>
        <w:t xml:space="preserve">νορμορφίνη και </w:t>
      </w:r>
      <w:r w:rsidR="005D5045" w:rsidRPr="005D5045">
        <w:rPr>
          <w:noProof/>
        </w:rPr>
        <w:t>η υδροκωδόνη</w:t>
      </w:r>
      <w:r w:rsidRPr="005D5045">
        <w:rPr>
          <w:noProof/>
        </w:rPr>
        <w:t>.</w:t>
      </w:r>
    </w:p>
    <w:p w:rsidR="00FD730D" w:rsidRPr="005D5045" w:rsidRDefault="00FD730D" w:rsidP="00FD730D">
      <w:pPr>
        <w:rPr>
          <w:noProof/>
        </w:rPr>
      </w:pPr>
    </w:p>
    <w:p w:rsidR="00FD730D" w:rsidRPr="007C6397" w:rsidRDefault="00854807" w:rsidP="00FD730D">
      <w:pPr>
        <w:rPr>
          <w:b/>
          <w:i/>
          <w:noProof/>
          <w:highlight w:val="yellow"/>
        </w:rPr>
      </w:pPr>
      <w:r w:rsidRPr="007C6397">
        <w:rPr>
          <w:b/>
          <w:i/>
          <w:noProof/>
        </w:rPr>
        <w:t>Αποβολή</w:t>
      </w:r>
    </w:p>
    <w:p w:rsidR="00FD730D" w:rsidRPr="006244B3" w:rsidRDefault="00FD730D" w:rsidP="00FD730D">
      <w:pPr>
        <w:rPr>
          <w:noProof/>
        </w:rPr>
      </w:pPr>
      <w:r w:rsidRPr="006244B3">
        <w:rPr>
          <w:noProof/>
        </w:rPr>
        <w:t xml:space="preserve">Η </w:t>
      </w:r>
      <w:r w:rsidR="005D5045" w:rsidRPr="006244B3">
        <w:rPr>
          <w:noProof/>
        </w:rPr>
        <w:t xml:space="preserve">αποβολή της ιβουπροφαίνης από </w:t>
      </w:r>
      <w:r w:rsidR="00D221EB">
        <w:rPr>
          <w:noProof/>
        </w:rPr>
        <w:t>τους νεφρούς</w:t>
      </w:r>
      <w:r w:rsidR="005D5045" w:rsidRPr="006244B3">
        <w:rPr>
          <w:noProof/>
        </w:rPr>
        <w:t xml:space="preserve"> </w:t>
      </w:r>
      <w:r w:rsidRPr="006244B3">
        <w:rPr>
          <w:noProof/>
        </w:rPr>
        <w:t xml:space="preserve">είναι τόσο ταχεία </w:t>
      </w:r>
      <w:r w:rsidR="005D5045" w:rsidRPr="006244B3">
        <w:rPr>
          <w:noProof/>
        </w:rPr>
        <w:t xml:space="preserve">όσο και </w:t>
      </w:r>
      <w:r w:rsidRPr="006244B3">
        <w:rPr>
          <w:noProof/>
        </w:rPr>
        <w:t>πλήρης. Ο χρόνος ημίσειας ζωής είναι περίπου 2 ώρες. Η απέκκριση της ιβουπροφαίνης είναι ουσιαστικά πλήρης 24 ώρες μετά την τελευταία δόση.</w:t>
      </w:r>
    </w:p>
    <w:p w:rsidR="00FD730D" w:rsidRPr="006244B3" w:rsidRDefault="00FD730D" w:rsidP="00FD730D">
      <w:pPr>
        <w:rPr>
          <w:noProof/>
        </w:rPr>
      </w:pPr>
    </w:p>
    <w:p w:rsidR="00FD730D" w:rsidRPr="006244B3" w:rsidRDefault="005D5045" w:rsidP="00FD730D">
      <w:pPr>
        <w:rPr>
          <w:noProof/>
        </w:rPr>
      </w:pPr>
      <w:r w:rsidRPr="006244B3">
        <w:rPr>
          <w:noProof/>
        </w:rPr>
        <w:t>Η κ</w:t>
      </w:r>
      <w:r w:rsidR="00FD730D" w:rsidRPr="006244B3">
        <w:rPr>
          <w:noProof/>
        </w:rPr>
        <w:t xml:space="preserve">ωδεΐνη και </w:t>
      </w:r>
      <w:r w:rsidRPr="006244B3">
        <w:rPr>
          <w:noProof/>
        </w:rPr>
        <w:t>οι</w:t>
      </w:r>
      <w:r w:rsidR="00FD730D" w:rsidRPr="006244B3">
        <w:rPr>
          <w:noProof/>
        </w:rPr>
        <w:t xml:space="preserve"> μεταβολίτες τ</w:t>
      </w:r>
      <w:r w:rsidRPr="006244B3">
        <w:rPr>
          <w:noProof/>
        </w:rPr>
        <w:t>ης</w:t>
      </w:r>
      <w:r w:rsidR="00FD730D" w:rsidRPr="006244B3">
        <w:rPr>
          <w:noProof/>
        </w:rPr>
        <w:t xml:space="preserve"> εκκρίνονται σχεδ</w:t>
      </w:r>
      <w:r w:rsidRPr="006244B3">
        <w:rPr>
          <w:noProof/>
        </w:rPr>
        <w:t>όν αποκλειστικά μέσω των νεφρών</w:t>
      </w:r>
      <w:r w:rsidR="00FD730D" w:rsidRPr="006244B3">
        <w:rPr>
          <w:noProof/>
        </w:rPr>
        <w:t xml:space="preserve">, κυρίως </w:t>
      </w:r>
      <w:r w:rsidRPr="006244B3">
        <w:rPr>
          <w:noProof/>
        </w:rPr>
        <w:t xml:space="preserve">συζευγμένες </w:t>
      </w:r>
      <w:r w:rsidR="00FD730D" w:rsidRPr="006244B3">
        <w:rPr>
          <w:noProof/>
        </w:rPr>
        <w:t xml:space="preserve">με το γλυκουρονικό οξύ. </w:t>
      </w:r>
      <w:r w:rsidR="00DE2909" w:rsidRPr="009E5B53">
        <w:rPr>
          <w:noProof/>
        </w:rPr>
        <w:t>Ο</w:t>
      </w:r>
      <w:r w:rsidR="00DE2909" w:rsidRPr="009E5B53">
        <w:rPr>
          <w:strike/>
          <w:noProof/>
        </w:rPr>
        <w:t xml:space="preserve"> </w:t>
      </w:r>
      <w:r w:rsidR="00DE2909" w:rsidRPr="009E5B53">
        <w:rPr>
          <w:noProof/>
        </w:rPr>
        <w:t>χρόνος ημιζωής</w:t>
      </w:r>
      <w:r w:rsidR="00FD730D" w:rsidRPr="009E5B53">
        <w:rPr>
          <w:noProof/>
        </w:rPr>
        <w:t xml:space="preserve"> στο πλάσμα</w:t>
      </w:r>
      <w:r w:rsidR="00FD730D" w:rsidRPr="006244B3">
        <w:rPr>
          <w:noProof/>
        </w:rPr>
        <w:t xml:space="preserve"> έχει αναφερθεί ότι είναι 3 έως 4 </w:t>
      </w:r>
      <w:r w:rsidR="00FD730D" w:rsidRPr="006244B3">
        <w:rPr>
          <w:noProof/>
        </w:rPr>
        <w:lastRenderedPageBreak/>
        <w:t>ώρες μετά την από το</w:t>
      </w:r>
      <w:r w:rsidRPr="006244B3">
        <w:rPr>
          <w:noProof/>
        </w:rPr>
        <w:t xml:space="preserve">υ στόματος ή </w:t>
      </w:r>
      <w:r w:rsidR="005A10C3">
        <w:rPr>
          <w:noProof/>
        </w:rPr>
        <w:t xml:space="preserve">την </w:t>
      </w:r>
      <w:r w:rsidRPr="006244B3">
        <w:rPr>
          <w:noProof/>
        </w:rPr>
        <w:t>ενδομυϊκή χορήγηση</w:t>
      </w:r>
      <w:r w:rsidR="00FD730D" w:rsidRPr="006244B3">
        <w:rPr>
          <w:noProof/>
        </w:rPr>
        <w:t>.</w:t>
      </w:r>
    </w:p>
    <w:p w:rsidR="00FD730D" w:rsidRPr="006244B3" w:rsidRDefault="00FD730D" w:rsidP="00FD730D">
      <w:pPr>
        <w:rPr>
          <w:noProof/>
        </w:rPr>
      </w:pPr>
    </w:p>
    <w:p w:rsidR="00FD730D" w:rsidRPr="006244B3" w:rsidRDefault="00FD730D" w:rsidP="00FD730D">
      <w:pPr>
        <w:rPr>
          <w:b/>
          <w:i/>
          <w:noProof/>
        </w:rPr>
      </w:pPr>
      <w:r w:rsidRPr="006244B3">
        <w:rPr>
          <w:b/>
          <w:i/>
          <w:noProof/>
        </w:rPr>
        <w:t>Ειδικοί πληθυσμοί</w:t>
      </w:r>
    </w:p>
    <w:p w:rsidR="00FD730D" w:rsidRPr="006244B3" w:rsidRDefault="005D5045" w:rsidP="00FD730D">
      <w:pPr>
        <w:rPr>
          <w:i/>
          <w:noProof/>
          <w:u w:val="single"/>
        </w:rPr>
      </w:pPr>
      <w:r w:rsidRPr="006244B3">
        <w:rPr>
          <w:i/>
          <w:noProof/>
          <w:u w:val="single"/>
        </w:rPr>
        <w:t>Η</w:t>
      </w:r>
      <w:r w:rsidR="00FD730D" w:rsidRPr="006244B3">
        <w:rPr>
          <w:i/>
          <w:noProof/>
          <w:u w:val="single"/>
        </w:rPr>
        <w:t>λικιωμένο</w:t>
      </w:r>
      <w:r w:rsidRPr="006244B3">
        <w:rPr>
          <w:i/>
          <w:noProof/>
          <w:u w:val="single"/>
        </w:rPr>
        <w:t>ι</w:t>
      </w:r>
    </w:p>
    <w:p w:rsidR="00FD730D" w:rsidRPr="006244B3" w:rsidRDefault="00FD730D" w:rsidP="00FD730D">
      <w:pPr>
        <w:rPr>
          <w:noProof/>
        </w:rPr>
      </w:pPr>
      <w:r w:rsidRPr="006244B3">
        <w:rPr>
          <w:noProof/>
        </w:rPr>
        <w:t xml:space="preserve">Δεδομένου ότι δεν υπάρχει νεφρική </w:t>
      </w:r>
      <w:r w:rsidR="00071E1A">
        <w:rPr>
          <w:noProof/>
        </w:rPr>
        <w:t>δυσλειτουργία</w:t>
      </w:r>
      <w:r w:rsidRPr="006244B3">
        <w:rPr>
          <w:noProof/>
        </w:rPr>
        <w:t xml:space="preserve">, υπάρχουν μόνο μικρές, κλινικά ασήμαντες διαφορές στο </w:t>
      </w:r>
      <w:r w:rsidR="006244B3" w:rsidRPr="006244B3">
        <w:rPr>
          <w:noProof/>
        </w:rPr>
        <w:t xml:space="preserve">φαρμακοκινητικό </w:t>
      </w:r>
      <w:r w:rsidRPr="006244B3">
        <w:rPr>
          <w:noProof/>
        </w:rPr>
        <w:t xml:space="preserve">προφίλ </w:t>
      </w:r>
      <w:r w:rsidR="00810EC4" w:rsidRPr="006244B3">
        <w:rPr>
          <w:noProof/>
        </w:rPr>
        <w:t xml:space="preserve">της </w:t>
      </w:r>
      <w:r w:rsidRPr="006244B3">
        <w:rPr>
          <w:noProof/>
        </w:rPr>
        <w:t xml:space="preserve">και </w:t>
      </w:r>
      <w:r w:rsidR="006244B3" w:rsidRPr="006244B3">
        <w:rPr>
          <w:noProof/>
        </w:rPr>
        <w:t>στην</w:t>
      </w:r>
      <w:r w:rsidRPr="006244B3">
        <w:rPr>
          <w:noProof/>
        </w:rPr>
        <w:t xml:space="preserve"> απέκκριση της ιβουπροφαίνης μετα</w:t>
      </w:r>
      <w:r w:rsidR="006244B3" w:rsidRPr="006244B3">
        <w:rPr>
          <w:noProof/>
        </w:rPr>
        <w:t>ξύ των νέων και των ηλικιωμένων</w:t>
      </w:r>
      <w:r w:rsidRPr="006244B3">
        <w:rPr>
          <w:noProof/>
        </w:rPr>
        <w:t>.</w:t>
      </w:r>
    </w:p>
    <w:p w:rsidR="00FD730D" w:rsidRPr="006244B3" w:rsidRDefault="00FD730D" w:rsidP="00FD730D">
      <w:pPr>
        <w:rPr>
          <w:noProof/>
        </w:rPr>
      </w:pPr>
    </w:p>
    <w:p w:rsidR="00FD730D" w:rsidRPr="006244B3" w:rsidRDefault="00FD730D" w:rsidP="00FD730D">
      <w:pPr>
        <w:rPr>
          <w:noProof/>
        </w:rPr>
      </w:pPr>
      <w:r w:rsidRPr="006244B3">
        <w:rPr>
          <w:noProof/>
        </w:rPr>
        <w:t>Η κλινική αποτελεσματικότητα τ</w:t>
      </w:r>
      <w:r w:rsidR="006244B3" w:rsidRPr="006244B3">
        <w:rPr>
          <w:noProof/>
        </w:rPr>
        <w:t>ης</w:t>
      </w:r>
      <w:r w:rsidRPr="006244B3">
        <w:rPr>
          <w:noProof/>
        </w:rPr>
        <w:t xml:space="preserve"> κωδεΐνη</w:t>
      </w:r>
      <w:r w:rsidR="006244B3" w:rsidRPr="006244B3">
        <w:rPr>
          <w:noProof/>
        </w:rPr>
        <w:t>ς</w:t>
      </w:r>
      <w:r w:rsidRPr="006244B3">
        <w:rPr>
          <w:noProof/>
        </w:rPr>
        <w:t xml:space="preserve"> δε φαίνεται να αλλάζει με την ηλικία. </w:t>
      </w:r>
      <w:r w:rsidR="006244B3" w:rsidRPr="006244B3">
        <w:rPr>
          <w:noProof/>
        </w:rPr>
        <w:t>Οι η</w:t>
      </w:r>
      <w:r w:rsidRPr="006244B3">
        <w:rPr>
          <w:noProof/>
        </w:rPr>
        <w:t>λικιωμένοι, ωστόσο, είναι πιο επιρρεπ</w:t>
      </w:r>
      <w:r w:rsidR="006244B3" w:rsidRPr="006244B3">
        <w:rPr>
          <w:noProof/>
        </w:rPr>
        <w:t>είς</w:t>
      </w:r>
      <w:r w:rsidRPr="006244B3">
        <w:rPr>
          <w:noProof/>
        </w:rPr>
        <w:t xml:space="preserve"> σε κάποιες </w:t>
      </w:r>
      <w:r w:rsidR="006244B3" w:rsidRPr="006244B3">
        <w:rPr>
          <w:noProof/>
        </w:rPr>
        <w:t xml:space="preserve">ανεπιθύμητες ενέργειες </w:t>
      </w:r>
      <w:r w:rsidRPr="006244B3">
        <w:rPr>
          <w:noProof/>
        </w:rPr>
        <w:t>(</w:t>
      </w:r>
      <w:r w:rsidR="00BD0D27">
        <w:rPr>
          <w:noProof/>
        </w:rPr>
        <w:t>β</w:t>
      </w:r>
      <w:r w:rsidR="006244B3" w:rsidRPr="006244B3">
        <w:rPr>
          <w:noProof/>
        </w:rPr>
        <w:t>λ. παράγραφο 4.4)</w:t>
      </w:r>
      <w:r w:rsidRPr="006244B3">
        <w:rPr>
          <w:noProof/>
        </w:rPr>
        <w:t>.</w:t>
      </w:r>
    </w:p>
    <w:p w:rsidR="00FD730D" w:rsidRPr="006244B3" w:rsidRDefault="00FD730D" w:rsidP="00FD730D">
      <w:pPr>
        <w:rPr>
          <w:noProof/>
        </w:rPr>
      </w:pPr>
    </w:p>
    <w:p w:rsidR="00FD730D" w:rsidRPr="006244B3" w:rsidRDefault="00FD730D" w:rsidP="00FD730D">
      <w:pPr>
        <w:rPr>
          <w:i/>
          <w:noProof/>
          <w:u w:val="single"/>
        </w:rPr>
      </w:pPr>
      <w:r w:rsidRPr="006244B3">
        <w:rPr>
          <w:i/>
          <w:noProof/>
          <w:u w:val="single"/>
        </w:rPr>
        <w:t>Άλλ</w:t>
      </w:r>
      <w:r w:rsidR="006244B3" w:rsidRPr="006244B3">
        <w:rPr>
          <w:i/>
          <w:noProof/>
          <w:u w:val="single"/>
        </w:rPr>
        <w:t>οι</w:t>
      </w:r>
      <w:r w:rsidRPr="006244B3">
        <w:rPr>
          <w:i/>
          <w:noProof/>
          <w:u w:val="single"/>
        </w:rPr>
        <w:t xml:space="preserve"> ειδικ</w:t>
      </w:r>
      <w:r w:rsidR="006244B3" w:rsidRPr="006244B3">
        <w:rPr>
          <w:i/>
          <w:noProof/>
          <w:u w:val="single"/>
        </w:rPr>
        <w:t>οί</w:t>
      </w:r>
      <w:r w:rsidRPr="006244B3">
        <w:rPr>
          <w:i/>
          <w:noProof/>
          <w:u w:val="single"/>
        </w:rPr>
        <w:t xml:space="preserve"> πληθυσμο</w:t>
      </w:r>
      <w:r w:rsidR="006244B3" w:rsidRPr="006244B3">
        <w:rPr>
          <w:i/>
          <w:noProof/>
          <w:u w:val="single"/>
        </w:rPr>
        <w:t>ί</w:t>
      </w:r>
    </w:p>
    <w:p w:rsidR="00FD730D" w:rsidRPr="006244B3" w:rsidRDefault="00FD730D" w:rsidP="00FD730D">
      <w:pPr>
        <w:rPr>
          <w:noProof/>
        </w:rPr>
      </w:pPr>
    </w:p>
    <w:p w:rsidR="00FD730D" w:rsidRPr="00BD0D27" w:rsidRDefault="00071E1A" w:rsidP="00FD730D">
      <w:pPr>
        <w:rPr>
          <w:i/>
          <w:noProof/>
          <w:u w:val="single"/>
        </w:rPr>
      </w:pPr>
      <w:r>
        <w:rPr>
          <w:i/>
          <w:noProof/>
          <w:u w:val="single"/>
        </w:rPr>
        <w:t>Ν</w:t>
      </w:r>
      <w:r w:rsidR="006244B3" w:rsidRPr="00BD0D27">
        <w:rPr>
          <w:i/>
          <w:noProof/>
          <w:u w:val="single"/>
        </w:rPr>
        <w:t>εφρική</w:t>
      </w:r>
      <w:r w:rsidR="00D221EB">
        <w:rPr>
          <w:i/>
          <w:noProof/>
          <w:u w:val="single"/>
        </w:rPr>
        <w:t xml:space="preserve"> </w:t>
      </w:r>
      <w:r>
        <w:rPr>
          <w:i/>
          <w:noProof/>
          <w:u w:val="single"/>
        </w:rPr>
        <w:t>δυσ</w:t>
      </w:r>
      <w:r w:rsidR="00D221EB">
        <w:rPr>
          <w:i/>
          <w:noProof/>
          <w:u w:val="single"/>
        </w:rPr>
        <w:t>λειτουργία</w:t>
      </w:r>
    </w:p>
    <w:p w:rsidR="00FD730D" w:rsidRPr="00BD0D27" w:rsidRDefault="00FD730D" w:rsidP="00FD730D">
      <w:pPr>
        <w:rPr>
          <w:noProof/>
        </w:rPr>
      </w:pPr>
      <w:r w:rsidRPr="00BD0D27">
        <w:rPr>
          <w:noProof/>
        </w:rPr>
        <w:t xml:space="preserve">Για ασθενείς με ήπια νεφρική </w:t>
      </w:r>
      <w:r w:rsidR="004877D0">
        <w:rPr>
          <w:noProof/>
        </w:rPr>
        <w:t>ανεπάρκεια</w:t>
      </w:r>
      <w:r w:rsidRPr="00BD0D27">
        <w:rPr>
          <w:noProof/>
        </w:rPr>
        <w:t xml:space="preserve"> </w:t>
      </w:r>
      <w:r w:rsidR="005A10C3">
        <w:rPr>
          <w:noProof/>
        </w:rPr>
        <w:t>έχουν αναφερ</w:t>
      </w:r>
      <w:r w:rsidR="00D557D8" w:rsidRPr="00BD0D27">
        <w:rPr>
          <w:noProof/>
        </w:rPr>
        <w:t>θ</w:t>
      </w:r>
      <w:r w:rsidR="005A10C3">
        <w:rPr>
          <w:noProof/>
        </w:rPr>
        <w:t>ε</w:t>
      </w:r>
      <w:r w:rsidR="00D557D8" w:rsidRPr="00BD0D27">
        <w:rPr>
          <w:noProof/>
        </w:rPr>
        <w:t>ί αυξημένη</w:t>
      </w:r>
      <w:r w:rsidRPr="00BD0D27">
        <w:rPr>
          <w:noProof/>
        </w:rPr>
        <w:t xml:space="preserve"> μη δεσμευμέν</w:t>
      </w:r>
      <w:r w:rsidR="00D557D8" w:rsidRPr="00BD0D27">
        <w:rPr>
          <w:noProof/>
        </w:rPr>
        <w:t>η</w:t>
      </w:r>
      <w:r w:rsidRPr="00BD0D27">
        <w:rPr>
          <w:noProof/>
        </w:rPr>
        <w:t xml:space="preserve"> (S)-</w:t>
      </w:r>
      <w:r w:rsidR="0001399E">
        <w:rPr>
          <w:noProof/>
        </w:rPr>
        <w:t>ιβουπροφαί</w:t>
      </w:r>
      <w:r w:rsidR="00D557D8" w:rsidRPr="00BD0D27">
        <w:rPr>
          <w:noProof/>
        </w:rPr>
        <w:t>νη</w:t>
      </w:r>
      <w:r w:rsidRPr="00BD0D27">
        <w:rPr>
          <w:noProof/>
        </w:rPr>
        <w:t>, υψηλότερες τιμές AUC για</w:t>
      </w:r>
      <w:r w:rsidR="00D557D8" w:rsidRPr="00BD0D27">
        <w:rPr>
          <w:noProof/>
        </w:rPr>
        <w:t xml:space="preserve"> την</w:t>
      </w:r>
      <w:r w:rsidRPr="00BD0D27">
        <w:rPr>
          <w:noProof/>
        </w:rPr>
        <w:t xml:space="preserve"> (S)-</w:t>
      </w:r>
      <w:r w:rsidR="0001399E">
        <w:rPr>
          <w:noProof/>
        </w:rPr>
        <w:t>ιβουπροφαί</w:t>
      </w:r>
      <w:r w:rsidR="00D557D8" w:rsidRPr="00BD0D27">
        <w:rPr>
          <w:noProof/>
        </w:rPr>
        <w:t>νη κ</w:t>
      </w:r>
      <w:r w:rsidRPr="00BD0D27">
        <w:rPr>
          <w:noProof/>
        </w:rPr>
        <w:t>αι αυξημέν</w:t>
      </w:r>
      <w:r w:rsidR="00D557D8" w:rsidRPr="00BD0D27">
        <w:rPr>
          <w:noProof/>
        </w:rPr>
        <w:t>ες αναλογίες</w:t>
      </w:r>
      <w:r w:rsidRPr="00BD0D27">
        <w:rPr>
          <w:noProof/>
        </w:rPr>
        <w:t xml:space="preserve"> AUC </w:t>
      </w:r>
      <w:r w:rsidR="00D557D8" w:rsidRPr="00BD0D27">
        <w:rPr>
          <w:noProof/>
        </w:rPr>
        <w:t xml:space="preserve">των εναντιομερών </w:t>
      </w:r>
      <w:r w:rsidRPr="00BD0D27">
        <w:rPr>
          <w:noProof/>
        </w:rPr>
        <w:t>(S/R)</w:t>
      </w:r>
      <w:r w:rsidR="00D557D8" w:rsidRPr="00BD0D27">
        <w:rPr>
          <w:noProof/>
        </w:rPr>
        <w:t xml:space="preserve">, συγκριτικά με </w:t>
      </w:r>
      <w:r w:rsidR="005A10C3">
        <w:rPr>
          <w:noProof/>
        </w:rPr>
        <w:t xml:space="preserve">τα </w:t>
      </w:r>
      <w:r w:rsidR="00D557D8" w:rsidRPr="00BD0D27">
        <w:rPr>
          <w:noProof/>
        </w:rPr>
        <w:t>υγιή άτομα.</w:t>
      </w:r>
    </w:p>
    <w:p w:rsidR="00FD730D" w:rsidRPr="00BD0D27" w:rsidRDefault="00FD730D" w:rsidP="00FD730D">
      <w:pPr>
        <w:rPr>
          <w:noProof/>
        </w:rPr>
      </w:pPr>
    </w:p>
    <w:p w:rsidR="00FD730D" w:rsidRPr="00BD0D27" w:rsidRDefault="00FD730D" w:rsidP="00FD730D">
      <w:pPr>
        <w:rPr>
          <w:noProof/>
        </w:rPr>
      </w:pPr>
      <w:r w:rsidRPr="00BD0D27">
        <w:rPr>
          <w:noProof/>
        </w:rPr>
        <w:t xml:space="preserve">Σε </w:t>
      </w:r>
      <w:r w:rsidR="00BD0D27" w:rsidRPr="00BD0D27">
        <w:rPr>
          <w:noProof/>
        </w:rPr>
        <w:t xml:space="preserve">ασθενείς με </w:t>
      </w:r>
      <w:r w:rsidRPr="00BD0D27">
        <w:rPr>
          <w:noProof/>
        </w:rPr>
        <w:t>τελικού σταδίου νεφρική νόσο</w:t>
      </w:r>
      <w:r w:rsidR="00D557D8" w:rsidRPr="00BD0D27">
        <w:rPr>
          <w:noProof/>
        </w:rPr>
        <w:t xml:space="preserve"> </w:t>
      </w:r>
      <w:r w:rsidR="00BD0D27" w:rsidRPr="00BD0D27">
        <w:rPr>
          <w:noProof/>
        </w:rPr>
        <w:t>που</w:t>
      </w:r>
      <w:r w:rsidRPr="00BD0D27">
        <w:rPr>
          <w:noProof/>
        </w:rPr>
        <w:t xml:space="preserve"> υποβάλλονται σε αιμοκάθαρση</w:t>
      </w:r>
      <w:r w:rsidR="00BD0D27" w:rsidRPr="00BD0D27">
        <w:rPr>
          <w:noProof/>
        </w:rPr>
        <w:t>,</w:t>
      </w:r>
      <w:r w:rsidRPr="00BD0D27">
        <w:rPr>
          <w:noProof/>
        </w:rPr>
        <w:t xml:space="preserve"> το μέσο ελεύθερο κλάσμα της ιβουπροφαίνης ήταν περίπου 3% </w:t>
      </w:r>
      <w:r w:rsidR="00BD0D27" w:rsidRPr="00BD0D27">
        <w:rPr>
          <w:noProof/>
        </w:rPr>
        <w:t>συγκριτικά</w:t>
      </w:r>
      <w:r w:rsidRPr="00BD0D27">
        <w:rPr>
          <w:noProof/>
        </w:rPr>
        <w:t xml:space="preserve"> με περίπου 1% σε υγιείς εθελοντές. Σοβαρή </w:t>
      </w:r>
      <w:r w:rsidR="00BD0D27" w:rsidRPr="00BD0D27">
        <w:rPr>
          <w:noProof/>
        </w:rPr>
        <w:t xml:space="preserve">νεφρική </w:t>
      </w:r>
      <w:r w:rsidR="004877D0">
        <w:rPr>
          <w:noProof/>
        </w:rPr>
        <w:t>ανεπάρκεια</w:t>
      </w:r>
      <w:r w:rsidR="00BD0D27" w:rsidRPr="00BD0D27">
        <w:rPr>
          <w:noProof/>
        </w:rPr>
        <w:t xml:space="preserve"> </w:t>
      </w:r>
      <w:r w:rsidRPr="00BD0D27">
        <w:rPr>
          <w:noProof/>
        </w:rPr>
        <w:t xml:space="preserve">μπορεί να οδηγήσει σε συσσώρευση των μεταβολιτών </w:t>
      </w:r>
      <w:r w:rsidR="00BD0D27" w:rsidRPr="00BD0D27">
        <w:rPr>
          <w:noProof/>
        </w:rPr>
        <w:t>της ιβουπροφαίνης</w:t>
      </w:r>
      <w:r w:rsidRPr="00BD0D27">
        <w:rPr>
          <w:noProof/>
        </w:rPr>
        <w:t xml:space="preserve">. Η </w:t>
      </w:r>
      <w:r w:rsidR="00D221EB">
        <w:rPr>
          <w:noProof/>
        </w:rPr>
        <w:t xml:space="preserve">κλινική </w:t>
      </w:r>
      <w:r w:rsidRPr="00BD0D27">
        <w:rPr>
          <w:noProof/>
        </w:rPr>
        <w:t>σημασία αυτού του αποτελέσματος είναι άγνωστ</w:t>
      </w:r>
      <w:r w:rsidR="00BD0D27" w:rsidRPr="00BD0D27">
        <w:rPr>
          <w:noProof/>
        </w:rPr>
        <w:t>η</w:t>
      </w:r>
      <w:r w:rsidRPr="00BD0D27">
        <w:rPr>
          <w:noProof/>
        </w:rPr>
        <w:t>. Οι μεταβολίτες μπορ</w:t>
      </w:r>
      <w:r w:rsidR="00BD0D27" w:rsidRPr="00BD0D27">
        <w:rPr>
          <w:noProof/>
        </w:rPr>
        <w:t>ούν</w:t>
      </w:r>
      <w:r w:rsidRPr="00BD0D27">
        <w:rPr>
          <w:noProof/>
        </w:rPr>
        <w:t xml:space="preserve"> να απομακρυνθ</w:t>
      </w:r>
      <w:r w:rsidR="00BD0D27" w:rsidRPr="00BD0D27">
        <w:rPr>
          <w:noProof/>
        </w:rPr>
        <w:t>ούν</w:t>
      </w:r>
      <w:r w:rsidRPr="00BD0D27">
        <w:rPr>
          <w:noProof/>
        </w:rPr>
        <w:t xml:space="preserve"> με αιμοκάθαρση (</w:t>
      </w:r>
      <w:r w:rsidR="00BD0D27" w:rsidRPr="00BD0D27">
        <w:rPr>
          <w:noProof/>
        </w:rPr>
        <w:t>β</w:t>
      </w:r>
      <w:r w:rsidRPr="00BD0D27">
        <w:rPr>
          <w:noProof/>
        </w:rPr>
        <w:t>λ</w:t>
      </w:r>
      <w:r w:rsidR="00BD0D27" w:rsidRPr="00BD0D27">
        <w:rPr>
          <w:noProof/>
        </w:rPr>
        <w:t>.</w:t>
      </w:r>
      <w:r w:rsidRPr="00BD0D27">
        <w:rPr>
          <w:noProof/>
        </w:rPr>
        <w:t xml:space="preserve"> παραγράφους 4.2, 4.3 και 4.4).</w:t>
      </w:r>
    </w:p>
    <w:p w:rsidR="00FD730D" w:rsidRPr="00BD0D27" w:rsidRDefault="00FD730D" w:rsidP="00FD730D">
      <w:pPr>
        <w:rPr>
          <w:noProof/>
        </w:rPr>
      </w:pPr>
    </w:p>
    <w:p w:rsidR="00FD730D" w:rsidRPr="00BD0D27" w:rsidRDefault="00DE2909" w:rsidP="00FD730D">
      <w:pPr>
        <w:rPr>
          <w:noProof/>
        </w:rPr>
      </w:pPr>
      <w:r>
        <w:rPr>
          <w:noProof/>
        </w:rPr>
        <w:t>Ο χρόνος ημιζωής</w:t>
      </w:r>
      <w:r w:rsidR="00BD0D27" w:rsidRPr="00BD0D27">
        <w:rPr>
          <w:noProof/>
        </w:rPr>
        <w:t xml:space="preserve"> της κωδεΐνης</w:t>
      </w:r>
      <w:r w:rsidR="00FD730D" w:rsidRPr="00BD0D27">
        <w:rPr>
          <w:noProof/>
        </w:rPr>
        <w:t xml:space="preserve"> αυξήθηκε σε περίπου 13 ώρες, σε </w:t>
      </w:r>
      <w:r w:rsidR="00BD0D27" w:rsidRPr="00BD0D27">
        <w:rPr>
          <w:noProof/>
        </w:rPr>
        <w:t xml:space="preserve">ασθενείς με </w:t>
      </w:r>
      <w:r w:rsidR="00FD730D" w:rsidRPr="00BD0D27">
        <w:rPr>
          <w:noProof/>
        </w:rPr>
        <w:t xml:space="preserve">τελικού σταδίου νεφρική νόσο που υποβάλλονται σε αιμοκάθαρση </w:t>
      </w:r>
      <w:r w:rsidR="00BD0D27" w:rsidRPr="00BD0D27">
        <w:rPr>
          <w:noProof/>
        </w:rPr>
        <w:t xml:space="preserve">συγκριτικά </w:t>
      </w:r>
      <w:r w:rsidR="00FD730D" w:rsidRPr="00BD0D27">
        <w:rPr>
          <w:noProof/>
        </w:rPr>
        <w:t xml:space="preserve">με περίπου 4 ώρες στους υγιείς εθελοντές χωρίς επίδραση στη φαρμακοδυναμική. Σοβαρή νεφρική </w:t>
      </w:r>
      <w:r w:rsidR="004877D0">
        <w:rPr>
          <w:noProof/>
        </w:rPr>
        <w:t>ανεπάρκεια</w:t>
      </w:r>
      <w:r w:rsidR="00FD730D" w:rsidRPr="00BD0D27">
        <w:rPr>
          <w:noProof/>
        </w:rPr>
        <w:t xml:space="preserve"> μπορεί να οδηγήσει σε συσσώρευση της κωδεΐνης και των μεταβολιτών της</w:t>
      </w:r>
      <w:r w:rsidR="00BD0D27" w:rsidRPr="00BD0D27">
        <w:rPr>
          <w:noProof/>
        </w:rPr>
        <w:t xml:space="preserve">. Οι </w:t>
      </w:r>
      <w:r w:rsidR="00FD730D" w:rsidRPr="00BD0D27">
        <w:rPr>
          <w:noProof/>
        </w:rPr>
        <w:t>γλυκουρον</w:t>
      </w:r>
      <w:r w:rsidR="00BD0D27" w:rsidRPr="00BD0D27">
        <w:rPr>
          <w:noProof/>
        </w:rPr>
        <w:t>ικοί</w:t>
      </w:r>
      <w:r w:rsidR="00FD730D" w:rsidRPr="00BD0D27">
        <w:rPr>
          <w:noProof/>
        </w:rPr>
        <w:t xml:space="preserve"> μεταβολίτες μπορ</w:t>
      </w:r>
      <w:r w:rsidR="00BD0D27" w:rsidRPr="00BD0D27">
        <w:rPr>
          <w:noProof/>
        </w:rPr>
        <w:t>ούν</w:t>
      </w:r>
      <w:r w:rsidR="00FD730D" w:rsidRPr="00BD0D27">
        <w:rPr>
          <w:noProof/>
        </w:rPr>
        <w:t xml:space="preserve"> να απομακρυνθ</w:t>
      </w:r>
      <w:r w:rsidR="00BD0D27" w:rsidRPr="00BD0D27">
        <w:rPr>
          <w:noProof/>
        </w:rPr>
        <w:t>ούν με αιμοκάθαρση</w:t>
      </w:r>
      <w:r w:rsidR="00FD730D" w:rsidRPr="00BD0D27">
        <w:rPr>
          <w:noProof/>
        </w:rPr>
        <w:t>.</w:t>
      </w:r>
    </w:p>
    <w:p w:rsidR="00FD730D" w:rsidRPr="00BD0D27" w:rsidRDefault="00FD730D" w:rsidP="00FD730D">
      <w:pPr>
        <w:rPr>
          <w:noProof/>
        </w:rPr>
      </w:pPr>
    </w:p>
    <w:p w:rsidR="00FD730D" w:rsidRPr="00464884" w:rsidRDefault="00071E1A" w:rsidP="00FD730D">
      <w:pPr>
        <w:rPr>
          <w:i/>
          <w:noProof/>
          <w:u w:val="single"/>
        </w:rPr>
      </w:pPr>
      <w:r>
        <w:rPr>
          <w:i/>
          <w:noProof/>
          <w:u w:val="single"/>
        </w:rPr>
        <w:t>Ηπατική</w:t>
      </w:r>
      <w:r w:rsidR="00FD730D" w:rsidRPr="00464884">
        <w:rPr>
          <w:i/>
          <w:noProof/>
          <w:u w:val="single"/>
        </w:rPr>
        <w:t xml:space="preserve"> </w:t>
      </w:r>
      <w:r>
        <w:rPr>
          <w:i/>
          <w:noProof/>
          <w:u w:val="single"/>
        </w:rPr>
        <w:t>δυσ</w:t>
      </w:r>
      <w:r w:rsidR="00D221EB">
        <w:rPr>
          <w:i/>
          <w:noProof/>
          <w:u w:val="single"/>
        </w:rPr>
        <w:t>λειτουργία</w:t>
      </w:r>
    </w:p>
    <w:p w:rsidR="00FD730D" w:rsidRPr="00464884" w:rsidRDefault="00BD0D27" w:rsidP="00FD730D">
      <w:pPr>
        <w:rPr>
          <w:noProof/>
        </w:rPr>
      </w:pPr>
      <w:r w:rsidRPr="00464884">
        <w:rPr>
          <w:noProof/>
        </w:rPr>
        <w:t>Η α</w:t>
      </w:r>
      <w:r w:rsidR="00FD730D" w:rsidRPr="00464884">
        <w:rPr>
          <w:noProof/>
        </w:rPr>
        <w:t>λκοολ</w:t>
      </w:r>
      <w:r w:rsidRPr="00464884">
        <w:rPr>
          <w:noProof/>
        </w:rPr>
        <w:t>ική</w:t>
      </w:r>
      <w:r w:rsidR="00FD730D" w:rsidRPr="00464884">
        <w:rPr>
          <w:noProof/>
        </w:rPr>
        <w:t xml:space="preserve"> ηπατική νόσο</w:t>
      </w:r>
      <w:r w:rsidRPr="00464884">
        <w:rPr>
          <w:noProof/>
        </w:rPr>
        <w:t>ς</w:t>
      </w:r>
      <w:r w:rsidR="00FD730D" w:rsidRPr="00464884">
        <w:rPr>
          <w:noProof/>
        </w:rPr>
        <w:t xml:space="preserve"> με ήπια έως μέτρια ηπατική ανεπάρκεια δεν προκάλεσε ουσιαστικά </w:t>
      </w:r>
      <w:r w:rsidR="00AD38AF" w:rsidRPr="00464884">
        <w:rPr>
          <w:noProof/>
        </w:rPr>
        <w:t xml:space="preserve">μεταβολές στις </w:t>
      </w:r>
      <w:r w:rsidR="00FD730D" w:rsidRPr="00464884">
        <w:rPr>
          <w:noProof/>
        </w:rPr>
        <w:t>φαρμακοκινητικές παραμέτρους.</w:t>
      </w:r>
    </w:p>
    <w:p w:rsidR="00FD730D" w:rsidRPr="00464884" w:rsidRDefault="00FD730D" w:rsidP="00FD730D">
      <w:pPr>
        <w:rPr>
          <w:noProof/>
        </w:rPr>
      </w:pPr>
    </w:p>
    <w:p w:rsidR="00FD730D" w:rsidRPr="007E6F4D" w:rsidRDefault="00FD730D" w:rsidP="00FD730D">
      <w:pPr>
        <w:rPr>
          <w:noProof/>
        </w:rPr>
      </w:pPr>
      <w:r w:rsidRPr="00464884">
        <w:rPr>
          <w:noProof/>
        </w:rPr>
        <w:t xml:space="preserve">Σε κιρρωτικούς ασθενείς με μέτρια ηπατική </w:t>
      </w:r>
      <w:r w:rsidR="00AD38AF" w:rsidRPr="00464884">
        <w:rPr>
          <w:noProof/>
        </w:rPr>
        <w:t xml:space="preserve">ανεπάρκεια </w:t>
      </w:r>
      <w:r w:rsidRPr="00464884">
        <w:rPr>
          <w:noProof/>
        </w:rPr>
        <w:t>(</w:t>
      </w:r>
      <w:r w:rsidR="00AD38AF" w:rsidRPr="00464884">
        <w:rPr>
          <w:noProof/>
        </w:rPr>
        <w:t xml:space="preserve">σκόρ </w:t>
      </w:r>
      <w:r w:rsidRPr="00464884">
        <w:rPr>
          <w:noProof/>
        </w:rPr>
        <w:t>Child Pugh 6-10) που έλαβαν θεραπεία με ρακεμικ</w:t>
      </w:r>
      <w:r w:rsidR="00464884" w:rsidRPr="00464884">
        <w:rPr>
          <w:noProof/>
        </w:rPr>
        <w:t>ή</w:t>
      </w:r>
      <w:r w:rsidRPr="00464884">
        <w:rPr>
          <w:noProof/>
        </w:rPr>
        <w:t xml:space="preserve"> </w:t>
      </w:r>
      <w:r w:rsidR="0001399E">
        <w:rPr>
          <w:noProof/>
        </w:rPr>
        <w:t>ιβουπροφαί</w:t>
      </w:r>
      <w:r w:rsidR="00464884" w:rsidRPr="00464884">
        <w:rPr>
          <w:noProof/>
        </w:rPr>
        <w:t>νη παρατηρήθηκε</w:t>
      </w:r>
      <w:r w:rsidRPr="00464884">
        <w:rPr>
          <w:noProof/>
        </w:rPr>
        <w:t xml:space="preserve"> παράταση </w:t>
      </w:r>
      <w:r w:rsidR="00DE2909">
        <w:rPr>
          <w:noProof/>
        </w:rPr>
        <w:t xml:space="preserve">του χρόνου ημιζωής </w:t>
      </w:r>
      <w:r w:rsidR="00464884" w:rsidRPr="00464884">
        <w:rPr>
          <w:noProof/>
        </w:rPr>
        <w:t xml:space="preserve">κατά μέσο όρο 2 φορές </w:t>
      </w:r>
      <w:r w:rsidRPr="00464884">
        <w:rPr>
          <w:noProof/>
        </w:rPr>
        <w:t xml:space="preserve">και </w:t>
      </w:r>
      <w:r w:rsidR="00294C75">
        <w:rPr>
          <w:noProof/>
        </w:rPr>
        <w:t xml:space="preserve">η </w:t>
      </w:r>
      <w:r w:rsidRPr="00464884">
        <w:rPr>
          <w:noProof/>
        </w:rPr>
        <w:t xml:space="preserve">αναλογία AUC </w:t>
      </w:r>
      <w:r w:rsidR="00464884" w:rsidRPr="00464884">
        <w:rPr>
          <w:noProof/>
        </w:rPr>
        <w:t xml:space="preserve">των εναντιομερών </w:t>
      </w:r>
      <w:r w:rsidRPr="00464884">
        <w:rPr>
          <w:noProof/>
        </w:rPr>
        <w:t xml:space="preserve">(S/R) ήταν σημαντικά χαμηλότερη </w:t>
      </w:r>
      <w:r w:rsidR="00464884" w:rsidRPr="00464884">
        <w:rPr>
          <w:noProof/>
        </w:rPr>
        <w:t xml:space="preserve">συγκριτικά </w:t>
      </w:r>
      <w:r w:rsidRPr="00464884">
        <w:rPr>
          <w:noProof/>
        </w:rPr>
        <w:t>με τ</w:t>
      </w:r>
      <w:r w:rsidR="00464884" w:rsidRPr="00464884">
        <w:rPr>
          <w:noProof/>
        </w:rPr>
        <w:t>α</w:t>
      </w:r>
      <w:r w:rsidRPr="00464884">
        <w:rPr>
          <w:noProof/>
        </w:rPr>
        <w:t xml:space="preserve"> υγι</w:t>
      </w:r>
      <w:r w:rsidR="00464884" w:rsidRPr="00464884">
        <w:rPr>
          <w:noProof/>
        </w:rPr>
        <w:t>ή άτομα, γεγονός</w:t>
      </w:r>
      <w:r w:rsidRPr="00464884">
        <w:rPr>
          <w:noProof/>
        </w:rPr>
        <w:t xml:space="preserve"> που υποδηλώνει μια </w:t>
      </w:r>
      <w:r w:rsidR="00DE2909">
        <w:rPr>
          <w:bCs/>
          <w:iCs/>
          <w:szCs w:val="22"/>
        </w:rPr>
        <w:t>διαταραχή</w:t>
      </w:r>
      <w:r w:rsidRPr="00DE2909">
        <w:rPr>
          <w:i/>
          <w:noProof/>
        </w:rPr>
        <w:t xml:space="preserve"> </w:t>
      </w:r>
      <w:r w:rsidRPr="00464884">
        <w:rPr>
          <w:noProof/>
        </w:rPr>
        <w:t>της μεταβολικής αντιστροφή</w:t>
      </w:r>
      <w:r w:rsidR="00464884" w:rsidRPr="00464884">
        <w:rPr>
          <w:noProof/>
        </w:rPr>
        <w:t>ς</w:t>
      </w:r>
      <w:r w:rsidRPr="00464884">
        <w:rPr>
          <w:noProof/>
        </w:rPr>
        <w:t xml:space="preserve"> της</w:t>
      </w:r>
      <w:r w:rsidR="00464884" w:rsidRPr="00464884">
        <w:rPr>
          <w:noProof/>
        </w:rPr>
        <w:t xml:space="preserve"> </w:t>
      </w:r>
      <w:r w:rsidRPr="00464884">
        <w:rPr>
          <w:noProof/>
        </w:rPr>
        <w:t>(R)</w:t>
      </w:r>
      <w:r w:rsidR="00312062">
        <w:rPr>
          <w:noProof/>
        </w:rPr>
        <w:noBreakHyphen/>
      </w:r>
      <w:r w:rsidR="0001399E">
        <w:rPr>
          <w:noProof/>
        </w:rPr>
        <w:t>ιβουπροφαί</w:t>
      </w:r>
      <w:r w:rsidR="00464884" w:rsidRPr="007E6F4D">
        <w:rPr>
          <w:noProof/>
        </w:rPr>
        <w:t xml:space="preserve">νης στο δραστικό </w:t>
      </w:r>
      <w:r w:rsidRPr="007E6F4D">
        <w:rPr>
          <w:noProof/>
        </w:rPr>
        <w:t xml:space="preserve">(S)-εναντιομερές </w:t>
      </w:r>
      <w:r w:rsidR="00464884" w:rsidRPr="007E6F4D">
        <w:rPr>
          <w:noProof/>
        </w:rPr>
        <w:t>(βλ.</w:t>
      </w:r>
      <w:r w:rsidRPr="007E6F4D">
        <w:rPr>
          <w:noProof/>
        </w:rPr>
        <w:t xml:space="preserve"> παραγράφους 4.2, 4.3 και 4.4).</w:t>
      </w:r>
    </w:p>
    <w:p w:rsidR="00FD730D" w:rsidRPr="007E6F4D" w:rsidRDefault="00FD730D" w:rsidP="00FD730D">
      <w:pPr>
        <w:rPr>
          <w:noProof/>
        </w:rPr>
      </w:pPr>
    </w:p>
    <w:p w:rsidR="005C5540" w:rsidRPr="00FD730D" w:rsidRDefault="00FD730D" w:rsidP="00FD730D">
      <w:pPr>
        <w:rPr>
          <w:noProof/>
        </w:rPr>
      </w:pPr>
      <w:r w:rsidRPr="007E6F4D">
        <w:rPr>
          <w:noProof/>
        </w:rPr>
        <w:t xml:space="preserve">Δεν υπάρχουν διαθέσιμες μελέτες με κωδεΐνη σε ασθενείς με </w:t>
      </w:r>
      <w:r w:rsidR="004877D0">
        <w:rPr>
          <w:noProof/>
        </w:rPr>
        <w:t>η</w:t>
      </w:r>
      <w:r w:rsidRPr="007E6F4D">
        <w:rPr>
          <w:noProof/>
        </w:rPr>
        <w:t>πατική</w:t>
      </w:r>
      <w:r w:rsidR="007E6F4D" w:rsidRPr="007E6F4D">
        <w:rPr>
          <w:noProof/>
        </w:rPr>
        <w:t xml:space="preserve"> </w:t>
      </w:r>
      <w:r w:rsidR="004877D0">
        <w:rPr>
          <w:noProof/>
        </w:rPr>
        <w:t>δυσ</w:t>
      </w:r>
      <w:r w:rsidR="007E6F4D" w:rsidRPr="007E6F4D">
        <w:rPr>
          <w:noProof/>
        </w:rPr>
        <w:t>λειτουργία</w:t>
      </w:r>
      <w:r w:rsidRPr="007E6F4D">
        <w:rPr>
          <w:noProof/>
        </w:rPr>
        <w:t>, συνεπώς, η φαρμακοκινητική σε α</w:t>
      </w:r>
      <w:r w:rsidR="007E6F4D" w:rsidRPr="007E6F4D">
        <w:rPr>
          <w:noProof/>
        </w:rPr>
        <w:t>υτόν τον πληθυσμό είναι άγνωστη</w:t>
      </w:r>
      <w:r w:rsidRPr="007E6F4D">
        <w:rPr>
          <w:noProof/>
        </w:rPr>
        <w:t xml:space="preserve">. Καθώς η οξειδωτική ικανότητα του ενζύμου μπορεί να </w:t>
      </w:r>
      <w:r w:rsidR="007E6F4D" w:rsidRPr="007E6F4D">
        <w:rPr>
          <w:noProof/>
        </w:rPr>
        <w:t xml:space="preserve">επηρεάζεται </w:t>
      </w:r>
      <w:r w:rsidRPr="007E6F4D">
        <w:rPr>
          <w:noProof/>
        </w:rPr>
        <w:t>σε ασθενείς με κίρρωση του ήπατος, μπορεί να υποτεθεί ότι η κωδεΐνη δεν θα είναι πολύ αποτελε</w:t>
      </w:r>
      <w:r w:rsidR="007E6F4D" w:rsidRPr="007E6F4D">
        <w:rPr>
          <w:noProof/>
        </w:rPr>
        <w:t>σματική σε αυτούς τους ασθενείς</w:t>
      </w:r>
      <w:r w:rsidRPr="007E6F4D">
        <w:rPr>
          <w:noProof/>
        </w:rPr>
        <w:t>.</w:t>
      </w:r>
    </w:p>
    <w:p w:rsidR="00854807" w:rsidRDefault="00854807">
      <w:pPr>
        <w:rPr>
          <w:noProof/>
        </w:rPr>
      </w:pPr>
    </w:p>
    <w:p w:rsidR="00496809" w:rsidRPr="00786D07" w:rsidRDefault="00496809" w:rsidP="00CE2C21">
      <w:pPr>
        <w:tabs>
          <w:tab w:val="left" w:pos="567"/>
        </w:tabs>
      </w:pPr>
      <w:r w:rsidRPr="00786D07">
        <w:rPr>
          <w:b/>
        </w:rPr>
        <w:t>5.3</w:t>
      </w:r>
      <w:r w:rsidRPr="00786D07">
        <w:rPr>
          <w:b/>
        </w:rPr>
        <w:tab/>
        <w:t>Προκλινικά δεδομένα για την ασφάλεια</w:t>
      </w:r>
    </w:p>
    <w:p w:rsidR="00496809" w:rsidRPr="00786D07" w:rsidRDefault="00496809"/>
    <w:p w:rsidR="00496809" w:rsidRPr="00786D07" w:rsidRDefault="00496809">
      <w:r w:rsidRPr="00786D07">
        <w:t>Επιπτώσεις σε μη κλινικές μελέτες παρατηρήθηκαν μόνο σε εκθέσεις που θεωρήθηκαν ότι ήταν αρκετά πάνω από το ανώτατο όριο έκθεσης του ανθρώπου, παρουσιάζοντας μικρή σχέση με την κλινική χρήση.</w:t>
      </w:r>
    </w:p>
    <w:p w:rsidR="00854807" w:rsidRDefault="00854807"/>
    <w:p w:rsidR="00854807" w:rsidRDefault="00854807"/>
    <w:p w:rsidR="00496809" w:rsidRPr="00786D07" w:rsidRDefault="00496809" w:rsidP="00CE2C21">
      <w:pPr>
        <w:tabs>
          <w:tab w:val="left" w:pos="567"/>
        </w:tabs>
      </w:pPr>
      <w:r w:rsidRPr="00786D07">
        <w:rPr>
          <w:b/>
        </w:rPr>
        <w:t>6.</w:t>
      </w:r>
      <w:r w:rsidRPr="00786D07">
        <w:rPr>
          <w:b/>
        </w:rPr>
        <w:tab/>
        <w:t>ΦΑΡΜΑΚΕΥΤΙΚΕΣ ΠΛΗΡΟΦΟΡΙΕΣ</w:t>
      </w:r>
    </w:p>
    <w:p w:rsidR="00496809" w:rsidRPr="00786D07" w:rsidRDefault="00496809">
      <w:pPr>
        <w:pStyle w:val="a3"/>
        <w:tabs>
          <w:tab w:val="clear" w:pos="4153"/>
          <w:tab w:val="clear" w:pos="8306"/>
        </w:tabs>
      </w:pPr>
    </w:p>
    <w:p w:rsidR="00496809" w:rsidRPr="00786D07" w:rsidRDefault="00496809" w:rsidP="00CE2C21">
      <w:pPr>
        <w:tabs>
          <w:tab w:val="left" w:pos="567"/>
        </w:tabs>
      </w:pPr>
      <w:r w:rsidRPr="00786D07">
        <w:rPr>
          <w:b/>
        </w:rPr>
        <w:t>6.1</w:t>
      </w:r>
      <w:r w:rsidRPr="00786D07">
        <w:rPr>
          <w:b/>
        </w:rPr>
        <w:tab/>
        <w:t>Κατάλογος εκδόχων</w:t>
      </w:r>
    </w:p>
    <w:p w:rsidR="00496809" w:rsidRPr="00786D07" w:rsidRDefault="00496809"/>
    <w:p w:rsidR="00310779" w:rsidRPr="00485917" w:rsidRDefault="00485917" w:rsidP="00485917">
      <w:pPr>
        <w:pStyle w:val="CTDNORMAL"/>
        <w:spacing w:after="120"/>
        <w:ind w:left="0"/>
        <w:jc w:val="left"/>
        <w:rPr>
          <w:szCs w:val="22"/>
          <w:lang w:val="el-GR"/>
        </w:rPr>
      </w:pPr>
      <w:r w:rsidRPr="00485917">
        <w:rPr>
          <w:szCs w:val="22"/>
          <w:lang w:val="el-GR"/>
        </w:rPr>
        <w:lastRenderedPageBreak/>
        <w:t xml:space="preserve">Το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sidRPr="00485917">
        <w:rPr>
          <w:szCs w:val="22"/>
          <w:lang w:val="el-GR"/>
        </w:rPr>
        <w:t xml:space="preserve"> </w:t>
      </w:r>
      <w:r w:rsidR="00310779" w:rsidRPr="00485917">
        <w:rPr>
          <w:szCs w:val="22"/>
          <w:lang w:val="el-GR"/>
        </w:rPr>
        <w:t>400</w:t>
      </w:r>
      <w:r w:rsidRPr="00485917">
        <w:rPr>
          <w:szCs w:val="22"/>
          <w:lang w:val="en-US"/>
        </w:rPr>
        <w:t> </w:t>
      </w:r>
      <w:r w:rsidR="00310779" w:rsidRPr="00485917">
        <w:rPr>
          <w:szCs w:val="22"/>
          <w:lang w:val="en-GB"/>
        </w:rPr>
        <w:t>mg</w:t>
      </w:r>
      <w:r w:rsidR="00310779" w:rsidRPr="00485917">
        <w:rPr>
          <w:szCs w:val="22"/>
          <w:lang w:val="el-GR"/>
        </w:rPr>
        <w:t>/30</w:t>
      </w:r>
      <w:r w:rsidRPr="00485917">
        <w:rPr>
          <w:szCs w:val="22"/>
          <w:lang w:val="en-US"/>
        </w:rPr>
        <w:t> </w:t>
      </w:r>
      <w:r w:rsidR="00310779" w:rsidRPr="00485917">
        <w:rPr>
          <w:szCs w:val="22"/>
          <w:lang w:val="en-GB"/>
        </w:rPr>
        <w:t>mg</w:t>
      </w:r>
      <w:r w:rsidR="00310779" w:rsidRPr="00485917">
        <w:rPr>
          <w:szCs w:val="22"/>
          <w:lang w:val="el-GR"/>
        </w:rPr>
        <w:t xml:space="preserve"> </w:t>
      </w:r>
      <w:r w:rsidRPr="00485917">
        <w:rPr>
          <w:szCs w:val="22"/>
          <w:lang w:val="el-GR"/>
        </w:rPr>
        <w:t>Επικαλυμμένα με λεπτό υμένιο δισκία</w:t>
      </w:r>
      <w:r w:rsidR="00310779" w:rsidRPr="00485917">
        <w:rPr>
          <w:szCs w:val="22"/>
          <w:lang w:val="el-GR"/>
        </w:rPr>
        <w:t xml:space="preserve"> </w:t>
      </w:r>
      <w:r w:rsidRPr="00485917">
        <w:rPr>
          <w:szCs w:val="22"/>
          <w:lang w:val="el-GR"/>
        </w:rPr>
        <w:t>περιέχει τα παρακάτω έκδοχα</w:t>
      </w:r>
      <w:r w:rsidR="00310779" w:rsidRPr="00485917">
        <w:rPr>
          <w:szCs w:val="22"/>
          <w:lang w:val="el-GR"/>
        </w:rPr>
        <w:t>:</w:t>
      </w:r>
    </w:p>
    <w:p w:rsidR="00310779" w:rsidRPr="00A30250" w:rsidRDefault="00485917" w:rsidP="00485917">
      <w:pPr>
        <w:pStyle w:val="CTDvietas"/>
        <w:ind w:left="0" w:firstLine="0"/>
        <w:jc w:val="left"/>
        <w:rPr>
          <w:szCs w:val="22"/>
          <w:lang w:val="en-GB"/>
        </w:rPr>
      </w:pPr>
      <w:r w:rsidRPr="00A30250">
        <w:rPr>
          <w:szCs w:val="22"/>
          <w:lang w:val="el-GR"/>
        </w:rPr>
        <w:t>Πυρήνας</w:t>
      </w:r>
      <w:r w:rsidR="00310779" w:rsidRPr="00A30250">
        <w:rPr>
          <w:szCs w:val="22"/>
          <w:lang w:val="en-GB"/>
        </w:rPr>
        <w:t>:</w:t>
      </w:r>
    </w:p>
    <w:p w:rsidR="00310779" w:rsidRPr="00485917" w:rsidRDefault="00310779" w:rsidP="00485917">
      <w:pPr>
        <w:pStyle w:val="CTDvietas"/>
        <w:ind w:left="0" w:firstLine="0"/>
        <w:jc w:val="left"/>
        <w:rPr>
          <w:szCs w:val="22"/>
          <w:lang w:val="en-US"/>
        </w:rPr>
      </w:pPr>
      <w:r w:rsidRPr="00485917">
        <w:rPr>
          <w:szCs w:val="22"/>
          <w:lang w:val="en-GB"/>
        </w:rPr>
        <w:t>Sodium starch glycolate</w:t>
      </w:r>
      <w:r w:rsidR="00485917" w:rsidRPr="00485917">
        <w:rPr>
          <w:szCs w:val="22"/>
          <w:lang w:val="en-US"/>
        </w:rPr>
        <w:t xml:space="preserve">, </w:t>
      </w:r>
      <w:r w:rsidRPr="00485917">
        <w:rPr>
          <w:szCs w:val="22"/>
          <w:lang w:val="en-GB"/>
        </w:rPr>
        <w:t>Silicified microcrystalline cellulose</w:t>
      </w:r>
      <w:r w:rsidR="00485917" w:rsidRPr="00485917">
        <w:rPr>
          <w:szCs w:val="22"/>
          <w:lang w:val="en-US"/>
        </w:rPr>
        <w:t xml:space="preserve">, </w:t>
      </w:r>
      <w:r w:rsidRPr="00485917">
        <w:rPr>
          <w:szCs w:val="22"/>
          <w:lang w:val="en-GB"/>
        </w:rPr>
        <w:t>L-leucine</w:t>
      </w:r>
      <w:r w:rsidR="00485917" w:rsidRPr="00485917">
        <w:rPr>
          <w:szCs w:val="22"/>
          <w:lang w:val="en-US"/>
        </w:rPr>
        <w:t xml:space="preserve">, </w:t>
      </w:r>
      <w:r w:rsidRPr="00485917">
        <w:rPr>
          <w:szCs w:val="22"/>
          <w:lang w:val="en-GB"/>
        </w:rPr>
        <w:t>Talc</w:t>
      </w:r>
      <w:r w:rsidR="00485917" w:rsidRPr="00485917">
        <w:rPr>
          <w:szCs w:val="22"/>
          <w:lang w:val="en-US"/>
        </w:rPr>
        <w:t>.</w:t>
      </w:r>
    </w:p>
    <w:p w:rsidR="00310779" w:rsidRPr="00A30250" w:rsidRDefault="00485917" w:rsidP="00485917">
      <w:pPr>
        <w:pStyle w:val="CTDvietas"/>
        <w:ind w:left="0" w:firstLine="0"/>
        <w:jc w:val="left"/>
        <w:rPr>
          <w:szCs w:val="22"/>
          <w:lang w:val="en-GB"/>
        </w:rPr>
      </w:pPr>
      <w:r w:rsidRPr="00A30250">
        <w:rPr>
          <w:szCs w:val="22"/>
          <w:lang w:val="el-GR"/>
        </w:rPr>
        <w:t>Επικάλυψη</w:t>
      </w:r>
      <w:r w:rsidR="00310779" w:rsidRPr="00A30250">
        <w:rPr>
          <w:szCs w:val="22"/>
          <w:lang w:val="en-GB"/>
        </w:rPr>
        <w:t>:</w:t>
      </w:r>
    </w:p>
    <w:p w:rsidR="00310779" w:rsidRPr="00FE26BD" w:rsidRDefault="00310779" w:rsidP="00485917">
      <w:pPr>
        <w:pStyle w:val="CTDvietas"/>
        <w:ind w:left="0" w:firstLine="0"/>
        <w:jc w:val="left"/>
        <w:rPr>
          <w:szCs w:val="22"/>
          <w:lang w:val="en-GB"/>
        </w:rPr>
      </w:pPr>
      <w:proofErr w:type="gramStart"/>
      <w:r w:rsidRPr="00485917">
        <w:rPr>
          <w:szCs w:val="22"/>
          <w:lang w:val="en-GB"/>
        </w:rPr>
        <w:t>Methacrylic acid copolymer ethyl acrylate (1:1) dispersion 30%</w:t>
      </w:r>
      <w:r w:rsidR="00485917" w:rsidRPr="00485917">
        <w:rPr>
          <w:szCs w:val="22"/>
          <w:lang w:val="en-US"/>
        </w:rPr>
        <w:t xml:space="preserve">, </w:t>
      </w:r>
      <w:r w:rsidRPr="00485917">
        <w:rPr>
          <w:szCs w:val="22"/>
          <w:lang w:val="en-GB"/>
        </w:rPr>
        <w:t>Talc</w:t>
      </w:r>
      <w:r w:rsidR="00485917" w:rsidRPr="00485917">
        <w:rPr>
          <w:szCs w:val="22"/>
          <w:lang w:val="en-US"/>
        </w:rPr>
        <w:t xml:space="preserve">, </w:t>
      </w:r>
      <w:r w:rsidRPr="00485917">
        <w:rPr>
          <w:szCs w:val="22"/>
          <w:lang w:val="en-GB"/>
        </w:rPr>
        <w:t>Titanium dioxide (E171)</w:t>
      </w:r>
      <w:r w:rsidR="00485917" w:rsidRPr="00485917">
        <w:rPr>
          <w:szCs w:val="22"/>
          <w:lang w:val="en-US"/>
        </w:rPr>
        <w:t xml:space="preserve">, </w:t>
      </w:r>
      <w:r w:rsidRPr="00485917">
        <w:rPr>
          <w:szCs w:val="22"/>
          <w:lang w:val="en-GB"/>
        </w:rPr>
        <w:t>Macrogol 6000</w:t>
      </w:r>
      <w:r w:rsidR="00485917" w:rsidRPr="00485917">
        <w:rPr>
          <w:szCs w:val="22"/>
          <w:lang w:val="en-US"/>
        </w:rPr>
        <w:t xml:space="preserve">, </w:t>
      </w:r>
      <w:r w:rsidRPr="00485917">
        <w:rPr>
          <w:szCs w:val="22"/>
          <w:lang w:val="en-GB"/>
        </w:rPr>
        <w:t>Simeticone emulsion</w:t>
      </w:r>
      <w:r w:rsidR="00485917" w:rsidRPr="00485917">
        <w:rPr>
          <w:szCs w:val="22"/>
          <w:lang w:val="en-US"/>
        </w:rPr>
        <w:t xml:space="preserve">, </w:t>
      </w:r>
      <w:r w:rsidRPr="00485917">
        <w:rPr>
          <w:szCs w:val="22"/>
          <w:lang w:val="en-GB"/>
        </w:rPr>
        <w:t>Sodium carboxymethylcellulose.</w:t>
      </w:r>
      <w:proofErr w:type="gramEnd"/>
    </w:p>
    <w:p w:rsidR="00496809" w:rsidRPr="00485917" w:rsidRDefault="00496809" w:rsidP="00485917">
      <w:pPr>
        <w:rPr>
          <w:lang w:val="en-GB"/>
        </w:rPr>
      </w:pPr>
    </w:p>
    <w:p w:rsidR="00496809" w:rsidRPr="00786D07" w:rsidRDefault="00496809" w:rsidP="00CE2C21">
      <w:pPr>
        <w:tabs>
          <w:tab w:val="left" w:pos="567"/>
        </w:tabs>
      </w:pPr>
      <w:r w:rsidRPr="00786D07">
        <w:rPr>
          <w:b/>
        </w:rPr>
        <w:t>6.2</w:t>
      </w:r>
      <w:r w:rsidRPr="00786D07">
        <w:rPr>
          <w:b/>
        </w:rPr>
        <w:tab/>
        <w:t>Ασυμβατότητες</w:t>
      </w:r>
    </w:p>
    <w:p w:rsidR="000D1D5B" w:rsidRDefault="000D1D5B"/>
    <w:p w:rsidR="00496809" w:rsidRPr="00786D07" w:rsidRDefault="00496809">
      <w:r w:rsidRPr="00786D07">
        <w:t>Δεν εφαρμόζεται.</w:t>
      </w:r>
    </w:p>
    <w:p w:rsidR="00496809" w:rsidRPr="00786D07" w:rsidRDefault="00496809"/>
    <w:p w:rsidR="00496809" w:rsidRPr="00786D07" w:rsidRDefault="00496809" w:rsidP="00CE2C21">
      <w:pPr>
        <w:tabs>
          <w:tab w:val="left" w:pos="567"/>
        </w:tabs>
      </w:pPr>
      <w:r w:rsidRPr="00786D07">
        <w:rPr>
          <w:b/>
        </w:rPr>
        <w:t>6.3</w:t>
      </w:r>
      <w:r w:rsidRPr="00786D07">
        <w:rPr>
          <w:b/>
        </w:rPr>
        <w:tab/>
        <w:t>Διάρκεια ζωής</w:t>
      </w:r>
    </w:p>
    <w:p w:rsidR="00496809" w:rsidRPr="00786D07" w:rsidRDefault="00496809"/>
    <w:p w:rsidR="00310779" w:rsidRPr="00485917" w:rsidRDefault="00496809" w:rsidP="00310779">
      <w:pPr>
        <w:rPr>
          <w:szCs w:val="22"/>
        </w:rPr>
      </w:pPr>
      <w:r w:rsidRPr="00786D07">
        <w:t>3 χρόνια</w:t>
      </w:r>
    </w:p>
    <w:p w:rsidR="00496809" w:rsidRPr="00786D07" w:rsidRDefault="00496809"/>
    <w:p w:rsidR="00496809" w:rsidRPr="00786D07" w:rsidRDefault="00496809" w:rsidP="00CE2C21">
      <w:pPr>
        <w:tabs>
          <w:tab w:val="left" w:pos="567"/>
        </w:tabs>
      </w:pPr>
      <w:r w:rsidRPr="00786D07">
        <w:rPr>
          <w:b/>
        </w:rPr>
        <w:t>6.4</w:t>
      </w:r>
      <w:r w:rsidRPr="00786D07">
        <w:rPr>
          <w:b/>
        </w:rPr>
        <w:tab/>
        <w:t>Ιδιαίτερες προφυλάξεις κατά την φύλαξη του προϊόντος</w:t>
      </w:r>
    </w:p>
    <w:p w:rsidR="00496809" w:rsidRDefault="00496809"/>
    <w:p w:rsidR="00310779" w:rsidRPr="000D1D5B" w:rsidRDefault="000D1D5B" w:rsidP="00310779">
      <w:pPr>
        <w:pStyle w:val="CTDNORMAL"/>
        <w:spacing w:after="0"/>
        <w:ind w:left="0"/>
        <w:rPr>
          <w:szCs w:val="22"/>
          <w:lang w:val="el-GR"/>
        </w:rPr>
      </w:pPr>
      <w:r>
        <w:rPr>
          <w:noProof/>
          <w:lang w:val="el-GR"/>
        </w:rPr>
        <w:t>Δεν υπάρχουν ειδικές οδηγίες διατήρησης για το προϊόν αυτό.</w:t>
      </w:r>
    </w:p>
    <w:p w:rsidR="00310779" w:rsidRPr="000D1D5B" w:rsidRDefault="00310779"/>
    <w:p w:rsidR="00496809" w:rsidRPr="00786D07" w:rsidRDefault="00496809" w:rsidP="00CE2C21">
      <w:pPr>
        <w:tabs>
          <w:tab w:val="left" w:pos="567"/>
        </w:tabs>
      </w:pPr>
      <w:r w:rsidRPr="00786D07">
        <w:rPr>
          <w:b/>
        </w:rPr>
        <w:t>6.5</w:t>
      </w:r>
      <w:r w:rsidRPr="00786D07">
        <w:rPr>
          <w:b/>
        </w:rPr>
        <w:tab/>
        <w:t>Φύση και συστατικά του περιέκτη</w:t>
      </w:r>
    </w:p>
    <w:p w:rsidR="000D1D5B" w:rsidRDefault="000D1D5B">
      <w:pPr>
        <w:rPr>
          <w:szCs w:val="22"/>
        </w:rPr>
      </w:pPr>
    </w:p>
    <w:p w:rsidR="00496809" w:rsidRPr="00786D07" w:rsidRDefault="000D1D5B">
      <w:r w:rsidRPr="000D1D5B">
        <w:rPr>
          <w:szCs w:val="22"/>
        </w:rPr>
        <w:t xml:space="preserve">Τα </w:t>
      </w:r>
      <w:r w:rsidR="00244B6E" w:rsidRPr="00060763">
        <w:rPr>
          <w:szCs w:val="22"/>
          <w:lang w:val="en-GB"/>
        </w:rPr>
        <w:t>Brufen</w:t>
      </w:r>
      <w:r w:rsidR="00244B6E" w:rsidRPr="00F97F5E">
        <w:rPr>
          <w:szCs w:val="22"/>
        </w:rPr>
        <w:t xml:space="preserve"> </w:t>
      </w:r>
      <w:r w:rsidR="00244B6E" w:rsidRPr="00060763">
        <w:rPr>
          <w:szCs w:val="22"/>
          <w:lang w:val="en-GB"/>
        </w:rPr>
        <w:t>Plus</w:t>
      </w:r>
      <w:r w:rsidR="00244B6E" w:rsidRPr="000D1D5B">
        <w:rPr>
          <w:szCs w:val="22"/>
        </w:rPr>
        <w:t xml:space="preserve"> </w:t>
      </w:r>
      <w:r w:rsidRPr="000D1D5B">
        <w:rPr>
          <w:szCs w:val="22"/>
        </w:rPr>
        <w:t>400</w:t>
      </w:r>
      <w:r w:rsidRPr="000D1D5B">
        <w:rPr>
          <w:szCs w:val="22"/>
          <w:lang w:val="en-US"/>
        </w:rPr>
        <w:t> </w:t>
      </w:r>
      <w:r w:rsidRPr="000D1D5B">
        <w:rPr>
          <w:szCs w:val="22"/>
          <w:lang w:val="en-GB"/>
        </w:rPr>
        <w:t>mg</w:t>
      </w:r>
      <w:r w:rsidRPr="000D1D5B">
        <w:rPr>
          <w:szCs w:val="22"/>
        </w:rPr>
        <w:t>/30</w:t>
      </w:r>
      <w:r w:rsidRPr="000D1D5B">
        <w:rPr>
          <w:szCs w:val="22"/>
          <w:lang w:val="en-US"/>
        </w:rPr>
        <w:t> </w:t>
      </w:r>
      <w:r w:rsidRPr="000D1D5B">
        <w:rPr>
          <w:szCs w:val="22"/>
          <w:lang w:val="en-GB"/>
        </w:rPr>
        <w:t>mg</w:t>
      </w:r>
      <w:r w:rsidRPr="000D1D5B">
        <w:rPr>
          <w:szCs w:val="22"/>
        </w:rPr>
        <w:t xml:space="preserve"> Επικαλυμμένα με λεπτό υμένιο δισκία</w:t>
      </w:r>
      <w:r w:rsidR="00310779" w:rsidRPr="000D1D5B">
        <w:t xml:space="preserve"> </w:t>
      </w:r>
      <w:r w:rsidRPr="000D1D5B">
        <w:t xml:space="preserve">συσκευάζονται </w:t>
      </w:r>
      <w:r w:rsidR="00310779" w:rsidRPr="000D1D5B">
        <w:t xml:space="preserve">σε </w:t>
      </w:r>
      <w:r w:rsidRPr="000D1D5B">
        <w:t xml:space="preserve">κυψέλες </w:t>
      </w:r>
      <w:r w:rsidRPr="000D1D5B">
        <w:rPr>
          <w:lang w:val="en-US"/>
        </w:rPr>
        <w:t>Al</w:t>
      </w:r>
      <w:r w:rsidR="00310779" w:rsidRPr="000D1D5B">
        <w:t xml:space="preserve">/PVDC - PVC/PVDC, μέσα σε </w:t>
      </w:r>
      <w:r w:rsidRPr="000D1D5B">
        <w:t xml:space="preserve">χάρτινο </w:t>
      </w:r>
      <w:r w:rsidR="00310779" w:rsidRPr="000D1D5B">
        <w:t>κουτί. Κάθε κουτί περιέχει 30 επικαλυμμένα με λε</w:t>
      </w:r>
      <w:r w:rsidRPr="000D1D5B">
        <w:t>πτό υμένιο δισκία</w:t>
      </w:r>
      <w:r w:rsidR="00310779" w:rsidRPr="000D1D5B">
        <w:t>.</w:t>
      </w:r>
    </w:p>
    <w:p w:rsidR="00496809" w:rsidRPr="00786D07" w:rsidRDefault="00496809">
      <w:pPr>
        <w:rPr>
          <w:b/>
        </w:rPr>
      </w:pPr>
    </w:p>
    <w:p w:rsidR="00496809" w:rsidRPr="00786D07" w:rsidRDefault="00496809" w:rsidP="00CE2C21">
      <w:pPr>
        <w:tabs>
          <w:tab w:val="left" w:pos="567"/>
        </w:tabs>
      </w:pPr>
      <w:r w:rsidRPr="00786D07">
        <w:rPr>
          <w:b/>
        </w:rPr>
        <w:t>6.6</w:t>
      </w:r>
      <w:r w:rsidRPr="00786D07">
        <w:rPr>
          <w:b/>
        </w:rPr>
        <w:tab/>
      </w:r>
      <w:r w:rsidRPr="00786D07">
        <w:rPr>
          <w:b/>
          <w:noProof/>
        </w:rPr>
        <w:t>Ιδιαίτερες προφυλάξεις απόρριψης</w:t>
      </w:r>
    </w:p>
    <w:p w:rsidR="000D1D5B" w:rsidRDefault="000D1D5B"/>
    <w:p w:rsidR="00496809" w:rsidRPr="00786D07" w:rsidRDefault="00496809">
      <w:r w:rsidRPr="00786D07">
        <w:t xml:space="preserve">Κάθε </w:t>
      </w:r>
      <w:r w:rsidR="00A73605" w:rsidRPr="00786D07">
        <w:rPr>
          <w:noProof/>
        </w:rPr>
        <w:t xml:space="preserve">αχρησιμοποίητο φαρμακευτικό </w:t>
      </w:r>
      <w:r w:rsidRPr="00786D07">
        <w:t xml:space="preserve">προϊόν ή υπόλειμμα πρέπει να </w:t>
      </w:r>
      <w:r w:rsidR="00A73605" w:rsidRPr="00786D07">
        <w:rPr>
          <w:noProof/>
        </w:rPr>
        <w:t>απορρίπτεται</w:t>
      </w:r>
      <w:r w:rsidR="009E24DF">
        <w:rPr>
          <w:noProof/>
        </w:rPr>
        <w:t xml:space="preserve"> </w:t>
      </w:r>
      <w:r w:rsidRPr="00786D07">
        <w:t>σύμφωνα με τις κατά τόπους ισχύουσες σχετικές διατάξεις.</w:t>
      </w:r>
    </w:p>
    <w:p w:rsidR="00496809" w:rsidRPr="00786D07" w:rsidRDefault="00496809"/>
    <w:p w:rsidR="007F0DD3" w:rsidRPr="00786D07" w:rsidRDefault="007F0DD3"/>
    <w:p w:rsidR="00496809" w:rsidRPr="00786D07" w:rsidRDefault="00496809" w:rsidP="00CE2C21">
      <w:pPr>
        <w:tabs>
          <w:tab w:val="left" w:pos="567"/>
        </w:tabs>
      </w:pPr>
      <w:r w:rsidRPr="00786D07">
        <w:rPr>
          <w:b/>
        </w:rPr>
        <w:t>7.</w:t>
      </w:r>
      <w:r w:rsidRPr="00786D07">
        <w:rPr>
          <w:b/>
        </w:rPr>
        <w:tab/>
        <w:t>ΚΑΤΟΧΟΣ ΤΗΣ ΑΔΕΙΑΣ ΚΥΚΛΟΦΟΡΙΑΣ</w:t>
      </w:r>
    </w:p>
    <w:p w:rsidR="00496809" w:rsidRPr="00786D07" w:rsidRDefault="00496809"/>
    <w:p w:rsidR="00AB480E" w:rsidRPr="007703FC" w:rsidRDefault="00AB480E" w:rsidP="00AB480E">
      <w:pPr>
        <w:rPr>
          <w:szCs w:val="22"/>
        </w:rPr>
      </w:pPr>
      <w:proofErr w:type="gramStart"/>
      <w:r>
        <w:rPr>
          <w:szCs w:val="22"/>
          <w:lang w:val="en-US"/>
        </w:rPr>
        <w:t>BGP</w:t>
      </w:r>
      <w:r w:rsidRPr="00961680">
        <w:rPr>
          <w:szCs w:val="22"/>
        </w:rPr>
        <w:t xml:space="preserve"> </w:t>
      </w:r>
      <w:r>
        <w:rPr>
          <w:szCs w:val="22"/>
        </w:rPr>
        <w:t>ΠΡΟΪΟΝΤΑ Μ.Ε.Π.Ε.</w:t>
      </w:r>
      <w:r w:rsidRPr="00696332">
        <w:rPr>
          <w:szCs w:val="22"/>
        </w:rPr>
        <w:t>,</w:t>
      </w:r>
      <w:proofErr w:type="gramEnd"/>
      <w:r w:rsidRPr="00F743B2">
        <w:rPr>
          <w:szCs w:val="22"/>
        </w:rPr>
        <w:t xml:space="preserve"> </w:t>
      </w:r>
    </w:p>
    <w:p w:rsidR="00FC12A1" w:rsidRDefault="00FC12A1" w:rsidP="00FC12A1">
      <w:pPr>
        <w:rPr>
          <w:noProof/>
        </w:rPr>
      </w:pPr>
      <w:r>
        <w:rPr>
          <w:noProof/>
        </w:rPr>
        <w:t>Αγ. Δημητρίου 63, 174 56 Άλιμος</w:t>
      </w:r>
    </w:p>
    <w:p w:rsidR="00FC12A1" w:rsidRDefault="00FC12A1" w:rsidP="00FC12A1">
      <w:pPr>
        <w:rPr>
          <w:noProof/>
        </w:rPr>
      </w:pPr>
      <w:r>
        <w:rPr>
          <w:noProof/>
        </w:rPr>
        <w:t>Τηλ.</w:t>
      </w:r>
      <w:r w:rsidR="00A9440E">
        <w:rPr>
          <w:noProof/>
        </w:rPr>
        <w:t>:</w:t>
      </w:r>
      <w:r>
        <w:rPr>
          <w:noProof/>
        </w:rPr>
        <w:t xml:space="preserve"> </w:t>
      </w:r>
      <w:r w:rsidR="00AB480E" w:rsidRPr="00EB0B31">
        <w:rPr>
          <w:noProof/>
        </w:rPr>
        <w:t>210 9891 777</w:t>
      </w:r>
    </w:p>
    <w:p w:rsidR="00496809" w:rsidRPr="00A542C8" w:rsidRDefault="00496809"/>
    <w:p w:rsidR="00496809" w:rsidRPr="000A6FB2" w:rsidRDefault="00496809" w:rsidP="00CE2C21">
      <w:pPr>
        <w:tabs>
          <w:tab w:val="left" w:pos="567"/>
        </w:tabs>
      </w:pPr>
    </w:p>
    <w:p w:rsidR="00496809" w:rsidRPr="00786D07" w:rsidRDefault="00496809" w:rsidP="00CE2C21">
      <w:pPr>
        <w:tabs>
          <w:tab w:val="left" w:pos="567"/>
        </w:tabs>
      </w:pPr>
      <w:r w:rsidRPr="00786D07">
        <w:rPr>
          <w:b/>
        </w:rPr>
        <w:t>8.</w:t>
      </w:r>
      <w:r w:rsidRPr="00786D07">
        <w:rPr>
          <w:b/>
        </w:rPr>
        <w:tab/>
        <w:t>ΑΡΙΘΜΟΣ</w:t>
      </w:r>
      <w:r w:rsidR="000D1D5B">
        <w:rPr>
          <w:b/>
        </w:rPr>
        <w:t xml:space="preserve"> </w:t>
      </w:r>
      <w:r w:rsidRPr="00786D07">
        <w:rPr>
          <w:b/>
        </w:rPr>
        <w:t>ΑΔΕΙΑΣ ΚΥΚΛΟΦΟΡΙΑΣ</w:t>
      </w:r>
    </w:p>
    <w:p w:rsidR="00496809" w:rsidRPr="00786D07" w:rsidRDefault="00496809"/>
    <w:p w:rsidR="00496809" w:rsidRPr="00786D07" w:rsidRDefault="00244B6E">
      <w:pPr>
        <w:rPr>
          <w:i/>
          <w:iCs/>
        </w:rPr>
      </w:pPr>
      <w:r>
        <w:t>87258/04-11-2014</w:t>
      </w:r>
    </w:p>
    <w:p w:rsidR="00496809" w:rsidRPr="00786D07" w:rsidRDefault="00496809"/>
    <w:p w:rsidR="00496809" w:rsidRPr="00786D07" w:rsidRDefault="00496809"/>
    <w:p w:rsidR="00496809" w:rsidRPr="00786D07" w:rsidRDefault="00496809" w:rsidP="00CE2C21">
      <w:pPr>
        <w:tabs>
          <w:tab w:val="left" w:pos="567"/>
        </w:tabs>
      </w:pPr>
      <w:r w:rsidRPr="00786D07">
        <w:rPr>
          <w:b/>
        </w:rPr>
        <w:t>9.</w:t>
      </w:r>
      <w:r w:rsidRPr="00786D07">
        <w:rPr>
          <w:b/>
        </w:rPr>
        <w:tab/>
        <w:t>ΗΜΕΡΟΜΗΝΙΑ ΠΡΩΤΗΣ ΕΓΚΡΙΣΗΣ / ΑΝΑΝΕΩΣΗΣ ΤΗΣ ΑΔΕΙΑΣ</w:t>
      </w:r>
    </w:p>
    <w:p w:rsidR="00496809" w:rsidRPr="00786D07" w:rsidRDefault="00496809"/>
    <w:p w:rsidR="000D1D5B" w:rsidRPr="00786D07" w:rsidRDefault="00244B6E" w:rsidP="000D1D5B">
      <w:pPr>
        <w:rPr>
          <w:i/>
          <w:iCs/>
        </w:rPr>
      </w:pPr>
      <w:r>
        <w:t>04-11-2014</w:t>
      </w:r>
    </w:p>
    <w:p w:rsidR="00496809" w:rsidRPr="00786D07" w:rsidRDefault="00496809"/>
    <w:p w:rsidR="00496809" w:rsidRPr="00786D07" w:rsidRDefault="00496809"/>
    <w:p w:rsidR="00496809" w:rsidRPr="00786D07" w:rsidRDefault="00496809" w:rsidP="00CE2C21">
      <w:pPr>
        <w:tabs>
          <w:tab w:val="left" w:pos="567"/>
        </w:tabs>
      </w:pPr>
      <w:r w:rsidRPr="00786D07">
        <w:rPr>
          <w:b/>
        </w:rPr>
        <w:t>10.</w:t>
      </w:r>
      <w:r w:rsidRPr="00786D07">
        <w:rPr>
          <w:b/>
        </w:rPr>
        <w:tab/>
        <w:t>ΗΜΕΡΟΜΗΝΙΑ ΑΝΑΘΕΩΡΗΣΗΣ ΤΟΥ ΚΕΙΜΕΝΟΥ</w:t>
      </w:r>
    </w:p>
    <w:p w:rsidR="00496809" w:rsidRPr="00786D07" w:rsidRDefault="00496809">
      <w:pPr>
        <w:pStyle w:val="a3"/>
        <w:tabs>
          <w:tab w:val="clear" w:pos="4153"/>
          <w:tab w:val="clear" w:pos="8306"/>
        </w:tabs>
        <w:rPr>
          <w:bCs/>
          <w:noProof/>
        </w:rPr>
      </w:pPr>
    </w:p>
    <w:p w:rsidR="00B549A0" w:rsidRDefault="00B549A0" w:rsidP="00B549A0">
      <w:pPr>
        <w:rPr>
          <w:noProof/>
        </w:rPr>
      </w:pPr>
    </w:p>
    <w:p w:rsidR="00A47CE6" w:rsidRPr="00786D07" w:rsidRDefault="00A47CE6" w:rsidP="00B549A0">
      <w:pPr>
        <w:rPr>
          <w:bCs/>
          <w:noProof/>
        </w:rPr>
      </w:pPr>
    </w:p>
    <w:p w:rsidR="00496809" w:rsidRPr="00786D07" w:rsidRDefault="00496809">
      <w:pPr>
        <w:rPr>
          <w:noProof/>
        </w:rPr>
      </w:pPr>
    </w:p>
    <w:sectPr w:rsidR="00496809" w:rsidRPr="00786D07" w:rsidSect="00C721E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F4" w:rsidRDefault="003F20F4">
      <w:r>
        <w:separator/>
      </w:r>
    </w:p>
  </w:endnote>
  <w:endnote w:type="continuationSeparator" w:id="0">
    <w:p w:rsidR="003F20F4" w:rsidRDefault="003F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Default="00AF05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66" w:rsidRPr="00A30250" w:rsidRDefault="00051BE4" w:rsidP="00051BE4">
    <w:pPr>
      <w:pStyle w:val="a4"/>
      <w:tabs>
        <w:tab w:val="clear" w:pos="4153"/>
        <w:tab w:val="clear" w:pos="8306"/>
        <w:tab w:val="center" w:pos="4536"/>
        <w:tab w:val="center" w:pos="8930"/>
      </w:tabs>
      <w:rPr>
        <w:sz w:val="14"/>
        <w:lang w:val="fr-FR"/>
      </w:rPr>
    </w:pPr>
    <w:fldSimple w:instr=" FILENAME  \p  \* MERGEFORMAT ">
      <w:r w:rsidR="00AE707D">
        <w:rPr>
          <w:noProof/>
          <w:sz w:val="14"/>
          <w:lang w:val="fr-FR"/>
        </w:rPr>
        <w:t>C:\Users\user146\Desktop\12os 2015\ΘΑ-48 BRUFEN PLUS\st cl SPC P173_SPC_9649_20-04-2015__var003_PRAC_clean.doc</w:t>
      </w:r>
    </w:fldSimple>
    <w:r w:rsidRPr="00A30250">
      <w:rPr>
        <w:sz w:val="14"/>
        <w:lang w:val="fr-FR"/>
      </w:rPr>
      <w:t xml:space="preserve">, </w:t>
    </w:r>
    <w:r w:rsidR="00025B66" w:rsidRPr="00A30250">
      <w:rPr>
        <w:sz w:val="14"/>
        <w:lang w:val="fr-FR"/>
      </w:rPr>
      <w:fldChar w:fldCharType="begin"/>
    </w:r>
    <w:r w:rsidR="00025B66" w:rsidRPr="00A30250">
      <w:rPr>
        <w:sz w:val="14"/>
        <w:lang w:val="fr-FR"/>
      </w:rPr>
      <w:instrText xml:space="preserve">PAGE  </w:instrText>
    </w:r>
    <w:r w:rsidR="00025B66" w:rsidRPr="00A30250">
      <w:rPr>
        <w:sz w:val="14"/>
        <w:lang w:val="fr-FR"/>
      </w:rPr>
      <w:fldChar w:fldCharType="separate"/>
    </w:r>
    <w:r w:rsidR="00AE707D">
      <w:rPr>
        <w:noProof/>
        <w:sz w:val="14"/>
        <w:lang w:val="fr-FR"/>
      </w:rPr>
      <w:t>16</w:t>
    </w:r>
    <w:r w:rsidR="00025B66" w:rsidRPr="00A30250">
      <w:rPr>
        <w:sz w:val="14"/>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66" w:rsidRDefault="00025B66">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79116D">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F4" w:rsidRDefault="003F20F4">
      <w:r>
        <w:separator/>
      </w:r>
    </w:p>
  </w:footnote>
  <w:footnote w:type="continuationSeparator" w:id="0">
    <w:p w:rsidR="003F20F4" w:rsidRDefault="003F2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Default="00AF05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Default="00AF058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Default="00AF05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810019"/>
    <w:multiLevelType w:val="singleLevel"/>
    <w:tmpl w:val="FFFFFFFF"/>
    <w:lvl w:ilvl="0">
      <w:start w:val="1"/>
      <w:numFmt w:val="bullet"/>
      <w:lvlText w:val="-"/>
      <w:legacy w:legacy="1" w:legacySpace="0" w:legacyIndent="360"/>
      <w:lvlJc w:val="left"/>
      <w:pPr>
        <w:ind w:left="1800" w:hanging="360"/>
      </w:pPr>
    </w:lvl>
  </w:abstractNum>
  <w:abstractNum w:abstractNumId="9">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0C4365"/>
    <w:multiLevelType w:val="singleLevel"/>
    <w:tmpl w:val="FFFFFFFF"/>
    <w:lvl w:ilvl="0">
      <w:start w:val="1"/>
      <w:numFmt w:val="bullet"/>
      <w:lvlText w:val="-"/>
      <w:legacy w:legacy="1" w:legacySpace="0" w:legacyIndent="360"/>
      <w:lvlJc w:val="left"/>
      <w:pPr>
        <w:ind w:left="1800" w:hanging="360"/>
      </w:pPr>
    </w:lvl>
  </w:abstractNum>
  <w:abstractNum w:abstractNumId="11">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13"/>
  </w:num>
  <w:num w:numId="7">
    <w:abstractNumId w:val="5"/>
  </w:num>
  <w:num w:numId="8">
    <w:abstractNumId w:val="10"/>
  </w:num>
  <w:num w:numId="9">
    <w:abstractNumId w:val="8"/>
  </w:num>
  <w:num w:numId="10">
    <w:abstractNumId w:val="3"/>
  </w:num>
  <w:num w:numId="11">
    <w:abstractNumId w:val="12"/>
  </w:num>
  <w:num w:numId="12">
    <w:abstractNumId w:val="1"/>
  </w:num>
  <w:num w:numId="13">
    <w:abstractNumId w:val="9"/>
  </w:num>
  <w:num w:numId="14">
    <w:abstractNumId w:val="17"/>
  </w:num>
  <w:num w:numId="15">
    <w:abstractNumId w:val="4"/>
  </w:num>
  <w:num w:numId="16">
    <w:abstractNumId w:val="6"/>
  </w:num>
  <w:num w:numId="17">
    <w:abstractNumId w:val="15"/>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cVars>
    <w:docVar w:name="Registered" w:val="-1"/>
    <w:docVar w:name="Version" w:val="0"/>
  </w:docVars>
  <w:rsids>
    <w:rsidRoot w:val="00496809"/>
    <w:rsid w:val="000101D2"/>
    <w:rsid w:val="000125B7"/>
    <w:rsid w:val="00013910"/>
    <w:rsid w:val="0001399E"/>
    <w:rsid w:val="00025B66"/>
    <w:rsid w:val="00031D1A"/>
    <w:rsid w:val="000403BC"/>
    <w:rsid w:val="00041E7F"/>
    <w:rsid w:val="00051BE4"/>
    <w:rsid w:val="00056716"/>
    <w:rsid w:val="00061BC1"/>
    <w:rsid w:val="00071E1A"/>
    <w:rsid w:val="00085686"/>
    <w:rsid w:val="0009263E"/>
    <w:rsid w:val="00095F10"/>
    <w:rsid w:val="000A6FB2"/>
    <w:rsid w:val="000A77D6"/>
    <w:rsid w:val="000A7982"/>
    <w:rsid w:val="000A7BC8"/>
    <w:rsid w:val="000A7E31"/>
    <w:rsid w:val="000B1E35"/>
    <w:rsid w:val="000C5D09"/>
    <w:rsid w:val="000C7150"/>
    <w:rsid w:val="000D1D5B"/>
    <w:rsid w:val="000E3DDF"/>
    <w:rsid w:val="000F3AE1"/>
    <w:rsid w:val="000F7D67"/>
    <w:rsid w:val="0010327A"/>
    <w:rsid w:val="00104BF9"/>
    <w:rsid w:val="001056BE"/>
    <w:rsid w:val="00106529"/>
    <w:rsid w:val="00107B9C"/>
    <w:rsid w:val="00110DE4"/>
    <w:rsid w:val="00125B4C"/>
    <w:rsid w:val="00125EC7"/>
    <w:rsid w:val="00145B9B"/>
    <w:rsid w:val="00154E4A"/>
    <w:rsid w:val="0018145D"/>
    <w:rsid w:val="0018490D"/>
    <w:rsid w:val="00195F86"/>
    <w:rsid w:val="00196663"/>
    <w:rsid w:val="001A61C9"/>
    <w:rsid w:val="001A7B48"/>
    <w:rsid w:val="001C35DF"/>
    <w:rsid w:val="001C4C7C"/>
    <w:rsid w:val="001D1F8D"/>
    <w:rsid w:val="00214960"/>
    <w:rsid w:val="0021612F"/>
    <w:rsid w:val="00217F67"/>
    <w:rsid w:val="00217FDE"/>
    <w:rsid w:val="0023054A"/>
    <w:rsid w:val="002443A1"/>
    <w:rsid w:val="00244A39"/>
    <w:rsid w:val="00244B6E"/>
    <w:rsid w:val="00252234"/>
    <w:rsid w:val="00261807"/>
    <w:rsid w:val="00271296"/>
    <w:rsid w:val="00271694"/>
    <w:rsid w:val="002916E3"/>
    <w:rsid w:val="00294C75"/>
    <w:rsid w:val="00295B9E"/>
    <w:rsid w:val="002A0CFA"/>
    <w:rsid w:val="002A3DD7"/>
    <w:rsid w:val="002B5227"/>
    <w:rsid w:val="002C4287"/>
    <w:rsid w:val="002C7789"/>
    <w:rsid w:val="002D0A9A"/>
    <w:rsid w:val="002D4D99"/>
    <w:rsid w:val="00301BF4"/>
    <w:rsid w:val="003105F3"/>
    <w:rsid w:val="00310779"/>
    <w:rsid w:val="00312062"/>
    <w:rsid w:val="00315025"/>
    <w:rsid w:val="00325F65"/>
    <w:rsid w:val="00327B06"/>
    <w:rsid w:val="00332A57"/>
    <w:rsid w:val="0034003F"/>
    <w:rsid w:val="003521A1"/>
    <w:rsid w:val="00357857"/>
    <w:rsid w:val="00357FCC"/>
    <w:rsid w:val="00361286"/>
    <w:rsid w:val="003647A6"/>
    <w:rsid w:val="00370F35"/>
    <w:rsid w:val="003808CD"/>
    <w:rsid w:val="003838F9"/>
    <w:rsid w:val="0038702D"/>
    <w:rsid w:val="003A6470"/>
    <w:rsid w:val="003A6D94"/>
    <w:rsid w:val="003B359C"/>
    <w:rsid w:val="003B4BF5"/>
    <w:rsid w:val="003C0467"/>
    <w:rsid w:val="003C2892"/>
    <w:rsid w:val="003D0269"/>
    <w:rsid w:val="003D14DD"/>
    <w:rsid w:val="003D4729"/>
    <w:rsid w:val="003D4FB9"/>
    <w:rsid w:val="003D725B"/>
    <w:rsid w:val="003F041B"/>
    <w:rsid w:val="003F20F4"/>
    <w:rsid w:val="003F7235"/>
    <w:rsid w:val="004002EF"/>
    <w:rsid w:val="0042020E"/>
    <w:rsid w:val="004217D5"/>
    <w:rsid w:val="00423B7D"/>
    <w:rsid w:val="004308A5"/>
    <w:rsid w:val="00432376"/>
    <w:rsid w:val="00434532"/>
    <w:rsid w:val="0045257F"/>
    <w:rsid w:val="004571FD"/>
    <w:rsid w:val="00463BAA"/>
    <w:rsid w:val="00464262"/>
    <w:rsid w:val="00464884"/>
    <w:rsid w:val="0047347A"/>
    <w:rsid w:val="00474A45"/>
    <w:rsid w:val="0048323E"/>
    <w:rsid w:val="004843F1"/>
    <w:rsid w:val="00485088"/>
    <w:rsid w:val="00485503"/>
    <w:rsid w:val="00485917"/>
    <w:rsid w:val="004877D0"/>
    <w:rsid w:val="00490BF3"/>
    <w:rsid w:val="00496809"/>
    <w:rsid w:val="004B22CF"/>
    <w:rsid w:val="004B65C5"/>
    <w:rsid w:val="004C6D3B"/>
    <w:rsid w:val="004D6F7C"/>
    <w:rsid w:val="004F4B10"/>
    <w:rsid w:val="00504535"/>
    <w:rsid w:val="005046A6"/>
    <w:rsid w:val="00515174"/>
    <w:rsid w:val="00532084"/>
    <w:rsid w:val="005414C1"/>
    <w:rsid w:val="0054279F"/>
    <w:rsid w:val="00542F6D"/>
    <w:rsid w:val="00543006"/>
    <w:rsid w:val="00544D4B"/>
    <w:rsid w:val="00551227"/>
    <w:rsid w:val="005808FC"/>
    <w:rsid w:val="0058226E"/>
    <w:rsid w:val="0058455C"/>
    <w:rsid w:val="00585BE2"/>
    <w:rsid w:val="00587894"/>
    <w:rsid w:val="00591468"/>
    <w:rsid w:val="00593170"/>
    <w:rsid w:val="005A10C3"/>
    <w:rsid w:val="005A1480"/>
    <w:rsid w:val="005A6CE2"/>
    <w:rsid w:val="005C2122"/>
    <w:rsid w:val="005C5540"/>
    <w:rsid w:val="005D5045"/>
    <w:rsid w:val="005D5488"/>
    <w:rsid w:val="005F5BA7"/>
    <w:rsid w:val="005F724C"/>
    <w:rsid w:val="00600B1E"/>
    <w:rsid w:val="00601719"/>
    <w:rsid w:val="00616494"/>
    <w:rsid w:val="006243C6"/>
    <w:rsid w:val="006244B3"/>
    <w:rsid w:val="00632E0F"/>
    <w:rsid w:val="0064334B"/>
    <w:rsid w:val="00650705"/>
    <w:rsid w:val="0065577E"/>
    <w:rsid w:val="00674A5D"/>
    <w:rsid w:val="006920E0"/>
    <w:rsid w:val="00693520"/>
    <w:rsid w:val="00693851"/>
    <w:rsid w:val="006A0347"/>
    <w:rsid w:val="006A4F76"/>
    <w:rsid w:val="006B5F87"/>
    <w:rsid w:val="006C336D"/>
    <w:rsid w:val="006D3646"/>
    <w:rsid w:val="006D5CE6"/>
    <w:rsid w:val="006E0728"/>
    <w:rsid w:val="006E2F26"/>
    <w:rsid w:val="006F4F0E"/>
    <w:rsid w:val="00714C8C"/>
    <w:rsid w:val="00743553"/>
    <w:rsid w:val="0076194A"/>
    <w:rsid w:val="00771CC5"/>
    <w:rsid w:val="00782396"/>
    <w:rsid w:val="00786D07"/>
    <w:rsid w:val="00790B66"/>
    <w:rsid w:val="0079116D"/>
    <w:rsid w:val="007A1CD1"/>
    <w:rsid w:val="007A4F97"/>
    <w:rsid w:val="007A6584"/>
    <w:rsid w:val="007A78F9"/>
    <w:rsid w:val="007C42BE"/>
    <w:rsid w:val="007C6397"/>
    <w:rsid w:val="007C719B"/>
    <w:rsid w:val="007D2698"/>
    <w:rsid w:val="007E17C2"/>
    <w:rsid w:val="007E45A9"/>
    <w:rsid w:val="007E6F4D"/>
    <w:rsid w:val="007F0DD3"/>
    <w:rsid w:val="00803C43"/>
    <w:rsid w:val="00806B11"/>
    <w:rsid w:val="0081082C"/>
    <w:rsid w:val="00810EC4"/>
    <w:rsid w:val="008145F8"/>
    <w:rsid w:val="008277F0"/>
    <w:rsid w:val="0084400C"/>
    <w:rsid w:val="00844F56"/>
    <w:rsid w:val="00854807"/>
    <w:rsid w:val="00861159"/>
    <w:rsid w:val="00874F9D"/>
    <w:rsid w:val="008777F0"/>
    <w:rsid w:val="0088494F"/>
    <w:rsid w:val="00893199"/>
    <w:rsid w:val="008A6A1F"/>
    <w:rsid w:val="008B3235"/>
    <w:rsid w:val="008B3411"/>
    <w:rsid w:val="008B6BBB"/>
    <w:rsid w:val="008B6CAF"/>
    <w:rsid w:val="008C0946"/>
    <w:rsid w:val="008C22BD"/>
    <w:rsid w:val="008C3686"/>
    <w:rsid w:val="008C5A40"/>
    <w:rsid w:val="008D4C58"/>
    <w:rsid w:val="008F286B"/>
    <w:rsid w:val="008F6A8F"/>
    <w:rsid w:val="009060AF"/>
    <w:rsid w:val="00912343"/>
    <w:rsid w:val="00920548"/>
    <w:rsid w:val="00923CC8"/>
    <w:rsid w:val="009254F5"/>
    <w:rsid w:val="009318DD"/>
    <w:rsid w:val="00947287"/>
    <w:rsid w:val="00973783"/>
    <w:rsid w:val="0097462F"/>
    <w:rsid w:val="00975621"/>
    <w:rsid w:val="00984A69"/>
    <w:rsid w:val="00990162"/>
    <w:rsid w:val="00995A43"/>
    <w:rsid w:val="009A5015"/>
    <w:rsid w:val="009B4821"/>
    <w:rsid w:val="009C3CFC"/>
    <w:rsid w:val="009C4A7C"/>
    <w:rsid w:val="009E24DF"/>
    <w:rsid w:val="009E308C"/>
    <w:rsid w:val="009E3E1C"/>
    <w:rsid w:val="009E5B53"/>
    <w:rsid w:val="009E7EBA"/>
    <w:rsid w:val="009F3AFA"/>
    <w:rsid w:val="009F438D"/>
    <w:rsid w:val="009F60F4"/>
    <w:rsid w:val="00A006BD"/>
    <w:rsid w:val="00A056A7"/>
    <w:rsid w:val="00A176F7"/>
    <w:rsid w:val="00A222AB"/>
    <w:rsid w:val="00A25012"/>
    <w:rsid w:val="00A30250"/>
    <w:rsid w:val="00A3481C"/>
    <w:rsid w:val="00A40F56"/>
    <w:rsid w:val="00A414B0"/>
    <w:rsid w:val="00A45452"/>
    <w:rsid w:val="00A45E23"/>
    <w:rsid w:val="00A46B39"/>
    <w:rsid w:val="00A47CE6"/>
    <w:rsid w:val="00A50ADF"/>
    <w:rsid w:val="00A53458"/>
    <w:rsid w:val="00A542C8"/>
    <w:rsid w:val="00A637F7"/>
    <w:rsid w:val="00A641E6"/>
    <w:rsid w:val="00A670C4"/>
    <w:rsid w:val="00A712E2"/>
    <w:rsid w:val="00A7207A"/>
    <w:rsid w:val="00A73605"/>
    <w:rsid w:val="00A9440E"/>
    <w:rsid w:val="00AA45CA"/>
    <w:rsid w:val="00AB1D2B"/>
    <w:rsid w:val="00AB480E"/>
    <w:rsid w:val="00AC1EF1"/>
    <w:rsid w:val="00AC2219"/>
    <w:rsid w:val="00AD38AF"/>
    <w:rsid w:val="00AE67EA"/>
    <w:rsid w:val="00AE707D"/>
    <w:rsid w:val="00AF0580"/>
    <w:rsid w:val="00AF310E"/>
    <w:rsid w:val="00AF56E9"/>
    <w:rsid w:val="00B0716B"/>
    <w:rsid w:val="00B13BCF"/>
    <w:rsid w:val="00B1517B"/>
    <w:rsid w:val="00B33B6C"/>
    <w:rsid w:val="00B51432"/>
    <w:rsid w:val="00B549A0"/>
    <w:rsid w:val="00B579C0"/>
    <w:rsid w:val="00B64E39"/>
    <w:rsid w:val="00B73BB9"/>
    <w:rsid w:val="00B80BEC"/>
    <w:rsid w:val="00B813A3"/>
    <w:rsid w:val="00B843B0"/>
    <w:rsid w:val="00B847D4"/>
    <w:rsid w:val="00B84E28"/>
    <w:rsid w:val="00B93375"/>
    <w:rsid w:val="00B97CB8"/>
    <w:rsid w:val="00BB2A11"/>
    <w:rsid w:val="00BB3C2A"/>
    <w:rsid w:val="00BB3DA5"/>
    <w:rsid w:val="00BB64D0"/>
    <w:rsid w:val="00BD0D27"/>
    <w:rsid w:val="00BE3B8B"/>
    <w:rsid w:val="00BF2F68"/>
    <w:rsid w:val="00BF7109"/>
    <w:rsid w:val="00C04030"/>
    <w:rsid w:val="00C07410"/>
    <w:rsid w:val="00C10EC2"/>
    <w:rsid w:val="00C123BB"/>
    <w:rsid w:val="00C2161F"/>
    <w:rsid w:val="00C362E2"/>
    <w:rsid w:val="00C37184"/>
    <w:rsid w:val="00C424BC"/>
    <w:rsid w:val="00C47C4D"/>
    <w:rsid w:val="00C573C6"/>
    <w:rsid w:val="00C627F4"/>
    <w:rsid w:val="00C721EF"/>
    <w:rsid w:val="00C7253D"/>
    <w:rsid w:val="00C73B54"/>
    <w:rsid w:val="00C76B9D"/>
    <w:rsid w:val="00C8175C"/>
    <w:rsid w:val="00C85721"/>
    <w:rsid w:val="00C90919"/>
    <w:rsid w:val="00C90C6D"/>
    <w:rsid w:val="00C95834"/>
    <w:rsid w:val="00CB05B9"/>
    <w:rsid w:val="00CB2B8C"/>
    <w:rsid w:val="00CD0093"/>
    <w:rsid w:val="00CE2C21"/>
    <w:rsid w:val="00CE3701"/>
    <w:rsid w:val="00CF3F77"/>
    <w:rsid w:val="00CF5BFD"/>
    <w:rsid w:val="00CF792E"/>
    <w:rsid w:val="00D030CF"/>
    <w:rsid w:val="00D03276"/>
    <w:rsid w:val="00D21D17"/>
    <w:rsid w:val="00D221EB"/>
    <w:rsid w:val="00D238B5"/>
    <w:rsid w:val="00D23B1B"/>
    <w:rsid w:val="00D30FED"/>
    <w:rsid w:val="00D37598"/>
    <w:rsid w:val="00D42977"/>
    <w:rsid w:val="00D453FD"/>
    <w:rsid w:val="00D518E8"/>
    <w:rsid w:val="00D51941"/>
    <w:rsid w:val="00D557D8"/>
    <w:rsid w:val="00D56E07"/>
    <w:rsid w:val="00D57B2C"/>
    <w:rsid w:val="00D64BE0"/>
    <w:rsid w:val="00D74D2B"/>
    <w:rsid w:val="00D86047"/>
    <w:rsid w:val="00D92B6C"/>
    <w:rsid w:val="00D93C90"/>
    <w:rsid w:val="00DA3506"/>
    <w:rsid w:val="00DB5FFC"/>
    <w:rsid w:val="00DC43EE"/>
    <w:rsid w:val="00DD61DA"/>
    <w:rsid w:val="00DE2909"/>
    <w:rsid w:val="00DF3BFB"/>
    <w:rsid w:val="00DF6342"/>
    <w:rsid w:val="00E22EB4"/>
    <w:rsid w:val="00E24E34"/>
    <w:rsid w:val="00E311DD"/>
    <w:rsid w:val="00E31307"/>
    <w:rsid w:val="00E32C5A"/>
    <w:rsid w:val="00E404FE"/>
    <w:rsid w:val="00E416BA"/>
    <w:rsid w:val="00E47607"/>
    <w:rsid w:val="00E52EDA"/>
    <w:rsid w:val="00E53E8C"/>
    <w:rsid w:val="00E6178C"/>
    <w:rsid w:val="00E6414F"/>
    <w:rsid w:val="00E748F4"/>
    <w:rsid w:val="00E77514"/>
    <w:rsid w:val="00E83E9E"/>
    <w:rsid w:val="00E8618B"/>
    <w:rsid w:val="00E86692"/>
    <w:rsid w:val="00E97785"/>
    <w:rsid w:val="00E97F1B"/>
    <w:rsid w:val="00EA1A53"/>
    <w:rsid w:val="00EA60C0"/>
    <w:rsid w:val="00EB03D0"/>
    <w:rsid w:val="00EB0BF8"/>
    <w:rsid w:val="00EB1F2E"/>
    <w:rsid w:val="00EC13D2"/>
    <w:rsid w:val="00EC52C0"/>
    <w:rsid w:val="00ED6457"/>
    <w:rsid w:val="00EE3A79"/>
    <w:rsid w:val="00EF0013"/>
    <w:rsid w:val="00F02D6C"/>
    <w:rsid w:val="00F06E13"/>
    <w:rsid w:val="00F1527C"/>
    <w:rsid w:val="00F1617F"/>
    <w:rsid w:val="00F17452"/>
    <w:rsid w:val="00F2372E"/>
    <w:rsid w:val="00F24F03"/>
    <w:rsid w:val="00F35723"/>
    <w:rsid w:val="00F36A06"/>
    <w:rsid w:val="00F43003"/>
    <w:rsid w:val="00F57B4C"/>
    <w:rsid w:val="00F672C2"/>
    <w:rsid w:val="00F716ED"/>
    <w:rsid w:val="00F75200"/>
    <w:rsid w:val="00FA06D0"/>
    <w:rsid w:val="00FA07DE"/>
    <w:rsid w:val="00FA63E7"/>
    <w:rsid w:val="00FB0FA3"/>
    <w:rsid w:val="00FC12A1"/>
    <w:rsid w:val="00FD730D"/>
    <w:rsid w:val="00FE55A1"/>
    <w:rsid w:val="00FE5B0A"/>
    <w:rsid w:val="00FF4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paragraph" w:customStyle="1" w:styleId="CTDvietas">
    <w:name w:val="CTD viñetas"/>
    <w:basedOn w:val="CTDNORMAL"/>
    <w:rsid w:val="00310779"/>
    <w:pPr>
      <w:spacing w:after="0"/>
      <w:ind w:left="714" w:hanging="357"/>
    </w:pPr>
  </w:style>
  <w:style w:type="paragraph" w:customStyle="1" w:styleId="CTDNORMAL">
    <w:name w:val="CTD NORMAL"/>
    <w:basedOn w:val="a"/>
    <w:link w:val="CTDNORMALCar"/>
    <w:rsid w:val="00310779"/>
    <w:pPr>
      <w:widowControl/>
      <w:spacing w:after="240"/>
      <w:ind w:left="357"/>
      <w:jc w:val="both"/>
    </w:pPr>
    <w:rPr>
      <w:lang w:val="es-ES" w:eastAsia="es-ES"/>
    </w:rPr>
  </w:style>
  <w:style w:type="character" w:customStyle="1" w:styleId="CTDNORMALCar">
    <w:name w:val="CTD NORMAL Car"/>
    <w:link w:val="CTDNORMAL"/>
    <w:rsid w:val="00310779"/>
    <w:rPr>
      <w:sz w:val="22"/>
      <w:lang w:val="es-ES" w:eastAsia="es-ES"/>
    </w:rPr>
  </w:style>
</w:styles>
</file>

<file path=word/webSettings.xml><?xml version="1.0" encoding="utf-8"?>
<w:webSettings xmlns:r="http://schemas.openxmlformats.org/officeDocument/2006/relationships" xmlns:w="http://schemas.openxmlformats.org/wordprocessingml/2006/main">
  <w:divs>
    <w:div w:id="27416639">
      <w:bodyDiv w:val="1"/>
      <w:marLeft w:val="0"/>
      <w:marRight w:val="0"/>
      <w:marTop w:val="0"/>
      <w:marBottom w:val="0"/>
      <w:divBdr>
        <w:top w:val="none" w:sz="0" w:space="0" w:color="auto"/>
        <w:left w:val="none" w:sz="0" w:space="0" w:color="auto"/>
        <w:bottom w:val="none" w:sz="0" w:space="0" w:color="auto"/>
        <w:right w:val="none" w:sz="0" w:space="0" w:color="auto"/>
      </w:divBdr>
    </w:div>
    <w:div w:id="39785214">
      <w:bodyDiv w:val="1"/>
      <w:marLeft w:val="0"/>
      <w:marRight w:val="0"/>
      <w:marTop w:val="0"/>
      <w:marBottom w:val="0"/>
      <w:divBdr>
        <w:top w:val="none" w:sz="0" w:space="0" w:color="auto"/>
        <w:left w:val="none" w:sz="0" w:space="0" w:color="auto"/>
        <w:bottom w:val="none" w:sz="0" w:space="0" w:color="auto"/>
        <w:right w:val="none" w:sz="0" w:space="0" w:color="auto"/>
      </w:divBdr>
    </w:div>
    <w:div w:id="186793514">
      <w:bodyDiv w:val="1"/>
      <w:marLeft w:val="0"/>
      <w:marRight w:val="0"/>
      <w:marTop w:val="0"/>
      <w:marBottom w:val="0"/>
      <w:divBdr>
        <w:top w:val="none" w:sz="0" w:space="0" w:color="auto"/>
        <w:left w:val="none" w:sz="0" w:space="0" w:color="auto"/>
        <w:bottom w:val="none" w:sz="0" w:space="0" w:color="auto"/>
        <w:right w:val="none" w:sz="0" w:space="0" w:color="auto"/>
      </w:divBdr>
      <w:divsChild>
        <w:div w:id="778526710">
          <w:marLeft w:val="0"/>
          <w:marRight w:val="0"/>
          <w:marTop w:val="0"/>
          <w:marBottom w:val="0"/>
          <w:divBdr>
            <w:top w:val="none" w:sz="0" w:space="0" w:color="auto"/>
            <w:left w:val="none" w:sz="0" w:space="0" w:color="auto"/>
            <w:bottom w:val="none" w:sz="0" w:space="0" w:color="auto"/>
            <w:right w:val="none" w:sz="0" w:space="0" w:color="auto"/>
          </w:divBdr>
          <w:divsChild>
            <w:div w:id="218057381">
              <w:marLeft w:val="0"/>
              <w:marRight w:val="0"/>
              <w:marTop w:val="0"/>
              <w:marBottom w:val="0"/>
              <w:divBdr>
                <w:top w:val="none" w:sz="0" w:space="0" w:color="auto"/>
                <w:left w:val="none" w:sz="0" w:space="0" w:color="auto"/>
                <w:bottom w:val="none" w:sz="0" w:space="0" w:color="auto"/>
                <w:right w:val="none" w:sz="0" w:space="0" w:color="auto"/>
              </w:divBdr>
              <w:divsChild>
                <w:div w:id="2009211757">
                  <w:marLeft w:val="0"/>
                  <w:marRight w:val="0"/>
                  <w:marTop w:val="0"/>
                  <w:marBottom w:val="0"/>
                  <w:divBdr>
                    <w:top w:val="none" w:sz="0" w:space="0" w:color="auto"/>
                    <w:left w:val="none" w:sz="0" w:space="0" w:color="auto"/>
                    <w:bottom w:val="none" w:sz="0" w:space="0" w:color="auto"/>
                    <w:right w:val="none" w:sz="0" w:space="0" w:color="auto"/>
                  </w:divBdr>
                  <w:divsChild>
                    <w:div w:id="132256335">
                      <w:marLeft w:val="0"/>
                      <w:marRight w:val="0"/>
                      <w:marTop w:val="0"/>
                      <w:marBottom w:val="0"/>
                      <w:divBdr>
                        <w:top w:val="none" w:sz="0" w:space="0" w:color="auto"/>
                        <w:left w:val="none" w:sz="0" w:space="0" w:color="auto"/>
                        <w:bottom w:val="none" w:sz="0" w:space="0" w:color="auto"/>
                        <w:right w:val="none" w:sz="0" w:space="0" w:color="auto"/>
                      </w:divBdr>
                      <w:divsChild>
                        <w:div w:id="421680905">
                          <w:marLeft w:val="0"/>
                          <w:marRight w:val="0"/>
                          <w:marTop w:val="0"/>
                          <w:marBottom w:val="0"/>
                          <w:divBdr>
                            <w:top w:val="none" w:sz="0" w:space="0" w:color="auto"/>
                            <w:left w:val="none" w:sz="0" w:space="0" w:color="auto"/>
                            <w:bottom w:val="none" w:sz="0" w:space="0" w:color="auto"/>
                            <w:right w:val="none" w:sz="0" w:space="0" w:color="auto"/>
                          </w:divBdr>
                          <w:divsChild>
                            <w:div w:id="113670787">
                              <w:marLeft w:val="0"/>
                              <w:marRight w:val="0"/>
                              <w:marTop w:val="0"/>
                              <w:marBottom w:val="0"/>
                              <w:divBdr>
                                <w:top w:val="none" w:sz="0" w:space="0" w:color="auto"/>
                                <w:left w:val="none" w:sz="0" w:space="0" w:color="auto"/>
                                <w:bottom w:val="none" w:sz="0" w:space="0" w:color="auto"/>
                                <w:right w:val="none" w:sz="0" w:space="0" w:color="auto"/>
                              </w:divBdr>
                              <w:divsChild>
                                <w:div w:id="1460873559">
                                  <w:marLeft w:val="0"/>
                                  <w:marRight w:val="0"/>
                                  <w:marTop w:val="0"/>
                                  <w:marBottom w:val="0"/>
                                  <w:divBdr>
                                    <w:top w:val="none" w:sz="0" w:space="0" w:color="auto"/>
                                    <w:left w:val="none" w:sz="0" w:space="0" w:color="auto"/>
                                    <w:bottom w:val="none" w:sz="0" w:space="0" w:color="auto"/>
                                    <w:right w:val="none" w:sz="0" w:space="0" w:color="auto"/>
                                  </w:divBdr>
                                  <w:divsChild>
                                    <w:div w:id="1744062194">
                                      <w:marLeft w:val="60"/>
                                      <w:marRight w:val="0"/>
                                      <w:marTop w:val="0"/>
                                      <w:marBottom w:val="0"/>
                                      <w:divBdr>
                                        <w:top w:val="none" w:sz="0" w:space="0" w:color="auto"/>
                                        <w:left w:val="none" w:sz="0" w:space="0" w:color="auto"/>
                                        <w:bottom w:val="none" w:sz="0" w:space="0" w:color="auto"/>
                                        <w:right w:val="none" w:sz="0" w:space="0" w:color="auto"/>
                                      </w:divBdr>
                                      <w:divsChild>
                                        <w:div w:id="895628888">
                                          <w:marLeft w:val="0"/>
                                          <w:marRight w:val="0"/>
                                          <w:marTop w:val="0"/>
                                          <w:marBottom w:val="0"/>
                                          <w:divBdr>
                                            <w:top w:val="none" w:sz="0" w:space="0" w:color="auto"/>
                                            <w:left w:val="none" w:sz="0" w:space="0" w:color="auto"/>
                                            <w:bottom w:val="none" w:sz="0" w:space="0" w:color="auto"/>
                                            <w:right w:val="none" w:sz="0" w:space="0" w:color="auto"/>
                                          </w:divBdr>
                                          <w:divsChild>
                                            <w:div w:id="505247146">
                                              <w:marLeft w:val="0"/>
                                              <w:marRight w:val="0"/>
                                              <w:marTop w:val="0"/>
                                              <w:marBottom w:val="120"/>
                                              <w:divBdr>
                                                <w:top w:val="single" w:sz="6" w:space="0" w:color="F5F5F5"/>
                                                <w:left w:val="single" w:sz="6" w:space="0" w:color="F5F5F5"/>
                                                <w:bottom w:val="single" w:sz="6" w:space="0" w:color="F5F5F5"/>
                                                <w:right w:val="single" w:sz="6" w:space="0" w:color="F5F5F5"/>
                                              </w:divBdr>
                                              <w:divsChild>
                                                <w:div w:id="2039040846">
                                                  <w:marLeft w:val="0"/>
                                                  <w:marRight w:val="0"/>
                                                  <w:marTop w:val="0"/>
                                                  <w:marBottom w:val="0"/>
                                                  <w:divBdr>
                                                    <w:top w:val="none" w:sz="0" w:space="0" w:color="auto"/>
                                                    <w:left w:val="none" w:sz="0" w:space="0" w:color="auto"/>
                                                    <w:bottom w:val="none" w:sz="0" w:space="0" w:color="auto"/>
                                                    <w:right w:val="none" w:sz="0" w:space="0" w:color="auto"/>
                                                  </w:divBdr>
                                                  <w:divsChild>
                                                    <w:div w:id="65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332">
      <w:bodyDiv w:val="1"/>
      <w:marLeft w:val="0"/>
      <w:marRight w:val="0"/>
      <w:marTop w:val="0"/>
      <w:marBottom w:val="0"/>
      <w:divBdr>
        <w:top w:val="none" w:sz="0" w:space="0" w:color="auto"/>
        <w:left w:val="none" w:sz="0" w:space="0" w:color="auto"/>
        <w:bottom w:val="none" w:sz="0" w:space="0" w:color="auto"/>
        <w:right w:val="none" w:sz="0" w:space="0" w:color="auto"/>
      </w:divBdr>
    </w:div>
    <w:div w:id="267155327">
      <w:bodyDiv w:val="1"/>
      <w:marLeft w:val="0"/>
      <w:marRight w:val="0"/>
      <w:marTop w:val="0"/>
      <w:marBottom w:val="0"/>
      <w:divBdr>
        <w:top w:val="none" w:sz="0" w:space="0" w:color="auto"/>
        <w:left w:val="none" w:sz="0" w:space="0" w:color="auto"/>
        <w:bottom w:val="none" w:sz="0" w:space="0" w:color="auto"/>
        <w:right w:val="none" w:sz="0" w:space="0" w:color="auto"/>
      </w:divBdr>
      <w:divsChild>
        <w:div w:id="218831043">
          <w:marLeft w:val="0"/>
          <w:marRight w:val="0"/>
          <w:marTop w:val="0"/>
          <w:marBottom w:val="0"/>
          <w:divBdr>
            <w:top w:val="none" w:sz="0" w:space="0" w:color="auto"/>
            <w:left w:val="none" w:sz="0" w:space="0" w:color="auto"/>
            <w:bottom w:val="none" w:sz="0" w:space="0" w:color="auto"/>
            <w:right w:val="none" w:sz="0" w:space="0" w:color="auto"/>
          </w:divBdr>
          <w:divsChild>
            <w:div w:id="349919429">
              <w:marLeft w:val="0"/>
              <w:marRight w:val="0"/>
              <w:marTop w:val="0"/>
              <w:marBottom w:val="0"/>
              <w:divBdr>
                <w:top w:val="none" w:sz="0" w:space="0" w:color="auto"/>
                <w:left w:val="none" w:sz="0" w:space="0" w:color="auto"/>
                <w:bottom w:val="none" w:sz="0" w:space="0" w:color="auto"/>
                <w:right w:val="none" w:sz="0" w:space="0" w:color="auto"/>
              </w:divBdr>
              <w:divsChild>
                <w:div w:id="2113015282">
                  <w:marLeft w:val="0"/>
                  <w:marRight w:val="0"/>
                  <w:marTop w:val="0"/>
                  <w:marBottom w:val="0"/>
                  <w:divBdr>
                    <w:top w:val="none" w:sz="0" w:space="0" w:color="auto"/>
                    <w:left w:val="none" w:sz="0" w:space="0" w:color="auto"/>
                    <w:bottom w:val="none" w:sz="0" w:space="0" w:color="auto"/>
                    <w:right w:val="none" w:sz="0" w:space="0" w:color="auto"/>
                  </w:divBdr>
                  <w:divsChild>
                    <w:div w:id="1723867655">
                      <w:marLeft w:val="0"/>
                      <w:marRight w:val="0"/>
                      <w:marTop w:val="0"/>
                      <w:marBottom w:val="0"/>
                      <w:divBdr>
                        <w:top w:val="none" w:sz="0" w:space="0" w:color="auto"/>
                        <w:left w:val="none" w:sz="0" w:space="0" w:color="auto"/>
                        <w:bottom w:val="none" w:sz="0" w:space="0" w:color="auto"/>
                        <w:right w:val="none" w:sz="0" w:space="0" w:color="auto"/>
                      </w:divBdr>
                      <w:divsChild>
                        <w:div w:id="22246868">
                          <w:marLeft w:val="0"/>
                          <w:marRight w:val="0"/>
                          <w:marTop w:val="0"/>
                          <w:marBottom w:val="0"/>
                          <w:divBdr>
                            <w:top w:val="none" w:sz="0" w:space="0" w:color="auto"/>
                            <w:left w:val="none" w:sz="0" w:space="0" w:color="auto"/>
                            <w:bottom w:val="none" w:sz="0" w:space="0" w:color="auto"/>
                            <w:right w:val="none" w:sz="0" w:space="0" w:color="auto"/>
                          </w:divBdr>
                          <w:divsChild>
                            <w:div w:id="1137651782">
                              <w:marLeft w:val="0"/>
                              <w:marRight w:val="0"/>
                              <w:marTop w:val="0"/>
                              <w:marBottom w:val="0"/>
                              <w:divBdr>
                                <w:top w:val="none" w:sz="0" w:space="0" w:color="auto"/>
                                <w:left w:val="none" w:sz="0" w:space="0" w:color="auto"/>
                                <w:bottom w:val="none" w:sz="0" w:space="0" w:color="auto"/>
                                <w:right w:val="none" w:sz="0" w:space="0" w:color="auto"/>
                              </w:divBdr>
                              <w:divsChild>
                                <w:div w:id="241990853">
                                  <w:marLeft w:val="0"/>
                                  <w:marRight w:val="0"/>
                                  <w:marTop w:val="0"/>
                                  <w:marBottom w:val="0"/>
                                  <w:divBdr>
                                    <w:top w:val="none" w:sz="0" w:space="0" w:color="auto"/>
                                    <w:left w:val="none" w:sz="0" w:space="0" w:color="auto"/>
                                    <w:bottom w:val="none" w:sz="0" w:space="0" w:color="auto"/>
                                    <w:right w:val="none" w:sz="0" w:space="0" w:color="auto"/>
                                  </w:divBdr>
                                  <w:divsChild>
                                    <w:div w:id="1660690861">
                                      <w:marLeft w:val="60"/>
                                      <w:marRight w:val="0"/>
                                      <w:marTop w:val="0"/>
                                      <w:marBottom w:val="0"/>
                                      <w:divBdr>
                                        <w:top w:val="none" w:sz="0" w:space="0" w:color="auto"/>
                                        <w:left w:val="none" w:sz="0" w:space="0" w:color="auto"/>
                                        <w:bottom w:val="none" w:sz="0" w:space="0" w:color="auto"/>
                                        <w:right w:val="none" w:sz="0" w:space="0" w:color="auto"/>
                                      </w:divBdr>
                                      <w:divsChild>
                                        <w:div w:id="459300283">
                                          <w:marLeft w:val="0"/>
                                          <w:marRight w:val="0"/>
                                          <w:marTop w:val="0"/>
                                          <w:marBottom w:val="0"/>
                                          <w:divBdr>
                                            <w:top w:val="none" w:sz="0" w:space="0" w:color="auto"/>
                                            <w:left w:val="none" w:sz="0" w:space="0" w:color="auto"/>
                                            <w:bottom w:val="none" w:sz="0" w:space="0" w:color="auto"/>
                                            <w:right w:val="none" w:sz="0" w:space="0" w:color="auto"/>
                                          </w:divBdr>
                                          <w:divsChild>
                                            <w:div w:id="1748189329">
                                              <w:marLeft w:val="0"/>
                                              <w:marRight w:val="0"/>
                                              <w:marTop w:val="0"/>
                                              <w:marBottom w:val="120"/>
                                              <w:divBdr>
                                                <w:top w:val="single" w:sz="6" w:space="0" w:color="F5F5F5"/>
                                                <w:left w:val="single" w:sz="6" w:space="0" w:color="F5F5F5"/>
                                                <w:bottom w:val="single" w:sz="6" w:space="0" w:color="F5F5F5"/>
                                                <w:right w:val="single" w:sz="6" w:space="0" w:color="F5F5F5"/>
                                              </w:divBdr>
                                              <w:divsChild>
                                                <w:div w:id="936327608">
                                                  <w:marLeft w:val="0"/>
                                                  <w:marRight w:val="0"/>
                                                  <w:marTop w:val="0"/>
                                                  <w:marBottom w:val="0"/>
                                                  <w:divBdr>
                                                    <w:top w:val="none" w:sz="0" w:space="0" w:color="auto"/>
                                                    <w:left w:val="none" w:sz="0" w:space="0" w:color="auto"/>
                                                    <w:bottom w:val="none" w:sz="0" w:space="0" w:color="auto"/>
                                                    <w:right w:val="none" w:sz="0" w:space="0" w:color="auto"/>
                                                  </w:divBdr>
                                                  <w:divsChild>
                                                    <w:div w:id="2609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574260">
      <w:bodyDiv w:val="1"/>
      <w:marLeft w:val="0"/>
      <w:marRight w:val="0"/>
      <w:marTop w:val="0"/>
      <w:marBottom w:val="0"/>
      <w:divBdr>
        <w:top w:val="none" w:sz="0" w:space="0" w:color="auto"/>
        <w:left w:val="none" w:sz="0" w:space="0" w:color="auto"/>
        <w:bottom w:val="none" w:sz="0" w:space="0" w:color="auto"/>
        <w:right w:val="none" w:sz="0" w:space="0" w:color="auto"/>
      </w:divBdr>
    </w:div>
    <w:div w:id="572156269">
      <w:bodyDiv w:val="1"/>
      <w:marLeft w:val="0"/>
      <w:marRight w:val="0"/>
      <w:marTop w:val="0"/>
      <w:marBottom w:val="0"/>
      <w:divBdr>
        <w:top w:val="none" w:sz="0" w:space="0" w:color="auto"/>
        <w:left w:val="none" w:sz="0" w:space="0" w:color="auto"/>
        <w:bottom w:val="none" w:sz="0" w:space="0" w:color="auto"/>
        <w:right w:val="none" w:sz="0" w:space="0" w:color="auto"/>
      </w:divBdr>
    </w:div>
    <w:div w:id="665212105">
      <w:bodyDiv w:val="1"/>
      <w:marLeft w:val="0"/>
      <w:marRight w:val="0"/>
      <w:marTop w:val="0"/>
      <w:marBottom w:val="0"/>
      <w:divBdr>
        <w:top w:val="none" w:sz="0" w:space="0" w:color="auto"/>
        <w:left w:val="none" w:sz="0" w:space="0" w:color="auto"/>
        <w:bottom w:val="none" w:sz="0" w:space="0" w:color="auto"/>
        <w:right w:val="none" w:sz="0" w:space="0" w:color="auto"/>
      </w:divBdr>
      <w:divsChild>
        <w:div w:id="1810900602">
          <w:marLeft w:val="0"/>
          <w:marRight w:val="0"/>
          <w:marTop w:val="0"/>
          <w:marBottom w:val="0"/>
          <w:divBdr>
            <w:top w:val="none" w:sz="0" w:space="0" w:color="auto"/>
            <w:left w:val="none" w:sz="0" w:space="0" w:color="auto"/>
            <w:bottom w:val="none" w:sz="0" w:space="0" w:color="auto"/>
            <w:right w:val="none" w:sz="0" w:space="0" w:color="auto"/>
          </w:divBdr>
          <w:divsChild>
            <w:div w:id="1730616028">
              <w:marLeft w:val="0"/>
              <w:marRight w:val="0"/>
              <w:marTop w:val="0"/>
              <w:marBottom w:val="0"/>
              <w:divBdr>
                <w:top w:val="none" w:sz="0" w:space="0" w:color="auto"/>
                <w:left w:val="none" w:sz="0" w:space="0" w:color="auto"/>
                <w:bottom w:val="none" w:sz="0" w:space="0" w:color="auto"/>
                <w:right w:val="none" w:sz="0" w:space="0" w:color="auto"/>
              </w:divBdr>
              <w:divsChild>
                <w:div w:id="1600285526">
                  <w:marLeft w:val="0"/>
                  <w:marRight w:val="0"/>
                  <w:marTop w:val="0"/>
                  <w:marBottom w:val="0"/>
                  <w:divBdr>
                    <w:top w:val="none" w:sz="0" w:space="0" w:color="auto"/>
                    <w:left w:val="none" w:sz="0" w:space="0" w:color="auto"/>
                    <w:bottom w:val="none" w:sz="0" w:space="0" w:color="auto"/>
                    <w:right w:val="none" w:sz="0" w:space="0" w:color="auto"/>
                  </w:divBdr>
                  <w:divsChild>
                    <w:div w:id="763261696">
                      <w:marLeft w:val="0"/>
                      <w:marRight w:val="0"/>
                      <w:marTop w:val="0"/>
                      <w:marBottom w:val="0"/>
                      <w:divBdr>
                        <w:top w:val="none" w:sz="0" w:space="0" w:color="auto"/>
                        <w:left w:val="none" w:sz="0" w:space="0" w:color="auto"/>
                        <w:bottom w:val="none" w:sz="0" w:space="0" w:color="auto"/>
                        <w:right w:val="none" w:sz="0" w:space="0" w:color="auto"/>
                      </w:divBdr>
                      <w:divsChild>
                        <w:div w:id="331881318">
                          <w:marLeft w:val="0"/>
                          <w:marRight w:val="0"/>
                          <w:marTop w:val="0"/>
                          <w:marBottom w:val="0"/>
                          <w:divBdr>
                            <w:top w:val="none" w:sz="0" w:space="0" w:color="auto"/>
                            <w:left w:val="none" w:sz="0" w:space="0" w:color="auto"/>
                            <w:bottom w:val="none" w:sz="0" w:space="0" w:color="auto"/>
                            <w:right w:val="none" w:sz="0" w:space="0" w:color="auto"/>
                          </w:divBdr>
                          <w:divsChild>
                            <w:div w:id="1295136952">
                              <w:marLeft w:val="0"/>
                              <w:marRight w:val="0"/>
                              <w:marTop w:val="0"/>
                              <w:marBottom w:val="0"/>
                              <w:divBdr>
                                <w:top w:val="none" w:sz="0" w:space="0" w:color="auto"/>
                                <w:left w:val="none" w:sz="0" w:space="0" w:color="auto"/>
                                <w:bottom w:val="none" w:sz="0" w:space="0" w:color="auto"/>
                                <w:right w:val="none" w:sz="0" w:space="0" w:color="auto"/>
                              </w:divBdr>
                              <w:divsChild>
                                <w:div w:id="292055163">
                                  <w:marLeft w:val="0"/>
                                  <w:marRight w:val="0"/>
                                  <w:marTop w:val="0"/>
                                  <w:marBottom w:val="0"/>
                                  <w:divBdr>
                                    <w:top w:val="none" w:sz="0" w:space="0" w:color="auto"/>
                                    <w:left w:val="none" w:sz="0" w:space="0" w:color="auto"/>
                                    <w:bottom w:val="none" w:sz="0" w:space="0" w:color="auto"/>
                                    <w:right w:val="none" w:sz="0" w:space="0" w:color="auto"/>
                                  </w:divBdr>
                                  <w:divsChild>
                                    <w:div w:id="1363748427">
                                      <w:marLeft w:val="60"/>
                                      <w:marRight w:val="0"/>
                                      <w:marTop w:val="0"/>
                                      <w:marBottom w:val="0"/>
                                      <w:divBdr>
                                        <w:top w:val="none" w:sz="0" w:space="0" w:color="auto"/>
                                        <w:left w:val="none" w:sz="0" w:space="0" w:color="auto"/>
                                        <w:bottom w:val="none" w:sz="0" w:space="0" w:color="auto"/>
                                        <w:right w:val="none" w:sz="0" w:space="0" w:color="auto"/>
                                      </w:divBdr>
                                      <w:divsChild>
                                        <w:div w:id="994531586">
                                          <w:marLeft w:val="0"/>
                                          <w:marRight w:val="0"/>
                                          <w:marTop w:val="0"/>
                                          <w:marBottom w:val="0"/>
                                          <w:divBdr>
                                            <w:top w:val="none" w:sz="0" w:space="0" w:color="auto"/>
                                            <w:left w:val="none" w:sz="0" w:space="0" w:color="auto"/>
                                            <w:bottom w:val="none" w:sz="0" w:space="0" w:color="auto"/>
                                            <w:right w:val="none" w:sz="0" w:space="0" w:color="auto"/>
                                          </w:divBdr>
                                          <w:divsChild>
                                            <w:div w:id="874848406">
                                              <w:marLeft w:val="0"/>
                                              <w:marRight w:val="0"/>
                                              <w:marTop w:val="0"/>
                                              <w:marBottom w:val="120"/>
                                              <w:divBdr>
                                                <w:top w:val="single" w:sz="6" w:space="0" w:color="F5F5F5"/>
                                                <w:left w:val="single" w:sz="6" w:space="0" w:color="F5F5F5"/>
                                                <w:bottom w:val="single" w:sz="6" w:space="0" w:color="F5F5F5"/>
                                                <w:right w:val="single" w:sz="6" w:space="0" w:color="F5F5F5"/>
                                              </w:divBdr>
                                              <w:divsChild>
                                                <w:div w:id="982732577">
                                                  <w:marLeft w:val="0"/>
                                                  <w:marRight w:val="0"/>
                                                  <w:marTop w:val="0"/>
                                                  <w:marBottom w:val="0"/>
                                                  <w:divBdr>
                                                    <w:top w:val="none" w:sz="0" w:space="0" w:color="auto"/>
                                                    <w:left w:val="none" w:sz="0" w:space="0" w:color="auto"/>
                                                    <w:bottom w:val="none" w:sz="0" w:space="0" w:color="auto"/>
                                                    <w:right w:val="none" w:sz="0" w:space="0" w:color="auto"/>
                                                  </w:divBdr>
                                                  <w:divsChild>
                                                    <w:div w:id="9167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2820">
      <w:bodyDiv w:val="1"/>
      <w:marLeft w:val="0"/>
      <w:marRight w:val="0"/>
      <w:marTop w:val="0"/>
      <w:marBottom w:val="0"/>
      <w:divBdr>
        <w:top w:val="none" w:sz="0" w:space="0" w:color="auto"/>
        <w:left w:val="none" w:sz="0" w:space="0" w:color="auto"/>
        <w:bottom w:val="none" w:sz="0" w:space="0" w:color="auto"/>
        <w:right w:val="none" w:sz="0" w:space="0" w:color="auto"/>
      </w:divBdr>
    </w:div>
    <w:div w:id="668141166">
      <w:bodyDiv w:val="1"/>
      <w:marLeft w:val="0"/>
      <w:marRight w:val="0"/>
      <w:marTop w:val="0"/>
      <w:marBottom w:val="0"/>
      <w:divBdr>
        <w:top w:val="none" w:sz="0" w:space="0" w:color="auto"/>
        <w:left w:val="none" w:sz="0" w:space="0" w:color="auto"/>
        <w:bottom w:val="none" w:sz="0" w:space="0" w:color="auto"/>
        <w:right w:val="none" w:sz="0" w:space="0" w:color="auto"/>
      </w:divBdr>
      <w:divsChild>
        <w:div w:id="2001615650">
          <w:marLeft w:val="0"/>
          <w:marRight w:val="0"/>
          <w:marTop w:val="0"/>
          <w:marBottom w:val="0"/>
          <w:divBdr>
            <w:top w:val="none" w:sz="0" w:space="0" w:color="auto"/>
            <w:left w:val="none" w:sz="0" w:space="0" w:color="auto"/>
            <w:bottom w:val="none" w:sz="0" w:space="0" w:color="auto"/>
            <w:right w:val="none" w:sz="0" w:space="0" w:color="auto"/>
          </w:divBdr>
          <w:divsChild>
            <w:div w:id="1654528308">
              <w:marLeft w:val="0"/>
              <w:marRight w:val="0"/>
              <w:marTop w:val="0"/>
              <w:marBottom w:val="0"/>
              <w:divBdr>
                <w:top w:val="none" w:sz="0" w:space="0" w:color="auto"/>
                <w:left w:val="none" w:sz="0" w:space="0" w:color="auto"/>
                <w:bottom w:val="none" w:sz="0" w:space="0" w:color="auto"/>
                <w:right w:val="none" w:sz="0" w:space="0" w:color="auto"/>
              </w:divBdr>
              <w:divsChild>
                <w:div w:id="433599077">
                  <w:marLeft w:val="0"/>
                  <w:marRight w:val="0"/>
                  <w:marTop w:val="0"/>
                  <w:marBottom w:val="0"/>
                  <w:divBdr>
                    <w:top w:val="none" w:sz="0" w:space="0" w:color="auto"/>
                    <w:left w:val="none" w:sz="0" w:space="0" w:color="auto"/>
                    <w:bottom w:val="none" w:sz="0" w:space="0" w:color="auto"/>
                    <w:right w:val="none" w:sz="0" w:space="0" w:color="auto"/>
                  </w:divBdr>
                  <w:divsChild>
                    <w:div w:id="200554721">
                      <w:marLeft w:val="0"/>
                      <w:marRight w:val="0"/>
                      <w:marTop w:val="0"/>
                      <w:marBottom w:val="0"/>
                      <w:divBdr>
                        <w:top w:val="none" w:sz="0" w:space="0" w:color="auto"/>
                        <w:left w:val="none" w:sz="0" w:space="0" w:color="auto"/>
                        <w:bottom w:val="none" w:sz="0" w:space="0" w:color="auto"/>
                        <w:right w:val="none" w:sz="0" w:space="0" w:color="auto"/>
                      </w:divBdr>
                      <w:divsChild>
                        <w:div w:id="705638460">
                          <w:marLeft w:val="0"/>
                          <w:marRight w:val="0"/>
                          <w:marTop w:val="0"/>
                          <w:marBottom w:val="0"/>
                          <w:divBdr>
                            <w:top w:val="none" w:sz="0" w:space="0" w:color="auto"/>
                            <w:left w:val="none" w:sz="0" w:space="0" w:color="auto"/>
                            <w:bottom w:val="none" w:sz="0" w:space="0" w:color="auto"/>
                            <w:right w:val="none" w:sz="0" w:space="0" w:color="auto"/>
                          </w:divBdr>
                          <w:divsChild>
                            <w:div w:id="428039002">
                              <w:marLeft w:val="0"/>
                              <w:marRight w:val="0"/>
                              <w:marTop w:val="0"/>
                              <w:marBottom w:val="0"/>
                              <w:divBdr>
                                <w:top w:val="none" w:sz="0" w:space="0" w:color="auto"/>
                                <w:left w:val="none" w:sz="0" w:space="0" w:color="auto"/>
                                <w:bottom w:val="none" w:sz="0" w:space="0" w:color="auto"/>
                                <w:right w:val="none" w:sz="0" w:space="0" w:color="auto"/>
                              </w:divBdr>
                              <w:divsChild>
                                <w:div w:id="146359945">
                                  <w:marLeft w:val="0"/>
                                  <w:marRight w:val="0"/>
                                  <w:marTop w:val="0"/>
                                  <w:marBottom w:val="0"/>
                                  <w:divBdr>
                                    <w:top w:val="none" w:sz="0" w:space="0" w:color="auto"/>
                                    <w:left w:val="none" w:sz="0" w:space="0" w:color="auto"/>
                                    <w:bottom w:val="none" w:sz="0" w:space="0" w:color="auto"/>
                                    <w:right w:val="none" w:sz="0" w:space="0" w:color="auto"/>
                                  </w:divBdr>
                                  <w:divsChild>
                                    <w:div w:id="2013992835">
                                      <w:marLeft w:val="60"/>
                                      <w:marRight w:val="0"/>
                                      <w:marTop w:val="0"/>
                                      <w:marBottom w:val="0"/>
                                      <w:divBdr>
                                        <w:top w:val="none" w:sz="0" w:space="0" w:color="auto"/>
                                        <w:left w:val="none" w:sz="0" w:space="0" w:color="auto"/>
                                        <w:bottom w:val="none" w:sz="0" w:space="0" w:color="auto"/>
                                        <w:right w:val="none" w:sz="0" w:space="0" w:color="auto"/>
                                      </w:divBdr>
                                      <w:divsChild>
                                        <w:div w:id="460728216">
                                          <w:marLeft w:val="0"/>
                                          <w:marRight w:val="0"/>
                                          <w:marTop w:val="0"/>
                                          <w:marBottom w:val="0"/>
                                          <w:divBdr>
                                            <w:top w:val="none" w:sz="0" w:space="0" w:color="auto"/>
                                            <w:left w:val="none" w:sz="0" w:space="0" w:color="auto"/>
                                            <w:bottom w:val="none" w:sz="0" w:space="0" w:color="auto"/>
                                            <w:right w:val="none" w:sz="0" w:space="0" w:color="auto"/>
                                          </w:divBdr>
                                          <w:divsChild>
                                            <w:div w:id="303851017">
                                              <w:marLeft w:val="0"/>
                                              <w:marRight w:val="0"/>
                                              <w:marTop w:val="0"/>
                                              <w:marBottom w:val="120"/>
                                              <w:divBdr>
                                                <w:top w:val="single" w:sz="6" w:space="0" w:color="F5F5F5"/>
                                                <w:left w:val="single" w:sz="6" w:space="0" w:color="F5F5F5"/>
                                                <w:bottom w:val="single" w:sz="6" w:space="0" w:color="F5F5F5"/>
                                                <w:right w:val="single" w:sz="6" w:space="0" w:color="F5F5F5"/>
                                              </w:divBdr>
                                              <w:divsChild>
                                                <w:div w:id="1788044963">
                                                  <w:marLeft w:val="0"/>
                                                  <w:marRight w:val="0"/>
                                                  <w:marTop w:val="0"/>
                                                  <w:marBottom w:val="0"/>
                                                  <w:divBdr>
                                                    <w:top w:val="none" w:sz="0" w:space="0" w:color="auto"/>
                                                    <w:left w:val="none" w:sz="0" w:space="0" w:color="auto"/>
                                                    <w:bottom w:val="none" w:sz="0" w:space="0" w:color="auto"/>
                                                    <w:right w:val="none" w:sz="0" w:space="0" w:color="auto"/>
                                                  </w:divBdr>
                                                  <w:divsChild>
                                                    <w:div w:id="16458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790860">
      <w:bodyDiv w:val="1"/>
      <w:marLeft w:val="0"/>
      <w:marRight w:val="0"/>
      <w:marTop w:val="0"/>
      <w:marBottom w:val="0"/>
      <w:divBdr>
        <w:top w:val="none" w:sz="0" w:space="0" w:color="auto"/>
        <w:left w:val="none" w:sz="0" w:space="0" w:color="auto"/>
        <w:bottom w:val="none" w:sz="0" w:space="0" w:color="auto"/>
        <w:right w:val="none" w:sz="0" w:space="0" w:color="auto"/>
      </w:divBdr>
    </w:div>
    <w:div w:id="703867879">
      <w:bodyDiv w:val="1"/>
      <w:marLeft w:val="0"/>
      <w:marRight w:val="0"/>
      <w:marTop w:val="0"/>
      <w:marBottom w:val="0"/>
      <w:divBdr>
        <w:top w:val="none" w:sz="0" w:space="0" w:color="auto"/>
        <w:left w:val="none" w:sz="0" w:space="0" w:color="auto"/>
        <w:bottom w:val="none" w:sz="0" w:space="0" w:color="auto"/>
        <w:right w:val="none" w:sz="0" w:space="0" w:color="auto"/>
      </w:divBdr>
    </w:div>
    <w:div w:id="770276006">
      <w:bodyDiv w:val="1"/>
      <w:marLeft w:val="0"/>
      <w:marRight w:val="0"/>
      <w:marTop w:val="0"/>
      <w:marBottom w:val="0"/>
      <w:divBdr>
        <w:top w:val="none" w:sz="0" w:space="0" w:color="auto"/>
        <w:left w:val="none" w:sz="0" w:space="0" w:color="auto"/>
        <w:bottom w:val="none" w:sz="0" w:space="0" w:color="auto"/>
        <w:right w:val="none" w:sz="0" w:space="0" w:color="auto"/>
      </w:divBdr>
      <w:divsChild>
        <w:div w:id="1566064188">
          <w:marLeft w:val="0"/>
          <w:marRight w:val="0"/>
          <w:marTop w:val="0"/>
          <w:marBottom w:val="0"/>
          <w:divBdr>
            <w:top w:val="none" w:sz="0" w:space="0" w:color="auto"/>
            <w:left w:val="none" w:sz="0" w:space="0" w:color="auto"/>
            <w:bottom w:val="none" w:sz="0" w:space="0" w:color="auto"/>
            <w:right w:val="none" w:sz="0" w:space="0" w:color="auto"/>
          </w:divBdr>
          <w:divsChild>
            <w:div w:id="711878656">
              <w:marLeft w:val="0"/>
              <w:marRight w:val="0"/>
              <w:marTop w:val="0"/>
              <w:marBottom w:val="0"/>
              <w:divBdr>
                <w:top w:val="none" w:sz="0" w:space="0" w:color="auto"/>
                <w:left w:val="none" w:sz="0" w:space="0" w:color="auto"/>
                <w:bottom w:val="none" w:sz="0" w:space="0" w:color="auto"/>
                <w:right w:val="none" w:sz="0" w:space="0" w:color="auto"/>
              </w:divBdr>
              <w:divsChild>
                <w:div w:id="2124685782">
                  <w:marLeft w:val="0"/>
                  <w:marRight w:val="0"/>
                  <w:marTop w:val="0"/>
                  <w:marBottom w:val="0"/>
                  <w:divBdr>
                    <w:top w:val="none" w:sz="0" w:space="0" w:color="auto"/>
                    <w:left w:val="none" w:sz="0" w:space="0" w:color="auto"/>
                    <w:bottom w:val="none" w:sz="0" w:space="0" w:color="auto"/>
                    <w:right w:val="none" w:sz="0" w:space="0" w:color="auto"/>
                  </w:divBdr>
                  <w:divsChild>
                    <w:div w:id="2030989817">
                      <w:marLeft w:val="0"/>
                      <w:marRight w:val="0"/>
                      <w:marTop w:val="0"/>
                      <w:marBottom w:val="0"/>
                      <w:divBdr>
                        <w:top w:val="none" w:sz="0" w:space="0" w:color="auto"/>
                        <w:left w:val="none" w:sz="0" w:space="0" w:color="auto"/>
                        <w:bottom w:val="none" w:sz="0" w:space="0" w:color="auto"/>
                        <w:right w:val="none" w:sz="0" w:space="0" w:color="auto"/>
                      </w:divBdr>
                      <w:divsChild>
                        <w:div w:id="430662226">
                          <w:marLeft w:val="0"/>
                          <w:marRight w:val="0"/>
                          <w:marTop w:val="0"/>
                          <w:marBottom w:val="0"/>
                          <w:divBdr>
                            <w:top w:val="none" w:sz="0" w:space="0" w:color="auto"/>
                            <w:left w:val="none" w:sz="0" w:space="0" w:color="auto"/>
                            <w:bottom w:val="none" w:sz="0" w:space="0" w:color="auto"/>
                            <w:right w:val="none" w:sz="0" w:space="0" w:color="auto"/>
                          </w:divBdr>
                          <w:divsChild>
                            <w:div w:id="1265068620">
                              <w:marLeft w:val="0"/>
                              <w:marRight w:val="0"/>
                              <w:marTop w:val="0"/>
                              <w:marBottom w:val="0"/>
                              <w:divBdr>
                                <w:top w:val="none" w:sz="0" w:space="0" w:color="auto"/>
                                <w:left w:val="none" w:sz="0" w:space="0" w:color="auto"/>
                                <w:bottom w:val="none" w:sz="0" w:space="0" w:color="auto"/>
                                <w:right w:val="none" w:sz="0" w:space="0" w:color="auto"/>
                              </w:divBdr>
                              <w:divsChild>
                                <w:div w:id="1445349613">
                                  <w:marLeft w:val="0"/>
                                  <w:marRight w:val="0"/>
                                  <w:marTop w:val="0"/>
                                  <w:marBottom w:val="0"/>
                                  <w:divBdr>
                                    <w:top w:val="none" w:sz="0" w:space="0" w:color="auto"/>
                                    <w:left w:val="none" w:sz="0" w:space="0" w:color="auto"/>
                                    <w:bottom w:val="none" w:sz="0" w:space="0" w:color="auto"/>
                                    <w:right w:val="none" w:sz="0" w:space="0" w:color="auto"/>
                                  </w:divBdr>
                                  <w:divsChild>
                                    <w:div w:id="164711525">
                                      <w:marLeft w:val="60"/>
                                      <w:marRight w:val="0"/>
                                      <w:marTop w:val="0"/>
                                      <w:marBottom w:val="0"/>
                                      <w:divBdr>
                                        <w:top w:val="none" w:sz="0" w:space="0" w:color="auto"/>
                                        <w:left w:val="none" w:sz="0" w:space="0" w:color="auto"/>
                                        <w:bottom w:val="none" w:sz="0" w:space="0" w:color="auto"/>
                                        <w:right w:val="none" w:sz="0" w:space="0" w:color="auto"/>
                                      </w:divBdr>
                                      <w:divsChild>
                                        <w:div w:id="1883012949">
                                          <w:marLeft w:val="0"/>
                                          <w:marRight w:val="0"/>
                                          <w:marTop w:val="0"/>
                                          <w:marBottom w:val="0"/>
                                          <w:divBdr>
                                            <w:top w:val="none" w:sz="0" w:space="0" w:color="auto"/>
                                            <w:left w:val="none" w:sz="0" w:space="0" w:color="auto"/>
                                            <w:bottom w:val="none" w:sz="0" w:space="0" w:color="auto"/>
                                            <w:right w:val="none" w:sz="0" w:space="0" w:color="auto"/>
                                          </w:divBdr>
                                          <w:divsChild>
                                            <w:div w:id="384303117">
                                              <w:marLeft w:val="0"/>
                                              <w:marRight w:val="0"/>
                                              <w:marTop w:val="0"/>
                                              <w:marBottom w:val="120"/>
                                              <w:divBdr>
                                                <w:top w:val="single" w:sz="6" w:space="0" w:color="F5F5F5"/>
                                                <w:left w:val="single" w:sz="6" w:space="0" w:color="F5F5F5"/>
                                                <w:bottom w:val="single" w:sz="6" w:space="0" w:color="F5F5F5"/>
                                                <w:right w:val="single" w:sz="6" w:space="0" w:color="F5F5F5"/>
                                              </w:divBdr>
                                              <w:divsChild>
                                                <w:div w:id="1577864912">
                                                  <w:marLeft w:val="0"/>
                                                  <w:marRight w:val="0"/>
                                                  <w:marTop w:val="0"/>
                                                  <w:marBottom w:val="0"/>
                                                  <w:divBdr>
                                                    <w:top w:val="none" w:sz="0" w:space="0" w:color="auto"/>
                                                    <w:left w:val="none" w:sz="0" w:space="0" w:color="auto"/>
                                                    <w:bottom w:val="none" w:sz="0" w:space="0" w:color="auto"/>
                                                    <w:right w:val="none" w:sz="0" w:space="0" w:color="auto"/>
                                                  </w:divBdr>
                                                  <w:divsChild>
                                                    <w:div w:id="2044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403543">
      <w:bodyDiv w:val="1"/>
      <w:marLeft w:val="0"/>
      <w:marRight w:val="0"/>
      <w:marTop w:val="0"/>
      <w:marBottom w:val="0"/>
      <w:divBdr>
        <w:top w:val="none" w:sz="0" w:space="0" w:color="auto"/>
        <w:left w:val="none" w:sz="0" w:space="0" w:color="auto"/>
        <w:bottom w:val="none" w:sz="0" w:space="0" w:color="auto"/>
        <w:right w:val="none" w:sz="0" w:space="0" w:color="auto"/>
      </w:divBdr>
    </w:div>
    <w:div w:id="810364165">
      <w:bodyDiv w:val="1"/>
      <w:marLeft w:val="0"/>
      <w:marRight w:val="0"/>
      <w:marTop w:val="0"/>
      <w:marBottom w:val="0"/>
      <w:divBdr>
        <w:top w:val="none" w:sz="0" w:space="0" w:color="auto"/>
        <w:left w:val="none" w:sz="0" w:space="0" w:color="auto"/>
        <w:bottom w:val="none" w:sz="0" w:space="0" w:color="auto"/>
        <w:right w:val="none" w:sz="0" w:space="0" w:color="auto"/>
      </w:divBdr>
    </w:div>
    <w:div w:id="973019405">
      <w:bodyDiv w:val="1"/>
      <w:marLeft w:val="0"/>
      <w:marRight w:val="0"/>
      <w:marTop w:val="0"/>
      <w:marBottom w:val="0"/>
      <w:divBdr>
        <w:top w:val="none" w:sz="0" w:space="0" w:color="auto"/>
        <w:left w:val="none" w:sz="0" w:space="0" w:color="auto"/>
        <w:bottom w:val="none" w:sz="0" w:space="0" w:color="auto"/>
        <w:right w:val="none" w:sz="0" w:space="0" w:color="auto"/>
      </w:divBdr>
      <w:divsChild>
        <w:div w:id="450127594">
          <w:marLeft w:val="0"/>
          <w:marRight w:val="0"/>
          <w:marTop w:val="0"/>
          <w:marBottom w:val="0"/>
          <w:divBdr>
            <w:top w:val="none" w:sz="0" w:space="0" w:color="auto"/>
            <w:left w:val="none" w:sz="0" w:space="0" w:color="auto"/>
            <w:bottom w:val="none" w:sz="0" w:space="0" w:color="auto"/>
            <w:right w:val="none" w:sz="0" w:space="0" w:color="auto"/>
          </w:divBdr>
          <w:divsChild>
            <w:div w:id="315887251">
              <w:marLeft w:val="0"/>
              <w:marRight w:val="0"/>
              <w:marTop w:val="0"/>
              <w:marBottom w:val="0"/>
              <w:divBdr>
                <w:top w:val="none" w:sz="0" w:space="0" w:color="auto"/>
                <w:left w:val="none" w:sz="0" w:space="0" w:color="auto"/>
                <w:bottom w:val="none" w:sz="0" w:space="0" w:color="auto"/>
                <w:right w:val="none" w:sz="0" w:space="0" w:color="auto"/>
              </w:divBdr>
              <w:divsChild>
                <w:div w:id="164978972">
                  <w:marLeft w:val="0"/>
                  <w:marRight w:val="0"/>
                  <w:marTop w:val="0"/>
                  <w:marBottom w:val="0"/>
                  <w:divBdr>
                    <w:top w:val="none" w:sz="0" w:space="0" w:color="auto"/>
                    <w:left w:val="none" w:sz="0" w:space="0" w:color="auto"/>
                    <w:bottom w:val="none" w:sz="0" w:space="0" w:color="auto"/>
                    <w:right w:val="none" w:sz="0" w:space="0" w:color="auto"/>
                  </w:divBdr>
                  <w:divsChild>
                    <w:div w:id="572617146">
                      <w:marLeft w:val="0"/>
                      <w:marRight w:val="0"/>
                      <w:marTop w:val="0"/>
                      <w:marBottom w:val="0"/>
                      <w:divBdr>
                        <w:top w:val="none" w:sz="0" w:space="0" w:color="auto"/>
                        <w:left w:val="none" w:sz="0" w:space="0" w:color="auto"/>
                        <w:bottom w:val="none" w:sz="0" w:space="0" w:color="auto"/>
                        <w:right w:val="none" w:sz="0" w:space="0" w:color="auto"/>
                      </w:divBdr>
                      <w:divsChild>
                        <w:div w:id="2094164303">
                          <w:marLeft w:val="0"/>
                          <w:marRight w:val="0"/>
                          <w:marTop w:val="0"/>
                          <w:marBottom w:val="0"/>
                          <w:divBdr>
                            <w:top w:val="none" w:sz="0" w:space="0" w:color="auto"/>
                            <w:left w:val="none" w:sz="0" w:space="0" w:color="auto"/>
                            <w:bottom w:val="none" w:sz="0" w:space="0" w:color="auto"/>
                            <w:right w:val="none" w:sz="0" w:space="0" w:color="auto"/>
                          </w:divBdr>
                          <w:divsChild>
                            <w:div w:id="2012760075">
                              <w:marLeft w:val="0"/>
                              <w:marRight w:val="0"/>
                              <w:marTop w:val="0"/>
                              <w:marBottom w:val="0"/>
                              <w:divBdr>
                                <w:top w:val="none" w:sz="0" w:space="0" w:color="auto"/>
                                <w:left w:val="none" w:sz="0" w:space="0" w:color="auto"/>
                                <w:bottom w:val="none" w:sz="0" w:space="0" w:color="auto"/>
                                <w:right w:val="none" w:sz="0" w:space="0" w:color="auto"/>
                              </w:divBdr>
                              <w:divsChild>
                                <w:div w:id="1972980277">
                                  <w:marLeft w:val="0"/>
                                  <w:marRight w:val="0"/>
                                  <w:marTop w:val="0"/>
                                  <w:marBottom w:val="0"/>
                                  <w:divBdr>
                                    <w:top w:val="none" w:sz="0" w:space="0" w:color="auto"/>
                                    <w:left w:val="none" w:sz="0" w:space="0" w:color="auto"/>
                                    <w:bottom w:val="none" w:sz="0" w:space="0" w:color="auto"/>
                                    <w:right w:val="none" w:sz="0" w:space="0" w:color="auto"/>
                                  </w:divBdr>
                                  <w:divsChild>
                                    <w:div w:id="2010061962">
                                      <w:marLeft w:val="60"/>
                                      <w:marRight w:val="0"/>
                                      <w:marTop w:val="0"/>
                                      <w:marBottom w:val="0"/>
                                      <w:divBdr>
                                        <w:top w:val="none" w:sz="0" w:space="0" w:color="auto"/>
                                        <w:left w:val="none" w:sz="0" w:space="0" w:color="auto"/>
                                        <w:bottom w:val="none" w:sz="0" w:space="0" w:color="auto"/>
                                        <w:right w:val="none" w:sz="0" w:space="0" w:color="auto"/>
                                      </w:divBdr>
                                      <w:divsChild>
                                        <w:div w:id="2090274199">
                                          <w:marLeft w:val="0"/>
                                          <w:marRight w:val="0"/>
                                          <w:marTop w:val="0"/>
                                          <w:marBottom w:val="0"/>
                                          <w:divBdr>
                                            <w:top w:val="none" w:sz="0" w:space="0" w:color="auto"/>
                                            <w:left w:val="none" w:sz="0" w:space="0" w:color="auto"/>
                                            <w:bottom w:val="none" w:sz="0" w:space="0" w:color="auto"/>
                                            <w:right w:val="none" w:sz="0" w:space="0" w:color="auto"/>
                                          </w:divBdr>
                                          <w:divsChild>
                                            <w:div w:id="780537767">
                                              <w:marLeft w:val="0"/>
                                              <w:marRight w:val="0"/>
                                              <w:marTop w:val="0"/>
                                              <w:marBottom w:val="120"/>
                                              <w:divBdr>
                                                <w:top w:val="single" w:sz="6" w:space="0" w:color="F5F5F5"/>
                                                <w:left w:val="single" w:sz="6" w:space="0" w:color="F5F5F5"/>
                                                <w:bottom w:val="single" w:sz="6" w:space="0" w:color="F5F5F5"/>
                                                <w:right w:val="single" w:sz="6" w:space="0" w:color="F5F5F5"/>
                                              </w:divBdr>
                                              <w:divsChild>
                                                <w:div w:id="1008824566">
                                                  <w:marLeft w:val="0"/>
                                                  <w:marRight w:val="0"/>
                                                  <w:marTop w:val="0"/>
                                                  <w:marBottom w:val="0"/>
                                                  <w:divBdr>
                                                    <w:top w:val="none" w:sz="0" w:space="0" w:color="auto"/>
                                                    <w:left w:val="none" w:sz="0" w:space="0" w:color="auto"/>
                                                    <w:bottom w:val="none" w:sz="0" w:space="0" w:color="auto"/>
                                                    <w:right w:val="none" w:sz="0" w:space="0" w:color="auto"/>
                                                  </w:divBdr>
                                                  <w:divsChild>
                                                    <w:div w:id="9436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607208">
      <w:bodyDiv w:val="1"/>
      <w:marLeft w:val="0"/>
      <w:marRight w:val="0"/>
      <w:marTop w:val="0"/>
      <w:marBottom w:val="0"/>
      <w:divBdr>
        <w:top w:val="none" w:sz="0" w:space="0" w:color="auto"/>
        <w:left w:val="none" w:sz="0" w:space="0" w:color="auto"/>
        <w:bottom w:val="none" w:sz="0" w:space="0" w:color="auto"/>
        <w:right w:val="none" w:sz="0" w:space="0" w:color="auto"/>
      </w:divBdr>
    </w:div>
    <w:div w:id="977297807">
      <w:bodyDiv w:val="1"/>
      <w:marLeft w:val="0"/>
      <w:marRight w:val="0"/>
      <w:marTop w:val="0"/>
      <w:marBottom w:val="0"/>
      <w:divBdr>
        <w:top w:val="none" w:sz="0" w:space="0" w:color="auto"/>
        <w:left w:val="none" w:sz="0" w:space="0" w:color="auto"/>
        <w:bottom w:val="none" w:sz="0" w:space="0" w:color="auto"/>
        <w:right w:val="none" w:sz="0" w:space="0" w:color="auto"/>
      </w:divBdr>
    </w:div>
    <w:div w:id="1054426501">
      <w:bodyDiv w:val="1"/>
      <w:marLeft w:val="0"/>
      <w:marRight w:val="0"/>
      <w:marTop w:val="0"/>
      <w:marBottom w:val="0"/>
      <w:divBdr>
        <w:top w:val="none" w:sz="0" w:space="0" w:color="auto"/>
        <w:left w:val="none" w:sz="0" w:space="0" w:color="auto"/>
        <w:bottom w:val="none" w:sz="0" w:space="0" w:color="auto"/>
        <w:right w:val="none" w:sz="0" w:space="0" w:color="auto"/>
      </w:divBdr>
    </w:div>
    <w:div w:id="1163854454">
      <w:bodyDiv w:val="1"/>
      <w:marLeft w:val="0"/>
      <w:marRight w:val="0"/>
      <w:marTop w:val="0"/>
      <w:marBottom w:val="0"/>
      <w:divBdr>
        <w:top w:val="none" w:sz="0" w:space="0" w:color="auto"/>
        <w:left w:val="none" w:sz="0" w:space="0" w:color="auto"/>
        <w:bottom w:val="none" w:sz="0" w:space="0" w:color="auto"/>
        <w:right w:val="none" w:sz="0" w:space="0" w:color="auto"/>
      </w:divBdr>
    </w:div>
    <w:div w:id="1260871800">
      <w:bodyDiv w:val="1"/>
      <w:marLeft w:val="0"/>
      <w:marRight w:val="0"/>
      <w:marTop w:val="0"/>
      <w:marBottom w:val="0"/>
      <w:divBdr>
        <w:top w:val="none" w:sz="0" w:space="0" w:color="auto"/>
        <w:left w:val="none" w:sz="0" w:space="0" w:color="auto"/>
        <w:bottom w:val="none" w:sz="0" w:space="0" w:color="auto"/>
        <w:right w:val="none" w:sz="0" w:space="0" w:color="auto"/>
      </w:divBdr>
      <w:divsChild>
        <w:div w:id="1328291704">
          <w:marLeft w:val="0"/>
          <w:marRight w:val="0"/>
          <w:marTop w:val="0"/>
          <w:marBottom w:val="0"/>
          <w:divBdr>
            <w:top w:val="none" w:sz="0" w:space="0" w:color="auto"/>
            <w:left w:val="none" w:sz="0" w:space="0" w:color="auto"/>
            <w:bottom w:val="none" w:sz="0" w:space="0" w:color="auto"/>
            <w:right w:val="none" w:sz="0" w:space="0" w:color="auto"/>
          </w:divBdr>
          <w:divsChild>
            <w:div w:id="242380439">
              <w:marLeft w:val="0"/>
              <w:marRight w:val="0"/>
              <w:marTop w:val="0"/>
              <w:marBottom w:val="0"/>
              <w:divBdr>
                <w:top w:val="none" w:sz="0" w:space="0" w:color="auto"/>
                <w:left w:val="none" w:sz="0" w:space="0" w:color="auto"/>
                <w:bottom w:val="none" w:sz="0" w:space="0" w:color="auto"/>
                <w:right w:val="none" w:sz="0" w:space="0" w:color="auto"/>
              </w:divBdr>
              <w:divsChild>
                <w:div w:id="1581135009">
                  <w:marLeft w:val="0"/>
                  <w:marRight w:val="0"/>
                  <w:marTop w:val="0"/>
                  <w:marBottom w:val="0"/>
                  <w:divBdr>
                    <w:top w:val="none" w:sz="0" w:space="0" w:color="auto"/>
                    <w:left w:val="none" w:sz="0" w:space="0" w:color="auto"/>
                    <w:bottom w:val="none" w:sz="0" w:space="0" w:color="auto"/>
                    <w:right w:val="none" w:sz="0" w:space="0" w:color="auto"/>
                  </w:divBdr>
                  <w:divsChild>
                    <w:div w:id="1743874314">
                      <w:marLeft w:val="0"/>
                      <w:marRight w:val="0"/>
                      <w:marTop w:val="0"/>
                      <w:marBottom w:val="0"/>
                      <w:divBdr>
                        <w:top w:val="none" w:sz="0" w:space="0" w:color="auto"/>
                        <w:left w:val="none" w:sz="0" w:space="0" w:color="auto"/>
                        <w:bottom w:val="none" w:sz="0" w:space="0" w:color="auto"/>
                        <w:right w:val="none" w:sz="0" w:space="0" w:color="auto"/>
                      </w:divBdr>
                      <w:divsChild>
                        <w:div w:id="36977074">
                          <w:marLeft w:val="0"/>
                          <w:marRight w:val="0"/>
                          <w:marTop w:val="0"/>
                          <w:marBottom w:val="0"/>
                          <w:divBdr>
                            <w:top w:val="none" w:sz="0" w:space="0" w:color="auto"/>
                            <w:left w:val="none" w:sz="0" w:space="0" w:color="auto"/>
                            <w:bottom w:val="none" w:sz="0" w:space="0" w:color="auto"/>
                            <w:right w:val="none" w:sz="0" w:space="0" w:color="auto"/>
                          </w:divBdr>
                          <w:divsChild>
                            <w:div w:id="331689984">
                              <w:marLeft w:val="0"/>
                              <w:marRight w:val="0"/>
                              <w:marTop w:val="0"/>
                              <w:marBottom w:val="0"/>
                              <w:divBdr>
                                <w:top w:val="none" w:sz="0" w:space="0" w:color="auto"/>
                                <w:left w:val="none" w:sz="0" w:space="0" w:color="auto"/>
                                <w:bottom w:val="none" w:sz="0" w:space="0" w:color="auto"/>
                                <w:right w:val="none" w:sz="0" w:space="0" w:color="auto"/>
                              </w:divBdr>
                              <w:divsChild>
                                <w:div w:id="1082291826">
                                  <w:marLeft w:val="0"/>
                                  <w:marRight w:val="0"/>
                                  <w:marTop w:val="0"/>
                                  <w:marBottom w:val="0"/>
                                  <w:divBdr>
                                    <w:top w:val="none" w:sz="0" w:space="0" w:color="auto"/>
                                    <w:left w:val="none" w:sz="0" w:space="0" w:color="auto"/>
                                    <w:bottom w:val="none" w:sz="0" w:space="0" w:color="auto"/>
                                    <w:right w:val="none" w:sz="0" w:space="0" w:color="auto"/>
                                  </w:divBdr>
                                  <w:divsChild>
                                    <w:div w:id="230653305">
                                      <w:marLeft w:val="60"/>
                                      <w:marRight w:val="0"/>
                                      <w:marTop w:val="0"/>
                                      <w:marBottom w:val="0"/>
                                      <w:divBdr>
                                        <w:top w:val="none" w:sz="0" w:space="0" w:color="auto"/>
                                        <w:left w:val="none" w:sz="0" w:space="0" w:color="auto"/>
                                        <w:bottom w:val="none" w:sz="0" w:space="0" w:color="auto"/>
                                        <w:right w:val="none" w:sz="0" w:space="0" w:color="auto"/>
                                      </w:divBdr>
                                      <w:divsChild>
                                        <w:div w:id="958881432">
                                          <w:marLeft w:val="0"/>
                                          <w:marRight w:val="0"/>
                                          <w:marTop w:val="0"/>
                                          <w:marBottom w:val="0"/>
                                          <w:divBdr>
                                            <w:top w:val="none" w:sz="0" w:space="0" w:color="auto"/>
                                            <w:left w:val="none" w:sz="0" w:space="0" w:color="auto"/>
                                            <w:bottom w:val="none" w:sz="0" w:space="0" w:color="auto"/>
                                            <w:right w:val="none" w:sz="0" w:space="0" w:color="auto"/>
                                          </w:divBdr>
                                          <w:divsChild>
                                            <w:div w:id="1506049394">
                                              <w:marLeft w:val="0"/>
                                              <w:marRight w:val="0"/>
                                              <w:marTop w:val="0"/>
                                              <w:marBottom w:val="120"/>
                                              <w:divBdr>
                                                <w:top w:val="single" w:sz="6" w:space="0" w:color="F5F5F5"/>
                                                <w:left w:val="single" w:sz="6" w:space="0" w:color="F5F5F5"/>
                                                <w:bottom w:val="single" w:sz="6" w:space="0" w:color="F5F5F5"/>
                                                <w:right w:val="single" w:sz="6" w:space="0" w:color="F5F5F5"/>
                                              </w:divBdr>
                                              <w:divsChild>
                                                <w:div w:id="1394237442">
                                                  <w:marLeft w:val="0"/>
                                                  <w:marRight w:val="0"/>
                                                  <w:marTop w:val="0"/>
                                                  <w:marBottom w:val="0"/>
                                                  <w:divBdr>
                                                    <w:top w:val="none" w:sz="0" w:space="0" w:color="auto"/>
                                                    <w:left w:val="none" w:sz="0" w:space="0" w:color="auto"/>
                                                    <w:bottom w:val="none" w:sz="0" w:space="0" w:color="auto"/>
                                                    <w:right w:val="none" w:sz="0" w:space="0" w:color="auto"/>
                                                  </w:divBdr>
                                                  <w:divsChild>
                                                    <w:div w:id="16205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445893">
      <w:bodyDiv w:val="1"/>
      <w:marLeft w:val="0"/>
      <w:marRight w:val="0"/>
      <w:marTop w:val="0"/>
      <w:marBottom w:val="0"/>
      <w:divBdr>
        <w:top w:val="none" w:sz="0" w:space="0" w:color="auto"/>
        <w:left w:val="none" w:sz="0" w:space="0" w:color="auto"/>
        <w:bottom w:val="none" w:sz="0" w:space="0" w:color="auto"/>
        <w:right w:val="none" w:sz="0" w:space="0" w:color="auto"/>
      </w:divBdr>
    </w:div>
    <w:div w:id="1301153602">
      <w:bodyDiv w:val="1"/>
      <w:marLeft w:val="0"/>
      <w:marRight w:val="0"/>
      <w:marTop w:val="0"/>
      <w:marBottom w:val="0"/>
      <w:divBdr>
        <w:top w:val="none" w:sz="0" w:space="0" w:color="auto"/>
        <w:left w:val="none" w:sz="0" w:space="0" w:color="auto"/>
        <w:bottom w:val="none" w:sz="0" w:space="0" w:color="auto"/>
        <w:right w:val="none" w:sz="0" w:space="0" w:color="auto"/>
      </w:divBdr>
      <w:divsChild>
        <w:div w:id="2142922237">
          <w:marLeft w:val="0"/>
          <w:marRight w:val="0"/>
          <w:marTop w:val="0"/>
          <w:marBottom w:val="0"/>
          <w:divBdr>
            <w:top w:val="none" w:sz="0" w:space="0" w:color="auto"/>
            <w:left w:val="none" w:sz="0" w:space="0" w:color="auto"/>
            <w:bottom w:val="none" w:sz="0" w:space="0" w:color="auto"/>
            <w:right w:val="none" w:sz="0" w:space="0" w:color="auto"/>
          </w:divBdr>
          <w:divsChild>
            <w:div w:id="1763139234">
              <w:marLeft w:val="0"/>
              <w:marRight w:val="0"/>
              <w:marTop w:val="0"/>
              <w:marBottom w:val="0"/>
              <w:divBdr>
                <w:top w:val="none" w:sz="0" w:space="0" w:color="auto"/>
                <w:left w:val="none" w:sz="0" w:space="0" w:color="auto"/>
                <w:bottom w:val="none" w:sz="0" w:space="0" w:color="auto"/>
                <w:right w:val="none" w:sz="0" w:space="0" w:color="auto"/>
              </w:divBdr>
              <w:divsChild>
                <w:div w:id="1069694289">
                  <w:marLeft w:val="0"/>
                  <w:marRight w:val="0"/>
                  <w:marTop w:val="0"/>
                  <w:marBottom w:val="0"/>
                  <w:divBdr>
                    <w:top w:val="none" w:sz="0" w:space="0" w:color="auto"/>
                    <w:left w:val="none" w:sz="0" w:space="0" w:color="auto"/>
                    <w:bottom w:val="none" w:sz="0" w:space="0" w:color="auto"/>
                    <w:right w:val="none" w:sz="0" w:space="0" w:color="auto"/>
                  </w:divBdr>
                  <w:divsChild>
                    <w:div w:id="1500197590">
                      <w:marLeft w:val="0"/>
                      <w:marRight w:val="0"/>
                      <w:marTop w:val="0"/>
                      <w:marBottom w:val="0"/>
                      <w:divBdr>
                        <w:top w:val="none" w:sz="0" w:space="0" w:color="auto"/>
                        <w:left w:val="none" w:sz="0" w:space="0" w:color="auto"/>
                        <w:bottom w:val="none" w:sz="0" w:space="0" w:color="auto"/>
                        <w:right w:val="none" w:sz="0" w:space="0" w:color="auto"/>
                      </w:divBdr>
                      <w:divsChild>
                        <w:div w:id="557785783">
                          <w:marLeft w:val="0"/>
                          <w:marRight w:val="0"/>
                          <w:marTop w:val="0"/>
                          <w:marBottom w:val="0"/>
                          <w:divBdr>
                            <w:top w:val="none" w:sz="0" w:space="0" w:color="auto"/>
                            <w:left w:val="none" w:sz="0" w:space="0" w:color="auto"/>
                            <w:bottom w:val="none" w:sz="0" w:space="0" w:color="auto"/>
                            <w:right w:val="none" w:sz="0" w:space="0" w:color="auto"/>
                          </w:divBdr>
                          <w:divsChild>
                            <w:div w:id="1178078396">
                              <w:marLeft w:val="0"/>
                              <w:marRight w:val="0"/>
                              <w:marTop w:val="0"/>
                              <w:marBottom w:val="0"/>
                              <w:divBdr>
                                <w:top w:val="none" w:sz="0" w:space="0" w:color="auto"/>
                                <w:left w:val="none" w:sz="0" w:space="0" w:color="auto"/>
                                <w:bottom w:val="none" w:sz="0" w:space="0" w:color="auto"/>
                                <w:right w:val="none" w:sz="0" w:space="0" w:color="auto"/>
                              </w:divBdr>
                              <w:divsChild>
                                <w:div w:id="2028364405">
                                  <w:marLeft w:val="0"/>
                                  <w:marRight w:val="0"/>
                                  <w:marTop w:val="0"/>
                                  <w:marBottom w:val="0"/>
                                  <w:divBdr>
                                    <w:top w:val="none" w:sz="0" w:space="0" w:color="auto"/>
                                    <w:left w:val="none" w:sz="0" w:space="0" w:color="auto"/>
                                    <w:bottom w:val="none" w:sz="0" w:space="0" w:color="auto"/>
                                    <w:right w:val="none" w:sz="0" w:space="0" w:color="auto"/>
                                  </w:divBdr>
                                  <w:divsChild>
                                    <w:div w:id="1328243365">
                                      <w:marLeft w:val="60"/>
                                      <w:marRight w:val="0"/>
                                      <w:marTop w:val="0"/>
                                      <w:marBottom w:val="0"/>
                                      <w:divBdr>
                                        <w:top w:val="none" w:sz="0" w:space="0" w:color="auto"/>
                                        <w:left w:val="none" w:sz="0" w:space="0" w:color="auto"/>
                                        <w:bottom w:val="none" w:sz="0" w:space="0" w:color="auto"/>
                                        <w:right w:val="none" w:sz="0" w:space="0" w:color="auto"/>
                                      </w:divBdr>
                                      <w:divsChild>
                                        <w:div w:id="693306690">
                                          <w:marLeft w:val="0"/>
                                          <w:marRight w:val="0"/>
                                          <w:marTop w:val="0"/>
                                          <w:marBottom w:val="0"/>
                                          <w:divBdr>
                                            <w:top w:val="none" w:sz="0" w:space="0" w:color="auto"/>
                                            <w:left w:val="none" w:sz="0" w:space="0" w:color="auto"/>
                                            <w:bottom w:val="none" w:sz="0" w:space="0" w:color="auto"/>
                                            <w:right w:val="none" w:sz="0" w:space="0" w:color="auto"/>
                                          </w:divBdr>
                                          <w:divsChild>
                                            <w:div w:id="1811626826">
                                              <w:marLeft w:val="0"/>
                                              <w:marRight w:val="0"/>
                                              <w:marTop w:val="0"/>
                                              <w:marBottom w:val="120"/>
                                              <w:divBdr>
                                                <w:top w:val="single" w:sz="6" w:space="0" w:color="F5F5F5"/>
                                                <w:left w:val="single" w:sz="6" w:space="0" w:color="F5F5F5"/>
                                                <w:bottom w:val="single" w:sz="6" w:space="0" w:color="F5F5F5"/>
                                                <w:right w:val="single" w:sz="6" w:space="0" w:color="F5F5F5"/>
                                              </w:divBdr>
                                              <w:divsChild>
                                                <w:div w:id="57704163">
                                                  <w:marLeft w:val="0"/>
                                                  <w:marRight w:val="0"/>
                                                  <w:marTop w:val="0"/>
                                                  <w:marBottom w:val="0"/>
                                                  <w:divBdr>
                                                    <w:top w:val="none" w:sz="0" w:space="0" w:color="auto"/>
                                                    <w:left w:val="none" w:sz="0" w:space="0" w:color="auto"/>
                                                    <w:bottom w:val="none" w:sz="0" w:space="0" w:color="auto"/>
                                                    <w:right w:val="none" w:sz="0" w:space="0" w:color="auto"/>
                                                  </w:divBdr>
                                                  <w:divsChild>
                                                    <w:div w:id="638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09377">
      <w:bodyDiv w:val="1"/>
      <w:marLeft w:val="0"/>
      <w:marRight w:val="0"/>
      <w:marTop w:val="0"/>
      <w:marBottom w:val="0"/>
      <w:divBdr>
        <w:top w:val="none" w:sz="0" w:space="0" w:color="auto"/>
        <w:left w:val="none" w:sz="0" w:space="0" w:color="auto"/>
        <w:bottom w:val="none" w:sz="0" w:space="0" w:color="auto"/>
        <w:right w:val="none" w:sz="0" w:space="0" w:color="auto"/>
      </w:divBdr>
    </w:div>
    <w:div w:id="1423647808">
      <w:bodyDiv w:val="1"/>
      <w:marLeft w:val="0"/>
      <w:marRight w:val="0"/>
      <w:marTop w:val="0"/>
      <w:marBottom w:val="0"/>
      <w:divBdr>
        <w:top w:val="none" w:sz="0" w:space="0" w:color="auto"/>
        <w:left w:val="none" w:sz="0" w:space="0" w:color="auto"/>
        <w:bottom w:val="none" w:sz="0" w:space="0" w:color="auto"/>
        <w:right w:val="none" w:sz="0" w:space="0" w:color="auto"/>
      </w:divBdr>
      <w:divsChild>
        <w:div w:id="571355201">
          <w:marLeft w:val="0"/>
          <w:marRight w:val="0"/>
          <w:marTop w:val="0"/>
          <w:marBottom w:val="0"/>
          <w:divBdr>
            <w:top w:val="none" w:sz="0" w:space="0" w:color="auto"/>
            <w:left w:val="none" w:sz="0" w:space="0" w:color="auto"/>
            <w:bottom w:val="none" w:sz="0" w:space="0" w:color="auto"/>
            <w:right w:val="none" w:sz="0" w:space="0" w:color="auto"/>
          </w:divBdr>
          <w:divsChild>
            <w:div w:id="1307973498">
              <w:marLeft w:val="0"/>
              <w:marRight w:val="0"/>
              <w:marTop w:val="0"/>
              <w:marBottom w:val="0"/>
              <w:divBdr>
                <w:top w:val="none" w:sz="0" w:space="0" w:color="auto"/>
                <w:left w:val="none" w:sz="0" w:space="0" w:color="auto"/>
                <w:bottom w:val="none" w:sz="0" w:space="0" w:color="auto"/>
                <w:right w:val="none" w:sz="0" w:space="0" w:color="auto"/>
              </w:divBdr>
              <w:divsChild>
                <w:div w:id="2007589817">
                  <w:marLeft w:val="0"/>
                  <w:marRight w:val="0"/>
                  <w:marTop w:val="0"/>
                  <w:marBottom w:val="0"/>
                  <w:divBdr>
                    <w:top w:val="none" w:sz="0" w:space="0" w:color="auto"/>
                    <w:left w:val="none" w:sz="0" w:space="0" w:color="auto"/>
                    <w:bottom w:val="none" w:sz="0" w:space="0" w:color="auto"/>
                    <w:right w:val="none" w:sz="0" w:space="0" w:color="auto"/>
                  </w:divBdr>
                  <w:divsChild>
                    <w:div w:id="2015254113">
                      <w:marLeft w:val="0"/>
                      <w:marRight w:val="0"/>
                      <w:marTop w:val="0"/>
                      <w:marBottom w:val="0"/>
                      <w:divBdr>
                        <w:top w:val="none" w:sz="0" w:space="0" w:color="auto"/>
                        <w:left w:val="none" w:sz="0" w:space="0" w:color="auto"/>
                        <w:bottom w:val="none" w:sz="0" w:space="0" w:color="auto"/>
                        <w:right w:val="none" w:sz="0" w:space="0" w:color="auto"/>
                      </w:divBdr>
                      <w:divsChild>
                        <w:div w:id="1391424226">
                          <w:marLeft w:val="0"/>
                          <w:marRight w:val="0"/>
                          <w:marTop w:val="0"/>
                          <w:marBottom w:val="0"/>
                          <w:divBdr>
                            <w:top w:val="none" w:sz="0" w:space="0" w:color="auto"/>
                            <w:left w:val="none" w:sz="0" w:space="0" w:color="auto"/>
                            <w:bottom w:val="none" w:sz="0" w:space="0" w:color="auto"/>
                            <w:right w:val="none" w:sz="0" w:space="0" w:color="auto"/>
                          </w:divBdr>
                          <w:divsChild>
                            <w:div w:id="2060393586">
                              <w:marLeft w:val="0"/>
                              <w:marRight w:val="0"/>
                              <w:marTop w:val="0"/>
                              <w:marBottom w:val="0"/>
                              <w:divBdr>
                                <w:top w:val="none" w:sz="0" w:space="0" w:color="auto"/>
                                <w:left w:val="none" w:sz="0" w:space="0" w:color="auto"/>
                                <w:bottom w:val="none" w:sz="0" w:space="0" w:color="auto"/>
                                <w:right w:val="none" w:sz="0" w:space="0" w:color="auto"/>
                              </w:divBdr>
                              <w:divsChild>
                                <w:div w:id="752354648">
                                  <w:marLeft w:val="0"/>
                                  <w:marRight w:val="0"/>
                                  <w:marTop w:val="0"/>
                                  <w:marBottom w:val="0"/>
                                  <w:divBdr>
                                    <w:top w:val="none" w:sz="0" w:space="0" w:color="auto"/>
                                    <w:left w:val="none" w:sz="0" w:space="0" w:color="auto"/>
                                    <w:bottom w:val="none" w:sz="0" w:space="0" w:color="auto"/>
                                    <w:right w:val="none" w:sz="0" w:space="0" w:color="auto"/>
                                  </w:divBdr>
                                  <w:divsChild>
                                    <w:div w:id="1442064791">
                                      <w:marLeft w:val="60"/>
                                      <w:marRight w:val="0"/>
                                      <w:marTop w:val="0"/>
                                      <w:marBottom w:val="0"/>
                                      <w:divBdr>
                                        <w:top w:val="none" w:sz="0" w:space="0" w:color="auto"/>
                                        <w:left w:val="none" w:sz="0" w:space="0" w:color="auto"/>
                                        <w:bottom w:val="none" w:sz="0" w:space="0" w:color="auto"/>
                                        <w:right w:val="none" w:sz="0" w:space="0" w:color="auto"/>
                                      </w:divBdr>
                                      <w:divsChild>
                                        <w:div w:id="671420192">
                                          <w:marLeft w:val="0"/>
                                          <w:marRight w:val="0"/>
                                          <w:marTop w:val="0"/>
                                          <w:marBottom w:val="0"/>
                                          <w:divBdr>
                                            <w:top w:val="none" w:sz="0" w:space="0" w:color="auto"/>
                                            <w:left w:val="none" w:sz="0" w:space="0" w:color="auto"/>
                                            <w:bottom w:val="none" w:sz="0" w:space="0" w:color="auto"/>
                                            <w:right w:val="none" w:sz="0" w:space="0" w:color="auto"/>
                                          </w:divBdr>
                                          <w:divsChild>
                                            <w:div w:id="493764353">
                                              <w:marLeft w:val="0"/>
                                              <w:marRight w:val="0"/>
                                              <w:marTop w:val="0"/>
                                              <w:marBottom w:val="120"/>
                                              <w:divBdr>
                                                <w:top w:val="single" w:sz="6" w:space="0" w:color="F5F5F5"/>
                                                <w:left w:val="single" w:sz="6" w:space="0" w:color="F5F5F5"/>
                                                <w:bottom w:val="single" w:sz="6" w:space="0" w:color="F5F5F5"/>
                                                <w:right w:val="single" w:sz="6" w:space="0" w:color="F5F5F5"/>
                                              </w:divBdr>
                                              <w:divsChild>
                                                <w:div w:id="1045831076">
                                                  <w:marLeft w:val="0"/>
                                                  <w:marRight w:val="0"/>
                                                  <w:marTop w:val="0"/>
                                                  <w:marBottom w:val="0"/>
                                                  <w:divBdr>
                                                    <w:top w:val="none" w:sz="0" w:space="0" w:color="auto"/>
                                                    <w:left w:val="none" w:sz="0" w:space="0" w:color="auto"/>
                                                    <w:bottom w:val="none" w:sz="0" w:space="0" w:color="auto"/>
                                                    <w:right w:val="none" w:sz="0" w:space="0" w:color="auto"/>
                                                  </w:divBdr>
                                                  <w:divsChild>
                                                    <w:div w:id="405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591531">
      <w:bodyDiv w:val="1"/>
      <w:marLeft w:val="0"/>
      <w:marRight w:val="0"/>
      <w:marTop w:val="0"/>
      <w:marBottom w:val="0"/>
      <w:divBdr>
        <w:top w:val="none" w:sz="0" w:space="0" w:color="auto"/>
        <w:left w:val="none" w:sz="0" w:space="0" w:color="auto"/>
        <w:bottom w:val="none" w:sz="0" w:space="0" w:color="auto"/>
        <w:right w:val="none" w:sz="0" w:space="0" w:color="auto"/>
      </w:divBdr>
      <w:divsChild>
        <w:div w:id="80613633">
          <w:marLeft w:val="0"/>
          <w:marRight w:val="0"/>
          <w:marTop w:val="0"/>
          <w:marBottom w:val="0"/>
          <w:divBdr>
            <w:top w:val="none" w:sz="0" w:space="0" w:color="auto"/>
            <w:left w:val="none" w:sz="0" w:space="0" w:color="auto"/>
            <w:bottom w:val="none" w:sz="0" w:space="0" w:color="auto"/>
            <w:right w:val="none" w:sz="0" w:space="0" w:color="auto"/>
          </w:divBdr>
          <w:divsChild>
            <w:div w:id="1614022396">
              <w:marLeft w:val="0"/>
              <w:marRight w:val="0"/>
              <w:marTop w:val="0"/>
              <w:marBottom w:val="0"/>
              <w:divBdr>
                <w:top w:val="none" w:sz="0" w:space="0" w:color="auto"/>
                <w:left w:val="none" w:sz="0" w:space="0" w:color="auto"/>
                <w:bottom w:val="none" w:sz="0" w:space="0" w:color="auto"/>
                <w:right w:val="none" w:sz="0" w:space="0" w:color="auto"/>
              </w:divBdr>
              <w:divsChild>
                <w:div w:id="653415469">
                  <w:marLeft w:val="0"/>
                  <w:marRight w:val="0"/>
                  <w:marTop w:val="0"/>
                  <w:marBottom w:val="0"/>
                  <w:divBdr>
                    <w:top w:val="none" w:sz="0" w:space="0" w:color="auto"/>
                    <w:left w:val="none" w:sz="0" w:space="0" w:color="auto"/>
                    <w:bottom w:val="none" w:sz="0" w:space="0" w:color="auto"/>
                    <w:right w:val="none" w:sz="0" w:space="0" w:color="auto"/>
                  </w:divBdr>
                  <w:divsChild>
                    <w:div w:id="1358777454">
                      <w:marLeft w:val="0"/>
                      <w:marRight w:val="0"/>
                      <w:marTop w:val="0"/>
                      <w:marBottom w:val="0"/>
                      <w:divBdr>
                        <w:top w:val="none" w:sz="0" w:space="0" w:color="auto"/>
                        <w:left w:val="none" w:sz="0" w:space="0" w:color="auto"/>
                        <w:bottom w:val="none" w:sz="0" w:space="0" w:color="auto"/>
                        <w:right w:val="none" w:sz="0" w:space="0" w:color="auto"/>
                      </w:divBdr>
                      <w:divsChild>
                        <w:div w:id="153841530">
                          <w:marLeft w:val="0"/>
                          <w:marRight w:val="0"/>
                          <w:marTop w:val="0"/>
                          <w:marBottom w:val="0"/>
                          <w:divBdr>
                            <w:top w:val="none" w:sz="0" w:space="0" w:color="auto"/>
                            <w:left w:val="none" w:sz="0" w:space="0" w:color="auto"/>
                            <w:bottom w:val="none" w:sz="0" w:space="0" w:color="auto"/>
                            <w:right w:val="none" w:sz="0" w:space="0" w:color="auto"/>
                          </w:divBdr>
                          <w:divsChild>
                            <w:div w:id="1235435298">
                              <w:marLeft w:val="0"/>
                              <w:marRight w:val="0"/>
                              <w:marTop w:val="0"/>
                              <w:marBottom w:val="0"/>
                              <w:divBdr>
                                <w:top w:val="none" w:sz="0" w:space="0" w:color="auto"/>
                                <w:left w:val="none" w:sz="0" w:space="0" w:color="auto"/>
                                <w:bottom w:val="none" w:sz="0" w:space="0" w:color="auto"/>
                                <w:right w:val="none" w:sz="0" w:space="0" w:color="auto"/>
                              </w:divBdr>
                              <w:divsChild>
                                <w:div w:id="2031488306">
                                  <w:marLeft w:val="0"/>
                                  <w:marRight w:val="0"/>
                                  <w:marTop w:val="0"/>
                                  <w:marBottom w:val="0"/>
                                  <w:divBdr>
                                    <w:top w:val="none" w:sz="0" w:space="0" w:color="auto"/>
                                    <w:left w:val="none" w:sz="0" w:space="0" w:color="auto"/>
                                    <w:bottom w:val="none" w:sz="0" w:space="0" w:color="auto"/>
                                    <w:right w:val="none" w:sz="0" w:space="0" w:color="auto"/>
                                  </w:divBdr>
                                  <w:divsChild>
                                    <w:div w:id="46149268">
                                      <w:marLeft w:val="60"/>
                                      <w:marRight w:val="0"/>
                                      <w:marTop w:val="0"/>
                                      <w:marBottom w:val="0"/>
                                      <w:divBdr>
                                        <w:top w:val="none" w:sz="0" w:space="0" w:color="auto"/>
                                        <w:left w:val="none" w:sz="0" w:space="0" w:color="auto"/>
                                        <w:bottom w:val="none" w:sz="0" w:space="0" w:color="auto"/>
                                        <w:right w:val="none" w:sz="0" w:space="0" w:color="auto"/>
                                      </w:divBdr>
                                      <w:divsChild>
                                        <w:div w:id="910969377">
                                          <w:marLeft w:val="0"/>
                                          <w:marRight w:val="0"/>
                                          <w:marTop w:val="0"/>
                                          <w:marBottom w:val="0"/>
                                          <w:divBdr>
                                            <w:top w:val="none" w:sz="0" w:space="0" w:color="auto"/>
                                            <w:left w:val="none" w:sz="0" w:space="0" w:color="auto"/>
                                            <w:bottom w:val="none" w:sz="0" w:space="0" w:color="auto"/>
                                            <w:right w:val="none" w:sz="0" w:space="0" w:color="auto"/>
                                          </w:divBdr>
                                          <w:divsChild>
                                            <w:div w:id="2053459845">
                                              <w:marLeft w:val="0"/>
                                              <w:marRight w:val="0"/>
                                              <w:marTop w:val="0"/>
                                              <w:marBottom w:val="120"/>
                                              <w:divBdr>
                                                <w:top w:val="single" w:sz="6" w:space="0" w:color="F5F5F5"/>
                                                <w:left w:val="single" w:sz="6" w:space="0" w:color="F5F5F5"/>
                                                <w:bottom w:val="single" w:sz="6" w:space="0" w:color="F5F5F5"/>
                                                <w:right w:val="single" w:sz="6" w:space="0" w:color="F5F5F5"/>
                                              </w:divBdr>
                                              <w:divsChild>
                                                <w:div w:id="151068941">
                                                  <w:marLeft w:val="0"/>
                                                  <w:marRight w:val="0"/>
                                                  <w:marTop w:val="0"/>
                                                  <w:marBottom w:val="0"/>
                                                  <w:divBdr>
                                                    <w:top w:val="none" w:sz="0" w:space="0" w:color="auto"/>
                                                    <w:left w:val="none" w:sz="0" w:space="0" w:color="auto"/>
                                                    <w:bottom w:val="none" w:sz="0" w:space="0" w:color="auto"/>
                                                    <w:right w:val="none" w:sz="0" w:space="0" w:color="auto"/>
                                                  </w:divBdr>
                                                  <w:divsChild>
                                                    <w:div w:id="9242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488168">
      <w:bodyDiv w:val="1"/>
      <w:marLeft w:val="0"/>
      <w:marRight w:val="0"/>
      <w:marTop w:val="0"/>
      <w:marBottom w:val="0"/>
      <w:divBdr>
        <w:top w:val="none" w:sz="0" w:space="0" w:color="auto"/>
        <w:left w:val="none" w:sz="0" w:space="0" w:color="auto"/>
        <w:bottom w:val="none" w:sz="0" w:space="0" w:color="auto"/>
        <w:right w:val="none" w:sz="0" w:space="0" w:color="auto"/>
      </w:divBdr>
    </w:div>
    <w:div w:id="1635909792">
      <w:bodyDiv w:val="1"/>
      <w:marLeft w:val="0"/>
      <w:marRight w:val="0"/>
      <w:marTop w:val="0"/>
      <w:marBottom w:val="0"/>
      <w:divBdr>
        <w:top w:val="none" w:sz="0" w:space="0" w:color="auto"/>
        <w:left w:val="none" w:sz="0" w:space="0" w:color="auto"/>
        <w:bottom w:val="none" w:sz="0" w:space="0" w:color="auto"/>
        <w:right w:val="none" w:sz="0" w:space="0" w:color="auto"/>
      </w:divBdr>
      <w:divsChild>
        <w:div w:id="655838513">
          <w:marLeft w:val="0"/>
          <w:marRight w:val="0"/>
          <w:marTop w:val="0"/>
          <w:marBottom w:val="0"/>
          <w:divBdr>
            <w:top w:val="none" w:sz="0" w:space="0" w:color="auto"/>
            <w:left w:val="none" w:sz="0" w:space="0" w:color="auto"/>
            <w:bottom w:val="none" w:sz="0" w:space="0" w:color="auto"/>
            <w:right w:val="none" w:sz="0" w:space="0" w:color="auto"/>
          </w:divBdr>
          <w:divsChild>
            <w:div w:id="2085492919">
              <w:marLeft w:val="0"/>
              <w:marRight w:val="0"/>
              <w:marTop w:val="0"/>
              <w:marBottom w:val="0"/>
              <w:divBdr>
                <w:top w:val="none" w:sz="0" w:space="0" w:color="auto"/>
                <w:left w:val="none" w:sz="0" w:space="0" w:color="auto"/>
                <w:bottom w:val="none" w:sz="0" w:space="0" w:color="auto"/>
                <w:right w:val="none" w:sz="0" w:space="0" w:color="auto"/>
              </w:divBdr>
              <w:divsChild>
                <w:div w:id="1563517161">
                  <w:marLeft w:val="0"/>
                  <w:marRight w:val="0"/>
                  <w:marTop w:val="0"/>
                  <w:marBottom w:val="0"/>
                  <w:divBdr>
                    <w:top w:val="none" w:sz="0" w:space="0" w:color="auto"/>
                    <w:left w:val="none" w:sz="0" w:space="0" w:color="auto"/>
                    <w:bottom w:val="none" w:sz="0" w:space="0" w:color="auto"/>
                    <w:right w:val="none" w:sz="0" w:space="0" w:color="auto"/>
                  </w:divBdr>
                  <w:divsChild>
                    <w:div w:id="519710501">
                      <w:marLeft w:val="0"/>
                      <w:marRight w:val="0"/>
                      <w:marTop w:val="0"/>
                      <w:marBottom w:val="0"/>
                      <w:divBdr>
                        <w:top w:val="none" w:sz="0" w:space="0" w:color="auto"/>
                        <w:left w:val="none" w:sz="0" w:space="0" w:color="auto"/>
                        <w:bottom w:val="none" w:sz="0" w:space="0" w:color="auto"/>
                        <w:right w:val="none" w:sz="0" w:space="0" w:color="auto"/>
                      </w:divBdr>
                      <w:divsChild>
                        <w:div w:id="773668842">
                          <w:marLeft w:val="0"/>
                          <w:marRight w:val="0"/>
                          <w:marTop w:val="0"/>
                          <w:marBottom w:val="0"/>
                          <w:divBdr>
                            <w:top w:val="none" w:sz="0" w:space="0" w:color="auto"/>
                            <w:left w:val="none" w:sz="0" w:space="0" w:color="auto"/>
                            <w:bottom w:val="none" w:sz="0" w:space="0" w:color="auto"/>
                            <w:right w:val="none" w:sz="0" w:space="0" w:color="auto"/>
                          </w:divBdr>
                          <w:divsChild>
                            <w:div w:id="801846297">
                              <w:marLeft w:val="0"/>
                              <w:marRight w:val="0"/>
                              <w:marTop w:val="0"/>
                              <w:marBottom w:val="0"/>
                              <w:divBdr>
                                <w:top w:val="none" w:sz="0" w:space="0" w:color="auto"/>
                                <w:left w:val="none" w:sz="0" w:space="0" w:color="auto"/>
                                <w:bottom w:val="none" w:sz="0" w:space="0" w:color="auto"/>
                                <w:right w:val="none" w:sz="0" w:space="0" w:color="auto"/>
                              </w:divBdr>
                              <w:divsChild>
                                <w:div w:id="1993293793">
                                  <w:marLeft w:val="0"/>
                                  <w:marRight w:val="0"/>
                                  <w:marTop w:val="0"/>
                                  <w:marBottom w:val="0"/>
                                  <w:divBdr>
                                    <w:top w:val="none" w:sz="0" w:space="0" w:color="auto"/>
                                    <w:left w:val="none" w:sz="0" w:space="0" w:color="auto"/>
                                    <w:bottom w:val="none" w:sz="0" w:space="0" w:color="auto"/>
                                    <w:right w:val="none" w:sz="0" w:space="0" w:color="auto"/>
                                  </w:divBdr>
                                  <w:divsChild>
                                    <w:div w:id="1747335245">
                                      <w:marLeft w:val="60"/>
                                      <w:marRight w:val="0"/>
                                      <w:marTop w:val="0"/>
                                      <w:marBottom w:val="0"/>
                                      <w:divBdr>
                                        <w:top w:val="none" w:sz="0" w:space="0" w:color="auto"/>
                                        <w:left w:val="none" w:sz="0" w:space="0" w:color="auto"/>
                                        <w:bottom w:val="none" w:sz="0" w:space="0" w:color="auto"/>
                                        <w:right w:val="none" w:sz="0" w:space="0" w:color="auto"/>
                                      </w:divBdr>
                                      <w:divsChild>
                                        <w:div w:id="585576981">
                                          <w:marLeft w:val="0"/>
                                          <w:marRight w:val="0"/>
                                          <w:marTop w:val="0"/>
                                          <w:marBottom w:val="0"/>
                                          <w:divBdr>
                                            <w:top w:val="none" w:sz="0" w:space="0" w:color="auto"/>
                                            <w:left w:val="none" w:sz="0" w:space="0" w:color="auto"/>
                                            <w:bottom w:val="none" w:sz="0" w:space="0" w:color="auto"/>
                                            <w:right w:val="none" w:sz="0" w:space="0" w:color="auto"/>
                                          </w:divBdr>
                                          <w:divsChild>
                                            <w:div w:id="801113639">
                                              <w:marLeft w:val="0"/>
                                              <w:marRight w:val="0"/>
                                              <w:marTop w:val="0"/>
                                              <w:marBottom w:val="120"/>
                                              <w:divBdr>
                                                <w:top w:val="single" w:sz="6" w:space="0" w:color="F5F5F5"/>
                                                <w:left w:val="single" w:sz="6" w:space="0" w:color="F5F5F5"/>
                                                <w:bottom w:val="single" w:sz="6" w:space="0" w:color="F5F5F5"/>
                                                <w:right w:val="single" w:sz="6" w:space="0" w:color="F5F5F5"/>
                                              </w:divBdr>
                                              <w:divsChild>
                                                <w:div w:id="2138796588">
                                                  <w:marLeft w:val="0"/>
                                                  <w:marRight w:val="0"/>
                                                  <w:marTop w:val="0"/>
                                                  <w:marBottom w:val="0"/>
                                                  <w:divBdr>
                                                    <w:top w:val="none" w:sz="0" w:space="0" w:color="auto"/>
                                                    <w:left w:val="none" w:sz="0" w:space="0" w:color="auto"/>
                                                    <w:bottom w:val="none" w:sz="0" w:space="0" w:color="auto"/>
                                                    <w:right w:val="none" w:sz="0" w:space="0" w:color="auto"/>
                                                  </w:divBdr>
                                                  <w:divsChild>
                                                    <w:div w:id="3951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676710">
      <w:bodyDiv w:val="1"/>
      <w:marLeft w:val="0"/>
      <w:marRight w:val="0"/>
      <w:marTop w:val="0"/>
      <w:marBottom w:val="0"/>
      <w:divBdr>
        <w:top w:val="none" w:sz="0" w:space="0" w:color="auto"/>
        <w:left w:val="none" w:sz="0" w:space="0" w:color="auto"/>
        <w:bottom w:val="none" w:sz="0" w:space="0" w:color="auto"/>
        <w:right w:val="none" w:sz="0" w:space="0" w:color="auto"/>
      </w:divBdr>
      <w:divsChild>
        <w:div w:id="1729499587">
          <w:marLeft w:val="0"/>
          <w:marRight w:val="0"/>
          <w:marTop w:val="0"/>
          <w:marBottom w:val="0"/>
          <w:divBdr>
            <w:top w:val="none" w:sz="0" w:space="0" w:color="auto"/>
            <w:left w:val="none" w:sz="0" w:space="0" w:color="auto"/>
            <w:bottom w:val="none" w:sz="0" w:space="0" w:color="auto"/>
            <w:right w:val="none" w:sz="0" w:space="0" w:color="auto"/>
          </w:divBdr>
          <w:divsChild>
            <w:div w:id="307518887">
              <w:marLeft w:val="0"/>
              <w:marRight w:val="0"/>
              <w:marTop w:val="0"/>
              <w:marBottom w:val="0"/>
              <w:divBdr>
                <w:top w:val="none" w:sz="0" w:space="0" w:color="auto"/>
                <w:left w:val="none" w:sz="0" w:space="0" w:color="auto"/>
                <w:bottom w:val="none" w:sz="0" w:space="0" w:color="auto"/>
                <w:right w:val="none" w:sz="0" w:space="0" w:color="auto"/>
              </w:divBdr>
              <w:divsChild>
                <w:div w:id="770703767">
                  <w:marLeft w:val="0"/>
                  <w:marRight w:val="0"/>
                  <w:marTop w:val="0"/>
                  <w:marBottom w:val="0"/>
                  <w:divBdr>
                    <w:top w:val="none" w:sz="0" w:space="0" w:color="auto"/>
                    <w:left w:val="none" w:sz="0" w:space="0" w:color="auto"/>
                    <w:bottom w:val="none" w:sz="0" w:space="0" w:color="auto"/>
                    <w:right w:val="none" w:sz="0" w:space="0" w:color="auto"/>
                  </w:divBdr>
                  <w:divsChild>
                    <w:div w:id="926041671">
                      <w:marLeft w:val="0"/>
                      <w:marRight w:val="0"/>
                      <w:marTop w:val="0"/>
                      <w:marBottom w:val="0"/>
                      <w:divBdr>
                        <w:top w:val="none" w:sz="0" w:space="0" w:color="auto"/>
                        <w:left w:val="none" w:sz="0" w:space="0" w:color="auto"/>
                        <w:bottom w:val="none" w:sz="0" w:space="0" w:color="auto"/>
                        <w:right w:val="none" w:sz="0" w:space="0" w:color="auto"/>
                      </w:divBdr>
                      <w:divsChild>
                        <w:div w:id="418716832">
                          <w:marLeft w:val="0"/>
                          <w:marRight w:val="0"/>
                          <w:marTop w:val="0"/>
                          <w:marBottom w:val="0"/>
                          <w:divBdr>
                            <w:top w:val="none" w:sz="0" w:space="0" w:color="auto"/>
                            <w:left w:val="none" w:sz="0" w:space="0" w:color="auto"/>
                            <w:bottom w:val="none" w:sz="0" w:space="0" w:color="auto"/>
                            <w:right w:val="none" w:sz="0" w:space="0" w:color="auto"/>
                          </w:divBdr>
                          <w:divsChild>
                            <w:div w:id="686827246">
                              <w:marLeft w:val="0"/>
                              <w:marRight w:val="0"/>
                              <w:marTop w:val="0"/>
                              <w:marBottom w:val="0"/>
                              <w:divBdr>
                                <w:top w:val="none" w:sz="0" w:space="0" w:color="auto"/>
                                <w:left w:val="none" w:sz="0" w:space="0" w:color="auto"/>
                                <w:bottom w:val="none" w:sz="0" w:space="0" w:color="auto"/>
                                <w:right w:val="none" w:sz="0" w:space="0" w:color="auto"/>
                              </w:divBdr>
                              <w:divsChild>
                                <w:div w:id="1827668896">
                                  <w:marLeft w:val="0"/>
                                  <w:marRight w:val="0"/>
                                  <w:marTop w:val="0"/>
                                  <w:marBottom w:val="0"/>
                                  <w:divBdr>
                                    <w:top w:val="none" w:sz="0" w:space="0" w:color="auto"/>
                                    <w:left w:val="none" w:sz="0" w:space="0" w:color="auto"/>
                                    <w:bottom w:val="none" w:sz="0" w:space="0" w:color="auto"/>
                                    <w:right w:val="none" w:sz="0" w:space="0" w:color="auto"/>
                                  </w:divBdr>
                                  <w:divsChild>
                                    <w:div w:id="954023152">
                                      <w:marLeft w:val="60"/>
                                      <w:marRight w:val="0"/>
                                      <w:marTop w:val="0"/>
                                      <w:marBottom w:val="0"/>
                                      <w:divBdr>
                                        <w:top w:val="none" w:sz="0" w:space="0" w:color="auto"/>
                                        <w:left w:val="none" w:sz="0" w:space="0" w:color="auto"/>
                                        <w:bottom w:val="none" w:sz="0" w:space="0" w:color="auto"/>
                                        <w:right w:val="none" w:sz="0" w:space="0" w:color="auto"/>
                                      </w:divBdr>
                                      <w:divsChild>
                                        <w:div w:id="644044918">
                                          <w:marLeft w:val="0"/>
                                          <w:marRight w:val="0"/>
                                          <w:marTop w:val="0"/>
                                          <w:marBottom w:val="0"/>
                                          <w:divBdr>
                                            <w:top w:val="none" w:sz="0" w:space="0" w:color="auto"/>
                                            <w:left w:val="none" w:sz="0" w:space="0" w:color="auto"/>
                                            <w:bottom w:val="none" w:sz="0" w:space="0" w:color="auto"/>
                                            <w:right w:val="none" w:sz="0" w:space="0" w:color="auto"/>
                                          </w:divBdr>
                                          <w:divsChild>
                                            <w:div w:id="894699171">
                                              <w:marLeft w:val="0"/>
                                              <w:marRight w:val="0"/>
                                              <w:marTop w:val="0"/>
                                              <w:marBottom w:val="120"/>
                                              <w:divBdr>
                                                <w:top w:val="single" w:sz="6" w:space="0" w:color="F5F5F5"/>
                                                <w:left w:val="single" w:sz="6" w:space="0" w:color="F5F5F5"/>
                                                <w:bottom w:val="single" w:sz="6" w:space="0" w:color="F5F5F5"/>
                                                <w:right w:val="single" w:sz="6" w:space="0" w:color="F5F5F5"/>
                                              </w:divBdr>
                                              <w:divsChild>
                                                <w:div w:id="647054836">
                                                  <w:marLeft w:val="0"/>
                                                  <w:marRight w:val="0"/>
                                                  <w:marTop w:val="0"/>
                                                  <w:marBottom w:val="0"/>
                                                  <w:divBdr>
                                                    <w:top w:val="none" w:sz="0" w:space="0" w:color="auto"/>
                                                    <w:left w:val="none" w:sz="0" w:space="0" w:color="auto"/>
                                                    <w:bottom w:val="none" w:sz="0" w:space="0" w:color="auto"/>
                                                    <w:right w:val="none" w:sz="0" w:space="0" w:color="auto"/>
                                                  </w:divBdr>
                                                  <w:divsChild>
                                                    <w:div w:id="6778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625749">
      <w:bodyDiv w:val="1"/>
      <w:marLeft w:val="0"/>
      <w:marRight w:val="0"/>
      <w:marTop w:val="0"/>
      <w:marBottom w:val="0"/>
      <w:divBdr>
        <w:top w:val="none" w:sz="0" w:space="0" w:color="auto"/>
        <w:left w:val="none" w:sz="0" w:space="0" w:color="auto"/>
        <w:bottom w:val="none" w:sz="0" w:space="0" w:color="auto"/>
        <w:right w:val="none" w:sz="0" w:space="0" w:color="auto"/>
      </w:divBdr>
    </w:div>
    <w:div w:id="1750882631">
      <w:bodyDiv w:val="1"/>
      <w:marLeft w:val="0"/>
      <w:marRight w:val="0"/>
      <w:marTop w:val="0"/>
      <w:marBottom w:val="0"/>
      <w:divBdr>
        <w:top w:val="none" w:sz="0" w:space="0" w:color="auto"/>
        <w:left w:val="none" w:sz="0" w:space="0" w:color="auto"/>
        <w:bottom w:val="none" w:sz="0" w:space="0" w:color="auto"/>
        <w:right w:val="none" w:sz="0" w:space="0" w:color="auto"/>
      </w:divBdr>
    </w:div>
    <w:div w:id="1791313486">
      <w:bodyDiv w:val="1"/>
      <w:marLeft w:val="0"/>
      <w:marRight w:val="0"/>
      <w:marTop w:val="0"/>
      <w:marBottom w:val="0"/>
      <w:divBdr>
        <w:top w:val="none" w:sz="0" w:space="0" w:color="auto"/>
        <w:left w:val="none" w:sz="0" w:space="0" w:color="auto"/>
        <w:bottom w:val="none" w:sz="0" w:space="0" w:color="auto"/>
        <w:right w:val="none" w:sz="0" w:space="0" w:color="auto"/>
      </w:divBdr>
      <w:divsChild>
        <w:div w:id="1819226845">
          <w:marLeft w:val="0"/>
          <w:marRight w:val="0"/>
          <w:marTop w:val="0"/>
          <w:marBottom w:val="0"/>
          <w:divBdr>
            <w:top w:val="none" w:sz="0" w:space="0" w:color="auto"/>
            <w:left w:val="none" w:sz="0" w:space="0" w:color="auto"/>
            <w:bottom w:val="none" w:sz="0" w:space="0" w:color="auto"/>
            <w:right w:val="none" w:sz="0" w:space="0" w:color="auto"/>
          </w:divBdr>
          <w:divsChild>
            <w:div w:id="935481673">
              <w:marLeft w:val="0"/>
              <w:marRight w:val="0"/>
              <w:marTop w:val="0"/>
              <w:marBottom w:val="0"/>
              <w:divBdr>
                <w:top w:val="none" w:sz="0" w:space="0" w:color="auto"/>
                <w:left w:val="none" w:sz="0" w:space="0" w:color="auto"/>
                <w:bottom w:val="none" w:sz="0" w:space="0" w:color="auto"/>
                <w:right w:val="none" w:sz="0" w:space="0" w:color="auto"/>
              </w:divBdr>
              <w:divsChild>
                <w:div w:id="53361763">
                  <w:marLeft w:val="0"/>
                  <w:marRight w:val="0"/>
                  <w:marTop w:val="0"/>
                  <w:marBottom w:val="0"/>
                  <w:divBdr>
                    <w:top w:val="none" w:sz="0" w:space="0" w:color="auto"/>
                    <w:left w:val="none" w:sz="0" w:space="0" w:color="auto"/>
                    <w:bottom w:val="none" w:sz="0" w:space="0" w:color="auto"/>
                    <w:right w:val="none" w:sz="0" w:space="0" w:color="auto"/>
                  </w:divBdr>
                  <w:divsChild>
                    <w:div w:id="1323661174">
                      <w:marLeft w:val="0"/>
                      <w:marRight w:val="0"/>
                      <w:marTop w:val="0"/>
                      <w:marBottom w:val="0"/>
                      <w:divBdr>
                        <w:top w:val="none" w:sz="0" w:space="0" w:color="auto"/>
                        <w:left w:val="none" w:sz="0" w:space="0" w:color="auto"/>
                        <w:bottom w:val="none" w:sz="0" w:space="0" w:color="auto"/>
                        <w:right w:val="none" w:sz="0" w:space="0" w:color="auto"/>
                      </w:divBdr>
                      <w:divsChild>
                        <w:div w:id="1245870607">
                          <w:marLeft w:val="0"/>
                          <w:marRight w:val="0"/>
                          <w:marTop w:val="0"/>
                          <w:marBottom w:val="0"/>
                          <w:divBdr>
                            <w:top w:val="none" w:sz="0" w:space="0" w:color="auto"/>
                            <w:left w:val="none" w:sz="0" w:space="0" w:color="auto"/>
                            <w:bottom w:val="none" w:sz="0" w:space="0" w:color="auto"/>
                            <w:right w:val="none" w:sz="0" w:space="0" w:color="auto"/>
                          </w:divBdr>
                          <w:divsChild>
                            <w:div w:id="3751172">
                              <w:marLeft w:val="0"/>
                              <w:marRight w:val="0"/>
                              <w:marTop w:val="0"/>
                              <w:marBottom w:val="0"/>
                              <w:divBdr>
                                <w:top w:val="none" w:sz="0" w:space="0" w:color="auto"/>
                                <w:left w:val="none" w:sz="0" w:space="0" w:color="auto"/>
                                <w:bottom w:val="none" w:sz="0" w:space="0" w:color="auto"/>
                                <w:right w:val="none" w:sz="0" w:space="0" w:color="auto"/>
                              </w:divBdr>
                              <w:divsChild>
                                <w:div w:id="218440042">
                                  <w:marLeft w:val="0"/>
                                  <w:marRight w:val="0"/>
                                  <w:marTop w:val="0"/>
                                  <w:marBottom w:val="0"/>
                                  <w:divBdr>
                                    <w:top w:val="none" w:sz="0" w:space="0" w:color="auto"/>
                                    <w:left w:val="none" w:sz="0" w:space="0" w:color="auto"/>
                                    <w:bottom w:val="none" w:sz="0" w:space="0" w:color="auto"/>
                                    <w:right w:val="none" w:sz="0" w:space="0" w:color="auto"/>
                                  </w:divBdr>
                                  <w:divsChild>
                                    <w:div w:id="1164396105">
                                      <w:marLeft w:val="60"/>
                                      <w:marRight w:val="0"/>
                                      <w:marTop w:val="0"/>
                                      <w:marBottom w:val="0"/>
                                      <w:divBdr>
                                        <w:top w:val="none" w:sz="0" w:space="0" w:color="auto"/>
                                        <w:left w:val="none" w:sz="0" w:space="0" w:color="auto"/>
                                        <w:bottom w:val="none" w:sz="0" w:space="0" w:color="auto"/>
                                        <w:right w:val="none" w:sz="0" w:space="0" w:color="auto"/>
                                      </w:divBdr>
                                      <w:divsChild>
                                        <w:div w:id="1336886252">
                                          <w:marLeft w:val="0"/>
                                          <w:marRight w:val="0"/>
                                          <w:marTop w:val="0"/>
                                          <w:marBottom w:val="0"/>
                                          <w:divBdr>
                                            <w:top w:val="none" w:sz="0" w:space="0" w:color="auto"/>
                                            <w:left w:val="none" w:sz="0" w:space="0" w:color="auto"/>
                                            <w:bottom w:val="none" w:sz="0" w:space="0" w:color="auto"/>
                                            <w:right w:val="none" w:sz="0" w:space="0" w:color="auto"/>
                                          </w:divBdr>
                                          <w:divsChild>
                                            <w:div w:id="1256863032">
                                              <w:marLeft w:val="0"/>
                                              <w:marRight w:val="0"/>
                                              <w:marTop w:val="0"/>
                                              <w:marBottom w:val="120"/>
                                              <w:divBdr>
                                                <w:top w:val="single" w:sz="6" w:space="0" w:color="F5F5F5"/>
                                                <w:left w:val="single" w:sz="6" w:space="0" w:color="F5F5F5"/>
                                                <w:bottom w:val="single" w:sz="6" w:space="0" w:color="F5F5F5"/>
                                                <w:right w:val="single" w:sz="6" w:space="0" w:color="F5F5F5"/>
                                              </w:divBdr>
                                              <w:divsChild>
                                                <w:div w:id="1356955392">
                                                  <w:marLeft w:val="0"/>
                                                  <w:marRight w:val="0"/>
                                                  <w:marTop w:val="0"/>
                                                  <w:marBottom w:val="0"/>
                                                  <w:divBdr>
                                                    <w:top w:val="none" w:sz="0" w:space="0" w:color="auto"/>
                                                    <w:left w:val="none" w:sz="0" w:space="0" w:color="auto"/>
                                                    <w:bottom w:val="none" w:sz="0" w:space="0" w:color="auto"/>
                                                    <w:right w:val="none" w:sz="0" w:space="0" w:color="auto"/>
                                                  </w:divBdr>
                                                  <w:divsChild>
                                                    <w:div w:id="11718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852367">
      <w:bodyDiv w:val="1"/>
      <w:marLeft w:val="0"/>
      <w:marRight w:val="0"/>
      <w:marTop w:val="0"/>
      <w:marBottom w:val="0"/>
      <w:divBdr>
        <w:top w:val="none" w:sz="0" w:space="0" w:color="auto"/>
        <w:left w:val="none" w:sz="0" w:space="0" w:color="auto"/>
        <w:bottom w:val="none" w:sz="0" w:space="0" w:color="auto"/>
        <w:right w:val="none" w:sz="0" w:space="0" w:color="auto"/>
      </w:divBdr>
    </w:div>
    <w:div w:id="1913587441">
      <w:bodyDiv w:val="1"/>
      <w:marLeft w:val="0"/>
      <w:marRight w:val="0"/>
      <w:marTop w:val="0"/>
      <w:marBottom w:val="0"/>
      <w:divBdr>
        <w:top w:val="none" w:sz="0" w:space="0" w:color="auto"/>
        <w:left w:val="none" w:sz="0" w:space="0" w:color="auto"/>
        <w:bottom w:val="none" w:sz="0" w:space="0" w:color="auto"/>
        <w:right w:val="none" w:sz="0" w:space="0" w:color="auto"/>
      </w:divBdr>
    </w:div>
    <w:div w:id="1916358256">
      <w:bodyDiv w:val="1"/>
      <w:marLeft w:val="0"/>
      <w:marRight w:val="0"/>
      <w:marTop w:val="0"/>
      <w:marBottom w:val="0"/>
      <w:divBdr>
        <w:top w:val="none" w:sz="0" w:space="0" w:color="auto"/>
        <w:left w:val="none" w:sz="0" w:space="0" w:color="auto"/>
        <w:bottom w:val="none" w:sz="0" w:space="0" w:color="auto"/>
        <w:right w:val="none" w:sz="0" w:space="0" w:color="auto"/>
      </w:divBdr>
      <w:divsChild>
        <w:div w:id="56318365">
          <w:marLeft w:val="0"/>
          <w:marRight w:val="0"/>
          <w:marTop w:val="0"/>
          <w:marBottom w:val="0"/>
          <w:divBdr>
            <w:top w:val="none" w:sz="0" w:space="0" w:color="auto"/>
            <w:left w:val="none" w:sz="0" w:space="0" w:color="auto"/>
            <w:bottom w:val="none" w:sz="0" w:space="0" w:color="auto"/>
            <w:right w:val="none" w:sz="0" w:space="0" w:color="auto"/>
          </w:divBdr>
          <w:divsChild>
            <w:div w:id="1375690642">
              <w:marLeft w:val="0"/>
              <w:marRight w:val="0"/>
              <w:marTop w:val="0"/>
              <w:marBottom w:val="0"/>
              <w:divBdr>
                <w:top w:val="none" w:sz="0" w:space="0" w:color="auto"/>
                <w:left w:val="none" w:sz="0" w:space="0" w:color="auto"/>
                <w:bottom w:val="none" w:sz="0" w:space="0" w:color="auto"/>
                <w:right w:val="none" w:sz="0" w:space="0" w:color="auto"/>
              </w:divBdr>
              <w:divsChild>
                <w:div w:id="109396285">
                  <w:marLeft w:val="0"/>
                  <w:marRight w:val="0"/>
                  <w:marTop w:val="0"/>
                  <w:marBottom w:val="0"/>
                  <w:divBdr>
                    <w:top w:val="none" w:sz="0" w:space="0" w:color="auto"/>
                    <w:left w:val="none" w:sz="0" w:space="0" w:color="auto"/>
                    <w:bottom w:val="none" w:sz="0" w:space="0" w:color="auto"/>
                    <w:right w:val="none" w:sz="0" w:space="0" w:color="auto"/>
                  </w:divBdr>
                  <w:divsChild>
                    <w:div w:id="2086873054">
                      <w:marLeft w:val="0"/>
                      <w:marRight w:val="0"/>
                      <w:marTop w:val="0"/>
                      <w:marBottom w:val="0"/>
                      <w:divBdr>
                        <w:top w:val="none" w:sz="0" w:space="0" w:color="auto"/>
                        <w:left w:val="none" w:sz="0" w:space="0" w:color="auto"/>
                        <w:bottom w:val="none" w:sz="0" w:space="0" w:color="auto"/>
                        <w:right w:val="none" w:sz="0" w:space="0" w:color="auto"/>
                      </w:divBdr>
                      <w:divsChild>
                        <w:div w:id="1963266836">
                          <w:marLeft w:val="0"/>
                          <w:marRight w:val="0"/>
                          <w:marTop w:val="0"/>
                          <w:marBottom w:val="0"/>
                          <w:divBdr>
                            <w:top w:val="none" w:sz="0" w:space="0" w:color="auto"/>
                            <w:left w:val="none" w:sz="0" w:space="0" w:color="auto"/>
                            <w:bottom w:val="none" w:sz="0" w:space="0" w:color="auto"/>
                            <w:right w:val="none" w:sz="0" w:space="0" w:color="auto"/>
                          </w:divBdr>
                          <w:divsChild>
                            <w:div w:id="723024614">
                              <w:marLeft w:val="0"/>
                              <w:marRight w:val="0"/>
                              <w:marTop w:val="0"/>
                              <w:marBottom w:val="0"/>
                              <w:divBdr>
                                <w:top w:val="none" w:sz="0" w:space="0" w:color="auto"/>
                                <w:left w:val="none" w:sz="0" w:space="0" w:color="auto"/>
                                <w:bottom w:val="none" w:sz="0" w:space="0" w:color="auto"/>
                                <w:right w:val="none" w:sz="0" w:space="0" w:color="auto"/>
                              </w:divBdr>
                              <w:divsChild>
                                <w:div w:id="1681588665">
                                  <w:marLeft w:val="0"/>
                                  <w:marRight w:val="0"/>
                                  <w:marTop w:val="0"/>
                                  <w:marBottom w:val="0"/>
                                  <w:divBdr>
                                    <w:top w:val="none" w:sz="0" w:space="0" w:color="auto"/>
                                    <w:left w:val="none" w:sz="0" w:space="0" w:color="auto"/>
                                    <w:bottom w:val="none" w:sz="0" w:space="0" w:color="auto"/>
                                    <w:right w:val="none" w:sz="0" w:space="0" w:color="auto"/>
                                  </w:divBdr>
                                  <w:divsChild>
                                    <w:div w:id="1580602205">
                                      <w:marLeft w:val="60"/>
                                      <w:marRight w:val="0"/>
                                      <w:marTop w:val="0"/>
                                      <w:marBottom w:val="0"/>
                                      <w:divBdr>
                                        <w:top w:val="none" w:sz="0" w:space="0" w:color="auto"/>
                                        <w:left w:val="none" w:sz="0" w:space="0" w:color="auto"/>
                                        <w:bottom w:val="none" w:sz="0" w:space="0" w:color="auto"/>
                                        <w:right w:val="none" w:sz="0" w:space="0" w:color="auto"/>
                                      </w:divBdr>
                                      <w:divsChild>
                                        <w:div w:id="1333415860">
                                          <w:marLeft w:val="0"/>
                                          <w:marRight w:val="0"/>
                                          <w:marTop w:val="0"/>
                                          <w:marBottom w:val="0"/>
                                          <w:divBdr>
                                            <w:top w:val="none" w:sz="0" w:space="0" w:color="auto"/>
                                            <w:left w:val="none" w:sz="0" w:space="0" w:color="auto"/>
                                            <w:bottom w:val="none" w:sz="0" w:space="0" w:color="auto"/>
                                            <w:right w:val="none" w:sz="0" w:space="0" w:color="auto"/>
                                          </w:divBdr>
                                          <w:divsChild>
                                            <w:div w:id="1973632406">
                                              <w:marLeft w:val="0"/>
                                              <w:marRight w:val="0"/>
                                              <w:marTop w:val="0"/>
                                              <w:marBottom w:val="120"/>
                                              <w:divBdr>
                                                <w:top w:val="single" w:sz="6" w:space="0" w:color="F5F5F5"/>
                                                <w:left w:val="single" w:sz="6" w:space="0" w:color="F5F5F5"/>
                                                <w:bottom w:val="single" w:sz="6" w:space="0" w:color="F5F5F5"/>
                                                <w:right w:val="single" w:sz="6" w:space="0" w:color="F5F5F5"/>
                                              </w:divBdr>
                                              <w:divsChild>
                                                <w:div w:id="1792281791">
                                                  <w:marLeft w:val="0"/>
                                                  <w:marRight w:val="0"/>
                                                  <w:marTop w:val="0"/>
                                                  <w:marBottom w:val="0"/>
                                                  <w:divBdr>
                                                    <w:top w:val="none" w:sz="0" w:space="0" w:color="auto"/>
                                                    <w:left w:val="none" w:sz="0" w:space="0" w:color="auto"/>
                                                    <w:bottom w:val="none" w:sz="0" w:space="0" w:color="auto"/>
                                                    <w:right w:val="none" w:sz="0" w:space="0" w:color="auto"/>
                                                  </w:divBdr>
                                                  <w:divsChild>
                                                    <w:div w:id="14164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508291">
      <w:bodyDiv w:val="1"/>
      <w:marLeft w:val="0"/>
      <w:marRight w:val="0"/>
      <w:marTop w:val="0"/>
      <w:marBottom w:val="0"/>
      <w:divBdr>
        <w:top w:val="none" w:sz="0" w:space="0" w:color="auto"/>
        <w:left w:val="none" w:sz="0" w:space="0" w:color="auto"/>
        <w:bottom w:val="none" w:sz="0" w:space="0" w:color="auto"/>
        <w:right w:val="none" w:sz="0" w:space="0" w:color="auto"/>
      </w:divBdr>
      <w:divsChild>
        <w:div w:id="1187864676">
          <w:marLeft w:val="0"/>
          <w:marRight w:val="0"/>
          <w:marTop w:val="0"/>
          <w:marBottom w:val="0"/>
          <w:divBdr>
            <w:top w:val="none" w:sz="0" w:space="0" w:color="auto"/>
            <w:left w:val="none" w:sz="0" w:space="0" w:color="auto"/>
            <w:bottom w:val="none" w:sz="0" w:space="0" w:color="auto"/>
            <w:right w:val="none" w:sz="0" w:space="0" w:color="auto"/>
          </w:divBdr>
          <w:divsChild>
            <w:div w:id="688944348">
              <w:marLeft w:val="0"/>
              <w:marRight w:val="0"/>
              <w:marTop w:val="0"/>
              <w:marBottom w:val="0"/>
              <w:divBdr>
                <w:top w:val="none" w:sz="0" w:space="0" w:color="auto"/>
                <w:left w:val="none" w:sz="0" w:space="0" w:color="auto"/>
                <w:bottom w:val="none" w:sz="0" w:space="0" w:color="auto"/>
                <w:right w:val="none" w:sz="0" w:space="0" w:color="auto"/>
              </w:divBdr>
              <w:divsChild>
                <w:div w:id="124859283">
                  <w:marLeft w:val="0"/>
                  <w:marRight w:val="0"/>
                  <w:marTop w:val="0"/>
                  <w:marBottom w:val="0"/>
                  <w:divBdr>
                    <w:top w:val="none" w:sz="0" w:space="0" w:color="auto"/>
                    <w:left w:val="none" w:sz="0" w:space="0" w:color="auto"/>
                    <w:bottom w:val="none" w:sz="0" w:space="0" w:color="auto"/>
                    <w:right w:val="none" w:sz="0" w:space="0" w:color="auto"/>
                  </w:divBdr>
                  <w:divsChild>
                    <w:div w:id="777870423">
                      <w:marLeft w:val="0"/>
                      <w:marRight w:val="0"/>
                      <w:marTop w:val="0"/>
                      <w:marBottom w:val="0"/>
                      <w:divBdr>
                        <w:top w:val="none" w:sz="0" w:space="0" w:color="auto"/>
                        <w:left w:val="none" w:sz="0" w:space="0" w:color="auto"/>
                        <w:bottom w:val="none" w:sz="0" w:space="0" w:color="auto"/>
                        <w:right w:val="none" w:sz="0" w:space="0" w:color="auto"/>
                      </w:divBdr>
                      <w:divsChild>
                        <w:div w:id="491063057">
                          <w:marLeft w:val="0"/>
                          <w:marRight w:val="0"/>
                          <w:marTop w:val="0"/>
                          <w:marBottom w:val="0"/>
                          <w:divBdr>
                            <w:top w:val="none" w:sz="0" w:space="0" w:color="auto"/>
                            <w:left w:val="none" w:sz="0" w:space="0" w:color="auto"/>
                            <w:bottom w:val="none" w:sz="0" w:space="0" w:color="auto"/>
                            <w:right w:val="none" w:sz="0" w:space="0" w:color="auto"/>
                          </w:divBdr>
                          <w:divsChild>
                            <w:div w:id="614950032">
                              <w:marLeft w:val="0"/>
                              <w:marRight w:val="0"/>
                              <w:marTop w:val="0"/>
                              <w:marBottom w:val="0"/>
                              <w:divBdr>
                                <w:top w:val="none" w:sz="0" w:space="0" w:color="auto"/>
                                <w:left w:val="none" w:sz="0" w:space="0" w:color="auto"/>
                                <w:bottom w:val="none" w:sz="0" w:space="0" w:color="auto"/>
                                <w:right w:val="none" w:sz="0" w:space="0" w:color="auto"/>
                              </w:divBdr>
                              <w:divsChild>
                                <w:div w:id="1184780078">
                                  <w:marLeft w:val="0"/>
                                  <w:marRight w:val="0"/>
                                  <w:marTop w:val="0"/>
                                  <w:marBottom w:val="0"/>
                                  <w:divBdr>
                                    <w:top w:val="none" w:sz="0" w:space="0" w:color="auto"/>
                                    <w:left w:val="none" w:sz="0" w:space="0" w:color="auto"/>
                                    <w:bottom w:val="none" w:sz="0" w:space="0" w:color="auto"/>
                                    <w:right w:val="none" w:sz="0" w:space="0" w:color="auto"/>
                                  </w:divBdr>
                                  <w:divsChild>
                                    <w:div w:id="150566615">
                                      <w:marLeft w:val="60"/>
                                      <w:marRight w:val="0"/>
                                      <w:marTop w:val="0"/>
                                      <w:marBottom w:val="0"/>
                                      <w:divBdr>
                                        <w:top w:val="none" w:sz="0" w:space="0" w:color="auto"/>
                                        <w:left w:val="none" w:sz="0" w:space="0" w:color="auto"/>
                                        <w:bottom w:val="none" w:sz="0" w:space="0" w:color="auto"/>
                                        <w:right w:val="none" w:sz="0" w:space="0" w:color="auto"/>
                                      </w:divBdr>
                                      <w:divsChild>
                                        <w:div w:id="242881281">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120"/>
                                              <w:divBdr>
                                                <w:top w:val="single" w:sz="6" w:space="0" w:color="F5F5F5"/>
                                                <w:left w:val="single" w:sz="6" w:space="0" w:color="F5F5F5"/>
                                                <w:bottom w:val="single" w:sz="6" w:space="0" w:color="F5F5F5"/>
                                                <w:right w:val="single" w:sz="6" w:space="0" w:color="F5F5F5"/>
                                              </w:divBdr>
                                              <w:divsChild>
                                                <w:div w:id="133916883">
                                                  <w:marLeft w:val="0"/>
                                                  <w:marRight w:val="0"/>
                                                  <w:marTop w:val="0"/>
                                                  <w:marBottom w:val="0"/>
                                                  <w:divBdr>
                                                    <w:top w:val="none" w:sz="0" w:space="0" w:color="auto"/>
                                                    <w:left w:val="none" w:sz="0" w:space="0" w:color="auto"/>
                                                    <w:bottom w:val="none" w:sz="0" w:space="0" w:color="auto"/>
                                                    <w:right w:val="none" w:sz="0" w:space="0" w:color="auto"/>
                                                  </w:divBdr>
                                                  <w:divsChild>
                                                    <w:div w:id="1891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93415">
      <w:bodyDiv w:val="1"/>
      <w:marLeft w:val="0"/>
      <w:marRight w:val="0"/>
      <w:marTop w:val="0"/>
      <w:marBottom w:val="0"/>
      <w:divBdr>
        <w:top w:val="none" w:sz="0" w:space="0" w:color="auto"/>
        <w:left w:val="none" w:sz="0" w:space="0" w:color="auto"/>
        <w:bottom w:val="none" w:sz="0" w:space="0" w:color="auto"/>
        <w:right w:val="none" w:sz="0" w:space="0" w:color="auto"/>
      </w:divBdr>
      <w:divsChild>
        <w:div w:id="463734761">
          <w:marLeft w:val="0"/>
          <w:marRight w:val="0"/>
          <w:marTop w:val="0"/>
          <w:marBottom w:val="0"/>
          <w:divBdr>
            <w:top w:val="none" w:sz="0" w:space="0" w:color="auto"/>
            <w:left w:val="none" w:sz="0" w:space="0" w:color="auto"/>
            <w:bottom w:val="none" w:sz="0" w:space="0" w:color="auto"/>
            <w:right w:val="none" w:sz="0" w:space="0" w:color="auto"/>
          </w:divBdr>
          <w:divsChild>
            <w:div w:id="1189223303">
              <w:marLeft w:val="0"/>
              <w:marRight w:val="0"/>
              <w:marTop w:val="0"/>
              <w:marBottom w:val="0"/>
              <w:divBdr>
                <w:top w:val="none" w:sz="0" w:space="0" w:color="auto"/>
                <w:left w:val="none" w:sz="0" w:space="0" w:color="auto"/>
                <w:bottom w:val="none" w:sz="0" w:space="0" w:color="auto"/>
                <w:right w:val="none" w:sz="0" w:space="0" w:color="auto"/>
              </w:divBdr>
              <w:divsChild>
                <w:div w:id="1820658297">
                  <w:marLeft w:val="0"/>
                  <w:marRight w:val="0"/>
                  <w:marTop w:val="0"/>
                  <w:marBottom w:val="0"/>
                  <w:divBdr>
                    <w:top w:val="none" w:sz="0" w:space="0" w:color="auto"/>
                    <w:left w:val="none" w:sz="0" w:space="0" w:color="auto"/>
                    <w:bottom w:val="none" w:sz="0" w:space="0" w:color="auto"/>
                    <w:right w:val="none" w:sz="0" w:space="0" w:color="auto"/>
                  </w:divBdr>
                  <w:divsChild>
                    <w:div w:id="930553594">
                      <w:marLeft w:val="0"/>
                      <w:marRight w:val="0"/>
                      <w:marTop w:val="0"/>
                      <w:marBottom w:val="0"/>
                      <w:divBdr>
                        <w:top w:val="none" w:sz="0" w:space="0" w:color="auto"/>
                        <w:left w:val="none" w:sz="0" w:space="0" w:color="auto"/>
                        <w:bottom w:val="none" w:sz="0" w:space="0" w:color="auto"/>
                        <w:right w:val="none" w:sz="0" w:space="0" w:color="auto"/>
                      </w:divBdr>
                      <w:divsChild>
                        <w:div w:id="555774899">
                          <w:marLeft w:val="0"/>
                          <w:marRight w:val="0"/>
                          <w:marTop w:val="0"/>
                          <w:marBottom w:val="0"/>
                          <w:divBdr>
                            <w:top w:val="none" w:sz="0" w:space="0" w:color="auto"/>
                            <w:left w:val="none" w:sz="0" w:space="0" w:color="auto"/>
                            <w:bottom w:val="none" w:sz="0" w:space="0" w:color="auto"/>
                            <w:right w:val="none" w:sz="0" w:space="0" w:color="auto"/>
                          </w:divBdr>
                          <w:divsChild>
                            <w:div w:id="91054127">
                              <w:marLeft w:val="0"/>
                              <w:marRight w:val="0"/>
                              <w:marTop w:val="0"/>
                              <w:marBottom w:val="0"/>
                              <w:divBdr>
                                <w:top w:val="none" w:sz="0" w:space="0" w:color="auto"/>
                                <w:left w:val="none" w:sz="0" w:space="0" w:color="auto"/>
                                <w:bottom w:val="none" w:sz="0" w:space="0" w:color="auto"/>
                                <w:right w:val="none" w:sz="0" w:space="0" w:color="auto"/>
                              </w:divBdr>
                              <w:divsChild>
                                <w:div w:id="1632590124">
                                  <w:marLeft w:val="0"/>
                                  <w:marRight w:val="0"/>
                                  <w:marTop w:val="0"/>
                                  <w:marBottom w:val="0"/>
                                  <w:divBdr>
                                    <w:top w:val="none" w:sz="0" w:space="0" w:color="auto"/>
                                    <w:left w:val="none" w:sz="0" w:space="0" w:color="auto"/>
                                    <w:bottom w:val="none" w:sz="0" w:space="0" w:color="auto"/>
                                    <w:right w:val="none" w:sz="0" w:space="0" w:color="auto"/>
                                  </w:divBdr>
                                  <w:divsChild>
                                    <w:div w:id="2026906963">
                                      <w:marLeft w:val="60"/>
                                      <w:marRight w:val="0"/>
                                      <w:marTop w:val="0"/>
                                      <w:marBottom w:val="0"/>
                                      <w:divBdr>
                                        <w:top w:val="none" w:sz="0" w:space="0" w:color="auto"/>
                                        <w:left w:val="none" w:sz="0" w:space="0" w:color="auto"/>
                                        <w:bottom w:val="none" w:sz="0" w:space="0" w:color="auto"/>
                                        <w:right w:val="none" w:sz="0" w:space="0" w:color="auto"/>
                                      </w:divBdr>
                                      <w:divsChild>
                                        <w:div w:id="558594763">
                                          <w:marLeft w:val="0"/>
                                          <w:marRight w:val="0"/>
                                          <w:marTop w:val="0"/>
                                          <w:marBottom w:val="0"/>
                                          <w:divBdr>
                                            <w:top w:val="none" w:sz="0" w:space="0" w:color="auto"/>
                                            <w:left w:val="none" w:sz="0" w:space="0" w:color="auto"/>
                                            <w:bottom w:val="none" w:sz="0" w:space="0" w:color="auto"/>
                                            <w:right w:val="none" w:sz="0" w:space="0" w:color="auto"/>
                                          </w:divBdr>
                                          <w:divsChild>
                                            <w:div w:id="747269719">
                                              <w:marLeft w:val="0"/>
                                              <w:marRight w:val="0"/>
                                              <w:marTop w:val="0"/>
                                              <w:marBottom w:val="120"/>
                                              <w:divBdr>
                                                <w:top w:val="single" w:sz="6" w:space="0" w:color="F5F5F5"/>
                                                <w:left w:val="single" w:sz="6" w:space="0" w:color="F5F5F5"/>
                                                <w:bottom w:val="single" w:sz="6" w:space="0" w:color="F5F5F5"/>
                                                <w:right w:val="single" w:sz="6" w:space="0" w:color="F5F5F5"/>
                                              </w:divBdr>
                                              <w:divsChild>
                                                <w:div w:id="944769673">
                                                  <w:marLeft w:val="0"/>
                                                  <w:marRight w:val="0"/>
                                                  <w:marTop w:val="0"/>
                                                  <w:marBottom w:val="0"/>
                                                  <w:divBdr>
                                                    <w:top w:val="none" w:sz="0" w:space="0" w:color="auto"/>
                                                    <w:left w:val="none" w:sz="0" w:space="0" w:color="auto"/>
                                                    <w:bottom w:val="none" w:sz="0" w:space="0" w:color="auto"/>
                                                    <w:right w:val="none" w:sz="0" w:space="0" w:color="auto"/>
                                                  </w:divBdr>
                                                  <w:divsChild>
                                                    <w:div w:id="1772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D275-5710-4C24-8657-17EAEBFA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6704</Words>
  <Characters>36204</Characters>
  <Application>Microsoft Office Word</Application>
  <DocSecurity>0</DocSecurity>
  <Lines>301</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Hreferralspccleanel</vt:lpstr>
      <vt:lpstr>Hreferralspccleanel</vt:lpstr>
    </vt:vector>
  </TitlesOfParts>
  <Company>EMEA</Company>
  <LinksUpToDate>false</LinksUpToDate>
  <CharactersWithSpaces>42823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Hreferralspccleanel</dc:title>
  <dc:subject>General-EMA/53547/2010</dc:subject>
  <dc:creator>User196</dc:creator>
  <cp:lastModifiedBy>user146</cp:lastModifiedBy>
  <cp:revision>2</cp:revision>
  <cp:lastPrinted>2016-05-23T09:53:00Z</cp:lastPrinted>
  <dcterms:created xsi:type="dcterms:W3CDTF">2016-05-23T09:54:00Z</dcterms:created>
  <dcterms:modified xsi:type="dcterms:W3CDTF">2016-05-23T09:54:00Z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CURRENT,1.0</vt:lpwstr>
  </property>
  <property fmtid="{D5CDD505-2E9C-101B-9397-08002B2CF9AE}" pid="31" name="DM_Name">
    <vt:lpwstr>Hreferralspccleanel</vt:lpwstr>
  </property>
  <property fmtid="{D5CDD505-2E9C-101B-9397-08002B2CF9AE}" pid="32" name="DM_Creation_Date">
    <vt:lpwstr>04/04/2013 15:51:28</vt:lpwstr>
  </property>
  <property fmtid="{D5CDD505-2E9C-101B-9397-08002B2CF9AE}" pid="33" name="DM_Modify_Date">
    <vt:lpwstr>04/04/2013 15:51:28</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EMA/213318/2013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EMA/213318/2013</vt:lpwstr>
  </property>
  <property fmtid="{D5CDD505-2E9C-101B-9397-08002B2CF9AE}" pid="41" name="DM_Modifer_Name">
    <vt:lpwstr>Horemans Karina</vt:lpwstr>
  </property>
  <property fmtid="{D5CDD505-2E9C-101B-9397-08002B2CF9AE}" pid="42" name="DM_Modified_Date">
    <vt:lpwstr>04/04/2013 15:51:28</vt:lpwstr>
  </property>
</Properties>
</file>