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BD" w:rsidRDefault="00FD01BD">
      <w:pPr>
        <w:tabs>
          <w:tab w:val="clear" w:pos="567"/>
        </w:tabs>
        <w:spacing w:line="240" w:lineRule="auto"/>
        <w:ind w:left="567" w:hanging="567"/>
        <w:jc w:val="center"/>
        <w:rPr>
          <w:b/>
          <w:lang w:val="el-GR"/>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3F7650" w:rsidRDefault="003F7650">
      <w:pPr>
        <w:tabs>
          <w:tab w:val="clear" w:pos="567"/>
        </w:tabs>
        <w:spacing w:line="240" w:lineRule="auto"/>
        <w:rPr>
          <w:b/>
          <w:lang w:val="en-US"/>
        </w:rPr>
      </w:pPr>
    </w:p>
    <w:p w:rsidR="00FD01BD" w:rsidRDefault="00FD01BD" w:rsidP="003F7650">
      <w:pPr>
        <w:tabs>
          <w:tab w:val="clear" w:pos="567"/>
        </w:tabs>
        <w:spacing w:line="240" w:lineRule="auto"/>
        <w:jc w:val="center"/>
        <w:rPr>
          <w:b/>
          <w:lang w:val="el-GR"/>
        </w:rPr>
        <w:sectPr w:rsidR="00FD01BD">
          <w:footerReference w:type="default" r:id="rId8"/>
          <w:headerReference w:type="first" r:id="rId9"/>
          <w:footerReference w:type="first" r:id="rId10"/>
          <w:pgSz w:w="11909" w:h="16834"/>
          <w:pgMar w:top="850" w:right="1411" w:bottom="850" w:left="1411" w:header="734" w:footer="734" w:gutter="0"/>
          <w:cols w:space="720"/>
          <w:titlePg/>
        </w:sectPr>
      </w:pPr>
      <w:r>
        <w:rPr>
          <w:b/>
          <w:lang w:val="el-GR"/>
        </w:rPr>
        <w:t xml:space="preserve">ΠΕΡΙΛΗΨΗ ΤΩΝ ΧΑΡΑΚΤΗΡΙΣΤΙΚΩΝ ΤΟΥ ΠΡΟΪΟΝΤΟΣ </w:t>
      </w:r>
    </w:p>
    <w:p w:rsidR="003F7650" w:rsidRDefault="003F7650">
      <w:pPr>
        <w:tabs>
          <w:tab w:val="clear" w:pos="567"/>
        </w:tabs>
        <w:spacing w:line="240" w:lineRule="auto"/>
        <w:ind w:left="567" w:hanging="567"/>
        <w:rPr>
          <w:b/>
          <w:lang w:val="el-GR"/>
        </w:rPr>
      </w:pPr>
    </w:p>
    <w:p w:rsidR="00FD01BD" w:rsidRDefault="00FD01BD">
      <w:pPr>
        <w:tabs>
          <w:tab w:val="clear" w:pos="567"/>
        </w:tabs>
        <w:spacing w:line="240" w:lineRule="auto"/>
        <w:ind w:left="567" w:hanging="567"/>
        <w:rPr>
          <w:lang w:val="el-GR"/>
        </w:rPr>
      </w:pPr>
      <w:r>
        <w:rPr>
          <w:b/>
          <w:lang w:val="el-GR"/>
        </w:rPr>
        <w:t>1.</w:t>
      </w:r>
      <w:r>
        <w:rPr>
          <w:b/>
          <w:lang w:val="el-GR"/>
        </w:rPr>
        <w:tab/>
        <w:t>ΟΝΟΜΑΣΙΑ ΤΟΥ ΦΑΡΜΑΚΕΥΤΙΚΟΥ ΠΡΟΪΟΝΤΟΣ</w:t>
      </w:r>
    </w:p>
    <w:p w:rsidR="00FD01BD" w:rsidRDefault="00FD01BD">
      <w:pPr>
        <w:tabs>
          <w:tab w:val="clear" w:pos="567"/>
        </w:tabs>
        <w:spacing w:line="240" w:lineRule="auto"/>
        <w:rPr>
          <w:lang w:val="el-GR"/>
        </w:rPr>
      </w:pPr>
    </w:p>
    <w:p w:rsidR="00FD01BD" w:rsidRDefault="006B3544" w:rsidP="003F7650">
      <w:pPr>
        <w:pStyle w:val="a8"/>
        <w:tabs>
          <w:tab w:val="clear" w:pos="567"/>
        </w:tabs>
        <w:rPr>
          <w:lang w:val="el-GR"/>
        </w:rPr>
      </w:pPr>
      <w:r>
        <w:rPr>
          <w:lang w:val="el-GR"/>
        </w:rPr>
        <w:t>Zaditor</w:t>
      </w:r>
      <w:r w:rsidR="00AD0A9A">
        <w:rPr>
          <w:lang w:val="el-GR"/>
        </w:rPr>
        <w:t xml:space="preserve"> </w:t>
      </w:r>
      <w:r w:rsidR="00FD01BD">
        <w:rPr>
          <w:lang w:val="el-GR"/>
        </w:rPr>
        <w:t xml:space="preserve">0,25 </w:t>
      </w:r>
      <w:r w:rsidR="00FD01BD">
        <w:rPr>
          <w:lang w:val="en-US"/>
        </w:rPr>
        <w:t>mg</w:t>
      </w:r>
      <w:r w:rsidR="00FD01BD" w:rsidRPr="00360144">
        <w:rPr>
          <w:lang w:val="el-GR"/>
        </w:rPr>
        <w:t>/</w:t>
      </w:r>
      <w:r w:rsidR="00FD01BD">
        <w:rPr>
          <w:lang w:val="en-US"/>
        </w:rPr>
        <w:t>ml</w:t>
      </w:r>
      <w:r w:rsidR="00FD01BD">
        <w:rPr>
          <w:lang w:val="el-GR"/>
        </w:rPr>
        <w:t>, οφθαλμικές σταγόνες, διάλυμα</w:t>
      </w:r>
      <w:r w:rsidR="00A72485" w:rsidRPr="001416C4">
        <w:rPr>
          <w:lang w:val="el-GR"/>
        </w:rPr>
        <w:t xml:space="preserve"> </w:t>
      </w:r>
      <w:r w:rsidR="00FD01BD">
        <w:rPr>
          <w:lang w:val="el-GR"/>
        </w:rPr>
        <w:t>σε περιέκτες μιας δόσης</w:t>
      </w:r>
      <w:r w:rsidR="005C3006">
        <w:rPr>
          <w:lang w:val="el-GR"/>
        </w:rPr>
        <w:t>.</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2.</w:t>
      </w:r>
      <w:r>
        <w:rPr>
          <w:b/>
          <w:lang w:val="el-GR"/>
        </w:rPr>
        <w:tab/>
        <w:t>ΠΟΙΟΤΙΚΗ ΚΑΙ ΠΟΣΟΤΙΚΗ ΣΥΝΘΕΣΗ</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0</w:t>
      </w:r>
      <w:r w:rsidR="00C56B78" w:rsidRPr="001416C4">
        <w:rPr>
          <w:lang w:val="el-GR"/>
        </w:rPr>
        <w:t>,</w:t>
      </w:r>
      <w:r>
        <w:rPr>
          <w:lang w:val="el-GR"/>
        </w:rPr>
        <w:t xml:space="preserve">4 ml </w:t>
      </w:r>
      <w:r>
        <w:rPr>
          <w:color w:val="FF0000"/>
          <w:lang w:val="el-GR"/>
        </w:rPr>
        <w:t xml:space="preserve"> </w:t>
      </w:r>
      <w:r>
        <w:rPr>
          <w:lang w:val="el-GR"/>
        </w:rPr>
        <w:t xml:space="preserve">περιέχoυν  0,138 mg </w:t>
      </w:r>
      <w:r w:rsidR="00C56B78">
        <w:rPr>
          <w:lang w:val="el-GR"/>
        </w:rPr>
        <w:t>κετοτιφαίνη δισόξινη φουμαρική</w:t>
      </w:r>
      <w:r>
        <w:rPr>
          <w:lang w:val="el-GR"/>
        </w:rPr>
        <w:t xml:space="preserve">, που αντιστοιχεί σε 0,1 mg </w:t>
      </w:r>
      <w:r w:rsidR="00C56B78">
        <w:rPr>
          <w:lang w:val="el-GR"/>
        </w:rPr>
        <w:t>κετοτιφαίνη</w:t>
      </w:r>
      <w:r>
        <w:rPr>
          <w:lang w:val="el-GR"/>
        </w:rPr>
        <w:t>.</w:t>
      </w:r>
    </w:p>
    <w:p w:rsidR="003F7650" w:rsidRDefault="00FD01BD">
      <w:pPr>
        <w:tabs>
          <w:tab w:val="clear" w:pos="567"/>
        </w:tabs>
        <w:spacing w:line="240" w:lineRule="auto"/>
        <w:rPr>
          <w:lang w:val="el-GR"/>
        </w:rPr>
      </w:pPr>
      <w:r>
        <w:rPr>
          <w:lang w:val="el-GR"/>
        </w:rPr>
        <w:t>Κάθε σταγόνα περιέχει 9</w:t>
      </w:r>
      <w:r w:rsidR="00C56B78" w:rsidRPr="001416C4">
        <w:rPr>
          <w:lang w:val="el-GR"/>
        </w:rPr>
        <w:t>,</w:t>
      </w:r>
      <w:r>
        <w:rPr>
          <w:lang w:val="el-GR"/>
        </w:rPr>
        <w:t xml:space="preserve">5 μικρογραμμάρια </w:t>
      </w:r>
      <w:r w:rsidR="00C56B78">
        <w:rPr>
          <w:lang w:val="el-GR"/>
        </w:rPr>
        <w:t>κετοτιφαίνη δισόξινη φουμαρική</w:t>
      </w:r>
      <w:r w:rsidR="005C3006">
        <w:rPr>
          <w:lang w:val="el-GR"/>
        </w:rPr>
        <w:t>.</w:t>
      </w:r>
    </w:p>
    <w:p w:rsidR="003F7650" w:rsidRDefault="003F7650">
      <w:pPr>
        <w:tabs>
          <w:tab w:val="clear" w:pos="567"/>
        </w:tabs>
        <w:spacing w:line="240" w:lineRule="auto"/>
        <w:rPr>
          <w:lang w:val="el-GR"/>
        </w:rPr>
      </w:pPr>
    </w:p>
    <w:p w:rsidR="00FD01BD" w:rsidRDefault="00FD01BD">
      <w:pPr>
        <w:tabs>
          <w:tab w:val="clear" w:pos="567"/>
        </w:tabs>
        <w:spacing w:line="240" w:lineRule="auto"/>
        <w:rPr>
          <w:lang w:val="el-GR"/>
        </w:rPr>
      </w:pPr>
      <w:r>
        <w:rPr>
          <w:lang w:val="el-GR"/>
        </w:rPr>
        <w:t xml:space="preserve">Για </w:t>
      </w:r>
      <w:r w:rsidR="00AD0A9A">
        <w:rPr>
          <w:lang w:val="el-GR"/>
        </w:rPr>
        <w:t>τον πλήρη κατάλογο εκδόχων</w:t>
      </w:r>
      <w:r w:rsidR="003F7650">
        <w:rPr>
          <w:lang w:val="el-GR"/>
        </w:rPr>
        <w:t>, βλ.</w:t>
      </w:r>
      <w:r>
        <w:rPr>
          <w:lang w:val="el-GR"/>
        </w:rPr>
        <w:t xml:space="preserve"> παράγραφο 6.1</w:t>
      </w:r>
      <w:r w:rsidR="005C3006">
        <w:rPr>
          <w:lang w:val="el-GR"/>
        </w:rPr>
        <w:t>.</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3.</w:t>
      </w:r>
      <w:r>
        <w:rPr>
          <w:b/>
          <w:lang w:val="el-GR"/>
        </w:rPr>
        <w:tab/>
        <w:t>ΦΑΡΜΑΚΟΤΕΧΝΙΚΗ ΜΟΡΦΗ</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 xml:space="preserve">Οφθαλμικές σταγόνες, διάλυμα </w:t>
      </w:r>
      <w:bookmarkStart w:id="0" w:name="OLE_LINK2"/>
      <w:r>
        <w:rPr>
          <w:lang w:val="el-GR"/>
        </w:rPr>
        <w:t>σε περιέκτες της μίας δόσης.</w:t>
      </w:r>
      <w:bookmarkEnd w:id="0"/>
    </w:p>
    <w:p w:rsidR="00C56B78" w:rsidRPr="001416C4" w:rsidRDefault="00C56B78">
      <w:pPr>
        <w:tabs>
          <w:tab w:val="clear" w:pos="567"/>
        </w:tabs>
        <w:spacing w:line="240" w:lineRule="auto"/>
        <w:rPr>
          <w:lang w:val="el-GR"/>
        </w:rPr>
      </w:pPr>
    </w:p>
    <w:p w:rsidR="00FD01BD" w:rsidRDefault="00FD01BD">
      <w:pPr>
        <w:tabs>
          <w:tab w:val="clear" w:pos="567"/>
        </w:tabs>
        <w:spacing w:line="240" w:lineRule="auto"/>
        <w:rPr>
          <w:lang w:val="el-GR"/>
        </w:rPr>
      </w:pPr>
      <w:r>
        <w:rPr>
          <w:lang w:val="el-GR"/>
        </w:rPr>
        <w:t>Διαυγές</w:t>
      </w:r>
      <w:r w:rsidR="00C56B78" w:rsidRPr="001416C4">
        <w:rPr>
          <w:lang w:val="el-GR"/>
        </w:rPr>
        <w:t>,</w:t>
      </w:r>
      <w:r>
        <w:rPr>
          <w:lang w:val="el-GR"/>
        </w:rPr>
        <w:t xml:space="preserve"> άχρωμο ως ελαφρά κίτρινο διάλυμα.</w:t>
      </w:r>
    </w:p>
    <w:p w:rsidR="00FD01BD" w:rsidRDefault="00FD01BD">
      <w:pPr>
        <w:tabs>
          <w:tab w:val="clear" w:pos="567"/>
        </w:tabs>
        <w:spacing w:line="240" w:lineRule="auto"/>
        <w:rPr>
          <w:lang w:val="el-GR"/>
        </w:rPr>
      </w:pPr>
    </w:p>
    <w:p w:rsidR="005C3006" w:rsidRDefault="005C3006">
      <w:pPr>
        <w:tabs>
          <w:tab w:val="clear" w:pos="567"/>
        </w:tabs>
        <w:spacing w:line="240" w:lineRule="auto"/>
        <w:ind w:left="567" w:hanging="567"/>
        <w:rPr>
          <w:b/>
          <w:lang w:val="el-GR"/>
        </w:rPr>
      </w:pPr>
    </w:p>
    <w:p w:rsidR="00FD01BD" w:rsidRDefault="00FD01BD">
      <w:pPr>
        <w:tabs>
          <w:tab w:val="clear" w:pos="567"/>
        </w:tabs>
        <w:spacing w:line="240" w:lineRule="auto"/>
        <w:ind w:left="567" w:hanging="567"/>
        <w:rPr>
          <w:b/>
          <w:lang w:val="el-GR"/>
        </w:rPr>
      </w:pPr>
      <w:r>
        <w:rPr>
          <w:b/>
          <w:lang w:val="el-GR"/>
        </w:rPr>
        <w:t>4.</w:t>
      </w:r>
      <w:r>
        <w:rPr>
          <w:b/>
          <w:lang w:val="el-GR"/>
        </w:rPr>
        <w:tab/>
        <w:t>ΚΛΙΝΙΚΕΣ ΠΛΗΡΟΦΟΡΙΕΣ</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4.1</w:t>
      </w:r>
      <w:r>
        <w:rPr>
          <w:b/>
          <w:lang w:val="el-GR"/>
        </w:rPr>
        <w:tab/>
        <w:t>Θεραπευτικές ενδείξεις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Συμπτωματική θεραπεία  της εποχιακής αλλεργικής επιπεφυκίτιδας</w:t>
      </w:r>
      <w:r w:rsidR="005C3006">
        <w:rPr>
          <w:lang w:val="el-GR"/>
        </w:rPr>
        <w:t>.</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4.2</w:t>
      </w:r>
      <w:r>
        <w:rPr>
          <w:b/>
          <w:lang w:val="el-GR"/>
        </w:rPr>
        <w:tab/>
        <w:t>Δοσολογία και τρόπος χορήγησης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 xml:space="preserve">Ενήλικες, ηλικιωμένοι και παιδιά (ηλικίας άνω των 3 ετών): μία σταγόνα </w:t>
      </w:r>
      <w:r w:rsidR="006B3544">
        <w:rPr>
          <w:lang w:val="el-GR"/>
        </w:rPr>
        <w:t>Zaditor</w:t>
      </w:r>
      <w:r>
        <w:rPr>
          <w:lang w:val="el-GR"/>
        </w:rPr>
        <w:t xml:space="preserve"> στο σάκο του επιπεφυκότα, δύο φορές ημερησίως. Το περιεχόμενο ενός περιέκτη της μίας δόσης είναι αρκετό για μία χορήγηση και στα δύο μάτια</w:t>
      </w:r>
    </w:p>
    <w:p w:rsidR="00C56B78" w:rsidRPr="001416C4" w:rsidRDefault="00C56B78">
      <w:pPr>
        <w:tabs>
          <w:tab w:val="clear" w:pos="567"/>
        </w:tabs>
        <w:spacing w:line="240" w:lineRule="auto"/>
        <w:rPr>
          <w:lang w:val="el-GR"/>
        </w:rPr>
      </w:pPr>
    </w:p>
    <w:p w:rsidR="00FD01BD" w:rsidRPr="006B3544" w:rsidRDefault="00FD01BD">
      <w:pPr>
        <w:tabs>
          <w:tab w:val="clear" w:pos="567"/>
        </w:tabs>
        <w:spacing w:line="240" w:lineRule="auto"/>
        <w:rPr>
          <w:lang w:val="el-GR"/>
        </w:rPr>
      </w:pPr>
      <w:r>
        <w:rPr>
          <w:lang w:val="el-GR"/>
        </w:rPr>
        <w:t>Το περιεχόμενο παραμένει στείρο μέχρι  να παραβιασθεί η αρχική σφράγιση. Για να αποφευχθεί η μόλυνση να αποφεύγεται η επαφή του άκρου του περιέκτη με οποιαδήποτε επιφάνεια</w:t>
      </w:r>
      <w:r w:rsidR="00C56B78" w:rsidRPr="001416C4">
        <w:rPr>
          <w:lang w:val="el-GR"/>
        </w:rPr>
        <w:t>.</w:t>
      </w:r>
      <w:r>
        <w:rPr>
          <w:lang w:val="el-GR"/>
        </w:rPr>
        <w:t xml:space="preserve"> </w:t>
      </w:r>
    </w:p>
    <w:p w:rsidR="00C56B78" w:rsidRPr="001416C4" w:rsidRDefault="00C56B78">
      <w:pPr>
        <w:tabs>
          <w:tab w:val="clear" w:pos="567"/>
        </w:tabs>
        <w:spacing w:line="240" w:lineRule="auto"/>
        <w:rPr>
          <w:lang w:val="el-GR"/>
        </w:rPr>
      </w:pPr>
    </w:p>
    <w:p w:rsidR="00AD0A9A" w:rsidRPr="00C56B78" w:rsidRDefault="003F7650">
      <w:pPr>
        <w:tabs>
          <w:tab w:val="clear" w:pos="567"/>
        </w:tabs>
        <w:spacing w:line="240" w:lineRule="auto"/>
        <w:rPr>
          <w:lang w:val="el-GR"/>
        </w:rPr>
      </w:pPr>
      <w:r w:rsidRPr="00C56B78">
        <w:rPr>
          <w:b/>
          <w:lang w:val="el-GR"/>
        </w:rPr>
        <w:t xml:space="preserve">Η ασφάλεια και η αποτελεσματικότητα του </w:t>
      </w:r>
      <w:proofErr w:type="spellStart"/>
      <w:r w:rsidRPr="00C56B78">
        <w:rPr>
          <w:b/>
          <w:lang w:val="en-US"/>
        </w:rPr>
        <w:t>Zaditor</w:t>
      </w:r>
      <w:proofErr w:type="spellEnd"/>
      <w:r w:rsidRPr="00C56B78">
        <w:rPr>
          <w:b/>
          <w:lang w:val="el-GR"/>
        </w:rPr>
        <w:t xml:space="preserve"> σε παιδιά ηλικίας έως 3 ετών δεν έχουν ακόμα τεκμηριωθεί.</w:t>
      </w:r>
    </w:p>
    <w:p w:rsidR="005C3006" w:rsidRDefault="005C3006">
      <w:pPr>
        <w:tabs>
          <w:tab w:val="clear" w:pos="567"/>
        </w:tabs>
        <w:spacing w:line="240" w:lineRule="auto"/>
        <w:ind w:left="567" w:hanging="567"/>
        <w:rPr>
          <w:b/>
          <w:lang w:val="el-GR"/>
        </w:rPr>
      </w:pPr>
    </w:p>
    <w:p w:rsidR="00FD01BD" w:rsidRDefault="00FD01BD">
      <w:pPr>
        <w:tabs>
          <w:tab w:val="clear" w:pos="567"/>
        </w:tabs>
        <w:spacing w:line="240" w:lineRule="auto"/>
        <w:ind w:left="567" w:hanging="567"/>
        <w:rPr>
          <w:b/>
          <w:lang w:val="el-GR"/>
        </w:rPr>
      </w:pPr>
      <w:r>
        <w:rPr>
          <w:b/>
          <w:lang w:val="el-GR"/>
        </w:rPr>
        <w:t>4.3</w:t>
      </w:r>
      <w:r>
        <w:rPr>
          <w:b/>
          <w:lang w:val="el-GR"/>
        </w:rPr>
        <w:tab/>
        <w:t>Αντενδείξεις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Υπερευαισθησία στη</w:t>
      </w:r>
      <w:r w:rsidR="003906B8" w:rsidRPr="003906B8">
        <w:rPr>
          <w:lang w:val="el-GR"/>
        </w:rPr>
        <w:t xml:space="preserve"> </w:t>
      </w:r>
      <w:r w:rsidR="003906B8">
        <w:rPr>
          <w:lang w:val="el-GR"/>
        </w:rPr>
        <w:t>δραστική ουσία</w:t>
      </w:r>
      <w:r>
        <w:rPr>
          <w:lang w:val="el-GR"/>
        </w:rPr>
        <w:t xml:space="preserve"> ή σε οποιοδήποτε από τα έκδοχα</w:t>
      </w:r>
      <w:r w:rsidR="003906B8">
        <w:rPr>
          <w:lang w:val="el-GR"/>
        </w:rPr>
        <w:t xml:space="preserve"> </w:t>
      </w:r>
      <w:r w:rsidR="008D5992">
        <w:rPr>
          <w:lang w:val="el-GR"/>
        </w:rPr>
        <w:t>που ανα</w:t>
      </w:r>
      <w:r w:rsidR="003906B8">
        <w:rPr>
          <w:lang w:val="el-GR"/>
        </w:rPr>
        <w:t>φέρονται στην παράγραφο 6.1</w:t>
      </w:r>
      <w:r>
        <w:rPr>
          <w:lang w:val="el-GR"/>
        </w:rPr>
        <w:t>.</w:t>
      </w:r>
    </w:p>
    <w:p w:rsidR="00FD01BD" w:rsidRDefault="00FD01BD">
      <w:pPr>
        <w:tabs>
          <w:tab w:val="clear" w:pos="567"/>
        </w:tabs>
        <w:spacing w:line="240" w:lineRule="auto"/>
        <w:rPr>
          <w:lang w:val="el-GR"/>
        </w:rPr>
      </w:pPr>
    </w:p>
    <w:p w:rsidR="00FD01BD" w:rsidRDefault="00FD01BD">
      <w:pPr>
        <w:tabs>
          <w:tab w:val="clear" w:pos="567"/>
        </w:tabs>
        <w:spacing w:line="240" w:lineRule="auto"/>
        <w:ind w:left="360" w:hanging="360"/>
        <w:rPr>
          <w:b/>
          <w:lang w:val="el-GR"/>
        </w:rPr>
      </w:pPr>
      <w:r>
        <w:rPr>
          <w:b/>
          <w:lang w:val="el-GR"/>
        </w:rPr>
        <w:t xml:space="preserve">4.4 </w:t>
      </w:r>
      <w:r>
        <w:rPr>
          <w:b/>
          <w:lang w:val="el-GR"/>
        </w:rPr>
        <w:tab/>
        <w:t>Ειδικές προειδοποιήσεις και ιδιαίτερες προφυλάξεις κατά τη χρήση</w:t>
      </w:r>
    </w:p>
    <w:p w:rsidR="00FD01BD" w:rsidRDefault="00FD01BD">
      <w:pPr>
        <w:tabs>
          <w:tab w:val="clear" w:pos="567"/>
        </w:tabs>
        <w:spacing w:line="240" w:lineRule="auto"/>
        <w:rPr>
          <w:b/>
          <w:lang w:val="el-GR"/>
        </w:rPr>
      </w:pPr>
    </w:p>
    <w:p w:rsidR="00FD01BD" w:rsidRDefault="00FD01BD">
      <w:pPr>
        <w:tabs>
          <w:tab w:val="clear" w:pos="567"/>
        </w:tabs>
        <w:spacing w:line="240" w:lineRule="auto"/>
        <w:rPr>
          <w:b/>
          <w:lang w:val="el-GR"/>
        </w:rPr>
      </w:pPr>
      <w:r>
        <w:rPr>
          <w:lang w:val="el-GR"/>
        </w:rPr>
        <w:t>Καμία ειδική προειδοποίηση.</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4.5</w:t>
      </w:r>
      <w:r>
        <w:rPr>
          <w:b/>
          <w:lang w:val="el-GR"/>
        </w:rPr>
        <w:tab/>
        <w:t>Αλληλεπιδράσεις με άλλα φαρμακευτικά προϊόντα και άλλες μορφές αλληλεπίδρασης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 xml:space="preserve">Εάν το </w:t>
      </w:r>
      <w:proofErr w:type="spellStart"/>
      <w:r w:rsidR="006B3544">
        <w:rPr>
          <w:lang w:val="en-US"/>
        </w:rPr>
        <w:t>Zaditor</w:t>
      </w:r>
      <w:proofErr w:type="spellEnd"/>
      <w:r w:rsidR="00AD0A9A" w:rsidRPr="00360144">
        <w:rPr>
          <w:lang w:val="el-GR"/>
        </w:rPr>
        <w:t xml:space="preserve"> </w:t>
      </w:r>
      <w:r w:rsidR="00772FF4">
        <w:rPr>
          <w:lang w:val="el-GR"/>
        </w:rPr>
        <w:t>χρησιμοποιείται</w:t>
      </w:r>
      <w:r>
        <w:rPr>
          <w:lang w:val="el-GR"/>
        </w:rPr>
        <w:t xml:space="preserve"> ταυτόχρονα με άλλα οφθαλμολογικά φάρμακα, πρέπει να μεσολαβεί ένα διάλειμμα τουλάχιστον 5 λεπτών μεταξύ της εφαρμογής των δύο φαρμάκων.</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Η χρήση των από το</w:t>
      </w:r>
      <w:r w:rsidR="00C56B78">
        <w:rPr>
          <w:lang w:val="el-GR"/>
        </w:rPr>
        <w:t>υ</w:t>
      </w:r>
      <w:r>
        <w:rPr>
          <w:lang w:val="el-GR"/>
        </w:rPr>
        <w:t xml:space="preserve"> στόμα</w:t>
      </w:r>
      <w:r w:rsidR="00C56B78">
        <w:rPr>
          <w:lang w:val="el-GR"/>
        </w:rPr>
        <w:t>τος</w:t>
      </w:r>
      <w:r>
        <w:rPr>
          <w:lang w:val="el-GR"/>
        </w:rPr>
        <w:t xml:space="preserve"> μορφών της κετοτιφαίνης μπορεί να ενισχύσει τη δράση των κατασταλτικών του ΚΝΣ, των αντιισταμινικών και του αλκοόλ. Παρόλο που αυτό δεν έχει παρατηρηθεί με τ</w:t>
      </w:r>
      <w:r w:rsidR="00C56B78">
        <w:rPr>
          <w:lang w:val="el-GR"/>
        </w:rPr>
        <w:t>ι</w:t>
      </w:r>
      <w:r>
        <w:rPr>
          <w:lang w:val="el-GR"/>
        </w:rPr>
        <w:t>ς</w:t>
      </w:r>
      <w:r>
        <w:rPr>
          <w:color w:val="FF0000"/>
          <w:lang w:val="el-GR"/>
        </w:rPr>
        <w:t xml:space="preserve"> </w:t>
      </w:r>
      <w:r>
        <w:rPr>
          <w:lang w:val="el-GR"/>
        </w:rPr>
        <w:t xml:space="preserve">οφθαλμικές σταγόνες </w:t>
      </w:r>
      <w:r w:rsidR="006B3544">
        <w:rPr>
          <w:lang w:val="el-GR"/>
        </w:rPr>
        <w:t>Zaditor</w:t>
      </w:r>
      <w:r w:rsidR="00AD0A9A">
        <w:rPr>
          <w:lang w:val="el-GR"/>
        </w:rPr>
        <w:t>,</w:t>
      </w:r>
      <w:r>
        <w:rPr>
          <w:lang w:val="el-GR"/>
        </w:rPr>
        <w:t xml:space="preserve"> η πιθανότητα τέτοιων επιδράσεων δεν μπορεί να αποκλειστεί. </w:t>
      </w:r>
    </w:p>
    <w:p w:rsidR="00FD01BD" w:rsidRDefault="00FD01BD">
      <w:pPr>
        <w:pStyle w:val="a8"/>
        <w:tabs>
          <w:tab w:val="clear" w:pos="567"/>
        </w:tabs>
        <w:rPr>
          <w:lang w:val="el-GR"/>
        </w:rPr>
      </w:pPr>
    </w:p>
    <w:p w:rsidR="00FD01BD" w:rsidRDefault="00FD01BD">
      <w:pPr>
        <w:tabs>
          <w:tab w:val="clear" w:pos="567"/>
        </w:tabs>
        <w:spacing w:line="240" w:lineRule="auto"/>
        <w:ind w:left="567" w:hanging="567"/>
        <w:rPr>
          <w:b/>
          <w:lang w:val="el-GR"/>
        </w:rPr>
      </w:pPr>
      <w:r>
        <w:rPr>
          <w:b/>
          <w:lang w:val="el-GR"/>
        </w:rPr>
        <w:t>4.6</w:t>
      </w:r>
      <w:r w:rsidRPr="001416C4">
        <w:rPr>
          <w:lang w:val="el-GR"/>
        </w:rPr>
        <w:tab/>
      </w:r>
      <w:r w:rsidR="005C3006" w:rsidRPr="001416C4">
        <w:rPr>
          <w:b/>
          <w:lang w:val="el-GR"/>
        </w:rPr>
        <w:t>Γονιμότητα, κ</w:t>
      </w:r>
      <w:r w:rsidRPr="001416C4">
        <w:rPr>
          <w:b/>
          <w:lang w:val="el-GR"/>
        </w:rPr>
        <w:t>ύηση και γαλουχία</w:t>
      </w:r>
    </w:p>
    <w:p w:rsidR="006B3544" w:rsidRDefault="006B3544" w:rsidP="00AD0A9A">
      <w:pPr>
        <w:tabs>
          <w:tab w:val="clear" w:pos="567"/>
        </w:tabs>
        <w:spacing w:line="240" w:lineRule="auto"/>
        <w:rPr>
          <w:b/>
          <w:lang w:val="fr-FR"/>
        </w:rPr>
      </w:pPr>
    </w:p>
    <w:p w:rsidR="00C56B78" w:rsidRDefault="008D5992">
      <w:pPr>
        <w:tabs>
          <w:tab w:val="clear" w:pos="567"/>
        </w:tabs>
        <w:spacing w:line="240" w:lineRule="auto"/>
        <w:rPr>
          <w:u w:val="single"/>
          <w:lang w:val="el-GR"/>
        </w:rPr>
      </w:pPr>
      <w:r w:rsidRPr="005C3006">
        <w:rPr>
          <w:u w:val="single"/>
          <w:lang w:val="el-GR"/>
        </w:rPr>
        <w:t>Εγκυμοσύνη</w:t>
      </w:r>
    </w:p>
    <w:p w:rsidR="00FD01BD" w:rsidRDefault="00FD01BD">
      <w:pPr>
        <w:tabs>
          <w:tab w:val="clear" w:pos="567"/>
        </w:tabs>
        <w:spacing w:line="240" w:lineRule="auto"/>
        <w:rPr>
          <w:lang w:val="el-GR"/>
        </w:rPr>
      </w:pPr>
      <w:r>
        <w:rPr>
          <w:lang w:val="el-GR"/>
        </w:rPr>
        <w:t xml:space="preserve">Δεν υπάρχουν επαρκή δεδομένα για την χρήση των οφθαλμικών σταγόνων κετοτιφαίνης σε </w:t>
      </w:r>
      <w:r w:rsidR="00BB508B">
        <w:rPr>
          <w:lang w:val="el-GR"/>
        </w:rPr>
        <w:t>εγκύους</w:t>
      </w:r>
      <w:r>
        <w:rPr>
          <w:lang w:val="el-GR"/>
        </w:rPr>
        <w:t>. Μελέτες σε ζώα, στις οποίες χρησιμοποιούνταν από το στόμα, τοξικές δόσεις, έδειξαν αυξημένη θνησιμότητα πριν και μετά τη γέννηση, αλλά όχι τερατογέννεση. Τα συστηματικά επίπεδα της κετοτιφαίνης μετά από οφθαλμική χρήση είναι πολύ χαμηλότερα από τα αντίστοιχα μετά απο χορήγηση από το στόμα. Πρέπει να δίδεται προσοχή όταν συνταγογραφείται σε έγκυες γυναίκες.</w:t>
      </w:r>
    </w:p>
    <w:p w:rsidR="006B3544" w:rsidRDefault="006B3544" w:rsidP="00AD0A9A">
      <w:pPr>
        <w:tabs>
          <w:tab w:val="clear" w:pos="567"/>
        </w:tabs>
        <w:spacing w:line="240" w:lineRule="auto"/>
        <w:rPr>
          <w:b/>
          <w:lang w:val="fr-FR"/>
        </w:rPr>
      </w:pPr>
    </w:p>
    <w:p w:rsidR="00C56B78" w:rsidRDefault="008D5992">
      <w:pPr>
        <w:tabs>
          <w:tab w:val="clear" w:pos="567"/>
        </w:tabs>
        <w:spacing w:line="240" w:lineRule="auto"/>
        <w:rPr>
          <w:u w:val="single"/>
          <w:lang w:val="el-GR"/>
        </w:rPr>
      </w:pPr>
      <w:r w:rsidRPr="005C3006">
        <w:rPr>
          <w:u w:val="single"/>
          <w:lang w:val="el-GR"/>
        </w:rPr>
        <w:t>Θηλασμός</w:t>
      </w:r>
    </w:p>
    <w:p w:rsidR="00FD01BD" w:rsidRDefault="00FD01BD">
      <w:pPr>
        <w:tabs>
          <w:tab w:val="clear" w:pos="567"/>
        </w:tabs>
        <w:spacing w:line="240" w:lineRule="auto"/>
        <w:rPr>
          <w:lang w:val="el-GR"/>
        </w:rPr>
      </w:pPr>
      <w:r>
        <w:rPr>
          <w:lang w:val="el-GR"/>
        </w:rPr>
        <w:t>Παρόλο που δεδομένα σε ζώα δείχνουν έκκριση στο μητρικό γάλα, μετά από του στόματος χορήγηση</w:t>
      </w:r>
      <w:r w:rsidR="00C56B78">
        <w:rPr>
          <w:lang w:val="el-GR"/>
        </w:rPr>
        <w:t>,</w:t>
      </w:r>
      <w:r>
        <w:rPr>
          <w:lang w:val="el-GR"/>
        </w:rPr>
        <w:t xml:space="preserve"> η τοπική χορήγηση στον άνθρωπο είναι απίθανο να δημιουργεί ανιχνεύσιμες ποσότητες στο μητρικό γάλα. Οι οφθαλμικές σταγόνες </w:t>
      </w:r>
      <w:r w:rsidR="006B3544">
        <w:rPr>
          <w:lang w:val="el-GR"/>
        </w:rPr>
        <w:t>ZADITOR</w:t>
      </w:r>
      <w:r>
        <w:rPr>
          <w:lang w:val="el-GR"/>
        </w:rPr>
        <w:t xml:space="preserve"> μπορούν να χρησιμοποιηθούν κατά τη διάρκεια της γαλουχίας</w:t>
      </w:r>
      <w:r w:rsidR="00C56B78">
        <w:rPr>
          <w:lang w:val="el-GR"/>
        </w:rPr>
        <w:t>.</w:t>
      </w:r>
    </w:p>
    <w:p w:rsidR="005C3006" w:rsidRDefault="005C3006">
      <w:pPr>
        <w:tabs>
          <w:tab w:val="clear" w:pos="567"/>
        </w:tabs>
        <w:spacing w:line="240" w:lineRule="auto"/>
        <w:rPr>
          <w:lang w:val="el-GR"/>
        </w:rPr>
      </w:pPr>
    </w:p>
    <w:p w:rsidR="005C3006" w:rsidRPr="001416C4" w:rsidRDefault="005C3006">
      <w:pPr>
        <w:tabs>
          <w:tab w:val="clear" w:pos="567"/>
        </w:tabs>
        <w:spacing w:line="240" w:lineRule="auto"/>
        <w:rPr>
          <w:u w:val="single"/>
          <w:lang w:val="el-GR"/>
        </w:rPr>
      </w:pPr>
      <w:r w:rsidRPr="001416C4">
        <w:rPr>
          <w:u w:val="single"/>
          <w:lang w:val="el-GR"/>
        </w:rPr>
        <w:t>Γονιμότητα</w:t>
      </w:r>
    </w:p>
    <w:p w:rsidR="005C3006" w:rsidRPr="005C3006" w:rsidRDefault="005C3006">
      <w:pPr>
        <w:tabs>
          <w:tab w:val="clear" w:pos="567"/>
        </w:tabs>
        <w:spacing w:line="240" w:lineRule="auto"/>
        <w:rPr>
          <w:lang w:val="el-GR"/>
        </w:rPr>
      </w:pPr>
      <w:r w:rsidRPr="001416C4">
        <w:rPr>
          <w:lang w:val="el-GR"/>
        </w:rPr>
        <w:t xml:space="preserve">Δεν υπάρχουν διαθέσιμα δεδομένα για την επίδραση του </w:t>
      </w:r>
      <w:r w:rsidR="00C56B78" w:rsidRPr="001416C4">
        <w:rPr>
          <w:lang w:val="el-GR"/>
        </w:rPr>
        <w:t xml:space="preserve">φουμαρικής κετοτιφαίνης </w:t>
      </w:r>
      <w:r w:rsidRPr="001416C4">
        <w:rPr>
          <w:lang w:val="el-GR"/>
        </w:rPr>
        <w:t>στη γονιμότητα στον άνθρωπο.</w:t>
      </w:r>
      <w:r>
        <w:rPr>
          <w:lang w:val="el-GR"/>
        </w:rPr>
        <w:t xml:space="preserve"> </w:t>
      </w:r>
    </w:p>
    <w:p w:rsidR="00FD01BD" w:rsidRDefault="00FD01BD">
      <w:pPr>
        <w:tabs>
          <w:tab w:val="clear" w:pos="567"/>
        </w:tabs>
        <w:spacing w:line="240" w:lineRule="auto"/>
        <w:rPr>
          <w:lang w:val="el-GR"/>
        </w:rPr>
      </w:pPr>
    </w:p>
    <w:p w:rsidR="00FD01BD" w:rsidRDefault="00FD01BD">
      <w:pPr>
        <w:tabs>
          <w:tab w:val="clear" w:pos="567"/>
        </w:tabs>
        <w:spacing w:line="240" w:lineRule="auto"/>
        <w:ind w:left="360" w:hanging="360"/>
        <w:rPr>
          <w:b/>
          <w:lang w:val="el-GR"/>
        </w:rPr>
      </w:pPr>
      <w:r>
        <w:rPr>
          <w:b/>
          <w:lang w:val="el-GR"/>
        </w:rPr>
        <w:t xml:space="preserve">4.7 </w:t>
      </w:r>
      <w:r>
        <w:rPr>
          <w:b/>
          <w:lang w:val="el-GR"/>
        </w:rPr>
        <w:tab/>
      </w:r>
      <w:r>
        <w:rPr>
          <w:b/>
          <w:lang w:val="el-GR"/>
        </w:rPr>
        <w:tab/>
        <w:t>Επιδράσεις στην ικανότητα οδήγησης και χειρισμού μηχανών</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Οποιοσδήποτε ασθενής ο οποίος αισθάνεται θάμβος όρασης ή υπνηλία δεν πρέπει να οδηγεί ή να χειρίζεται μηχανές.</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4.8</w:t>
      </w:r>
      <w:r>
        <w:rPr>
          <w:b/>
          <w:lang w:val="el-GR"/>
        </w:rPr>
        <w:tab/>
        <w:t>Ανεπιθύμητες ενέργειες</w:t>
      </w:r>
    </w:p>
    <w:p w:rsidR="00C56B78" w:rsidRDefault="00C56B78" w:rsidP="00AD0A9A">
      <w:pPr>
        <w:tabs>
          <w:tab w:val="clear" w:pos="567"/>
        </w:tabs>
        <w:spacing w:line="240" w:lineRule="auto"/>
        <w:rPr>
          <w:i/>
          <w:lang w:val="el-GR"/>
        </w:rPr>
      </w:pPr>
    </w:p>
    <w:p w:rsidR="00AD0A9A" w:rsidRPr="008D5992" w:rsidRDefault="00AD0A9A" w:rsidP="00AD0A9A">
      <w:pPr>
        <w:tabs>
          <w:tab w:val="clear" w:pos="567"/>
        </w:tabs>
        <w:spacing w:line="240" w:lineRule="auto"/>
        <w:rPr>
          <w:i/>
          <w:lang w:val="el-GR"/>
        </w:rPr>
      </w:pPr>
      <w:r w:rsidRPr="008D5992">
        <w:rPr>
          <w:i/>
          <w:lang w:val="el-GR"/>
        </w:rPr>
        <w:t>Οι ανεπιθύμητες ενέργειες κατατάσσονται με σειρά συχνότητας σύμφωνα με την ακόλουθη συνθήκη</w:t>
      </w:r>
      <w:r w:rsidR="00BF524A">
        <w:rPr>
          <w:i/>
          <w:lang w:val="el-GR"/>
        </w:rPr>
        <w:t>:</w:t>
      </w:r>
      <w:r w:rsidRPr="008D5992">
        <w:rPr>
          <w:i/>
          <w:lang w:val="el-GR"/>
        </w:rPr>
        <w:t xml:space="preserve"> </w:t>
      </w:r>
    </w:p>
    <w:p w:rsidR="00AD0A9A" w:rsidRPr="001416C4" w:rsidRDefault="00AD0A9A" w:rsidP="00AD0A9A">
      <w:pPr>
        <w:rPr>
          <w:i/>
          <w:lang w:val="el-GR"/>
        </w:rPr>
      </w:pPr>
      <w:r w:rsidRPr="008D5992">
        <w:rPr>
          <w:i/>
          <w:lang w:val="el-GR"/>
        </w:rPr>
        <w:t>Πολύ συχνές (</w:t>
      </w:r>
      <w:r w:rsidRPr="008D5992">
        <w:rPr>
          <w:i/>
          <w:lang w:val="el-GR"/>
        </w:rPr>
        <w:sym w:font="Symbol" w:char="F0B3"/>
      </w:r>
      <w:r w:rsidRPr="008D5992">
        <w:rPr>
          <w:i/>
          <w:lang w:val="el-GR"/>
        </w:rPr>
        <w:t>1/10)</w:t>
      </w:r>
      <w:r w:rsidR="00BF524A">
        <w:rPr>
          <w:i/>
          <w:lang w:val="el-GR"/>
        </w:rPr>
        <w:t>,</w:t>
      </w:r>
      <w:r w:rsidRPr="008D5992">
        <w:rPr>
          <w:i/>
          <w:lang w:val="el-GR"/>
        </w:rPr>
        <w:t xml:space="preserve"> </w:t>
      </w:r>
      <w:r w:rsidR="00BF524A">
        <w:rPr>
          <w:i/>
          <w:lang w:val="el-GR"/>
        </w:rPr>
        <w:t>σ</w:t>
      </w:r>
      <w:r w:rsidRPr="008D5992">
        <w:rPr>
          <w:i/>
          <w:lang w:val="el-GR"/>
        </w:rPr>
        <w:t>υχνές (</w:t>
      </w:r>
      <w:r w:rsidRPr="008D5992">
        <w:rPr>
          <w:i/>
          <w:lang w:val="el-GR"/>
        </w:rPr>
        <w:sym w:font="Symbol" w:char="F0B3"/>
      </w:r>
      <w:r w:rsidRPr="008D5992">
        <w:rPr>
          <w:i/>
          <w:lang w:val="el-GR"/>
        </w:rPr>
        <w:t>1/100 έως &lt;1/10)</w:t>
      </w:r>
      <w:r w:rsidR="00BF524A">
        <w:rPr>
          <w:i/>
          <w:lang w:val="el-GR"/>
        </w:rPr>
        <w:t>,</w:t>
      </w:r>
      <w:r w:rsidRPr="008D5992">
        <w:rPr>
          <w:i/>
          <w:lang w:val="el-GR"/>
        </w:rPr>
        <w:t xml:space="preserve"> </w:t>
      </w:r>
      <w:r w:rsidR="00BF524A">
        <w:rPr>
          <w:i/>
          <w:lang w:val="el-GR"/>
        </w:rPr>
        <w:t>ό</w:t>
      </w:r>
      <w:r w:rsidRPr="008D5992">
        <w:rPr>
          <w:i/>
          <w:lang w:val="el-GR"/>
        </w:rPr>
        <w:t>χι συχνές (</w:t>
      </w:r>
      <w:r w:rsidRPr="008D5992">
        <w:rPr>
          <w:i/>
          <w:lang w:val="el-GR"/>
        </w:rPr>
        <w:sym w:font="Symbol" w:char="F0B3"/>
      </w:r>
      <w:r w:rsidRPr="008D5992">
        <w:rPr>
          <w:i/>
          <w:lang w:val="el-GR"/>
        </w:rPr>
        <w:t>1/1.000 έως &lt;1/100)</w:t>
      </w:r>
      <w:r w:rsidR="00BF524A">
        <w:rPr>
          <w:i/>
          <w:lang w:val="el-GR"/>
        </w:rPr>
        <w:t>,</w:t>
      </w:r>
      <w:r w:rsidRPr="008D5992">
        <w:rPr>
          <w:i/>
          <w:lang w:val="el-GR"/>
        </w:rPr>
        <w:t xml:space="preserve"> </w:t>
      </w:r>
      <w:r w:rsidR="00BF524A">
        <w:rPr>
          <w:i/>
          <w:lang w:val="el-GR"/>
        </w:rPr>
        <w:t>σ</w:t>
      </w:r>
      <w:r w:rsidRPr="008D5992">
        <w:rPr>
          <w:i/>
          <w:lang w:val="el-GR"/>
        </w:rPr>
        <w:t>πάνιες (</w:t>
      </w:r>
      <w:r w:rsidRPr="008D5992">
        <w:rPr>
          <w:i/>
          <w:lang w:val="el-GR"/>
        </w:rPr>
        <w:sym w:font="Symbol" w:char="F0B3"/>
      </w:r>
      <w:r w:rsidRPr="008D5992">
        <w:rPr>
          <w:i/>
          <w:lang w:val="el-GR"/>
        </w:rPr>
        <w:t>1/10.000 έως &lt;1/1.000)</w:t>
      </w:r>
      <w:r w:rsidR="00BF524A">
        <w:rPr>
          <w:i/>
          <w:lang w:val="el-GR"/>
        </w:rPr>
        <w:t>,</w:t>
      </w:r>
      <w:r w:rsidRPr="008D5992">
        <w:rPr>
          <w:i/>
          <w:lang w:val="el-GR"/>
        </w:rPr>
        <w:t xml:space="preserve"> </w:t>
      </w:r>
      <w:r w:rsidR="00BF524A">
        <w:rPr>
          <w:i/>
          <w:lang w:val="el-GR"/>
        </w:rPr>
        <w:t>π</w:t>
      </w:r>
      <w:r w:rsidRPr="008D5992">
        <w:rPr>
          <w:i/>
          <w:lang w:val="el-GR"/>
        </w:rPr>
        <w:t>ολύ σπάνιες (&lt;1/10.000)</w:t>
      </w:r>
      <w:r w:rsidR="00BF524A">
        <w:rPr>
          <w:i/>
          <w:lang w:val="el-GR"/>
        </w:rPr>
        <w:t>,</w:t>
      </w:r>
      <w:r w:rsidRPr="008D5992">
        <w:rPr>
          <w:i/>
          <w:lang w:val="el-GR"/>
        </w:rPr>
        <w:t xml:space="preserve"> μη γνωστές (δεν μπορούν να εκτιμηθούν με βάση τα διαθέσιμα δεδομένα)</w:t>
      </w:r>
      <w:r w:rsidR="00BF524A">
        <w:rPr>
          <w:i/>
          <w:lang w:val="el-GR"/>
        </w:rPr>
        <w:t>.</w:t>
      </w:r>
    </w:p>
    <w:p w:rsidR="00772FF4" w:rsidRPr="001416C4" w:rsidRDefault="00772FF4" w:rsidP="00AD0A9A">
      <w:pPr>
        <w:rPr>
          <w:i/>
          <w:lang w:val="el-GR"/>
        </w:rPr>
      </w:pPr>
    </w:p>
    <w:p w:rsidR="005C3006" w:rsidRPr="001416C4" w:rsidRDefault="005C3006" w:rsidP="005C3006">
      <w:pPr>
        <w:rPr>
          <w:u w:val="single"/>
          <w:lang w:val="el-GR"/>
        </w:rPr>
      </w:pPr>
      <w:r w:rsidRPr="001416C4">
        <w:rPr>
          <w:u w:val="single"/>
          <w:lang w:val="el-GR"/>
        </w:rPr>
        <w:t>Διαταραχές του ανοσοποιητικού συστήματος</w:t>
      </w:r>
    </w:p>
    <w:p w:rsidR="005C3006" w:rsidRPr="001416C4" w:rsidRDefault="005C3006" w:rsidP="005C3006">
      <w:pPr>
        <w:rPr>
          <w:lang w:val="el-GR"/>
        </w:rPr>
      </w:pPr>
      <w:r w:rsidRPr="001416C4">
        <w:rPr>
          <w:lang w:val="el-GR"/>
        </w:rPr>
        <w:t>Όχι συχνές: Υπερευαισθησία</w:t>
      </w:r>
    </w:p>
    <w:p w:rsidR="005C3006" w:rsidRPr="001416C4" w:rsidRDefault="005C3006" w:rsidP="001416C4">
      <w:pPr>
        <w:rPr>
          <w:lang w:val="el-GR"/>
        </w:rPr>
      </w:pPr>
    </w:p>
    <w:p w:rsidR="005C3006" w:rsidRPr="001416C4" w:rsidRDefault="005C3006" w:rsidP="005C3006">
      <w:pPr>
        <w:rPr>
          <w:u w:val="single"/>
          <w:lang w:val="el-GR"/>
        </w:rPr>
      </w:pPr>
      <w:r w:rsidRPr="001416C4">
        <w:rPr>
          <w:u w:val="single"/>
          <w:lang w:val="el-GR"/>
        </w:rPr>
        <w:t>Διαταραχές του νευρικού συστήματος</w:t>
      </w:r>
    </w:p>
    <w:p w:rsidR="005C3006" w:rsidRPr="001416C4" w:rsidRDefault="005C3006" w:rsidP="005C3006">
      <w:pPr>
        <w:rPr>
          <w:lang w:val="el-GR"/>
        </w:rPr>
      </w:pPr>
      <w:r w:rsidRPr="001416C4">
        <w:rPr>
          <w:lang w:val="el-GR"/>
        </w:rPr>
        <w:t xml:space="preserve">Όχι συχνές: </w:t>
      </w:r>
      <w:r w:rsidR="00BF524A" w:rsidRPr="001416C4">
        <w:rPr>
          <w:lang w:val="el-GR"/>
        </w:rPr>
        <w:t>Κ</w:t>
      </w:r>
      <w:r w:rsidRPr="001416C4">
        <w:rPr>
          <w:lang w:val="el-GR"/>
        </w:rPr>
        <w:t>εφαλαλγία</w:t>
      </w:r>
    </w:p>
    <w:p w:rsidR="005C3006" w:rsidRPr="00330C14" w:rsidRDefault="005C3006" w:rsidP="005C3006">
      <w:pPr>
        <w:rPr>
          <w:noProof/>
          <w:highlight w:val="yellow"/>
          <w:u w:val="single"/>
          <w:lang w:val="fr-FR"/>
        </w:rPr>
      </w:pPr>
    </w:p>
    <w:p w:rsidR="00AD0A9A" w:rsidRPr="00534871" w:rsidRDefault="00AD0A9A" w:rsidP="00AD0A9A">
      <w:pPr>
        <w:rPr>
          <w:u w:val="single"/>
          <w:lang w:val="el-GR"/>
        </w:rPr>
      </w:pPr>
      <w:r w:rsidRPr="00534871">
        <w:rPr>
          <w:u w:val="single"/>
          <w:lang w:val="el-GR"/>
        </w:rPr>
        <w:t>Οφθαλμικές διαταραχές</w:t>
      </w:r>
    </w:p>
    <w:p w:rsidR="00AD0A9A" w:rsidRDefault="00AD0A9A" w:rsidP="00AD0A9A">
      <w:pPr>
        <w:rPr>
          <w:lang w:val="el-GR"/>
        </w:rPr>
      </w:pPr>
      <w:r>
        <w:rPr>
          <w:lang w:val="el-GR"/>
        </w:rPr>
        <w:t>Συχνές</w:t>
      </w:r>
      <w:r w:rsidR="005C3006">
        <w:rPr>
          <w:lang w:val="el-GR"/>
        </w:rPr>
        <w:t>:</w:t>
      </w:r>
      <w:r>
        <w:rPr>
          <w:lang w:val="el-GR"/>
        </w:rPr>
        <w:t xml:space="preserve"> </w:t>
      </w:r>
      <w:r w:rsidR="00BF524A" w:rsidRPr="001416C4">
        <w:rPr>
          <w:lang w:val="el-GR"/>
        </w:rPr>
        <w:t>Ε</w:t>
      </w:r>
      <w:r>
        <w:rPr>
          <w:lang w:val="el-GR"/>
        </w:rPr>
        <w:t>ρεθισμός</w:t>
      </w:r>
      <w:r w:rsidR="00BF524A">
        <w:rPr>
          <w:lang w:val="el-GR"/>
        </w:rPr>
        <w:t xml:space="preserve"> </w:t>
      </w:r>
      <w:r w:rsidR="00BF524A" w:rsidRPr="001416C4">
        <w:rPr>
          <w:lang w:val="el-GR"/>
        </w:rPr>
        <w:t>του οφθαλμού</w:t>
      </w:r>
      <w:r>
        <w:rPr>
          <w:lang w:val="el-GR"/>
        </w:rPr>
        <w:t xml:space="preserve">, </w:t>
      </w:r>
      <w:r w:rsidR="00BF524A" w:rsidRPr="001416C4">
        <w:rPr>
          <w:lang w:val="el-GR"/>
        </w:rPr>
        <w:t>πόνος του οφθαλμού</w:t>
      </w:r>
      <w:r>
        <w:rPr>
          <w:lang w:val="el-GR"/>
        </w:rPr>
        <w:t>, στικτή κερατίτιδα στικτή δ</w:t>
      </w:r>
      <w:r w:rsidRPr="00E432EA">
        <w:rPr>
          <w:lang w:val="el-GR"/>
        </w:rPr>
        <w:t xml:space="preserve">ιάβρωση του </w:t>
      </w:r>
      <w:r>
        <w:rPr>
          <w:lang w:val="el-GR"/>
        </w:rPr>
        <w:t xml:space="preserve">επιθηλίου του </w:t>
      </w:r>
      <w:r w:rsidRPr="00E432EA">
        <w:rPr>
          <w:lang w:val="el-GR"/>
        </w:rPr>
        <w:t>κερατοειδούς</w:t>
      </w:r>
      <w:r>
        <w:rPr>
          <w:lang w:val="el-GR"/>
        </w:rPr>
        <w:t>.</w:t>
      </w:r>
    </w:p>
    <w:p w:rsidR="00AD0A9A" w:rsidRDefault="00AD0A9A" w:rsidP="00AD0A9A">
      <w:pPr>
        <w:rPr>
          <w:lang w:val="el-GR"/>
        </w:rPr>
      </w:pPr>
      <w:r>
        <w:rPr>
          <w:lang w:val="el-GR"/>
        </w:rPr>
        <w:t xml:space="preserve">Όχι συχνές: </w:t>
      </w:r>
      <w:r w:rsidR="00BF524A" w:rsidRPr="001416C4">
        <w:rPr>
          <w:lang w:val="el-GR"/>
        </w:rPr>
        <w:t>Ό</w:t>
      </w:r>
      <w:r>
        <w:rPr>
          <w:lang w:val="el-GR"/>
        </w:rPr>
        <w:t>ραση</w:t>
      </w:r>
      <w:r w:rsidRPr="001416C4">
        <w:rPr>
          <w:lang w:val="el-GR"/>
        </w:rPr>
        <w:t xml:space="preserve"> </w:t>
      </w:r>
      <w:r w:rsidR="00BF524A" w:rsidRPr="001416C4">
        <w:rPr>
          <w:lang w:val="el-GR"/>
        </w:rPr>
        <w:t>θαμπή</w:t>
      </w:r>
      <w:r w:rsidR="00BF524A">
        <w:rPr>
          <w:lang w:val="el-GR"/>
        </w:rPr>
        <w:t xml:space="preserve"> </w:t>
      </w:r>
      <w:r>
        <w:rPr>
          <w:lang w:val="el-GR"/>
        </w:rPr>
        <w:t xml:space="preserve">(κατά την ενστάλλαξη) ξηροφθαλμία, </w:t>
      </w:r>
      <w:r w:rsidR="00BF524A" w:rsidRPr="001416C4">
        <w:rPr>
          <w:lang w:val="el-GR"/>
        </w:rPr>
        <w:t>διαταραχή</w:t>
      </w:r>
      <w:r w:rsidR="00BF524A">
        <w:rPr>
          <w:lang w:val="el-GR"/>
        </w:rPr>
        <w:t xml:space="preserve"> </w:t>
      </w:r>
      <w:r>
        <w:rPr>
          <w:lang w:val="el-GR"/>
        </w:rPr>
        <w:t>τ</w:t>
      </w:r>
      <w:r w:rsidR="00BF524A" w:rsidRPr="001416C4">
        <w:rPr>
          <w:lang w:val="el-GR"/>
        </w:rPr>
        <w:t>ου</w:t>
      </w:r>
      <w:r>
        <w:rPr>
          <w:lang w:val="el-GR"/>
        </w:rPr>
        <w:t xml:space="preserve"> βλεφάρ</w:t>
      </w:r>
      <w:r w:rsidR="00BF524A" w:rsidRPr="001416C4">
        <w:rPr>
          <w:lang w:val="el-GR"/>
        </w:rPr>
        <w:t>ου</w:t>
      </w:r>
      <w:r>
        <w:rPr>
          <w:lang w:val="el-GR"/>
        </w:rPr>
        <w:t>,</w:t>
      </w:r>
      <w:r w:rsidRPr="00534871">
        <w:rPr>
          <w:lang w:val="el-GR"/>
        </w:rPr>
        <w:t xml:space="preserve"> </w:t>
      </w:r>
      <w:r>
        <w:rPr>
          <w:lang w:val="el-GR"/>
        </w:rPr>
        <w:t>επιπεφυκίτιδα,</w:t>
      </w:r>
      <w:r w:rsidRPr="00534871">
        <w:rPr>
          <w:lang w:val="el-GR"/>
        </w:rPr>
        <w:t xml:space="preserve"> </w:t>
      </w:r>
      <w:r>
        <w:rPr>
          <w:lang w:val="el-GR"/>
        </w:rPr>
        <w:t xml:space="preserve">φωτοφοβία, αιμορραγία του επιπεφυκότα </w:t>
      </w:r>
    </w:p>
    <w:p w:rsidR="00BB508B" w:rsidRPr="006B3544" w:rsidRDefault="00BB508B" w:rsidP="00AD0A9A">
      <w:pPr>
        <w:rPr>
          <w:noProof/>
          <w:u w:val="single"/>
          <w:lang w:val="el-GR"/>
        </w:rPr>
      </w:pPr>
    </w:p>
    <w:p w:rsidR="005C3006" w:rsidRPr="005C3006" w:rsidRDefault="005C3006" w:rsidP="005C3006">
      <w:pPr>
        <w:rPr>
          <w:noProof/>
          <w:highlight w:val="yellow"/>
          <w:u w:val="single"/>
          <w:lang w:val="el-GR"/>
        </w:rPr>
      </w:pPr>
      <w:r w:rsidRPr="001416C4">
        <w:rPr>
          <w:u w:val="single"/>
          <w:lang w:val="el-GR"/>
        </w:rPr>
        <w:t>Διαταραχές του γαστρεντερικού</w:t>
      </w:r>
    </w:p>
    <w:p w:rsidR="005C3006" w:rsidRPr="001416C4" w:rsidRDefault="005C3006" w:rsidP="005C3006">
      <w:pPr>
        <w:rPr>
          <w:lang w:val="el-GR"/>
        </w:rPr>
      </w:pPr>
      <w:r w:rsidRPr="001416C4">
        <w:rPr>
          <w:lang w:val="el-GR"/>
        </w:rPr>
        <w:t>Όχι συχνές: ξηροστομία</w:t>
      </w:r>
    </w:p>
    <w:p w:rsidR="005C3006" w:rsidRPr="001416C4" w:rsidRDefault="005C3006" w:rsidP="005C3006">
      <w:pPr>
        <w:rPr>
          <w:lang w:val="el-GR"/>
        </w:rPr>
      </w:pPr>
    </w:p>
    <w:p w:rsidR="005C3006" w:rsidRPr="001416C4" w:rsidRDefault="005C3006" w:rsidP="005C3006">
      <w:pPr>
        <w:rPr>
          <w:u w:val="single"/>
          <w:lang w:val="el-GR"/>
        </w:rPr>
      </w:pPr>
      <w:r w:rsidRPr="001416C4">
        <w:rPr>
          <w:u w:val="single"/>
          <w:lang w:val="el-GR"/>
        </w:rPr>
        <w:t>Διαταραχές του δέρματος και του υποδόριου ιστού</w:t>
      </w:r>
    </w:p>
    <w:p w:rsidR="005C3006" w:rsidRPr="001416C4" w:rsidRDefault="005C3006" w:rsidP="005C3006">
      <w:pPr>
        <w:rPr>
          <w:u w:val="single"/>
          <w:lang w:val="el-GR"/>
        </w:rPr>
      </w:pPr>
      <w:r w:rsidRPr="001416C4">
        <w:rPr>
          <w:u w:val="single"/>
          <w:lang w:val="el-GR"/>
        </w:rPr>
        <w:t>Όχι συχνές: εξάνθημα, έκζεμα, κνίδωση</w:t>
      </w:r>
    </w:p>
    <w:p w:rsidR="005C3006" w:rsidRPr="005C3006" w:rsidRDefault="005C3006" w:rsidP="005C3006">
      <w:pPr>
        <w:rPr>
          <w:noProof/>
          <w:highlight w:val="yellow"/>
          <w:u w:val="single"/>
          <w:lang w:val="el-GR"/>
        </w:rPr>
      </w:pPr>
    </w:p>
    <w:p w:rsidR="00AD0A9A" w:rsidRPr="00534871" w:rsidRDefault="00AD0A9A" w:rsidP="00AD0A9A">
      <w:pPr>
        <w:rPr>
          <w:u w:val="single"/>
          <w:lang w:val="el-GR"/>
        </w:rPr>
      </w:pPr>
      <w:r w:rsidRPr="00534871">
        <w:rPr>
          <w:noProof/>
          <w:u w:val="single"/>
          <w:lang w:val="el-GR"/>
        </w:rPr>
        <w:t>Γενικές διαταραχές και καταστάσεις της οδού χορήγησης</w:t>
      </w:r>
    </w:p>
    <w:p w:rsidR="00AD0A9A" w:rsidRDefault="00AD0A9A" w:rsidP="00AD0A9A">
      <w:pPr>
        <w:rPr>
          <w:lang w:val="el-GR"/>
        </w:rPr>
      </w:pPr>
      <w:r>
        <w:rPr>
          <w:lang w:val="el-GR"/>
        </w:rPr>
        <w:t>Όχι συχνές:</w:t>
      </w:r>
      <w:r w:rsidRPr="00534871">
        <w:rPr>
          <w:lang w:val="el-GR"/>
        </w:rPr>
        <w:t xml:space="preserve"> </w:t>
      </w:r>
      <w:r w:rsidR="00BF524A" w:rsidRPr="001416C4">
        <w:rPr>
          <w:lang w:val="el-GR"/>
        </w:rPr>
        <w:t>Υ</w:t>
      </w:r>
      <w:r>
        <w:rPr>
          <w:lang w:val="el-GR"/>
        </w:rPr>
        <w:t>πνηλία</w:t>
      </w:r>
    </w:p>
    <w:p w:rsidR="00BB508B" w:rsidRPr="001416C4" w:rsidRDefault="00BB508B" w:rsidP="00AD0A9A">
      <w:pPr>
        <w:rPr>
          <w:lang w:val="el-GR"/>
        </w:rPr>
      </w:pPr>
    </w:p>
    <w:p w:rsidR="00CB5391" w:rsidRPr="00534871" w:rsidRDefault="005C3006" w:rsidP="00AD0A9A">
      <w:pPr>
        <w:rPr>
          <w:noProof/>
          <w:u w:val="single"/>
          <w:lang w:val="el-GR"/>
        </w:rPr>
      </w:pPr>
      <w:r w:rsidRPr="001416C4">
        <w:rPr>
          <w:lang w:val="el-GR"/>
        </w:rPr>
        <w:t>Α</w:t>
      </w:r>
      <w:r w:rsidR="00AD0A9A">
        <w:rPr>
          <w:lang w:val="el-GR"/>
        </w:rPr>
        <w:t xml:space="preserve">νεπιθύμητες ενέργειες </w:t>
      </w:r>
      <w:r w:rsidRPr="001416C4">
        <w:rPr>
          <w:lang w:val="el-GR"/>
        </w:rPr>
        <w:t xml:space="preserve">μετά την κυκλοφορία του φαρμάκου </w:t>
      </w:r>
      <w:r w:rsidR="00BF524A" w:rsidRPr="001416C4">
        <w:rPr>
          <w:lang w:val="el-GR"/>
        </w:rPr>
        <w:t>(μη γνωστή συχνότητα)</w:t>
      </w:r>
      <w:r w:rsidR="00BB508B">
        <w:rPr>
          <w:lang w:val="el-GR"/>
        </w:rPr>
        <w:t xml:space="preserve">: </w:t>
      </w:r>
      <w:r w:rsidR="00EF0546">
        <w:rPr>
          <w:lang w:val="el-GR"/>
        </w:rPr>
        <w:t>α</w:t>
      </w:r>
      <w:r w:rsidR="00AD0A9A">
        <w:rPr>
          <w:lang w:val="el-GR"/>
        </w:rPr>
        <w:t xml:space="preserve">ντιδράσεις υπερευαισθησίας που περιλαμβάνουν τοπικές αλλεργικές αντιδράσεις (κυρίως δερματίτιδα εξ επαφής οίδημα των οφθαλμών, κνησμό και οίδημα των βλεφάρων), συστηματικές αλλεργικές αντιδράσεις που περιλαμβάνουν οίδημα/διόγκωση του προσώπου (σε μερικές περιπτώσεις συνδέεται με </w:t>
      </w:r>
      <w:r w:rsidR="00AD0A9A">
        <w:rPr>
          <w:lang w:val="el-GR"/>
        </w:rPr>
        <w:lastRenderedPageBreak/>
        <w:t>δερματίτιδα εξ επαφής) και επιδείνωση προϋπαρχόντων αλλεργικών παθήσεων όπως άσθμα και έκζεμα</w:t>
      </w:r>
      <w:r w:rsidR="00EF0546">
        <w:rPr>
          <w:lang w:val="el-GR"/>
        </w:rPr>
        <w:t>.</w:t>
      </w:r>
    </w:p>
    <w:p w:rsidR="00AD0A9A" w:rsidRDefault="00AD0A9A" w:rsidP="00CB5391">
      <w:pPr>
        <w:rPr>
          <w:b/>
          <w:lang w:val="el-GR"/>
        </w:rPr>
      </w:pPr>
    </w:p>
    <w:p w:rsidR="00CB5391" w:rsidRPr="00CB5391" w:rsidRDefault="00CB5391" w:rsidP="00CB5391">
      <w:pPr>
        <w:autoSpaceDE w:val="0"/>
        <w:autoSpaceDN w:val="0"/>
        <w:adjustRightInd w:val="0"/>
        <w:jc w:val="both"/>
        <w:rPr>
          <w:szCs w:val="22"/>
          <w:u w:val="single"/>
          <w:lang w:val="el-GR"/>
        </w:rPr>
      </w:pPr>
      <w:r w:rsidRPr="00CB5391">
        <w:rPr>
          <w:noProof/>
          <w:szCs w:val="22"/>
          <w:u w:val="single"/>
          <w:lang w:val="el-GR"/>
        </w:rPr>
        <w:t>Αναφορά πιθανολογούμενων ανεπιθύμητων ενεργειών</w:t>
      </w:r>
    </w:p>
    <w:p w:rsidR="00CB5391" w:rsidRPr="00CB5391" w:rsidRDefault="00CB5391" w:rsidP="00D751CE">
      <w:pPr>
        <w:tabs>
          <w:tab w:val="clear" w:pos="567"/>
          <w:tab w:val="left" w:pos="0"/>
        </w:tabs>
        <w:autoSpaceDE w:val="0"/>
        <w:autoSpaceDN w:val="0"/>
        <w:adjustRightInd w:val="0"/>
        <w:jc w:val="both"/>
        <w:rPr>
          <w:noProof/>
          <w:szCs w:val="22"/>
          <w:lang w:val="el-GR"/>
        </w:rPr>
      </w:pPr>
      <w:r w:rsidRPr="00CB5391">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CB5391">
        <w:rPr>
          <w:noProof/>
          <w:szCs w:val="22"/>
          <w:lang w:val="el-GR"/>
        </w:rPr>
        <w:t>.</w:t>
      </w:r>
      <w:r w:rsidRPr="00CB5391">
        <w:rPr>
          <w:szCs w:val="22"/>
          <w:lang w:val="el-GR"/>
        </w:rPr>
        <w:t xml:space="preserve"> Επιτρέπει τη συνεχή παρακολούθηση της σχέσης οφέλους-κινδύνου του φαρμακευτικού προϊόντος</w:t>
      </w:r>
      <w:r w:rsidRPr="00CB5391">
        <w:rPr>
          <w:noProof/>
          <w:szCs w:val="22"/>
          <w:lang w:val="el-GR"/>
        </w:rPr>
        <w:t>.</w:t>
      </w:r>
      <w:r w:rsidRPr="00CB5391">
        <w:rPr>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00D751CE">
        <w:rPr>
          <w:lang w:val="el-GR"/>
        </w:rPr>
        <w:t xml:space="preserve">στον </w:t>
      </w:r>
      <w:r w:rsidR="00D751CE" w:rsidRPr="001416C4">
        <w:rPr>
          <w:color w:val="000000"/>
          <w:szCs w:val="22"/>
          <w:lang w:val="el-GR"/>
        </w:rPr>
        <w:t xml:space="preserve">Εθνικό Οργανισμό Φαρμάκων, Μεσογείων 284 </w:t>
      </w:r>
      <w:r w:rsidR="00D751CE" w:rsidRPr="005B26E2">
        <w:rPr>
          <w:color w:val="000000"/>
          <w:szCs w:val="22"/>
          <w:lang w:val="en-US"/>
        </w:rPr>
        <w:t>GR</w:t>
      </w:r>
      <w:r w:rsidR="00D751CE" w:rsidRPr="001416C4">
        <w:rPr>
          <w:color w:val="000000"/>
          <w:szCs w:val="22"/>
          <w:lang w:val="el-GR"/>
        </w:rPr>
        <w:t xml:space="preserve">-15562 Χολαργός, Αθήνα, Τηλ: + 30 21 32040380/337, Φαξ: + 30 21 06549585, Ιστότοπος: </w:t>
      </w:r>
      <w:hyperlink r:id="rId11" w:history="1">
        <w:r w:rsidR="00D751CE" w:rsidRPr="005B26E2">
          <w:rPr>
            <w:color w:val="000000"/>
            <w:szCs w:val="22"/>
            <w:lang w:val="en-US"/>
          </w:rPr>
          <w:t>http</w:t>
        </w:r>
        <w:r w:rsidR="00D751CE" w:rsidRPr="001416C4">
          <w:rPr>
            <w:color w:val="000000"/>
            <w:szCs w:val="22"/>
            <w:lang w:val="el-GR"/>
          </w:rPr>
          <w:t>://</w:t>
        </w:r>
        <w:r w:rsidR="00D751CE" w:rsidRPr="005B26E2">
          <w:rPr>
            <w:color w:val="000000"/>
            <w:szCs w:val="22"/>
            <w:lang w:val="en-US"/>
          </w:rPr>
          <w:t>www</w:t>
        </w:r>
        <w:r w:rsidR="00D751CE" w:rsidRPr="001416C4">
          <w:rPr>
            <w:color w:val="000000"/>
            <w:szCs w:val="22"/>
            <w:lang w:val="el-GR"/>
          </w:rPr>
          <w:t>.</w:t>
        </w:r>
        <w:proofErr w:type="spellStart"/>
        <w:r w:rsidR="00D751CE" w:rsidRPr="005B26E2">
          <w:rPr>
            <w:color w:val="000000"/>
            <w:szCs w:val="22"/>
            <w:lang w:val="en-US"/>
          </w:rPr>
          <w:t>eof</w:t>
        </w:r>
        <w:proofErr w:type="spellEnd"/>
        <w:r w:rsidR="00D751CE" w:rsidRPr="001416C4">
          <w:rPr>
            <w:color w:val="000000"/>
            <w:szCs w:val="22"/>
            <w:lang w:val="el-GR"/>
          </w:rPr>
          <w:t>.</w:t>
        </w:r>
        <w:proofErr w:type="spellStart"/>
        <w:r w:rsidR="00D751CE" w:rsidRPr="005B26E2">
          <w:rPr>
            <w:color w:val="000000"/>
            <w:szCs w:val="22"/>
            <w:lang w:val="en-US"/>
          </w:rPr>
          <w:t>gr</w:t>
        </w:r>
        <w:proofErr w:type="spellEnd"/>
      </w:hyperlink>
      <w:r w:rsidR="00D751CE">
        <w:rPr>
          <w:color w:val="000000"/>
          <w:szCs w:val="22"/>
          <w:lang w:val="el-GR"/>
        </w:rPr>
        <w:t>.</w:t>
      </w:r>
    </w:p>
    <w:p w:rsidR="00CB5391" w:rsidRPr="006B3544" w:rsidRDefault="00CB5391">
      <w:pPr>
        <w:tabs>
          <w:tab w:val="clear" w:pos="567"/>
        </w:tabs>
        <w:spacing w:line="240" w:lineRule="auto"/>
        <w:ind w:left="567" w:hanging="567"/>
        <w:rPr>
          <w:b/>
          <w:lang w:val="el-GR"/>
        </w:rPr>
      </w:pPr>
    </w:p>
    <w:p w:rsidR="00FD01BD" w:rsidRDefault="00FD01BD">
      <w:pPr>
        <w:tabs>
          <w:tab w:val="clear" w:pos="567"/>
        </w:tabs>
        <w:spacing w:line="240" w:lineRule="auto"/>
        <w:ind w:left="567" w:hanging="567"/>
        <w:rPr>
          <w:b/>
          <w:lang w:val="el-GR"/>
        </w:rPr>
      </w:pPr>
      <w:r>
        <w:rPr>
          <w:b/>
          <w:lang w:val="el-GR"/>
        </w:rPr>
        <w:t>4.9</w:t>
      </w:r>
      <w:r>
        <w:rPr>
          <w:b/>
          <w:lang w:val="el-GR"/>
        </w:rPr>
        <w:tab/>
        <w:t>Υπερδοσολογία</w:t>
      </w:r>
    </w:p>
    <w:p w:rsidR="00FD01BD" w:rsidRDefault="00FD01BD">
      <w:pPr>
        <w:tabs>
          <w:tab w:val="clear" w:pos="567"/>
        </w:tabs>
        <w:spacing w:line="240" w:lineRule="auto"/>
        <w:rPr>
          <w:lang w:val="el-GR"/>
        </w:rPr>
      </w:pPr>
    </w:p>
    <w:p w:rsidR="00FD01BD" w:rsidRDefault="00FD01BD">
      <w:pPr>
        <w:tabs>
          <w:tab w:val="clear" w:pos="567"/>
        </w:tabs>
        <w:spacing w:line="240" w:lineRule="auto"/>
        <w:jc w:val="both"/>
        <w:rPr>
          <w:lang w:val="el-GR"/>
        </w:rPr>
      </w:pPr>
      <w:r>
        <w:rPr>
          <w:lang w:val="el-GR"/>
        </w:rPr>
        <w:t>Δεν έχει αναφερθεί καμιά περίπτωση υπερδοσολογίας.</w:t>
      </w:r>
    </w:p>
    <w:p w:rsidR="00EF0546" w:rsidRDefault="00EF0546">
      <w:pPr>
        <w:tabs>
          <w:tab w:val="clear" w:pos="567"/>
        </w:tabs>
        <w:spacing w:line="240" w:lineRule="auto"/>
        <w:rPr>
          <w:lang w:val="el-GR"/>
        </w:rPr>
      </w:pPr>
    </w:p>
    <w:p w:rsidR="00FD01BD" w:rsidRDefault="00FD01BD">
      <w:pPr>
        <w:tabs>
          <w:tab w:val="clear" w:pos="567"/>
        </w:tabs>
        <w:spacing w:line="240" w:lineRule="auto"/>
        <w:rPr>
          <w:lang w:val="el-GR"/>
        </w:rPr>
      </w:pPr>
      <w:r>
        <w:rPr>
          <w:lang w:val="el-GR"/>
        </w:rPr>
        <w:t xml:space="preserve">Η κατάποση του περιεχομένου ενός περιέκτη της μίας δόσης θα αντιστοιχούσε σε 0,1 mg κετοτιφαίνης, το οποίο είναι το 5% της συνιστώμενης ημερήσιας δόσης από το στόμα για ένα παιδί ηλικίας 3 ετών. Κλινικά </w:t>
      </w:r>
      <w:r w:rsidR="00A24A5C">
        <w:rPr>
          <w:lang w:val="el-GR"/>
        </w:rPr>
        <w:t xml:space="preserve">αποτελέσματα </w:t>
      </w:r>
      <w:r>
        <w:rPr>
          <w:lang w:val="el-GR"/>
        </w:rPr>
        <w:t>δεν έχουν δείξει σοβαρής μορφής σημεία ή συμπτώματα μετά την κατάποση έως και 20 mg κετοτιφαίνης.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caps/>
          <w:lang w:val="el-GR"/>
        </w:rPr>
      </w:pPr>
      <w:r>
        <w:rPr>
          <w:b/>
          <w:caps/>
          <w:lang w:val="el-GR"/>
        </w:rPr>
        <w:t>5.</w:t>
      </w:r>
      <w:r>
        <w:rPr>
          <w:b/>
          <w:caps/>
          <w:lang w:val="el-GR"/>
        </w:rPr>
        <w:tab/>
      </w:r>
      <w:r>
        <w:rPr>
          <w:b/>
          <w:lang w:val="el-GR"/>
        </w:rPr>
        <w:t>ΦΑΡΜΑΚΟΛΟΓΙΚΕΣ ΙΔΙΟΤΗΤΕΣ</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 xml:space="preserve">5.1 </w:t>
      </w:r>
      <w:r>
        <w:rPr>
          <w:b/>
          <w:lang w:val="el-GR"/>
        </w:rPr>
        <w:tab/>
        <w:t>Φαρμακοδυναμικές ιδιότητες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Φαρμακοθεραπευτική κατηγορία: Οφθαλμολογικά, άλλα αντιαλλεργικά</w:t>
      </w:r>
    </w:p>
    <w:p w:rsidR="00FD01BD" w:rsidRDefault="00FD01BD">
      <w:pPr>
        <w:tabs>
          <w:tab w:val="clear" w:pos="567"/>
        </w:tabs>
        <w:spacing w:line="240" w:lineRule="auto"/>
        <w:rPr>
          <w:lang w:val="el-GR"/>
        </w:rPr>
      </w:pPr>
      <w:r>
        <w:rPr>
          <w:lang w:val="el-GR"/>
        </w:rPr>
        <w:t xml:space="preserve">Kωδικός ATC: S01GX08 </w:t>
      </w:r>
    </w:p>
    <w:p w:rsidR="00A24A5C" w:rsidRDefault="00A24A5C">
      <w:pPr>
        <w:tabs>
          <w:tab w:val="clear" w:pos="567"/>
        </w:tabs>
        <w:spacing w:line="240" w:lineRule="auto"/>
        <w:rPr>
          <w:lang w:val="el-GR"/>
        </w:rPr>
      </w:pPr>
    </w:p>
    <w:p w:rsidR="00FD01BD" w:rsidRDefault="00FD01BD">
      <w:pPr>
        <w:tabs>
          <w:tab w:val="clear" w:pos="567"/>
        </w:tabs>
        <w:spacing w:line="240" w:lineRule="auto"/>
        <w:rPr>
          <w:lang w:val="el-GR"/>
        </w:rPr>
      </w:pPr>
      <w:r>
        <w:rPr>
          <w:lang w:val="el-GR"/>
        </w:rPr>
        <w:t>Η κετοτιφαίνη είναι ανταγωνιστής των Η1-υποδοχέων της ισταμίνης.</w:t>
      </w:r>
      <w:r w:rsidR="00A24A5C">
        <w:rPr>
          <w:lang w:val="el-GR"/>
        </w:rPr>
        <w:t xml:space="preserve"> </w:t>
      </w:r>
      <w:proofErr w:type="gramStart"/>
      <w:r>
        <w:rPr>
          <w:lang w:val="en-US"/>
        </w:rPr>
        <w:t>In</w:t>
      </w:r>
      <w:r w:rsidRPr="00360144">
        <w:rPr>
          <w:lang w:val="el-GR"/>
        </w:rPr>
        <w:t xml:space="preserve"> </w:t>
      </w:r>
      <w:r>
        <w:rPr>
          <w:lang w:val="en-US"/>
        </w:rPr>
        <w:t>vivo</w:t>
      </w:r>
      <w:r w:rsidRPr="00360144">
        <w:rPr>
          <w:lang w:val="el-GR"/>
        </w:rPr>
        <w:t xml:space="preserve"> </w:t>
      </w:r>
      <w:r>
        <w:rPr>
          <w:lang w:val="el-GR"/>
        </w:rPr>
        <w:t>μελέτες σε ζώα και</w:t>
      </w:r>
      <w:r w:rsidRPr="00360144">
        <w:rPr>
          <w:lang w:val="el-GR"/>
        </w:rPr>
        <w:t xml:space="preserve"> </w:t>
      </w:r>
      <w:r>
        <w:rPr>
          <w:lang w:val="en-US"/>
        </w:rPr>
        <w:t>in</w:t>
      </w:r>
      <w:r w:rsidRPr="00360144">
        <w:rPr>
          <w:lang w:val="el-GR"/>
        </w:rPr>
        <w:t xml:space="preserve"> </w:t>
      </w:r>
      <w:r>
        <w:rPr>
          <w:lang w:val="en-US"/>
        </w:rPr>
        <w:t>vitro</w:t>
      </w:r>
      <w:r w:rsidRPr="00360144">
        <w:rPr>
          <w:lang w:val="el-GR"/>
        </w:rPr>
        <w:t xml:space="preserve"> </w:t>
      </w:r>
      <w:r>
        <w:rPr>
          <w:lang w:val="el-GR"/>
        </w:rPr>
        <w:t>μελέτες καταδεικνύουν πρόσθετη δράση σταθεροποίησης των μαστοκυττάρων και παρεμπόδιση της χημειοταξίας, ενεργοποίησης και αποκοκκίωσης των ηωσηνόφιλων.</w:t>
      </w:r>
      <w:proofErr w:type="gramEnd"/>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5.2</w:t>
      </w:r>
      <w:r>
        <w:rPr>
          <w:b/>
          <w:lang w:val="el-GR"/>
        </w:rPr>
        <w:tab/>
        <w:t xml:space="preserve">Φαρμακοκινητικές ιδιότητες </w:t>
      </w:r>
    </w:p>
    <w:p w:rsidR="00FD01BD" w:rsidRDefault="00FD01BD">
      <w:pPr>
        <w:tabs>
          <w:tab w:val="clear" w:pos="567"/>
        </w:tabs>
        <w:spacing w:line="240" w:lineRule="auto"/>
        <w:rPr>
          <w:lang w:val="el-GR"/>
        </w:rPr>
      </w:pPr>
    </w:p>
    <w:p w:rsidR="00FD01BD" w:rsidRDefault="00FD01BD">
      <w:pPr>
        <w:pStyle w:val="a9"/>
        <w:tabs>
          <w:tab w:val="clear" w:pos="567"/>
        </w:tabs>
        <w:spacing w:line="240" w:lineRule="auto"/>
        <w:rPr>
          <w:b w:val="0"/>
          <w:i w:val="0"/>
          <w:lang w:val="el-GR"/>
        </w:rPr>
      </w:pPr>
      <w:r>
        <w:rPr>
          <w:b w:val="0"/>
          <w:i w:val="0"/>
          <w:lang w:val="el-GR"/>
        </w:rPr>
        <w:t xml:space="preserve">Σε μια φαρμακοκινητική μελέτη η οποία έγινε σε 18 υγιείς εθελοντές με οφθαλμικές σταγόνες </w:t>
      </w:r>
      <w:r w:rsidR="006B3544">
        <w:rPr>
          <w:b w:val="0"/>
          <w:i w:val="0"/>
          <w:lang w:val="el-GR"/>
        </w:rPr>
        <w:t>Zaditor</w:t>
      </w:r>
      <w:r>
        <w:rPr>
          <w:b w:val="0"/>
          <w:i w:val="0"/>
          <w:lang w:val="el-GR"/>
        </w:rPr>
        <w:t>, τα επίπεδα της κετοτιφαίνης στο πλάσμα μετά από επαναλαμβανόμενη οφθαλμική χορήγηση για 14 ημέρες ήταν σημαντικά χαμηλότερα από τα όρια ανίχνευσηςς (20 pg/ml).</w:t>
      </w:r>
    </w:p>
    <w:p w:rsidR="00A24A5C" w:rsidRDefault="00A24A5C">
      <w:pPr>
        <w:tabs>
          <w:tab w:val="clear" w:pos="567"/>
        </w:tabs>
        <w:spacing w:line="240" w:lineRule="auto"/>
        <w:rPr>
          <w:lang w:val="el-GR"/>
        </w:rPr>
      </w:pPr>
    </w:p>
    <w:p w:rsidR="00FD01BD" w:rsidRDefault="00FD01BD">
      <w:pPr>
        <w:tabs>
          <w:tab w:val="clear" w:pos="567"/>
        </w:tabs>
        <w:spacing w:line="240" w:lineRule="auto"/>
        <w:rPr>
          <w:lang w:val="el-GR"/>
        </w:rPr>
      </w:pPr>
      <w:r>
        <w:rPr>
          <w:lang w:val="el-GR"/>
        </w:rPr>
        <w:t xml:space="preserve">Μετά από χορήγηση από το στόμα, η κετοτιφαίνη αποβάλλεται διφασικά, με </w:t>
      </w:r>
      <w:r w:rsidR="002F74C1">
        <w:rPr>
          <w:lang w:val="el-GR"/>
        </w:rPr>
        <w:t xml:space="preserve">αρχικό </w:t>
      </w:r>
      <w:r>
        <w:rPr>
          <w:lang w:val="el-GR"/>
        </w:rPr>
        <w:t>χρόνο ημίσειας ζωής μεταξύ 3 και 5 ωρών και έναν τελικό χρόνο ημίσειας ζωής 21 ωρών. Περίπου το 1% της ουσίας απεκκρίνεται αναλλοίωτ</w:t>
      </w:r>
      <w:r w:rsidR="002F74C1">
        <w:rPr>
          <w:lang w:val="el-GR"/>
        </w:rPr>
        <w:t>ο</w:t>
      </w:r>
      <w:r>
        <w:rPr>
          <w:lang w:val="el-GR"/>
        </w:rPr>
        <w:t xml:space="preserve"> στα ούρα μέσα σε 48 ώρες και το 60 έως 70% ως μεταβολίτες. Ο κύριος μεταβολίτης είναι η πρακτικά </w:t>
      </w:r>
      <w:r w:rsidR="00AD0A9A">
        <w:rPr>
          <w:lang w:val="el-GR"/>
        </w:rPr>
        <w:t>ανενεργός</w:t>
      </w:r>
      <w:r>
        <w:rPr>
          <w:lang w:val="el-GR"/>
        </w:rPr>
        <w:t xml:space="preserve"> γλυκουρονική-Ν-κετοτιφαίνη.</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5.3</w:t>
      </w:r>
      <w:r>
        <w:rPr>
          <w:b/>
          <w:lang w:val="el-GR"/>
        </w:rPr>
        <w:tab/>
        <w:t>Προκλινικά δεδομένα για την ασφάλεια</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Τα προκλινικά δεδομένα δεν αποκ</w:t>
      </w:r>
      <w:r w:rsidR="00462507">
        <w:rPr>
          <w:lang w:val="el-GR"/>
        </w:rPr>
        <w:t>α</w:t>
      </w:r>
      <w:r>
        <w:rPr>
          <w:lang w:val="el-GR"/>
        </w:rPr>
        <w:t>λ</w:t>
      </w:r>
      <w:r w:rsidR="00462507">
        <w:rPr>
          <w:lang w:val="el-GR"/>
        </w:rPr>
        <w:t>ύπτουν</w:t>
      </w:r>
      <w:r>
        <w:rPr>
          <w:lang w:val="el-GR"/>
        </w:rPr>
        <w:t xml:space="preserve">  ιδιαίτερο κίνδυνο σχετικό με τη χρήση των οφθαλμικών σταγόνων </w:t>
      </w:r>
      <w:proofErr w:type="spellStart"/>
      <w:r w:rsidR="00462507">
        <w:rPr>
          <w:lang w:val="en-US"/>
        </w:rPr>
        <w:t>Zaditor</w:t>
      </w:r>
      <w:proofErr w:type="spellEnd"/>
      <w:r w:rsidR="00462507">
        <w:rPr>
          <w:lang w:val="el-GR"/>
        </w:rPr>
        <w:t xml:space="preserve"> </w:t>
      </w:r>
      <w:r>
        <w:rPr>
          <w:lang w:val="el-GR"/>
        </w:rPr>
        <w:t xml:space="preserve">για τον άνθρωπο με βάση </w:t>
      </w:r>
      <w:r w:rsidR="00462507">
        <w:rPr>
          <w:lang w:val="el-GR"/>
        </w:rPr>
        <w:t xml:space="preserve">τις </w:t>
      </w:r>
      <w:r>
        <w:rPr>
          <w:lang w:val="el-GR"/>
        </w:rPr>
        <w:t>συμβατικές μελέτες φαρμακολογική</w:t>
      </w:r>
      <w:r w:rsidR="00462507">
        <w:rPr>
          <w:lang w:val="el-GR"/>
        </w:rPr>
        <w:t>ς</w:t>
      </w:r>
      <w:r>
        <w:rPr>
          <w:lang w:val="el-GR"/>
        </w:rPr>
        <w:t xml:space="preserve"> ασφάλεια</w:t>
      </w:r>
      <w:r w:rsidR="00462507">
        <w:rPr>
          <w:lang w:val="el-GR"/>
        </w:rPr>
        <w:t>ς</w:t>
      </w:r>
      <w:r>
        <w:rPr>
          <w:lang w:val="el-GR"/>
        </w:rPr>
        <w:t>, τοξικότητα</w:t>
      </w:r>
      <w:r w:rsidR="00462507">
        <w:rPr>
          <w:lang w:val="el-GR"/>
        </w:rPr>
        <w:t>ς</w:t>
      </w:r>
      <w:r>
        <w:rPr>
          <w:lang w:val="el-GR"/>
        </w:rPr>
        <w:t xml:space="preserve"> επαναλαμβανόμεν</w:t>
      </w:r>
      <w:r w:rsidR="00462507">
        <w:rPr>
          <w:lang w:val="el-GR"/>
        </w:rPr>
        <w:t>ων</w:t>
      </w:r>
      <w:r>
        <w:rPr>
          <w:lang w:val="el-GR"/>
        </w:rPr>
        <w:t xml:space="preserve"> δόσ</w:t>
      </w:r>
      <w:r w:rsidR="00462507">
        <w:rPr>
          <w:lang w:val="el-GR"/>
        </w:rPr>
        <w:t>εων</w:t>
      </w:r>
      <w:r>
        <w:rPr>
          <w:lang w:val="el-GR"/>
        </w:rPr>
        <w:t>, γονοτοξικότητα</w:t>
      </w:r>
      <w:r w:rsidR="00462507">
        <w:rPr>
          <w:lang w:val="el-GR"/>
        </w:rPr>
        <w:t>ς</w:t>
      </w:r>
      <w:r>
        <w:rPr>
          <w:lang w:val="el-GR"/>
        </w:rPr>
        <w:t xml:space="preserve">, </w:t>
      </w:r>
      <w:r w:rsidR="00462507">
        <w:rPr>
          <w:lang w:val="el-GR"/>
        </w:rPr>
        <w:t>ενδεχόμενης καρκινογόνου δράσης</w:t>
      </w:r>
      <w:r>
        <w:rPr>
          <w:lang w:val="el-GR"/>
        </w:rPr>
        <w:t xml:space="preserve"> και τοξικότητα</w:t>
      </w:r>
      <w:r w:rsidR="00462507">
        <w:rPr>
          <w:lang w:val="el-GR"/>
        </w:rPr>
        <w:t>ς</w:t>
      </w:r>
      <w:r>
        <w:rPr>
          <w:lang w:val="el-GR"/>
        </w:rPr>
        <w:t xml:space="preserve"> στην αναπαραγωγ</w:t>
      </w:r>
      <w:r w:rsidR="00462507">
        <w:rPr>
          <w:lang w:val="el-GR"/>
        </w:rPr>
        <w:t>ικ</w:t>
      </w:r>
      <w:r>
        <w:rPr>
          <w:lang w:val="el-GR"/>
        </w:rPr>
        <w:t>ή</w:t>
      </w:r>
      <w:r w:rsidR="00462507">
        <w:rPr>
          <w:lang w:val="el-GR"/>
        </w:rPr>
        <w:t xml:space="preserve"> ικανότητα</w:t>
      </w:r>
      <w:r>
        <w:rPr>
          <w:lang w:val="el-GR"/>
        </w:rPr>
        <w:t>.</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p>
    <w:p w:rsidR="00FD01BD" w:rsidRDefault="00FD01BD">
      <w:pPr>
        <w:tabs>
          <w:tab w:val="clear" w:pos="567"/>
        </w:tabs>
        <w:spacing w:line="240" w:lineRule="auto"/>
        <w:rPr>
          <w:b/>
          <w:caps/>
          <w:lang w:val="el-GR"/>
        </w:rPr>
      </w:pPr>
      <w:r>
        <w:rPr>
          <w:b/>
          <w:caps/>
          <w:lang w:val="el-GR"/>
        </w:rPr>
        <w:t>6.</w:t>
      </w:r>
      <w:r>
        <w:rPr>
          <w:b/>
          <w:caps/>
          <w:lang w:val="el-GR"/>
        </w:rPr>
        <w:tab/>
        <w:t>ΦΑΡΜΑΚΕΥΤΙΚΕΣ ΠΛΗΡΟΦΟΡΙΕΣ</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6.1</w:t>
      </w:r>
      <w:r>
        <w:rPr>
          <w:b/>
          <w:lang w:val="el-GR"/>
        </w:rPr>
        <w:tab/>
        <w:t>Κατάλογος εκδόχων</w:t>
      </w:r>
    </w:p>
    <w:p w:rsidR="00FD01BD" w:rsidRDefault="00FD01BD">
      <w:pPr>
        <w:tabs>
          <w:tab w:val="clear" w:pos="567"/>
        </w:tabs>
        <w:spacing w:line="240" w:lineRule="auto"/>
        <w:rPr>
          <w:lang w:val="el-GR"/>
        </w:rPr>
      </w:pPr>
    </w:p>
    <w:p w:rsidR="00FD01BD" w:rsidRDefault="00462507">
      <w:pPr>
        <w:tabs>
          <w:tab w:val="clear" w:pos="567"/>
        </w:tabs>
        <w:spacing w:line="240" w:lineRule="auto"/>
        <w:rPr>
          <w:lang w:val="el-GR"/>
        </w:rPr>
      </w:pPr>
      <w:r w:rsidRPr="00F8386E">
        <w:rPr>
          <w:lang w:val="el-GR"/>
        </w:rPr>
        <w:t>Γλυκερόλη</w:t>
      </w:r>
      <w:r w:rsidRPr="00F8386E" w:rsidDel="00F8386E">
        <w:rPr>
          <w:lang w:val="el-GR"/>
        </w:rPr>
        <w:t xml:space="preserve"> </w:t>
      </w:r>
      <w:r w:rsidR="00FD01BD">
        <w:rPr>
          <w:lang w:val="el-GR"/>
        </w:rPr>
        <w:t>(Ε4229)</w:t>
      </w:r>
    </w:p>
    <w:p w:rsidR="00FD01BD" w:rsidRPr="001416C4" w:rsidRDefault="00462507">
      <w:pPr>
        <w:tabs>
          <w:tab w:val="clear" w:pos="567"/>
        </w:tabs>
        <w:spacing w:line="240" w:lineRule="auto"/>
        <w:rPr>
          <w:lang w:val="el-GR"/>
        </w:rPr>
      </w:pPr>
      <w:r w:rsidRPr="00F8386E">
        <w:rPr>
          <w:lang w:val="el-GR"/>
        </w:rPr>
        <w:t>Νατρίου υδροξείδιο</w:t>
      </w:r>
      <w:r w:rsidDel="00462507">
        <w:rPr>
          <w:lang w:val="el-GR"/>
        </w:rPr>
        <w:t xml:space="preserve"> </w:t>
      </w:r>
      <w:r w:rsidR="00FD01BD" w:rsidRPr="001416C4">
        <w:rPr>
          <w:lang w:val="el-GR"/>
        </w:rPr>
        <w:t>(</w:t>
      </w:r>
      <w:r w:rsidR="00FD01BD">
        <w:rPr>
          <w:lang w:val="el-GR"/>
        </w:rPr>
        <w:t>Ε</w:t>
      </w:r>
      <w:r w:rsidR="00FD01BD" w:rsidRPr="001416C4">
        <w:rPr>
          <w:lang w:val="el-GR"/>
        </w:rPr>
        <w:t>524)</w:t>
      </w:r>
    </w:p>
    <w:p w:rsidR="00FD01BD" w:rsidRPr="001416C4" w:rsidRDefault="00462507">
      <w:pPr>
        <w:tabs>
          <w:tab w:val="clear" w:pos="567"/>
        </w:tabs>
        <w:spacing w:line="240" w:lineRule="auto"/>
        <w:rPr>
          <w:lang w:val="el-GR"/>
        </w:rPr>
      </w:pPr>
      <w:r w:rsidRPr="00F8386E">
        <w:rPr>
          <w:lang w:val="el-GR"/>
        </w:rPr>
        <w:lastRenderedPageBreak/>
        <w:t>Ύδωρ για ενέσιμα</w:t>
      </w:r>
    </w:p>
    <w:p w:rsidR="00FD01BD" w:rsidRPr="001416C4"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6.2</w:t>
      </w:r>
      <w:r>
        <w:rPr>
          <w:b/>
          <w:lang w:val="el-GR"/>
        </w:rPr>
        <w:tab/>
        <w:t>Ασυμβατότητες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Δεν εφαρμόζεται</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6.3</w:t>
      </w:r>
      <w:r>
        <w:rPr>
          <w:b/>
          <w:lang w:val="el-GR"/>
        </w:rPr>
        <w:tab/>
        <w:t>Διάρκεια ζωής</w:t>
      </w:r>
    </w:p>
    <w:p w:rsidR="00FD01BD" w:rsidRDefault="00FD01BD">
      <w:pPr>
        <w:pStyle w:val="a8"/>
        <w:tabs>
          <w:tab w:val="clear" w:pos="567"/>
        </w:tabs>
        <w:rPr>
          <w:lang w:val="el-GR"/>
        </w:rPr>
      </w:pPr>
    </w:p>
    <w:p w:rsidR="00FD01BD" w:rsidRDefault="00FD01BD">
      <w:pPr>
        <w:tabs>
          <w:tab w:val="clear" w:pos="567"/>
        </w:tabs>
        <w:spacing w:line="240" w:lineRule="auto"/>
        <w:rPr>
          <w:lang w:val="el-GR"/>
        </w:rPr>
      </w:pPr>
      <w:r>
        <w:rPr>
          <w:lang w:val="el-GR"/>
        </w:rPr>
        <w:t xml:space="preserve">Κλειστό </w:t>
      </w:r>
      <w:r>
        <w:rPr>
          <w:lang w:val="en-US"/>
        </w:rPr>
        <w:t>blister</w:t>
      </w:r>
      <w:r w:rsidRPr="00360144">
        <w:rPr>
          <w:lang w:val="el-GR"/>
        </w:rPr>
        <w:t xml:space="preserve">: </w:t>
      </w:r>
      <w:r w:rsidR="00AD0A9A" w:rsidRPr="001416C4">
        <w:rPr>
          <w:lang w:val="el-GR"/>
        </w:rPr>
        <w:t xml:space="preserve">2 </w:t>
      </w:r>
      <w:r>
        <w:rPr>
          <w:lang w:val="el-GR"/>
        </w:rPr>
        <w:t>χρόνια .</w:t>
      </w:r>
    </w:p>
    <w:p w:rsidR="00462507" w:rsidRDefault="00462507">
      <w:pPr>
        <w:tabs>
          <w:tab w:val="clear" w:pos="567"/>
        </w:tabs>
        <w:spacing w:line="240" w:lineRule="auto"/>
        <w:rPr>
          <w:lang w:val="el-GR"/>
        </w:rPr>
      </w:pPr>
    </w:p>
    <w:p w:rsidR="00FD01BD" w:rsidRDefault="00FD01BD">
      <w:pPr>
        <w:tabs>
          <w:tab w:val="clear" w:pos="567"/>
        </w:tabs>
        <w:spacing w:line="240" w:lineRule="auto"/>
        <w:rPr>
          <w:lang w:val="el-GR"/>
        </w:rPr>
      </w:pPr>
      <w:r>
        <w:rPr>
          <w:lang w:val="el-GR"/>
        </w:rPr>
        <w:t>Β</w:t>
      </w:r>
      <w:proofErr w:type="spellStart"/>
      <w:r>
        <w:rPr>
          <w:lang w:val="en-US"/>
        </w:rPr>
        <w:t>lister</w:t>
      </w:r>
      <w:proofErr w:type="spellEnd"/>
      <w:r w:rsidRPr="00360144">
        <w:rPr>
          <w:lang w:val="el-GR"/>
        </w:rPr>
        <w:t xml:space="preserve"> </w:t>
      </w:r>
      <w:r>
        <w:rPr>
          <w:lang w:val="el-GR"/>
        </w:rPr>
        <w:t xml:space="preserve"> μετά το άνοιγμα: 28 μέρες .</w:t>
      </w:r>
    </w:p>
    <w:p w:rsidR="00FD01BD" w:rsidRDefault="00FD01BD">
      <w:pPr>
        <w:tabs>
          <w:tab w:val="clear" w:pos="567"/>
        </w:tabs>
        <w:spacing w:line="240" w:lineRule="auto"/>
        <w:rPr>
          <w:lang w:val="el-GR"/>
        </w:rPr>
      </w:pPr>
      <w:r>
        <w:rPr>
          <w:lang w:val="el-GR"/>
        </w:rPr>
        <w:t>Περιέκτες μιας δόσης χωρίς</w:t>
      </w:r>
      <w:r w:rsidR="00BB508B">
        <w:rPr>
          <w:lang w:val="el-GR"/>
        </w:rPr>
        <w:t xml:space="preserve"> </w:t>
      </w:r>
      <w:r w:rsidR="00462507">
        <w:rPr>
          <w:lang w:val="el-GR"/>
        </w:rPr>
        <w:t>τ</w:t>
      </w:r>
      <w:r w:rsidR="00BB508B">
        <w:rPr>
          <w:lang w:val="el-GR"/>
        </w:rPr>
        <w:t xml:space="preserve">ο </w:t>
      </w:r>
      <w:r>
        <w:rPr>
          <w:lang w:val="en-US"/>
        </w:rPr>
        <w:t>Blister</w:t>
      </w:r>
      <w:r w:rsidR="00BB508B">
        <w:rPr>
          <w:lang w:val="el-GR"/>
        </w:rPr>
        <w:t xml:space="preserve"> που φυλάσσονται </w:t>
      </w:r>
      <w:r w:rsidRPr="00360144">
        <w:rPr>
          <w:lang w:val="el-GR"/>
        </w:rPr>
        <w:t xml:space="preserve"> </w:t>
      </w:r>
      <w:r>
        <w:rPr>
          <w:lang w:val="el-GR"/>
        </w:rPr>
        <w:t xml:space="preserve">μέσα στο εξωτερικό χάρτινο κουτί: 3 μήνες </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Μετά το άνοιγμα το περιεχόμενο ενός περιέκτη μίας χρήσης πρέπει να χρησιμοποιείται αμέσως.</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6.4</w:t>
      </w:r>
      <w:r>
        <w:rPr>
          <w:b/>
          <w:lang w:val="el-GR"/>
        </w:rPr>
        <w:tab/>
        <w:t>Ιδιαίτερες προφυλάξεις κατά τη φύλαξη του προϊόντος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r>
        <w:rPr>
          <w:lang w:val="el-GR"/>
        </w:rPr>
        <w:t xml:space="preserve"> Μη φυλάσσετε  σε θερμοκρασία πάνω από 25°C.</w:t>
      </w: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6.5</w:t>
      </w:r>
      <w:r>
        <w:rPr>
          <w:b/>
          <w:lang w:val="el-GR"/>
        </w:rPr>
        <w:tab/>
        <w:t>Φύση και συστατικά του περιέκτη</w:t>
      </w:r>
    </w:p>
    <w:p w:rsidR="00FD01BD" w:rsidRDefault="00FD01BD">
      <w:pPr>
        <w:tabs>
          <w:tab w:val="clear" w:pos="567"/>
        </w:tabs>
        <w:spacing w:line="240" w:lineRule="auto"/>
        <w:rPr>
          <w:lang w:val="el-GR"/>
        </w:rPr>
      </w:pPr>
    </w:p>
    <w:p w:rsidR="00FD01BD" w:rsidRPr="006B3544" w:rsidRDefault="00FD01BD">
      <w:pPr>
        <w:tabs>
          <w:tab w:val="clear" w:pos="567"/>
        </w:tabs>
        <w:spacing w:line="240" w:lineRule="auto"/>
        <w:rPr>
          <w:lang w:val="el-GR"/>
        </w:rPr>
      </w:pPr>
      <w:r>
        <w:rPr>
          <w:lang w:val="el-GR"/>
        </w:rPr>
        <w:t xml:space="preserve">Ο περιέκτης είναι διαφανής, των 0,4 ml, προορίζεται για μία μόνο χρήση και είναι από χαμηλής πυκνότητας πολυαιθυλένιο (LDPE). Δεσμίδες με 5 περιέκτες της μίας δόσης, η καθεμία συσκευασμένη σε </w:t>
      </w:r>
      <w:r>
        <w:rPr>
          <w:lang w:val="en-US"/>
        </w:rPr>
        <w:t>blister</w:t>
      </w:r>
      <w:r w:rsidRPr="00360144">
        <w:rPr>
          <w:lang w:val="el-GR"/>
        </w:rPr>
        <w:t xml:space="preserve"> </w:t>
      </w:r>
      <w:r>
        <w:rPr>
          <w:lang w:val="el-GR"/>
        </w:rPr>
        <w:t xml:space="preserve">κατασκευασμένο από </w:t>
      </w:r>
      <w:proofErr w:type="spellStart"/>
      <w:r>
        <w:rPr>
          <w:lang w:val="el-GR"/>
        </w:rPr>
        <w:t>από</w:t>
      </w:r>
      <w:proofErr w:type="spellEnd"/>
      <w:r>
        <w:rPr>
          <w:lang w:val="el-GR"/>
        </w:rPr>
        <w:t xml:space="preserve"> PVC</w:t>
      </w:r>
      <w:r w:rsidR="00414DFF">
        <w:rPr>
          <w:lang w:val="el-GR"/>
        </w:rPr>
        <w:t>,</w:t>
      </w:r>
      <w:r>
        <w:rPr>
          <w:lang w:val="el-GR"/>
        </w:rPr>
        <w:t xml:space="preserve"> αλουμίνιο και πολυαμίδη σε στρώσεις και σφραγισμένο με κάλυμα απο φύλλο αλουμινίου και χαρτιού.</w:t>
      </w:r>
      <w:r w:rsidR="00414DFF">
        <w:rPr>
          <w:lang w:val="el-GR"/>
        </w:rPr>
        <w:t xml:space="preserve"> </w:t>
      </w:r>
      <w:r>
        <w:rPr>
          <w:lang w:val="el-GR"/>
        </w:rPr>
        <w:t>Χάρτινο κουτί  με 5,</w:t>
      </w:r>
      <w:r w:rsidR="00414DFF">
        <w:rPr>
          <w:lang w:val="el-GR"/>
        </w:rPr>
        <w:t xml:space="preserve"> </w:t>
      </w:r>
      <w:r>
        <w:rPr>
          <w:lang w:val="el-GR"/>
        </w:rPr>
        <w:t>20,</w:t>
      </w:r>
      <w:r w:rsidR="00414DFF">
        <w:rPr>
          <w:lang w:val="el-GR"/>
        </w:rPr>
        <w:t xml:space="preserve"> </w:t>
      </w:r>
      <w:r>
        <w:rPr>
          <w:lang w:val="el-GR"/>
        </w:rPr>
        <w:t xml:space="preserve">30, </w:t>
      </w:r>
      <w:r w:rsidR="00414DFF">
        <w:rPr>
          <w:lang w:val="el-GR"/>
        </w:rPr>
        <w:t xml:space="preserve">50 </w:t>
      </w:r>
      <w:r>
        <w:rPr>
          <w:lang w:val="el-GR"/>
        </w:rPr>
        <w:t>και 60 περιέκτες της μίας δόσης.</w:t>
      </w:r>
    </w:p>
    <w:p w:rsidR="00414DFF" w:rsidRDefault="00414DFF">
      <w:pPr>
        <w:tabs>
          <w:tab w:val="clear" w:pos="567"/>
        </w:tabs>
        <w:spacing w:line="240" w:lineRule="auto"/>
        <w:rPr>
          <w:lang w:val="el-GR"/>
        </w:rPr>
      </w:pPr>
    </w:p>
    <w:p w:rsidR="00AD0A9A" w:rsidRPr="00AD0A9A" w:rsidRDefault="00AD0A9A">
      <w:pPr>
        <w:tabs>
          <w:tab w:val="clear" w:pos="567"/>
        </w:tabs>
        <w:spacing w:line="240" w:lineRule="auto"/>
        <w:rPr>
          <w:lang w:val="el-GR"/>
        </w:rPr>
      </w:pPr>
      <w:r>
        <w:rPr>
          <w:lang w:val="el-GR"/>
        </w:rPr>
        <w:t xml:space="preserve">Μπορεί να μην κυκλοφορούν όλες οι </w:t>
      </w:r>
      <w:r w:rsidR="00414DFF">
        <w:rPr>
          <w:lang w:val="el-GR"/>
        </w:rPr>
        <w:t>συσκευασίες.</w:t>
      </w:r>
    </w:p>
    <w:p w:rsidR="00FD01BD" w:rsidRDefault="00FD01BD">
      <w:pPr>
        <w:tabs>
          <w:tab w:val="clear" w:pos="567"/>
        </w:tabs>
        <w:spacing w:line="240" w:lineRule="auto"/>
        <w:rPr>
          <w:lang w:val="el-GR"/>
        </w:rPr>
      </w:pPr>
    </w:p>
    <w:p w:rsidR="00A23C64" w:rsidRPr="00FD0CAB" w:rsidRDefault="00A23C64" w:rsidP="00A23C64">
      <w:pPr>
        <w:rPr>
          <w:noProof/>
          <w:lang w:val="el-GR"/>
        </w:rPr>
      </w:pPr>
      <w:r w:rsidRPr="00FD0CAB">
        <w:rPr>
          <w:b/>
          <w:bCs/>
          <w:lang w:val="el-GR"/>
        </w:rPr>
        <w:t xml:space="preserve">6.6   </w:t>
      </w:r>
      <w:r w:rsidRPr="00FD0CAB">
        <w:rPr>
          <w:b/>
          <w:noProof/>
          <w:lang w:val="el-GR"/>
        </w:rPr>
        <w:t>Ιδιαίτερες προφυλάξεις απόρριψης και άλλος χειρισμός&gt;</w:t>
      </w:r>
    </w:p>
    <w:p w:rsidR="00A23C64" w:rsidRPr="00FD0CAB" w:rsidRDefault="00A23C64" w:rsidP="00A23C64">
      <w:pPr>
        <w:rPr>
          <w:noProof/>
          <w:lang w:val="el-GR"/>
        </w:rPr>
      </w:pPr>
    </w:p>
    <w:p w:rsidR="00FD01BD" w:rsidRDefault="00FD01BD">
      <w:pPr>
        <w:tabs>
          <w:tab w:val="clear" w:pos="567"/>
        </w:tabs>
        <w:spacing w:line="240" w:lineRule="auto"/>
        <w:rPr>
          <w:lang w:val="el-GR"/>
        </w:rPr>
      </w:pPr>
      <w:r>
        <w:rPr>
          <w:lang w:val="el-GR"/>
        </w:rPr>
        <w:t>Οι περιέκτες της μίας δόσης πρέπει να απορρίπτονται μετά τη χρήση.</w:t>
      </w:r>
    </w:p>
    <w:p w:rsidR="00FD01BD" w:rsidRDefault="00FD01BD">
      <w:pPr>
        <w:tabs>
          <w:tab w:val="clear" w:pos="567"/>
        </w:tabs>
        <w:spacing w:line="240" w:lineRule="auto"/>
        <w:rPr>
          <w:lang w:val="el-GR"/>
        </w:rPr>
      </w:pPr>
    </w:p>
    <w:p w:rsidR="005C3006" w:rsidRDefault="005C3006">
      <w:pPr>
        <w:tabs>
          <w:tab w:val="clear" w:pos="567"/>
        </w:tabs>
        <w:spacing w:line="240" w:lineRule="auto"/>
        <w:ind w:left="567" w:hanging="567"/>
        <w:rPr>
          <w:b/>
          <w:lang w:val="el-GR"/>
        </w:rPr>
      </w:pPr>
    </w:p>
    <w:p w:rsidR="00FD01BD" w:rsidRDefault="00FD01BD">
      <w:pPr>
        <w:tabs>
          <w:tab w:val="clear" w:pos="567"/>
        </w:tabs>
        <w:spacing w:line="240" w:lineRule="auto"/>
        <w:ind w:left="567" w:hanging="567"/>
        <w:rPr>
          <w:b/>
          <w:lang w:val="el-GR"/>
        </w:rPr>
      </w:pPr>
      <w:r>
        <w:rPr>
          <w:b/>
          <w:lang w:val="el-GR"/>
        </w:rPr>
        <w:t>7.</w:t>
      </w:r>
      <w:r>
        <w:rPr>
          <w:b/>
          <w:lang w:val="el-GR"/>
        </w:rPr>
        <w:tab/>
        <w:t>ΚΑΤΟΧΟΣ ΤΗΣ ΑΔΕΙΑΣ ΚΥΚΛΟΦΟΡΙΑΣ</w:t>
      </w:r>
    </w:p>
    <w:p w:rsidR="00FD01BD" w:rsidRDefault="00FD01BD">
      <w:pPr>
        <w:tabs>
          <w:tab w:val="clear" w:pos="567"/>
        </w:tabs>
        <w:spacing w:line="240" w:lineRule="auto"/>
        <w:rPr>
          <w:lang w:val="el-GR"/>
        </w:rPr>
      </w:pPr>
    </w:p>
    <w:p w:rsidR="006B3544" w:rsidRPr="007C0277" w:rsidRDefault="006B3544" w:rsidP="006B3544">
      <w:pPr>
        <w:autoSpaceDE w:val="0"/>
        <w:autoSpaceDN w:val="0"/>
        <w:adjustRightInd w:val="0"/>
        <w:rPr>
          <w:lang w:val="fr-FR"/>
        </w:rPr>
      </w:pPr>
      <w:r w:rsidRPr="007C0277">
        <w:rPr>
          <w:lang w:val="fr-FR"/>
        </w:rPr>
        <w:t>Laboratoires THEA</w:t>
      </w:r>
    </w:p>
    <w:p w:rsidR="006B3544" w:rsidRPr="007C0277" w:rsidRDefault="006B3544" w:rsidP="006B3544">
      <w:pPr>
        <w:autoSpaceDE w:val="0"/>
        <w:autoSpaceDN w:val="0"/>
        <w:adjustRightInd w:val="0"/>
        <w:rPr>
          <w:lang w:val="fr-FR"/>
        </w:rPr>
      </w:pPr>
      <w:r w:rsidRPr="007C0277">
        <w:rPr>
          <w:lang w:val="fr-FR"/>
        </w:rPr>
        <w:t>12, rue Louis Blériot</w:t>
      </w:r>
    </w:p>
    <w:p w:rsidR="006B3544" w:rsidRPr="007C0277" w:rsidRDefault="006B3544" w:rsidP="006B3544">
      <w:pPr>
        <w:autoSpaceDE w:val="0"/>
        <w:autoSpaceDN w:val="0"/>
        <w:adjustRightInd w:val="0"/>
        <w:rPr>
          <w:lang w:val="fr-FR"/>
        </w:rPr>
      </w:pPr>
      <w:r w:rsidRPr="007C0277">
        <w:rPr>
          <w:lang w:val="fr-FR"/>
        </w:rPr>
        <w:t>63017 Clermont-Ferrand Cedex 2</w:t>
      </w:r>
    </w:p>
    <w:p w:rsidR="00A23C64" w:rsidRDefault="006B3544" w:rsidP="00A23C64">
      <w:pPr>
        <w:rPr>
          <w:lang w:val="el-GR"/>
        </w:rPr>
      </w:pPr>
      <w:r w:rsidRPr="001416C4">
        <w:rPr>
          <w:lang w:val="el-GR"/>
        </w:rPr>
        <w:t>ΓΑΛΛΙΑ</w:t>
      </w:r>
    </w:p>
    <w:p w:rsidR="00A23C64" w:rsidRDefault="00A23C64" w:rsidP="00A23C64">
      <w:pPr>
        <w:rPr>
          <w:lang w:val="el-GR"/>
        </w:rPr>
      </w:pP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8.</w:t>
      </w:r>
      <w:r>
        <w:rPr>
          <w:b/>
          <w:lang w:val="el-GR"/>
        </w:rPr>
        <w:tab/>
        <w:t xml:space="preserve">ΑΡΙΘΜΟΣ(ΟΙ) </w:t>
      </w:r>
      <w:r w:rsidR="00414DFF" w:rsidRPr="001416C4">
        <w:rPr>
          <w:b/>
          <w:lang w:val="el-GR"/>
        </w:rPr>
        <w:t>ΑΔΕΙΑΣ ΚΥΚΛΟΦΟΡΙΑΣ</w:t>
      </w:r>
    </w:p>
    <w:p w:rsidR="00FD01BD" w:rsidRDefault="00FD01BD">
      <w:pPr>
        <w:tabs>
          <w:tab w:val="clear" w:pos="567"/>
        </w:tabs>
        <w:spacing w:line="240" w:lineRule="auto"/>
        <w:rPr>
          <w:lang w:val="el-GR"/>
        </w:rPr>
      </w:pPr>
    </w:p>
    <w:p w:rsidR="00FD01BD" w:rsidRDefault="00FD01BD">
      <w:pPr>
        <w:tabs>
          <w:tab w:val="clear" w:pos="567"/>
        </w:tabs>
        <w:spacing w:line="240" w:lineRule="auto"/>
        <w:rPr>
          <w:lang w:val="el-GR"/>
        </w:rPr>
      </w:pPr>
    </w:p>
    <w:p w:rsidR="00FD01BD" w:rsidRDefault="00FD01BD">
      <w:pPr>
        <w:tabs>
          <w:tab w:val="clear" w:pos="567"/>
        </w:tabs>
        <w:spacing w:line="240" w:lineRule="auto"/>
        <w:ind w:left="567" w:hanging="567"/>
        <w:rPr>
          <w:b/>
          <w:lang w:val="el-GR"/>
        </w:rPr>
      </w:pPr>
      <w:r>
        <w:rPr>
          <w:b/>
          <w:lang w:val="el-GR"/>
        </w:rPr>
        <w:t>9.</w:t>
      </w:r>
      <w:r>
        <w:rPr>
          <w:b/>
          <w:lang w:val="el-GR"/>
        </w:rPr>
        <w:tab/>
        <w:t>ΗΜΕΡΟΜΗΝΙΑ ΠΡΩΤΗΣ ΕΓΚΡΙΣΗΣ/ΑΝΑΝΕΩΣΗΣ ΤΗΣ ΑΔΕΙΑΣ</w:t>
      </w:r>
    </w:p>
    <w:p w:rsidR="00414DFF" w:rsidRDefault="00FD01BD">
      <w:pPr>
        <w:tabs>
          <w:tab w:val="clear" w:pos="567"/>
        </w:tabs>
        <w:spacing w:line="240" w:lineRule="auto"/>
        <w:rPr>
          <w:lang w:val="el-GR"/>
        </w:rPr>
      </w:pPr>
      <w:r>
        <w:rPr>
          <w:lang w:val="el-GR"/>
        </w:rPr>
        <w:t xml:space="preserve">          </w:t>
      </w:r>
    </w:p>
    <w:p w:rsidR="00FD01BD" w:rsidRDefault="00FD01BD">
      <w:pPr>
        <w:tabs>
          <w:tab w:val="clear" w:pos="567"/>
        </w:tabs>
        <w:spacing w:line="240" w:lineRule="auto"/>
        <w:rPr>
          <w:lang w:val="el-GR"/>
        </w:rPr>
      </w:pPr>
      <w:r>
        <w:rPr>
          <w:lang w:val="el-GR"/>
        </w:rPr>
        <w:t>8-5-2001</w:t>
      </w:r>
    </w:p>
    <w:p w:rsidR="00FD01BD" w:rsidRDefault="00FD01BD">
      <w:pPr>
        <w:tabs>
          <w:tab w:val="clear" w:pos="567"/>
        </w:tabs>
        <w:spacing w:line="240" w:lineRule="auto"/>
        <w:rPr>
          <w:lang w:val="el-GR"/>
        </w:rPr>
      </w:pPr>
    </w:p>
    <w:p w:rsidR="005C3006" w:rsidRDefault="005C3006">
      <w:pPr>
        <w:tabs>
          <w:tab w:val="clear" w:pos="567"/>
        </w:tabs>
        <w:spacing w:line="240" w:lineRule="auto"/>
        <w:ind w:left="567" w:hanging="567"/>
        <w:rPr>
          <w:b/>
          <w:lang w:val="el-GR"/>
        </w:rPr>
      </w:pPr>
    </w:p>
    <w:p w:rsidR="00CB5391" w:rsidRDefault="00FD01BD">
      <w:pPr>
        <w:tabs>
          <w:tab w:val="clear" w:pos="567"/>
        </w:tabs>
        <w:spacing w:line="240" w:lineRule="auto"/>
        <w:ind w:left="567" w:hanging="567"/>
        <w:rPr>
          <w:b/>
          <w:lang w:val="el-GR"/>
        </w:rPr>
      </w:pPr>
      <w:r>
        <w:rPr>
          <w:b/>
          <w:lang w:val="el-GR"/>
        </w:rPr>
        <w:t>10.</w:t>
      </w:r>
      <w:r>
        <w:rPr>
          <w:b/>
          <w:lang w:val="el-GR"/>
        </w:rPr>
        <w:tab/>
        <w:t>ΗΜΕΡΟΜΗΝΙΑ ΑΝΑΘΕΩΡΗΣΗΣ ΤΟΥ ΚΕΙΜΕΝΟΥ</w:t>
      </w:r>
    </w:p>
    <w:p w:rsidR="00414DFF" w:rsidRPr="001416C4" w:rsidRDefault="00414DFF" w:rsidP="001416C4">
      <w:pPr>
        <w:tabs>
          <w:tab w:val="clear" w:pos="567"/>
        </w:tabs>
        <w:spacing w:line="240" w:lineRule="auto"/>
        <w:rPr>
          <w:lang w:val="el-GR"/>
        </w:rPr>
      </w:pPr>
    </w:p>
    <w:p w:rsidR="00FD01BD" w:rsidRDefault="005C3006">
      <w:pPr>
        <w:tabs>
          <w:tab w:val="clear" w:pos="567"/>
        </w:tabs>
        <w:spacing w:line="240" w:lineRule="auto"/>
        <w:rPr>
          <w:lang w:val="el-GR"/>
        </w:rPr>
      </w:pPr>
      <w:r w:rsidRPr="001416C4">
        <w:rPr>
          <w:lang w:val="el-GR"/>
        </w:rPr>
        <w:t>02-09-2014</w:t>
      </w:r>
    </w:p>
    <w:p w:rsidR="00FD01BD" w:rsidRDefault="00FD01BD">
      <w:pPr>
        <w:tabs>
          <w:tab w:val="clear" w:pos="567"/>
        </w:tabs>
        <w:spacing w:line="240" w:lineRule="auto"/>
        <w:rPr>
          <w:lang w:val="el-GR"/>
        </w:rPr>
      </w:pPr>
    </w:p>
    <w:p w:rsidR="008A0C73" w:rsidRDefault="008A0C73" w:rsidP="008A0C73">
      <w:pPr>
        <w:tabs>
          <w:tab w:val="clear" w:pos="567"/>
        </w:tabs>
        <w:spacing w:line="240" w:lineRule="auto"/>
        <w:rPr>
          <w:noProof/>
        </w:rPr>
      </w:pPr>
    </w:p>
    <w:p w:rsidR="008A0C73" w:rsidRDefault="008A0C73" w:rsidP="008A0C73">
      <w:pPr>
        <w:tabs>
          <w:tab w:val="clear" w:pos="567"/>
        </w:tabs>
        <w:spacing w:line="240" w:lineRule="auto"/>
        <w:rPr>
          <w:noProof/>
        </w:rPr>
      </w:pPr>
    </w:p>
    <w:p w:rsidR="008A0C73" w:rsidRDefault="008A0C73" w:rsidP="008A0C73">
      <w:pPr>
        <w:tabs>
          <w:tab w:val="clear" w:pos="567"/>
        </w:tabs>
        <w:spacing w:line="240" w:lineRule="auto"/>
        <w:jc w:val="center"/>
        <w:outlineLvl w:val="0"/>
        <w:rPr>
          <w:b/>
          <w:noProof/>
          <w:lang w:val="el-GR"/>
        </w:rPr>
      </w:pPr>
    </w:p>
    <w:p w:rsidR="008A0C73" w:rsidRDefault="008A0C73" w:rsidP="008A0C73">
      <w:pPr>
        <w:tabs>
          <w:tab w:val="clear" w:pos="567"/>
        </w:tabs>
        <w:spacing w:line="240" w:lineRule="auto"/>
        <w:jc w:val="center"/>
        <w:outlineLvl w:val="0"/>
        <w:rPr>
          <w:b/>
          <w:noProof/>
          <w:lang w:val="el-GR"/>
        </w:rPr>
      </w:pPr>
    </w:p>
    <w:p w:rsidR="008A0C73" w:rsidRDefault="008A0C73" w:rsidP="008A0C73">
      <w:pPr>
        <w:tabs>
          <w:tab w:val="clear" w:pos="567"/>
        </w:tabs>
        <w:spacing w:line="240" w:lineRule="auto"/>
        <w:jc w:val="center"/>
        <w:outlineLvl w:val="0"/>
        <w:rPr>
          <w:b/>
          <w:noProof/>
          <w:lang w:val="el-GR"/>
        </w:rPr>
      </w:pPr>
    </w:p>
    <w:p w:rsidR="00144C3D" w:rsidRDefault="00144C3D">
      <w:pPr>
        <w:tabs>
          <w:tab w:val="clear" w:pos="567"/>
        </w:tabs>
        <w:spacing w:line="240" w:lineRule="auto"/>
        <w:ind w:right="-1"/>
        <w:rPr>
          <w:lang w:val="el-GR"/>
        </w:rPr>
      </w:pPr>
    </w:p>
    <w:sectPr w:rsidR="00144C3D">
      <w:pgSz w:w="11909" w:h="16834"/>
      <w:pgMar w:top="850" w:right="1411" w:bottom="850" w:left="1411" w:header="734" w:footer="7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0C" w:rsidRDefault="00655A0C">
      <w:pPr>
        <w:spacing w:line="240" w:lineRule="auto"/>
      </w:pPr>
      <w:r>
        <w:separator/>
      </w:r>
    </w:p>
  </w:endnote>
  <w:endnote w:type="continuationSeparator" w:id="0">
    <w:p w:rsidR="00655A0C" w:rsidRDefault="00655A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20002A87" w:usb1="00000000" w:usb2="00000000"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B8" w:rsidRDefault="003906B8">
    <w:pPr>
      <w:pStyle w:val="a4"/>
      <w:tabs>
        <w:tab w:val="clear" w:pos="8930"/>
        <w:tab w:val="right" w:pos="8931"/>
      </w:tabs>
      <w:ind w:right="96"/>
    </w:pPr>
  </w:p>
  <w:p w:rsidR="003906B8" w:rsidRDefault="003906B8">
    <w:pPr>
      <w:pStyle w:val="a4"/>
      <w:tabs>
        <w:tab w:val="clear" w:pos="8930"/>
        <w:tab w:val="right" w:pos="8931"/>
      </w:tabs>
      <w:ind w:right="96"/>
    </w:pPr>
    <w:r>
      <w:fldChar w:fldCharType="begin"/>
    </w:r>
    <w:r>
      <w:instrText xml:space="preserve">eq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B8" w:rsidRDefault="003906B8">
    <w:pPr>
      <w:pStyle w:val="a4"/>
      <w:tabs>
        <w:tab w:val="clear" w:pos="8930"/>
        <w:tab w:val="right" w:pos="8931"/>
      </w:tabs>
      <w:ind w:right="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0C" w:rsidRDefault="00655A0C">
      <w:pPr>
        <w:spacing w:line="240" w:lineRule="auto"/>
      </w:pPr>
      <w:r>
        <w:separator/>
      </w:r>
    </w:p>
  </w:footnote>
  <w:footnote w:type="continuationSeparator" w:id="0">
    <w:p w:rsidR="00655A0C" w:rsidRDefault="00655A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B8" w:rsidRPr="001416C4" w:rsidRDefault="003906B8">
    <w:pPr>
      <w:pStyle w:val="a5"/>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41AC6"/>
    <w:multiLevelType w:val="hybridMultilevel"/>
    <w:tmpl w:val="0722FFB4"/>
    <w:lvl w:ilvl="0" w:tplc="FFFFFFFF">
      <w:start w:val="1"/>
      <w:numFmt w:val="bullet"/>
      <w:lvlText w:val="-"/>
      <w:legacy w:legacy="1" w:legacySpace="397" w:legacyIndent="360"/>
      <w:lvlJc w:val="left"/>
      <w:pPr>
        <w:ind w:left="360" w:hanging="360"/>
      </w:pPr>
      <w:rPr>
        <w:rFonts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1">
    <w:nsid w:val="45C13114"/>
    <w:multiLevelType w:val="hybridMultilevel"/>
    <w:tmpl w:val="FEE06DB6"/>
    <w:lvl w:ilvl="0" w:tplc="FFFFFFFF">
      <w:start w:val="1"/>
      <w:numFmt w:val="bullet"/>
      <w:lvlText w:val="-"/>
      <w:legacy w:legacy="1" w:legacySpace="397" w:legacyIndent="360"/>
      <w:lvlJc w:val="left"/>
      <w:pPr>
        <w:ind w:left="360" w:hanging="360"/>
      </w:pPr>
      <w:rPr>
        <w:rFonts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
    <w:nsid w:val="58B56C73"/>
    <w:multiLevelType w:val="hybridMultilevel"/>
    <w:tmpl w:val="BCE43158"/>
    <w:lvl w:ilvl="0" w:tplc="EF94C522">
      <w:start w:val="2"/>
      <w:numFmt w:val="decimal"/>
      <w:lvlText w:val="%1."/>
      <w:lvlJc w:val="left"/>
      <w:pPr>
        <w:tabs>
          <w:tab w:val="num" w:pos="570"/>
        </w:tabs>
        <w:ind w:left="570" w:hanging="570"/>
      </w:pPr>
      <w:rPr>
        <w:rFonts w:hint="default"/>
      </w:rPr>
    </w:lvl>
    <w:lvl w:ilvl="1" w:tplc="FFFFFFFF">
      <w:start w:val="1"/>
      <w:numFmt w:val="bullet"/>
      <w:lvlText w:val="-"/>
      <w:legacy w:legacy="1" w:legacySpace="0" w:legacyIndent="360"/>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4677D30"/>
    <w:multiLevelType w:val="hybridMultilevel"/>
    <w:tmpl w:val="F39A25A8"/>
    <w:lvl w:ilvl="0" w:tplc="FFFFFFFF">
      <w:start w:val="1"/>
      <w:numFmt w:val="bullet"/>
      <w:lvlText w:val="-"/>
      <w:legacy w:legacy="1" w:legacySpace="567" w:legacyIndent="360"/>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822D1A"/>
    <w:multiLevelType w:val="hybridMultilevel"/>
    <w:tmpl w:val="0A666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56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360144"/>
    <w:rsid w:val="001416C4"/>
    <w:rsid w:val="00144C3D"/>
    <w:rsid w:val="00210E12"/>
    <w:rsid w:val="002F74C1"/>
    <w:rsid w:val="00360144"/>
    <w:rsid w:val="003906B8"/>
    <w:rsid w:val="003F7650"/>
    <w:rsid w:val="00414DFF"/>
    <w:rsid w:val="00462507"/>
    <w:rsid w:val="005C3006"/>
    <w:rsid w:val="005D4404"/>
    <w:rsid w:val="00652E6D"/>
    <w:rsid w:val="00655A0C"/>
    <w:rsid w:val="006B3544"/>
    <w:rsid w:val="006C6F69"/>
    <w:rsid w:val="0073599F"/>
    <w:rsid w:val="00772FF4"/>
    <w:rsid w:val="008A0C73"/>
    <w:rsid w:val="008D5992"/>
    <w:rsid w:val="008F5BC3"/>
    <w:rsid w:val="0095629B"/>
    <w:rsid w:val="00A23C64"/>
    <w:rsid w:val="00A24A5C"/>
    <w:rsid w:val="00A72485"/>
    <w:rsid w:val="00AC22F3"/>
    <w:rsid w:val="00AD0A9A"/>
    <w:rsid w:val="00AE76F5"/>
    <w:rsid w:val="00B12445"/>
    <w:rsid w:val="00BB508B"/>
    <w:rsid w:val="00BF524A"/>
    <w:rsid w:val="00C56B78"/>
    <w:rsid w:val="00C7039E"/>
    <w:rsid w:val="00CB5391"/>
    <w:rsid w:val="00D3161A"/>
    <w:rsid w:val="00D751CE"/>
    <w:rsid w:val="00DB014E"/>
    <w:rsid w:val="00DD545F"/>
    <w:rsid w:val="00E2047B"/>
    <w:rsid w:val="00EF0546"/>
    <w:rsid w:val="00F94D05"/>
    <w:rsid w:val="00FD01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567"/>
      </w:tabs>
      <w:spacing w:line="260" w:lineRule="exact"/>
    </w:pPr>
    <w:rPr>
      <w:sz w:val="22"/>
      <w:lang w:val="en-GB" w:eastAsia="en-US"/>
    </w:rPr>
  </w:style>
  <w:style w:type="paragraph" w:styleId="1">
    <w:name w:val="heading 1"/>
    <w:basedOn w:val="a"/>
    <w:next w:val="a"/>
    <w:qFormat/>
    <w:pPr>
      <w:spacing w:before="240" w:after="120"/>
      <w:ind w:left="357" w:hanging="357"/>
      <w:outlineLvl w:val="0"/>
    </w:pPr>
    <w:rPr>
      <w:b/>
      <w:caps/>
      <w:sz w:val="26"/>
      <w:lang w:val="en-US"/>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sz w:val="24"/>
      <w:lang w:val="en-US"/>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outlineLvl w:val="5"/>
    </w:pPr>
    <w:rPr>
      <w:i/>
    </w:rPr>
  </w:style>
  <w:style w:type="paragraph" w:styleId="7">
    <w:name w:val="heading 7"/>
    <w:basedOn w:val="a"/>
    <w:next w:val="a"/>
    <w:qFormat/>
    <w:pPr>
      <w:keepNext/>
      <w:tabs>
        <w:tab w:val="left" w:pos="-720"/>
        <w:tab w:val="left" w:pos="4536"/>
      </w:tab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Pr>
      <w:sz w:val="20"/>
    </w:rPr>
  </w:style>
  <w:style w:type="paragraph" w:styleId="a4">
    <w:name w:val="footer"/>
    <w:basedOn w:val="a"/>
    <w:pPr>
      <w:tabs>
        <w:tab w:val="center" w:pos="4536"/>
        <w:tab w:val="center" w:pos="8930"/>
      </w:tabs>
      <w:spacing w:line="240" w:lineRule="auto"/>
    </w:pPr>
    <w:rPr>
      <w:rFonts w:ascii="Helvetica" w:hAnsi="Helvetica"/>
      <w:sz w:val="16"/>
    </w:rPr>
  </w:style>
  <w:style w:type="paragraph" w:styleId="a5">
    <w:name w:val="header"/>
    <w:basedOn w:val="a"/>
    <w:link w:val="Char"/>
    <w:pPr>
      <w:tabs>
        <w:tab w:val="center" w:pos="4153"/>
        <w:tab w:val="right" w:pos="8306"/>
      </w:tabs>
      <w:spacing w:line="240" w:lineRule="auto"/>
    </w:pPr>
    <w:rPr>
      <w:rFonts w:ascii="Helvetica" w:hAnsi="Helvetica"/>
      <w:sz w:val="20"/>
      <w:lang/>
    </w:rPr>
  </w:style>
  <w:style w:type="paragraph" w:styleId="a6">
    <w:name w:val="footnote text"/>
    <w:basedOn w:val="a"/>
    <w:semiHidden/>
    <w:rPr>
      <w:sz w:val="20"/>
    </w:rPr>
  </w:style>
  <w:style w:type="paragraph" w:styleId="a7">
    <w:name w:val="Normal Indent"/>
    <w:basedOn w:val="a"/>
    <w:pPr>
      <w:ind w:left="720"/>
    </w:pPr>
  </w:style>
  <w:style w:type="paragraph" w:customStyle="1" w:styleId="a8">
    <w:name w:val="êåßìåíï óçìåßùóçò ôÝëïõò"/>
    <w:basedOn w:val="a"/>
    <w:pPr>
      <w:spacing w:line="240" w:lineRule="auto"/>
    </w:pPr>
  </w:style>
  <w:style w:type="paragraph" w:styleId="20">
    <w:name w:val="Body Text 2"/>
    <w:basedOn w:val="a"/>
    <w:pPr>
      <w:tabs>
        <w:tab w:val="left" w:pos="4536"/>
      </w:tabs>
      <w:jc w:val="both"/>
    </w:pPr>
    <w:rPr>
      <w:b/>
    </w:rPr>
  </w:style>
  <w:style w:type="paragraph" w:customStyle="1" w:styleId="a9">
    <w:name w:val="Óþìá êåéìÝíïõ"/>
    <w:basedOn w:val="a"/>
    <w:rPr>
      <w:b/>
      <w:i/>
    </w:rPr>
  </w:style>
  <w:style w:type="paragraph" w:styleId="30">
    <w:name w:val="Body Text 3"/>
    <w:basedOn w:val="a"/>
    <w:pPr>
      <w:jc w:val="both"/>
    </w:pPr>
    <w:rPr>
      <w:b/>
      <w:i/>
    </w:rPr>
  </w:style>
  <w:style w:type="paragraph" w:styleId="21">
    <w:name w:val="Body Text Indent 2"/>
    <w:basedOn w:val="a"/>
    <w:pPr>
      <w:ind w:left="567" w:hanging="567"/>
      <w:jc w:val="both"/>
    </w:pPr>
    <w:rPr>
      <w:b/>
    </w:rPr>
  </w:style>
  <w:style w:type="paragraph" w:customStyle="1" w:styleId="BodyText21">
    <w:name w:val="Body Text 21"/>
    <w:basedOn w:val="a"/>
    <w:pPr>
      <w:tabs>
        <w:tab w:val="left" w:pos="4536"/>
      </w:tabs>
      <w:jc w:val="both"/>
    </w:pPr>
    <w:rPr>
      <w:b/>
    </w:rPr>
  </w:style>
  <w:style w:type="paragraph" w:styleId="31">
    <w:name w:val="Body Text Indent 3"/>
    <w:basedOn w:val="a"/>
    <w:pPr>
      <w:ind w:left="567" w:hanging="567"/>
    </w:pPr>
    <w:rPr>
      <w:i/>
      <w:color w:val="008000"/>
    </w:rPr>
  </w:style>
  <w:style w:type="paragraph" w:customStyle="1" w:styleId="Authors">
    <w:name w:val="Authors"/>
    <w:basedOn w:val="a"/>
    <w:pPr>
      <w:keepNext/>
      <w:tabs>
        <w:tab w:val="clear" w:pos="567"/>
        <w:tab w:val="left" w:pos="2268"/>
      </w:tabs>
      <w:spacing w:before="240" w:line="240" w:lineRule="auto"/>
    </w:pPr>
    <w:rPr>
      <w:rFonts w:ascii="Arial" w:hAnsi="Arial"/>
      <w:lang w:val="en-US"/>
    </w:rPr>
  </w:style>
  <w:style w:type="paragraph" w:customStyle="1" w:styleId="Dedicatednumber">
    <w:name w:val="Dedicatednumber"/>
    <w:basedOn w:val="a"/>
    <w:pPr>
      <w:keepNext/>
      <w:tabs>
        <w:tab w:val="clear" w:pos="567"/>
      </w:tabs>
      <w:spacing w:before="720" w:line="240" w:lineRule="auto"/>
      <w:jc w:val="center"/>
    </w:pPr>
    <w:rPr>
      <w:rFonts w:ascii="Arial" w:hAnsi="Arial"/>
      <w:sz w:val="28"/>
      <w:lang w:val="en-US"/>
    </w:rPr>
  </w:style>
  <w:style w:type="paragraph" w:customStyle="1" w:styleId="Department">
    <w:name w:val="Department"/>
    <w:basedOn w:val="a"/>
    <w:pPr>
      <w:keepNext/>
      <w:tabs>
        <w:tab w:val="clear" w:pos="567"/>
      </w:tabs>
      <w:spacing w:before="360" w:line="240" w:lineRule="auto"/>
      <w:jc w:val="center"/>
    </w:pPr>
    <w:rPr>
      <w:rFonts w:ascii="Arial" w:hAnsi="Arial"/>
      <w:sz w:val="28"/>
      <w:lang w:val="en-US"/>
    </w:rPr>
  </w:style>
  <w:style w:type="paragraph" w:customStyle="1" w:styleId="Docstatus">
    <w:name w:val="Docstatus"/>
    <w:basedOn w:val="a"/>
    <w:pPr>
      <w:keepNext/>
      <w:tabs>
        <w:tab w:val="clear" w:pos="567"/>
        <w:tab w:val="left" w:pos="2268"/>
      </w:tabs>
      <w:spacing w:before="240" w:line="240" w:lineRule="auto"/>
    </w:pPr>
    <w:rPr>
      <w:rFonts w:ascii="Arial" w:hAnsi="Arial"/>
      <w:lang w:val="en-US"/>
    </w:rPr>
  </w:style>
  <w:style w:type="paragraph" w:customStyle="1" w:styleId="Doctype">
    <w:name w:val="Doctype"/>
    <w:basedOn w:val="Dedicatednumber"/>
    <w:pPr>
      <w:tabs>
        <w:tab w:val="left" w:pos="2268"/>
      </w:tabs>
      <w:spacing w:before="240"/>
      <w:jc w:val="left"/>
    </w:pPr>
    <w:rPr>
      <w:sz w:val="22"/>
    </w:rPr>
  </w:style>
  <w:style w:type="paragraph" w:customStyle="1" w:styleId="Numberofpages">
    <w:name w:val="Numberofpages"/>
    <w:basedOn w:val="a"/>
    <w:pPr>
      <w:keepNext/>
      <w:tabs>
        <w:tab w:val="clear" w:pos="567"/>
        <w:tab w:val="left" w:pos="2268"/>
      </w:tabs>
      <w:spacing w:before="240" w:line="240" w:lineRule="auto"/>
    </w:pPr>
    <w:rPr>
      <w:rFonts w:ascii="Arial" w:hAnsi="Arial"/>
      <w:lang w:val="en-US"/>
    </w:rPr>
  </w:style>
  <w:style w:type="paragraph" w:customStyle="1" w:styleId="Propertystatement">
    <w:name w:val="Propertystatement"/>
    <w:basedOn w:val="Numberofpages"/>
    <w:pPr>
      <w:keepNext w:val="0"/>
      <w:spacing w:before="1200"/>
      <w:jc w:val="center"/>
    </w:pPr>
    <w:rPr>
      <w:sz w:val="20"/>
    </w:rPr>
  </w:style>
  <w:style w:type="paragraph" w:customStyle="1" w:styleId="Releasedate">
    <w:name w:val="Releasedate"/>
    <w:basedOn w:val="Docstatus"/>
  </w:style>
  <w:style w:type="paragraph" w:customStyle="1" w:styleId="aa">
    <w:name w:val="Ôßôëïò"/>
    <w:basedOn w:val="a"/>
    <w:pPr>
      <w:keepNext/>
      <w:tabs>
        <w:tab w:val="clear" w:pos="567"/>
      </w:tabs>
      <w:spacing w:before="720" w:after="1320" w:line="240" w:lineRule="auto"/>
      <w:jc w:val="center"/>
    </w:pPr>
    <w:rPr>
      <w:rFonts w:ascii="Arial" w:hAnsi="Arial"/>
      <w:b/>
      <w:sz w:val="32"/>
      <w:lang w:val="en-US"/>
    </w:rPr>
  </w:style>
  <w:style w:type="paragraph" w:customStyle="1" w:styleId="Firstpageinfo">
    <w:name w:val="Firstpageinfo"/>
    <w:basedOn w:val="5"/>
    <w:pPr>
      <w:keepLines/>
      <w:tabs>
        <w:tab w:val="clear" w:pos="567"/>
      </w:tabs>
      <w:spacing w:before="240" w:line="240" w:lineRule="auto"/>
      <w:jc w:val="left"/>
      <w:outlineLvl w:val="9"/>
    </w:pPr>
    <w:rPr>
      <w:rFonts w:ascii="Arial" w:hAnsi="Arial"/>
      <w:noProof w:val="0"/>
      <w:lang w:val="en-US"/>
    </w:rPr>
  </w:style>
  <w:style w:type="paragraph" w:customStyle="1" w:styleId="Text">
    <w:name w:val="Text"/>
    <w:basedOn w:val="a"/>
    <w:pPr>
      <w:tabs>
        <w:tab w:val="clear" w:pos="567"/>
      </w:tabs>
      <w:spacing w:before="120" w:line="240" w:lineRule="auto"/>
      <w:jc w:val="both"/>
    </w:pPr>
  </w:style>
  <w:style w:type="paragraph" w:styleId="ab">
    <w:name w:val="Document Map"/>
    <w:basedOn w:val="a"/>
    <w:semiHidden/>
    <w:rPr>
      <w:rFonts w:ascii="Tahoma" w:hAnsi="Tahoma"/>
    </w:rPr>
  </w:style>
  <w:style w:type="paragraph" w:styleId="ac">
    <w:name w:val="Balloon Text"/>
    <w:basedOn w:val="a"/>
    <w:semiHidden/>
    <w:rsid w:val="00AD0A9A"/>
    <w:rPr>
      <w:rFonts w:ascii="Tahoma" w:hAnsi="Tahoma" w:cs="Tahoma"/>
      <w:sz w:val="16"/>
      <w:szCs w:val="16"/>
    </w:rPr>
  </w:style>
  <w:style w:type="paragraph" w:styleId="ad">
    <w:name w:val="Body Text"/>
    <w:basedOn w:val="a"/>
    <w:rsid w:val="00144C3D"/>
    <w:pPr>
      <w:spacing w:after="120"/>
    </w:pPr>
  </w:style>
  <w:style w:type="character" w:styleId="-">
    <w:name w:val="Hyperlink"/>
    <w:uiPriority w:val="99"/>
    <w:rsid w:val="00CB5391"/>
    <w:rPr>
      <w:color w:val="0000FF"/>
      <w:u w:val="single"/>
    </w:rPr>
  </w:style>
  <w:style w:type="character" w:customStyle="1" w:styleId="Char">
    <w:name w:val="Κεφαλίδα Char"/>
    <w:link w:val="a5"/>
    <w:rsid w:val="005C3006"/>
    <w:rPr>
      <w:rFonts w:ascii="Helvetica" w:hAnsi="Helvetic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f.g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C652-1BA3-4685-A628-8B7BA1AF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6995</Characters>
  <Application>Microsoft Office Word</Application>
  <DocSecurity>0</DocSecurity>
  <Lines>58</Lines>
  <Paragraphs>16</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TEMPLATE No1 [CPMP positive opinion full application]</vt:lpstr>
      <vt:lpstr>TEMPLATE No1 [CPMP positive opinion full application]</vt:lpstr>
      <vt:lpstr>TEMPLATE No1 [CPMP positive opinion full application]</vt:lpstr>
    </vt:vector>
  </TitlesOfParts>
  <Company>medax</Company>
  <LinksUpToDate>false</LinksUpToDate>
  <CharactersWithSpaces>8274</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No1 [CPMP positive opinion full application]</dc:title>
  <dc:creator>nw</dc:creator>
  <dc:description>EMEA-26915-1998</dc:description>
  <cp:lastModifiedBy>user146</cp:lastModifiedBy>
  <cp:revision>2</cp:revision>
  <cp:lastPrinted>2015-09-03T12:00:00Z</cp:lastPrinted>
  <dcterms:created xsi:type="dcterms:W3CDTF">2015-09-03T12:03:00Z</dcterms:created>
  <dcterms:modified xsi:type="dcterms:W3CDTF">2015-09-03T12:03:00Z</dcterms:modified>
</cp:coreProperties>
</file>