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94" w:rsidRPr="007C1862" w:rsidRDefault="007C1862" w:rsidP="00C532E0">
      <w:pPr>
        <w:jc w:val="both"/>
        <w:rPr>
          <w:i/>
          <w:color w:val="008000"/>
          <w:szCs w:val="22"/>
          <w:lang w:val="en-US"/>
        </w:rPr>
      </w:pPr>
      <w:r>
        <w:rPr>
          <w:i/>
          <w:color w:val="008000"/>
          <w:szCs w:val="22"/>
          <w:lang w:val="en-US"/>
        </w:rPr>
        <w:tab/>
      </w: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BC4477">
      <w:pPr>
        <w:jc w:val="center"/>
        <w:rPr>
          <w:szCs w:val="22"/>
        </w:rPr>
      </w:pPr>
      <w:r w:rsidRPr="00823F84">
        <w:rPr>
          <w:b/>
          <w:noProof/>
          <w:szCs w:val="22"/>
        </w:rPr>
        <w:t>ΠΕΡΙΛΗΨΗ ΤΩΝ ΧΑΡΑΚΤΗΡΙΣΤΙΚΩΝ ΤΟΥ ΠΡΟΪΟΝΤΟΣ</w:t>
      </w:r>
    </w:p>
    <w:p w:rsidR="00496809" w:rsidRPr="00823F84" w:rsidRDefault="00496809" w:rsidP="00C532E0">
      <w:pPr>
        <w:jc w:val="both"/>
        <w:rPr>
          <w:szCs w:val="22"/>
        </w:rPr>
      </w:pPr>
      <w:r w:rsidRPr="00823F84">
        <w:rPr>
          <w:szCs w:val="22"/>
        </w:rPr>
        <w:br w:type="page"/>
      </w:r>
      <w:r w:rsidRPr="00823F84">
        <w:rPr>
          <w:b/>
          <w:szCs w:val="22"/>
        </w:rPr>
        <w:lastRenderedPageBreak/>
        <w:t>1.</w:t>
      </w:r>
      <w:r w:rsidRPr="00823F84">
        <w:rPr>
          <w:b/>
          <w:szCs w:val="22"/>
        </w:rPr>
        <w:tab/>
        <w:t>ΟΝΟΜΑΣΙΑ ΤΟΥ ΦΑΡΜΑΚΕΥΤΙΚΟΥ ΠΡΟΪΟΝΤΟΣ</w:t>
      </w:r>
    </w:p>
    <w:p w:rsidR="00496809" w:rsidRPr="00823F84" w:rsidRDefault="00496809" w:rsidP="00C532E0">
      <w:pPr>
        <w:jc w:val="both"/>
        <w:rPr>
          <w:szCs w:val="22"/>
        </w:rPr>
      </w:pPr>
    </w:p>
    <w:p w:rsidR="00496809" w:rsidRPr="00823F84" w:rsidRDefault="00544524" w:rsidP="00C532E0">
      <w:pPr>
        <w:jc w:val="both"/>
        <w:rPr>
          <w:szCs w:val="22"/>
        </w:rPr>
      </w:pPr>
      <w:r w:rsidRPr="00823F84">
        <w:rPr>
          <w:szCs w:val="22"/>
        </w:rPr>
        <w:t>ZILIDOR 5 mcg/ml ενέσιμο διάλυμα</w:t>
      </w:r>
    </w:p>
    <w:p w:rsidR="00544524" w:rsidRPr="00823F84" w:rsidRDefault="00544524" w:rsidP="00C532E0">
      <w:pPr>
        <w:jc w:val="both"/>
        <w:rPr>
          <w:szCs w:val="22"/>
        </w:rPr>
      </w:pPr>
    </w:p>
    <w:p w:rsidR="00544524" w:rsidRPr="00823F84" w:rsidRDefault="00544524" w:rsidP="00C532E0">
      <w:pPr>
        <w:jc w:val="both"/>
        <w:rPr>
          <w:szCs w:val="22"/>
        </w:rPr>
      </w:pPr>
    </w:p>
    <w:p w:rsidR="00496809" w:rsidRPr="00823F84" w:rsidRDefault="00496809" w:rsidP="00C532E0">
      <w:pPr>
        <w:jc w:val="both"/>
        <w:rPr>
          <w:szCs w:val="22"/>
        </w:rPr>
      </w:pPr>
      <w:r w:rsidRPr="00823F84">
        <w:rPr>
          <w:b/>
          <w:szCs w:val="22"/>
        </w:rPr>
        <w:t>2.</w:t>
      </w:r>
      <w:r w:rsidRPr="00823F84">
        <w:rPr>
          <w:b/>
          <w:szCs w:val="22"/>
        </w:rPr>
        <w:tab/>
        <w:t>ΠΟΙΟΤΙΚΗ ΚΑΙ ΠΟΣΟΤΙΚΗ ΣΥΝΘΕΣΗ</w:t>
      </w:r>
    </w:p>
    <w:p w:rsidR="00496809" w:rsidRPr="00823F84" w:rsidRDefault="00496809" w:rsidP="00C532E0">
      <w:pPr>
        <w:jc w:val="both"/>
        <w:rPr>
          <w:szCs w:val="22"/>
        </w:rPr>
      </w:pPr>
    </w:p>
    <w:p w:rsidR="00544524" w:rsidRPr="00823F84" w:rsidRDefault="00544524" w:rsidP="00C532E0">
      <w:pPr>
        <w:widowControl/>
        <w:tabs>
          <w:tab w:val="left" w:pos="567"/>
        </w:tabs>
        <w:spacing w:line="260" w:lineRule="exact"/>
        <w:jc w:val="both"/>
        <w:rPr>
          <w:szCs w:val="22"/>
        </w:rPr>
      </w:pPr>
      <w:r w:rsidRPr="00823F84">
        <w:rPr>
          <w:szCs w:val="22"/>
        </w:rPr>
        <w:t xml:space="preserve">Κάθε ml ενέσιμου διαλύματος περιέχει 5 μικρογραμμάρια </w:t>
      </w:r>
      <w:r w:rsidR="00A507FF" w:rsidRPr="00823F84">
        <w:rPr>
          <w:szCs w:val="22"/>
        </w:rPr>
        <w:t>paricalcitol</w:t>
      </w:r>
      <w:r w:rsidRPr="00823F84">
        <w:rPr>
          <w:szCs w:val="22"/>
        </w:rPr>
        <w:t>.</w:t>
      </w:r>
    </w:p>
    <w:p w:rsidR="00544524" w:rsidRPr="00823F84" w:rsidRDefault="00544524" w:rsidP="00C532E0">
      <w:pPr>
        <w:widowControl/>
        <w:tabs>
          <w:tab w:val="left" w:pos="567"/>
        </w:tabs>
        <w:spacing w:line="260" w:lineRule="exact"/>
        <w:jc w:val="both"/>
        <w:rPr>
          <w:szCs w:val="22"/>
        </w:rPr>
      </w:pPr>
    </w:p>
    <w:p w:rsidR="00544524" w:rsidRPr="00823F84" w:rsidRDefault="00544524" w:rsidP="00C532E0">
      <w:pPr>
        <w:widowControl/>
        <w:tabs>
          <w:tab w:val="left" w:pos="567"/>
        </w:tabs>
        <w:spacing w:line="260" w:lineRule="exact"/>
        <w:jc w:val="both"/>
        <w:rPr>
          <w:szCs w:val="22"/>
        </w:rPr>
      </w:pPr>
      <w:r w:rsidRPr="00823F84">
        <w:rPr>
          <w:szCs w:val="22"/>
        </w:rPr>
        <w:t xml:space="preserve">Κάθε φύσιγγα 1 ml περιέχει 5 μικρογραμμάρια </w:t>
      </w:r>
      <w:r w:rsidR="00050D51" w:rsidRPr="00823F84">
        <w:rPr>
          <w:szCs w:val="22"/>
        </w:rPr>
        <w:t>paricalcitol</w:t>
      </w:r>
      <w:r w:rsidRPr="00823F84">
        <w:rPr>
          <w:szCs w:val="22"/>
        </w:rPr>
        <w:t>.</w:t>
      </w:r>
    </w:p>
    <w:p w:rsidR="00544524" w:rsidRPr="00823F84" w:rsidRDefault="00544524" w:rsidP="00C532E0">
      <w:pPr>
        <w:widowControl/>
        <w:tabs>
          <w:tab w:val="left" w:pos="567"/>
        </w:tabs>
        <w:spacing w:line="260" w:lineRule="exact"/>
        <w:jc w:val="both"/>
        <w:rPr>
          <w:szCs w:val="22"/>
        </w:rPr>
      </w:pPr>
    </w:p>
    <w:p w:rsidR="00050D51" w:rsidRPr="00823F84" w:rsidRDefault="00544524" w:rsidP="00C532E0">
      <w:pPr>
        <w:widowControl/>
        <w:tabs>
          <w:tab w:val="left" w:pos="567"/>
        </w:tabs>
        <w:spacing w:line="260" w:lineRule="exact"/>
        <w:jc w:val="both"/>
        <w:rPr>
          <w:szCs w:val="22"/>
        </w:rPr>
      </w:pPr>
      <w:r w:rsidRPr="00823F84">
        <w:rPr>
          <w:szCs w:val="22"/>
        </w:rPr>
        <w:t xml:space="preserve">Κάθε φύσιγγα 2 ml περιέχει 10 μικρογραμμάρια </w:t>
      </w:r>
      <w:r w:rsidR="00050D51" w:rsidRPr="00823F84">
        <w:rPr>
          <w:szCs w:val="22"/>
        </w:rPr>
        <w:t>paricalcitol</w:t>
      </w:r>
      <w:r w:rsidRPr="00823F84">
        <w:rPr>
          <w:szCs w:val="22"/>
        </w:rPr>
        <w:t>.</w:t>
      </w:r>
    </w:p>
    <w:p w:rsidR="00050D51" w:rsidRPr="00823F84" w:rsidRDefault="00050D51" w:rsidP="00C532E0">
      <w:pPr>
        <w:widowControl/>
        <w:tabs>
          <w:tab w:val="left" w:pos="567"/>
        </w:tabs>
        <w:spacing w:line="260" w:lineRule="exact"/>
        <w:jc w:val="both"/>
        <w:rPr>
          <w:szCs w:val="22"/>
        </w:rPr>
      </w:pPr>
    </w:p>
    <w:p w:rsidR="00544524" w:rsidRPr="00823F84" w:rsidRDefault="00050D51" w:rsidP="00C532E0">
      <w:pPr>
        <w:widowControl/>
        <w:tabs>
          <w:tab w:val="left" w:pos="567"/>
        </w:tabs>
        <w:spacing w:line="260" w:lineRule="exact"/>
        <w:jc w:val="both"/>
        <w:rPr>
          <w:szCs w:val="22"/>
        </w:rPr>
      </w:pPr>
      <w:r w:rsidRPr="00823F84">
        <w:rPr>
          <w:szCs w:val="22"/>
        </w:rPr>
        <w:t>Έκδοχα</w:t>
      </w:r>
      <w:r w:rsidR="00544524" w:rsidRPr="00823F84">
        <w:rPr>
          <w:szCs w:val="22"/>
        </w:rPr>
        <w:t xml:space="preserve">: </w:t>
      </w:r>
      <w:r w:rsidR="00C36823" w:rsidRPr="00823F84">
        <w:rPr>
          <w:szCs w:val="22"/>
          <w:lang w:val="en-US"/>
        </w:rPr>
        <w:t>e</w:t>
      </w:r>
      <w:r w:rsidRPr="00823F84">
        <w:rPr>
          <w:szCs w:val="22"/>
        </w:rPr>
        <w:t xml:space="preserve">thanol, </w:t>
      </w:r>
      <w:r w:rsidR="00C36823" w:rsidRPr="00823F84">
        <w:rPr>
          <w:szCs w:val="22"/>
          <w:lang w:val="en-US"/>
        </w:rPr>
        <w:t>p</w:t>
      </w:r>
      <w:r w:rsidRPr="00823F84">
        <w:rPr>
          <w:szCs w:val="22"/>
        </w:rPr>
        <w:t xml:space="preserve">ropylene </w:t>
      </w:r>
      <w:r w:rsidR="00C36823" w:rsidRPr="00823F84">
        <w:rPr>
          <w:szCs w:val="22"/>
          <w:lang w:val="en-US"/>
        </w:rPr>
        <w:t>g</w:t>
      </w:r>
      <w:r w:rsidRPr="00823F84">
        <w:rPr>
          <w:szCs w:val="22"/>
        </w:rPr>
        <w:t>lycol.</w:t>
      </w:r>
    </w:p>
    <w:p w:rsidR="00544524" w:rsidRPr="00823F84" w:rsidRDefault="00544524" w:rsidP="00C532E0">
      <w:pPr>
        <w:widowControl/>
        <w:tabs>
          <w:tab w:val="left" w:pos="567"/>
        </w:tabs>
        <w:spacing w:line="260" w:lineRule="exact"/>
        <w:jc w:val="both"/>
        <w:rPr>
          <w:szCs w:val="22"/>
        </w:rPr>
      </w:pPr>
    </w:p>
    <w:p w:rsidR="00544524" w:rsidRPr="00823F84" w:rsidRDefault="00544524" w:rsidP="00C532E0">
      <w:pPr>
        <w:widowControl/>
        <w:tabs>
          <w:tab w:val="left" w:pos="567"/>
        </w:tabs>
        <w:spacing w:line="260" w:lineRule="exact"/>
        <w:jc w:val="both"/>
        <w:rPr>
          <w:szCs w:val="22"/>
        </w:rPr>
      </w:pPr>
      <w:r w:rsidRPr="00823F84">
        <w:rPr>
          <w:szCs w:val="22"/>
        </w:rPr>
        <w:t xml:space="preserve">Κάθε ml περιέχει 87,0 mg </w:t>
      </w:r>
      <w:r w:rsidR="00C36823" w:rsidRPr="00823F84">
        <w:rPr>
          <w:szCs w:val="22"/>
          <w:lang w:val="en-US"/>
        </w:rPr>
        <w:t>e</w:t>
      </w:r>
      <w:r w:rsidR="002B281D" w:rsidRPr="00823F84">
        <w:rPr>
          <w:szCs w:val="22"/>
        </w:rPr>
        <w:t>thanol (anhydrous</w:t>
      </w:r>
      <w:r w:rsidRPr="00823F84">
        <w:rPr>
          <w:szCs w:val="22"/>
        </w:rPr>
        <w:t xml:space="preserve">) και 456 mg </w:t>
      </w:r>
      <w:r w:rsidR="002B281D" w:rsidRPr="00823F84">
        <w:rPr>
          <w:szCs w:val="22"/>
        </w:rPr>
        <w:t>propylene glycol</w:t>
      </w:r>
      <w:r w:rsidRPr="00823F84">
        <w:rPr>
          <w:szCs w:val="22"/>
        </w:rPr>
        <w:t>.</w:t>
      </w:r>
    </w:p>
    <w:p w:rsidR="00544524" w:rsidRPr="00823F84" w:rsidRDefault="00544524" w:rsidP="00C532E0">
      <w:pPr>
        <w:widowControl/>
        <w:tabs>
          <w:tab w:val="left" w:pos="567"/>
        </w:tabs>
        <w:spacing w:line="260" w:lineRule="exact"/>
        <w:jc w:val="both"/>
        <w:rPr>
          <w:szCs w:val="22"/>
        </w:rPr>
      </w:pPr>
    </w:p>
    <w:p w:rsidR="00496809" w:rsidRPr="00823F84" w:rsidRDefault="00496809" w:rsidP="00C532E0">
      <w:pPr>
        <w:widowControl/>
        <w:tabs>
          <w:tab w:val="left" w:pos="567"/>
        </w:tabs>
        <w:spacing w:line="260" w:lineRule="exact"/>
        <w:jc w:val="both"/>
        <w:rPr>
          <w:szCs w:val="22"/>
        </w:rPr>
      </w:pPr>
      <w:r w:rsidRPr="00823F84">
        <w:rPr>
          <w:szCs w:val="22"/>
        </w:rPr>
        <w:t>Για τον πλήρη κατάλογο των εκδόχων, βλ. παράγραφο 6.1.</w:t>
      </w:r>
    </w:p>
    <w:p w:rsidR="00544524" w:rsidRPr="00823F84" w:rsidRDefault="00544524" w:rsidP="00C532E0">
      <w:pPr>
        <w:widowControl/>
        <w:tabs>
          <w:tab w:val="left" w:pos="567"/>
        </w:tabs>
        <w:spacing w:line="260" w:lineRule="exact"/>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r w:rsidRPr="00823F84">
        <w:rPr>
          <w:b/>
          <w:szCs w:val="22"/>
        </w:rPr>
        <w:t>3.</w:t>
      </w:r>
      <w:r w:rsidRPr="00823F84">
        <w:rPr>
          <w:b/>
          <w:szCs w:val="22"/>
        </w:rPr>
        <w:tab/>
        <w:t>ΦΑΡΜΑΚΟΤΕΧΝΙΚΗ ΜΟΡΦΗ</w:t>
      </w:r>
    </w:p>
    <w:p w:rsidR="00496809" w:rsidRPr="00823F84" w:rsidRDefault="00496809" w:rsidP="00C532E0">
      <w:pPr>
        <w:jc w:val="both"/>
        <w:rPr>
          <w:szCs w:val="22"/>
        </w:rPr>
      </w:pPr>
    </w:p>
    <w:p w:rsidR="00D76723" w:rsidRPr="00823F84" w:rsidRDefault="00D76723" w:rsidP="00C532E0">
      <w:pPr>
        <w:jc w:val="both"/>
        <w:rPr>
          <w:szCs w:val="22"/>
        </w:rPr>
      </w:pPr>
      <w:r w:rsidRPr="00823F84">
        <w:rPr>
          <w:szCs w:val="22"/>
        </w:rPr>
        <w:t>Ενέσιμο διάλυμα.</w:t>
      </w:r>
    </w:p>
    <w:p w:rsidR="00D76723" w:rsidRPr="00823F84" w:rsidRDefault="00D76723" w:rsidP="00C532E0">
      <w:pPr>
        <w:jc w:val="both"/>
        <w:rPr>
          <w:szCs w:val="22"/>
        </w:rPr>
      </w:pPr>
    </w:p>
    <w:p w:rsidR="00496809" w:rsidRPr="00823F84" w:rsidRDefault="00D76723" w:rsidP="00C532E0">
      <w:pPr>
        <w:jc w:val="both"/>
        <w:rPr>
          <w:szCs w:val="22"/>
        </w:rPr>
      </w:pPr>
      <w:r w:rsidRPr="00823F84">
        <w:rPr>
          <w:szCs w:val="22"/>
        </w:rPr>
        <w:t>Δια</w:t>
      </w:r>
      <w:r w:rsidR="00C3465A" w:rsidRPr="00823F84">
        <w:rPr>
          <w:szCs w:val="22"/>
        </w:rPr>
        <w:t>υγές και άχρωμο υδατικό διάλυμα</w:t>
      </w:r>
      <w:r w:rsidRPr="00823F84">
        <w:rPr>
          <w:szCs w:val="22"/>
        </w:rPr>
        <w:t xml:space="preserve"> ελεύθερο </w:t>
      </w:r>
      <w:r w:rsidR="00C3465A" w:rsidRPr="00823F84">
        <w:rPr>
          <w:szCs w:val="22"/>
        </w:rPr>
        <w:t>ορατών σωματιδίων</w:t>
      </w:r>
      <w:r w:rsidRPr="00823F84">
        <w:rPr>
          <w:szCs w:val="22"/>
        </w:rPr>
        <w:t>.</w:t>
      </w:r>
    </w:p>
    <w:p w:rsidR="00D76723" w:rsidRPr="00823F84" w:rsidRDefault="00D76723"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r w:rsidRPr="00823F84">
        <w:rPr>
          <w:b/>
          <w:szCs w:val="22"/>
        </w:rPr>
        <w:t>4.</w:t>
      </w:r>
      <w:r w:rsidRPr="00823F84">
        <w:rPr>
          <w:b/>
          <w:szCs w:val="22"/>
        </w:rPr>
        <w:tab/>
        <w:t>ΚΛΙΝΙΚΕΣ ΠΛΗΡΟΦΟΡΙΕΣ</w:t>
      </w:r>
    </w:p>
    <w:p w:rsidR="00496809" w:rsidRPr="00823F84" w:rsidRDefault="00496809" w:rsidP="00C532E0">
      <w:pPr>
        <w:jc w:val="both"/>
        <w:rPr>
          <w:szCs w:val="22"/>
        </w:rPr>
      </w:pPr>
    </w:p>
    <w:p w:rsidR="00496809" w:rsidRPr="00823F84" w:rsidRDefault="00496809" w:rsidP="00C532E0">
      <w:pPr>
        <w:jc w:val="both"/>
        <w:rPr>
          <w:szCs w:val="22"/>
        </w:rPr>
      </w:pPr>
      <w:r w:rsidRPr="00823F84">
        <w:rPr>
          <w:b/>
          <w:szCs w:val="22"/>
        </w:rPr>
        <w:t>4.1</w:t>
      </w:r>
      <w:r w:rsidRPr="00823F84">
        <w:rPr>
          <w:b/>
          <w:szCs w:val="22"/>
        </w:rPr>
        <w:tab/>
        <w:t>Θεραπευτικές ενδείξεις</w:t>
      </w:r>
    </w:p>
    <w:p w:rsidR="00496809" w:rsidRPr="00823F84" w:rsidRDefault="00496809" w:rsidP="00C532E0">
      <w:pPr>
        <w:jc w:val="both"/>
        <w:rPr>
          <w:szCs w:val="22"/>
        </w:rPr>
      </w:pPr>
    </w:p>
    <w:p w:rsidR="00496809" w:rsidRPr="00823F84" w:rsidRDefault="00EE2894" w:rsidP="00C532E0">
      <w:pPr>
        <w:jc w:val="both"/>
        <w:rPr>
          <w:szCs w:val="22"/>
        </w:rPr>
      </w:pPr>
      <w:r>
        <w:rPr>
          <w:szCs w:val="22"/>
        </w:rPr>
        <w:t>Η</w:t>
      </w:r>
      <w:r w:rsidR="00C722DE" w:rsidRPr="00823F84">
        <w:rPr>
          <w:szCs w:val="22"/>
        </w:rPr>
        <w:t xml:space="preserve"> </w:t>
      </w:r>
      <w:r w:rsidR="007E1C0F" w:rsidRPr="00823F84">
        <w:rPr>
          <w:szCs w:val="22"/>
        </w:rPr>
        <w:t>paricalcitol</w:t>
      </w:r>
      <w:r w:rsidR="00C722DE" w:rsidRPr="00823F84">
        <w:rPr>
          <w:szCs w:val="22"/>
        </w:rPr>
        <w:t xml:space="preserve"> ενδείκνυται για την πρόληψη και θεραπεία του δευτεροπαθούς υπερπαραθυρεοειδισμού σε ασθενείς με χρόνια νεφρική ανεπάρκεια που υποβάλλονται σε αιμοκάθαρση.</w:t>
      </w:r>
    </w:p>
    <w:p w:rsidR="00C722DE" w:rsidRPr="00823F84" w:rsidRDefault="00C722DE" w:rsidP="00C532E0">
      <w:pPr>
        <w:jc w:val="both"/>
        <w:rPr>
          <w:szCs w:val="22"/>
        </w:rPr>
      </w:pPr>
    </w:p>
    <w:p w:rsidR="00496809" w:rsidRPr="00823F84" w:rsidRDefault="00496809" w:rsidP="00C532E0">
      <w:pPr>
        <w:jc w:val="both"/>
        <w:rPr>
          <w:szCs w:val="22"/>
        </w:rPr>
      </w:pPr>
      <w:r w:rsidRPr="00823F84">
        <w:rPr>
          <w:b/>
          <w:szCs w:val="22"/>
        </w:rPr>
        <w:t>4.2</w:t>
      </w:r>
      <w:r w:rsidRPr="00823F84">
        <w:rPr>
          <w:b/>
          <w:szCs w:val="22"/>
        </w:rPr>
        <w:tab/>
        <w:t>Δοσολογία και τρόπος χορήγησης</w:t>
      </w:r>
    </w:p>
    <w:p w:rsidR="00496809" w:rsidRPr="00823F84" w:rsidRDefault="00496809" w:rsidP="00FC66F6">
      <w:pPr>
        <w:jc w:val="both"/>
        <w:rPr>
          <w:szCs w:val="22"/>
        </w:rPr>
      </w:pPr>
    </w:p>
    <w:p w:rsidR="00B24A3B" w:rsidRPr="00823F84" w:rsidRDefault="005A5401" w:rsidP="00FC66F6">
      <w:pPr>
        <w:autoSpaceDE w:val="0"/>
        <w:autoSpaceDN w:val="0"/>
        <w:adjustRightInd w:val="0"/>
        <w:jc w:val="both"/>
        <w:rPr>
          <w:szCs w:val="22"/>
          <w:lang w:eastAsia="el-GR"/>
        </w:rPr>
      </w:pPr>
      <w:r w:rsidRPr="00823F84">
        <w:rPr>
          <w:szCs w:val="22"/>
          <w:lang w:eastAsia="el-GR"/>
        </w:rPr>
        <w:t xml:space="preserve">Το ενέσιμο διάλυμα </w:t>
      </w:r>
      <w:r w:rsidR="00FC66F6" w:rsidRPr="00823F84">
        <w:rPr>
          <w:szCs w:val="22"/>
          <w:lang w:eastAsia="el-GR"/>
        </w:rPr>
        <w:t>ZILIDOR</w:t>
      </w:r>
      <w:r w:rsidRPr="00823F84">
        <w:rPr>
          <w:szCs w:val="22"/>
          <w:lang w:eastAsia="el-GR"/>
        </w:rPr>
        <w:t xml:space="preserve"> χορηγείται μέσω της διαδικασίας αιμοδιύλισης.</w:t>
      </w:r>
    </w:p>
    <w:p w:rsidR="00B24A3B" w:rsidRPr="00823F84" w:rsidRDefault="005A5401" w:rsidP="00FC66F6">
      <w:pPr>
        <w:autoSpaceDE w:val="0"/>
        <w:autoSpaceDN w:val="0"/>
        <w:adjustRightInd w:val="0"/>
        <w:jc w:val="both"/>
        <w:rPr>
          <w:szCs w:val="22"/>
          <w:u w:val="single"/>
          <w:lang w:eastAsia="el-GR"/>
        </w:rPr>
      </w:pPr>
      <w:r w:rsidRPr="00823F84">
        <w:rPr>
          <w:szCs w:val="22"/>
          <w:lang w:eastAsia="el-GR"/>
        </w:rPr>
        <w:br/>
      </w:r>
      <w:r w:rsidRPr="00823F84">
        <w:rPr>
          <w:szCs w:val="22"/>
          <w:u w:val="single"/>
          <w:lang w:eastAsia="el-GR"/>
        </w:rPr>
        <w:t>Ενήλικες</w:t>
      </w:r>
    </w:p>
    <w:p w:rsidR="00836A8A" w:rsidRPr="006C719A" w:rsidRDefault="005A5401" w:rsidP="006C719A">
      <w:pPr>
        <w:autoSpaceDE w:val="0"/>
        <w:autoSpaceDN w:val="0"/>
        <w:adjustRightInd w:val="0"/>
        <w:jc w:val="both"/>
        <w:rPr>
          <w:szCs w:val="22"/>
          <w:lang w:eastAsia="el-GR"/>
        </w:rPr>
      </w:pPr>
      <w:r w:rsidRPr="00823F84">
        <w:rPr>
          <w:szCs w:val="22"/>
          <w:u w:val="single"/>
          <w:lang w:eastAsia="el-GR"/>
        </w:rPr>
        <w:br/>
      </w:r>
      <w:r w:rsidRPr="00823F84">
        <w:rPr>
          <w:szCs w:val="22"/>
          <w:lang w:eastAsia="el-GR"/>
        </w:rPr>
        <w:t xml:space="preserve">1) </w:t>
      </w:r>
      <w:r w:rsidRPr="00823F84">
        <w:rPr>
          <w:szCs w:val="22"/>
          <w:u w:val="single"/>
          <w:lang w:eastAsia="el-GR"/>
        </w:rPr>
        <w:t>Η αρχική δόση θα πρέπει να υπολογιστεί με βάση τα αρχικά επίπεδα της παραθορμόνης (PTH):</w:t>
      </w:r>
    </w:p>
    <w:p w:rsidR="00836A8A" w:rsidRPr="00823F84" w:rsidRDefault="005A5401" w:rsidP="00836A8A">
      <w:pPr>
        <w:tabs>
          <w:tab w:val="left" w:pos="9060"/>
        </w:tabs>
        <w:autoSpaceDE w:val="0"/>
        <w:autoSpaceDN w:val="0"/>
        <w:adjustRightInd w:val="0"/>
        <w:ind w:right="-11"/>
        <w:jc w:val="both"/>
        <w:rPr>
          <w:szCs w:val="22"/>
          <w:lang w:eastAsia="el-GR"/>
        </w:rPr>
      </w:pPr>
      <w:r w:rsidRPr="00823F84">
        <w:rPr>
          <w:szCs w:val="22"/>
          <w:u w:val="single"/>
          <w:lang w:eastAsia="el-GR"/>
        </w:rPr>
        <w:br/>
      </w:r>
      <w:r w:rsidRPr="00823F84">
        <w:rPr>
          <w:szCs w:val="22"/>
          <w:lang w:eastAsia="el-GR"/>
        </w:rPr>
        <w:t xml:space="preserve">Η αρχική δόση της </w:t>
      </w:r>
      <w:r w:rsidR="00EE2894" w:rsidRPr="00EE2894">
        <w:rPr>
          <w:szCs w:val="22"/>
          <w:lang w:eastAsia="el-GR"/>
        </w:rPr>
        <w:t>paricalcitol</w:t>
      </w:r>
      <w:r w:rsidRPr="00823F84">
        <w:rPr>
          <w:szCs w:val="22"/>
          <w:lang w:eastAsia="el-GR"/>
        </w:rPr>
        <w:t xml:space="preserve"> υπολογίζεται με βάση τον εξής τύπο:</w:t>
      </w:r>
      <w:r w:rsidR="00836A8A" w:rsidRPr="00823F84">
        <w:rPr>
          <w:szCs w:val="22"/>
          <w:lang w:eastAsia="el-GR"/>
        </w:rPr>
        <w:t xml:space="preserve"> </w:t>
      </w:r>
    </w:p>
    <w:p w:rsidR="00836A8A" w:rsidRPr="00823F84" w:rsidRDefault="005A5401" w:rsidP="00836A8A">
      <w:pPr>
        <w:tabs>
          <w:tab w:val="left" w:pos="9060"/>
        </w:tabs>
        <w:autoSpaceDE w:val="0"/>
        <w:autoSpaceDN w:val="0"/>
        <w:adjustRightInd w:val="0"/>
        <w:ind w:right="-11"/>
        <w:jc w:val="both"/>
        <w:rPr>
          <w:szCs w:val="22"/>
          <w:lang w:eastAsia="el-GR"/>
        </w:rPr>
      </w:pPr>
      <w:r w:rsidRPr="00823F84">
        <w:rPr>
          <w:szCs w:val="22"/>
          <w:lang w:eastAsia="el-GR"/>
        </w:rPr>
        <w:t>Αρχική δόση (μικρογραμμάρια) =</w:t>
      </w:r>
      <w:r w:rsidR="00836A8A" w:rsidRPr="00823F84">
        <w:rPr>
          <w:szCs w:val="22"/>
          <w:lang w:eastAsia="el-GR"/>
        </w:rPr>
        <w:t xml:space="preserve"> </w:t>
      </w:r>
      <w:r w:rsidRPr="00823F84">
        <w:rPr>
          <w:szCs w:val="22"/>
          <w:u w:val="single"/>
          <w:lang w:eastAsia="el-GR"/>
        </w:rPr>
        <w:t>επίπεδα ακέραιης PTH</w:t>
      </w:r>
      <w:r w:rsidR="00A8674F" w:rsidRPr="00A8674F">
        <w:rPr>
          <w:szCs w:val="22"/>
          <w:u w:val="single"/>
          <w:lang w:eastAsia="el-GR"/>
        </w:rPr>
        <w:t xml:space="preserve"> </w:t>
      </w:r>
      <w:r w:rsidR="00A8674F">
        <w:rPr>
          <w:szCs w:val="22"/>
          <w:u w:val="single"/>
          <w:lang w:eastAsia="el-GR"/>
        </w:rPr>
        <w:t>προ της θεραπείας</w:t>
      </w:r>
      <w:r w:rsidRPr="00823F84">
        <w:rPr>
          <w:szCs w:val="22"/>
          <w:u w:val="single"/>
          <w:lang w:eastAsia="el-GR"/>
        </w:rPr>
        <w:t xml:space="preserve"> σε pmol/l</w:t>
      </w:r>
      <w:r w:rsidRPr="00823F84">
        <w:rPr>
          <w:szCs w:val="22"/>
          <w:u w:val="single"/>
          <w:lang w:eastAsia="el-GR"/>
        </w:rPr>
        <w:br/>
      </w:r>
      <w:r w:rsidR="00836A8A" w:rsidRPr="00823F84">
        <w:rPr>
          <w:szCs w:val="22"/>
          <w:lang w:eastAsia="el-GR"/>
        </w:rPr>
        <w:t xml:space="preserve">                                                                                                    </w:t>
      </w:r>
      <w:r w:rsidRPr="00823F84">
        <w:rPr>
          <w:szCs w:val="22"/>
          <w:lang w:eastAsia="el-GR"/>
        </w:rPr>
        <w:t xml:space="preserve">8 </w:t>
      </w:r>
    </w:p>
    <w:p w:rsidR="00836A8A" w:rsidRPr="00823F84" w:rsidRDefault="005A5401" w:rsidP="00836A8A">
      <w:pPr>
        <w:tabs>
          <w:tab w:val="left" w:pos="9060"/>
        </w:tabs>
        <w:autoSpaceDE w:val="0"/>
        <w:autoSpaceDN w:val="0"/>
        <w:adjustRightInd w:val="0"/>
        <w:ind w:right="-11"/>
        <w:jc w:val="both"/>
        <w:rPr>
          <w:szCs w:val="22"/>
          <w:lang w:eastAsia="el-GR"/>
        </w:rPr>
      </w:pPr>
      <w:r w:rsidRPr="00823F84">
        <w:rPr>
          <w:szCs w:val="22"/>
          <w:lang w:eastAsia="el-GR"/>
        </w:rPr>
        <w:t xml:space="preserve">ή </w:t>
      </w:r>
    </w:p>
    <w:p w:rsidR="005A5401" w:rsidRPr="00823F84" w:rsidRDefault="00836A8A" w:rsidP="00836A8A">
      <w:pPr>
        <w:tabs>
          <w:tab w:val="left" w:pos="9060"/>
        </w:tabs>
        <w:autoSpaceDE w:val="0"/>
        <w:autoSpaceDN w:val="0"/>
        <w:adjustRightInd w:val="0"/>
        <w:ind w:right="-11"/>
        <w:jc w:val="both"/>
        <w:rPr>
          <w:szCs w:val="22"/>
          <w:lang w:eastAsia="el-GR"/>
        </w:rPr>
      </w:pPr>
      <w:r w:rsidRPr="00823F84">
        <w:rPr>
          <w:szCs w:val="22"/>
          <w:lang w:eastAsia="el-GR"/>
        </w:rPr>
        <w:t xml:space="preserve">                                                         </w:t>
      </w:r>
      <w:r w:rsidR="005A5401" w:rsidRPr="00823F84">
        <w:rPr>
          <w:szCs w:val="22"/>
          <w:lang w:eastAsia="el-GR"/>
        </w:rPr>
        <w:t>=</w:t>
      </w:r>
      <w:r w:rsidRPr="00823F84">
        <w:rPr>
          <w:szCs w:val="22"/>
          <w:lang w:eastAsia="el-GR"/>
        </w:rPr>
        <w:t xml:space="preserve"> </w:t>
      </w:r>
      <w:r w:rsidR="005A5401" w:rsidRPr="00823F84">
        <w:rPr>
          <w:szCs w:val="22"/>
          <w:u w:val="single"/>
          <w:lang w:eastAsia="el-GR"/>
        </w:rPr>
        <w:t xml:space="preserve">επίπεδα ακέραιης PTH </w:t>
      </w:r>
      <w:r w:rsidR="00A8674F">
        <w:rPr>
          <w:szCs w:val="22"/>
          <w:u w:val="single"/>
          <w:lang w:eastAsia="el-GR"/>
        </w:rPr>
        <w:t xml:space="preserve">προ της θεραπείας </w:t>
      </w:r>
      <w:r w:rsidR="005A5401" w:rsidRPr="00823F84">
        <w:rPr>
          <w:szCs w:val="22"/>
          <w:u w:val="single"/>
          <w:lang w:eastAsia="el-GR"/>
        </w:rPr>
        <w:t xml:space="preserve">σε pg/ml </w:t>
      </w:r>
    </w:p>
    <w:p w:rsidR="00836A8A" w:rsidRPr="00823F84" w:rsidRDefault="00836A8A" w:rsidP="00836A8A">
      <w:pPr>
        <w:autoSpaceDE w:val="0"/>
        <w:autoSpaceDN w:val="0"/>
        <w:adjustRightInd w:val="0"/>
        <w:ind w:firstLine="4110"/>
        <w:jc w:val="both"/>
        <w:rPr>
          <w:szCs w:val="22"/>
          <w:lang w:eastAsia="el-GR"/>
        </w:rPr>
      </w:pPr>
      <w:r w:rsidRPr="00823F84">
        <w:rPr>
          <w:szCs w:val="22"/>
          <w:lang w:eastAsia="el-GR"/>
        </w:rPr>
        <w:t xml:space="preserve">                            </w:t>
      </w:r>
      <w:r w:rsidR="005A5401" w:rsidRPr="00823F84">
        <w:rPr>
          <w:szCs w:val="22"/>
          <w:lang w:eastAsia="el-GR"/>
        </w:rPr>
        <w:t xml:space="preserve">80 </w:t>
      </w:r>
    </w:p>
    <w:p w:rsidR="005A5401" w:rsidRPr="00823F84" w:rsidRDefault="005A5401" w:rsidP="00C0293F">
      <w:pPr>
        <w:autoSpaceDE w:val="0"/>
        <w:autoSpaceDN w:val="0"/>
        <w:adjustRightInd w:val="0"/>
        <w:jc w:val="both"/>
        <w:rPr>
          <w:szCs w:val="22"/>
          <w:lang w:eastAsia="el-GR"/>
        </w:rPr>
      </w:pPr>
      <w:r w:rsidRPr="00823F84">
        <w:rPr>
          <w:szCs w:val="22"/>
          <w:lang w:eastAsia="el-GR"/>
        </w:rPr>
        <w:t xml:space="preserve">και χορηγείται ως εφάπαξ ενδοφλέβια (IV) δόση όχι συχνότερα από κάθε δεύτερη ημέρα σε οποιαδήποτε στιγμή κατά τη διάρκεια της αιμοκάθαρσης. </w:t>
      </w:r>
    </w:p>
    <w:p w:rsidR="005A5401" w:rsidRPr="00823F84" w:rsidRDefault="005A5401" w:rsidP="00C0293F">
      <w:pPr>
        <w:autoSpaceDE w:val="0"/>
        <w:autoSpaceDN w:val="0"/>
        <w:adjustRightInd w:val="0"/>
        <w:jc w:val="both"/>
        <w:rPr>
          <w:szCs w:val="22"/>
          <w:lang w:eastAsia="el-GR"/>
        </w:rPr>
      </w:pPr>
      <w:r w:rsidRPr="00823F84">
        <w:rPr>
          <w:szCs w:val="22"/>
          <w:lang w:eastAsia="el-GR"/>
        </w:rPr>
        <w:t xml:space="preserve">Η μέγιστη ασφαλής δόση που χορηγήθηκε σε κλινικές μελέτες </w:t>
      </w:r>
      <w:r w:rsidR="00C0293F" w:rsidRPr="00823F84">
        <w:rPr>
          <w:szCs w:val="22"/>
          <w:lang w:eastAsia="el-GR"/>
        </w:rPr>
        <w:t>έφτασε τα 40 μικρογραμμάρια.</w:t>
      </w:r>
    </w:p>
    <w:p w:rsidR="00C0293F" w:rsidRPr="00823F84" w:rsidRDefault="00C0293F" w:rsidP="00C0293F">
      <w:pPr>
        <w:autoSpaceDE w:val="0"/>
        <w:autoSpaceDN w:val="0"/>
        <w:adjustRightInd w:val="0"/>
        <w:jc w:val="both"/>
        <w:rPr>
          <w:szCs w:val="22"/>
          <w:lang w:eastAsia="el-GR"/>
        </w:rPr>
      </w:pPr>
    </w:p>
    <w:p w:rsidR="005A5401" w:rsidRPr="00823F84" w:rsidRDefault="005A5401" w:rsidP="009E6C7B">
      <w:pPr>
        <w:autoSpaceDE w:val="0"/>
        <w:autoSpaceDN w:val="0"/>
        <w:adjustRightInd w:val="0"/>
        <w:jc w:val="both"/>
        <w:rPr>
          <w:szCs w:val="22"/>
          <w:lang w:eastAsia="el-GR"/>
        </w:rPr>
      </w:pPr>
      <w:r w:rsidRPr="00823F84">
        <w:rPr>
          <w:szCs w:val="22"/>
          <w:lang w:eastAsia="el-GR"/>
        </w:rPr>
        <w:t xml:space="preserve">2) </w:t>
      </w:r>
      <w:r w:rsidRPr="00823F84">
        <w:rPr>
          <w:szCs w:val="22"/>
          <w:u w:val="single"/>
          <w:lang w:eastAsia="el-GR"/>
        </w:rPr>
        <w:t xml:space="preserve">Ρύθμιση της δόσης: </w:t>
      </w:r>
    </w:p>
    <w:p w:rsidR="005A5401" w:rsidRPr="00823F84" w:rsidRDefault="005A5401" w:rsidP="009E6C7B">
      <w:pPr>
        <w:autoSpaceDE w:val="0"/>
        <w:autoSpaceDN w:val="0"/>
        <w:adjustRightInd w:val="0"/>
        <w:jc w:val="both"/>
        <w:rPr>
          <w:szCs w:val="22"/>
          <w:lang w:eastAsia="el-GR"/>
        </w:rPr>
      </w:pPr>
      <w:r w:rsidRPr="00823F84">
        <w:rPr>
          <w:szCs w:val="22"/>
          <w:lang w:eastAsia="el-GR"/>
        </w:rPr>
        <w:t xml:space="preserve">Το μέχρι σήμερα αποδεκτό εύρος για τα επίπεδα της ΡΤΗ στους ασθενείς που βρίσκονται στο τελικό στάδιο νεφρικής ανεπάρκειας και υποβάλλονται σε αιμοκάθαρση, δεν είναι μεγαλύτερο από 1,5 έως 3 φορές του ανώτερου φυσιολογικού ορίου των μη ουραιμικών, δηλαδή 15,9 έως 31,8 pmol/l (150-300 </w:t>
      </w:r>
      <w:r w:rsidRPr="00823F84">
        <w:rPr>
          <w:szCs w:val="22"/>
          <w:lang w:eastAsia="el-GR"/>
        </w:rPr>
        <w:lastRenderedPageBreak/>
        <w:t xml:space="preserve">pg/ml), για ακέραιη PTH. Απαιτείται στενή παρακολούθηση και εξατομικευμένη ρύθμιση της δόσης για την επίτευξη των απαιτουμένων φυσιολογικών τελικών επιπέδων. Εάν παρατηρηθεί υπερασβεστιαιμία ή επιμένον </w:t>
      </w:r>
      <w:r w:rsidR="00F7208F" w:rsidRPr="00823F84">
        <w:rPr>
          <w:szCs w:val="22"/>
          <w:lang w:eastAsia="el-GR"/>
        </w:rPr>
        <w:t xml:space="preserve">αυξημένο </w:t>
      </w:r>
      <w:r w:rsidRPr="00823F84">
        <w:rPr>
          <w:szCs w:val="22"/>
          <w:lang w:eastAsia="el-GR"/>
        </w:rPr>
        <w:t xml:space="preserve">γινόμενο διορθωμένου Ca x P </w:t>
      </w:r>
      <w:r w:rsidR="00F7208F" w:rsidRPr="00823F84">
        <w:rPr>
          <w:szCs w:val="22"/>
          <w:lang w:eastAsia="el-GR"/>
        </w:rPr>
        <w:t xml:space="preserve">προϊόντος </w:t>
      </w:r>
      <w:r w:rsidRPr="00823F84">
        <w:rPr>
          <w:szCs w:val="22"/>
          <w:lang w:eastAsia="el-GR"/>
        </w:rPr>
        <w:t>μεγαλύτερο των 5,2 mmol</w:t>
      </w:r>
      <w:r w:rsidRPr="00823F84">
        <w:rPr>
          <w:position w:val="9"/>
          <w:szCs w:val="22"/>
          <w:vertAlign w:val="superscript"/>
          <w:lang w:eastAsia="el-GR"/>
        </w:rPr>
        <w:t xml:space="preserve">2 </w:t>
      </w:r>
      <w:r w:rsidRPr="00823F84">
        <w:rPr>
          <w:szCs w:val="22"/>
          <w:lang w:eastAsia="el-GR"/>
        </w:rPr>
        <w:t>/l</w:t>
      </w:r>
      <w:r w:rsidRPr="00823F84">
        <w:rPr>
          <w:position w:val="9"/>
          <w:szCs w:val="22"/>
          <w:vertAlign w:val="superscript"/>
          <w:lang w:eastAsia="el-GR"/>
        </w:rPr>
        <w:t xml:space="preserve">2 </w:t>
      </w:r>
      <w:r w:rsidRPr="00823F84">
        <w:rPr>
          <w:szCs w:val="22"/>
          <w:lang w:eastAsia="el-GR"/>
        </w:rPr>
        <w:t>(65 mg</w:t>
      </w:r>
      <w:r w:rsidRPr="00823F84">
        <w:rPr>
          <w:position w:val="9"/>
          <w:szCs w:val="22"/>
          <w:vertAlign w:val="superscript"/>
          <w:lang w:eastAsia="el-GR"/>
        </w:rPr>
        <w:t xml:space="preserve">2 </w:t>
      </w:r>
      <w:r w:rsidRPr="00823F84">
        <w:rPr>
          <w:szCs w:val="22"/>
          <w:lang w:eastAsia="el-GR"/>
        </w:rPr>
        <w:t>/dl</w:t>
      </w:r>
      <w:r w:rsidRPr="00823F84">
        <w:rPr>
          <w:position w:val="9"/>
          <w:szCs w:val="22"/>
          <w:vertAlign w:val="superscript"/>
          <w:lang w:eastAsia="el-GR"/>
        </w:rPr>
        <w:t>2</w:t>
      </w:r>
      <w:r w:rsidRPr="00823F84">
        <w:rPr>
          <w:szCs w:val="22"/>
          <w:lang w:eastAsia="el-GR"/>
        </w:rPr>
        <w:t>), η δοσολογία πρέπει να μειωθεί ή να διακοπεί η χορήγηση έως ότου οι παράμετροι αυτές να εξομαλυνθούν. Στη συνέχεια, η χορήγηση τ</w:t>
      </w:r>
      <w:r w:rsidR="00EE2894">
        <w:rPr>
          <w:szCs w:val="22"/>
          <w:lang w:eastAsia="el-GR"/>
        </w:rPr>
        <w:t>ης</w:t>
      </w:r>
      <w:r w:rsidRPr="00823F84">
        <w:rPr>
          <w:szCs w:val="22"/>
          <w:lang w:eastAsia="el-GR"/>
        </w:rPr>
        <w:t xml:space="preserve"> </w:t>
      </w:r>
      <w:r w:rsidR="00E4476D" w:rsidRPr="00823F84">
        <w:rPr>
          <w:szCs w:val="22"/>
          <w:lang w:eastAsia="el-GR"/>
        </w:rPr>
        <w:t>paricalcitol</w:t>
      </w:r>
      <w:r w:rsidRPr="00823F84">
        <w:rPr>
          <w:szCs w:val="22"/>
          <w:lang w:eastAsia="el-GR"/>
        </w:rPr>
        <w:t xml:space="preserve"> θα πρέπει να ξαναξεκινήσει με χαμηλότερη δόση. Ενδέχεται να απαιτηθεί μείωση των δόσεων καθώς τα επίπεδα της ΡΤΗ μειώνονται ως αποτέλεσμα της θεραπείας. </w:t>
      </w:r>
    </w:p>
    <w:p w:rsidR="009E6C7B" w:rsidRPr="007F2989" w:rsidRDefault="009E6C7B" w:rsidP="009E6C7B">
      <w:pPr>
        <w:autoSpaceDE w:val="0"/>
        <w:autoSpaceDN w:val="0"/>
        <w:adjustRightInd w:val="0"/>
        <w:jc w:val="both"/>
        <w:rPr>
          <w:szCs w:val="22"/>
          <w:lang w:eastAsia="el-GR"/>
        </w:rPr>
      </w:pPr>
    </w:p>
    <w:p w:rsidR="005A5401" w:rsidRPr="00823F84" w:rsidRDefault="00F02E6F" w:rsidP="00600AAA">
      <w:pPr>
        <w:autoSpaceDE w:val="0"/>
        <w:autoSpaceDN w:val="0"/>
        <w:adjustRightInd w:val="0"/>
        <w:jc w:val="both"/>
        <w:rPr>
          <w:szCs w:val="22"/>
          <w:lang w:eastAsia="el-GR"/>
        </w:rPr>
      </w:pPr>
      <w:r w:rsidRPr="00823F84">
        <w:rPr>
          <w:szCs w:val="22"/>
          <w:lang w:eastAsia="el-GR"/>
        </w:rPr>
        <w:t>Ο παρακάτω πίνακας είναι μια προτεινόμενη προσέγγιση για την τιτλοποίηση της δόσης:</w:t>
      </w:r>
    </w:p>
    <w:p w:rsidR="00600AAA" w:rsidRPr="00823F84" w:rsidRDefault="00600AAA" w:rsidP="00600AAA">
      <w:pPr>
        <w:autoSpaceDE w:val="0"/>
        <w:autoSpaceDN w:val="0"/>
        <w:adjustRightInd w:val="0"/>
        <w:jc w:val="both"/>
        <w:rPr>
          <w:szCs w:val="22"/>
          <w:lang w:eastAsia="el-GR"/>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678"/>
        <w:gridCol w:w="4394"/>
      </w:tblGrid>
      <w:tr w:rsidR="0009734B" w:rsidRPr="00823F84" w:rsidTr="001E206C">
        <w:trPr>
          <w:trHeight w:val="886"/>
        </w:trPr>
        <w:tc>
          <w:tcPr>
            <w:tcW w:w="9072" w:type="dxa"/>
            <w:gridSpan w:val="2"/>
          </w:tcPr>
          <w:p w:rsidR="0009734B" w:rsidRPr="00823F84" w:rsidRDefault="0009734B" w:rsidP="00C532E0">
            <w:pPr>
              <w:autoSpaceDE w:val="0"/>
              <w:autoSpaceDN w:val="0"/>
              <w:adjustRightInd w:val="0"/>
              <w:jc w:val="both"/>
              <w:rPr>
                <w:b/>
                <w:szCs w:val="22"/>
                <w:lang w:eastAsia="el-GR"/>
              </w:rPr>
            </w:pPr>
            <w:r w:rsidRPr="00823F84">
              <w:rPr>
                <w:b/>
                <w:szCs w:val="22"/>
                <w:lang w:eastAsia="el-GR"/>
              </w:rPr>
              <w:t xml:space="preserve">Οδηγίες για την προτεινόμενη δοσολογία </w:t>
            </w:r>
          </w:p>
          <w:p w:rsidR="00972258" w:rsidRPr="00823F84" w:rsidRDefault="00972258" w:rsidP="00C532E0">
            <w:pPr>
              <w:autoSpaceDE w:val="0"/>
              <w:autoSpaceDN w:val="0"/>
              <w:adjustRightInd w:val="0"/>
              <w:jc w:val="both"/>
              <w:rPr>
                <w:b/>
                <w:szCs w:val="22"/>
                <w:lang w:eastAsia="el-GR"/>
              </w:rPr>
            </w:pPr>
          </w:p>
          <w:p w:rsidR="0009734B" w:rsidRPr="00823F84" w:rsidRDefault="0009734B" w:rsidP="00C532E0">
            <w:pPr>
              <w:autoSpaceDE w:val="0"/>
              <w:autoSpaceDN w:val="0"/>
              <w:adjustRightInd w:val="0"/>
              <w:jc w:val="both"/>
              <w:rPr>
                <w:color w:val="000000"/>
                <w:szCs w:val="22"/>
                <w:lang w:eastAsia="el-GR"/>
              </w:rPr>
            </w:pPr>
            <w:r w:rsidRPr="00823F84">
              <w:rPr>
                <w:b/>
                <w:szCs w:val="22"/>
                <w:lang w:eastAsia="el-GR"/>
              </w:rPr>
              <w:t>(Τιτλοποίηση δόσης ανά διαστήματα 2-4 εβδομάδων)</w:t>
            </w:r>
          </w:p>
        </w:tc>
      </w:tr>
      <w:tr w:rsidR="007F6131" w:rsidRPr="00823F84" w:rsidTr="00050B66">
        <w:trPr>
          <w:trHeight w:val="550"/>
        </w:trPr>
        <w:tc>
          <w:tcPr>
            <w:tcW w:w="4678" w:type="dxa"/>
          </w:tcPr>
          <w:p w:rsidR="007F6131" w:rsidRPr="00823F84" w:rsidRDefault="007F6131" w:rsidP="00C532E0">
            <w:pPr>
              <w:autoSpaceDE w:val="0"/>
              <w:autoSpaceDN w:val="0"/>
              <w:adjustRightInd w:val="0"/>
              <w:jc w:val="both"/>
              <w:rPr>
                <w:b/>
                <w:color w:val="000000"/>
                <w:szCs w:val="22"/>
                <w:lang w:eastAsia="el-GR"/>
              </w:rPr>
            </w:pPr>
            <w:r w:rsidRPr="00823F84">
              <w:rPr>
                <w:b/>
                <w:color w:val="000000"/>
                <w:szCs w:val="22"/>
                <w:lang w:eastAsia="el-GR"/>
              </w:rPr>
              <w:t xml:space="preserve">Επίπεδα ακέραιης PTH (iPTH) σε σχέση με τα </w:t>
            </w:r>
          </w:p>
          <w:p w:rsidR="007F6131" w:rsidRPr="00823F84" w:rsidRDefault="007F6131" w:rsidP="00C532E0">
            <w:pPr>
              <w:autoSpaceDE w:val="0"/>
              <w:autoSpaceDN w:val="0"/>
              <w:adjustRightInd w:val="0"/>
              <w:jc w:val="both"/>
              <w:rPr>
                <w:b/>
                <w:color w:val="000000"/>
                <w:szCs w:val="22"/>
                <w:lang w:eastAsia="el-GR"/>
              </w:rPr>
            </w:pPr>
            <w:r w:rsidRPr="00823F84">
              <w:rPr>
                <w:b/>
                <w:color w:val="000000"/>
                <w:szCs w:val="22"/>
                <w:lang w:eastAsia="el-GR"/>
              </w:rPr>
              <w:t xml:space="preserve">αρχικά επίπεδα </w:t>
            </w:r>
          </w:p>
        </w:tc>
        <w:tc>
          <w:tcPr>
            <w:tcW w:w="4394" w:type="dxa"/>
          </w:tcPr>
          <w:p w:rsidR="007F6131" w:rsidRPr="00823F84" w:rsidRDefault="007F6131" w:rsidP="00C532E0">
            <w:pPr>
              <w:autoSpaceDE w:val="0"/>
              <w:autoSpaceDN w:val="0"/>
              <w:adjustRightInd w:val="0"/>
              <w:jc w:val="both"/>
              <w:rPr>
                <w:b/>
                <w:color w:val="000000"/>
                <w:szCs w:val="22"/>
                <w:lang w:eastAsia="el-GR"/>
              </w:rPr>
            </w:pPr>
            <w:r w:rsidRPr="00823F84">
              <w:rPr>
                <w:b/>
                <w:color w:val="000000"/>
                <w:szCs w:val="22"/>
                <w:lang w:eastAsia="el-GR"/>
              </w:rPr>
              <w:t xml:space="preserve">Τιτλοποίηση δόσης </w:t>
            </w:r>
          </w:p>
          <w:p w:rsidR="007F6131" w:rsidRPr="00823F84" w:rsidRDefault="00EE2894" w:rsidP="00C532E0">
            <w:pPr>
              <w:autoSpaceDE w:val="0"/>
              <w:autoSpaceDN w:val="0"/>
              <w:adjustRightInd w:val="0"/>
              <w:jc w:val="both"/>
              <w:rPr>
                <w:b/>
                <w:color w:val="000000"/>
                <w:szCs w:val="22"/>
                <w:lang w:eastAsia="el-GR"/>
              </w:rPr>
            </w:pPr>
            <w:r w:rsidRPr="00EE2894">
              <w:rPr>
                <w:b/>
                <w:color w:val="000000"/>
                <w:szCs w:val="22"/>
                <w:lang w:eastAsia="el-GR"/>
              </w:rPr>
              <w:t>paricalcitol</w:t>
            </w:r>
          </w:p>
        </w:tc>
      </w:tr>
      <w:tr w:rsidR="007F6131" w:rsidRPr="00823F84" w:rsidTr="00050B66">
        <w:trPr>
          <w:trHeight w:val="424"/>
        </w:trPr>
        <w:tc>
          <w:tcPr>
            <w:tcW w:w="4678" w:type="dxa"/>
            <w:vAlign w:val="center"/>
          </w:tcPr>
          <w:p w:rsidR="007F6131" w:rsidRPr="00823F84" w:rsidRDefault="007F6131" w:rsidP="00C532E0">
            <w:pPr>
              <w:autoSpaceDE w:val="0"/>
              <w:autoSpaceDN w:val="0"/>
              <w:adjustRightInd w:val="0"/>
              <w:jc w:val="both"/>
              <w:rPr>
                <w:color w:val="000000"/>
                <w:szCs w:val="22"/>
                <w:lang w:eastAsia="el-GR"/>
              </w:rPr>
            </w:pPr>
            <w:r w:rsidRPr="00823F84">
              <w:rPr>
                <w:color w:val="000000"/>
                <w:szCs w:val="22"/>
                <w:lang w:eastAsia="el-GR"/>
              </w:rPr>
              <w:t xml:space="preserve">Τα ίδια ή αυξημένα </w:t>
            </w:r>
          </w:p>
        </w:tc>
        <w:tc>
          <w:tcPr>
            <w:tcW w:w="4394" w:type="dxa"/>
            <w:vMerge w:val="restart"/>
            <w:vAlign w:val="center"/>
          </w:tcPr>
          <w:p w:rsidR="007F6131" w:rsidRPr="00823F84" w:rsidRDefault="007F6131" w:rsidP="00C532E0">
            <w:pPr>
              <w:autoSpaceDE w:val="0"/>
              <w:autoSpaceDN w:val="0"/>
              <w:adjustRightInd w:val="0"/>
              <w:jc w:val="both"/>
              <w:rPr>
                <w:color w:val="000000"/>
                <w:szCs w:val="22"/>
                <w:lang w:eastAsia="el-GR"/>
              </w:rPr>
            </w:pPr>
            <w:r w:rsidRPr="00823F84">
              <w:rPr>
                <w:color w:val="000000"/>
                <w:szCs w:val="22"/>
                <w:lang w:eastAsia="el-GR"/>
              </w:rPr>
              <w:t xml:space="preserve">Αύξηση κατά 2 έως 4 μικρογραμμάρια </w:t>
            </w:r>
          </w:p>
        </w:tc>
      </w:tr>
      <w:tr w:rsidR="007F6131" w:rsidRPr="00823F84" w:rsidTr="00050B66">
        <w:trPr>
          <w:trHeight w:val="540"/>
        </w:trPr>
        <w:tc>
          <w:tcPr>
            <w:tcW w:w="4678" w:type="dxa"/>
          </w:tcPr>
          <w:p w:rsidR="007F6131" w:rsidRPr="00823F84" w:rsidRDefault="007F6131" w:rsidP="00C532E0">
            <w:pPr>
              <w:autoSpaceDE w:val="0"/>
              <w:autoSpaceDN w:val="0"/>
              <w:adjustRightInd w:val="0"/>
              <w:jc w:val="both"/>
              <w:rPr>
                <w:color w:val="000000"/>
                <w:szCs w:val="22"/>
                <w:lang w:eastAsia="el-GR"/>
              </w:rPr>
            </w:pPr>
            <w:r w:rsidRPr="00823F84">
              <w:rPr>
                <w:color w:val="000000"/>
                <w:szCs w:val="22"/>
                <w:lang w:eastAsia="el-GR"/>
              </w:rPr>
              <w:t xml:space="preserve">Μειωμένα κατά &lt; 30% </w:t>
            </w:r>
          </w:p>
        </w:tc>
        <w:tc>
          <w:tcPr>
            <w:tcW w:w="4394" w:type="dxa"/>
            <w:vMerge/>
          </w:tcPr>
          <w:p w:rsidR="007F6131" w:rsidRPr="00823F84" w:rsidRDefault="007F6131" w:rsidP="00C532E0">
            <w:pPr>
              <w:autoSpaceDE w:val="0"/>
              <w:autoSpaceDN w:val="0"/>
              <w:adjustRightInd w:val="0"/>
              <w:jc w:val="both"/>
              <w:rPr>
                <w:color w:val="000000"/>
                <w:szCs w:val="22"/>
                <w:lang w:eastAsia="el-GR"/>
              </w:rPr>
            </w:pPr>
          </w:p>
        </w:tc>
      </w:tr>
      <w:tr w:rsidR="005A5401" w:rsidRPr="00823F84" w:rsidTr="00050B66">
        <w:trPr>
          <w:trHeight w:val="450"/>
        </w:trPr>
        <w:tc>
          <w:tcPr>
            <w:tcW w:w="4678" w:type="dxa"/>
            <w:vAlign w:val="center"/>
          </w:tcPr>
          <w:p w:rsidR="005A5401" w:rsidRPr="00823F84" w:rsidRDefault="005A5401" w:rsidP="00C532E0">
            <w:pPr>
              <w:autoSpaceDE w:val="0"/>
              <w:autoSpaceDN w:val="0"/>
              <w:adjustRightInd w:val="0"/>
              <w:jc w:val="both"/>
              <w:rPr>
                <w:color w:val="000000"/>
                <w:szCs w:val="22"/>
                <w:lang w:eastAsia="el-GR"/>
              </w:rPr>
            </w:pPr>
            <w:r w:rsidRPr="00823F84">
              <w:rPr>
                <w:color w:val="000000"/>
                <w:szCs w:val="22"/>
                <w:lang w:eastAsia="el-GR"/>
              </w:rPr>
              <w:t xml:space="preserve">Μειωμένα κατά </w:t>
            </w:r>
            <w:r w:rsidR="00016612" w:rsidRPr="00823F84">
              <w:rPr>
                <w:color w:val="000000"/>
                <w:szCs w:val="22"/>
                <w:lang w:eastAsia="el-GR"/>
              </w:rPr>
              <w:t>≥</w:t>
            </w:r>
            <w:r w:rsidRPr="00823F84">
              <w:rPr>
                <w:color w:val="000000"/>
                <w:szCs w:val="22"/>
                <w:lang w:eastAsia="el-GR"/>
              </w:rPr>
              <w:t xml:space="preserve">30%, </w:t>
            </w:r>
            <w:r w:rsidR="00016612" w:rsidRPr="00823F84">
              <w:rPr>
                <w:color w:val="000000"/>
                <w:szCs w:val="22"/>
                <w:lang w:eastAsia="el-GR"/>
              </w:rPr>
              <w:t>≤</w:t>
            </w:r>
            <w:r w:rsidRPr="00823F84">
              <w:rPr>
                <w:color w:val="000000"/>
                <w:szCs w:val="22"/>
                <w:lang w:eastAsia="el-GR"/>
              </w:rPr>
              <w:t xml:space="preserve">60% </w:t>
            </w:r>
          </w:p>
        </w:tc>
        <w:tc>
          <w:tcPr>
            <w:tcW w:w="4394" w:type="dxa"/>
          </w:tcPr>
          <w:p w:rsidR="005A5401" w:rsidRPr="00823F84" w:rsidRDefault="005A5401" w:rsidP="00C532E0">
            <w:pPr>
              <w:autoSpaceDE w:val="0"/>
              <w:autoSpaceDN w:val="0"/>
              <w:adjustRightInd w:val="0"/>
              <w:jc w:val="both"/>
              <w:rPr>
                <w:color w:val="000000"/>
                <w:szCs w:val="22"/>
                <w:lang w:eastAsia="el-GR"/>
              </w:rPr>
            </w:pPr>
            <w:r w:rsidRPr="00823F84">
              <w:rPr>
                <w:color w:val="000000"/>
                <w:szCs w:val="22"/>
                <w:lang w:eastAsia="el-GR"/>
              </w:rPr>
              <w:t xml:space="preserve">Διατήρηση </w:t>
            </w:r>
          </w:p>
        </w:tc>
      </w:tr>
      <w:tr w:rsidR="00B80D59" w:rsidRPr="00823F84" w:rsidTr="00050B66">
        <w:trPr>
          <w:trHeight w:val="426"/>
        </w:trPr>
        <w:tc>
          <w:tcPr>
            <w:tcW w:w="4678" w:type="dxa"/>
            <w:vAlign w:val="center"/>
          </w:tcPr>
          <w:p w:rsidR="00B80D59" w:rsidRPr="00823F84" w:rsidRDefault="00B80D59" w:rsidP="00C532E0">
            <w:pPr>
              <w:autoSpaceDE w:val="0"/>
              <w:autoSpaceDN w:val="0"/>
              <w:adjustRightInd w:val="0"/>
              <w:jc w:val="both"/>
              <w:rPr>
                <w:color w:val="000000"/>
                <w:szCs w:val="22"/>
                <w:lang w:eastAsia="el-GR"/>
              </w:rPr>
            </w:pPr>
            <w:r w:rsidRPr="00823F84">
              <w:rPr>
                <w:color w:val="000000"/>
                <w:szCs w:val="22"/>
                <w:lang w:eastAsia="el-GR"/>
              </w:rPr>
              <w:t xml:space="preserve">Μειωμένα κατά &gt; 60% </w:t>
            </w:r>
          </w:p>
        </w:tc>
        <w:tc>
          <w:tcPr>
            <w:tcW w:w="4394" w:type="dxa"/>
            <w:vMerge w:val="restart"/>
            <w:vAlign w:val="center"/>
          </w:tcPr>
          <w:p w:rsidR="00B80D59" w:rsidRPr="00823F84" w:rsidRDefault="00B80D59" w:rsidP="00C532E0">
            <w:pPr>
              <w:autoSpaceDE w:val="0"/>
              <w:autoSpaceDN w:val="0"/>
              <w:adjustRightInd w:val="0"/>
              <w:jc w:val="both"/>
              <w:rPr>
                <w:color w:val="000000"/>
                <w:szCs w:val="22"/>
                <w:lang w:eastAsia="el-GR"/>
              </w:rPr>
            </w:pPr>
            <w:r w:rsidRPr="00823F84">
              <w:rPr>
                <w:color w:val="000000"/>
                <w:szCs w:val="22"/>
                <w:lang w:eastAsia="el-GR"/>
              </w:rPr>
              <w:t xml:space="preserve">Μείωση κατά 2 έως 4 μικρογραμμάρια </w:t>
            </w:r>
          </w:p>
        </w:tc>
      </w:tr>
      <w:tr w:rsidR="00B80D59" w:rsidRPr="007F2989" w:rsidTr="00AA165F">
        <w:trPr>
          <w:trHeight w:val="650"/>
        </w:trPr>
        <w:tc>
          <w:tcPr>
            <w:tcW w:w="4678" w:type="dxa"/>
            <w:vAlign w:val="bottom"/>
          </w:tcPr>
          <w:p w:rsidR="00B80D59" w:rsidRPr="00823F84" w:rsidRDefault="00B80D59" w:rsidP="00C532E0">
            <w:pPr>
              <w:autoSpaceDE w:val="0"/>
              <w:autoSpaceDN w:val="0"/>
              <w:adjustRightInd w:val="0"/>
              <w:jc w:val="both"/>
              <w:rPr>
                <w:color w:val="000000"/>
                <w:szCs w:val="22"/>
                <w:lang w:val="en-US" w:eastAsia="el-GR"/>
              </w:rPr>
            </w:pPr>
            <w:r w:rsidRPr="00823F84">
              <w:rPr>
                <w:color w:val="000000"/>
                <w:szCs w:val="22"/>
                <w:lang w:eastAsia="el-GR"/>
              </w:rPr>
              <w:t>Ι</w:t>
            </w:r>
            <w:r w:rsidRPr="00823F84">
              <w:rPr>
                <w:color w:val="000000"/>
                <w:szCs w:val="22"/>
                <w:lang w:val="en-US" w:eastAsia="el-GR"/>
              </w:rPr>
              <w:t xml:space="preserve">PTH &lt; 15,9 </w:t>
            </w:r>
            <w:proofErr w:type="spellStart"/>
            <w:r w:rsidRPr="00823F84">
              <w:rPr>
                <w:color w:val="000000"/>
                <w:szCs w:val="22"/>
                <w:lang w:val="en-US" w:eastAsia="el-GR"/>
              </w:rPr>
              <w:t>pmol</w:t>
            </w:r>
            <w:proofErr w:type="spellEnd"/>
            <w:r w:rsidRPr="00823F84">
              <w:rPr>
                <w:color w:val="000000"/>
                <w:szCs w:val="22"/>
                <w:lang w:val="en-US" w:eastAsia="el-GR"/>
              </w:rPr>
              <w:t xml:space="preserve">/l (150 pg/ml) </w:t>
            </w:r>
          </w:p>
        </w:tc>
        <w:tc>
          <w:tcPr>
            <w:tcW w:w="4394" w:type="dxa"/>
            <w:vMerge/>
            <w:vAlign w:val="bottom"/>
          </w:tcPr>
          <w:p w:rsidR="00B80D59" w:rsidRPr="00823F84" w:rsidRDefault="00B80D59" w:rsidP="00C532E0">
            <w:pPr>
              <w:autoSpaceDE w:val="0"/>
              <w:autoSpaceDN w:val="0"/>
              <w:adjustRightInd w:val="0"/>
              <w:jc w:val="both"/>
              <w:rPr>
                <w:color w:val="000000"/>
                <w:szCs w:val="22"/>
                <w:lang w:val="en-US" w:eastAsia="el-GR"/>
              </w:rPr>
            </w:pPr>
          </w:p>
        </w:tc>
      </w:tr>
    </w:tbl>
    <w:p w:rsidR="005A5401" w:rsidRPr="00823F84" w:rsidRDefault="005A5401" w:rsidP="00C532E0">
      <w:pPr>
        <w:autoSpaceDE w:val="0"/>
        <w:autoSpaceDN w:val="0"/>
        <w:adjustRightInd w:val="0"/>
        <w:jc w:val="both"/>
        <w:rPr>
          <w:szCs w:val="22"/>
          <w:lang w:val="en-US" w:eastAsia="el-GR"/>
        </w:rPr>
      </w:pPr>
    </w:p>
    <w:p w:rsidR="005A5401" w:rsidRPr="004A5F6F" w:rsidRDefault="005A5401" w:rsidP="00823F84">
      <w:pPr>
        <w:autoSpaceDE w:val="0"/>
        <w:autoSpaceDN w:val="0"/>
        <w:adjustRightInd w:val="0"/>
        <w:jc w:val="both"/>
        <w:rPr>
          <w:color w:val="000000"/>
          <w:szCs w:val="22"/>
          <w:lang w:eastAsia="el-GR"/>
        </w:rPr>
      </w:pPr>
      <w:r w:rsidRPr="007F2989">
        <w:rPr>
          <w:color w:val="000000"/>
          <w:szCs w:val="22"/>
          <w:lang w:eastAsia="el-GR"/>
        </w:rPr>
        <w:t xml:space="preserve">Αφού καθορισθεί η δοσολογία, το ασβέστιο και ο φωσφόρος του ορού θα πρέπει να μετρώνται τουλάχιστον μία φορά το μήνα. Μετρήσεις της </w:t>
      </w:r>
      <w:proofErr w:type="spellStart"/>
      <w:r w:rsidRPr="00823F84">
        <w:rPr>
          <w:color w:val="000000"/>
          <w:szCs w:val="22"/>
          <w:lang w:val="en-US" w:eastAsia="el-GR"/>
        </w:rPr>
        <w:t>iPTH</w:t>
      </w:r>
      <w:proofErr w:type="spellEnd"/>
      <w:r w:rsidRPr="007F2989">
        <w:rPr>
          <w:color w:val="000000"/>
          <w:szCs w:val="22"/>
          <w:lang w:eastAsia="el-GR"/>
        </w:rPr>
        <w:t xml:space="preserve"> στον ορό συνιστώνται κάθε τρεις μήνες. </w:t>
      </w:r>
      <w:r w:rsidRPr="004A5F6F">
        <w:rPr>
          <w:color w:val="000000"/>
          <w:szCs w:val="22"/>
          <w:lang w:eastAsia="el-GR"/>
        </w:rPr>
        <w:t xml:space="preserve">Κατά την προσαρμογή της δοσολογίας </w:t>
      </w:r>
      <w:r w:rsidR="007A770E" w:rsidRPr="004A5F6F">
        <w:rPr>
          <w:color w:val="000000"/>
          <w:szCs w:val="22"/>
          <w:lang w:eastAsia="el-GR"/>
        </w:rPr>
        <w:t>του</w:t>
      </w:r>
      <w:r w:rsidRPr="004A5F6F">
        <w:rPr>
          <w:color w:val="000000"/>
          <w:szCs w:val="22"/>
          <w:lang w:eastAsia="el-GR"/>
        </w:rPr>
        <w:t xml:space="preserve">, μπορεί να χρειαστούν συχνότερες εργαστηριακές εξετάσεις. </w:t>
      </w:r>
    </w:p>
    <w:p w:rsidR="004C17F5" w:rsidRPr="00823F84" w:rsidRDefault="004C17F5" w:rsidP="004C17F5">
      <w:pPr>
        <w:autoSpaceDE w:val="0"/>
        <w:autoSpaceDN w:val="0"/>
        <w:adjustRightInd w:val="0"/>
        <w:ind w:right="210"/>
        <w:jc w:val="both"/>
        <w:rPr>
          <w:szCs w:val="22"/>
          <w:lang w:eastAsia="el-GR"/>
        </w:rPr>
      </w:pPr>
    </w:p>
    <w:p w:rsidR="005A5401" w:rsidRPr="00823F84" w:rsidRDefault="005A5401" w:rsidP="004C17F5">
      <w:pPr>
        <w:autoSpaceDE w:val="0"/>
        <w:autoSpaceDN w:val="0"/>
        <w:adjustRightInd w:val="0"/>
        <w:jc w:val="both"/>
        <w:rPr>
          <w:szCs w:val="22"/>
          <w:lang w:eastAsia="el-GR"/>
        </w:rPr>
      </w:pPr>
      <w:r w:rsidRPr="00823F84">
        <w:rPr>
          <w:szCs w:val="22"/>
          <w:u w:val="single"/>
          <w:lang w:eastAsia="el-GR"/>
        </w:rPr>
        <w:t xml:space="preserve">Ηπατική ανεπάρκεια </w:t>
      </w:r>
    </w:p>
    <w:p w:rsidR="005A5401" w:rsidRPr="00823F84" w:rsidRDefault="005A5401" w:rsidP="004C17F5">
      <w:pPr>
        <w:autoSpaceDE w:val="0"/>
        <w:autoSpaceDN w:val="0"/>
        <w:adjustRightInd w:val="0"/>
        <w:jc w:val="both"/>
        <w:rPr>
          <w:szCs w:val="22"/>
          <w:lang w:eastAsia="el-GR"/>
        </w:rPr>
      </w:pPr>
      <w:r w:rsidRPr="00823F84">
        <w:rPr>
          <w:szCs w:val="22"/>
          <w:lang w:eastAsia="el-GR"/>
        </w:rPr>
        <w:t>Οι συγκεντρώσεις αδέσμευτ</w:t>
      </w:r>
      <w:r w:rsidR="00EE2894">
        <w:rPr>
          <w:szCs w:val="22"/>
          <w:lang w:eastAsia="el-GR"/>
        </w:rPr>
        <w:t>ης</w:t>
      </w:r>
      <w:r w:rsidRPr="00823F84">
        <w:rPr>
          <w:szCs w:val="22"/>
          <w:lang w:eastAsia="el-GR"/>
        </w:rPr>
        <w:t xml:space="preserve"> </w:t>
      </w:r>
      <w:r w:rsidR="004A5F6F" w:rsidRPr="004A5F6F">
        <w:rPr>
          <w:szCs w:val="22"/>
          <w:lang w:eastAsia="el-GR"/>
        </w:rPr>
        <w:t xml:space="preserve">paricalcitol </w:t>
      </w:r>
      <w:r w:rsidRPr="00823F84">
        <w:rPr>
          <w:szCs w:val="22"/>
          <w:lang w:eastAsia="el-GR"/>
        </w:rPr>
        <w:t>σε ασθενείς με ήπια έως μέτρια ηπατική ανεπάρκεια είναι παρόμο</w:t>
      </w:r>
      <w:r w:rsidR="00264CBD">
        <w:rPr>
          <w:szCs w:val="22"/>
          <w:lang w:eastAsia="el-GR"/>
        </w:rPr>
        <w:t>ιες με εκείνες των υγιών ατόμων</w:t>
      </w:r>
      <w:r w:rsidRPr="00823F84">
        <w:rPr>
          <w:szCs w:val="22"/>
          <w:lang w:eastAsia="el-GR"/>
        </w:rPr>
        <w:t xml:space="preserve"> και δε χρειάζεται προσαρμογή της δόσης στο συγκεκριμένο πληθυσμό ασθενών. Δεν υπάρχει εμπειρία σε ασθενείς με σοβαρή ηπατική ανεπάρκεια. </w:t>
      </w:r>
    </w:p>
    <w:p w:rsidR="004C17F5" w:rsidRPr="00823F84" w:rsidRDefault="004C17F5" w:rsidP="004C17F5">
      <w:pPr>
        <w:autoSpaceDE w:val="0"/>
        <w:autoSpaceDN w:val="0"/>
        <w:adjustRightInd w:val="0"/>
        <w:jc w:val="both"/>
        <w:rPr>
          <w:szCs w:val="22"/>
          <w:lang w:eastAsia="el-GR"/>
        </w:rPr>
      </w:pPr>
    </w:p>
    <w:p w:rsidR="00BF32FC" w:rsidRPr="00823F84" w:rsidRDefault="00A965B2" w:rsidP="004C17F5">
      <w:pPr>
        <w:autoSpaceDE w:val="0"/>
        <w:autoSpaceDN w:val="0"/>
        <w:adjustRightInd w:val="0"/>
        <w:jc w:val="both"/>
        <w:rPr>
          <w:szCs w:val="22"/>
          <w:u w:val="single"/>
          <w:lang w:eastAsia="el-GR"/>
        </w:rPr>
      </w:pPr>
      <w:r w:rsidRPr="00A965B2">
        <w:rPr>
          <w:szCs w:val="22"/>
          <w:u w:val="single"/>
          <w:lang w:eastAsia="el-GR"/>
        </w:rPr>
        <w:t>Παιδιατρικός πληθυσμός</w:t>
      </w:r>
      <w:r w:rsidRPr="00A965B2" w:rsidDel="00A965B2">
        <w:rPr>
          <w:szCs w:val="22"/>
          <w:u w:val="single"/>
          <w:lang w:eastAsia="el-GR"/>
        </w:rPr>
        <w:t xml:space="preserve"> </w:t>
      </w:r>
      <w:r w:rsidR="005A5401" w:rsidRPr="00823F84">
        <w:rPr>
          <w:szCs w:val="22"/>
          <w:u w:val="single"/>
          <w:lang w:eastAsia="el-GR"/>
        </w:rPr>
        <w:t>(0-18 ετών)</w:t>
      </w:r>
    </w:p>
    <w:p w:rsidR="005A5401" w:rsidRPr="00823F84" w:rsidRDefault="005A5401" w:rsidP="004C17F5">
      <w:pPr>
        <w:autoSpaceDE w:val="0"/>
        <w:autoSpaceDN w:val="0"/>
        <w:adjustRightInd w:val="0"/>
        <w:jc w:val="both"/>
        <w:rPr>
          <w:szCs w:val="22"/>
          <w:u w:val="single"/>
          <w:lang w:eastAsia="el-GR"/>
        </w:rPr>
      </w:pPr>
      <w:r w:rsidRPr="00823F84">
        <w:rPr>
          <w:szCs w:val="22"/>
          <w:lang w:eastAsia="el-GR"/>
        </w:rPr>
        <w:t xml:space="preserve">Η ασφάλεια και αποτελεσματικότητα του </w:t>
      </w:r>
      <w:r w:rsidR="000759D6" w:rsidRPr="000759D6">
        <w:rPr>
          <w:szCs w:val="22"/>
          <w:lang w:eastAsia="el-GR"/>
        </w:rPr>
        <w:t>ZILIDOR</w:t>
      </w:r>
      <w:r w:rsidRPr="00823F84">
        <w:rPr>
          <w:szCs w:val="22"/>
          <w:lang w:eastAsia="el-GR"/>
        </w:rPr>
        <w:t xml:space="preserve"> σε παιδιά δεν έχει τεκμηριωθεί. Δεν υπάρχουν</w:t>
      </w:r>
      <w:r w:rsidR="00BC4C6F">
        <w:rPr>
          <w:szCs w:val="22"/>
          <w:lang w:eastAsia="el-GR"/>
        </w:rPr>
        <w:t xml:space="preserve"> </w:t>
      </w:r>
      <w:r w:rsidRPr="00823F84">
        <w:rPr>
          <w:szCs w:val="22"/>
          <w:lang w:eastAsia="el-GR"/>
        </w:rPr>
        <w:t>διαθέσιμα στοιχεία για παιδιά κάτω των 5 ετών. Τα μέχρι σήμερα διαθέσιμα δεδομένα για</w:t>
      </w:r>
      <w:r w:rsidR="00BC4C6F">
        <w:rPr>
          <w:szCs w:val="22"/>
          <w:lang w:eastAsia="el-GR"/>
        </w:rPr>
        <w:t xml:space="preserve"> </w:t>
      </w:r>
      <w:r w:rsidRPr="00823F84">
        <w:rPr>
          <w:szCs w:val="22"/>
          <w:lang w:eastAsia="el-GR"/>
        </w:rPr>
        <w:t>παιδιατρικούς ασθενείς περιγράφονται στην παράγραφο 5.1.</w:t>
      </w:r>
    </w:p>
    <w:p w:rsidR="004C17F5" w:rsidRPr="00823F84" w:rsidRDefault="004C17F5" w:rsidP="004C17F5">
      <w:pPr>
        <w:autoSpaceDE w:val="0"/>
        <w:autoSpaceDN w:val="0"/>
        <w:adjustRightInd w:val="0"/>
        <w:jc w:val="both"/>
        <w:rPr>
          <w:szCs w:val="22"/>
          <w:lang w:eastAsia="el-GR"/>
        </w:rPr>
      </w:pPr>
    </w:p>
    <w:p w:rsidR="004C17F5" w:rsidRPr="00823F84" w:rsidRDefault="005A5401" w:rsidP="004C17F5">
      <w:pPr>
        <w:autoSpaceDE w:val="0"/>
        <w:autoSpaceDN w:val="0"/>
        <w:adjustRightInd w:val="0"/>
        <w:jc w:val="both"/>
        <w:rPr>
          <w:szCs w:val="22"/>
          <w:u w:val="single"/>
          <w:lang w:eastAsia="el-GR"/>
        </w:rPr>
      </w:pPr>
      <w:r w:rsidRPr="00823F84">
        <w:rPr>
          <w:szCs w:val="22"/>
          <w:u w:val="single"/>
          <w:lang w:eastAsia="el-GR"/>
        </w:rPr>
        <w:t>Ηλικιωμένοι Ασθενείς (&gt;65 ετών)</w:t>
      </w:r>
    </w:p>
    <w:p w:rsidR="005A5401" w:rsidRPr="00823F84" w:rsidRDefault="005A5401" w:rsidP="004C17F5">
      <w:pPr>
        <w:autoSpaceDE w:val="0"/>
        <w:autoSpaceDN w:val="0"/>
        <w:adjustRightInd w:val="0"/>
        <w:jc w:val="both"/>
        <w:rPr>
          <w:szCs w:val="22"/>
          <w:lang w:eastAsia="el-GR"/>
        </w:rPr>
      </w:pPr>
      <w:r w:rsidRPr="00823F84">
        <w:rPr>
          <w:szCs w:val="22"/>
          <w:lang w:eastAsia="el-GR"/>
        </w:rPr>
        <w:t xml:space="preserve">Υπάρχει περιορισμένη εμπειρία σε ασθενείς 65 ετών </w:t>
      </w:r>
      <w:r w:rsidR="00BF0E3E">
        <w:rPr>
          <w:szCs w:val="22"/>
          <w:lang w:eastAsia="el-GR"/>
        </w:rPr>
        <w:t>ή</w:t>
      </w:r>
      <w:r w:rsidR="00BF0E3E" w:rsidRPr="00823F84">
        <w:rPr>
          <w:szCs w:val="22"/>
          <w:lang w:eastAsia="el-GR"/>
        </w:rPr>
        <w:t xml:space="preserve"> </w:t>
      </w:r>
      <w:r w:rsidRPr="00823F84">
        <w:rPr>
          <w:szCs w:val="22"/>
          <w:lang w:eastAsia="el-GR"/>
        </w:rPr>
        <w:t xml:space="preserve">άνω που έλαβαν </w:t>
      </w:r>
      <w:r w:rsidR="000B1DE0" w:rsidRPr="000B1DE0">
        <w:rPr>
          <w:szCs w:val="22"/>
          <w:lang w:eastAsia="el-GR"/>
        </w:rPr>
        <w:t>paricalcitol</w:t>
      </w:r>
      <w:r w:rsidRPr="00823F84">
        <w:rPr>
          <w:szCs w:val="22"/>
          <w:lang w:eastAsia="el-GR"/>
        </w:rPr>
        <w:t xml:space="preserve"> στις μελέτες</w:t>
      </w:r>
      <w:r w:rsidR="00756EBD">
        <w:rPr>
          <w:szCs w:val="22"/>
          <w:lang w:eastAsia="el-GR"/>
        </w:rPr>
        <w:t xml:space="preserve"> </w:t>
      </w:r>
      <w:r w:rsidRPr="00823F84">
        <w:rPr>
          <w:szCs w:val="22"/>
          <w:lang w:eastAsia="el-GR"/>
        </w:rPr>
        <w:t>φάσης ΙΙΙ. Στις μελέτες αυτές, δεν παρατηρήθηκαν γενικές διαφορές ως προς την αποτελεσματικότητα</w:t>
      </w:r>
      <w:r w:rsidR="00D1030F">
        <w:rPr>
          <w:szCs w:val="22"/>
          <w:lang w:eastAsia="el-GR"/>
        </w:rPr>
        <w:t xml:space="preserve"> </w:t>
      </w:r>
      <w:r w:rsidRPr="00823F84">
        <w:rPr>
          <w:szCs w:val="22"/>
          <w:lang w:eastAsia="el-GR"/>
        </w:rPr>
        <w:t>ή την ασφάλεια μεταξύ των ασθενών 65 ετών και άνω και των νεότερων ασθενών.</w:t>
      </w:r>
    </w:p>
    <w:p w:rsidR="00496809" w:rsidRPr="00823F84" w:rsidRDefault="00496809" w:rsidP="00C532E0">
      <w:pPr>
        <w:jc w:val="both"/>
        <w:rPr>
          <w:szCs w:val="22"/>
        </w:rPr>
      </w:pPr>
    </w:p>
    <w:p w:rsidR="00496809" w:rsidRPr="00823F84" w:rsidRDefault="00496809" w:rsidP="00C532E0">
      <w:pPr>
        <w:jc w:val="both"/>
        <w:rPr>
          <w:szCs w:val="22"/>
        </w:rPr>
      </w:pPr>
      <w:r w:rsidRPr="00823F84">
        <w:rPr>
          <w:b/>
          <w:szCs w:val="22"/>
        </w:rPr>
        <w:t>4.3</w:t>
      </w:r>
      <w:r w:rsidRPr="00823F84">
        <w:rPr>
          <w:b/>
          <w:szCs w:val="22"/>
        </w:rPr>
        <w:tab/>
        <w:t>Αντενδείξεις</w:t>
      </w:r>
    </w:p>
    <w:p w:rsidR="00496809" w:rsidRPr="00823F84" w:rsidRDefault="00496809" w:rsidP="00C532E0">
      <w:pPr>
        <w:jc w:val="both"/>
        <w:rPr>
          <w:szCs w:val="22"/>
        </w:rPr>
      </w:pPr>
    </w:p>
    <w:p w:rsidR="00D77CE5" w:rsidRDefault="00271694" w:rsidP="00C532E0">
      <w:pPr>
        <w:jc w:val="both"/>
        <w:rPr>
          <w:noProof/>
          <w:szCs w:val="22"/>
        </w:rPr>
      </w:pPr>
      <w:r w:rsidRPr="00823F84">
        <w:rPr>
          <w:noProof/>
          <w:szCs w:val="22"/>
        </w:rPr>
        <w:t>Υπερευαισθησία στη</w:t>
      </w:r>
      <w:r w:rsidR="00D77CE5">
        <w:rPr>
          <w:noProof/>
          <w:szCs w:val="22"/>
        </w:rPr>
        <w:t xml:space="preserve"> </w:t>
      </w:r>
      <w:r w:rsidR="00D77CE5" w:rsidRPr="00D77CE5">
        <w:rPr>
          <w:szCs w:val="22"/>
        </w:rPr>
        <w:t xml:space="preserve">δραστική ουσία </w:t>
      </w:r>
      <w:r w:rsidRPr="00823F84">
        <w:rPr>
          <w:noProof/>
          <w:szCs w:val="22"/>
        </w:rPr>
        <w:t>ή σε κάποιο από τα έκδοχα</w:t>
      </w:r>
      <w:r w:rsidR="00D77CE5">
        <w:rPr>
          <w:noProof/>
          <w:szCs w:val="22"/>
        </w:rPr>
        <w:t>.</w:t>
      </w:r>
    </w:p>
    <w:p w:rsidR="00A25E83" w:rsidRDefault="00A25E83" w:rsidP="00C532E0">
      <w:pPr>
        <w:jc w:val="both"/>
        <w:rPr>
          <w:noProof/>
          <w:szCs w:val="22"/>
        </w:rPr>
      </w:pPr>
    </w:p>
    <w:p w:rsidR="00A25E83" w:rsidRDefault="005A5401" w:rsidP="00C532E0">
      <w:pPr>
        <w:jc w:val="both"/>
        <w:rPr>
          <w:szCs w:val="22"/>
        </w:rPr>
      </w:pPr>
      <w:r w:rsidRPr="00823F84">
        <w:rPr>
          <w:szCs w:val="22"/>
        </w:rPr>
        <w:t>Τοξικότητα Βιταμίνης D</w:t>
      </w:r>
      <w:r w:rsidR="00A25E83">
        <w:rPr>
          <w:szCs w:val="22"/>
        </w:rPr>
        <w:t>.</w:t>
      </w:r>
      <w:r w:rsidRPr="00823F84">
        <w:rPr>
          <w:szCs w:val="22"/>
        </w:rPr>
        <w:t xml:space="preserve"> </w:t>
      </w:r>
    </w:p>
    <w:p w:rsidR="00A25E83" w:rsidRDefault="00A25E83" w:rsidP="00C532E0">
      <w:pPr>
        <w:jc w:val="both"/>
        <w:rPr>
          <w:szCs w:val="22"/>
        </w:rPr>
      </w:pPr>
    </w:p>
    <w:p w:rsidR="005A5401" w:rsidRPr="00823F84" w:rsidRDefault="00A25E83" w:rsidP="00C532E0">
      <w:pPr>
        <w:jc w:val="both"/>
        <w:rPr>
          <w:szCs w:val="22"/>
        </w:rPr>
      </w:pPr>
      <w:r>
        <w:rPr>
          <w:szCs w:val="22"/>
        </w:rPr>
        <w:t>Yπερασβεστιαιμία.</w:t>
      </w:r>
    </w:p>
    <w:p w:rsidR="00496809" w:rsidRPr="00823F84" w:rsidRDefault="00496809" w:rsidP="00C532E0">
      <w:pPr>
        <w:jc w:val="both"/>
        <w:rPr>
          <w:szCs w:val="22"/>
        </w:rPr>
      </w:pPr>
    </w:p>
    <w:p w:rsidR="00496809" w:rsidRPr="00823F84" w:rsidRDefault="00496809" w:rsidP="00C532E0">
      <w:pPr>
        <w:jc w:val="both"/>
        <w:rPr>
          <w:szCs w:val="22"/>
        </w:rPr>
      </w:pPr>
      <w:r w:rsidRPr="00823F84">
        <w:rPr>
          <w:b/>
          <w:szCs w:val="22"/>
        </w:rPr>
        <w:t>4.4</w:t>
      </w:r>
      <w:r w:rsidRPr="00823F84">
        <w:rPr>
          <w:b/>
          <w:szCs w:val="22"/>
        </w:rPr>
        <w:tab/>
        <w:t>Ειδικές προειδοποιήσεις και προφυλάξεις κατά τη χρήση</w:t>
      </w:r>
    </w:p>
    <w:p w:rsidR="00056716" w:rsidRPr="00823F84" w:rsidRDefault="00056716" w:rsidP="00C532E0">
      <w:pPr>
        <w:jc w:val="both"/>
        <w:rPr>
          <w:i/>
          <w:noProof/>
          <w:szCs w:val="22"/>
        </w:rPr>
      </w:pPr>
    </w:p>
    <w:p w:rsidR="005A5401" w:rsidRDefault="005A5401" w:rsidP="00C532E0">
      <w:pPr>
        <w:jc w:val="both"/>
        <w:rPr>
          <w:noProof/>
          <w:szCs w:val="22"/>
        </w:rPr>
      </w:pPr>
      <w:r w:rsidRPr="00823F84">
        <w:rPr>
          <w:noProof/>
          <w:szCs w:val="22"/>
        </w:rPr>
        <w:lastRenderedPageBreak/>
        <w:t>Υπερβολική καταστολή της παραθορμόνης μπορεί να προκαλέσει αύξηση των επιπέδων ασβεστίου στον ορό και είναι πιθανό να οδηγήσει σε μεταβολική νόσο των οστών. Απαιτείται παρακολούθηση των ασθενών και εξατομίκευση της τιτλοποίησης της δόσης ώστε να επιτευχθούν τα κατάλλ</w:t>
      </w:r>
      <w:r w:rsidR="00C2420B">
        <w:rPr>
          <w:noProof/>
          <w:szCs w:val="22"/>
        </w:rPr>
        <w:t>ηλα φυσιολογικά τελικά επίπεδα.</w:t>
      </w:r>
    </w:p>
    <w:p w:rsidR="00C2420B" w:rsidRPr="00823F84" w:rsidRDefault="00C2420B" w:rsidP="00C532E0">
      <w:pPr>
        <w:jc w:val="both"/>
        <w:rPr>
          <w:noProof/>
          <w:szCs w:val="22"/>
        </w:rPr>
      </w:pPr>
    </w:p>
    <w:p w:rsidR="005A5401" w:rsidRPr="00823F84" w:rsidRDefault="005A5401" w:rsidP="00C532E0">
      <w:pPr>
        <w:jc w:val="both"/>
        <w:rPr>
          <w:noProof/>
          <w:szCs w:val="22"/>
        </w:rPr>
      </w:pPr>
      <w:r w:rsidRPr="00823F84">
        <w:rPr>
          <w:noProof/>
          <w:szCs w:val="22"/>
        </w:rPr>
        <w:t xml:space="preserve">Εάν εμφανιστεί κλινικά σημαντική υπερασβεστιαιμία και ο ασθενής λαμβάνει ένα δεσμευτικό φωσφόρου που περιέχει ασβέστιο, η δόση του δεσμευτικού </w:t>
      </w:r>
      <w:r w:rsidR="00EF6E08" w:rsidRPr="00A147C1">
        <w:rPr>
          <w:noProof/>
          <w:szCs w:val="22"/>
        </w:rPr>
        <w:t>φωσφόρου που περιέχει ασβέστιο</w:t>
      </w:r>
      <w:r w:rsidR="00EF6E08" w:rsidRPr="00EF6E08">
        <w:rPr>
          <w:noProof/>
          <w:szCs w:val="22"/>
        </w:rPr>
        <w:t xml:space="preserve"> </w:t>
      </w:r>
      <w:r w:rsidRPr="00823F84">
        <w:rPr>
          <w:noProof/>
          <w:szCs w:val="22"/>
        </w:rPr>
        <w:t xml:space="preserve">θα πρέπει να μειώνεται ή να διακόπτεται. </w:t>
      </w:r>
    </w:p>
    <w:p w:rsidR="0081647F" w:rsidRDefault="0081647F" w:rsidP="00C532E0">
      <w:pPr>
        <w:jc w:val="both"/>
        <w:rPr>
          <w:noProof/>
          <w:szCs w:val="22"/>
        </w:rPr>
      </w:pPr>
    </w:p>
    <w:p w:rsidR="005A5401" w:rsidRDefault="005A5401" w:rsidP="00C532E0">
      <w:pPr>
        <w:jc w:val="both"/>
        <w:rPr>
          <w:noProof/>
          <w:szCs w:val="22"/>
        </w:rPr>
      </w:pPr>
      <w:r w:rsidRPr="00823F84">
        <w:rPr>
          <w:noProof/>
          <w:szCs w:val="22"/>
        </w:rPr>
        <w:t>Χρόνια υπερασβεστιαιμία μπορεί να σχετίζεται με γενικευμένη αγγειακή αποτιτάνωση και απ</w:t>
      </w:r>
      <w:r w:rsidR="002A1528">
        <w:rPr>
          <w:noProof/>
          <w:szCs w:val="22"/>
        </w:rPr>
        <w:t>οτιτάνωση άλλων μαλακών μορίων.</w:t>
      </w:r>
    </w:p>
    <w:p w:rsidR="002A1528" w:rsidRPr="00823F84" w:rsidRDefault="002A1528" w:rsidP="00C532E0">
      <w:pPr>
        <w:jc w:val="both"/>
        <w:rPr>
          <w:noProof/>
          <w:szCs w:val="22"/>
        </w:rPr>
      </w:pPr>
    </w:p>
    <w:p w:rsidR="005A5401" w:rsidRPr="00823F84" w:rsidRDefault="005A5401" w:rsidP="00C532E0">
      <w:pPr>
        <w:jc w:val="both"/>
        <w:rPr>
          <w:noProof/>
          <w:szCs w:val="22"/>
        </w:rPr>
      </w:pPr>
      <w:r w:rsidRPr="00823F84">
        <w:rPr>
          <w:noProof/>
          <w:szCs w:val="22"/>
        </w:rPr>
        <w:t xml:space="preserve">Η τοξικότητα της δακτυλίτιδας ενισχύεται από την υπερασβεστιαιμία οποιασδήποτε αιτιολογίας, συνεπώς χρειάζεται προσοχή όταν χορηγείται δακτυλίτιδα ταυτόχρονα με </w:t>
      </w:r>
      <w:r w:rsidR="00BA0DD7" w:rsidRPr="00BA0DD7">
        <w:rPr>
          <w:noProof/>
          <w:szCs w:val="22"/>
        </w:rPr>
        <w:t xml:space="preserve">paricalcitol </w:t>
      </w:r>
      <w:r w:rsidRPr="00823F84">
        <w:rPr>
          <w:noProof/>
          <w:szCs w:val="22"/>
        </w:rPr>
        <w:t xml:space="preserve">(βλέπε παράγραφο 4.5). </w:t>
      </w:r>
    </w:p>
    <w:p w:rsidR="00596166" w:rsidRDefault="00596166" w:rsidP="00C532E0">
      <w:pPr>
        <w:jc w:val="both"/>
        <w:rPr>
          <w:noProof/>
          <w:szCs w:val="22"/>
        </w:rPr>
      </w:pPr>
    </w:p>
    <w:p w:rsidR="005A5401" w:rsidRPr="00823F84" w:rsidRDefault="005A5401" w:rsidP="00C532E0">
      <w:pPr>
        <w:jc w:val="both"/>
        <w:rPr>
          <w:noProof/>
          <w:szCs w:val="22"/>
        </w:rPr>
      </w:pPr>
      <w:r w:rsidRPr="00823F84">
        <w:rPr>
          <w:noProof/>
          <w:szCs w:val="22"/>
        </w:rPr>
        <w:t xml:space="preserve">Να δίνεται ιδιαίτερη προσοχή κατά τη συγχορήγηση </w:t>
      </w:r>
      <w:r w:rsidR="004B298A" w:rsidRPr="004B298A">
        <w:rPr>
          <w:noProof/>
          <w:szCs w:val="22"/>
        </w:rPr>
        <w:t>paricalcitol</w:t>
      </w:r>
      <w:r w:rsidRPr="00823F84">
        <w:rPr>
          <w:noProof/>
          <w:szCs w:val="22"/>
        </w:rPr>
        <w:t xml:space="preserve"> με κετοκοναζόλη (βλέπε παράγραφο 4.5). </w:t>
      </w:r>
    </w:p>
    <w:p w:rsidR="00596166" w:rsidRDefault="00596166" w:rsidP="00C532E0">
      <w:pPr>
        <w:jc w:val="both"/>
        <w:rPr>
          <w:noProof/>
          <w:szCs w:val="22"/>
        </w:rPr>
      </w:pPr>
    </w:p>
    <w:p w:rsidR="005A5401" w:rsidRPr="00823F84" w:rsidRDefault="005A5401" w:rsidP="00C532E0">
      <w:pPr>
        <w:jc w:val="both"/>
        <w:rPr>
          <w:noProof/>
          <w:szCs w:val="22"/>
        </w:rPr>
      </w:pPr>
      <w:r w:rsidRPr="00823F84">
        <w:rPr>
          <w:noProof/>
          <w:szCs w:val="22"/>
        </w:rPr>
        <w:t xml:space="preserve">Αυτό το φαρμακευτικό προϊόν περιέχει </w:t>
      </w:r>
      <w:r w:rsidR="00102F8C">
        <w:rPr>
          <w:noProof/>
          <w:szCs w:val="22"/>
        </w:rPr>
        <w:t>11</w:t>
      </w:r>
      <w:r w:rsidRPr="00823F84">
        <w:rPr>
          <w:noProof/>
          <w:szCs w:val="22"/>
        </w:rPr>
        <w:t xml:space="preserve">% v/v </w:t>
      </w:r>
      <w:r w:rsidR="00795CB9" w:rsidRPr="00795CB9">
        <w:rPr>
          <w:noProof/>
          <w:szCs w:val="22"/>
        </w:rPr>
        <w:t>ethanol</w:t>
      </w:r>
      <w:r w:rsidRPr="00823F84">
        <w:rPr>
          <w:noProof/>
          <w:szCs w:val="22"/>
        </w:rPr>
        <w:t xml:space="preserve"> (αλκοόλη). Κάθε δόση μπορεί να περιέχει μέχρι </w:t>
      </w:r>
      <w:r w:rsidR="000A50E1">
        <w:rPr>
          <w:noProof/>
          <w:szCs w:val="22"/>
        </w:rPr>
        <w:t>0,72</w:t>
      </w:r>
      <w:r w:rsidRPr="00823F84">
        <w:rPr>
          <w:noProof/>
          <w:szCs w:val="22"/>
        </w:rPr>
        <w:t xml:space="preserve"> g </w:t>
      </w:r>
      <w:r w:rsidR="000A50E1" w:rsidRPr="000A50E1">
        <w:rPr>
          <w:noProof/>
          <w:szCs w:val="22"/>
        </w:rPr>
        <w:t>ethanol</w:t>
      </w:r>
      <w:r w:rsidRPr="00823F84">
        <w:rPr>
          <w:noProof/>
          <w:szCs w:val="22"/>
        </w:rPr>
        <w:t>. Βλαβερό για όσους υποφέρουν από αλκοολισμό. Να χορηγείται με προσοχή σε εγκύους</w:t>
      </w:r>
      <w:r w:rsidR="00030CF2">
        <w:rPr>
          <w:noProof/>
          <w:szCs w:val="22"/>
        </w:rPr>
        <w:t xml:space="preserve"> ή</w:t>
      </w:r>
      <w:r w:rsidRPr="00823F84">
        <w:rPr>
          <w:noProof/>
          <w:szCs w:val="22"/>
        </w:rPr>
        <w:t xml:space="preserve"> σε γυναίκες σε γαλουχία, παιδιά και ομάδες υψηλού κινδύνου όπως οι ασθενείς με ηπατική νόσο ή επιληψία. </w:t>
      </w:r>
    </w:p>
    <w:p w:rsidR="00030CF2" w:rsidRDefault="00030CF2" w:rsidP="00C532E0">
      <w:pPr>
        <w:jc w:val="both"/>
        <w:rPr>
          <w:i/>
          <w:noProof/>
          <w:szCs w:val="22"/>
        </w:rPr>
      </w:pPr>
    </w:p>
    <w:p w:rsidR="00496809" w:rsidRPr="00823F84" w:rsidRDefault="00496809" w:rsidP="00C532E0">
      <w:pPr>
        <w:jc w:val="both"/>
        <w:rPr>
          <w:szCs w:val="22"/>
        </w:rPr>
      </w:pPr>
      <w:r w:rsidRPr="00823F84">
        <w:rPr>
          <w:b/>
          <w:szCs w:val="22"/>
        </w:rPr>
        <w:t>4.5</w:t>
      </w:r>
      <w:r w:rsidRPr="00823F84">
        <w:rPr>
          <w:b/>
          <w:szCs w:val="22"/>
        </w:rPr>
        <w:tab/>
        <w:t>Αλληλεπιδράσεις με άλλα φαρμακευτικά προϊόντα και άλλες μορφές αλληλεπίδρασης</w:t>
      </w:r>
    </w:p>
    <w:p w:rsidR="00496809" w:rsidRPr="00823F84" w:rsidRDefault="00496809" w:rsidP="00C532E0">
      <w:pPr>
        <w:jc w:val="both"/>
        <w:rPr>
          <w:szCs w:val="22"/>
        </w:rPr>
      </w:pPr>
    </w:p>
    <w:p w:rsidR="00580ECA" w:rsidRDefault="005A5401" w:rsidP="00C532E0">
      <w:pPr>
        <w:jc w:val="both"/>
        <w:rPr>
          <w:noProof/>
          <w:szCs w:val="22"/>
        </w:rPr>
      </w:pPr>
      <w:r w:rsidRPr="00823F84">
        <w:rPr>
          <w:noProof/>
          <w:szCs w:val="22"/>
        </w:rPr>
        <w:t xml:space="preserve">Δεν έχουν πραγματοποιηθεί μελέτες αλληλεπιδράσεων με την ενέσιμη </w:t>
      </w:r>
      <w:r w:rsidR="006063F0" w:rsidRPr="006063F0">
        <w:rPr>
          <w:noProof/>
          <w:szCs w:val="22"/>
        </w:rPr>
        <w:t>paricalcitol</w:t>
      </w:r>
      <w:r w:rsidRPr="00823F84">
        <w:rPr>
          <w:noProof/>
          <w:szCs w:val="22"/>
        </w:rPr>
        <w:t xml:space="preserve">. Ωστόσο, μία μελέτη αλληλεπίδρασης μεταξύ κετοκοναζόλης και </w:t>
      </w:r>
      <w:r w:rsidR="006063F0" w:rsidRPr="006063F0">
        <w:rPr>
          <w:noProof/>
          <w:szCs w:val="22"/>
        </w:rPr>
        <w:t>paricalcitol</w:t>
      </w:r>
      <w:r w:rsidR="00580ECA">
        <w:rPr>
          <w:noProof/>
          <w:szCs w:val="22"/>
        </w:rPr>
        <w:t xml:space="preserve"> έχει γίνει με τη</w:t>
      </w:r>
      <w:r w:rsidRPr="00823F84">
        <w:rPr>
          <w:noProof/>
          <w:szCs w:val="22"/>
        </w:rPr>
        <w:t xml:space="preserve"> φαρμακοτεχνική μορφή των καψακίων. </w:t>
      </w:r>
    </w:p>
    <w:p w:rsidR="00580ECA" w:rsidRDefault="00580ECA" w:rsidP="00C532E0">
      <w:pPr>
        <w:jc w:val="both"/>
        <w:rPr>
          <w:noProof/>
          <w:szCs w:val="22"/>
        </w:rPr>
      </w:pPr>
    </w:p>
    <w:p w:rsidR="005A5401" w:rsidRDefault="005A5401" w:rsidP="00C532E0">
      <w:pPr>
        <w:jc w:val="both"/>
        <w:rPr>
          <w:noProof/>
          <w:szCs w:val="22"/>
        </w:rPr>
      </w:pPr>
      <w:r w:rsidRPr="00823F84">
        <w:rPr>
          <w:noProof/>
          <w:szCs w:val="22"/>
        </w:rPr>
        <w:t xml:space="preserve">Τα φωσφορικά ή σχετιζόμενα με τη βιταμίνη D φαρμακευτικά προϊόντα δε θα πρέπει να λαμβάνονται ταυτόχρονα με την </w:t>
      </w:r>
      <w:r w:rsidR="00AA3E2D" w:rsidRPr="00AA3E2D">
        <w:rPr>
          <w:noProof/>
          <w:szCs w:val="22"/>
        </w:rPr>
        <w:t>paricalcitol</w:t>
      </w:r>
      <w:r w:rsidRPr="00823F84">
        <w:rPr>
          <w:noProof/>
          <w:szCs w:val="22"/>
        </w:rPr>
        <w:t xml:space="preserve">, επειδή υπάρχει αυξημένος κίνδυνος για υπερασβεστιαιμία και αύξηση του γινομένου Ca x P. </w:t>
      </w:r>
    </w:p>
    <w:p w:rsidR="0095784D" w:rsidRPr="00823F84" w:rsidRDefault="0095784D" w:rsidP="00C532E0">
      <w:pPr>
        <w:jc w:val="both"/>
        <w:rPr>
          <w:noProof/>
          <w:szCs w:val="22"/>
        </w:rPr>
      </w:pPr>
    </w:p>
    <w:p w:rsidR="005A5401" w:rsidRDefault="005A5401" w:rsidP="00C532E0">
      <w:pPr>
        <w:jc w:val="both"/>
        <w:rPr>
          <w:noProof/>
          <w:szCs w:val="22"/>
        </w:rPr>
      </w:pPr>
      <w:r w:rsidRPr="00823F84">
        <w:rPr>
          <w:noProof/>
          <w:szCs w:val="22"/>
        </w:rPr>
        <w:t xml:space="preserve">Υψηλές δόσεις σκευασμάτων ασβεστίου ή θειαζιδικά διουρητικά μπορεί να αυξήσουν τον κίνδυνο υπερασβεστιαιμίας. </w:t>
      </w:r>
    </w:p>
    <w:p w:rsidR="0095784D" w:rsidRPr="00823F84" w:rsidRDefault="0095784D" w:rsidP="00C532E0">
      <w:pPr>
        <w:jc w:val="both"/>
        <w:rPr>
          <w:noProof/>
          <w:szCs w:val="22"/>
        </w:rPr>
      </w:pPr>
    </w:p>
    <w:p w:rsidR="005A5401" w:rsidRDefault="005A5401" w:rsidP="00C532E0">
      <w:pPr>
        <w:jc w:val="both"/>
        <w:rPr>
          <w:noProof/>
          <w:szCs w:val="22"/>
        </w:rPr>
      </w:pPr>
      <w:r w:rsidRPr="00823F84">
        <w:rPr>
          <w:noProof/>
          <w:szCs w:val="22"/>
        </w:rPr>
        <w:t xml:space="preserve">Παρασκευάσματα αργιλίου (π.χ. </w:t>
      </w:r>
      <w:r w:rsidR="007C06E5">
        <w:rPr>
          <w:noProof/>
          <w:szCs w:val="22"/>
        </w:rPr>
        <w:t>αντιόξινα, δεσμευτικά φωσφόρου)</w:t>
      </w:r>
      <w:r w:rsidRPr="00823F84">
        <w:rPr>
          <w:noProof/>
          <w:szCs w:val="22"/>
        </w:rPr>
        <w:t xml:space="preserve"> δεν πρέπει να συγχορηγούνται επί μακρόν με φαρμακευτικά προϊόντα βιταμίνης D, διότι μπορεί να εμφανισθούν αυξημένα επίπεδα αργιλίου στο αίμα και τοξικότητα στα οστά από αργίλιο. </w:t>
      </w:r>
    </w:p>
    <w:p w:rsidR="00391A22" w:rsidRPr="00823F84" w:rsidRDefault="00391A22" w:rsidP="00C532E0">
      <w:pPr>
        <w:jc w:val="both"/>
        <w:rPr>
          <w:noProof/>
          <w:szCs w:val="22"/>
        </w:rPr>
      </w:pPr>
    </w:p>
    <w:p w:rsidR="005A5401" w:rsidRPr="00823F84" w:rsidRDefault="005A5401" w:rsidP="00C532E0">
      <w:pPr>
        <w:jc w:val="both"/>
        <w:rPr>
          <w:noProof/>
          <w:szCs w:val="22"/>
        </w:rPr>
      </w:pPr>
      <w:r w:rsidRPr="00823F84">
        <w:rPr>
          <w:noProof/>
          <w:szCs w:val="22"/>
        </w:rPr>
        <w:t xml:space="preserve">Παρασκευάσματα μαγνησίου (π.χ. αντιόξινα) δεν πρέπει να λαμβάνονται συγχρόνως με παρασκευάσματα βιταμίνης D, διότι μπορεί να παρουσιασθεί υπερμαγνησιαιμία. </w:t>
      </w:r>
    </w:p>
    <w:p w:rsidR="00D35DAA" w:rsidRDefault="00D35DAA" w:rsidP="00C532E0">
      <w:pPr>
        <w:jc w:val="both"/>
        <w:rPr>
          <w:noProof/>
          <w:szCs w:val="22"/>
        </w:rPr>
      </w:pPr>
    </w:p>
    <w:p w:rsidR="005A5401" w:rsidRDefault="005A5401" w:rsidP="00C532E0">
      <w:pPr>
        <w:jc w:val="both"/>
        <w:rPr>
          <w:noProof/>
          <w:szCs w:val="22"/>
        </w:rPr>
      </w:pPr>
      <w:r w:rsidRPr="00823F84">
        <w:rPr>
          <w:noProof/>
          <w:szCs w:val="22"/>
        </w:rPr>
        <w:t xml:space="preserve">Η κετοκοναζόλη είναι γνωστή ως ένας μη-ειδικός αναστολέας αρκετών ενζύμων του κυτοχρώματος P450. Τα διαθέσιμα δεδομένα in vivo και in vitro δείχνουν ότι η κετοκοναζόλη μπορεί να αλληλεπιδράσει με ένζυμα που ευθύνονται για το μεταβολισμό της </w:t>
      </w:r>
      <w:r w:rsidR="00157BFF" w:rsidRPr="00157BFF">
        <w:rPr>
          <w:noProof/>
          <w:szCs w:val="22"/>
        </w:rPr>
        <w:t>paricalcitol</w:t>
      </w:r>
      <w:r w:rsidRPr="00823F84">
        <w:rPr>
          <w:noProof/>
          <w:szCs w:val="22"/>
        </w:rPr>
        <w:t xml:space="preserve"> και άλλων αναλόγων Βιταμίνης D. Ιδιαίτερη προσοχή θα πρέπει να λαμβάνεται όταν χορηγείται </w:t>
      </w:r>
      <w:r w:rsidR="00D11A5C" w:rsidRPr="00D11A5C">
        <w:rPr>
          <w:noProof/>
          <w:szCs w:val="22"/>
        </w:rPr>
        <w:t>paricalcitol</w:t>
      </w:r>
      <w:r w:rsidRPr="00823F84">
        <w:rPr>
          <w:noProof/>
          <w:szCs w:val="22"/>
        </w:rPr>
        <w:t xml:space="preserve"> με κετοκοναζόλη (βλέπε</w:t>
      </w:r>
      <w:r w:rsidR="00D11A5C">
        <w:rPr>
          <w:noProof/>
          <w:szCs w:val="22"/>
        </w:rPr>
        <w:t xml:space="preserve"> παράγραφο 4.4). Η επίδραση στη</w:t>
      </w:r>
      <w:r w:rsidRPr="00823F84">
        <w:rPr>
          <w:noProof/>
          <w:szCs w:val="22"/>
        </w:rPr>
        <w:t xml:space="preserve"> φαρμακοκινητική δράση του καψακίου </w:t>
      </w:r>
      <w:r w:rsidR="00904123" w:rsidRPr="00904123">
        <w:rPr>
          <w:noProof/>
          <w:szCs w:val="22"/>
        </w:rPr>
        <w:t>paricalcitol</w:t>
      </w:r>
      <w:r w:rsidRPr="00823F84">
        <w:rPr>
          <w:noProof/>
          <w:szCs w:val="22"/>
        </w:rPr>
        <w:t xml:space="preserve"> από τη χορήγηση πολλαπλών δόσεων κετοκοναζόλης 200 mg, δύο φορές ημερησίως για 5 ημέρες έχει μελετηθεί σε υγιείς εθελοντές. Η</w:t>
      </w:r>
      <w:r w:rsidRPr="00467377">
        <w:rPr>
          <w:noProof/>
          <w:szCs w:val="22"/>
        </w:rPr>
        <w:t xml:space="preserve"> </w:t>
      </w:r>
      <w:r w:rsidRPr="00467377">
        <w:rPr>
          <w:noProof/>
          <w:szCs w:val="22"/>
          <w:lang w:val="en-US"/>
        </w:rPr>
        <w:t>Cmax</w:t>
      </w:r>
      <w:r w:rsidRPr="00467377">
        <w:rPr>
          <w:noProof/>
          <w:szCs w:val="22"/>
        </w:rPr>
        <w:t xml:space="preserve"> </w:t>
      </w:r>
      <w:r w:rsidRPr="00823F84">
        <w:rPr>
          <w:noProof/>
          <w:szCs w:val="22"/>
        </w:rPr>
        <w:t>της</w:t>
      </w:r>
      <w:r w:rsidRPr="00467377">
        <w:rPr>
          <w:noProof/>
          <w:szCs w:val="22"/>
        </w:rPr>
        <w:t xml:space="preserve"> </w:t>
      </w:r>
      <w:r w:rsidR="00467377" w:rsidRPr="00467377">
        <w:rPr>
          <w:noProof/>
          <w:szCs w:val="22"/>
        </w:rPr>
        <w:t>paricalcitol</w:t>
      </w:r>
      <w:r w:rsidRPr="00467377">
        <w:rPr>
          <w:noProof/>
          <w:szCs w:val="22"/>
        </w:rPr>
        <w:t xml:space="preserve"> </w:t>
      </w:r>
      <w:r w:rsidRPr="00823F84">
        <w:rPr>
          <w:noProof/>
          <w:szCs w:val="22"/>
        </w:rPr>
        <w:t>επηρεάστηκε</w:t>
      </w:r>
      <w:r w:rsidRPr="00467377">
        <w:rPr>
          <w:noProof/>
          <w:szCs w:val="22"/>
        </w:rPr>
        <w:t xml:space="preserve"> </w:t>
      </w:r>
      <w:r w:rsidRPr="00823F84">
        <w:rPr>
          <w:noProof/>
          <w:szCs w:val="22"/>
        </w:rPr>
        <w:t>ελάχιστα</w:t>
      </w:r>
      <w:r w:rsidRPr="00467377">
        <w:rPr>
          <w:noProof/>
          <w:szCs w:val="22"/>
        </w:rPr>
        <w:t xml:space="preserve">, </w:t>
      </w:r>
      <w:r w:rsidRPr="00823F84">
        <w:rPr>
          <w:noProof/>
          <w:szCs w:val="22"/>
        </w:rPr>
        <w:t>αλλά</w:t>
      </w:r>
      <w:r w:rsidRPr="00467377">
        <w:rPr>
          <w:noProof/>
          <w:szCs w:val="22"/>
        </w:rPr>
        <w:t xml:space="preserve"> </w:t>
      </w:r>
      <w:r w:rsidRPr="00823F84">
        <w:rPr>
          <w:noProof/>
          <w:szCs w:val="22"/>
        </w:rPr>
        <w:t>η</w:t>
      </w:r>
      <w:r w:rsidRPr="00467377">
        <w:rPr>
          <w:noProof/>
          <w:szCs w:val="22"/>
        </w:rPr>
        <w:t xml:space="preserve"> </w:t>
      </w:r>
      <w:r w:rsidRPr="00467377">
        <w:rPr>
          <w:noProof/>
          <w:szCs w:val="22"/>
          <w:lang w:val="en-US"/>
        </w:rPr>
        <w:t>AUC</w:t>
      </w:r>
      <w:r w:rsidRPr="00467377">
        <w:rPr>
          <w:noProof/>
          <w:szCs w:val="22"/>
        </w:rPr>
        <w:t>0-</w:t>
      </w:r>
      <w:r w:rsidR="00B850EE" w:rsidRPr="00B850EE">
        <w:rPr>
          <w:noProof/>
          <w:szCs w:val="22"/>
        </w:rPr>
        <w:t>∞</w:t>
      </w:r>
      <w:r w:rsidRPr="00467377">
        <w:rPr>
          <w:noProof/>
          <w:szCs w:val="22"/>
        </w:rPr>
        <w:t xml:space="preserve"> </w:t>
      </w:r>
      <w:r w:rsidRPr="00823F84">
        <w:rPr>
          <w:noProof/>
          <w:szCs w:val="22"/>
        </w:rPr>
        <w:t>περίπου</w:t>
      </w:r>
      <w:r w:rsidRPr="00467377">
        <w:rPr>
          <w:noProof/>
          <w:szCs w:val="22"/>
        </w:rPr>
        <w:t xml:space="preserve"> </w:t>
      </w:r>
      <w:r w:rsidRPr="00823F84">
        <w:rPr>
          <w:noProof/>
          <w:szCs w:val="22"/>
        </w:rPr>
        <w:t>διπλασιάστηκε</w:t>
      </w:r>
      <w:r w:rsidRPr="00467377">
        <w:rPr>
          <w:noProof/>
          <w:szCs w:val="22"/>
        </w:rPr>
        <w:t xml:space="preserve"> </w:t>
      </w:r>
      <w:r w:rsidRPr="00823F84">
        <w:rPr>
          <w:noProof/>
          <w:szCs w:val="22"/>
        </w:rPr>
        <w:t>παρουσία</w:t>
      </w:r>
      <w:r w:rsidRPr="00467377">
        <w:rPr>
          <w:noProof/>
          <w:szCs w:val="22"/>
        </w:rPr>
        <w:t xml:space="preserve"> </w:t>
      </w:r>
      <w:r w:rsidRPr="00823F84">
        <w:rPr>
          <w:noProof/>
          <w:szCs w:val="22"/>
        </w:rPr>
        <w:t>κετοκοναζόλης</w:t>
      </w:r>
      <w:r w:rsidRPr="00467377">
        <w:rPr>
          <w:noProof/>
          <w:szCs w:val="22"/>
        </w:rPr>
        <w:t xml:space="preserve">. </w:t>
      </w:r>
      <w:r w:rsidRPr="00823F84">
        <w:rPr>
          <w:noProof/>
          <w:szCs w:val="22"/>
        </w:rPr>
        <w:t xml:space="preserve">Ο μέσος χρόνος ημίσειας ζωής της </w:t>
      </w:r>
      <w:r w:rsidR="00143C2B" w:rsidRPr="00143C2B">
        <w:rPr>
          <w:noProof/>
          <w:szCs w:val="22"/>
        </w:rPr>
        <w:t xml:space="preserve">paricalcitol </w:t>
      </w:r>
      <w:r w:rsidRPr="00823F84">
        <w:rPr>
          <w:noProof/>
          <w:szCs w:val="22"/>
        </w:rPr>
        <w:t>ήταν 17</w:t>
      </w:r>
      <w:r w:rsidR="00C551FB">
        <w:rPr>
          <w:noProof/>
          <w:szCs w:val="22"/>
        </w:rPr>
        <w:t>,0</w:t>
      </w:r>
      <w:r w:rsidRPr="00823F84">
        <w:rPr>
          <w:noProof/>
          <w:szCs w:val="22"/>
        </w:rPr>
        <w:t xml:space="preserve"> ώρες παρουσία κετοκοναζόλης συγκρινόμενη με τις 9,8 ώρες</w:t>
      </w:r>
      <w:r w:rsidR="00C551FB">
        <w:rPr>
          <w:noProof/>
          <w:szCs w:val="22"/>
        </w:rPr>
        <w:t>,</w:t>
      </w:r>
      <w:r w:rsidRPr="00823F84">
        <w:rPr>
          <w:noProof/>
          <w:szCs w:val="22"/>
        </w:rPr>
        <w:t xml:space="preserve"> που είναι ο χρόνος όταν χορηγείται μόνο </w:t>
      </w:r>
      <w:r w:rsidR="00C551FB" w:rsidRPr="00C551FB">
        <w:rPr>
          <w:noProof/>
          <w:szCs w:val="22"/>
        </w:rPr>
        <w:t>paricalcitol</w:t>
      </w:r>
      <w:r w:rsidRPr="00823F84">
        <w:rPr>
          <w:noProof/>
          <w:szCs w:val="22"/>
        </w:rPr>
        <w:t xml:space="preserve">. Τα αποτελέσματα αυτής της μελέτης καταδεικνύουν ότι μετά την από στόματος χορήγηση </w:t>
      </w:r>
      <w:r w:rsidR="006B50D1" w:rsidRPr="006B50D1">
        <w:rPr>
          <w:noProof/>
          <w:szCs w:val="22"/>
        </w:rPr>
        <w:t>paricalcitol</w:t>
      </w:r>
      <w:r w:rsidRPr="00823F84">
        <w:rPr>
          <w:noProof/>
          <w:szCs w:val="22"/>
        </w:rPr>
        <w:t xml:space="preserve"> η μέγιστη αύξηση της AUC </w:t>
      </w:r>
      <w:r w:rsidR="007F0949" w:rsidRPr="007F0949">
        <w:rPr>
          <w:noProof/>
          <w:szCs w:val="22"/>
        </w:rPr>
        <w:t>∞</w:t>
      </w:r>
      <w:r w:rsidRPr="00823F84">
        <w:rPr>
          <w:noProof/>
          <w:szCs w:val="22"/>
        </w:rPr>
        <w:t xml:space="preserve"> για την </w:t>
      </w:r>
      <w:r w:rsidR="00613519" w:rsidRPr="00613519">
        <w:rPr>
          <w:noProof/>
          <w:szCs w:val="22"/>
        </w:rPr>
        <w:t xml:space="preserve">paricalcitol </w:t>
      </w:r>
      <w:r w:rsidRPr="00823F84">
        <w:rPr>
          <w:noProof/>
          <w:szCs w:val="22"/>
        </w:rPr>
        <w:t>από τη φαρμακευτική αλληλεπίδραση με κετοκοναζόλη δεν είναι πιθανόν να</w:t>
      </w:r>
      <w:r w:rsidR="00F04DD3">
        <w:rPr>
          <w:noProof/>
          <w:szCs w:val="22"/>
        </w:rPr>
        <w:t xml:space="preserve"> είναι μεγαλύτερη από </w:t>
      </w:r>
      <w:r w:rsidR="00F04DD3">
        <w:rPr>
          <w:noProof/>
          <w:szCs w:val="22"/>
        </w:rPr>
        <w:lastRenderedPageBreak/>
        <w:t>διπλάσια.</w:t>
      </w:r>
    </w:p>
    <w:p w:rsidR="00F04DD3" w:rsidRPr="00823F84" w:rsidRDefault="00F04DD3" w:rsidP="00C532E0">
      <w:pPr>
        <w:jc w:val="both"/>
        <w:rPr>
          <w:noProof/>
          <w:szCs w:val="22"/>
        </w:rPr>
      </w:pPr>
    </w:p>
    <w:p w:rsidR="005A5401" w:rsidRPr="00823F84" w:rsidRDefault="005A5401" w:rsidP="00C532E0">
      <w:pPr>
        <w:jc w:val="both"/>
        <w:rPr>
          <w:noProof/>
          <w:szCs w:val="22"/>
        </w:rPr>
      </w:pPr>
      <w:r w:rsidRPr="00823F84">
        <w:rPr>
          <w:noProof/>
          <w:szCs w:val="22"/>
        </w:rPr>
        <w:t xml:space="preserve">Η τοξικότητα της δακτυλίτιδας ενισχύεται από την υπερασβεστιαιμία οποιασδήποτε αιτιολογίας, συνεπώς χρειάζεται προσοχή όταν χορηγείται δακτυλίτιδα ταυτόχρονα με </w:t>
      </w:r>
      <w:r w:rsidR="00613519" w:rsidRPr="00613519">
        <w:rPr>
          <w:noProof/>
          <w:szCs w:val="22"/>
        </w:rPr>
        <w:t xml:space="preserve">paricalcitol </w:t>
      </w:r>
      <w:r w:rsidRPr="00823F84">
        <w:rPr>
          <w:noProof/>
          <w:szCs w:val="22"/>
        </w:rPr>
        <w:t xml:space="preserve">(βλέπε παράγραφο 4.4). </w:t>
      </w:r>
    </w:p>
    <w:p w:rsidR="00496809" w:rsidRPr="00823F84" w:rsidRDefault="00496809" w:rsidP="00C532E0">
      <w:pPr>
        <w:jc w:val="both"/>
        <w:rPr>
          <w:szCs w:val="22"/>
        </w:rPr>
      </w:pPr>
    </w:p>
    <w:p w:rsidR="00496809" w:rsidRPr="00823F84" w:rsidRDefault="00496809" w:rsidP="00C532E0">
      <w:pPr>
        <w:jc w:val="both"/>
        <w:rPr>
          <w:szCs w:val="22"/>
        </w:rPr>
      </w:pPr>
      <w:r w:rsidRPr="00823F84">
        <w:rPr>
          <w:b/>
          <w:szCs w:val="22"/>
        </w:rPr>
        <w:t>4.6</w:t>
      </w:r>
      <w:r w:rsidRPr="00823F84">
        <w:rPr>
          <w:b/>
          <w:szCs w:val="22"/>
        </w:rPr>
        <w:tab/>
      </w:r>
      <w:r w:rsidR="00056716" w:rsidRPr="00823F84">
        <w:rPr>
          <w:b/>
          <w:noProof/>
          <w:szCs w:val="22"/>
        </w:rPr>
        <w:t>Γονιμότητα, κ</w:t>
      </w:r>
      <w:r w:rsidRPr="00823F84">
        <w:rPr>
          <w:b/>
          <w:szCs w:val="22"/>
        </w:rPr>
        <w:t>ύηση και γαλουχία</w:t>
      </w:r>
    </w:p>
    <w:p w:rsidR="00056716" w:rsidRPr="00823F84" w:rsidRDefault="00056716" w:rsidP="00C532E0">
      <w:pPr>
        <w:jc w:val="both"/>
        <w:rPr>
          <w:i/>
          <w:color w:val="008000"/>
          <w:szCs w:val="22"/>
        </w:rPr>
      </w:pPr>
    </w:p>
    <w:p w:rsidR="008C4377" w:rsidRDefault="00734E5E" w:rsidP="00C532E0">
      <w:pPr>
        <w:jc w:val="both"/>
        <w:rPr>
          <w:noProof/>
          <w:szCs w:val="22"/>
          <w:u w:val="single"/>
        </w:rPr>
      </w:pPr>
      <w:r w:rsidRPr="00734E5E">
        <w:rPr>
          <w:noProof/>
          <w:szCs w:val="22"/>
          <w:u w:val="single"/>
        </w:rPr>
        <w:t>Εγκυμοσύνη</w:t>
      </w:r>
      <w:r w:rsidR="005A5401" w:rsidRPr="00823F84">
        <w:rPr>
          <w:noProof/>
          <w:szCs w:val="22"/>
          <w:u w:val="single"/>
        </w:rPr>
        <w:t>:</w:t>
      </w:r>
    </w:p>
    <w:p w:rsidR="005A5401" w:rsidRDefault="005A5401" w:rsidP="00C532E0">
      <w:pPr>
        <w:jc w:val="both"/>
        <w:rPr>
          <w:noProof/>
          <w:szCs w:val="22"/>
        </w:rPr>
      </w:pPr>
      <w:r w:rsidRPr="00823F84">
        <w:rPr>
          <w:noProof/>
          <w:szCs w:val="22"/>
        </w:rPr>
        <w:t xml:space="preserve">Δεν υπάρχουν επαρκή στοιχεία από τη χρήση της </w:t>
      </w:r>
      <w:r w:rsidR="008C4377" w:rsidRPr="008C4377">
        <w:rPr>
          <w:noProof/>
          <w:szCs w:val="22"/>
        </w:rPr>
        <w:t>paricalcitol</w:t>
      </w:r>
      <w:r w:rsidRPr="00823F84">
        <w:rPr>
          <w:noProof/>
          <w:szCs w:val="22"/>
        </w:rPr>
        <w:t xml:space="preserve"> σε έγκυες γυναίκες. Μελέτες σε ζώα κατέδειξαν τοξικότητα στην αναπαραγωγική ικανότητα (βλέπε παράγραφο 5.3). Ο ενδεχόμενος κίνδυνος για τον άνθρωπο είναι άγνωστος. Το </w:t>
      </w:r>
      <w:r w:rsidR="00C50A3C" w:rsidRPr="00C50A3C">
        <w:rPr>
          <w:noProof/>
          <w:szCs w:val="22"/>
        </w:rPr>
        <w:t>ZILIDOR</w:t>
      </w:r>
      <w:r w:rsidRPr="00823F84">
        <w:rPr>
          <w:noProof/>
          <w:szCs w:val="22"/>
        </w:rPr>
        <w:t xml:space="preserve"> δεν </w:t>
      </w:r>
      <w:r w:rsidR="001A5428">
        <w:rPr>
          <w:noProof/>
          <w:szCs w:val="22"/>
        </w:rPr>
        <w:t>πρέπει</w:t>
      </w:r>
      <w:r w:rsidR="001A5428" w:rsidRPr="00823F84">
        <w:rPr>
          <w:noProof/>
          <w:szCs w:val="22"/>
        </w:rPr>
        <w:t xml:space="preserve"> </w:t>
      </w:r>
      <w:r w:rsidRPr="00823F84">
        <w:rPr>
          <w:noProof/>
          <w:szCs w:val="22"/>
        </w:rPr>
        <w:t xml:space="preserve">να χρησιμοποιηθεί κατά την κύηση εκτός εάν κρίνεται απολύτως απαραίτητο. </w:t>
      </w:r>
    </w:p>
    <w:p w:rsidR="00734E5E" w:rsidRPr="00823F84" w:rsidRDefault="00734E5E" w:rsidP="00C532E0">
      <w:pPr>
        <w:jc w:val="both"/>
        <w:rPr>
          <w:noProof/>
          <w:szCs w:val="22"/>
        </w:rPr>
      </w:pPr>
    </w:p>
    <w:p w:rsidR="008C4377" w:rsidRDefault="00734E5E" w:rsidP="00C532E0">
      <w:pPr>
        <w:jc w:val="both"/>
        <w:rPr>
          <w:noProof/>
          <w:szCs w:val="22"/>
          <w:u w:val="single"/>
        </w:rPr>
      </w:pPr>
      <w:r w:rsidRPr="00734E5E">
        <w:rPr>
          <w:noProof/>
          <w:szCs w:val="22"/>
          <w:u w:val="single"/>
        </w:rPr>
        <w:t>Θηλασμός</w:t>
      </w:r>
      <w:r w:rsidR="005A5401" w:rsidRPr="00823F84">
        <w:rPr>
          <w:noProof/>
          <w:szCs w:val="22"/>
          <w:u w:val="single"/>
        </w:rPr>
        <w:t>:</w:t>
      </w:r>
    </w:p>
    <w:p w:rsidR="005A5401" w:rsidRPr="00823F84" w:rsidRDefault="005A5401" w:rsidP="00C532E0">
      <w:pPr>
        <w:jc w:val="both"/>
        <w:rPr>
          <w:noProof/>
          <w:szCs w:val="22"/>
        </w:rPr>
      </w:pPr>
      <w:r w:rsidRPr="00823F84">
        <w:rPr>
          <w:noProof/>
          <w:szCs w:val="22"/>
        </w:rPr>
        <w:t xml:space="preserve">Μελέτες σε ζώα έδειξαν ότι η </w:t>
      </w:r>
      <w:r w:rsidR="00150742" w:rsidRPr="00150742">
        <w:rPr>
          <w:noProof/>
          <w:szCs w:val="22"/>
        </w:rPr>
        <w:t>paricalcitol</w:t>
      </w:r>
      <w:r w:rsidRPr="00823F84">
        <w:rPr>
          <w:noProof/>
          <w:szCs w:val="22"/>
        </w:rPr>
        <w:t xml:space="preserve"> ή οι μεταβολίτες της απεκκρίνονται στο ανθρώπινο γάλα, σε μικρές ποσότητες. Η απόφαση για τη συνέχιση/διακοπή του θηλασμού ή τη συνέχιση/διακοπή της θεραπείας με </w:t>
      </w:r>
      <w:r w:rsidR="001B579D" w:rsidRPr="001B579D">
        <w:rPr>
          <w:noProof/>
          <w:szCs w:val="22"/>
        </w:rPr>
        <w:t>paricalcitol</w:t>
      </w:r>
      <w:r w:rsidRPr="00823F84">
        <w:rPr>
          <w:noProof/>
          <w:szCs w:val="22"/>
        </w:rPr>
        <w:t xml:space="preserve"> θα πρέπει να λαμβάνει υπ’ όψιν το όφελος του θηλασμού για το παιδί και το όφελος της θεραπείας με </w:t>
      </w:r>
      <w:r w:rsidR="001B579D" w:rsidRPr="001B579D">
        <w:rPr>
          <w:noProof/>
          <w:szCs w:val="22"/>
        </w:rPr>
        <w:t xml:space="preserve">paricalcitol </w:t>
      </w:r>
      <w:r w:rsidRPr="00823F84">
        <w:rPr>
          <w:noProof/>
          <w:szCs w:val="22"/>
        </w:rPr>
        <w:t xml:space="preserve">για τη μητέρα. </w:t>
      </w:r>
    </w:p>
    <w:p w:rsidR="00496809" w:rsidRPr="00823F84" w:rsidRDefault="00496809" w:rsidP="00C532E0">
      <w:pPr>
        <w:jc w:val="both"/>
        <w:rPr>
          <w:szCs w:val="22"/>
        </w:rPr>
      </w:pPr>
    </w:p>
    <w:p w:rsidR="00496809" w:rsidRPr="00823F84" w:rsidRDefault="00496809" w:rsidP="00C532E0">
      <w:pPr>
        <w:jc w:val="both"/>
        <w:rPr>
          <w:szCs w:val="22"/>
        </w:rPr>
      </w:pPr>
      <w:r w:rsidRPr="00823F84">
        <w:rPr>
          <w:b/>
          <w:szCs w:val="22"/>
        </w:rPr>
        <w:t>4.7</w:t>
      </w:r>
      <w:r w:rsidRPr="00823F84">
        <w:rPr>
          <w:b/>
          <w:szCs w:val="22"/>
        </w:rPr>
        <w:tab/>
        <w:t>Επιδράσεις στην ικανότητα οδήγησης και χειρισμού μηχανών</w:t>
      </w:r>
    </w:p>
    <w:p w:rsidR="00496809" w:rsidRPr="00823F84" w:rsidRDefault="00496809" w:rsidP="00C532E0">
      <w:pPr>
        <w:jc w:val="both"/>
        <w:rPr>
          <w:szCs w:val="22"/>
        </w:rPr>
      </w:pPr>
    </w:p>
    <w:p w:rsidR="005A5401" w:rsidRPr="00823F84" w:rsidRDefault="005A5401" w:rsidP="00C532E0">
      <w:pPr>
        <w:jc w:val="both"/>
        <w:rPr>
          <w:szCs w:val="22"/>
        </w:rPr>
      </w:pPr>
      <w:r w:rsidRPr="00823F84">
        <w:rPr>
          <w:szCs w:val="22"/>
        </w:rPr>
        <w:t xml:space="preserve">Δεν έχουν διεξαχθεί μελέτες των επιδράσεων στην ικανότητα οδήγησης και χειρισμού μηχανημάτων. </w:t>
      </w:r>
    </w:p>
    <w:p w:rsidR="007367EB" w:rsidRDefault="007367EB" w:rsidP="00C532E0">
      <w:pPr>
        <w:jc w:val="both"/>
        <w:rPr>
          <w:szCs w:val="22"/>
        </w:rPr>
      </w:pPr>
    </w:p>
    <w:p w:rsidR="00496809" w:rsidRPr="00823F84" w:rsidRDefault="00496809" w:rsidP="00C532E0">
      <w:pPr>
        <w:jc w:val="both"/>
        <w:rPr>
          <w:szCs w:val="22"/>
        </w:rPr>
      </w:pPr>
      <w:r w:rsidRPr="00823F84">
        <w:rPr>
          <w:b/>
          <w:szCs w:val="22"/>
        </w:rPr>
        <w:t>4.8</w:t>
      </w:r>
      <w:r w:rsidRPr="00823F84">
        <w:rPr>
          <w:b/>
          <w:szCs w:val="22"/>
        </w:rPr>
        <w:tab/>
        <w:t>Ανεπιθύμητες ενέργειες</w:t>
      </w:r>
    </w:p>
    <w:p w:rsidR="00496809" w:rsidRPr="00823F84" w:rsidRDefault="00496809" w:rsidP="00C532E0">
      <w:pPr>
        <w:jc w:val="both"/>
        <w:rPr>
          <w:bCs/>
          <w:szCs w:val="22"/>
        </w:rPr>
      </w:pPr>
    </w:p>
    <w:p w:rsidR="005A5401" w:rsidRDefault="005A5401" w:rsidP="00C532E0">
      <w:pPr>
        <w:jc w:val="both"/>
        <w:rPr>
          <w:noProof/>
          <w:szCs w:val="22"/>
        </w:rPr>
      </w:pPr>
      <w:r w:rsidRPr="00823F84">
        <w:rPr>
          <w:noProof/>
          <w:szCs w:val="22"/>
        </w:rPr>
        <w:t xml:space="preserve">Περίπου 600 ασθενείς έλαβαν </w:t>
      </w:r>
      <w:r w:rsidR="00726398" w:rsidRPr="00726398">
        <w:rPr>
          <w:noProof/>
          <w:szCs w:val="22"/>
        </w:rPr>
        <w:t>ZILIDOR</w:t>
      </w:r>
      <w:r w:rsidRPr="00823F84">
        <w:rPr>
          <w:noProof/>
          <w:szCs w:val="22"/>
        </w:rPr>
        <w:t xml:space="preserve"> στο πλαίσιο κλινικών μελετών Φάσης II/III/IV. Συνολικά, για το 6% των ασθενών που τους χορηγήθηκε </w:t>
      </w:r>
      <w:r w:rsidR="00726398" w:rsidRPr="00726398">
        <w:rPr>
          <w:noProof/>
          <w:szCs w:val="22"/>
        </w:rPr>
        <w:t>ZILIDOR</w:t>
      </w:r>
      <w:r w:rsidRPr="00823F84">
        <w:rPr>
          <w:noProof/>
          <w:szCs w:val="22"/>
        </w:rPr>
        <w:t xml:space="preserve"> αναφ</w:t>
      </w:r>
      <w:r w:rsidR="00907106">
        <w:rPr>
          <w:noProof/>
          <w:szCs w:val="22"/>
        </w:rPr>
        <w:t>έρθηκαν ανεπιθύμητες ενέργειες.</w:t>
      </w:r>
    </w:p>
    <w:p w:rsidR="00907106" w:rsidRPr="00823F84" w:rsidRDefault="00907106" w:rsidP="00C532E0">
      <w:pPr>
        <w:jc w:val="both"/>
        <w:rPr>
          <w:noProof/>
          <w:szCs w:val="22"/>
        </w:rPr>
      </w:pPr>
    </w:p>
    <w:p w:rsidR="005A5401" w:rsidRDefault="005A5401" w:rsidP="00C532E0">
      <w:pPr>
        <w:jc w:val="both"/>
        <w:rPr>
          <w:noProof/>
          <w:szCs w:val="22"/>
        </w:rPr>
      </w:pPr>
      <w:r w:rsidRPr="00823F84">
        <w:rPr>
          <w:noProof/>
          <w:szCs w:val="22"/>
        </w:rPr>
        <w:t xml:space="preserve">Οι συχνότερες ανεπιθύμητες ενέργειες που συσχετίστηκαν με τη θεραπεία με </w:t>
      </w:r>
      <w:r w:rsidR="00726398" w:rsidRPr="00726398">
        <w:rPr>
          <w:noProof/>
          <w:szCs w:val="22"/>
        </w:rPr>
        <w:t>ZILIDOR</w:t>
      </w:r>
      <w:r w:rsidRPr="00823F84">
        <w:rPr>
          <w:noProof/>
          <w:szCs w:val="22"/>
        </w:rPr>
        <w:t xml:space="preserve"> ήταν υπερασβεστιαιμία, που εκδηλώθηκε στο 4,7% των ασθενών. Η υπερασβεστιαιμία εξαρτάται κυρίως από το βαθμό υπερκαταστολής της PTH και μπορεί να ελαχιστοποιηθεί</w:t>
      </w:r>
      <w:r w:rsidR="009B678E">
        <w:rPr>
          <w:noProof/>
          <w:szCs w:val="22"/>
        </w:rPr>
        <w:t xml:space="preserve"> με τη σωστή ρύθμιση της δόσης.</w:t>
      </w:r>
    </w:p>
    <w:p w:rsidR="009B678E" w:rsidRPr="00823F84" w:rsidRDefault="009B678E" w:rsidP="00C532E0">
      <w:pPr>
        <w:jc w:val="both"/>
        <w:rPr>
          <w:noProof/>
          <w:szCs w:val="22"/>
        </w:rPr>
      </w:pPr>
    </w:p>
    <w:p w:rsidR="005A5401" w:rsidRDefault="005A5401" w:rsidP="00C532E0">
      <w:pPr>
        <w:jc w:val="both"/>
        <w:rPr>
          <w:noProof/>
          <w:szCs w:val="22"/>
        </w:rPr>
      </w:pPr>
      <w:r w:rsidRPr="00823F84">
        <w:rPr>
          <w:noProof/>
          <w:szCs w:val="22"/>
        </w:rPr>
        <w:t xml:space="preserve">Ανεπιθύμητες ενέργειες που σχετίστηκαν στο ελάχιστο πιθανό με την </w:t>
      </w:r>
      <w:r w:rsidR="009F176F" w:rsidRPr="009F176F">
        <w:rPr>
          <w:noProof/>
          <w:szCs w:val="22"/>
        </w:rPr>
        <w:t>paricalcitol</w:t>
      </w:r>
      <w:r w:rsidRPr="00823F84">
        <w:rPr>
          <w:noProof/>
          <w:szCs w:val="22"/>
        </w:rPr>
        <w:t>, από κλινικές μελέτες και εργαστηριακά παρουσιάζονται βάσει MedDRA ανά Κατηγορία οργάνου συστήματος, Προτεινόμενου Όρου και συχνότητας. Χρησιμοποιούνται οι ακόλουθες κατηγορίες συχνότητας εμφάνισης: Πολύ συχνές (</w:t>
      </w:r>
      <w:r w:rsidR="00953D94" w:rsidRPr="00953D94">
        <w:rPr>
          <w:noProof/>
          <w:szCs w:val="22"/>
        </w:rPr>
        <w:t>≥</w:t>
      </w:r>
      <w:r w:rsidRPr="00823F84">
        <w:rPr>
          <w:noProof/>
          <w:szCs w:val="22"/>
        </w:rPr>
        <w:t xml:space="preserve"> 1/10), συχνές (</w:t>
      </w:r>
      <w:r w:rsidR="00953D94" w:rsidRPr="00953D94">
        <w:rPr>
          <w:noProof/>
          <w:szCs w:val="22"/>
        </w:rPr>
        <w:t>≥</w:t>
      </w:r>
      <w:r w:rsidR="00953D94">
        <w:rPr>
          <w:noProof/>
          <w:szCs w:val="22"/>
        </w:rPr>
        <w:t xml:space="preserve"> </w:t>
      </w:r>
      <w:r w:rsidRPr="00823F84">
        <w:rPr>
          <w:noProof/>
          <w:szCs w:val="22"/>
        </w:rPr>
        <w:t>1/100, &lt; 1/10), όχι συχνές (</w:t>
      </w:r>
      <w:r w:rsidR="00953D94" w:rsidRPr="00953D94">
        <w:rPr>
          <w:noProof/>
          <w:szCs w:val="22"/>
        </w:rPr>
        <w:t>≥</w:t>
      </w:r>
      <w:r w:rsidRPr="00823F84">
        <w:rPr>
          <w:noProof/>
          <w:szCs w:val="22"/>
        </w:rPr>
        <w:t xml:space="preserve"> 1/1.000, &lt; 1/100), σπάνιες (</w:t>
      </w:r>
      <w:r w:rsidR="00953D94" w:rsidRPr="00953D94">
        <w:rPr>
          <w:noProof/>
          <w:szCs w:val="22"/>
        </w:rPr>
        <w:t>≥</w:t>
      </w:r>
      <w:r w:rsidRPr="00823F84">
        <w:rPr>
          <w:noProof/>
          <w:szCs w:val="22"/>
        </w:rPr>
        <w:t xml:space="preserve"> 1/10.000, &lt; 1/1.000), πολύ σπάνιες (&lt; 1/10.000), άγνωστες (δεν μπορούν να εκτιμηθούν από τα διαθέσιμα δεδομένα). </w:t>
      </w:r>
    </w:p>
    <w:p w:rsidR="00123FF2" w:rsidRPr="00823F84" w:rsidRDefault="00123FF2" w:rsidP="00C532E0">
      <w:pPr>
        <w:jc w:val="both"/>
        <w:rPr>
          <w:noProof/>
          <w:szCs w:val="22"/>
        </w:rPr>
      </w:pPr>
    </w:p>
    <w:tbl>
      <w:tblPr>
        <w:tblW w:w="9168" w:type="dxa"/>
        <w:tblInd w:w="108" w:type="dxa"/>
        <w:tblBorders>
          <w:top w:val="nil"/>
          <w:left w:val="nil"/>
          <w:bottom w:val="nil"/>
          <w:right w:val="nil"/>
        </w:tblBorders>
        <w:tblLook w:val="0000"/>
      </w:tblPr>
      <w:tblGrid>
        <w:gridCol w:w="2519"/>
        <w:gridCol w:w="2520"/>
        <w:gridCol w:w="2415"/>
        <w:gridCol w:w="1714"/>
      </w:tblGrid>
      <w:tr w:rsidR="001155EB" w:rsidRPr="00823F84" w:rsidTr="00610F5A">
        <w:trPr>
          <w:trHeight w:val="283"/>
        </w:trPr>
        <w:tc>
          <w:tcPr>
            <w:tcW w:w="2569" w:type="dxa"/>
            <w:tcBorders>
              <w:top w:val="single" w:sz="7" w:space="0" w:color="000000"/>
              <w:left w:val="single" w:sz="6" w:space="0" w:color="000000"/>
              <w:bottom w:val="single" w:sz="6" w:space="0" w:color="000000"/>
              <w:right w:val="single" w:sz="6" w:space="0" w:color="000000"/>
            </w:tcBorders>
            <w:vAlign w:val="center"/>
          </w:tcPr>
          <w:p w:rsidR="001155EB" w:rsidRPr="002B65A7" w:rsidRDefault="001155EB" w:rsidP="002B65A7">
            <w:pPr>
              <w:rPr>
                <w:b/>
                <w:noProof/>
                <w:szCs w:val="22"/>
              </w:rPr>
            </w:pPr>
            <w:r>
              <w:rPr>
                <w:b/>
                <w:noProof/>
                <w:szCs w:val="22"/>
              </w:rPr>
              <w:t xml:space="preserve">Κατηγορία Οργάνου </w:t>
            </w:r>
            <w:r w:rsidRPr="002B65A7">
              <w:rPr>
                <w:b/>
                <w:noProof/>
                <w:szCs w:val="22"/>
              </w:rPr>
              <w:t xml:space="preserve">Συστήματος </w:t>
            </w:r>
          </w:p>
        </w:tc>
        <w:tc>
          <w:tcPr>
            <w:tcW w:w="2534" w:type="dxa"/>
            <w:tcBorders>
              <w:top w:val="single" w:sz="7" w:space="0" w:color="000000"/>
              <w:left w:val="single" w:sz="6" w:space="0" w:color="000000"/>
              <w:bottom w:val="single" w:sz="6" w:space="0" w:color="000000"/>
              <w:right w:val="single" w:sz="7" w:space="0" w:color="000000"/>
            </w:tcBorders>
            <w:vAlign w:val="center"/>
          </w:tcPr>
          <w:p w:rsidR="001155EB" w:rsidRPr="002B65A7" w:rsidRDefault="00A41592" w:rsidP="002B65A7">
            <w:pPr>
              <w:rPr>
                <w:b/>
                <w:noProof/>
                <w:szCs w:val="22"/>
              </w:rPr>
            </w:pPr>
            <w:r>
              <w:rPr>
                <w:b/>
                <w:noProof/>
                <w:szCs w:val="22"/>
              </w:rPr>
              <w:t>Σ</w:t>
            </w:r>
            <w:r w:rsidRPr="00A41592">
              <w:rPr>
                <w:b/>
                <w:noProof/>
                <w:szCs w:val="22"/>
              </w:rPr>
              <w:t>υχνές</w:t>
            </w:r>
          </w:p>
        </w:tc>
        <w:tc>
          <w:tcPr>
            <w:tcW w:w="2344" w:type="dxa"/>
            <w:tcBorders>
              <w:top w:val="single" w:sz="7" w:space="0" w:color="000000"/>
              <w:left w:val="single" w:sz="7" w:space="0" w:color="000000"/>
              <w:bottom w:val="single" w:sz="6" w:space="0" w:color="000000"/>
              <w:right w:val="single" w:sz="7" w:space="0" w:color="000000"/>
            </w:tcBorders>
          </w:tcPr>
          <w:p w:rsidR="001155EB" w:rsidRPr="002B65A7" w:rsidRDefault="00E42099" w:rsidP="002B65A7">
            <w:pPr>
              <w:rPr>
                <w:b/>
                <w:noProof/>
                <w:szCs w:val="22"/>
              </w:rPr>
            </w:pPr>
            <w:r w:rsidRPr="00E42099">
              <w:rPr>
                <w:b/>
                <w:noProof/>
                <w:szCs w:val="22"/>
              </w:rPr>
              <w:t>Όχι συχνές</w:t>
            </w:r>
          </w:p>
        </w:tc>
        <w:tc>
          <w:tcPr>
            <w:tcW w:w="1721" w:type="dxa"/>
            <w:tcBorders>
              <w:top w:val="single" w:sz="7" w:space="0" w:color="000000"/>
              <w:left w:val="single" w:sz="7" w:space="0" w:color="000000"/>
              <w:bottom w:val="single" w:sz="6" w:space="0" w:color="000000"/>
              <w:right w:val="single" w:sz="6" w:space="0" w:color="000000"/>
            </w:tcBorders>
            <w:vAlign w:val="center"/>
          </w:tcPr>
          <w:p w:rsidR="001155EB" w:rsidRPr="002B65A7" w:rsidRDefault="00E42099" w:rsidP="002B65A7">
            <w:pPr>
              <w:rPr>
                <w:b/>
                <w:noProof/>
                <w:szCs w:val="22"/>
              </w:rPr>
            </w:pPr>
            <w:r>
              <w:rPr>
                <w:b/>
                <w:noProof/>
                <w:szCs w:val="22"/>
              </w:rPr>
              <w:t>Ά</w:t>
            </w:r>
            <w:r w:rsidRPr="00E42099">
              <w:rPr>
                <w:b/>
                <w:noProof/>
                <w:szCs w:val="22"/>
              </w:rPr>
              <w:t>γνωστες</w:t>
            </w:r>
          </w:p>
        </w:tc>
      </w:tr>
      <w:tr w:rsidR="001155EB" w:rsidRPr="00823F84" w:rsidTr="00610F5A">
        <w:trPr>
          <w:trHeight w:val="1050"/>
        </w:trPr>
        <w:tc>
          <w:tcPr>
            <w:tcW w:w="2569" w:type="dxa"/>
            <w:tcBorders>
              <w:top w:val="single" w:sz="6" w:space="0" w:color="000000"/>
              <w:left w:val="single" w:sz="6" w:space="0" w:color="000000"/>
              <w:bottom w:val="single" w:sz="7" w:space="0" w:color="000000"/>
              <w:right w:val="single" w:sz="6" w:space="0" w:color="000000"/>
            </w:tcBorders>
          </w:tcPr>
          <w:p w:rsidR="001155EB" w:rsidRPr="00823F84" w:rsidRDefault="001155EB" w:rsidP="00C532E0">
            <w:pPr>
              <w:jc w:val="both"/>
              <w:rPr>
                <w:noProof/>
                <w:szCs w:val="22"/>
              </w:rPr>
            </w:pPr>
            <w:r w:rsidRPr="00823F84">
              <w:rPr>
                <w:noProof/>
                <w:szCs w:val="22"/>
              </w:rPr>
              <w:t xml:space="preserve">Παρακλινικές εξετάσεις </w:t>
            </w:r>
          </w:p>
        </w:tc>
        <w:tc>
          <w:tcPr>
            <w:tcW w:w="2534" w:type="dxa"/>
            <w:tcBorders>
              <w:top w:val="single" w:sz="6" w:space="0" w:color="000000"/>
              <w:left w:val="single" w:sz="6" w:space="0" w:color="000000"/>
              <w:bottom w:val="single" w:sz="7" w:space="0" w:color="000000"/>
              <w:right w:val="single" w:sz="7" w:space="0" w:color="000000"/>
            </w:tcBorders>
          </w:tcPr>
          <w:p w:rsidR="001155EB" w:rsidRPr="00823F84" w:rsidRDefault="001155EB" w:rsidP="00C532E0">
            <w:pPr>
              <w:jc w:val="both"/>
              <w:rPr>
                <w:noProof/>
                <w:szCs w:val="22"/>
              </w:rPr>
            </w:pPr>
          </w:p>
        </w:tc>
        <w:tc>
          <w:tcPr>
            <w:tcW w:w="2344" w:type="dxa"/>
            <w:tcBorders>
              <w:top w:val="single" w:sz="6" w:space="0" w:color="000000"/>
              <w:left w:val="single" w:sz="7" w:space="0" w:color="000000"/>
              <w:bottom w:val="single" w:sz="7" w:space="0" w:color="000000"/>
              <w:right w:val="single" w:sz="7" w:space="0" w:color="000000"/>
            </w:tcBorders>
          </w:tcPr>
          <w:p w:rsidR="001155EB" w:rsidRPr="00823F84" w:rsidRDefault="00610F5A" w:rsidP="003D155C">
            <w:pPr>
              <w:rPr>
                <w:noProof/>
                <w:szCs w:val="22"/>
              </w:rPr>
            </w:pPr>
            <w:r w:rsidRPr="00823F84">
              <w:rPr>
                <w:noProof/>
                <w:szCs w:val="22"/>
              </w:rPr>
              <w:t>Παρατεταμένος χρόνος αιμορραγίας, ασπαρτική αμινοτρανσφεράση αυξημένη, εργαστηριακή εξέταση μη φυσιολογική, μειωμένο βάρος</w:t>
            </w:r>
          </w:p>
        </w:tc>
        <w:tc>
          <w:tcPr>
            <w:tcW w:w="1721" w:type="dxa"/>
            <w:tcBorders>
              <w:top w:val="single" w:sz="6" w:space="0" w:color="000000"/>
              <w:left w:val="single" w:sz="7" w:space="0" w:color="000000"/>
              <w:bottom w:val="single" w:sz="7" w:space="0" w:color="000000"/>
              <w:right w:val="single" w:sz="6" w:space="0" w:color="000000"/>
            </w:tcBorders>
          </w:tcPr>
          <w:p w:rsidR="001155EB" w:rsidRPr="00823F84" w:rsidRDefault="001155EB" w:rsidP="00C532E0">
            <w:pPr>
              <w:jc w:val="both"/>
              <w:rPr>
                <w:noProof/>
                <w:szCs w:val="22"/>
              </w:rPr>
            </w:pPr>
          </w:p>
        </w:tc>
      </w:tr>
      <w:tr w:rsidR="001155EB" w:rsidRPr="00823F84" w:rsidTr="00610F5A">
        <w:trPr>
          <w:trHeight w:val="528"/>
        </w:trPr>
        <w:tc>
          <w:tcPr>
            <w:tcW w:w="2569" w:type="dxa"/>
            <w:tcBorders>
              <w:top w:val="single" w:sz="7" w:space="0" w:color="000000"/>
              <w:left w:val="single" w:sz="6" w:space="0" w:color="000000"/>
              <w:bottom w:val="single" w:sz="6" w:space="0" w:color="000000"/>
              <w:right w:val="single" w:sz="6" w:space="0" w:color="000000"/>
            </w:tcBorders>
          </w:tcPr>
          <w:p w:rsidR="001155EB" w:rsidRPr="00823F84" w:rsidRDefault="001155EB" w:rsidP="00C532E0">
            <w:pPr>
              <w:jc w:val="both"/>
              <w:rPr>
                <w:noProof/>
                <w:szCs w:val="22"/>
              </w:rPr>
            </w:pPr>
            <w:r w:rsidRPr="00823F84">
              <w:rPr>
                <w:noProof/>
                <w:szCs w:val="22"/>
              </w:rPr>
              <w:t xml:space="preserve">Καρδιακές διαταραχές </w:t>
            </w:r>
          </w:p>
        </w:tc>
        <w:tc>
          <w:tcPr>
            <w:tcW w:w="2534" w:type="dxa"/>
            <w:tcBorders>
              <w:top w:val="single" w:sz="7" w:space="0" w:color="000000"/>
              <w:left w:val="single" w:sz="6" w:space="0" w:color="000000"/>
              <w:bottom w:val="single" w:sz="6" w:space="0" w:color="000000"/>
              <w:right w:val="single" w:sz="7" w:space="0" w:color="000000"/>
            </w:tcBorders>
          </w:tcPr>
          <w:p w:rsidR="001155EB" w:rsidRPr="00823F84" w:rsidRDefault="001155EB" w:rsidP="00C532E0">
            <w:pPr>
              <w:jc w:val="both"/>
              <w:rPr>
                <w:noProof/>
                <w:szCs w:val="22"/>
              </w:rPr>
            </w:pPr>
          </w:p>
        </w:tc>
        <w:tc>
          <w:tcPr>
            <w:tcW w:w="2344" w:type="dxa"/>
            <w:tcBorders>
              <w:top w:val="single" w:sz="7" w:space="0" w:color="000000"/>
              <w:left w:val="single" w:sz="7" w:space="0" w:color="000000"/>
              <w:bottom w:val="single" w:sz="6" w:space="0" w:color="000000"/>
              <w:right w:val="single" w:sz="7" w:space="0" w:color="000000"/>
            </w:tcBorders>
          </w:tcPr>
          <w:p w:rsidR="001155EB" w:rsidRPr="00823F84" w:rsidRDefault="00395A35" w:rsidP="00395A35">
            <w:pPr>
              <w:rPr>
                <w:noProof/>
                <w:szCs w:val="22"/>
              </w:rPr>
            </w:pPr>
            <w:r w:rsidRPr="00823F84">
              <w:rPr>
                <w:noProof/>
                <w:szCs w:val="22"/>
              </w:rPr>
              <w:t>Καρδιακή ανακοπή, αρρυθμία, κολπικός πτερυγισμός</w:t>
            </w:r>
          </w:p>
        </w:tc>
        <w:tc>
          <w:tcPr>
            <w:tcW w:w="1721" w:type="dxa"/>
            <w:tcBorders>
              <w:top w:val="single" w:sz="7" w:space="0" w:color="000000"/>
              <w:left w:val="single" w:sz="7" w:space="0" w:color="000000"/>
              <w:bottom w:val="single" w:sz="6" w:space="0" w:color="000000"/>
              <w:right w:val="single" w:sz="6" w:space="0" w:color="000000"/>
            </w:tcBorders>
          </w:tcPr>
          <w:p w:rsidR="001155EB" w:rsidRPr="00823F84" w:rsidRDefault="001155EB" w:rsidP="00C532E0">
            <w:pPr>
              <w:jc w:val="both"/>
              <w:rPr>
                <w:noProof/>
                <w:szCs w:val="22"/>
              </w:rPr>
            </w:pPr>
          </w:p>
        </w:tc>
      </w:tr>
      <w:tr w:rsidR="001155EB" w:rsidRPr="00823F84" w:rsidTr="00610F5A">
        <w:trPr>
          <w:trHeight w:val="530"/>
        </w:trPr>
        <w:tc>
          <w:tcPr>
            <w:tcW w:w="2569" w:type="dxa"/>
            <w:tcBorders>
              <w:top w:val="single" w:sz="6" w:space="0" w:color="000000"/>
              <w:left w:val="single" w:sz="6" w:space="0" w:color="000000"/>
              <w:bottom w:val="single" w:sz="6" w:space="0" w:color="000000"/>
              <w:right w:val="single" w:sz="6" w:space="0" w:color="000000"/>
            </w:tcBorders>
          </w:tcPr>
          <w:p w:rsidR="001155EB" w:rsidRPr="00823F84" w:rsidRDefault="001155EB" w:rsidP="00395A35">
            <w:pPr>
              <w:rPr>
                <w:noProof/>
                <w:szCs w:val="22"/>
              </w:rPr>
            </w:pPr>
            <w:r w:rsidRPr="00823F84">
              <w:rPr>
                <w:noProof/>
                <w:szCs w:val="22"/>
              </w:rPr>
              <w:t xml:space="preserve">Διαταραχές του αιμοποιητικού και του λεμφικού συστήματος </w:t>
            </w:r>
          </w:p>
        </w:tc>
        <w:tc>
          <w:tcPr>
            <w:tcW w:w="2534" w:type="dxa"/>
            <w:tcBorders>
              <w:top w:val="single" w:sz="6" w:space="0" w:color="000000"/>
              <w:left w:val="single" w:sz="6" w:space="0" w:color="000000"/>
              <w:bottom w:val="single" w:sz="6" w:space="0" w:color="000000"/>
              <w:right w:val="single" w:sz="7" w:space="0" w:color="000000"/>
            </w:tcBorders>
          </w:tcPr>
          <w:p w:rsidR="001155EB" w:rsidRPr="00823F84" w:rsidRDefault="001155EB"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1155EB" w:rsidRPr="00823F84" w:rsidRDefault="00395A35" w:rsidP="00395A35">
            <w:pPr>
              <w:rPr>
                <w:noProof/>
                <w:szCs w:val="22"/>
              </w:rPr>
            </w:pPr>
            <w:r w:rsidRPr="00823F84">
              <w:rPr>
                <w:noProof/>
                <w:szCs w:val="22"/>
              </w:rPr>
              <w:t>Αναιμία, λευκοπενία, λεμφαδενοπάθεια</w:t>
            </w:r>
          </w:p>
        </w:tc>
        <w:tc>
          <w:tcPr>
            <w:tcW w:w="1721" w:type="dxa"/>
            <w:tcBorders>
              <w:top w:val="single" w:sz="6" w:space="0" w:color="000000"/>
              <w:left w:val="single" w:sz="7" w:space="0" w:color="000000"/>
              <w:bottom w:val="single" w:sz="6" w:space="0" w:color="000000"/>
              <w:right w:val="single" w:sz="6" w:space="0" w:color="000000"/>
            </w:tcBorders>
          </w:tcPr>
          <w:p w:rsidR="001155EB" w:rsidRPr="00823F84" w:rsidRDefault="001155EB" w:rsidP="00C532E0">
            <w:pPr>
              <w:jc w:val="both"/>
              <w:rPr>
                <w:noProof/>
                <w:szCs w:val="22"/>
              </w:rPr>
            </w:pPr>
          </w:p>
        </w:tc>
      </w:tr>
      <w:tr w:rsidR="001155EB"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1155EB" w:rsidRPr="00823F84" w:rsidRDefault="00D832AF" w:rsidP="00C532E0">
            <w:pPr>
              <w:jc w:val="both"/>
              <w:rPr>
                <w:noProof/>
                <w:szCs w:val="22"/>
              </w:rPr>
            </w:pPr>
            <w:r w:rsidRPr="00823F84">
              <w:rPr>
                <w:noProof/>
                <w:szCs w:val="22"/>
              </w:rPr>
              <w:lastRenderedPageBreak/>
              <w:t>Διαταραχές του νευρικού συστήματος</w:t>
            </w:r>
          </w:p>
        </w:tc>
        <w:tc>
          <w:tcPr>
            <w:tcW w:w="2534" w:type="dxa"/>
            <w:tcBorders>
              <w:top w:val="single" w:sz="6" w:space="0" w:color="000000"/>
              <w:left w:val="single" w:sz="6" w:space="0" w:color="000000"/>
              <w:bottom w:val="single" w:sz="6" w:space="0" w:color="000000"/>
              <w:right w:val="single" w:sz="7" w:space="0" w:color="000000"/>
            </w:tcBorders>
            <w:vAlign w:val="center"/>
          </w:tcPr>
          <w:p w:rsidR="001155EB" w:rsidRPr="00823F84" w:rsidRDefault="001155EB" w:rsidP="0034737C">
            <w:pPr>
              <w:pStyle w:val="Web"/>
              <w:rPr>
                <w:noProof/>
                <w:szCs w:val="22"/>
              </w:rPr>
            </w:pPr>
            <w:proofErr w:type="spellStart"/>
            <w:r w:rsidRPr="0034737C">
              <w:rPr>
                <w:sz w:val="22"/>
                <w:szCs w:val="22"/>
                <w:lang w:val="en-GB"/>
              </w:rPr>
              <w:t>Κεφαλαλγία</w:t>
            </w:r>
            <w:proofErr w:type="spellEnd"/>
            <w:r w:rsidRPr="0034737C">
              <w:rPr>
                <w:sz w:val="22"/>
                <w:szCs w:val="22"/>
                <w:lang w:val="en-GB"/>
              </w:rPr>
              <w:t xml:space="preserve">, </w:t>
            </w:r>
            <w:proofErr w:type="spellStart"/>
            <w:r w:rsidRPr="0034737C">
              <w:rPr>
                <w:sz w:val="22"/>
                <w:szCs w:val="22"/>
                <w:lang w:val="en-GB"/>
              </w:rPr>
              <w:t>δυσγευσία</w:t>
            </w:r>
            <w:proofErr w:type="spellEnd"/>
            <w:r w:rsidRPr="00823F84">
              <w:rPr>
                <w:noProof/>
                <w:szCs w:val="22"/>
              </w:rPr>
              <w:t xml:space="preserve"> </w:t>
            </w:r>
          </w:p>
        </w:tc>
        <w:tc>
          <w:tcPr>
            <w:tcW w:w="2344" w:type="dxa"/>
            <w:tcBorders>
              <w:top w:val="single" w:sz="6" w:space="0" w:color="000000"/>
              <w:left w:val="single" w:sz="7" w:space="0" w:color="000000"/>
              <w:bottom w:val="single" w:sz="6" w:space="0" w:color="000000"/>
              <w:right w:val="single" w:sz="7" w:space="0" w:color="000000"/>
            </w:tcBorders>
          </w:tcPr>
          <w:p w:rsidR="001155EB" w:rsidRPr="00823F84" w:rsidRDefault="00D832AF" w:rsidP="00562263">
            <w:pPr>
              <w:rPr>
                <w:noProof/>
                <w:szCs w:val="22"/>
              </w:rPr>
            </w:pPr>
            <w:r w:rsidRPr="00823F84">
              <w:rPr>
                <w:noProof/>
                <w:szCs w:val="22"/>
              </w:rPr>
              <w:t>Κώμα, αγγειακό εγκεφαλικό επεισόδιο, παροδικό ισχαιμικό επεισόδιο, συγκοπή, μυόκλωνος, υπαισθησία, παραισθησία, ζάλη</w:t>
            </w:r>
          </w:p>
        </w:tc>
        <w:tc>
          <w:tcPr>
            <w:tcW w:w="1721" w:type="dxa"/>
            <w:tcBorders>
              <w:top w:val="single" w:sz="6" w:space="0" w:color="000000"/>
              <w:left w:val="single" w:sz="7" w:space="0" w:color="000000"/>
              <w:bottom w:val="single" w:sz="6" w:space="0" w:color="000000"/>
              <w:right w:val="single" w:sz="6" w:space="0" w:color="000000"/>
            </w:tcBorders>
            <w:vAlign w:val="center"/>
          </w:tcPr>
          <w:p w:rsidR="001155EB" w:rsidRPr="00823F84" w:rsidRDefault="001155EB" w:rsidP="00C532E0">
            <w:pPr>
              <w:jc w:val="both"/>
              <w:rPr>
                <w:noProof/>
                <w:szCs w:val="22"/>
              </w:rPr>
            </w:pPr>
          </w:p>
        </w:tc>
      </w:tr>
      <w:tr w:rsidR="00D832AF"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D832AF" w:rsidRPr="00823F84" w:rsidRDefault="00D832AF" w:rsidP="00C532E0">
            <w:pPr>
              <w:jc w:val="both"/>
              <w:rPr>
                <w:noProof/>
                <w:szCs w:val="22"/>
              </w:rPr>
            </w:pPr>
            <w:r w:rsidRPr="00823F84">
              <w:rPr>
                <w:noProof/>
                <w:szCs w:val="22"/>
              </w:rPr>
              <w:t>Οφθαλμικές διαταραχές</w:t>
            </w:r>
          </w:p>
        </w:tc>
        <w:tc>
          <w:tcPr>
            <w:tcW w:w="2534" w:type="dxa"/>
            <w:tcBorders>
              <w:top w:val="single" w:sz="6" w:space="0" w:color="000000"/>
              <w:left w:val="single" w:sz="6" w:space="0" w:color="000000"/>
              <w:bottom w:val="single" w:sz="6" w:space="0" w:color="000000"/>
              <w:right w:val="single" w:sz="7" w:space="0" w:color="000000"/>
            </w:tcBorders>
            <w:vAlign w:val="center"/>
          </w:tcPr>
          <w:p w:rsidR="00D832AF" w:rsidRPr="00823F84" w:rsidRDefault="00D832AF"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D832AF" w:rsidRPr="00823F84" w:rsidRDefault="00D832AF" w:rsidP="00C532E0">
            <w:pPr>
              <w:jc w:val="both"/>
              <w:rPr>
                <w:noProof/>
                <w:szCs w:val="22"/>
              </w:rPr>
            </w:pPr>
            <w:r w:rsidRPr="00823F84">
              <w:rPr>
                <w:noProof/>
                <w:szCs w:val="22"/>
              </w:rPr>
              <w:t>Γλαύκωμα, επιπεφυκίτιδα</w:t>
            </w:r>
          </w:p>
        </w:tc>
        <w:tc>
          <w:tcPr>
            <w:tcW w:w="1721" w:type="dxa"/>
            <w:tcBorders>
              <w:top w:val="single" w:sz="6" w:space="0" w:color="000000"/>
              <w:left w:val="single" w:sz="7" w:space="0" w:color="000000"/>
              <w:bottom w:val="single" w:sz="6" w:space="0" w:color="000000"/>
              <w:right w:val="single" w:sz="6" w:space="0" w:color="000000"/>
            </w:tcBorders>
            <w:vAlign w:val="center"/>
          </w:tcPr>
          <w:p w:rsidR="00D832AF" w:rsidRPr="00823F84" w:rsidRDefault="00D832AF" w:rsidP="00C532E0">
            <w:pPr>
              <w:jc w:val="both"/>
              <w:rPr>
                <w:noProof/>
                <w:szCs w:val="22"/>
              </w:rPr>
            </w:pPr>
          </w:p>
        </w:tc>
      </w:tr>
      <w:tr w:rsidR="00D832AF"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D832AF" w:rsidRPr="00823F84" w:rsidRDefault="00D832AF" w:rsidP="00C532E0">
            <w:pPr>
              <w:jc w:val="both"/>
              <w:rPr>
                <w:noProof/>
                <w:szCs w:val="22"/>
              </w:rPr>
            </w:pPr>
            <w:r w:rsidRPr="00823F84">
              <w:rPr>
                <w:noProof/>
                <w:szCs w:val="22"/>
              </w:rPr>
              <w:t>Διαταραχές του ωτός και του λαβυρίνθου</w:t>
            </w:r>
          </w:p>
        </w:tc>
        <w:tc>
          <w:tcPr>
            <w:tcW w:w="2534" w:type="dxa"/>
            <w:tcBorders>
              <w:top w:val="single" w:sz="6" w:space="0" w:color="000000"/>
              <w:left w:val="single" w:sz="6" w:space="0" w:color="000000"/>
              <w:bottom w:val="single" w:sz="6" w:space="0" w:color="000000"/>
              <w:right w:val="single" w:sz="7" w:space="0" w:color="000000"/>
            </w:tcBorders>
            <w:vAlign w:val="center"/>
          </w:tcPr>
          <w:p w:rsidR="00D832AF" w:rsidRPr="00823F84" w:rsidRDefault="00D832AF"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D832AF" w:rsidRPr="00823F84" w:rsidRDefault="00D832AF" w:rsidP="00C532E0">
            <w:pPr>
              <w:jc w:val="both"/>
              <w:rPr>
                <w:noProof/>
                <w:szCs w:val="22"/>
              </w:rPr>
            </w:pPr>
            <w:r w:rsidRPr="00823F84">
              <w:rPr>
                <w:noProof/>
                <w:szCs w:val="22"/>
              </w:rPr>
              <w:t>Διαταραχές του ωτός</w:t>
            </w:r>
          </w:p>
        </w:tc>
        <w:tc>
          <w:tcPr>
            <w:tcW w:w="1721" w:type="dxa"/>
            <w:tcBorders>
              <w:top w:val="single" w:sz="6" w:space="0" w:color="000000"/>
              <w:left w:val="single" w:sz="7" w:space="0" w:color="000000"/>
              <w:bottom w:val="single" w:sz="6" w:space="0" w:color="000000"/>
              <w:right w:val="single" w:sz="6" w:space="0" w:color="000000"/>
            </w:tcBorders>
            <w:vAlign w:val="center"/>
          </w:tcPr>
          <w:p w:rsidR="00D832AF" w:rsidRPr="00823F84" w:rsidRDefault="00D832AF" w:rsidP="00C532E0">
            <w:pPr>
              <w:jc w:val="both"/>
              <w:rPr>
                <w:noProof/>
                <w:szCs w:val="22"/>
              </w:rPr>
            </w:pPr>
          </w:p>
        </w:tc>
      </w:tr>
      <w:tr w:rsidR="00D832AF"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D832AF" w:rsidRPr="00823F84" w:rsidRDefault="0034737C" w:rsidP="0034737C">
            <w:pPr>
              <w:rPr>
                <w:noProof/>
                <w:szCs w:val="22"/>
              </w:rPr>
            </w:pPr>
            <w:r>
              <w:rPr>
                <w:noProof/>
                <w:szCs w:val="22"/>
              </w:rPr>
              <w:t>Διαταραχές του</w:t>
            </w:r>
            <w:r w:rsidR="00D832AF" w:rsidRPr="00823F84">
              <w:rPr>
                <w:noProof/>
                <w:szCs w:val="22"/>
              </w:rPr>
              <w:t xml:space="preserve"> αναπνευστικού συστήματος, του θώρακα και του μεσοθωρακίου</w:t>
            </w:r>
          </w:p>
        </w:tc>
        <w:tc>
          <w:tcPr>
            <w:tcW w:w="2534" w:type="dxa"/>
            <w:tcBorders>
              <w:top w:val="single" w:sz="6" w:space="0" w:color="000000"/>
              <w:left w:val="single" w:sz="6" w:space="0" w:color="000000"/>
              <w:bottom w:val="single" w:sz="6" w:space="0" w:color="000000"/>
              <w:right w:val="single" w:sz="7" w:space="0" w:color="000000"/>
            </w:tcBorders>
            <w:vAlign w:val="center"/>
          </w:tcPr>
          <w:p w:rsidR="00D832AF" w:rsidRPr="00823F84" w:rsidRDefault="00D832AF"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D832AF" w:rsidRPr="00823F84" w:rsidRDefault="00D832AF" w:rsidP="00562263">
            <w:pPr>
              <w:rPr>
                <w:noProof/>
                <w:szCs w:val="22"/>
              </w:rPr>
            </w:pPr>
            <w:r w:rsidRPr="00823F84">
              <w:rPr>
                <w:noProof/>
                <w:szCs w:val="22"/>
              </w:rPr>
              <w:t>Πνευμονικό οίδημα, άσθμα, δύσπνοια, επίσταξη, βήχας</w:t>
            </w:r>
          </w:p>
        </w:tc>
        <w:tc>
          <w:tcPr>
            <w:tcW w:w="1721" w:type="dxa"/>
            <w:tcBorders>
              <w:top w:val="single" w:sz="6" w:space="0" w:color="000000"/>
              <w:left w:val="single" w:sz="7" w:space="0" w:color="000000"/>
              <w:bottom w:val="single" w:sz="6" w:space="0" w:color="000000"/>
              <w:right w:val="single" w:sz="6" w:space="0" w:color="000000"/>
            </w:tcBorders>
            <w:vAlign w:val="center"/>
          </w:tcPr>
          <w:p w:rsidR="00D832AF" w:rsidRPr="00823F84" w:rsidRDefault="00D832AF" w:rsidP="00C532E0">
            <w:pPr>
              <w:jc w:val="both"/>
              <w:rPr>
                <w:noProof/>
                <w:szCs w:val="22"/>
              </w:rPr>
            </w:pPr>
          </w:p>
        </w:tc>
      </w:tr>
      <w:tr w:rsidR="00D832AF"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D832AF" w:rsidRPr="00823F84" w:rsidRDefault="00D832AF" w:rsidP="00562263">
            <w:pPr>
              <w:rPr>
                <w:noProof/>
                <w:szCs w:val="22"/>
              </w:rPr>
            </w:pPr>
            <w:r w:rsidRPr="00823F84">
              <w:rPr>
                <w:noProof/>
                <w:szCs w:val="22"/>
              </w:rPr>
              <w:t>Διαταραχές του γαστρεντερικού συστήματος</w:t>
            </w:r>
          </w:p>
        </w:tc>
        <w:tc>
          <w:tcPr>
            <w:tcW w:w="2534" w:type="dxa"/>
            <w:tcBorders>
              <w:top w:val="single" w:sz="6" w:space="0" w:color="000000"/>
              <w:left w:val="single" w:sz="6" w:space="0" w:color="000000"/>
              <w:bottom w:val="single" w:sz="6" w:space="0" w:color="000000"/>
              <w:right w:val="single" w:sz="7" w:space="0" w:color="000000"/>
            </w:tcBorders>
            <w:vAlign w:val="center"/>
          </w:tcPr>
          <w:p w:rsidR="00D832AF" w:rsidRPr="00823F84" w:rsidRDefault="00D832AF"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D832AF" w:rsidRPr="00823F84" w:rsidRDefault="00D832AF" w:rsidP="00562263">
            <w:pPr>
              <w:rPr>
                <w:noProof/>
                <w:szCs w:val="22"/>
              </w:rPr>
            </w:pPr>
            <w:r w:rsidRPr="00823F84">
              <w:rPr>
                <w:noProof/>
                <w:szCs w:val="22"/>
              </w:rPr>
              <w:t>Αιμορραγία από το ορθό, κολίτιδα, διάρροια, γαστρίτιδα, δυσπεψία, δυσφαγία, κοιλιακό άλγος, δυσκοιλιότητα, ναυτία, έμετος, ξηροστομία, διαταραχές του γαστρεντερικού συστήματος</w:t>
            </w:r>
          </w:p>
        </w:tc>
        <w:tc>
          <w:tcPr>
            <w:tcW w:w="1721" w:type="dxa"/>
            <w:tcBorders>
              <w:top w:val="single" w:sz="6" w:space="0" w:color="000000"/>
              <w:left w:val="single" w:sz="7" w:space="0" w:color="000000"/>
              <w:bottom w:val="single" w:sz="6" w:space="0" w:color="000000"/>
              <w:right w:val="single" w:sz="6" w:space="0" w:color="000000"/>
            </w:tcBorders>
            <w:vAlign w:val="center"/>
          </w:tcPr>
          <w:p w:rsidR="00D832AF" w:rsidRPr="00823F84" w:rsidRDefault="00D832AF" w:rsidP="00562263">
            <w:pPr>
              <w:rPr>
                <w:noProof/>
                <w:szCs w:val="22"/>
              </w:rPr>
            </w:pPr>
            <w:r w:rsidRPr="00823F84">
              <w:rPr>
                <w:noProof/>
                <w:szCs w:val="22"/>
              </w:rPr>
              <w:t>Αιμορραγία του γαστρεντερικού σωλήνα</w:t>
            </w:r>
          </w:p>
        </w:tc>
      </w:tr>
      <w:tr w:rsidR="00D832AF"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D832AF" w:rsidRPr="00823F84" w:rsidRDefault="000B2572" w:rsidP="00C532E0">
            <w:pPr>
              <w:jc w:val="both"/>
              <w:rPr>
                <w:noProof/>
                <w:szCs w:val="22"/>
              </w:rPr>
            </w:pPr>
            <w:r w:rsidRPr="00823F84">
              <w:rPr>
                <w:noProof/>
                <w:szCs w:val="22"/>
              </w:rPr>
              <w:t>Διαταραχές του δέρματος και του υποδόριου ιστού</w:t>
            </w:r>
          </w:p>
        </w:tc>
        <w:tc>
          <w:tcPr>
            <w:tcW w:w="2534" w:type="dxa"/>
            <w:tcBorders>
              <w:top w:val="single" w:sz="6" w:space="0" w:color="000000"/>
              <w:left w:val="single" w:sz="6" w:space="0" w:color="000000"/>
              <w:bottom w:val="single" w:sz="6" w:space="0" w:color="000000"/>
              <w:right w:val="single" w:sz="7" w:space="0" w:color="000000"/>
            </w:tcBorders>
            <w:vAlign w:val="center"/>
          </w:tcPr>
          <w:p w:rsidR="00D832AF" w:rsidRPr="00823F84" w:rsidRDefault="000B2572" w:rsidP="00C532E0">
            <w:pPr>
              <w:jc w:val="both"/>
              <w:rPr>
                <w:noProof/>
                <w:szCs w:val="22"/>
              </w:rPr>
            </w:pPr>
            <w:r w:rsidRPr="00823F84">
              <w:rPr>
                <w:noProof/>
                <w:szCs w:val="22"/>
              </w:rPr>
              <w:t>Κνησμός</w:t>
            </w:r>
          </w:p>
        </w:tc>
        <w:tc>
          <w:tcPr>
            <w:tcW w:w="2344" w:type="dxa"/>
            <w:tcBorders>
              <w:top w:val="single" w:sz="6" w:space="0" w:color="000000"/>
              <w:left w:val="single" w:sz="7" w:space="0" w:color="000000"/>
              <w:bottom w:val="single" w:sz="6" w:space="0" w:color="000000"/>
              <w:right w:val="single" w:sz="7" w:space="0" w:color="000000"/>
            </w:tcBorders>
          </w:tcPr>
          <w:p w:rsidR="00D832AF" w:rsidRPr="00823F84" w:rsidRDefault="000B2572" w:rsidP="00C532E0">
            <w:pPr>
              <w:jc w:val="both"/>
              <w:rPr>
                <w:noProof/>
                <w:szCs w:val="22"/>
              </w:rPr>
            </w:pPr>
            <w:r w:rsidRPr="00823F84">
              <w:rPr>
                <w:noProof/>
                <w:szCs w:val="22"/>
              </w:rPr>
              <w:t>Δερματίτιδα πομφολυγώδης, αλωπεκία, υπερτρίχωση, εξάνθημα, υπεριδρωσία</w:t>
            </w:r>
          </w:p>
        </w:tc>
        <w:tc>
          <w:tcPr>
            <w:tcW w:w="1721" w:type="dxa"/>
            <w:tcBorders>
              <w:top w:val="single" w:sz="6" w:space="0" w:color="000000"/>
              <w:left w:val="single" w:sz="7" w:space="0" w:color="000000"/>
              <w:bottom w:val="single" w:sz="6" w:space="0" w:color="000000"/>
              <w:right w:val="single" w:sz="6" w:space="0" w:color="000000"/>
            </w:tcBorders>
            <w:vAlign w:val="center"/>
          </w:tcPr>
          <w:p w:rsidR="00D832AF" w:rsidRPr="00823F84" w:rsidRDefault="00D832AF" w:rsidP="00C532E0">
            <w:pPr>
              <w:jc w:val="both"/>
              <w:rPr>
                <w:noProof/>
                <w:szCs w:val="22"/>
              </w:rPr>
            </w:pPr>
          </w:p>
        </w:tc>
      </w:tr>
      <w:tr w:rsidR="00D832AF"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D832AF" w:rsidRPr="00823F84" w:rsidRDefault="000B2572" w:rsidP="00562263">
            <w:pPr>
              <w:rPr>
                <w:noProof/>
                <w:szCs w:val="22"/>
              </w:rPr>
            </w:pPr>
            <w:r w:rsidRPr="00823F84">
              <w:rPr>
                <w:noProof/>
                <w:szCs w:val="22"/>
              </w:rPr>
              <w:t>Διαταραχές του μυοσκελετικού συστήματος και του συνδετικού ιστού</w:t>
            </w:r>
          </w:p>
        </w:tc>
        <w:tc>
          <w:tcPr>
            <w:tcW w:w="2534" w:type="dxa"/>
            <w:tcBorders>
              <w:top w:val="single" w:sz="6" w:space="0" w:color="000000"/>
              <w:left w:val="single" w:sz="6" w:space="0" w:color="000000"/>
              <w:bottom w:val="single" w:sz="6" w:space="0" w:color="000000"/>
              <w:right w:val="single" w:sz="7" w:space="0" w:color="000000"/>
            </w:tcBorders>
            <w:vAlign w:val="center"/>
          </w:tcPr>
          <w:p w:rsidR="00D832AF" w:rsidRPr="00823F84" w:rsidRDefault="00D832AF"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D832AF" w:rsidRPr="00823F84" w:rsidRDefault="000B2572" w:rsidP="00562263">
            <w:pPr>
              <w:rPr>
                <w:noProof/>
                <w:szCs w:val="22"/>
              </w:rPr>
            </w:pPr>
            <w:r w:rsidRPr="00823F84">
              <w:rPr>
                <w:noProof/>
                <w:szCs w:val="22"/>
              </w:rPr>
              <w:t xml:space="preserve">Αρθραλγία, δυσκαμψία </w:t>
            </w:r>
            <w:r w:rsidR="005868FF" w:rsidRPr="005868FF">
              <w:rPr>
                <w:noProof/>
                <w:szCs w:val="22"/>
              </w:rPr>
              <w:t>αρθρώσεων</w:t>
            </w:r>
            <w:r w:rsidRPr="00823F84">
              <w:rPr>
                <w:noProof/>
                <w:szCs w:val="22"/>
              </w:rPr>
              <w:t>, οσφυαλγία, μυϊκές δεσμιδώσεις, μυαλγία</w:t>
            </w:r>
          </w:p>
        </w:tc>
        <w:tc>
          <w:tcPr>
            <w:tcW w:w="1721" w:type="dxa"/>
            <w:tcBorders>
              <w:top w:val="single" w:sz="6" w:space="0" w:color="000000"/>
              <w:left w:val="single" w:sz="7" w:space="0" w:color="000000"/>
              <w:bottom w:val="single" w:sz="6" w:space="0" w:color="000000"/>
              <w:right w:val="single" w:sz="6" w:space="0" w:color="000000"/>
            </w:tcBorders>
            <w:vAlign w:val="center"/>
          </w:tcPr>
          <w:p w:rsidR="00D832AF" w:rsidRPr="00823F84" w:rsidRDefault="00D832AF" w:rsidP="00C532E0">
            <w:pPr>
              <w:jc w:val="both"/>
              <w:rPr>
                <w:noProof/>
                <w:szCs w:val="22"/>
              </w:rPr>
            </w:pPr>
          </w:p>
        </w:tc>
      </w:tr>
      <w:tr w:rsidR="000B2572"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0B2572" w:rsidRPr="00823F84" w:rsidRDefault="000B2572" w:rsidP="00562263">
            <w:pPr>
              <w:rPr>
                <w:noProof/>
                <w:szCs w:val="22"/>
              </w:rPr>
            </w:pPr>
            <w:r w:rsidRPr="00823F84">
              <w:rPr>
                <w:noProof/>
                <w:szCs w:val="22"/>
              </w:rPr>
              <w:t>Διαταραχές του ενδοκρινικού συστήματος</w:t>
            </w:r>
          </w:p>
        </w:tc>
        <w:tc>
          <w:tcPr>
            <w:tcW w:w="2534" w:type="dxa"/>
            <w:tcBorders>
              <w:top w:val="single" w:sz="6" w:space="0" w:color="000000"/>
              <w:left w:val="single" w:sz="6" w:space="0" w:color="000000"/>
              <w:bottom w:val="single" w:sz="6" w:space="0" w:color="000000"/>
              <w:right w:val="single" w:sz="7" w:space="0" w:color="000000"/>
            </w:tcBorders>
            <w:vAlign w:val="center"/>
          </w:tcPr>
          <w:p w:rsidR="000B2572" w:rsidRPr="00823F84" w:rsidRDefault="000B2572" w:rsidP="00C532E0">
            <w:pPr>
              <w:jc w:val="both"/>
              <w:rPr>
                <w:noProof/>
                <w:szCs w:val="22"/>
              </w:rPr>
            </w:pPr>
            <w:r w:rsidRPr="00823F84">
              <w:rPr>
                <w:noProof/>
                <w:szCs w:val="22"/>
              </w:rPr>
              <w:t>Υποπαραθυρεοειδισμός</w:t>
            </w:r>
          </w:p>
        </w:tc>
        <w:tc>
          <w:tcPr>
            <w:tcW w:w="2344" w:type="dxa"/>
            <w:tcBorders>
              <w:top w:val="single" w:sz="6" w:space="0" w:color="000000"/>
              <w:left w:val="single" w:sz="7" w:space="0" w:color="000000"/>
              <w:bottom w:val="single" w:sz="6" w:space="0" w:color="000000"/>
              <w:right w:val="single" w:sz="7" w:space="0" w:color="000000"/>
            </w:tcBorders>
          </w:tcPr>
          <w:p w:rsidR="000B2572" w:rsidRPr="00823F84" w:rsidRDefault="000B2572" w:rsidP="00C532E0">
            <w:pPr>
              <w:jc w:val="both"/>
              <w:rPr>
                <w:noProof/>
                <w:szCs w:val="22"/>
              </w:rPr>
            </w:pPr>
            <w:r w:rsidRPr="00823F84">
              <w:rPr>
                <w:noProof/>
                <w:szCs w:val="22"/>
              </w:rPr>
              <w:t>Υπερπαραθυρεοειδισμός</w:t>
            </w:r>
          </w:p>
        </w:tc>
        <w:tc>
          <w:tcPr>
            <w:tcW w:w="1721" w:type="dxa"/>
            <w:tcBorders>
              <w:top w:val="single" w:sz="6" w:space="0" w:color="000000"/>
              <w:left w:val="single" w:sz="7" w:space="0" w:color="000000"/>
              <w:bottom w:val="single" w:sz="6" w:space="0" w:color="000000"/>
              <w:right w:val="single" w:sz="6" w:space="0" w:color="000000"/>
            </w:tcBorders>
            <w:vAlign w:val="center"/>
          </w:tcPr>
          <w:p w:rsidR="000B2572" w:rsidRPr="00823F84" w:rsidRDefault="000B2572" w:rsidP="00C532E0">
            <w:pPr>
              <w:jc w:val="both"/>
              <w:rPr>
                <w:noProof/>
                <w:szCs w:val="22"/>
              </w:rPr>
            </w:pPr>
          </w:p>
        </w:tc>
      </w:tr>
      <w:tr w:rsidR="000B2572"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0B2572" w:rsidRPr="00823F84" w:rsidRDefault="000B2572" w:rsidP="00562263">
            <w:pPr>
              <w:rPr>
                <w:noProof/>
                <w:szCs w:val="22"/>
              </w:rPr>
            </w:pPr>
            <w:r w:rsidRPr="00823F84">
              <w:rPr>
                <w:noProof/>
                <w:szCs w:val="22"/>
              </w:rPr>
              <w:t>Διαταραχές του μεταβολισμού και της θρέψης</w:t>
            </w:r>
          </w:p>
        </w:tc>
        <w:tc>
          <w:tcPr>
            <w:tcW w:w="2534" w:type="dxa"/>
            <w:tcBorders>
              <w:top w:val="single" w:sz="6" w:space="0" w:color="000000"/>
              <w:left w:val="single" w:sz="6" w:space="0" w:color="000000"/>
              <w:bottom w:val="single" w:sz="6" w:space="0" w:color="000000"/>
              <w:right w:val="single" w:sz="7" w:space="0" w:color="000000"/>
            </w:tcBorders>
            <w:vAlign w:val="center"/>
          </w:tcPr>
          <w:p w:rsidR="000B2572" w:rsidRPr="00823F84" w:rsidRDefault="000B2572" w:rsidP="00C532E0">
            <w:pPr>
              <w:jc w:val="both"/>
              <w:rPr>
                <w:noProof/>
                <w:szCs w:val="22"/>
              </w:rPr>
            </w:pPr>
            <w:r w:rsidRPr="00823F84">
              <w:rPr>
                <w:noProof/>
                <w:szCs w:val="22"/>
              </w:rPr>
              <w:t>Υπερασβεστιαιμία, υπερφωσφαταιμία</w:t>
            </w:r>
          </w:p>
        </w:tc>
        <w:tc>
          <w:tcPr>
            <w:tcW w:w="2344" w:type="dxa"/>
            <w:tcBorders>
              <w:top w:val="single" w:sz="6" w:space="0" w:color="000000"/>
              <w:left w:val="single" w:sz="7" w:space="0" w:color="000000"/>
              <w:bottom w:val="single" w:sz="6" w:space="0" w:color="000000"/>
              <w:right w:val="single" w:sz="7" w:space="0" w:color="000000"/>
            </w:tcBorders>
          </w:tcPr>
          <w:p w:rsidR="000B2572" w:rsidRPr="00823F84" w:rsidRDefault="000B2572" w:rsidP="00C532E0">
            <w:pPr>
              <w:jc w:val="both"/>
              <w:rPr>
                <w:noProof/>
                <w:szCs w:val="22"/>
              </w:rPr>
            </w:pPr>
            <w:r w:rsidRPr="00823F84">
              <w:rPr>
                <w:noProof/>
                <w:szCs w:val="22"/>
              </w:rPr>
              <w:t>Υπερκαλιαιμία, υποκαλιαιμία, ανορεξία</w:t>
            </w:r>
          </w:p>
        </w:tc>
        <w:tc>
          <w:tcPr>
            <w:tcW w:w="1721" w:type="dxa"/>
            <w:tcBorders>
              <w:top w:val="single" w:sz="6" w:space="0" w:color="000000"/>
              <w:left w:val="single" w:sz="7" w:space="0" w:color="000000"/>
              <w:bottom w:val="single" w:sz="6" w:space="0" w:color="000000"/>
              <w:right w:val="single" w:sz="6" w:space="0" w:color="000000"/>
            </w:tcBorders>
            <w:vAlign w:val="center"/>
          </w:tcPr>
          <w:p w:rsidR="000B2572" w:rsidRPr="00823F84" w:rsidRDefault="000B2572" w:rsidP="00C532E0">
            <w:pPr>
              <w:jc w:val="both"/>
              <w:rPr>
                <w:noProof/>
                <w:szCs w:val="22"/>
              </w:rPr>
            </w:pPr>
          </w:p>
        </w:tc>
      </w:tr>
      <w:tr w:rsidR="000B2572"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0B2572" w:rsidRPr="00823F84" w:rsidRDefault="000B2572" w:rsidP="00562263">
            <w:pPr>
              <w:rPr>
                <w:noProof/>
                <w:szCs w:val="22"/>
              </w:rPr>
            </w:pPr>
            <w:r w:rsidRPr="00823F84">
              <w:rPr>
                <w:noProof/>
                <w:szCs w:val="22"/>
              </w:rPr>
              <w:t>Λοιμώξεις και παρασιτώσεις</w:t>
            </w:r>
          </w:p>
        </w:tc>
        <w:tc>
          <w:tcPr>
            <w:tcW w:w="2534" w:type="dxa"/>
            <w:tcBorders>
              <w:top w:val="single" w:sz="6" w:space="0" w:color="000000"/>
              <w:left w:val="single" w:sz="6" w:space="0" w:color="000000"/>
              <w:bottom w:val="single" w:sz="6" w:space="0" w:color="000000"/>
              <w:right w:val="single" w:sz="7" w:space="0" w:color="000000"/>
            </w:tcBorders>
            <w:vAlign w:val="center"/>
          </w:tcPr>
          <w:p w:rsidR="000B2572" w:rsidRPr="00823F84" w:rsidRDefault="000B2572"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0B2572" w:rsidRPr="00823F84" w:rsidRDefault="000B2572" w:rsidP="00562263">
            <w:pPr>
              <w:rPr>
                <w:noProof/>
                <w:szCs w:val="22"/>
              </w:rPr>
            </w:pPr>
            <w:r w:rsidRPr="00823F84">
              <w:rPr>
                <w:noProof/>
                <w:szCs w:val="22"/>
              </w:rPr>
              <w:t>Σηψαιμία, πνευμονία, λοίμωξη, φαρυγγίτιδα, λοίμωξη του κόλπου, γρίππη</w:t>
            </w:r>
          </w:p>
        </w:tc>
        <w:tc>
          <w:tcPr>
            <w:tcW w:w="1721" w:type="dxa"/>
            <w:tcBorders>
              <w:top w:val="single" w:sz="6" w:space="0" w:color="000000"/>
              <w:left w:val="single" w:sz="7" w:space="0" w:color="000000"/>
              <w:bottom w:val="single" w:sz="6" w:space="0" w:color="000000"/>
              <w:right w:val="single" w:sz="6" w:space="0" w:color="000000"/>
            </w:tcBorders>
            <w:vAlign w:val="center"/>
          </w:tcPr>
          <w:p w:rsidR="000B2572" w:rsidRPr="00823F84" w:rsidRDefault="000B2572" w:rsidP="00C532E0">
            <w:pPr>
              <w:jc w:val="both"/>
              <w:rPr>
                <w:noProof/>
                <w:szCs w:val="22"/>
              </w:rPr>
            </w:pPr>
          </w:p>
        </w:tc>
      </w:tr>
      <w:tr w:rsidR="000B2572"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0B2572" w:rsidRPr="00823F84" w:rsidRDefault="000B2572" w:rsidP="00562263">
            <w:pPr>
              <w:rPr>
                <w:noProof/>
                <w:szCs w:val="22"/>
              </w:rPr>
            </w:pPr>
            <w:r w:rsidRPr="00823F84">
              <w:rPr>
                <w:noProof/>
                <w:szCs w:val="22"/>
              </w:rPr>
              <w:t>Νεοπλάσματα καλοήθη, κακοήθη και μη καθοριζόμενα (περιλαμβάνονται κύστεις και πολύποδες)</w:t>
            </w:r>
          </w:p>
        </w:tc>
        <w:tc>
          <w:tcPr>
            <w:tcW w:w="2534" w:type="dxa"/>
            <w:tcBorders>
              <w:top w:val="single" w:sz="6" w:space="0" w:color="000000"/>
              <w:left w:val="single" w:sz="6" w:space="0" w:color="000000"/>
              <w:bottom w:val="single" w:sz="6" w:space="0" w:color="000000"/>
              <w:right w:val="single" w:sz="7" w:space="0" w:color="000000"/>
            </w:tcBorders>
            <w:vAlign w:val="center"/>
          </w:tcPr>
          <w:p w:rsidR="000B2572" w:rsidRPr="00823F84" w:rsidRDefault="000B2572" w:rsidP="00562263">
            <w:pPr>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0B2572" w:rsidRPr="00823F84" w:rsidRDefault="000B2572" w:rsidP="00C532E0">
            <w:pPr>
              <w:jc w:val="both"/>
              <w:rPr>
                <w:noProof/>
                <w:szCs w:val="22"/>
              </w:rPr>
            </w:pPr>
            <w:r w:rsidRPr="00823F84">
              <w:rPr>
                <w:noProof/>
                <w:szCs w:val="22"/>
              </w:rPr>
              <w:t>Καρκίνος μαστού</w:t>
            </w:r>
          </w:p>
        </w:tc>
        <w:tc>
          <w:tcPr>
            <w:tcW w:w="1721" w:type="dxa"/>
            <w:tcBorders>
              <w:top w:val="single" w:sz="6" w:space="0" w:color="000000"/>
              <w:left w:val="single" w:sz="7" w:space="0" w:color="000000"/>
              <w:bottom w:val="single" w:sz="6" w:space="0" w:color="000000"/>
              <w:right w:val="single" w:sz="6" w:space="0" w:color="000000"/>
            </w:tcBorders>
            <w:vAlign w:val="center"/>
          </w:tcPr>
          <w:p w:rsidR="000B2572" w:rsidRPr="00823F84" w:rsidRDefault="000B2572" w:rsidP="00C532E0">
            <w:pPr>
              <w:jc w:val="both"/>
              <w:rPr>
                <w:noProof/>
                <w:szCs w:val="22"/>
              </w:rPr>
            </w:pPr>
          </w:p>
        </w:tc>
      </w:tr>
      <w:tr w:rsidR="000B2572"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0B2572" w:rsidRPr="00823F84" w:rsidRDefault="000B2572" w:rsidP="00C532E0">
            <w:pPr>
              <w:jc w:val="both"/>
              <w:rPr>
                <w:noProof/>
                <w:szCs w:val="22"/>
              </w:rPr>
            </w:pPr>
            <w:r w:rsidRPr="00823F84">
              <w:rPr>
                <w:noProof/>
                <w:szCs w:val="22"/>
              </w:rPr>
              <w:t>Αγγειακές διαταραχές</w:t>
            </w:r>
          </w:p>
        </w:tc>
        <w:tc>
          <w:tcPr>
            <w:tcW w:w="2534" w:type="dxa"/>
            <w:tcBorders>
              <w:top w:val="single" w:sz="6" w:space="0" w:color="000000"/>
              <w:left w:val="single" w:sz="6" w:space="0" w:color="000000"/>
              <w:bottom w:val="single" w:sz="6" w:space="0" w:color="000000"/>
              <w:right w:val="single" w:sz="7" w:space="0" w:color="000000"/>
            </w:tcBorders>
            <w:vAlign w:val="center"/>
          </w:tcPr>
          <w:p w:rsidR="000B2572" w:rsidRPr="00823F84" w:rsidRDefault="000B2572"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0B2572" w:rsidRPr="00823F84" w:rsidRDefault="000B2572" w:rsidP="00C532E0">
            <w:pPr>
              <w:jc w:val="both"/>
              <w:rPr>
                <w:noProof/>
                <w:szCs w:val="22"/>
              </w:rPr>
            </w:pPr>
            <w:r w:rsidRPr="00823F84">
              <w:rPr>
                <w:noProof/>
                <w:szCs w:val="22"/>
              </w:rPr>
              <w:t>Υπέρταση, υπόταση</w:t>
            </w:r>
          </w:p>
        </w:tc>
        <w:tc>
          <w:tcPr>
            <w:tcW w:w="1721" w:type="dxa"/>
            <w:tcBorders>
              <w:top w:val="single" w:sz="6" w:space="0" w:color="000000"/>
              <w:left w:val="single" w:sz="7" w:space="0" w:color="000000"/>
              <w:bottom w:val="single" w:sz="6" w:space="0" w:color="000000"/>
              <w:right w:val="single" w:sz="6" w:space="0" w:color="000000"/>
            </w:tcBorders>
            <w:vAlign w:val="center"/>
          </w:tcPr>
          <w:p w:rsidR="000B2572" w:rsidRPr="00823F84" w:rsidRDefault="000B2572" w:rsidP="00C532E0">
            <w:pPr>
              <w:jc w:val="both"/>
              <w:rPr>
                <w:noProof/>
                <w:szCs w:val="22"/>
              </w:rPr>
            </w:pPr>
          </w:p>
        </w:tc>
      </w:tr>
      <w:tr w:rsidR="000B2572"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0B2572" w:rsidRPr="00823F84" w:rsidRDefault="000B2572" w:rsidP="00562263">
            <w:pPr>
              <w:rPr>
                <w:noProof/>
                <w:szCs w:val="22"/>
              </w:rPr>
            </w:pPr>
            <w:r w:rsidRPr="00823F84">
              <w:rPr>
                <w:noProof/>
                <w:szCs w:val="22"/>
              </w:rPr>
              <w:t>Γενικές διαταραχές και καταστάσεις της οδού χορήγησης</w:t>
            </w:r>
          </w:p>
        </w:tc>
        <w:tc>
          <w:tcPr>
            <w:tcW w:w="2534" w:type="dxa"/>
            <w:tcBorders>
              <w:top w:val="single" w:sz="6" w:space="0" w:color="000000"/>
              <w:left w:val="single" w:sz="6" w:space="0" w:color="000000"/>
              <w:bottom w:val="single" w:sz="6" w:space="0" w:color="000000"/>
              <w:right w:val="single" w:sz="7" w:space="0" w:color="000000"/>
            </w:tcBorders>
            <w:vAlign w:val="center"/>
          </w:tcPr>
          <w:p w:rsidR="000B2572" w:rsidRPr="00823F84" w:rsidRDefault="000B2572"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0B2572" w:rsidRPr="00823F84" w:rsidRDefault="000B2572" w:rsidP="00785954">
            <w:pPr>
              <w:rPr>
                <w:noProof/>
                <w:szCs w:val="22"/>
              </w:rPr>
            </w:pPr>
            <w:r w:rsidRPr="00823F84">
              <w:rPr>
                <w:noProof/>
                <w:szCs w:val="22"/>
              </w:rPr>
              <w:t>Διαταραχή στο βάδισμα,</w:t>
            </w:r>
            <w:r w:rsidR="008D5E4A">
              <w:t xml:space="preserve"> </w:t>
            </w:r>
            <w:r w:rsidR="008D5E4A" w:rsidRPr="008D5E4A">
              <w:rPr>
                <w:noProof/>
                <w:szCs w:val="22"/>
              </w:rPr>
              <w:t>οίδημα</w:t>
            </w:r>
            <w:r w:rsidR="008D5E4A">
              <w:rPr>
                <w:noProof/>
                <w:szCs w:val="22"/>
              </w:rPr>
              <w:t>,</w:t>
            </w:r>
            <w:r w:rsidRPr="00823F84">
              <w:rPr>
                <w:noProof/>
                <w:szCs w:val="22"/>
              </w:rPr>
              <w:t xml:space="preserve"> περιφερικό οίδημα, άλγος, άλγος </w:t>
            </w:r>
            <w:r w:rsidR="00A1619F">
              <w:rPr>
                <w:noProof/>
                <w:szCs w:val="22"/>
              </w:rPr>
              <w:t>στη</w:t>
            </w:r>
            <w:r w:rsidR="00785954">
              <w:rPr>
                <w:noProof/>
                <w:szCs w:val="22"/>
              </w:rPr>
              <w:t xml:space="preserve"> </w:t>
            </w:r>
            <w:r w:rsidRPr="00823F84">
              <w:rPr>
                <w:noProof/>
                <w:szCs w:val="22"/>
              </w:rPr>
              <w:t>θέση</w:t>
            </w:r>
            <w:r w:rsidR="00A1619F" w:rsidRPr="00823F84">
              <w:rPr>
                <w:noProof/>
                <w:szCs w:val="22"/>
              </w:rPr>
              <w:t xml:space="preserve"> </w:t>
            </w:r>
            <w:r w:rsidRPr="00823F84">
              <w:rPr>
                <w:noProof/>
                <w:szCs w:val="22"/>
              </w:rPr>
              <w:t>ένεσης, υπερπυρεξία, θωρακικό άλγος, κατάσταση επιδεινωθείσα, εξασθένιση, αίσθημα κακουχίας, δίψα</w:t>
            </w:r>
          </w:p>
        </w:tc>
        <w:tc>
          <w:tcPr>
            <w:tcW w:w="1721" w:type="dxa"/>
            <w:tcBorders>
              <w:top w:val="single" w:sz="6" w:space="0" w:color="000000"/>
              <w:left w:val="single" w:sz="7" w:space="0" w:color="000000"/>
              <w:bottom w:val="single" w:sz="6" w:space="0" w:color="000000"/>
              <w:right w:val="single" w:sz="6" w:space="0" w:color="000000"/>
            </w:tcBorders>
            <w:vAlign w:val="center"/>
          </w:tcPr>
          <w:p w:rsidR="000B2572" w:rsidRPr="00823F84" w:rsidRDefault="000B2572" w:rsidP="00C532E0">
            <w:pPr>
              <w:jc w:val="both"/>
              <w:rPr>
                <w:noProof/>
                <w:szCs w:val="22"/>
              </w:rPr>
            </w:pPr>
          </w:p>
        </w:tc>
      </w:tr>
      <w:tr w:rsidR="000B2572"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0B2572" w:rsidRPr="00823F84" w:rsidRDefault="000B2572" w:rsidP="00562263">
            <w:pPr>
              <w:rPr>
                <w:noProof/>
                <w:szCs w:val="22"/>
              </w:rPr>
            </w:pPr>
            <w:r w:rsidRPr="00823F84">
              <w:rPr>
                <w:noProof/>
                <w:szCs w:val="22"/>
              </w:rPr>
              <w:lastRenderedPageBreak/>
              <w:t>Διαταραχές του ανοσοποιητικού συστήματος</w:t>
            </w:r>
          </w:p>
        </w:tc>
        <w:tc>
          <w:tcPr>
            <w:tcW w:w="2534" w:type="dxa"/>
            <w:tcBorders>
              <w:top w:val="single" w:sz="6" w:space="0" w:color="000000"/>
              <w:left w:val="single" w:sz="6" w:space="0" w:color="000000"/>
              <w:bottom w:val="single" w:sz="6" w:space="0" w:color="000000"/>
              <w:right w:val="single" w:sz="7" w:space="0" w:color="000000"/>
            </w:tcBorders>
            <w:vAlign w:val="center"/>
          </w:tcPr>
          <w:p w:rsidR="000B2572" w:rsidRPr="00823F84" w:rsidRDefault="000B2572"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0B2572" w:rsidRPr="00823F84" w:rsidRDefault="000B2572" w:rsidP="00C532E0">
            <w:pPr>
              <w:jc w:val="both"/>
              <w:rPr>
                <w:noProof/>
                <w:szCs w:val="22"/>
              </w:rPr>
            </w:pPr>
            <w:r w:rsidRPr="00823F84">
              <w:rPr>
                <w:noProof/>
                <w:szCs w:val="22"/>
              </w:rPr>
              <w:t>Υπερευαισθησία</w:t>
            </w:r>
          </w:p>
        </w:tc>
        <w:tc>
          <w:tcPr>
            <w:tcW w:w="1721" w:type="dxa"/>
            <w:tcBorders>
              <w:top w:val="single" w:sz="6" w:space="0" w:color="000000"/>
              <w:left w:val="single" w:sz="7" w:space="0" w:color="000000"/>
              <w:bottom w:val="single" w:sz="6" w:space="0" w:color="000000"/>
              <w:right w:val="single" w:sz="6" w:space="0" w:color="000000"/>
            </w:tcBorders>
            <w:vAlign w:val="center"/>
          </w:tcPr>
          <w:p w:rsidR="000B2572" w:rsidRPr="00823F84" w:rsidRDefault="000B2572" w:rsidP="00C532E0">
            <w:pPr>
              <w:jc w:val="both"/>
              <w:rPr>
                <w:noProof/>
                <w:szCs w:val="22"/>
              </w:rPr>
            </w:pPr>
            <w:r w:rsidRPr="00823F84">
              <w:rPr>
                <w:noProof/>
                <w:szCs w:val="22"/>
              </w:rPr>
              <w:t>Οίδημα λάρυγγα, αγγειοοίδημα, κνίδωση</w:t>
            </w:r>
          </w:p>
        </w:tc>
      </w:tr>
      <w:tr w:rsidR="000B2572"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0B2572" w:rsidRPr="00823F84" w:rsidRDefault="000B2572" w:rsidP="00562263">
            <w:pPr>
              <w:rPr>
                <w:noProof/>
                <w:szCs w:val="22"/>
              </w:rPr>
            </w:pPr>
            <w:r w:rsidRPr="00823F84">
              <w:rPr>
                <w:noProof/>
                <w:szCs w:val="22"/>
              </w:rPr>
              <w:t>Διαταραχές του αναπαραγωγικού συστήματος και του μαστού</w:t>
            </w:r>
          </w:p>
        </w:tc>
        <w:tc>
          <w:tcPr>
            <w:tcW w:w="2534" w:type="dxa"/>
            <w:tcBorders>
              <w:top w:val="single" w:sz="6" w:space="0" w:color="000000"/>
              <w:left w:val="single" w:sz="6" w:space="0" w:color="000000"/>
              <w:bottom w:val="single" w:sz="6" w:space="0" w:color="000000"/>
              <w:right w:val="single" w:sz="7" w:space="0" w:color="000000"/>
            </w:tcBorders>
            <w:vAlign w:val="center"/>
          </w:tcPr>
          <w:p w:rsidR="000B2572" w:rsidRPr="00823F84" w:rsidRDefault="000B2572"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0B2572" w:rsidRPr="00823F84" w:rsidRDefault="000B2572" w:rsidP="00562263">
            <w:pPr>
              <w:rPr>
                <w:noProof/>
                <w:szCs w:val="22"/>
              </w:rPr>
            </w:pPr>
            <w:r w:rsidRPr="00823F84">
              <w:rPr>
                <w:noProof/>
                <w:szCs w:val="22"/>
              </w:rPr>
              <w:t>Μαστοδυνία, στυτική δυσλειτουργία</w:t>
            </w:r>
          </w:p>
        </w:tc>
        <w:tc>
          <w:tcPr>
            <w:tcW w:w="1721" w:type="dxa"/>
            <w:tcBorders>
              <w:top w:val="single" w:sz="6" w:space="0" w:color="000000"/>
              <w:left w:val="single" w:sz="7" w:space="0" w:color="000000"/>
              <w:bottom w:val="single" w:sz="6" w:space="0" w:color="000000"/>
              <w:right w:val="single" w:sz="6" w:space="0" w:color="000000"/>
            </w:tcBorders>
            <w:vAlign w:val="center"/>
          </w:tcPr>
          <w:p w:rsidR="000B2572" w:rsidRPr="00823F84" w:rsidRDefault="000B2572" w:rsidP="00C532E0">
            <w:pPr>
              <w:jc w:val="both"/>
              <w:rPr>
                <w:noProof/>
                <w:szCs w:val="22"/>
              </w:rPr>
            </w:pPr>
          </w:p>
        </w:tc>
      </w:tr>
      <w:tr w:rsidR="000B2572" w:rsidRPr="00823F84" w:rsidTr="00610F5A">
        <w:trPr>
          <w:trHeight w:val="270"/>
        </w:trPr>
        <w:tc>
          <w:tcPr>
            <w:tcW w:w="2569" w:type="dxa"/>
            <w:tcBorders>
              <w:top w:val="single" w:sz="6" w:space="0" w:color="000000"/>
              <w:left w:val="single" w:sz="6" w:space="0" w:color="000000"/>
              <w:bottom w:val="single" w:sz="6" w:space="0" w:color="000000"/>
              <w:right w:val="single" w:sz="6" w:space="0" w:color="000000"/>
            </w:tcBorders>
          </w:tcPr>
          <w:p w:rsidR="000B2572" w:rsidRPr="00823F84" w:rsidRDefault="000B2572" w:rsidP="00C532E0">
            <w:pPr>
              <w:jc w:val="both"/>
              <w:rPr>
                <w:noProof/>
                <w:szCs w:val="22"/>
              </w:rPr>
            </w:pPr>
            <w:r w:rsidRPr="00823F84">
              <w:rPr>
                <w:noProof/>
                <w:szCs w:val="22"/>
              </w:rPr>
              <w:t>Ψυχιατρικές διαταραχές</w:t>
            </w:r>
          </w:p>
        </w:tc>
        <w:tc>
          <w:tcPr>
            <w:tcW w:w="2534" w:type="dxa"/>
            <w:tcBorders>
              <w:top w:val="single" w:sz="6" w:space="0" w:color="000000"/>
              <w:left w:val="single" w:sz="6" w:space="0" w:color="000000"/>
              <w:bottom w:val="single" w:sz="6" w:space="0" w:color="000000"/>
              <w:right w:val="single" w:sz="7" w:space="0" w:color="000000"/>
            </w:tcBorders>
            <w:vAlign w:val="center"/>
          </w:tcPr>
          <w:p w:rsidR="000B2572" w:rsidRPr="00823F84" w:rsidRDefault="000B2572" w:rsidP="00C532E0">
            <w:pPr>
              <w:jc w:val="both"/>
              <w:rPr>
                <w:noProof/>
                <w:szCs w:val="22"/>
              </w:rPr>
            </w:pPr>
          </w:p>
        </w:tc>
        <w:tc>
          <w:tcPr>
            <w:tcW w:w="2344" w:type="dxa"/>
            <w:tcBorders>
              <w:top w:val="single" w:sz="6" w:space="0" w:color="000000"/>
              <w:left w:val="single" w:sz="7" w:space="0" w:color="000000"/>
              <w:bottom w:val="single" w:sz="6" w:space="0" w:color="000000"/>
              <w:right w:val="single" w:sz="7" w:space="0" w:color="000000"/>
            </w:tcBorders>
          </w:tcPr>
          <w:p w:rsidR="000B2572" w:rsidRPr="00823F84" w:rsidRDefault="000B2572" w:rsidP="00562263">
            <w:pPr>
              <w:rPr>
                <w:noProof/>
                <w:szCs w:val="22"/>
              </w:rPr>
            </w:pPr>
            <w:r w:rsidRPr="00823F84">
              <w:rPr>
                <w:noProof/>
                <w:szCs w:val="22"/>
              </w:rPr>
              <w:t>Συγχυτική κατάσταση, παραλήρημα, αποπροσωποποίηση, διέγερση, αϋπνία, νευρικότητα</w:t>
            </w:r>
          </w:p>
        </w:tc>
        <w:tc>
          <w:tcPr>
            <w:tcW w:w="1721" w:type="dxa"/>
            <w:tcBorders>
              <w:top w:val="single" w:sz="6" w:space="0" w:color="000000"/>
              <w:left w:val="single" w:sz="7" w:space="0" w:color="000000"/>
              <w:bottom w:val="single" w:sz="6" w:space="0" w:color="000000"/>
              <w:right w:val="single" w:sz="6" w:space="0" w:color="000000"/>
            </w:tcBorders>
            <w:vAlign w:val="center"/>
          </w:tcPr>
          <w:p w:rsidR="000B2572" w:rsidRPr="00823F84" w:rsidRDefault="000B2572" w:rsidP="00C532E0">
            <w:pPr>
              <w:jc w:val="both"/>
              <w:rPr>
                <w:noProof/>
                <w:szCs w:val="22"/>
              </w:rPr>
            </w:pPr>
          </w:p>
        </w:tc>
      </w:tr>
    </w:tbl>
    <w:p w:rsidR="005A5401" w:rsidRPr="00823F84" w:rsidRDefault="005A5401" w:rsidP="00C532E0">
      <w:pPr>
        <w:jc w:val="both"/>
        <w:rPr>
          <w:noProof/>
          <w:szCs w:val="22"/>
        </w:rPr>
      </w:pPr>
    </w:p>
    <w:p w:rsidR="003B4BF5" w:rsidRPr="00823F84" w:rsidRDefault="003B4BF5" w:rsidP="00C532E0">
      <w:pPr>
        <w:autoSpaceDE w:val="0"/>
        <w:autoSpaceDN w:val="0"/>
        <w:adjustRightInd w:val="0"/>
        <w:jc w:val="both"/>
        <w:rPr>
          <w:szCs w:val="22"/>
          <w:u w:val="single"/>
        </w:rPr>
      </w:pPr>
      <w:r w:rsidRPr="00823F84">
        <w:rPr>
          <w:noProof/>
          <w:szCs w:val="22"/>
          <w:u w:val="single"/>
        </w:rPr>
        <w:t>Αναφορά πιθανολογούμενων ανεπιθύμητων ενεργειών</w:t>
      </w:r>
    </w:p>
    <w:p w:rsidR="003B4BF5" w:rsidRPr="00823F84" w:rsidRDefault="003B4BF5" w:rsidP="0071263A">
      <w:pPr>
        <w:autoSpaceDE w:val="0"/>
        <w:autoSpaceDN w:val="0"/>
        <w:adjustRightInd w:val="0"/>
        <w:jc w:val="both"/>
        <w:rPr>
          <w:szCs w:val="22"/>
        </w:rPr>
      </w:pPr>
      <w:r w:rsidRPr="00823F84">
        <w:rPr>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823F84">
        <w:rPr>
          <w:noProof/>
          <w:szCs w:val="22"/>
        </w:rPr>
        <w:t>.</w:t>
      </w:r>
      <w:r w:rsidRPr="00823F84">
        <w:rPr>
          <w:szCs w:val="22"/>
        </w:rPr>
        <w:t xml:space="preserve"> Επιτρέπει τη συνεχή παρακολούθηση της σχέσης οφέλους-κινδύνου του φαρμακευτικού προϊόντος</w:t>
      </w:r>
      <w:r w:rsidRPr="00823F84">
        <w:rPr>
          <w:noProof/>
          <w:szCs w:val="22"/>
        </w:rPr>
        <w:t>.</w:t>
      </w:r>
      <w:r w:rsidRPr="00823F84">
        <w:rPr>
          <w:szCs w:val="22"/>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0071263A">
        <w:rPr>
          <w:szCs w:val="22"/>
        </w:rPr>
        <w:t>στον Εθνικό Οργανισμό</w:t>
      </w:r>
      <w:r w:rsidR="0071263A" w:rsidRPr="0071263A">
        <w:rPr>
          <w:szCs w:val="22"/>
        </w:rPr>
        <w:t xml:space="preserve"> Φαρμάκων</w:t>
      </w:r>
      <w:r w:rsidR="0071263A">
        <w:rPr>
          <w:szCs w:val="22"/>
        </w:rPr>
        <w:t xml:space="preserve">, </w:t>
      </w:r>
      <w:r w:rsidR="0071263A" w:rsidRPr="0071263A">
        <w:rPr>
          <w:szCs w:val="22"/>
        </w:rPr>
        <w:t>Μεσογείων 284</w:t>
      </w:r>
      <w:r w:rsidR="0071263A">
        <w:rPr>
          <w:szCs w:val="22"/>
        </w:rPr>
        <w:t xml:space="preserve">, </w:t>
      </w:r>
      <w:r w:rsidR="0071263A" w:rsidRPr="0071263A">
        <w:rPr>
          <w:szCs w:val="22"/>
        </w:rPr>
        <w:t>GR-15562 Χολαργός, Αθήνα</w:t>
      </w:r>
      <w:r w:rsidR="0071263A">
        <w:rPr>
          <w:szCs w:val="22"/>
        </w:rPr>
        <w:t xml:space="preserve">, </w:t>
      </w:r>
      <w:r w:rsidR="0071263A" w:rsidRPr="0071263A">
        <w:rPr>
          <w:szCs w:val="22"/>
        </w:rPr>
        <w:t>Τηλ: + 30 21 32040380/337</w:t>
      </w:r>
      <w:r w:rsidR="0071263A">
        <w:rPr>
          <w:szCs w:val="22"/>
        </w:rPr>
        <w:t xml:space="preserve">, Φαξ: + 30 21 06549585, </w:t>
      </w:r>
      <w:r w:rsidR="0071263A" w:rsidRPr="0071263A">
        <w:rPr>
          <w:szCs w:val="22"/>
        </w:rPr>
        <w:t xml:space="preserve">Ιστότοπος: </w:t>
      </w:r>
      <w:hyperlink r:id="rId7" w:history="1">
        <w:r w:rsidR="0071263A" w:rsidRPr="001D2CB9">
          <w:rPr>
            <w:rStyle w:val="-"/>
            <w:szCs w:val="22"/>
          </w:rPr>
          <w:t>http://www.eof.gr</w:t>
        </w:r>
      </w:hyperlink>
      <w:r w:rsidR="0071263A">
        <w:rPr>
          <w:szCs w:val="22"/>
        </w:rPr>
        <w:t xml:space="preserve">. </w:t>
      </w:r>
    </w:p>
    <w:p w:rsidR="003B4BF5" w:rsidRPr="004B3E4F" w:rsidRDefault="003B4BF5" w:rsidP="00C532E0">
      <w:pPr>
        <w:jc w:val="both"/>
        <w:rPr>
          <w:i/>
          <w:noProof/>
          <w:szCs w:val="22"/>
        </w:rPr>
      </w:pPr>
    </w:p>
    <w:p w:rsidR="00496809" w:rsidRPr="00823F84" w:rsidRDefault="00496809" w:rsidP="00C532E0">
      <w:pPr>
        <w:jc w:val="both"/>
        <w:rPr>
          <w:szCs w:val="22"/>
        </w:rPr>
      </w:pPr>
      <w:r w:rsidRPr="00823F84">
        <w:rPr>
          <w:b/>
          <w:szCs w:val="22"/>
        </w:rPr>
        <w:t>4.9</w:t>
      </w:r>
      <w:r w:rsidRPr="00823F84">
        <w:rPr>
          <w:b/>
          <w:szCs w:val="22"/>
        </w:rPr>
        <w:tab/>
        <w:t>Υπερδοσολογία</w:t>
      </w:r>
    </w:p>
    <w:p w:rsidR="00496809" w:rsidRPr="00823F84" w:rsidRDefault="00496809" w:rsidP="00C532E0">
      <w:pPr>
        <w:jc w:val="both"/>
        <w:rPr>
          <w:szCs w:val="22"/>
        </w:rPr>
      </w:pPr>
    </w:p>
    <w:p w:rsidR="00F976BE" w:rsidRDefault="005A5401" w:rsidP="00C532E0">
      <w:pPr>
        <w:jc w:val="both"/>
        <w:rPr>
          <w:szCs w:val="22"/>
        </w:rPr>
      </w:pPr>
      <w:r w:rsidRPr="00823F84">
        <w:rPr>
          <w:szCs w:val="22"/>
        </w:rPr>
        <w:t>Δεν έχει αναφερθεί κανένα περιστατικό υπερδοσολογίας.</w:t>
      </w:r>
    </w:p>
    <w:p w:rsidR="005A5401" w:rsidRPr="00823F84" w:rsidRDefault="005A5401" w:rsidP="00C532E0">
      <w:pPr>
        <w:jc w:val="both"/>
        <w:rPr>
          <w:szCs w:val="22"/>
        </w:rPr>
      </w:pPr>
    </w:p>
    <w:p w:rsidR="008E44DD" w:rsidRPr="007F2989" w:rsidRDefault="005A5401" w:rsidP="00C532E0">
      <w:pPr>
        <w:jc w:val="both"/>
        <w:rPr>
          <w:szCs w:val="22"/>
        </w:rPr>
      </w:pPr>
      <w:r w:rsidRPr="00823F84">
        <w:rPr>
          <w:szCs w:val="22"/>
        </w:rPr>
        <w:t xml:space="preserve">Η υπερδοσολογία της </w:t>
      </w:r>
      <w:r w:rsidR="00B62B7D" w:rsidRPr="00B62B7D">
        <w:rPr>
          <w:szCs w:val="22"/>
        </w:rPr>
        <w:t>paricalcitol</w:t>
      </w:r>
      <w:r w:rsidRPr="00823F84">
        <w:rPr>
          <w:szCs w:val="22"/>
        </w:rPr>
        <w:t xml:space="preserve"> μπορεί να οδηγήσει σε υπερασβεστιαιμία, υπερασβεστιουρία,</w:t>
      </w:r>
      <w:r w:rsidR="00B62B7D">
        <w:rPr>
          <w:szCs w:val="22"/>
        </w:rPr>
        <w:t xml:space="preserve"> </w:t>
      </w:r>
      <w:r w:rsidRPr="00823F84">
        <w:rPr>
          <w:szCs w:val="22"/>
        </w:rPr>
        <w:t>υπερφωσφαταιμία και υπερκαταστολή της PTH (βλέπε παράγραφο 4.4).</w:t>
      </w:r>
    </w:p>
    <w:p w:rsidR="008E44DD" w:rsidRPr="007F2989" w:rsidRDefault="008E44DD" w:rsidP="00C532E0">
      <w:pPr>
        <w:jc w:val="both"/>
        <w:rPr>
          <w:szCs w:val="22"/>
        </w:rPr>
      </w:pPr>
    </w:p>
    <w:p w:rsidR="005A5401" w:rsidRPr="007F2989" w:rsidRDefault="005A5401" w:rsidP="00C532E0">
      <w:pPr>
        <w:jc w:val="both"/>
        <w:rPr>
          <w:szCs w:val="22"/>
        </w:rPr>
      </w:pPr>
      <w:r w:rsidRPr="00823F84">
        <w:rPr>
          <w:szCs w:val="22"/>
        </w:rPr>
        <w:t>Σε περίπτωση υπερδοσολογίας, σημεία και συμπτώματα υπερασβεστιαιμίας (επίπεδα ασβεστίου του</w:t>
      </w:r>
      <w:r w:rsidR="009A32CE">
        <w:rPr>
          <w:szCs w:val="22"/>
        </w:rPr>
        <w:t xml:space="preserve"> </w:t>
      </w:r>
      <w:r w:rsidRPr="00823F84">
        <w:rPr>
          <w:szCs w:val="22"/>
        </w:rPr>
        <w:t>ορού) θα πρέπει να παρακολουθούνται και να αναφέρονται σε γιατρό. Η θεραπεία θα πρέπει να</w:t>
      </w:r>
      <w:r w:rsidR="009A32CE">
        <w:rPr>
          <w:szCs w:val="22"/>
        </w:rPr>
        <w:t xml:space="preserve"> </w:t>
      </w:r>
      <w:r w:rsidRPr="00823F84">
        <w:rPr>
          <w:szCs w:val="22"/>
        </w:rPr>
        <w:t>αρχίσει όπως ορθά αρμόζει.</w:t>
      </w:r>
    </w:p>
    <w:p w:rsidR="00B727A6" w:rsidRPr="007F2989" w:rsidRDefault="00B727A6" w:rsidP="00C532E0">
      <w:pPr>
        <w:jc w:val="both"/>
        <w:rPr>
          <w:szCs w:val="22"/>
        </w:rPr>
      </w:pPr>
    </w:p>
    <w:p w:rsidR="005A5401" w:rsidRPr="007F2989" w:rsidRDefault="005A5401" w:rsidP="00C532E0">
      <w:pPr>
        <w:jc w:val="both"/>
        <w:rPr>
          <w:szCs w:val="22"/>
        </w:rPr>
      </w:pPr>
      <w:r w:rsidRPr="00823F84">
        <w:rPr>
          <w:szCs w:val="22"/>
        </w:rPr>
        <w:t xml:space="preserve">Η </w:t>
      </w:r>
      <w:r w:rsidR="00377A01" w:rsidRPr="00377A01">
        <w:rPr>
          <w:szCs w:val="22"/>
        </w:rPr>
        <w:t>paricalcitol</w:t>
      </w:r>
      <w:r w:rsidRPr="00823F84">
        <w:rPr>
          <w:szCs w:val="22"/>
        </w:rPr>
        <w:t xml:space="preserve"> δεν απομακρύνεται σημαντικά με την αιμοκάθαρση. Η θεραπεία των ασθενών με</w:t>
      </w:r>
      <w:r w:rsidR="00377A01" w:rsidRPr="00377A01">
        <w:rPr>
          <w:szCs w:val="22"/>
        </w:rPr>
        <w:t xml:space="preserve"> </w:t>
      </w:r>
      <w:r w:rsidRPr="00823F84">
        <w:rPr>
          <w:szCs w:val="22"/>
        </w:rPr>
        <w:t xml:space="preserve">κλινικά σημαντική υπερασβεστιαιμία συνίσταται στην άμεση μείωση της δόσης ή διακοπή </w:t>
      </w:r>
      <w:r w:rsidR="009A32CE">
        <w:rPr>
          <w:szCs w:val="22"/>
        </w:rPr>
        <w:t xml:space="preserve">της </w:t>
      </w:r>
      <w:r w:rsidRPr="00823F84">
        <w:rPr>
          <w:szCs w:val="22"/>
        </w:rPr>
        <w:t xml:space="preserve">θεραπείας με </w:t>
      </w:r>
      <w:r w:rsidR="006D3E96" w:rsidRPr="006D3E96">
        <w:rPr>
          <w:szCs w:val="22"/>
        </w:rPr>
        <w:t xml:space="preserve">paricalcitol </w:t>
      </w:r>
      <w:r w:rsidRPr="00823F84">
        <w:rPr>
          <w:szCs w:val="22"/>
        </w:rPr>
        <w:t>και περιλαμβάνει δίαιτα με χαμηλή πρόσληψη ασβεστίου, διακοπή των</w:t>
      </w:r>
      <w:r w:rsidR="009A32CE">
        <w:rPr>
          <w:szCs w:val="22"/>
        </w:rPr>
        <w:t xml:space="preserve"> </w:t>
      </w:r>
      <w:r w:rsidRPr="00823F84">
        <w:rPr>
          <w:szCs w:val="22"/>
        </w:rPr>
        <w:t>συμπληρωμάτων ασβεστίου, κινητοποίηση του ασθενή, παρακολούθηση των διαταραχών του</w:t>
      </w:r>
      <w:r w:rsidR="009A32CE">
        <w:rPr>
          <w:szCs w:val="22"/>
        </w:rPr>
        <w:t xml:space="preserve"> </w:t>
      </w:r>
      <w:r w:rsidRPr="00823F84">
        <w:rPr>
          <w:szCs w:val="22"/>
        </w:rPr>
        <w:t>ισοζυγίου υγρών και ηλεκτρολυτών, αξιολόγηση των ηλεκτροκαρδιογραφικών ανωμαλιών</w:t>
      </w:r>
      <w:r w:rsidR="009A32CE">
        <w:rPr>
          <w:szCs w:val="22"/>
        </w:rPr>
        <w:t xml:space="preserve"> </w:t>
      </w:r>
      <w:r w:rsidRPr="00823F84">
        <w:rPr>
          <w:szCs w:val="22"/>
        </w:rPr>
        <w:t>(σημαντικό στους ασθενείς που λαμβάνουν δακτυλίτιδα) και αιμοκάθαρση ή περιτοναϊκή κάθαρση με</w:t>
      </w:r>
      <w:r w:rsidR="009A32CE">
        <w:rPr>
          <w:szCs w:val="22"/>
        </w:rPr>
        <w:t xml:space="preserve"> </w:t>
      </w:r>
      <w:r w:rsidRPr="00823F84">
        <w:rPr>
          <w:szCs w:val="22"/>
        </w:rPr>
        <w:t>διάλυμα άνευ ασβεστίου, όπως ενδείκνυται.</w:t>
      </w:r>
    </w:p>
    <w:p w:rsidR="00D1126B" w:rsidRPr="007F2989" w:rsidRDefault="00D1126B" w:rsidP="00C532E0">
      <w:pPr>
        <w:jc w:val="both"/>
        <w:rPr>
          <w:szCs w:val="22"/>
        </w:rPr>
      </w:pPr>
    </w:p>
    <w:p w:rsidR="005A5401" w:rsidRPr="00823F84" w:rsidRDefault="005A5401" w:rsidP="00C532E0">
      <w:pPr>
        <w:jc w:val="both"/>
        <w:rPr>
          <w:szCs w:val="22"/>
        </w:rPr>
      </w:pPr>
      <w:r w:rsidRPr="00823F84">
        <w:rPr>
          <w:szCs w:val="22"/>
        </w:rPr>
        <w:t xml:space="preserve">Όταν τα επίπεδα ασβεστίου επανέλθουν στα φυσιολογικά όρια, η θεραπεία με </w:t>
      </w:r>
      <w:r w:rsidR="008C528D" w:rsidRPr="008C528D">
        <w:rPr>
          <w:szCs w:val="22"/>
        </w:rPr>
        <w:t xml:space="preserve">paricalcitol </w:t>
      </w:r>
      <w:r w:rsidRPr="00823F84">
        <w:rPr>
          <w:szCs w:val="22"/>
        </w:rPr>
        <w:t>μπορεί</w:t>
      </w:r>
      <w:r w:rsidR="009A32CE">
        <w:rPr>
          <w:szCs w:val="22"/>
        </w:rPr>
        <w:t xml:space="preserve"> </w:t>
      </w:r>
      <w:r w:rsidRPr="00823F84">
        <w:rPr>
          <w:szCs w:val="22"/>
        </w:rPr>
        <w:t>να αρχίσει ξανά σε χαμηλότερη δόση. Εάν τα επίπεδα ασβεστίου του ορού παραμένουν σημαντικά</w:t>
      </w:r>
      <w:r w:rsidR="009A32CE">
        <w:rPr>
          <w:szCs w:val="22"/>
        </w:rPr>
        <w:t xml:space="preserve"> </w:t>
      </w:r>
      <w:r w:rsidRPr="00823F84">
        <w:rPr>
          <w:szCs w:val="22"/>
        </w:rPr>
        <w:t>υψηλά, υπάρχουν διάφορες εναλλακτικές θεραπείες που θα μπορούσαν να ληφθούν υπόψη. Οι</w:t>
      </w:r>
      <w:r w:rsidR="009A32CE">
        <w:rPr>
          <w:szCs w:val="22"/>
        </w:rPr>
        <w:t xml:space="preserve"> </w:t>
      </w:r>
      <w:r w:rsidRPr="00823F84">
        <w:rPr>
          <w:szCs w:val="22"/>
        </w:rPr>
        <w:t>θεραπείες αυτές περιλαμβάνουν τη χρήση φωσφορικών και κορτικοστεροειδών καθώς και μέτρα για</w:t>
      </w:r>
      <w:r w:rsidR="009A32CE">
        <w:rPr>
          <w:szCs w:val="22"/>
        </w:rPr>
        <w:t xml:space="preserve"> </w:t>
      </w:r>
      <w:r w:rsidRPr="00823F84">
        <w:rPr>
          <w:szCs w:val="22"/>
        </w:rPr>
        <w:t>την επαγωγή της διούρησης.</w:t>
      </w:r>
    </w:p>
    <w:p w:rsidR="005A5401" w:rsidRPr="00823F84" w:rsidRDefault="005A5401" w:rsidP="00C532E0">
      <w:pPr>
        <w:jc w:val="both"/>
        <w:rPr>
          <w:szCs w:val="22"/>
        </w:rPr>
      </w:pPr>
      <w:r w:rsidRPr="00823F84">
        <w:rPr>
          <w:szCs w:val="22"/>
        </w:rPr>
        <w:t xml:space="preserve">Το ενέσιμο διάλυμα </w:t>
      </w:r>
      <w:r w:rsidR="002D6875" w:rsidRPr="002D6875">
        <w:rPr>
          <w:szCs w:val="22"/>
        </w:rPr>
        <w:t>ZILIDOR</w:t>
      </w:r>
      <w:r w:rsidRPr="00823F84">
        <w:rPr>
          <w:szCs w:val="22"/>
        </w:rPr>
        <w:t xml:space="preserve"> περιέχει </w:t>
      </w:r>
      <w:r w:rsidR="00955495" w:rsidRPr="00955495">
        <w:rPr>
          <w:szCs w:val="22"/>
        </w:rPr>
        <w:t>44</w:t>
      </w:r>
      <w:r w:rsidRPr="00823F84">
        <w:rPr>
          <w:szCs w:val="22"/>
        </w:rPr>
        <w:t xml:space="preserve">% v/v </w:t>
      </w:r>
      <w:r w:rsidR="00955495" w:rsidRPr="00955495">
        <w:rPr>
          <w:szCs w:val="22"/>
        </w:rPr>
        <w:t>propylene glycol</w:t>
      </w:r>
      <w:r w:rsidRPr="00823F84">
        <w:rPr>
          <w:szCs w:val="22"/>
        </w:rPr>
        <w:t xml:space="preserve"> σαν έκδοχο. Έχουν αναφερθεί</w:t>
      </w:r>
      <w:r w:rsidR="009A32CE">
        <w:rPr>
          <w:szCs w:val="22"/>
        </w:rPr>
        <w:t xml:space="preserve"> </w:t>
      </w:r>
      <w:r w:rsidRPr="00823F84">
        <w:rPr>
          <w:szCs w:val="22"/>
        </w:rPr>
        <w:t>μεμονωμένες περιπτώσεις καταστολής του Κεντρικού Νευρικού Συστήματος, αιμόλυσης και</w:t>
      </w:r>
      <w:r w:rsidR="009A32CE">
        <w:rPr>
          <w:szCs w:val="22"/>
        </w:rPr>
        <w:t xml:space="preserve"> </w:t>
      </w:r>
      <w:r w:rsidRPr="00823F84">
        <w:rPr>
          <w:szCs w:val="22"/>
        </w:rPr>
        <w:t>γαλακτικής οξέωσης οι οποίες συνδέονται με την τοξική επίδραση της χορήγησης</w:t>
      </w:r>
      <w:r w:rsidR="009A32CE">
        <w:rPr>
          <w:szCs w:val="22"/>
        </w:rPr>
        <w:t xml:space="preserve"> </w:t>
      </w:r>
      <w:r w:rsidR="00A168A6" w:rsidRPr="00A168A6">
        <w:rPr>
          <w:szCs w:val="22"/>
        </w:rPr>
        <w:t>propylene glycol</w:t>
      </w:r>
      <w:r w:rsidRPr="00823F84">
        <w:rPr>
          <w:szCs w:val="22"/>
        </w:rPr>
        <w:t xml:space="preserve"> σε υψηλές δόσεις. Παρόλο που αυτές οι περιπτώσεις δεν αναμένονται με τη</w:t>
      </w:r>
      <w:r w:rsidR="009A32CE">
        <w:rPr>
          <w:szCs w:val="22"/>
        </w:rPr>
        <w:t xml:space="preserve"> </w:t>
      </w:r>
      <w:r w:rsidRPr="00823F84">
        <w:rPr>
          <w:szCs w:val="22"/>
        </w:rPr>
        <w:t xml:space="preserve">χορήγηση του </w:t>
      </w:r>
      <w:r w:rsidR="00A168A6" w:rsidRPr="00A168A6">
        <w:rPr>
          <w:szCs w:val="22"/>
        </w:rPr>
        <w:t>ZILIDOR</w:t>
      </w:r>
      <w:r w:rsidRPr="00823F84">
        <w:rPr>
          <w:szCs w:val="22"/>
        </w:rPr>
        <w:t xml:space="preserve"> καθώς η </w:t>
      </w:r>
      <w:r w:rsidR="00A168A6" w:rsidRPr="00A168A6">
        <w:rPr>
          <w:szCs w:val="22"/>
        </w:rPr>
        <w:t xml:space="preserve">propylene glycol </w:t>
      </w:r>
      <w:r w:rsidRPr="00823F84">
        <w:rPr>
          <w:szCs w:val="22"/>
        </w:rPr>
        <w:t>αποβάλλεται κατά την αιμοκάθαρση, ο κίνδυνος</w:t>
      </w:r>
      <w:r w:rsidR="009A32CE">
        <w:rPr>
          <w:szCs w:val="22"/>
        </w:rPr>
        <w:t xml:space="preserve"> </w:t>
      </w:r>
      <w:r w:rsidRPr="00823F84">
        <w:rPr>
          <w:szCs w:val="22"/>
        </w:rPr>
        <w:t>της τοξικής επίδρασης σε περιπτώσεις υπερδοσολογίας θα πρέπει να λαμβάνεται υπόψη.</w:t>
      </w: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r w:rsidRPr="00823F84">
        <w:rPr>
          <w:b/>
          <w:szCs w:val="22"/>
        </w:rPr>
        <w:t>5.</w:t>
      </w:r>
      <w:r w:rsidRPr="00823F84">
        <w:rPr>
          <w:b/>
          <w:szCs w:val="22"/>
        </w:rPr>
        <w:tab/>
        <w:t>ΦΑΡΜΑΚΟΛΟΓΙΚΕΣ ΙΔΙΟΤΗΤΕΣ</w:t>
      </w:r>
    </w:p>
    <w:p w:rsidR="00496809" w:rsidRPr="00823F84" w:rsidRDefault="00496809" w:rsidP="00C532E0">
      <w:pPr>
        <w:jc w:val="both"/>
        <w:rPr>
          <w:szCs w:val="22"/>
        </w:rPr>
      </w:pPr>
    </w:p>
    <w:p w:rsidR="00496809" w:rsidRPr="00823F84" w:rsidRDefault="00496809" w:rsidP="00C532E0">
      <w:pPr>
        <w:jc w:val="both"/>
        <w:rPr>
          <w:szCs w:val="22"/>
        </w:rPr>
      </w:pPr>
      <w:r w:rsidRPr="00823F84">
        <w:rPr>
          <w:b/>
          <w:szCs w:val="22"/>
        </w:rPr>
        <w:lastRenderedPageBreak/>
        <w:t>5.1</w:t>
      </w:r>
      <w:r w:rsidRPr="00823F84">
        <w:rPr>
          <w:b/>
          <w:szCs w:val="22"/>
        </w:rPr>
        <w:tab/>
        <w:t>Φαρμακοδυναμικές ιδιότητες</w:t>
      </w:r>
    </w:p>
    <w:p w:rsidR="00496809" w:rsidRPr="00823F84" w:rsidRDefault="00496809" w:rsidP="00C532E0">
      <w:pPr>
        <w:jc w:val="both"/>
        <w:rPr>
          <w:szCs w:val="22"/>
        </w:rPr>
      </w:pPr>
    </w:p>
    <w:p w:rsidR="0093136D" w:rsidRPr="00042E1A" w:rsidRDefault="005A5401" w:rsidP="00C532E0">
      <w:pPr>
        <w:jc w:val="both"/>
        <w:rPr>
          <w:szCs w:val="22"/>
        </w:rPr>
      </w:pPr>
      <w:r w:rsidRPr="00823F84">
        <w:rPr>
          <w:szCs w:val="22"/>
        </w:rPr>
        <w:t>Φαρμακοθεραπευτική κατηγορία: Αν</w:t>
      </w:r>
      <w:r w:rsidR="0093136D">
        <w:rPr>
          <w:szCs w:val="22"/>
        </w:rPr>
        <w:t xml:space="preserve">τιπαραθυρεοειδικοί παράγοντες, </w:t>
      </w:r>
      <w:r w:rsidRPr="00823F84">
        <w:rPr>
          <w:szCs w:val="22"/>
        </w:rPr>
        <w:t>Κωδικός ATC: H05BX02</w:t>
      </w:r>
      <w:r w:rsidR="00042E1A" w:rsidRPr="00042E1A">
        <w:rPr>
          <w:szCs w:val="22"/>
        </w:rPr>
        <w:t>.</w:t>
      </w:r>
    </w:p>
    <w:p w:rsidR="0093136D" w:rsidRPr="00042E1A" w:rsidRDefault="0093136D" w:rsidP="00C532E0">
      <w:pPr>
        <w:jc w:val="both"/>
        <w:rPr>
          <w:szCs w:val="22"/>
        </w:rPr>
      </w:pPr>
    </w:p>
    <w:p w:rsidR="005A5401" w:rsidRPr="00E9434F" w:rsidRDefault="005A5401" w:rsidP="00C532E0">
      <w:pPr>
        <w:jc w:val="both"/>
        <w:rPr>
          <w:szCs w:val="22"/>
        </w:rPr>
      </w:pPr>
      <w:r w:rsidRPr="00823F84">
        <w:rPr>
          <w:szCs w:val="22"/>
          <w:u w:val="single"/>
        </w:rPr>
        <w:t>Μηχανισμός δράσης</w:t>
      </w:r>
      <w:r w:rsidRPr="00823F84">
        <w:rPr>
          <w:szCs w:val="22"/>
        </w:rPr>
        <w:t xml:space="preserve">: Η </w:t>
      </w:r>
      <w:r w:rsidR="00CD1858" w:rsidRPr="00CD1858">
        <w:rPr>
          <w:szCs w:val="22"/>
        </w:rPr>
        <w:t>paricalcitol</w:t>
      </w:r>
      <w:r w:rsidRPr="00823F84">
        <w:rPr>
          <w:szCs w:val="22"/>
        </w:rPr>
        <w:t xml:space="preserve"> είναι μια συνθετική, βιολογικά ενεργή βιταμίνη D, ανάλογο της καλσιτριόλης με υποκαταστάσεις στην παράπλευρη αλυσίδα (D2) και στον Α (19-nor) δακτύλιο. Σε αντίθεση με την καλσιτριόλη, η </w:t>
      </w:r>
      <w:r w:rsidR="003F5DFF" w:rsidRPr="003F5DFF">
        <w:rPr>
          <w:szCs w:val="22"/>
        </w:rPr>
        <w:t xml:space="preserve">paricalcitol </w:t>
      </w:r>
      <w:r w:rsidRPr="00823F84">
        <w:rPr>
          <w:szCs w:val="22"/>
        </w:rPr>
        <w:t xml:space="preserve">είναι ένας εκλεκτικός ενεργοποιητής του υποδοχέα της βιταμίνης D (VDR). Η </w:t>
      </w:r>
      <w:r w:rsidR="00CD1858" w:rsidRPr="00CD1858">
        <w:rPr>
          <w:szCs w:val="22"/>
        </w:rPr>
        <w:t xml:space="preserve">paricalcitol </w:t>
      </w:r>
      <w:r w:rsidRPr="00823F84">
        <w:rPr>
          <w:szCs w:val="22"/>
        </w:rPr>
        <w:t xml:space="preserve">ενεργοποιεί εκλεκτικά τους VDR στους παραθυρεοειδείς αδένες χωρίς αύξηση των VDR στο έντερο και είναι λιγότερο ενεργή στην οστική απορρόφηση. Η </w:t>
      </w:r>
      <w:r w:rsidR="00CD1858" w:rsidRPr="00CD1858">
        <w:rPr>
          <w:szCs w:val="22"/>
        </w:rPr>
        <w:t>paricalcitol</w:t>
      </w:r>
      <w:r w:rsidRPr="00823F84">
        <w:rPr>
          <w:szCs w:val="22"/>
        </w:rPr>
        <w:t xml:space="preserve"> επίσης ενεργοποιεί τον υποδοχέα ασβεστίου (CaSR) στους παραθυρεοειδείς αδένες. Σαν αποτέλεσμα, η </w:t>
      </w:r>
      <w:r w:rsidR="00333ED2" w:rsidRPr="00333ED2">
        <w:rPr>
          <w:szCs w:val="22"/>
        </w:rPr>
        <w:t>paricalcitol</w:t>
      </w:r>
      <w:r w:rsidRPr="00823F84">
        <w:rPr>
          <w:szCs w:val="22"/>
        </w:rPr>
        <w:t xml:space="preserve"> μειώνει τα επίπεδα της παραθορμόνης (PTH) αναστέλλοντας την υπερπλασία των παραθυρεοειδικών αδένων και μειώνοντας τη σύνθεση και την έκκριση της PTH, επιδρώντας ελάχιστα στα επίπεδα του ασβεστίου και του φωσφόρου και μπορεί να δρα κατευθείαν στα κύτταρα των οστών ώστε να διατηρήσει τον όγκο των οστών και να αυξήσει τις επιφάνειες επιμετάλλωσης. Η διόρθωση των μη φυσιολογικών επίπεδων PTH, με την ομαλοποίηση της ομοιόστασης του ασβεστίου και του φωσφόρου, είναι πιθανό να εμποδίσει ή να θεραπεύσει τη μεταβολική νόσο των οστών που σχετίζ</w:t>
      </w:r>
      <w:r w:rsidR="00E9434F">
        <w:rPr>
          <w:szCs w:val="22"/>
        </w:rPr>
        <w:t>εται με τη χρόνια νεφρική νόσο.</w:t>
      </w:r>
    </w:p>
    <w:p w:rsidR="00E9434F" w:rsidRPr="00E9434F" w:rsidRDefault="00E9434F" w:rsidP="00C532E0">
      <w:pPr>
        <w:jc w:val="both"/>
        <w:rPr>
          <w:szCs w:val="22"/>
        </w:rPr>
      </w:pPr>
    </w:p>
    <w:p w:rsidR="005A5401" w:rsidRPr="00333ED2" w:rsidRDefault="005A5401" w:rsidP="00C532E0">
      <w:pPr>
        <w:jc w:val="both"/>
        <w:rPr>
          <w:szCs w:val="22"/>
        </w:rPr>
      </w:pPr>
      <w:r w:rsidRPr="00823F84">
        <w:rPr>
          <w:szCs w:val="22"/>
        </w:rPr>
        <w:t xml:space="preserve">Παιδιατρικά κλινικά στοιχεία: Η ασφάλεια και η αποτελεσματικότητα του </w:t>
      </w:r>
      <w:proofErr w:type="spellStart"/>
      <w:r w:rsidR="000662C7">
        <w:rPr>
          <w:szCs w:val="22"/>
          <w:lang w:val="en-US"/>
        </w:rPr>
        <w:t>paricalcitol</w:t>
      </w:r>
      <w:proofErr w:type="spellEnd"/>
      <w:r w:rsidRPr="00823F84">
        <w:rPr>
          <w:szCs w:val="22"/>
        </w:rPr>
        <w:t xml:space="preserve"> εξετάστηκαν σε μια τυχαιοποιημένη, διπλή-τυφλή, ελεγχόμενη με εικονικό φάρμακο μελέτη 12 εβδομάδων σε 29 παιδιατρικούς ασθενείς, ηλικίας 5-19 ετών, με τελικό στάδιο νεφρικής νόσου υπό αιμοκάθαρση. Οι έξι νεότεροι ασθενείς στους οποίους χορηγήθηκε </w:t>
      </w:r>
      <w:proofErr w:type="spellStart"/>
      <w:r w:rsidR="000662C7">
        <w:rPr>
          <w:szCs w:val="22"/>
          <w:lang w:val="en-US"/>
        </w:rPr>
        <w:t>paricalcitol</w:t>
      </w:r>
      <w:proofErr w:type="spellEnd"/>
      <w:r w:rsidRPr="00823F84">
        <w:rPr>
          <w:szCs w:val="22"/>
        </w:rPr>
        <w:t xml:space="preserve"> στη μελέτ</w:t>
      </w:r>
      <w:r w:rsidR="00756D52">
        <w:rPr>
          <w:szCs w:val="22"/>
        </w:rPr>
        <w:t>η ήταν 5-12 ετών. Η αρχική δόση</w:t>
      </w:r>
      <w:r w:rsidR="00756D52" w:rsidRPr="00756D52">
        <w:rPr>
          <w:szCs w:val="22"/>
        </w:rPr>
        <w:t xml:space="preserve"> </w:t>
      </w:r>
      <w:r w:rsidRPr="00823F84">
        <w:rPr>
          <w:szCs w:val="22"/>
        </w:rPr>
        <w:t xml:space="preserve">του </w:t>
      </w:r>
      <w:proofErr w:type="spellStart"/>
      <w:r w:rsidR="000662C7">
        <w:rPr>
          <w:szCs w:val="22"/>
          <w:lang w:val="en-US"/>
        </w:rPr>
        <w:t>paricalcitol</w:t>
      </w:r>
      <w:proofErr w:type="spellEnd"/>
      <w:r w:rsidRPr="00823F84">
        <w:rPr>
          <w:szCs w:val="22"/>
        </w:rPr>
        <w:t xml:space="preserve"> ήταν 0,04 mcg/kg 3 φορές την εβδομάδα, βασιζόμενη σε αρχικά επίπεδα iPTH λιγότερο από 500 pg/ml ή 0,08 mcg/kg 3 φορές την εβδομάδα βασιζόμενη σε αρχικά επίπεδα iPTH </w:t>
      </w:r>
      <w:r w:rsidR="009A6DC8" w:rsidRPr="009A6DC8">
        <w:rPr>
          <w:szCs w:val="22"/>
        </w:rPr>
        <w:t>≥</w:t>
      </w:r>
      <w:r w:rsidR="001E25BD" w:rsidRPr="001E25BD">
        <w:rPr>
          <w:szCs w:val="22"/>
        </w:rPr>
        <w:t xml:space="preserve"> </w:t>
      </w:r>
      <w:r w:rsidRPr="00823F84">
        <w:rPr>
          <w:szCs w:val="22"/>
        </w:rPr>
        <w:t xml:space="preserve">500 pg/ml, αντιστοίχως. Η τιτλοποίηση των δόσεων του </w:t>
      </w:r>
      <w:proofErr w:type="spellStart"/>
      <w:r w:rsidR="000662C7">
        <w:rPr>
          <w:szCs w:val="22"/>
          <w:lang w:val="en-US"/>
        </w:rPr>
        <w:t>paricalcitol</w:t>
      </w:r>
      <w:proofErr w:type="spellEnd"/>
      <w:r w:rsidR="000662C7" w:rsidRPr="00823F84">
        <w:rPr>
          <w:szCs w:val="22"/>
        </w:rPr>
        <w:t xml:space="preserve"> </w:t>
      </w:r>
      <w:r w:rsidRPr="00823F84">
        <w:rPr>
          <w:szCs w:val="22"/>
        </w:rPr>
        <w:t xml:space="preserve">ρυθμιζόταν κατά δόσεις των 0,04 mcg/kg βασιζόμενη στα επίπεδα iPTH στον ορό, στο ασβέστιο, και στο γινόμενο Ca x P. To 67% των ασθενών στους οποίους χορηγήθηκε </w:t>
      </w:r>
      <w:proofErr w:type="spellStart"/>
      <w:r w:rsidR="000662C7">
        <w:rPr>
          <w:szCs w:val="22"/>
          <w:lang w:val="en-US"/>
        </w:rPr>
        <w:t>paricalcitol</w:t>
      </w:r>
      <w:proofErr w:type="spellEnd"/>
      <w:r w:rsidRPr="00823F84">
        <w:rPr>
          <w:szCs w:val="22"/>
        </w:rPr>
        <w:t xml:space="preserve"> και το 14% των ασθενών στους οποίους χορηγήθηκε εικονικό φάρμακο ολοκλήρωσαν τη μελέτη. Το 60% των ασθενών στην ομάδα του </w:t>
      </w:r>
      <w:proofErr w:type="spellStart"/>
      <w:r w:rsidR="000662C7">
        <w:rPr>
          <w:szCs w:val="22"/>
          <w:lang w:val="en-US"/>
        </w:rPr>
        <w:t>paricalcitol</w:t>
      </w:r>
      <w:proofErr w:type="spellEnd"/>
      <w:r w:rsidRPr="00823F84">
        <w:rPr>
          <w:szCs w:val="22"/>
        </w:rPr>
        <w:t xml:space="preserve"> είχαν 2 επακόλουθες μειώσεις από τα αρχικά επίπεδα iPTH της τάξεως του 30%, συγκρινόμενο με το 21% των ασθενών από τη ομάδα που έλαβε εικονικό φάρμακο. Το 71% των ασθενών που έλαβαν εικονικό φάρμακο διέκοψαν τη θεραπεία εξαιτίας υπερβολικών αυξήσεων στα επίπεδα iPTH. Δεν υπήρξαν ασθενείς είτε από την ομάδα που έλαβε </w:t>
      </w:r>
      <w:proofErr w:type="spellStart"/>
      <w:r w:rsidR="000662C7">
        <w:rPr>
          <w:szCs w:val="22"/>
          <w:lang w:val="en-US"/>
        </w:rPr>
        <w:t>paricalcitol</w:t>
      </w:r>
      <w:proofErr w:type="spellEnd"/>
      <w:r w:rsidRPr="00823F84">
        <w:rPr>
          <w:szCs w:val="22"/>
        </w:rPr>
        <w:t xml:space="preserve"> είτε από την ομάδα που έλαβε εικονικό φάρμακο οι οποίοι να ανέπτυξαν υπερασβεστιαμία. Δεν υπάρχουν διαθέσιμα στοιχεία για ασθενείς κάτω των 5 ετών. </w:t>
      </w:r>
    </w:p>
    <w:p w:rsidR="00496809" w:rsidRPr="007F2989" w:rsidRDefault="00496809" w:rsidP="00C532E0">
      <w:pPr>
        <w:jc w:val="both"/>
        <w:rPr>
          <w:szCs w:val="22"/>
        </w:rPr>
      </w:pPr>
    </w:p>
    <w:p w:rsidR="00496809" w:rsidRPr="00823F84" w:rsidRDefault="00496809" w:rsidP="00C532E0">
      <w:pPr>
        <w:jc w:val="both"/>
        <w:rPr>
          <w:b/>
          <w:szCs w:val="22"/>
        </w:rPr>
      </w:pPr>
      <w:r w:rsidRPr="00823F84">
        <w:rPr>
          <w:b/>
          <w:szCs w:val="22"/>
        </w:rPr>
        <w:t>5.2</w:t>
      </w:r>
      <w:r w:rsidRPr="00823F84">
        <w:rPr>
          <w:b/>
          <w:szCs w:val="22"/>
        </w:rPr>
        <w:tab/>
        <w:t>Φαρμακοκινητικές ιδιότητες</w:t>
      </w:r>
    </w:p>
    <w:p w:rsidR="00056716" w:rsidRPr="00823F84" w:rsidRDefault="00056716" w:rsidP="00C532E0">
      <w:pPr>
        <w:jc w:val="both"/>
        <w:rPr>
          <w:szCs w:val="22"/>
        </w:rPr>
      </w:pPr>
    </w:p>
    <w:p w:rsidR="005A5401" w:rsidRPr="007F2989" w:rsidRDefault="005A5401" w:rsidP="00C532E0">
      <w:pPr>
        <w:jc w:val="both"/>
        <w:rPr>
          <w:i/>
          <w:iCs/>
          <w:szCs w:val="22"/>
        </w:rPr>
      </w:pPr>
      <w:r w:rsidRPr="00823F84">
        <w:rPr>
          <w:i/>
          <w:iCs/>
          <w:szCs w:val="22"/>
        </w:rPr>
        <w:t xml:space="preserve">Κατανομή </w:t>
      </w:r>
    </w:p>
    <w:p w:rsidR="0001379E" w:rsidRPr="007F2989" w:rsidRDefault="0001379E" w:rsidP="00C532E0">
      <w:pPr>
        <w:jc w:val="both"/>
        <w:rPr>
          <w:szCs w:val="22"/>
        </w:rPr>
      </w:pPr>
    </w:p>
    <w:p w:rsidR="005A5401" w:rsidRDefault="005A5401" w:rsidP="00C532E0">
      <w:pPr>
        <w:jc w:val="both"/>
        <w:rPr>
          <w:szCs w:val="22"/>
        </w:rPr>
      </w:pPr>
      <w:r w:rsidRPr="00823F84">
        <w:rPr>
          <w:szCs w:val="22"/>
        </w:rPr>
        <w:t xml:space="preserve">Η φαρμακοκινητική της </w:t>
      </w:r>
      <w:r w:rsidR="002D3298" w:rsidRPr="002D3298">
        <w:rPr>
          <w:szCs w:val="22"/>
        </w:rPr>
        <w:t>paricalcitol</w:t>
      </w:r>
      <w:r w:rsidRPr="00823F84">
        <w:rPr>
          <w:szCs w:val="22"/>
        </w:rPr>
        <w:t xml:space="preserve"> έχει μελετηθεί σε ασθενείς με χρόνια νεφρική ανεπάρκεια (Χ.Ν.Α.) που χρειάζονται αιμοκάθαρση. Η </w:t>
      </w:r>
      <w:r w:rsidR="002D3298" w:rsidRPr="002D3298">
        <w:rPr>
          <w:szCs w:val="22"/>
        </w:rPr>
        <w:t xml:space="preserve">paricalcitol </w:t>
      </w:r>
      <w:r w:rsidRPr="00823F84">
        <w:rPr>
          <w:szCs w:val="22"/>
        </w:rPr>
        <w:t xml:space="preserve">χορηγείται με ενδοφλέβια ένεση bolus. Μέσα σε δύο ώρες από τη χορήγηση δόσεων που κυμαίνονταν από 0,04 έως 0,24 μg/kg, οι συγκεντρώσεις της </w:t>
      </w:r>
      <w:r w:rsidR="002D3298" w:rsidRPr="002D3298">
        <w:rPr>
          <w:szCs w:val="22"/>
        </w:rPr>
        <w:t xml:space="preserve">paricalcitol </w:t>
      </w:r>
      <w:r w:rsidRPr="00823F84">
        <w:rPr>
          <w:szCs w:val="22"/>
        </w:rPr>
        <w:t>μειώθηκαν γρήγορα</w:t>
      </w:r>
      <w:r w:rsidR="004C335A" w:rsidRPr="004C335A">
        <w:rPr>
          <w:szCs w:val="22"/>
        </w:rPr>
        <w:t>,</w:t>
      </w:r>
      <w:r w:rsidRPr="00823F84">
        <w:rPr>
          <w:szCs w:val="22"/>
        </w:rPr>
        <w:t xml:space="preserve"> </w:t>
      </w:r>
      <w:r w:rsidR="004C335A">
        <w:rPr>
          <w:szCs w:val="22"/>
        </w:rPr>
        <w:t>σ</w:t>
      </w:r>
      <w:r w:rsidRPr="00823F84">
        <w:rPr>
          <w:szCs w:val="22"/>
        </w:rPr>
        <w:t xml:space="preserve">τη συνέχεια, οι συγκεντρώσεις της </w:t>
      </w:r>
      <w:r w:rsidR="002D3298" w:rsidRPr="002D3298">
        <w:rPr>
          <w:szCs w:val="22"/>
        </w:rPr>
        <w:t xml:space="preserve">paricalcitol </w:t>
      </w:r>
      <w:r w:rsidRPr="00823F84">
        <w:rPr>
          <w:szCs w:val="22"/>
        </w:rPr>
        <w:t xml:space="preserve">μειώθηκαν με λογαριθμικό-γραμμικό τρόπο, με μέση ημιζωή περίπου 15 ώρες. Δεν παρατηρήθηκε συσσώρευση της </w:t>
      </w:r>
      <w:r w:rsidR="002D3298" w:rsidRPr="002D3298">
        <w:rPr>
          <w:szCs w:val="22"/>
        </w:rPr>
        <w:t xml:space="preserve">paricalcitol </w:t>
      </w:r>
      <w:r w:rsidR="004C335A">
        <w:rPr>
          <w:szCs w:val="22"/>
        </w:rPr>
        <w:t>με χορήγηση πολλαπλών δόσεων.</w:t>
      </w:r>
    </w:p>
    <w:p w:rsidR="004C335A" w:rsidRPr="00823F84" w:rsidRDefault="004C335A" w:rsidP="00C532E0">
      <w:pPr>
        <w:jc w:val="both"/>
        <w:rPr>
          <w:szCs w:val="22"/>
        </w:rPr>
      </w:pPr>
    </w:p>
    <w:p w:rsidR="005A5401" w:rsidRDefault="005A5401" w:rsidP="00C532E0">
      <w:pPr>
        <w:jc w:val="both"/>
        <w:rPr>
          <w:i/>
          <w:iCs/>
          <w:szCs w:val="22"/>
        </w:rPr>
      </w:pPr>
      <w:r w:rsidRPr="00823F84">
        <w:rPr>
          <w:i/>
          <w:iCs/>
          <w:szCs w:val="22"/>
        </w:rPr>
        <w:t>Αποβολή</w:t>
      </w:r>
    </w:p>
    <w:p w:rsidR="00890EC6" w:rsidRPr="00823F84" w:rsidRDefault="00890EC6" w:rsidP="00C532E0">
      <w:pPr>
        <w:jc w:val="both"/>
        <w:rPr>
          <w:szCs w:val="22"/>
        </w:rPr>
      </w:pPr>
    </w:p>
    <w:p w:rsidR="005A5401" w:rsidRDefault="005A5401" w:rsidP="00C532E0">
      <w:pPr>
        <w:jc w:val="both"/>
        <w:rPr>
          <w:szCs w:val="22"/>
        </w:rPr>
      </w:pPr>
      <w:r w:rsidRPr="00823F84">
        <w:rPr>
          <w:szCs w:val="22"/>
        </w:rPr>
        <w:t xml:space="preserve">Σε μία μελέτη που διεξήχθη σε υγιή άτομα, με εφάπαξ ενδοφλέβια δόση bolus 0,16 μg/kg της </w:t>
      </w:r>
      <w:r w:rsidRPr="00823F84">
        <w:rPr>
          <w:szCs w:val="22"/>
          <w:vertAlign w:val="superscript"/>
        </w:rPr>
        <w:t>3</w:t>
      </w:r>
      <w:r w:rsidRPr="00823F84">
        <w:rPr>
          <w:szCs w:val="22"/>
        </w:rPr>
        <w:t>H</w:t>
      </w:r>
      <w:r w:rsidR="00176203">
        <w:rPr>
          <w:szCs w:val="22"/>
        </w:rPr>
        <w:t>-</w:t>
      </w:r>
      <w:r w:rsidRPr="00823F84">
        <w:rPr>
          <w:szCs w:val="22"/>
        </w:rPr>
        <w:t xml:space="preserve">paricalcitol (n=4), η ραδιοενεργότητα του πλάσματος αποδόθηκε στη μητρική ουσία. Η </w:t>
      </w:r>
      <w:r w:rsidR="002D3298" w:rsidRPr="002D3298">
        <w:rPr>
          <w:szCs w:val="22"/>
        </w:rPr>
        <w:t xml:space="preserve">paricalcitol </w:t>
      </w:r>
      <w:r w:rsidRPr="00823F84">
        <w:rPr>
          <w:szCs w:val="22"/>
        </w:rPr>
        <w:t>αποβλήθηκε κυρίως από το ηπατοχολικό σύστημα, καθώς το 74% της ραδιενεργούς δόσης ανακτήθηκε στα κόπρανα</w:t>
      </w:r>
      <w:r w:rsidR="00890EC6">
        <w:rPr>
          <w:szCs w:val="22"/>
        </w:rPr>
        <w:t xml:space="preserve"> και μόνο 16% βρέθηκε στα ούρα.</w:t>
      </w:r>
    </w:p>
    <w:p w:rsidR="00890EC6" w:rsidRPr="00823F84" w:rsidRDefault="00890EC6" w:rsidP="00C532E0">
      <w:pPr>
        <w:jc w:val="both"/>
        <w:rPr>
          <w:szCs w:val="22"/>
        </w:rPr>
      </w:pPr>
    </w:p>
    <w:p w:rsidR="005A5401" w:rsidRDefault="005A5401" w:rsidP="00C532E0">
      <w:pPr>
        <w:jc w:val="both"/>
        <w:rPr>
          <w:i/>
          <w:iCs/>
          <w:szCs w:val="22"/>
        </w:rPr>
      </w:pPr>
      <w:r w:rsidRPr="00823F84">
        <w:rPr>
          <w:i/>
          <w:iCs/>
          <w:szCs w:val="22"/>
        </w:rPr>
        <w:t xml:space="preserve">Μεταβολισμός </w:t>
      </w:r>
    </w:p>
    <w:p w:rsidR="00890EC6" w:rsidRPr="00823F84" w:rsidRDefault="00890EC6" w:rsidP="00C532E0">
      <w:pPr>
        <w:jc w:val="both"/>
        <w:rPr>
          <w:szCs w:val="22"/>
        </w:rPr>
      </w:pPr>
    </w:p>
    <w:p w:rsidR="005A5401" w:rsidRDefault="005A5401" w:rsidP="00C532E0">
      <w:pPr>
        <w:jc w:val="both"/>
        <w:rPr>
          <w:szCs w:val="22"/>
        </w:rPr>
      </w:pPr>
      <w:r w:rsidRPr="00823F84">
        <w:rPr>
          <w:szCs w:val="22"/>
        </w:rPr>
        <w:t xml:space="preserve">Αρκετοί άγνωστοι μεταβολίτες ανιχνεύθηκαν στα ούρα και τα κόπρανα, ενώ δεν υπήρχε ανιχνεύσιμη </w:t>
      </w:r>
      <w:r w:rsidR="002D3298" w:rsidRPr="002D3298">
        <w:rPr>
          <w:szCs w:val="22"/>
        </w:rPr>
        <w:lastRenderedPageBreak/>
        <w:t xml:space="preserve">paricalcitol </w:t>
      </w:r>
      <w:r w:rsidRPr="00823F84">
        <w:rPr>
          <w:szCs w:val="22"/>
        </w:rPr>
        <w:t xml:space="preserve">στα ούρα. Οι μεταβολίτες αυτοί δεν έχουν χαρακτηριστεί και δεν έχουν ταυτοποιηθεί. Όλοι αυτοί οι μεταβολίτες συνεισέφεραν το 51% της ραδιοενεργότητας στα ούρα και το 59% της ραδιοενεργότητας στα κόπρανα. </w:t>
      </w:r>
      <w:r w:rsidRPr="00823F84">
        <w:rPr>
          <w:i/>
          <w:iCs/>
          <w:szCs w:val="22"/>
        </w:rPr>
        <w:t xml:space="preserve">In vitro </w:t>
      </w:r>
      <w:r w:rsidRPr="00823F84">
        <w:rPr>
          <w:szCs w:val="22"/>
        </w:rPr>
        <w:t xml:space="preserve">η σύνδεση της </w:t>
      </w:r>
      <w:r w:rsidR="002D3298" w:rsidRPr="002D3298">
        <w:rPr>
          <w:szCs w:val="22"/>
        </w:rPr>
        <w:t xml:space="preserve">paricalcitol </w:t>
      </w:r>
      <w:r w:rsidRPr="00823F84">
        <w:rPr>
          <w:szCs w:val="22"/>
        </w:rPr>
        <w:t xml:space="preserve">με τις πρωτεΐνες του πλάσματος ήταν εκτενής (&gt; 99,9 %) και μη κορεσμένη σε εύρος συγκεντρώσεων από 1 έως 100 ng/ml. </w:t>
      </w:r>
    </w:p>
    <w:p w:rsidR="00176203" w:rsidRPr="00823F84" w:rsidRDefault="00176203" w:rsidP="00C532E0">
      <w:pPr>
        <w:jc w:val="both"/>
        <w:rPr>
          <w:szCs w:val="22"/>
        </w:rPr>
      </w:pPr>
    </w:p>
    <w:tbl>
      <w:tblPr>
        <w:tblW w:w="8535" w:type="dxa"/>
        <w:tblBorders>
          <w:top w:val="nil"/>
          <w:left w:val="nil"/>
          <w:bottom w:val="nil"/>
          <w:right w:val="nil"/>
        </w:tblBorders>
        <w:tblLook w:val="0000"/>
      </w:tblPr>
      <w:tblGrid>
        <w:gridCol w:w="2993"/>
        <w:gridCol w:w="1843"/>
        <w:gridCol w:w="3699"/>
      </w:tblGrid>
      <w:tr w:rsidR="005A5401" w:rsidRPr="00823F84" w:rsidTr="00533BED">
        <w:trPr>
          <w:trHeight w:val="545"/>
        </w:trPr>
        <w:tc>
          <w:tcPr>
            <w:tcW w:w="8535" w:type="dxa"/>
            <w:gridSpan w:val="3"/>
            <w:tcBorders>
              <w:top w:val="single" w:sz="6" w:space="0" w:color="000000"/>
              <w:left w:val="single" w:sz="6" w:space="0" w:color="000000"/>
              <w:bottom w:val="single" w:sz="7" w:space="0" w:color="000000"/>
              <w:right w:val="single" w:sz="6" w:space="0" w:color="000000"/>
            </w:tcBorders>
          </w:tcPr>
          <w:p w:rsidR="005A5401" w:rsidRPr="00533BED" w:rsidRDefault="005A5401" w:rsidP="00D20774">
            <w:pPr>
              <w:rPr>
                <w:b/>
                <w:szCs w:val="22"/>
              </w:rPr>
            </w:pPr>
            <w:r w:rsidRPr="00533BED">
              <w:rPr>
                <w:b/>
                <w:szCs w:val="22"/>
              </w:rPr>
              <w:t xml:space="preserve">Φαρμακοκινητικά χαρακτηριστικά της </w:t>
            </w:r>
            <w:r w:rsidR="00533BED" w:rsidRPr="00533BED">
              <w:rPr>
                <w:b/>
                <w:szCs w:val="22"/>
              </w:rPr>
              <w:t>paricalcitol</w:t>
            </w:r>
            <w:r w:rsidRPr="00533BED">
              <w:rPr>
                <w:b/>
                <w:szCs w:val="22"/>
              </w:rPr>
              <w:t xml:space="preserve"> σε ασθενείς με χρόνια νεφρική ανεπάρκεια (δόση 0,24 μg/kg) </w:t>
            </w:r>
          </w:p>
        </w:tc>
      </w:tr>
      <w:tr w:rsidR="005A5401" w:rsidRPr="00823F84" w:rsidTr="00533BED">
        <w:trPr>
          <w:trHeight w:val="278"/>
        </w:trPr>
        <w:tc>
          <w:tcPr>
            <w:tcW w:w="2993" w:type="dxa"/>
            <w:tcBorders>
              <w:top w:val="single" w:sz="7" w:space="0" w:color="000000"/>
              <w:left w:val="single" w:sz="6" w:space="0" w:color="000000"/>
              <w:bottom w:val="single" w:sz="6" w:space="0" w:color="000000"/>
              <w:right w:val="single" w:sz="6" w:space="0" w:color="000000"/>
            </w:tcBorders>
            <w:vAlign w:val="center"/>
          </w:tcPr>
          <w:p w:rsidR="005A5401" w:rsidRPr="00CB4ADC" w:rsidRDefault="005A5401" w:rsidP="00D20774">
            <w:pPr>
              <w:rPr>
                <w:b/>
                <w:szCs w:val="22"/>
              </w:rPr>
            </w:pPr>
            <w:r w:rsidRPr="00CB4ADC">
              <w:rPr>
                <w:b/>
                <w:szCs w:val="22"/>
              </w:rPr>
              <w:t xml:space="preserve">Παράμετρος </w:t>
            </w:r>
          </w:p>
        </w:tc>
        <w:tc>
          <w:tcPr>
            <w:tcW w:w="1843" w:type="dxa"/>
            <w:tcBorders>
              <w:top w:val="single" w:sz="7" w:space="0" w:color="000000"/>
              <w:left w:val="single" w:sz="6" w:space="0" w:color="000000"/>
              <w:bottom w:val="single" w:sz="6" w:space="0" w:color="000000"/>
              <w:right w:val="single" w:sz="7" w:space="0" w:color="000000"/>
            </w:tcBorders>
            <w:vAlign w:val="center"/>
          </w:tcPr>
          <w:p w:rsidR="005A5401" w:rsidRPr="00CB4ADC" w:rsidRDefault="005A5401" w:rsidP="00D20774">
            <w:pPr>
              <w:rPr>
                <w:b/>
                <w:szCs w:val="22"/>
              </w:rPr>
            </w:pPr>
            <w:r w:rsidRPr="00CB4ADC">
              <w:rPr>
                <w:b/>
                <w:szCs w:val="22"/>
              </w:rPr>
              <w:t xml:space="preserve">Ν </w:t>
            </w:r>
          </w:p>
        </w:tc>
        <w:tc>
          <w:tcPr>
            <w:tcW w:w="3699" w:type="dxa"/>
            <w:tcBorders>
              <w:top w:val="single" w:sz="7" w:space="0" w:color="000000"/>
              <w:left w:val="single" w:sz="7" w:space="0" w:color="000000"/>
              <w:bottom w:val="single" w:sz="6" w:space="0" w:color="000000"/>
              <w:right w:val="single" w:sz="6" w:space="0" w:color="000000"/>
            </w:tcBorders>
            <w:vAlign w:val="center"/>
          </w:tcPr>
          <w:p w:rsidR="005A5401" w:rsidRPr="00CB4ADC" w:rsidRDefault="005A5401" w:rsidP="00D20774">
            <w:pPr>
              <w:rPr>
                <w:b/>
                <w:szCs w:val="22"/>
              </w:rPr>
            </w:pPr>
            <w:r w:rsidRPr="00CB4ADC">
              <w:rPr>
                <w:b/>
                <w:szCs w:val="22"/>
              </w:rPr>
              <w:t xml:space="preserve">Τιμές (Μέση </w:t>
            </w:r>
            <w:r w:rsidR="00CB4ADC" w:rsidRPr="00CB4ADC">
              <w:rPr>
                <w:b/>
                <w:szCs w:val="22"/>
              </w:rPr>
              <w:t>±</w:t>
            </w:r>
            <w:r w:rsidR="00CB4ADC">
              <w:rPr>
                <w:b/>
                <w:szCs w:val="22"/>
              </w:rPr>
              <w:t xml:space="preserve"> </w:t>
            </w:r>
            <w:r w:rsidRPr="00CB4ADC">
              <w:rPr>
                <w:b/>
                <w:szCs w:val="22"/>
              </w:rPr>
              <w:t xml:space="preserve">SD) </w:t>
            </w:r>
          </w:p>
        </w:tc>
      </w:tr>
      <w:tr w:rsidR="005A5401" w:rsidRPr="00823F84" w:rsidTr="00533BED">
        <w:trPr>
          <w:trHeight w:val="285"/>
        </w:trPr>
        <w:tc>
          <w:tcPr>
            <w:tcW w:w="2993" w:type="dxa"/>
            <w:tcBorders>
              <w:top w:val="single" w:sz="6" w:space="0" w:color="000000"/>
              <w:left w:val="single" w:sz="6" w:space="0" w:color="000000"/>
              <w:bottom w:val="single" w:sz="7" w:space="0" w:color="000000"/>
              <w:right w:val="single" w:sz="6" w:space="0" w:color="000000"/>
            </w:tcBorders>
            <w:vAlign w:val="center"/>
          </w:tcPr>
          <w:p w:rsidR="005A5401" w:rsidRPr="00823F84" w:rsidRDefault="005A5401" w:rsidP="00D20774">
            <w:pPr>
              <w:rPr>
                <w:szCs w:val="22"/>
              </w:rPr>
            </w:pPr>
            <w:r w:rsidRPr="00823F84">
              <w:rPr>
                <w:szCs w:val="22"/>
              </w:rPr>
              <w:t>C</w:t>
            </w:r>
            <w:r w:rsidRPr="00C37EC1">
              <w:rPr>
                <w:szCs w:val="22"/>
                <w:vertAlign w:val="subscript"/>
              </w:rPr>
              <w:t xml:space="preserve">max </w:t>
            </w:r>
            <w:r w:rsidRPr="00823F84">
              <w:rPr>
                <w:szCs w:val="22"/>
              </w:rPr>
              <w:t xml:space="preserve">(5 λεπτά μετά </w:t>
            </w:r>
            <w:r w:rsidR="00D20774">
              <w:rPr>
                <w:szCs w:val="22"/>
              </w:rPr>
              <w:t xml:space="preserve">την </w:t>
            </w:r>
            <w:r w:rsidRPr="00823F84">
              <w:rPr>
                <w:szCs w:val="22"/>
              </w:rPr>
              <w:t xml:space="preserve">έγχυση) </w:t>
            </w:r>
          </w:p>
        </w:tc>
        <w:tc>
          <w:tcPr>
            <w:tcW w:w="1843" w:type="dxa"/>
            <w:tcBorders>
              <w:top w:val="single" w:sz="6" w:space="0" w:color="000000"/>
              <w:left w:val="single" w:sz="6" w:space="0" w:color="000000"/>
              <w:bottom w:val="single" w:sz="7" w:space="0" w:color="000000"/>
              <w:right w:val="single" w:sz="7" w:space="0" w:color="000000"/>
            </w:tcBorders>
          </w:tcPr>
          <w:p w:rsidR="005A5401" w:rsidRPr="00823F84" w:rsidRDefault="005A5401" w:rsidP="00D20774">
            <w:pPr>
              <w:rPr>
                <w:szCs w:val="22"/>
              </w:rPr>
            </w:pPr>
            <w:r w:rsidRPr="00823F84">
              <w:rPr>
                <w:szCs w:val="22"/>
              </w:rPr>
              <w:t xml:space="preserve">6 </w:t>
            </w:r>
          </w:p>
        </w:tc>
        <w:tc>
          <w:tcPr>
            <w:tcW w:w="3699" w:type="dxa"/>
            <w:tcBorders>
              <w:top w:val="single" w:sz="6" w:space="0" w:color="000000"/>
              <w:left w:val="single" w:sz="7" w:space="0" w:color="000000"/>
              <w:bottom w:val="single" w:sz="7" w:space="0" w:color="000000"/>
              <w:right w:val="single" w:sz="6" w:space="0" w:color="000000"/>
            </w:tcBorders>
            <w:vAlign w:val="center"/>
          </w:tcPr>
          <w:p w:rsidR="005A5401" w:rsidRPr="00823F84" w:rsidRDefault="005A5401" w:rsidP="00D20774">
            <w:pPr>
              <w:rPr>
                <w:szCs w:val="22"/>
              </w:rPr>
            </w:pPr>
            <w:r w:rsidRPr="00823F84">
              <w:rPr>
                <w:szCs w:val="22"/>
              </w:rPr>
              <w:t xml:space="preserve">1850 </w:t>
            </w:r>
            <w:r w:rsidR="00C37EC1" w:rsidRPr="00C37EC1">
              <w:rPr>
                <w:szCs w:val="22"/>
              </w:rPr>
              <w:t>±</w:t>
            </w:r>
            <w:r w:rsidRPr="00823F84">
              <w:rPr>
                <w:szCs w:val="22"/>
              </w:rPr>
              <w:t xml:space="preserve">664 (pg/ml) </w:t>
            </w:r>
          </w:p>
        </w:tc>
      </w:tr>
      <w:tr w:rsidR="005A5401" w:rsidRPr="00823F84" w:rsidTr="00533BED">
        <w:trPr>
          <w:trHeight w:val="283"/>
        </w:trPr>
        <w:tc>
          <w:tcPr>
            <w:tcW w:w="2993" w:type="dxa"/>
            <w:tcBorders>
              <w:top w:val="single" w:sz="7" w:space="0" w:color="000000"/>
              <w:left w:val="single" w:sz="6" w:space="0" w:color="000000"/>
              <w:bottom w:val="single" w:sz="6" w:space="0" w:color="000000"/>
              <w:right w:val="single" w:sz="6" w:space="0" w:color="000000"/>
            </w:tcBorders>
            <w:vAlign w:val="center"/>
          </w:tcPr>
          <w:p w:rsidR="005A5401" w:rsidRPr="00823F84" w:rsidRDefault="005A5401" w:rsidP="00D20774">
            <w:pPr>
              <w:rPr>
                <w:szCs w:val="22"/>
              </w:rPr>
            </w:pPr>
            <w:r w:rsidRPr="00823F84">
              <w:rPr>
                <w:szCs w:val="22"/>
              </w:rPr>
              <w:t>AUC</w:t>
            </w:r>
            <w:r w:rsidR="00C37EC1">
              <w:t xml:space="preserve"> </w:t>
            </w:r>
            <w:r w:rsidR="00C37EC1" w:rsidRPr="00C37EC1">
              <w:rPr>
                <w:szCs w:val="22"/>
                <w:vertAlign w:val="subscript"/>
              </w:rPr>
              <w:t>o-∞</w:t>
            </w:r>
          </w:p>
        </w:tc>
        <w:tc>
          <w:tcPr>
            <w:tcW w:w="1843" w:type="dxa"/>
            <w:tcBorders>
              <w:top w:val="single" w:sz="7" w:space="0" w:color="000000"/>
              <w:left w:val="single" w:sz="6" w:space="0" w:color="000000"/>
              <w:bottom w:val="single" w:sz="6" w:space="0" w:color="000000"/>
              <w:right w:val="single" w:sz="7" w:space="0" w:color="000000"/>
            </w:tcBorders>
          </w:tcPr>
          <w:p w:rsidR="005A5401" w:rsidRPr="00823F84" w:rsidRDefault="005A5401" w:rsidP="00D20774">
            <w:pPr>
              <w:rPr>
                <w:szCs w:val="22"/>
              </w:rPr>
            </w:pPr>
            <w:r w:rsidRPr="00823F84">
              <w:rPr>
                <w:szCs w:val="22"/>
              </w:rPr>
              <w:t xml:space="preserve">5 </w:t>
            </w:r>
          </w:p>
        </w:tc>
        <w:tc>
          <w:tcPr>
            <w:tcW w:w="3699" w:type="dxa"/>
            <w:tcBorders>
              <w:top w:val="single" w:sz="7" w:space="0" w:color="000000"/>
              <w:left w:val="single" w:sz="7" w:space="0" w:color="000000"/>
              <w:bottom w:val="single" w:sz="6" w:space="0" w:color="000000"/>
              <w:right w:val="single" w:sz="6" w:space="0" w:color="000000"/>
            </w:tcBorders>
            <w:vAlign w:val="center"/>
          </w:tcPr>
          <w:p w:rsidR="005A5401" w:rsidRPr="00823F84" w:rsidRDefault="005A5401" w:rsidP="00D20774">
            <w:pPr>
              <w:rPr>
                <w:szCs w:val="22"/>
              </w:rPr>
            </w:pPr>
            <w:r w:rsidRPr="00823F84">
              <w:rPr>
                <w:szCs w:val="22"/>
              </w:rPr>
              <w:t xml:space="preserve">27382 </w:t>
            </w:r>
            <w:r w:rsidR="00C37EC1" w:rsidRPr="00C37EC1">
              <w:rPr>
                <w:szCs w:val="22"/>
              </w:rPr>
              <w:t>±</w:t>
            </w:r>
            <w:r w:rsidRPr="00823F84">
              <w:rPr>
                <w:szCs w:val="22"/>
              </w:rPr>
              <w:t>8230 (pg</w:t>
            </w:r>
            <w:r w:rsidR="004D4A10" w:rsidRPr="004D4A10">
              <w:rPr>
                <w:szCs w:val="22"/>
              </w:rPr>
              <w:t>•</w:t>
            </w:r>
            <w:r w:rsidRPr="00823F84">
              <w:rPr>
                <w:szCs w:val="22"/>
              </w:rPr>
              <w:t xml:space="preserve">hr/ml) </w:t>
            </w:r>
          </w:p>
        </w:tc>
      </w:tr>
      <w:tr w:rsidR="005A5401" w:rsidRPr="00823F84" w:rsidTr="00533BED">
        <w:trPr>
          <w:trHeight w:val="283"/>
        </w:trPr>
        <w:tc>
          <w:tcPr>
            <w:tcW w:w="2993" w:type="dxa"/>
            <w:tcBorders>
              <w:top w:val="single" w:sz="6" w:space="0" w:color="000000"/>
              <w:left w:val="single" w:sz="6" w:space="0" w:color="000000"/>
              <w:bottom w:val="single" w:sz="6" w:space="0" w:color="000000"/>
              <w:right w:val="single" w:sz="6" w:space="0" w:color="000000"/>
            </w:tcBorders>
          </w:tcPr>
          <w:p w:rsidR="005A5401" w:rsidRPr="00823F84" w:rsidRDefault="005A5401" w:rsidP="00D20774">
            <w:pPr>
              <w:rPr>
                <w:szCs w:val="22"/>
              </w:rPr>
            </w:pPr>
            <w:r w:rsidRPr="00823F84">
              <w:rPr>
                <w:szCs w:val="22"/>
              </w:rPr>
              <w:t xml:space="preserve">Κάθαρση </w:t>
            </w:r>
          </w:p>
        </w:tc>
        <w:tc>
          <w:tcPr>
            <w:tcW w:w="1843" w:type="dxa"/>
            <w:tcBorders>
              <w:top w:val="single" w:sz="6" w:space="0" w:color="000000"/>
              <w:left w:val="single" w:sz="6" w:space="0" w:color="000000"/>
              <w:bottom w:val="single" w:sz="6" w:space="0" w:color="000000"/>
              <w:right w:val="single" w:sz="7" w:space="0" w:color="000000"/>
            </w:tcBorders>
          </w:tcPr>
          <w:p w:rsidR="005A5401" w:rsidRPr="00823F84" w:rsidRDefault="005A5401" w:rsidP="00D20774">
            <w:pPr>
              <w:rPr>
                <w:szCs w:val="22"/>
              </w:rPr>
            </w:pPr>
            <w:r w:rsidRPr="00823F84">
              <w:rPr>
                <w:szCs w:val="22"/>
              </w:rPr>
              <w:t xml:space="preserve">5 </w:t>
            </w:r>
          </w:p>
        </w:tc>
        <w:tc>
          <w:tcPr>
            <w:tcW w:w="3699" w:type="dxa"/>
            <w:tcBorders>
              <w:top w:val="single" w:sz="6" w:space="0" w:color="000000"/>
              <w:left w:val="single" w:sz="7" w:space="0" w:color="000000"/>
              <w:bottom w:val="single" w:sz="6" w:space="0" w:color="000000"/>
              <w:right w:val="single" w:sz="6" w:space="0" w:color="000000"/>
            </w:tcBorders>
            <w:vAlign w:val="center"/>
          </w:tcPr>
          <w:p w:rsidR="005A5401" w:rsidRPr="00823F84" w:rsidRDefault="005A5401" w:rsidP="00D20774">
            <w:pPr>
              <w:rPr>
                <w:szCs w:val="22"/>
              </w:rPr>
            </w:pPr>
            <w:r w:rsidRPr="00823F84">
              <w:rPr>
                <w:szCs w:val="22"/>
              </w:rPr>
              <w:t xml:space="preserve">0,72 </w:t>
            </w:r>
            <w:r w:rsidR="00C37EC1" w:rsidRPr="00C37EC1">
              <w:rPr>
                <w:szCs w:val="22"/>
              </w:rPr>
              <w:t>±</w:t>
            </w:r>
            <w:r w:rsidRPr="00823F84">
              <w:rPr>
                <w:szCs w:val="22"/>
              </w:rPr>
              <w:t xml:space="preserve">0,24 (l/hr) </w:t>
            </w:r>
          </w:p>
        </w:tc>
      </w:tr>
      <w:tr w:rsidR="005A5401" w:rsidRPr="00823F84" w:rsidTr="00533BED">
        <w:trPr>
          <w:trHeight w:val="280"/>
        </w:trPr>
        <w:tc>
          <w:tcPr>
            <w:tcW w:w="2993" w:type="dxa"/>
            <w:tcBorders>
              <w:top w:val="single" w:sz="6" w:space="0" w:color="000000"/>
              <w:left w:val="single" w:sz="6" w:space="0" w:color="000000"/>
              <w:bottom w:val="single" w:sz="7" w:space="0" w:color="000000"/>
              <w:right w:val="single" w:sz="6" w:space="0" w:color="000000"/>
            </w:tcBorders>
          </w:tcPr>
          <w:p w:rsidR="005A5401" w:rsidRPr="00823F84" w:rsidRDefault="005A5401" w:rsidP="00D20774">
            <w:pPr>
              <w:rPr>
                <w:szCs w:val="22"/>
              </w:rPr>
            </w:pPr>
            <w:r w:rsidRPr="00823F84">
              <w:rPr>
                <w:szCs w:val="22"/>
              </w:rPr>
              <w:t xml:space="preserve">Όγκος κατανομής </w:t>
            </w:r>
          </w:p>
        </w:tc>
        <w:tc>
          <w:tcPr>
            <w:tcW w:w="1843" w:type="dxa"/>
            <w:tcBorders>
              <w:top w:val="single" w:sz="6" w:space="0" w:color="000000"/>
              <w:left w:val="single" w:sz="6" w:space="0" w:color="000000"/>
              <w:bottom w:val="single" w:sz="7" w:space="0" w:color="000000"/>
              <w:right w:val="single" w:sz="7" w:space="0" w:color="000000"/>
            </w:tcBorders>
          </w:tcPr>
          <w:p w:rsidR="005A5401" w:rsidRPr="00823F84" w:rsidRDefault="005A5401" w:rsidP="00D20774">
            <w:pPr>
              <w:rPr>
                <w:szCs w:val="22"/>
              </w:rPr>
            </w:pPr>
            <w:r w:rsidRPr="00823F84">
              <w:rPr>
                <w:szCs w:val="22"/>
              </w:rPr>
              <w:t xml:space="preserve">5 </w:t>
            </w:r>
          </w:p>
        </w:tc>
        <w:tc>
          <w:tcPr>
            <w:tcW w:w="3699" w:type="dxa"/>
            <w:tcBorders>
              <w:top w:val="single" w:sz="6" w:space="0" w:color="000000"/>
              <w:left w:val="single" w:sz="7" w:space="0" w:color="000000"/>
              <w:bottom w:val="single" w:sz="7" w:space="0" w:color="000000"/>
              <w:right w:val="single" w:sz="6" w:space="0" w:color="000000"/>
            </w:tcBorders>
            <w:vAlign w:val="center"/>
          </w:tcPr>
          <w:p w:rsidR="005A5401" w:rsidRPr="00823F84" w:rsidRDefault="005A5401" w:rsidP="00D20774">
            <w:pPr>
              <w:rPr>
                <w:szCs w:val="22"/>
              </w:rPr>
            </w:pPr>
            <w:r w:rsidRPr="00823F84">
              <w:rPr>
                <w:szCs w:val="22"/>
              </w:rPr>
              <w:t>6</w:t>
            </w:r>
            <w:r w:rsidR="00C37EC1" w:rsidRPr="00C37EC1">
              <w:rPr>
                <w:szCs w:val="22"/>
              </w:rPr>
              <w:t>±</w:t>
            </w:r>
            <w:r w:rsidRPr="00823F84">
              <w:rPr>
                <w:szCs w:val="22"/>
              </w:rPr>
              <w:t xml:space="preserve">2 (l) </w:t>
            </w:r>
          </w:p>
        </w:tc>
      </w:tr>
    </w:tbl>
    <w:p w:rsidR="005A5401" w:rsidRPr="00823F84" w:rsidRDefault="005A5401" w:rsidP="00C532E0">
      <w:pPr>
        <w:jc w:val="both"/>
        <w:rPr>
          <w:szCs w:val="22"/>
        </w:rPr>
      </w:pPr>
    </w:p>
    <w:p w:rsidR="005A5401" w:rsidRPr="00823F84" w:rsidRDefault="005A5401" w:rsidP="00C532E0">
      <w:pPr>
        <w:jc w:val="both"/>
        <w:rPr>
          <w:szCs w:val="22"/>
        </w:rPr>
      </w:pPr>
      <w:r w:rsidRPr="00823F84">
        <w:rPr>
          <w:szCs w:val="22"/>
          <w:u w:val="single"/>
        </w:rPr>
        <w:t xml:space="preserve">Ειδικοί πληθυσμοί </w:t>
      </w:r>
    </w:p>
    <w:p w:rsidR="005A5401" w:rsidRDefault="005A5401" w:rsidP="00C532E0">
      <w:pPr>
        <w:jc w:val="both"/>
        <w:rPr>
          <w:szCs w:val="22"/>
        </w:rPr>
      </w:pPr>
      <w:r w:rsidRPr="00823F84">
        <w:rPr>
          <w:i/>
          <w:iCs/>
          <w:szCs w:val="22"/>
        </w:rPr>
        <w:t>Φύλο, φυλή και ηλικία</w:t>
      </w:r>
      <w:r w:rsidRPr="00823F84">
        <w:rPr>
          <w:szCs w:val="22"/>
        </w:rPr>
        <w:t xml:space="preserve">: Δεν παρατηρήθηκε καμία φαρμακοκινητική διαφορά ως προς την ηλικία ή το φύλο σε ενήλικες ασθενείς που μελετήθηκαν. Δεν εντοπίστηκαν φαρμακοκινητικές διαφορές λόγω φυλής. </w:t>
      </w:r>
    </w:p>
    <w:p w:rsidR="00745C35" w:rsidRPr="00823F84" w:rsidRDefault="00745C35" w:rsidP="00C532E0">
      <w:pPr>
        <w:jc w:val="both"/>
        <w:rPr>
          <w:szCs w:val="22"/>
        </w:rPr>
      </w:pPr>
    </w:p>
    <w:p w:rsidR="005A5401" w:rsidRPr="00823F84" w:rsidRDefault="005A5401" w:rsidP="00C532E0">
      <w:pPr>
        <w:jc w:val="both"/>
        <w:rPr>
          <w:szCs w:val="22"/>
        </w:rPr>
      </w:pPr>
      <w:r w:rsidRPr="00823F84">
        <w:rPr>
          <w:i/>
          <w:iCs/>
          <w:szCs w:val="22"/>
        </w:rPr>
        <w:t xml:space="preserve">Ηπατική δυσλειτουργία: </w:t>
      </w:r>
      <w:r w:rsidRPr="00823F84">
        <w:rPr>
          <w:szCs w:val="22"/>
        </w:rPr>
        <w:t xml:space="preserve">Οι συγκεντρώσεις αδέσμευτης </w:t>
      </w:r>
      <w:r w:rsidR="002D3298" w:rsidRPr="002D3298">
        <w:rPr>
          <w:szCs w:val="22"/>
        </w:rPr>
        <w:t xml:space="preserve">paricalcitol </w:t>
      </w:r>
      <w:r w:rsidRPr="00823F84">
        <w:rPr>
          <w:szCs w:val="22"/>
        </w:rPr>
        <w:t xml:space="preserve">σε ασθενείς με ήπια έως μέτρια ηπατική δυσλειτουργία είναι παρόμοιες με εκείνες των υγιών ατόμων και δε χρειάζεται προσαρμογή της δόσης στο συγκεκριμένο πληθυσμό ασθενών. Δεν υπάρχει εμπειρία σε ασθενείς με σοβαρή ηπατική δυσλειτουργία. </w:t>
      </w:r>
    </w:p>
    <w:p w:rsidR="005C5540" w:rsidRPr="008A44F7" w:rsidRDefault="005C5540" w:rsidP="00C532E0">
      <w:pPr>
        <w:jc w:val="both"/>
        <w:rPr>
          <w:noProof/>
          <w:szCs w:val="22"/>
        </w:rPr>
      </w:pPr>
    </w:p>
    <w:p w:rsidR="00496809" w:rsidRPr="00823F84" w:rsidRDefault="00496809" w:rsidP="00C532E0">
      <w:pPr>
        <w:jc w:val="both"/>
        <w:rPr>
          <w:szCs w:val="22"/>
        </w:rPr>
      </w:pPr>
      <w:r w:rsidRPr="00823F84">
        <w:rPr>
          <w:b/>
          <w:szCs w:val="22"/>
        </w:rPr>
        <w:t>5.3</w:t>
      </w:r>
      <w:r w:rsidRPr="00823F84">
        <w:rPr>
          <w:b/>
          <w:szCs w:val="22"/>
        </w:rPr>
        <w:tab/>
        <w:t>Προκλινικά δεδομένα για την ασφάλεια</w:t>
      </w:r>
    </w:p>
    <w:p w:rsidR="00496809" w:rsidRPr="00823F84" w:rsidRDefault="00496809" w:rsidP="00C532E0">
      <w:pPr>
        <w:jc w:val="both"/>
        <w:rPr>
          <w:szCs w:val="22"/>
        </w:rPr>
      </w:pPr>
    </w:p>
    <w:p w:rsidR="005A5401" w:rsidRPr="00823F84" w:rsidRDefault="005A5401" w:rsidP="00C532E0">
      <w:pPr>
        <w:jc w:val="both"/>
        <w:rPr>
          <w:szCs w:val="22"/>
        </w:rPr>
      </w:pPr>
      <w:r w:rsidRPr="00823F84">
        <w:rPr>
          <w:szCs w:val="22"/>
        </w:rPr>
        <w:t xml:space="preserve">Σημαντικά ευρήματα στις επαναλαμβανόμενες μελέτες τοξικότητας στα τρωκτικά και στους σκύλους γενικά αποδόθηκαν στην ασβεστιαιμική δραστικότητα της </w:t>
      </w:r>
      <w:r w:rsidR="00DC1F16" w:rsidRPr="00DC1F16">
        <w:rPr>
          <w:szCs w:val="22"/>
        </w:rPr>
        <w:t>paricalcitol</w:t>
      </w:r>
      <w:r w:rsidRPr="00823F84">
        <w:rPr>
          <w:szCs w:val="22"/>
        </w:rPr>
        <w:t>. Οι επιδράσεις που δε σχετίζονταν σαφώς με υπερασβεστιαιμία ήταν μείωση του αριθμού των λευκοκυττάρων</w:t>
      </w:r>
      <w:r w:rsidR="00FB6AC1">
        <w:rPr>
          <w:szCs w:val="22"/>
        </w:rPr>
        <w:t>,</w:t>
      </w:r>
      <w:r w:rsidRPr="00823F84">
        <w:rPr>
          <w:szCs w:val="22"/>
        </w:rPr>
        <w:t xml:space="preserve"> ατροφία του θύμου αδένα σε σκύλους και μεταβολή των τιμών του APTT (αύξηση στους σκύλους, μείωση στους αρουραίους). Τέτοιες μεταβολές των λευκοκυττάρων δεν παρατηρήθηκαν στις κλινικές μελέτες της </w:t>
      </w:r>
      <w:r w:rsidR="00DC1F16" w:rsidRPr="00DC1F16">
        <w:rPr>
          <w:szCs w:val="22"/>
        </w:rPr>
        <w:t>paricalcitol</w:t>
      </w:r>
      <w:r w:rsidRPr="00823F84">
        <w:rPr>
          <w:szCs w:val="22"/>
        </w:rPr>
        <w:t xml:space="preserve">. </w:t>
      </w:r>
    </w:p>
    <w:p w:rsidR="008A44F7" w:rsidRDefault="008A44F7" w:rsidP="00C532E0">
      <w:pPr>
        <w:jc w:val="both"/>
        <w:rPr>
          <w:szCs w:val="22"/>
        </w:rPr>
      </w:pPr>
    </w:p>
    <w:p w:rsidR="005A5401" w:rsidRPr="00823F84" w:rsidRDefault="005A5401" w:rsidP="00C532E0">
      <w:pPr>
        <w:jc w:val="both"/>
        <w:rPr>
          <w:szCs w:val="22"/>
        </w:rPr>
      </w:pPr>
      <w:r w:rsidRPr="00823F84">
        <w:rPr>
          <w:szCs w:val="22"/>
        </w:rPr>
        <w:t xml:space="preserve">Η </w:t>
      </w:r>
      <w:r w:rsidR="00DC1F16" w:rsidRPr="00DC1F16">
        <w:rPr>
          <w:szCs w:val="22"/>
        </w:rPr>
        <w:t>paricalcitol</w:t>
      </w:r>
      <w:r w:rsidRPr="00823F84">
        <w:rPr>
          <w:szCs w:val="22"/>
        </w:rPr>
        <w:t xml:space="preserve"> δεν επηρέασε τη γονιμότητα στους αρουραίους και δεν υπήρξε ένδειξη τερατογένεσης σε αρουραίους </w:t>
      </w:r>
      <w:r w:rsidR="007B26EC">
        <w:rPr>
          <w:szCs w:val="22"/>
        </w:rPr>
        <w:t>ή</w:t>
      </w:r>
      <w:r w:rsidR="007B26EC" w:rsidRPr="00823F84">
        <w:rPr>
          <w:szCs w:val="22"/>
        </w:rPr>
        <w:t xml:space="preserve"> </w:t>
      </w:r>
      <w:r w:rsidRPr="00823F84">
        <w:rPr>
          <w:szCs w:val="22"/>
        </w:rPr>
        <w:t xml:space="preserve">κουνέλια. Υψηλές δόσεις άλλων σκευασμάτων βιταμίνης D τα οποία χορηγήθηκαν στα ζώα κατά τη διάρκεια της εγκυμοσύνης οδήγησαν σε τερατογένεση. Η </w:t>
      </w:r>
      <w:r w:rsidR="00DC1F16" w:rsidRPr="00DC1F16">
        <w:rPr>
          <w:szCs w:val="22"/>
        </w:rPr>
        <w:t>paricalcitol</w:t>
      </w:r>
      <w:r w:rsidRPr="00823F84">
        <w:rPr>
          <w:szCs w:val="22"/>
        </w:rPr>
        <w:t xml:space="preserve"> έχει αποδειχθεί ότι επηρεάζει τη βιωσιμότητα του εμβρύου</w:t>
      </w:r>
      <w:r w:rsidR="00386A83">
        <w:rPr>
          <w:szCs w:val="22"/>
        </w:rPr>
        <w:t>,</w:t>
      </w:r>
      <w:r w:rsidRPr="00823F84">
        <w:rPr>
          <w:szCs w:val="22"/>
        </w:rPr>
        <w:t xml:space="preserve"> καθώς και ότι προκαλεί σημαντική αύξηση στην περιγεννητική και μεταγεννητική θνησιμότητα των νεογέννητων αρουραίων, όταν χορηγείται σε τοξικές δόσεις κατά την κύηση. </w:t>
      </w:r>
    </w:p>
    <w:p w:rsidR="008A44F7" w:rsidRDefault="008A44F7" w:rsidP="00C532E0">
      <w:pPr>
        <w:jc w:val="both"/>
        <w:rPr>
          <w:szCs w:val="22"/>
        </w:rPr>
      </w:pPr>
    </w:p>
    <w:p w:rsidR="005A5401" w:rsidRPr="00823F84" w:rsidRDefault="005A5401" w:rsidP="00C532E0">
      <w:pPr>
        <w:jc w:val="both"/>
        <w:rPr>
          <w:szCs w:val="22"/>
        </w:rPr>
      </w:pPr>
      <w:r w:rsidRPr="00823F84">
        <w:rPr>
          <w:szCs w:val="22"/>
        </w:rPr>
        <w:t xml:space="preserve">Η </w:t>
      </w:r>
      <w:r w:rsidR="00DC1F16" w:rsidRPr="00DC1F16">
        <w:rPr>
          <w:szCs w:val="22"/>
        </w:rPr>
        <w:t>paricalcitol</w:t>
      </w:r>
      <w:r w:rsidRPr="00823F84">
        <w:rPr>
          <w:szCs w:val="22"/>
        </w:rPr>
        <w:t xml:space="preserve"> δεν έδειξε γονοτοξικότητα</w:t>
      </w:r>
      <w:r w:rsidR="00A41BBB">
        <w:rPr>
          <w:szCs w:val="22"/>
        </w:rPr>
        <w:t xml:space="preserve"> </w:t>
      </w:r>
      <w:r w:rsidRPr="00823F84">
        <w:rPr>
          <w:szCs w:val="22"/>
        </w:rPr>
        <w:t xml:space="preserve">σε δοκιμασίες γονοτοξικότητας </w:t>
      </w:r>
      <w:r w:rsidRPr="00823F84">
        <w:rPr>
          <w:i/>
          <w:iCs/>
          <w:szCs w:val="22"/>
        </w:rPr>
        <w:t xml:space="preserve">in-vitro </w:t>
      </w:r>
      <w:r w:rsidRPr="00823F84">
        <w:rPr>
          <w:szCs w:val="22"/>
        </w:rPr>
        <w:t xml:space="preserve">και </w:t>
      </w:r>
      <w:r w:rsidRPr="00823F84">
        <w:rPr>
          <w:i/>
          <w:iCs/>
          <w:szCs w:val="22"/>
        </w:rPr>
        <w:t xml:space="preserve">in-vivo. </w:t>
      </w:r>
    </w:p>
    <w:p w:rsidR="008A44F7" w:rsidRDefault="008A44F7" w:rsidP="00C532E0">
      <w:pPr>
        <w:jc w:val="both"/>
        <w:rPr>
          <w:szCs w:val="22"/>
        </w:rPr>
      </w:pPr>
    </w:p>
    <w:p w:rsidR="005A5401" w:rsidRPr="00823F84" w:rsidRDefault="005A5401" w:rsidP="00C532E0">
      <w:pPr>
        <w:jc w:val="both"/>
        <w:rPr>
          <w:szCs w:val="22"/>
        </w:rPr>
      </w:pPr>
      <w:r w:rsidRPr="00823F84">
        <w:rPr>
          <w:szCs w:val="22"/>
        </w:rPr>
        <w:t xml:space="preserve">Μελέτες καρκινογένεσης σε τρωκτικά δεν έδειξαν κάποιο αυξημένο κίνδυνο για τον άνθρωπο. </w:t>
      </w:r>
    </w:p>
    <w:p w:rsidR="00496809" w:rsidRDefault="005A5401" w:rsidP="00C532E0">
      <w:pPr>
        <w:jc w:val="both"/>
        <w:rPr>
          <w:szCs w:val="22"/>
        </w:rPr>
      </w:pPr>
      <w:r w:rsidRPr="00823F84">
        <w:rPr>
          <w:szCs w:val="22"/>
        </w:rPr>
        <w:t xml:space="preserve">Οι χορηγηθείσες δόσεις και/ή συστηματική έκθεση στην </w:t>
      </w:r>
      <w:r w:rsidR="00DC1F16" w:rsidRPr="00DC1F16">
        <w:rPr>
          <w:szCs w:val="22"/>
        </w:rPr>
        <w:t>paricalcitol</w:t>
      </w:r>
      <w:r w:rsidRPr="00823F84">
        <w:rPr>
          <w:szCs w:val="22"/>
        </w:rPr>
        <w:t xml:space="preserve"> ήταν ελαφρά υψηλότερες από τις θεραπευτ</w:t>
      </w:r>
      <w:r w:rsidR="008A44F7">
        <w:rPr>
          <w:szCs w:val="22"/>
        </w:rPr>
        <w:t>ικές δόσεις/συστηματική έκθεση.</w:t>
      </w:r>
    </w:p>
    <w:p w:rsidR="008A44F7" w:rsidRDefault="008A44F7" w:rsidP="00C532E0">
      <w:pPr>
        <w:jc w:val="both"/>
        <w:rPr>
          <w:szCs w:val="22"/>
        </w:rPr>
      </w:pPr>
    </w:p>
    <w:p w:rsidR="008A44F7" w:rsidRPr="00823F84" w:rsidRDefault="008A44F7" w:rsidP="00C532E0">
      <w:pPr>
        <w:jc w:val="both"/>
        <w:rPr>
          <w:szCs w:val="22"/>
        </w:rPr>
      </w:pPr>
    </w:p>
    <w:p w:rsidR="00496809" w:rsidRPr="00823F84" w:rsidRDefault="00496809" w:rsidP="00C532E0">
      <w:pPr>
        <w:jc w:val="both"/>
        <w:rPr>
          <w:szCs w:val="22"/>
        </w:rPr>
      </w:pPr>
      <w:r w:rsidRPr="00823F84">
        <w:rPr>
          <w:b/>
          <w:szCs w:val="22"/>
        </w:rPr>
        <w:t>6.</w:t>
      </w:r>
      <w:r w:rsidRPr="00823F84">
        <w:rPr>
          <w:b/>
          <w:szCs w:val="22"/>
        </w:rPr>
        <w:tab/>
        <w:t>ΦΑΡΜΑΚΕΥΤΙΚΕΣ ΠΛΗΡΟΦΟΡΙΕΣ</w:t>
      </w:r>
    </w:p>
    <w:p w:rsidR="00496809" w:rsidRPr="00823F84" w:rsidRDefault="00496809" w:rsidP="00C532E0">
      <w:pPr>
        <w:pStyle w:val="a3"/>
        <w:tabs>
          <w:tab w:val="clear" w:pos="4153"/>
          <w:tab w:val="clear" w:pos="8306"/>
        </w:tabs>
        <w:jc w:val="both"/>
        <w:rPr>
          <w:szCs w:val="22"/>
        </w:rPr>
      </w:pPr>
    </w:p>
    <w:p w:rsidR="00496809" w:rsidRPr="007F2989" w:rsidRDefault="00496809" w:rsidP="00C532E0">
      <w:pPr>
        <w:jc w:val="both"/>
        <w:rPr>
          <w:szCs w:val="22"/>
          <w:lang w:val="en-US"/>
        </w:rPr>
      </w:pPr>
      <w:r w:rsidRPr="00823F84">
        <w:rPr>
          <w:b/>
          <w:szCs w:val="22"/>
        </w:rPr>
        <w:t>6.1</w:t>
      </w:r>
      <w:r w:rsidRPr="00823F84">
        <w:rPr>
          <w:b/>
          <w:szCs w:val="22"/>
        </w:rPr>
        <w:tab/>
        <w:t>Κατάλογος εκδόχων</w:t>
      </w:r>
    </w:p>
    <w:p w:rsidR="00F81175" w:rsidRPr="007F2989" w:rsidRDefault="00F81175" w:rsidP="00F81175">
      <w:pPr>
        <w:jc w:val="both"/>
        <w:rPr>
          <w:szCs w:val="22"/>
        </w:rPr>
      </w:pPr>
      <w:r w:rsidRPr="00F81175">
        <w:rPr>
          <w:szCs w:val="22"/>
          <w:lang w:val="en-US"/>
        </w:rPr>
        <w:t>Ethanol</w:t>
      </w:r>
      <w:r w:rsidRPr="007F2989">
        <w:rPr>
          <w:szCs w:val="22"/>
        </w:rPr>
        <w:t xml:space="preserve"> </w:t>
      </w:r>
    </w:p>
    <w:p w:rsidR="00F81175" w:rsidRPr="007F2989" w:rsidRDefault="00F81175" w:rsidP="00F81175">
      <w:pPr>
        <w:jc w:val="both"/>
        <w:rPr>
          <w:szCs w:val="22"/>
        </w:rPr>
      </w:pPr>
      <w:r w:rsidRPr="00F81175">
        <w:rPr>
          <w:szCs w:val="22"/>
          <w:lang w:val="en-US"/>
        </w:rPr>
        <w:t>Propylene</w:t>
      </w:r>
      <w:r w:rsidRPr="007F2989">
        <w:rPr>
          <w:szCs w:val="22"/>
        </w:rPr>
        <w:t xml:space="preserve"> </w:t>
      </w:r>
      <w:r w:rsidRPr="00F81175">
        <w:rPr>
          <w:szCs w:val="22"/>
          <w:lang w:val="en-US"/>
        </w:rPr>
        <w:t>glycol</w:t>
      </w:r>
      <w:r w:rsidRPr="007F2989">
        <w:rPr>
          <w:szCs w:val="22"/>
        </w:rPr>
        <w:t xml:space="preserve"> </w:t>
      </w:r>
    </w:p>
    <w:p w:rsidR="00496809" w:rsidRDefault="00F81175" w:rsidP="00F81175">
      <w:pPr>
        <w:jc w:val="both"/>
        <w:rPr>
          <w:szCs w:val="22"/>
        </w:rPr>
      </w:pPr>
      <w:r w:rsidRPr="00F81175">
        <w:rPr>
          <w:szCs w:val="22"/>
          <w:lang w:val="en-US"/>
        </w:rPr>
        <w:t>Water</w:t>
      </w:r>
      <w:r w:rsidRPr="007F2989">
        <w:rPr>
          <w:szCs w:val="22"/>
        </w:rPr>
        <w:t xml:space="preserve"> </w:t>
      </w:r>
      <w:r w:rsidRPr="00F81175">
        <w:rPr>
          <w:szCs w:val="22"/>
          <w:lang w:val="en-US"/>
        </w:rPr>
        <w:t>for</w:t>
      </w:r>
      <w:r w:rsidRPr="007F2989">
        <w:rPr>
          <w:szCs w:val="22"/>
        </w:rPr>
        <w:t xml:space="preserve"> </w:t>
      </w:r>
      <w:r w:rsidRPr="00F81175">
        <w:rPr>
          <w:szCs w:val="22"/>
          <w:lang w:val="en-US"/>
        </w:rPr>
        <w:t>Injections</w:t>
      </w:r>
    </w:p>
    <w:p w:rsidR="00F81175" w:rsidRPr="00F81175" w:rsidRDefault="00F81175" w:rsidP="00F81175">
      <w:pPr>
        <w:jc w:val="both"/>
        <w:rPr>
          <w:szCs w:val="22"/>
        </w:rPr>
      </w:pPr>
    </w:p>
    <w:p w:rsidR="00496809" w:rsidRPr="00C93DD3" w:rsidRDefault="00496809" w:rsidP="00C532E0">
      <w:pPr>
        <w:jc w:val="both"/>
        <w:rPr>
          <w:szCs w:val="22"/>
        </w:rPr>
      </w:pPr>
      <w:r w:rsidRPr="00C93DD3">
        <w:rPr>
          <w:b/>
          <w:szCs w:val="22"/>
        </w:rPr>
        <w:t>6.2</w:t>
      </w:r>
      <w:r w:rsidRPr="00C93DD3">
        <w:rPr>
          <w:b/>
          <w:szCs w:val="22"/>
        </w:rPr>
        <w:tab/>
      </w:r>
      <w:r w:rsidRPr="00823F84">
        <w:rPr>
          <w:b/>
          <w:szCs w:val="22"/>
        </w:rPr>
        <w:t>Ασυμβατότητες</w:t>
      </w:r>
    </w:p>
    <w:p w:rsidR="00496809" w:rsidRPr="00C93DD3" w:rsidRDefault="00496809" w:rsidP="00C532E0">
      <w:pPr>
        <w:jc w:val="both"/>
        <w:rPr>
          <w:szCs w:val="22"/>
        </w:rPr>
      </w:pPr>
    </w:p>
    <w:p w:rsidR="00C93DD3" w:rsidRPr="00823F84" w:rsidRDefault="00C93DD3" w:rsidP="00C93DD3">
      <w:pPr>
        <w:jc w:val="both"/>
        <w:rPr>
          <w:szCs w:val="22"/>
        </w:rPr>
      </w:pPr>
      <w:r w:rsidRPr="00823F84">
        <w:rPr>
          <w:szCs w:val="22"/>
        </w:rPr>
        <w:lastRenderedPageBreak/>
        <w:t>Ελλείψει μελετών σχετικά με τη συμβατότητα, το παρόν φαρμακευτικό προϊόν δεν πρέπει να αναμειγνύεται με άλλα φαρμακευτικά προϊό</w:t>
      </w:r>
      <w:r>
        <w:rPr>
          <w:szCs w:val="22"/>
        </w:rPr>
        <w:t>ντα.</w:t>
      </w:r>
    </w:p>
    <w:p w:rsidR="00367BE2" w:rsidRPr="00823F84" w:rsidRDefault="00367BE2" w:rsidP="00C532E0">
      <w:pPr>
        <w:jc w:val="both"/>
        <w:rPr>
          <w:szCs w:val="22"/>
        </w:rPr>
      </w:pPr>
    </w:p>
    <w:p w:rsidR="005A5401" w:rsidRPr="00823F84" w:rsidRDefault="005A5401" w:rsidP="00C532E0">
      <w:pPr>
        <w:jc w:val="both"/>
        <w:rPr>
          <w:szCs w:val="22"/>
        </w:rPr>
      </w:pPr>
      <w:r w:rsidRPr="00823F84">
        <w:rPr>
          <w:szCs w:val="22"/>
        </w:rPr>
        <w:t xml:space="preserve">Η </w:t>
      </w:r>
      <w:r w:rsidR="00367BE2" w:rsidRPr="00367BE2">
        <w:rPr>
          <w:szCs w:val="22"/>
        </w:rPr>
        <w:t xml:space="preserve">propylene glycol </w:t>
      </w:r>
      <w:r w:rsidRPr="00823F84">
        <w:rPr>
          <w:szCs w:val="22"/>
        </w:rPr>
        <w:t xml:space="preserve"> αλληλεπιδρά με την ηπαρίνη και εξουδετερώνει τη δράση της. Το ενέσιμο διάλυμα </w:t>
      </w:r>
      <w:r w:rsidR="00A354B2" w:rsidRPr="00A354B2">
        <w:rPr>
          <w:szCs w:val="22"/>
        </w:rPr>
        <w:t>ZILIDOR</w:t>
      </w:r>
      <w:r w:rsidRPr="00823F84">
        <w:rPr>
          <w:szCs w:val="22"/>
        </w:rPr>
        <w:t xml:space="preserve"> περιέχει </w:t>
      </w:r>
      <w:r w:rsidR="001A06EC" w:rsidRPr="001A06EC">
        <w:rPr>
          <w:szCs w:val="22"/>
        </w:rPr>
        <w:t>propylene glycol</w:t>
      </w:r>
      <w:r w:rsidRPr="00823F84">
        <w:rPr>
          <w:szCs w:val="22"/>
        </w:rPr>
        <w:t xml:space="preserve"> σαν έκδοχο και η χορήγησή του με ηπαρίνη συνιστάται μέσω διαφορετικής οδού έγχυσης. </w:t>
      </w:r>
    </w:p>
    <w:p w:rsidR="00C93DD3" w:rsidRDefault="00C93DD3" w:rsidP="00C532E0">
      <w:pPr>
        <w:jc w:val="both"/>
        <w:rPr>
          <w:szCs w:val="22"/>
        </w:rPr>
      </w:pPr>
    </w:p>
    <w:p w:rsidR="00496809" w:rsidRPr="00823F84" w:rsidRDefault="00496809" w:rsidP="00C532E0">
      <w:pPr>
        <w:jc w:val="both"/>
        <w:rPr>
          <w:szCs w:val="22"/>
        </w:rPr>
      </w:pPr>
      <w:r w:rsidRPr="00823F84">
        <w:rPr>
          <w:b/>
          <w:szCs w:val="22"/>
        </w:rPr>
        <w:t>6.3</w:t>
      </w:r>
      <w:r w:rsidRPr="00823F84">
        <w:rPr>
          <w:b/>
          <w:szCs w:val="22"/>
        </w:rPr>
        <w:tab/>
        <w:t>Διάρκεια ζωής</w:t>
      </w:r>
    </w:p>
    <w:p w:rsidR="00496809" w:rsidRPr="00823F84" w:rsidRDefault="00496809" w:rsidP="00C532E0">
      <w:pPr>
        <w:jc w:val="both"/>
        <w:rPr>
          <w:szCs w:val="22"/>
        </w:rPr>
      </w:pPr>
    </w:p>
    <w:p w:rsidR="005A5401" w:rsidRPr="007F2989" w:rsidRDefault="005A5401" w:rsidP="00C532E0">
      <w:pPr>
        <w:jc w:val="both"/>
        <w:rPr>
          <w:szCs w:val="22"/>
        </w:rPr>
      </w:pPr>
      <w:r w:rsidRPr="00823F84">
        <w:rPr>
          <w:szCs w:val="22"/>
        </w:rPr>
        <w:t xml:space="preserve">2 χρόνια. </w:t>
      </w:r>
    </w:p>
    <w:p w:rsidR="00225BF9" w:rsidRPr="007F2989" w:rsidRDefault="00225BF9" w:rsidP="00C532E0">
      <w:pPr>
        <w:jc w:val="both"/>
        <w:rPr>
          <w:szCs w:val="22"/>
        </w:rPr>
      </w:pPr>
    </w:p>
    <w:p w:rsidR="005A5401" w:rsidRPr="00823F84" w:rsidRDefault="005A5401" w:rsidP="00C532E0">
      <w:pPr>
        <w:jc w:val="both"/>
        <w:rPr>
          <w:szCs w:val="22"/>
        </w:rPr>
      </w:pPr>
      <w:r w:rsidRPr="00823F84">
        <w:rPr>
          <w:szCs w:val="22"/>
        </w:rPr>
        <w:t xml:space="preserve">Μετά το άνοιγμα, να χρησιμοποιείται αμέσως. </w:t>
      </w:r>
    </w:p>
    <w:p w:rsidR="005A5401" w:rsidRPr="00823F84" w:rsidRDefault="005A5401" w:rsidP="00C532E0">
      <w:pPr>
        <w:jc w:val="both"/>
        <w:rPr>
          <w:szCs w:val="22"/>
        </w:rPr>
      </w:pPr>
    </w:p>
    <w:p w:rsidR="00496809" w:rsidRPr="00823F84" w:rsidRDefault="00496809" w:rsidP="00C532E0">
      <w:pPr>
        <w:jc w:val="both"/>
        <w:rPr>
          <w:szCs w:val="22"/>
        </w:rPr>
      </w:pPr>
      <w:r w:rsidRPr="00823F84">
        <w:rPr>
          <w:b/>
          <w:szCs w:val="22"/>
        </w:rPr>
        <w:t>6.4</w:t>
      </w:r>
      <w:r w:rsidRPr="00823F84">
        <w:rPr>
          <w:b/>
          <w:szCs w:val="22"/>
        </w:rPr>
        <w:tab/>
        <w:t>Ιδιαίτερες προφυλάξεις κατά την φύλαξη του προϊόντος</w:t>
      </w:r>
    </w:p>
    <w:p w:rsidR="00496809" w:rsidRPr="00823F84" w:rsidRDefault="00496809" w:rsidP="00C532E0">
      <w:pPr>
        <w:jc w:val="both"/>
        <w:rPr>
          <w:szCs w:val="22"/>
        </w:rPr>
      </w:pPr>
    </w:p>
    <w:p w:rsidR="005A5401" w:rsidRPr="00823F84" w:rsidRDefault="005A5401" w:rsidP="00C532E0">
      <w:pPr>
        <w:jc w:val="both"/>
        <w:rPr>
          <w:noProof/>
          <w:szCs w:val="22"/>
        </w:rPr>
      </w:pPr>
      <w:r w:rsidRPr="00823F84">
        <w:rPr>
          <w:noProof/>
          <w:szCs w:val="22"/>
        </w:rPr>
        <w:t xml:space="preserve">Δεν υπάρχουν ειδικές οδηγίες φύλαξης για το προϊόν αυτό. </w:t>
      </w:r>
    </w:p>
    <w:p w:rsidR="005A5401" w:rsidRPr="00823F84" w:rsidRDefault="005A5401" w:rsidP="00C532E0">
      <w:pPr>
        <w:jc w:val="both"/>
        <w:rPr>
          <w:noProof/>
          <w:szCs w:val="22"/>
        </w:rPr>
      </w:pPr>
    </w:p>
    <w:p w:rsidR="00496809" w:rsidRPr="00823F84" w:rsidRDefault="00496809" w:rsidP="00C532E0">
      <w:pPr>
        <w:jc w:val="both"/>
        <w:rPr>
          <w:szCs w:val="22"/>
        </w:rPr>
      </w:pPr>
      <w:r w:rsidRPr="00823F84">
        <w:rPr>
          <w:b/>
          <w:szCs w:val="22"/>
        </w:rPr>
        <w:t>6.5</w:t>
      </w:r>
      <w:r w:rsidRPr="00823F84">
        <w:rPr>
          <w:b/>
          <w:szCs w:val="22"/>
        </w:rPr>
        <w:tab/>
        <w:t>Φύση και συστατικά του περιέκτη</w:t>
      </w:r>
    </w:p>
    <w:p w:rsidR="00496809" w:rsidRPr="00823F84" w:rsidRDefault="00496809" w:rsidP="00C532E0">
      <w:pPr>
        <w:jc w:val="both"/>
        <w:rPr>
          <w:szCs w:val="22"/>
        </w:rPr>
      </w:pPr>
    </w:p>
    <w:p w:rsidR="005A5401" w:rsidRDefault="005A5401" w:rsidP="00C532E0">
      <w:pPr>
        <w:jc w:val="both"/>
        <w:rPr>
          <w:szCs w:val="22"/>
        </w:rPr>
      </w:pPr>
      <w:r w:rsidRPr="00823F84">
        <w:rPr>
          <w:szCs w:val="22"/>
        </w:rPr>
        <w:t xml:space="preserve">Κάθε γυάλινη φύσιγγα </w:t>
      </w:r>
      <w:r w:rsidR="007314F5">
        <w:rPr>
          <w:szCs w:val="22"/>
        </w:rPr>
        <w:t>τύπου</w:t>
      </w:r>
      <w:r w:rsidRPr="00823F84">
        <w:rPr>
          <w:szCs w:val="22"/>
        </w:rPr>
        <w:t xml:space="preserve"> I περιέχει 1</w:t>
      </w:r>
      <w:r w:rsidR="003A5D57">
        <w:rPr>
          <w:szCs w:val="22"/>
        </w:rPr>
        <w:t xml:space="preserve"> mL ή 2 mL ενέσιμου διαλύματος.</w:t>
      </w:r>
    </w:p>
    <w:p w:rsidR="003A5D57" w:rsidRPr="00823F84" w:rsidRDefault="003A5D57" w:rsidP="00C532E0">
      <w:pPr>
        <w:jc w:val="both"/>
        <w:rPr>
          <w:szCs w:val="22"/>
        </w:rPr>
      </w:pPr>
    </w:p>
    <w:p w:rsidR="003A5D57" w:rsidRDefault="005A5401" w:rsidP="00C532E0">
      <w:pPr>
        <w:jc w:val="both"/>
        <w:rPr>
          <w:szCs w:val="22"/>
        </w:rPr>
      </w:pPr>
      <w:r w:rsidRPr="00823F84">
        <w:rPr>
          <w:szCs w:val="22"/>
        </w:rPr>
        <w:t xml:space="preserve">Οι συσκευασίες του </w:t>
      </w:r>
      <w:r w:rsidR="00DB6EF0" w:rsidRPr="00DB6EF0">
        <w:rPr>
          <w:szCs w:val="22"/>
        </w:rPr>
        <w:t xml:space="preserve">ZILIDOR </w:t>
      </w:r>
      <w:r w:rsidRPr="00823F84">
        <w:rPr>
          <w:szCs w:val="22"/>
        </w:rPr>
        <w:t xml:space="preserve">είναι: </w:t>
      </w:r>
    </w:p>
    <w:p w:rsidR="003A5D57" w:rsidRDefault="005A5401" w:rsidP="00C532E0">
      <w:pPr>
        <w:jc w:val="both"/>
        <w:rPr>
          <w:szCs w:val="22"/>
        </w:rPr>
      </w:pPr>
      <w:r w:rsidRPr="00823F84">
        <w:rPr>
          <w:szCs w:val="22"/>
        </w:rPr>
        <w:t>Κουτί που περιέχει 5 φύσιγγες του 1 mL ενέσιμου διαλύματος</w:t>
      </w:r>
      <w:r w:rsidR="003A5D57">
        <w:rPr>
          <w:szCs w:val="22"/>
        </w:rPr>
        <w:t>.</w:t>
      </w:r>
    </w:p>
    <w:p w:rsidR="005A5401" w:rsidRPr="00823F84" w:rsidRDefault="005A5401" w:rsidP="00C532E0">
      <w:pPr>
        <w:jc w:val="both"/>
        <w:rPr>
          <w:szCs w:val="22"/>
        </w:rPr>
      </w:pPr>
      <w:r w:rsidRPr="00823F84">
        <w:rPr>
          <w:szCs w:val="22"/>
        </w:rPr>
        <w:t xml:space="preserve">Κουτί που περιέχει 5 φύσιγγες των 2 mL ενέσιμου διαλύματος </w:t>
      </w:r>
    </w:p>
    <w:p w:rsidR="00C242EE" w:rsidRDefault="00C242EE" w:rsidP="00C532E0">
      <w:pPr>
        <w:jc w:val="both"/>
        <w:rPr>
          <w:szCs w:val="22"/>
        </w:rPr>
      </w:pPr>
    </w:p>
    <w:p w:rsidR="005A5401" w:rsidRPr="00823F84" w:rsidRDefault="005A5401" w:rsidP="00C532E0">
      <w:pPr>
        <w:jc w:val="both"/>
        <w:rPr>
          <w:szCs w:val="22"/>
        </w:rPr>
      </w:pPr>
      <w:r w:rsidRPr="00823F84">
        <w:rPr>
          <w:szCs w:val="22"/>
        </w:rPr>
        <w:t xml:space="preserve">Μπορεί να μην κυκλοφορούν όλες οι συσκευασίες. </w:t>
      </w:r>
    </w:p>
    <w:p w:rsidR="00C242EE" w:rsidRDefault="00C242EE" w:rsidP="00C532E0">
      <w:pPr>
        <w:jc w:val="both"/>
        <w:rPr>
          <w:szCs w:val="22"/>
        </w:rPr>
      </w:pPr>
    </w:p>
    <w:p w:rsidR="00496809" w:rsidRPr="00823F84" w:rsidRDefault="00496809" w:rsidP="00C532E0">
      <w:pPr>
        <w:jc w:val="both"/>
        <w:rPr>
          <w:szCs w:val="22"/>
        </w:rPr>
      </w:pPr>
      <w:r w:rsidRPr="00823F84">
        <w:rPr>
          <w:b/>
          <w:szCs w:val="22"/>
        </w:rPr>
        <w:t>6.6</w:t>
      </w:r>
      <w:r w:rsidRPr="00823F84">
        <w:rPr>
          <w:b/>
          <w:szCs w:val="22"/>
        </w:rPr>
        <w:tab/>
      </w:r>
      <w:r w:rsidRPr="00823F84">
        <w:rPr>
          <w:b/>
          <w:noProof/>
          <w:szCs w:val="22"/>
        </w:rPr>
        <w:t>Ιδι</w:t>
      </w:r>
      <w:r w:rsidR="00A13894">
        <w:rPr>
          <w:b/>
          <w:noProof/>
          <w:szCs w:val="22"/>
        </w:rPr>
        <w:t xml:space="preserve">αίτερες προφυλάξεις απόρριψης </w:t>
      </w:r>
      <w:r w:rsidRPr="00823F84">
        <w:rPr>
          <w:b/>
          <w:noProof/>
          <w:szCs w:val="22"/>
        </w:rPr>
        <w:t>και άλλος χειρισμός</w:t>
      </w:r>
    </w:p>
    <w:p w:rsidR="007F0DD3" w:rsidRPr="00823F84" w:rsidRDefault="007F0DD3" w:rsidP="00C532E0">
      <w:pPr>
        <w:jc w:val="both"/>
        <w:rPr>
          <w:i/>
          <w:noProof/>
          <w:szCs w:val="22"/>
        </w:rPr>
      </w:pPr>
    </w:p>
    <w:p w:rsidR="005A5401" w:rsidRDefault="005A5401" w:rsidP="00C532E0">
      <w:pPr>
        <w:jc w:val="both"/>
        <w:rPr>
          <w:noProof/>
          <w:szCs w:val="22"/>
        </w:rPr>
      </w:pPr>
      <w:r w:rsidRPr="00C663EF">
        <w:rPr>
          <w:noProof/>
          <w:szCs w:val="22"/>
        </w:rPr>
        <w:t xml:space="preserve">Τα παρεντερικά φαρμακευτικά προϊόντα θα πρέπει να ελέγχονται οπτικά για την παρουσία ορατών σωματιδίων και αποχρωματισμό πριν από τη χορήγηση. Το διάλυμα </w:t>
      </w:r>
      <w:r w:rsidR="006B79A9">
        <w:rPr>
          <w:noProof/>
          <w:szCs w:val="22"/>
        </w:rPr>
        <w:t>είναι διαυγές και άχρωμο.</w:t>
      </w:r>
    </w:p>
    <w:p w:rsidR="006B79A9" w:rsidRPr="00C663EF" w:rsidRDefault="006B79A9" w:rsidP="00C532E0">
      <w:pPr>
        <w:jc w:val="both"/>
        <w:rPr>
          <w:noProof/>
          <w:szCs w:val="22"/>
        </w:rPr>
      </w:pPr>
    </w:p>
    <w:p w:rsidR="005A5401" w:rsidRDefault="005A5401" w:rsidP="00C532E0">
      <w:pPr>
        <w:jc w:val="both"/>
        <w:rPr>
          <w:noProof/>
          <w:szCs w:val="22"/>
        </w:rPr>
      </w:pPr>
      <w:r w:rsidRPr="00C663EF">
        <w:rPr>
          <w:noProof/>
          <w:szCs w:val="22"/>
        </w:rPr>
        <w:t xml:space="preserve">Για μια χρήση μόνο. Να απορρίπτεται κάθε αχρησιμοποίητη ποσότητα. </w:t>
      </w:r>
    </w:p>
    <w:p w:rsidR="00644D64" w:rsidRPr="00C663EF" w:rsidRDefault="00644D64" w:rsidP="00C532E0">
      <w:pPr>
        <w:jc w:val="both"/>
        <w:rPr>
          <w:noProof/>
          <w:szCs w:val="22"/>
        </w:rPr>
      </w:pPr>
    </w:p>
    <w:p w:rsidR="00496809" w:rsidRPr="00823F84" w:rsidRDefault="00496809" w:rsidP="00C532E0">
      <w:pPr>
        <w:jc w:val="both"/>
        <w:rPr>
          <w:szCs w:val="22"/>
        </w:rPr>
      </w:pPr>
      <w:r w:rsidRPr="00823F84">
        <w:rPr>
          <w:szCs w:val="22"/>
        </w:rPr>
        <w:t xml:space="preserve">Κάθε </w:t>
      </w:r>
      <w:r w:rsidR="00A73605" w:rsidRPr="00823F84">
        <w:rPr>
          <w:noProof/>
          <w:szCs w:val="22"/>
        </w:rPr>
        <w:t xml:space="preserve">αχρησιμοποίητο φαρμακευτικό </w:t>
      </w:r>
      <w:r w:rsidRPr="00823F84">
        <w:rPr>
          <w:szCs w:val="22"/>
        </w:rPr>
        <w:t xml:space="preserve">προϊόν ή υπόλειμμα πρέπει να </w:t>
      </w:r>
      <w:r w:rsidR="00A73605" w:rsidRPr="00823F84">
        <w:rPr>
          <w:noProof/>
          <w:szCs w:val="22"/>
        </w:rPr>
        <w:t>απορρίπτεται</w:t>
      </w:r>
      <w:r w:rsidR="009E24DF" w:rsidRPr="00823F84">
        <w:rPr>
          <w:noProof/>
          <w:szCs w:val="22"/>
        </w:rPr>
        <w:t xml:space="preserve"> </w:t>
      </w:r>
      <w:r w:rsidRPr="00823F84">
        <w:rPr>
          <w:szCs w:val="22"/>
        </w:rPr>
        <w:t>σύμφωνα με τις κατά τόπου</w:t>
      </w:r>
      <w:r w:rsidR="00644D64">
        <w:rPr>
          <w:szCs w:val="22"/>
        </w:rPr>
        <w:t>ς ισχύουσες σχετικές διατάξεις.</w:t>
      </w:r>
    </w:p>
    <w:p w:rsidR="00496809" w:rsidRPr="00823F84" w:rsidRDefault="00496809" w:rsidP="00C532E0">
      <w:pPr>
        <w:jc w:val="both"/>
        <w:rPr>
          <w:szCs w:val="22"/>
        </w:rPr>
      </w:pPr>
    </w:p>
    <w:p w:rsidR="007F0DD3" w:rsidRPr="00823F84" w:rsidRDefault="007F0DD3" w:rsidP="00C532E0">
      <w:pPr>
        <w:jc w:val="both"/>
        <w:rPr>
          <w:szCs w:val="22"/>
        </w:rPr>
      </w:pPr>
    </w:p>
    <w:p w:rsidR="00496809" w:rsidRPr="00823F84" w:rsidRDefault="00496809" w:rsidP="00C532E0">
      <w:pPr>
        <w:jc w:val="both"/>
        <w:rPr>
          <w:szCs w:val="22"/>
        </w:rPr>
      </w:pPr>
      <w:r w:rsidRPr="00823F84">
        <w:rPr>
          <w:b/>
          <w:szCs w:val="22"/>
        </w:rPr>
        <w:t>7.</w:t>
      </w:r>
      <w:r w:rsidRPr="00823F84">
        <w:rPr>
          <w:b/>
          <w:szCs w:val="22"/>
        </w:rPr>
        <w:tab/>
        <w:t>ΚΑΤΟΧΟΣ ΤΗΣ ΑΔΕΙΑΣ ΚΥΚΛΟΦΟΡΙΑΣ</w:t>
      </w:r>
    </w:p>
    <w:p w:rsidR="00496809" w:rsidRPr="00823F84" w:rsidRDefault="00496809" w:rsidP="00C532E0">
      <w:pPr>
        <w:jc w:val="both"/>
        <w:rPr>
          <w:szCs w:val="22"/>
        </w:rPr>
      </w:pPr>
    </w:p>
    <w:p w:rsidR="00FA0500" w:rsidRPr="00FA0500" w:rsidRDefault="00FA0500" w:rsidP="00FA0500">
      <w:pPr>
        <w:jc w:val="both"/>
        <w:rPr>
          <w:szCs w:val="22"/>
        </w:rPr>
      </w:pPr>
      <w:r w:rsidRPr="00FA0500">
        <w:rPr>
          <w:szCs w:val="22"/>
          <w:lang w:val="en-US"/>
        </w:rPr>
        <w:t>DEMO</w:t>
      </w:r>
      <w:r w:rsidRPr="00FA0500">
        <w:rPr>
          <w:szCs w:val="22"/>
        </w:rPr>
        <w:t xml:space="preserve"> ΑΒΕΕ </w:t>
      </w:r>
    </w:p>
    <w:p w:rsidR="00FA0500" w:rsidRPr="00FA0500" w:rsidRDefault="00FA0500" w:rsidP="00FA0500">
      <w:pPr>
        <w:jc w:val="both"/>
        <w:rPr>
          <w:szCs w:val="22"/>
        </w:rPr>
      </w:pPr>
      <w:r w:rsidRPr="00FA0500">
        <w:rPr>
          <w:szCs w:val="22"/>
        </w:rPr>
        <w:t>21ο χλμ Εθνικής Οδού Αθηνών-Λαμίας</w:t>
      </w:r>
    </w:p>
    <w:p w:rsidR="00FA0500" w:rsidRPr="007F2989" w:rsidRDefault="00FA0500" w:rsidP="00FA0500">
      <w:pPr>
        <w:jc w:val="both"/>
        <w:rPr>
          <w:szCs w:val="22"/>
        </w:rPr>
      </w:pPr>
      <w:r w:rsidRPr="007F2989">
        <w:rPr>
          <w:szCs w:val="22"/>
        </w:rPr>
        <w:t>14568 Κρυονέρι, Αθήνα</w:t>
      </w:r>
    </w:p>
    <w:p w:rsidR="00FA0500" w:rsidRPr="007F2989" w:rsidRDefault="00FA0500" w:rsidP="00FA0500">
      <w:pPr>
        <w:jc w:val="both"/>
        <w:rPr>
          <w:szCs w:val="22"/>
        </w:rPr>
      </w:pPr>
      <w:r w:rsidRPr="007F2989">
        <w:rPr>
          <w:szCs w:val="22"/>
        </w:rPr>
        <w:t>Τηλ: 210 8161802,</w:t>
      </w:r>
    </w:p>
    <w:p w:rsidR="00496809" w:rsidRPr="00823F84" w:rsidRDefault="00FA0500" w:rsidP="00FA0500">
      <w:pPr>
        <w:jc w:val="both"/>
        <w:rPr>
          <w:szCs w:val="22"/>
        </w:rPr>
      </w:pPr>
      <w:r w:rsidRPr="00FA0500">
        <w:rPr>
          <w:szCs w:val="22"/>
          <w:lang w:val="en-US"/>
        </w:rPr>
        <w:t>Fax</w:t>
      </w:r>
      <w:r w:rsidRPr="007F2989">
        <w:rPr>
          <w:szCs w:val="22"/>
        </w:rPr>
        <w:t>: 210 8161587</w:t>
      </w:r>
    </w:p>
    <w:p w:rsidR="00496809" w:rsidRPr="007F2989" w:rsidRDefault="00496809" w:rsidP="00C532E0">
      <w:pPr>
        <w:jc w:val="both"/>
        <w:rPr>
          <w:szCs w:val="22"/>
        </w:rPr>
      </w:pPr>
    </w:p>
    <w:p w:rsidR="00FA0500" w:rsidRPr="007F2989" w:rsidRDefault="00FA0500" w:rsidP="00C532E0">
      <w:pPr>
        <w:jc w:val="both"/>
        <w:rPr>
          <w:szCs w:val="22"/>
        </w:rPr>
      </w:pPr>
    </w:p>
    <w:p w:rsidR="00496809" w:rsidRPr="00823F84" w:rsidRDefault="00496809" w:rsidP="00C532E0">
      <w:pPr>
        <w:jc w:val="both"/>
        <w:rPr>
          <w:szCs w:val="22"/>
        </w:rPr>
      </w:pPr>
      <w:r w:rsidRPr="00823F84">
        <w:rPr>
          <w:b/>
          <w:szCs w:val="22"/>
        </w:rPr>
        <w:t>8.</w:t>
      </w:r>
      <w:r w:rsidRPr="00823F84">
        <w:rPr>
          <w:b/>
          <w:szCs w:val="22"/>
        </w:rPr>
        <w:tab/>
        <w:t>ΑΡΙΘΜΟΣ(ΟΙ) ΑΔΕΙΑΣ ΚΥΚΛΟΦΟΡΙΑΣ</w:t>
      </w:r>
    </w:p>
    <w:p w:rsidR="00496809" w:rsidRPr="00823F84" w:rsidRDefault="00496809" w:rsidP="00C532E0">
      <w:pPr>
        <w:jc w:val="both"/>
        <w:rPr>
          <w:szCs w:val="22"/>
        </w:rPr>
      </w:pPr>
    </w:p>
    <w:p w:rsidR="00496809" w:rsidRPr="007F2989" w:rsidRDefault="00496809" w:rsidP="00C532E0">
      <w:pPr>
        <w:jc w:val="both"/>
        <w:rPr>
          <w:szCs w:val="22"/>
          <w:lang w:val="en-US"/>
        </w:rPr>
      </w:pPr>
    </w:p>
    <w:p w:rsidR="00496809" w:rsidRPr="00823F84" w:rsidRDefault="00496809" w:rsidP="00C532E0">
      <w:pPr>
        <w:jc w:val="both"/>
        <w:rPr>
          <w:szCs w:val="22"/>
        </w:rPr>
      </w:pPr>
      <w:r w:rsidRPr="00823F84">
        <w:rPr>
          <w:b/>
          <w:szCs w:val="22"/>
        </w:rPr>
        <w:t>9.</w:t>
      </w:r>
      <w:r w:rsidRPr="00823F84">
        <w:rPr>
          <w:b/>
          <w:szCs w:val="22"/>
        </w:rPr>
        <w:tab/>
        <w:t>ΗΜΕΡΟΜΗΝΙΑ ΠΡΩΤΗΣ ΕΓΚΡΙΣΗΣ / ΑΝΑΝΕΩΣΗΣ ΤΗΣ ΑΔΕΙΑΣ</w:t>
      </w:r>
    </w:p>
    <w:p w:rsidR="00496809" w:rsidRPr="00823F84" w:rsidRDefault="00496809" w:rsidP="00C532E0">
      <w:pPr>
        <w:jc w:val="both"/>
        <w:rPr>
          <w:szCs w:val="22"/>
        </w:rPr>
      </w:pPr>
    </w:p>
    <w:p w:rsidR="00496809" w:rsidRPr="007F2989" w:rsidRDefault="00496809" w:rsidP="00C532E0">
      <w:pPr>
        <w:jc w:val="both"/>
        <w:rPr>
          <w:szCs w:val="22"/>
          <w:lang w:val="en-US"/>
        </w:rPr>
      </w:pPr>
    </w:p>
    <w:p w:rsidR="00496809" w:rsidRPr="00823F84" w:rsidRDefault="00496809" w:rsidP="00C532E0">
      <w:pPr>
        <w:tabs>
          <w:tab w:val="left" w:pos="709"/>
        </w:tabs>
        <w:jc w:val="both"/>
        <w:rPr>
          <w:szCs w:val="22"/>
        </w:rPr>
      </w:pPr>
      <w:r w:rsidRPr="00823F84">
        <w:rPr>
          <w:b/>
          <w:szCs w:val="22"/>
        </w:rPr>
        <w:t>10.</w:t>
      </w:r>
      <w:r w:rsidRPr="00823F84">
        <w:rPr>
          <w:b/>
          <w:szCs w:val="22"/>
        </w:rPr>
        <w:tab/>
        <w:t>ΗΜΕΡΟΜΗΝΙΑ ΑΝΑΘΕΩΡΗΣΗΣ ΤΟΥ ΚΕΙΜΕΝΟΥ</w:t>
      </w:r>
    </w:p>
    <w:p w:rsidR="00496809" w:rsidRPr="007F2989" w:rsidRDefault="00496809" w:rsidP="00C532E0">
      <w:pPr>
        <w:jc w:val="both"/>
        <w:rPr>
          <w:noProof/>
          <w:szCs w:val="22"/>
          <w:lang w:val="en-US"/>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7F2989" w:rsidRDefault="00496809"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2C3D6F" w:rsidRPr="007F2989" w:rsidRDefault="002C3D6F"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7F2989" w:rsidRDefault="00496809" w:rsidP="00C532E0">
      <w:pPr>
        <w:jc w:val="both"/>
        <w:rPr>
          <w:noProof/>
          <w:szCs w:val="22"/>
          <w:lang w:val="en-US"/>
        </w:rPr>
      </w:pPr>
    </w:p>
    <w:sectPr w:rsidR="00496809" w:rsidRPr="007F2989" w:rsidSect="004D6537">
      <w:headerReference w:type="even" r:id="rId8"/>
      <w:headerReference w:type="default" r:id="rId9"/>
      <w:footerReference w:type="even" r:id="rId10"/>
      <w:footerReference w:type="default" r:id="rId11"/>
      <w:headerReference w:type="first" r:id="rId12"/>
      <w:footerReference w:type="first" r:id="rId13"/>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8D" w:rsidRDefault="00C3198D">
      <w:r>
        <w:separator/>
      </w:r>
    </w:p>
  </w:endnote>
  <w:endnote w:type="continuationSeparator" w:id="0">
    <w:p w:rsidR="00C3198D" w:rsidRDefault="00C31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4"/>
    </w:pPr>
  </w:p>
  <w:p w:rsidR="009B3CBC" w:rsidRDefault="009B3C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4D6537">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9B3CBC">
      <w:rPr>
        <w:rFonts w:ascii="Arial" w:hAnsi="Arial" w:cs="Arial"/>
        <w:sz w:val="16"/>
        <w:lang w:val="fr-FR"/>
      </w:rPr>
      <w:instrText xml:space="preserve">PAGE  </w:instrText>
    </w:r>
    <w:r>
      <w:rPr>
        <w:rFonts w:ascii="Arial" w:hAnsi="Arial" w:cs="Arial"/>
        <w:sz w:val="16"/>
        <w:lang w:val="fr-FR"/>
      </w:rPr>
      <w:fldChar w:fldCharType="separate"/>
    </w:r>
    <w:r w:rsidR="007F2989">
      <w:rPr>
        <w:rFonts w:ascii="Arial" w:hAnsi="Arial" w:cs="Arial"/>
        <w:noProof/>
        <w:sz w:val="16"/>
        <w:lang w:val="fr-FR"/>
      </w:rPr>
      <w:t>11</w:t>
    </w:r>
    <w:r>
      <w:rPr>
        <w:rFonts w:ascii="Arial" w:hAnsi="Arial" w:cs="Arial"/>
        <w:sz w:val="16"/>
        <w:lang w:val="fr-FR"/>
      </w:rPr>
      <w:fldChar w:fldCharType="end"/>
    </w:r>
  </w:p>
  <w:p w:rsidR="009B3CBC" w:rsidRDefault="009B3CBC">
    <w:pPr>
      <w:tabs>
        <w:tab w:val="center" w:pos="4536"/>
        <w:tab w:val="right" w:pos="90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4D6537">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9B3CBC">
      <w:rPr>
        <w:rFonts w:ascii="Arial" w:hAnsi="Arial" w:cs="Arial"/>
        <w:sz w:val="16"/>
        <w:lang w:val="fr-FR"/>
      </w:rPr>
      <w:instrText xml:space="preserve">PAGE  </w:instrText>
    </w:r>
    <w:r>
      <w:rPr>
        <w:rFonts w:ascii="Arial" w:hAnsi="Arial" w:cs="Arial"/>
        <w:sz w:val="16"/>
        <w:lang w:val="fr-FR"/>
      </w:rPr>
      <w:fldChar w:fldCharType="separate"/>
    </w:r>
    <w:r w:rsidR="007F2989">
      <w:rPr>
        <w:rFonts w:ascii="Arial" w:hAnsi="Arial" w:cs="Arial"/>
        <w:noProof/>
        <w:sz w:val="16"/>
        <w:lang w:val="fr-FR"/>
      </w:rPr>
      <w:t>1</w:t>
    </w:r>
    <w:r>
      <w:rPr>
        <w:rFonts w:ascii="Arial" w:hAnsi="Arial" w:cs="Arial"/>
        <w:sz w:val="16"/>
        <w:lang w:val="fr-FR"/>
      </w:rPr>
      <w:fldChar w:fldCharType="end"/>
    </w:r>
  </w:p>
  <w:p w:rsidR="009B3CBC" w:rsidRDefault="009B3C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8D" w:rsidRDefault="00C3198D">
      <w:r>
        <w:separator/>
      </w:r>
    </w:p>
  </w:footnote>
  <w:footnote w:type="continuationSeparator" w:id="0">
    <w:p w:rsidR="00C3198D" w:rsidRDefault="00C3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3"/>
    </w:pPr>
  </w:p>
  <w:p w:rsidR="009B3CBC" w:rsidRDefault="009B3C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3"/>
    </w:pPr>
  </w:p>
  <w:p w:rsidR="009B3CBC" w:rsidRDefault="009B3CB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3"/>
    </w:pPr>
  </w:p>
  <w:p w:rsidR="009B3CBC" w:rsidRDefault="009B3C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A810019"/>
    <w:multiLevelType w:val="singleLevel"/>
    <w:tmpl w:val="FFFFFFFF"/>
    <w:lvl w:ilvl="0">
      <w:start w:val="1"/>
      <w:numFmt w:val="bullet"/>
      <w:lvlText w:val="-"/>
      <w:legacy w:legacy="1" w:legacySpace="0" w:legacyIndent="360"/>
      <w:lvlJc w:val="left"/>
      <w:pPr>
        <w:ind w:left="1800" w:hanging="360"/>
      </w:pPr>
    </w:lvl>
  </w:abstractNum>
  <w:abstractNum w:abstractNumId="9">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5">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3"/>
  </w:num>
  <w:num w:numId="7">
    <w:abstractNumId w:val="5"/>
  </w:num>
  <w:num w:numId="8">
    <w:abstractNumId w:val="10"/>
  </w:num>
  <w:num w:numId="9">
    <w:abstractNumId w:val="8"/>
  </w:num>
  <w:num w:numId="10">
    <w:abstractNumId w:val="3"/>
  </w:num>
  <w:num w:numId="11">
    <w:abstractNumId w:val="12"/>
  </w:num>
  <w:num w:numId="12">
    <w:abstractNumId w:val="1"/>
  </w:num>
  <w:num w:numId="13">
    <w:abstractNumId w:val="9"/>
  </w:num>
  <w:num w:numId="14">
    <w:abstractNumId w:val="17"/>
  </w:num>
  <w:num w:numId="15">
    <w:abstractNumId w:val="4"/>
  </w:num>
  <w:num w:numId="16">
    <w:abstractNumId w:val="6"/>
  </w:num>
  <w:num w:numId="17">
    <w:abstractNumId w:val="15"/>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48AD"/>
    <w:rsid w:val="0000494B"/>
    <w:rsid w:val="000101D2"/>
    <w:rsid w:val="000125B7"/>
    <w:rsid w:val="0001379E"/>
    <w:rsid w:val="00013910"/>
    <w:rsid w:val="00016612"/>
    <w:rsid w:val="000217B8"/>
    <w:rsid w:val="00023346"/>
    <w:rsid w:val="00026DFB"/>
    <w:rsid w:val="00030CA1"/>
    <w:rsid w:val="00030CF2"/>
    <w:rsid w:val="00031D1A"/>
    <w:rsid w:val="00035515"/>
    <w:rsid w:val="000403BC"/>
    <w:rsid w:val="00041E7F"/>
    <w:rsid w:val="00042E1A"/>
    <w:rsid w:val="00050B66"/>
    <w:rsid w:val="00050D51"/>
    <w:rsid w:val="0005388A"/>
    <w:rsid w:val="000549B0"/>
    <w:rsid w:val="00056716"/>
    <w:rsid w:val="0006590A"/>
    <w:rsid w:val="000662C7"/>
    <w:rsid w:val="000759D6"/>
    <w:rsid w:val="00086E44"/>
    <w:rsid w:val="0009217F"/>
    <w:rsid w:val="0009263E"/>
    <w:rsid w:val="0009734B"/>
    <w:rsid w:val="00097C9D"/>
    <w:rsid w:val="000A50E1"/>
    <w:rsid w:val="000B1DE0"/>
    <w:rsid w:val="000B2572"/>
    <w:rsid w:val="000D18DA"/>
    <w:rsid w:val="000D7228"/>
    <w:rsid w:val="000F19D8"/>
    <w:rsid w:val="000F3AE1"/>
    <w:rsid w:val="000F4BDA"/>
    <w:rsid w:val="000F5B06"/>
    <w:rsid w:val="00101352"/>
    <w:rsid w:val="00102F8C"/>
    <w:rsid w:val="0010327A"/>
    <w:rsid w:val="00104BF9"/>
    <w:rsid w:val="001056BE"/>
    <w:rsid w:val="00106529"/>
    <w:rsid w:val="00110DE4"/>
    <w:rsid w:val="00113113"/>
    <w:rsid w:val="001155EB"/>
    <w:rsid w:val="00120005"/>
    <w:rsid w:val="00122D62"/>
    <w:rsid w:val="00123FF2"/>
    <w:rsid w:val="00125B4C"/>
    <w:rsid w:val="00143C2B"/>
    <w:rsid w:val="00146C33"/>
    <w:rsid w:val="00150742"/>
    <w:rsid w:val="00154E4A"/>
    <w:rsid w:val="001550CD"/>
    <w:rsid w:val="00157BFF"/>
    <w:rsid w:val="00167891"/>
    <w:rsid w:val="00172FE6"/>
    <w:rsid w:val="00176203"/>
    <w:rsid w:val="0018145D"/>
    <w:rsid w:val="00195F86"/>
    <w:rsid w:val="001A06EC"/>
    <w:rsid w:val="001A5428"/>
    <w:rsid w:val="001B2AFA"/>
    <w:rsid w:val="001B579D"/>
    <w:rsid w:val="001C35DF"/>
    <w:rsid w:val="001C42F5"/>
    <w:rsid w:val="001C5700"/>
    <w:rsid w:val="001D1817"/>
    <w:rsid w:val="001D5A29"/>
    <w:rsid w:val="001D7289"/>
    <w:rsid w:val="001D776B"/>
    <w:rsid w:val="001D7FBD"/>
    <w:rsid w:val="001E206C"/>
    <w:rsid w:val="001E25BD"/>
    <w:rsid w:val="001F4FB9"/>
    <w:rsid w:val="00200A59"/>
    <w:rsid w:val="0020645B"/>
    <w:rsid w:val="002078E2"/>
    <w:rsid w:val="0021612F"/>
    <w:rsid w:val="00225BF9"/>
    <w:rsid w:val="0023054A"/>
    <w:rsid w:val="00241AE2"/>
    <w:rsid w:val="002442D4"/>
    <w:rsid w:val="002443A1"/>
    <w:rsid w:val="00244A39"/>
    <w:rsid w:val="002461FB"/>
    <w:rsid w:val="0026246A"/>
    <w:rsid w:val="00262A0E"/>
    <w:rsid w:val="002634A4"/>
    <w:rsid w:val="0026489C"/>
    <w:rsid w:val="00264CBD"/>
    <w:rsid w:val="00271694"/>
    <w:rsid w:val="00275CDF"/>
    <w:rsid w:val="00276542"/>
    <w:rsid w:val="00290EE6"/>
    <w:rsid w:val="002916E3"/>
    <w:rsid w:val="002A1528"/>
    <w:rsid w:val="002A192B"/>
    <w:rsid w:val="002A289F"/>
    <w:rsid w:val="002A3FFA"/>
    <w:rsid w:val="002A76E3"/>
    <w:rsid w:val="002B281D"/>
    <w:rsid w:val="002B2D84"/>
    <w:rsid w:val="002B65A7"/>
    <w:rsid w:val="002B6614"/>
    <w:rsid w:val="002C3D6F"/>
    <w:rsid w:val="002C51A3"/>
    <w:rsid w:val="002C606F"/>
    <w:rsid w:val="002C7789"/>
    <w:rsid w:val="002D3298"/>
    <w:rsid w:val="002D4A2B"/>
    <w:rsid w:val="002D4D99"/>
    <w:rsid w:val="002D6875"/>
    <w:rsid w:val="002E18B4"/>
    <w:rsid w:val="002E1EFF"/>
    <w:rsid w:val="00305357"/>
    <w:rsid w:val="00305ACF"/>
    <w:rsid w:val="00315025"/>
    <w:rsid w:val="00332088"/>
    <w:rsid w:val="00333ED2"/>
    <w:rsid w:val="00336446"/>
    <w:rsid w:val="00341EF6"/>
    <w:rsid w:val="0034737C"/>
    <w:rsid w:val="003521A1"/>
    <w:rsid w:val="00361120"/>
    <w:rsid w:val="003627EB"/>
    <w:rsid w:val="00367BE2"/>
    <w:rsid w:val="00372C04"/>
    <w:rsid w:val="003749C6"/>
    <w:rsid w:val="00377A01"/>
    <w:rsid w:val="00377F0F"/>
    <w:rsid w:val="003808CD"/>
    <w:rsid w:val="00384E25"/>
    <w:rsid w:val="00385365"/>
    <w:rsid w:val="00386A83"/>
    <w:rsid w:val="00391A22"/>
    <w:rsid w:val="00395A35"/>
    <w:rsid w:val="00395BAD"/>
    <w:rsid w:val="00395E81"/>
    <w:rsid w:val="003A0028"/>
    <w:rsid w:val="003A5D57"/>
    <w:rsid w:val="003A6BC9"/>
    <w:rsid w:val="003B1E89"/>
    <w:rsid w:val="003B4BF5"/>
    <w:rsid w:val="003C0467"/>
    <w:rsid w:val="003C2892"/>
    <w:rsid w:val="003D155C"/>
    <w:rsid w:val="003D3E7E"/>
    <w:rsid w:val="003D725B"/>
    <w:rsid w:val="003E50A7"/>
    <w:rsid w:val="003F2464"/>
    <w:rsid w:val="003F5DFF"/>
    <w:rsid w:val="003F7235"/>
    <w:rsid w:val="0040258C"/>
    <w:rsid w:val="00405AC6"/>
    <w:rsid w:val="00423B7D"/>
    <w:rsid w:val="00432137"/>
    <w:rsid w:val="004358E8"/>
    <w:rsid w:val="004414B7"/>
    <w:rsid w:val="0045257F"/>
    <w:rsid w:val="00462EB5"/>
    <w:rsid w:val="00464262"/>
    <w:rsid w:val="00467377"/>
    <w:rsid w:val="004719EB"/>
    <w:rsid w:val="0047347A"/>
    <w:rsid w:val="00474A45"/>
    <w:rsid w:val="004843F1"/>
    <w:rsid w:val="00485503"/>
    <w:rsid w:val="00496809"/>
    <w:rsid w:val="004A0B31"/>
    <w:rsid w:val="004A519B"/>
    <w:rsid w:val="004A5F6F"/>
    <w:rsid w:val="004B00FD"/>
    <w:rsid w:val="004B22CF"/>
    <w:rsid w:val="004B298A"/>
    <w:rsid w:val="004B3E4F"/>
    <w:rsid w:val="004C17F5"/>
    <w:rsid w:val="004C2D82"/>
    <w:rsid w:val="004C335A"/>
    <w:rsid w:val="004C68E9"/>
    <w:rsid w:val="004C6D3B"/>
    <w:rsid w:val="004C7D52"/>
    <w:rsid w:val="004D3BCA"/>
    <w:rsid w:val="004D4A10"/>
    <w:rsid w:val="004D6537"/>
    <w:rsid w:val="004D6F7C"/>
    <w:rsid w:val="004D72F5"/>
    <w:rsid w:val="004F4B10"/>
    <w:rsid w:val="005275DF"/>
    <w:rsid w:val="00531359"/>
    <w:rsid w:val="00532084"/>
    <w:rsid w:val="00533BED"/>
    <w:rsid w:val="005414C1"/>
    <w:rsid w:val="00542F6D"/>
    <w:rsid w:val="00544524"/>
    <w:rsid w:val="00544D4B"/>
    <w:rsid w:val="00562263"/>
    <w:rsid w:val="005626EF"/>
    <w:rsid w:val="00580ECA"/>
    <w:rsid w:val="00585BE2"/>
    <w:rsid w:val="005868FF"/>
    <w:rsid w:val="00591468"/>
    <w:rsid w:val="00593F83"/>
    <w:rsid w:val="00596166"/>
    <w:rsid w:val="00597418"/>
    <w:rsid w:val="005A27BB"/>
    <w:rsid w:val="005A5401"/>
    <w:rsid w:val="005B5B57"/>
    <w:rsid w:val="005C5540"/>
    <w:rsid w:val="005C71F8"/>
    <w:rsid w:val="005D252E"/>
    <w:rsid w:val="005D399A"/>
    <w:rsid w:val="005D5488"/>
    <w:rsid w:val="005F724C"/>
    <w:rsid w:val="00600AAA"/>
    <w:rsid w:val="006063F0"/>
    <w:rsid w:val="00610F5A"/>
    <w:rsid w:val="00613519"/>
    <w:rsid w:val="00631815"/>
    <w:rsid w:val="00644D64"/>
    <w:rsid w:val="006478F6"/>
    <w:rsid w:val="00650705"/>
    <w:rsid w:val="00655A8E"/>
    <w:rsid w:val="00657C22"/>
    <w:rsid w:val="00665CEE"/>
    <w:rsid w:val="006920E0"/>
    <w:rsid w:val="00694859"/>
    <w:rsid w:val="00696C9D"/>
    <w:rsid w:val="006A28DB"/>
    <w:rsid w:val="006A4F76"/>
    <w:rsid w:val="006A5D2A"/>
    <w:rsid w:val="006B124B"/>
    <w:rsid w:val="006B50D1"/>
    <w:rsid w:val="006B79A9"/>
    <w:rsid w:val="006B7E9D"/>
    <w:rsid w:val="006C47D3"/>
    <w:rsid w:val="006C719A"/>
    <w:rsid w:val="006D0A1D"/>
    <w:rsid w:val="006D3646"/>
    <w:rsid w:val="006D3E96"/>
    <w:rsid w:val="006E1093"/>
    <w:rsid w:val="006E2F26"/>
    <w:rsid w:val="006F34EB"/>
    <w:rsid w:val="006F4999"/>
    <w:rsid w:val="0070600A"/>
    <w:rsid w:val="007079C2"/>
    <w:rsid w:val="0071263A"/>
    <w:rsid w:val="00714C8C"/>
    <w:rsid w:val="00715E1A"/>
    <w:rsid w:val="007261F6"/>
    <w:rsid w:val="00726398"/>
    <w:rsid w:val="00726ECE"/>
    <w:rsid w:val="007314F5"/>
    <w:rsid w:val="00734E5E"/>
    <w:rsid w:val="007367EB"/>
    <w:rsid w:val="00742AD3"/>
    <w:rsid w:val="00743553"/>
    <w:rsid w:val="0074541F"/>
    <w:rsid w:val="00745C35"/>
    <w:rsid w:val="00756D52"/>
    <w:rsid w:val="00756EBD"/>
    <w:rsid w:val="0076194A"/>
    <w:rsid w:val="00785954"/>
    <w:rsid w:val="00786D07"/>
    <w:rsid w:val="0079093C"/>
    <w:rsid w:val="00790B66"/>
    <w:rsid w:val="00795CB9"/>
    <w:rsid w:val="007A4F97"/>
    <w:rsid w:val="007A6584"/>
    <w:rsid w:val="007A680F"/>
    <w:rsid w:val="007A770E"/>
    <w:rsid w:val="007B26EC"/>
    <w:rsid w:val="007C06E5"/>
    <w:rsid w:val="007C1862"/>
    <w:rsid w:val="007D13F4"/>
    <w:rsid w:val="007E1C0F"/>
    <w:rsid w:val="007F0949"/>
    <w:rsid w:val="007F0DD3"/>
    <w:rsid w:val="007F2989"/>
    <w:rsid w:val="007F6131"/>
    <w:rsid w:val="00803C43"/>
    <w:rsid w:val="0080629C"/>
    <w:rsid w:val="00811135"/>
    <w:rsid w:val="0081647F"/>
    <w:rsid w:val="00823F84"/>
    <w:rsid w:val="008321D6"/>
    <w:rsid w:val="00835553"/>
    <w:rsid w:val="00836797"/>
    <w:rsid w:val="00836A8A"/>
    <w:rsid w:val="0084400C"/>
    <w:rsid w:val="00844672"/>
    <w:rsid w:val="00844F56"/>
    <w:rsid w:val="00856B64"/>
    <w:rsid w:val="00861159"/>
    <w:rsid w:val="00863763"/>
    <w:rsid w:val="008777F0"/>
    <w:rsid w:val="00877CE4"/>
    <w:rsid w:val="00890EC6"/>
    <w:rsid w:val="008A44F7"/>
    <w:rsid w:val="008B79DB"/>
    <w:rsid w:val="008C3686"/>
    <w:rsid w:val="008C3DBA"/>
    <w:rsid w:val="008C4377"/>
    <w:rsid w:val="008C528D"/>
    <w:rsid w:val="008C707C"/>
    <w:rsid w:val="008D132A"/>
    <w:rsid w:val="008D26B3"/>
    <w:rsid w:val="008D4C58"/>
    <w:rsid w:val="008D5E4A"/>
    <w:rsid w:val="008E234A"/>
    <w:rsid w:val="008E44DD"/>
    <w:rsid w:val="008F4FD5"/>
    <w:rsid w:val="00902587"/>
    <w:rsid w:val="00904123"/>
    <w:rsid w:val="00907106"/>
    <w:rsid w:val="00912165"/>
    <w:rsid w:val="00920548"/>
    <w:rsid w:val="00923FEA"/>
    <w:rsid w:val="009254F5"/>
    <w:rsid w:val="00925669"/>
    <w:rsid w:val="0092741E"/>
    <w:rsid w:val="0093136D"/>
    <w:rsid w:val="00932536"/>
    <w:rsid w:val="00953D94"/>
    <w:rsid w:val="00955495"/>
    <w:rsid w:val="0095784D"/>
    <w:rsid w:val="00957FF0"/>
    <w:rsid w:val="00972258"/>
    <w:rsid w:val="0097462F"/>
    <w:rsid w:val="009810A4"/>
    <w:rsid w:val="00981E24"/>
    <w:rsid w:val="00982F5B"/>
    <w:rsid w:val="00987B5D"/>
    <w:rsid w:val="00995A43"/>
    <w:rsid w:val="009A32CE"/>
    <w:rsid w:val="009A5015"/>
    <w:rsid w:val="009A6DC8"/>
    <w:rsid w:val="009B3CBC"/>
    <w:rsid w:val="009B43C8"/>
    <w:rsid w:val="009B678E"/>
    <w:rsid w:val="009C2EDC"/>
    <w:rsid w:val="009C3CFC"/>
    <w:rsid w:val="009C4B23"/>
    <w:rsid w:val="009C7CA0"/>
    <w:rsid w:val="009D51C0"/>
    <w:rsid w:val="009E105D"/>
    <w:rsid w:val="009E24DF"/>
    <w:rsid w:val="009E308C"/>
    <w:rsid w:val="009E3E1C"/>
    <w:rsid w:val="009E4EE3"/>
    <w:rsid w:val="009E6C7B"/>
    <w:rsid w:val="009E7EBA"/>
    <w:rsid w:val="009F176F"/>
    <w:rsid w:val="009F3AFA"/>
    <w:rsid w:val="009F438D"/>
    <w:rsid w:val="009F60F4"/>
    <w:rsid w:val="00A056A7"/>
    <w:rsid w:val="00A13894"/>
    <w:rsid w:val="00A147C1"/>
    <w:rsid w:val="00A1619F"/>
    <w:rsid w:val="00A168A6"/>
    <w:rsid w:val="00A25E83"/>
    <w:rsid w:val="00A354B2"/>
    <w:rsid w:val="00A40F56"/>
    <w:rsid w:val="00A41592"/>
    <w:rsid w:val="00A41A20"/>
    <w:rsid w:val="00A41BBB"/>
    <w:rsid w:val="00A4270E"/>
    <w:rsid w:val="00A43FFC"/>
    <w:rsid w:val="00A45E23"/>
    <w:rsid w:val="00A507FF"/>
    <w:rsid w:val="00A50ADF"/>
    <w:rsid w:val="00A641E6"/>
    <w:rsid w:val="00A66FB8"/>
    <w:rsid w:val="00A712E2"/>
    <w:rsid w:val="00A73605"/>
    <w:rsid w:val="00A8674F"/>
    <w:rsid w:val="00A94823"/>
    <w:rsid w:val="00A965B2"/>
    <w:rsid w:val="00AA165F"/>
    <w:rsid w:val="00AA3E2D"/>
    <w:rsid w:val="00AB1D2B"/>
    <w:rsid w:val="00AB65ED"/>
    <w:rsid w:val="00AD317E"/>
    <w:rsid w:val="00AD3F2C"/>
    <w:rsid w:val="00AD6B6E"/>
    <w:rsid w:val="00AE725E"/>
    <w:rsid w:val="00AF310E"/>
    <w:rsid w:val="00AF56E9"/>
    <w:rsid w:val="00B1517B"/>
    <w:rsid w:val="00B160D0"/>
    <w:rsid w:val="00B24A3B"/>
    <w:rsid w:val="00B417E4"/>
    <w:rsid w:val="00B4635A"/>
    <w:rsid w:val="00B473E6"/>
    <w:rsid w:val="00B51432"/>
    <w:rsid w:val="00B549A0"/>
    <w:rsid w:val="00B60D10"/>
    <w:rsid w:val="00B62B7D"/>
    <w:rsid w:val="00B727A6"/>
    <w:rsid w:val="00B73432"/>
    <w:rsid w:val="00B73BB9"/>
    <w:rsid w:val="00B7656F"/>
    <w:rsid w:val="00B80308"/>
    <w:rsid w:val="00B80BEC"/>
    <w:rsid w:val="00B80D59"/>
    <w:rsid w:val="00B84E28"/>
    <w:rsid w:val="00B850EE"/>
    <w:rsid w:val="00BA0CF7"/>
    <w:rsid w:val="00BA0DD7"/>
    <w:rsid w:val="00BB1254"/>
    <w:rsid w:val="00BB1753"/>
    <w:rsid w:val="00BB3C2A"/>
    <w:rsid w:val="00BB3DA5"/>
    <w:rsid w:val="00BC4477"/>
    <w:rsid w:val="00BC4C6F"/>
    <w:rsid w:val="00BD15FE"/>
    <w:rsid w:val="00BD5FED"/>
    <w:rsid w:val="00BD7F57"/>
    <w:rsid w:val="00BE2307"/>
    <w:rsid w:val="00BE3B8B"/>
    <w:rsid w:val="00BE449A"/>
    <w:rsid w:val="00BE6C38"/>
    <w:rsid w:val="00BF0E3E"/>
    <w:rsid w:val="00BF32FC"/>
    <w:rsid w:val="00C0170A"/>
    <w:rsid w:val="00C0293F"/>
    <w:rsid w:val="00C07410"/>
    <w:rsid w:val="00C10BFC"/>
    <w:rsid w:val="00C123BB"/>
    <w:rsid w:val="00C155DD"/>
    <w:rsid w:val="00C2420B"/>
    <w:rsid w:val="00C242EE"/>
    <w:rsid w:val="00C24C4F"/>
    <w:rsid w:val="00C3198D"/>
    <w:rsid w:val="00C3465A"/>
    <w:rsid w:val="00C36823"/>
    <w:rsid w:val="00C37EC1"/>
    <w:rsid w:val="00C4082A"/>
    <w:rsid w:val="00C502DD"/>
    <w:rsid w:val="00C50A3C"/>
    <w:rsid w:val="00C532E0"/>
    <w:rsid w:val="00C54946"/>
    <w:rsid w:val="00C551FB"/>
    <w:rsid w:val="00C573C6"/>
    <w:rsid w:val="00C627F4"/>
    <w:rsid w:val="00C64437"/>
    <w:rsid w:val="00C663EF"/>
    <w:rsid w:val="00C71C3A"/>
    <w:rsid w:val="00C722DE"/>
    <w:rsid w:val="00C7253D"/>
    <w:rsid w:val="00C77B03"/>
    <w:rsid w:val="00C8175C"/>
    <w:rsid w:val="00C93DD3"/>
    <w:rsid w:val="00C95834"/>
    <w:rsid w:val="00C95C63"/>
    <w:rsid w:val="00C95EFF"/>
    <w:rsid w:val="00CB3ED9"/>
    <w:rsid w:val="00CB4ADC"/>
    <w:rsid w:val="00CD0093"/>
    <w:rsid w:val="00CD1858"/>
    <w:rsid w:val="00CD5CB4"/>
    <w:rsid w:val="00CD66A4"/>
    <w:rsid w:val="00CE3701"/>
    <w:rsid w:val="00CF0F4F"/>
    <w:rsid w:val="00CF3668"/>
    <w:rsid w:val="00CF4111"/>
    <w:rsid w:val="00CF5BFD"/>
    <w:rsid w:val="00D0110A"/>
    <w:rsid w:val="00D04AE2"/>
    <w:rsid w:val="00D1030F"/>
    <w:rsid w:val="00D1126B"/>
    <w:rsid w:val="00D11A5C"/>
    <w:rsid w:val="00D20774"/>
    <w:rsid w:val="00D238B5"/>
    <w:rsid w:val="00D238EC"/>
    <w:rsid w:val="00D23F36"/>
    <w:rsid w:val="00D319AE"/>
    <w:rsid w:val="00D33EE8"/>
    <w:rsid w:val="00D35DAA"/>
    <w:rsid w:val="00D453FD"/>
    <w:rsid w:val="00D55937"/>
    <w:rsid w:val="00D56E07"/>
    <w:rsid w:val="00D57B2C"/>
    <w:rsid w:val="00D64BE0"/>
    <w:rsid w:val="00D6522D"/>
    <w:rsid w:val="00D743DD"/>
    <w:rsid w:val="00D74D2B"/>
    <w:rsid w:val="00D76723"/>
    <w:rsid w:val="00D77CE5"/>
    <w:rsid w:val="00D828C9"/>
    <w:rsid w:val="00D832AF"/>
    <w:rsid w:val="00D866F2"/>
    <w:rsid w:val="00D91910"/>
    <w:rsid w:val="00D91F7C"/>
    <w:rsid w:val="00D92B6C"/>
    <w:rsid w:val="00D93C90"/>
    <w:rsid w:val="00D95BB2"/>
    <w:rsid w:val="00DA3506"/>
    <w:rsid w:val="00DB1EBA"/>
    <w:rsid w:val="00DB6EF0"/>
    <w:rsid w:val="00DC1F16"/>
    <w:rsid w:val="00DC41C3"/>
    <w:rsid w:val="00DC43EE"/>
    <w:rsid w:val="00DE2708"/>
    <w:rsid w:val="00DE388C"/>
    <w:rsid w:val="00DF3BFB"/>
    <w:rsid w:val="00DF3CE9"/>
    <w:rsid w:val="00DF6342"/>
    <w:rsid w:val="00E07B22"/>
    <w:rsid w:val="00E14EB1"/>
    <w:rsid w:val="00E22EB4"/>
    <w:rsid w:val="00E24E34"/>
    <w:rsid w:val="00E311DD"/>
    <w:rsid w:val="00E31307"/>
    <w:rsid w:val="00E32597"/>
    <w:rsid w:val="00E3474F"/>
    <w:rsid w:val="00E34F4C"/>
    <w:rsid w:val="00E36C91"/>
    <w:rsid w:val="00E42099"/>
    <w:rsid w:val="00E4476D"/>
    <w:rsid w:val="00E54384"/>
    <w:rsid w:val="00E6178C"/>
    <w:rsid w:val="00E62D01"/>
    <w:rsid w:val="00E6414F"/>
    <w:rsid w:val="00E65ABF"/>
    <w:rsid w:val="00E72DBE"/>
    <w:rsid w:val="00E74871"/>
    <w:rsid w:val="00E748F4"/>
    <w:rsid w:val="00E75250"/>
    <w:rsid w:val="00E80805"/>
    <w:rsid w:val="00E82A18"/>
    <w:rsid w:val="00E83E9E"/>
    <w:rsid w:val="00E8618B"/>
    <w:rsid w:val="00E9434F"/>
    <w:rsid w:val="00EA40B7"/>
    <w:rsid w:val="00EA60C0"/>
    <w:rsid w:val="00EB0BF8"/>
    <w:rsid w:val="00EC4F6F"/>
    <w:rsid w:val="00ED6457"/>
    <w:rsid w:val="00EE1E14"/>
    <w:rsid w:val="00EE2894"/>
    <w:rsid w:val="00EE3A79"/>
    <w:rsid w:val="00EF2AD8"/>
    <w:rsid w:val="00EF5678"/>
    <w:rsid w:val="00EF6E08"/>
    <w:rsid w:val="00F02D6C"/>
    <w:rsid w:val="00F02E6F"/>
    <w:rsid w:val="00F04DD3"/>
    <w:rsid w:val="00F10000"/>
    <w:rsid w:val="00F17452"/>
    <w:rsid w:val="00F2372E"/>
    <w:rsid w:val="00F35723"/>
    <w:rsid w:val="00F360EA"/>
    <w:rsid w:val="00F40FF9"/>
    <w:rsid w:val="00F5657A"/>
    <w:rsid w:val="00F57A8E"/>
    <w:rsid w:val="00F57B4C"/>
    <w:rsid w:val="00F630AF"/>
    <w:rsid w:val="00F6354E"/>
    <w:rsid w:val="00F672C2"/>
    <w:rsid w:val="00F716ED"/>
    <w:rsid w:val="00F7208F"/>
    <w:rsid w:val="00F77117"/>
    <w:rsid w:val="00F80986"/>
    <w:rsid w:val="00F81175"/>
    <w:rsid w:val="00F81626"/>
    <w:rsid w:val="00F976BE"/>
    <w:rsid w:val="00FA0500"/>
    <w:rsid w:val="00FA06D0"/>
    <w:rsid w:val="00FB6AC1"/>
    <w:rsid w:val="00FB7275"/>
    <w:rsid w:val="00FC5F57"/>
    <w:rsid w:val="00FC66F6"/>
    <w:rsid w:val="00FD6814"/>
    <w:rsid w:val="00FE5B0A"/>
    <w:rsid w:val="00FF4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537"/>
    <w:pPr>
      <w:widowControl w:val="0"/>
    </w:pPr>
    <w:rPr>
      <w:sz w:val="22"/>
      <w:lang w:eastAsia="en-US"/>
    </w:rPr>
  </w:style>
  <w:style w:type="paragraph" w:styleId="1">
    <w:name w:val="heading 1"/>
    <w:basedOn w:val="a"/>
    <w:next w:val="a"/>
    <w:qFormat/>
    <w:rsid w:val="004D6537"/>
    <w:pPr>
      <w:keepNext/>
      <w:jc w:val="center"/>
      <w:outlineLvl w:val="0"/>
    </w:pPr>
    <w:rPr>
      <w:b/>
    </w:rPr>
  </w:style>
  <w:style w:type="paragraph" w:styleId="2">
    <w:name w:val="heading 2"/>
    <w:basedOn w:val="a"/>
    <w:next w:val="a"/>
    <w:qFormat/>
    <w:rsid w:val="004D6537"/>
    <w:pPr>
      <w:keepNext/>
      <w:outlineLvl w:val="1"/>
    </w:pPr>
    <w:rPr>
      <w:b/>
    </w:rPr>
  </w:style>
  <w:style w:type="paragraph" w:styleId="6">
    <w:name w:val="heading 6"/>
    <w:basedOn w:val="a"/>
    <w:next w:val="a"/>
    <w:qFormat/>
    <w:rsid w:val="004D6537"/>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4D6537"/>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6537"/>
    <w:pPr>
      <w:tabs>
        <w:tab w:val="center" w:pos="4153"/>
        <w:tab w:val="right" w:pos="8306"/>
      </w:tabs>
    </w:pPr>
  </w:style>
  <w:style w:type="paragraph" w:styleId="a4">
    <w:name w:val="footer"/>
    <w:basedOn w:val="a"/>
    <w:rsid w:val="004D6537"/>
    <w:pPr>
      <w:tabs>
        <w:tab w:val="center" w:pos="4153"/>
        <w:tab w:val="right" w:pos="8306"/>
      </w:tabs>
    </w:pPr>
  </w:style>
  <w:style w:type="character" w:styleId="a5">
    <w:name w:val="page number"/>
    <w:basedOn w:val="a0"/>
    <w:rsid w:val="004D6537"/>
  </w:style>
  <w:style w:type="character" w:styleId="-">
    <w:name w:val="Hyperlink"/>
    <w:uiPriority w:val="99"/>
    <w:rsid w:val="004D6537"/>
    <w:rPr>
      <w:color w:val="0000FF"/>
      <w:u w:val="single"/>
    </w:rPr>
  </w:style>
  <w:style w:type="paragraph" w:styleId="a6">
    <w:name w:val="Body Text"/>
    <w:basedOn w:val="a"/>
    <w:rsid w:val="004D6537"/>
    <w:pPr>
      <w:jc w:val="center"/>
    </w:pPr>
  </w:style>
  <w:style w:type="paragraph" w:styleId="20">
    <w:name w:val="Body Text 2"/>
    <w:basedOn w:val="a"/>
    <w:rsid w:val="004D6537"/>
    <w:rPr>
      <w:color w:val="FF0000"/>
    </w:rPr>
  </w:style>
  <w:style w:type="paragraph" w:customStyle="1" w:styleId="EMEAEnBodyText">
    <w:name w:val="EMEA En Body Text"/>
    <w:basedOn w:val="a"/>
    <w:rsid w:val="004D6537"/>
    <w:pPr>
      <w:widowControl/>
      <w:spacing w:before="120" w:after="120"/>
      <w:jc w:val="both"/>
    </w:pPr>
    <w:rPr>
      <w:lang w:val="en-US"/>
    </w:rPr>
  </w:style>
  <w:style w:type="paragraph" w:styleId="a7">
    <w:name w:val="Balloon Text"/>
    <w:basedOn w:val="a"/>
    <w:semiHidden/>
    <w:rsid w:val="004D6537"/>
    <w:rPr>
      <w:rFonts w:ascii="Tahoma" w:hAnsi="Tahoma" w:cs="Tahoma"/>
      <w:sz w:val="16"/>
      <w:szCs w:val="16"/>
    </w:rPr>
  </w:style>
  <w:style w:type="character" w:styleId="-0">
    <w:name w:val="FollowedHyperlink"/>
    <w:rsid w:val="00056716"/>
    <w:rPr>
      <w:color w:val="800080"/>
      <w:u w:val="single"/>
    </w:rPr>
  </w:style>
  <w:style w:type="paragraph" w:styleId="Web">
    <w:name w:val="Normal (Web)"/>
    <w:basedOn w:val="a"/>
    <w:rsid w:val="0034737C"/>
    <w:pPr>
      <w:widowControl/>
      <w:spacing w:before="100" w:beforeAutospacing="1" w:after="63"/>
    </w:pPr>
    <w:rPr>
      <w:color w:val="000000"/>
      <w:sz w:val="24"/>
      <w:szCs w:val="24"/>
      <w:lang w:eastAsia="el-GR"/>
    </w:rPr>
  </w:style>
  <w:style w:type="paragraph" w:customStyle="1" w:styleId="CM17">
    <w:name w:val="CM17"/>
    <w:basedOn w:val="a"/>
    <w:next w:val="a"/>
    <w:uiPriority w:val="99"/>
    <w:rsid w:val="00B160D0"/>
    <w:pPr>
      <w:autoSpaceDE w:val="0"/>
      <w:autoSpaceDN w:val="0"/>
      <w:adjustRightInd w:val="0"/>
      <w:spacing w:after="255"/>
    </w:pPr>
    <w:rPr>
      <w:sz w:val="24"/>
      <w:szCs w:val="24"/>
      <w:lang w:eastAsia="el-GR"/>
    </w:rPr>
  </w:style>
  <w:style w:type="paragraph" w:customStyle="1" w:styleId="CM3">
    <w:name w:val="CM3"/>
    <w:basedOn w:val="a"/>
    <w:next w:val="a"/>
    <w:uiPriority w:val="99"/>
    <w:rsid w:val="00B160D0"/>
    <w:pPr>
      <w:autoSpaceDE w:val="0"/>
      <w:autoSpaceDN w:val="0"/>
      <w:adjustRightInd w:val="0"/>
      <w:spacing w:line="253" w:lineRule="atLeast"/>
    </w:pPr>
    <w:rPr>
      <w:sz w:val="24"/>
      <w:szCs w:val="24"/>
      <w:lang w:eastAsia="el-GR"/>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of.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3534</Words>
  <Characters>19088</Characters>
  <Application>Microsoft Office Word</Application>
  <DocSecurity>0</DocSecurity>
  <Lines>159</Lines>
  <Paragraphs>45</Paragraphs>
  <ScaleCrop>false</ScaleCrop>
  <Company/>
  <LinksUpToDate>false</LinksUpToDate>
  <CharactersWithSpaces>22577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User196</dc:creator>
  <cp:lastModifiedBy>user146</cp:lastModifiedBy>
  <cp:revision>4</cp:revision>
  <cp:lastPrinted>2014-06-20T07:50:00Z</cp:lastPrinted>
  <dcterms:created xsi:type="dcterms:W3CDTF">2014-12-08T06:06:00Z</dcterms:created>
  <dcterms:modified xsi:type="dcterms:W3CDTF">2014-12-08T06:07:00Z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CURRENT,1.0</vt:lpwstr>
  </property>
  <property fmtid="{D5CDD505-2E9C-101B-9397-08002B2CF9AE}" pid="31" name="DM_Name">
    <vt:lpwstr>Hreferralspccleanel</vt:lpwstr>
  </property>
  <property fmtid="{D5CDD505-2E9C-101B-9397-08002B2CF9AE}" pid="32" name="DM_Creation_Date">
    <vt:lpwstr>04/04/2013 15:51:28</vt:lpwstr>
  </property>
  <property fmtid="{D5CDD505-2E9C-101B-9397-08002B2CF9AE}" pid="33" name="DM_Modify_Date">
    <vt:lpwstr>04/04/2013 15:51:28</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EMA/213318/2013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EMA/213318/2013</vt:lpwstr>
  </property>
  <property fmtid="{D5CDD505-2E9C-101B-9397-08002B2CF9AE}" pid="41" name="DM_Modifer_Name">
    <vt:lpwstr>Horemans Karina</vt:lpwstr>
  </property>
  <property fmtid="{D5CDD505-2E9C-101B-9397-08002B2CF9AE}" pid="42" name="DM_Modified_Date">
    <vt:lpwstr>04/04/2013 15:51:28</vt:lpwstr>
  </property>
</Properties>
</file>