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AF" w:rsidRDefault="006351AF" w:rsidP="006351AF">
      <w:pPr>
        <w:pStyle w:val="Default"/>
      </w:pPr>
    </w:p>
    <w:p w:rsidR="006351AF" w:rsidRDefault="006351AF" w:rsidP="006351AF">
      <w:pPr>
        <w:pStyle w:val="Default"/>
        <w:rPr>
          <w:sz w:val="22"/>
          <w:szCs w:val="22"/>
        </w:rPr>
      </w:pPr>
      <w:r>
        <w:t xml:space="preserve"> </w:t>
      </w:r>
      <w:r>
        <w:rPr>
          <w:b/>
          <w:bCs/>
          <w:sz w:val="22"/>
          <w:szCs w:val="22"/>
        </w:rPr>
        <w:t xml:space="preserve">ΗΜΕΡΑ 205 – ΠΕΡΙΛΗΨΗ ΤΩΝ ΧΑΡΑΚΤΗΡΙΣΤΙΚΏΝ ΤΟΥ ΠΡΟΪΟΝΤΟΣ </w:t>
      </w:r>
    </w:p>
    <w:p w:rsidR="006351AF" w:rsidRPr="00983AB3" w:rsidRDefault="006351AF" w:rsidP="006351AF">
      <w:pPr>
        <w:pStyle w:val="Default"/>
        <w:rPr>
          <w:b/>
          <w:bCs/>
          <w:sz w:val="22"/>
          <w:szCs w:val="22"/>
        </w:rPr>
      </w:pPr>
      <w:r>
        <w:rPr>
          <w:b/>
          <w:bCs/>
          <w:sz w:val="22"/>
          <w:szCs w:val="22"/>
        </w:rPr>
        <w:t xml:space="preserve">(DK/H/1513/001-002; DK/H/1514/001-002) </w:t>
      </w:r>
    </w:p>
    <w:p w:rsidR="006351AF" w:rsidRPr="00983AB3" w:rsidRDefault="006351AF" w:rsidP="006351AF">
      <w:pPr>
        <w:pStyle w:val="Default"/>
        <w:rPr>
          <w:sz w:val="22"/>
          <w:szCs w:val="22"/>
        </w:rPr>
      </w:pPr>
    </w:p>
    <w:p w:rsidR="006351AF" w:rsidRDefault="006351AF" w:rsidP="006351AF">
      <w:pPr>
        <w:pStyle w:val="Default"/>
        <w:rPr>
          <w:sz w:val="22"/>
          <w:szCs w:val="22"/>
        </w:rPr>
      </w:pPr>
      <w:r>
        <w:rPr>
          <w:b/>
          <w:bCs/>
          <w:sz w:val="22"/>
          <w:szCs w:val="22"/>
        </w:rPr>
        <w:t xml:space="preserve">1. ΟΝΟΜΑΣΙΑ ΤΟΥ ΦΑΡΜΑΚΕΥΤΙΚΟΥ ΠΡΟΪΟΝΤΟΣ </w:t>
      </w:r>
    </w:p>
    <w:p w:rsidR="006351AF" w:rsidRDefault="006351AF" w:rsidP="006351AF">
      <w:pPr>
        <w:pStyle w:val="Default"/>
        <w:rPr>
          <w:sz w:val="22"/>
          <w:szCs w:val="22"/>
        </w:rPr>
      </w:pPr>
    </w:p>
    <w:p w:rsidR="006351AF" w:rsidRDefault="006351AF" w:rsidP="006351AF">
      <w:pPr>
        <w:pStyle w:val="Default"/>
        <w:rPr>
          <w:sz w:val="22"/>
          <w:szCs w:val="22"/>
        </w:rPr>
      </w:pPr>
      <w:r>
        <w:rPr>
          <w:sz w:val="22"/>
          <w:szCs w:val="22"/>
        </w:rPr>
        <w:t xml:space="preserve">RABEREN /IASIS 10 </w:t>
      </w:r>
      <w:proofErr w:type="spellStart"/>
      <w:r>
        <w:rPr>
          <w:sz w:val="22"/>
          <w:szCs w:val="22"/>
        </w:rPr>
        <w:t>mg</w:t>
      </w:r>
      <w:proofErr w:type="spellEnd"/>
      <w:r>
        <w:rPr>
          <w:sz w:val="22"/>
          <w:szCs w:val="22"/>
        </w:rPr>
        <w:t xml:space="preserve"> </w:t>
      </w:r>
      <w:proofErr w:type="spellStart"/>
      <w:r>
        <w:rPr>
          <w:sz w:val="22"/>
          <w:szCs w:val="22"/>
        </w:rPr>
        <w:t>γαστροανθεκτικά</w:t>
      </w:r>
      <w:proofErr w:type="spellEnd"/>
      <w:r>
        <w:rPr>
          <w:sz w:val="22"/>
          <w:szCs w:val="22"/>
        </w:rPr>
        <w:t xml:space="preserve"> δισκία </w:t>
      </w:r>
    </w:p>
    <w:p w:rsidR="006351AF" w:rsidRPr="00983AB3" w:rsidRDefault="006351AF" w:rsidP="006351AF">
      <w:pPr>
        <w:pStyle w:val="Default"/>
        <w:rPr>
          <w:sz w:val="22"/>
          <w:szCs w:val="22"/>
        </w:rPr>
      </w:pPr>
      <w:r>
        <w:rPr>
          <w:sz w:val="22"/>
          <w:szCs w:val="22"/>
        </w:rPr>
        <w:t xml:space="preserve">RABEREN /IASIS 20 </w:t>
      </w:r>
      <w:proofErr w:type="spellStart"/>
      <w:r>
        <w:rPr>
          <w:sz w:val="22"/>
          <w:szCs w:val="22"/>
        </w:rPr>
        <w:t>mg</w:t>
      </w:r>
      <w:proofErr w:type="spellEnd"/>
      <w:r>
        <w:rPr>
          <w:sz w:val="22"/>
          <w:szCs w:val="22"/>
        </w:rPr>
        <w:t xml:space="preserve"> </w:t>
      </w:r>
      <w:proofErr w:type="spellStart"/>
      <w:r>
        <w:rPr>
          <w:sz w:val="22"/>
          <w:szCs w:val="22"/>
        </w:rPr>
        <w:t>γαστροανθεκτικά</w:t>
      </w:r>
      <w:proofErr w:type="spellEnd"/>
      <w:r>
        <w:rPr>
          <w:sz w:val="22"/>
          <w:szCs w:val="22"/>
        </w:rPr>
        <w:t xml:space="preserve"> δισκία </w:t>
      </w:r>
    </w:p>
    <w:p w:rsidR="006351AF" w:rsidRPr="00983AB3" w:rsidRDefault="006351AF" w:rsidP="006351AF">
      <w:pPr>
        <w:pStyle w:val="Default"/>
        <w:rPr>
          <w:sz w:val="22"/>
          <w:szCs w:val="22"/>
        </w:rPr>
      </w:pPr>
    </w:p>
    <w:p w:rsidR="006351AF" w:rsidRDefault="006351AF" w:rsidP="006351AF">
      <w:pPr>
        <w:pStyle w:val="Default"/>
        <w:rPr>
          <w:sz w:val="22"/>
          <w:szCs w:val="22"/>
        </w:rPr>
      </w:pPr>
      <w:r>
        <w:rPr>
          <w:b/>
          <w:bCs/>
          <w:sz w:val="22"/>
          <w:szCs w:val="22"/>
        </w:rPr>
        <w:t xml:space="preserve">2. ΠΟΙΟΤΙΚΗ ΚΑΙ ΠΟΣΟΤΙΚΗ ΣΥΝΘΕΣΗ </w:t>
      </w:r>
    </w:p>
    <w:p w:rsidR="006351AF" w:rsidRDefault="006351AF" w:rsidP="006351AF">
      <w:pPr>
        <w:pStyle w:val="Default"/>
        <w:rPr>
          <w:sz w:val="22"/>
          <w:szCs w:val="22"/>
        </w:rPr>
      </w:pPr>
      <w:r>
        <w:rPr>
          <w:sz w:val="22"/>
          <w:szCs w:val="22"/>
        </w:rPr>
        <w:t xml:space="preserve">RABEREN /IASIS 10 </w:t>
      </w:r>
      <w:proofErr w:type="spellStart"/>
      <w:r>
        <w:rPr>
          <w:sz w:val="22"/>
          <w:szCs w:val="22"/>
        </w:rPr>
        <w:t>mg</w:t>
      </w:r>
      <w:proofErr w:type="spellEnd"/>
      <w:r>
        <w:rPr>
          <w:sz w:val="22"/>
          <w:szCs w:val="22"/>
        </w:rPr>
        <w:t xml:space="preserve"> </w:t>
      </w:r>
      <w:proofErr w:type="spellStart"/>
      <w:r>
        <w:rPr>
          <w:sz w:val="22"/>
          <w:szCs w:val="22"/>
        </w:rPr>
        <w:t>γαστροανθεκτικά</w:t>
      </w:r>
      <w:proofErr w:type="spellEnd"/>
      <w:r>
        <w:rPr>
          <w:sz w:val="22"/>
          <w:szCs w:val="22"/>
        </w:rPr>
        <w:t xml:space="preserve"> δισκία: Κάθε </w:t>
      </w:r>
      <w:proofErr w:type="spellStart"/>
      <w:r>
        <w:rPr>
          <w:sz w:val="22"/>
          <w:szCs w:val="22"/>
        </w:rPr>
        <w:t>γαστροανθεκτικό</w:t>
      </w:r>
      <w:proofErr w:type="spellEnd"/>
      <w:r>
        <w:rPr>
          <w:sz w:val="22"/>
          <w:szCs w:val="22"/>
        </w:rPr>
        <w:t xml:space="preserve"> δισκίο περιέχει 10 </w:t>
      </w:r>
      <w:proofErr w:type="spellStart"/>
      <w:r>
        <w:rPr>
          <w:sz w:val="22"/>
          <w:szCs w:val="22"/>
        </w:rPr>
        <w:t>mg</w:t>
      </w:r>
      <w:proofErr w:type="spellEnd"/>
      <w:r>
        <w:rPr>
          <w:sz w:val="22"/>
          <w:szCs w:val="22"/>
        </w:rPr>
        <w:t xml:space="preserve"> νατριούχο </w:t>
      </w:r>
      <w:proofErr w:type="spellStart"/>
      <w:r>
        <w:rPr>
          <w:sz w:val="22"/>
          <w:szCs w:val="22"/>
        </w:rPr>
        <w:t>ραβεπραζόλη</w:t>
      </w:r>
      <w:proofErr w:type="spellEnd"/>
      <w:r>
        <w:rPr>
          <w:sz w:val="22"/>
          <w:szCs w:val="22"/>
        </w:rPr>
        <w:t xml:space="preserve">, ισοδύναμη με 9,42 </w:t>
      </w:r>
      <w:proofErr w:type="spellStart"/>
      <w:r>
        <w:rPr>
          <w:sz w:val="22"/>
          <w:szCs w:val="22"/>
        </w:rPr>
        <w:t>mg</w:t>
      </w:r>
      <w:proofErr w:type="spellEnd"/>
      <w:r>
        <w:rPr>
          <w:sz w:val="22"/>
          <w:szCs w:val="22"/>
        </w:rPr>
        <w:t xml:space="preserve"> </w:t>
      </w:r>
      <w:proofErr w:type="spellStart"/>
      <w:r>
        <w:rPr>
          <w:sz w:val="22"/>
          <w:szCs w:val="22"/>
        </w:rPr>
        <w:t>ραβεπραζόλης</w:t>
      </w:r>
      <w:proofErr w:type="spellEnd"/>
      <w:r>
        <w:rPr>
          <w:sz w:val="22"/>
          <w:szCs w:val="22"/>
        </w:rPr>
        <w:t xml:space="preserve">. </w:t>
      </w:r>
    </w:p>
    <w:p w:rsidR="006351AF" w:rsidRDefault="006351AF" w:rsidP="006351AF">
      <w:pPr>
        <w:pStyle w:val="Default"/>
        <w:rPr>
          <w:sz w:val="22"/>
          <w:szCs w:val="22"/>
        </w:rPr>
      </w:pPr>
      <w:r>
        <w:rPr>
          <w:sz w:val="22"/>
          <w:szCs w:val="22"/>
        </w:rPr>
        <w:t xml:space="preserve">RABEREN /IASIS 20 </w:t>
      </w:r>
      <w:proofErr w:type="spellStart"/>
      <w:r>
        <w:rPr>
          <w:sz w:val="22"/>
          <w:szCs w:val="22"/>
        </w:rPr>
        <w:t>mg</w:t>
      </w:r>
      <w:proofErr w:type="spellEnd"/>
      <w:r>
        <w:rPr>
          <w:sz w:val="22"/>
          <w:szCs w:val="22"/>
        </w:rPr>
        <w:t xml:space="preserve"> </w:t>
      </w:r>
      <w:proofErr w:type="spellStart"/>
      <w:r>
        <w:rPr>
          <w:sz w:val="22"/>
          <w:szCs w:val="22"/>
        </w:rPr>
        <w:t>γαστροανθεκτικά</w:t>
      </w:r>
      <w:proofErr w:type="spellEnd"/>
      <w:r>
        <w:rPr>
          <w:sz w:val="22"/>
          <w:szCs w:val="22"/>
        </w:rPr>
        <w:t xml:space="preserve"> δισκία : Κάθε </w:t>
      </w:r>
      <w:proofErr w:type="spellStart"/>
      <w:r>
        <w:rPr>
          <w:sz w:val="22"/>
          <w:szCs w:val="22"/>
        </w:rPr>
        <w:t>γαστροανθεκτικό</w:t>
      </w:r>
      <w:proofErr w:type="spellEnd"/>
      <w:r>
        <w:rPr>
          <w:sz w:val="22"/>
          <w:szCs w:val="22"/>
        </w:rPr>
        <w:t xml:space="preserve"> δισκίο περιέχει 20 </w:t>
      </w:r>
      <w:proofErr w:type="spellStart"/>
      <w:r>
        <w:rPr>
          <w:sz w:val="22"/>
          <w:szCs w:val="22"/>
        </w:rPr>
        <w:t>mg</w:t>
      </w:r>
      <w:proofErr w:type="spellEnd"/>
      <w:r>
        <w:rPr>
          <w:sz w:val="22"/>
          <w:szCs w:val="22"/>
        </w:rPr>
        <w:t xml:space="preserve"> νατριούχο </w:t>
      </w:r>
      <w:proofErr w:type="spellStart"/>
      <w:r>
        <w:rPr>
          <w:sz w:val="22"/>
          <w:szCs w:val="22"/>
        </w:rPr>
        <w:t>ραβεπραζόλη</w:t>
      </w:r>
      <w:proofErr w:type="spellEnd"/>
      <w:r>
        <w:rPr>
          <w:sz w:val="22"/>
          <w:szCs w:val="22"/>
        </w:rPr>
        <w:t xml:space="preserve">, ισοδύναμη με 18,85 </w:t>
      </w:r>
      <w:proofErr w:type="spellStart"/>
      <w:r>
        <w:rPr>
          <w:sz w:val="22"/>
          <w:szCs w:val="22"/>
        </w:rPr>
        <w:t>mg</w:t>
      </w:r>
      <w:proofErr w:type="spellEnd"/>
      <w:r>
        <w:rPr>
          <w:sz w:val="22"/>
          <w:szCs w:val="22"/>
        </w:rPr>
        <w:t xml:space="preserve"> </w:t>
      </w:r>
      <w:proofErr w:type="spellStart"/>
      <w:r>
        <w:rPr>
          <w:sz w:val="22"/>
          <w:szCs w:val="22"/>
        </w:rPr>
        <w:t>ραβεπραζόλης</w:t>
      </w:r>
      <w:proofErr w:type="spellEnd"/>
      <w:r>
        <w:rPr>
          <w:sz w:val="22"/>
          <w:szCs w:val="22"/>
        </w:rPr>
        <w:t xml:space="preserve">. </w:t>
      </w:r>
    </w:p>
    <w:p w:rsidR="006351AF" w:rsidRPr="00983AB3" w:rsidRDefault="006351AF" w:rsidP="006351AF">
      <w:pPr>
        <w:pStyle w:val="Default"/>
        <w:rPr>
          <w:sz w:val="22"/>
          <w:szCs w:val="22"/>
        </w:rPr>
      </w:pPr>
      <w:r>
        <w:rPr>
          <w:sz w:val="22"/>
          <w:szCs w:val="22"/>
        </w:rPr>
        <w:t xml:space="preserve">Για τον πλήρη κατάλογο των εκδόχων, βλ. παράγραφο 6.1 </w:t>
      </w:r>
    </w:p>
    <w:p w:rsidR="006351AF" w:rsidRPr="00983AB3" w:rsidRDefault="006351AF" w:rsidP="006351AF">
      <w:pPr>
        <w:pStyle w:val="Default"/>
        <w:rPr>
          <w:sz w:val="22"/>
          <w:szCs w:val="22"/>
        </w:rPr>
      </w:pPr>
    </w:p>
    <w:p w:rsidR="006351AF" w:rsidRDefault="006351AF" w:rsidP="006351AF">
      <w:pPr>
        <w:pStyle w:val="Default"/>
        <w:rPr>
          <w:sz w:val="22"/>
          <w:szCs w:val="22"/>
        </w:rPr>
      </w:pPr>
      <w:r>
        <w:rPr>
          <w:b/>
          <w:bCs/>
          <w:sz w:val="22"/>
          <w:szCs w:val="22"/>
        </w:rPr>
        <w:t xml:space="preserve">3. ΦΑΡΜΑΚΟΤΕΧΝΙΚΗ ΜΟΡΦΗ </w:t>
      </w:r>
    </w:p>
    <w:p w:rsidR="006351AF" w:rsidRDefault="006351AF" w:rsidP="006351AF">
      <w:pPr>
        <w:pStyle w:val="Default"/>
        <w:rPr>
          <w:sz w:val="22"/>
          <w:szCs w:val="22"/>
        </w:rPr>
      </w:pPr>
      <w:proofErr w:type="spellStart"/>
      <w:r>
        <w:rPr>
          <w:sz w:val="22"/>
          <w:szCs w:val="22"/>
        </w:rPr>
        <w:t>Γαστροανθεκτικό</w:t>
      </w:r>
      <w:proofErr w:type="spellEnd"/>
      <w:r>
        <w:rPr>
          <w:sz w:val="22"/>
          <w:szCs w:val="22"/>
        </w:rPr>
        <w:t xml:space="preserve"> δισκίο. </w:t>
      </w:r>
    </w:p>
    <w:p w:rsidR="006351AF" w:rsidRDefault="006351AF" w:rsidP="006351AF">
      <w:pPr>
        <w:pStyle w:val="Default"/>
        <w:rPr>
          <w:sz w:val="22"/>
          <w:szCs w:val="22"/>
        </w:rPr>
      </w:pPr>
      <w:r>
        <w:rPr>
          <w:sz w:val="22"/>
          <w:szCs w:val="22"/>
        </w:rPr>
        <w:t xml:space="preserve">RABEREN /IASIS 10 </w:t>
      </w:r>
      <w:proofErr w:type="spellStart"/>
      <w:r>
        <w:rPr>
          <w:sz w:val="22"/>
          <w:szCs w:val="22"/>
        </w:rPr>
        <w:t>mg</w:t>
      </w:r>
      <w:proofErr w:type="spellEnd"/>
      <w:r>
        <w:rPr>
          <w:sz w:val="22"/>
          <w:szCs w:val="22"/>
        </w:rPr>
        <w:t xml:space="preserve"> </w:t>
      </w:r>
      <w:proofErr w:type="spellStart"/>
      <w:r>
        <w:rPr>
          <w:sz w:val="22"/>
          <w:szCs w:val="22"/>
        </w:rPr>
        <w:t>γαστροανθεκτικά</w:t>
      </w:r>
      <w:proofErr w:type="spellEnd"/>
      <w:r>
        <w:rPr>
          <w:sz w:val="22"/>
          <w:szCs w:val="22"/>
        </w:rPr>
        <w:t xml:space="preserve"> δισκία: Ροζ, επικαλυμμένο με λεπτό </w:t>
      </w:r>
      <w:proofErr w:type="spellStart"/>
      <w:r>
        <w:rPr>
          <w:sz w:val="22"/>
          <w:szCs w:val="22"/>
        </w:rPr>
        <w:t>υμένιο</w:t>
      </w:r>
      <w:proofErr w:type="spellEnd"/>
      <w:r>
        <w:rPr>
          <w:sz w:val="22"/>
          <w:szCs w:val="22"/>
        </w:rPr>
        <w:t xml:space="preserve">, αμφίκυρτο δισκίο. </w:t>
      </w:r>
    </w:p>
    <w:p w:rsidR="006351AF" w:rsidRPr="006351AF" w:rsidRDefault="006351AF" w:rsidP="006351AF">
      <w:pPr>
        <w:pStyle w:val="Default"/>
        <w:rPr>
          <w:sz w:val="22"/>
          <w:szCs w:val="22"/>
        </w:rPr>
      </w:pPr>
      <w:r>
        <w:rPr>
          <w:sz w:val="22"/>
          <w:szCs w:val="22"/>
        </w:rPr>
        <w:t xml:space="preserve">RABEREN /IASIS 20 </w:t>
      </w:r>
      <w:proofErr w:type="spellStart"/>
      <w:r>
        <w:rPr>
          <w:sz w:val="22"/>
          <w:szCs w:val="22"/>
        </w:rPr>
        <w:t>mg</w:t>
      </w:r>
      <w:proofErr w:type="spellEnd"/>
      <w:r>
        <w:rPr>
          <w:sz w:val="22"/>
          <w:szCs w:val="22"/>
        </w:rPr>
        <w:t xml:space="preserve"> </w:t>
      </w:r>
      <w:proofErr w:type="spellStart"/>
      <w:r>
        <w:rPr>
          <w:sz w:val="22"/>
          <w:szCs w:val="22"/>
        </w:rPr>
        <w:t>γαστροανθεκτικά</w:t>
      </w:r>
      <w:proofErr w:type="spellEnd"/>
      <w:r>
        <w:rPr>
          <w:sz w:val="22"/>
          <w:szCs w:val="22"/>
        </w:rPr>
        <w:t xml:space="preserve"> δισκία: Κίτρινο, επικαλυμμένο με λεπτό </w:t>
      </w:r>
      <w:proofErr w:type="spellStart"/>
      <w:r>
        <w:rPr>
          <w:sz w:val="22"/>
          <w:szCs w:val="22"/>
        </w:rPr>
        <w:t>υμένιο</w:t>
      </w:r>
      <w:proofErr w:type="spellEnd"/>
      <w:r>
        <w:rPr>
          <w:sz w:val="22"/>
          <w:szCs w:val="22"/>
        </w:rPr>
        <w:t xml:space="preserve">, αμφίκυρτο δισκίο. </w:t>
      </w:r>
    </w:p>
    <w:p w:rsidR="006351AF" w:rsidRPr="006351AF" w:rsidRDefault="006351AF" w:rsidP="006351AF">
      <w:pPr>
        <w:pStyle w:val="Default"/>
        <w:rPr>
          <w:sz w:val="22"/>
          <w:szCs w:val="22"/>
        </w:rPr>
      </w:pPr>
    </w:p>
    <w:p w:rsidR="006351AF" w:rsidRDefault="006351AF" w:rsidP="006351AF">
      <w:pPr>
        <w:pStyle w:val="Default"/>
        <w:rPr>
          <w:sz w:val="22"/>
          <w:szCs w:val="22"/>
        </w:rPr>
      </w:pPr>
      <w:r>
        <w:rPr>
          <w:b/>
          <w:bCs/>
          <w:sz w:val="22"/>
          <w:szCs w:val="22"/>
        </w:rPr>
        <w:t xml:space="preserve">4. ΚΛΙΝΙΚΕΣ ΠΛΗΡΟΦΟΡΙΕΣ </w:t>
      </w:r>
    </w:p>
    <w:p w:rsidR="006351AF" w:rsidRDefault="006351AF" w:rsidP="006351AF">
      <w:pPr>
        <w:pStyle w:val="Default"/>
        <w:rPr>
          <w:sz w:val="22"/>
          <w:szCs w:val="22"/>
        </w:rPr>
      </w:pPr>
      <w:r>
        <w:rPr>
          <w:b/>
          <w:bCs/>
          <w:sz w:val="22"/>
          <w:szCs w:val="22"/>
        </w:rPr>
        <w:t xml:space="preserve">4.1 Θεραπευτικές ενδείξεις </w:t>
      </w:r>
    </w:p>
    <w:p w:rsidR="006351AF" w:rsidRDefault="006351AF" w:rsidP="006351AF">
      <w:pPr>
        <w:pStyle w:val="Default"/>
        <w:rPr>
          <w:sz w:val="22"/>
          <w:szCs w:val="22"/>
        </w:rPr>
      </w:pPr>
      <w:r>
        <w:rPr>
          <w:sz w:val="22"/>
          <w:szCs w:val="22"/>
        </w:rPr>
        <w:t xml:space="preserve">Τα RABEREN /IASIS γαστροανθεκτικά δισκία ενδείκνυνται για θεραπεία: </w:t>
      </w:r>
    </w:p>
    <w:p w:rsidR="006351AF" w:rsidRDefault="006351AF" w:rsidP="006351AF">
      <w:pPr>
        <w:pStyle w:val="Default"/>
        <w:spacing w:after="27"/>
        <w:rPr>
          <w:sz w:val="22"/>
          <w:szCs w:val="22"/>
        </w:rPr>
      </w:pPr>
      <w:r>
        <w:rPr>
          <w:sz w:val="22"/>
          <w:szCs w:val="22"/>
        </w:rPr>
        <w:t xml:space="preserve"> Ενεργό έλκος δωδεκαδαχτύλου </w:t>
      </w:r>
    </w:p>
    <w:p w:rsidR="006351AF" w:rsidRDefault="006351AF" w:rsidP="006351AF">
      <w:pPr>
        <w:pStyle w:val="Default"/>
        <w:spacing w:after="27"/>
        <w:rPr>
          <w:sz w:val="22"/>
          <w:szCs w:val="22"/>
        </w:rPr>
      </w:pPr>
      <w:r>
        <w:rPr>
          <w:sz w:val="22"/>
          <w:szCs w:val="22"/>
        </w:rPr>
        <w:t xml:space="preserve"> Ενεργό καλοήθες γαστρικό έλκος </w:t>
      </w:r>
    </w:p>
    <w:p w:rsidR="006351AF" w:rsidRDefault="006351AF" w:rsidP="006351AF">
      <w:pPr>
        <w:pStyle w:val="Default"/>
        <w:spacing w:after="27"/>
        <w:rPr>
          <w:sz w:val="22"/>
          <w:szCs w:val="22"/>
        </w:rPr>
      </w:pPr>
      <w:r>
        <w:rPr>
          <w:sz w:val="22"/>
          <w:szCs w:val="22"/>
        </w:rPr>
        <w:t xml:space="preserve"> Συμπτωματική διαβρωτική ή ελκώδη νόσο </w:t>
      </w:r>
      <w:proofErr w:type="spellStart"/>
      <w:r>
        <w:rPr>
          <w:sz w:val="22"/>
          <w:szCs w:val="22"/>
        </w:rPr>
        <w:t>γαστρο</w:t>
      </w:r>
      <w:proofErr w:type="spellEnd"/>
      <w:r>
        <w:rPr>
          <w:sz w:val="22"/>
          <w:szCs w:val="22"/>
        </w:rPr>
        <w:t xml:space="preserve">-οισοφαγικής παλινδρόμησης (GORD). </w:t>
      </w:r>
    </w:p>
    <w:p w:rsidR="006351AF" w:rsidRDefault="006351AF" w:rsidP="006351AF">
      <w:pPr>
        <w:pStyle w:val="Default"/>
        <w:spacing w:after="27"/>
        <w:rPr>
          <w:sz w:val="22"/>
          <w:szCs w:val="22"/>
        </w:rPr>
      </w:pPr>
      <w:r>
        <w:rPr>
          <w:sz w:val="22"/>
          <w:szCs w:val="22"/>
        </w:rPr>
        <w:t xml:space="preserve"> Νόσο </w:t>
      </w:r>
      <w:proofErr w:type="spellStart"/>
      <w:r>
        <w:rPr>
          <w:sz w:val="22"/>
          <w:szCs w:val="22"/>
        </w:rPr>
        <w:t>γαστρο</w:t>
      </w:r>
      <w:proofErr w:type="spellEnd"/>
      <w:r>
        <w:rPr>
          <w:sz w:val="22"/>
          <w:szCs w:val="22"/>
        </w:rPr>
        <w:t xml:space="preserve">-οισοφαγικής παλινδρόμησης, μακροχρόνια αγωγή (θεραπεία συντήρησης GORD) </w:t>
      </w:r>
    </w:p>
    <w:p w:rsidR="006351AF" w:rsidRDefault="006351AF" w:rsidP="006351AF">
      <w:pPr>
        <w:pStyle w:val="Default"/>
        <w:spacing w:after="27"/>
        <w:rPr>
          <w:sz w:val="22"/>
          <w:szCs w:val="22"/>
        </w:rPr>
      </w:pPr>
      <w:r>
        <w:rPr>
          <w:sz w:val="22"/>
          <w:szCs w:val="22"/>
        </w:rPr>
        <w:t xml:space="preserve"> Συμπτωματική θεραπεία μέτριας έως πολύ σοβαρής νόσου </w:t>
      </w:r>
      <w:proofErr w:type="spellStart"/>
      <w:r>
        <w:rPr>
          <w:sz w:val="22"/>
          <w:szCs w:val="22"/>
        </w:rPr>
        <w:t>γαστρο</w:t>
      </w:r>
      <w:proofErr w:type="spellEnd"/>
      <w:r>
        <w:rPr>
          <w:sz w:val="22"/>
          <w:szCs w:val="22"/>
        </w:rPr>
        <w:t xml:space="preserve">-οισοφαγικής παλινδρόμησης (συμπτωματική GORD) </w:t>
      </w:r>
    </w:p>
    <w:p w:rsidR="006351AF" w:rsidRDefault="006351AF" w:rsidP="006351AF">
      <w:pPr>
        <w:pStyle w:val="Default"/>
        <w:spacing w:after="27"/>
        <w:rPr>
          <w:sz w:val="22"/>
          <w:szCs w:val="22"/>
        </w:rPr>
      </w:pPr>
      <w:r>
        <w:rPr>
          <w:sz w:val="22"/>
          <w:szCs w:val="22"/>
        </w:rPr>
        <w:t xml:space="preserve"> Σύνδρομο </w:t>
      </w:r>
      <w:proofErr w:type="spellStart"/>
      <w:r>
        <w:rPr>
          <w:sz w:val="22"/>
          <w:szCs w:val="22"/>
        </w:rPr>
        <w:t>Ζόλινγκερ</w:t>
      </w:r>
      <w:proofErr w:type="spellEnd"/>
      <w:r>
        <w:rPr>
          <w:sz w:val="22"/>
          <w:szCs w:val="22"/>
        </w:rPr>
        <w:t>-</w:t>
      </w:r>
      <w:proofErr w:type="spellStart"/>
      <w:r>
        <w:rPr>
          <w:sz w:val="22"/>
          <w:szCs w:val="22"/>
        </w:rPr>
        <w:t>Έλισον</w:t>
      </w:r>
      <w:proofErr w:type="spellEnd"/>
      <w:r>
        <w:rPr>
          <w:sz w:val="22"/>
          <w:szCs w:val="22"/>
        </w:rPr>
        <w:t xml:space="preserve"> </w:t>
      </w:r>
    </w:p>
    <w:p w:rsidR="006351AF" w:rsidRDefault="006351AF" w:rsidP="006351AF">
      <w:pPr>
        <w:pStyle w:val="Default"/>
        <w:rPr>
          <w:color w:val="auto"/>
        </w:rPr>
      </w:pPr>
      <w:r>
        <w:rPr>
          <w:sz w:val="22"/>
          <w:szCs w:val="22"/>
        </w:rPr>
        <w:t xml:space="preserve"> Σε συνδυασμό με την κατάλληλη αντιβιοτική θεραπεία για την εξάλειψη του </w:t>
      </w:r>
      <w:proofErr w:type="spellStart"/>
      <w:r>
        <w:rPr>
          <w:i/>
          <w:iCs/>
          <w:sz w:val="22"/>
          <w:szCs w:val="22"/>
        </w:rPr>
        <w:t>Helicobacter</w:t>
      </w:r>
      <w:proofErr w:type="spellEnd"/>
      <w:r>
        <w:rPr>
          <w:i/>
          <w:iCs/>
          <w:sz w:val="22"/>
          <w:szCs w:val="22"/>
        </w:rPr>
        <w:t xml:space="preserve"> </w:t>
      </w:r>
      <w:proofErr w:type="spellStart"/>
      <w:r>
        <w:rPr>
          <w:i/>
          <w:iCs/>
          <w:sz w:val="22"/>
          <w:szCs w:val="22"/>
        </w:rPr>
        <w:t>pylori</w:t>
      </w:r>
      <w:proofErr w:type="spellEnd"/>
      <w:r>
        <w:rPr>
          <w:i/>
          <w:iCs/>
          <w:sz w:val="22"/>
          <w:szCs w:val="22"/>
        </w:rPr>
        <w:t xml:space="preserve"> </w:t>
      </w:r>
      <w:r>
        <w:rPr>
          <w:sz w:val="22"/>
          <w:szCs w:val="22"/>
        </w:rPr>
        <w:t xml:space="preserve">σε ασθενείς με πεπτικό έλκος. Βλέπε ενότητα 4.2 </w:t>
      </w:r>
    </w:p>
    <w:p w:rsidR="006351AF" w:rsidRPr="00983AB3" w:rsidRDefault="006351AF" w:rsidP="006351AF">
      <w:pPr>
        <w:pStyle w:val="Default"/>
        <w:rPr>
          <w:b/>
          <w:bCs/>
          <w:color w:val="auto"/>
          <w:sz w:val="22"/>
          <w:szCs w:val="22"/>
        </w:rPr>
      </w:pPr>
    </w:p>
    <w:p w:rsidR="006351AF" w:rsidRDefault="006351AF" w:rsidP="006351AF">
      <w:pPr>
        <w:pStyle w:val="Default"/>
        <w:rPr>
          <w:color w:val="auto"/>
          <w:sz w:val="22"/>
          <w:szCs w:val="22"/>
        </w:rPr>
      </w:pPr>
      <w:r>
        <w:rPr>
          <w:b/>
          <w:bCs/>
          <w:color w:val="auto"/>
          <w:sz w:val="22"/>
          <w:szCs w:val="22"/>
        </w:rPr>
        <w:t xml:space="preserve">4.2 Δοσολογία και τρόπος χορήγησης </w:t>
      </w:r>
    </w:p>
    <w:p w:rsid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i/>
          <w:iCs/>
          <w:color w:val="auto"/>
          <w:sz w:val="22"/>
          <w:szCs w:val="22"/>
        </w:rPr>
        <w:t xml:space="preserve">Ενήλικες/ηλικιωμένοι: </w:t>
      </w:r>
    </w:p>
    <w:p w:rsidR="006351AF" w:rsidRDefault="006351AF" w:rsidP="006351AF">
      <w:pPr>
        <w:pStyle w:val="Default"/>
        <w:rPr>
          <w:color w:val="auto"/>
          <w:sz w:val="22"/>
          <w:szCs w:val="22"/>
        </w:rPr>
      </w:pPr>
      <w:r>
        <w:rPr>
          <w:color w:val="auto"/>
          <w:sz w:val="22"/>
          <w:szCs w:val="22"/>
        </w:rPr>
        <w:t xml:space="preserve">Ενεργό έλκος δωδεκαδακτύλου και καλοήθες γαστρικό έλκος </w:t>
      </w:r>
    </w:p>
    <w:p w:rsidR="006351AF" w:rsidRDefault="006351AF" w:rsidP="006351AF">
      <w:pPr>
        <w:pStyle w:val="Default"/>
        <w:rPr>
          <w:color w:val="auto"/>
          <w:sz w:val="22"/>
          <w:szCs w:val="22"/>
        </w:rPr>
      </w:pPr>
      <w:r>
        <w:rPr>
          <w:color w:val="auto"/>
          <w:sz w:val="22"/>
          <w:szCs w:val="22"/>
        </w:rPr>
        <w:t xml:space="preserve">Η συνιστώμενη δόση από του στόματος τόσο για το έλκος δωδεκαδακτύλου όσο και για το καλοήθες γαστρικό έλκος είναι 20 </w:t>
      </w:r>
      <w:proofErr w:type="spellStart"/>
      <w:r>
        <w:rPr>
          <w:color w:val="auto"/>
          <w:sz w:val="22"/>
          <w:szCs w:val="22"/>
        </w:rPr>
        <w:t>mg</w:t>
      </w:r>
      <w:proofErr w:type="spellEnd"/>
      <w:r>
        <w:rPr>
          <w:color w:val="auto"/>
          <w:sz w:val="22"/>
          <w:szCs w:val="22"/>
        </w:rPr>
        <w:t xml:space="preserve"> άπαξ ημερησίως το πρωί. </w:t>
      </w:r>
    </w:p>
    <w:p w:rsidR="006351AF" w:rsidRDefault="006351AF" w:rsidP="006351AF">
      <w:pPr>
        <w:pStyle w:val="Default"/>
        <w:rPr>
          <w:color w:val="auto"/>
          <w:sz w:val="22"/>
          <w:szCs w:val="22"/>
        </w:rPr>
      </w:pPr>
      <w:r>
        <w:rPr>
          <w:color w:val="auto"/>
          <w:sz w:val="22"/>
          <w:szCs w:val="22"/>
        </w:rPr>
        <w:t xml:space="preserve">Οι περισσότεροι ασθενείς με έλκος δωδεκαδακτύλου θεραπεύονται μέσα σε τέσσερις εβδομάδες. Όμως, μερικοί ασθενείς μπορεί να χρειαστούν επιπλέον τέσσερις εβδομάδες για να καταφέρουν να θεραπευτούν. Οι περισσότεροι ασθενείς με καλοήθες γαστρικό έλκος θεραπεύονται μέσα σε έξι εβδομάδες. Όμως, και πάλι, μερικοί ασθενείς μπορεί να χρειαστούν επιπλέον έξι εβδομάδες για να καταφέρουν να θεραπευτούν. </w:t>
      </w:r>
    </w:p>
    <w:p w:rsidR="006351AF" w:rsidRDefault="006351AF" w:rsidP="006351AF">
      <w:pPr>
        <w:pStyle w:val="Default"/>
        <w:rPr>
          <w:color w:val="auto"/>
          <w:sz w:val="22"/>
          <w:szCs w:val="22"/>
        </w:rPr>
      </w:pPr>
      <w:r>
        <w:rPr>
          <w:i/>
          <w:iCs/>
          <w:color w:val="auto"/>
          <w:sz w:val="22"/>
          <w:szCs w:val="22"/>
        </w:rPr>
        <w:t xml:space="preserve">Διαβρωτική ή ελκώδη νόσο </w:t>
      </w:r>
      <w:proofErr w:type="spellStart"/>
      <w:r>
        <w:rPr>
          <w:i/>
          <w:iCs/>
          <w:color w:val="auto"/>
          <w:sz w:val="22"/>
          <w:szCs w:val="22"/>
        </w:rPr>
        <w:t>γαστρο</w:t>
      </w:r>
      <w:proofErr w:type="spellEnd"/>
      <w:r>
        <w:rPr>
          <w:i/>
          <w:iCs/>
          <w:color w:val="auto"/>
          <w:sz w:val="22"/>
          <w:szCs w:val="22"/>
        </w:rPr>
        <w:t xml:space="preserve">-οισοφαγικής παλινδρόμησης (GORD). </w:t>
      </w:r>
    </w:p>
    <w:p w:rsidR="006351AF" w:rsidRDefault="006351AF" w:rsidP="006351AF">
      <w:pPr>
        <w:pStyle w:val="Default"/>
        <w:rPr>
          <w:color w:val="auto"/>
          <w:sz w:val="22"/>
          <w:szCs w:val="22"/>
        </w:rPr>
      </w:pPr>
      <w:r>
        <w:rPr>
          <w:color w:val="auto"/>
          <w:sz w:val="22"/>
          <w:szCs w:val="22"/>
        </w:rPr>
        <w:t xml:space="preserve">Η συνιστώμενη δόση από του στόματος για αυτή την κατάσταση είναι 20 </w:t>
      </w:r>
      <w:proofErr w:type="spellStart"/>
      <w:r>
        <w:rPr>
          <w:color w:val="auto"/>
          <w:sz w:val="22"/>
          <w:szCs w:val="22"/>
        </w:rPr>
        <w:t>mg</w:t>
      </w:r>
      <w:proofErr w:type="spellEnd"/>
      <w:r>
        <w:rPr>
          <w:color w:val="auto"/>
          <w:sz w:val="22"/>
          <w:szCs w:val="22"/>
        </w:rPr>
        <w:t xml:space="preserve"> άπαξ ημερησίως για τέσσερις έως οχτώ εβδομάδες. </w:t>
      </w:r>
    </w:p>
    <w:p w:rsidR="006351AF" w:rsidRDefault="006351AF" w:rsidP="006351AF">
      <w:pPr>
        <w:pStyle w:val="Default"/>
        <w:rPr>
          <w:color w:val="auto"/>
          <w:sz w:val="22"/>
          <w:szCs w:val="22"/>
        </w:rPr>
      </w:pPr>
      <w:r>
        <w:rPr>
          <w:i/>
          <w:iCs/>
          <w:color w:val="auto"/>
          <w:sz w:val="22"/>
          <w:szCs w:val="22"/>
        </w:rPr>
        <w:t xml:space="preserve">Νόσος </w:t>
      </w:r>
      <w:proofErr w:type="spellStart"/>
      <w:r>
        <w:rPr>
          <w:i/>
          <w:iCs/>
          <w:color w:val="auto"/>
          <w:sz w:val="22"/>
          <w:szCs w:val="22"/>
        </w:rPr>
        <w:t>γαστρο</w:t>
      </w:r>
      <w:proofErr w:type="spellEnd"/>
      <w:r>
        <w:rPr>
          <w:i/>
          <w:iCs/>
          <w:color w:val="auto"/>
          <w:sz w:val="22"/>
          <w:szCs w:val="22"/>
        </w:rPr>
        <w:t xml:space="preserve">-οισοφαγικής παλινδρόμησης, μακροχρόνια αγωγή (θεραπεία συντήρησης GORD) </w:t>
      </w:r>
    </w:p>
    <w:p w:rsidR="006351AF" w:rsidRDefault="006351AF" w:rsidP="006351AF">
      <w:pPr>
        <w:pStyle w:val="Default"/>
        <w:rPr>
          <w:color w:val="auto"/>
          <w:sz w:val="22"/>
          <w:szCs w:val="22"/>
        </w:rPr>
      </w:pPr>
      <w:r>
        <w:rPr>
          <w:color w:val="auto"/>
          <w:sz w:val="22"/>
          <w:szCs w:val="22"/>
        </w:rPr>
        <w:lastRenderedPageBreak/>
        <w:t xml:space="preserve">Για μακροχρόνια αγωγή, μπορεί να χρησιμοποιηθεί η δόση συντήρησης των 20 </w:t>
      </w:r>
      <w:proofErr w:type="spellStart"/>
      <w:r>
        <w:rPr>
          <w:color w:val="auto"/>
          <w:sz w:val="22"/>
          <w:szCs w:val="22"/>
        </w:rPr>
        <w:t>mg</w:t>
      </w:r>
      <w:proofErr w:type="spellEnd"/>
      <w:r>
        <w:rPr>
          <w:color w:val="auto"/>
          <w:sz w:val="22"/>
          <w:szCs w:val="22"/>
        </w:rPr>
        <w:t xml:space="preserve"> ή 10 </w:t>
      </w:r>
      <w:proofErr w:type="spellStart"/>
      <w:r>
        <w:rPr>
          <w:color w:val="auto"/>
          <w:sz w:val="22"/>
          <w:szCs w:val="22"/>
        </w:rPr>
        <w:t>mg</w:t>
      </w:r>
      <w:proofErr w:type="spellEnd"/>
      <w:r>
        <w:rPr>
          <w:color w:val="auto"/>
          <w:sz w:val="22"/>
          <w:szCs w:val="22"/>
        </w:rPr>
        <w:t xml:space="preserve"> άπαξ ημερησίως, ανάλογα με την ανταπόκριση του ασθενούς. </w:t>
      </w:r>
    </w:p>
    <w:p w:rsidR="006351AF" w:rsidRDefault="006351AF" w:rsidP="006351AF">
      <w:pPr>
        <w:pStyle w:val="Default"/>
        <w:rPr>
          <w:color w:val="auto"/>
          <w:sz w:val="22"/>
          <w:szCs w:val="22"/>
        </w:rPr>
      </w:pPr>
      <w:r>
        <w:rPr>
          <w:i/>
          <w:iCs/>
          <w:color w:val="auto"/>
          <w:sz w:val="22"/>
          <w:szCs w:val="22"/>
        </w:rPr>
        <w:t xml:space="preserve">Συμπτωματική θεραπεία μέτριας έως πολύ σοβαρής νόσου </w:t>
      </w:r>
      <w:proofErr w:type="spellStart"/>
      <w:r>
        <w:rPr>
          <w:i/>
          <w:iCs/>
          <w:color w:val="auto"/>
          <w:sz w:val="22"/>
          <w:szCs w:val="22"/>
        </w:rPr>
        <w:t>γαστρο</w:t>
      </w:r>
      <w:proofErr w:type="spellEnd"/>
      <w:r>
        <w:rPr>
          <w:i/>
          <w:iCs/>
          <w:color w:val="auto"/>
          <w:sz w:val="22"/>
          <w:szCs w:val="22"/>
        </w:rPr>
        <w:t xml:space="preserve">-οισοφαγικής παλινδρόμησης (συμπτωματική GORD) </w:t>
      </w:r>
    </w:p>
    <w:p w:rsidR="006351AF" w:rsidRDefault="006351AF" w:rsidP="006351AF">
      <w:pPr>
        <w:pStyle w:val="Default"/>
        <w:rPr>
          <w:color w:val="auto"/>
          <w:sz w:val="22"/>
          <w:szCs w:val="22"/>
        </w:rPr>
      </w:pPr>
      <w:r>
        <w:rPr>
          <w:color w:val="auto"/>
          <w:sz w:val="22"/>
          <w:szCs w:val="22"/>
        </w:rPr>
        <w:t xml:space="preserve">10 </w:t>
      </w:r>
      <w:proofErr w:type="spellStart"/>
      <w:r>
        <w:rPr>
          <w:color w:val="auto"/>
          <w:sz w:val="22"/>
          <w:szCs w:val="22"/>
        </w:rPr>
        <w:t>mg</w:t>
      </w:r>
      <w:proofErr w:type="spellEnd"/>
      <w:r>
        <w:rPr>
          <w:color w:val="auto"/>
          <w:sz w:val="22"/>
          <w:szCs w:val="22"/>
        </w:rPr>
        <w:t xml:space="preserve"> άπαξ ημερησίως για ασθενείς χωρίς οισοφαγίτιδα. Αν δεν επιτευχθεί έλεγχος των συμπτωμάτων μέσα σε 4 εβδομάδες, ο ασθενής θα πρέπει υποβληθεί σε περαιτέρω εξετάσεις. Μόλις τα συμπτώματα υποχωρήσουν, περαιτέρω έλεγχος των συμπτωμάτων μπορεί να επιτευχθεί με κατ’ επίκληση αγωγή, δηλαδή τη λήψη 10 </w:t>
      </w:r>
      <w:proofErr w:type="spellStart"/>
      <w:r>
        <w:rPr>
          <w:color w:val="auto"/>
          <w:sz w:val="22"/>
          <w:szCs w:val="22"/>
        </w:rPr>
        <w:t>mg</w:t>
      </w:r>
      <w:proofErr w:type="spellEnd"/>
      <w:r>
        <w:rPr>
          <w:color w:val="auto"/>
          <w:sz w:val="22"/>
          <w:szCs w:val="22"/>
        </w:rPr>
        <w:t xml:space="preserve"> άπαξ ημερησίως όποτε κρίνεται απαραίτητο. </w:t>
      </w:r>
    </w:p>
    <w:p w:rsidR="006351AF" w:rsidRDefault="006351AF" w:rsidP="006351AF">
      <w:pPr>
        <w:pStyle w:val="Default"/>
        <w:rPr>
          <w:color w:val="auto"/>
          <w:sz w:val="22"/>
          <w:szCs w:val="22"/>
        </w:rPr>
      </w:pPr>
      <w:r>
        <w:rPr>
          <w:i/>
          <w:iCs/>
          <w:color w:val="auto"/>
          <w:sz w:val="22"/>
          <w:szCs w:val="22"/>
        </w:rPr>
        <w:t xml:space="preserve">Σύνδρομο </w:t>
      </w:r>
      <w:proofErr w:type="spellStart"/>
      <w:r>
        <w:rPr>
          <w:i/>
          <w:iCs/>
          <w:color w:val="auto"/>
          <w:sz w:val="22"/>
          <w:szCs w:val="22"/>
        </w:rPr>
        <w:t>Ζόλινγκερ</w:t>
      </w:r>
      <w:proofErr w:type="spellEnd"/>
      <w:r>
        <w:rPr>
          <w:i/>
          <w:iCs/>
          <w:color w:val="auto"/>
          <w:sz w:val="22"/>
          <w:szCs w:val="22"/>
        </w:rPr>
        <w:t>-</w:t>
      </w:r>
      <w:proofErr w:type="spellStart"/>
      <w:r>
        <w:rPr>
          <w:i/>
          <w:iCs/>
          <w:color w:val="auto"/>
          <w:sz w:val="22"/>
          <w:szCs w:val="22"/>
        </w:rPr>
        <w:t>Έλισον</w:t>
      </w:r>
      <w:proofErr w:type="spellEnd"/>
      <w:r>
        <w:rPr>
          <w:i/>
          <w:iCs/>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Η συνιστώμενη δόση έναρξης για τους ενήλικες είναι 60 </w:t>
      </w:r>
      <w:proofErr w:type="spellStart"/>
      <w:r>
        <w:rPr>
          <w:color w:val="auto"/>
          <w:sz w:val="22"/>
          <w:szCs w:val="22"/>
        </w:rPr>
        <w:t>mg</w:t>
      </w:r>
      <w:proofErr w:type="spellEnd"/>
      <w:r>
        <w:rPr>
          <w:color w:val="auto"/>
          <w:sz w:val="22"/>
          <w:szCs w:val="22"/>
        </w:rPr>
        <w:t xml:space="preserve"> άπαξ ημερησίως. Η δόση μπορεί να γίνει με τιτλοδότηση προς τα πάνω έως και 120 </w:t>
      </w:r>
      <w:proofErr w:type="spellStart"/>
      <w:r>
        <w:rPr>
          <w:color w:val="auto"/>
          <w:sz w:val="22"/>
          <w:szCs w:val="22"/>
        </w:rPr>
        <w:t>mg</w:t>
      </w:r>
      <w:proofErr w:type="spellEnd"/>
      <w:r>
        <w:rPr>
          <w:color w:val="auto"/>
          <w:sz w:val="22"/>
          <w:szCs w:val="22"/>
        </w:rPr>
        <w:t xml:space="preserve">/ημέρα ανάλογα με τις ανάγκες του κάθε ασθενή. Μπορούν να δοθούν εφάπαξ δόσεις έως 100 </w:t>
      </w:r>
      <w:proofErr w:type="spellStart"/>
      <w:r>
        <w:rPr>
          <w:color w:val="auto"/>
          <w:sz w:val="22"/>
          <w:szCs w:val="22"/>
        </w:rPr>
        <w:t>mg</w:t>
      </w:r>
      <w:proofErr w:type="spellEnd"/>
      <w:r>
        <w:rPr>
          <w:color w:val="auto"/>
          <w:sz w:val="22"/>
          <w:szCs w:val="22"/>
        </w:rPr>
        <w:t xml:space="preserve">/μέρα. Τα 120 </w:t>
      </w:r>
      <w:proofErr w:type="spellStart"/>
      <w:r>
        <w:rPr>
          <w:color w:val="auto"/>
          <w:sz w:val="22"/>
          <w:szCs w:val="22"/>
        </w:rPr>
        <w:t>mg</w:t>
      </w:r>
      <w:proofErr w:type="spellEnd"/>
      <w:r>
        <w:rPr>
          <w:color w:val="auto"/>
          <w:sz w:val="22"/>
          <w:szCs w:val="22"/>
        </w:rPr>
        <w:t xml:space="preserve"> μπορεί να δοθούν σε δύο δόσεις, 60 </w:t>
      </w:r>
      <w:proofErr w:type="spellStart"/>
      <w:r>
        <w:rPr>
          <w:color w:val="auto"/>
          <w:sz w:val="22"/>
          <w:szCs w:val="22"/>
        </w:rPr>
        <w:t>mg</w:t>
      </w:r>
      <w:proofErr w:type="spellEnd"/>
      <w:r>
        <w:rPr>
          <w:color w:val="auto"/>
          <w:sz w:val="22"/>
          <w:szCs w:val="22"/>
        </w:rPr>
        <w:t xml:space="preserve"> δύο φορές τη μέρα. Η θεραπεία θα πρέπει να συνεχιστεί όσο ενδείκνυται κλινικά. </w:t>
      </w:r>
    </w:p>
    <w:p w:rsidR="006351AF" w:rsidRDefault="006351AF" w:rsidP="006351AF">
      <w:pPr>
        <w:pStyle w:val="Default"/>
        <w:rPr>
          <w:color w:val="auto"/>
          <w:sz w:val="22"/>
          <w:szCs w:val="22"/>
        </w:rPr>
      </w:pPr>
      <w:r>
        <w:rPr>
          <w:i/>
          <w:iCs/>
          <w:color w:val="auto"/>
          <w:sz w:val="22"/>
          <w:szCs w:val="22"/>
        </w:rPr>
        <w:t xml:space="preserve">Εξάλειψη του </w:t>
      </w:r>
      <w:proofErr w:type="spellStart"/>
      <w:r>
        <w:rPr>
          <w:i/>
          <w:iCs/>
          <w:color w:val="auto"/>
          <w:sz w:val="22"/>
          <w:szCs w:val="22"/>
        </w:rPr>
        <w:t>Helicobacter</w:t>
      </w:r>
      <w:proofErr w:type="spellEnd"/>
      <w:r>
        <w:rPr>
          <w:i/>
          <w:iCs/>
          <w:color w:val="auto"/>
          <w:sz w:val="22"/>
          <w:szCs w:val="22"/>
        </w:rPr>
        <w:t xml:space="preserve"> </w:t>
      </w:r>
      <w:proofErr w:type="spellStart"/>
      <w:r>
        <w:rPr>
          <w:i/>
          <w:iCs/>
          <w:color w:val="auto"/>
          <w:sz w:val="22"/>
          <w:szCs w:val="22"/>
        </w:rPr>
        <w:t>pylori</w:t>
      </w:r>
      <w:proofErr w:type="spellEnd"/>
      <w:r>
        <w:rPr>
          <w:i/>
          <w:iCs/>
          <w:color w:val="auto"/>
          <w:sz w:val="22"/>
          <w:szCs w:val="22"/>
        </w:rPr>
        <w:t xml:space="preserve">: </w:t>
      </w:r>
    </w:p>
    <w:p w:rsidR="006351AF" w:rsidRDefault="006351AF" w:rsidP="006351AF">
      <w:pPr>
        <w:pStyle w:val="Default"/>
        <w:rPr>
          <w:color w:val="auto"/>
          <w:sz w:val="22"/>
          <w:szCs w:val="22"/>
        </w:rPr>
      </w:pPr>
      <w:r>
        <w:rPr>
          <w:i/>
          <w:iCs/>
          <w:color w:val="auto"/>
          <w:sz w:val="22"/>
          <w:szCs w:val="22"/>
        </w:rPr>
        <w:t xml:space="preserve">Οι ασθενείς με λοίμωξη από H. </w:t>
      </w:r>
      <w:proofErr w:type="spellStart"/>
      <w:r>
        <w:rPr>
          <w:i/>
          <w:iCs/>
          <w:color w:val="auto"/>
          <w:sz w:val="22"/>
          <w:szCs w:val="22"/>
        </w:rPr>
        <w:t>pylori</w:t>
      </w:r>
      <w:proofErr w:type="spellEnd"/>
      <w:r>
        <w:rPr>
          <w:i/>
          <w:iCs/>
          <w:color w:val="auto"/>
          <w:sz w:val="22"/>
          <w:szCs w:val="22"/>
        </w:rPr>
        <w:t xml:space="preserve"> </w:t>
      </w:r>
      <w:r>
        <w:rPr>
          <w:color w:val="auto"/>
          <w:sz w:val="22"/>
          <w:szCs w:val="22"/>
        </w:rPr>
        <w:t xml:space="preserve">θα πρέπει να λαμβάνουν θεραπεία εκρίζωσης. Συνίσταται ο παρακάτω συνδυασμός να δοθεί για 7 ημέρες: &lt;RABEREN /IASIS&gt; </w:t>
      </w:r>
      <w:proofErr w:type="spellStart"/>
      <w:r>
        <w:rPr>
          <w:color w:val="auto"/>
          <w:sz w:val="22"/>
          <w:szCs w:val="22"/>
        </w:rPr>
        <w:t>γαστροανθεκτικά</w:t>
      </w:r>
      <w:proofErr w:type="spellEnd"/>
      <w:r>
        <w:rPr>
          <w:color w:val="auto"/>
          <w:sz w:val="22"/>
          <w:szCs w:val="22"/>
        </w:rPr>
        <w:t xml:space="preserve"> δισκία 20 </w:t>
      </w:r>
      <w:proofErr w:type="spellStart"/>
      <w:r>
        <w:rPr>
          <w:color w:val="auto"/>
          <w:sz w:val="22"/>
          <w:szCs w:val="22"/>
        </w:rPr>
        <w:t>mg</w:t>
      </w:r>
      <w:proofErr w:type="spellEnd"/>
      <w:r>
        <w:rPr>
          <w:color w:val="auto"/>
          <w:sz w:val="22"/>
          <w:szCs w:val="22"/>
        </w:rPr>
        <w:t xml:space="preserve"> δύο φορές τη μέρες + </w:t>
      </w:r>
      <w:proofErr w:type="spellStart"/>
      <w:r>
        <w:rPr>
          <w:color w:val="auto"/>
          <w:sz w:val="22"/>
          <w:szCs w:val="22"/>
        </w:rPr>
        <w:t>κλαριθρομυκίνη</w:t>
      </w:r>
      <w:proofErr w:type="spellEnd"/>
      <w:r>
        <w:rPr>
          <w:color w:val="auto"/>
          <w:sz w:val="22"/>
          <w:szCs w:val="22"/>
        </w:rPr>
        <w:t xml:space="preserve"> 500mg δύο φορές τη μέρα και </w:t>
      </w:r>
      <w:proofErr w:type="spellStart"/>
      <w:r>
        <w:rPr>
          <w:color w:val="auto"/>
          <w:sz w:val="22"/>
          <w:szCs w:val="22"/>
        </w:rPr>
        <w:t>αμοξικιλλίνη</w:t>
      </w:r>
      <w:proofErr w:type="spellEnd"/>
      <w:r>
        <w:rPr>
          <w:color w:val="auto"/>
          <w:sz w:val="22"/>
          <w:szCs w:val="22"/>
        </w:rPr>
        <w:t xml:space="preserve"> 1g δύο φορές τη μέρα. </w:t>
      </w:r>
    </w:p>
    <w:p w:rsidR="006351AF" w:rsidRDefault="006351AF" w:rsidP="006351AF">
      <w:pPr>
        <w:pStyle w:val="Default"/>
        <w:rPr>
          <w:color w:val="auto"/>
          <w:sz w:val="22"/>
          <w:szCs w:val="22"/>
        </w:rPr>
      </w:pPr>
      <w:r>
        <w:rPr>
          <w:color w:val="auto"/>
          <w:sz w:val="22"/>
          <w:szCs w:val="22"/>
        </w:rPr>
        <w:t xml:space="preserve">Για ενδείξεις που χρειάζονται θεραπεία άπαξ ημερησίως, τα γαστροανθεκτικά δισκία &lt;RABEREN /IASIS&gt; θα πρέπει να λαμβάνονται το πρωί, πριν το φαγητό. Αν και δεν έχει δειχθεί ότι ο χρόνος της ημέρας ή η λήψη τροφής επηρεάζουν τη δραστικότητα της νατριούχου </w:t>
      </w:r>
      <w:proofErr w:type="spellStart"/>
      <w:r>
        <w:rPr>
          <w:color w:val="auto"/>
          <w:sz w:val="22"/>
          <w:szCs w:val="22"/>
        </w:rPr>
        <w:t>ραβεπραζόλης</w:t>
      </w:r>
      <w:proofErr w:type="spellEnd"/>
      <w:r>
        <w:rPr>
          <w:color w:val="auto"/>
          <w:sz w:val="22"/>
          <w:szCs w:val="22"/>
        </w:rPr>
        <w:t xml:space="preserve">, αυτή η αγωγή θα διευκολύνει τη συμμόρφωση στη θεραπεία. </w:t>
      </w:r>
    </w:p>
    <w:p w:rsidR="006351AF" w:rsidRPr="006351AF" w:rsidRDefault="006351AF" w:rsidP="006351AF">
      <w:pPr>
        <w:pStyle w:val="Default"/>
        <w:rPr>
          <w:color w:val="auto"/>
          <w:sz w:val="22"/>
          <w:szCs w:val="22"/>
        </w:rPr>
      </w:pPr>
      <w:r>
        <w:rPr>
          <w:color w:val="auto"/>
          <w:sz w:val="22"/>
          <w:szCs w:val="22"/>
        </w:rPr>
        <w:t xml:space="preserve">Οι ασθενείς θα πρέπει να προειδοποιούνται ότι τα &lt;RABEREN /IASIS&gt; γαστροανθεκτικά δισκία δεν θα πρέπει να μασιούνται ή να συνθλίβονται, αλλά να καταπίνονται ολόκληρα. </w:t>
      </w:r>
    </w:p>
    <w:p w:rsidR="006351AF" w:rsidRPr="006351AF" w:rsidRDefault="006351AF" w:rsidP="006351AF">
      <w:pPr>
        <w:pStyle w:val="Default"/>
        <w:rPr>
          <w:color w:val="auto"/>
          <w:sz w:val="22"/>
          <w:szCs w:val="22"/>
        </w:rPr>
      </w:pPr>
    </w:p>
    <w:p w:rsidR="006351AF" w:rsidRP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i/>
          <w:iCs/>
          <w:color w:val="auto"/>
          <w:sz w:val="22"/>
          <w:szCs w:val="22"/>
        </w:rPr>
        <w:t xml:space="preserve">Νεφρική και ηπατική ανεπάρκεια: </w:t>
      </w:r>
    </w:p>
    <w:p w:rsidR="006351AF" w:rsidRDefault="006351AF" w:rsidP="006351AF">
      <w:pPr>
        <w:pStyle w:val="Default"/>
        <w:rPr>
          <w:color w:val="auto"/>
          <w:sz w:val="22"/>
          <w:szCs w:val="22"/>
        </w:rPr>
      </w:pPr>
      <w:r>
        <w:rPr>
          <w:color w:val="auto"/>
          <w:sz w:val="22"/>
          <w:szCs w:val="22"/>
        </w:rPr>
        <w:t xml:space="preserve">Δεν απαιτείται προσαρμογή της δόσης σε ασθενείς με νεφρική ή ηπατική ανεπάρκεια. </w:t>
      </w:r>
    </w:p>
    <w:p w:rsidR="006351AF" w:rsidRDefault="006351AF" w:rsidP="006351AF">
      <w:pPr>
        <w:pStyle w:val="Default"/>
        <w:rPr>
          <w:color w:val="auto"/>
          <w:sz w:val="22"/>
          <w:szCs w:val="22"/>
        </w:rPr>
      </w:pPr>
      <w:r>
        <w:rPr>
          <w:color w:val="auto"/>
          <w:sz w:val="22"/>
          <w:szCs w:val="22"/>
        </w:rPr>
        <w:t xml:space="preserve">Βλέπε την ενότητα 4.4 Ειδικές Προειδοποιήσεις και Προφυλάξεις κατά τη Χρήση για τη θεραπεία των ασθενών με σοβαρή ηπατική ανεπάρκεια. </w:t>
      </w:r>
    </w:p>
    <w:p w:rsidR="006351AF" w:rsidRDefault="006351AF" w:rsidP="006351AF">
      <w:pPr>
        <w:pStyle w:val="Default"/>
        <w:rPr>
          <w:color w:val="auto"/>
          <w:sz w:val="22"/>
          <w:szCs w:val="22"/>
        </w:rPr>
      </w:pPr>
      <w:r>
        <w:rPr>
          <w:b/>
          <w:bCs/>
          <w:i/>
          <w:iCs/>
          <w:color w:val="auto"/>
          <w:sz w:val="22"/>
          <w:szCs w:val="22"/>
        </w:rPr>
        <w:t xml:space="preserve">Παιδιά: </w:t>
      </w:r>
    </w:p>
    <w:p w:rsidR="006351AF" w:rsidRPr="006351AF" w:rsidRDefault="006351AF" w:rsidP="006351AF">
      <w:pPr>
        <w:pStyle w:val="Default"/>
        <w:rPr>
          <w:color w:val="auto"/>
          <w:sz w:val="22"/>
          <w:szCs w:val="22"/>
        </w:rPr>
      </w:pPr>
      <w:r>
        <w:rPr>
          <w:color w:val="auto"/>
          <w:sz w:val="22"/>
          <w:szCs w:val="22"/>
        </w:rPr>
        <w:t xml:space="preserve">Τα RABEREN /IASIS γαστροανθεκτικά δισκία δεν συνίστανται προς χρήση για παιδιά, καθώς δεν υπάρχει εμπειρία χρήσης σε αυτή την ομάδα. </w:t>
      </w:r>
    </w:p>
    <w:p w:rsidR="006351AF" w:rsidRP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4.3 Αντενδείξεις </w:t>
      </w:r>
    </w:p>
    <w:p w:rsidR="006351AF" w:rsidRDefault="006351AF" w:rsidP="006351AF">
      <w:pPr>
        <w:pStyle w:val="Default"/>
        <w:rPr>
          <w:color w:val="auto"/>
          <w:sz w:val="22"/>
          <w:szCs w:val="22"/>
        </w:rPr>
      </w:pPr>
      <w:r>
        <w:rPr>
          <w:color w:val="auto"/>
          <w:sz w:val="22"/>
          <w:szCs w:val="22"/>
        </w:rPr>
        <w:t xml:space="preserve">Τα RABEREN /IASIS γαστροανθεκτικά δισκία αντενδεικνύονται σε ασθενείς με γνωστή υπερευαισθησία στη νατριούχο </w:t>
      </w:r>
      <w:proofErr w:type="spellStart"/>
      <w:r>
        <w:rPr>
          <w:color w:val="auto"/>
          <w:sz w:val="22"/>
          <w:szCs w:val="22"/>
        </w:rPr>
        <w:t>ραβεπραζόλη</w:t>
      </w:r>
      <w:proofErr w:type="spellEnd"/>
      <w:r>
        <w:rPr>
          <w:color w:val="auto"/>
          <w:sz w:val="22"/>
          <w:szCs w:val="22"/>
        </w:rPr>
        <w:t xml:space="preserve"> ή σε κάποιο από τα έκδοχα που χρησιμοποιούνται σε αυτό το σχήμα. </w:t>
      </w:r>
    </w:p>
    <w:p w:rsidR="006351AF" w:rsidRPr="006351AF" w:rsidRDefault="006351AF" w:rsidP="006351AF">
      <w:pPr>
        <w:pStyle w:val="Default"/>
        <w:rPr>
          <w:color w:val="auto"/>
          <w:sz w:val="22"/>
          <w:szCs w:val="22"/>
        </w:rPr>
      </w:pPr>
      <w:r>
        <w:rPr>
          <w:color w:val="auto"/>
          <w:sz w:val="22"/>
          <w:szCs w:val="22"/>
        </w:rPr>
        <w:t xml:space="preserve">Τα RABEREN /IASIS γαστροανθεκτικά δισκία αντενδεικνύονται στην εγκυμοσύνη και κατά τη διάρκεια του θηλασμού. </w:t>
      </w:r>
    </w:p>
    <w:p w:rsidR="006351AF" w:rsidRPr="006351AF" w:rsidRDefault="006351AF" w:rsidP="006351AF">
      <w:pPr>
        <w:pStyle w:val="Default"/>
        <w:rPr>
          <w:color w:val="auto"/>
          <w:sz w:val="22"/>
          <w:szCs w:val="22"/>
        </w:rPr>
      </w:pPr>
    </w:p>
    <w:p w:rsidR="006351AF" w:rsidRP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4.4 Ειδικές προειδοποιήσεις και προφυλάξεις κατά τη χρήση </w:t>
      </w:r>
    </w:p>
    <w:p w:rsidR="006351AF" w:rsidRDefault="006351AF" w:rsidP="006351AF">
      <w:pPr>
        <w:pStyle w:val="Default"/>
        <w:rPr>
          <w:color w:val="auto"/>
          <w:sz w:val="22"/>
          <w:szCs w:val="22"/>
        </w:rPr>
      </w:pPr>
    </w:p>
    <w:p w:rsidR="006351AF" w:rsidRDefault="006351AF" w:rsidP="006351AF">
      <w:pPr>
        <w:pStyle w:val="Default"/>
        <w:rPr>
          <w:color w:val="auto"/>
          <w:sz w:val="22"/>
          <w:szCs w:val="22"/>
        </w:rPr>
      </w:pPr>
      <w:r>
        <w:rPr>
          <w:color w:val="auto"/>
          <w:sz w:val="22"/>
          <w:szCs w:val="22"/>
        </w:rPr>
        <w:t xml:space="preserve">Η συμπτωματική ανταπόκριση στη θεραπεία με τη νατριούχο </w:t>
      </w:r>
      <w:proofErr w:type="spellStart"/>
      <w:r>
        <w:rPr>
          <w:color w:val="auto"/>
          <w:sz w:val="22"/>
          <w:szCs w:val="22"/>
        </w:rPr>
        <w:t>ραβεπραζόλη</w:t>
      </w:r>
      <w:proofErr w:type="spellEnd"/>
      <w:r>
        <w:rPr>
          <w:color w:val="auto"/>
          <w:sz w:val="22"/>
          <w:szCs w:val="22"/>
        </w:rPr>
        <w:t xml:space="preserve"> δεν αποκλείει την παρουσία γαστρικής ή οισοφαγικής κακοήθειας, επομένως, η πιθανότητα κακοήθειας θα πρέπει να αποκλειστεί πριν την έναρξη της θεραπείας με το RABEREN /IASIS . </w:t>
      </w:r>
    </w:p>
    <w:p w:rsidR="006351AF" w:rsidRDefault="006351AF" w:rsidP="006351AF">
      <w:pPr>
        <w:pStyle w:val="Default"/>
        <w:rPr>
          <w:color w:val="auto"/>
          <w:sz w:val="22"/>
          <w:szCs w:val="22"/>
        </w:rPr>
      </w:pPr>
      <w:r>
        <w:rPr>
          <w:color w:val="auto"/>
          <w:sz w:val="22"/>
          <w:szCs w:val="22"/>
        </w:rPr>
        <w:t xml:space="preserve">Οι ασθενείς σε μακροχρόνια θεραπεία (ιδιαίτερα αυτοί που λαμβάνουν αγωγή για περισσότερο από ένα χρόνο) θα πρέπει να παρακολουθούνται στενά. </w:t>
      </w:r>
    </w:p>
    <w:p w:rsidR="006351AF" w:rsidRDefault="006351AF" w:rsidP="006351AF">
      <w:pPr>
        <w:pStyle w:val="Default"/>
        <w:rPr>
          <w:color w:val="auto"/>
          <w:sz w:val="22"/>
          <w:szCs w:val="22"/>
        </w:rPr>
      </w:pPr>
      <w:r>
        <w:rPr>
          <w:color w:val="auto"/>
          <w:sz w:val="22"/>
          <w:szCs w:val="22"/>
        </w:rPr>
        <w:t xml:space="preserve">Δεν μπορεί να αποκλειστεί η πιθανότητα αντιδράσεων διασταυρούμενης υπερευαισθησίας με άλλους αναστολείς της αντλίας πρωτονίων ή με υποκαταστημένες </w:t>
      </w:r>
      <w:proofErr w:type="spellStart"/>
      <w:r>
        <w:rPr>
          <w:color w:val="auto"/>
          <w:sz w:val="22"/>
          <w:szCs w:val="22"/>
        </w:rPr>
        <w:t>βενζιμιδαζόλες</w:t>
      </w:r>
      <w:proofErr w:type="spellEnd"/>
      <w:r>
        <w:rPr>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Οι ασθενείς θα πρέπει να προειδοποιούνται ότι τα RABEREN /IASIS γαστροανθεκτικά δισκία δεν θα πρέπει να μασιούνται ή να συνθλίβονται, αλλά να καταπίνονται ολόκληρα. </w:t>
      </w:r>
    </w:p>
    <w:p w:rsidR="006351AF" w:rsidRDefault="006351AF" w:rsidP="006351AF">
      <w:pPr>
        <w:pStyle w:val="Default"/>
        <w:rPr>
          <w:color w:val="auto"/>
          <w:sz w:val="22"/>
          <w:szCs w:val="22"/>
        </w:rPr>
      </w:pPr>
      <w:r>
        <w:rPr>
          <w:color w:val="auto"/>
          <w:sz w:val="22"/>
          <w:szCs w:val="22"/>
        </w:rPr>
        <w:lastRenderedPageBreak/>
        <w:t xml:space="preserve">Τα RABEREN /IASIS γαστροανθεκτικά δισκία δεν συνίστανται προς χρήση για παιδιά, αφού δεν υπάρχει εμπειρία χρήσης σε αυτή την ομάδα. </w:t>
      </w:r>
    </w:p>
    <w:p w:rsidR="006351AF" w:rsidRDefault="006351AF" w:rsidP="006351AF">
      <w:pPr>
        <w:pStyle w:val="Default"/>
        <w:rPr>
          <w:color w:val="auto"/>
          <w:sz w:val="22"/>
          <w:szCs w:val="22"/>
        </w:rPr>
      </w:pPr>
      <w:r>
        <w:rPr>
          <w:color w:val="auto"/>
          <w:sz w:val="22"/>
          <w:szCs w:val="22"/>
        </w:rPr>
        <w:t>Υπάρχουν αναφορές δυσκρασίας του αίματος (</w:t>
      </w:r>
      <w:proofErr w:type="spellStart"/>
      <w:r>
        <w:rPr>
          <w:color w:val="auto"/>
          <w:sz w:val="22"/>
          <w:szCs w:val="22"/>
        </w:rPr>
        <w:t>θρομβοκυτταροπενία</w:t>
      </w:r>
      <w:proofErr w:type="spellEnd"/>
      <w:r>
        <w:rPr>
          <w:color w:val="auto"/>
          <w:sz w:val="22"/>
          <w:szCs w:val="22"/>
        </w:rPr>
        <w:t xml:space="preserve"> και </w:t>
      </w:r>
      <w:proofErr w:type="spellStart"/>
      <w:r>
        <w:rPr>
          <w:color w:val="auto"/>
          <w:sz w:val="22"/>
          <w:szCs w:val="22"/>
        </w:rPr>
        <w:t>ουδετεροπενία</w:t>
      </w:r>
      <w:proofErr w:type="spellEnd"/>
      <w:r>
        <w:rPr>
          <w:color w:val="auto"/>
          <w:sz w:val="22"/>
          <w:szCs w:val="22"/>
        </w:rPr>
        <w:t xml:space="preserve">) μετά την κυκλοφορία του στην αγορά. Στις περισσότερες περιπτώσεις που μπορεί να </w:t>
      </w:r>
      <w:proofErr w:type="spellStart"/>
      <w:r>
        <w:rPr>
          <w:color w:val="auto"/>
          <w:sz w:val="22"/>
          <w:szCs w:val="22"/>
        </w:rPr>
        <w:t>ταυτοποιηθεί</w:t>
      </w:r>
      <w:proofErr w:type="spellEnd"/>
      <w:r>
        <w:rPr>
          <w:color w:val="auto"/>
          <w:sz w:val="22"/>
          <w:szCs w:val="22"/>
        </w:rPr>
        <w:t xml:space="preserve"> μια εναλλακτική αιτιολογία, τα </w:t>
      </w:r>
      <w:proofErr w:type="spellStart"/>
      <w:r>
        <w:rPr>
          <w:color w:val="auto"/>
          <w:sz w:val="22"/>
          <w:szCs w:val="22"/>
        </w:rPr>
        <w:t>συμβάματα</w:t>
      </w:r>
      <w:proofErr w:type="spellEnd"/>
      <w:r>
        <w:rPr>
          <w:color w:val="auto"/>
          <w:sz w:val="22"/>
          <w:szCs w:val="22"/>
        </w:rPr>
        <w:t xml:space="preserve"> δεν είχαν επιπλοκές και υποχώρησαν με τη διακοπή της </w:t>
      </w:r>
      <w:proofErr w:type="spellStart"/>
      <w:r>
        <w:rPr>
          <w:color w:val="auto"/>
          <w:sz w:val="22"/>
          <w:szCs w:val="22"/>
        </w:rPr>
        <w:t>ραβεπραζόλης</w:t>
      </w:r>
      <w:proofErr w:type="spellEnd"/>
      <w:r>
        <w:rPr>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Ανωμαλίες στα ηπατικά ένζυμα έχουν βρεθεί στις κλινικές μελέτες και έχουν αναφερθεί επίσης μετά την κυκλοφορία του στην αγορά. Στις περισσότερες περιπτώσεις που μπορεί να </w:t>
      </w:r>
      <w:proofErr w:type="spellStart"/>
      <w:r>
        <w:rPr>
          <w:color w:val="auto"/>
          <w:sz w:val="22"/>
          <w:szCs w:val="22"/>
        </w:rPr>
        <w:t>ταυτοποιηθεί</w:t>
      </w:r>
      <w:proofErr w:type="spellEnd"/>
      <w:r>
        <w:rPr>
          <w:color w:val="auto"/>
          <w:sz w:val="22"/>
          <w:szCs w:val="22"/>
        </w:rPr>
        <w:t xml:space="preserve"> μια εναλλακτική αιτιολογία, τα </w:t>
      </w:r>
      <w:proofErr w:type="spellStart"/>
      <w:r>
        <w:rPr>
          <w:color w:val="auto"/>
          <w:sz w:val="22"/>
          <w:szCs w:val="22"/>
        </w:rPr>
        <w:t>συμβάματα</w:t>
      </w:r>
      <w:proofErr w:type="spellEnd"/>
      <w:r>
        <w:rPr>
          <w:color w:val="auto"/>
          <w:sz w:val="22"/>
          <w:szCs w:val="22"/>
        </w:rPr>
        <w:t xml:space="preserve"> δεν είχαν επιπλοκές και υποχώρησαν με τη διακοπή της </w:t>
      </w:r>
      <w:proofErr w:type="spellStart"/>
      <w:r>
        <w:rPr>
          <w:color w:val="auto"/>
          <w:sz w:val="22"/>
          <w:szCs w:val="22"/>
        </w:rPr>
        <w:t>ραβεπραζόλης</w:t>
      </w:r>
      <w:proofErr w:type="spellEnd"/>
      <w:r>
        <w:rPr>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Δεν προέκυψαν στοιχεία σημαντικών προβλημάτων ασφαλείας που να σχετίζονται με το φάρμακο σε μια μελέτη με ασθενείς που είχαν ήπια έως μέτρια ηπατική ανεπάρκεια έναντι υγιών ατόμων της ίδιας ηλικίας και φύλου. Όμως επειδή δεν υπάρχουν κλινικά δεδομένα σχετικά με τη χρήση των RABEREN /IASIS </w:t>
      </w:r>
      <w:proofErr w:type="spellStart"/>
      <w:r>
        <w:rPr>
          <w:color w:val="auto"/>
          <w:sz w:val="22"/>
          <w:szCs w:val="22"/>
        </w:rPr>
        <w:t>γαστροανθεκτικών</w:t>
      </w:r>
      <w:proofErr w:type="spellEnd"/>
      <w:r>
        <w:rPr>
          <w:color w:val="auto"/>
          <w:sz w:val="22"/>
          <w:szCs w:val="22"/>
        </w:rPr>
        <w:t xml:space="preserve"> δισκίων για θεραπεία ασθενών με σοβαρή ηπατική δυσλειτουργία ο γιατρός θα πρέπει να είναι προσεχτικός όταν </w:t>
      </w:r>
      <w:proofErr w:type="spellStart"/>
      <w:r>
        <w:rPr>
          <w:color w:val="auto"/>
          <w:sz w:val="22"/>
          <w:szCs w:val="22"/>
        </w:rPr>
        <w:t>συνταγογραφεί</w:t>
      </w:r>
      <w:proofErr w:type="spellEnd"/>
      <w:r>
        <w:rPr>
          <w:color w:val="auto"/>
          <w:sz w:val="22"/>
          <w:szCs w:val="22"/>
        </w:rPr>
        <w:t xml:space="preserve"> αρχικά το RABEREN /IASIS σε τέτοιους ασθενείς. </w:t>
      </w:r>
    </w:p>
    <w:p w:rsidR="006351AF" w:rsidRDefault="006351AF" w:rsidP="006351AF">
      <w:pPr>
        <w:pStyle w:val="Default"/>
        <w:rPr>
          <w:color w:val="auto"/>
          <w:sz w:val="22"/>
          <w:szCs w:val="22"/>
        </w:rPr>
      </w:pPr>
      <w:r>
        <w:rPr>
          <w:color w:val="auto"/>
          <w:sz w:val="22"/>
          <w:szCs w:val="22"/>
        </w:rPr>
        <w:t xml:space="preserve">Η </w:t>
      </w:r>
      <w:proofErr w:type="spellStart"/>
      <w:r>
        <w:rPr>
          <w:color w:val="auto"/>
          <w:sz w:val="22"/>
          <w:szCs w:val="22"/>
        </w:rPr>
        <w:t>συγχορήγηση</w:t>
      </w:r>
      <w:proofErr w:type="spellEnd"/>
      <w:r>
        <w:rPr>
          <w:color w:val="auto"/>
          <w:sz w:val="22"/>
          <w:szCs w:val="22"/>
        </w:rPr>
        <w:t xml:space="preserve"> της </w:t>
      </w:r>
      <w:proofErr w:type="spellStart"/>
      <w:r>
        <w:rPr>
          <w:color w:val="auto"/>
          <w:sz w:val="22"/>
          <w:szCs w:val="22"/>
        </w:rPr>
        <w:t>αταζαναβίρης</w:t>
      </w:r>
      <w:proofErr w:type="spellEnd"/>
      <w:r>
        <w:rPr>
          <w:color w:val="auto"/>
          <w:sz w:val="22"/>
          <w:szCs w:val="22"/>
        </w:rPr>
        <w:t xml:space="preserve"> με το RABEREN /IASIS δεν συνίσταται (βλέπε ενότητα 4.5). </w:t>
      </w:r>
    </w:p>
    <w:p w:rsidR="006351AF" w:rsidRDefault="006351AF" w:rsidP="006351AF">
      <w:pPr>
        <w:pStyle w:val="Default"/>
        <w:rPr>
          <w:color w:val="auto"/>
          <w:sz w:val="22"/>
          <w:szCs w:val="22"/>
        </w:rPr>
      </w:pPr>
      <w:r>
        <w:rPr>
          <w:color w:val="auto"/>
          <w:sz w:val="22"/>
          <w:szCs w:val="22"/>
        </w:rPr>
        <w:t xml:space="preserve">Οι αναστολείς της αντλίας πρωτονίων, ειδικά εάν λαμβάνονται σε υψηλές δοσολογίες και για μεγάλα χρονικά διαστήματα (&gt;1 χρόνος), ενδέχεται να αυξήσουν σχετικά τον κίνδυνο πρόκλησης καταγμάτων στο ισχίο, τον καρπό και τη σπονδυλική στήλη, κυρίως στους ηλικιωμένους ή στις περιπτώσεις όπου παρατηρούνται άλλοι αναγνωρισμένοι παράγοντες κινδύνου. Οι μελέτες παρατήρησης υπαινίσσονται ότι οι αναστολείς της αντλίας πρωτονίων μπορεί να αυξήσουν τον συνολικό κίνδυνο καταγμάτων κατά 10-40%. Ένα ποσοστό της εν λόγω αύξησης μπορεί να οφείλεται σε άλλους παράγοντες κινδύνου. Οι ασθενείς που κινδυνεύουν από οστεοπόρωση θα πρέπει να λαμβάνουν φροντίδα σύμφωνα με τις τρέχουσες κλινικές κατευθυντήριες γραμμές, ενώ θα πρέπει να πραγματοποιείται επαρκής πρόσληψη βιταμίνης Δ και ασβεστίου. </w:t>
      </w:r>
    </w:p>
    <w:p w:rsidR="006351AF" w:rsidRDefault="006351AF" w:rsidP="006351AF">
      <w:pPr>
        <w:pStyle w:val="Default"/>
        <w:rPr>
          <w:color w:val="auto"/>
          <w:sz w:val="22"/>
          <w:szCs w:val="22"/>
        </w:rPr>
      </w:pPr>
      <w:proofErr w:type="spellStart"/>
      <w:r>
        <w:rPr>
          <w:b/>
          <w:bCs/>
          <w:color w:val="auto"/>
          <w:sz w:val="22"/>
          <w:szCs w:val="22"/>
        </w:rPr>
        <w:t>Υπομαγνησιαιμία</w:t>
      </w:r>
      <w:proofErr w:type="spellEnd"/>
      <w:r>
        <w:rPr>
          <w:b/>
          <w:bCs/>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Έχει αναφερθεί σοβαρή </w:t>
      </w:r>
      <w:proofErr w:type="spellStart"/>
      <w:r>
        <w:rPr>
          <w:color w:val="auto"/>
          <w:sz w:val="22"/>
          <w:szCs w:val="22"/>
        </w:rPr>
        <w:t>υπομαγνησιαιμία</w:t>
      </w:r>
      <w:proofErr w:type="spellEnd"/>
      <w:r>
        <w:rPr>
          <w:color w:val="auto"/>
          <w:sz w:val="22"/>
          <w:szCs w:val="22"/>
        </w:rPr>
        <w:t xml:space="preserve"> από ασθενείς που έχουν λάβει θεραπευτική αγωγή μέσω </w:t>
      </w:r>
      <w:proofErr w:type="spellStart"/>
      <w:r>
        <w:rPr>
          <w:color w:val="auto"/>
          <w:sz w:val="22"/>
          <w:szCs w:val="22"/>
        </w:rPr>
        <w:t>PPIs</w:t>
      </w:r>
      <w:proofErr w:type="spellEnd"/>
      <w:r>
        <w:rPr>
          <w:color w:val="auto"/>
          <w:sz w:val="22"/>
          <w:szCs w:val="22"/>
        </w:rPr>
        <w:t xml:space="preserve"> &lt;ενεργή ουσία&gt; για χρονικό διάστημα τουλάχιστον τριών μηνών και στα περισσότερα περιστατικά για έναν χρόνο. Ενδέχεται να προκύψουν σοβαρές εκδηλώσεις </w:t>
      </w:r>
      <w:proofErr w:type="spellStart"/>
      <w:r>
        <w:rPr>
          <w:color w:val="auto"/>
          <w:sz w:val="22"/>
          <w:szCs w:val="22"/>
        </w:rPr>
        <w:t>υπομαγνησιαιμίας</w:t>
      </w:r>
      <w:proofErr w:type="spellEnd"/>
      <w:r>
        <w:rPr>
          <w:color w:val="auto"/>
          <w:sz w:val="22"/>
          <w:szCs w:val="22"/>
        </w:rPr>
        <w:t xml:space="preserve"> όπως είναι η κόπωση, η </w:t>
      </w:r>
      <w:proofErr w:type="spellStart"/>
      <w:r>
        <w:rPr>
          <w:color w:val="auto"/>
          <w:sz w:val="22"/>
          <w:szCs w:val="22"/>
        </w:rPr>
        <w:t>τετανία</w:t>
      </w:r>
      <w:proofErr w:type="spellEnd"/>
      <w:r>
        <w:rPr>
          <w:color w:val="auto"/>
          <w:sz w:val="22"/>
          <w:szCs w:val="22"/>
        </w:rPr>
        <w:t xml:space="preserve">, το παραλήρημα, οι σπασμοί, η ζάλη και η κοιλιακή αρρυθμία, ενώ μπορεί να ξεκινήσουν με ύπουλο τρόπο και να αγνοηθούν. Στις περισσότερες περιπτώσεις των προσβεβλημένων ασθενών, η </w:t>
      </w:r>
      <w:proofErr w:type="spellStart"/>
      <w:r>
        <w:rPr>
          <w:color w:val="auto"/>
          <w:sz w:val="22"/>
          <w:szCs w:val="22"/>
        </w:rPr>
        <w:t>υπομαγνησιαιμία</w:t>
      </w:r>
      <w:proofErr w:type="spellEnd"/>
      <w:r>
        <w:rPr>
          <w:color w:val="auto"/>
          <w:sz w:val="22"/>
          <w:szCs w:val="22"/>
        </w:rPr>
        <w:t xml:space="preserve"> βελτιώθηκε ύστερα από την αντικατάσταση του μαγνησίου και τη διακοπή των PPI. </w:t>
      </w:r>
    </w:p>
    <w:p w:rsidR="006351AF" w:rsidRPr="00983AB3" w:rsidRDefault="006351AF" w:rsidP="006351AF">
      <w:pPr>
        <w:pStyle w:val="Default"/>
        <w:rPr>
          <w:color w:val="auto"/>
          <w:sz w:val="22"/>
          <w:szCs w:val="22"/>
        </w:rPr>
      </w:pPr>
      <w:r>
        <w:rPr>
          <w:color w:val="auto"/>
          <w:sz w:val="22"/>
          <w:szCs w:val="22"/>
        </w:rPr>
        <w:t xml:space="preserve">Όσον αφορά τους ασθενείς που πρόκειται να λάβουν εκτεταμένη θεραπευτική αγωγή ή εκείνους που λαμβάνουν </w:t>
      </w:r>
      <w:proofErr w:type="spellStart"/>
      <w:r>
        <w:rPr>
          <w:color w:val="auto"/>
          <w:sz w:val="22"/>
          <w:szCs w:val="22"/>
        </w:rPr>
        <w:t>PPIs</w:t>
      </w:r>
      <w:proofErr w:type="spellEnd"/>
      <w:r>
        <w:rPr>
          <w:color w:val="auto"/>
          <w:sz w:val="22"/>
          <w:szCs w:val="22"/>
        </w:rPr>
        <w:t xml:space="preserve"> με </w:t>
      </w:r>
      <w:proofErr w:type="spellStart"/>
      <w:r>
        <w:rPr>
          <w:color w:val="auto"/>
          <w:sz w:val="22"/>
          <w:szCs w:val="22"/>
        </w:rPr>
        <w:t>διγοξίνη</w:t>
      </w:r>
      <w:proofErr w:type="spellEnd"/>
      <w:r>
        <w:rPr>
          <w:color w:val="auto"/>
          <w:sz w:val="22"/>
          <w:szCs w:val="22"/>
        </w:rPr>
        <w:t xml:space="preserve"> ή φάρμακα που μπορεί να προκαλέσουν </w:t>
      </w:r>
      <w:proofErr w:type="spellStart"/>
      <w:r>
        <w:rPr>
          <w:color w:val="auto"/>
          <w:sz w:val="22"/>
          <w:szCs w:val="22"/>
        </w:rPr>
        <w:t>υπομαγνησιαιμία</w:t>
      </w:r>
      <w:proofErr w:type="spellEnd"/>
      <w:r>
        <w:rPr>
          <w:color w:val="auto"/>
          <w:sz w:val="22"/>
          <w:szCs w:val="22"/>
        </w:rPr>
        <w:t xml:space="preserve"> (π.χ. διουρητικά), το υγειονομικό προσωπικό θα πρέπει να εξετάσει την εκτίμηση των επιπέδων μαγνησίου προτού ξεκινήσει η θεραπευτική αγωγή μέσω PPI και ανά τακτά χρονικά διαστήματα κατά τη διάρκεια αυτής.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4.5 Αλληλεπίδραση με άλλα φαρμακευτικά προϊόντα και άλλες μορφές αλληλεπίδρασης </w:t>
      </w:r>
    </w:p>
    <w:p w:rsidR="006351AF" w:rsidRDefault="006351AF" w:rsidP="006351AF">
      <w:pPr>
        <w:pStyle w:val="Default"/>
        <w:rPr>
          <w:color w:val="auto"/>
          <w:sz w:val="22"/>
          <w:szCs w:val="22"/>
        </w:rPr>
      </w:pPr>
      <w:r>
        <w:rPr>
          <w:color w:val="auto"/>
          <w:sz w:val="22"/>
          <w:szCs w:val="22"/>
        </w:rPr>
        <w:t xml:space="preserve">Η νατριούχος </w:t>
      </w:r>
      <w:proofErr w:type="spellStart"/>
      <w:r>
        <w:rPr>
          <w:color w:val="auto"/>
          <w:sz w:val="22"/>
          <w:szCs w:val="22"/>
        </w:rPr>
        <w:t>ραβεπραζόλη</w:t>
      </w:r>
      <w:proofErr w:type="spellEnd"/>
      <w:r>
        <w:rPr>
          <w:color w:val="auto"/>
          <w:sz w:val="22"/>
          <w:szCs w:val="22"/>
        </w:rPr>
        <w:t xml:space="preserve"> προκαλεί σημαντική και μακράς διαρκείας αναστολή της έκκρισης του γαστρικού οξέος. Μπορεί να υπάρξει αλληλεπίδραση με ουσίες των οποίων η απορρόφηση εξαρτάται από το </w:t>
      </w:r>
      <w:proofErr w:type="spellStart"/>
      <w:r>
        <w:rPr>
          <w:color w:val="auto"/>
          <w:sz w:val="22"/>
          <w:szCs w:val="22"/>
        </w:rPr>
        <w:t>pH</w:t>
      </w:r>
      <w:proofErr w:type="spellEnd"/>
      <w:r>
        <w:rPr>
          <w:color w:val="auto"/>
          <w:sz w:val="22"/>
          <w:szCs w:val="22"/>
        </w:rPr>
        <w:t xml:space="preserve">. Η </w:t>
      </w:r>
      <w:proofErr w:type="spellStart"/>
      <w:r>
        <w:rPr>
          <w:color w:val="auto"/>
          <w:sz w:val="22"/>
          <w:szCs w:val="22"/>
        </w:rPr>
        <w:t>συγχορήγηση</w:t>
      </w:r>
      <w:proofErr w:type="spellEnd"/>
      <w:r>
        <w:rPr>
          <w:color w:val="auto"/>
          <w:sz w:val="22"/>
          <w:szCs w:val="22"/>
        </w:rPr>
        <w:t xml:space="preserve"> νατριούχου </w:t>
      </w:r>
      <w:proofErr w:type="spellStart"/>
      <w:r>
        <w:rPr>
          <w:color w:val="auto"/>
          <w:sz w:val="22"/>
          <w:szCs w:val="22"/>
        </w:rPr>
        <w:t>ραβεπραζόλης</w:t>
      </w:r>
      <w:proofErr w:type="spellEnd"/>
      <w:r>
        <w:rPr>
          <w:color w:val="auto"/>
          <w:sz w:val="22"/>
          <w:szCs w:val="22"/>
        </w:rPr>
        <w:t xml:space="preserve"> με </w:t>
      </w:r>
      <w:proofErr w:type="spellStart"/>
      <w:r>
        <w:rPr>
          <w:color w:val="auto"/>
          <w:sz w:val="22"/>
          <w:szCs w:val="22"/>
        </w:rPr>
        <w:t>κετοκοναζόλη</w:t>
      </w:r>
      <w:proofErr w:type="spellEnd"/>
      <w:r>
        <w:rPr>
          <w:color w:val="auto"/>
          <w:sz w:val="22"/>
          <w:szCs w:val="22"/>
        </w:rPr>
        <w:t xml:space="preserve"> ή </w:t>
      </w:r>
      <w:proofErr w:type="spellStart"/>
      <w:r>
        <w:rPr>
          <w:color w:val="auto"/>
          <w:sz w:val="22"/>
          <w:szCs w:val="22"/>
        </w:rPr>
        <w:t>ιτρακοναζόλη</w:t>
      </w:r>
      <w:proofErr w:type="spellEnd"/>
      <w:r>
        <w:rPr>
          <w:color w:val="auto"/>
          <w:sz w:val="22"/>
          <w:szCs w:val="22"/>
        </w:rPr>
        <w:t xml:space="preserve"> μπορεί να έχει ως αποτέλεσμα σημαντική μείωση των επιπέδων πλάσματος των </w:t>
      </w:r>
      <w:proofErr w:type="spellStart"/>
      <w:r>
        <w:rPr>
          <w:color w:val="auto"/>
          <w:sz w:val="22"/>
          <w:szCs w:val="22"/>
        </w:rPr>
        <w:t>αντιμυκητιασικών</w:t>
      </w:r>
      <w:proofErr w:type="spellEnd"/>
      <w:r>
        <w:rPr>
          <w:color w:val="auto"/>
          <w:sz w:val="22"/>
          <w:szCs w:val="22"/>
        </w:rPr>
        <w:t xml:space="preserve">. Επομένως, ο κάθε ασθενής μπορεί να χρειάζεται παρακολούθηση για να προσδιοριστεί αν είναι απαραίτητη η προσαρμογή δόσης όταν η </w:t>
      </w:r>
      <w:proofErr w:type="spellStart"/>
      <w:r>
        <w:rPr>
          <w:color w:val="auto"/>
          <w:sz w:val="22"/>
          <w:szCs w:val="22"/>
        </w:rPr>
        <w:t>κετοκοναζόλη</w:t>
      </w:r>
      <w:proofErr w:type="spellEnd"/>
      <w:r>
        <w:rPr>
          <w:color w:val="auto"/>
          <w:sz w:val="22"/>
          <w:szCs w:val="22"/>
        </w:rPr>
        <w:t xml:space="preserve"> ή </w:t>
      </w:r>
      <w:proofErr w:type="spellStart"/>
      <w:r>
        <w:rPr>
          <w:color w:val="auto"/>
          <w:sz w:val="22"/>
          <w:szCs w:val="22"/>
        </w:rPr>
        <w:t>ιτρακοναζόλη</w:t>
      </w:r>
      <w:proofErr w:type="spellEnd"/>
      <w:r>
        <w:rPr>
          <w:color w:val="auto"/>
          <w:sz w:val="22"/>
          <w:szCs w:val="22"/>
        </w:rPr>
        <w:t xml:space="preserve"> λαμβάνεται ταυτόχρονα με το RABEREN /IASIS. </w:t>
      </w:r>
    </w:p>
    <w:p w:rsidR="006351AF" w:rsidRDefault="006351AF" w:rsidP="006351AF">
      <w:pPr>
        <w:pStyle w:val="Default"/>
        <w:rPr>
          <w:color w:val="auto"/>
          <w:sz w:val="22"/>
          <w:szCs w:val="22"/>
        </w:rPr>
      </w:pPr>
      <w:r>
        <w:rPr>
          <w:color w:val="auto"/>
          <w:sz w:val="22"/>
          <w:szCs w:val="22"/>
        </w:rPr>
        <w:t xml:space="preserve">Στις κλινικές μελέτες </w:t>
      </w:r>
      <w:proofErr w:type="spellStart"/>
      <w:r>
        <w:rPr>
          <w:color w:val="auto"/>
          <w:sz w:val="22"/>
          <w:szCs w:val="22"/>
        </w:rPr>
        <w:t>αντιόξινες</w:t>
      </w:r>
      <w:proofErr w:type="spellEnd"/>
      <w:r>
        <w:rPr>
          <w:color w:val="auto"/>
          <w:sz w:val="22"/>
          <w:szCs w:val="22"/>
        </w:rPr>
        <w:t xml:space="preserve"> ουσίες χρησιμοποιήθηκαν ταυτόχρονα με τη χορήγηση του RABEREN /IASIS και, σε μία συγκεκριμένη μελέτη αλληλεπίδρασης φαρμάκου-φαρμάκου δεν παρατηρήθηκε κάποια αλληλεπίδραση με τις υγρές </w:t>
      </w:r>
      <w:proofErr w:type="spellStart"/>
      <w:r>
        <w:rPr>
          <w:color w:val="auto"/>
          <w:sz w:val="22"/>
          <w:szCs w:val="22"/>
        </w:rPr>
        <w:t>αντιόξινες</w:t>
      </w:r>
      <w:proofErr w:type="spellEnd"/>
      <w:r>
        <w:rPr>
          <w:color w:val="auto"/>
          <w:sz w:val="22"/>
          <w:szCs w:val="22"/>
        </w:rPr>
        <w:t xml:space="preserve"> ουσίες. </w:t>
      </w:r>
    </w:p>
    <w:p w:rsidR="006351AF" w:rsidRPr="00983AB3" w:rsidRDefault="006351AF" w:rsidP="006351AF">
      <w:pPr>
        <w:pStyle w:val="Default"/>
        <w:rPr>
          <w:color w:val="auto"/>
          <w:sz w:val="22"/>
          <w:szCs w:val="22"/>
        </w:rPr>
      </w:pPr>
      <w:r>
        <w:rPr>
          <w:color w:val="auto"/>
          <w:sz w:val="22"/>
          <w:szCs w:val="22"/>
        </w:rPr>
        <w:t xml:space="preserve">Η </w:t>
      </w:r>
      <w:proofErr w:type="spellStart"/>
      <w:r>
        <w:rPr>
          <w:color w:val="auto"/>
          <w:sz w:val="22"/>
          <w:szCs w:val="22"/>
        </w:rPr>
        <w:t>συγχορήγηση</w:t>
      </w:r>
      <w:proofErr w:type="spellEnd"/>
      <w:r>
        <w:rPr>
          <w:color w:val="auto"/>
          <w:sz w:val="22"/>
          <w:szCs w:val="22"/>
        </w:rPr>
        <w:t xml:space="preserve"> 300 </w:t>
      </w:r>
      <w:proofErr w:type="spellStart"/>
      <w:r>
        <w:rPr>
          <w:color w:val="auto"/>
          <w:sz w:val="22"/>
          <w:szCs w:val="22"/>
        </w:rPr>
        <w:t>mg</w:t>
      </w:r>
      <w:proofErr w:type="spellEnd"/>
      <w:r>
        <w:rPr>
          <w:color w:val="auto"/>
          <w:sz w:val="22"/>
          <w:szCs w:val="22"/>
        </w:rPr>
        <w:t xml:space="preserve"> αταζαναβίρης/10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ριτοναβίρης</w:t>
      </w:r>
      <w:proofErr w:type="spellEnd"/>
      <w:r>
        <w:rPr>
          <w:color w:val="auto"/>
          <w:sz w:val="22"/>
          <w:szCs w:val="22"/>
        </w:rPr>
        <w:t xml:space="preserve"> μαζί με </w:t>
      </w:r>
      <w:proofErr w:type="spellStart"/>
      <w:r>
        <w:rPr>
          <w:color w:val="auto"/>
          <w:sz w:val="22"/>
          <w:szCs w:val="22"/>
        </w:rPr>
        <w:t>ομεπραζόλη</w:t>
      </w:r>
      <w:proofErr w:type="spellEnd"/>
      <w:r>
        <w:rPr>
          <w:color w:val="auto"/>
          <w:sz w:val="22"/>
          <w:szCs w:val="22"/>
        </w:rPr>
        <w:t xml:space="preserve"> (40 </w:t>
      </w:r>
      <w:proofErr w:type="spellStart"/>
      <w:r>
        <w:rPr>
          <w:color w:val="auto"/>
          <w:sz w:val="22"/>
          <w:szCs w:val="22"/>
        </w:rPr>
        <w:t>mg</w:t>
      </w:r>
      <w:proofErr w:type="spellEnd"/>
      <w:r>
        <w:rPr>
          <w:color w:val="auto"/>
          <w:sz w:val="22"/>
          <w:szCs w:val="22"/>
        </w:rPr>
        <w:t xml:space="preserve"> άπαξ ημερησίως) ή 400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αταζαναβίρης</w:t>
      </w:r>
      <w:proofErr w:type="spellEnd"/>
      <w:r>
        <w:rPr>
          <w:color w:val="auto"/>
          <w:sz w:val="22"/>
          <w:szCs w:val="22"/>
        </w:rPr>
        <w:t xml:space="preserve"> με </w:t>
      </w:r>
      <w:proofErr w:type="spellStart"/>
      <w:r>
        <w:rPr>
          <w:color w:val="auto"/>
          <w:sz w:val="22"/>
          <w:szCs w:val="22"/>
        </w:rPr>
        <w:t>λανσοπραζόλη</w:t>
      </w:r>
      <w:proofErr w:type="spellEnd"/>
      <w:r>
        <w:rPr>
          <w:color w:val="auto"/>
          <w:sz w:val="22"/>
          <w:szCs w:val="22"/>
        </w:rPr>
        <w:t xml:space="preserve"> (60 </w:t>
      </w:r>
      <w:proofErr w:type="spellStart"/>
      <w:r>
        <w:rPr>
          <w:color w:val="auto"/>
          <w:sz w:val="22"/>
          <w:szCs w:val="22"/>
        </w:rPr>
        <w:t>mg</w:t>
      </w:r>
      <w:proofErr w:type="spellEnd"/>
      <w:r>
        <w:rPr>
          <w:color w:val="auto"/>
          <w:sz w:val="22"/>
          <w:szCs w:val="22"/>
        </w:rPr>
        <w:t xml:space="preserve"> άπαξ ημερησίως) σε υγιείς </w:t>
      </w:r>
      <w:r>
        <w:rPr>
          <w:color w:val="auto"/>
          <w:sz w:val="22"/>
          <w:szCs w:val="22"/>
        </w:rPr>
        <w:lastRenderedPageBreak/>
        <w:t xml:space="preserve">εθελοντές είχε ως αποτέλεσμα τη σημαντική μείωση της έκθεσης στην </w:t>
      </w:r>
      <w:proofErr w:type="spellStart"/>
      <w:r>
        <w:rPr>
          <w:color w:val="auto"/>
          <w:sz w:val="22"/>
          <w:szCs w:val="22"/>
        </w:rPr>
        <w:t>αταζαναβίρη</w:t>
      </w:r>
      <w:proofErr w:type="spellEnd"/>
      <w:r>
        <w:rPr>
          <w:color w:val="auto"/>
          <w:sz w:val="22"/>
          <w:szCs w:val="22"/>
        </w:rPr>
        <w:t xml:space="preserve">. Η απορρόφηση της </w:t>
      </w:r>
      <w:proofErr w:type="spellStart"/>
      <w:r>
        <w:rPr>
          <w:color w:val="auto"/>
          <w:sz w:val="22"/>
          <w:szCs w:val="22"/>
        </w:rPr>
        <w:t>αταζαναβίρης</w:t>
      </w:r>
      <w:proofErr w:type="spellEnd"/>
      <w:r>
        <w:rPr>
          <w:color w:val="auto"/>
          <w:sz w:val="22"/>
          <w:szCs w:val="22"/>
        </w:rPr>
        <w:t xml:space="preserve"> εξαρτάται από το </w:t>
      </w:r>
      <w:proofErr w:type="spellStart"/>
      <w:r>
        <w:rPr>
          <w:color w:val="auto"/>
          <w:sz w:val="22"/>
          <w:szCs w:val="22"/>
        </w:rPr>
        <w:t>pH</w:t>
      </w:r>
      <w:proofErr w:type="spellEnd"/>
      <w:r>
        <w:rPr>
          <w:color w:val="auto"/>
          <w:sz w:val="22"/>
          <w:szCs w:val="22"/>
        </w:rPr>
        <w:t xml:space="preserve">. Αν και δεν έχει μελετηθεί, παρόμοια αποτελέσματα αναμένονται και με τους άλλους αναστολείς της αντλίας πρωτονίων. Επομένως, οι αναστολείς της αντλίας πρωτονίων, συμπεριλαμβανομένης της </w:t>
      </w:r>
      <w:proofErr w:type="spellStart"/>
      <w:r>
        <w:rPr>
          <w:color w:val="auto"/>
          <w:sz w:val="22"/>
          <w:szCs w:val="22"/>
        </w:rPr>
        <w:t>ραβεπραζόλης</w:t>
      </w:r>
      <w:proofErr w:type="spellEnd"/>
      <w:r>
        <w:rPr>
          <w:color w:val="auto"/>
          <w:sz w:val="22"/>
          <w:szCs w:val="22"/>
        </w:rPr>
        <w:t xml:space="preserve">, δεν θα πρέπει να </w:t>
      </w:r>
      <w:proofErr w:type="spellStart"/>
      <w:r>
        <w:rPr>
          <w:color w:val="auto"/>
          <w:sz w:val="22"/>
          <w:szCs w:val="22"/>
        </w:rPr>
        <w:t>συγχορηγούνται</w:t>
      </w:r>
      <w:proofErr w:type="spellEnd"/>
      <w:r>
        <w:rPr>
          <w:color w:val="auto"/>
          <w:sz w:val="22"/>
          <w:szCs w:val="22"/>
        </w:rPr>
        <w:t xml:space="preserve"> με την </w:t>
      </w:r>
      <w:proofErr w:type="spellStart"/>
      <w:r>
        <w:rPr>
          <w:color w:val="auto"/>
          <w:sz w:val="22"/>
          <w:szCs w:val="22"/>
        </w:rPr>
        <w:t>αταζαναβίρη</w:t>
      </w:r>
      <w:proofErr w:type="spellEnd"/>
      <w:r>
        <w:rPr>
          <w:color w:val="auto"/>
          <w:sz w:val="22"/>
          <w:szCs w:val="22"/>
        </w:rPr>
        <w:t xml:space="preserve"> (βλέπε Ενότητα 4.4)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4.6 Κύηση και γαλουχία </w:t>
      </w:r>
    </w:p>
    <w:p w:rsidR="006351AF" w:rsidRDefault="006351AF" w:rsidP="006351AF">
      <w:pPr>
        <w:pStyle w:val="Default"/>
        <w:rPr>
          <w:color w:val="auto"/>
          <w:sz w:val="22"/>
          <w:szCs w:val="22"/>
        </w:rPr>
      </w:pPr>
      <w:r>
        <w:rPr>
          <w:b/>
          <w:bCs/>
          <w:color w:val="auto"/>
          <w:sz w:val="22"/>
          <w:szCs w:val="22"/>
        </w:rPr>
        <w:t xml:space="preserve">Κύηση </w:t>
      </w:r>
    </w:p>
    <w:p w:rsidR="006351AF" w:rsidRDefault="006351AF" w:rsidP="006351AF">
      <w:pPr>
        <w:pStyle w:val="Default"/>
        <w:rPr>
          <w:color w:val="auto"/>
          <w:sz w:val="22"/>
          <w:szCs w:val="22"/>
        </w:rPr>
      </w:pPr>
      <w:r>
        <w:rPr>
          <w:color w:val="auto"/>
          <w:sz w:val="22"/>
          <w:szCs w:val="22"/>
        </w:rPr>
        <w:t xml:space="preserve">Δεν υπάρχουν δεδομένα σχετικά με την ασφάλεια της </w:t>
      </w:r>
      <w:proofErr w:type="spellStart"/>
      <w:r>
        <w:rPr>
          <w:color w:val="auto"/>
          <w:sz w:val="22"/>
          <w:szCs w:val="22"/>
        </w:rPr>
        <w:t>ραβεπραζόλης</w:t>
      </w:r>
      <w:proofErr w:type="spellEnd"/>
      <w:r>
        <w:rPr>
          <w:color w:val="auto"/>
          <w:sz w:val="22"/>
          <w:szCs w:val="22"/>
        </w:rPr>
        <w:t xml:space="preserve"> κατά τη διάρκεια της κύησης στους ανθρώπους. Μελέτες αναπαραγωγής σε αρουραίους και κουνέλια δεν παρουσίασαν στοιχεία μειωμένης </w:t>
      </w:r>
      <w:proofErr w:type="spellStart"/>
      <w:r>
        <w:rPr>
          <w:color w:val="auto"/>
          <w:sz w:val="22"/>
          <w:szCs w:val="22"/>
        </w:rPr>
        <w:t>αναπαραγωγικότητας</w:t>
      </w:r>
      <w:proofErr w:type="spellEnd"/>
      <w:r>
        <w:rPr>
          <w:color w:val="auto"/>
          <w:sz w:val="22"/>
          <w:szCs w:val="22"/>
        </w:rPr>
        <w:t xml:space="preserve"> ή βλάβης στο έμβρυο εξαιτίας της νατριούχου </w:t>
      </w:r>
      <w:proofErr w:type="spellStart"/>
      <w:r>
        <w:rPr>
          <w:color w:val="auto"/>
          <w:sz w:val="22"/>
          <w:szCs w:val="22"/>
        </w:rPr>
        <w:t>ραβεπραζόλης</w:t>
      </w:r>
      <w:proofErr w:type="spellEnd"/>
      <w:r>
        <w:rPr>
          <w:color w:val="auto"/>
          <w:sz w:val="22"/>
          <w:szCs w:val="22"/>
        </w:rPr>
        <w:t xml:space="preserve">, αν και υπάρχει μια μικρή </w:t>
      </w:r>
      <w:proofErr w:type="spellStart"/>
      <w:r>
        <w:rPr>
          <w:color w:val="auto"/>
          <w:sz w:val="22"/>
          <w:szCs w:val="22"/>
        </w:rPr>
        <w:t>εμβρυο</w:t>
      </w:r>
      <w:proofErr w:type="spellEnd"/>
      <w:r>
        <w:rPr>
          <w:color w:val="auto"/>
          <w:sz w:val="22"/>
          <w:szCs w:val="22"/>
        </w:rPr>
        <w:t>-</w:t>
      </w:r>
      <w:proofErr w:type="spellStart"/>
      <w:r>
        <w:rPr>
          <w:color w:val="auto"/>
          <w:sz w:val="22"/>
          <w:szCs w:val="22"/>
        </w:rPr>
        <w:t>πλακουντιακή</w:t>
      </w:r>
      <w:proofErr w:type="spellEnd"/>
      <w:r>
        <w:rPr>
          <w:color w:val="auto"/>
          <w:sz w:val="22"/>
          <w:szCs w:val="22"/>
        </w:rPr>
        <w:t xml:space="preserve"> μεταφορά στον στους αρουραίους. Το RABEREN /IASIS αντενδείκνυται κατά τη διάρκεια της κύησης (βλέπε ενότητα 4.3). </w:t>
      </w:r>
    </w:p>
    <w:p w:rsidR="006351AF" w:rsidRDefault="006351AF" w:rsidP="006351AF">
      <w:pPr>
        <w:pStyle w:val="Default"/>
        <w:rPr>
          <w:color w:val="auto"/>
          <w:sz w:val="22"/>
          <w:szCs w:val="22"/>
        </w:rPr>
      </w:pPr>
      <w:r>
        <w:rPr>
          <w:b/>
          <w:bCs/>
          <w:color w:val="auto"/>
          <w:sz w:val="22"/>
          <w:szCs w:val="22"/>
        </w:rPr>
        <w:t xml:space="preserve">Γαλουχία </w:t>
      </w:r>
    </w:p>
    <w:p w:rsidR="006351AF" w:rsidRPr="006351AF" w:rsidRDefault="006351AF" w:rsidP="006351AF">
      <w:pPr>
        <w:pStyle w:val="Default"/>
        <w:rPr>
          <w:color w:val="auto"/>
          <w:sz w:val="22"/>
          <w:szCs w:val="22"/>
        </w:rPr>
      </w:pPr>
      <w:r>
        <w:rPr>
          <w:color w:val="auto"/>
          <w:sz w:val="22"/>
          <w:szCs w:val="22"/>
        </w:rPr>
        <w:t xml:space="preserve">Δεν είναι γνωστό αν η νατριούχος </w:t>
      </w:r>
      <w:proofErr w:type="spellStart"/>
      <w:r>
        <w:rPr>
          <w:color w:val="auto"/>
          <w:sz w:val="22"/>
          <w:szCs w:val="22"/>
        </w:rPr>
        <w:t>ραβεπραζόλη</w:t>
      </w:r>
      <w:proofErr w:type="spellEnd"/>
      <w:r>
        <w:rPr>
          <w:color w:val="auto"/>
          <w:sz w:val="22"/>
          <w:szCs w:val="22"/>
        </w:rPr>
        <w:t xml:space="preserve"> εκκρίνεται στο ανθρώπινο γάλα. Δεν υπάρχουν μελέτες σε γυναίκες που θηλάζουν. Η νατριούχος </w:t>
      </w:r>
      <w:proofErr w:type="spellStart"/>
      <w:r>
        <w:rPr>
          <w:color w:val="auto"/>
          <w:sz w:val="22"/>
          <w:szCs w:val="22"/>
        </w:rPr>
        <w:t>ραβεπραζόλη</w:t>
      </w:r>
      <w:proofErr w:type="spellEnd"/>
      <w:r>
        <w:rPr>
          <w:color w:val="auto"/>
          <w:sz w:val="22"/>
          <w:szCs w:val="22"/>
        </w:rPr>
        <w:t xml:space="preserve">, όμως, εκκρίνεται στις μαστικές εκκρίσεις των αρουραίων. Επομένως, το RABEREN /IASIS δεν θα πρέπει να χρησιμοποιείται κατά τη διάρκεια του θηλασμού (βλέπε ενότητα 4.3). </w:t>
      </w:r>
    </w:p>
    <w:p w:rsidR="006351AF" w:rsidRP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4.7 Επιδράσεις στην ικανότητα οδήγησης και χειρισμού μηχανών </w:t>
      </w:r>
    </w:p>
    <w:p w:rsidR="006351AF" w:rsidRPr="00983AB3" w:rsidRDefault="006351AF" w:rsidP="006351AF">
      <w:pPr>
        <w:pStyle w:val="Default"/>
        <w:rPr>
          <w:color w:val="auto"/>
          <w:sz w:val="22"/>
          <w:szCs w:val="22"/>
        </w:rPr>
      </w:pPr>
      <w:r>
        <w:rPr>
          <w:color w:val="auto"/>
          <w:sz w:val="22"/>
          <w:szCs w:val="22"/>
        </w:rPr>
        <w:t xml:space="preserve">Βάσει των φαρμακοδυναμικών ιδιοτήτων και του προφίλ ανεπιθύμητων συμβάντων, δεν είναι πιθανό το RABEREN /IASIS να προκαλέσει μείωση στην ικανότητα οδήγησης ή στην ικανότητα χρήσης μηχανημάτων. Αν όμως, μειωθεί η εγρήγορση εξαιτίας λόγω υπνηλίας, συνίσταται να αποφύγετε την οδήγηση και το χειρισμό πολύπλοκων μηχανημάτων.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4.8 Ανεπιθύμητες ενέργειες </w:t>
      </w:r>
    </w:p>
    <w:p w:rsidR="006351AF" w:rsidRDefault="006351AF" w:rsidP="006351AF">
      <w:pPr>
        <w:pStyle w:val="Default"/>
        <w:rPr>
          <w:color w:val="auto"/>
          <w:sz w:val="22"/>
          <w:szCs w:val="22"/>
        </w:rPr>
      </w:pPr>
      <w:r>
        <w:rPr>
          <w:color w:val="auto"/>
          <w:sz w:val="22"/>
          <w:szCs w:val="22"/>
        </w:rPr>
        <w:t xml:space="preserve">Οι πιο συχνά αναφερόμενες ανεπιθύμητες ενέργειες του φαρμάκου, κατά τη διάρκεια ελεγχόμενων κλινικών μελετών με τη </w:t>
      </w:r>
      <w:proofErr w:type="spellStart"/>
      <w:r>
        <w:rPr>
          <w:color w:val="auto"/>
          <w:sz w:val="22"/>
          <w:szCs w:val="22"/>
        </w:rPr>
        <w:t>ραβεπραζόλη</w:t>
      </w:r>
      <w:proofErr w:type="spellEnd"/>
      <w:r>
        <w:rPr>
          <w:color w:val="auto"/>
          <w:sz w:val="22"/>
          <w:szCs w:val="22"/>
        </w:rPr>
        <w:t xml:space="preserve">, ήταν κεφαλαλγία, διάρροια, κοιλιακό άλγος, αδυναμία, τυμπανισμός, εξάνθημα και ξηροστομία. Η πλειονότητα των ανεπιθύμητων ενεργειών που παρουσιάστηκαν κατά τη διάρκεια των κλινικών μελετών ήταν ήπιες ή μέτριες σε σοβαρότητα, και παροδικές. </w:t>
      </w:r>
    </w:p>
    <w:p w:rsidR="006351AF" w:rsidRDefault="006351AF" w:rsidP="006351AF">
      <w:pPr>
        <w:pStyle w:val="Default"/>
        <w:rPr>
          <w:color w:val="auto"/>
          <w:sz w:val="22"/>
          <w:szCs w:val="22"/>
        </w:rPr>
      </w:pPr>
      <w:r>
        <w:rPr>
          <w:color w:val="auto"/>
          <w:sz w:val="22"/>
          <w:szCs w:val="22"/>
        </w:rPr>
        <w:t xml:space="preserve">Οι παρακάτω ανεπιθύμητες ενέργειες έχουν αναφερθεί από την κλινική μελέτη και την εμπειρία μετά την κυκλοφορία του φαρμάκου. </w:t>
      </w:r>
    </w:p>
    <w:p w:rsidR="006351AF" w:rsidRDefault="006351AF" w:rsidP="006351AF">
      <w:pPr>
        <w:pStyle w:val="Default"/>
        <w:rPr>
          <w:color w:val="auto"/>
          <w:sz w:val="22"/>
          <w:szCs w:val="22"/>
        </w:rPr>
      </w:pPr>
      <w:r>
        <w:rPr>
          <w:color w:val="auto"/>
          <w:sz w:val="22"/>
          <w:szCs w:val="22"/>
        </w:rPr>
        <w:t xml:space="preserve">Οι συχνότητες ορίζονται ως εξής: </w:t>
      </w:r>
    </w:p>
    <w:p w:rsidR="006351AF" w:rsidRDefault="006351AF" w:rsidP="006351AF">
      <w:pPr>
        <w:pStyle w:val="Default"/>
        <w:rPr>
          <w:color w:val="auto"/>
          <w:sz w:val="22"/>
          <w:szCs w:val="22"/>
        </w:rPr>
      </w:pPr>
      <w:r>
        <w:rPr>
          <w:color w:val="auto"/>
          <w:sz w:val="22"/>
          <w:szCs w:val="22"/>
        </w:rPr>
        <w:t xml:space="preserve">Πολύ συχνές (≥1/10) </w:t>
      </w:r>
    </w:p>
    <w:p w:rsidR="006351AF" w:rsidRDefault="006351AF" w:rsidP="006351AF">
      <w:pPr>
        <w:pStyle w:val="Default"/>
        <w:rPr>
          <w:color w:val="auto"/>
          <w:sz w:val="22"/>
          <w:szCs w:val="22"/>
        </w:rPr>
      </w:pPr>
      <w:r>
        <w:rPr>
          <w:color w:val="auto"/>
          <w:sz w:val="22"/>
          <w:szCs w:val="22"/>
        </w:rPr>
        <w:t xml:space="preserve">Συχνές (≥1/100, &lt;1/10) </w:t>
      </w:r>
    </w:p>
    <w:p w:rsidR="006351AF" w:rsidRDefault="006351AF" w:rsidP="006351AF">
      <w:pPr>
        <w:pStyle w:val="Default"/>
        <w:rPr>
          <w:color w:val="auto"/>
          <w:sz w:val="22"/>
          <w:szCs w:val="22"/>
        </w:rPr>
      </w:pPr>
      <w:r>
        <w:rPr>
          <w:color w:val="auto"/>
          <w:sz w:val="22"/>
          <w:szCs w:val="22"/>
        </w:rPr>
        <w:t xml:space="preserve">Όχι συχνές (≥1/1.000 έως &lt;1/100) </w:t>
      </w:r>
    </w:p>
    <w:p w:rsidR="006351AF" w:rsidRDefault="006351AF" w:rsidP="006351AF">
      <w:pPr>
        <w:pStyle w:val="Default"/>
        <w:rPr>
          <w:color w:val="auto"/>
          <w:sz w:val="22"/>
          <w:szCs w:val="22"/>
        </w:rPr>
      </w:pPr>
      <w:r>
        <w:rPr>
          <w:color w:val="auto"/>
          <w:sz w:val="22"/>
          <w:szCs w:val="22"/>
        </w:rPr>
        <w:t xml:space="preserve">Σπάνιες (≥1/10.000, &lt;1/1.000) </w:t>
      </w:r>
    </w:p>
    <w:p w:rsidR="006351AF" w:rsidRDefault="006351AF" w:rsidP="006351AF">
      <w:pPr>
        <w:pStyle w:val="Default"/>
        <w:rPr>
          <w:color w:val="auto"/>
          <w:sz w:val="22"/>
          <w:szCs w:val="22"/>
        </w:rPr>
      </w:pPr>
      <w:r>
        <w:rPr>
          <w:color w:val="auto"/>
          <w:sz w:val="22"/>
          <w:szCs w:val="22"/>
        </w:rPr>
        <w:t xml:space="preserve">Πολύ σπάνιες (≥1/10.000), άγνωστες (δεν μπορεί να εκτιμηθεί από τα διαθέσιμα στοιχεία). </w:t>
      </w:r>
    </w:p>
    <w:p w:rsidR="006351AF" w:rsidRDefault="006351AF" w:rsidP="006351AF">
      <w:pPr>
        <w:pStyle w:val="Default"/>
        <w:rPr>
          <w:color w:val="auto"/>
          <w:sz w:val="22"/>
          <w:szCs w:val="22"/>
        </w:rPr>
      </w:pPr>
      <w:r>
        <w:rPr>
          <w:b/>
          <w:bCs/>
          <w:color w:val="auto"/>
          <w:sz w:val="22"/>
          <w:szCs w:val="22"/>
        </w:rPr>
        <w:t xml:space="preserve">Λοιμώξεις και παρασιτώσεις </w:t>
      </w:r>
    </w:p>
    <w:p w:rsidR="006351AF" w:rsidRDefault="006351AF" w:rsidP="006351AF">
      <w:pPr>
        <w:pStyle w:val="Default"/>
        <w:rPr>
          <w:color w:val="auto"/>
          <w:sz w:val="22"/>
          <w:szCs w:val="22"/>
        </w:rPr>
      </w:pPr>
      <w:r>
        <w:rPr>
          <w:color w:val="auto"/>
          <w:sz w:val="22"/>
          <w:szCs w:val="22"/>
        </w:rPr>
        <w:t xml:space="preserve">Συχνές: λοίμωξη </w:t>
      </w:r>
    </w:p>
    <w:p w:rsidR="006351AF" w:rsidRDefault="006351AF" w:rsidP="006351AF">
      <w:pPr>
        <w:pStyle w:val="Default"/>
        <w:rPr>
          <w:color w:val="auto"/>
          <w:sz w:val="22"/>
          <w:szCs w:val="22"/>
        </w:rPr>
      </w:pPr>
      <w:r>
        <w:rPr>
          <w:b/>
          <w:bCs/>
          <w:color w:val="auto"/>
          <w:sz w:val="22"/>
          <w:szCs w:val="22"/>
        </w:rPr>
        <w:t xml:space="preserve">Διαταραχές του αιμοποιητικού και του λεμφικού συστήματος </w:t>
      </w:r>
    </w:p>
    <w:p w:rsidR="006351AF" w:rsidRDefault="006351AF" w:rsidP="006351AF">
      <w:pPr>
        <w:pStyle w:val="Default"/>
        <w:rPr>
          <w:color w:val="auto"/>
          <w:sz w:val="22"/>
          <w:szCs w:val="22"/>
        </w:rPr>
      </w:pPr>
      <w:r>
        <w:rPr>
          <w:color w:val="auto"/>
          <w:sz w:val="22"/>
          <w:szCs w:val="22"/>
        </w:rPr>
        <w:t xml:space="preserve">Σπάνιες: </w:t>
      </w:r>
      <w:proofErr w:type="spellStart"/>
      <w:r>
        <w:rPr>
          <w:color w:val="auto"/>
          <w:sz w:val="22"/>
          <w:szCs w:val="22"/>
        </w:rPr>
        <w:t>ουδετεροπενία</w:t>
      </w:r>
      <w:proofErr w:type="spellEnd"/>
      <w:r>
        <w:rPr>
          <w:color w:val="auto"/>
          <w:sz w:val="22"/>
          <w:szCs w:val="22"/>
        </w:rPr>
        <w:t xml:space="preserve">, </w:t>
      </w:r>
      <w:proofErr w:type="spellStart"/>
      <w:r>
        <w:rPr>
          <w:color w:val="auto"/>
          <w:sz w:val="22"/>
          <w:szCs w:val="22"/>
        </w:rPr>
        <w:t>λευκοπενία</w:t>
      </w:r>
      <w:proofErr w:type="spellEnd"/>
      <w:r>
        <w:rPr>
          <w:color w:val="auto"/>
          <w:sz w:val="22"/>
          <w:szCs w:val="22"/>
        </w:rPr>
        <w:t xml:space="preserve">, </w:t>
      </w:r>
      <w:proofErr w:type="spellStart"/>
      <w:r>
        <w:rPr>
          <w:color w:val="auto"/>
          <w:sz w:val="22"/>
          <w:szCs w:val="22"/>
        </w:rPr>
        <w:t>θρομβοκυτταροπενία</w:t>
      </w:r>
      <w:proofErr w:type="spellEnd"/>
      <w:r>
        <w:rPr>
          <w:color w:val="auto"/>
          <w:sz w:val="22"/>
          <w:szCs w:val="22"/>
        </w:rPr>
        <w:t xml:space="preserve">, </w:t>
      </w:r>
      <w:proofErr w:type="spellStart"/>
      <w:r>
        <w:rPr>
          <w:color w:val="auto"/>
          <w:sz w:val="22"/>
          <w:szCs w:val="22"/>
        </w:rPr>
        <w:t>λευκοκυττάρωση</w:t>
      </w:r>
      <w:proofErr w:type="spellEnd"/>
      <w:r>
        <w:rPr>
          <w:color w:val="auto"/>
          <w:sz w:val="22"/>
          <w:szCs w:val="22"/>
        </w:rPr>
        <w:t xml:space="preserve"> </w:t>
      </w:r>
    </w:p>
    <w:p w:rsidR="006351AF" w:rsidRPr="006351AF" w:rsidRDefault="006351AF" w:rsidP="006351AF">
      <w:pPr>
        <w:pStyle w:val="Default"/>
        <w:rPr>
          <w:b/>
          <w:bCs/>
          <w:color w:val="auto"/>
          <w:sz w:val="22"/>
          <w:szCs w:val="22"/>
        </w:rPr>
      </w:pPr>
      <w:r>
        <w:rPr>
          <w:b/>
          <w:bCs/>
          <w:color w:val="auto"/>
          <w:sz w:val="22"/>
          <w:szCs w:val="22"/>
        </w:rPr>
        <w:t xml:space="preserve">Διαταραχές του ανοσοποιητικού συστήματος </w:t>
      </w:r>
    </w:p>
    <w:p w:rsidR="006351AF" w:rsidRDefault="006351AF" w:rsidP="006351AF">
      <w:pPr>
        <w:pStyle w:val="Default"/>
        <w:rPr>
          <w:color w:val="auto"/>
          <w:sz w:val="14"/>
          <w:szCs w:val="14"/>
        </w:rPr>
      </w:pPr>
      <w:r>
        <w:rPr>
          <w:color w:val="auto"/>
          <w:sz w:val="22"/>
          <w:szCs w:val="22"/>
        </w:rPr>
        <w:t>Σπάνιες: υπερευαισθησία</w:t>
      </w:r>
      <w:r>
        <w:rPr>
          <w:color w:val="auto"/>
          <w:sz w:val="14"/>
          <w:szCs w:val="14"/>
        </w:rPr>
        <w:t xml:space="preserve">1,2 </w:t>
      </w:r>
    </w:p>
    <w:p w:rsidR="006351AF" w:rsidRDefault="006351AF" w:rsidP="006351AF">
      <w:pPr>
        <w:pStyle w:val="Default"/>
        <w:rPr>
          <w:color w:val="auto"/>
          <w:sz w:val="22"/>
          <w:szCs w:val="22"/>
        </w:rPr>
      </w:pPr>
      <w:r>
        <w:rPr>
          <w:b/>
          <w:bCs/>
          <w:color w:val="auto"/>
          <w:sz w:val="22"/>
          <w:szCs w:val="22"/>
        </w:rPr>
        <w:t xml:space="preserve">Διαταραχές του μεταβολισμού και της θρέψης </w:t>
      </w:r>
    </w:p>
    <w:p w:rsidR="006351AF" w:rsidRDefault="006351AF" w:rsidP="006351AF">
      <w:pPr>
        <w:pStyle w:val="Default"/>
        <w:rPr>
          <w:color w:val="auto"/>
          <w:sz w:val="22"/>
          <w:szCs w:val="22"/>
        </w:rPr>
      </w:pPr>
      <w:r>
        <w:rPr>
          <w:color w:val="auto"/>
          <w:sz w:val="22"/>
          <w:szCs w:val="22"/>
        </w:rPr>
        <w:t xml:space="preserve">Σπάνιες: ανορεξία </w:t>
      </w:r>
    </w:p>
    <w:p w:rsidR="006351AF" w:rsidRDefault="006351AF" w:rsidP="006351AF">
      <w:pPr>
        <w:pStyle w:val="Default"/>
        <w:rPr>
          <w:color w:val="auto"/>
          <w:sz w:val="22"/>
          <w:szCs w:val="22"/>
        </w:rPr>
      </w:pPr>
      <w:r>
        <w:rPr>
          <w:color w:val="auto"/>
          <w:sz w:val="22"/>
          <w:szCs w:val="22"/>
        </w:rPr>
        <w:t xml:space="preserve">Άγνωστες: </w:t>
      </w:r>
      <w:proofErr w:type="spellStart"/>
      <w:r>
        <w:rPr>
          <w:color w:val="auto"/>
          <w:sz w:val="22"/>
          <w:szCs w:val="22"/>
        </w:rPr>
        <w:t>υπονατριαιμία</w:t>
      </w:r>
      <w:proofErr w:type="spellEnd"/>
      <w:r>
        <w:rPr>
          <w:color w:val="auto"/>
          <w:sz w:val="22"/>
          <w:szCs w:val="22"/>
        </w:rPr>
        <w:t xml:space="preserve">, </w:t>
      </w:r>
      <w:proofErr w:type="spellStart"/>
      <w:r>
        <w:rPr>
          <w:color w:val="auto"/>
          <w:sz w:val="22"/>
          <w:szCs w:val="22"/>
        </w:rPr>
        <w:t>υπομαγνησιαιμία</w:t>
      </w:r>
      <w:proofErr w:type="spellEnd"/>
      <w:r>
        <w:rPr>
          <w:color w:val="auto"/>
          <w:sz w:val="22"/>
          <w:szCs w:val="22"/>
        </w:rPr>
        <w:t xml:space="preserve"> (βλέπε ενότητα 4.4) </w:t>
      </w:r>
    </w:p>
    <w:p w:rsidR="006351AF" w:rsidRDefault="006351AF" w:rsidP="006351AF">
      <w:pPr>
        <w:pStyle w:val="Default"/>
        <w:rPr>
          <w:color w:val="auto"/>
          <w:sz w:val="22"/>
          <w:szCs w:val="22"/>
        </w:rPr>
      </w:pPr>
      <w:r>
        <w:rPr>
          <w:b/>
          <w:bCs/>
          <w:color w:val="auto"/>
          <w:sz w:val="22"/>
          <w:szCs w:val="22"/>
        </w:rPr>
        <w:t xml:space="preserve">Ψυχιατρικές διαταραχές </w:t>
      </w:r>
    </w:p>
    <w:p w:rsidR="006351AF" w:rsidRDefault="006351AF" w:rsidP="006351AF">
      <w:pPr>
        <w:pStyle w:val="Default"/>
        <w:rPr>
          <w:color w:val="auto"/>
          <w:sz w:val="22"/>
          <w:szCs w:val="22"/>
        </w:rPr>
      </w:pPr>
      <w:r>
        <w:rPr>
          <w:color w:val="auto"/>
          <w:sz w:val="22"/>
          <w:szCs w:val="22"/>
        </w:rPr>
        <w:t xml:space="preserve">Συχνές: αϋπνία </w:t>
      </w:r>
    </w:p>
    <w:p w:rsidR="006351AF" w:rsidRDefault="006351AF" w:rsidP="006351AF">
      <w:pPr>
        <w:pStyle w:val="Default"/>
        <w:rPr>
          <w:color w:val="auto"/>
          <w:sz w:val="22"/>
          <w:szCs w:val="22"/>
        </w:rPr>
      </w:pPr>
      <w:r>
        <w:rPr>
          <w:color w:val="auto"/>
          <w:sz w:val="22"/>
          <w:szCs w:val="22"/>
        </w:rPr>
        <w:t xml:space="preserve">Ασυνήθεις: νευρικότητα </w:t>
      </w:r>
    </w:p>
    <w:p w:rsidR="006351AF" w:rsidRDefault="006351AF" w:rsidP="006351AF">
      <w:pPr>
        <w:pStyle w:val="Default"/>
        <w:rPr>
          <w:color w:val="auto"/>
          <w:sz w:val="22"/>
          <w:szCs w:val="22"/>
        </w:rPr>
      </w:pPr>
      <w:r>
        <w:rPr>
          <w:color w:val="auto"/>
          <w:sz w:val="22"/>
          <w:szCs w:val="22"/>
        </w:rPr>
        <w:t xml:space="preserve">Σπάνιες: κατάθλιψη </w:t>
      </w:r>
    </w:p>
    <w:p w:rsidR="006351AF" w:rsidRDefault="006351AF" w:rsidP="006351AF">
      <w:pPr>
        <w:pStyle w:val="Default"/>
        <w:rPr>
          <w:color w:val="auto"/>
          <w:sz w:val="22"/>
          <w:szCs w:val="22"/>
        </w:rPr>
      </w:pPr>
      <w:r>
        <w:rPr>
          <w:color w:val="auto"/>
          <w:sz w:val="22"/>
          <w:szCs w:val="22"/>
        </w:rPr>
        <w:t xml:space="preserve">Άγνωστες: σύγχυση </w:t>
      </w:r>
    </w:p>
    <w:p w:rsidR="006351AF" w:rsidRDefault="006351AF" w:rsidP="006351AF">
      <w:pPr>
        <w:pStyle w:val="Default"/>
        <w:rPr>
          <w:color w:val="auto"/>
          <w:sz w:val="22"/>
          <w:szCs w:val="22"/>
        </w:rPr>
      </w:pPr>
      <w:r>
        <w:rPr>
          <w:b/>
          <w:bCs/>
          <w:color w:val="auto"/>
          <w:sz w:val="22"/>
          <w:szCs w:val="22"/>
        </w:rPr>
        <w:t xml:space="preserve">Διαταραχές του νευρικού συστήματος </w:t>
      </w:r>
    </w:p>
    <w:p w:rsidR="006351AF" w:rsidRDefault="006351AF" w:rsidP="006351AF">
      <w:pPr>
        <w:pStyle w:val="Default"/>
        <w:rPr>
          <w:color w:val="auto"/>
          <w:sz w:val="22"/>
          <w:szCs w:val="22"/>
        </w:rPr>
      </w:pPr>
      <w:r>
        <w:rPr>
          <w:color w:val="auto"/>
          <w:sz w:val="22"/>
          <w:szCs w:val="22"/>
        </w:rPr>
        <w:lastRenderedPageBreak/>
        <w:t xml:space="preserve">Συχνές: κεφαλαλγία, ζαλάδα </w:t>
      </w:r>
    </w:p>
    <w:p w:rsidR="006351AF" w:rsidRDefault="006351AF" w:rsidP="006351AF">
      <w:pPr>
        <w:pStyle w:val="Default"/>
        <w:rPr>
          <w:color w:val="auto"/>
          <w:sz w:val="22"/>
          <w:szCs w:val="22"/>
        </w:rPr>
      </w:pPr>
      <w:r>
        <w:rPr>
          <w:color w:val="auto"/>
          <w:sz w:val="22"/>
          <w:szCs w:val="22"/>
        </w:rPr>
        <w:t xml:space="preserve">Ασυνήθεις: υπνηλία </w:t>
      </w:r>
    </w:p>
    <w:p w:rsidR="006351AF" w:rsidRDefault="006351AF" w:rsidP="006351AF">
      <w:pPr>
        <w:pStyle w:val="Default"/>
        <w:rPr>
          <w:color w:val="auto"/>
          <w:sz w:val="22"/>
          <w:szCs w:val="22"/>
        </w:rPr>
      </w:pPr>
      <w:r>
        <w:rPr>
          <w:b/>
          <w:bCs/>
          <w:color w:val="auto"/>
          <w:sz w:val="22"/>
          <w:szCs w:val="22"/>
        </w:rPr>
        <w:t xml:space="preserve">Οφθαλμικές διαταραχές </w:t>
      </w:r>
    </w:p>
    <w:p w:rsidR="006351AF" w:rsidRDefault="006351AF" w:rsidP="006351AF">
      <w:pPr>
        <w:pStyle w:val="Default"/>
        <w:rPr>
          <w:color w:val="auto"/>
          <w:sz w:val="22"/>
          <w:szCs w:val="22"/>
        </w:rPr>
      </w:pPr>
      <w:r>
        <w:rPr>
          <w:color w:val="auto"/>
          <w:sz w:val="22"/>
          <w:szCs w:val="22"/>
        </w:rPr>
        <w:t xml:space="preserve">Σπάνιες: διαταραχές όρασης </w:t>
      </w:r>
    </w:p>
    <w:p w:rsidR="006351AF" w:rsidRDefault="006351AF" w:rsidP="006351AF">
      <w:pPr>
        <w:pStyle w:val="Default"/>
        <w:rPr>
          <w:color w:val="auto"/>
          <w:sz w:val="22"/>
          <w:szCs w:val="22"/>
        </w:rPr>
      </w:pPr>
      <w:r>
        <w:rPr>
          <w:b/>
          <w:bCs/>
          <w:color w:val="auto"/>
          <w:sz w:val="22"/>
          <w:szCs w:val="22"/>
        </w:rPr>
        <w:t xml:space="preserve">Αγγειακές διαταραχές </w:t>
      </w:r>
    </w:p>
    <w:p w:rsidR="006351AF" w:rsidRDefault="006351AF" w:rsidP="006351AF">
      <w:pPr>
        <w:pStyle w:val="Default"/>
        <w:rPr>
          <w:color w:val="auto"/>
          <w:sz w:val="22"/>
          <w:szCs w:val="22"/>
        </w:rPr>
      </w:pPr>
      <w:r>
        <w:rPr>
          <w:color w:val="auto"/>
          <w:sz w:val="22"/>
          <w:szCs w:val="22"/>
        </w:rPr>
        <w:t xml:space="preserve">Άγνωστες: περιφερειακό οίδημα </w:t>
      </w:r>
    </w:p>
    <w:p w:rsidR="006351AF" w:rsidRDefault="006351AF" w:rsidP="006351AF">
      <w:pPr>
        <w:pStyle w:val="Default"/>
        <w:rPr>
          <w:color w:val="auto"/>
          <w:sz w:val="22"/>
          <w:szCs w:val="22"/>
        </w:rPr>
      </w:pPr>
      <w:r>
        <w:rPr>
          <w:b/>
          <w:bCs/>
          <w:color w:val="auto"/>
          <w:sz w:val="22"/>
          <w:szCs w:val="22"/>
        </w:rPr>
        <w:t xml:space="preserve">Διαταραχές του αναπνευστικού συστήματος, του θώρακα και του </w:t>
      </w:r>
      <w:proofErr w:type="spellStart"/>
      <w:r>
        <w:rPr>
          <w:b/>
          <w:bCs/>
          <w:color w:val="auto"/>
          <w:sz w:val="22"/>
          <w:szCs w:val="22"/>
        </w:rPr>
        <w:t>μεσοθωράκιου</w:t>
      </w:r>
      <w:proofErr w:type="spellEnd"/>
      <w:r>
        <w:rPr>
          <w:b/>
          <w:bCs/>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Συχνές: βήχας, φαρυγγίτιδα, ρινίτιδα </w:t>
      </w:r>
    </w:p>
    <w:p w:rsidR="006351AF" w:rsidRDefault="006351AF" w:rsidP="006351AF">
      <w:pPr>
        <w:pStyle w:val="Default"/>
        <w:rPr>
          <w:color w:val="auto"/>
          <w:sz w:val="22"/>
          <w:szCs w:val="22"/>
        </w:rPr>
      </w:pPr>
      <w:r>
        <w:rPr>
          <w:color w:val="auto"/>
          <w:sz w:val="22"/>
          <w:szCs w:val="22"/>
        </w:rPr>
        <w:t xml:space="preserve">Ασυνήθεις: βρογχίτιδα, ιγμορίτιδα </w:t>
      </w:r>
    </w:p>
    <w:p w:rsidR="006351AF" w:rsidRDefault="006351AF" w:rsidP="006351AF">
      <w:pPr>
        <w:pStyle w:val="Default"/>
        <w:rPr>
          <w:color w:val="auto"/>
          <w:sz w:val="22"/>
          <w:szCs w:val="22"/>
        </w:rPr>
      </w:pPr>
      <w:r>
        <w:rPr>
          <w:b/>
          <w:bCs/>
          <w:color w:val="auto"/>
          <w:sz w:val="22"/>
          <w:szCs w:val="22"/>
        </w:rPr>
        <w:t xml:space="preserve">Διαταραχές του γαστρεντερικού συστήματος/διαταραχές του μεταβολισμού </w:t>
      </w:r>
    </w:p>
    <w:p w:rsidR="006351AF" w:rsidRDefault="006351AF" w:rsidP="006351AF">
      <w:pPr>
        <w:pStyle w:val="Default"/>
        <w:rPr>
          <w:color w:val="auto"/>
          <w:sz w:val="22"/>
          <w:szCs w:val="22"/>
        </w:rPr>
      </w:pPr>
      <w:r>
        <w:rPr>
          <w:color w:val="auto"/>
          <w:sz w:val="22"/>
          <w:szCs w:val="22"/>
        </w:rPr>
        <w:t xml:space="preserve">Συχνές: διάρροια, εμετός, ναυτία, κοιλιακό άλγος, δυσκοιλιότητα, τυμπανισμός </w:t>
      </w:r>
    </w:p>
    <w:p w:rsidR="006351AF" w:rsidRDefault="006351AF" w:rsidP="006351AF">
      <w:pPr>
        <w:pStyle w:val="Default"/>
        <w:rPr>
          <w:color w:val="auto"/>
          <w:sz w:val="22"/>
          <w:szCs w:val="22"/>
        </w:rPr>
      </w:pPr>
      <w:r>
        <w:rPr>
          <w:color w:val="auto"/>
          <w:sz w:val="22"/>
          <w:szCs w:val="22"/>
        </w:rPr>
        <w:t xml:space="preserve">Ασυνήθεις: δυσπεψία, ξηροστομία, ερευγμός </w:t>
      </w:r>
    </w:p>
    <w:p w:rsidR="006351AF" w:rsidRDefault="006351AF" w:rsidP="006351AF">
      <w:pPr>
        <w:pStyle w:val="Default"/>
        <w:rPr>
          <w:color w:val="auto"/>
          <w:sz w:val="22"/>
          <w:szCs w:val="22"/>
        </w:rPr>
      </w:pPr>
      <w:r>
        <w:rPr>
          <w:color w:val="auto"/>
          <w:sz w:val="22"/>
          <w:szCs w:val="22"/>
        </w:rPr>
        <w:t xml:space="preserve">Σπάνιες: γαστρίτιδα, στοματίτιδα, διαταραχή γεύσης </w:t>
      </w:r>
    </w:p>
    <w:p w:rsidR="006351AF" w:rsidRDefault="006351AF" w:rsidP="006351AF">
      <w:pPr>
        <w:pStyle w:val="Default"/>
        <w:rPr>
          <w:color w:val="auto"/>
          <w:sz w:val="22"/>
          <w:szCs w:val="22"/>
        </w:rPr>
      </w:pPr>
      <w:r>
        <w:rPr>
          <w:b/>
          <w:bCs/>
          <w:color w:val="auto"/>
          <w:sz w:val="22"/>
          <w:szCs w:val="22"/>
        </w:rPr>
        <w:t xml:space="preserve">Διαταραχές του ήπατος και των χοληφόρων </w:t>
      </w:r>
    </w:p>
    <w:p w:rsidR="006351AF" w:rsidRDefault="006351AF" w:rsidP="006351AF">
      <w:pPr>
        <w:pStyle w:val="Default"/>
        <w:rPr>
          <w:color w:val="auto"/>
          <w:sz w:val="14"/>
          <w:szCs w:val="14"/>
        </w:rPr>
      </w:pPr>
      <w:r>
        <w:rPr>
          <w:color w:val="auto"/>
          <w:sz w:val="22"/>
          <w:szCs w:val="22"/>
        </w:rPr>
        <w:t>Σπάνιες: ηπατίτιδα, ίκτερος, ηπατική εγκεφαλοπάθεια</w:t>
      </w:r>
      <w:r>
        <w:rPr>
          <w:color w:val="auto"/>
          <w:sz w:val="14"/>
          <w:szCs w:val="14"/>
        </w:rPr>
        <w:t xml:space="preserve">3 </w:t>
      </w:r>
    </w:p>
    <w:p w:rsidR="006351AF" w:rsidRDefault="006351AF" w:rsidP="006351AF">
      <w:pPr>
        <w:pStyle w:val="Default"/>
        <w:rPr>
          <w:color w:val="auto"/>
          <w:sz w:val="22"/>
          <w:szCs w:val="22"/>
        </w:rPr>
      </w:pPr>
      <w:r>
        <w:rPr>
          <w:b/>
          <w:bCs/>
          <w:color w:val="auto"/>
          <w:sz w:val="22"/>
          <w:szCs w:val="22"/>
        </w:rPr>
        <w:t xml:space="preserve">Διαταραχές του δέρματος και του υποδόριου ιστού </w:t>
      </w:r>
    </w:p>
    <w:p w:rsidR="006351AF" w:rsidRDefault="006351AF" w:rsidP="006351AF">
      <w:pPr>
        <w:pStyle w:val="Default"/>
        <w:rPr>
          <w:color w:val="auto"/>
          <w:sz w:val="14"/>
          <w:szCs w:val="14"/>
        </w:rPr>
      </w:pPr>
      <w:r>
        <w:rPr>
          <w:color w:val="auto"/>
          <w:sz w:val="22"/>
          <w:szCs w:val="22"/>
        </w:rPr>
        <w:t>Ασυνήθεις: εξάνθημα, ερυθρότητα</w:t>
      </w:r>
      <w:r>
        <w:rPr>
          <w:color w:val="auto"/>
          <w:sz w:val="14"/>
          <w:szCs w:val="14"/>
        </w:rPr>
        <w:t xml:space="preserve">2 </w:t>
      </w:r>
    </w:p>
    <w:p w:rsidR="006351AF" w:rsidRDefault="006351AF" w:rsidP="006351AF">
      <w:pPr>
        <w:pStyle w:val="Default"/>
        <w:rPr>
          <w:color w:val="auto"/>
          <w:sz w:val="14"/>
          <w:szCs w:val="14"/>
        </w:rPr>
      </w:pPr>
      <w:r>
        <w:rPr>
          <w:color w:val="auto"/>
          <w:sz w:val="22"/>
          <w:szCs w:val="22"/>
        </w:rPr>
        <w:t>Σπάνιες: κνησμός, εφίδρωση, φυσαλιδώδεις αντιδράσεις</w:t>
      </w:r>
      <w:r>
        <w:rPr>
          <w:color w:val="auto"/>
          <w:sz w:val="14"/>
          <w:szCs w:val="14"/>
        </w:rPr>
        <w:t xml:space="preserve">3 </w:t>
      </w:r>
    </w:p>
    <w:p w:rsidR="006351AF" w:rsidRDefault="006351AF" w:rsidP="006351AF">
      <w:pPr>
        <w:pStyle w:val="Default"/>
        <w:rPr>
          <w:color w:val="auto"/>
          <w:sz w:val="22"/>
          <w:szCs w:val="22"/>
        </w:rPr>
      </w:pPr>
      <w:r>
        <w:rPr>
          <w:color w:val="auto"/>
          <w:sz w:val="22"/>
          <w:szCs w:val="22"/>
        </w:rPr>
        <w:t xml:space="preserve">Πολύ σπάνιες: πολύμορφο ερύθημα, τοξική επιδερμική </w:t>
      </w:r>
      <w:proofErr w:type="spellStart"/>
      <w:r>
        <w:rPr>
          <w:color w:val="auto"/>
          <w:sz w:val="22"/>
          <w:szCs w:val="22"/>
        </w:rPr>
        <w:t>νεκρόλυση</w:t>
      </w:r>
      <w:proofErr w:type="spellEnd"/>
      <w:r>
        <w:rPr>
          <w:color w:val="auto"/>
          <w:sz w:val="22"/>
          <w:szCs w:val="22"/>
        </w:rPr>
        <w:t xml:space="preserve"> (ΤΕΝ), σύνδρομο </w:t>
      </w:r>
      <w:proofErr w:type="spellStart"/>
      <w:r>
        <w:rPr>
          <w:color w:val="auto"/>
          <w:sz w:val="22"/>
          <w:szCs w:val="22"/>
        </w:rPr>
        <w:t>Stevens</w:t>
      </w:r>
      <w:proofErr w:type="spellEnd"/>
      <w:r>
        <w:rPr>
          <w:color w:val="auto"/>
          <w:sz w:val="22"/>
          <w:szCs w:val="22"/>
        </w:rPr>
        <w:t xml:space="preserve"> </w:t>
      </w:r>
      <w:proofErr w:type="spellStart"/>
      <w:r>
        <w:rPr>
          <w:color w:val="auto"/>
          <w:sz w:val="22"/>
          <w:szCs w:val="22"/>
        </w:rPr>
        <w:t>Johnson</w:t>
      </w:r>
      <w:proofErr w:type="spellEnd"/>
      <w:r>
        <w:rPr>
          <w:color w:val="auto"/>
          <w:sz w:val="22"/>
          <w:szCs w:val="22"/>
        </w:rPr>
        <w:t xml:space="preserve"> (SJS) </w:t>
      </w:r>
    </w:p>
    <w:p w:rsidR="006351AF" w:rsidRDefault="006351AF" w:rsidP="006351AF">
      <w:pPr>
        <w:pStyle w:val="Default"/>
        <w:rPr>
          <w:color w:val="auto"/>
          <w:sz w:val="22"/>
          <w:szCs w:val="22"/>
        </w:rPr>
      </w:pPr>
      <w:r>
        <w:rPr>
          <w:b/>
          <w:bCs/>
          <w:color w:val="auto"/>
          <w:sz w:val="22"/>
          <w:szCs w:val="22"/>
        </w:rPr>
        <w:t xml:space="preserve">Διαταραχές του </w:t>
      </w:r>
      <w:proofErr w:type="spellStart"/>
      <w:r>
        <w:rPr>
          <w:b/>
          <w:bCs/>
          <w:color w:val="auto"/>
          <w:sz w:val="22"/>
          <w:szCs w:val="22"/>
        </w:rPr>
        <w:t>μυοσκελετικού</w:t>
      </w:r>
      <w:proofErr w:type="spellEnd"/>
      <w:r>
        <w:rPr>
          <w:b/>
          <w:bCs/>
          <w:color w:val="auto"/>
          <w:sz w:val="22"/>
          <w:szCs w:val="22"/>
        </w:rPr>
        <w:t xml:space="preserve"> συστήματος και του συνδετικού ιστού </w:t>
      </w:r>
    </w:p>
    <w:p w:rsidR="006351AF" w:rsidRDefault="006351AF" w:rsidP="006351AF">
      <w:pPr>
        <w:pStyle w:val="Default"/>
        <w:rPr>
          <w:color w:val="auto"/>
          <w:sz w:val="22"/>
          <w:szCs w:val="22"/>
        </w:rPr>
      </w:pPr>
      <w:r>
        <w:rPr>
          <w:color w:val="auto"/>
          <w:sz w:val="22"/>
          <w:szCs w:val="22"/>
        </w:rPr>
        <w:t xml:space="preserve">Συχνές: μη-συγκεκριμένος πόνος/πόνος στην πλάτη </w:t>
      </w:r>
    </w:p>
    <w:p w:rsidR="006351AF" w:rsidRDefault="006351AF" w:rsidP="006351AF">
      <w:pPr>
        <w:pStyle w:val="Default"/>
        <w:rPr>
          <w:color w:val="auto"/>
          <w:sz w:val="22"/>
          <w:szCs w:val="22"/>
        </w:rPr>
      </w:pPr>
      <w:r>
        <w:rPr>
          <w:color w:val="auto"/>
          <w:sz w:val="22"/>
          <w:szCs w:val="22"/>
        </w:rPr>
        <w:t xml:space="preserve">Ασυνήθεις: μυαλγία, κράμπες στα πόδια, άλγος στις αρθρώσεις, Συχνότητα (μη συνηθισμένη): Κάταγμα του ισχίου, του καρπού ή της σπονδυλικής στήλης (βλέπε ενότητα 4.4) </w:t>
      </w:r>
    </w:p>
    <w:p w:rsidR="006351AF" w:rsidRDefault="006351AF" w:rsidP="006351AF">
      <w:pPr>
        <w:pStyle w:val="Default"/>
        <w:rPr>
          <w:color w:val="auto"/>
          <w:sz w:val="22"/>
          <w:szCs w:val="22"/>
        </w:rPr>
      </w:pPr>
      <w:r>
        <w:rPr>
          <w:b/>
          <w:bCs/>
          <w:color w:val="auto"/>
          <w:sz w:val="22"/>
          <w:szCs w:val="22"/>
        </w:rPr>
        <w:t xml:space="preserve">Διαταραχές των νεφρών και των ουροφόρων οδών </w:t>
      </w:r>
    </w:p>
    <w:p w:rsidR="006351AF" w:rsidRDefault="006351AF" w:rsidP="006351AF">
      <w:pPr>
        <w:pStyle w:val="Default"/>
        <w:rPr>
          <w:color w:val="auto"/>
          <w:sz w:val="22"/>
          <w:szCs w:val="22"/>
        </w:rPr>
      </w:pPr>
      <w:r>
        <w:rPr>
          <w:color w:val="auto"/>
          <w:sz w:val="22"/>
          <w:szCs w:val="22"/>
        </w:rPr>
        <w:t xml:space="preserve">Ασυνήθεις: λοίμωξη ουροποιητικού σωλήνα </w:t>
      </w:r>
    </w:p>
    <w:p w:rsidR="006351AF" w:rsidRPr="006351AF" w:rsidRDefault="006351AF" w:rsidP="006351AF">
      <w:pPr>
        <w:pStyle w:val="Default"/>
        <w:rPr>
          <w:color w:val="auto"/>
          <w:sz w:val="22"/>
          <w:szCs w:val="22"/>
        </w:rPr>
      </w:pPr>
      <w:r>
        <w:rPr>
          <w:color w:val="auto"/>
          <w:sz w:val="22"/>
          <w:szCs w:val="22"/>
        </w:rPr>
        <w:t xml:space="preserve">Σπάνιες: διάμεση νεφρίτιδα </w:t>
      </w:r>
    </w:p>
    <w:p w:rsidR="006351AF" w:rsidRDefault="006351AF" w:rsidP="006351AF">
      <w:pPr>
        <w:pStyle w:val="Default"/>
        <w:rPr>
          <w:color w:val="auto"/>
          <w:sz w:val="22"/>
          <w:szCs w:val="22"/>
        </w:rPr>
      </w:pPr>
      <w:r>
        <w:rPr>
          <w:b/>
          <w:bCs/>
          <w:color w:val="auto"/>
          <w:sz w:val="22"/>
          <w:szCs w:val="22"/>
        </w:rPr>
        <w:t xml:space="preserve">Διαταραχές του αναπαραγωγικού συστήματος και του μαστού </w:t>
      </w:r>
    </w:p>
    <w:p w:rsidR="006351AF" w:rsidRDefault="006351AF" w:rsidP="006351AF">
      <w:pPr>
        <w:pStyle w:val="Default"/>
        <w:rPr>
          <w:color w:val="auto"/>
          <w:sz w:val="22"/>
          <w:szCs w:val="22"/>
        </w:rPr>
      </w:pPr>
      <w:r>
        <w:rPr>
          <w:color w:val="auto"/>
          <w:sz w:val="22"/>
          <w:szCs w:val="22"/>
        </w:rPr>
        <w:t xml:space="preserve">Άγνωστες: γυναικομαστία </w:t>
      </w:r>
    </w:p>
    <w:p w:rsidR="006351AF" w:rsidRDefault="006351AF" w:rsidP="006351AF">
      <w:pPr>
        <w:pStyle w:val="Default"/>
        <w:rPr>
          <w:color w:val="auto"/>
          <w:sz w:val="22"/>
          <w:szCs w:val="22"/>
        </w:rPr>
      </w:pPr>
      <w:r>
        <w:rPr>
          <w:b/>
          <w:bCs/>
          <w:color w:val="auto"/>
          <w:sz w:val="22"/>
          <w:szCs w:val="22"/>
        </w:rPr>
        <w:t xml:space="preserve">Γενικές διαταραχές </w:t>
      </w:r>
    </w:p>
    <w:p w:rsidR="006351AF" w:rsidRDefault="006351AF" w:rsidP="006351AF">
      <w:pPr>
        <w:pStyle w:val="Default"/>
        <w:rPr>
          <w:color w:val="auto"/>
          <w:sz w:val="22"/>
          <w:szCs w:val="22"/>
        </w:rPr>
      </w:pPr>
      <w:r>
        <w:rPr>
          <w:color w:val="auto"/>
          <w:sz w:val="22"/>
          <w:szCs w:val="22"/>
        </w:rPr>
        <w:t xml:space="preserve">Συχνές: αδυναμία, ασθένεια με συμπτώματα γρίπης </w:t>
      </w:r>
    </w:p>
    <w:p w:rsidR="006351AF" w:rsidRDefault="006351AF" w:rsidP="006351AF">
      <w:pPr>
        <w:pStyle w:val="Default"/>
        <w:rPr>
          <w:color w:val="auto"/>
          <w:sz w:val="22"/>
          <w:szCs w:val="22"/>
        </w:rPr>
      </w:pPr>
      <w:r>
        <w:rPr>
          <w:color w:val="auto"/>
          <w:sz w:val="22"/>
          <w:szCs w:val="22"/>
        </w:rPr>
        <w:t xml:space="preserve">Ασυνήθεις: πόνος στο στήθος, ρίγος, </w:t>
      </w:r>
      <w:proofErr w:type="spellStart"/>
      <w:r>
        <w:rPr>
          <w:color w:val="auto"/>
          <w:sz w:val="22"/>
          <w:szCs w:val="22"/>
        </w:rPr>
        <w:t>πυρεξία</w:t>
      </w:r>
      <w:proofErr w:type="spellEnd"/>
      <w:r>
        <w:rPr>
          <w:color w:val="auto"/>
          <w:sz w:val="22"/>
          <w:szCs w:val="22"/>
        </w:rPr>
        <w:t xml:space="preserve"> </w:t>
      </w:r>
    </w:p>
    <w:p w:rsidR="006351AF" w:rsidRDefault="006351AF" w:rsidP="006351AF">
      <w:pPr>
        <w:pStyle w:val="Default"/>
        <w:rPr>
          <w:color w:val="auto"/>
          <w:sz w:val="22"/>
          <w:szCs w:val="22"/>
        </w:rPr>
      </w:pPr>
      <w:proofErr w:type="spellStart"/>
      <w:r>
        <w:rPr>
          <w:b/>
          <w:bCs/>
          <w:color w:val="auto"/>
          <w:sz w:val="22"/>
          <w:szCs w:val="22"/>
        </w:rPr>
        <w:t>Ερευνες</w:t>
      </w:r>
      <w:proofErr w:type="spellEnd"/>
      <w:r>
        <w:rPr>
          <w:b/>
          <w:bCs/>
          <w:color w:val="auto"/>
          <w:sz w:val="22"/>
          <w:szCs w:val="22"/>
        </w:rPr>
        <w:t xml:space="preserve"> </w:t>
      </w:r>
    </w:p>
    <w:p w:rsidR="006351AF" w:rsidRDefault="006351AF" w:rsidP="006351AF">
      <w:pPr>
        <w:pStyle w:val="Default"/>
        <w:rPr>
          <w:color w:val="auto"/>
          <w:sz w:val="14"/>
          <w:szCs w:val="14"/>
        </w:rPr>
      </w:pPr>
      <w:r>
        <w:rPr>
          <w:color w:val="auto"/>
          <w:sz w:val="22"/>
          <w:szCs w:val="22"/>
        </w:rPr>
        <w:t>Ασυνήθεις: αυξημένα ηπατικά ένζυμα</w:t>
      </w:r>
      <w:r>
        <w:rPr>
          <w:color w:val="auto"/>
          <w:sz w:val="14"/>
          <w:szCs w:val="14"/>
        </w:rPr>
        <w:t xml:space="preserve">3 </w:t>
      </w:r>
    </w:p>
    <w:p w:rsidR="006351AF" w:rsidRDefault="006351AF" w:rsidP="006351AF">
      <w:pPr>
        <w:pStyle w:val="Default"/>
        <w:rPr>
          <w:color w:val="auto"/>
          <w:sz w:val="22"/>
          <w:szCs w:val="22"/>
        </w:rPr>
      </w:pPr>
      <w:r>
        <w:rPr>
          <w:color w:val="auto"/>
          <w:sz w:val="22"/>
          <w:szCs w:val="22"/>
        </w:rPr>
        <w:t xml:space="preserve">Σπάνιες: προσθήκη βάρους </w:t>
      </w:r>
    </w:p>
    <w:p w:rsidR="006351AF" w:rsidRDefault="006351AF" w:rsidP="006351AF">
      <w:pPr>
        <w:pStyle w:val="Default"/>
        <w:rPr>
          <w:color w:val="auto"/>
          <w:sz w:val="22"/>
          <w:szCs w:val="22"/>
        </w:rPr>
      </w:pPr>
      <w:r>
        <w:rPr>
          <w:color w:val="auto"/>
          <w:sz w:val="14"/>
          <w:szCs w:val="14"/>
        </w:rPr>
        <w:t xml:space="preserve">1 </w:t>
      </w:r>
      <w:r>
        <w:rPr>
          <w:color w:val="auto"/>
          <w:sz w:val="22"/>
          <w:szCs w:val="22"/>
        </w:rPr>
        <w:t xml:space="preserve">Περιλαμβάνει οίδημα προσώπου, υπόταση, δύσπνοια. </w:t>
      </w:r>
    </w:p>
    <w:p w:rsidR="006351AF" w:rsidRDefault="006351AF" w:rsidP="006351AF">
      <w:pPr>
        <w:pStyle w:val="Default"/>
        <w:rPr>
          <w:color w:val="auto"/>
          <w:sz w:val="22"/>
          <w:szCs w:val="22"/>
        </w:rPr>
      </w:pPr>
      <w:r>
        <w:rPr>
          <w:color w:val="auto"/>
          <w:sz w:val="14"/>
          <w:szCs w:val="14"/>
        </w:rPr>
        <w:t xml:space="preserve">2 </w:t>
      </w:r>
      <w:r>
        <w:rPr>
          <w:color w:val="auto"/>
          <w:sz w:val="22"/>
          <w:szCs w:val="22"/>
        </w:rPr>
        <w:t xml:space="preserve">Το ερύθημα, οι </w:t>
      </w:r>
      <w:proofErr w:type="spellStart"/>
      <w:r>
        <w:rPr>
          <w:color w:val="auto"/>
          <w:sz w:val="22"/>
          <w:szCs w:val="22"/>
        </w:rPr>
        <w:t>πομφολυγώδεις</w:t>
      </w:r>
      <w:proofErr w:type="spellEnd"/>
      <w:r>
        <w:rPr>
          <w:color w:val="auto"/>
          <w:sz w:val="22"/>
          <w:szCs w:val="22"/>
        </w:rPr>
        <w:t xml:space="preserve"> αντιδράσεις και οι αντιδράσεις υπερευαισθησίας συνήθως σταματούν μετά τη διακοπή της θεραπείας. </w:t>
      </w:r>
    </w:p>
    <w:p w:rsidR="006351AF" w:rsidRPr="006351AF" w:rsidRDefault="006351AF" w:rsidP="006351AF">
      <w:pPr>
        <w:pStyle w:val="Default"/>
        <w:rPr>
          <w:color w:val="auto"/>
          <w:sz w:val="22"/>
          <w:szCs w:val="22"/>
        </w:rPr>
      </w:pPr>
      <w:r>
        <w:rPr>
          <w:color w:val="auto"/>
          <w:sz w:val="14"/>
          <w:szCs w:val="14"/>
        </w:rPr>
        <w:t xml:space="preserve">3 </w:t>
      </w:r>
      <w:r>
        <w:rPr>
          <w:color w:val="auto"/>
          <w:sz w:val="22"/>
          <w:szCs w:val="22"/>
        </w:rPr>
        <w:t xml:space="preserve">Υπάρχουν σπάνιες αναφορές ηπατικής εγκεφαλοπάθειας από ασθενείς με υποκείμενη κίρρωση. Στη θεραπεία ασθενών με σοβαρή ηπατική ανεπάρκεια, θα πρέπει να δοθεί προσοχή από το γιατρό όταν η θεραπεία με το RABEREN /IASIS ξεκινήσει σε αυτούς τους ασθενείς (βλέπε ενότητα 4.4). </w:t>
      </w:r>
    </w:p>
    <w:p w:rsidR="006351AF" w:rsidRP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4.9. </w:t>
      </w:r>
      <w:proofErr w:type="spellStart"/>
      <w:r>
        <w:rPr>
          <w:b/>
          <w:bCs/>
          <w:color w:val="auto"/>
          <w:sz w:val="22"/>
          <w:szCs w:val="22"/>
        </w:rPr>
        <w:t>Υπερδοσολογία</w:t>
      </w:r>
      <w:proofErr w:type="spellEnd"/>
      <w:r>
        <w:rPr>
          <w:b/>
          <w:bCs/>
          <w:color w:val="auto"/>
          <w:sz w:val="22"/>
          <w:szCs w:val="22"/>
        </w:rPr>
        <w:t xml:space="preserve"> </w:t>
      </w:r>
    </w:p>
    <w:p w:rsidR="006351AF" w:rsidRPr="00983AB3" w:rsidRDefault="006351AF" w:rsidP="006351AF">
      <w:pPr>
        <w:pStyle w:val="Default"/>
        <w:rPr>
          <w:color w:val="auto"/>
          <w:sz w:val="22"/>
          <w:szCs w:val="22"/>
        </w:rPr>
      </w:pPr>
      <w:r>
        <w:rPr>
          <w:color w:val="auto"/>
          <w:sz w:val="22"/>
          <w:szCs w:val="22"/>
        </w:rPr>
        <w:t xml:space="preserve">Η μέχρι στιγμής εμπειρία με εσκεμμένη ή τυχαία </w:t>
      </w:r>
      <w:proofErr w:type="spellStart"/>
      <w:r>
        <w:rPr>
          <w:color w:val="auto"/>
          <w:sz w:val="22"/>
          <w:szCs w:val="22"/>
        </w:rPr>
        <w:t>υπερδοσολογία</w:t>
      </w:r>
      <w:proofErr w:type="spellEnd"/>
      <w:r>
        <w:rPr>
          <w:color w:val="auto"/>
          <w:sz w:val="22"/>
          <w:szCs w:val="22"/>
        </w:rPr>
        <w:t xml:space="preserve"> είναι περιορισμένη Η εδραιωμένη έκθεση δεν έχει υπερβεί τα 60 </w:t>
      </w:r>
      <w:proofErr w:type="spellStart"/>
      <w:r>
        <w:rPr>
          <w:color w:val="auto"/>
          <w:sz w:val="22"/>
          <w:szCs w:val="22"/>
        </w:rPr>
        <w:t>mg</w:t>
      </w:r>
      <w:proofErr w:type="spellEnd"/>
      <w:r>
        <w:rPr>
          <w:color w:val="auto"/>
          <w:sz w:val="22"/>
          <w:szCs w:val="22"/>
        </w:rPr>
        <w:t xml:space="preserve"> δύο φορές ημερησίως, ή τα 160 </w:t>
      </w:r>
      <w:proofErr w:type="spellStart"/>
      <w:r>
        <w:rPr>
          <w:color w:val="auto"/>
          <w:sz w:val="22"/>
          <w:szCs w:val="22"/>
        </w:rPr>
        <w:t>mg</w:t>
      </w:r>
      <w:proofErr w:type="spellEnd"/>
      <w:r>
        <w:rPr>
          <w:color w:val="auto"/>
          <w:sz w:val="22"/>
          <w:szCs w:val="22"/>
        </w:rPr>
        <w:t xml:space="preserve"> άπαξ ημερησίως. Οι επιδράσεις είναι γενικώς ελάχιστες, αντίστοιχες του γνωστού προφίλ ανεπιθύμητων ενεργειών και αναστρέψιμες χωρίς περαιτέρω ιατρική παρέμβαση. Δεν είναι γνωστό κάποιο συγκεκριμένο αντίδοτο. Η νατριούχος </w:t>
      </w:r>
      <w:proofErr w:type="spellStart"/>
      <w:r>
        <w:rPr>
          <w:color w:val="auto"/>
          <w:sz w:val="22"/>
          <w:szCs w:val="22"/>
        </w:rPr>
        <w:t>ραβεπραζόλη</w:t>
      </w:r>
      <w:proofErr w:type="spellEnd"/>
      <w:r>
        <w:rPr>
          <w:color w:val="auto"/>
          <w:sz w:val="22"/>
          <w:szCs w:val="22"/>
        </w:rPr>
        <w:t xml:space="preserve"> είναι δεσμεύεται εκτενώς σε πρωτεΐνες και επομένως δεν </w:t>
      </w:r>
      <w:proofErr w:type="spellStart"/>
      <w:r>
        <w:rPr>
          <w:color w:val="auto"/>
          <w:sz w:val="22"/>
          <w:szCs w:val="22"/>
        </w:rPr>
        <w:t>αιμοκαθαίρεται</w:t>
      </w:r>
      <w:proofErr w:type="spellEnd"/>
      <w:r>
        <w:rPr>
          <w:color w:val="auto"/>
          <w:sz w:val="22"/>
          <w:szCs w:val="22"/>
        </w:rPr>
        <w:t xml:space="preserve"> εύκολα. Όπως σε κάθε περίπτωση </w:t>
      </w:r>
      <w:proofErr w:type="spellStart"/>
      <w:r>
        <w:rPr>
          <w:color w:val="auto"/>
          <w:sz w:val="22"/>
          <w:szCs w:val="22"/>
        </w:rPr>
        <w:t>υπερδοσολογίας</w:t>
      </w:r>
      <w:proofErr w:type="spellEnd"/>
      <w:r>
        <w:rPr>
          <w:color w:val="auto"/>
          <w:sz w:val="22"/>
          <w:szCs w:val="22"/>
        </w:rPr>
        <w:t xml:space="preserve">, η θεραπεία θα πρέπει να είναι συμπτωματική και γενικά θα πρέπει να χρησιμοποιούνται υποστηρικτικά μέτρα.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5. ΦΑΡΜΑΚΟΛΟΓΙΚΕΣ ΙΔΙΟΤΗΤΕΣ </w:t>
      </w:r>
    </w:p>
    <w:p w:rsidR="006351AF" w:rsidRDefault="006351AF" w:rsidP="006351AF">
      <w:pPr>
        <w:pStyle w:val="Default"/>
        <w:rPr>
          <w:color w:val="auto"/>
          <w:sz w:val="22"/>
          <w:szCs w:val="22"/>
        </w:rPr>
      </w:pPr>
      <w:r>
        <w:rPr>
          <w:b/>
          <w:bCs/>
          <w:color w:val="auto"/>
          <w:sz w:val="22"/>
          <w:szCs w:val="22"/>
        </w:rPr>
        <w:lastRenderedPageBreak/>
        <w:t xml:space="preserve">5.1 Φαρμακοδυναμικές ιδιότητες </w:t>
      </w:r>
    </w:p>
    <w:p w:rsidR="006351AF" w:rsidRDefault="006351AF" w:rsidP="006351AF">
      <w:pPr>
        <w:pStyle w:val="Default"/>
        <w:rPr>
          <w:color w:val="auto"/>
          <w:sz w:val="22"/>
          <w:szCs w:val="22"/>
        </w:rPr>
      </w:pPr>
      <w:proofErr w:type="spellStart"/>
      <w:r>
        <w:rPr>
          <w:color w:val="auto"/>
          <w:sz w:val="22"/>
          <w:szCs w:val="22"/>
        </w:rPr>
        <w:t>Φαρμακοθεραπευτική</w:t>
      </w:r>
      <w:proofErr w:type="spellEnd"/>
      <w:r>
        <w:rPr>
          <w:color w:val="auto"/>
          <w:sz w:val="22"/>
          <w:szCs w:val="22"/>
        </w:rPr>
        <w:t xml:space="preserve"> ομάδα: Πεπτική οδός και μεταβολισμός, Φάρμακα για πεπτικό έλκος και τη </w:t>
      </w:r>
      <w:proofErr w:type="spellStart"/>
      <w:r>
        <w:rPr>
          <w:color w:val="auto"/>
          <w:sz w:val="22"/>
          <w:szCs w:val="22"/>
        </w:rPr>
        <w:t>γαστροοισοφαγική</w:t>
      </w:r>
      <w:proofErr w:type="spellEnd"/>
      <w:r>
        <w:rPr>
          <w:color w:val="auto"/>
          <w:sz w:val="22"/>
          <w:szCs w:val="22"/>
        </w:rPr>
        <w:t xml:space="preserve"> παλινδρόμηση (GORD), αναστολείς αντλίας πρωτονίων, κωδικός ATC: A02 BC04. </w:t>
      </w:r>
    </w:p>
    <w:p w:rsidR="006351AF" w:rsidRDefault="006351AF" w:rsidP="006351AF">
      <w:pPr>
        <w:pStyle w:val="Default"/>
        <w:rPr>
          <w:color w:val="auto"/>
          <w:sz w:val="22"/>
          <w:szCs w:val="22"/>
        </w:rPr>
      </w:pPr>
      <w:r>
        <w:rPr>
          <w:b/>
          <w:bCs/>
          <w:color w:val="auto"/>
          <w:sz w:val="22"/>
          <w:szCs w:val="22"/>
        </w:rPr>
        <w:t xml:space="preserve">Μηχανισμός δράσης: </w:t>
      </w:r>
    </w:p>
    <w:p w:rsidR="006351AF" w:rsidRDefault="006351AF" w:rsidP="006351AF">
      <w:pPr>
        <w:pStyle w:val="Default"/>
        <w:rPr>
          <w:color w:val="auto"/>
          <w:sz w:val="22"/>
          <w:szCs w:val="22"/>
        </w:rPr>
      </w:pPr>
      <w:r>
        <w:rPr>
          <w:color w:val="auto"/>
          <w:sz w:val="22"/>
          <w:szCs w:val="22"/>
        </w:rPr>
        <w:t xml:space="preserve">Η νατριούχος </w:t>
      </w:r>
      <w:proofErr w:type="spellStart"/>
      <w:r>
        <w:rPr>
          <w:color w:val="auto"/>
          <w:sz w:val="22"/>
          <w:szCs w:val="22"/>
        </w:rPr>
        <w:t>ραβεπραζόλη</w:t>
      </w:r>
      <w:proofErr w:type="spellEnd"/>
      <w:r>
        <w:rPr>
          <w:color w:val="auto"/>
          <w:sz w:val="22"/>
          <w:szCs w:val="22"/>
        </w:rPr>
        <w:t xml:space="preserve"> ανήκει στη κατηγορία των </w:t>
      </w:r>
      <w:proofErr w:type="spellStart"/>
      <w:r>
        <w:rPr>
          <w:color w:val="auto"/>
          <w:sz w:val="22"/>
          <w:szCs w:val="22"/>
        </w:rPr>
        <w:t>αντι</w:t>
      </w:r>
      <w:proofErr w:type="spellEnd"/>
      <w:r>
        <w:rPr>
          <w:color w:val="auto"/>
          <w:sz w:val="22"/>
          <w:szCs w:val="22"/>
        </w:rPr>
        <w:t xml:space="preserve">-εκκριτικών ουσιών, τις υποκαταστημένες </w:t>
      </w:r>
      <w:proofErr w:type="spellStart"/>
      <w:r>
        <w:rPr>
          <w:color w:val="auto"/>
          <w:sz w:val="22"/>
          <w:szCs w:val="22"/>
        </w:rPr>
        <w:t>βενζιμιδαζόλες</w:t>
      </w:r>
      <w:proofErr w:type="spellEnd"/>
      <w:r>
        <w:rPr>
          <w:color w:val="auto"/>
          <w:sz w:val="22"/>
          <w:szCs w:val="22"/>
        </w:rPr>
        <w:t xml:space="preserve">, οι οποίες δεν εμφανίζουν </w:t>
      </w:r>
      <w:proofErr w:type="spellStart"/>
      <w:r>
        <w:rPr>
          <w:color w:val="auto"/>
          <w:sz w:val="22"/>
          <w:szCs w:val="22"/>
        </w:rPr>
        <w:t>αντι</w:t>
      </w:r>
      <w:proofErr w:type="spellEnd"/>
      <w:r>
        <w:rPr>
          <w:color w:val="auto"/>
          <w:sz w:val="22"/>
          <w:szCs w:val="22"/>
        </w:rPr>
        <w:t>-</w:t>
      </w:r>
      <w:proofErr w:type="spellStart"/>
      <w:r>
        <w:rPr>
          <w:color w:val="auto"/>
          <w:sz w:val="22"/>
          <w:szCs w:val="22"/>
        </w:rPr>
        <w:t>χολινεργικές</w:t>
      </w:r>
      <w:proofErr w:type="spellEnd"/>
      <w:r>
        <w:rPr>
          <w:color w:val="auto"/>
          <w:sz w:val="22"/>
          <w:szCs w:val="22"/>
        </w:rPr>
        <w:t xml:space="preserve"> ή ανταγωνιστικές-του-υποδοχέα-ισταμίνης-Η</w:t>
      </w:r>
      <w:r>
        <w:rPr>
          <w:color w:val="auto"/>
          <w:sz w:val="14"/>
          <w:szCs w:val="14"/>
        </w:rPr>
        <w:t xml:space="preserve">2 </w:t>
      </w:r>
      <w:r>
        <w:rPr>
          <w:color w:val="auto"/>
          <w:sz w:val="22"/>
          <w:szCs w:val="22"/>
        </w:rPr>
        <w:t>ιδιότητες, αλλά μειώνουν την έκκριση του γαστρικού οξέος αναστέλλοντας ειδικά το ένζυμο H</w:t>
      </w:r>
      <w:r>
        <w:rPr>
          <w:color w:val="auto"/>
          <w:sz w:val="14"/>
          <w:szCs w:val="14"/>
        </w:rPr>
        <w:t>+</w:t>
      </w:r>
      <w:r>
        <w:rPr>
          <w:color w:val="auto"/>
          <w:sz w:val="22"/>
          <w:szCs w:val="22"/>
        </w:rPr>
        <w:t>/K</w:t>
      </w:r>
      <w:r>
        <w:rPr>
          <w:color w:val="auto"/>
          <w:sz w:val="14"/>
          <w:szCs w:val="14"/>
        </w:rPr>
        <w:t>+</w:t>
      </w:r>
      <w:r>
        <w:rPr>
          <w:color w:val="auto"/>
          <w:sz w:val="22"/>
          <w:szCs w:val="22"/>
        </w:rPr>
        <w:t xml:space="preserve">-ATPάση (αντλία πρωτονίων ή οξέων). Η δράση είναι αναλογική με τη δόση και οδηγεί σε αναστολή τόσο της βασικής όσο και διεγερμένης έκκρισης ανεξάρτητα από το ερέθισμα. Μελέτες σε ζώα υποδεικνύουν ότι μετά τη χορήγηση, η νατριούχος </w:t>
      </w:r>
      <w:proofErr w:type="spellStart"/>
      <w:r>
        <w:rPr>
          <w:color w:val="auto"/>
          <w:sz w:val="22"/>
          <w:szCs w:val="22"/>
        </w:rPr>
        <w:t>ραβεπραζόλη</w:t>
      </w:r>
      <w:proofErr w:type="spellEnd"/>
      <w:r>
        <w:rPr>
          <w:color w:val="auto"/>
          <w:sz w:val="22"/>
          <w:szCs w:val="22"/>
        </w:rPr>
        <w:t xml:space="preserve"> απομακρύνεται γρήγορα τόσο από το πλάσμα όσο και από το βλεννογόνο του στομάχου. Ως ασθενής βάση, η </w:t>
      </w:r>
      <w:proofErr w:type="spellStart"/>
      <w:r>
        <w:rPr>
          <w:color w:val="auto"/>
          <w:sz w:val="22"/>
          <w:szCs w:val="22"/>
        </w:rPr>
        <w:t>ραβεπραζόλη</w:t>
      </w:r>
      <w:proofErr w:type="spellEnd"/>
      <w:r>
        <w:rPr>
          <w:color w:val="auto"/>
          <w:sz w:val="22"/>
          <w:szCs w:val="22"/>
        </w:rPr>
        <w:t xml:space="preserve"> απορροφάται γρήγορα μετά από οποιαδήποτε δόση και συγκεντρώνεται στο όξινο περιβάλλον των τοιχωματικών κυττάρων. Η </w:t>
      </w:r>
      <w:proofErr w:type="spellStart"/>
      <w:r>
        <w:rPr>
          <w:color w:val="auto"/>
          <w:sz w:val="22"/>
          <w:szCs w:val="22"/>
        </w:rPr>
        <w:t>ραβεπραζόλη</w:t>
      </w:r>
      <w:proofErr w:type="spellEnd"/>
      <w:r>
        <w:rPr>
          <w:color w:val="auto"/>
          <w:sz w:val="22"/>
          <w:szCs w:val="22"/>
        </w:rPr>
        <w:t xml:space="preserve"> μετατρέπεται στην ενεργή μορφή </w:t>
      </w:r>
      <w:proofErr w:type="spellStart"/>
      <w:r>
        <w:rPr>
          <w:color w:val="auto"/>
          <w:sz w:val="22"/>
          <w:szCs w:val="22"/>
        </w:rPr>
        <w:t>σουλφεναμίδης</w:t>
      </w:r>
      <w:proofErr w:type="spellEnd"/>
      <w:r>
        <w:rPr>
          <w:color w:val="auto"/>
          <w:sz w:val="22"/>
          <w:szCs w:val="22"/>
        </w:rPr>
        <w:t xml:space="preserve"> μέσω </w:t>
      </w:r>
      <w:proofErr w:type="spellStart"/>
      <w:r>
        <w:rPr>
          <w:color w:val="auto"/>
          <w:sz w:val="22"/>
          <w:szCs w:val="22"/>
        </w:rPr>
        <w:t>πρωτονίωσης</w:t>
      </w:r>
      <w:proofErr w:type="spellEnd"/>
      <w:r>
        <w:rPr>
          <w:color w:val="auto"/>
          <w:sz w:val="22"/>
          <w:szCs w:val="22"/>
        </w:rPr>
        <w:t xml:space="preserve">, και επομένως αντιδρά με όλες τις διαθέσιμες </w:t>
      </w:r>
      <w:proofErr w:type="spellStart"/>
      <w:r>
        <w:rPr>
          <w:color w:val="auto"/>
          <w:sz w:val="22"/>
          <w:szCs w:val="22"/>
        </w:rPr>
        <w:t>κυστεΐνες</w:t>
      </w:r>
      <w:proofErr w:type="spellEnd"/>
      <w:r>
        <w:rPr>
          <w:color w:val="auto"/>
          <w:sz w:val="22"/>
          <w:szCs w:val="22"/>
        </w:rPr>
        <w:t xml:space="preserve"> στην αντλία πρωτονίων. </w:t>
      </w:r>
    </w:p>
    <w:p w:rsidR="006351AF" w:rsidRDefault="006351AF" w:rsidP="006351AF">
      <w:pPr>
        <w:pStyle w:val="Default"/>
        <w:rPr>
          <w:color w:val="auto"/>
          <w:sz w:val="22"/>
          <w:szCs w:val="22"/>
        </w:rPr>
      </w:pPr>
      <w:r>
        <w:rPr>
          <w:b/>
          <w:bCs/>
          <w:color w:val="auto"/>
          <w:sz w:val="22"/>
          <w:szCs w:val="22"/>
        </w:rPr>
        <w:t xml:space="preserve">Αντί-εκκριτική δράση: </w:t>
      </w:r>
    </w:p>
    <w:p w:rsidR="006351AF" w:rsidRDefault="006351AF" w:rsidP="006351AF">
      <w:pPr>
        <w:pStyle w:val="Default"/>
        <w:rPr>
          <w:color w:val="auto"/>
          <w:sz w:val="22"/>
          <w:szCs w:val="22"/>
        </w:rPr>
      </w:pPr>
      <w:r>
        <w:rPr>
          <w:color w:val="auto"/>
          <w:sz w:val="22"/>
          <w:szCs w:val="22"/>
        </w:rPr>
        <w:t xml:space="preserve">Μετά από χορήγηση από του στόματος μιας δόσης 20 </w:t>
      </w:r>
      <w:proofErr w:type="spellStart"/>
      <w:r>
        <w:rPr>
          <w:color w:val="auto"/>
          <w:sz w:val="22"/>
          <w:szCs w:val="22"/>
        </w:rPr>
        <w:t>mg</w:t>
      </w:r>
      <w:proofErr w:type="spellEnd"/>
      <w:r>
        <w:rPr>
          <w:color w:val="auto"/>
          <w:sz w:val="22"/>
          <w:szCs w:val="22"/>
        </w:rPr>
        <w:t xml:space="preserve"> νατριούχου </w:t>
      </w:r>
      <w:proofErr w:type="spellStart"/>
      <w:r>
        <w:rPr>
          <w:color w:val="auto"/>
          <w:sz w:val="22"/>
          <w:szCs w:val="22"/>
        </w:rPr>
        <w:t>ραβεπραζόλης</w:t>
      </w:r>
      <w:proofErr w:type="spellEnd"/>
      <w:r>
        <w:rPr>
          <w:color w:val="auto"/>
          <w:sz w:val="22"/>
          <w:szCs w:val="22"/>
        </w:rPr>
        <w:t xml:space="preserve">, η αντί-εκκριτική δράση ξεκινάει σε μια ώρα, με μέγιστη δράση σε δύο έως τέσσερις ώρες. Αναστολή της βασικής και της διεγερμένης-μετά-το-φαγητό έκκρισης 23 ώρες μετά την πρώτη δόση είναι 69% και 82% αντίστοιχα και η αναστολή διαρκεί έως και 48 ώρες. Η ανασταλτική δράση της νατριούχου </w:t>
      </w:r>
      <w:proofErr w:type="spellStart"/>
      <w:r>
        <w:rPr>
          <w:color w:val="auto"/>
          <w:sz w:val="22"/>
          <w:szCs w:val="22"/>
        </w:rPr>
        <w:t>ραβεπραζόλης</w:t>
      </w:r>
      <w:proofErr w:type="spellEnd"/>
      <w:r>
        <w:rPr>
          <w:color w:val="auto"/>
          <w:sz w:val="22"/>
          <w:szCs w:val="22"/>
        </w:rPr>
        <w:t xml:space="preserve"> στην έκκριση οξέος αυξάνεται ελαφρώς με επανειλημμένες άπαξ ημερησίως δόσεις, επιτυγχάνοντας αναστολή σταθεροποιημένης κατάστασης μετά από τρεις μέρες. Όταν το φάρμακο διακοπεί, η εκκριτική δράση επιστρέφει στα κανονικά επίπεδα σε 2 με 3 μέρες. </w:t>
      </w:r>
    </w:p>
    <w:p w:rsidR="006351AF" w:rsidRDefault="006351AF" w:rsidP="006351AF">
      <w:pPr>
        <w:pStyle w:val="Default"/>
        <w:rPr>
          <w:color w:val="auto"/>
          <w:sz w:val="22"/>
          <w:szCs w:val="22"/>
        </w:rPr>
      </w:pPr>
      <w:r>
        <w:rPr>
          <w:b/>
          <w:bCs/>
          <w:color w:val="auto"/>
          <w:sz w:val="22"/>
          <w:szCs w:val="22"/>
        </w:rPr>
        <w:t xml:space="preserve">Δράσεις στη </w:t>
      </w:r>
      <w:proofErr w:type="spellStart"/>
      <w:r>
        <w:rPr>
          <w:b/>
          <w:bCs/>
          <w:color w:val="auto"/>
          <w:sz w:val="22"/>
          <w:szCs w:val="22"/>
        </w:rPr>
        <w:t>γαστρίνη</w:t>
      </w:r>
      <w:proofErr w:type="spellEnd"/>
      <w:r>
        <w:rPr>
          <w:b/>
          <w:bCs/>
          <w:color w:val="auto"/>
          <w:sz w:val="22"/>
          <w:szCs w:val="22"/>
        </w:rPr>
        <w:t xml:space="preserve"> του ορού: </w:t>
      </w:r>
    </w:p>
    <w:p w:rsidR="006351AF" w:rsidRDefault="006351AF" w:rsidP="006351AF">
      <w:pPr>
        <w:pStyle w:val="Default"/>
        <w:rPr>
          <w:color w:val="auto"/>
          <w:sz w:val="22"/>
          <w:szCs w:val="22"/>
        </w:rPr>
      </w:pPr>
      <w:r>
        <w:rPr>
          <w:color w:val="auto"/>
          <w:sz w:val="22"/>
          <w:szCs w:val="22"/>
        </w:rPr>
        <w:t xml:space="preserve">Σε κλινικές μελέτες, οι ασθενείς έλαβαν νατριούχο </w:t>
      </w:r>
      <w:proofErr w:type="spellStart"/>
      <w:r>
        <w:rPr>
          <w:color w:val="auto"/>
          <w:sz w:val="22"/>
          <w:szCs w:val="22"/>
        </w:rPr>
        <w:t>ραβεπραζόλη</w:t>
      </w:r>
      <w:proofErr w:type="spellEnd"/>
      <w:r>
        <w:rPr>
          <w:color w:val="auto"/>
          <w:sz w:val="22"/>
          <w:szCs w:val="22"/>
        </w:rPr>
        <w:t xml:space="preserve"> 10 </w:t>
      </w:r>
      <w:proofErr w:type="spellStart"/>
      <w:r>
        <w:rPr>
          <w:color w:val="auto"/>
          <w:sz w:val="22"/>
          <w:szCs w:val="22"/>
        </w:rPr>
        <w:t>mg</w:t>
      </w:r>
      <w:proofErr w:type="spellEnd"/>
      <w:r>
        <w:rPr>
          <w:color w:val="auto"/>
          <w:sz w:val="22"/>
          <w:szCs w:val="22"/>
        </w:rPr>
        <w:t xml:space="preserve"> ή 20 </w:t>
      </w:r>
      <w:proofErr w:type="spellStart"/>
      <w:r>
        <w:rPr>
          <w:color w:val="auto"/>
          <w:sz w:val="22"/>
          <w:szCs w:val="22"/>
        </w:rPr>
        <w:t>mg</w:t>
      </w:r>
      <w:proofErr w:type="spellEnd"/>
      <w:r>
        <w:rPr>
          <w:color w:val="auto"/>
          <w:sz w:val="22"/>
          <w:szCs w:val="22"/>
        </w:rPr>
        <w:t xml:space="preserve"> άπαξ ημερησίως έως και για 43 μήνες. Τα επίπεδα της </w:t>
      </w:r>
      <w:proofErr w:type="spellStart"/>
      <w:r>
        <w:rPr>
          <w:color w:val="auto"/>
          <w:sz w:val="22"/>
          <w:szCs w:val="22"/>
        </w:rPr>
        <w:t>γαστρίνης</w:t>
      </w:r>
      <w:proofErr w:type="spellEnd"/>
      <w:r>
        <w:rPr>
          <w:color w:val="auto"/>
          <w:sz w:val="22"/>
          <w:szCs w:val="22"/>
        </w:rPr>
        <w:t xml:space="preserve"> του ορού αυξήθηκαν κατά τη διάρκεια των πρώτων 2 έως 8 εβδομάδων αντικατοπτρίζοντας την ανασταλτική δράση στην έκκριση του οξέος και παρέμειναν σταθερά για το υπόλοιπο της θεραπείας. Οι τιμές της </w:t>
      </w:r>
      <w:proofErr w:type="spellStart"/>
      <w:r>
        <w:rPr>
          <w:color w:val="auto"/>
          <w:sz w:val="22"/>
          <w:szCs w:val="22"/>
        </w:rPr>
        <w:t>γαστρίνης</w:t>
      </w:r>
      <w:proofErr w:type="spellEnd"/>
      <w:r>
        <w:rPr>
          <w:color w:val="auto"/>
          <w:sz w:val="22"/>
          <w:szCs w:val="22"/>
        </w:rPr>
        <w:t xml:space="preserve"> επέστρεψαν στα προ-θεραπείας επίπεδα, 1 έως 2 εβδομάδες συνήθως μετά τη διακοπή της θεραπείας. </w:t>
      </w:r>
    </w:p>
    <w:p w:rsidR="006351AF" w:rsidRPr="00983AB3" w:rsidRDefault="006351AF" w:rsidP="006351AF">
      <w:pPr>
        <w:pStyle w:val="Default"/>
        <w:rPr>
          <w:color w:val="auto"/>
          <w:sz w:val="22"/>
          <w:szCs w:val="22"/>
        </w:rPr>
      </w:pPr>
      <w:r>
        <w:rPr>
          <w:color w:val="auto"/>
          <w:sz w:val="22"/>
          <w:szCs w:val="22"/>
        </w:rPr>
        <w:t xml:space="preserve">Ανθρώπινα δείγματα γαστρικής βιοψίας από το άντρο και το θόλο του στομάχου από περισσότερους από 500 ασθενείς που έλαβα </w:t>
      </w:r>
      <w:proofErr w:type="spellStart"/>
      <w:r>
        <w:rPr>
          <w:color w:val="auto"/>
          <w:sz w:val="22"/>
          <w:szCs w:val="22"/>
        </w:rPr>
        <w:t>ραβεπραζόλη</w:t>
      </w:r>
      <w:proofErr w:type="spellEnd"/>
      <w:r>
        <w:rPr>
          <w:color w:val="auto"/>
          <w:sz w:val="22"/>
          <w:szCs w:val="22"/>
        </w:rPr>
        <w:t xml:space="preserve"> ή αντίστοιχη θεραπεία για έως και 8 εβδομάδες δεν </w:t>
      </w:r>
      <w:proofErr w:type="spellStart"/>
      <w:r>
        <w:rPr>
          <w:color w:val="auto"/>
          <w:sz w:val="22"/>
          <w:szCs w:val="22"/>
        </w:rPr>
        <w:t>υπέξειξαν</w:t>
      </w:r>
      <w:proofErr w:type="spellEnd"/>
      <w:r>
        <w:rPr>
          <w:color w:val="auto"/>
          <w:sz w:val="22"/>
          <w:szCs w:val="22"/>
        </w:rPr>
        <w:t xml:space="preserve"> αλλαγές στην ιστολογία των </w:t>
      </w:r>
      <w:proofErr w:type="spellStart"/>
      <w:r>
        <w:rPr>
          <w:color w:val="auto"/>
          <w:sz w:val="22"/>
          <w:szCs w:val="22"/>
        </w:rPr>
        <w:t>εντεροχρωμιόφιλων</w:t>
      </w:r>
      <w:proofErr w:type="spellEnd"/>
      <w:r>
        <w:rPr>
          <w:color w:val="auto"/>
          <w:sz w:val="22"/>
          <w:szCs w:val="22"/>
        </w:rPr>
        <w:t xml:space="preserve"> κυττάρων (ECL), στο βαθμό της γαστρίτιδας, την εμφάνιση της ατροφικής γαστρίτιδας, της διαμέσου </w:t>
      </w:r>
      <w:proofErr w:type="spellStart"/>
      <w:r>
        <w:rPr>
          <w:color w:val="auto"/>
          <w:sz w:val="22"/>
          <w:szCs w:val="22"/>
        </w:rPr>
        <w:t>μεταπλασίας</w:t>
      </w:r>
      <w:proofErr w:type="spellEnd"/>
      <w:r>
        <w:rPr>
          <w:color w:val="auto"/>
          <w:sz w:val="22"/>
          <w:szCs w:val="22"/>
        </w:rPr>
        <w:t xml:space="preserve"> ή της κατανομής της λοίμωξης με </w:t>
      </w:r>
      <w:r>
        <w:rPr>
          <w:i/>
          <w:iCs/>
          <w:color w:val="auto"/>
          <w:sz w:val="22"/>
          <w:szCs w:val="22"/>
        </w:rPr>
        <w:t xml:space="preserve">H. </w:t>
      </w:r>
      <w:proofErr w:type="spellStart"/>
      <w:r>
        <w:rPr>
          <w:i/>
          <w:iCs/>
          <w:color w:val="auto"/>
          <w:sz w:val="22"/>
          <w:szCs w:val="22"/>
        </w:rPr>
        <w:t>pylori</w:t>
      </w:r>
      <w:proofErr w:type="spellEnd"/>
      <w:r>
        <w:rPr>
          <w:i/>
          <w:iCs/>
          <w:color w:val="auto"/>
          <w:sz w:val="22"/>
          <w:szCs w:val="22"/>
        </w:rPr>
        <w:t xml:space="preserve">. </w:t>
      </w:r>
      <w:r>
        <w:rPr>
          <w:color w:val="auto"/>
          <w:sz w:val="22"/>
          <w:szCs w:val="22"/>
        </w:rPr>
        <w:t xml:space="preserve">Σε πάνω από 250 ασθενείς που παρακολουθήθηκαν για 36 μήνες συνεχούς θεραπείας, δεν παρατηρήθηκαν αλλαγές στα ευρήματα των βασικών τιμών.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Άλλες δράσεις: </w:t>
      </w:r>
    </w:p>
    <w:p w:rsidR="006351AF" w:rsidRDefault="006351AF" w:rsidP="006351AF">
      <w:pPr>
        <w:pStyle w:val="Default"/>
        <w:rPr>
          <w:color w:val="auto"/>
          <w:sz w:val="22"/>
          <w:szCs w:val="22"/>
        </w:rPr>
      </w:pPr>
      <w:r>
        <w:rPr>
          <w:color w:val="auto"/>
          <w:sz w:val="22"/>
          <w:szCs w:val="22"/>
        </w:rPr>
        <w:t xml:space="preserve">Δεν έχουν βρεθεί συστηματικές δράσεις της νατριούχου </w:t>
      </w:r>
      <w:proofErr w:type="spellStart"/>
      <w:r>
        <w:rPr>
          <w:color w:val="auto"/>
          <w:sz w:val="22"/>
          <w:szCs w:val="22"/>
        </w:rPr>
        <w:t>ραβεπραζόλης</w:t>
      </w:r>
      <w:proofErr w:type="spellEnd"/>
      <w:r>
        <w:rPr>
          <w:color w:val="auto"/>
          <w:sz w:val="22"/>
          <w:szCs w:val="22"/>
        </w:rPr>
        <w:t xml:space="preserve"> στο ΚΝΣ, και στο καρδιαγγειακό και αναπνευστικό σύστημα. Η νατριούχος </w:t>
      </w:r>
      <w:proofErr w:type="spellStart"/>
      <w:r>
        <w:rPr>
          <w:color w:val="auto"/>
          <w:sz w:val="22"/>
          <w:szCs w:val="22"/>
        </w:rPr>
        <w:t>ραβεπραζόλη</w:t>
      </w:r>
      <w:proofErr w:type="spellEnd"/>
      <w:r>
        <w:rPr>
          <w:color w:val="auto"/>
          <w:sz w:val="22"/>
          <w:szCs w:val="22"/>
        </w:rPr>
        <w:t xml:space="preserve">, σε δόσεις των 20 </w:t>
      </w:r>
      <w:proofErr w:type="spellStart"/>
      <w:r>
        <w:rPr>
          <w:color w:val="auto"/>
          <w:sz w:val="22"/>
          <w:szCs w:val="22"/>
        </w:rPr>
        <w:t>mg</w:t>
      </w:r>
      <w:proofErr w:type="spellEnd"/>
      <w:r>
        <w:rPr>
          <w:color w:val="auto"/>
          <w:sz w:val="22"/>
          <w:szCs w:val="22"/>
        </w:rPr>
        <w:t xml:space="preserve"> από του στόματος για 2 εβδομάδες, δεν είχε κάποια επίδραση στη λειτουργία του θυρεοειδή αδένα, στο μεταβολισμό των υδατανθράκων ή στα επίπεδα της </w:t>
      </w:r>
      <w:proofErr w:type="spellStart"/>
      <w:r>
        <w:rPr>
          <w:color w:val="auto"/>
          <w:sz w:val="22"/>
          <w:szCs w:val="22"/>
        </w:rPr>
        <w:t>παραθυρεοειδικής</w:t>
      </w:r>
      <w:proofErr w:type="spellEnd"/>
      <w:r>
        <w:rPr>
          <w:color w:val="auto"/>
          <w:sz w:val="22"/>
          <w:szCs w:val="22"/>
        </w:rPr>
        <w:t xml:space="preserve"> ορμόνης, </w:t>
      </w:r>
      <w:proofErr w:type="spellStart"/>
      <w:r>
        <w:rPr>
          <w:color w:val="auto"/>
          <w:sz w:val="22"/>
          <w:szCs w:val="22"/>
        </w:rPr>
        <w:t>κορτιζόλης</w:t>
      </w:r>
      <w:proofErr w:type="spellEnd"/>
      <w:r>
        <w:rPr>
          <w:color w:val="auto"/>
          <w:sz w:val="22"/>
          <w:szCs w:val="22"/>
        </w:rPr>
        <w:t xml:space="preserve">, οιστρογόνων, τεστοστερόνης, </w:t>
      </w:r>
      <w:proofErr w:type="spellStart"/>
      <w:r>
        <w:rPr>
          <w:color w:val="auto"/>
          <w:sz w:val="22"/>
          <w:szCs w:val="22"/>
        </w:rPr>
        <w:t>προλακτίνης</w:t>
      </w:r>
      <w:proofErr w:type="spellEnd"/>
      <w:r>
        <w:rPr>
          <w:color w:val="auto"/>
          <w:sz w:val="22"/>
          <w:szCs w:val="22"/>
        </w:rPr>
        <w:t xml:space="preserve">, </w:t>
      </w:r>
      <w:proofErr w:type="spellStart"/>
      <w:r>
        <w:rPr>
          <w:color w:val="auto"/>
          <w:sz w:val="22"/>
          <w:szCs w:val="22"/>
        </w:rPr>
        <w:t>χοληκυστοκινίνης</w:t>
      </w:r>
      <w:proofErr w:type="spellEnd"/>
      <w:r>
        <w:rPr>
          <w:color w:val="auto"/>
          <w:sz w:val="22"/>
          <w:szCs w:val="22"/>
        </w:rPr>
        <w:t xml:space="preserve">, </w:t>
      </w:r>
      <w:proofErr w:type="spellStart"/>
      <w:r>
        <w:rPr>
          <w:color w:val="auto"/>
          <w:sz w:val="22"/>
          <w:szCs w:val="22"/>
        </w:rPr>
        <w:t>σεκρετίνης</w:t>
      </w:r>
      <w:proofErr w:type="spellEnd"/>
      <w:r>
        <w:rPr>
          <w:color w:val="auto"/>
          <w:sz w:val="22"/>
          <w:szCs w:val="22"/>
        </w:rPr>
        <w:t xml:space="preserve">, </w:t>
      </w:r>
      <w:proofErr w:type="spellStart"/>
      <w:r>
        <w:rPr>
          <w:color w:val="auto"/>
          <w:sz w:val="22"/>
          <w:szCs w:val="22"/>
        </w:rPr>
        <w:t>γλυκαγόνης</w:t>
      </w:r>
      <w:proofErr w:type="spellEnd"/>
      <w:r>
        <w:rPr>
          <w:color w:val="auto"/>
          <w:sz w:val="22"/>
          <w:szCs w:val="22"/>
        </w:rPr>
        <w:t xml:space="preserve">, </w:t>
      </w:r>
      <w:proofErr w:type="spellStart"/>
      <w:r>
        <w:rPr>
          <w:color w:val="auto"/>
          <w:sz w:val="22"/>
          <w:szCs w:val="22"/>
        </w:rPr>
        <w:t>ωθυλακιοτρόπου</w:t>
      </w:r>
      <w:proofErr w:type="spellEnd"/>
      <w:r>
        <w:rPr>
          <w:color w:val="auto"/>
          <w:sz w:val="22"/>
          <w:szCs w:val="22"/>
        </w:rPr>
        <w:t xml:space="preserve"> ορμόνης (FSH), </w:t>
      </w:r>
      <w:proofErr w:type="spellStart"/>
      <w:r>
        <w:rPr>
          <w:color w:val="auto"/>
          <w:sz w:val="22"/>
          <w:szCs w:val="22"/>
        </w:rPr>
        <w:t>ωχρινοτρόπου</w:t>
      </w:r>
      <w:proofErr w:type="spellEnd"/>
      <w:r>
        <w:rPr>
          <w:color w:val="auto"/>
          <w:sz w:val="22"/>
          <w:szCs w:val="22"/>
        </w:rPr>
        <w:t xml:space="preserve"> ορμόνης (LH), </w:t>
      </w:r>
      <w:proofErr w:type="spellStart"/>
      <w:r>
        <w:rPr>
          <w:color w:val="auto"/>
          <w:sz w:val="22"/>
          <w:szCs w:val="22"/>
        </w:rPr>
        <w:t>ρενίνης</w:t>
      </w:r>
      <w:proofErr w:type="spellEnd"/>
      <w:r>
        <w:rPr>
          <w:color w:val="auto"/>
          <w:sz w:val="22"/>
          <w:szCs w:val="22"/>
        </w:rPr>
        <w:t xml:space="preserve">, </w:t>
      </w:r>
      <w:proofErr w:type="spellStart"/>
      <w:r>
        <w:rPr>
          <w:color w:val="auto"/>
          <w:sz w:val="22"/>
          <w:szCs w:val="22"/>
        </w:rPr>
        <w:t>αλδοστερόνης</w:t>
      </w:r>
      <w:proofErr w:type="spellEnd"/>
      <w:r>
        <w:rPr>
          <w:color w:val="auto"/>
          <w:sz w:val="22"/>
          <w:szCs w:val="22"/>
        </w:rPr>
        <w:t xml:space="preserve"> ή </w:t>
      </w:r>
      <w:proofErr w:type="spellStart"/>
      <w:r>
        <w:rPr>
          <w:color w:val="auto"/>
          <w:sz w:val="22"/>
          <w:szCs w:val="22"/>
        </w:rPr>
        <w:t>εκλυτικής</w:t>
      </w:r>
      <w:proofErr w:type="spellEnd"/>
      <w:r>
        <w:rPr>
          <w:color w:val="auto"/>
          <w:sz w:val="22"/>
          <w:szCs w:val="22"/>
        </w:rPr>
        <w:t xml:space="preserve"> ορμόνης της αυξητικής ορμόνης στην κυκλοφορία του αίματος. </w:t>
      </w:r>
    </w:p>
    <w:p w:rsidR="006351AF" w:rsidRDefault="006351AF" w:rsidP="006351AF">
      <w:pPr>
        <w:pStyle w:val="Default"/>
        <w:rPr>
          <w:color w:val="auto"/>
          <w:sz w:val="22"/>
          <w:szCs w:val="22"/>
        </w:rPr>
      </w:pPr>
      <w:r>
        <w:rPr>
          <w:color w:val="auto"/>
          <w:sz w:val="22"/>
          <w:szCs w:val="22"/>
        </w:rPr>
        <w:t xml:space="preserve">Μελέτες σε υγιείς εθελοντές υπέδειξαν ότι η νατριούχος </w:t>
      </w:r>
      <w:proofErr w:type="spellStart"/>
      <w:r>
        <w:rPr>
          <w:color w:val="auto"/>
          <w:sz w:val="22"/>
          <w:szCs w:val="22"/>
        </w:rPr>
        <w:t>ραβεπραζόλη</w:t>
      </w:r>
      <w:proofErr w:type="spellEnd"/>
      <w:r>
        <w:rPr>
          <w:color w:val="auto"/>
          <w:sz w:val="22"/>
          <w:szCs w:val="22"/>
        </w:rPr>
        <w:t xml:space="preserve"> δεν έχει κλινικά σημαντική αλληλεπίδραση με την </w:t>
      </w:r>
      <w:proofErr w:type="spellStart"/>
      <w:r>
        <w:rPr>
          <w:color w:val="auto"/>
          <w:sz w:val="22"/>
          <w:szCs w:val="22"/>
        </w:rPr>
        <w:t>αμοξικιλλίνη</w:t>
      </w:r>
      <w:proofErr w:type="spellEnd"/>
      <w:r>
        <w:rPr>
          <w:color w:val="auto"/>
          <w:sz w:val="22"/>
          <w:szCs w:val="22"/>
        </w:rPr>
        <w:t xml:space="preserve">. Η </w:t>
      </w:r>
      <w:proofErr w:type="spellStart"/>
      <w:r>
        <w:rPr>
          <w:color w:val="auto"/>
          <w:sz w:val="22"/>
          <w:szCs w:val="22"/>
        </w:rPr>
        <w:t>ραβεπραζόλη</w:t>
      </w:r>
      <w:proofErr w:type="spellEnd"/>
      <w:r>
        <w:rPr>
          <w:color w:val="auto"/>
          <w:sz w:val="22"/>
          <w:szCs w:val="22"/>
        </w:rPr>
        <w:t xml:space="preserve"> δεν επηρεάζει αρνητικά τις συγκεντρώσεις </w:t>
      </w:r>
      <w:proofErr w:type="spellStart"/>
      <w:r>
        <w:rPr>
          <w:color w:val="auto"/>
          <w:sz w:val="22"/>
          <w:szCs w:val="22"/>
        </w:rPr>
        <w:t>αμοξικιλλίνης</w:t>
      </w:r>
      <w:proofErr w:type="spellEnd"/>
      <w:r>
        <w:rPr>
          <w:color w:val="auto"/>
          <w:sz w:val="22"/>
          <w:szCs w:val="22"/>
        </w:rPr>
        <w:t xml:space="preserve"> ή </w:t>
      </w:r>
      <w:proofErr w:type="spellStart"/>
      <w:r>
        <w:rPr>
          <w:color w:val="auto"/>
          <w:sz w:val="22"/>
          <w:szCs w:val="22"/>
        </w:rPr>
        <w:t>κλαριθρομυκίνης</w:t>
      </w:r>
      <w:proofErr w:type="spellEnd"/>
      <w:r>
        <w:rPr>
          <w:color w:val="auto"/>
          <w:sz w:val="22"/>
          <w:szCs w:val="22"/>
        </w:rPr>
        <w:t xml:space="preserve"> στο πλάσμα όταν γίνεται </w:t>
      </w:r>
      <w:proofErr w:type="spellStart"/>
      <w:r>
        <w:rPr>
          <w:color w:val="auto"/>
          <w:sz w:val="22"/>
          <w:szCs w:val="22"/>
        </w:rPr>
        <w:t>συγχορήγηση</w:t>
      </w:r>
      <w:proofErr w:type="spellEnd"/>
      <w:r>
        <w:rPr>
          <w:color w:val="auto"/>
          <w:sz w:val="22"/>
          <w:szCs w:val="22"/>
        </w:rPr>
        <w:t xml:space="preserve"> με σκοπό την εκρίζωση της λοίμωξης με </w:t>
      </w:r>
      <w:r>
        <w:rPr>
          <w:i/>
          <w:iCs/>
          <w:color w:val="auto"/>
          <w:sz w:val="22"/>
          <w:szCs w:val="22"/>
        </w:rPr>
        <w:t xml:space="preserve">H. </w:t>
      </w:r>
      <w:proofErr w:type="spellStart"/>
      <w:r>
        <w:rPr>
          <w:i/>
          <w:iCs/>
          <w:color w:val="auto"/>
          <w:sz w:val="22"/>
          <w:szCs w:val="22"/>
        </w:rPr>
        <w:t>pylori</w:t>
      </w:r>
      <w:proofErr w:type="spellEnd"/>
      <w:r>
        <w:rPr>
          <w:i/>
          <w:iCs/>
          <w:color w:val="auto"/>
          <w:sz w:val="22"/>
          <w:szCs w:val="22"/>
        </w:rPr>
        <w:t xml:space="preserve"> </w:t>
      </w:r>
      <w:r>
        <w:rPr>
          <w:color w:val="auto"/>
          <w:sz w:val="22"/>
          <w:szCs w:val="22"/>
        </w:rPr>
        <w:t xml:space="preserve">του άνω γαστρεντερικού συστήματος. </w:t>
      </w:r>
    </w:p>
    <w:p w:rsidR="006351AF" w:rsidRPr="00983AB3" w:rsidRDefault="006351AF" w:rsidP="006351AF">
      <w:pPr>
        <w:pStyle w:val="Default"/>
        <w:rPr>
          <w:b/>
          <w:bCs/>
          <w:color w:val="auto"/>
          <w:sz w:val="22"/>
          <w:szCs w:val="22"/>
        </w:rPr>
      </w:pPr>
    </w:p>
    <w:p w:rsidR="006351AF" w:rsidRPr="00983AB3" w:rsidRDefault="006351AF" w:rsidP="006351AF">
      <w:pPr>
        <w:pStyle w:val="Default"/>
        <w:rPr>
          <w:b/>
          <w:bCs/>
          <w:color w:val="auto"/>
          <w:sz w:val="22"/>
          <w:szCs w:val="22"/>
        </w:rPr>
      </w:pPr>
    </w:p>
    <w:p w:rsidR="006351AF" w:rsidRDefault="006351AF" w:rsidP="006351AF">
      <w:pPr>
        <w:pStyle w:val="Default"/>
        <w:rPr>
          <w:color w:val="auto"/>
          <w:sz w:val="22"/>
          <w:szCs w:val="22"/>
        </w:rPr>
      </w:pPr>
      <w:r>
        <w:rPr>
          <w:b/>
          <w:bCs/>
          <w:color w:val="auto"/>
          <w:sz w:val="22"/>
          <w:szCs w:val="22"/>
        </w:rPr>
        <w:lastRenderedPageBreak/>
        <w:t xml:space="preserve">5.2 </w:t>
      </w:r>
      <w:proofErr w:type="spellStart"/>
      <w:r>
        <w:rPr>
          <w:b/>
          <w:bCs/>
          <w:color w:val="auto"/>
          <w:sz w:val="22"/>
          <w:szCs w:val="22"/>
        </w:rPr>
        <w:t>Φαρμακοκινητικές</w:t>
      </w:r>
      <w:proofErr w:type="spellEnd"/>
      <w:r>
        <w:rPr>
          <w:b/>
          <w:bCs/>
          <w:color w:val="auto"/>
          <w:sz w:val="22"/>
          <w:szCs w:val="22"/>
        </w:rPr>
        <w:t xml:space="preserve"> ιδιότητες </w:t>
      </w:r>
    </w:p>
    <w:p w:rsidR="006351AF"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Απορρόφηση </w:t>
      </w:r>
    </w:p>
    <w:p w:rsidR="006351AF" w:rsidRDefault="006351AF" w:rsidP="006351AF">
      <w:pPr>
        <w:pStyle w:val="Default"/>
        <w:rPr>
          <w:color w:val="auto"/>
          <w:sz w:val="22"/>
          <w:szCs w:val="22"/>
        </w:rPr>
      </w:pPr>
      <w:r>
        <w:rPr>
          <w:color w:val="auto"/>
          <w:sz w:val="22"/>
          <w:szCs w:val="22"/>
        </w:rPr>
        <w:t>Τα &lt;RABEREN /IASIS&gt; γαστροανθεκτικά δισκία είναι εντερικά επικαλυμμένα (</w:t>
      </w:r>
      <w:proofErr w:type="spellStart"/>
      <w:r>
        <w:rPr>
          <w:color w:val="auto"/>
          <w:sz w:val="22"/>
          <w:szCs w:val="22"/>
        </w:rPr>
        <w:t>γαστροανθεκτικά</w:t>
      </w:r>
      <w:proofErr w:type="spellEnd"/>
      <w:r>
        <w:rPr>
          <w:color w:val="auto"/>
          <w:sz w:val="22"/>
          <w:szCs w:val="22"/>
        </w:rPr>
        <w:t xml:space="preserve">) δισκία νατριούχου </w:t>
      </w:r>
      <w:proofErr w:type="spellStart"/>
      <w:r>
        <w:rPr>
          <w:color w:val="auto"/>
          <w:sz w:val="22"/>
          <w:szCs w:val="22"/>
        </w:rPr>
        <w:t>ραβεπραζόλης</w:t>
      </w:r>
      <w:proofErr w:type="spellEnd"/>
      <w:r>
        <w:rPr>
          <w:color w:val="auto"/>
          <w:sz w:val="22"/>
          <w:szCs w:val="22"/>
        </w:rPr>
        <w:t xml:space="preserve">. Αυτή η παρουσίαση είναι απαραίτητη γιατί η </w:t>
      </w:r>
      <w:proofErr w:type="spellStart"/>
      <w:r>
        <w:rPr>
          <w:color w:val="auto"/>
          <w:sz w:val="22"/>
          <w:szCs w:val="22"/>
        </w:rPr>
        <w:t>ραβεπραζόλη</w:t>
      </w:r>
      <w:proofErr w:type="spellEnd"/>
      <w:r>
        <w:rPr>
          <w:color w:val="auto"/>
          <w:sz w:val="22"/>
          <w:szCs w:val="22"/>
        </w:rPr>
        <w:t xml:space="preserve"> είναι ασταθής σε όξινο περιβάλλον. Επομένως η απορρόφηση της </w:t>
      </w:r>
      <w:proofErr w:type="spellStart"/>
      <w:r>
        <w:rPr>
          <w:color w:val="auto"/>
          <w:sz w:val="22"/>
          <w:szCs w:val="22"/>
        </w:rPr>
        <w:t>ραβεπραζόλης</w:t>
      </w:r>
      <w:proofErr w:type="spellEnd"/>
      <w:r>
        <w:rPr>
          <w:color w:val="auto"/>
          <w:sz w:val="22"/>
          <w:szCs w:val="22"/>
        </w:rPr>
        <w:t xml:space="preserve"> ξεκινάει όταν το δισκίο απομακρυνθεί από το στομάχι. Η απορρόφηση είναι γρήγορη και τα μέγιστα επίπεδα στο πλάσμα επιτυγχάνονται σχεδόν 3,5 ώρες μετά τη δόση των 20 </w:t>
      </w:r>
      <w:proofErr w:type="spellStart"/>
      <w:r>
        <w:rPr>
          <w:color w:val="auto"/>
          <w:sz w:val="22"/>
          <w:szCs w:val="22"/>
        </w:rPr>
        <w:t>mg</w:t>
      </w:r>
      <w:proofErr w:type="spellEnd"/>
      <w:r>
        <w:rPr>
          <w:color w:val="auto"/>
          <w:sz w:val="22"/>
          <w:szCs w:val="22"/>
        </w:rPr>
        <w:t xml:space="preserve">. Η μέγιστη συγκέντρωση στο πλάσμα της </w:t>
      </w:r>
      <w:proofErr w:type="spellStart"/>
      <w:r>
        <w:rPr>
          <w:color w:val="auto"/>
          <w:sz w:val="22"/>
          <w:szCs w:val="22"/>
        </w:rPr>
        <w:t>ραβεπραζόλης</w:t>
      </w:r>
      <w:proofErr w:type="spellEnd"/>
      <w:r>
        <w:rPr>
          <w:color w:val="auto"/>
          <w:sz w:val="22"/>
          <w:szCs w:val="22"/>
        </w:rPr>
        <w:t xml:space="preserve"> (</w:t>
      </w:r>
      <w:proofErr w:type="spellStart"/>
      <w:r>
        <w:rPr>
          <w:color w:val="auto"/>
          <w:sz w:val="22"/>
          <w:szCs w:val="22"/>
        </w:rPr>
        <w:t>C</w:t>
      </w:r>
      <w:r>
        <w:rPr>
          <w:color w:val="auto"/>
          <w:sz w:val="14"/>
          <w:szCs w:val="14"/>
        </w:rPr>
        <w:t>max</w:t>
      </w:r>
      <w:proofErr w:type="spellEnd"/>
      <w:r>
        <w:rPr>
          <w:color w:val="auto"/>
          <w:sz w:val="22"/>
          <w:szCs w:val="22"/>
        </w:rPr>
        <w:t xml:space="preserve">) και η AUC είναι γραμμικές στο εύρος δόσεων των 10 </w:t>
      </w:r>
      <w:proofErr w:type="spellStart"/>
      <w:r>
        <w:rPr>
          <w:color w:val="auto"/>
          <w:sz w:val="22"/>
          <w:szCs w:val="22"/>
        </w:rPr>
        <w:t>mg</w:t>
      </w:r>
      <w:proofErr w:type="spellEnd"/>
      <w:r>
        <w:rPr>
          <w:color w:val="auto"/>
          <w:sz w:val="22"/>
          <w:szCs w:val="22"/>
        </w:rPr>
        <w:t xml:space="preserve"> έως 40 </w:t>
      </w:r>
      <w:proofErr w:type="spellStart"/>
      <w:r>
        <w:rPr>
          <w:color w:val="auto"/>
          <w:sz w:val="22"/>
          <w:szCs w:val="22"/>
        </w:rPr>
        <w:t>mg</w:t>
      </w:r>
      <w:proofErr w:type="spellEnd"/>
      <w:r>
        <w:rPr>
          <w:color w:val="auto"/>
          <w:sz w:val="22"/>
          <w:szCs w:val="22"/>
        </w:rPr>
        <w:t xml:space="preserve">. Η απόλυτη βιοδιαθεσιμότητα μιας 20 </w:t>
      </w:r>
      <w:proofErr w:type="spellStart"/>
      <w:r>
        <w:rPr>
          <w:color w:val="auto"/>
          <w:sz w:val="22"/>
          <w:szCs w:val="22"/>
        </w:rPr>
        <w:t>mg</w:t>
      </w:r>
      <w:proofErr w:type="spellEnd"/>
      <w:r>
        <w:rPr>
          <w:color w:val="auto"/>
          <w:sz w:val="22"/>
          <w:szCs w:val="22"/>
        </w:rPr>
        <w:t xml:space="preserve"> δόσης από του στόματος (σε σύγκριση με την ενδοφλέβια χορήγηση) είναι περίπου 52% εξαιτίας, κατά κύριο λόγο, του προ-συστηματικού μεταβολισμού. Επιπλέον, η βιοδιαθεσιμότητα δεν φαίνεται να αυξάνεται με επαναλαμβανόμενη χορήγηση. Σε υγιή άτομα, η </w:t>
      </w:r>
      <w:proofErr w:type="spellStart"/>
      <w:r>
        <w:rPr>
          <w:color w:val="auto"/>
          <w:sz w:val="22"/>
          <w:szCs w:val="22"/>
        </w:rPr>
        <w:t>ημιζωή</w:t>
      </w:r>
      <w:proofErr w:type="spellEnd"/>
      <w:r>
        <w:rPr>
          <w:color w:val="auto"/>
          <w:sz w:val="22"/>
          <w:szCs w:val="22"/>
        </w:rPr>
        <w:t xml:space="preserve"> στο πλάσμα είναι περίπου μία ώρα (από 0,7 έως 1,5 ώρα), και η συνολική σωματική κάθαρση υπολογίζεται να είναι 283± 98 ml/λεπτό. Δεν υπάρχει κάποια κλινικά σχετική αλληλεπίδραση με το φαγητό. Ούτε το φαγητό ούτε η ώρα της ημέρας της χορήγησης της θεραπείας επηρεάζουν την απορρόφηση της νατριούχου </w:t>
      </w:r>
      <w:proofErr w:type="spellStart"/>
      <w:r>
        <w:rPr>
          <w:color w:val="auto"/>
          <w:sz w:val="22"/>
          <w:szCs w:val="22"/>
        </w:rPr>
        <w:t>ραβεπραζόλης</w:t>
      </w:r>
      <w:proofErr w:type="spellEnd"/>
      <w:r>
        <w:rPr>
          <w:color w:val="auto"/>
          <w:sz w:val="22"/>
          <w:szCs w:val="22"/>
        </w:rPr>
        <w:t xml:space="preserve">. </w:t>
      </w:r>
    </w:p>
    <w:p w:rsidR="006351AF" w:rsidRDefault="006351AF" w:rsidP="006351AF">
      <w:pPr>
        <w:pStyle w:val="Default"/>
        <w:rPr>
          <w:color w:val="auto"/>
          <w:sz w:val="22"/>
          <w:szCs w:val="22"/>
        </w:rPr>
      </w:pPr>
      <w:r>
        <w:rPr>
          <w:b/>
          <w:bCs/>
          <w:color w:val="auto"/>
          <w:sz w:val="22"/>
          <w:szCs w:val="22"/>
        </w:rPr>
        <w:t xml:space="preserve">Μεταφορά </w:t>
      </w:r>
    </w:p>
    <w:p w:rsidR="006351AF" w:rsidRDefault="006351AF" w:rsidP="006351AF">
      <w:pPr>
        <w:pStyle w:val="Default"/>
        <w:rPr>
          <w:color w:val="auto"/>
          <w:sz w:val="22"/>
          <w:szCs w:val="22"/>
        </w:rPr>
      </w:pPr>
      <w:r>
        <w:rPr>
          <w:color w:val="auto"/>
          <w:sz w:val="22"/>
          <w:szCs w:val="22"/>
        </w:rPr>
        <w:t xml:space="preserve">Η </w:t>
      </w:r>
      <w:proofErr w:type="spellStart"/>
      <w:r>
        <w:rPr>
          <w:color w:val="auto"/>
          <w:sz w:val="22"/>
          <w:szCs w:val="22"/>
        </w:rPr>
        <w:t>ραβεπραζόλη</w:t>
      </w:r>
      <w:proofErr w:type="spellEnd"/>
      <w:r>
        <w:rPr>
          <w:color w:val="auto"/>
          <w:sz w:val="22"/>
          <w:szCs w:val="22"/>
        </w:rPr>
        <w:t xml:space="preserve"> δεσμεύεται σε ανθρώπινες πρωτεΐνες του πλάσματος σχεδόν κατά 97%. </w:t>
      </w:r>
    </w:p>
    <w:p w:rsidR="006351AF" w:rsidRDefault="006351AF" w:rsidP="006351AF">
      <w:pPr>
        <w:pStyle w:val="Default"/>
        <w:rPr>
          <w:color w:val="auto"/>
          <w:sz w:val="22"/>
          <w:szCs w:val="22"/>
        </w:rPr>
      </w:pPr>
      <w:r>
        <w:rPr>
          <w:b/>
          <w:bCs/>
          <w:color w:val="auto"/>
          <w:sz w:val="22"/>
          <w:szCs w:val="22"/>
        </w:rPr>
        <w:t xml:space="preserve">Μεταβολισμός και απέκκριση </w:t>
      </w:r>
    </w:p>
    <w:p w:rsidR="006351AF" w:rsidRDefault="006351AF" w:rsidP="006351AF">
      <w:pPr>
        <w:pStyle w:val="Default"/>
        <w:rPr>
          <w:color w:val="auto"/>
          <w:sz w:val="22"/>
          <w:szCs w:val="22"/>
        </w:rPr>
      </w:pPr>
      <w:r>
        <w:rPr>
          <w:color w:val="auto"/>
          <w:sz w:val="22"/>
          <w:szCs w:val="22"/>
        </w:rPr>
        <w:t xml:space="preserve">Η νατριούχος </w:t>
      </w:r>
      <w:proofErr w:type="spellStart"/>
      <w:r>
        <w:rPr>
          <w:color w:val="auto"/>
          <w:sz w:val="22"/>
          <w:szCs w:val="22"/>
        </w:rPr>
        <w:t>ραβεπραζόλη</w:t>
      </w:r>
      <w:proofErr w:type="spellEnd"/>
      <w:r>
        <w:rPr>
          <w:color w:val="auto"/>
          <w:sz w:val="22"/>
          <w:szCs w:val="22"/>
        </w:rPr>
        <w:t xml:space="preserve">, όπως και στην περίπτωση με τα άλλα μέλη των αναστολέων της αντλίας πρωτονίων, μεταβολίζεται από το ηπατικό σύστημα μεταβολισμού φαρμάκων του κυτοχρώματος Ρ450 (CYP450). Μελέτες </w:t>
      </w:r>
      <w:proofErr w:type="spellStart"/>
      <w:r>
        <w:rPr>
          <w:color w:val="auto"/>
          <w:sz w:val="22"/>
          <w:szCs w:val="22"/>
        </w:rPr>
        <w:t>in</w:t>
      </w:r>
      <w:proofErr w:type="spellEnd"/>
      <w:r>
        <w:rPr>
          <w:color w:val="auto"/>
          <w:sz w:val="22"/>
          <w:szCs w:val="22"/>
        </w:rPr>
        <w:t xml:space="preserve"> </w:t>
      </w:r>
      <w:proofErr w:type="spellStart"/>
      <w:r>
        <w:rPr>
          <w:color w:val="auto"/>
          <w:sz w:val="22"/>
          <w:szCs w:val="22"/>
        </w:rPr>
        <w:t>vitro</w:t>
      </w:r>
      <w:proofErr w:type="spellEnd"/>
      <w:r>
        <w:rPr>
          <w:color w:val="auto"/>
          <w:sz w:val="22"/>
          <w:szCs w:val="22"/>
        </w:rPr>
        <w:t xml:space="preserve"> με ανθρώπινα ηπατικά </w:t>
      </w:r>
      <w:proofErr w:type="spellStart"/>
      <w:r>
        <w:rPr>
          <w:color w:val="auto"/>
          <w:sz w:val="22"/>
          <w:szCs w:val="22"/>
        </w:rPr>
        <w:t>μικροσωμάτια</w:t>
      </w:r>
      <w:proofErr w:type="spellEnd"/>
      <w:r>
        <w:rPr>
          <w:color w:val="auto"/>
          <w:sz w:val="22"/>
          <w:szCs w:val="22"/>
        </w:rPr>
        <w:t xml:space="preserve"> υπέδειξαν ότι η νατριούχος </w:t>
      </w:r>
      <w:proofErr w:type="spellStart"/>
      <w:r>
        <w:rPr>
          <w:color w:val="auto"/>
          <w:sz w:val="22"/>
          <w:szCs w:val="22"/>
        </w:rPr>
        <w:t>ραβεπραζόλη</w:t>
      </w:r>
      <w:proofErr w:type="spellEnd"/>
      <w:r>
        <w:rPr>
          <w:color w:val="auto"/>
          <w:sz w:val="22"/>
          <w:szCs w:val="22"/>
        </w:rPr>
        <w:t xml:space="preserve"> μεταβολίζεται από </w:t>
      </w:r>
      <w:proofErr w:type="spellStart"/>
      <w:r>
        <w:rPr>
          <w:color w:val="auto"/>
          <w:sz w:val="22"/>
          <w:szCs w:val="22"/>
        </w:rPr>
        <w:t>ισοένζυμα</w:t>
      </w:r>
      <w:proofErr w:type="spellEnd"/>
      <w:r>
        <w:rPr>
          <w:color w:val="auto"/>
          <w:sz w:val="22"/>
          <w:szCs w:val="22"/>
        </w:rPr>
        <w:t xml:space="preserve"> του CYP450 (CYP2C19 και CYP3A4). Σε αυτές τις μελέτες, στις αναμενόμενες συγκεντρώσεις στο ανθρώπινο πλάσμα, η </w:t>
      </w:r>
      <w:proofErr w:type="spellStart"/>
      <w:r>
        <w:rPr>
          <w:color w:val="auto"/>
          <w:sz w:val="22"/>
          <w:szCs w:val="22"/>
        </w:rPr>
        <w:t>ραβεπραζόλη</w:t>
      </w:r>
      <w:proofErr w:type="spellEnd"/>
      <w:r>
        <w:rPr>
          <w:color w:val="auto"/>
          <w:sz w:val="22"/>
          <w:szCs w:val="22"/>
        </w:rPr>
        <w:t xml:space="preserve"> δεν προκάλεσε επαγωγή ή αναστολή του CYP3A4. Αν και οι μελέτες </w:t>
      </w:r>
      <w:proofErr w:type="spellStart"/>
      <w:r>
        <w:rPr>
          <w:color w:val="auto"/>
          <w:sz w:val="22"/>
          <w:szCs w:val="22"/>
        </w:rPr>
        <w:t>in</w:t>
      </w:r>
      <w:proofErr w:type="spellEnd"/>
      <w:r>
        <w:rPr>
          <w:color w:val="auto"/>
          <w:sz w:val="22"/>
          <w:szCs w:val="22"/>
        </w:rPr>
        <w:t xml:space="preserve"> </w:t>
      </w:r>
      <w:proofErr w:type="spellStart"/>
      <w:r>
        <w:rPr>
          <w:color w:val="auto"/>
          <w:sz w:val="22"/>
          <w:szCs w:val="22"/>
        </w:rPr>
        <w:t>vitro</w:t>
      </w:r>
      <w:proofErr w:type="spellEnd"/>
      <w:r>
        <w:rPr>
          <w:color w:val="auto"/>
          <w:sz w:val="22"/>
          <w:szCs w:val="22"/>
        </w:rPr>
        <w:t xml:space="preserve"> δεν είναι πάντα ενδεικτικές της </w:t>
      </w:r>
      <w:proofErr w:type="spellStart"/>
      <w:r>
        <w:rPr>
          <w:color w:val="auto"/>
          <w:sz w:val="22"/>
          <w:szCs w:val="22"/>
        </w:rPr>
        <w:t>in</w:t>
      </w:r>
      <w:proofErr w:type="spellEnd"/>
      <w:r>
        <w:rPr>
          <w:color w:val="auto"/>
          <w:sz w:val="22"/>
          <w:szCs w:val="22"/>
        </w:rPr>
        <w:t xml:space="preserve"> </w:t>
      </w:r>
      <w:proofErr w:type="spellStart"/>
      <w:r>
        <w:rPr>
          <w:color w:val="auto"/>
          <w:sz w:val="22"/>
          <w:szCs w:val="22"/>
        </w:rPr>
        <w:t>vivo</w:t>
      </w:r>
      <w:proofErr w:type="spellEnd"/>
      <w:r>
        <w:rPr>
          <w:color w:val="auto"/>
          <w:sz w:val="22"/>
          <w:szCs w:val="22"/>
        </w:rPr>
        <w:t xml:space="preserve"> κατάστασης, αυτά τα αποτελέσματα υποδεικνύουν ότι δεν αναμένεται κάποια αλληλεπίδραση μεταξύ της </w:t>
      </w:r>
      <w:proofErr w:type="spellStart"/>
      <w:r>
        <w:rPr>
          <w:color w:val="auto"/>
          <w:sz w:val="22"/>
          <w:szCs w:val="22"/>
        </w:rPr>
        <w:t>ραβεπραζόλης</w:t>
      </w:r>
      <w:proofErr w:type="spellEnd"/>
      <w:r>
        <w:rPr>
          <w:color w:val="auto"/>
          <w:sz w:val="22"/>
          <w:szCs w:val="22"/>
        </w:rPr>
        <w:t xml:space="preserve"> και της </w:t>
      </w:r>
      <w:proofErr w:type="spellStart"/>
      <w:r>
        <w:rPr>
          <w:color w:val="auto"/>
          <w:sz w:val="22"/>
          <w:szCs w:val="22"/>
        </w:rPr>
        <w:t>κυκλοσπορίνης</w:t>
      </w:r>
      <w:proofErr w:type="spellEnd"/>
      <w:r>
        <w:rPr>
          <w:color w:val="auto"/>
          <w:sz w:val="22"/>
          <w:szCs w:val="22"/>
        </w:rPr>
        <w:t xml:space="preserve">. Στους ανθρώπους, οι κύριοι μεταβολίτες στο πλάσμα είναι ο </w:t>
      </w:r>
      <w:proofErr w:type="spellStart"/>
      <w:r>
        <w:rPr>
          <w:color w:val="auto"/>
          <w:sz w:val="22"/>
          <w:szCs w:val="22"/>
        </w:rPr>
        <w:t>θειοαιθέρας</w:t>
      </w:r>
      <w:proofErr w:type="spellEnd"/>
      <w:r>
        <w:rPr>
          <w:color w:val="auto"/>
          <w:sz w:val="22"/>
          <w:szCs w:val="22"/>
        </w:rPr>
        <w:t xml:space="preserve"> (Μ1) και το </w:t>
      </w:r>
      <w:proofErr w:type="spellStart"/>
      <w:r>
        <w:rPr>
          <w:color w:val="auto"/>
          <w:sz w:val="22"/>
          <w:szCs w:val="22"/>
        </w:rPr>
        <w:t>καρβοξυλικό</w:t>
      </w:r>
      <w:proofErr w:type="spellEnd"/>
      <w:r>
        <w:rPr>
          <w:color w:val="auto"/>
          <w:sz w:val="22"/>
          <w:szCs w:val="22"/>
        </w:rPr>
        <w:t xml:space="preserve"> οξύ (Μ6) ενώ η </w:t>
      </w:r>
      <w:proofErr w:type="spellStart"/>
      <w:r>
        <w:rPr>
          <w:color w:val="auto"/>
          <w:sz w:val="22"/>
          <w:szCs w:val="22"/>
        </w:rPr>
        <w:t>σουλφόνη</w:t>
      </w:r>
      <w:proofErr w:type="spellEnd"/>
      <w:r>
        <w:rPr>
          <w:color w:val="auto"/>
          <w:sz w:val="22"/>
          <w:szCs w:val="22"/>
        </w:rPr>
        <w:t xml:space="preserve"> (Μ2), ο </w:t>
      </w:r>
      <w:proofErr w:type="spellStart"/>
      <w:r>
        <w:rPr>
          <w:color w:val="auto"/>
          <w:sz w:val="22"/>
          <w:szCs w:val="22"/>
        </w:rPr>
        <w:t>δεσμεθύλ</w:t>
      </w:r>
      <w:proofErr w:type="spellEnd"/>
      <w:r>
        <w:rPr>
          <w:color w:val="auto"/>
          <w:sz w:val="22"/>
          <w:szCs w:val="22"/>
        </w:rPr>
        <w:t>-</w:t>
      </w:r>
      <w:proofErr w:type="spellStart"/>
      <w:r>
        <w:rPr>
          <w:color w:val="auto"/>
          <w:sz w:val="22"/>
          <w:szCs w:val="22"/>
        </w:rPr>
        <w:t>θειοαιθέρας</w:t>
      </w:r>
      <w:proofErr w:type="spellEnd"/>
      <w:r>
        <w:rPr>
          <w:color w:val="auto"/>
          <w:sz w:val="22"/>
          <w:szCs w:val="22"/>
        </w:rPr>
        <w:t xml:space="preserve"> (M4) και το </w:t>
      </w:r>
      <w:proofErr w:type="spellStart"/>
      <w:r>
        <w:rPr>
          <w:color w:val="auto"/>
          <w:sz w:val="22"/>
          <w:szCs w:val="22"/>
        </w:rPr>
        <w:t>σύμπλοκο</w:t>
      </w:r>
      <w:proofErr w:type="spellEnd"/>
      <w:r>
        <w:rPr>
          <w:color w:val="auto"/>
          <w:sz w:val="22"/>
          <w:szCs w:val="22"/>
        </w:rPr>
        <w:t xml:space="preserve"> </w:t>
      </w:r>
      <w:proofErr w:type="spellStart"/>
      <w:r>
        <w:rPr>
          <w:color w:val="auto"/>
          <w:sz w:val="22"/>
          <w:szCs w:val="22"/>
        </w:rPr>
        <w:t>μερκαπτουρικού</w:t>
      </w:r>
      <w:proofErr w:type="spellEnd"/>
      <w:r>
        <w:rPr>
          <w:color w:val="auto"/>
          <w:sz w:val="22"/>
          <w:szCs w:val="22"/>
        </w:rPr>
        <w:t xml:space="preserve"> οξέος (M5) παρατηρούνται σε χαμηλότερα επίπεδα. Μόνο ο </w:t>
      </w:r>
      <w:proofErr w:type="spellStart"/>
      <w:r>
        <w:rPr>
          <w:color w:val="auto"/>
          <w:sz w:val="22"/>
          <w:szCs w:val="22"/>
        </w:rPr>
        <w:t>δεσμέθυλο</w:t>
      </w:r>
      <w:proofErr w:type="spellEnd"/>
      <w:r>
        <w:rPr>
          <w:color w:val="auto"/>
          <w:sz w:val="22"/>
          <w:szCs w:val="22"/>
        </w:rPr>
        <w:t xml:space="preserve"> μεταβολίτης (Μ3) έχει μια μικρή </w:t>
      </w:r>
      <w:proofErr w:type="spellStart"/>
      <w:r>
        <w:rPr>
          <w:color w:val="auto"/>
          <w:sz w:val="22"/>
          <w:szCs w:val="22"/>
        </w:rPr>
        <w:t>αντι</w:t>
      </w:r>
      <w:proofErr w:type="spellEnd"/>
      <w:r>
        <w:rPr>
          <w:color w:val="auto"/>
          <w:sz w:val="22"/>
          <w:szCs w:val="22"/>
        </w:rPr>
        <w:t xml:space="preserve">-εκκριτική δράση, αλλά δεν παρατηρείται στο πλάσμα. </w:t>
      </w:r>
    </w:p>
    <w:p w:rsidR="006351AF" w:rsidRDefault="006351AF" w:rsidP="006351AF">
      <w:pPr>
        <w:pStyle w:val="Default"/>
        <w:rPr>
          <w:color w:val="auto"/>
          <w:sz w:val="22"/>
          <w:szCs w:val="22"/>
        </w:rPr>
      </w:pPr>
      <w:r>
        <w:rPr>
          <w:color w:val="auto"/>
          <w:sz w:val="22"/>
          <w:szCs w:val="22"/>
        </w:rPr>
        <w:t xml:space="preserve">Μετά από μια εφάπαξ από του στόματος δόση 20-mg νατριούχου </w:t>
      </w:r>
      <w:proofErr w:type="spellStart"/>
      <w:r>
        <w:rPr>
          <w:color w:val="auto"/>
          <w:sz w:val="22"/>
          <w:szCs w:val="22"/>
        </w:rPr>
        <w:t>ραβεπραζόλης</w:t>
      </w:r>
      <w:proofErr w:type="spellEnd"/>
      <w:r>
        <w:rPr>
          <w:color w:val="auto"/>
          <w:sz w:val="22"/>
          <w:szCs w:val="22"/>
        </w:rPr>
        <w:t xml:space="preserve"> επισημασμένης με </w:t>
      </w:r>
      <w:r>
        <w:rPr>
          <w:color w:val="auto"/>
          <w:sz w:val="14"/>
          <w:szCs w:val="14"/>
        </w:rPr>
        <w:t>14</w:t>
      </w:r>
      <w:r>
        <w:rPr>
          <w:color w:val="auto"/>
          <w:sz w:val="22"/>
          <w:szCs w:val="22"/>
        </w:rPr>
        <w:t xml:space="preserve">C δόση, δεν βρέθηκε η αναλλοίωτη μορφή του φαρμάκου στα ούρα. Σχεδόν 90% της δόσης απομακρύνθηκε στα ούρα ως δύο μεταβολίτες: ένα </w:t>
      </w:r>
      <w:proofErr w:type="spellStart"/>
      <w:r>
        <w:rPr>
          <w:color w:val="auto"/>
          <w:sz w:val="22"/>
          <w:szCs w:val="22"/>
        </w:rPr>
        <w:t>σύμπλοκο</w:t>
      </w:r>
      <w:proofErr w:type="spellEnd"/>
      <w:r>
        <w:rPr>
          <w:color w:val="auto"/>
          <w:sz w:val="22"/>
          <w:szCs w:val="22"/>
        </w:rPr>
        <w:t xml:space="preserve"> </w:t>
      </w:r>
      <w:proofErr w:type="spellStart"/>
      <w:r>
        <w:rPr>
          <w:color w:val="auto"/>
          <w:sz w:val="22"/>
          <w:szCs w:val="22"/>
        </w:rPr>
        <w:t>μερκαπτορικού</w:t>
      </w:r>
      <w:proofErr w:type="spellEnd"/>
      <w:r>
        <w:rPr>
          <w:color w:val="auto"/>
          <w:sz w:val="22"/>
          <w:szCs w:val="22"/>
        </w:rPr>
        <w:t xml:space="preserve"> οξέος (M5) και </w:t>
      </w:r>
      <w:proofErr w:type="spellStart"/>
      <w:r>
        <w:rPr>
          <w:color w:val="auto"/>
          <w:sz w:val="22"/>
          <w:szCs w:val="22"/>
        </w:rPr>
        <w:t>καρβοξυλικό</w:t>
      </w:r>
      <w:proofErr w:type="spellEnd"/>
      <w:r>
        <w:rPr>
          <w:color w:val="auto"/>
          <w:sz w:val="22"/>
          <w:szCs w:val="22"/>
        </w:rPr>
        <w:t xml:space="preserve"> οξύ (Μ6), συν δύο άγνωστους μεταβολίτες. Το υπόλοιπο της δόσης βρέθηκε στα κόπρανα. </w:t>
      </w:r>
    </w:p>
    <w:p w:rsidR="006351AF" w:rsidRDefault="006351AF" w:rsidP="006351AF">
      <w:pPr>
        <w:pStyle w:val="Default"/>
        <w:rPr>
          <w:color w:val="auto"/>
          <w:sz w:val="22"/>
          <w:szCs w:val="22"/>
        </w:rPr>
      </w:pPr>
      <w:r>
        <w:rPr>
          <w:b/>
          <w:bCs/>
          <w:color w:val="auto"/>
          <w:sz w:val="22"/>
          <w:szCs w:val="22"/>
        </w:rPr>
        <w:t xml:space="preserve">Φύλο: </w:t>
      </w:r>
    </w:p>
    <w:p w:rsidR="006351AF" w:rsidRDefault="006351AF" w:rsidP="006351AF">
      <w:pPr>
        <w:pStyle w:val="Default"/>
        <w:rPr>
          <w:color w:val="auto"/>
          <w:sz w:val="22"/>
          <w:szCs w:val="22"/>
        </w:rPr>
      </w:pPr>
      <w:r>
        <w:rPr>
          <w:color w:val="auto"/>
          <w:sz w:val="22"/>
          <w:szCs w:val="22"/>
        </w:rPr>
        <w:t xml:space="preserve">Προσαρμοσμένο για τη μάζα σώματος και το ύψος, δεν υπήρχαν σημαντικές διαφορές στις </w:t>
      </w:r>
      <w:proofErr w:type="spellStart"/>
      <w:r>
        <w:rPr>
          <w:color w:val="auto"/>
          <w:sz w:val="22"/>
          <w:szCs w:val="22"/>
        </w:rPr>
        <w:t>φαρμακοκινητικές</w:t>
      </w:r>
      <w:proofErr w:type="spellEnd"/>
      <w:r>
        <w:rPr>
          <w:color w:val="auto"/>
          <w:sz w:val="22"/>
          <w:szCs w:val="22"/>
        </w:rPr>
        <w:t xml:space="preserve"> παραμέτρους μετά από μια μονή δόση 20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ραβεπραζόλης</w:t>
      </w:r>
      <w:proofErr w:type="spellEnd"/>
      <w:r>
        <w:rPr>
          <w:color w:val="auto"/>
          <w:sz w:val="22"/>
          <w:szCs w:val="22"/>
        </w:rPr>
        <w:t xml:space="preserve">. </w:t>
      </w:r>
    </w:p>
    <w:p w:rsidR="006351AF" w:rsidRDefault="006351AF" w:rsidP="006351AF">
      <w:pPr>
        <w:pStyle w:val="Default"/>
        <w:rPr>
          <w:color w:val="auto"/>
          <w:sz w:val="22"/>
          <w:szCs w:val="22"/>
        </w:rPr>
      </w:pPr>
      <w:r>
        <w:rPr>
          <w:b/>
          <w:bCs/>
          <w:color w:val="auto"/>
          <w:sz w:val="22"/>
          <w:szCs w:val="22"/>
        </w:rPr>
        <w:t xml:space="preserve">Νεφρική δυσλειτουργία: </w:t>
      </w:r>
    </w:p>
    <w:p w:rsidR="006351AF" w:rsidRDefault="006351AF" w:rsidP="006351AF">
      <w:pPr>
        <w:pStyle w:val="Default"/>
        <w:rPr>
          <w:color w:val="auto"/>
          <w:sz w:val="22"/>
          <w:szCs w:val="22"/>
        </w:rPr>
      </w:pPr>
      <w:r>
        <w:rPr>
          <w:color w:val="auto"/>
          <w:sz w:val="22"/>
          <w:szCs w:val="22"/>
        </w:rPr>
        <w:t>Σε ασθενείς με σταθερή, τελικού σταδίου, νεφρική ανεπάρκεια που απαιτεί αιμοκάθαρση (κάθαρση κρεατίνης ≤5 ml/λεπτό/1,73 m</w:t>
      </w:r>
      <w:r>
        <w:rPr>
          <w:color w:val="auto"/>
          <w:sz w:val="14"/>
          <w:szCs w:val="14"/>
        </w:rPr>
        <w:t>2</w:t>
      </w:r>
      <w:r>
        <w:rPr>
          <w:color w:val="auto"/>
          <w:sz w:val="22"/>
          <w:szCs w:val="22"/>
        </w:rPr>
        <w:t xml:space="preserve">), ο μεταβολισμός και η απομάκρυνση της </w:t>
      </w:r>
      <w:proofErr w:type="spellStart"/>
      <w:r>
        <w:rPr>
          <w:color w:val="auto"/>
          <w:sz w:val="22"/>
          <w:szCs w:val="22"/>
        </w:rPr>
        <w:t>ραβεπραζόλης</w:t>
      </w:r>
      <w:proofErr w:type="spellEnd"/>
      <w:r>
        <w:rPr>
          <w:color w:val="auto"/>
          <w:sz w:val="22"/>
          <w:szCs w:val="22"/>
        </w:rPr>
        <w:t xml:space="preserve"> ήταν πολύ παρόμοια με αυτή σε υγιείς εθελοντές. Οι τιμές AUC και </w:t>
      </w:r>
      <w:proofErr w:type="spellStart"/>
      <w:r>
        <w:rPr>
          <w:color w:val="auto"/>
          <w:sz w:val="22"/>
          <w:szCs w:val="22"/>
        </w:rPr>
        <w:t>C</w:t>
      </w:r>
      <w:r>
        <w:rPr>
          <w:color w:val="auto"/>
          <w:sz w:val="14"/>
          <w:szCs w:val="14"/>
        </w:rPr>
        <w:t>max</w:t>
      </w:r>
      <w:proofErr w:type="spellEnd"/>
      <w:r>
        <w:rPr>
          <w:color w:val="auto"/>
          <w:sz w:val="14"/>
          <w:szCs w:val="14"/>
        </w:rPr>
        <w:t xml:space="preserve"> </w:t>
      </w:r>
      <w:r>
        <w:rPr>
          <w:color w:val="auto"/>
          <w:sz w:val="22"/>
          <w:szCs w:val="22"/>
        </w:rPr>
        <w:t xml:space="preserve">σε αυτούς τους ασθενείς ήταν περίπου 35% χαμηλότερες από τις αντίστοιχες παραμέτρους σε υγιείς εθελοντές. Η μέση </w:t>
      </w:r>
      <w:proofErr w:type="spellStart"/>
      <w:r>
        <w:rPr>
          <w:color w:val="auto"/>
          <w:sz w:val="22"/>
          <w:szCs w:val="22"/>
        </w:rPr>
        <w:t>ημιζωή</w:t>
      </w:r>
      <w:proofErr w:type="spellEnd"/>
      <w:r>
        <w:rPr>
          <w:color w:val="auto"/>
          <w:sz w:val="22"/>
          <w:szCs w:val="22"/>
        </w:rPr>
        <w:t xml:space="preserve"> της </w:t>
      </w:r>
      <w:proofErr w:type="spellStart"/>
      <w:r>
        <w:rPr>
          <w:color w:val="auto"/>
          <w:sz w:val="22"/>
          <w:szCs w:val="22"/>
        </w:rPr>
        <w:t>ραβεπραζόλης</w:t>
      </w:r>
      <w:proofErr w:type="spellEnd"/>
      <w:r>
        <w:rPr>
          <w:color w:val="auto"/>
          <w:sz w:val="22"/>
          <w:szCs w:val="22"/>
        </w:rPr>
        <w:t xml:space="preserve"> ήταν 0,82 ώρες σε υγιείς εθελοντές, 0,95 ώρες σε ασθενείς κατά τη διάρκεια της αιμοκάθαρσης και 3,6 ώρες μετά την αιμοκάθαρση. Η κάθαρση του φαρμάκου σε ασθενείς με νεφρική ανεπάρκεια που χρειαζόταν τακτική αιμοκάθαρση ήταν σχεδόν διπλάσια των υγιών εθελοντών. </w:t>
      </w:r>
    </w:p>
    <w:p w:rsidR="006351AF" w:rsidRDefault="006351AF" w:rsidP="006351AF">
      <w:pPr>
        <w:pStyle w:val="Default"/>
        <w:rPr>
          <w:color w:val="auto"/>
          <w:sz w:val="22"/>
          <w:szCs w:val="22"/>
        </w:rPr>
      </w:pPr>
      <w:r>
        <w:rPr>
          <w:b/>
          <w:bCs/>
          <w:color w:val="auto"/>
          <w:sz w:val="22"/>
          <w:szCs w:val="22"/>
        </w:rPr>
        <w:t xml:space="preserve">Ηπατική δυσλειτουργία: </w:t>
      </w:r>
    </w:p>
    <w:p w:rsidR="006351AF" w:rsidRDefault="006351AF" w:rsidP="006351AF">
      <w:pPr>
        <w:pStyle w:val="Default"/>
        <w:rPr>
          <w:color w:val="auto"/>
          <w:sz w:val="22"/>
          <w:szCs w:val="22"/>
        </w:rPr>
      </w:pPr>
      <w:r>
        <w:rPr>
          <w:color w:val="auto"/>
          <w:sz w:val="22"/>
          <w:szCs w:val="22"/>
        </w:rPr>
        <w:t xml:space="preserve">Μετά από μια μονή δόση 20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ραβεπραζόλης</w:t>
      </w:r>
      <w:proofErr w:type="spellEnd"/>
      <w:r>
        <w:rPr>
          <w:color w:val="auto"/>
          <w:sz w:val="22"/>
          <w:szCs w:val="22"/>
        </w:rPr>
        <w:t xml:space="preserve"> σε ασθενείς με χρόνια ήπια έως μέτρια ηπατική ανεπάρκεια, η τιμή AUC </w:t>
      </w:r>
      <w:proofErr w:type="spellStart"/>
      <w:r>
        <w:rPr>
          <w:color w:val="auto"/>
          <w:sz w:val="22"/>
          <w:szCs w:val="22"/>
        </w:rPr>
        <w:t>διπλασσιάστηκε</w:t>
      </w:r>
      <w:proofErr w:type="spellEnd"/>
      <w:r>
        <w:rPr>
          <w:color w:val="auto"/>
          <w:sz w:val="22"/>
          <w:szCs w:val="22"/>
        </w:rPr>
        <w:t xml:space="preserve"> και η </w:t>
      </w:r>
      <w:proofErr w:type="spellStart"/>
      <w:r>
        <w:rPr>
          <w:color w:val="auto"/>
          <w:sz w:val="22"/>
          <w:szCs w:val="22"/>
        </w:rPr>
        <w:t>ημιζωή</w:t>
      </w:r>
      <w:proofErr w:type="spellEnd"/>
      <w:r>
        <w:rPr>
          <w:color w:val="auto"/>
          <w:sz w:val="22"/>
          <w:szCs w:val="22"/>
        </w:rPr>
        <w:t xml:space="preserve"> της </w:t>
      </w:r>
      <w:proofErr w:type="spellStart"/>
      <w:r>
        <w:rPr>
          <w:color w:val="auto"/>
          <w:sz w:val="22"/>
          <w:szCs w:val="22"/>
        </w:rPr>
        <w:t>ραβεπραζόλης</w:t>
      </w:r>
      <w:proofErr w:type="spellEnd"/>
      <w:r>
        <w:rPr>
          <w:color w:val="auto"/>
          <w:sz w:val="22"/>
          <w:szCs w:val="22"/>
        </w:rPr>
        <w:t xml:space="preserve"> αυξήθηκε 2-3 φορές σε σύγκριση με υγιείς εθελοντές. Όμως, μετά από μια δόση 20 </w:t>
      </w:r>
      <w:proofErr w:type="spellStart"/>
      <w:r>
        <w:rPr>
          <w:color w:val="auto"/>
          <w:sz w:val="22"/>
          <w:szCs w:val="22"/>
        </w:rPr>
        <w:t>mg</w:t>
      </w:r>
      <w:proofErr w:type="spellEnd"/>
      <w:r>
        <w:rPr>
          <w:color w:val="auto"/>
          <w:sz w:val="22"/>
          <w:szCs w:val="22"/>
        </w:rPr>
        <w:t xml:space="preserve"> ημερησίως για 7 μέρες,, η τιμή AUC αυξήθηκε μόνο και 1,5 και η τιμή </w:t>
      </w:r>
      <w:proofErr w:type="spellStart"/>
      <w:r>
        <w:rPr>
          <w:color w:val="auto"/>
          <w:sz w:val="22"/>
          <w:szCs w:val="22"/>
        </w:rPr>
        <w:t>C</w:t>
      </w:r>
      <w:r>
        <w:rPr>
          <w:color w:val="auto"/>
          <w:sz w:val="14"/>
          <w:szCs w:val="14"/>
        </w:rPr>
        <w:t>max</w:t>
      </w:r>
      <w:proofErr w:type="spellEnd"/>
      <w:r>
        <w:rPr>
          <w:color w:val="auto"/>
          <w:sz w:val="14"/>
          <w:szCs w:val="14"/>
        </w:rPr>
        <w:t xml:space="preserve"> </w:t>
      </w:r>
      <w:r>
        <w:rPr>
          <w:color w:val="auto"/>
          <w:sz w:val="22"/>
          <w:szCs w:val="22"/>
        </w:rPr>
        <w:t xml:space="preserve">μόνο κατά 1,2 φορές. Η </w:t>
      </w:r>
      <w:proofErr w:type="spellStart"/>
      <w:r>
        <w:rPr>
          <w:color w:val="auto"/>
          <w:sz w:val="22"/>
          <w:szCs w:val="22"/>
        </w:rPr>
        <w:t>ημιζωή</w:t>
      </w:r>
      <w:proofErr w:type="spellEnd"/>
      <w:r>
        <w:rPr>
          <w:color w:val="auto"/>
          <w:sz w:val="22"/>
          <w:szCs w:val="22"/>
        </w:rPr>
        <w:t xml:space="preserve"> </w:t>
      </w:r>
      <w:r>
        <w:rPr>
          <w:color w:val="auto"/>
          <w:sz w:val="22"/>
          <w:szCs w:val="22"/>
        </w:rPr>
        <w:lastRenderedPageBreak/>
        <w:t xml:space="preserve">της </w:t>
      </w:r>
      <w:proofErr w:type="spellStart"/>
      <w:r>
        <w:rPr>
          <w:color w:val="auto"/>
          <w:sz w:val="22"/>
          <w:szCs w:val="22"/>
        </w:rPr>
        <w:t>ραβεπραζόλης</w:t>
      </w:r>
      <w:proofErr w:type="spellEnd"/>
      <w:r>
        <w:rPr>
          <w:color w:val="auto"/>
          <w:sz w:val="22"/>
          <w:szCs w:val="22"/>
        </w:rPr>
        <w:t xml:space="preserve"> σε ασθενείς με ηπατική ανεπάρκεια ήταν 12,3 ώρες σε σύγκριση με τις 2,1 ώρες σε υγιείς εθελοντές. Η φαρμακοδυναμική απόκριση (έλεγχος του γαστρικού </w:t>
      </w:r>
      <w:proofErr w:type="spellStart"/>
      <w:r>
        <w:rPr>
          <w:color w:val="auto"/>
          <w:sz w:val="22"/>
          <w:szCs w:val="22"/>
        </w:rPr>
        <w:t>pH</w:t>
      </w:r>
      <w:proofErr w:type="spellEnd"/>
      <w:r>
        <w:rPr>
          <w:color w:val="auto"/>
          <w:sz w:val="22"/>
          <w:szCs w:val="22"/>
        </w:rPr>
        <w:t xml:space="preserve">) στις δύο ομάδες ήταν κλινικά συγκρίσιμη. </w:t>
      </w:r>
    </w:p>
    <w:p w:rsidR="006351AF" w:rsidRDefault="006351AF" w:rsidP="006351AF">
      <w:pPr>
        <w:pStyle w:val="Default"/>
        <w:rPr>
          <w:color w:val="auto"/>
          <w:sz w:val="22"/>
          <w:szCs w:val="22"/>
        </w:rPr>
      </w:pPr>
      <w:r>
        <w:rPr>
          <w:b/>
          <w:bCs/>
          <w:color w:val="auto"/>
          <w:sz w:val="22"/>
          <w:szCs w:val="22"/>
        </w:rPr>
        <w:t xml:space="preserve">Ηλικιωμένοι: </w:t>
      </w:r>
    </w:p>
    <w:p w:rsidR="006351AF" w:rsidRDefault="006351AF" w:rsidP="006351AF">
      <w:pPr>
        <w:pStyle w:val="Default"/>
        <w:rPr>
          <w:color w:val="auto"/>
          <w:sz w:val="22"/>
          <w:szCs w:val="22"/>
        </w:rPr>
      </w:pPr>
      <w:r>
        <w:rPr>
          <w:color w:val="auto"/>
          <w:sz w:val="22"/>
          <w:szCs w:val="22"/>
        </w:rPr>
        <w:t xml:space="preserve">Η απομάκρυνση της </w:t>
      </w:r>
      <w:proofErr w:type="spellStart"/>
      <w:r>
        <w:rPr>
          <w:color w:val="auto"/>
          <w:sz w:val="22"/>
          <w:szCs w:val="22"/>
        </w:rPr>
        <w:t>ραβεπραζόλης</w:t>
      </w:r>
      <w:proofErr w:type="spellEnd"/>
      <w:r>
        <w:rPr>
          <w:color w:val="auto"/>
          <w:sz w:val="22"/>
          <w:szCs w:val="22"/>
        </w:rPr>
        <w:t xml:space="preserve"> ήταν λίγο μικρότερη στους ηλικιωμένους. Μετά από 7 μέρες καθημερινής δόσης 20 </w:t>
      </w:r>
      <w:proofErr w:type="spellStart"/>
      <w:r>
        <w:rPr>
          <w:color w:val="auto"/>
          <w:sz w:val="22"/>
          <w:szCs w:val="22"/>
        </w:rPr>
        <w:t>mg</w:t>
      </w:r>
      <w:proofErr w:type="spellEnd"/>
      <w:r>
        <w:rPr>
          <w:color w:val="auto"/>
          <w:sz w:val="22"/>
          <w:szCs w:val="22"/>
        </w:rPr>
        <w:t xml:space="preserve"> νατριούχου </w:t>
      </w:r>
      <w:proofErr w:type="spellStart"/>
      <w:r>
        <w:rPr>
          <w:color w:val="auto"/>
          <w:sz w:val="22"/>
          <w:szCs w:val="22"/>
        </w:rPr>
        <w:t>ραβεπραζόλης</w:t>
      </w:r>
      <w:proofErr w:type="spellEnd"/>
      <w:r>
        <w:rPr>
          <w:color w:val="auto"/>
          <w:sz w:val="22"/>
          <w:szCs w:val="22"/>
        </w:rPr>
        <w:t xml:space="preserve">, η τιμή AUC σχεδόν διπλασιάστηκε, η τιμή </w:t>
      </w:r>
      <w:proofErr w:type="spellStart"/>
      <w:r>
        <w:rPr>
          <w:color w:val="auto"/>
          <w:sz w:val="22"/>
          <w:szCs w:val="22"/>
        </w:rPr>
        <w:t>C</w:t>
      </w:r>
      <w:r>
        <w:rPr>
          <w:color w:val="auto"/>
          <w:sz w:val="14"/>
          <w:szCs w:val="14"/>
        </w:rPr>
        <w:t>max</w:t>
      </w:r>
      <w:proofErr w:type="spellEnd"/>
      <w:r>
        <w:rPr>
          <w:color w:val="auto"/>
          <w:sz w:val="14"/>
          <w:szCs w:val="14"/>
        </w:rPr>
        <w:t xml:space="preserve"> </w:t>
      </w:r>
      <w:r>
        <w:rPr>
          <w:color w:val="auto"/>
          <w:sz w:val="22"/>
          <w:szCs w:val="22"/>
        </w:rPr>
        <w:t xml:space="preserve">αυξήθηκε κατά 60% και η </w:t>
      </w:r>
      <w:proofErr w:type="spellStart"/>
      <w:r>
        <w:rPr>
          <w:color w:val="auto"/>
          <w:sz w:val="22"/>
          <w:szCs w:val="22"/>
        </w:rPr>
        <w:t>ημιζωή</w:t>
      </w:r>
      <w:proofErr w:type="spellEnd"/>
      <w:r>
        <w:rPr>
          <w:color w:val="auto"/>
          <w:sz w:val="22"/>
          <w:szCs w:val="22"/>
        </w:rPr>
        <w:t xml:space="preserve"> αυξήθηκε σχεδόν κατά 30% σε σύγκριση με νέους υγιείς εθελοντές. Όμως, δεν βρέθηκαν στοιχεία συσσώρευσης της </w:t>
      </w:r>
      <w:proofErr w:type="spellStart"/>
      <w:r>
        <w:rPr>
          <w:color w:val="auto"/>
          <w:sz w:val="22"/>
          <w:szCs w:val="22"/>
        </w:rPr>
        <w:t>ραβεπραζόλης</w:t>
      </w:r>
      <w:proofErr w:type="spellEnd"/>
      <w:r>
        <w:rPr>
          <w:color w:val="auto"/>
          <w:sz w:val="22"/>
          <w:szCs w:val="22"/>
        </w:rPr>
        <w:t xml:space="preserve">. </w:t>
      </w:r>
    </w:p>
    <w:p w:rsidR="006351AF" w:rsidRDefault="006351AF" w:rsidP="006351AF">
      <w:pPr>
        <w:pStyle w:val="Default"/>
        <w:rPr>
          <w:color w:val="auto"/>
          <w:sz w:val="22"/>
          <w:szCs w:val="22"/>
        </w:rPr>
      </w:pPr>
      <w:r>
        <w:rPr>
          <w:b/>
          <w:bCs/>
          <w:color w:val="auto"/>
          <w:sz w:val="22"/>
          <w:szCs w:val="22"/>
        </w:rPr>
        <w:t xml:space="preserve">Πολυμορφισμός του CYP2C19: </w:t>
      </w:r>
    </w:p>
    <w:p w:rsidR="006351AF" w:rsidRDefault="006351AF" w:rsidP="006351AF">
      <w:pPr>
        <w:pStyle w:val="Default"/>
        <w:rPr>
          <w:color w:val="auto"/>
          <w:sz w:val="22"/>
          <w:szCs w:val="22"/>
        </w:rPr>
      </w:pPr>
      <w:r>
        <w:rPr>
          <w:color w:val="auto"/>
          <w:sz w:val="22"/>
          <w:szCs w:val="22"/>
        </w:rPr>
        <w:t xml:space="preserve">Μετά από 7 μέρες καθημερινής δόσης 20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ραβεπραζόλης</w:t>
      </w:r>
      <w:proofErr w:type="spellEnd"/>
      <w:r>
        <w:rPr>
          <w:color w:val="auto"/>
          <w:sz w:val="22"/>
          <w:szCs w:val="22"/>
        </w:rPr>
        <w:t xml:space="preserve">, άτομα με αργό μεταβολισμό του CYP2C19 είχαν τιμές AUC και </w:t>
      </w:r>
      <w:proofErr w:type="spellStart"/>
      <w:r>
        <w:rPr>
          <w:color w:val="auto"/>
          <w:sz w:val="22"/>
          <w:szCs w:val="22"/>
        </w:rPr>
        <w:t>ημιζωής</w:t>
      </w:r>
      <w:proofErr w:type="spellEnd"/>
      <w:r>
        <w:rPr>
          <w:color w:val="auto"/>
          <w:sz w:val="22"/>
          <w:szCs w:val="22"/>
        </w:rPr>
        <w:t xml:space="preserve"> που ήταν περίπου 1,9 και 1,6 φορές συγκριτικά με τις αντίστοιχες παραμέτρους των ατόμων με εκτεταμένο μεταβολισμό, ενώ η τιμή </w:t>
      </w:r>
      <w:proofErr w:type="spellStart"/>
      <w:r>
        <w:rPr>
          <w:color w:val="auto"/>
          <w:sz w:val="22"/>
          <w:szCs w:val="22"/>
        </w:rPr>
        <w:t>C</w:t>
      </w:r>
      <w:r>
        <w:rPr>
          <w:color w:val="auto"/>
          <w:sz w:val="14"/>
          <w:szCs w:val="14"/>
        </w:rPr>
        <w:t>max</w:t>
      </w:r>
      <w:proofErr w:type="spellEnd"/>
      <w:r>
        <w:rPr>
          <w:color w:val="auto"/>
          <w:sz w:val="14"/>
          <w:szCs w:val="14"/>
        </w:rPr>
        <w:t xml:space="preserve"> </w:t>
      </w:r>
      <w:r>
        <w:rPr>
          <w:color w:val="auto"/>
          <w:sz w:val="22"/>
          <w:szCs w:val="22"/>
        </w:rPr>
        <w:t xml:space="preserve">αυξήθηκε μόνο κατά 40%. </w:t>
      </w:r>
    </w:p>
    <w:p w:rsidR="006351AF" w:rsidRDefault="006351AF" w:rsidP="006351AF">
      <w:pPr>
        <w:pStyle w:val="Default"/>
        <w:rPr>
          <w:color w:val="auto"/>
          <w:sz w:val="22"/>
          <w:szCs w:val="22"/>
        </w:rPr>
      </w:pPr>
      <w:r>
        <w:rPr>
          <w:b/>
          <w:bCs/>
          <w:color w:val="auto"/>
          <w:sz w:val="22"/>
          <w:szCs w:val="22"/>
        </w:rPr>
        <w:t xml:space="preserve">5.3 </w:t>
      </w:r>
      <w:proofErr w:type="spellStart"/>
      <w:r>
        <w:rPr>
          <w:b/>
          <w:bCs/>
          <w:color w:val="auto"/>
          <w:sz w:val="22"/>
          <w:szCs w:val="22"/>
        </w:rPr>
        <w:t>Προκλινικά</w:t>
      </w:r>
      <w:proofErr w:type="spellEnd"/>
      <w:r>
        <w:rPr>
          <w:b/>
          <w:bCs/>
          <w:color w:val="auto"/>
          <w:sz w:val="22"/>
          <w:szCs w:val="22"/>
        </w:rPr>
        <w:t xml:space="preserve"> δεδομένα για την ασφάλεια </w:t>
      </w:r>
    </w:p>
    <w:p w:rsidR="006351AF" w:rsidRDefault="006351AF" w:rsidP="006351AF">
      <w:pPr>
        <w:pStyle w:val="Default"/>
        <w:rPr>
          <w:color w:val="auto"/>
          <w:sz w:val="22"/>
          <w:szCs w:val="22"/>
        </w:rPr>
      </w:pPr>
      <w:r>
        <w:rPr>
          <w:color w:val="auto"/>
          <w:sz w:val="22"/>
          <w:szCs w:val="22"/>
        </w:rPr>
        <w:t xml:space="preserve">Μη-κλινικές δράσεις παρατηρήθηκαν μόνο σε επίπεδα έκθεσης αρκετά μεγαλύτερα των μέγιστων επιπέδων έκθεσης στους ανθρώπους, κι έτσι οι ανησυχίες για την ασφάλεια στους ανθρώπους είναι μηδαμινές με βάση τα δεδομένα σε μελέτες ζώων. </w:t>
      </w:r>
    </w:p>
    <w:p w:rsidR="006351AF" w:rsidRPr="00983AB3" w:rsidRDefault="006351AF" w:rsidP="006351AF">
      <w:pPr>
        <w:pStyle w:val="Default"/>
        <w:rPr>
          <w:color w:val="auto"/>
          <w:sz w:val="22"/>
          <w:szCs w:val="22"/>
        </w:rPr>
      </w:pPr>
      <w:r>
        <w:rPr>
          <w:color w:val="auto"/>
          <w:sz w:val="22"/>
          <w:szCs w:val="22"/>
        </w:rPr>
        <w:t xml:space="preserve">Οι μελέτες σχετικά με τη </w:t>
      </w:r>
      <w:proofErr w:type="spellStart"/>
      <w:r>
        <w:rPr>
          <w:color w:val="auto"/>
          <w:sz w:val="22"/>
          <w:szCs w:val="22"/>
        </w:rPr>
        <w:t>μεταλλοξιογόνο</w:t>
      </w:r>
      <w:proofErr w:type="spellEnd"/>
      <w:r>
        <w:rPr>
          <w:color w:val="auto"/>
          <w:sz w:val="22"/>
          <w:szCs w:val="22"/>
        </w:rPr>
        <w:t xml:space="preserve"> δράση έδωσαν αντίστοιχα αποτελέσματα. Οι εξετάσεις σε κυτταρικές σειρές λεμφώματος ήταν θετικές, άλλα οι εξετάσεις του </w:t>
      </w:r>
      <w:proofErr w:type="spellStart"/>
      <w:r>
        <w:rPr>
          <w:color w:val="auto"/>
          <w:sz w:val="22"/>
          <w:szCs w:val="22"/>
        </w:rPr>
        <w:t>μικροπυρηνίσκου</w:t>
      </w:r>
      <w:proofErr w:type="spellEnd"/>
      <w:r>
        <w:rPr>
          <w:color w:val="auto"/>
          <w:sz w:val="22"/>
          <w:szCs w:val="22"/>
        </w:rPr>
        <w:t xml:space="preserve"> </w:t>
      </w:r>
      <w:proofErr w:type="spellStart"/>
      <w:r>
        <w:rPr>
          <w:color w:val="auto"/>
          <w:sz w:val="22"/>
          <w:szCs w:val="22"/>
        </w:rPr>
        <w:t>in</w:t>
      </w:r>
      <w:proofErr w:type="spellEnd"/>
      <w:r>
        <w:rPr>
          <w:color w:val="auto"/>
          <w:sz w:val="22"/>
          <w:szCs w:val="22"/>
        </w:rPr>
        <w:t xml:space="preserve"> </w:t>
      </w:r>
      <w:proofErr w:type="spellStart"/>
      <w:r>
        <w:rPr>
          <w:color w:val="auto"/>
          <w:sz w:val="22"/>
          <w:szCs w:val="22"/>
        </w:rPr>
        <w:t>vivo</w:t>
      </w:r>
      <w:proofErr w:type="spellEnd"/>
      <w:r>
        <w:rPr>
          <w:color w:val="auto"/>
          <w:sz w:val="22"/>
          <w:szCs w:val="22"/>
        </w:rPr>
        <w:t xml:space="preserve"> και της επιδιόρθωσης του DNA </w:t>
      </w:r>
      <w:proofErr w:type="spellStart"/>
      <w:r>
        <w:rPr>
          <w:color w:val="auto"/>
          <w:sz w:val="22"/>
          <w:szCs w:val="22"/>
        </w:rPr>
        <w:t>in</w:t>
      </w:r>
      <w:proofErr w:type="spellEnd"/>
      <w:r>
        <w:rPr>
          <w:color w:val="auto"/>
          <w:sz w:val="22"/>
          <w:szCs w:val="22"/>
        </w:rPr>
        <w:t xml:space="preserve"> </w:t>
      </w:r>
      <w:proofErr w:type="spellStart"/>
      <w:r>
        <w:rPr>
          <w:color w:val="auto"/>
          <w:sz w:val="22"/>
          <w:szCs w:val="22"/>
        </w:rPr>
        <w:t>vitro</w:t>
      </w:r>
      <w:proofErr w:type="spellEnd"/>
      <w:r>
        <w:rPr>
          <w:color w:val="auto"/>
          <w:sz w:val="22"/>
          <w:szCs w:val="22"/>
        </w:rPr>
        <w:t xml:space="preserve"> και </w:t>
      </w:r>
      <w:proofErr w:type="spellStart"/>
      <w:r>
        <w:rPr>
          <w:color w:val="auto"/>
          <w:sz w:val="22"/>
          <w:szCs w:val="22"/>
        </w:rPr>
        <w:t>in</w:t>
      </w:r>
      <w:proofErr w:type="spellEnd"/>
      <w:r>
        <w:rPr>
          <w:color w:val="auto"/>
          <w:sz w:val="22"/>
          <w:szCs w:val="22"/>
        </w:rPr>
        <w:t xml:space="preserve"> </w:t>
      </w:r>
      <w:proofErr w:type="spellStart"/>
      <w:r>
        <w:rPr>
          <w:color w:val="auto"/>
          <w:sz w:val="22"/>
          <w:szCs w:val="22"/>
        </w:rPr>
        <w:t>vivo</w:t>
      </w:r>
      <w:proofErr w:type="spellEnd"/>
      <w:r>
        <w:rPr>
          <w:color w:val="auto"/>
          <w:sz w:val="22"/>
          <w:szCs w:val="22"/>
        </w:rPr>
        <w:t xml:space="preserve"> ήταν αρνητικές. Μελέτες καρκινογένεσης έδειξαν ότι δεν υπάρχει ιδιαίτερη ανησυχία για τους ανθρώπους.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6. ΦΑΡΜΑΚΕΥΤΙΚΕΣ ΠΛΗΡΟΦΟΡΙΕΣ </w:t>
      </w:r>
    </w:p>
    <w:p w:rsidR="006351AF" w:rsidRDefault="006351AF" w:rsidP="006351AF">
      <w:pPr>
        <w:pStyle w:val="Default"/>
        <w:rPr>
          <w:color w:val="auto"/>
          <w:sz w:val="22"/>
          <w:szCs w:val="22"/>
        </w:rPr>
      </w:pPr>
      <w:r>
        <w:rPr>
          <w:b/>
          <w:bCs/>
          <w:color w:val="auto"/>
          <w:sz w:val="22"/>
          <w:szCs w:val="22"/>
        </w:rPr>
        <w:t xml:space="preserve">6.1 Κατάλογος των εκδόχων </w:t>
      </w:r>
    </w:p>
    <w:p w:rsidR="006351AF" w:rsidRDefault="006351AF" w:rsidP="006351AF">
      <w:pPr>
        <w:pStyle w:val="Default"/>
        <w:rPr>
          <w:color w:val="auto"/>
          <w:sz w:val="22"/>
          <w:szCs w:val="22"/>
        </w:rPr>
      </w:pPr>
      <w:r>
        <w:rPr>
          <w:color w:val="auto"/>
          <w:sz w:val="22"/>
          <w:szCs w:val="22"/>
        </w:rPr>
        <w:t>Το &lt;</w:t>
      </w:r>
      <w:proofErr w:type="spellStart"/>
      <w:r>
        <w:rPr>
          <w:color w:val="auto"/>
          <w:sz w:val="22"/>
          <w:szCs w:val="22"/>
        </w:rPr>
        <w:t>επινοηθεία</w:t>
      </w:r>
      <w:proofErr w:type="spellEnd"/>
      <w:r>
        <w:rPr>
          <w:color w:val="auto"/>
          <w:sz w:val="22"/>
          <w:szCs w:val="22"/>
        </w:rPr>
        <w:t xml:space="preserve"> ονομασία&gt; 10 </w:t>
      </w:r>
      <w:proofErr w:type="spellStart"/>
      <w:r>
        <w:rPr>
          <w:color w:val="auto"/>
          <w:sz w:val="22"/>
          <w:szCs w:val="22"/>
        </w:rPr>
        <w:t>mg</w:t>
      </w:r>
      <w:proofErr w:type="spellEnd"/>
      <w:r>
        <w:rPr>
          <w:color w:val="auto"/>
          <w:sz w:val="22"/>
          <w:szCs w:val="22"/>
        </w:rPr>
        <w:t xml:space="preserve"> και 20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γαστροανθεκτικά</w:t>
      </w:r>
      <w:proofErr w:type="spellEnd"/>
      <w:r>
        <w:rPr>
          <w:color w:val="auto"/>
          <w:sz w:val="22"/>
          <w:szCs w:val="22"/>
        </w:rPr>
        <w:t xml:space="preserve"> δισκία περιέχει τα ακόλουθα έκδοχα. </w:t>
      </w:r>
    </w:p>
    <w:p w:rsidR="006351AF" w:rsidRDefault="006351AF" w:rsidP="006351AF">
      <w:pPr>
        <w:pStyle w:val="Default"/>
        <w:rPr>
          <w:color w:val="auto"/>
          <w:sz w:val="22"/>
          <w:szCs w:val="22"/>
        </w:rPr>
      </w:pPr>
      <w:r>
        <w:rPr>
          <w:b/>
          <w:bCs/>
          <w:color w:val="auto"/>
          <w:sz w:val="22"/>
          <w:szCs w:val="22"/>
        </w:rPr>
        <w:t xml:space="preserve">Πυρήνας του δισκίου </w:t>
      </w:r>
    </w:p>
    <w:p w:rsidR="006351AF" w:rsidRDefault="006351AF" w:rsidP="006351AF">
      <w:pPr>
        <w:pStyle w:val="Default"/>
        <w:rPr>
          <w:color w:val="auto"/>
          <w:sz w:val="22"/>
          <w:szCs w:val="22"/>
        </w:rPr>
      </w:pPr>
      <w:proofErr w:type="spellStart"/>
      <w:r>
        <w:rPr>
          <w:color w:val="auto"/>
          <w:sz w:val="22"/>
          <w:szCs w:val="22"/>
        </w:rPr>
        <w:t>Μαννιτόλη</w:t>
      </w:r>
      <w:proofErr w:type="spellEnd"/>
      <w:r>
        <w:rPr>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Βαρύ οξείδιο του μαγνησίου </w:t>
      </w:r>
    </w:p>
    <w:p w:rsidR="006351AF" w:rsidRDefault="006351AF" w:rsidP="006351AF">
      <w:pPr>
        <w:pStyle w:val="Default"/>
        <w:rPr>
          <w:color w:val="auto"/>
          <w:sz w:val="22"/>
          <w:szCs w:val="22"/>
        </w:rPr>
      </w:pPr>
      <w:proofErr w:type="spellStart"/>
      <w:r>
        <w:rPr>
          <w:color w:val="auto"/>
          <w:sz w:val="22"/>
          <w:szCs w:val="22"/>
        </w:rPr>
        <w:t>Υδροξυπροπυλική</w:t>
      </w:r>
      <w:proofErr w:type="spellEnd"/>
      <w:r>
        <w:rPr>
          <w:color w:val="auto"/>
          <w:sz w:val="22"/>
          <w:szCs w:val="22"/>
        </w:rPr>
        <w:t xml:space="preserve"> κυτταρίνη, </w:t>
      </w:r>
    </w:p>
    <w:p w:rsidR="006351AF" w:rsidRDefault="006351AF" w:rsidP="006351AF">
      <w:pPr>
        <w:pStyle w:val="Default"/>
        <w:rPr>
          <w:color w:val="auto"/>
          <w:sz w:val="22"/>
          <w:szCs w:val="22"/>
        </w:rPr>
      </w:pPr>
      <w:r>
        <w:rPr>
          <w:color w:val="auto"/>
          <w:sz w:val="22"/>
          <w:szCs w:val="22"/>
        </w:rPr>
        <w:t xml:space="preserve">Στεαρικό μαγνήσιο </w:t>
      </w:r>
    </w:p>
    <w:p w:rsidR="006351AF" w:rsidRDefault="006351AF" w:rsidP="006351AF">
      <w:pPr>
        <w:pStyle w:val="Default"/>
        <w:rPr>
          <w:color w:val="auto"/>
          <w:sz w:val="22"/>
          <w:szCs w:val="22"/>
        </w:rPr>
      </w:pPr>
      <w:r>
        <w:rPr>
          <w:b/>
          <w:bCs/>
          <w:color w:val="auto"/>
          <w:sz w:val="22"/>
          <w:szCs w:val="22"/>
        </w:rPr>
        <w:t xml:space="preserve">Ενδιάμεση στοιβάδα: </w:t>
      </w:r>
    </w:p>
    <w:p w:rsidR="006351AF" w:rsidRDefault="006351AF" w:rsidP="006351AF">
      <w:pPr>
        <w:pStyle w:val="Default"/>
        <w:rPr>
          <w:color w:val="auto"/>
          <w:sz w:val="22"/>
          <w:szCs w:val="22"/>
        </w:rPr>
      </w:pPr>
      <w:proofErr w:type="spellStart"/>
      <w:r>
        <w:rPr>
          <w:color w:val="auto"/>
          <w:sz w:val="22"/>
          <w:szCs w:val="22"/>
        </w:rPr>
        <w:t>Αιθυλοκυτταρίνη</w:t>
      </w:r>
      <w:proofErr w:type="spellEnd"/>
      <w:r>
        <w:rPr>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Βαρύ οξείδιο του μαγνησίου </w:t>
      </w:r>
    </w:p>
    <w:p w:rsidR="006351AF" w:rsidRDefault="006351AF" w:rsidP="006351AF">
      <w:pPr>
        <w:pStyle w:val="Default"/>
        <w:rPr>
          <w:color w:val="auto"/>
          <w:sz w:val="22"/>
          <w:szCs w:val="22"/>
        </w:rPr>
      </w:pPr>
      <w:r>
        <w:rPr>
          <w:b/>
          <w:bCs/>
          <w:color w:val="auto"/>
          <w:sz w:val="22"/>
          <w:szCs w:val="22"/>
        </w:rPr>
        <w:t xml:space="preserve">Επικάλυψη δισκίου: </w:t>
      </w:r>
    </w:p>
    <w:p w:rsidR="006351AF" w:rsidRDefault="006351AF" w:rsidP="006351AF">
      <w:pPr>
        <w:pStyle w:val="Default"/>
        <w:rPr>
          <w:color w:val="auto"/>
          <w:sz w:val="22"/>
          <w:szCs w:val="22"/>
        </w:rPr>
      </w:pPr>
      <w:proofErr w:type="spellStart"/>
      <w:r>
        <w:rPr>
          <w:color w:val="auto"/>
          <w:sz w:val="22"/>
          <w:szCs w:val="22"/>
        </w:rPr>
        <w:t>Υπρομελλόζη</w:t>
      </w:r>
      <w:proofErr w:type="spellEnd"/>
      <w:r>
        <w:rPr>
          <w:color w:val="auto"/>
          <w:sz w:val="22"/>
          <w:szCs w:val="22"/>
        </w:rPr>
        <w:t xml:space="preserve">, </w:t>
      </w:r>
    </w:p>
    <w:p w:rsidR="006351AF" w:rsidRDefault="006351AF" w:rsidP="006351AF">
      <w:pPr>
        <w:pStyle w:val="Default"/>
        <w:rPr>
          <w:color w:val="auto"/>
          <w:sz w:val="22"/>
          <w:szCs w:val="22"/>
        </w:rPr>
      </w:pPr>
      <w:proofErr w:type="spellStart"/>
      <w:r>
        <w:rPr>
          <w:color w:val="auto"/>
          <w:sz w:val="22"/>
          <w:szCs w:val="22"/>
        </w:rPr>
        <w:t>Φθαλικό</w:t>
      </w:r>
      <w:proofErr w:type="spellEnd"/>
      <w:r>
        <w:rPr>
          <w:color w:val="auto"/>
          <w:sz w:val="22"/>
          <w:szCs w:val="22"/>
        </w:rPr>
        <w:t xml:space="preserve">, </w:t>
      </w:r>
    </w:p>
    <w:p w:rsidR="006351AF" w:rsidRDefault="006351AF" w:rsidP="006351AF">
      <w:pPr>
        <w:pStyle w:val="Default"/>
        <w:rPr>
          <w:color w:val="auto"/>
          <w:sz w:val="22"/>
          <w:szCs w:val="22"/>
        </w:rPr>
      </w:pPr>
      <w:proofErr w:type="spellStart"/>
      <w:r>
        <w:rPr>
          <w:color w:val="auto"/>
          <w:sz w:val="22"/>
          <w:szCs w:val="22"/>
        </w:rPr>
        <w:t>Σεβακικό</w:t>
      </w:r>
      <w:proofErr w:type="spellEnd"/>
      <w:r>
        <w:rPr>
          <w:color w:val="auto"/>
          <w:sz w:val="22"/>
          <w:szCs w:val="22"/>
        </w:rPr>
        <w:t xml:space="preserve"> </w:t>
      </w:r>
      <w:proofErr w:type="spellStart"/>
      <w:r>
        <w:rPr>
          <w:color w:val="auto"/>
          <w:sz w:val="22"/>
          <w:szCs w:val="22"/>
        </w:rPr>
        <w:t>διβουτυλεστέρα</w:t>
      </w:r>
      <w:proofErr w:type="spellEnd"/>
      <w:r>
        <w:rPr>
          <w:color w:val="auto"/>
          <w:sz w:val="22"/>
          <w:szCs w:val="22"/>
        </w:rPr>
        <w:t xml:space="preserve">, </w:t>
      </w:r>
    </w:p>
    <w:p w:rsidR="006351AF" w:rsidRDefault="006351AF" w:rsidP="006351AF">
      <w:pPr>
        <w:pStyle w:val="Default"/>
        <w:rPr>
          <w:color w:val="auto"/>
          <w:sz w:val="22"/>
          <w:szCs w:val="22"/>
        </w:rPr>
      </w:pPr>
      <w:r>
        <w:rPr>
          <w:color w:val="auto"/>
          <w:sz w:val="22"/>
          <w:szCs w:val="22"/>
        </w:rPr>
        <w:t xml:space="preserve">Κίτρινο οξείδιο σιδήρου (μόνο στο RABEREN /IASIS 20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γαστροανθεκτικά</w:t>
      </w:r>
      <w:proofErr w:type="spellEnd"/>
      <w:r>
        <w:rPr>
          <w:color w:val="auto"/>
          <w:sz w:val="22"/>
          <w:szCs w:val="22"/>
        </w:rPr>
        <w:t xml:space="preserve"> δισκία), </w:t>
      </w:r>
    </w:p>
    <w:p w:rsidR="006351AF" w:rsidRDefault="006351AF" w:rsidP="006351AF">
      <w:pPr>
        <w:pStyle w:val="Default"/>
        <w:rPr>
          <w:color w:val="auto"/>
          <w:sz w:val="22"/>
          <w:szCs w:val="22"/>
        </w:rPr>
      </w:pPr>
      <w:r>
        <w:rPr>
          <w:color w:val="auto"/>
          <w:sz w:val="22"/>
          <w:szCs w:val="22"/>
        </w:rPr>
        <w:t>Κόκκινο οξείδιο σιδήρου (μόνο στο</w:t>
      </w:r>
      <w:r w:rsidR="00983AB3" w:rsidRPr="00983AB3">
        <w:rPr>
          <w:color w:val="auto"/>
          <w:sz w:val="22"/>
          <w:szCs w:val="22"/>
        </w:rPr>
        <w:t xml:space="preserve"> </w:t>
      </w:r>
      <w:r>
        <w:rPr>
          <w:color w:val="auto"/>
          <w:sz w:val="22"/>
          <w:szCs w:val="22"/>
        </w:rPr>
        <w:t>RABEREN /IASIS</w:t>
      </w:r>
      <w:bookmarkStart w:id="0" w:name="_GoBack"/>
      <w:bookmarkEnd w:id="0"/>
      <w:r>
        <w:rPr>
          <w:color w:val="auto"/>
          <w:sz w:val="22"/>
          <w:szCs w:val="22"/>
        </w:rPr>
        <w:t xml:space="preserve"> 10 </w:t>
      </w:r>
      <w:proofErr w:type="spellStart"/>
      <w:r>
        <w:rPr>
          <w:color w:val="auto"/>
          <w:sz w:val="22"/>
          <w:szCs w:val="22"/>
        </w:rPr>
        <w:t>mg</w:t>
      </w:r>
      <w:proofErr w:type="spellEnd"/>
      <w:r>
        <w:rPr>
          <w:color w:val="auto"/>
          <w:sz w:val="22"/>
          <w:szCs w:val="22"/>
        </w:rPr>
        <w:t xml:space="preserve"> </w:t>
      </w:r>
      <w:proofErr w:type="spellStart"/>
      <w:r>
        <w:rPr>
          <w:color w:val="auto"/>
          <w:sz w:val="22"/>
          <w:szCs w:val="22"/>
        </w:rPr>
        <w:t>γαστροανθεκτικά</w:t>
      </w:r>
      <w:proofErr w:type="spellEnd"/>
      <w:r>
        <w:rPr>
          <w:color w:val="auto"/>
          <w:sz w:val="22"/>
          <w:szCs w:val="22"/>
        </w:rPr>
        <w:t xml:space="preserve"> δισκία), </w:t>
      </w:r>
    </w:p>
    <w:p w:rsidR="006351AF" w:rsidRDefault="006351AF" w:rsidP="006351AF">
      <w:pPr>
        <w:pStyle w:val="Default"/>
        <w:rPr>
          <w:color w:val="auto"/>
          <w:sz w:val="22"/>
          <w:szCs w:val="22"/>
        </w:rPr>
      </w:pPr>
      <w:r>
        <w:rPr>
          <w:color w:val="auto"/>
          <w:sz w:val="22"/>
          <w:szCs w:val="22"/>
        </w:rPr>
        <w:t xml:space="preserve">Διοξείδιο του τιτανίου (E -171), </w:t>
      </w:r>
    </w:p>
    <w:p w:rsidR="006351AF" w:rsidRDefault="006351AF" w:rsidP="006351AF">
      <w:pPr>
        <w:pStyle w:val="Default"/>
        <w:rPr>
          <w:color w:val="auto"/>
          <w:sz w:val="22"/>
          <w:szCs w:val="22"/>
        </w:rPr>
      </w:pPr>
      <w:r>
        <w:rPr>
          <w:color w:val="auto"/>
          <w:sz w:val="22"/>
          <w:szCs w:val="22"/>
        </w:rPr>
        <w:t xml:space="preserve">Ταλκ, </w:t>
      </w:r>
    </w:p>
    <w:p w:rsidR="006351AF" w:rsidRDefault="006351AF" w:rsidP="006351AF">
      <w:pPr>
        <w:pStyle w:val="Default"/>
        <w:rPr>
          <w:color w:val="auto"/>
          <w:sz w:val="22"/>
          <w:szCs w:val="22"/>
        </w:rPr>
      </w:pPr>
      <w:r>
        <w:rPr>
          <w:b/>
          <w:bCs/>
          <w:color w:val="auto"/>
          <w:sz w:val="22"/>
          <w:szCs w:val="22"/>
        </w:rPr>
        <w:t xml:space="preserve">6.2 Ασυμβατότητες </w:t>
      </w:r>
    </w:p>
    <w:p w:rsidR="006351AF" w:rsidRDefault="006351AF" w:rsidP="006351AF">
      <w:pPr>
        <w:pStyle w:val="Default"/>
        <w:rPr>
          <w:color w:val="auto"/>
          <w:sz w:val="22"/>
          <w:szCs w:val="22"/>
        </w:rPr>
      </w:pPr>
      <w:r>
        <w:rPr>
          <w:color w:val="auto"/>
          <w:sz w:val="22"/>
          <w:szCs w:val="22"/>
        </w:rPr>
        <w:t xml:space="preserve">Δεν υπάρχουν. </w:t>
      </w:r>
    </w:p>
    <w:p w:rsidR="006351AF" w:rsidRDefault="006351AF" w:rsidP="006351AF">
      <w:pPr>
        <w:pStyle w:val="Default"/>
        <w:rPr>
          <w:color w:val="auto"/>
          <w:sz w:val="22"/>
          <w:szCs w:val="22"/>
        </w:rPr>
      </w:pPr>
      <w:r>
        <w:rPr>
          <w:b/>
          <w:bCs/>
          <w:color w:val="auto"/>
          <w:sz w:val="22"/>
          <w:szCs w:val="22"/>
        </w:rPr>
        <w:t xml:space="preserve">6.3 Διάρκεια ζωής </w:t>
      </w:r>
    </w:p>
    <w:p w:rsidR="006351AF" w:rsidRDefault="006351AF" w:rsidP="006351AF">
      <w:pPr>
        <w:pStyle w:val="Default"/>
        <w:rPr>
          <w:color w:val="auto"/>
          <w:sz w:val="22"/>
          <w:szCs w:val="22"/>
        </w:rPr>
      </w:pPr>
      <w:r>
        <w:rPr>
          <w:color w:val="auto"/>
          <w:sz w:val="22"/>
          <w:szCs w:val="22"/>
        </w:rPr>
        <w:t xml:space="preserve">2 έτη </w:t>
      </w:r>
    </w:p>
    <w:p w:rsidR="006351AF" w:rsidRDefault="006351AF" w:rsidP="006351AF">
      <w:pPr>
        <w:pStyle w:val="Default"/>
        <w:rPr>
          <w:color w:val="auto"/>
          <w:sz w:val="22"/>
          <w:szCs w:val="22"/>
        </w:rPr>
      </w:pPr>
      <w:r>
        <w:rPr>
          <w:b/>
          <w:bCs/>
          <w:color w:val="auto"/>
          <w:sz w:val="22"/>
          <w:szCs w:val="22"/>
        </w:rPr>
        <w:t xml:space="preserve">6.4. Ιδιαίτερες προφυλάξεις κατά την φύλαξη του προϊόντος </w:t>
      </w:r>
    </w:p>
    <w:p w:rsidR="006351AF" w:rsidRDefault="006351AF" w:rsidP="006351AF">
      <w:pPr>
        <w:pStyle w:val="Default"/>
        <w:rPr>
          <w:color w:val="auto"/>
          <w:sz w:val="22"/>
          <w:szCs w:val="22"/>
        </w:rPr>
      </w:pPr>
      <w:r>
        <w:rPr>
          <w:color w:val="auto"/>
          <w:sz w:val="22"/>
          <w:szCs w:val="22"/>
        </w:rPr>
        <w:t xml:space="preserve">Μη φυλάσσετε σε θερμοκρασία μεγαλύτερη των 25 °C. Φυλάσσετε στην αρχική συσκευασία. </w:t>
      </w:r>
    </w:p>
    <w:p w:rsidR="006351AF" w:rsidRDefault="006351AF" w:rsidP="006351AF">
      <w:pPr>
        <w:pStyle w:val="Default"/>
        <w:rPr>
          <w:color w:val="auto"/>
          <w:sz w:val="22"/>
          <w:szCs w:val="22"/>
        </w:rPr>
      </w:pPr>
      <w:r>
        <w:rPr>
          <w:b/>
          <w:bCs/>
          <w:color w:val="auto"/>
          <w:sz w:val="22"/>
          <w:szCs w:val="22"/>
        </w:rPr>
        <w:t xml:space="preserve">6.5. Φύση και συστατικά του περιέκτη </w:t>
      </w:r>
    </w:p>
    <w:p w:rsidR="006351AF" w:rsidRPr="00983AB3" w:rsidRDefault="006351AF" w:rsidP="006351AF">
      <w:pPr>
        <w:pStyle w:val="Default"/>
        <w:rPr>
          <w:color w:val="auto"/>
          <w:sz w:val="22"/>
          <w:szCs w:val="22"/>
        </w:rPr>
      </w:pPr>
      <w:r>
        <w:rPr>
          <w:color w:val="auto"/>
          <w:sz w:val="22"/>
          <w:szCs w:val="22"/>
        </w:rPr>
        <w:t xml:space="preserve">Συσκευασίες αλουμινίου/αλουμινίου σε χαρτοκιβώτιο. </w:t>
      </w:r>
    </w:p>
    <w:p w:rsidR="006351AF" w:rsidRPr="00983AB3" w:rsidRDefault="006351AF" w:rsidP="006351AF">
      <w:pPr>
        <w:pStyle w:val="Default"/>
        <w:rPr>
          <w:color w:val="auto"/>
          <w:sz w:val="22"/>
          <w:szCs w:val="22"/>
        </w:rPr>
      </w:pPr>
    </w:p>
    <w:p w:rsidR="006351AF" w:rsidRDefault="006351AF" w:rsidP="006351AF">
      <w:pPr>
        <w:pStyle w:val="Default"/>
        <w:rPr>
          <w:color w:val="auto"/>
          <w:sz w:val="22"/>
          <w:szCs w:val="22"/>
        </w:rPr>
      </w:pPr>
      <w:r>
        <w:rPr>
          <w:b/>
          <w:bCs/>
          <w:color w:val="auto"/>
          <w:sz w:val="22"/>
          <w:szCs w:val="22"/>
        </w:rPr>
        <w:t xml:space="preserve">[DK/H/1513/001-002/DC] </w:t>
      </w:r>
    </w:p>
    <w:p w:rsidR="006351AF" w:rsidRDefault="006351AF" w:rsidP="006351AF">
      <w:pPr>
        <w:pStyle w:val="Default"/>
        <w:rPr>
          <w:color w:val="auto"/>
          <w:sz w:val="22"/>
          <w:szCs w:val="22"/>
        </w:rPr>
      </w:pPr>
      <w:r>
        <w:rPr>
          <w:color w:val="auto"/>
          <w:sz w:val="22"/>
          <w:szCs w:val="22"/>
        </w:rPr>
        <w:t xml:space="preserve">1, 5, 7, 14, 15, 25, 28, 30, 50, 56, 75, 98 ή 120 γαστροανθεκτικά δισκία. </w:t>
      </w:r>
    </w:p>
    <w:p w:rsidR="006351AF" w:rsidRDefault="006351AF" w:rsidP="006351AF">
      <w:pPr>
        <w:pStyle w:val="Default"/>
        <w:rPr>
          <w:color w:val="auto"/>
          <w:sz w:val="22"/>
          <w:szCs w:val="22"/>
        </w:rPr>
      </w:pPr>
      <w:r>
        <w:rPr>
          <w:b/>
          <w:bCs/>
          <w:color w:val="auto"/>
          <w:sz w:val="22"/>
          <w:szCs w:val="22"/>
        </w:rPr>
        <w:t xml:space="preserve">[DK/H/1514/001-002/DC] </w:t>
      </w:r>
    </w:p>
    <w:p w:rsidR="006351AF" w:rsidRDefault="006351AF" w:rsidP="006351AF">
      <w:pPr>
        <w:pStyle w:val="Default"/>
        <w:rPr>
          <w:color w:val="auto"/>
          <w:sz w:val="22"/>
          <w:szCs w:val="22"/>
        </w:rPr>
      </w:pPr>
      <w:r>
        <w:rPr>
          <w:color w:val="auto"/>
          <w:sz w:val="22"/>
          <w:szCs w:val="22"/>
        </w:rPr>
        <w:lastRenderedPageBreak/>
        <w:t xml:space="preserve">1, 5, 7, 14, 15, 25, 28, 30, 50, 56, 75, 98 ή 120 γαστροανθεκτικά δισκία. </w:t>
      </w:r>
    </w:p>
    <w:p w:rsidR="006351AF" w:rsidRDefault="006351AF" w:rsidP="006351AF">
      <w:pPr>
        <w:pStyle w:val="Default"/>
        <w:rPr>
          <w:color w:val="auto"/>
          <w:sz w:val="22"/>
          <w:szCs w:val="22"/>
        </w:rPr>
      </w:pPr>
      <w:r>
        <w:rPr>
          <w:color w:val="auto"/>
          <w:sz w:val="22"/>
          <w:szCs w:val="22"/>
        </w:rPr>
        <w:t xml:space="preserve">Δεν είναι όλα τα μεγέθη συσκευασίας προς κυκλοφορία. </w:t>
      </w:r>
    </w:p>
    <w:p w:rsidR="006351AF" w:rsidRDefault="006351AF" w:rsidP="006351AF">
      <w:pPr>
        <w:pStyle w:val="Default"/>
        <w:rPr>
          <w:color w:val="auto"/>
          <w:sz w:val="22"/>
          <w:szCs w:val="22"/>
        </w:rPr>
      </w:pPr>
      <w:r>
        <w:rPr>
          <w:b/>
          <w:bCs/>
          <w:color w:val="auto"/>
          <w:sz w:val="22"/>
          <w:szCs w:val="22"/>
        </w:rPr>
        <w:t xml:space="preserve">6.6. Ιδιαίτερες προφυλάξεις απόρριψης (και άλλος χειρισμός) </w:t>
      </w:r>
    </w:p>
    <w:p w:rsidR="006351AF" w:rsidRDefault="006351AF" w:rsidP="006351AF">
      <w:pPr>
        <w:pStyle w:val="Default"/>
        <w:rPr>
          <w:color w:val="auto"/>
          <w:sz w:val="22"/>
          <w:szCs w:val="22"/>
        </w:rPr>
      </w:pPr>
      <w:r>
        <w:rPr>
          <w:color w:val="auto"/>
          <w:sz w:val="22"/>
          <w:szCs w:val="22"/>
        </w:rPr>
        <w:t xml:space="preserve">Δεν υπάρχουν ειδικές προφυλάξεις. </w:t>
      </w:r>
    </w:p>
    <w:p w:rsidR="006351AF" w:rsidRDefault="006351AF" w:rsidP="006351AF">
      <w:pPr>
        <w:pStyle w:val="Default"/>
        <w:rPr>
          <w:color w:val="auto"/>
        </w:rPr>
      </w:pPr>
    </w:p>
    <w:p w:rsidR="006351AF" w:rsidRDefault="006351AF" w:rsidP="006351AF">
      <w:pPr>
        <w:pStyle w:val="Default"/>
        <w:pageBreakBefore/>
        <w:rPr>
          <w:color w:val="auto"/>
          <w:sz w:val="22"/>
          <w:szCs w:val="22"/>
        </w:rPr>
      </w:pPr>
      <w:r>
        <w:rPr>
          <w:b/>
          <w:bCs/>
          <w:color w:val="auto"/>
          <w:sz w:val="22"/>
          <w:szCs w:val="22"/>
        </w:rPr>
        <w:lastRenderedPageBreak/>
        <w:t xml:space="preserve">7. ΚΑΤΟΧΟΣ ΑΔΕΙΑΣ ΚΥΚΛΟΦΟΡΙΑΣ </w:t>
      </w:r>
    </w:p>
    <w:p w:rsidR="006351AF" w:rsidRPr="006351AF" w:rsidRDefault="006351AF" w:rsidP="006351AF">
      <w:pPr>
        <w:pStyle w:val="Default"/>
        <w:rPr>
          <w:color w:val="auto"/>
          <w:sz w:val="22"/>
          <w:szCs w:val="22"/>
          <w:lang w:val="en-US"/>
        </w:rPr>
      </w:pPr>
      <w:proofErr w:type="spellStart"/>
      <w:r w:rsidRPr="006351AF">
        <w:rPr>
          <w:color w:val="auto"/>
          <w:sz w:val="22"/>
          <w:szCs w:val="22"/>
          <w:lang w:val="en-US"/>
        </w:rPr>
        <w:t>Laboratorios</w:t>
      </w:r>
      <w:proofErr w:type="spellEnd"/>
      <w:r w:rsidRPr="006351AF">
        <w:rPr>
          <w:color w:val="auto"/>
          <w:sz w:val="22"/>
          <w:szCs w:val="22"/>
          <w:lang w:val="en-US"/>
        </w:rPr>
        <w:t xml:space="preserve"> LICONSA, S.A. </w:t>
      </w:r>
    </w:p>
    <w:p w:rsidR="006351AF" w:rsidRPr="006351AF" w:rsidRDefault="006351AF" w:rsidP="006351AF">
      <w:pPr>
        <w:pStyle w:val="Default"/>
        <w:rPr>
          <w:color w:val="auto"/>
          <w:sz w:val="22"/>
          <w:szCs w:val="22"/>
          <w:lang w:val="en-US"/>
        </w:rPr>
      </w:pPr>
      <w:r w:rsidRPr="006351AF">
        <w:rPr>
          <w:color w:val="auto"/>
          <w:sz w:val="22"/>
          <w:szCs w:val="22"/>
          <w:lang w:val="en-US"/>
        </w:rPr>
        <w:t xml:space="preserve">Gran </w:t>
      </w:r>
      <w:proofErr w:type="spellStart"/>
      <w:r w:rsidRPr="006351AF">
        <w:rPr>
          <w:color w:val="auto"/>
          <w:sz w:val="22"/>
          <w:szCs w:val="22"/>
          <w:lang w:val="en-US"/>
        </w:rPr>
        <w:t>Vía</w:t>
      </w:r>
      <w:proofErr w:type="spellEnd"/>
      <w:r w:rsidRPr="006351AF">
        <w:rPr>
          <w:color w:val="auto"/>
          <w:sz w:val="22"/>
          <w:szCs w:val="22"/>
          <w:lang w:val="en-US"/>
        </w:rPr>
        <w:t xml:space="preserve"> Carlos III 98, 7th </w:t>
      </w:r>
    </w:p>
    <w:p w:rsidR="006351AF" w:rsidRDefault="006351AF" w:rsidP="006351AF">
      <w:pPr>
        <w:pStyle w:val="Default"/>
        <w:rPr>
          <w:color w:val="auto"/>
          <w:sz w:val="22"/>
          <w:szCs w:val="22"/>
        </w:rPr>
      </w:pPr>
      <w:r>
        <w:rPr>
          <w:color w:val="auto"/>
          <w:sz w:val="22"/>
          <w:szCs w:val="22"/>
        </w:rPr>
        <w:t xml:space="preserve">08028 Βαρκελώνη - Ισπανία </w:t>
      </w:r>
    </w:p>
    <w:p w:rsidR="006351AF" w:rsidRDefault="006351AF" w:rsidP="006351AF">
      <w:pPr>
        <w:pStyle w:val="Default"/>
        <w:rPr>
          <w:color w:val="auto"/>
          <w:sz w:val="22"/>
          <w:szCs w:val="22"/>
        </w:rPr>
      </w:pPr>
      <w:r>
        <w:rPr>
          <w:b/>
          <w:bCs/>
          <w:color w:val="auto"/>
          <w:sz w:val="22"/>
          <w:szCs w:val="22"/>
        </w:rPr>
        <w:t xml:space="preserve">8. ΑΡΙΘΜΟΣ (ΟΙ) ΑΔΕΙΑΣ ΚΥΚΛΟΦΟΡΙΑΣ </w:t>
      </w:r>
    </w:p>
    <w:p w:rsidR="006351AF" w:rsidRDefault="006351AF" w:rsidP="006351AF">
      <w:pPr>
        <w:pStyle w:val="Default"/>
        <w:rPr>
          <w:color w:val="auto"/>
          <w:sz w:val="22"/>
          <w:szCs w:val="22"/>
        </w:rPr>
      </w:pPr>
      <w:r>
        <w:rPr>
          <w:color w:val="auto"/>
          <w:sz w:val="22"/>
          <w:szCs w:val="22"/>
        </w:rPr>
        <w:t xml:space="preserve">[Συμπληρώνεται ανά έθνος] </w:t>
      </w:r>
    </w:p>
    <w:p w:rsidR="006351AF" w:rsidRDefault="006351AF" w:rsidP="006351AF">
      <w:pPr>
        <w:pStyle w:val="Default"/>
        <w:rPr>
          <w:color w:val="auto"/>
          <w:sz w:val="22"/>
          <w:szCs w:val="22"/>
        </w:rPr>
      </w:pPr>
      <w:r>
        <w:rPr>
          <w:b/>
          <w:bCs/>
          <w:color w:val="auto"/>
          <w:sz w:val="22"/>
          <w:szCs w:val="22"/>
        </w:rPr>
        <w:t xml:space="preserve">9. ΗΜΕΡΟΜΗΝΙΑ ΠΡΩΤΗΣ ΕΓΚΡΙΣΗΣ / ΑΝΑΝΕΩΣΗΣ ΤΗΣ ΑΔΕΙΑΣ </w:t>
      </w:r>
    </w:p>
    <w:p w:rsidR="006351AF" w:rsidRDefault="006351AF" w:rsidP="006351AF">
      <w:pPr>
        <w:pStyle w:val="Default"/>
        <w:rPr>
          <w:color w:val="auto"/>
          <w:sz w:val="22"/>
          <w:szCs w:val="22"/>
        </w:rPr>
      </w:pPr>
      <w:r>
        <w:rPr>
          <w:color w:val="auto"/>
          <w:sz w:val="22"/>
          <w:szCs w:val="22"/>
        </w:rPr>
        <w:t xml:space="preserve">[Συμπληρώνεται ανά έθνος] </w:t>
      </w:r>
    </w:p>
    <w:p w:rsidR="006351AF" w:rsidRDefault="006351AF" w:rsidP="006351AF">
      <w:pPr>
        <w:pStyle w:val="Default"/>
        <w:rPr>
          <w:color w:val="auto"/>
          <w:sz w:val="22"/>
          <w:szCs w:val="22"/>
        </w:rPr>
      </w:pPr>
      <w:r>
        <w:rPr>
          <w:b/>
          <w:bCs/>
          <w:color w:val="auto"/>
          <w:sz w:val="22"/>
          <w:szCs w:val="22"/>
        </w:rPr>
        <w:t xml:space="preserve">10. ΗΜΕΡΟΜΗΝΙΑ ΑΝΑΘΕΩΡΗΣΗΣ ΤΟΥ ΚΕΙΜΕΝΟΥ </w:t>
      </w:r>
    </w:p>
    <w:p w:rsidR="00C739BD" w:rsidRDefault="006351AF" w:rsidP="006351AF">
      <w:r>
        <w:t>[Συμπληρώνεται ανά έθνος]</w:t>
      </w:r>
    </w:p>
    <w:sectPr w:rsidR="00C739BD" w:rsidSect="00237A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23FAC2"/>
    <w:multiLevelType w:val="hybridMultilevel"/>
    <w:tmpl w:val="ABD2C5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62AA58"/>
    <w:multiLevelType w:val="hybridMultilevel"/>
    <w:tmpl w:val="06A6A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74D750"/>
    <w:multiLevelType w:val="hybridMultilevel"/>
    <w:tmpl w:val="BFF735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E98AF1"/>
    <w:multiLevelType w:val="hybridMultilevel"/>
    <w:tmpl w:val="6E3C8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5CC41B"/>
    <w:multiLevelType w:val="hybridMultilevel"/>
    <w:tmpl w:val="BFC81D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1AF"/>
    <w:rsid w:val="00237AA2"/>
    <w:rsid w:val="006351AF"/>
    <w:rsid w:val="00983AB3"/>
    <w:rsid w:val="00C739BD"/>
    <w:rsid w:val="00CB4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1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1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C2A1-DA67-486B-A232-F6919EB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4051</Words>
  <Characters>21881</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dcterms:created xsi:type="dcterms:W3CDTF">2015-01-15T07:49:00Z</dcterms:created>
  <dcterms:modified xsi:type="dcterms:W3CDTF">2015-01-15T07:49:00Z</dcterms:modified>
</cp:coreProperties>
</file>