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DA637" w14:textId="77777777" w:rsidR="00FD771B" w:rsidRPr="005D77D3" w:rsidRDefault="00FD771B" w:rsidP="005D77D3">
      <w:pPr>
        <w:outlineLvl w:val="0"/>
        <w:rPr>
          <w:b/>
          <w:lang w:val="el-GR"/>
        </w:rPr>
      </w:pPr>
      <w:bookmarkStart w:id="0" w:name="_GoBack"/>
      <w:bookmarkEnd w:id="0"/>
    </w:p>
    <w:p w14:paraId="4D9E8ECE" w14:textId="77777777" w:rsidR="00FD771B" w:rsidRPr="005D77D3" w:rsidRDefault="00FD771B" w:rsidP="005D77D3">
      <w:pPr>
        <w:outlineLvl w:val="0"/>
        <w:rPr>
          <w:b/>
          <w:lang w:val="el-GR"/>
        </w:rPr>
      </w:pPr>
    </w:p>
    <w:p w14:paraId="56D9545E" w14:textId="77777777" w:rsidR="00FD771B" w:rsidRPr="005D77D3" w:rsidRDefault="00FD771B" w:rsidP="005D77D3">
      <w:pPr>
        <w:outlineLvl w:val="0"/>
        <w:rPr>
          <w:b/>
          <w:lang w:val="el-GR"/>
        </w:rPr>
      </w:pPr>
    </w:p>
    <w:p w14:paraId="6A868AB0" w14:textId="77777777" w:rsidR="00FD771B" w:rsidRPr="005D77D3" w:rsidRDefault="00FD771B" w:rsidP="005D77D3">
      <w:pPr>
        <w:outlineLvl w:val="0"/>
        <w:rPr>
          <w:b/>
          <w:lang w:val="el-GR"/>
        </w:rPr>
      </w:pPr>
    </w:p>
    <w:p w14:paraId="46837B65" w14:textId="77777777" w:rsidR="00FD771B" w:rsidRPr="005D77D3" w:rsidRDefault="00FD771B" w:rsidP="005D77D3">
      <w:pPr>
        <w:tabs>
          <w:tab w:val="left" w:pos="-1440"/>
          <w:tab w:val="left" w:pos="-720"/>
        </w:tabs>
        <w:rPr>
          <w:b/>
          <w:lang w:val="el-GR"/>
        </w:rPr>
      </w:pPr>
    </w:p>
    <w:p w14:paraId="3D21BC64" w14:textId="77777777" w:rsidR="00FD771B" w:rsidRPr="005D77D3" w:rsidRDefault="00FD771B" w:rsidP="005D77D3">
      <w:pPr>
        <w:tabs>
          <w:tab w:val="left" w:pos="-1440"/>
          <w:tab w:val="left" w:pos="-720"/>
        </w:tabs>
        <w:rPr>
          <w:b/>
          <w:lang w:val="el-GR"/>
        </w:rPr>
      </w:pPr>
    </w:p>
    <w:p w14:paraId="524514FB" w14:textId="77777777" w:rsidR="00FD771B" w:rsidRPr="005D77D3" w:rsidRDefault="00FD771B" w:rsidP="005D77D3">
      <w:pPr>
        <w:tabs>
          <w:tab w:val="left" w:pos="-1440"/>
          <w:tab w:val="left" w:pos="-720"/>
        </w:tabs>
        <w:rPr>
          <w:b/>
          <w:lang w:val="el-GR"/>
        </w:rPr>
      </w:pPr>
    </w:p>
    <w:p w14:paraId="3F42B40E" w14:textId="77777777" w:rsidR="00FD771B" w:rsidRPr="005D77D3" w:rsidRDefault="00FD771B" w:rsidP="005D77D3">
      <w:pPr>
        <w:tabs>
          <w:tab w:val="left" w:pos="-1440"/>
          <w:tab w:val="left" w:pos="-720"/>
        </w:tabs>
        <w:rPr>
          <w:b/>
          <w:lang w:val="el-GR"/>
        </w:rPr>
      </w:pPr>
    </w:p>
    <w:p w14:paraId="7D0252E0" w14:textId="77777777" w:rsidR="00FD771B" w:rsidRPr="005D77D3" w:rsidRDefault="00FD771B" w:rsidP="005D77D3">
      <w:pPr>
        <w:tabs>
          <w:tab w:val="left" w:pos="-1440"/>
          <w:tab w:val="left" w:pos="-720"/>
        </w:tabs>
        <w:rPr>
          <w:b/>
          <w:lang w:val="el-GR"/>
        </w:rPr>
      </w:pPr>
    </w:p>
    <w:p w14:paraId="5D325AC0" w14:textId="77777777" w:rsidR="00FD771B" w:rsidRPr="005D77D3" w:rsidRDefault="00FD771B" w:rsidP="005D77D3">
      <w:pPr>
        <w:tabs>
          <w:tab w:val="left" w:pos="-1440"/>
          <w:tab w:val="left" w:pos="-720"/>
        </w:tabs>
        <w:rPr>
          <w:b/>
          <w:lang w:val="el-GR"/>
        </w:rPr>
      </w:pPr>
    </w:p>
    <w:p w14:paraId="6FD06FDC" w14:textId="77777777" w:rsidR="00FD771B" w:rsidRPr="005D77D3" w:rsidRDefault="00FD771B" w:rsidP="005D77D3">
      <w:pPr>
        <w:tabs>
          <w:tab w:val="left" w:pos="-1440"/>
          <w:tab w:val="left" w:pos="-720"/>
        </w:tabs>
        <w:rPr>
          <w:b/>
          <w:lang w:val="el-GR"/>
        </w:rPr>
      </w:pPr>
    </w:p>
    <w:p w14:paraId="2A602B48" w14:textId="77777777" w:rsidR="00FD771B" w:rsidRPr="005D77D3" w:rsidRDefault="00FD771B" w:rsidP="005D77D3">
      <w:pPr>
        <w:tabs>
          <w:tab w:val="left" w:pos="-1440"/>
          <w:tab w:val="left" w:pos="-720"/>
        </w:tabs>
        <w:rPr>
          <w:b/>
          <w:lang w:val="el-GR"/>
        </w:rPr>
      </w:pPr>
    </w:p>
    <w:p w14:paraId="46693369" w14:textId="77777777" w:rsidR="00FD771B" w:rsidRPr="005D77D3" w:rsidRDefault="00FD771B" w:rsidP="005D77D3">
      <w:pPr>
        <w:tabs>
          <w:tab w:val="left" w:pos="-1440"/>
          <w:tab w:val="left" w:pos="-720"/>
        </w:tabs>
        <w:rPr>
          <w:b/>
          <w:lang w:val="el-GR"/>
        </w:rPr>
      </w:pPr>
    </w:p>
    <w:p w14:paraId="4CE61D35" w14:textId="77777777" w:rsidR="00FD771B" w:rsidRPr="005D77D3" w:rsidRDefault="00FD771B" w:rsidP="005D77D3">
      <w:pPr>
        <w:tabs>
          <w:tab w:val="left" w:pos="-1440"/>
          <w:tab w:val="left" w:pos="-720"/>
        </w:tabs>
        <w:rPr>
          <w:b/>
          <w:lang w:val="el-GR"/>
        </w:rPr>
      </w:pPr>
    </w:p>
    <w:p w14:paraId="32FB60D5" w14:textId="77777777" w:rsidR="00FD771B" w:rsidRPr="005D77D3" w:rsidRDefault="00FD771B" w:rsidP="005D77D3">
      <w:pPr>
        <w:tabs>
          <w:tab w:val="left" w:pos="-1440"/>
          <w:tab w:val="left" w:pos="-720"/>
        </w:tabs>
        <w:rPr>
          <w:b/>
          <w:lang w:val="el-GR"/>
        </w:rPr>
      </w:pPr>
    </w:p>
    <w:p w14:paraId="70BE9867" w14:textId="77777777" w:rsidR="00FD771B" w:rsidRPr="005D77D3" w:rsidRDefault="00FD771B" w:rsidP="005D77D3">
      <w:pPr>
        <w:tabs>
          <w:tab w:val="left" w:pos="-1440"/>
          <w:tab w:val="left" w:pos="-720"/>
        </w:tabs>
        <w:rPr>
          <w:b/>
          <w:lang w:val="el-GR"/>
        </w:rPr>
      </w:pPr>
    </w:p>
    <w:p w14:paraId="5AE99D21" w14:textId="77777777" w:rsidR="00FD771B" w:rsidRPr="005D77D3" w:rsidRDefault="00FD771B" w:rsidP="005D77D3">
      <w:pPr>
        <w:tabs>
          <w:tab w:val="left" w:pos="-1440"/>
          <w:tab w:val="left" w:pos="-720"/>
        </w:tabs>
        <w:rPr>
          <w:b/>
          <w:lang w:val="el-GR"/>
        </w:rPr>
      </w:pPr>
    </w:p>
    <w:p w14:paraId="4F3DE29D" w14:textId="77777777" w:rsidR="00FD771B" w:rsidRPr="005D77D3" w:rsidRDefault="00FD771B" w:rsidP="005D77D3">
      <w:pPr>
        <w:tabs>
          <w:tab w:val="left" w:pos="-1440"/>
          <w:tab w:val="left" w:pos="-720"/>
        </w:tabs>
        <w:rPr>
          <w:b/>
          <w:lang w:val="el-GR"/>
        </w:rPr>
      </w:pPr>
    </w:p>
    <w:p w14:paraId="142B82E5" w14:textId="77777777" w:rsidR="00FD771B" w:rsidRPr="005D77D3" w:rsidRDefault="00FD771B" w:rsidP="005D77D3">
      <w:pPr>
        <w:tabs>
          <w:tab w:val="left" w:pos="-1440"/>
          <w:tab w:val="left" w:pos="-720"/>
        </w:tabs>
        <w:rPr>
          <w:b/>
          <w:lang w:val="el-GR"/>
        </w:rPr>
      </w:pPr>
    </w:p>
    <w:p w14:paraId="64494735" w14:textId="77777777" w:rsidR="00FD771B" w:rsidRPr="005D77D3" w:rsidRDefault="00FD771B" w:rsidP="005D77D3">
      <w:pPr>
        <w:tabs>
          <w:tab w:val="left" w:pos="-1440"/>
          <w:tab w:val="left" w:pos="-720"/>
        </w:tabs>
        <w:rPr>
          <w:b/>
          <w:lang w:val="el-GR"/>
        </w:rPr>
      </w:pPr>
    </w:p>
    <w:p w14:paraId="6A3DA90C" w14:textId="77777777" w:rsidR="00FD771B" w:rsidRPr="005D77D3" w:rsidRDefault="00FD771B" w:rsidP="005D77D3">
      <w:pPr>
        <w:tabs>
          <w:tab w:val="left" w:pos="-1440"/>
          <w:tab w:val="left" w:pos="-720"/>
        </w:tabs>
        <w:rPr>
          <w:b/>
          <w:lang w:val="el-GR"/>
        </w:rPr>
      </w:pPr>
    </w:p>
    <w:p w14:paraId="5A8B27AB" w14:textId="77777777" w:rsidR="00FD771B" w:rsidRPr="005D77D3" w:rsidRDefault="00FD771B" w:rsidP="005D77D3">
      <w:pPr>
        <w:tabs>
          <w:tab w:val="left" w:pos="-1440"/>
          <w:tab w:val="left" w:pos="-720"/>
        </w:tabs>
        <w:rPr>
          <w:b/>
          <w:lang w:val="el-GR"/>
        </w:rPr>
      </w:pPr>
    </w:p>
    <w:p w14:paraId="277DC40F" w14:textId="77777777" w:rsidR="00FD771B" w:rsidRPr="005D77D3" w:rsidRDefault="00FD771B" w:rsidP="00622633">
      <w:pPr>
        <w:jc w:val="center"/>
        <w:rPr>
          <w:b/>
          <w:lang w:val="el-GR"/>
        </w:rPr>
      </w:pPr>
      <w:r w:rsidRPr="005D77D3">
        <w:rPr>
          <w:b/>
          <w:lang w:val="el-GR"/>
        </w:rPr>
        <w:t>ΠΑΡΑΡΤΗΜΑ Ι</w:t>
      </w:r>
    </w:p>
    <w:p w14:paraId="1ED72D5F" w14:textId="77777777" w:rsidR="00FD771B" w:rsidRPr="005D77D3" w:rsidRDefault="00FD771B">
      <w:pPr>
        <w:jc w:val="center"/>
        <w:rPr>
          <w:b/>
          <w:lang w:val="el-GR"/>
        </w:rPr>
      </w:pPr>
    </w:p>
    <w:p w14:paraId="3FF458A6" w14:textId="77777777" w:rsidR="00FD771B" w:rsidRPr="005D77D3" w:rsidRDefault="00FD771B">
      <w:pPr>
        <w:jc w:val="center"/>
        <w:rPr>
          <w:b/>
          <w:lang w:val="el-GR"/>
        </w:rPr>
      </w:pPr>
      <w:r w:rsidRPr="005D77D3">
        <w:rPr>
          <w:b/>
          <w:lang w:val="el-GR"/>
        </w:rPr>
        <w:t>ΠΕΡΙΛΗΨΗ ΤΩΝ ΧΑΡΑΚΤΗΡΙΣΤΙΚΩΝ ΤΟΥ ΠΡΟΪΟΝΤΟΣ</w:t>
      </w:r>
    </w:p>
    <w:p w14:paraId="1BF9A88E" w14:textId="77777777" w:rsidR="00FD771B" w:rsidRPr="005D77D3" w:rsidRDefault="00FD771B" w:rsidP="005D77D3">
      <w:pPr>
        <w:tabs>
          <w:tab w:val="left" w:pos="-1440"/>
          <w:tab w:val="left" w:pos="-720"/>
        </w:tabs>
        <w:jc w:val="center"/>
        <w:rPr>
          <w:lang w:val="el-GR"/>
        </w:rPr>
      </w:pPr>
    </w:p>
    <w:p w14:paraId="53C417AB" w14:textId="77777777" w:rsidR="00FD771B" w:rsidRPr="00684E83" w:rsidRDefault="00FD771B" w:rsidP="00622633">
      <w:pPr>
        <w:rPr>
          <w:szCs w:val="22"/>
          <w:lang w:val="el-GR"/>
        </w:rPr>
      </w:pPr>
      <w:r w:rsidRPr="00684E83">
        <w:rPr>
          <w:noProof/>
          <w:color w:val="008000"/>
          <w:szCs w:val="22"/>
          <w:lang w:val="el-GR"/>
        </w:rPr>
        <w:br w:type="page"/>
      </w:r>
    </w:p>
    <w:p w14:paraId="24CCCAEC" w14:textId="77777777" w:rsidR="00FD771B" w:rsidRPr="005D77D3" w:rsidRDefault="00FD771B">
      <w:pPr>
        <w:rPr>
          <w:lang w:val="el-GR"/>
        </w:rPr>
      </w:pPr>
      <w:r w:rsidRPr="005D77D3">
        <w:rPr>
          <w:b/>
          <w:lang w:val="el-GR"/>
        </w:rPr>
        <w:lastRenderedPageBreak/>
        <w:t>1.</w:t>
      </w:r>
      <w:r w:rsidRPr="005D77D3">
        <w:rPr>
          <w:b/>
          <w:lang w:val="el-GR"/>
        </w:rPr>
        <w:tab/>
        <w:t>ΟΝΟΜΑΣΙΑ ΤΟΥ ΦΑΡΜΑΚΕΥΤΙΚΟΥ ΠΡΟΪΟΝΤΟΣ</w:t>
      </w:r>
    </w:p>
    <w:p w14:paraId="5F91845E" w14:textId="77777777" w:rsidR="00FD771B" w:rsidRPr="005D77D3" w:rsidRDefault="00FD771B">
      <w:pPr>
        <w:rPr>
          <w:lang w:val="el-GR"/>
        </w:rPr>
      </w:pPr>
    </w:p>
    <w:p w14:paraId="6C8FF2AC" w14:textId="77777777" w:rsidR="00FD771B" w:rsidRPr="00C928A2" w:rsidRDefault="00013A4F">
      <w:pPr>
        <w:rPr>
          <w:lang w:val="el-GR"/>
        </w:rPr>
      </w:pPr>
      <w:proofErr w:type="spellStart"/>
      <w:r>
        <w:rPr>
          <w:lang w:val="en-US"/>
        </w:rPr>
        <w:t>Tormis</w:t>
      </w:r>
      <w:proofErr w:type="spellEnd"/>
      <w:r w:rsidR="00812E19" w:rsidRPr="00C928A2">
        <w:rPr>
          <w:lang w:val="el-GR"/>
        </w:rPr>
        <w:t xml:space="preserve"> 5</w:t>
      </w:r>
      <w:r w:rsidR="00812E19">
        <w:rPr>
          <w:lang w:val="en-US"/>
        </w:rPr>
        <w:t> mg</w:t>
      </w:r>
      <w:r w:rsidR="00812E19" w:rsidRPr="00C928A2">
        <w:rPr>
          <w:lang w:val="el-GR"/>
        </w:rPr>
        <w:t xml:space="preserve"> </w:t>
      </w:r>
      <w:r w:rsidR="00812E19">
        <w:rPr>
          <w:lang w:val="el-GR"/>
        </w:rPr>
        <w:t>δισκίο</w:t>
      </w:r>
    </w:p>
    <w:p w14:paraId="695D993B" w14:textId="77777777" w:rsidR="00812E19" w:rsidRPr="00C928A2" w:rsidRDefault="00812E19">
      <w:pPr>
        <w:rPr>
          <w:lang w:val="el-GR"/>
        </w:rPr>
      </w:pPr>
      <w:proofErr w:type="spellStart"/>
      <w:r>
        <w:rPr>
          <w:lang w:val="en-US"/>
        </w:rPr>
        <w:t>Tormis</w:t>
      </w:r>
      <w:proofErr w:type="spellEnd"/>
      <w:r w:rsidRPr="00C928A2">
        <w:rPr>
          <w:lang w:val="el-GR"/>
        </w:rPr>
        <w:t xml:space="preserve"> 10</w:t>
      </w:r>
      <w:r>
        <w:rPr>
          <w:lang w:val="en-US"/>
        </w:rPr>
        <w:t> mg</w:t>
      </w:r>
      <w:r w:rsidRPr="00C928A2">
        <w:rPr>
          <w:lang w:val="el-GR"/>
        </w:rPr>
        <w:t xml:space="preserve"> </w:t>
      </w:r>
      <w:r>
        <w:rPr>
          <w:lang w:val="el-GR"/>
        </w:rPr>
        <w:t>δισκίο</w:t>
      </w:r>
    </w:p>
    <w:p w14:paraId="46CC6A3D" w14:textId="77777777" w:rsidR="00FD771B" w:rsidRPr="00C928A2" w:rsidRDefault="00FD771B" w:rsidP="005D77D3">
      <w:pPr>
        <w:widowControl w:val="0"/>
        <w:rPr>
          <w:i/>
          <w:lang w:val="el-GR"/>
        </w:rPr>
      </w:pPr>
    </w:p>
    <w:p w14:paraId="2B147F07" w14:textId="77777777" w:rsidR="00FD771B" w:rsidRPr="00C928A2" w:rsidRDefault="00FD771B" w:rsidP="005D77D3">
      <w:pPr>
        <w:rPr>
          <w:i/>
          <w:lang w:val="el-GR"/>
        </w:rPr>
      </w:pPr>
    </w:p>
    <w:p w14:paraId="4C59F35A" w14:textId="77777777" w:rsidR="00FD771B" w:rsidRPr="00166D11" w:rsidRDefault="00FD771B" w:rsidP="005D77D3">
      <w:pPr>
        <w:widowControl w:val="0"/>
        <w:rPr>
          <w:b/>
          <w:szCs w:val="22"/>
          <w:lang w:val="el-GR"/>
        </w:rPr>
      </w:pPr>
      <w:r w:rsidRPr="005D77D3">
        <w:rPr>
          <w:b/>
          <w:lang w:val="el-GR"/>
        </w:rPr>
        <w:t>2.</w:t>
      </w:r>
      <w:r w:rsidRPr="005D77D3">
        <w:rPr>
          <w:b/>
          <w:lang w:val="el-GR"/>
        </w:rPr>
        <w:tab/>
        <w:t>ΠΟΙΟΤΙΚΗ ΚΑΙ ΠΟΣΟΤΙΚΗ ΣΥΝΘΕΣΗ</w:t>
      </w:r>
    </w:p>
    <w:p w14:paraId="31D9AC4C" w14:textId="77777777" w:rsidR="00FD771B" w:rsidRPr="005D77D3" w:rsidRDefault="00FD771B" w:rsidP="005D77D3">
      <w:pPr>
        <w:widowControl w:val="0"/>
        <w:rPr>
          <w:lang w:val="el-GR"/>
        </w:rPr>
      </w:pPr>
    </w:p>
    <w:p w14:paraId="06B3A8F8" w14:textId="77777777" w:rsidR="00812E19" w:rsidRPr="00812E19" w:rsidRDefault="00812E19" w:rsidP="00812E19">
      <w:pPr>
        <w:rPr>
          <w:lang w:val="el-GR"/>
        </w:rPr>
      </w:pPr>
      <w:proofErr w:type="spellStart"/>
      <w:r>
        <w:rPr>
          <w:lang w:val="en-US"/>
        </w:rPr>
        <w:t>Tormis</w:t>
      </w:r>
      <w:proofErr w:type="spellEnd"/>
      <w:r w:rsidRPr="00812E19">
        <w:rPr>
          <w:lang w:val="el-GR"/>
        </w:rPr>
        <w:t xml:space="preserve"> 5</w:t>
      </w:r>
      <w:r>
        <w:rPr>
          <w:lang w:val="en-US"/>
        </w:rPr>
        <w:t> mg</w:t>
      </w:r>
      <w:r w:rsidRPr="00812E19">
        <w:rPr>
          <w:lang w:val="el-GR"/>
        </w:rPr>
        <w:t xml:space="preserve"> </w:t>
      </w:r>
      <w:r>
        <w:rPr>
          <w:lang w:val="el-GR"/>
        </w:rPr>
        <w:t>δισκίο</w:t>
      </w:r>
      <w:r w:rsidRPr="00812E19">
        <w:rPr>
          <w:lang w:val="el-GR"/>
        </w:rPr>
        <w:t>:</w:t>
      </w:r>
    </w:p>
    <w:p w14:paraId="3565DEE7" w14:textId="77777777" w:rsidR="0077211F" w:rsidRDefault="0077211F" w:rsidP="0077211F">
      <w:pPr>
        <w:pStyle w:val="EMEAEnBodyText"/>
        <w:autoSpaceDE w:val="0"/>
        <w:autoSpaceDN w:val="0"/>
        <w:adjustRightInd w:val="0"/>
        <w:spacing w:before="0" w:after="0"/>
        <w:rPr>
          <w:lang w:val="el-GR"/>
        </w:rPr>
      </w:pPr>
      <w:r>
        <w:rPr>
          <w:lang w:val="el-GR"/>
        </w:rPr>
        <w:t>Κάθε δισκίο περι</w:t>
      </w:r>
      <w:r w:rsidR="00812E19">
        <w:rPr>
          <w:lang w:val="el-GR"/>
        </w:rPr>
        <w:t>έχει 5 </w:t>
      </w:r>
      <w:r>
        <w:t>mg</w:t>
      </w:r>
      <w:r w:rsidRPr="0077211F">
        <w:rPr>
          <w:lang w:val="el-GR"/>
        </w:rPr>
        <w:t xml:space="preserve"> </w:t>
      </w:r>
      <w:proofErr w:type="spellStart"/>
      <w:r w:rsidR="00B32253" w:rsidRPr="00B32253">
        <w:rPr>
          <w:lang w:val="el-GR"/>
        </w:rPr>
        <w:t>τορασεμίδης</w:t>
      </w:r>
      <w:proofErr w:type="spellEnd"/>
      <w:r w:rsidRPr="0077211F">
        <w:rPr>
          <w:lang w:val="el-GR"/>
        </w:rPr>
        <w:t>.</w:t>
      </w:r>
    </w:p>
    <w:p w14:paraId="20250F39" w14:textId="77777777" w:rsidR="00812E19" w:rsidRPr="0077211F" w:rsidRDefault="00812E19" w:rsidP="0077211F">
      <w:pPr>
        <w:pStyle w:val="EMEAEnBodyText"/>
        <w:autoSpaceDE w:val="0"/>
        <w:autoSpaceDN w:val="0"/>
        <w:adjustRightInd w:val="0"/>
        <w:spacing w:before="0" w:after="0"/>
        <w:rPr>
          <w:lang w:val="el-GR"/>
        </w:rPr>
      </w:pPr>
    </w:p>
    <w:p w14:paraId="48C5C63D" w14:textId="77777777" w:rsidR="00812E19" w:rsidRPr="00812E19" w:rsidRDefault="00812E19" w:rsidP="00812E19">
      <w:pPr>
        <w:rPr>
          <w:lang w:val="el-GR"/>
        </w:rPr>
      </w:pPr>
      <w:proofErr w:type="spellStart"/>
      <w:r>
        <w:rPr>
          <w:lang w:val="en-US"/>
        </w:rPr>
        <w:t>Tormis</w:t>
      </w:r>
      <w:proofErr w:type="spellEnd"/>
      <w:r>
        <w:rPr>
          <w:lang w:val="el-GR"/>
        </w:rPr>
        <w:t xml:space="preserve"> 10</w:t>
      </w:r>
      <w:r>
        <w:rPr>
          <w:lang w:val="en-US"/>
        </w:rPr>
        <w:t> mg</w:t>
      </w:r>
      <w:r w:rsidRPr="00812E19">
        <w:rPr>
          <w:lang w:val="el-GR"/>
        </w:rPr>
        <w:t xml:space="preserve"> </w:t>
      </w:r>
      <w:r>
        <w:rPr>
          <w:lang w:val="el-GR"/>
        </w:rPr>
        <w:t>δισκίο</w:t>
      </w:r>
      <w:r w:rsidRPr="00812E19">
        <w:rPr>
          <w:lang w:val="el-GR"/>
        </w:rPr>
        <w:t>:</w:t>
      </w:r>
    </w:p>
    <w:p w14:paraId="6652E567" w14:textId="77777777" w:rsidR="00812E19" w:rsidRPr="0077211F" w:rsidRDefault="00812E19" w:rsidP="00812E19">
      <w:pPr>
        <w:pStyle w:val="EMEAEnBodyText"/>
        <w:autoSpaceDE w:val="0"/>
        <w:autoSpaceDN w:val="0"/>
        <w:adjustRightInd w:val="0"/>
        <w:spacing w:before="0" w:after="0"/>
        <w:rPr>
          <w:lang w:val="el-GR"/>
        </w:rPr>
      </w:pPr>
      <w:r>
        <w:rPr>
          <w:lang w:val="el-GR"/>
        </w:rPr>
        <w:t>Κάθε δισκίο περιέχει 10 </w:t>
      </w:r>
      <w:r>
        <w:t>mg</w:t>
      </w:r>
      <w:r w:rsidRPr="0077211F">
        <w:rPr>
          <w:lang w:val="el-GR"/>
        </w:rPr>
        <w:t xml:space="preserve"> </w:t>
      </w:r>
      <w:proofErr w:type="spellStart"/>
      <w:r w:rsidR="00B32253" w:rsidRPr="00B32253">
        <w:rPr>
          <w:lang w:val="el-GR"/>
        </w:rPr>
        <w:t>τορασεμίδης</w:t>
      </w:r>
      <w:proofErr w:type="spellEnd"/>
      <w:r w:rsidRPr="0077211F">
        <w:rPr>
          <w:lang w:val="el-GR"/>
        </w:rPr>
        <w:t>.</w:t>
      </w:r>
    </w:p>
    <w:p w14:paraId="1537990E" w14:textId="77777777" w:rsidR="00812E19" w:rsidRPr="0077211F" w:rsidRDefault="00812E19" w:rsidP="00812E19">
      <w:pPr>
        <w:pStyle w:val="EMEAEnBodyText"/>
        <w:autoSpaceDE w:val="0"/>
        <w:autoSpaceDN w:val="0"/>
        <w:adjustRightInd w:val="0"/>
        <w:spacing w:before="0" w:after="0"/>
        <w:rPr>
          <w:lang w:val="el-GR"/>
        </w:rPr>
      </w:pPr>
    </w:p>
    <w:p w14:paraId="10F77280" w14:textId="77777777" w:rsidR="00FD771B" w:rsidRPr="0077211F" w:rsidRDefault="00FD771B" w:rsidP="0077211F">
      <w:pPr>
        <w:pStyle w:val="EMEAEnBodyText"/>
        <w:autoSpaceDE w:val="0"/>
        <w:autoSpaceDN w:val="0"/>
        <w:adjustRightInd w:val="0"/>
        <w:spacing w:before="0" w:after="0"/>
        <w:rPr>
          <w:b/>
          <w:lang w:val="el-GR"/>
        </w:rPr>
      </w:pPr>
      <w:r w:rsidRPr="005D77D3">
        <w:rPr>
          <w:lang w:val="el-GR"/>
        </w:rPr>
        <w:t xml:space="preserve">Για τον πλήρη κατάλογο </w:t>
      </w:r>
      <w:r w:rsidR="00812E19">
        <w:rPr>
          <w:lang w:val="el-GR"/>
        </w:rPr>
        <w:t>των εκδόχων, βλ. παράγραφο 6.1.</w:t>
      </w:r>
    </w:p>
    <w:p w14:paraId="7FF045C1" w14:textId="77777777" w:rsidR="00FD771B" w:rsidRPr="005D77D3" w:rsidRDefault="00FD771B" w:rsidP="005D77D3">
      <w:pPr>
        <w:spacing w:line="240" w:lineRule="auto"/>
        <w:rPr>
          <w:lang w:val="el-GR"/>
        </w:rPr>
      </w:pPr>
    </w:p>
    <w:p w14:paraId="3FB0F23A" w14:textId="77777777" w:rsidR="00FD771B" w:rsidRPr="005D77D3" w:rsidRDefault="00FD771B" w:rsidP="005D77D3">
      <w:pPr>
        <w:rPr>
          <w:lang w:val="el-GR"/>
        </w:rPr>
      </w:pPr>
    </w:p>
    <w:p w14:paraId="02497151" w14:textId="77777777" w:rsidR="00FD771B" w:rsidRPr="005D77D3" w:rsidRDefault="00FD771B" w:rsidP="005D77D3">
      <w:pPr>
        <w:ind w:left="567" w:hanging="567"/>
        <w:rPr>
          <w:caps/>
          <w:lang w:val="el-GR"/>
        </w:rPr>
      </w:pPr>
      <w:r w:rsidRPr="005D77D3">
        <w:rPr>
          <w:b/>
          <w:lang w:val="el-GR"/>
        </w:rPr>
        <w:t>3.</w:t>
      </w:r>
      <w:r w:rsidRPr="005D77D3">
        <w:rPr>
          <w:b/>
          <w:lang w:val="el-GR"/>
        </w:rPr>
        <w:tab/>
        <w:t>ΦΑΡΜΑΚΟΤΕΧΝΙΚΗ ΜΟΡΦΗ</w:t>
      </w:r>
    </w:p>
    <w:p w14:paraId="568CE686" w14:textId="77777777" w:rsidR="00FD771B" w:rsidRPr="005D77D3" w:rsidRDefault="00FD771B" w:rsidP="005D77D3">
      <w:pPr>
        <w:autoSpaceDE w:val="0"/>
        <w:autoSpaceDN w:val="0"/>
        <w:adjustRightInd w:val="0"/>
        <w:jc w:val="both"/>
        <w:rPr>
          <w:lang w:val="el-GR"/>
        </w:rPr>
      </w:pPr>
    </w:p>
    <w:p w14:paraId="76748210" w14:textId="77777777" w:rsidR="00812E19" w:rsidRDefault="00812E19" w:rsidP="00622633">
      <w:pPr>
        <w:rPr>
          <w:lang w:val="el-GR"/>
        </w:rPr>
      </w:pPr>
      <w:r>
        <w:rPr>
          <w:lang w:val="el-GR"/>
        </w:rPr>
        <w:t>Δισκία.</w:t>
      </w:r>
    </w:p>
    <w:p w14:paraId="6EAE996B" w14:textId="77777777" w:rsidR="00812E19" w:rsidRDefault="00812E19" w:rsidP="00622633">
      <w:pPr>
        <w:rPr>
          <w:lang w:val="el-GR"/>
        </w:rPr>
      </w:pPr>
    </w:p>
    <w:p w14:paraId="3B409695" w14:textId="77777777" w:rsidR="00812E19" w:rsidRDefault="00812E19" w:rsidP="00812E19">
      <w:pPr>
        <w:rPr>
          <w:lang w:val="el-GR"/>
        </w:rPr>
      </w:pPr>
      <w:proofErr w:type="spellStart"/>
      <w:r>
        <w:rPr>
          <w:lang w:val="en-US"/>
        </w:rPr>
        <w:t>Tormis</w:t>
      </w:r>
      <w:proofErr w:type="spellEnd"/>
      <w:r w:rsidRPr="00812E19">
        <w:rPr>
          <w:lang w:val="el-GR"/>
        </w:rPr>
        <w:t xml:space="preserve"> 5</w:t>
      </w:r>
      <w:r>
        <w:rPr>
          <w:lang w:val="en-US"/>
        </w:rPr>
        <w:t> mg</w:t>
      </w:r>
      <w:r w:rsidRPr="00812E19">
        <w:rPr>
          <w:lang w:val="el-GR"/>
        </w:rPr>
        <w:t xml:space="preserve"> </w:t>
      </w:r>
      <w:r>
        <w:rPr>
          <w:lang w:val="el-GR"/>
        </w:rPr>
        <w:t>δισκία</w:t>
      </w:r>
      <w:r w:rsidRPr="00812E19">
        <w:rPr>
          <w:lang w:val="el-GR"/>
        </w:rPr>
        <w:t>:</w:t>
      </w:r>
      <w:r>
        <w:rPr>
          <w:lang w:val="el-GR"/>
        </w:rPr>
        <w:t xml:space="preserve"> Τα δισκία είναι λευκά με φακοειδές σχήμα.</w:t>
      </w:r>
    </w:p>
    <w:p w14:paraId="37DD9D95" w14:textId="77777777" w:rsidR="00812E19" w:rsidRDefault="00812E19" w:rsidP="00812E19">
      <w:pPr>
        <w:rPr>
          <w:lang w:val="el-GR"/>
        </w:rPr>
      </w:pPr>
    </w:p>
    <w:p w14:paraId="4BF33399" w14:textId="10ECF3EA" w:rsidR="00812E19" w:rsidRPr="00812E19" w:rsidRDefault="00812E19" w:rsidP="00812E19">
      <w:pPr>
        <w:rPr>
          <w:lang w:val="el-GR"/>
        </w:rPr>
      </w:pPr>
      <w:proofErr w:type="spellStart"/>
      <w:r>
        <w:rPr>
          <w:lang w:val="en-US"/>
        </w:rPr>
        <w:t>Tormis</w:t>
      </w:r>
      <w:proofErr w:type="spellEnd"/>
      <w:r w:rsidRPr="00812E19">
        <w:rPr>
          <w:lang w:val="el-GR"/>
        </w:rPr>
        <w:t xml:space="preserve"> </w:t>
      </w:r>
      <w:r>
        <w:rPr>
          <w:lang w:val="el-GR"/>
        </w:rPr>
        <w:t>10</w:t>
      </w:r>
      <w:r>
        <w:rPr>
          <w:lang w:val="en-US"/>
        </w:rPr>
        <w:t> mg</w:t>
      </w:r>
      <w:r w:rsidRPr="00812E19">
        <w:rPr>
          <w:lang w:val="el-GR"/>
        </w:rPr>
        <w:t xml:space="preserve"> </w:t>
      </w:r>
      <w:r>
        <w:rPr>
          <w:lang w:val="el-GR"/>
        </w:rPr>
        <w:t>δισκία</w:t>
      </w:r>
      <w:r w:rsidRPr="00812E19">
        <w:rPr>
          <w:lang w:val="el-GR"/>
        </w:rPr>
        <w:t>:</w:t>
      </w:r>
      <w:r>
        <w:rPr>
          <w:lang w:val="el-GR"/>
        </w:rPr>
        <w:t xml:space="preserve"> Τα δισκία είναι λευκά με φακοειδές σχήμα και </w:t>
      </w:r>
      <w:r w:rsidR="00E04F72">
        <w:rPr>
          <w:lang w:val="el-GR"/>
        </w:rPr>
        <w:t xml:space="preserve">χαραγμένα με αυλακώσεις. Τα δισκία </w:t>
      </w:r>
      <w:r w:rsidR="00983CF3">
        <w:rPr>
          <w:lang w:val="el-GR"/>
        </w:rPr>
        <w:t>έχουν χαραγή</w:t>
      </w:r>
      <w:r w:rsidR="00E04F72">
        <w:rPr>
          <w:lang w:val="el-GR"/>
        </w:rPr>
        <w:t xml:space="preserve"> για την διευκόλυνση της κατάποσης</w:t>
      </w:r>
      <w:r w:rsidR="00983CF3">
        <w:rPr>
          <w:lang w:val="el-GR"/>
        </w:rPr>
        <w:t>, αλλά όχι για να διαχωριστούν σε ίσες δόσεις</w:t>
      </w:r>
      <w:r w:rsidR="00E04F72">
        <w:rPr>
          <w:lang w:val="el-GR"/>
        </w:rPr>
        <w:t>.</w:t>
      </w:r>
    </w:p>
    <w:p w14:paraId="4C0F3F96" w14:textId="77777777" w:rsidR="00FD771B" w:rsidRPr="005D77D3" w:rsidRDefault="00FD771B" w:rsidP="005D77D3">
      <w:pPr>
        <w:autoSpaceDE w:val="0"/>
        <w:autoSpaceDN w:val="0"/>
        <w:adjustRightInd w:val="0"/>
        <w:jc w:val="both"/>
        <w:rPr>
          <w:lang w:val="el-GR"/>
        </w:rPr>
      </w:pPr>
    </w:p>
    <w:p w14:paraId="00073084" w14:textId="77777777" w:rsidR="00FD771B" w:rsidRPr="005D77D3" w:rsidRDefault="00FD771B" w:rsidP="005D77D3">
      <w:pPr>
        <w:rPr>
          <w:lang w:val="el-GR"/>
        </w:rPr>
      </w:pPr>
    </w:p>
    <w:p w14:paraId="2EDCF552" w14:textId="77777777" w:rsidR="00FD771B" w:rsidRPr="005D77D3" w:rsidRDefault="00FD771B" w:rsidP="005D77D3">
      <w:pPr>
        <w:ind w:left="567" w:hanging="567"/>
        <w:rPr>
          <w:caps/>
          <w:lang w:val="el-GR"/>
        </w:rPr>
      </w:pPr>
      <w:r w:rsidRPr="005D77D3">
        <w:rPr>
          <w:b/>
          <w:caps/>
          <w:lang w:val="el-GR"/>
        </w:rPr>
        <w:t>4.</w:t>
      </w:r>
      <w:r w:rsidRPr="005D77D3">
        <w:rPr>
          <w:b/>
          <w:caps/>
          <w:lang w:val="el-GR"/>
        </w:rPr>
        <w:tab/>
      </w:r>
      <w:r w:rsidRPr="005D77D3">
        <w:rPr>
          <w:b/>
          <w:lang w:val="el-GR"/>
        </w:rPr>
        <w:t>ΚΛΙΝΙΚΕΣ ΠΛΗΡΟΦΟΡΙΕΣ</w:t>
      </w:r>
    </w:p>
    <w:p w14:paraId="6DBC1B90" w14:textId="77777777" w:rsidR="00FD771B" w:rsidRPr="005D77D3" w:rsidRDefault="00FD771B" w:rsidP="005D77D3">
      <w:pPr>
        <w:rPr>
          <w:lang w:val="el-GR"/>
        </w:rPr>
      </w:pPr>
    </w:p>
    <w:p w14:paraId="647A4372" w14:textId="77777777" w:rsidR="00FD771B" w:rsidRPr="005D77D3" w:rsidRDefault="00FD771B" w:rsidP="005D77D3">
      <w:pPr>
        <w:ind w:left="567" w:hanging="567"/>
        <w:outlineLvl w:val="0"/>
        <w:rPr>
          <w:lang w:val="el-GR"/>
        </w:rPr>
      </w:pPr>
      <w:r w:rsidRPr="005D77D3">
        <w:rPr>
          <w:b/>
          <w:lang w:val="el-GR"/>
        </w:rPr>
        <w:t>4.1</w:t>
      </w:r>
      <w:r w:rsidRPr="005D77D3">
        <w:rPr>
          <w:b/>
          <w:lang w:val="el-GR"/>
        </w:rPr>
        <w:tab/>
        <w:t>Θεραπευτικές ενδείξεις</w:t>
      </w:r>
    </w:p>
    <w:p w14:paraId="417A480D" w14:textId="77777777" w:rsidR="00FD771B" w:rsidRPr="005D77D3" w:rsidRDefault="00FD771B" w:rsidP="005D77D3">
      <w:pPr>
        <w:rPr>
          <w:lang w:val="el-GR"/>
        </w:rPr>
      </w:pPr>
    </w:p>
    <w:p w14:paraId="0B2AFA2F" w14:textId="6D5600B1" w:rsidR="00F11B72" w:rsidRDefault="00F11B72" w:rsidP="005D77D3">
      <w:pPr>
        <w:rPr>
          <w:lang w:val="el-GR"/>
        </w:rPr>
      </w:pPr>
      <w:r>
        <w:rPr>
          <w:lang w:val="el-GR"/>
        </w:rPr>
        <w:t>Θεραπεία του οιδήματος (κατακράτηση υγρών) που σχετίζεται με συμφορητική καρδιακή ανεπάρκεια</w:t>
      </w:r>
      <w:r w:rsidR="004725AC" w:rsidRPr="004725AC">
        <w:rPr>
          <w:lang w:val="el-GR"/>
        </w:rPr>
        <w:t xml:space="preserve"> </w:t>
      </w:r>
      <w:r w:rsidR="004725AC">
        <w:rPr>
          <w:lang w:val="el-GR"/>
        </w:rPr>
        <w:t>ή με</w:t>
      </w:r>
      <w:r w:rsidR="003A5E2E" w:rsidRPr="00B32DC3">
        <w:rPr>
          <w:lang w:val="el-GR"/>
        </w:rPr>
        <w:t xml:space="preserve"> </w:t>
      </w:r>
      <w:r>
        <w:rPr>
          <w:lang w:val="el-GR"/>
        </w:rPr>
        <w:t xml:space="preserve">νεφρική </w:t>
      </w:r>
      <w:r w:rsidR="004725AC">
        <w:rPr>
          <w:lang w:val="el-GR"/>
        </w:rPr>
        <w:t xml:space="preserve">νόσο </w:t>
      </w:r>
      <w:r>
        <w:rPr>
          <w:lang w:val="el-GR"/>
        </w:rPr>
        <w:t xml:space="preserve">ή </w:t>
      </w:r>
      <w:r w:rsidR="004725AC">
        <w:rPr>
          <w:lang w:val="el-GR"/>
        </w:rPr>
        <w:t xml:space="preserve">με </w:t>
      </w:r>
      <w:r>
        <w:rPr>
          <w:lang w:val="el-GR"/>
        </w:rPr>
        <w:t xml:space="preserve">ηπατική νόσο. </w:t>
      </w:r>
    </w:p>
    <w:p w14:paraId="0ACCA04A" w14:textId="77777777" w:rsidR="00F11B72" w:rsidRDefault="00F11B72" w:rsidP="005D77D3">
      <w:pPr>
        <w:rPr>
          <w:lang w:val="el-GR"/>
        </w:rPr>
      </w:pPr>
    </w:p>
    <w:p w14:paraId="672DE7BC" w14:textId="77777777" w:rsidR="00FD771B" w:rsidRPr="00166D11" w:rsidRDefault="00F11B72" w:rsidP="00F11B72">
      <w:pPr>
        <w:rPr>
          <w:i/>
          <w:color w:val="000000"/>
          <w:szCs w:val="22"/>
          <w:lang w:val="el-GR"/>
        </w:rPr>
      </w:pPr>
      <w:r>
        <w:rPr>
          <w:lang w:val="el-GR"/>
        </w:rPr>
        <w:t xml:space="preserve">Θεραπεία της υπέρτασης ως </w:t>
      </w:r>
      <w:proofErr w:type="spellStart"/>
      <w:r>
        <w:rPr>
          <w:lang w:val="el-GR"/>
        </w:rPr>
        <w:t>μονοθεραπεία</w:t>
      </w:r>
      <w:proofErr w:type="spellEnd"/>
      <w:r>
        <w:rPr>
          <w:lang w:val="el-GR"/>
        </w:rPr>
        <w:t xml:space="preserve"> ή σε συνδυασμό με άλλα </w:t>
      </w:r>
      <w:proofErr w:type="spellStart"/>
      <w:r w:rsidR="006C0B83">
        <w:rPr>
          <w:lang w:val="el-GR"/>
        </w:rPr>
        <w:t>αντιϋπερτασικά</w:t>
      </w:r>
      <w:proofErr w:type="spellEnd"/>
      <w:r w:rsidR="006C0B83">
        <w:rPr>
          <w:lang w:val="el-GR"/>
        </w:rPr>
        <w:t xml:space="preserve"> </w:t>
      </w:r>
      <w:r>
        <w:rPr>
          <w:lang w:val="el-GR"/>
        </w:rPr>
        <w:t>φάρμακα</w:t>
      </w:r>
      <w:r w:rsidR="006C0B83">
        <w:rPr>
          <w:lang w:val="el-GR"/>
        </w:rPr>
        <w:t>.</w:t>
      </w:r>
    </w:p>
    <w:p w14:paraId="6720019E" w14:textId="77777777" w:rsidR="00FD771B" w:rsidRPr="00684E83" w:rsidRDefault="00FD771B" w:rsidP="005D77D3">
      <w:pPr>
        <w:rPr>
          <w:noProof/>
          <w:szCs w:val="22"/>
          <w:lang w:val="el-GR"/>
        </w:rPr>
      </w:pPr>
    </w:p>
    <w:p w14:paraId="51EB00EF" w14:textId="77777777" w:rsidR="00FD771B" w:rsidRPr="00684E83" w:rsidRDefault="00FD771B" w:rsidP="005D77D3">
      <w:pPr>
        <w:spacing w:line="240" w:lineRule="auto"/>
        <w:outlineLvl w:val="0"/>
        <w:rPr>
          <w:b/>
          <w:noProof/>
          <w:szCs w:val="22"/>
          <w:lang w:val="el-GR"/>
        </w:rPr>
      </w:pPr>
      <w:r w:rsidRPr="00684E83">
        <w:rPr>
          <w:b/>
          <w:noProof/>
          <w:szCs w:val="22"/>
          <w:lang w:val="el-GR"/>
        </w:rPr>
        <w:t>4.2</w:t>
      </w:r>
      <w:r w:rsidRPr="00684E83">
        <w:rPr>
          <w:b/>
          <w:noProof/>
          <w:szCs w:val="22"/>
          <w:lang w:val="el-GR"/>
        </w:rPr>
        <w:tab/>
        <w:t>Δοσολογία και τρόπος χορήγησης</w:t>
      </w:r>
    </w:p>
    <w:p w14:paraId="3F8FB84D" w14:textId="77777777" w:rsidR="00FD771B" w:rsidRDefault="00FD771B" w:rsidP="005D77D3">
      <w:pPr>
        <w:rPr>
          <w:b/>
          <w:i/>
          <w:szCs w:val="22"/>
          <w:lang w:val="el-GR"/>
        </w:rPr>
      </w:pPr>
    </w:p>
    <w:p w14:paraId="079E35E5" w14:textId="77777777" w:rsidR="0010791C" w:rsidRPr="00684E83" w:rsidRDefault="0010791C" w:rsidP="0010791C">
      <w:pPr>
        <w:rPr>
          <w:noProof/>
          <w:szCs w:val="22"/>
          <w:u w:val="single"/>
          <w:lang w:val="el-GR"/>
        </w:rPr>
      </w:pPr>
      <w:r w:rsidRPr="00684E83">
        <w:rPr>
          <w:noProof/>
          <w:szCs w:val="22"/>
          <w:u w:val="single"/>
          <w:lang w:val="el-GR"/>
        </w:rPr>
        <w:t>Τρόπος χορήγησης</w:t>
      </w:r>
    </w:p>
    <w:p w14:paraId="5B865673" w14:textId="71C64193" w:rsidR="0010791C" w:rsidRDefault="0010791C" w:rsidP="0010791C">
      <w:pPr>
        <w:rPr>
          <w:noProof/>
          <w:szCs w:val="22"/>
          <w:lang w:val="el-GR"/>
        </w:rPr>
      </w:pPr>
      <w:r>
        <w:rPr>
          <w:noProof/>
          <w:szCs w:val="22"/>
          <w:lang w:val="el-GR"/>
        </w:rPr>
        <w:t>Τα δισκία λαμβάνονται από του στόματος πριν ή μετά το φαγητό. Τα δισκία πρέπει να καταπίνονται</w:t>
      </w:r>
      <w:r w:rsidR="00712C42">
        <w:rPr>
          <w:noProof/>
          <w:szCs w:val="22"/>
          <w:lang w:val="el-GR"/>
        </w:rPr>
        <w:t xml:space="preserve"> με λίγο νερό</w:t>
      </w:r>
      <w:r>
        <w:rPr>
          <w:noProof/>
          <w:szCs w:val="22"/>
          <w:lang w:val="el-GR"/>
        </w:rPr>
        <w:t xml:space="preserve">, </w:t>
      </w:r>
      <w:r w:rsidR="004725AC">
        <w:rPr>
          <w:noProof/>
          <w:szCs w:val="22"/>
          <w:lang w:val="el-GR"/>
        </w:rPr>
        <w:t xml:space="preserve">χωρίς </w:t>
      </w:r>
      <w:r w:rsidR="00712C42">
        <w:rPr>
          <w:noProof/>
          <w:szCs w:val="22"/>
          <w:lang w:val="el-GR"/>
        </w:rPr>
        <w:t>να μασώνται.</w:t>
      </w:r>
    </w:p>
    <w:p w14:paraId="4BAF65D3" w14:textId="77777777" w:rsidR="0010791C" w:rsidRDefault="0010791C" w:rsidP="0010791C">
      <w:pPr>
        <w:rPr>
          <w:noProof/>
          <w:szCs w:val="22"/>
          <w:lang w:val="el-GR"/>
        </w:rPr>
      </w:pPr>
    </w:p>
    <w:p w14:paraId="22E226A5" w14:textId="3C3F3032" w:rsidR="0010791C" w:rsidRDefault="0010791C" w:rsidP="0010791C">
      <w:pPr>
        <w:rPr>
          <w:noProof/>
          <w:szCs w:val="22"/>
          <w:lang w:val="el-GR"/>
        </w:rPr>
      </w:pPr>
      <w:r>
        <w:rPr>
          <w:noProof/>
          <w:szCs w:val="22"/>
          <w:lang w:val="el-GR"/>
        </w:rPr>
        <w:t xml:space="preserve">Δεδομένης της υψηλής βιοδιαθεσιμότητας της </w:t>
      </w:r>
      <w:r w:rsidR="00B32253" w:rsidRPr="00B32253">
        <w:rPr>
          <w:noProof/>
          <w:szCs w:val="22"/>
          <w:lang w:val="el-GR"/>
        </w:rPr>
        <w:t>τορασεμίδης</w:t>
      </w:r>
      <w:r>
        <w:rPr>
          <w:noProof/>
          <w:szCs w:val="22"/>
          <w:lang w:val="el-GR"/>
        </w:rPr>
        <w:t xml:space="preserve">, οι από του στόματος </w:t>
      </w:r>
      <w:r w:rsidR="00F4002B">
        <w:rPr>
          <w:noProof/>
          <w:szCs w:val="22"/>
          <w:lang w:val="el-GR"/>
        </w:rPr>
        <w:t xml:space="preserve">δόσεις </w:t>
      </w:r>
      <w:r>
        <w:rPr>
          <w:noProof/>
          <w:szCs w:val="22"/>
          <w:lang w:val="el-GR"/>
        </w:rPr>
        <w:t>είναι θεραπευτικά ισοδύναμες</w:t>
      </w:r>
      <w:r w:rsidR="004725AC" w:rsidRPr="004725AC">
        <w:rPr>
          <w:noProof/>
          <w:szCs w:val="22"/>
          <w:lang w:val="el-GR"/>
        </w:rPr>
        <w:t xml:space="preserve"> </w:t>
      </w:r>
      <w:r w:rsidR="004725AC">
        <w:rPr>
          <w:noProof/>
          <w:szCs w:val="22"/>
          <w:lang w:val="el-GR"/>
        </w:rPr>
        <w:t>με τις ενδοφλέβιες</w:t>
      </w:r>
      <w:r>
        <w:rPr>
          <w:noProof/>
          <w:szCs w:val="22"/>
          <w:lang w:val="el-GR"/>
        </w:rPr>
        <w:t>, επομένως οι ασθενείς μπορούν να περάσουν από τ</w:t>
      </w:r>
      <w:r w:rsidR="004725AC">
        <w:rPr>
          <w:noProof/>
          <w:szCs w:val="22"/>
          <w:lang w:val="el-GR"/>
        </w:rPr>
        <w:t>η μία οδό χορήγησης στην</w:t>
      </w:r>
      <w:r>
        <w:rPr>
          <w:noProof/>
          <w:szCs w:val="22"/>
          <w:lang w:val="el-GR"/>
        </w:rPr>
        <w:t xml:space="preserve"> </w:t>
      </w:r>
      <w:r w:rsidR="004725AC">
        <w:rPr>
          <w:noProof/>
          <w:szCs w:val="22"/>
          <w:lang w:val="el-GR"/>
        </w:rPr>
        <w:t xml:space="preserve">άλλη </w:t>
      </w:r>
      <w:r>
        <w:rPr>
          <w:noProof/>
          <w:szCs w:val="22"/>
          <w:lang w:val="el-GR"/>
        </w:rPr>
        <w:t>χωρίς αλλαγή της</w:t>
      </w:r>
      <w:r w:rsidR="00EA0D16" w:rsidRPr="00B32DC3">
        <w:rPr>
          <w:noProof/>
          <w:szCs w:val="22"/>
          <w:lang w:val="el-GR"/>
        </w:rPr>
        <w:t xml:space="preserve"> </w:t>
      </w:r>
      <w:r w:rsidR="00F4002B">
        <w:rPr>
          <w:noProof/>
          <w:szCs w:val="22"/>
          <w:lang w:val="el-GR"/>
        </w:rPr>
        <w:t>δοσολογίας</w:t>
      </w:r>
      <w:r>
        <w:rPr>
          <w:noProof/>
          <w:szCs w:val="22"/>
          <w:lang w:val="el-GR"/>
        </w:rPr>
        <w:t>.</w:t>
      </w:r>
    </w:p>
    <w:p w14:paraId="58F15D5C" w14:textId="77777777" w:rsidR="0010791C" w:rsidRPr="00166D11" w:rsidRDefault="0010791C" w:rsidP="005D77D3">
      <w:pPr>
        <w:rPr>
          <w:b/>
          <w:i/>
          <w:szCs w:val="22"/>
          <w:lang w:val="el-GR"/>
        </w:rPr>
      </w:pPr>
    </w:p>
    <w:p w14:paraId="3E976EF5" w14:textId="77777777" w:rsidR="00FD771B" w:rsidRPr="00166D11" w:rsidRDefault="00FD771B" w:rsidP="005D77D3">
      <w:pPr>
        <w:rPr>
          <w:szCs w:val="22"/>
          <w:u w:val="single"/>
          <w:lang w:val="el-GR"/>
        </w:rPr>
      </w:pPr>
      <w:r w:rsidRPr="00684E83">
        <w:rPr>
          <w:noProof/>
          <w:szCs w:val="22"/>
          <w:u w:val="single"/>
          <w:lang w:val="el-GR"/>
        </w:rPr>
        <w:t>Δοσολογία</w:t>
      </w:r>
    </w:p>
    <w:p w14:paraId="5288935B" w14:textId="5F28B771" w:rsidR="00755247" w:rsidRDefault="00755247" w:rsidP="00622633">
      <w:pPr>
        <w:rPr>
          <w:noProof/>
          <w:szCs w:val="22"/>
          <w:lang w:val="el-GR"/>
        </w:rPr>
      </w:pPr>
      <w:r w:rsidRPr="001D1D4E">
        <w:rPr>
          <w:b/>
          <w:noProof/>
          <w:szCs w:val="22"/>
          <w:lang w:val="el-GR"/>
        </w:rPr>
        <w:t>Συμφορητική καρδι</w:t>
      </w:r>
      <w:r w:rsidR="001D1D4E" w:rsidRPr="001D1D4E">
        <w:rPr>
          <w:b/>
          <w:noProof/>
          <w:szCs w:val="22"/>
          <w:lang w:val="el-GR"/>
        </w:rPr>
        <w:t>α</w:t>
      </w:r>
      <w:r w:rsidRPr="001D1D4E">
        <w:rPr>
          <w:b/>
          <w:noProof/>
          <w:szCs w:val="22"/>
          <w:lang w:val="el-GR"/>
        </w:rPr>
        <w:t>κή ανεπάρκεια:</w:t>
      </w:r>
      <w:r w:rsidRPr="00755247">
        <w:rPr>
          <w:noProof/>
          <w:szCs w:val="22"/>
          <w:lang w:val="el-GR"/>
        </w:rPr>
        <w:t xml:space="preserve"> </w:t>
      </w:r>
      <w:r>
        <w:rPr>
          <w:noProof/>
          <w:szCs w:val="22"/>
          <w:lang w:val="el-GR"/>
        </w:rPr>
        <w:t xml:space="preserve">Η συνήθης αρχική δόση είναι από 10 ή 20 </w:t>
      </w:r>
      <w:r>
        <w:rPr>
          <w:noProof/>
          <w:szCs w:val="22"/>
          <w:lang w:val="en-US"/>
        </w:rPr>
        <w:t>mg</w:t>
      </w:r>
      <w:r w:rsidRPr="00755247">
        <w:rPr>
          <w:noProof/>
          <w:szCs w:val="22"/>
          <w:lang w:val="el-GR"/>
        </w:rPr>
        <w:t xml:space="preserve"> </w:t>
      </w:r>
      <w:r>
        <w:rPr>
          <w:noProof/>
          <w:szCs w:val="22"/>
          <w:lang w:val="el-GR"/>
        </w:rPr>
        <w:t xml:space="preserve">άπαξ ημερησίως. </w:t>
      </w:r>
      <w:r w:rsidR="00530D0F">
        <w:rPr>
          <w:noProof/>
          <w:szCs w:val="22"/>
          <w:lang w:val="el-GR"/>
        </w:rPr>
        <w:t xml:space="preserve">Εάν η διουρητική απόκριση είναι ανεπαρκής, η δόση θα πρέπει να αυξηθεί περίπου στο διπλάσιο </w:t>
      </w:r>
      <w:r w:rsidR="001F5B1D">
        <w:rPr>
          <w:noProof/>
          <w:szCs w:val="22"/>
          <w:lang w:val="el-GR"/>
        </w:rPr>
        <w:t>έως ότου επιτευχθεί</w:t>
      </w:r>
      <w:r w:rsidR="004725AC">
        <w:rPr>
          <w:noProof/>
          <w:szCs w:val="22"/>
          <w:lang w:val="el-GR"/>
        </w:rPr>
        <w:t xml:space="preserve"> επαρκής απόκριση</w:t>
      </w:r>
      <w:r w:rsidR="00530D0F">
        <w:rPr>
          <w:noProof/>
          <w:szCs w:val="22"/>
          <w:lang w:val="el-GR"/>
        </w:rPr>
        <w:t>.</w:t>
      </w:r>
    </w:p>
    <w:p w14:paraId="5C89E88B" w14:textId="77777777" w:rsidR="00530D0F" w:rsidRDefault="00530D0F" w:rsidP="00622633">
      <w:pPr>
        <w:rPr>
          <w:noProof/>
          <w:szCs w:val="22"/>
          <w:lang w:val="el-GR"/>
        </w:rPr>
      </w:pPr>
    </w:p>
    <w:p w14:paraId="31AAF836" w14:textId="38125C9E" w:rsidR="00530D0F" w:rsidRDefault="00530D0F" w:rsidP="00530D0F">
      <w:pPr>
        <w:rPr>
          <w:noProof/>
          <w:szCs w:val="22"/>
          <w:lang w:val="el-GR"/>
        </w:rPr>
      </w:pPr>
      <w:r w:rsidRPr="001D1D4E">
        <w:rPr>
          <w:b/>
          <w:noProof/>
          <w:szCs w:val="22"/>
          <w:lang w:val="el-GR"/>
        </w:rPr>
        <w:t>Χρόνια νεφρική ανεπάρκεια:</w:t>
      </w:r>
      <w:r w:rsidRPr="00530D0F">
        <w:rPr>
          <w:noProof/>
          <w:szCs w:val="22"/>
          <w:lang w:val="el-GR"/>
        </w:rPr>
        <w:t xml:space="preserve"> </w:t>
      </w:r>
      <w:r>
        <w:rPr>
          <w:noProof/>
          <w:szCs w:val="22"/>
          <w:lang w:val="el-GR"/>
        </w:rPr>
        <w:t xml:space="preserve">Η συνήθης αρχική δόση είναι από 20 </w:t>
      </w:r>
      <w:r>
        <w:rPr>
          <w:noProof/>
          <w:szCs w:val="22"/>
          <w:lang w:val="en-US"/>
        </w:rPr>
        <w:t>mg</w:t>
      </w:r>
      <w:r w:rsidRPr="00755247">
        <w:rPr>
          <w:noProof/>
          <w:szCs w:val="22"/>
          <w:lang w:val="el-GR"/>
        </w:rPr>
        <w:t xml:space="preserve"> </w:t>
      </w:r>
      <w:r>
        <w:rPr>
          <w:noProof/>
          <w:szCs w:val="22"/>
          <w:lang w:val="el-GR"/>
        </w:rPr>
        <w:t xml:space="preserve">άπαξ ημερησίως. Εάν η διουρητική απόκριση είναι ανεπαρκής, η δόση θα πρέπει να αυξηθεί περίπου στο διπλάσιο </w:t>
      </w:r>
      <w:r w:rsidR="001F5B1D">
        <w:rPr>
          <w:noProof/>
          <w:szCs w:val="22"/>
          <w:lang w:val="el-GR"/>
        </w:rPr>
        <w:t>έως ότου επιτευχθεί</w:t>
      </w:r>
      <w:r w:rsidR="004725AC">
        <w:rPr>
          <w:noProof/>
          <w:szCs w:val="22"/>
          <w:lang w:val="el-GR"/>
        </w:rPr>
        <w:t xml:space="preserve"> επαρκής απόκριση</w:t>
      </w:r>
      <w:r>
        <w:rPr>
          <w:noProof/>
          <w:szCs w:val="22"/>
          <w:lang w:val="el-GR"/>
        </w:rPr>
        <w:t>.</w:t>
      </w:r>
    </w:p>
    <w:p w14:paraId="0700EFAF" w14:textId="77777777" w:rsidR="00786C4A" w:rsidRDefault="002050B2" w:rsidP="00530D0F">
      <w:pPr>
        <w:rPr>
          <w:noProof/>
          <w:szCs w:val="22"/>
          <w:lang w:val="el-GR"/>
        </w:rPr>
      </w:pPr>
      <w:r>
        <w:rPr>
          <w:noProof/>
          <w:szCs w:val="22"/>
          <w:lang w:val="el-GR"/>
        </w:rPr>
        <w:t xml:space="preserve"> </w:t>
      </w:r>
    </w:p>
    <w:p w14:paraId="49F7CBAA" w14:textId="1FDD966B" w:rsidR="00786C4A" w:rsidRPr="00B81704" w:rsidRDefault="007E5C6D" w:rsidP="00786C4A">
      <w:pPr>
        <w:rPr>
          <w:noProof/>
          <w:szCs w:val="22"/>
          <w:lang w:val="el-GR"/>
        </w:rPr>
      </w:pPr>
      <w:r>
        <w:rPr>
          <w:b/>
          <w:noProof/>
          <w:szCs w:val="22"/>
          <w:lang w:val="el-GR"/>
        </w:rPr>
        <w:lastRenderedPageBreak/>
        <w:t>Ηπατική δυσλειτουργία</w:t>
      </w:r>
      <w:r w:rsidR="00786C4A" w:rsidRPr="001D1D4E">
        <w:rPr>
          <w:b/>
          <w:noProof/>
          <w:szCs w:val="22"/>
          <w:lang w:val="el-GR"/>
        </w:rPr>
        <w:t>:</w:t>
      </w:r>
      <w:r w:rsidR="00786C4A" w:rsidRPr="00786C4A">
        <w:rPr>
          <w:noProof/>
          <w:szCs w:val="22"/>
          <w:lang w:val="el-GR"/>
        </w:rPr>
        <w:t xml:space="preserve"> </w:t>
      </w:r>
      <w:r w:rsidR="00786C4A">
        <w:rPr>
          <w:noProof/>
          <w:szCs w:val="22"/>
          <w:lang w:val="el-GR"/>
        </w:rPr>
        <w:t xml:space="preserve">Η συνήθης αρχική δόση είναι από 5 ή 10 </w:t>
      </w:r>
      <w:r w:rsidR="00786C4A">
        <w:rPr>
          <w:noProof/>
          <w:szCs w:val="22"/>
          <w:lang w:val="en-US"/>
        </w:rPr>
        <w:t>mg</w:t>
      </w:r>
      <w:r w:rsidR="00786C4A" w:rsidRPr="00755247">
        <w:rPr>
          <w:noProof/>
          <w:szCs w:val="22"/>
          <w:lang w:val="el-GR"/>
        </w:rPr>
        <w:t xml:space="preserve"> </w:t>
      </w:r>
      <w:r w:rsidR="00786C4A">
        <w:rPr>
          <w:noProof/>
          <w:szCs w:val="22"/>
          <w:lang w:val="el-GR"/>
        </w:rPr>
        <w:t xml:space="preserve">άπαξ ημερησίως, η οποία χορηγείται μαζί με ανταγωνιστή της αλδοστερόνης ή με καλιοσυντηρητικά διουρητικά. Εάν η διουρητική απόκριση είναι ανεπαρκής, η δόση θα πρέπει να αυξηθεί περίπου στο διπλάσιο </w:t>
      </w:r>
      <w:r w:rsidR="001F5B1D">
        <w:rPr>
          <w:noProof/>
          <w:szCs w:val="22"/>
          <w:lang w:val="el-GR"/>
        </w:rPr>
        <w:t>έως ότου επιτευχθεί</w:t>
      </w:r>
      <w:r w:rsidR="00F4002B">
        <w:rPr>
          <w:noProof/>
          <w:szCs w:val="22"/>
          <w:lang w:val="el-GR"/>
        </w:rPr>
        <w:t xml:space="preserve"> επαρκής απόκριση</w:t>
      </w:r>
      <w:r w:rsidR="00786C4A">
        <w:rPr>
          <w:noProof/>
          <w:szCs w:val="22"/>
          <w:lang w:val="el-GR"/>
        </w:rPr>
        <w:t>.</w:t>
      </w:r>
      <w:r w:rsidR="00B81704">
        <w:rPr>
          <w:noProof/>
          <w:szCs w:val="22"/>
          <w:lang w:val="el-GR"/>
        </w:rPr>
        <w:t xml:space="preserve"> Εφάπαξ δόσεις άνω των 40 </w:t>
      </w:r>
      <w:r w:rsidR="00B81704">
        <w:rPr>
          <w:noProof/>
          <w:szCs w:val="22"/>
          <w:lang w:val="en-US"/>
        </w:rPr>
        <w:t>mg</w:t>
      </w:r>
      <w:r w:rsidR="00B81704" w:rsidRPr="001D1D4E">
        <w:rPr>
          <w:noProof/>
          <w:szCs w:val="22"/>
          <w:lang w:val="el-GR"/>
        </w:rPr>
        <w:t xml:space="preserve"> </w:t>
      </w:r>
      <w:r w:rsidR="00B81704">
        <w:rPr>
          <w:noProof/>
          <w:szCs w:val="22"/>
          <w:lang w:val="el-GR"/>
        </w:rPr>
        <w:t>δεν έχουν μελετηθεί επαρκώς.</w:t>
      </w:r>
    </w:p>
    <w:p w14:paraId="424D1059" w14:textId="77777777" w:rsidR="00786C4A" w:rsidRPr="00786C4A" w:rsidRDefault="00786C4A" w:rsidP="00530D0F">
      <w:pPr>
        <w:rPr>
          <w:noProof/>
          <w:szCs w:val="22"/>
          <w:lang w:val="el-GR"/>
        </w:rPr>
      </w:pPr>
    </w:p>
    <w:p w14:paraId="21790D23" w14:textId="18DE11F8" w:rsidR="001D1D4E" w:rsidRDefault="001D1D4E" w:rsidP="001D1D4E">
      <w:pPr>
        <w:rPr>
          <w:noProof/>
          <w:szCs w:val="22"/>
          <w:lang w:val="el-GR"/>
        </w:rPr>
      </w:pPr>
      <w:r w:rsidRPr="001D1D4E">
        <w:rPr>
          <w:b/>
          <w:noProof/>
          <w:szCs w:val="22"/>
          <w:lang w:val="el-GR"/>
        </w:rPr>
        <w:t>Υπέρταση:</w:t>
      </w:r>
      <w:r w:rsidRPr="001D1D4E">
        <w:rPr>
          <w:noProof/>
          <w:szCs w:val="22"/>
          <w:lang w:val="el-GR"/>
        </w:rPr>
        <w:t xml:space="preserve"> </w:t>
      </w:r>
      <w:r>
        <w:rPr>
          <w:noProof/>
          <w:szCs w:val="22"/>
          <w:lang w:val="el-GR"/>
        </w:rPr>
        <w:t xml:space="preserve">Η συνήθης αρχική δόση είναι από 2,5 </w:t>
      </w:r>
      <w:r>
        <w:rPr>
          <w:noProof/>
          <w:szCs w:val="22"/>
          <w:lang w:val="en-US"/>
        </w:rPr>
        <w:t>mg</w:t>
      </w:r>
      <w:r w:rsidRPr="001D1D4E">
        <w:rPr>
          <w:noProof/>
          <w:szCs w:val="22"/>
          <w:lang w:val="el-GR"/>
        </w:rPr>
        <w:t xml:space="preserve"> </w:t>
      </w:r>
      <w:r>
        <w:rPr>
          <w:noProof/>
          <w:szCs w:val="22"/>
          <w:lang w:val="el-GR"/>
        </w:rPr>
        <w:t xml:space="preserve">έως 5 </w:t>
      </w:r>
      <w:r>
        <w:rPr>
          <w:noProof/>
          <w:szCs w:val="22"/>
          <w:lang w:val="en-US"/>
        </w:rPr>
        <w:t>mg</w:t>
      </w:r>
      <w:r w:rsidRPr="00755247">
        <w:rPr>
          <w:noProof/>
          <w:szCs w:val="22"/>
          <w:lang w:val="el-GR"/>
        </w:rPr>
        <w:t xml:space="preserve"> </w:t>
      </w:r>
      <w:r>
        <w:rPr>
          <w:noProof/>
          <w:szCs w:val="22"/>
          <w:lang w:val="el-GR"/>
        </w:rPr>
        <w:t xml:space="preserve">άπαξ ημερησίως. </w:t>
      </w:r>
      <w:r w:rsidR="0090492E">
        <w:rPr>
          <w:noProof/>
          <w:szCs w:val="22"/>
          <w:lang w:val="el-GR"/>
        </w:rPr>
        <w:t>Εάν δεν επιτευχθεί επαρκής μείωση της αρτηριακής πίεσης</w:t>
      </w:r>
      <w:r>
        <w:rPr>
          <w:noProof/>
          <w:szCs w:val="22"/>
          <w:lang w:val="el-GR"/>
        </w:rPr>
        <w:t xml:space="preserve"> σε περίοδο 4 – 6 εβδομάδων, η δόση θα πρέπει να αυξηθεί σε 10 </w:t>
      </w:r>
      <w:r>
        <w:rPr>
          <w:noProof/>
          <w:szCs w:val="22"/>
          <w:lang w:val="en-US"/>
        </w:rPr>
        <w:t>mg</w:t>
      </w:r>
      <w:r w:rsidRPr="001D1D4E">
        <w:rPr>
          <w:noProof/>
          <w:szCs w:val="22"/>
          <w:lang w:val="el-GR"/>
        </w:rPr>
        <w:t xml:space="preserve"> </w:t>
      </w:r>
      <w:r>
        <w:rPr>
          <w:noProof/>
          <w:szCs w:val="22"/>
          <w:lang w:val="el-GR"/>
        </w:rPr>
        <w:t>άπαξ ημερησίως, και αν δεν υπάρχει ανταπόκριση στην αυξημένη δόση θα πρέπει να προστεθεί κάποιο συμπληρωματικό φάρμακο για την υπέρταση στη θεραπευτική αγωγή.</w:t>
      </w:r>
    </w:p>
    <w:p w14:paraId="3BF9B349" w14:textId="77777777" w:rsidR="001D1D4E" w:rsidRDefault="001D1D4E" w:rsidP="001D1D4E">
      <w:pPr>
        <w:rPr>
          <w:noProof/>
          <w:szCs w:val="22"/>
          <w:lang w:val="el-GR"/>
        </w:rPr>
      </w:pPr>
    </w:p>
    <w:p w14:paraId="755FBA81" w14:textId="77777777" w:rsidR="005F2557" w:rsidRPr="007E5C6D" w:rsidRDefault="005F2557" w:rsidP="001D1D4E">
      <w:pPr>
        <w:rPr>
          <w:i/>
          <w:noProof/>
          <w:szCs w:val="22"/>
          <w:lang w:val="el-GR"/>
        </w:rPr>
      </w:pPr>
      <w:r w:rsidRPr="007E5C6D">
        <w:rPr>
          <w:i/>
          <w:noProof/>
          <w:szCs w:val="22"/>
          <w:lang w:val="el-GR"/>
        </w:rPr>
        <w:t>Ηλικιωμένοι</w:t>
      </w:r>
    </w:p>
    <w:p w14:paraId="7482CF89" w14:textId="77777777" w:rsidR="005F2557" w:rsidRDefault="00E64150" w:rsidP="001D1D4E">
      <w:pPr>
        <w:rPr>
          <w:noProof/>
          <w:szCs w:val="22"/>
          <w:lang w:val="el-GR"/>
        </w:rPr>
      </w:pPr>
      <w:r>
        <w:rPr>
          <w:noProof/>
          <w:szCs w:val="22"/>
          <w:lang w:val="el-GR"/>
        </w:rPr>
        <w:t>Δεν απαιτείται ειδική ρύθμιση της δοσολογίας στους ηλικιωμένους ασθενείς</w:t>
      </w:r>
      <w:r w:rsidR="005F2557">
        <w:rPr>
          <w:noProof/>
          <w:szCs w:val="22"/>
          <w:lang w:val="el-GR"/>
        </w:rPr>
        <w:t xml:space="preserve"> (βλ. παράγραφο 5.2).</w:t>
      </w:r>
    </w:p>
    <w:p w14:paraId="5960B188" w14:textId="77777777" w:rsidR="005F2557" w:rsidRDefault="005F2557" w:rsidP="001D1D4E">
      <w:pPr>
        <w:rPr>
          <w:noProof/>
          <w:szCs w:val="22"/>
          <w:lang w:val="el-GR"/>
        </w:rPr>
      </w:pPr>
    </w:p>
    <w:p w14:paraId="6D87847F" w14:textId="77777777" w:rsidR="00FD771B" w:rsidRPr="00684E83" w:rsidRDefault="00FD771B" w:rsidP="00622633">
      <w:pPr>
        <w:rPr>
          <w:i/>
          <w:noProof/>
          <w:szCs w:val="22"/>
          <w:lang w:val="el-GR"/>
        </w:rPr>
      </w:pPr>
      <w:r w:rsidRPr="00684E83">
        <w:rPr>
          <w:i/>
          <w:noProof/>
          <w:szCs w:val="22"/>
          <w:lang w:val="el-GR"/>
        </w:rPr>
        <w:t>Παιδιατρικός πληθυσμός</w:t>
      </w:r>
    </w:p>
    <w:p w14:paraId="02F2F107" w14:textId="77777777" w:rsidR="00FD771B" w:rsidRPr="00684E83" w:rsidRDefault="005F2557">
      <w:pPr>
        <w:rPr>
          <w:noProof/>
          <w:szCs w:val="22"/>
          <w:lang w:val="el-GR"/>
        </w:rPr>
      </w:pPr>
      <w:r>
        <w:rPr>
          <w:noProof/>
          <w:szCs w:val="22"/>
          <w:lang w:val="el-GR"/>
        </w:rPr>
        <w:t xml:space="preserve">Η ασφάλεια και </w:t>
      </w:r>
      <w:r w:rsidR="00FD771B">
        <w:rPr>
          <w:noProof/>
          <w:szCs w:val="22"/>
          <w:lang w:val="el-GR"/>
        </w:rPr>
        <w:t xml:space="preserve">η </w:t>
      </w:r>
      <w:r>
        <w:rPr>
          <w:noProof/>
          <w:szCs w:val="22"/>
          <w:lang w:val="el-GR"/>
        </w:rPr>
        <w:t>αποτελεσματικότητα</w:t>
      </w:r>
      <w:r w:rsidR="00FD771B" w:rsidRPr="00684E83">
        <w:rPr>
          <w:noProof/>
          <w:szCs w:val="22"/>
          <w:lang w:val="el-GR"/>
        </w:rPr>
        <w:t xml:space="preserve"> </w:t>
      </w:r>
      <w:r w:rsidR="00822709">
        <w:rPr>
          <w:noProof/>
          <w:szCs w:val="22"/>
          <w:lang w:val="el-GR"/>
        </w:rPr>
        <w:t>της τορασεμίδης</w:t>
      </w:r>
      <w:r w:rsidR="00FD771B" w:rsidRPr="00684E83">
        <w:rPr>
          <w:noProof/>
          <w:szCs w:val="22"/>
          <w:lang w:val="el-GR"/>
        </w:rPr>
        <w:t xml:space="preserve"> σε παιδιά </w:t>
      </w:r>
      <w:r>
        <w:rPr>
          <w:noProof/>
          <w:szCs w:val="22"/>
          <w:lang w:val="el-GR"/>
        </w:rPr>
        <w:t xml:space="preserve">δεν </w:t>
      </w:r>
      <w:r w:rsidR="00FD771B" w:rsidRPr="00684E83">
        <w:rPr>
          <w:noProof/>
          <w:szCs w:val="22"/>
          <w:lang w:val="el-GR"/>
        </w:rPr>
        <w:t>έχουν ακόμα τεκμηριωθεί.</w:t>
      </w:r>
    </w:p>
    <w:p w14:paraId="3D155ACE" w14:textId="77777777" w:rsidR="00FD771B" w:rsidRPr="00684E83" w:rsidRDefault="00FD771B">
      <w:pPr>
        <w:rPr>
          <w:noProof/>
          <w:szCs w:val="22"/>
          <w:lang w:val="el-GR"/>
        </w:rPr>
      </w:pPr>
    </w:p>
    <w:p w14:paraId="774972B1" w14:textId="77777777" w:rsidR="00FD771B" w:rsidRPr="00684E83" w:rsidRDefault="00FD771B">
      <w:pPr>
        <w:rPr>
          <w:noProof/>
          <w:szCs w:val="22"/>
          <w:lang w:val="el-GR"/>
        </w:rPr>
      </w:pPr>
      <w:r w:rsidRPr="00684E83">
        <w:rPr>
          <w:b/>
          <w:noProof/>
          <w:szCs w:val="22"/>
          <w:lang w:val="el-GR"/>
        </w:rPr>
        <w:t>4.3</w:t>
      </w:r>
      <w:r w:rsidRPr="00684E83">
        <w:rPr>
          <w:b/>
          <w:noProof/>
          <w:szCs w:val="22"/>
          <w:lang w:val="el-GR"/>
        </w:rPr>
        <w:tab/>
        <w:t>Αντενδείξεις</w:t>
      </w:r>
    </w:p>
    <w:p w14:paraId="57C1E9AF" w14:textId="77777777" w:rsidR="00FD771B" w:rsidRPr="00684E83" w:rsidRDefault="00FD771B">
      <w:pPr>
        <w:rPr>
          <w:noProof/>
          <w:szCs w:val="22"/>
          <w:lang w:val="el-GR"/>
        </w:rPr>
      </w:pPr>
    </w:p>
    <w:p w14:paraId="0B56CE47" w14:textId="77777777" w:rsidR="004E6560" w:rsidRPr="002C7946" w:rsidRDefault="004E6560" w:rsidP="004E6560">
      <w:pPr>
        <w:rPr>
          <w:noProof/>
          <w:szCs w:val="22"/>
          <w:lang w:val="el-GR"/>
        </w:rPr>
      </w:pPr>
      <w:r>
        <w:rPr>
          <w:noProof/>
          <w:szCs w:val="22"/>
          <w:lang w:val="el-GR"/>
        </w:rPr>
        <w:t>Ασθενείς</w:t>
      </w:r>
      <w:r w:rsidRPr="002C7946">
        <w:rPr>
          <w:noProof/>
          <w:szCs w:val="22"/>
          <w:lang w:val="el-GR"/>
        </w:rPr>
        <w:t xml:space="preserve"> </w:t>
      </w:r>
      <w:r>
        <w:rPr>
          <w:noProof/>
          <w:szCs w:val="22"/>
          <w:lang w:val="el-GR"/>
        </w:rPr>
        <w:t>με</w:t>
      </w:r>
      <w:r w:rsidRPr="002C7946">
        <w:rPr>
          <w:noProof/>
          <w:szCs w:val="22"/>
          <w:lang w:val="el-GR"/>
        </w:rPr>
        <w:t>:</w:t>
      </w:r>
      <w:r w:rsidRPr="002C7946">
        <w:rPr>
          <w:noProof/>
          <w:szCs w:val="22"/>
          <w:lang w:val="el-GR"/>
        </w:rPr>
        <w:br/>
      </w:r>
    </w:p>
    <w:p w14:paraId="1C342567" w14:textId="77777777" w:rsidR="004E6560" w:rsidRDefault="004E6560" w:rsidP="004E6560">
      <w:pPr>
        <w:rPr>
          <w:noProof/>
          <w:szCs w:val="22"/>
          <w:lang w:val="el-GR"/>
        </w:rPr>
      </w:pPr>
      <w:r w:rsidRPr="001434E3">
        <w:rPr>
          <w:noProof/>
          <w:szCs w:val="22"/>
          <w:lang w:val="el-GR"/>
        </w:rPr>
        <w:t>-</w:t>
      </w:r>
      <w:r>
        <w:rPr>
          <w:noProof/>
          <w:szCs w:val="22"/>
          <w:lang w:val="el-GR"/>
        </w:rPr>
        <w:t>Υπερευαισθησία στη</w:t>
      </w:r>
      <w:r w:rsidRPr="00684E83">
        <w:rPr>
          <w:noProof/>
          <w:szCs w:val="22"/>
          <w:lang w:val="el-GR"/>
        </w:rPr>
        <w:t xml:space="preserve"> δραστική ουσία</w:t>
      </w:r>
      <w:r>
        <w:rPr>
          <w:noProof/>
          <w:szCs w:val="22"/>
          <w:lang w:val="el-GR"/>
        </w:rPr>
        <w:t>, στις σουλφονυλουρίες</w:t>
      </w:r>
      <w:r w:rsidRPr="00684E83">
        <w:rPr>
          <w:noProof/>
          <w:szCs w:val="22"/>
          <w:lang w:val="el-GR"/>
        </w:rPr>
        <w:t xml:space="preserve"> ή σε κάποιο από τα έκδοχα που αναφέρονται στην παράγραφο 6.1.</w:t>
      </w:r>
    </w:p>
    <w:p w14:paraId="178BAF52" w14:textId="77777777" w:rsidR="004E6560" w:rsidRPr="001434E3" w:rsidRDefault="004E6560" w:rsidP="004E6560">
      <w:pPr>
        <w:rPr>
          <w:noProof/>
          <w:szCs w:val="22"/>
          <w:lang w:val="el-GR"/>
        </w:rPr>
      </w:pPr>
      <w:r w:rsidRPr="001434E3">
        <w:rPr>
          <w:noProof/>
          <w:szCs w:val="22"/>
          <w:lang w:val="el-GR"/>
        </w:rPr>
        <w:t>-</w:t>
      </w:r>
      <w:r>
        <w:rPr>
          <w:noProof/>
          <w:szCs w:val="22"/>
          <w:lang w:val="el-GR"/>
        </w:rPr>
        <w:t>ανουρία</w:t>
      </w:r>
      <w:r w:rsidRPr="001434E3">
        <w:rPr>
          <w:noProof/>
          <w:szCs w:val="22"/>
          <w:lang w:val="el-GR"/>
        </w:rPr>
        <w:t xml:space="preserve">, </w:t>
      </w:r>
    </w:p>
    <w:p w14:paraId="64D19A87" w14:textId="77777777" w:rsidR="004E6560" w:rsidRPr="001434E3" w:rsidRDefault="004E6560" w:rsidP="004E6560">
      <w:pPr>
        <w:rPr>
          <w:noProof/>
          <w:szCs w:val="22"/>
          <w:lang w:val="el-GR"/>
        </w:rPr>
      </w:pPr>
      <w:r w:rsidRPr="001434E3">
        <w:rPr>
          <w:noProof/>
          <w:szCs w:val="22"/>
          <w:lang w:val="el-GR"/>
        </w:rPr>
        <w:t>-</w:t>
      </w:r>
      <w:r>
        <w:rPr>
          <w:noProof/>
          <w:szCs w:val="22"/>
          <w:lang w:val="en-US"/>
        </w:rPr>
        <w:t>N</w:t>
      </w:r>
      <w:r w:rsidRPr="001434E3">
        <w:rPr>
          <w:noProof/>
          <w:szCs w:val="22"/>
          <w:lang w:val="el-GR"/>
        </w:rPr>
        <w:t xml:space="preserve">εφρική ανεπάρκεια με ανουρία, </w:t>
      </w:r>
    </w:p>
    <w:p w14:paraId="582220A8" w14:textId="77777777" w:rsidR="004E6560" w:rsidRPr="001434E3" w:rsidRDefault="004E6560" w:rsidP="004E6560">
      <w:pPr>
        <w:rPr>
          <w:noProof/>
          <w:szCs w:val="22"/>
          <w:lang w:val="el-GR"/>
        </w:rPr>
      </w:pPr>
      <w:r w:rsidRPr="001434E3">
        <w:rPr>
          <w:noProof/>
          <w:szCs w:val="22"/>
          <w:lang w:val="el-GR"/>
        </w:rPr>
        <w:t xml:space="preserve">-ηπατικό κώμα και προ-κώμα, </w:t>
      </w:r>
    </w:p>
    <w:p w14:paraId="304BB149" w14:textId="77777777" w:rsidR="004E6560" w:rsidRPr="001434E3" w:rsidRDefault="004E6560" w:rsidP="004E6560">
      <w:pPr>
        <w:rPr>
          <w:noProof/>
          <w:szCs w:val="22"/>
          <w:lang w:val="el-GR"/>
        </w:rPr>
      </w:pPr>
      <w:r w:rsidRPr="001434E3">
        <w:rPr>
          <w:noProof/>
          <w:szCs w:val="22"/>
          <w:lang w:val="el-GR"/>
        </w:rPr>
        <w:t xml:space="preserve">-υπόταση, </w:t>
      </w:r>
    </w:p>
    <w:p w14:paraId="62DD18B5" w14:textId="77777777" w:rsidR="004E6560" w:rsidRPr="001434E3" w:rsidRDefault="004E6560" w:rsidP="004E6560">
      <w:pPr>
        <w:rPr>
          <w:noProof/>
          <w:szCs w:val="22"/>
          <w:lang w:val="el-GR"/>
        </w:rPr>
      </w:pPr>
      <w:r w:rsidRPr="001434E3">
        <w:rPr>
          <w:noProof/>
          <w:szCs w:val="22"/>
          <w:lang w:val="el-GR"/>
        </w:rPr>
        <w:t>-εγκυμοσύνη και θηλ</w:t>
      </w:r>
      <w:r w:rsidRPr="001434E3">
        <w:rPr>
          <w:b/>
          <w:noProof/>
          <w:szCs w:val="22"/>
          <w:lang w:val="el-GR"/>
        </w:rPr>
        <w:t>α</w:t>
      </w:r>
      <w:r w:rsidRPr="001434E3">
        <w:rPr>
          <w:noProof/>
          <w:szCs w:val="22"/>
          <w:lang w:val="el-GR"/>
        </w:rPr>
        <w:t xml:space="preserve">σμός, </w:t>
      </w:r>
    </w:p>
    <w:p w14:paraId="5709B3C4" w14:textId="77777777" w:rsidR="004E6560" w:rsidRPr="001434E3" w:rsidRDefault="004E6560" w:rsidP="004E6560">
      <w:pPr>
        <w:rPr>
          <w:noProof/>
          <w:szCs w:val="22"/>
          <w:lang w:val="el-GR"/>
        </w:rPr>
      </w:pPr>
      <w:r w:rsidRPr="001434E3">
        <w:rPr>
          <w:noProof/>
          <w:szCs w:val="22"/>
          <w:lang w:val="el-GR"/>
        </w:rPr>
        <w:t xml:space="preserve">-καρδιακές αρρυθμίες, </w:t>
      </w:r>
    </w:p>
    <w:p w14:paraId="2A424224" w14:textId="77777777" w:rsidR="004E6560" w:rsidRPr="001434E3" w:rsidRDefault="004E6560" w:rsidP="004E6560">
      <w:pPr>
        <w:rPr>
          <w:noProof/>
          <w:szCs w:val="22"/>
          <w:lang w:val="el-GR"/>
        </w:rPr>
      </w:pPr>
      <w:r w:rsidRPr="001434E3">
        <w:rPr>
          <w:noProof/>
          <w:szCs w:val="22"/>
          <w:lang w:val="el-GR"/>
        </w:rPr>
        <w:t xml:space="preserve">-ταυτόχρονη θεραπεία με αμινογλυκοσίδες ή κεφαλοσπορίνες, </w:t>
      </w:r>
    </w:p>
    <w:p w14:paraId="4AF0340C" w14:textId="77777777" w:rsidR="004E6560" w:rsidRPr="009171B5" w:rsidRDefault="004E6560" w:rsidP="004E6560">
      <w:pPr>
        <w:rPr>
          <w:noProof/>
          <w:szCs w:val="22"/>
          <w:lang w:val="el-GR"/>
        </w:rPr>
      </w:pPr>
      <w:r w:rsidRPr="001434E3">
        <w:rPr>
          <w:noProof/>
          <w:szCs w:val="22"/>
          <w:lang w:val="el-GR"/>
        </w:rPr>
        <w:t>-νεφρική δυσλειτουργία λόγω φαρμάκων που προκαλούν νεφρική βλάβη.</w:t>
      </w:r>
    </w:p>
    <w:p w14:paraId="2B0E33AB" w14:textId="77777777" w:rsidR="00FD771B" w:rsidRPr="00684E83" w:rsidRDefault="00FD771B">
      <w:pPr>
        <w:rPr>
          <w:noProof/>
          <w:szCs w:val="22"/>
          <w:lang w:val="el-GR"/>
        </w:rPr>
      </w:pPr>
    </w:p>
    <w:p w14:paraId="5AE1006F" w14:textId="77777777" w:rsidR="00FD771B" w:rsidRPr="00684E83" w:rsidRDefault="00FD771B">
      <w:pPr>
        <w:rPr>
          <w:b/>
          <w:noProof/>
          <w:szCs w:val="22"/>
          <w:lang w:val="el-GR"/>
        </w:rPr>
      </w:pPr>
      <w:r w:rsidRPr="00684E83">
        <w:rPr>
          <w:b/>
          <w:noProof/>
          <w:szCs w:val="22"/>
          <w:lang w:val="el-GR"/>
        </w:rPr>
        <w:t>4.4</w:t>
      </w:r>
      <w:r w:rsidRPr="00684E83">
        <w:rPr>
          <w:b/>
          <w:noProof/>
          <w:szCs w:val="22"/>
          <w:lang w:val="el-GR"/>
        </w:rPr>
        <w:tab/>
        <w:t>Ειδικές προειδοποιήσεις και προφυλάξεις κατά τη χρήση</w:t>
      </w:r>
    </w:p>
    <w:p w14:paraId="04DA8FF3" w14:textId="77777777" w:rsidR="00FD771B" w:rsidRPr="00684E83" w:rsidRDefault="00FD771B">
      <w:pPr>
        <w:rPr>
          <w:b/>
          <w:noProof/>
          <w:szCs w:val="22"/>
          <w:lang w:val="el-GR"/>
        </w:rPr>
      </w:pPr>
    </w:p>
    <w:p w14:paraId="24849DD9" w14:textId="77777777" w:rsidR="00AD0569" w:rsidRDefault="00AD0569">
      <w:pPr>
        <w:rPr>
          <w:szCs w:val="22"/>
          <w:lang w:val="el-GR"/>
        </w:rPr>
      </w:pPr>
    </w:p>
    <w:p w14:paraId="76D739E6" w14:textId="77777777" w:rsidR="001779CF" w:rsidRPr="00437BFC" w:rsidRDefault="001779CF" w:rsidP="001779CF">
      <w:pPr>
        <w:rPr>
          <w:lang w:val="el-GR"/>
        </w:rPr>
      </w:pPr>
      <w:r w:rsidRPr="00437BFC">
        <w:rPr>
          <w:lang w:val="el-GR"/>
        </w:rPr>
        <w:t xml:space="preserve">Η </w:t>
      </w:r>
      <w:proofErr w:type="spellStart"/>
      <w:r w:rsidRPr="00437BFC">
        <w:rPr>
          <w:lang w:val="el-GR"/>
        </w:rPr>
        <w:t>υποκαλιαιμία</w:t>
      </w:r>
      <w:proofErr w:type="spellEnd"/>
      <w:r w:rsidRPr="00437BFC">
        <w:rPr>
          <w:lang w:val="el-GR"/>
        </w:rPr>
        <w:t xml:space="preserve">, η </w:t>
      </w:r>
      <w:proofErr w:type="spellStart"/>
      <w:r w:rsidRPr="00437BFC">
        <w:rPr>
          <w:lang w:val="el-GR"/>
        </w:rPr>
        <w:t>υπονατριαιμία</w:t>
      </w:r>
      <w:proofErr w:type="spellEnd"/>
      <w:r w:rsidRPr="00437BFC">
        <w:rPr>
          <w:lang w:val="el-GR"/>
        </w:rPr>
        <w:t xml:space="preserve"> και η </w:t>
      </w:r>
      <w:proofErr w:type="spellStart"/>
      <w:r w:rsidRPr="00437BFC">
        <w:rPr>
          <w:lang w:val="el-GR"/>
        </w:rPr>
        <w:t>υποογκαιμία</w:t>
      </w:r>
      <w:proofErr w:type="spellEnd"/>
      <w:r w:rsidRPr="00437BFC">
        <w:rPr>
          <w:lang w:val="el-GR"/>
        </w:rPr>
        <w:t xml:space="preserve"> και οι διαταραχές της ούρησης πρέπει να διορθωθούν πριν από τη θεραπεία. </w:t>
      </w:r>
    </w:p>
    <w:p w14:paraId="39D52C75" w14:textId="77777777" w:rsidR="001779CF" w:rsidRPr="00437BFC" w:rsidRDefault="001779CF" w:rsidP="001779CF">
      <w:pPr>
        <w:rPr>
          <w:lang w:val="el-GR"/>
        </w:rPr>
      </w:pPr>
    </w:p>
    <w:p w14:paraId="421760BE" w14:textId="77777777" w:rsidR="001779CF" w:rsidRPr="00437BFC" w:rsidRDefault="001779CF" w:rsidP="001779CF">
      <w:pPr>
        <w:rPr>
          <w:lang w:val="el-GR"/>
        </w:rPr>
      </w:pPr>
      <w:r w:rsidRPr="00437BFC">
        <w:rPr>
          <w:lang w:val="el-GR"/>
        </w:rPr>
        <w:t xml:space="preserve">Σε μακροχρόνια θεραπεία με </w:t>
      </w:r>
      <w:proofErr w:type="spellStart"/>
      <w:r w:rsidRPr="00437BFC">
        <w:rPr>
          <w:lang w:val="el-GR"/>
        </w:rPr>
        <w:t>τορασεμίδη</w:t>
      </w:r>
      <w:proofErr w:type="spellEnd"/>
      <w:r w:rsidRPr="00437BFC">
        <w:rPr>
          <w:lang w:val="el-GR"/>
        </w:rPr>
        <w:t xml:space="preserve">, συνιστάται τακτική παρακολούθηση της ισορροπίας των ηλεκτρολυτών, της γλυκόζης, του ουρικού οξέος, της </w:t>
      </w:r>
      <w:proofErr w:type="spellStart"/>
      <w:r w:rsidRPr="00437BFC">
        <w:rPr>
          <w:lang w:val="el-GR"/>
        </w:rPr>
        <w:t>κρεατινίνης</w:t>
      </w:r>
      <w:proofErr w:type="spellEnd"/>
      <w:r w:rsidRPr="00437BFC">
        <w:rPr>
          <w:lang w:val="el-GR"/>
        </w:rPr>
        <w:t xml:space="preserve"> και των λιπιδίων στο αίμα. </w:t>
      </w:r>
    </w:p>
    <w:p w14:paraId="15E72381" w14:textId="77777777" w:rsidR="001779CF" w:rsidRPr="00437BFC" w:rsidRDefault="001779CF" w:rsidP="001779CF">
      <w:pPr>
        <w:rPr>
          <w:lang w:val="el-GR"/>
        </w:rPr>
      </w:pPr>
    </w:p>
    <w:p w14:paraId="3F1C97C2" w14:textId="77777777" w:rsidR="004E6560" w:rsidRDefault="001779CF" w:rsidP="004E6560">
      <w:pPr>
        <w:rPr>
          <w:szCs w:val="22"/>
          <w:u w:val="single"/>
          <w:lang w:val="el-GR"/>
        </w:rPr>
      </w:pPr>
      <w:r w:rsidRPr="00437BFC">
        <w:rPr>
          <w:lang w:val="el-GR"/>
        </w:rPr>
        <w:t xml:space="preserve">Συνιστάται προσεκτική παρακολούθηση των ασθενών με τάση </w:t>
      </w:r>
      <w:proofErr w:type="spellStart"/>
      <w:r w:rsidRPr="00437BFC">
        <w:rPr>
          <w:lang w:val="el-GR"/>
        </w:rPr>
        <w:t>υπερουριχαιμίας</w:t>
      </w:r>
      <w:proofErr w:type="spellEnd"/>
      <w:r w:rsidRPr="00437BFC">
        <w:rPr>
          <w:lang w:val="el-GR"/>
        </w:rPr>
        <w:t xml:space="preserve"> και ουρικής αρθρίτιδας. Θα πρέπει να παρακολουθείται ο μεταβολισμός των υδατανθράκων σε λανθάνοντα ή έκδηλο σακχαρώδη διαβήτη</w:t>
      </w:r>
      <w:r>
        <w:rPr>
          <w:lang w:val="el-GR"/>
        </w:rPr>
        <w:t>.</w:t>
      </w:r>
      <w:r w:rsidR="004E6560" w:rsidRPr="004E6560">
        <w:rPr>
          <w:szCs w:val="22"/>
          <w:u w:val="single"/>
          <w:lang w:val="el-GR"/>
        </w:rPr>
        <w:t xml:space="preserve"> </w:t>
      </w:r>
    </w:p>
    <w:p w14:paraId="038B88A3" w14:textId="77777777" w:rsidR="004E6560" w:rsidRDefault="004E6560" w:rsidP="004E6560">
      <w:pPr>
        <w:rPr>
          <w:szCs w:val="22"/>
          <w:u w:val="single"/>
          <w:lang w:val="el-GR"/>
        </w:rPr>
      </w:pPr>
    </w:p>
    <w:p w14:paraId="15F0F70B" w14:textId="46F6C25F" w:rsidR="004E6560" w:rsidRPr="00D355B3" w:rsidRDefault="004E6560" w:rsidP="004E6560">
      <w:pPr>
        <w:rPr>
          <w:szCs w:val="22"/>
          <w:u w:val="single"/>
          <w:lang w:val="el-GR"/>
        </w:rPr>
      </w:pPr>
      <w:r w:rsidRPr="00D355B3">
        <w:rPr>
          <w:szCs w:val="22"/>
          <w:u w:val="single"/>
          <w:lang w:val="el-GR"/>
        </w:rPr>
        <w:t>Προειδοποίηση για τα έκδοχα:</w:t>
      </w:r>
    </w:p>
    <w:p w14:paraId="58421D76" w14:textId="77777777" w:rsidR="004E6560" w:rsidRDefault="004E6560" w:rsidP="004E6560">
      <w:pPr>
        <w:rPr>
          <w:szCs w:val="22"/>
          <w:lang w:val="el-GR"/>
        </w:rPr>
      </w:pPr>
      <w:r>
        <w:rPr>
          <w:szCs w:val="22"/>
          <w:lang w:val="el-GR"/>
        </w:rPr>
        <w:t xml:space="preserve">Το φάρμακο αυτό περιέχει λακτόζη. Ασθενείς με κληρονομική δυσανεξία στη γαλακτόζη, ανεπάρκεια στη </w:t>
      </w:r>
      <w:proofErr w:type="spellStart"/>
      <w:r>
        <w:rPr>
          <w:szCs w:val="22"/>
          <w:lang w:val="el-GR"/>
        </w:rPr>
        <w:t>λακτάση</w:t>
      </w:r>
      <w:proofErr w:type="spellEnd"/>
      <w:r>
        <w:rPr>
          <w:szCs w:val="22"/>
          <w:lang w:val="el-GR"/>
        </w:rPr>
        <w:t xml:space="preserve"> </w:t>
      </w:r>
      <w:r>
        <w:rPr>
          <w:szCs w:val="22"/>
          <w:lang w:val="en-US"/>
        </w:rPr>
        <w:t>LAPP</w:t>
      </w:r>
      <w:r w:rsidRPr="00BB6A54">
        <w:rPr>
          <w:szCs w:val="22"/>
          <w:lang w:val="el-GR"/>
        </w:rPr>
        <w:t xml:space="preserve"> </w:t>
      </w:r>
      <w:r>
        <w:rPr>
          <w:szCs w:val="22"/>
          <w:lang w:val="el-GR"/>
        </w:rPr>
        <w:t xml:space="preserve">(ανεπάρκεια που έχει παρατηρηθεί σε κάποιους πληθυσμούς στη Λαπωνία) ή </w:t>
      </w:r>
      <w:proofErr w:type="spellStart"/>
      <w:r>
        <w:rPr>
          <w:szCs w:val="22"/>
          <w:lang w:val="el-GR"/>
        </w:rPr>
        <w:t>δυσαπορρόφηση</w:t>
      </w:r>
      <w:proofErr w:type="spellEnd"/>
      <w:r>
        <w:rPr>
          <w:szCs w:val="22"/>
          <w:lang w:val="el-GR"/>
        </w:rPr>
        <w:t xml:space="preserve"> της γλυκόζης-γαλακτόζης δεν πρέπει να παίρνουν αυτό το φάρμακο.</w:t>
      </w:r>
    </w:p>
    <w:p w14:paraId="5FD11F96" w14:textId="28B063FB" w:rsidR="001779CF" w:rsidRDefault="001779CF" w:rsidP="001779CF">
      <w:pPr>
        <w:rPr>
          <w:lang w:val="el-GR"/>
        </w:rPr>
      </w:pPr>
    </w:p>
    <w:p w14:paraId="22F19366" w14:textId="77777777" w:rsidR="001779CF" w:rsidRPr="00684E83" w:rsidRDefault="001779CF" w:rsidP="001779CF">
      <w:pPr>
        <w:rPr>
          <w:szCs w:val="22"/>
          <w:lang w:val="el-GR"/>
        </w:rPr>
      </w:pPr>
    </w:p>
    <w:p w14:paraId="0EA84582" w14:textId="77777777" w:rsidR="00FD771B" w:rsidRPr="00684E83" w:rsidRDefault="00FD771B">
      <w:pPr>
        <w:rPr>
          <w:noProof/>
          <w:szCs w:val="22"/>
          <w:lang w:val="el-GR"/>
        </w:rPr>
      </w:pPr>
      <w:r w:rsidRPr="00684E83">
        <w:rPr>
          <w:b/>
          <w:noProof/>
          <w:szCs w:val="22"/>
          <w:lang w:val="el-GR"/>
        </w:rPr>
        <w:t>4.5</w:t>
      </w:r>
      <w:r w:rsidRPr="00684E83">
        <w:rPr>
          <w:b/>
          <w:noProof/>
          <w:szCs w:val="22"/>
          <w:lang w:val="el-GR"/>
        </w:rPr>
        <w:tab/>
        <w:t>Αλληλεπιδράσεις με άλλα φαρμακευτικά προϊόντα και άλλες μορφές αλληλεπίδρασης</w:t>
      </w:r>
    </w:p>
    <w:p w14:paraId="687F3E20" w14:textId="77777777" w:rsidR="00FD771B" w:rsidRPr="00684E83" w:rsidRDefault="00FD771B">
      <w:pPr>
        <w:rPr>
          <w:noProof/>
          <w:szCs w:val="22"/>
          <w:lang w:val="el-GR"/>
        </w:rPr>
      </w:pPr>
    </w:p>
    <w:p w14:paraId="65ECEE4D" w14:textId="77777777" w:rsidR="001779CF" w:rsidRDefault="001779CF">
      <w:pPr>
        <w:rPr>
          <w:szCs w:val="22"/>
          <w:lang w:val="el-GR"/>
        </w:rPr>
      </w:pPr>
    </w:p>
    <w:p w14:paraId="17C4433C" w14:textId="77777777" w:rsidR="001779CF" w:rsidRPr="00437BFC" w:rsidRDefault="001779CF" w:rsidP="001779CF">
      <w:pPr>
        <w:rPr>
          <w:lang w:val="el-GR"/>
        </w:rPr>
      </w:pPr>
      <w:r w:rsidRPr="00437BFC">
        <w:rPr>
          <w:lang w:val="el-GR"/>
        </w:rPr>
        <w:t xml:space="preserve">Όταν χρησιμοποιείται ταυτόχρονα με καρδιακές </w:t>
      </w:r>
      <w:proofErr w:type="spellStart"/>
      <w:r w:rsidRPr="00437BFC">
        <w:rPr>
          <w:lang w:val="el-GR"/>
        </w:rPr>
        <w:t>γλυκοσίδες</w:t>
      </w:r>
      <w:proofErr w:type="spellEnd"/>
      <w:r w:rsidRPr="00437BFC">
        <w:rPr>
          <w:lang w:val="el-GR"/>
        </w:rPr>
        <w:t xml:space="preserve">, ανεπάρκεια καλίου και / ή μαγνησίου μπορεί να αυξήσει την ευαισθησία του καρδιακού μυός σε τέτοια φάρμακα. Η </w:t>
      </w:r>
      <w:proofErr w:type="spellStart"/>
      <w:r w:rsidRPr="00437BFC">
        <w:rPr>
          <w:lang w:val="el-GR"/>
        </w:rPr>
        <w:t>καλιουρητική</w:t>
      </w:r>
      <w:proofErr w:type="spellEnd"/>
      <w:r w:rsidRPr="00437BFC">
        <w:rPr>
          <w:lang w:val="el-GR"/>
        </w:rPr>
        <w:t xml:space="preserve"> δράση των </w:t>
      </w:r>
      <w:proofErr w:type="spellStart"/>
      <w:r w:rsidRPr="00437BFC">
        <w:rPr>
          <w:lang w:val="el-GR"/>
        </w:rPr>
        <w:t>αλατο</w:t>
      </w:r>
      <w:proofErr w:type="spellEnd"/>
      <w:r w:rsidRPr="00437BFC">
        <w:rPr>
          <w:lang w:val="el-GR"/>
        </w:rPr>
        <w:t xml:space="preserve">- και </w:t>
      </w:r>
      <w:proofErr w:type="spellStart"/>
      <w:r w:rsidRPr="00437BFC">
        <w:rPr>
          <w:lang w:val="el-GR"/>
        </w:rPr>
        <w:t>γλυκοκορτικοειδών</w:t>
      </w:r>
      <w:proofErr w:type="spellEnd"/>
      <w:r w:rsidRPr="00437BFC">
        <w:rPr>
          <w:lang w:val="el-GR"/>
        </w:rPr>
        <w:t xml:space="preserve"> και των καθαρτικών μπορεί να αυξηθεί. </w:t>
      </w:r>
    </w:p>
    <w:p w14:paraId="5F541C80" w14:textId="77777777" w:rsidR="001779CF" w:rsidRPr="00437BFC" w:rsidRDefault="001779CF" w:rsidP="001779CF">
      <w:pPr>
        <w:rPr>
          <w:lang w:val="el-GR"/>
        </w:rPr>
      </w:pPr>
    </w:p>
    <w:p w14:paraId="38D6542F" w14:textId="77777777" w:rsidR="001779CF" w:rsidRPr="00437BFC" w:rsidRDefault="001779CF" w:rsidP="001779CF">
      <w:pPr>
        <w:rPr>
          <w:lang w:val="el-GR"/>
        </w:rPr>
      </w:pPr>
      <w:r w:rsidRPr="00437BFC">
        <w:rPr>
          <w:lang w:val="el-GR"/>
        </w:rPr>
        <w:t xml:space="preserve">Όπως και με άλλα διουρητικά, η δράση των </w:t>
      </w:r>
      <w:proofErr w:type="spellStart"/>
      <w:r w:rsidRPr="00437BFC">
        <w:rPr>
          <w:lang w:val="el-GR"/>
        </w:rPr>
        <w:t>συγχορηγούμενων</w:t>
      </w:r>
      <w:proofErr w:type="spellEnd"/>
      <w:r w:rsidRPr="00437BFC">
        <w:rPr>
          <w:lang w:val="el-GR"/>
        </w:rPr>
        <w:t xml:space="preserve"> </w:t>
      </w:r>
      <w:proofErr w:type="spellStart"/>
      <w:r w:rsidRPr="00437BFC">
        <w:rPr>
          <w:lang w:val="el-GR"/>
        </w:rPr>
        <w:t>αντιυπερτασικών</w:t>
      </w:r>
      <w:proofErr w:type="spellEnd"/>
      <w:r w:rsidRPr="00437BFC">
        <w:rPr>
          <w:lang w:val="el-GR"/>
        </w:rPr>
        <w:t xml:space="preserve"> φαρμάκων μπορεί να αυξηθεί.</w:t>
      </w:r>
    </w:p>
    <w:p w14:paraId="11686851" w14:textId="77777777" w:rsidR="001779CF" w:rsidRPr="00437BFC" w:rsidRDefault="001779CF" w:rsidP="001779CF">
      <w:pPr>
        <w:rPr>
          <w:lang w:val="el-GR"/>
        </w:rPr>
      </w:pPr>
    </w:p>
    <w:p w14:paraId="6D76ABB6" w14:textId="77777777" w:rsidR="001779CF" w:rsidRPr="00437BFC" w:rsidRDefault="001779CF" w:rsidP="001779CF">
      <w:pPr>
        <w:rPr>
          <w:lang w:val="el-GR"/>
        </w:rPr>
      </w:pPr>
      <w:r w:rsidRPr="00437BFC">
        <w:rPr>
          <w:lang w:val="el-GR"/>
        </w:rPr>
        <w:t xml:space="preserve">Η </w:t>
      </w:r>
      <w:proofErr w:type="spellStart"/>
      <w:r w:rsidRPr="00437BFC">
        <w:rPr>
          <w:lang w:val="el-GR"/>
        </w:rPr>
        <w:t>τορασεμίδη</w:t>
      </w:r>
      <w:proofErr w:type="spellEnd"/>
      <w:r w:rsidRPr="00437BFC">
        <w:rPr>
          <w:lang w:val="el-GR"/>
        </w:rPr>
        <w:t xml:space="preserve">, ιδιαίτερα σε υψηλές δόσεις, μπορεί να αυξήσει την τοξικότητα των </w:t>
      </w:r>
      <w:proofErr w:type="spellStart"/>
      <w:r w:rsidRPr="00437BFC">
        <w:rPr>
          <w:lang w:val="el-GR"/>
        </w:rPr>
        <w:t>αμινογλυκοσιδών</w:t>
      </w:r>
      <w:proofErr w:type="spellEnd"/>
      <w:r w:rsidRPr="00437BFC">
        <w:rPr>
          <w:lang w:val="el-GR"/>
        </w:rPr>
        <w:t xml:space="preserve"> αντιβιοτικών, των παρασκευασμάτων </w:t>
      </w:r>
      <w:proofErr w:type="spellStart"/>
      <w:r w:rsidRPr="00437BFC">
        <w:rPr>
          <w:lang w:val="el-GR"/>
        </w:rPr>
        <w:t>σισπλατίνης</w:t>
      </w:r>
      <w:proofErr w:type="spellEnd"/>
      <w:r w:rsidRPr="00437BFC">
        <w:rPr>
          <w:lang w:val="el-GR"/>
        </w:rPr>
        <w:t xml:space="preserve">, τα </w:t>
      </w:r>
      <w:proofErr w:type="spellStart"/>
      <w:r w:rsidRPr="00437BFC">
        <w:rPr>
          <w:lang w:val="el-GR"/>
        </w:rPr>
        <w:t>νεφροτοξικά</w:t>
      </w:r>
      <w:proofErr w:type="spellEnd"/>
      <w:r w:rsidRPr="00437BFC">
        <w:rPr>
          <w:lang w:val="el-GR"/>
        </w:rPr>
        <w:t xml:space="preserve"> αποτελέσματα των </w:t>
      </w:r>
      <w:proofErr w:type="spellStart"/>
      <w:r w:rsidRPr="00437BFC">
        <w:rPr>
          <w:lang w:val="el-GR"/>
        </w:rPr>
        <w:t>κεφαλοσπορινών</w:t>
      </w:r>
      <w:proofErr w:type="spellEnd"/>
      <w:r w:rsidRPr="00437BFC">
        <w:rPr>
          <w:lang w:val="el-GR"/>
        </w:rPr>
        <w:t xml:space="preserve"> και τη </w:t>
      </w:r>
      <w:proofErr w:type="spellStart"/>
      <w:r w:rsidRPr="00437BFC">
        <w:rPr>
          <w:lang w:val="el-GR"/>
        </w:rPr>
        <w:t>καρδιο</w:t>
      </w:r>
      <w:proofErr w:type="spellEnd"/>
      <w:r w:rsidRPr="00437BFC">
        <w:rPr>
          <w:lang w:val="el-GR"/>
        </w:rPr>
        <w:t xml:space="preserve">-και </w:t>
      </w:r>
      <w:proofErr w:type="spellStart"/>
      <w:r w:rsidRPr="00437BFC">
        <w:rPr>
          <w:lang w:val="el-GR"/>
        </w:rPr>
        <w:t>νευροτοξική</w:t>
      </w:r>
      <w:proofErr w:type="spellEnd"/>
      <w:r w:rsidRPr="00437BFC">
        <w:rPr>
          <w:lang w:val="el-GR"/>
        </w:rPr>
        <w:t xml:space="preserve"> επίδραση του </w:t>
      </w:r>
      <w:proofErr w:type="spellStart"/>
      <w:r w:rsidRPr="00437BFC">
        <w:rPr>
          <w:lang w:val="el-GR"/>
        </w:rPr>
        <w:t>λιθίου</w:t>
      </w:r>
      <w:proofErr w:type="spellEnd"/>
      <w:r w:rsidRPr="00437BFC">
        <w:rPr>
          <w:lang w:val="el-GR"/>
        </w:rPr>
        <w:t>.</w:t>
      </w:r>
    </w:p>
    <w:p w14:paraId="7CA65F79" w14:textId="77777777" w:rsidR="001779CF" w:rsidRPr="00437BFC" w:rsidRDefault="001779CF" w:rsidP="001779CF">
      <w:pPr>
        <w:rPr>
          <w:lang w:val="el-GR"/>
        </w:rPr>
      </w:pPr>
    </w:p>
    <w:p w14:paraId="15A996A0" w14:textId="77777777" w:rsidR="001779CF" w:rsidRDefault="001779CF" w:rsidP="001779CF">
      <w:pPr>
        <w:rPr>
          <w:lang w:val="el-GR"/>
        </w:rPr>
      </w:pPr>
      <w:r w:rsidRPr="00437BFC">
        <w:rPr>
          <w:lang w:val="el-GR"/>
        </w:rPr>
        <w:t xml:space="preserve">Μπορεί να αυξηθούν η δράση του κουραρίου που περιέχει </w:t>
      </w:r>
      <w:proofErr w:type="spellStart"/>
      <w:r w:rsidRPr="00437BFC">
        <w:rPr>
          <w:lang w:val="el-GR"/>
        </w:rPr>
        <w:t>μυοχαλαρωτικά</w:t>
      </w:r>
      <w:proofErr w:type="spellEnd"/>
      <w:r w:rsidRPr="00437BFC">
        <w:rPr>
          <w:lang w:val="el-GR"/>
        </w:rPr>
        <w:t xml:space="preserve"> και της </w:t>
      </w:r>
      <w:proofErr w:type="spellStart"/>
      <w:r w:rsidRPr="00437BFC">
        <w:rPr>
          <w:lang w:val="el-GR"/>
        </w:rPr>
        <w:t>θεοφυλλίνης</w:t>
      </w:r>
      <w:proofErr w:type="spellEnd"/>
      <w:r w:rsidRPr="00437BFC">
        <w:rPr>
          <w:lang w:val="el-GR"/>
        </w:rPr>
        <w:t>. Σε ασθενείς που λαμβάνουν υψηλές δόσεις σαλικυλικών, η τοξικότητα από σαλικυλικά μπορεί να αυξηθεί. Η δράση των αντιδιαβητικών φαρμάκων μπορεί να μειωθεί.</w:t>
      </w:r>
    </w:p>
    <w:p w14:paraId="1B25F121" w14:textId="77777777" w:rsidR="004E6560" w:rsidRDefault="004E6560" w:rsidP="004E6560">
      <w:pPr>
        <w:rPr>
          <w:szCs w:val="22"/>
          <w:lang w:val="el-GR"/>
        </w:rPr>
      </w:pPr>
      <w:r w:rsidRPr="00B5502E">
        <w:rPr>
          <w:szCs w:val="22"/>
          <w:lang w:val="el-GR"/>
        </w:rPr>
        <w:t xml:space="preserve">Επειδή η </w:t>
      </w:r>
      <w:proofErr w:type="spellStart"/>
      <w:r w:rsidRPr="00B5502E">
        <w:rPr>
          <w:szCs w:val="22"/>
          <w:lang w:val="el-GR"/>
        </w:rPr>
        <w:t>τορασεμίδη</w:t>
      </w:r>
      <w:proofErr w:type="spellEnd"/>
      <w:r w:rsidRPr="003B1A45">
        <w:rPr>
          <w:szCs w:val="22"/>
          <w:lang w:val="el-GR"/>
        </w:rPr>
        <w:t xml:space="preserve"> και τα σαλικυλικά ανταγωνίζονται μεταξύ τους γι</w:t>
      </w:r>
      <w:r w:rsidRPr="00B5502E">
        <w:rPr>
          <w:szCs w:val="22"/>
          <w:lang w:val="el-GR"/>
        </w:rPr>
        <w:t xml:space="preserve">α την απέκκριση από τα νεφρικά σωληνάρια, οι ασθενείς που λαμβάνουν υψηλές δόσεις σαλικυλικών μπορεί να εμφανίσουν </w:t>
      </w:r>
      <w:r w:rsidRPr="003B1A45">
        <w:rPr>
          <w:szCs w:val="22"/>
          <w:lang w:val="el-GR"/>
        </w:rPr>
        <w:t xml:space="preserve">τοξικότητα </w:t>
      </w:r>
      <w:r w:rsidRPr="00B5502E">
        <w:rPr>
          <w:szCs w:val="22"/>
          <w:lang w:val="el-GR"/>
        </w:rPr>
        <w:t xml:space="preserve">από τα σαλικυλικά όταν </w:t>
      </w:r>
      <w:proofErr w:type="spellStart"/>
      <w:r w:rsidRPr="00B5502E">
        <w:rPr>
          <w:szCs w:val="22"/>
          <w:lang w:val="el-GR"/>
        </w:rPr>
        <w:t>συγχορηγούνται</w:t>
      </w:r>
      <w:proofErr w:type="spellEnd"/>
      <w:r w:rsidRPr="00B5502E">
        <w:rPr>
          <w:szCs w:val="22"/>
          <w:lang w:val="el-GR"/>
        </w:rPr>
        <w:t xml:space="preserve"> με </w:t>
      </w:r>
      <w:proofErr w:type="spellStart"/>
      <w:r w:rsidRPr="00B5502E">
        <w:rPr>
          <w:szCs w:val="22"/>
          <w:lang w:val="el-GR"/>
        </w:rPr>
        <w:t>τορασεμίδη</w:t>
      </w:r>
      <w:proofErr w:type="spellEnd"/>
      <w:r w:rsidRPr="00B5502E">
        <w:rPr>
          <w:szCs w:val="22"/>
          <w:lang w:val="el-GR"/>
        </w:rPr>
        <w:t xml:space="preserve">. Επιπρόσθετα, και παρόλο που οι πιθανές αλληλεπιδράσεις της </w:t>
      </w:r>
      <w:proofErr w:type="spellStart"/>
      <w:r w:rsidRPr="00B5502E">
        <w:rPr>
          <w:szCs w:val="22"/>
          <w:lang w:val="el-GR"/>
        </w:rPr>
        <w:t>τορασεμίδης</w:t>
      </w:r>
      <w:proofErr w:type="spellEnd"/>
      <w:r w:rsidRPr="00B5502E">
        <w:rPr>
          <w:szCs w:val="22"/>
          <w:lang w:val="el-GR"/>
        </w:rPr>
        <w:t xml:space="preserve"> με τα μη στεροειδή αντιφλεγμονώδη φάρμακα (συμπεριλαμβανομένου του </w:t>
      </w:r>
      <w:proofErr w:type="spellStart"/>
      <w:r w:rsidRPr="00B5502E">
        <w:rPr>
          <w:szCs w:val="22"/>
          <w:lang w:val="el-GR"/>
        </w:rPr>
        <w:t>ακετυλοσαλικυλικού</w:t>
      </w:r>
      <w:proofErr w:type="spellEnd"/>
      <w:r w:rsidRPr="00B5502E">
        <w:rPr>
          <w:szCs w:val="22"/>
          <w:lang w:val="el-GR"/>
        </w:rPr>
        <w:t xml:space="preserve"> οξέος) δεν έχουν μελετηθεί, η </w:t>
      </w:r>
      <w:proofErr w:type="spellStart"/>
      <w:r w:rsidRPr="00B5502E">
        <w:rPr>
          <w:szCs w:val="22"/>
          <w:lang w:val="el-GR"/>
        </w:rPr>
        <w:t>συγχορήγηση</w:t>
      </w:r>
      <w:proofErr w:type="spellEnd"/>
      <w:r w:rsidRPr="00B5502E">
        <w:rPr>
          <w:szCs w:val="22"/>
          <w:lang w:val="el-GR"/>
        </w:rPr>
        <w:t xml:space="preserve"> αυτών των παραγόντων με ένα άλλο διουρητικό της αγκύλης του </w:t>
      </w:r>
      <w:r w:rsidRPr="00B5502E">
        <w:rPr>
          <w:szCs w:val="22"/>
          <w:lang w:val="en-US"/>
        </w:rPr>
        <w:t>Henle</w:t>
      </w:r>
      <w:r w:rsidRPr="00B5502E">
        <w:rPr>
          <w:szCs w:val="22"/>
          <w:lang w:val="el-GR"/>
        </w:rPr>
        <w:t xml:space="preserve"> (την </w:t>
      </w:r>
      <w:proofErr w:type="spellStart"/>
      <w:r w:rsidRPr="00B5502E">
        <w:rPr>
          <w:szCs w:val="22"/>
          <w:lang w:val="el-GR"/>
        </w:rPr>
        <w:t>φουροσεμίδη</w:t>
      </w:r>
      <w:proofErr w:type="spellEnd"/>
      <w:r w:rsidRPr="00B5502E">
        <w:rPr>
          <w:szCs w:val="22"/>
          <w:lang w:val="el-GR"/>
        </w:rPr>
        <w:t>) έχει περιστασιακά συσχετισθεί με νεφρική ανεπάρκεια.</w:t>
      </w:r>
    </w:p>
    <w:p w14:paraId="7999C4F5" w14:textId="77777777" w:rsidR="004E6560" w:rsidRPr="00437BFC" w:rsidRDefault="004E6560" w:rsidP="001779CF">
      <w:pPr>
        <w:rPr>
          <w:lang w:val="el-GR"/>
        </w:rPr>
      </w:pPr>
    </w:p>
    <w:p w14:paraId="260440BC" w14:textId="77777777" w:rsidR="001779CF" w:rsidRPr="00437BFC" w:rsidRDefault="001779CF" w:rsidP="001779CF">
      <w:pPr>
        <w:rPr>
          <w:lang w:val="el-GR"/>
        </w:rPr>
      </w:pPr>
    </w:p>
    <w:p w14:paraId="0C342027" w14:textId="77777777" w:rsidR="001779CF" w:rsidRPr="00437BFC" w:rsidRDefault="001779CF" w:rsidP="001779CF">
      <w:pPr>
        <w:rPr>
          <w:lang w:val="el-GR"/>
        </w:rPr>
      </w:pPr>
      <w:r w:rsidRPr="00437BFC">
        <w:rPr>
          <w:lang w:val="el-GR"/>
        </w:rPr>
        <w:t xml:space="preserve">Διαδοχική ή συνδυασμένη θεραπεία, ή η έναρξη μιας νέας φαρμακευτικής αγωγής με έναν αναστολέα ΜΕΑ μπορεί να οδηγήσει σε προσωρινή υπόταση. Αυτό μπορεί να ελαχιστοποιηθεί με τη μείωση της δόσης έναρξης του αναστολέα ΜΕΑ και / ή τη μείωση ή τη προσωρινή διακοπή της δόσης της </w:t>
      </w:r>
      <w:proofErr w:type="spellStart"/>
      <w:r w:rsidRPr="00437BFC">
        <w:rPr>
          <w:lang w:val="el-GR"/>
        </w:rPr>
        <w:t>τορασεμίδης</w:t>
      </w:r>
      <w:proofErr w:type="spellEnd"/>
      <w:r w:rsidRPr="00437BFC">
        <w:rPr>
          <w:lang w:val="el-GR"/>
        </w:rPr>
        <w:t xml:space="preserve">. Η </w:t>
      </w:r>
      <w:proofErr w:type="spellStart"/>
      <w:r w:rsidRPr="00437BFC">
        <w:rPr>
          <w:lang w:val="el-GR"/>
        </w:rPr>
        <w:t>τορασεμίδη</w:t>
      </w:r>
      <w:proofErr w:type="spellEnd"/>
      <w:r w:rsidRPr="00437BFC">
        <w:rPr>
          <w:lang w:val="el-GR"/>
        </w:rPr>
        <w:t xml:space="preserve"> μπορεί να μειώσει την αρτηριακή ανταπόκριση σε φάρμακα που αυξάνουν τη πίεση του αίματος, π.χ. αδρεναλίνη, </w:t>
      </w:r>
      <w:proofErr w:type="spellStart"/>
      <w:r w:rsidRPr="00437BFC">
        <w:rPr>
          <w:lang w:val="el-GR"/>
        </w:rPr>
        <w:t>νοραδρεναλίνη</w:t>
      </w:r>
      <w:proofErr w:type="spellEnd"/>
      <w:r w:rsidRPr="00437BFC">
        <w:rPr>
          <w:lang w:val="el-GR"/>
        </w:rPr>
        <w:t>.</w:t>
      </w:r>
    </w:p>
    <w:p w14:paraId="46C21FF4" w14:textId="77777777" w:rsidR="001779CF" w:rsidRPr="00437BFC" w:rsidRDefault="001779CF" w:rsidP="001779CF">
      <w:pPr>
        <w:rPr>
          <w:lang w:val="el-GR"/>
        </w:rPr>
      </w:pPr>
    </w:p>
    <w:p w14:paraId="2050BECA" w14:textId="77777777" w:rsidR="001779CF" w:rsidRPr="00437BFC" w:rsidRDefault="001779CF" w:rsidP="001779CF">
      <w:pPr>
        <w:rPr>
          <w:lang w:val="el-GR"/>
        </w:rPr>
      </w:pPr>
      <w:r w:rsidRPr="00437BFC">
        <w:rPr>
          <w:lang w:val="el-GR"/>
        </w:rPr>
        <w:t xml:space="preserve">Μη-στεροειδή αντί-φλεγμονώδη φάρμακα (π.χ. </w:t>
      </w:r>
      <w:proofErr w:type="spellStart"/>
      <w:r w:rsidRPr="00437BFC">
        <w:rPr>
          <w:lang w:val="el-GR"/>
        </w:rPr>
        <w:t>ινδομεθακίνη</w:t>
      </w:r>
      <w:proofErr w:type="spellEnd"/>
      <w:r w:rsidRPr="00437BFC">
        <w:rPr>
          <w:lang w:val="el-GR"/>
        </w:rPr>
        <w:t xml:space="preserve">) και η </w:t>
      </w:r>
      <w:proofErr w:type="spellStart"/>
      <w:r w:rsidRPr="00437BFC">
        <w:rPr>
          <w:lang w:val="el-GR"/>
        </w:rPr>
        <w:t>προβενεσίδη</w:t>
      </w:r>
      <w:proofErr w:type="spellEnd"/>
      <w:r w:rsidRPr="00437BFC">
        <w:rPr>
          <w:lang w:val="el-GR"/>
        </w:rPr>
        <w:t xml:space="preserve"> μπορεί να μειώσουν τη διουρητική και </w:t>
      </w:r>
      <w:proofErr w:type="spellStart"/>
      <w:r w:rsidRPr="00437BFC">
        <w:rPr>
          <w:lang w:val="el-GR"/>
        </w:rPr>
        <w:t>αντιυπερτασική</w:t>
      </w:r>
      <w:proofErr w:type="spellEnd"/>
      <w:r w:rsidRPr="00437BFC">
        <w:rPr>
          <w:lang w:val="el-GR"/>
        </w:rPr>
        <w:t xml:space="preserve"> δράση της </w:t>
      </w:r>
      <w:proofErr w:type="spellStart"/>
      <w:r w:rsidRPr="00437BFC">
        <w:rPr>
          <w:lang w:val="el-GR"/>
        </w:rPr>
        <w:t>τορασεμίδης</w:t>
      </w:r>
      <w:proofErr w:type="spellEnd"/>
      <w:r w:rsidRPr="00437BFC">
        <w:rPr>
          <w:lang w:val="el-GR"/>
        </w:rPr>
        <w:t>.</w:t>
      </w:r>
    </w:p>
    <w:p w14:paraId="54B41B7B" w14:textId="77777777" w:rsidR="001779CF" w:rsidRPr="00437BFC" w:rsidRDefault="001779CF" w:rsidP="001779CF">
      <w:pPr>
        <w:rPr>
          <w:lang w:val="el-GR"/>
        </w:rPr>
      </w:pPr>
    </w:p>
    <w:p w14:paraId="4D7EE281" w14:textId="1C8F1E32" w:rsidR="001779CF" w:rsidRDefault="001779CF" w:rsidP="001779CF">
      <w:pPr>
        <w:rPr>
          <w:lang w:val="el-GR"/>
        </w:rPr>
      </w:pPr>
      <w:r w:rsidRPr="00437BFC">
        <w:rPr>
          <w:lang w:val="el-GR"/>
        </w:rPr>
        <w:t xml:space="preserve">Η ταυτόχρονη χρήση της </w:t>
      </w:r>
      <w:proofErr w:type="spellStart"/>
      <w:r w:rsidRPr="00437BFC">
        <w:rPr>
          <w:lang w:val="el-GR"/>
        </w:rPr>
        <w:t>τορασεμίδης</w:t>
      </w:r>
      <w:proofErr w:type="spellEnd"/>
      <w:r w:rsidRPr="00437BFC">
        <w:rPr>
          <w:lang w:val="el-GR"/>
        </w:rPr>
        <w:t xml:space="preserve"> και της </w:t>
      </w:r>
      <w:proofErr w:type="spellStart"/>
      <w:r w:rsidRPr="00437BFC">
        <w:rPr>
          <w:lang w:val="el-GR"/>
        </w:rPr>
        <w:t>χολεστυραμίνης</w:t>
      </w:r>
      <w:proofErr w:type="spellEnd"/>
      <w:r w:rsidRPr="00437BFC">
        <w:rPr>
          <w:lang w:val="el-GR"/>
        </w:rPr>
        <w:t xml:space="preserve"> δεν έχει μελετηθεί σε ανθρώπους, αλλά μελέτη σε ζώα έδειξε πως η </w:t>
      </w:r>
      <w:proofErr w:type="spellStart"/>
      <w:r w:rsidRPr="00437BFC">
        <w:rPr>
          <w:lang w:val="el-GR"/>
        </w:rPr>
        <w:t>συγχορήγηση</w:t>
      </w:r>
      <w:proofErr w:type="spellEnd"/>
      <w:r w:rsidRPr="00437BFC">
        <w:rPr>
          <w:lang w:val="el-GR"/>
        </w:rPr>
        <w:t xml:space="preserve"> </w:t>
      </w:r>
      <w:proofErr w:type="spellStart"/>
      <w:r w:rsidRPr="00437BFC">
        <w:rPr>
          <w:lang w:val="el-GR"/>
        </w:rPr>
        <w:t>χολεστυραμίνης</w:t>
      </w:r>
      <w:proofErr w:type="spellEnd"/>
      <w:r w:rsidRPr="00437BFC">
        <w:rPr>
          <w:lang w:val="el-GR"/>
        </w:rPr>
        <w:t xml:space="preserve"> προκαλεί μειωμένη απορρόφηση της από του στόματος χορηγούμενης </w:t>
      </w:r>
      <w:proofErr w:type="spellStart"/>
      <w:r w:rsidRPr="00437BFC">
        <w:rPr>
          <w:lang w:val="el-GR"/>
        </w:rPr>
        <w:t>τορασεμίδης</w:t>
      </w:r>
      <w:proofErr w:type="spellEnd"/>
      <w:r w:rsidRPr="00437BFC">
        <w:rPr>
          <w:lang w:val="el-GR"/>
        </w:rPr>
        <w:t>.</w:t>
      </w:r>
    </w:p>
    <w:p w14:paraId="08F830AF" w14:textId="77777777" w:rsidR="004E6560" w:rsidRDefault="004E6560" w:rsidP="001779CF">
      <w:pPr>
        <w:rPr>
          <w:lang w:val="el-GR"/>
        </w:rPr>
      </w:pPr>
    </w:p>
    <w:p w14:paraId="5796DB6D" w14:textId="77777777" w:rsidR="004E6560" w:rsidRDefault="004E6560" w:rsidP="004E6560">
      <w:pPr>
        <w:rPr>
          <w:szCs w:val="22"/>
          <w:lang w:val="el-GR"/>
        </w:rPr>
      </w:pPr>
    </w:p>
    <w:p w14:paraId="516CB944" w14:textId="77777777" w:rsidR="004E6560" w:rsidRDefault="004E6560" w:rsidP="004E6560">
      <w:pPr>
        <w:rPr>
          <w:szCs w:val="22"/>
          <w:lang w:val="el-GR"/>
        </w:rPr>
      </w:pPr>
      <w:r>
        <w:rPr>
          <w:szCs w:val="22"/>
          <w:lang w:val="el-GR"/>
        </w:rPr>
        <w:t xml:space="preserve">Σημειώνεται ότι άλλα διουρητικά αυξάνουν την πιθανότητα </w:t>
      </w:r>
      <w:proofErr w:type="spellStart"/>
      <w:r>
        <w:rPr>
          <w:szCs w:val="22"/>
          <w:lang w:val="el-GR"/>
        </w:rPr>
        <w:t>ωτοτοξικότητας</w:t>
      </w:r>
      <w:proofErr w:type="spellEnd"/>
      <w:r>
        <w:rPr>
          <w:szCs w:val="22"/>
          <w:lang w:val="el-GR"/>
        </w:rPr>
        <w:t xml:space="preserve"> των </w:t>
      </w:r>
      <w:proofErr w:type="spellStart"/>
      <w:r>
        <w:rPr>
          <w:szCs w:val="22"/>
          <w:lang w:val="el-GR"/>
        </w:rPr>
        <w:t>αμινογλυκοσιδών</w:t>
      </w:r>
      <w:proofErr w:type="spellEnd"/>
      <w:r>
        <w:rPr>
          <w:szCs w:val="22"/>
          <w:lang w:val="el-GR"/>
        </w:rPr>
        <w:t xml:space="preserve"> και του </w:t>
      </w:r>
      <w:proofErr w:type="spellStart"/>
      <w:r>
        <w:rPr>
          <w:szCs w:val="22"/>
          <w:lang w:val="el-GR"/>
        </w:rPr>
        <w:t>αιθακρυνικού</w:t>
      </w:r>
      <w:proofErr w:type="spellEnd"/>
      <w:r>
        <w:rPr>
          <w:szCs w:val="22"/>
          <w:lang w:val="el-GR"/>
        </w:rPr>
        <w:t xml:space="preserve"> οξέος, ειδικά όταν υπάρχει μειωμένη νεφρική λειτουργία. Αυτές οι πιθανές αλληλεπιδράσεις με την </w:t>
      </w:r>
      <w:proofErr w:type="spellStart"/>
      <w:r w:rsidRPr="00B32253">
        <w:rPr>
          <w:szCs w:val="22"/>
          <w:lang w:val="el-GR"/>
        </w:rPr>
        <w:t>τορασεμίδη</w:t>
      </w:r>
      <w:proofErr w:type="spellEnd"/>
      <w:r>
        <w:rPr>
          <w:szCs w:val="22"/>
          <w:lang w:val="el-GR"/>
        </w:rPr>
        <w:t xml:space="preserve"> δεν έχουν μελετηθεί.</w:t>
      </w:r>
    </w:p>
    <w:p w14:paraId="347069C8" w14:textId="77777777" w:rsidR="004E6560" w:rsidRDefault="004E6560" w:rsidP="001779CF">
      <w:pPr>
        <w:rPr>
          <w:szCs w:val="22"/>
          <w:lang w:val="el-GR"/>
        </w:rPr>
      </w:pPr>
    </w:p>
    <w:p w14:paraId="716BE0C6" w14:textId="77777777" w:rsidR="00647D88" w:rsidRPr="003425FD" w:rsidRDefault="00647D88">
      <w:pPr>
        <w:rPr>
          <w:szCs w:val="22"/>
          <w:lang w:val="el-GR"/>
        </w:rPr>
      </w:pPr>
    </w:p>
    <w:p w14:paraId="529AFBCC" w14:textId="77777777" w:rsidR="00FD771B" w:rsidRPr="00684E83" w:rsidRDefault="00FD771B">
      <w:pPr>
        <w:rPr>
          <w:noProof/>
          <w:szCs w:val="22"/>
          <w:lang w:val="el-GR"/>
        </w:rPr>
      </w:pPr>
      <w:r w:rsidRPr="00684E83">
        <w:rPr>
          <w:b/>
          <w:noProof/>
          <w:szCs w:val="22"/>
          <w:lang w:val="el-GR"/>
        </w:rPr>
        <w:t>4.6</w:t>
      </w:r>
      <w:r w:rsidRPr="00684E83">
        <w:rPr>
          <w:b/>
          <w:noProof/>
          <w:szCs w:val="22"/>
          <w:lang w:val="el-GR"/>
        </w:rPr>
        <w:tab/>
        <w:t>Γονιμότητα, κύηση και γαλουχία</w:t>
      </w:r>
    </w:p>
    <w:p w14:paraId="1EBAA24B" w14:textId="77777777" w:rsidR="00FD771B" w:rsidRPr="00684E83" w:rsidRDefault="00FD771B">
      <w:pPr>
        <w:rPr>
          <w:noProof/>
          <w:szCs w:val="22"/>
          <w:lang w:val="el-GR"/>
        </w:rPr>
      </w:pPr>
    </w:p>
    <w:p w14:paraId="78F0E146" w14:textId="77777777" w:rsidR="00FD771B" w:rsidRDefault="00FD771B">
      <w:pPr>
        <w:rPr>
          <w:noProof/>
          <w:szCs w:val="22"/>
          <w:lang w:val="el-GR"/>
        </w:rPr>
      </w:pPr>
      <w:r>
        <w:rPr>
          <w:szCs w:val="22"/>
          <w:u w:val="single"/>
          <w:lang w:val="el-GR"/>
        </w:rPr>
        <w:t>Κύηση</w:t>
      </w:r>
    </w:p>
    <w:p w14:paraId="4BFF25F4" w14:textId="26FBF747" w:rsidR="00647D88" w:rsidRDefault="00647D88">
      <w:pPr>
        <w:rPr>
          <w:szCs w:val="22"/>
          <w:lang w:val="el-GR"/>
        </w:rPr>
      </w:pPr>
      <w:r>
        <w:rPr>
          <w:noProof/>
          <w:szCs w:val="22"/>
          <w:lang w:val="el-GR"/>
        </w:rPr>
        <w:t xml:space="preserve">Δεν υπήρξε εμβρυοτοξικότητα ή τερατογένεση σε αρουραίους που έλαβαν αγωγή με </w:t>
      </w:r>
      <w:proofErr w:type="spellStart"/>
      <w:r w:rsidR="00B32253" w:rsidRPr="00B32253">
        <w:rPr>
          <w:szCs w:val="22"/>
          <w:lang w:val="el-GR"/>
        </w:rPr>
        <w:t>τορασεμίδη</w:t>
      </w:r>
      <w:proofErr w:type="spellEnd"/>
      <w:r>
        <w:rPr>
          <w:szCs w:val="22"/>
          <w:lang w:val="el-GR"/>
        </w:rPr>
        <w:t xml:space="preserve"> έως 5 </w:t>
      </w:r>
      <w:r>
        <w:rPr>
          <w:szCs w:val="22"/>
          <w:lang w:val="en-US"/>
        </w:rPr>
        <w:t>mg</w:t>
      </w:r>
      <w:r w:rsidRPr="00647D88">
        <w:rPr>
          <w:szCs w:val="22"/>
          <w:lang w:val="el-GR"/>
        </w:rPr>
        <w:t>/</w:t>
      </w:r>
      <w:r>
        <w:rPr>
          <w:szCs w:val="22"/>
          <w:lang w:val="en-US"/>
        </w:rPr>
        <w:t>kg</w:t>
      </w:r>
      <w:r w:rsidRPr="00647D88">
        <w:rPr>
          <w:szCs w:val="22"/>
          <w:lang w:val="el-GR"/>
        </w:rPr>
        <w:t>/</w:t>
      </w:r>
      <w:r>
        <w:rPr>
          <w:szCs w:val="22"/>
          <w:lang w:val="el-GR"/>
        </w:rPr>
        <w:t>ημέρα (έκθεση</w:t>
      </w:r>
      <w:r w:rsidR="004C1B45">
        <w:rPr>
          <w:szCs w:val="22"/>
          <w:lang w:val="el-GR"/>
        </w:rPr>
        <w:t xml:space="preserve"> ισοδύναμη με τη</w:t>
      </w:r>
      <w:r>
        <w:rPr>
          <w:szCs w:val="22"/>
          <w:lang w:val="el-GR"/>
        </w:rPr>
        <w:t xml:space="preserve"> </w:t>
      </w:r>
      <w:r w:rsidR="00634A64">
        <w:rPr>
          <w:szCs w:val="22"/>
          <w:lang w:val="el-GR"/>
        </w:rPr>
        <w:t xml:space="preserve">δεκαπενταπλάσια </w:t>
      </w:r>
      <w:r>
        <w:rPr>
          <w:szCs w:val="22"/>
          <w:lang w:val="el-GR"/>
        </w:rPr>
        <w:t xml:space="preserve">της </w:t>
      </w:r>
      <w:proofErr w:type="spellStart"/>
      <w:r>
        <w:rPr>
          <w:szCs w:val="22"/>
          <w:lang w:val="el-GR"/>
        </w:rPr>
        <w:t>επιτυγχανόμενης</w:t>
      </w:r>
      <w:proofErr w:type="spellEnd"/>
      <w:r>
        <w:rPr>
          <w:szCs w:val="22"/>
          <w:lang w:val="el-GR"/>
        </w:rPr>
        <w:t xml:space="preserve"> σε ανθρώπους υπό θεραπευτική δόση 20 </w:t>
      </w:r>
      <w:r>
        <w:rPr>
          <w:szCs w:val="22"/>
          <w:lang w:val="en-US"/>
        </w:rPr>
        <w:t>mg</w:t>
      </w:r>
      <w:r w:rsidRPr="00647D88">
        <w:rPr>
          <w:szCs w:val="22"/>
          <w:lang w:val="el-GR"/>
        </w:rPr>
        <w:t xml:space="preserve"> </w:t>
      </w:r>
      <w:r>
        <w:rPr>
          <w:szCs w:val="22"/>
          <w:lang w:val="el-GR"/>
        </w:rPr>
        <w:t xml:space="preserve">ημερησίως), </w:t>
      </w:r>
      <w:r w:rsidR="007B7D76">
        <w:rPr>
          <w:szCs w:val="22"/>
          <w:lang w:val="el-GR"/>
        </w:rPr>
        <w:t>λαμβάνοντας υπόψη</w:t>
      </w:r>
      <w:r w:rsidR="00634A64">
        <w:rPr>
          <w:szCs w:val="22"/>
          <w:lang w:val="el-GR"/>
        </w:rPr>
        <w:t xml:space="preserve"> τα</w:t>
      </w:r>
      <w:r w:rsidR="007B7D76">
        <w:rPr>
          <w:szCs w:val="22"/>
          <w:lang w:val="el-GR"/>
        </w:rPr>
        <w:t xml:space="preserve"> </w:t>
      </w:r>
      <w:r w:rsidR="007B7D76">
        <w:rPr>
          <w:szCs w:val="22"/>
          <w:lang w:val="en-US"/>
        </w:rPr>
        <w:t>mg</w:t>
      </w:r>
      <w:r w:rsidR="007B7D76" w:rsidRPr="007B7D76">
        <w:rPr>
          <w:szCs w:val="22"/>
          <w:lang w:val="el-GR"/>
        </w:rPr>
        <w:t>/</w:t>
      </w:r>
      <w:r w:rsidR="007B7D76">
        <w:rPr>
          <w:szCs w:val="22"/>
          <w:lang w:val="en-US"/>
        </w:rPr>
        <w:t>m</w:t>
      </w:r>
      <w:r w:rsidR="007B7D76" w:rsidRPr="007B7D76">
        <w:rPr>
          <w:szCs w:val="22"/>
          <w:vertAlign w:val="superscript"/>
          <w:lang w:val="el-GR"/>
        </w:rPr>
        <w:t>2</w:t>
      </w:r>
      <w:r w:rsidR="007B7D76" w:rsidRPr="007B7D76">
        <w:rPr>
          <w:szCs w:val="22"/>
          <w:lang w:val="el-GR"/>
        </w:rPr>
        <w:t>, (</w:t>
      </w:r>
      <w:r w:rsidR="00634A64">
        <w:rPr>
          <w:szCs w:val="22"/>
          <w:lang w:val="el-GR"/>
        </w:rPr>
        <w:t xml:space="preserve">η δόση </w:t>
      </w:r>
      <w:r w:rsidR="007B7D76">
        <w:rPr>
          <w:szCs w:val="22"/>
          <w:lang w:val="el-GR"/>
        </w:rPr>
        <w:t xml:space="preserve">στα ζώα </w:t>
      </w:r>
      <w:r w:rsidR="00634A64">
        <w:rPr>
          <w:szCs w:val="22"/>
          <w:lang w:val="el-GR"/>
        </w:rPr>
        <w:t xml:space="preserve">είναι </w:t>
      </w:r>
      <w:r w:rsidR="007B7D76">
        <w:rPr>
          <w:szCs w:val="22"/>
          <w:lang w:val="el-GR"/>
        </w:rPr>
        <w:t>10 φορές μεγαλύτερ</w:t>
      </w:r>
      <w:r w:rsidR="00302ECB">
        <w:rPr>
          <w:szCs w:val="22"/>
          <w:lang w:val="el-GR"/>
        </w:rPr>
        <w:t>η</w:t>
      </w:r>
      <w:r w:rsidR="007B7D76">
        <w:rPr>
          <w:szCs w:val="22"/>
          <w:lang w:val="el-GR"/>
        </w:rPr>
        <w:t xml:space="preserve"> απ’ ότι στον άνθρωπο), καθώς ούτε σε κουνέλια που έλαβαν 1,6 </w:t>
      </w:r>
      <w:r w:rsidR="007B7D76">
        <w:rPr>
          <w:szCs w:val="22"/>
          <w:lang w:val="en-US"/>
        </w:rPr>
        <w:t>mg</w:t>
      </w:r>
      <w:r w:rsidR="007B7D76" w:rsidRPr="00647D88">
        <w:rPr>
          <w:szCs w:val="22"/>
          <w:lang w:val="el-GR"/>
        </w:rPr>
        <w:t>/</w:t>
      </w:r>
      <w:r w:rsidR="007B7D76">
        <w:rPr>
          <w:szCs w:val="22"/>
          <w:lang w:val="en-US"/>
        </w:rPr>
        <w:t>kg</w:t>
      </w:r>
      <w:r w:rsidR="007B7D76" w:rsidRPr="00647D88">
        <w:rPr>
          <w:szCs w:val="22"/>
          <w:lang w:val="el-GR"/>
        </w:rPr>
        <w:t>/</w:t>
      </w:r>
      <w:r w:rsidR="007B7D76">
        <w:rPr>
          <w:szCs w:val="22"/>
          <w:lang w:val="el-GR"/>
        </w:rPr>
        <w:t xml:space="preserve">ημέρα (σε </w:t>
      </w:r>
      <w:r w:rsidR="007B7D76">
        <w:rPr>
          <w:szCs w:val="22"/>
          <w:lang w:val="en-US"/>
        </w:rPr>
        <w:t>mg</w:t>
      </w:r>
      <w:r w:rsidR="007B7D76" w:rsidRPr="007B7D76">
        <w:rPr>
          <w:szCs w:val="22"/>
          <w:lang w:val="el-GR"/>
        </w:rPr>
        <w:t>/</w:t>
      </w:r>
      <w:r w:rsidR="007B7D76">
        <w:rPr>
          <w:szCs w:val="22"/>
          <w:lang w:val="en-US"/>
        </w:rPr>
        <w:t>m</w:t>
      </w:r>
      <w:r w:rsidR="008B626D">
        <w:rPr>
          <w:szCs w:val="22"/>
          <w:lang w:val="el-GR"/>
        </w:rPr>
        <w:t xml:space="preserve">, </w:t>
      </w:r>
      <w:r w:rsidR="00634A64">
        <w:rPr>
          <w:szCs w:val="22"/>
          <w:lang w:val="el-GR"/>
        </w:rPr>
        <w:t xml:space="preserve">έκθεση </w:t>
      </w:r>
      <w:r w:rsidR="004C1B45">
        <w:rPr>
          <w:szCs w:val="22"/>
          <w:lang w:val="el-GR"/>
        </w:rPr>
        <w:t xml:space="preserve">ισοδύναμη με την </w:t>
      </w:r>
      <w:r w:rsidR="00634A64">
        <w:rPr>
          <w:szCs w:val="22"/>
          <w:lang w:val="el-GR"/>
        </w:rPr>
        <w:t>πενταπλάσια</w:t>
      </w:r>
      <w:r w:rsidR="008B626D">
        <w:rPr>
          <w:szCs w:val="22"/>
          <w:lang w:val="el-GR"/>
        </w:rPr>
        <w:t xml:space="preserve"> της </w:t>
      </w:r>
      <w:proofErr w:type="spellStart"/>
      <w:r w:rsidR="008B626D">
        <w:rPr>
          <w:szCs w:val="22"/>
          <w:lang w:val="el-GR"/>
        </w:rPr>
        <w:t>επιτυγχανόμενης</w:t>
      </w:r>
      <w:proofErr w:type="spellEnd"/>
      <w:r w:rsidR="008B626D">
        <w:rPr>
          <w:szCs w:val="22"/>
          <w:lang w:val="el-GR"/>
        </w:rPr>
        <w:t xml:space="preserve"> σε ανθρώπους </w:t>
      </w:r>
      <w:r w:rsidR="00634A64">
        <w:rPr>
          <w:szCs w:val="22"/>
          <w:lang w:val="el-GR"/>
        </w:rPr>
        <w:t>με</w:t>
      </w:r>
      <w:r w:rsidR="00302ECB">
        <w:rPr>
          <w:szCs w:val="22"/>
          <w:lang w:val="el-GR"/>
        </w:rPr>
        <w:t xml:space="preserve"> </w:t>
      </w:r>
      <w:r w:rsidR="008B626D">
        <w:rPr>
          <w:szCs w:val="22"/>
          <w:lang w:val="el-GR"/>
        </w:rPr>
        <w:t>20 </w:t>
      </w:r>
      <w:r w:rsidR="008B626D">
        <w:rPr>
          <w:szCs w:val="22"/>
          <w:lang w:val="en-US"/>
        </w:rPr>
        <w:t>mg</w:t>
      </w:r>
      <w:r w:rsidR="008B626D" w:rsidRPr="00647D88">
        <w:rPr>
          <w:szCs w:val="22"/>
          <w:lang w:val="el-GR"/>
        </w:rPr>
        <w:t>/</w:t>
      </w:r>
      <w:r w:rsidR="008B626D">
        <w:rPr>
          <w:szCs w:val="22"/>
          <w:lang w:val="en-US"/>
        </w:rPr>
        <w:t>kg</w:t>
      </w:r>
      <w:r w:rsidR="008B626D">
        <w:rPr>
          <w:szCs w:val="22"/>
          <w:lang w:val="el-GR"/>
        </w:rPr>
        <w:t xml:space="preserve"> </w:t>
      </w:r>
      <w:r w:rsidR="00645FEE">
        <w:rPr>
          <w:szCs w:val="22"/>
          <w:lang w:val="el-GR"/>
        </w:rPr>
        <w:t xml:space="preserve">ή </w:t>
      </w:r>
      <w:r w:rsidR="008B626D">
        <w:rPr>
          <w:szCs w:val="22"/>
          <w:lang w:val="el-GR"/>
        </w:rPr>
        <w:t xml:space="preserve">σε </w:t>
      </w:r>
      <w:r w:rsidR="008B626D">
        <w:rPr>
          <w:szCs w:val="22"/>
          <w:lang w:val="en-US"/>
        </w:rPr>
        <w:t>mg</w:t>
      </w:r>
      <w:r w:rsidR="008B626D" w:rsidRPr="007B7D76">
        <w:rPr>
          <w:szCs w:val="22"/>
          <w:lang w:val="el-GR"/>
        </w:rPr>
        <w:t>/</w:t>
      </w:r>
      <w:r w:rsidR="008B626D">
        <w:rPr>
          <w:szCs w:val="22"/>
          <w:lang w:val="en-US"/>
        </w:rPr>
        <w:t>m</w:t>
      </w:r>
      <w:r w:rsidR="008B626D" w:rsidRPr="007B7D76">
        <w:rPr>
          <w:szCs w:val="22"/>
          <w:vertAlign w:val="superscript"/>
          <w:lang w:val="el-GR"/>
        </w:rPr>
        <w:t>2</w:t>
      </w:r>
      <w:r w:rsidR="008B626D">
        <w:rPr>
          <w:szCs w:val="22"/>
          <w:lang w:val="el-GR"/>
        </w:rPr>
        <w:t xml:space="preserve"> 1,7 φορές μεγαλύτερ</w:t>
      </w:r>
      <w:r w:rsidR="00645FEE">
        <w:rPr>
          <w:szCs w:val="22"/>
          <w:lang w:val="el-GR"/>
        </w:rPr>
        <w:t>η δόση</w:t>
      </w:r>
      <w:r w:rsidR="008B626D">
        <w:rPr>
          <w:szCs w:val="22"/>
          <w:lang w:val="el-GR"/>
        </w:rPr>
        <w:t>).</w:t>
      </w:r>
    </w:p>
    <w:p w14:paraId="165FCE4C" w14:textId="2B4A2108" w:rsidR="008B626D" w:rsidRDefault="008B626D">
      <w:pPr>
        <w:rPr>
          <w:szCs w:val="22"/>
          <w:lang w:val="el-GR"/>
        </w:rPr>
      </w:pPr>
      <w:r>
        <w:rPr>
          <w:szCs w:val="22"/>
          <w:lang w:val="el-GR"/>
        </w:rPr>
        <w:t xml:space="preserve">Παρατηρήθηκε μητρική και εμβρυϊκή τοξικότητα (μείωση μέσου σωματικού βάρους, αύξηση </w:t>
      </w:r>
      <w:r w:rsidR="001B70AD">
        <w:rPr>
          <w:szCs w:val="22"/>
          <w:lang w:val="el-GR"/>
        </w:rPr>
        <w:t xml:space="preserve">παλίνδρομων κυήσεων </w:t>
      </w:r>
      <w:r>
        <w:rPr>
          <w:szCs w:val="22"/>
          <w:lang w:val="el-GR"/>
        </w:rPr>
        <w:t>και καθυστέρηση εμβρυϊκής οστεοποίησης) σε κουνέλια και αρουραίους που έλαβαν δόσεις 4 φορές (κουνέλια) και 5 φορές (αρουραίοι) μεγαλύτερες.</w:t>
      </w:r>
    </w:p>
    <w:p w14:paraId="34D2D5CC" w14:textId="77777777" w:rsidR="004E6560" w:rsidRDefault="004E6560">
      <w:pPr>
        <w:rPr>
          <w:szCs w:val="22"/>
          <w:lang w:val="el-GR"/>
        </w:rPr>
      </w:pPr>
    </w:p>
    <w:p w14:paraId="180318E4" w14:textId="77777777" w:rsidR="004E6560" w:rsidRPr="001434E3" w:rsidRDefault="004E6560" w:rsidP="004E6560">
      <w:pPr>
        <w:rPr>
          <w:noProof/>
          <w:szCs w:val="22"/>
          <w:lang w:val="el-GR"/>
        </w:rPr>
      </w:pPr>
      <w:r w:rsidRPr="001434E3">
        <w:rPr>
          <w:szCs w:val="22"/>
          <w:lang w:val="el-GR"/>
        </w:rPr>
        <w:t xml:space="preserve">Η </w:t>
      </w:r>
      <w:proofErr w:type="spellStart"/>
      <w:r w:rsidRPr="001434E3">
        <w:rPr>
          <w:szCs w:val="22"/>
          <w:lang w:val="el-GR"/>
        </w:rPr>
        <w:t>τορασεμίδη</w:t>
      </w:r>
      <w:proofErr w:type="spellEnd"/>
      <w:r w:rsidRPr="001434E3">
        <w:rPr>
          <w:szCs w:val="22"/>
          <w:lang w:val="el-GR"/>
        </w:rPr>
        <w:t xml:space="preserve"> αντενδείκνυται κατά τη διάρκεια της εγκυμοσύνης. </w:t>
      </w:r>
    </w:p>
    <w:p w14:paraId="49DE946E" w14:textId="77777777" w:rsidR="004E6560" w:rsidRPr="001434E3" w:rsidRDefault="004E6560" w:rsidP="004E6560">
      <w:pPr>
        <w:rPr>
          <w:szCs w:val="22"/>
          <w:u w:val="single"/>
          <w:lang w:val="el-GR"/>
        </w:rPr>
      </w:pPr>
    </w:p>
    <w:p w14:paraId="7AF1233D" w14:textId="77777777" w:rsidR="004E6560" w:rsidRPr="001434E3" w:rsidRDefault="004E6560" w:rsidP="004E6560">
      <w:pPr>
        <w:rPr>
          <w:noProof/>
          <w:szCs w:val="22"/>
          <w:lang w:val="el-GR"/>
        </w:rPr>
      </w:pPr>
      <w:r w:rsidRPr="001434E3">
        <w:rPr>
          <w:szCs w:val="22"/>
          <w:u w:val="single"/>
          <w:lang w:val="el-GR"/>
        </w:rPr>
        <w:t>Γαλουχία</w:t>
      </w:r>
    </w:p>
    <w:p w14:paraId="0FE1CEDA" w14:textId="77777777" w:rsidR="004E6560" w:rsidRPr="001434E3" w:rsidRDefault="004E6560" w:rsidP="004E6560">
      <w:pPr>
        <w:rPr>
          <w:noProof/>
          <w:szCs w:val="22"/>
          <w:lang w:val="el-GR"/>
        </w:rPr>
      </w:pPr>
      <w:r w:rsidRPr="001434E3">
        <w:rPr>
          <w:noProof/>
          <w:szCs w:val="22"/>
          <w:lang w:val="el-GR"/>
        </w:rPr>
        <w:lastRenderedPageBreak/>
        <w:t xml:space="preserve">Δεν είναι γνωστό εάν η </w:t>
      </w:r>
      <w:proofErr w:type="spellStart"/>
      <w:r w:rsidRPr="001434E3">
        <w:rPr>
          <w:szCs w:val="22"/>
          <w:lang w:val="el-GR"/>
        </w:rPr>
        <w:t>τορασεμίδη</w:t>
      </w:r>
      <w:proofErr w:type="spellEnd"/>
      <w:r w:rsidRPr="001434E3">
        <w:rPr>
          <w:szCs w:val="22"/>
          <w:lang w:val="el-GR"/>
        </w:rPr>
        <w:t xml:space="preserve"> απεκκρίνεται στο ανθρώπινο γάλα. Κατά συνέπεια η χορήγησή της αντενδείκνυται κατά τη γαλουχία.  </w:t>
      </w:r>
    </w:p>
    <w:p w14:paraId="09DAE43D" w14:textId="77777777" w:rsidR="00FD771B" w:rsidRPr="00B32DC3" w:rsidRDefault="00FD771B" w:rsidP="005D77D3">
      <w:pPr>
        <w:rPr>
          <w:noProof/>
          <w:szCs w:val="22"/>
          <w:lang w:val="el-GR"/>
        </w:rPr>
      </w:pPr>
    </w:p>
    <w:p w14:paraId="2D729C47" w14:textId="77777777" w:rsidR="00FD771B" w:rsidRPr="00684E83" w:rsidRDefault="00FD771B" w:rsidP="00622633">
      <w:pPr>
        <w:rPr>
          <w:noProof/>
          <w:szCs w:val="22"/>
          <w:lang w:val="el-GR"/>
        </w:rPr>
      </w:pPr>
      <w:r w:rsidRPr="00684E83">
        <w:rPr>
          <w:b/>
          <w:noProof/>
          <w:szCs w:val="22"/>
          <w:lang w:val="el-GR"/>
        </w:rPr>
        <w:t>4.7</w:t>
      </w:r>
      <w:r w:rsidRPr="00684E83">
        <w:rPr>
          <w:b/>
          <w:noProof/>
          <w:szCs w:val="22"/>
          <w:lang w:val="el-GR"/>
        </w:rPr>
        <w:tab/>
        <w:t xml:space="preserve">Επιδράσεις στην ικανότητα οδήγησης και χειρισμού </w:t>
      </w:r>
      <w:r>
        <w:rPr>
          <w:b/>
          <w:noProof/>
          <w:szCs w:val="22"/>
          <w:lang w:val="el-GR"/>
        </w:rPr>
        <w:t>μηχανημάτων</w:t>
      </w:r>
    </w:p>
    <w:p w14:paraId="20E21867" w14:textId="77777777" w:rsidR="00FD771B" w:rsidRPr="00684E83" w:rsidRDefault="00FD771B">
      <w:pPr>
        <w:rPr>
          <w:noProof/>
          <w:szCs w:val="22"/>
          <w:lang w:val="el-GR"/>
        </w:rPr>
      </w:pPr>
    </w:p>
    <w:p w14:paraId="1CCEDB45" w14:textId="77777777" w:rsidR="00FD771B" w:rsidRPr="00684E83" w:rsidRDefault="0044500D">
      <w:pPr>
        <w:rPr>
          <w:noProof/>
          <w:szCs w:val="22"/>
          <w:lang w:val="el-GR"/>
        </w:rPr>
      </w:pPr>
      <w:r>
        <w:rPr>
          <w:noProof/>
          <w:szCs w:val="22"/>
          <w:lang w:val="el-GR"/>
        </w:rPr>
        <w:t xml:space="preserve">Ακόμη και εάν λαμβάνεται </w:t>
      </w:r>
      <w:r w:rsidR="00850867">
        <w:rPr>
          <w:noProof/>
          <w:szCs w:val="22"/>
          <w:lang w:val="el-GR"/>
        </w:rPr>
        <w:t xml:space="preserve">στη συνιστώμενη δοσολογία, η </w:t>
      </w:r>
      <w:proofErr w:type="spellStart"/>
      <w:r w:rsidR="00850867" w:rsidRPr="00B32253">
        <w:rPr>
          <w:szCs w:val="22"/>
          <w:lang w:val="el-GR"/>
        </w:rPr>
        <w:t>τορασεμίδη</w:t>
      </w:r>
      <w:proofErr w:type="spellEnd"/>
      <w:r w:rsidR="00850867">
        <w:rPr>
          <w:szCs w:val="22"/>
          <w:lang w:val="el-GR"/>
        </w:rPr>
        <w:t xml:space="preserve"> </w:t>
      </w:r>
      <w:r w:rsidR="00FD771B" w:rsidRPr="00684E83">
        <w:rPr>
          <w:noProof/>
          <w:szCs w:val="22"/>
          <w:lang w:val="el-GR"/>
        </w:rPr>
        <w:t xml:space="preserve">έχει σημαντική επίδραση στην ικανότητα οδήγησης και χειρισμού </w:t>
      </w:r>
      <w:r w:rsidR="00FD771B">
        <w:rPr>
          <w:noProof/>
          <w:szCs w:val="22"/>
          <w:lang w:val="el-GR"/>
        </w:rPr>
        <w:t>μηχανημάτων</w:t>
      </w:r>
      <w:r w:rsidR="0060530C">
        <w:rPr>
          <w:noProof/>
          <w:szCs w:val="22"/>
          <w:lang w:val="el-GR"/>
        </w:rPr>
        <w:t>, ειδικά αν λαμβάνεται ταυτόχρονα με αλκοόλ.</w:t>
      </w:r>
    </w:p>
    <w:p w14:paraId="46BEB437" w14:textId="77777777" w:rsidR="00FD771B" w:rsidRPr="00244CF5" w:rsidRDefault="00FD771B">
      <w:pPr>
        <w:rPr>
          <w:noProof/>
          <w:szCs w:val="22"/>
          <w:lang w:val="el-GR"/>
        </w:rPr>
      </w:pPr>
    </w:p>
    <w:p w14:paraId="1D148D21" w14:textId="77777777" w:rsidR="00FD771B" w:rsidRPr="00684E83" w:rsidRDefault="00FD771B">
      <w:pPr>
        <w:rPr>
          <w:noProof/>
          <w:szCs w:val="22"/>
          <w:lang w:val="el-GR"/>
        </w:rPr>
      </w:pPr>
      <w:r w:rsidRPr="00684E83">
        <w:rPr>
          <w:b/>
          <w:noProof/>
          <w:szCs w:val="22"/>
          <w:lang w:val="el-GR"/>
        </w:rPr>
        <w:t>4.8</w:t>
      </w:r>
      <w:r w:rsidRPr="00684E83">
        <w:rPr>
          <w:b/>
          <w:noProof/>
          <w:szCs w:val="22"/>
          <w:lang w:val="el-GR"/>
        </w:rPr>
        <w:tab/>
        <w:t>Ανεπιθύμητες ενέργειες</w:t>
      </w:r>
    </w:p>
    <w:p w14:paraId="3876FB16" w14:textId="77777777" w:rsidR="00FD771B" w:rsidRPr="00684E83" w:rsidRDefault="00FD771B">
      <w:pPr>
        <w:rPr>
          <w:noProof/>
          <w:szCs w:val="22"/>
          <w:lang w:val="el-GR"/>
        </w:rPr>
      </w:pPr>
    </w:p>
    <w:p w14:paraId="52A90704" w14:textId="77777777" w:rsidR="00B5502E" w:rsidRDefault="00B5502E" w:rsidP="00B5502E">
      <w:pPr>
        <w:rPr>
          <w:noProof/>
          <w:szCs w:val="22"/>
          <w:lang w:val="el-GR"/>
        </w:rPr>
      </w:pPr>
      <w:r>
        <w:rPr>
          <w:noProof/>
          <w:szCs w:val="22"/>
          <w:lang w:val="el-GR"/>
        </w:rPr>
        <w:t xml:space="preserve">Οι ανεπιθύμητες ενέργειες ανά κατηγορία συστήματος είναι: </w:t>
      </w:r>
    </w:p>
    <w:p w14:paraId="397EF826" w14:textId="77777777" w:rsidR="00B5502E" w:rsidRDefault="00B5502E" w:rsidP="00B5502E">
      <w:pPr>
        <w:rPr>
          <w:noProof/>
          <w:szCs w:val="22"/>
          <w:lang w:val="el-GR"/>
        </w:rPr>
      </w:pPr>
    </w:p>
    <w:p w14:paraId="57029F86" w14:textId="77777777" w:rsidR="00B5502E" w:rsidRPr="00437BFC" w:rsidRDefault="00B5502E" w:rsidP="00B5502E">
      <w:pPr>
        <w:rPr>
          <w:i/>
          <w:lang w:val="el-GR"/>
        </w:rPr>
      </w:pPr>
      <w:r w:rsidRPr="00736F20">
        <w:rPr>
          <w:i/>
        </w:rPr>
        <w:t>X</w:t>
      </w:r>
      <w:proofErr w:type="spellStart"/>
      <w:r w:rsidRPr="00437BFC">
        <w:rPr>
          <w:i/>
          <w:lang w:val="el-GR"/>
        </w:rPr>
        <w:t>ημεία</w:t>
      </w:r>
      <w:proofErr w:type="spellEnd"/>
      <w:r w:rsidRPr="00437BFC">
        <w:rPr>
          <w:i/>
          <w:lang w:val="el-GR"/>
        </w:rPr>
        <w:t xml:space="preserve"> / όγκος </w:t>
      </w:r>
      <w:r w:rsidRPr="00736F20">
        <w:rPr>
          <w:i/>
        </w:rPr>
        <w:t>a</w:t>
      </w:r>
      <w:proofErr w:type="spellStart"/>
      <w:r w:rsidRPr="00437BFC">
        <w:rPr>
          <w:i/>
          <w:lang w:val="el-GR"/>
        </w:rPr>
        <w:t>ίματος</w:t>
      </w:r>
      <w:proofErr w:type="spellEnd"/>
      <w:r w:rsidRPr="00437BFC">
        <w:rPr>
          <w:i/>
          <w:lang w:val="el-GR"/>
        </w:rPr>
        <w:t>:</w:t>
      </w:r>
    </w:p>
    <w:p w14:paraId="1AAEA9BB" w14:textId="77777777" w:rsidR="00B5502E" w:rsidRPr="00437BFC" w:rsidRDefault="00B5502E" w:rsidP="00B5502E">
      <w:pPr>
        <w:rPr>
          <w:lang w:val="el-GR"/>
        </w:rPr>
      </w:pPr>
      <w:r w:rsidRPr="00437BFC">
        <w:rPr>
          <w:lang w:val="el-GR"/>
        </w:rPr>
        <w:t>Όπως και με άλλα διουρητικά, ανάλογα με τη δοσολογία και τη διάρκεια της θεραπείας, μπορεί να υπάρχουν διαταραχές ισοζυγίου ύδατος και ηλεκτρολυτών, ειδικά με εμφανώς περιορισμένη πρόσληψη αλατιού.</w:t>
      </w:r>
    </w:p>
    <w:p w14:paraId="39B21A70" w14:textId="77777777" w:rsidR="00B5502E" w:rsidRPr="001F4288" w:rsidRDefault="00B5502E" w:rsidP="00B5502E">
      <w:pPr>
        <w:rPr>
          <w:sz w:val="10"/>
          <w:szCs w:val="10"/>
          <w:lang w:val="el-GR"/>
        </w:rPr>
      </w:pPr>
    </w:p>
    <w:p w14:paraId="00AD1AAD" w14:textId="77777777" w:rsidR="00B5502E" w:rsidRPr="00437BFC" w:rsidRDefault="00B5502E" w:rsidP="00B5502E">
      <w:pPr>
        <w:rPr>
          <w:lang w:val="el-GR"/>
        </w:rPr>
      </w:pPr>
      <w:r w:rsidRPr="00437BFC">
        <w:rPr>
          <w:lang w:val="el-GR"/>
        </w:rPr>
        <w:t xml:space="preserve">Η </w:t>
      </w:r>
      <w:proofErr w:type="spellStart"/>
      <w:r w:rsidRPr="00437BFC">
        <w:rPr>
          <w:lang w:val="el-GR"/>
        </w:rPr>
        <w:t>υποκαλιαιμία</w:t>
      </w:r>
      <w:proofErr w:type="spellEnd"/>
      <w:r w:rsidRPr="00437BFC">
        <w:rPr>
          <w:lang w:val="el-GR"/>
        </w:rPr>
        <w:t xml:space="preserve"> μπορεί να συμβεί (ειδικά με διατροφή χαμηλή σε κάλιο, ή εάν έμετος, διάρροια, ή υπερβολική χρήση καθαρτικών λαμβάνει χώρα, ή σε περιπτώσεις ηπατικής ανεπάρκειας).</w:t>
      </w:r>
    </w:p>
    <w:p w14:paraId="0BE5061D" w14:textId="77777777" w:rsidR="00B5502E" w:rsidRPr="001F4288" w:rsidRDefault="00B5502E" w:rsidP="00B5502E">
      <w:pPr>
        <w:rPr>
          <w:sz w:val="10"/>
          <w:szCs w:val="10"/>
          <w:lang w:val="el-GR"/>
        </w:rPr>
      </w:pPr>
    </w:p>
    <w:p w14:paraId="6C2840E7" w14:textId="77777777" w:rsidR="00B5502E" w:rsidRPr="00437BFC" w:rsidRDefault="00B5502E" w:rsidP="00B5502E">
      <w:pPr>
        <w:rPr>
          <w:lang w:val="el-GR"/>
        </w:rPr>
      </w:pPr>
      <w:r w:rsidRPr="00437BFC">
        <w:rPr>
          <w:lang w:val="el-GR"/>
        </w:rPr>
        <w:t>Συμπτώματα και σημάδια απώλειας των ηλεκτρολυτών και του όγκου, όπως πονοκέφαλος, ζάλη, υπόταση, αδυναμία, υπνηλία, κατάσταση σύγχυσης, απώλεια της όρεξης και κράμπες, μπορεί να προκύψουν, εάν η διούρηση είναι αξιοσημείωτη, ιδιαίτερα κατά την έναρξη της θεραπείας αλλά και σε ηλικιωμένους ασθενείς. Προσαρμογή της δόσης μπορεί να είναι απαραίτητη.</w:t>
      </w:r>
    </w:p>
    <w:p w14:paraId="5F4ED65D" w14:textId="77777777" w:rsidR="00B5502E" w:rsidRPr="00437BFC" w:rsidRDefault="00B5502E" w:rsidP="00B5502E">
      <w:pPr>
        <w:rPr>
          <w:lang w:val="el-GR"/>
        </w:rPr>
      </w:pPr>
    </w:p>
    <w:p w14:paraId="6E829A5B" w14:textId="77777777" w:rsidR="00B5502E" w:rsidRPr="00437BFC" w:rsidRDefault="00B5502E" w:rsidP="00B5502E">
      <w:pPr>
        <w:rPr>
          <w:lang w:val="el-GR"/>
        </w:rPr>
      </w:pPr>
      <w:r w:rsidRPr="00437BFC">
        <w:rPr>
          <w:lang w:val="el-GR"/>
        </w:rPr>
        <w:t xml:space="preserve">Μπορεί να υπάρξει αύξηση των επιπέδων ουρικού οξέος, γλυκόζης και λιπιδίων του ορού του αίματος. </w:t>
      </w:r>
    </w:p>
    <w:p w14:paraId="23687678" w14:textId="77777777" w:rsidR="00B5502E" w:rsidRPr="00437BFC" w:rsidRDefault="00B5502E" w:rsidP="00B5502E">
      <w:pPr>
        <w:rPr>
          <w:lang w:val="el-GR"/>
        </w:rPr>
      </w:pPr>
    </w:p>
    <w:p w14:paraId="79959229" w14:textId="77777777" w:rsidR="00B5502E" w:rsidRPr="00437BFC" w:rsidRDefault="00B5502E" w:rsidP="00B5502E">
      <w:pPr>
        <w:rPr>
          <w:lang w:val="el-GR"/>
        </w:rPr>
      </w:pPr>
      <w:r w:rsidRPr="00437BFC">
        <w:rPr>
          <w:lang w:val="el-GR"/>
        </w:rPr>
        <w:t xml:space="preserve">Μπορεί να υπάρχει επιδείνωση της μεταβολικής </w:t>
      </w:r>
      <w:proofErr w:type="spellStart"/>
      <w:r w:rsidRPr="00437BFC">
        <w:rPr>
          <w:lang w:val="el-GR"/>
        </w:rPr>
        <w:t>αλκάλωσης</w:t>
      </w:r>
      <w:proofErr w:type="spellEnd"/>
      <w:r w:rsidRPr="00437BFC">
        <w:rPr>
          <w:lang w:val="el-GR"/>
        </w:rPr>
        <w:t>.</w:t>
      </w:r>
    </w:p>
    <w:p w14:paraId="7A15346A" w14:textId="77777777" w:rsidR="00B5502E" w:rsidRPr="00437BFC" w:rsidRDefault="00B5502E" w:rsidP="00B5502E">
      <w:pPr>
        <w:rPr>
          <w:lang w:val="el-GR"/>
        </w:rPr>
      </w:pPr>
    </w:p>
    <w:p w14:paraId="1A88BA93" w14:textId="77777777" w:rsidR="00B5502E" w:rsidRPr="00437BFC" w:rsidRDefault="00B5502E" w:rsidP="00B5502E">
      <w:pPr>
        <w:rPr>
          <w:i/>
          <w:u w:val="single"/>
          <w:lang w:val="el-GR"/>
        </w:rPr>
      </w:pPr>
      <w:r w:rsidRPr="00437BFC">
        <w:rPr>
          <w:i/>
          <w:u w:val="single"/>
          <w:lang w:val="el-GR"/>
        </w:rPr>
        <w:t>Καρδιαγγειακό σύστημα</w:t>
      </w:r>
    </w:p>
    <w:p w14:paraId="0A6A5AD1" w14:textId="77777777" w:rsidR="00B5502E" w:rsidRPr="00437BFC" w:rsidRDefault="00B5502E" w:rsidP="00B5502E">
      <w:pPr>
        <w:rPr>
          <w:lang w:val="el-GR"/>
        </w:rPr>
      </w:pPr>
      <w:r w:rsidRPr="00437BFC">
        <w:rPr>
          <w:lang w:val="el-GR"/>
        </w:rPr>
        <w:t xml:space="preserve">Σε μεμονωμένες περιπτώσεις, ενδέχεται να παρουσιαστούν </w:t>
      </w:r>
      <w:proofErr w:type="spellStart"/>
      <w:r w:rsidRPr="00437BFC">
        <w:rPr>
          <w:lang w:val="el-GR"/>
        </w:rPr>
        <w:t>θρομβοεμβολικές</w:t>
      </w:r>
      <w:proofErr w:type="spellEnd"/>
      <w:r w:rsidRPr="00437BFC">
        <w:rPr>
          <w:lang w:val="el-GR"/>
        </w:rPr>
        <w:t xml:space="preserve"> επιπλοκές και κυκλοφορικές διαταραχές λόγω </w:t>
      </w:r>
      <w:proofErr w:type="spellStart"/>
      <w:r w:rsidRPr="00437BFC">
        <w:rPr>
          <w:lang w:val="el-GR"/>
        </w:rPr>
        <w:t>αιμοσυμπύκνωσης</w:t>
      </w:r>
      <w:proofErr w:type="spellEnd"/>
      <w:r w:rsidRPr="00437BFC">
        <w:rPr>
          <w:lang w:val="el-GR"/>
        </w:rPr>
        <w:t>.</w:t>
      </w:r>
    </w:p>
    <w:p w14:paraId="2D2ACD5B" w14:textId="77777777" w:rsidR="00B5502E" w:rsidRPr="00437BFC" w:rsidRDefault="00B5502E" w:rsidP="00B5502E">
      <w:pPr>
        <w:rPr>
          <w:lang w:val="el-GR"/>
        </w:rPr>
      </w:pPr>
    </w:p>
    <w:p w14:paraId="5E14F632" w14:textId="77777777" w:rsidR="00B5502E" w:rsidRPr="00437BFC" w:rsidRDefault="00B5502E" w:rsidP="00B5502E">
      <w:pPr>
        <w:rPr>
          <w:i/>
          <w:u w:val="single"/>
          <w:lang w:val="el-GR"/>
        </w:rPr>
      </w:pPr>
      <w:r w:rsidRPr="00437BFC">
        <w:rPr>
          <w:i/>
          <w:u w:val="single"/>
          <w:lang w:val="el-GR"/>
        </w:rPr>
        <w:t>Γαστρεντερικό σύστημα</w:t>
      </w:r>
    </w:p>
    <w:p w14:paraId="6535C9B5" w14:textId="77777777" w:rsidR="00B5502E" w:rsidRPr="00437BFC" w:rsidRDefault="00B5502E" w:rsidP="00B5502E">
      <w:pPr>
        <w:rPr>
          <w:lang w:val="el-GR"/>
        </w:rPr>
      </w:pPr>
      <w:r w:rsidRPr="00437BFC">
        <w:rPr>
          <w:lang w:val="el-GR"/>
        </w:rPr>
        <w:t xml:space="preserve">Οι ασθενείς μπορεί να εμφανίσουν συμπτώματα του γαστρεντερικού συστήματος. </w:t>
      </w:r>
    </w:p>
    <w:p w14:paraId="5B881405" w14:textId="77777777" w:rsidR="00B5502E" w:rsidRPr="00437BFC" w:rsidRDefault="00B5502E" w:rsidP="00B5502E">
      <w:pPr>
        <w:rPr>
          <w:lang w:val="el-GR"/>
        </w:rPr>
      </w:pPr>
      <w:r w:rsidRPr="00437BFC">
        <w:rPr>
          <w:lang w:val="el-GR"/>
        </w:rPr>
        <w:t>Σε μεμονωμένες περιπτώσεις έχει αναφερθεί παγκρεατίτιδα.</w:t>
      </w:r>
    </w:p>
    <w:p w14:paraId="0E74F9E8" w14:textId="77777777" w:rsidR="00B5502E" w:rsidRPr="00437BFC" w:rsidRDefault="00B5502E" w:rsidP="00B5502E">
      <w:pPr>
        <w:rPr>
          <w:lang w:val="el-GR"/>
        </w:rPr>
      </w:pPr>
    </w:p>
    <w:p w14:paraId="38A3F6F3" w14:textId="77777777" w:rsidR="00B5502E" w:rsidRPr="00437BFC" w:rsidRDefault="00B5502E" w:rsidP="00B5502E">
      <w:pPr>
        <w:rPr>
          <w:i/>
          <w:u w:val="single"/>
          <w:lang w:val="el-GR"/>
        </w:rPr>
      </w:pPr>
      <w:r w:rsidRPr="00437BFC">
        <w:rPr>
          <w:i/>
          <w:u w:val="single"/>
          <w:lang w:val="el-GR"/>
        </w:rPr>
        <w:t>Νεφρικό και ουροποιητικό σύστημα</w:t>
      </w:r>
    </w:p>
    <w:p w14:paraId="05458E90" w14:textId="77777777" w:rsidR="00B5502E" w:rsidRPr="00437BFC" w:rsidRDefault="00B5502E" w:rsidP="00B5502E">
      <w:pPr>
        <w:rPr>
          <w:lang w:val="el-GR"/>
        </w:rPr>
      </w:pPr>
      <w:r w:rsidRPr="00437BFC">
        <w:rPr>
          <w:lang w:val="el-GR"/>
        </w:rPr>
        <w:t>Σε ασθενείς με απόφραξη των ουροφόρων οδών ή με κατακράτηση ούρων μπορεί να υπάρξει καθίζηση.</w:t>
      </w:r>
    </w:p>
    <w:p w14:paraId="587AEC53" w14:textId="77777777" w:rsidR="00B5502E" w:rsidRPr="00437BFC" w:rsidRDefault="00B5502E" w:rsidP="00B5502E">
      <w:pPr>
        <w:rPr>
          <w:lang w:val="el-GR"/>
        </w:rPr>
      </w:pPr>
      <w:r w:rsidRPr="00437BFC">
        <w:rPr>
          <w:lang w:val="el-GR"/>
        </w:rPr>
        <w:t xml:space="preserve">Αυξημένα επίπεδα ουρίας και </w:t>
      </w:r>
      <w:proofErr w:type="spellStart"/>
      <w:r w:rsidRPr="00437BFC">
        <w:rPr>
          <w:lang w:val="el-GR"/>
        </w:rPr>
        <w:t>κρεατινίνης</w:t>
      </w:r>
      <w:proofErr w:type="spellEnd"/>
      <w:r w:rsidRPr="00437BFC">
        <w:rPr>
          <w:lang w:val="el-GR"/>
        </w:rPr>
        <w:t xml:space="preserve"> στον ορό του αίματος ενδέχεται να παρουσιαστούν.</w:t>
      </w:r>
    </w:p>
    <w:p w14:paraId="7EC906F6" w14:textId="77777777" w:rsidR="00B5502E" w:rsidRPr="00437BFC" w:rsidRDefault="00B5502E" w:rsidP="00B5502E">
      <w:pPr>
        <w:rPr>
          <w:lang w:val="el-GR"/>
        </w:rPr>
      </w:pPr>
    </w:p>
    <w:p w14:paraId="011D1145" w14:textId="77777777" w:rsidR="00B5502E" w:rsidRPr="00437BFC" w:rsidRDefault="00B5502E" w:rsidP="00B5502E">
      <w:pPr>
        <w:rPr>
          <w:i/>
          <w:u w:val="single"/>
          <w:lang w:val="el-GR"/>
        </w:rPr>
      </w:pPr>
      <w:r w:rsidRPr="00437BFC">
        <w:rPr>
          <w:i/>
          <w:u w:val="single"/>
          <w:lang w:val="el-GR"/>
        </w:rPr>
        <w:t>Ήπαρ</w:t>
      </w:r>
    </w:p>
    <w:p w14:paraId="532C27F5" w14:textId="77777777" w:rsidR="00B5502E" w:rsidRPr="00437BFC" w:rsidRDefault="00B5502E" w:rsidP="00B5502E">
      <w:pPr>
        <w:rPr>
          <w:lang w:val="el-GR"/>
        </w:rPr>
      </w:pPr>
      <w:r w:rsidRPr="00437BFC">
        <w:rPr>
          <w:lang w:val="el-GR"/>
        </w:rPr>
        <w:t>Αύξηση των επιπέδων ορισμένων ηπατικών ενζύμων, π.χ.. γ-</w:t>
      </w:r>
      <w:r w:rsidRPr="00175879">
        <w:t>GT</w:t>
      </w:r>
      <w:r w:rsidRPr="00437BFC">
        <w:rPr>
          <w:lang w:val="el-GR"/>
        </w:rPr>
        <w:t>.</w:t>
      </w:r>
    </w:p>
    <w:p w14:paraId="6005BC11" w14:textId="77777777" w:rsidR="00B5502E" w:rsidRPr="00437BFC" w:rsidRDefault="00B5502E" w:rsidP="00B5502E">
      <w:pPr>
        <w:rPr>
          <w:lang w:val="el-GR"/>
        </w:rPr>
      </w:pPr>
    </w:p>
    <w:p w14:paraId="570CCA37" w14:textId="77777777" w:rsidR="00B5502E" w:rsidRPr="00437BFC" w:rsidRDefault="00B5502E" w:rsidP="00B5502E">
      <w:pPr>
        <w:rPr>
          <w:i/>
          <w:u w:val="single"/>
          <w:lang w:val="el-GR"/>
        </w:rPr>
      </w:pPr>
      <w:r w:rsidRPr="00437BFC">
        <w:rPr>
          <w:i/>
          <w:u w:val="single"/>
          <w:lang w:val="el-GR"/>
        </w:rPr>
        <w:t>Αιματολογία</w:t>
      </w:r>
    </w:p>
    <w:p w14:paraId="20B68B5B" w14:textId="77777777" w:rsidR="00B5502E" w:rsidRPr="00437BFC" w:rsidRDefault="00B5502E" w:rsidP="00B5502E">
      <w:pPr>
        <w:rPr>
          <w:lang w:val="el-GR"/>
        </w:rPr>
      </w:pPr>
      <w:r w:rsidRPr="00437BFC">
        <w:rPr>
          <w:lang w:val="el-GR"/>
        </w:rPr>
        <w:t>Σε μεμονωμένες περιπτώσεις αναφέρθηκαν μειώσεις των επιπέδων των ερυθρών και λευκών αιμοσφαιρίων και αιμοπεταλίων.</w:t>
      </w:r>
    </w:p>
    <w:p w14:paraId="160CE0B4" w14:textId="77777777" w:rsidR="00B5502E" w:rsidRPr="00437BFC" w:rsidRDefault="00B5502E" w:rsidP="00B5502E">
      <w:pPr>
        <w:rPr>
          <w:lang w:val="el-GR"/>
        </w:rPr>
      </w:pPr>
    </w:p>
    <w:p w14:paraId="0715072D" w14:textId="77777777" w:rsidR="00B5502E" w:rsidRPr="00437BFC" w:rsidRDefault="00B5502E" w:rsidP="00B5502E">
      <w:pPr>
        <w:rPr>
          <w:i/>
          <w:u w:val="single"/>
          <w:lang w:val="el-GR"/>
        </w:rPr>
      </w:pPr>
      <w:r w:rsidRPr="00437BFC">
        <w:rPr>
          <w:i/>
          <w:u w:val="single"/>
          <w:lang w:val="el-GR"/>
        </w:rPr>
        <w:t xml:space="preserve">Δέρμα / αλλεργία </w:t>
      </w:r>
    </w:p>
    <w:p w14:paraId="4CC0FC26" w14:textId="77777777" w:rsidR="00B5502E" w:rsidRPr="00437BFC" w:rsidRDefault="00B5502E" w:rsidP="00B5502E">
      <w:pPr>
        <w:rPr>
          <w:lang w:val="el-GR"/>
        </w:rPr>
      </w:pPr>
      <w:r w:rsidRPr="00437BFC">
        <w:rPr>
          <w:lang w:val="el-GR"/>
        </w:rPr>
        <w:t xml:space="preserve">Σε μεμονωμένες περιπτώσεις, μπορεί να υπάρξουν αλλεργικές αντιδράσεις, όπως κνησμός, αναφυλαξία και φωτοευαισθησία. </w:t>
      </w:r>
    </w:p>
    <w:p w14:paraId="22961D7E" w14:textId="77777777" w:rsidR="00B5502E" w:rsidRPr="00437BFC" w:rsidRDefault="00B5502E" w:rsidP="00B5502E">
      <w:pPr>
        <w:rPr>
          <w:lang w:val="el-GR"/>
        </w:rPr>
      </w:pPr>
    </w:p>
    <w:p w14:paraId="73F61C86" w14:textId="77777777" w:rsidR="00B5502E" w:rsidRPr="00437BFC" w:rsidRDefault="00B5502E" w:rsidP="00B5502E">
      <w:pPr>
        <w:rPr>
          <w:i/>
          <w:u w:val="single"/>
          <w:lang w:val="el-GR"/>
        </w:rPr>
      </w:pPr>
      <w:r w:rsidRPr="00437BFC">
        <w:rPr>
          <w:i/>
          <w:u w:val="single"/>
          <w:lang w:val="el-GR"/>
        </w:rPr>
        <w:t>Νευρικό σύστημα</w:t>
      </w:r>
    </w:p>
    <w:p w14:paraId="43B131E5" w14:textId="77777777" w:rsidR="00B5502E" w:rsidRPr="00437BFC" w:rsidRDefault="00B5502E" w:rsidP="00B5502E">
      <w:pPr>
        <w:rPr>
          <w:lang w:val="el-GR"/>
        </w:rPr>
      </w:pPr>
      <w:r w:rsidRPr="00437BFC">
        <w:rPr>
          <w:lang w:val="el-GR"/>
        </w:rPr>
        <w:t>Υπάρχουν μεμονωμένες εκθέσεις οπτικών ενοχλήσεων.</w:t>
      </w:r>
    </w:p>
    <w:p w14:paraId="7FD409B6" w14:textId="77777777" w:rsidR="00B5502E" w:rsidRPr="00437BFC" w:rsidRDefault="00B5502E" w:rsidP="00B5502E">
      <w:pPr>
        <w:rPr>
          <w:lang w:val="el-GR"/>
        </w:rPr>
      </w:pPr>
      <w:proofErr w:type="spellStart"/>
      <w:r w:rsidRPr="00437BFC">
        <w:rPr>
          <w:lang w:val="el-GR"/>
        </w:rPr>
        <w:lastRenderedPageBreak/>
        <w:t>Εμβοές</w:t>
      </w:r>
      <w:proofErr w:type="spellEnd"/>
      <w:r w:rsidRPr="00437BFC">
        <w:rPr>
          <w:lang w:val="el-GR"/>
        </w:rPr>
        <w:t xml:space="preserve"> και απώλεια ακοής έχουν συμβεί σε μεμονωμένες περιπτώσεις.</w:t>
      </w:r>
    </w:p>
    <w:p w14:paraId="04857E10" w14:textId="77777777" w:rsidR="00B5502E" w:rsidRPr="00437BFC" w:rsidRDefault="00B5502E" w:rsidP="00B5502E">
      <w:pPr>
        <w:rPr>
          <w:lang w:val="el-GR"/>
        </w:rPr>
      </w:pPr>
      <w:r w:rsidRPr="00437BFC">
        <w:rPr>
          <w:lang w:val="el-GR"/>
        </w:rPr>
        <w:t xml:space="preserve">Σπάνια, έχει αναφερθεί παραισθησία των άκρων. </w:t>
      </w:r>
    </w:p>
    <w:p w14:paraId="1041D15B" w14:textId="77777777" w:rsidR="00B5502E" w:rsidRPr="00437BFC" w:rsidRDefault="00B5502E" w:rsidP="00B5502E">
      <w:pPr>
        <w:rPr>
          <w:lang w:val="el-GR"/>
        </w:rPr>
      </w:pPr>
    </w:p>
    <w:p w14:paraId="4809439C" w14:textId="77777777" w:rsidR="00B5502E" w:rsidRPr="00437BFC" w:rsidRDefault="00B5502E" w:rsidP="00B5502E">
      <w:pPr>
        <w:rPr>
          <w:i/>
          <w:u w:val="single"/>
          <w:lang w:val="el-GR"/>
        </w:rPr>
      </w:pPr>
      <w:r w:rsidRPr="00437BFC">
        <w:rPr>
          <w:i/>
          <w:u w:val="single"/>
          <w:lang w:val="el-GR"/>
        </w:rPr>
        <w:t>Άλλες:</w:t>
      </w:r>
    </w:p>
    <w:p w14:paraId="26739050" w14:textId="77777777" w:rsidR="00B5502E" w:rsidRPr="00437BFC" w:rsidRDefault="00B5502E" w:rsidP="00B5502E">
      <w:pPr>
        <w:rPr>
          <w:lang w:val="el-GR"/>
        </w:rPr>
      </w:pPr>
      <w:r w:rsidRPr="00437BFC">
        <w:rPr>
          <w:lang w:val="el-GR"/>
        </w:rPr>
        <w:t>Ξηροστομία.</w:t>
      </w:r>
    </w:p>
    <w:p w14:paraId="4D2D79E0" w14:textId="77777777" w:rsidR="00FD771B" w:rsidRPr="00644833" w:rsidRDefault="00FD771B">
      <w:pPr>
        <w:rPr>
          <w:noProof/>
          <w:szCs w:val="22"/>
          <w:lang w:val="el-GR"/>
        </w:rPr>
      </w:pPr>
    </w:p>
    <w:p w14:paraId="64A966A8" w14:textId="77777777" w:rsidR="00FD771B" w:rsidRPr="00644833" w:rsidRDefault="00FD771B" w:rsidP="007D79D9">
      <w:pPr>
        <w:autoSpaceDE w:val="0"/>
        <w:autoSpaceDN w:val="0"/>
        <w:adjustRightInd w:val="0"/>
        <w:rPr>
          <w:szCs w:val="22"/>
          <w:u w:val="single"/>
          <w:lang w:val="el-GR"/>
        </w:rPr>
      </w:pPr>
      <w:r w:rsidRPr="00644833">
        <w:rPr>
          <w:noProof/>
          <w:szCs w:val="22"/>
          <w:u w:val="single"/>
          <w:lang w:val="el-GR"/>
        </w:rPr>
        <w:t>Αναφορά πιθανολογούμενων ανεπιθύμητων ενεργειών</w:t>
      </w:r>
    </w:p>
    <w:p w14:paraId="2783D465" w14:textId="77777777" w:rsidR="00B5502E" w:rsidRPr="005A0AD1" w:rsidRDefault="00FD771B" w:rsidP="00B5502E">
      <w:pPr>
        <w:spacing w:line="240" w:lineRule="auto"/>
        <w:rPr>
          <w:lang w:val="el-GR"/>
        </w:rPr>
      </w:pPr>
      <w:r w:rsidRPr="00644833">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644833">
        <w:rPr>
          <w:noProof/>
          <w:szCs w:val="22"/>
          <w:lang w:val="el-GR"/>
        </w:rPr>
        <w:t>.</w:t>
      </w:r>
      <w:r w:rsidRPr="00644833">
        <w:rPr>
          <w:szCs w:val="22"/>
          <w:lang w:val="el-GR"/>
        </w:rPr>
        <w:t xml:space="preserve"> Επιτρέπει τη συνεχή παρακολούθηση της σχέσης οφέλους-κινδύνου του φαρμακευτικού προϊόντος</w:t>
      </w:r>
      <w:r w:rsidRPr="00644833">
        <w:rPr>
          <w:noProof/>
          <w:szCs w:val="22"/>
          <w:lang w:val="el-GR"/>
        </w:rPr>
        <w:t>.</w:t>
      </w:r>
      <w:r w:rsidRPr="00644833">
        <w:rPr>
          <w:szCs w:val="22"/>
          <w:lang w:val="el-GR"/>
        </w:rPr>
        <w:t xml:space="preserve"> Ζητείται από τους επαγγελματίες υγείας να αναφέρουν οποιεσδήποτε πιθανολογούμενες ανεπιθύμητες ενέργειες </w:t>
      </w:r>
    </w:p>
    <w:p w14:paraId="0266B59C" w14:textId="77777777" w:rsidR="00B5502E" w:rsidRPr="005A0AD1" w:rsidRDefault="00B5502E" w:rsidP="00B5502E">
      <w:pPr>
        <w:spacing w:line="240" w:lineRule="auto"/>
        <w:rPr>
          <w:lang w:val="el-GR"/>
        </w:rPr>
      </w:pPr>
      <w:r w:rsidRPr="005A0AD1">
        <w:rPr>
          <w:lang w:val="el-GR"/>
        </w:rPr>
        <w:t>μέσω του Εθνικού Οργανισμού Φαρμάκων</w:t>
      </w:r>
      <w:r>
        <w:rPr>
          <w:lang w:val="el-GR"/>
        </w:rPr>
        <w:t>:</w:t>
      </w:r>
    </w:p>
    <w:p w14:paraId="3951C45D" w14:textId="77777777" w:rsidR="00B5502E" w:rsidRPr="005A0AD1" w:rsidRDefault="00B5502E" w:rsidP="00B5502E">
      <w:pPr>
        <w:spacing w:line="240" w:lineRule="auto"/>
        <w:rPr>
          <w:lang w:val="el-GR"/>
        </w:rPr>
      </w:pPr>
      <w:r w:rsidRPr="005A0AD1">
        <w:rPr>
          <w:lang w:val="el-GR"/>
        </w:rPr>
        <w:t>Μεσογείων 284</w:t>
      </w:r>
    </w:p>
    <w:p w14:paraId="10E70173" w14:textId="77777777" w:rsidR="00B5502E" w:rsidRPr="005A0AD1" w:rsidRDefault="00B5502E" w:rsidP="00B5502E">
      <w:pPr>
        <w:spacing w:line="240" w:lineRule="auto"/>
        <w:rPr>
          <w:lang w:val="el-GR"/>
        </w:rPr>
      </w:pPr>
      <w:r w:rsidRPr="005A0AD1">
        <w:rPr>
          <w:lang w:val="el-GR"/>
        </w:rPr>
        <w:t>15562 Χολαργός, Αθήνα</w:t>
      </w:r>
    </w:p>
    <w:p w14:paraId="092F6535" w14:textId="77777777" w:rsidR="00B5502E" w:rsidRPr="005A0AD1" w:rsidRDefault="00B5502E" w:rsidP="00B5502E">
      <w:pPr>
        <w:spacing w:line="240" w:lineRule="auto"/>
        <w:rPr>
          <w:lang w:val="el-GR"/>
        </w:rPr>
      </w:pPr>
      <w:proofErr w:type="spellStart"/>
      <w:r w:rsidRPr="005A0AD1">
        <w:rPr>
          <w:lang w:val="el-GR"/>
        </w:rPr>
        <w:t>Τηλ</w:t>
      </w:r>
      <w:proofErr w:type="spellEnd"/>
      <w:r w:rsidRPr="005A0AD1">
        <w:rPr>
          <w:lang w:val="el-GR"/>
        </w:rPr>
        <w:t>: + 30 21 32040380/337</w:t>
      </w:r>
    </w:p>
    <w:p w14:paraId="7A4A6037" w14:textId="77777777" w:rsidR="00B5502E" w:rsidRPr="005A0AD1" w:rsidRDefault="00B5502E" w:rsidP="00B5502E">
      <w:pPr>
        <w:spacing w:line="240" w:lineRule="auto"/>
        <w:rPr>
          <w:lang w:val="el-GR"/>
        </w:rPr>
      </w:pPr>
      <w:r w:rsidRPr="005A0AD1">
        <w:rPr>
          <w:lang w:val="el-GR"/>
        </w:rPr>
        <w:t xml:space="preserve">Φαξ: + 30 21 06549585 </w:t>
      </w:r>
    </w:p>
    <w:p w14:paraId="528A45A7" w14:textId="762E5200" w:rsidR="00FD771B" w:rsidRPr="0059510A" w:rsidRDefault="00B5502E" w:rsidP="00B5502E">
      <w:pPr>
        <w:autoSpaceDE w:val="0"/>
        <w:autoSpaceDN w:val="0"/>
        <w:adjustRightInd w:val="0"/>
        <w:rPr>
          <w:noProof/>
          <w:szCs w:val="22"/>
          <w:lang w:val="el-GR"/>
        </w:rPr>
      </w:pPr>
      <w:proofErr w:type="spellStart"/>
      <w:r w:rsidRPr="005A0AD1">
        <w:rPr>
          <w:lang w:val="el-GR"/>
        </w:rPr>
        <w:t>Ιστότοπος</w:t>
      </w:r>
      <w:proofErr w:type="spellEnd"/>
      <w:r w:rsidRPr="005A0AD1">
        <w:rPr>
          <w:lang w:val="el-GR"/>
        </w:rPr>
        <w:t xml:space="preserve">: </w:t>
      </w:r>
      <w:hyperlink r:id="rId9" w:history="1">
        <w:r w:rsidRPr="004D6B31">
          <w:t>http</w:t>
        </w:r>
        <w:r w:rsidRPr="005A0AD1">
          <w:rPr>
            <w:lang w:val="el-GR"/>
          </w:rPr>
          <w:t>://</w:t>
        </w:r>
        <w:r w:rsidRPr="004D6B31">
          <w:t>www</w:t>
        </w:r>
        <w:r w:rsidRPr="005A0AD1">
          <w:rPr>
            <w:lang w:val="el-GR"/>
          </w:rPr>
          <w:t>.</w:t>
        </w:r>
        <w:proofErr w:type="spellStart"/>
        <w:r w:rsidRPr="004D6B31">
          <w:t>eof</w:t>
        </w:r>
        <w:proofErr w:type="spellEnd"/>
        <w:r w:rsidRPr="005A0AD1">
          <w:rPr>
            <w:lang w:val="el-GR"/>
          </w:rPr>
          <w:t>.</w:t>
        </w:r>
        <w:r w:rsidRPr="004D6B31">
          <w:t>gr</w:t>
        </w:r>
      </w:hyperlink>
    </w:p>
    <w:p w14:paraId="1D9F061D" w14:textId="77777777" w:rsidR="00FD771B" w:rsidRPr="00684E83" w:rsidRDefault="00FD771B">
      <w:pPr>
        <w:rPr>
          <w:noProof/>
          <w:szCs w:val="22"/>
          <w:lang w:val="el-GR"/>
        </w:rPr>
      </w:pPr>
      <w:r w:rsidRPr="00684E83">
        <w:rPr>
          <w:b/>
          <w:noProof/>
          <w:szCs w:val="22"/>
          <w:lang w:val="el-GR"/>
        </w:rPr>
        <w:t>4.9</w:t>
      </w:r>
      <w:r w:rsidRPr="00684E83">
        <w:rPr>
          <w:b/>
          <w:noProof/>
          <w:szCs w:val="22"/>
          <w:lang w:val="el-GR"/>
        </w:rPr>
        <w:tab/>
        <w:t>Υπερδοσολογία</w:t>
      </w:r>
    </w:p>
    <w:p w14:paraId="78BA5655" w14:textId="77777777" w:rsidR="00FD771B" w:rsidRPr="00684E83" w:rsidRDefault="00FD771B">
      <w:pPr>
        <w:rPr>
          <w:noProof/>
          <w:szCs w:val="22"/>
          <w:lang w:val="el-GR"/>
        </w:rPr>
      </w:pPr>
    </w:p>
    <w:p w14:paraId="61617DFE" w14:textId="77777777" w:rsidR="00901544" w:rsidRDefault="00901544" w:rsidP="005D77D3">
      <w:pPr>
        <w:rPr>
          <w:szCs w:val="22"/>
          <w:lang w:val="el-GR"/>
        </w:rPr>
      </w:pPr>
    </w:p>
    <w:p w14:paraId="5A876E5D" w14:textId="77777777" w:rsidR="00901544" w:rsidRPr="005A0AD1" w:rsidRDefault="00901544" w:rsidP="00901544">
      <w:pPr>
        <w:rPr>
          <w:i/>
          <w:u w:val="single"/>
          <w:lang w:val="el-GR"/>
        </w:rPr>
      </w:pPr>
      <w:r w:rsidRPr="005A0AD1">
        <w:rPr>
          <w:i/>
          <w:u w:val="single"/>
          <w:lang w:val="el-GR"/>
        </w:rPr>
        <w:t>Συμπτώματα και σημάδια</w:t>
      </w:r>
    </w:p>
    <w:p w14:paraId="18A1D6EE" w14:textId="77777777" w:rsidR="00901544" w:rsidRPr="005A0AD1" w:rsidRDefault="00901544" w:rsidP="00901544">
      <w:pPr>
        <w:rPr>
          <w:lang w:val="el-GR"/>
        </w:rPr>
      </w:pPr>
      <w:r w:rsidRPr="005A0AD1">
        <w:rPr>
          <w:lang w:val="el-GR"/>
        </w:rPr>
        <w:t xml:space="preserve">Δεν είναι γνωστή κάποια χαρακτηριστική εικόνα δηλητηρίασης. Σε περίπτωση </w:t>
      </w:r>
      <w:proofErr w:type="spellStart"/>
      <w:r w:rsidRPr="005A0AD1">
        <w:rPr>
          <w:lang w:val="el-GR"/>
        </w:rPr>
        <w:t>υπερδοσολογίας</w:t>
      </w:r>
      <w:proofErr w:type="spellEnd"/>
      <w:r w:rsidRPr="005A0AD1">
        <w:rPr>
          <w:lang w:val="el-GR"/>
        </w:rPr>
        <w:t>, μπορεί να υπάρξει έντονη διούρηση με τον κίνδυνο της απώλειας υγρών και ηλεκτρολυτών το οποίο μπορεί να οδηγήσει σε υπνηλία και σύγχυση, υπόταση, κυκλοφορική κατάρρευση. Επίσης μπορεί να εμφανιστούν γαστρεντερικές ενοχλήσεις.</w:t>
      </w:r>
    </w:p>
    <w:p w14:paraId="13BF2694" w14:textId="77777777" w:rsidR="00901544" w:rsidRPr="005A0AD1" w:rsidRDefault="00901544" w:rsidP="00901544">
      <w:pPr>
        <w:rPr>
          <w:i/>
          <w:lang w:val="el-GR"/>
        </w:rPr>
      </w:pPr>
    </w:p>
    <w:p w14:paraId="2737C57F" w14:textId="77777777" w:rsidR="00901544" w:rsidRPr="005A0AD1" w:rsidRDefault="00901544" w:rsidP="00901544">
      <w:pPr>
        <w:rPr>
          <w:i/>
          <w:lang w:val="el-GR"/>
        </w:rPr>
      </w:pPr>
      <w:r w:rsidRPr="005A0AD1">
        <w:rPr>
          <w:i/>
          <w:lang w:val="el-GR"/>
        </w:rPr>
        <w:t>Θεραπεία</w:t>
      </w:r>
    </w:p>
    <w:p w14:paraId="21A068CA" w14:textId="77777777" w:rsidR="00901544" w:rsidRPr="005A0AD1" w:rsidRDefault="00901544" w:rsidP="00901544">
      <w:pPr>
        <w:rPr>
          <w:lang w:val="el-GR"/>
        </w:rPr>
      </w:pPr>
      <w:r w:rsidRPr="005A0AD1">
        <w:rPr>
          <w:lang w:val="el-GR"/>
        </w:rPr>
        <w:t xml:space="preserve">Δεν υπάρχει συγκεκριμένο αντίδοτο. Σε συμπτώματα και σημάδια </w:t>
      </w:r>
      <w:proofErr w:type="spellStart"/>
      <w:r w:rsidRPr="005A0AD1">
        <w:rPr>
          <w:lang w:val="el-GR"/>
        </w:rPr>
        <w:t>υπερδοσολογίας</w:t>
      </w:r>
      <w:proofErr w:type="spellEnd"/>
      <w:r w:rsidRPr="005A0AD1">
        <w:rPr>
          <w:lang w:val="el-GR"/>
        </w:rPr>
        <w:t xml:space="preserve"> απαιτείται η μείωση της δόσης ή διακοπή της </w:t>
      </w:r>
      <w:proofErr w:type="spellStart"/>
      <w:r w:rsidRPr="005A0AD1">
        <w:rPr>
          <w:lang w:val="el-GR"/>
        </w:rPr>
        <w:t>τορασεμίδης</w:t>
      </w:r>
      <w:proofErr w:type="spellEnd"/>
      <w:r w:rsidRPr="005A0AD1">
        <w:rPr>
          <w:lang w:val="el-GR"/>
        </w:rPr>
        <w:t>, και ταυτόχρονα η αντικατάσταση υγρών και ηλεκτρολυτών.</w:t>
      </w:r>
    </w:p>
    <w:p w14:paraId="742B605F" w14:textId="77777777" w:rsidR="00901544" w:rsidRDefault="00901544" w:rsidP="005D77D3">
      <w:pPr>
        <w:rPr>
          <w:szCs w:val="22"/>
          <w:lang w:val="el-GR"/>
        </w:rPr>
      </w:pPr>
    </w:p>
    <w:p w14:paraId="3F1D1A51" w14:textId="77777777" w:rsidR="00901544" w:rsidRDefault="00901544" w:rsidP="005D77D3">
      <w:pPr>
        <w:rPr>
          <w:szCs w:val="22"/>
          <w:lang w:val="el-GR"/>
        </w:rPr>
      </w:pPr>
    </w:p>
    <w:p w14:paraId="024A224F" w14:textId="13593224" w:rsidR="00BE09B6" w:rsidRPr="00BE09B6" w:rsidRDefault="00BE09B6" w:rsidP="005D77D3">
      <w:pPr>
        <w:rPr>
          <w:noProof/>
          <w:szCs w:val="22"/>
          <w:lang w:val="el-GR"/>
        </w:rPr>
      </w:pPr>
      <w:r>
        <w:rPr>
          <w:szCs w:val="22"/>
          <w:lang w:val="el-GR"/>
        </w:rPr>
        <w:t xml:space="preserve">Δεν υπάρχουν δεδομένα που να υποδηλώνουν </w:t>
      </w:r>
      <w:r w:rsidR="00B45571">
        <w:rPr>
          <w:szCs w:val="22"/>
          <w:lang w:val="el-GR"/>
        </w:rPr>
        <w:t xml:space="preserve">ότι μεταβολή φυσιολογικών παραμέτρων </w:t>
      </w:r>
      <w:r>
        <w:rPr>
          <w:szCs w:val="22"/>
          <w:lang w:val="el-GR"/>
        </w:rPr>
        <w:t xml:space="preserve">(π.χ. αλλαγή </w:t>
      </w:r>
      <w:r>
        <w:rPr>
          <w:szCs w:val="22"/>
          <w:lang w:val="en-US"/>
        </w:rPr>
        <w:t>pH</w:t>
      </w:r>
      <w:r w:rsidRPr="00BE09B6">
        <w:rPr>
          <w:szCs w:val="22"/>
          <w:lang w:val="el-GR"/>
        </w:rPr>
        <w:t xml:space="preserve"> </w:t>
      </w:r>
      <w:r>
        <w:rPr>
          <w:szCs w:val="22"/>
          <w:lang w:val="el-GR"/>
        </w:rPr>
        <w:t>των ούρων) θα μπορούσ</w:t>
      </w:r>
      <w:r w:rsidR="00116658">
        <w:rPr>
          <w:szCs w:val="22"/>
          <w:lang w:val="el-GR"/>
        </w:rPr>
        <w:t>ε</w:t>
      </w:r>
      <w:r>
        <w:rPr>
          <w:szCs w:val="22"/>
          <w:lang w:val="el-GR"/>
        </w:rPr>
        <w:t xml:space="preserve"> να επιταχύν</w:t>
      </w:r>
      <w:r w:rsidR="00116658">
        <w:rPr>
          <w:szCs w:val="22"/>
          <w:lang w:val="el-GR"/>
        </w:rPr>
        <w:t>ει</w:t>
      </w:r>
      <w:r>
        <w:rPr>
          <w:szCs w:val="22"/>
          <w:lang w:val="el-GR"/>
        </w:rPr>
        <w:t xml:space="preserve"> την αποβολή της </w:t>
      </w:r>
      <w:proofErr w:type="spellStart"/>
      <w:r w:rsidR="00B32253" w:rsidRPr="00B32253">
        <w:rPr>
          <w:szCs w:val="22"/>
          <w:lang w:val="el-GR"/>
        </w:rPr>
        <w:t>τορασεμίδης</w:t>
      </w:r>
      <w:proofErr w:type="spellEnd"/>
      <w:r>
        <w:rPr>
          <w:szCs w:val="22"/>
          <w:lang w:val="el-GR"/>
        </w:rPr>
        <w:t xml:space="preserve"> και των μεταβολιτών της. Η </w:t>
      </w:r>
      <w:proofErr w:type="spellStart"/>
      <w:r w:rsidR="00B32253" w:rsidRPr="00B32253">
        <w:rPr>
          <w:szCs w:val="22"/>
          <w:lang w:val="el-GR"/>
        </w:rPr>
        <w:t>τορασεμίδη</w:t>
      </w:r>
      <w:proofErr w:type="spellEnd"/>
      <w:r>
        <w:rPr>
          <w:szCs w:val="22"/>
          <w:lang w:val="el-GR"/>
        </w:rPr>
        <w:t xml:space="preserve"> δεν μπορεί να </w:t>
      </w:r>
      <w:proofErr w:type="spellStart"/>
      <w:r>
        <w:rPr>
          <w:szCs w:val="22"/>
          <w:lang w:val="el-GR"/>
        </w:rPr>
        <w:t>αιμοδιυλιστεί</w:t>
      </w:r>
      <w:proofErr w:type="spellEnd"/>
      <w:r>
        <w:rPr>
          <w:szCs w:val="22"/>
          <w:lang w:val="el-GR"/>
        </w:rPr>
        <w:t>, επομένως η αιμοκάθαρση δεν επιταχύνει την απομάκρυνσή της.</w:t>
      </w:r>
    </w:p>
    <w:p w14:paraId="7112E1A0" w14:textId="77777777" w:rsidR="004A7568" w:rsidRPr="00684E83" w:rsidRDefault="004A7568" w:rsidP="005D77D3">
      <w:pPr>
        <w:rPr>
          <w:noProof/>
          <w:szCs w:val="22"/>
          <w:lang w:val="el-GR"/>
        </w:rPr>
      </w:pPr>
    </w:p>
    <w:p w14:paraId="7C66A86A" w14:textId="77777777" w:rsidR="00FD771B" w:rsidRPr="00684E83" w:rsidRDefault="00FD771B" w:rsidP="005D77D3">
      <w:pPr>
        <w:rPr>
          <w:noProof/>
          <w:szCs w:val="22"/>
          <w:lang w:val="el-GR"/>
        </w:rPr>
      </w:pPr>
    </w:p>
    <w:p w14:paraId="0957F401" w14:textId="77777777" w:rsidR="00FD771B" w:rsidRPr="00684E83" w:rsidRDefault="00FD771B" w:rsidP="005D77D3">
      <w:pPr>
        <w:ind w:left="567" w:hanging="567"/>
        <w:rPr>
          <w:noProof/>
          <w:szCs w:val="22"/>
          <w:lang w:val="el-GR"/>
        </w:rPr>
      </w:pPr>
      <w:r w:rsidRPr="00684E83">
        <w:rPr>
          <w:b/>
          <w:noProof/>
          <w:szCs w:val="22"/>
          <w:lang w:val="el-GR"/>
        </w:rPr>
        <w:t>5.</w:t>
      </w:r>
      <w:r w:rsidRPr="00684E83">
        <w:rPr>
          <w:b/>
          <w:noProof/>
          <w:szCs w:val="22"/>
          <w:lang w:val="el-GR"/>
        </w:rPr>
        <w:tab/>
        <w:t>ΦΑΡΜΑΚΟΛΟΓΙΚΕΣ ΙΔΙΟΤΗΤΕΣ</w:t>
      </w:r>
    </w:p>
    <w:p w14:paraId="0E3889D5" w14:textId="77777777" w:rsidR="00FD771B" w:rsidRPr="00684E83" w:rsidRDefault="00FD771B" w:rsidP="005D77D3">
      <w:pPr>
        <w:rPr>
          <w:noProof/>
          <w:szCs w:val="22"/>
          <w:lang w:val="el-GR"/>
        </w:rPr>
      </w:pPr>
    </w:p>
    <w:p w14:paraId="2A0C5E16" w14:textId="77777777" w:rsidR="00FD771B" w:rsidRPr="00684E83" w:rsidRDefault="00FD771B" w:rsidP="005D77D3">
      <w:pPr>
        <w:ind w:left="567" w:hanging="567"/>
        <w:outlineLvl w:val="0"/>
        <w:rPr>
          <w:noProof/>
          <w:szCs w:val="22"/>
          <w:lang w:val="el-GR"/>
        </w:rPr>
      </w:pPr>
      <w:r w:rsidRPr="00684E83">
        <w:rPr>
          <w:b/>
          <w:noProof/>
          <w:szCs w:val="22"/>
          <w:lang w:val="el-GR"/>
        </w:rPr>
        <w:t xml:space="preserve">5.1 </w:t>
      </w:r>
      <w:r w:rsidRPr="00684E83">
        <w:rPr>
          <w:b/>
          <w:noProof/>
          <w:szCs w:val="22"/>
          <w:lang w:val="el-GR"/>
        </w:rPr>
        <w:tab/>
        <w:t>Φαρμακοδυναμικές ιδιότητες</w:t>
      </w:r>
    </w:p>
    <w:p w14:paraId="37824430" w14:textId="77777777" w:rsidR="00FD771B" w:rsidRPr="00684E83" w:rsidRDefault="00FD771B" w:rsidP="005D77D3">
      <w:pPr>
        <w:rPr>
          <w:noProof/>
          <w:szCs w:val="22"/>
          <w:lang w:val="el-GR"/>
        </w:rPr>
      </w:pPr>
    </w:p>
    <w:p w14:paraId="1B7EC93F" w14:textId="5FE54852" w:rsidR="00F10234" w:rsidRDefault="00FD771B" w:rsidP="005D77D3">
      <w:pPr>
        <w:outlineLvl w:val="0"/>
        <w:rPr>
          <w:noProof/>
          <w:szCs w:val="22"/>
          <w:lang w:val="el-GR"/>
        </w:rPr>
      </w:pPr>
      <w:r w:rsidRPr="00684E83">
        <w:rPr>
          <w:noProof/>
          <w:szCs w:val="22"/>
          <w:lang w:val="el-GR"/>
        </w:rPr>
        <w:t xml:space="preserve">Φαρμακοθεραπευτική κατηγορία: </w:t>
      </w:r>
      <w:r w:rsidR="00D2167A">
        <w:rPr>
          <w:noProof/>
          <w:szCs w:val="22"/>
          <w:lang w:val="el-GR"/>
        </w:rPr>
        <w:t>Διουρητικά</w:t>
      </w:r>
      <w:r w:rsidR="00FC3213" w:rsidRPr="00B32DC3">
        <w:rPr>
          <w:noProof/>
          <w:szCs w:val="22"/>
          <w:lang w:val="el-GR"/>
        </w:rPr>
        <w:t xml:space="preserve"> </w:t>
      </w:r>
      <w:r w:rsidR="00FC3213">
        <w:rPr>
          <w:noProof/>
          <w:szCs w:val="22"/>
          <w:lang w:val="el-GR"/>
        </w:rPr>
        <w:t>αγκύλης</w:t>
      </w:r>
      <w:r w:rsidR="00D2167A" w:rsidRPr="00D2167A">
        <w:rPr>
          <w:noProof/>
          <w:szCs w:val="22"/>
          <w:lang w:val="el-GR"/>
        </w:rPr>
        <w:t xml:space="preserve">: </w:t>
      </w:r>
      <w:r w:rsidR="00D2167A">
        <w:rPr>
          <w:noProof/>
          <w:szCs w:val="22"/>
          <w:lang w:val="el-GR"/>
        </w:rPr>
        <w:t>Σουλφοναμίδες, αμιγείς,</w:t>
      </w:r>
      <w:r w:rsidRPr="00684E83">
        <w:rPr>
          <w:noProof/>
          <w:szCs w:val="22"/>
          <w:lang w:val="el-GR"/>
        </w:rPr>
        <w:t xml:space="preserve"> </w:t>
      </w:r>
    </w:p>
    <w:p w14:paraId="69FB2743" w14:textId="7A14694C" w:rsidR="00FD771B" w:rsidRPr="005D75C4" w:rsidRDefault="00F10234" w:rsidP="005D77D3">
      <w:pPr>
        <w:outlineLvl w:val="0"/>
        <w:rPr>
          <w:noProof/>
          <w:szCs w:val="22"/>
          <w:lang w:val="el-GR"/>
        </w:rPr>
      </w:pPr>
      <w:r>
        <w:rPr>
          <w:noProof/>
          <w:szCs w:val="22"/>
          <w:lang w:val="el-GR"/>
        </w:rPr>
        <w:t>Κ</w:t>
      </w:r>
      <w:r w:rsidR="00FD771B" w:rsidRPr="00684E83">
        <w:rPr>
          <w:noProof/>
          <w:szCs w:val="22"/>
          <w:lang w:val="el-GR"/>
        </w:rPr>
        <w:t xml:space="preserve">ωδικός </w:t>
      </w:r>
      <w:r w:rsidR="00FD771B" w:rsidRPr="00166D11">
        <w:rPr>
          <w:noProof/>
          <w:szCs w:val="22"/>
          <w:lang w:val="en-US"/>
        </w:rPr>
        <w:t>ATC</w:t>
      </w:r>
      <w:r w:rsidR="00FD771B" w:rsidRPr="00684E83">
        <w:rPr>
          <w:noProof/>
          <w:szCs w:val="22"/>
          <w:lang w:val="el-GR"/>
        </w:rPr>
        <w:t xml:space="preserve">: </w:t>
      </w:r>
      <w:r w:rsidR="00D2167A">
        <w:rPr>
          <w:noProof/>
          <w:szCs w:val="22"/>
          <w:lang w:val="en-US"/>
        </w:rPr>
        <w:t>C</w:t>
      </w:r>
      <w:r w:rsidR="00D2167A" w:rsidRPr="00D2167A">
        <w:rPr>
          <w:noProof/>
          <w:szCs w:val="22"/>
          <w:lang w:val="el-GR"/>
        </w:rPr>
        <w:t>03</w:t>
      </w:r>
      <w:r w:rsidR="005D75C4">
        <w:rPr>
          <w:noProof/>
          <w:szCs w:val="22"/>
          <w:lang w:val="en-US"/>
        </w:rPr>
        <w:t>CA</w:t>
      </w:r>
      <w:r w:rsidR="005D75C4" w:rsidRPr="005D75C4">
        <w:rPr>
          <w:noProof/>
          <w:szCs w:val="22"/>
          <w:lang w:val="el-GR"/>
        </w:rPr>
        <w:t>04</w:t>
      </w:r>
    </w:p>
    <w:p w14:paraId="631E2A14" w14:textId="77777777" w:rsidR="00FD771B" w:rsidRPr="003462F9" w:rsidRDefault="00FD771B" w:rsidP="005D77D3">
      <w:pPr>
        <w:rPr>
          <w:i/>
          <w:noProof/>
          <w:szCs w:val="22"/>
          <w:lang w:val="el-GR"/>
        </w:rPr>
      </w:pPr>
    </w:p>
    <w:p w14:paraId="17411AF5" w14:textId="77777777" w:rsidR="00FD771B" w:rsidRDefault="00FD771B" w:rsidP="00622633">
      <w:pPr>
        <w:rPr>
          <w:noProof/>
          <w:szCs w:val="22"/>
          <w:lang w:val="el-GR"/>
        </w:rPr>
      </w:pPr>
      <w:r w:rsidRPr="00166D11">
        <w:rPr>
          <w:szCs w:val="22"/>
          <w:u w:val="single"/>
          <w:lang w:val="el-GR"/>
        </w:rPr>
        <w:t>Μηχανισμός δράσης</w:t>
      </w:r>
    </w:p>
    <w:p w14:paraId="37B3ECBD" w14:textId="6F50ADE9" w:rsidR="005D75C4" w:rsidRDefault="005D75C4" w:rsidP="00622633">
      <w:pPr>
        <w:rPr>
          <w:szCs w:val="22"/>
          <w:lang w:val="el-GR"/>
        </w:rPr>
      </w:pPr>
      <w:r>
        <w:rPr>
          <w:noProof/>
          <w:szCs w:val="22"/>
          <w:lang w:val="el-GR"/>
        </w:rPr>
        <w:t xml:space="preserve">Μελέτες μικροπαρακέντησης </w:t>
      </w:r>
      <w:r w:rsidR="0007033E">
        <w:rPr>
          <w:noProof/>
          <w:szCs w:val="22"/>
          <w:lang w:val="el-GR"/>
        </w:rPr>
        <w:t xml:space="preserve">σε ζώα έχουν δείξει ότι η </w:t>
      </w:r>
      <w:proofErr w:type="spellStart"/>
      <w:r w:rsidR="00B32253" w:rsidRPr="00B32253">
        <w:rPr>
          <w:szCs w:val="22"/>
          <w:lang w:val="el-GR"/>
        </w:rPr>
        <w:t>τορασεμίδη</w:t>
      </w:r>
      <w:proofErr w:type="spellEnd"/>
      <w:r w:rsidR="0007033E">
        <w:rPr>
          <w:szCs w:val="22"/>
          <w:lang w:val="el-GR"/>
        </w:rPr>
        <w:t xml:space="preserve"> δρα από το εσωτερικό τμήμα της βάσης του </w:t>
      </w:r>
      <w:proofErr w:type="spellStart"/>
      <w:r w:rsidR="0007033E">
        <w:rPr>
          <w:szCs w:val="22"/>
          <w:lang w:val="el-GR"/>
        </w:rPr>
        <w:t>παχέος</w:t>
      </w:r>
      <w:proofErr w:type="spellEnd"/>
      <w:r w:rsidR="0007033E">
        <w:rPr>
          <w:szCs w:val="22"/>
          <w:lang w:val="el-GR"/>
        </w:rPr>
        <w:t xml:space="preserve"> </w:t>
      </w:r>
      <w:r w:rsidR="00B23FC2">
        <w:rPr>
          <w:szCs w:val="22"/>
          <w:lang w:val="el-GR"/>
        </w:rPr>
        <w:t xml:space="preserve">ανιόντος σκέλους </w:t>
      </w:r>
      <w:r w:rsidR="0007033E">
        <w:rPr>
          <w:szCs w:val="22"/>
          <w:lang w:val="el-GR"/>
        </w:rPr>
        <w:t xml:space="preserve">της αγκύλης του </w:t>
      </w:r>
      <w:r w:rsidR="0007033E">
        <w:rPr>
          <w:szCs w:val="22"/>
          <w:lang w:val="en-US"/>
        </w:rPr>
        <w:t>Henle</w:t>
      </w:r>
      <w:r w:rsidR="0007033E">
        <w:rPr>
          <w:szCs w:val="22"/>
          <w:lang w:val="el-GR"/>
        </w:rPr>
        <w:t xml:space="preserve">, όπου </w:t>
      </w:r>
      <w:r w:rsidR="00B23FC2">
        <w:rPr>
          <w:szCs w:val="22"/>
          <w:lang w:val="el-GR"/>
        </w:rPr>
        <w:t xml:space="preserve">αναστέλλει </w:t>
      </w:r>
      <w:r w:rsidR="0007033E">
        <w:rPr>
          <w:szCs w:val="22"/>
          <w:lang w:val="el-GR"/>
        </w:rPr>
        <w:t xml:space="preserve">το σύστημα της αντλίας </w:t>
      </w:r>
      <w:r w:rsidR="0007033E">
        <w:rPr>
          <w:szCs w:val="22"/>
          <w:lang w:val="en-US"/>
        </w:rPr>
        <w:t>Na</w:t>
      </w:r>
      <w:r w:rsidR="0007033E" w:rsidRPr="0007033E">
        <w:rPr>
          <w:szCs w:val="22"/>
          <w:vertAlign w:val="superscript"/>
          <w:lang w:val="el-GR"/>
        </w:rPr>
        <w:t>+</w:t>
      </w:r>
      <w:r w:rsidR="0007033E" w:rsidRPr="0007033E">
        <w:rPr>
          <w:szCs w:val="22"/>
          <w:lang w:val="el-GR"/>
        </w:rPr>
        <w:t>/</w:t>
      </w:r>
      <w:r w:rsidR="0007033E">
        <w:rPr>
          <w:szCs w:val="22"/>
          <w:lang w:val="en-US"/>
        </w:rPr>
        <w:t>K</w:t>
      </w:r>
      <w:r w:rsidR="0007033E" w:rsidRPr="0007033E">
        <w:rPr>
          <w:szCs w:val="22"/>
          <w:vertAlign w:val="superscript"/>
          <w:lang w:val="el-GR"/>
        </w:rPr>
        <w:t>+</w:t>
      </w:r>
      <w:r w:rsidR="0007033E" w:rsidRPr="0007033E">
        <w:rPr>
          <w:szCs w:val="22"/>
          <w:lang w:val="el-GR"/>
        </w:rPr>
        <w:t>/2</w:t>
      </w:r>
      <w:r w:rsidR="0007033E">
        <w:rPr>
          <w:szCs w:val="22"/>
          <w:lang w:val="en-US"/>
        </w:rPr>
        <w:t>Cl</w:t>
      </w:r>
      <w:r w:rsidR="0007033E" w:rsidRPr="0007033E">
        <w:rPr>
          <w:szCs w:val="22"/>
          <w:vertAlign w:val="superscript"/>
          <w:lang w:val="el-GR"/>
        </w:rPr>
        <w:t>-</w:t>
      </w:r>
      <w:r w:rsidR="0007033E" w:rsidRPr="0007033E">
        <w:rPr>
          <w:szCs w:val="22"/>
          <w:lang w:val="el-GR"/>
        </w:rPr>
        <w:t xml:space="preserve">. </w:t>
      </w:r>
      <w:r w:rsidR="0007033E">
        <w:rPr>
          <w:szCs w:val="22"/>
          <w:lang w:val="el-GR"/>
        </w:rPr>
        <w:t xml:space="preserve">Οι μελέτες της κλινικής φαρμακολογίας έχουν επιβεβαιώσει τη θέση δράσης στον άνθρωπο, </w:t>
      </w:r>
      <w:r w:rsidR="00304172">
        <w:rPr>
          <w:szCs w:val="22"/>
          <w:lang w:val="el-GR"/>
        </w:rPr>
        <w:t xml:space="preserve">χωρίς να έχουν καταδείξει επιπτώσεις σε άλλα τμήματα του </w:t>
      </w:r>
      <w:proofErr w:type="spellStart"/>
      <w:r w:rsidR="00304172">
        <w:rPr>
          <w:szCs w:val="22"/>
          <w:lang w:val="el-GR"/>
        </w:rPr>
        <w:t>νεφρώνα</w:t>
      </w:r>
      <w:proofErr w:type="spellEnd"/>
      <w:r w:rsidR="00304172">
        <w:rPr>
          <w:szCs w:val="22"/>
          <w:lang w:val="el-GR"/>
        </w:rPr>
        <w:t xml:space="preserve">. </w:t>
      </w:r>
      <w:r w:rsidR="008E60A6">
        <w:rPr>
          <w:szCs w:val="22"/>
          <w:lang w:val="el-GR"/>
        </w:rPr>
        <w:t xml:space="preserve">Συνεπώς, η διουρητική </w:t>
      </w:r>
      <w:r w:rsidR="004D6BD8">
        <w:rPr>
          <w:szCs w:val="22"/>
          <w:lang w:val="el-GR"/>
        </w:rPr>
        <w:t xml:space="preserve">δράση συσχετίζεται καλύτερα </w:t>
      </w:r>
      <w:r w:rsidR="008E60A6">
        <w:rPr>
          <w:szCs w:val="22"/>
          <w:lang w:val="el-GR"/>
        </w:rPr>
        <w:t xml:space="preserve">με το ρυθμό απέκκρισης της </w:t>
      </w:r>
      <w:proofErr w:type="spellStart"/>
      <w:r w:rsidR="00B32253" w:rsidRPr="00B32253">
        <w:rPr>
          <w:szCs w:val="22"/>
          <w:lang w:val="el-GR"/>
        </w:rPr>
        <w:t>τορασεμίδης</w:t>
      </w:r>
      <w:proofErr w:type="spellEnd"/>
      <w:r w:rsidR="008E60A6">
        <w:rPr>
          <w:szCs w:val="22"/>
          <w:lang w:val="el-GR"/>
        </w:rPr>
        <w:t xml:space="preserve"> στα ούρα σε σχέση με την συγκέντρωση στο αίμα.</w:t>
      </w:r>
    </w:p>
    <w:p w14:paraId="0C8DF04C" w14:textId="77777777" w:rsidR="00F954C6" w:rsidRDefault="00F954C6" w:rsidP="00622633">
      <w:pPr>
        <w:rPr>
          <w:szCs w:val="22"/>
          <w:lang w:val="el-GR"/>
        </w:rPr>
      </w:pPr>
    </w:p>
    <w:p w14:paraId="3C483AB9" w14:textId="6E20CB36" w:rsidR="00F954C6" w:rsidRDefault="00F954C6" w:rsidP="00622633">
      <w:pPr>
        <w:rPr>
          <w:szCs w:val="22"/>
          <w:lang w:val="el-GR"/>
        </w:rPr>
      </w:pPr>
      <w:r>
        <w:rPr>
          <w:szCs w:val="22"/>
          <w:lang w:val="el-GR"/>
        </w:rPr>
        <w:t xml:space="preserve">Η </w:t>
      </w:r>
      <w:proofErr w:type="spellStart"/>
      <w:r w:rsidR="00B32253" w:rsidRPr="00B32253">
        <w:rPr>
          <w:szCs w:val="22"/>
          <w:lang w:val="el-GR"/>
        </w:rPr>
        <w:t>τορασεμίδη</w:t>
      </w:r>
      <w:proofErr w:type="spellEnd"/>
      <w:r>
        <w:rPr>
          <w:szCs w:val="22"/>
          <w:lang w:val="el-GR"/>
        </w:rPr>
        <w:t xml:space="preserve"> αυξάνει </w:t>
      </w:r>
      <w:r w:rsidR="006E53F1">
        <w:rPr>
          <w:szCs w:val="22"/>
          <w:lang w:val="el-GR"/>
        </w:rPr>
        <w:t xml:space="preserve">τη νεφρική απέκκριση του νατρίου </w:t>
      </w:r>
      <w:r w:rsidR="000144AD">
        <w:rPr>
          <w:szCs w:val="22"/>
          <w:lang w:val="el-GR"/>
        </w:rPr>
        <w:t xml:space="preserve">του χλωρίου </w:t>
      </w:r>
      <w:r w:rsidR="006E53F1">
        <w:rPr>
          <w:szCs w:val="22"/>
          <w:lang w:val="el-GR"/>
        </w:rPr>
        <w:t xml:space="preserve">και του νερού, αλλά δεν μεταβάλλει σημαντικά το ρυθμό </w:t>
      </w:r>
      <w:proofErr w:type="spellStart"/>
      <w:r w:rsidR="006E53F1">
        <w:rPr>
          <w:szCs w:val="22"/>
          <w:lang w:val="el-GR"/>
        </w:rPr>
        <w:t>σπειραματικής</w:t>
      </w:r>
      <w:proofErr w:type="spellEnd"/>
      <w:r w:rsidR="006E53F1">
        <w:rPr>
          <w:szCs w:val="22"/>
          <w:lang w:val="el-GR"/>
        </w:rPr>
        <w:t xml:space="preserve"> διήθησης, τη νεφρική ροή του πλάσματος, ή την </w:t>
      </w:r>
      <w:proofErr w:type="spellStart"/>
      <w:r w:rsidR="006E53F1">
        <w:rPr>
          <w:szCs w:val="22"/>
          <w:lang w:val="el-GR"/>
        </w:rPr>
        <w:t>οξεοβασική</w:t>
      </w:r>
      <w:proofErr w:type="spellEnd"/>
      <w:r w:rsidR="006E53F1">
        <w:rPr>
          <w:szCs w:val="22"/>
          <w:lang w:val="el-GR"/>
        </w:rPr>
        <w:t xml:space="preserve"> ισορροπία.</w:t>
      </w:r>
    </w:p>
    <w:p w14:paraId="3A019E01" w14:textId="77777777" w:rsidR="0069423F" w:rsidRPr="00F954C6" w:rsidRDefault="0069423F" w:rsidP="00622633">
      <w:pPr>
        <w:rPr>
          <w:noProof/>
          <w:szCs w:val="22"/>
          <w:lang w:val="el-GR"/>
        </w:rPr>
      </w:pPr>
    </w:p>
    <w:p w14:paraId="6B175B2F" w14:textId="77777777" w:rsidR="00FD771B" w:rsidRDefault="00FD771B">
      <w:pPr>
        <w:rPr>
          <w:szCs w:val="22"/>
          <w:u w:val="single"/>
          <w:lang w:val="el-GR"/>
        </w:rPr>
      </w:pPr>
      <w:r w:rsidRPr="00166D11">
        <w:rPr>
          <w:szCs w:val="22"/>
          <w:u w:val="single"/>
          <w:lang w:val="el-GR"/>
        </w:rPr>
        <w:t>Κλινική αποτελεσματικότητα και ασφάλεια</w:t>
      </w:r>
    </w:p>
    <w:p w14:paraId="7A121D92" w14:textId="20737F9C" w:rsidR="0069423F" w:rsidRPr="00A332A8" w:rsidRDefault="00A70671">
      <w:pPr>
        <w:rPr>
          <w:szCs w:val="22"/>
          <w:lang w:val="el-GR"/>
        </w:rPr>
      </w:pPr>
      <w:r>
        <w:rPr>
          <w:szCs w:val="22"/>
          <w:lang w:val="el-GR"/>
        </w:rPr>
        <w:t xml:space="preserve">Οι διουρητικές επιδράσεις της </w:t>
      </w:r>
      <w:proofErr w:type="spellStart"/>
      <w:r w:rsidR="00B32253" w:rsidRPr="00B32253">
        <w:rPr>
          <w:szCs w:val="22"/>
          <w:lang w:val="el-GR"/>
        </w:rPr>
        <w:t>τορασεμίδης</w:t>
      </w:r>
      <w:proofErr w:type="spellEnd"/>
      <w:r>
        <w:rPr>
          <w:szCs w:val="22"/>
          <w:lang w:val="el-GR"/>
        </w:rPr>
        <w:t xml:space="preserve"> </w:t>
      </w:r>
      <w:r w:rsidR="00C80438">
        <w:rPr>
          <w:szCs w:val="22"/>
          <w:lang w:val="el-GR"/>
        </w:rPr>
        <w:t xml:space="preserve">αρχίζουν μέσα σε 10 λεπτά μετά την ενδοφλέβια χορήγηση και φτάνουν στο μέγιστο την πρώτη ώρα. Με την από του στόματος χορήγηση, η διούρηση αρχίζει μέσα σε μία ώρα και φθάνει στο μέγιστο την πρώτη ή τη δεύτερη ώρα. Ανεξάρτητα από την οδό χορήγησης, η διούρηση παραμένει για περίπου 6 έως 8 ώρες. </w:t>
      </w:r>
      <w:r w:rsidR="00D346F9">
        <w:rPr>
          <w:szCs w:val="22"/>
          <w:lang w:val="el-GR"/>
        </w:rPr>
        <w:t>Σε υγιείς εθελοντές που έλαβαν εφάπαξ δόσεις, η σχέση δόσης-απόκρισης για απέκκριση νατρίου είναι γραμμική στις δόσεις από 2,5 έως 20 </w:t>
      </w:r>
      <w:r w:rsidR="00D346F9">
        <w:rPr>
          <w:szCs w:val="22"/>
          <w:lang w:val="en-US"/>
        </w:rPr>
        <w:t>mg</w:t>
      </w:r>
      <w:r w:rsidR="00D346F9" w:rsidRPr="00D346F9">
        <w:rPr>
          <w:szCs w:val="22"/>
          <w:lang w:val="el-GR"/>
        </w:rPr>
        <w:t xml:space="preserve">. </w:t>
      </w:r>
      <w:r w:rsidR="00D346F9">
        <w:rPr>
          <w:szCs w:val="22"/>
          <w:lang w:val="el-GR"/>
        </w:rPr>
        <w:t>Η αύξηση της απέκκρισης του καλίο</w:t>
      </w:r>
      <w:r w:rsidR="001C42C4">
        <w:rPr>
          <w:szCs w:val="22"/>
          <w:lang w:val="el-GR"/>
        </w:rPr>
        <w:t>υ είναι αμελητέα μετά από μία εφ</w:t>
      </w:r>
      <w:r w:rsidR="00D346F9">
        <w:rPr>
          <w:szCs w:val="22"/>
          <w:lang w:val="el-GR"/>
        </w:rPr>
        <w:t>άπαξ δόση έως 10 </w:t>
      </w:r>
      <w:r w:rsidR="00D346F9">
        <w:rPr>
          <w:szCs w:val="22"/>
          <w:lang w:val="en-US"/>
        </w:rPr>
        <w:t>mg</w:t>
      </w:r>
      <w:r w:rsidR="00D346F9">
        <w:rPr>
          <w:szCs w:val="22"/>
          <w:lang w:val="el-GR"/>
        </w:rPr>
        <w:t xml:space="preserve"> και </w:t>
      </w:r>
      <w:r w:rsidR="004D6BD8">
        <w:rPr>
          <w:szCs w:val="22"/>
          <w:lang w:val="el-GR"/>
        </w:rPr>
        <w:t>ήπια μόνο</w:t>
      </w:r>
      <w:r w:rsidR="00D346F9">
        <w:rPr>
          <w:szCs w:val="22"/>
          <w:lang w:val="el-GR"/>
        </w:rPr>
        <w:t xml:space="preserve"> (</w:t>
      </w:r>
      <w:r w:rsidR="00A332A8">
        <w:rPr>
          <w:szCs w:val="22"/>
          <w:lang w:val="el-GR"/>
        </w:rPr>
        <w:t>5 έως 15 </w:t>
      </w:r>
      <w:proofErr w:type="spellStart"/>
      <w:r w:rsidR="00A332A8">
        <w:rPr>
          <w:szCs w:val="22"/>
          <w:lang w:val="en-US"/>
        </w:rPr>
        <w:t>mEq</w:t>
      </w:r>
      <w:proofErr w:type="spellEnd"/>
      <w:r w:rsidR="00A332A8" w:rsidRPr="00A332A8">
        <w:rPr>
          <w:szCs w:val="22"/>
          <w:lang w:val="el-GR"/>
        </w:rPr>
        <w:t xml:space="preserve">) </w:t>
      </w:r>
      <w:r w:rsidR="004D6BD8">
        <w:rPr>
          <w:szCs w:val="22"/>
          <w:lang w:val="el-GR"/>
        </w:rPr>
        <w:t xml:space="preserve">ως επακόλουθο </w:t>
      </w:r>
      <w:r w:rsidR="000144AD">
        <w:rPr>
          <w:szCs w:val="22"/>
          <w:lang w:val="el-GR"/>
        </w:rPr>
        <w:t xml:space="preserve">μίας </w:t>
      </w:r>
      <w:r w:rsidR="00A332A8">
        <w:rPr>
          <w:szCs w:val="22"/>
          <w:lang w:val="el-GR"/>
        </w:rPr>
        <w:t>δόσης 20 </w:t>
      </w:r>
      <w:r w:rsidR="00A332A8">
        <w:rPr>
          <w:szCs w:val="22"/>
          <w:lang w:val="en-US"/>
        </w:rPr>
        <w:t>mg</w:t>
      </w:r>
      <w:r w:rsidR="00A332A8" w:rsidRPr="00A332A8">
        <w:rPr>
          <w:szCs w:val="22"/>
          <w:lang w:val="el-GR"/>
        </w:rPr>
        <w:t>.</w:t>
      </w:r>
    </w:p>
    <w:p w14:paraId="240561DA" w14:textId="77777777" w:rsidR="00A332A8" w:rsidRDefault="00A332A8">
      <w:pPr>
        <w:rPr>
          <w:szCs w:val="22"/>
          <w:lang w:val="el-GR"/>
        </w:rPr>
      </w:pPr>
    </w:p>
    <w:p w14:paraId="7D87ACC0" w14:textId="340E61FE" w:rsidR="00A332A8" w:rsidRDefault="00A332A8">
      <w:pPr>
        <w:rPr>
          <w:szCs w:val="22"/>
          <w:lang w:val="el-GR"/>
        </w:rPr>
      </w:pPr>
      <w:r>
        <w:rPr>
          <w:szCs w:val="22"/>
          <w:lang w:val="el-GR"/>
        </w:rPr>
        <w:t xml:space="preserve">Η </w:t>
      </w:r>
      <w:proofErr w:type="spellStart"/>
      <w:r w:rsidR="00B32253" w:rsidRPr="00B32253">
        <w:rPr>
          <w:szCs w:val="22"/>
          <w:lang w:val="el-GR"/>
        </w:rPr>
        <w:t>τορασεμίδη</w:t>
      </w:r>
      <w:proofErr w:type="spellEnd"/>
      <w:r>
        <w:rPr>
          <w:szCs w:val="22"/>
          <w:lang w:val="el-GR"/>
        </w:rPr>
        <w:t xml:space="preserve"> έχει μελετηθεί σε ελεγχόμενες κλινικές μελέτες σε ασθενείς, με συμφορητική καρδιακή ανεπάρκεια</w:t>
      </w:r>
      <w:r w:rsidR="005A7A60">
        <w:rPr>
          <w:szCs w:val="22"/>
          <w:lang w:val="el-GR"/>
        </w:rPr>
        <w:t xml:space="preserve"> σταδίου</w:t>
      </w:r>
      <w:r>
        <w:rPr>
          <w:szCs w:val="22"/>
          <w:lang w:val="el-GR"/>
        </w:rPr>
        <w:t xml:space="preserve"> ΙΙ έως Ι</w:t>
      </w:r>
      <w:r>
        <w:rPr>
          <w:szCs w:val="22"/>
          <w:lang w:val="en-US"/>
        </w:rPr>
        <w:t>V</w:t>
      </w:r>
      <w:r>
        <w:rPr>
          <w:szCs w:val="22"/>
          <w:lang w:val="el-GR"/>
        </w:rPr>
        <w:t xml:space="preserve">, </w:t>
      </w:r>
      <w:r w:rsidR="004D6BD8">
        <w:rPr>
          <w:szCs w:val="22"/>
          <w:lang w:val="el-GR"/>
        </w:rPr>
        <w:t xml:space="preserve">κατά την </w:t>
      </w:r>
      <w:r>
        <w:rPr>
          <w:szCs w:val="22"/>
          <w:lang w:val="el-GR"/>
        </w:rPr>
        <w:t>Καρδιολογική Εταιρεία της Νέας Υόρκης (</w:t>
      </w:r>
      <w:r>
        <w:rPr>
          <w:szCs w:val="22"/>
          <w:lang w:val="en-US"/>
        </w:rPr>
        <w:t>New</w:t>
      </w:r>
      <w:r w:rsidRPr="00A332A8">
        <w:rPr>
          <w:szCs w:val="22"/>
          <w:lang w:val="el-GR"/>
        </w:rPr>
        <w:t xml:space="preserve"> </w:t>
      </w:r>
      <w:r>
        <w:rPr>
          <w:szCs w:val="22"/>
          <w:lang w:val="en-US"/>
        </w:rPr>
        <w:t>York</w:t>
      </w:r>
      <w:r w:rsidRPr="00A332A8">
        <w:rPr>
          <w:szCs w:val="22"/>
          <w:lang w:val="el-GR"/>
        </w:rPr>
        <w:t xml:space="preserve"> </w:t>
      </w:r>
      <w:r>
        <w:rPr>
          <w:szCs w:val="22"/>
          <w:lang w:val="en-US"/>
        </w:rPr>
        <w:t>Heart</w:t>
      </w:r>
      <w:r w:rsidRPr="00A332A8">
        <w:rPr>
          <w:szCs w:val="22"/>
          <w:lang w:val="el-GR"/>
        </w:rPr>
        <w:t xml:space="preserve"> </w:t>
      </w:r>
      <w:r>
        <w:rPr>
          <w:szCs w:val="22"/>
          <w:lang w:val="en-US"/>
        </w:rPr>
        <w:t>Association</w:t>
      </w:r>
      <w:r w:rsidRPr="00A332A8">
        <w:rPr>
          <w:szCs w:val="22"/>
          <w:lang w:val="el-GR"/>
        </w:rPr>
        <w:t xml:space="preserve">). </w:t>
      </w:r>
      <w:r>
        <w:rPr>
          <w:szCs w:val="22"/>
          <w:lang w:val="el-GR"/>
        </w:rPr>
        <w:t>Οι ασθενείς που έλαβαν θεραπεία με 10 έως 20 </w:t>
      </w:r>
      <w:r>
        <w:rPr>
          <w:szCs w:val="22"/>
          <w:lang w:val="en-US"/>
        </w:rPr>
        <w:t>mg</w:t>
      </w:r>
      <w:r w:rsidRPr="00A332A8">
        <w:rPr>
          <w:szCs w:val="22"/>
          <w:lang w:val="el-GR"/>
        </w:rPr>
        <w:t xml:space="preserve"> </w:t>
      </w:r>
      <w:proofErr w:type="spellStart"/>
      <w:r w:rsidR="00B32253" w:rsidRPr="00B32253">
        <w:rPr>
          <w:szCs w:val="22"/>
          <w:lang w:val="el-GR"/>
        </w:rPr>
        <w:t>τορασεμίδης</w:t>
      </w:r>
      <w:proofErr w:type="spellEnd"/>
      <w:r>
        <w:rPr>
          <w:szCs w:val="22"/>
          <w:lang w:val="el-GR"/>
        </w:rPr>
        <w:t xml:space="preserve"> καθημερινά σε αυτές τις μελέτες πέτυχαν σημαντικά μεγαλύτερες μειώσεις σωματικού βάρους και οιδήματος από εκείνους που έλαβαν εικονικό φάρμακο.</w:t>
      </w:r>
    </w:p>
    <w:p w14:paraId="58FB49AB" w14:textId="77777777" w:rsidR="005256F3" w:rsidRDefault="005256F3">
      <w:pPr>
        <w:rPr>
          <w:szCs w:val="22"/>
          <w:lang w:val="el-GR"/>
        </w:rPr>
      </w:pPr>
    </w:p>
    <w:p w14:paraId="3B461224" w14:textId="11106B99" w:rsidR="005256F3" w:rsidRDefault="005256F3">
      <w:pPr>
        <w:rPr>
          <w:szCs w:val="22"/>
          <w:lang w:val="el-GR"/>
        </w:rPr>
      </w:pPr>
      <w:r>
        <w:rPr>
          <w:szCs w:val="22"/>
          <w:lang w:val="el-GR"/>
        </w:rPr>
        <w:t xml:space="preserve">Σε κλινικές μελέτες ασθενών με νεφρική ανεπάρκεια χωρίς </w:t>
      </w:r>
      <w:proofErr w:type="spellStart"/>
      <w:r>
        <w:rPr>
          <w:szCs w:val="22"/>
          <w:lang w:val="el-GR"/>
        </w:rPr>
        <w:t>ανουρία</w:t>
      </w:r>
      <w:proofErr w:type="spellEnd"/>
      <w:r>
        <w:rPr>
          <w:szCs w:val="22"/>
          <w:lang w:val="el-GR"/>
        </w:rPr>
        <w:t xml:space="preserve"> που έλαβαν μία εφάπαξ δόση, οι υψηλές δόσεις </w:t>
      </w:r>
      <w:proofErr w:type="spellStart"/>
      <w:r w:rsidR="00B32253" w:rsidRPr="00B32253">
        <w:rPr>
          <w:szCs w:val="22"/>
          <w:lang w:val="el-GR"/>
        </w:rPr>
        <w:t>τορασεμίδης</w:t>
      </w:r>
      <w:proofErr w:type="spellEnd"/>
      <w:r>
        <w:rPr>
          <w:szCs w:val="22"/>
          <w:lang w:val="el-GR"/>
        </w:rPr>
        <w:t xml:space="preserve"> (20 έως 200 </w:t>
      </w:r>
      <w:r>
        <w:rPr>
          <w:szCs w:val="22"/>
          <w:lang w:val="en-US"/>
        </w:rPr>
        <w:t>mg</w:t>
      </w:r>
      <w:r w:rsidRPr="005256F3">
        <w:rPr>
          <w:szCs w:val="22"/>
          <w:lang w:val="el-GR"/>
        </w:rPr>
        <w:t xml:space="preserve">) </w:t>
      </w:r>
      <w:r>
        <w:rPr>
          <w:szCs w:val="22"/>
          <w:lang w:val="el-GR"/>
        </w:rPr>
        <w:t xml:space="preserve">έδειξαν </w:t>
      </w:r>
      <w:r w:rsidR="0092184B">
        <w:rPr>
          <w:szCs w:val="22"/>
          <w:lang w:val="el-GR"/>
        </w:rPr>
        <w:t>σημαντική αύξηση απέκκρισης νερού και νατρίου, ενώ δεν έχει εκτιμηθεί εάν</w:t>
      </w:r>
      <w:r w:rsidR="000144AD">
        <w:rPr>
          <w:szCs w:val="22"/>
          <w:lang w:val="el-GR"/>
        </w:rPr>
        <w:t>,</w:t>
      </w:r>
      <w:r w:rsidR="0092184B">
        <w:rPr>
          <w:szCs w:val="22"/>
          <w:lang w:val="el-GR"/>
        </w:rPr>
        <w:t xml:space="preserve"> σε σοβαρές περιπτώσεις όπου οι ασθενείς </w:t>
      </w:r>
      <w:r w:rsidR="000144AD">
        <w:rPr>
          <w:szCs w:val="22"/>
          <w:lang w:val="el-GR"/>
        </w:rPr>
        <w:t xml:space="preserve">υποβάλλονται </w:t>
      </w:r>
      <w:r w:rsidR="0092184B">
        <w:rPr>
          <w:szCs w:val="22"/>
          <w:lang w:val="el-GR"/>
        </w:rPr>
        <w:t>σ</w:t>
      </w:r>
      <w:r w:rsidR="000144AD">
        <w:rPr>
          <w:szCs w:val="22"/>
          <w:lang w:val="el-GR"/>
        </w:rPr>
        <w:t>ε</w:t>
      </w:r>
      <w:r w:rsidR="0092184B">
        <w:rPr>
          <w:szCs w:val="22"/>
          <w:lang w:val="el-GR"/>
        </w:rPr>
        <w:t xml:space="preserve"> αιμοκάθαρση, η χρόνια θεραπεία με </w:t>
      </w:r>
      <w:proofErr w:type="spellStart"/>
      <w:r w:rsidR="00B32253" w:rsidRPr="00B32253">
        <w:rPr>
          <w:szCs w:val="22"/>
          <w:lang w:val="el-GR"/>
        </w:rPr>
        <w:t>τορασεμίδη</w:t>
      </w:r>
      <w:proofErr w:type="spellEnd"/>
      <w:r w:rsidR="0092184B">
        <w:rPr>
          <w:szCs w:val="22"/>
          <w:lang w:val="el-GR"/>
        </w:rPr>
        <w:t xml:space="preserve"> 200 </w:t>
      </w:r>
      <w:r w:rsidR="0092184B">
        <w:rPr>
          <w:szCs w:val="22"/>
          <w:lang w:val="en-US"/>
        </w:rPr>
        <w:t>mg</w:t>
      </w:r>
      <w:r w:rsidR="0092184B" w:rsidRPr="0092184B">
        <w:rPr>
          <w:szCs w:val="22"/>
          <w:lang w:val="el-GR"/>
        </w:rPr>
        <w:t xml:space="preserve"> </w:t>
      </w:r>
      <w:r w:rsidR="0092184B">
        <w:rPr>
          <w:szCs w:val="22"/>
          <w:lang w:val="el-GR"/>
        </w:rPr>
        <w:t>θα προκαλούσε την κατακράτηση υγρών  κατάσταση ισορροπίας.</w:t>
      </w:r>
    </w:p>
    <w:p w14:paraId="0A32D3EF" w14:textId="77777777" w:rsidR="00427311" w:rsidRDefault="00427311">
      <w:pPr>
        <w:rPr>
          <w:szCs w:val="22"/>
          <w:lang w:val="el-GR"/>
        </w:rPr>
      </w:pPr>
    </w:p>
    <w:p w14:paraId="5AF93E08" w14:textId="1959A1AD" w:rsidR="00427311" w:rsidRDefault="00B026B0">
      <w:pPr>
        <w:rPr>
          <w:szCs w:val="22"/>
          <w:lang w:val="el-GR"/>
        </w:rPr>
      </w:pPr>
      <w:r>
        <w:rPr>
          <w:szCs w:val="22"/>
          <w:lang w:val="el-GR"/>
        </w:rPr>
        <w:t xml:space="preserve">Με τη χορήγηση ανταγωνιστών της </w:t>
      </w:r>
      <w:proofErr w:type="spellStart"/>
      <w:r>
        <w:rPr>
          <w:szCs w:val="22"/>
          <w:lang w:val="el-GR"/>
        </w:rPr>
        <w:t>αλδοστερόνης</w:t>
      </w:r>
      <w:proofErr w:type="spellEnd"/>
      <w:r>
        <w:rPr>
          <w:szCs w:val="22"/>
          <w:lang w:val="el-GR"/>
        </w:rPr>
        <w:t xml:space="preserve">, η </w:t>
      </w:r>
      <w:proofErr w:type="spellStart"/>
      <w:r w:rsidR="00B32253" w:rsidRPr="00B32253">
        <w:rPr>
          <w:szCs w:val="22"/>
          <w:lang w:val="el-GR"/>
        </w:rPr>
        <w:t>τορασεμίδη</w:t>
      </w:r>
      <w:proofErr w:type="spellEnd"/>
      <w:r>
        <w:rPr>
          <w:szCs w:val="22"/>
          <w:lang w:val="el-GR"/>
        </w:rPr>
        <w:t xml:space="preserve"> αυξάνει την απέκκριση νατρίου και υγρών σε ασθενείς με οίδημα ή </w:t>
      </w:r>
      <w:proofErr w:type="spellStart"/>
      <w:r>
        <w:rPr>
          <w:szCs w:val="22"/>
          <w:lang w:val="el-GR"/>
        </w:rPr>
        <w:t>ασκίτη</w:t>
      </w:r>
      <w:proofErr w:type="spellEnd"/>
      <w:r>
        <w:rPr>
          <w:szCs w:val="22"/>
          <w:lang w:val="el-GR"/>
        </w:rPr>
        <w:t xml:space="preserve"> λόγω κίρρωσης του ήπατος. Ο ρυθμός της νεφρικής απέκκρισης του νατρίου που σχετίζεται με την </w:t>
      </w:r>
      <w:proofErr w:type="spellStart"/>
      <w:r w:rsidR="00B32253" w:rsidRPr="00B32253">
        <w:rPr>
          <w:szCs w:val="22"/>
          <w:lang w:val="el-GR"/>
        </w:rPr>
        <w:t>τορασεμίδη</w:t>
      </w:r>
      <w:proofErr w:type="spellEnd"/>
      <w:r>
        <w:rPr>
          <w:szCs w:val="22"/>
          <w:lang w:val="el-GR"/>
        </w:rPr>
        <w:t xml:space="preserve"> είναι μικρότερος σε ασθενείς με κίρρωση σε σχέση με υγιείς εθελοντές (πιθανώς λόγω </w:t>
      </w:r>
      <w:proofErr w:type="spellStart"/>
      <w:r>
        <w:rPr>
          <w:szCs w:val="22"/>
          <w:lang w:val="el-GR"/>
        </w:rPr>
        <w:t>υπεραλδοστερονισμού</w:t>
      </w:r>
      <w:proofErr w:type="spellEnd"/>
      <w:r>
        <w:rPr>
          <w:szCs w:val="22"/>
          <w:lang w:val="el-GR"/>
        </w:rPr>
        <w:t xml:space="preserve"> και κατακράτησης νατρίου, χαρακτηριστικά της πυλαίας υπέρτασης και του </w:t>
      </w:r>
      <w:proofErr w:type="spellStart"/>
      <w:r>
        <w:rPr>
          <w:szCs w:val="22"/>
          <w:lang w:val="el-GR"/>
        </w:rPr>
        <w:t>ασκίτη</w:t>
      </w:r>
      <w:proofErr w:type="spellEnd"/>
      <w:r>
        <w:rPr>
          <w:szCs w:val="22"/>
          <w:lang w:val="el-GR"/>
        </w:rPr>
        <w:t>).</w:t>
      </w:r>
      <w:r w:rsidR="00092BDB">
        <w:rPr>
          <w:szCs w:val="22"/>
          <w:lang w:val="el-GR"/>
        </w:rPr>
        <w:t xml:space="preserve"> Ω</w:t>
      </w:r>
      <w:r w:rsidR="00C82EF8">
        <w:rPr>
          <w:szCs w:val="22"/>
          <w:lang w:val="el-GR"/>
        </w:rPr>
        <w:t xml:space="preserve">στόσο, εξαιτίας της αυξημένης νεφρικής κάθαρσης της </w:t>
      </w:r>
      <w:proofErr w:type="spellStart"/>
      <w:r w:rsidR="00B32253" w:rsidRPr="00B32253">
        <w:rPr>
          <w:szCs w:val="22"/>
          <w:lang w:val="el-GR"/>
        </w:rPr>
        <w:t>τορασεμίδης</w:t>
      </w:r>
      <w:proofErr w:type="spellEnd"/>
      <w:r w:rsidR="00C82EF8">
        <w:rPr>
          <w:szCs w:val="22"/>
          <w:lang w:val="el-GR"/>
        </w:rPr>
        <w:t xml:space="preserve"> σε ασθενείς με κίρρωση του ήπατος, αυτοί οι παράγοντες τείνουν να </w:t>
      </w:r>
      <w:proofErr w:type="spellStart"/>
      <w:r w:rsidR="00C82EF8">
        <w:rPr>
          <w:szCs w:val="22"/>
          <w:lang w:val="el-GR"/>
        </w:rPr>
        <w:t>αντι</w:t>
      </w:r>
      <w:r w:rsidR="00C94FDC">
        <w:rPr>
          <w:szCs w:val="22"/>
          <w:lang w:val="el-GR"/>
        </w:rPr>
        <w:t>ρροπούνται</w:t>
      </w:r>
      <w:proofErr w:type="spellEnd"/>
      <w:r w:rsidR="00C94FDC">
        <w:rPr>
          <w:szCs w:val="22"/>
          <w:lang w:val="el-GR"/>
        </w:rPr>
        <w:t xml:space="preserve"> </w:t>
      </w:r>
      <w:r w:rsidR="00C82EF8">
        <w:rPr>
          <w:szCs w:val="22"/>
          <w:lang w:val="el-GR"/>
        </w:rPr>
        <w:t xml:space="preserve">και το αποτέλεσμα είναι μία γενική </w:t>
      </w:r>
      <w:proofErr w:type="spellStart"/>
      <w:r w:rsidR="00C82EF8">
        <w:rPr>
          <w:szCs w:val="22"/>
          <w:lang w:val="el-GR"/>
        </w:rPr>
        <w:t>νατριουρητική</w:t>
      </w:r>
      <w:proofErr w:type="spellEnd"/>
      <w:r w:rsidR="00C82EF8">
        <w:rPr>
          <w:szCs w:val="22"/>
          <w:lang w:val="el-GR"/>
        </w:rPr>
        <w:t xml:space="preserve"> απόκριση παρόμοια με εκείνη που παρατηρήθηκε σε υγιείς εθελοντές.</w:t>
      </w:r>
    </w:p>
    <w:p w14:paraId="26CD9A51" w14:textId="77777777" w:rsidR="001272F6" w:rsidRDefault="001272F6">
      <w:pPr>
        <w:rPr>
          <w:szCs w:val="22"/>
          <w:lang w:val="el-GR"/>
        </w:rPr>
      </w:pPr>
    </w:p>
    <w:p w14:paraId="38A5CDFF" w14:textId="1E9C39A6" w:rsidR="001272F6" w:rsidRDefault="001272F6">
      <w:pPr>
        <w:rPr>
          <w:szCs w:val="22"/>
          <w:lang w:val="el-GR"/>
        </w:rPr>
      </w:pPr>
      <w:r>
        <w:rPr>
          <w:szCs w:val="22"/>
          <w:lang w:val="el-GR"/>
        </w:rPr>
        <w:t xml:space="preserve">Ελεγχόμενες μελέτες σε ασθενείς με ιδιοπαθή υπέρταση έχουν δείξει ότι η </w:t>
      </w:r>
      <w:proofErr w:type="spellStart"/>
      <w:r w:rsidR="00B32253" w:rsidRPr="00B32253">
        <w:rPr>
          <w:szCs w:val="22"/>
          <w:lang w:val="el-GR"/>
        </w:rPr>
        <w:t>τορασεμίδη</w:t>
      </w:r>
      <w:proofErr w:type="spellEnd"/>
      <w:r>
        <w:rPr>
          <w:szCs w:val="22"/>
          <w:lang w:val="el-GR"/>
        </w:rPr>
        <w:t xml:space="preserve"> μειώνει την αρτηριακή πίεση όταν χορηγείται μία φορά ημερησίως σε δόσεις των 5 έως 10 </w:t>
      </w:r>
      <w:r>
        <w:rPr>
          <w:szCs w:val="22"/>
          <w:lang w:val="en-US"/>
        </w:rPr>
        <w:t>mg</w:t>
      </w:r>
      <w:r w:rsidRPr="001272F6">
        <w:rPr>
          <w:szCs w:val="22"/>
          <w:lang w:val="el-GR"/>
        </w:rPr>
        <w:t xml:space="preserve">. </w:t>
      </w:r>
      <w:r>
        <w:rPr>
          <w:szCs w:val="22"/>
          <w:lang w:val="el-GR"/>
        </w:rPr>
        <w:t xml:space="preserve">Η </w:t>
      </w:r>
      <w:proofErr w:type="spellStart"/>
      <w:r>
        <w:rPr>
          <w:szCs w:val="22"/>
          <w:lang w:val="el-GR"/>
        </w:rPr>
        <w:t>αντιϋπερτασική</w:t>
      </w:r>
      <w:proofErr w:type="spellEnd"/>
      <w:r>
        <w:rPr>
          <w:szCs w:val="22"/>
          <w:lang w:val="el-GR"/>
        </w:rPr>
        <w:t xml:space="preserve"> </w:t>
      </w:r>
      <w:r w:rsidR="00FA0754">
        <w:rPr>
          <w:szCs w:val="22"/>
          <w:lang w:val="el-GR"/>
        </w:rPr>
        <w:t>δράση είναι κοντά στο μέγιστο μετά από 4 έως 6 εβδομάδες θεραπείας, αλλά μπορεί να αυξηθεί έως τις 12 εβδομάδες.</w:t>
      </w:r>
      <w:r w:rsidR="00793074">
        <w:rPr>
          <w:szCs w:val="22"/>
          <w:lang w:val="el-GR"/>
        </w:rPr>
        <w:t xml:space="preserve"> Η συστολική και διαστολική αρτηριακή πίεση μειώνονται σε ύπτια και όρθια </w:t>
      </w:r>
      <w:r w:rsidR="007B5644">
        <w:rPr>
          <w:szCs w:val="22"/>
          <w:lang w:val="el-GR"/>
        </w:rPr>
        <w:t xml:space="preserve">θέση </w:t>
      </w:r>
      <w:r w:rsidR="00793074">
        <w:rPr>
          <w:szCs w:val="22"/>
          <w:lang w:val="el-GR"/>
        </w:rPr>
        <w:t xml:space="preserve">. Δεν παρατηρήθηκε σημαντική </w:t>
      </w:r>
      <w:proofErr w:type="spellStart"/>
      <w:r w:rsidR="00793074">
        <w:rPr>
          <w:szCs w:val="22"/>
          <w:lang w:val="el-GR"/>
        </w:rPr>
        <w:t>ορθοστατική</w:t>
      </w:r>
      <w:proofErr w:type="spellEnd"/>
      <w:r w:rsidR="00793074">
        <w:rPr>
          <w:szCs w:val="22"/>
          <w:lang w:val="el-GR"/>
        </w:rPr>
        <w:t xml:space="preserve"> επίδραση και υπήρχε ελάχιστη διαφορά στη </w:t>
      </w:r>
      <w:r w:rsidR="007B5644">
        <w:rPr>
          <w:szCs w:val="22"/>
          <w:lang w:val="el-GR"/>
        </w:rPr>
        <w:t xml:space="preserve">διακύμανση της </w:t>
      </w:r>
      <w:r w:rsidR="00793074">
        <w:rPr>
          <w:szCs w:val="22"/>
          <w:lang w:val="el-GR"/>
        </w:rPr>
        <w:t>μέγιστη</w:t>
      </w:r>
      <w:r w:rsidR="007B5644">
        <w:rPr>
          <w:szCs w:val="22"/>
          <w:lang w:val="el-GR"/>
        </w:rPr>
        <w:t>ς</w:t>
      </w:r>
      <w:r w:rsidR="00793074">
        <w:rPr>
          <w:szCs w:val="22"/>
          <w:lang w:val="el-GR"/>
        </w:rPr>
        <w:t xml:space="preserve"> μείωση</w:t>
      </w:r>
      <w:r w:rsidR="007B5644">
        <w:rPr>
          <w:szCs w:val="22"/>
          <w:lang w:val="el-GR"/>
        </w:rPr>
        <w:t>ς</w:t>
      </w:r>
      <w:r w:rsidR="00793074">
        <w:rPr>
          <w:szCs w:val="22"/>
          <w:lang w:val="el-GR"/>
        </w:rPr>
        <w:t xml:space="preserve"> της πίεσης.</w:t>
      </w:r>
    </w:p>
    <w:p w14:paraId="4BDC8ECC" w14:textId="77777777" w:rsidR="009B004E" w:rsidRDefault="009B004E">
      <w:pPr>
        <w:rPr>
          <w:szCs w:val="22"/>
          <w:lang w:val="el-GR"/>
        </w:rPr>
      </w:pPr>
    </w:p>
    <w:p w14:paraId="675EF5CF" w14:textId="77777777" w:rsidR="009B004E" w:rsidRDefault="009B004E">
      <w:pPr>
        <w:rPr>
          <w:szCs w:val="22"/>
          <w:lang w:val="el-GR"/>
        </w:rPr>
      </w:pPr>
      <w:r>
        <w:rPr>
          <w:szCs w:val="22"/>
          <w:lang w:val="el-GR"/>
        </w:rPr>
        <w:t xml:space="preserve">Όταν η </w:t>
      </w:r>
      <w:proofErr w:type="spellStart"/>
      <w:r w:rsidR="00B32253" w:rsidRPr="00B32253">
        <w:rPr>
          <w:szCs w:val="22"/>
          <w:lang w:val="el-GR"/>
        </w:rPr>
        <w:t>τορασεμίδη</w:t>
      </w:r>
      <w:proofErr w:type="spellEnd"/>
      <w:r>
        <w:rPr>
          <w:szCs w:val="22"/>
          <w:lang w:val="el-GR"/>
        </w:rPr>
        <w:t xml:space="preserve"> χορηγείται για πρώτη φορά, η ημερήσια απέκκριση νατρίου αυξάνεται για μία εβδομάδα τουλάχιστον. Ωστόσο, με τη χρόνια χορήγηση η καθημερινή απώλεια νατρίου εξισορροπείται με τη διατροφική πρόσληψη. </w:t>
      </w:r>
      <w:r w:rsidR="007E70DA">
        <w:rPr>
          <w:szCs w:val="22"/>
          <w:lang w:val="el-GR"/>
        </w:rPr>
        <w:t xml:space="preserve">Εάν η χορήγηση </w:t>
      </w:r>
      <w:proofErr w:type="spellStart"/>
      <w:r w:rsidR="00B32253" w:rsidRPr="00B32253">
        <w:rPr>
          <w:szCs w:val="22"/>
          <w:lang w:val="el-GR"/>
        </w:rPr>
        <w:t>τορασεμίδης</w:t>
      </w:r>
      <w:proofErr w:type="spellEnd"/>
      <w:r w:rsidR="007E70DA">
        <w:rPr>
          <w:szCs w:val="22"/>
          <w:lang w:val="el-GR"/>
        </w:rPr>
        <w:t xml:space="preserve"> διακοπεί ξαφνικά, η αρτηριακή πίεση επιστρέφει στα επίπεδα που είχε πριν την έναρξη της θεραπείας, χωρίς να τα υπερβαίνει, μέσα σε λίγες ημέρες.</w:t>
      </w:r>
    </w:p>
    <w:p w14:paraId="4108EDE6" w14:textId="77777777" w:rsidR="0081719D" w:rsidRDefault="0081719D">
      <w:pPr>
        <w:rPr>
          <w:szCs w:val="22"/>
          <w:lang w:val="el-GR"/>
        </w:rPr>
      </w:pPr>
    </w:p>
    <w:p w14:paraId="0E9B7962" w14:textId="09F34A8F" w:rsidR="0081719D" w:rsidRDefault="0081719D">
      <w:pPr>
        <w:rPr>
          <w:szCs w:val="22"/>
          <w:lang w:val="el-GR"/>
        </w:rPr>
      </w:pPr>
      <w:r>
        <w:rPr>
          <w:szCs w:val="22"/>
          <w:lang w:val="el-GR"/>
        </w:rPr>
        <w:t xml:space="preserve">Η </w:t>
      </w:r>
      <w:proofErr w:type="spellStart"/>
      <w:r w:rsidR="00B32253" w:rsidRPr="00B32253">
        <w:rPr>
          <w:szCs w:val="22"/>
          <w:lang w:val="el-GR"/>
        </w:rPr>
        <w:t>τορασεμίδη</w:t>
      </w:r>
      <w:proofErr w:type="spellEnd"/>
      <w:r>
        <w:rPr>
          <w:szCs w:val="22"/>
          <w:lang w:val="el-GR"/>
        </w:rPr>
        <w:t xml:space="preserve"> έχει </w:t>
      </w:r>
      <w:proofErr w:type="spellStart"/>
      <w:r>
        <w:rPr>
          <w:szCs w:val="22"/>
          <w:lang w:val="el-GR"/>
        </w:rPr>
        <w:t>συγχορηγηθεί</w:t>
      </w:r>
      <w:proofErr w:type="spellEnd"/>
      <w:r>
        <w:rPr>
          <w:szCs w:val="22"/>
          <w:lang w:val="el-GR"/>
        </w:rPr>
        <w:t xml:space="preserve"> με β-</w:t>
      </w:r>
      <w:proofErr w:type="spellStart"/>
      <w:r>
        <w:rPr>
          <w:szCs w:val="22"/>
          <w:lang w:val="el-GR"/>
        </w:rPr>
        <w:t>αδρενεργικούς</w:t>
      </w:r>
      <w:proofErr w:type="spellEnd"/>
      <w:r>
        <w:rPr>
          <w:szCs w:val="22"/>
          <w:lang w:val="el-GR"/>
        </w:rPr>
        <w:t xml:space="preserve"> αναστολείς</w:t>
      </w:r>
      <w:r w:rsidR="00564BD8">
        <w:rPr>
          <w:szCs w:val="22"/>
          <w:lang w:val="el-GR"/>
        </w:rPr>
        <w:t>, αναστολείς</w:t>
      </w:r>
      <w:r>
        <w:rPr>
          <w:szCs w:val="22"/>
          <w:lang w:val="el-GR"/>
        </w:rPr>
        <w:t xml:space="preserve"> του</w:t>
      </w:r>
      <w:r w:rsidR="00564BD8">
        <w:rPr>
          <w:szCs w:val="22"/>
          <w:lang w:val="el-GR"/>
        </w:rPr>
        <w:t xml:space="preserve"> </w:t>
      </w:r>
      <w:proofErr w:type="spellStart"/>
      <w:r w:rsidR="00564BD8">
        <w:rPr>
          <w:szCs w:val="22"/>
          <w:lang w:val="el-GR"/>
        </w:rPr>
        <w:t>μετατρεπτικού</w:t>
      </w:r>
      <w:proofErr w:type="spellEnd"/>
      <w:r w:rsidR="00564BD8">
        <w:rPr>
          <w:szCs w:val="22"/>
          <w:lang w:val="el-GR"/>
        </w:rPr>
        <w:t xml:space="preserve"> </w:t>
      </w:r>
      <w:r>
        <w:rPr>
          <w:szCs w:val="22"/>
          <w:lang w:val="el-GR"/>
        </w:rPr>
        <w:t xml:space="preserve">ενζύμου της </w:t>
      </w:r>
      <w:proofErr w:type="spellStart"/>
      <w:r>
        <w:rPr>
          <w:szCs w:val="22"/>
          <w:lang w:val="el-GR"/>
        </w:rPr>
        <w:t>αγγειοτ</w:t>
      </w:r>
      <w:r w:rsidR="00564BD8">
        <w:rPr>
          <w:szCs w:val="22"/>
          <w:lang w:val="el-GR"/>
        </w:rPr>
        <w:t>α</w:t>
      </w:r>
      <w:r>
        <w:rPr>
          <w:szCs w:val="22"/>
          <w:lang w:val="el-GR"/>
        </w:rPr>
        <w:t>σίνης</w:t>
      </w:r>
      <w:proofErr w:type="spellEnd"/>
      <w:r>
        <w:rPr>
          <w:szCs w:val="22"/>
          <w:lang w:val="el-GR"/>
        </w:rPr>
        <w:t xml:space="preserve"> και ανταγωνιστές του ασβεστίου. Δεν παρατηρήθηκαν ανεπιθύμητες αλληλεπιδράσεις και δεν κρίθηκε αναγκαία η ρύθμιση της δοσολογίας.</w:t>
      </w:r>
    </w:p>
    <w:p w14:paraId="7D8C5C7F" w14:textId="77777777" w:rsidR="00701AA6" w:rsidRDefault="00701AA6">
      <w:pPr>
        <w:rPr>
          <w:szCs w:val="22"/>
          <w:lang w:val="el-GR"/>
        </w:rPr>
      </w:pPr>
    </w:p>
    <w:p w14:paraId="0CC56150" w14:textId="77777777" w:rsidR="00701AA6" w:rsidRPr="00701AA6" w:rsidRDefault="00701AA6">
      <w:pPr>
        <w:rPr>
          <w:szCs w:val="22"/>
          <w:lang w:val="el-GR"/>
        </w:rPr>
      </w:pPr>
      <w:r>
        <w:rPr>
          <w:szCs w:val="22"/>
          <w:lang w:val="el-GR"/>
        </w:rPr>
        <w:t xml:space="preserve">Από όλους τους ασθενείς που έλαβαν θεραπεία με </w:t>
      </w:r>
      <w:proofErr w:type="spellStart"/>
      <w:r w:rsidR="00B32253" w:rsidRPr="00B32253">
        <w:rPr>
          <w:szCs w:val="22"/>
          <w:lang w:val="el-GR"/>
        </w:rPr>
        <w:t>τορασεμίδη</w:t>
      </w:r>
      <w:proofErr w:type="spellEnd"/>
      <w:r>
        <w:rPr>
          <w:szCs w:val="22"/>
          <w:lang w:val="el-GR"/>
        </w:rPr>
        <w:t xml:space="preserve"> στις κλινικές μελέτες που πραγματοποιήθηκαν </w:t>
      </w:r>
      <w:r w:rsidR="00815362">
        <w:rPr>
          <w:szCs w:val="22"/>
          <w:lang w:val="el-GR"/>
        </w:rPr>
        <w:t xml:space="preserve">στις Ηνωμένες Πολιτείες και στην Ευρώπη, </w:t>
      </w:r>
      <w:r w:rsidR="008E3DD0">
        <w:rPr>
          <w:szCs w:val="22"/>
          <w:lang w:val="el-GR"/>
        </w:rPr>
        <w:t>δεν έχουν παρατηρηθεί διαφορές λόγω ηλικίας στην αποτελεσματικότητα ή στην ασφάλεια μεταξύ μεγαλύτερων και νεότερων ασθενών.</w:t>
      </w:r>
    </w:p>
    <w:p w14:paraId="0B32E034" w14:textId="77777777" w:rsidR="00427311" w:rsidRPr="007B5644" w:rsidRDefault="00427311">
      <w:pPr>
        <w:rPr>
          <w:szCs w:val="22"/>
          <w:lang w:val="el-GR"/>
        </w:rPr>
      </w:pPr>
    </w:p>
    <w:p w14:paraId="39CFEFD3" w14:textId="77777777" w:rsidR="00FD771B" w:rsidRPr="00684E83" w:rsidRDefault="00FD771B" w:rsidP="00622633">
      <w:pPr>
        <w:rPr>
          <w:b/>
          <w:noProof/>
          <w:szCs w:val="22"/>
          <w:lang w:val="el-GR"/>
        </w:rPr>
      </w:pPr>
      <w:r w:rsidRPr="00684E83">
        <w:rPr>
          <w:b/>
          <w:noProof/>
          <w:szCs w:val="22"/>
          <w:lang w:val="el-GR"/>
        </w:rPr>
        <w:t>5.2</w:t>
      </w:r>
      <w:r w:rsidRPr="00684E83">
        <w:rPr>
          <w:b/>
          <w:noProof/>
          <w:szCs w:val="22"/>
          <w:lang w:val="el-GR"/>
        </w:rPr>
        <w:tab/>
        <w:t>Φαρμακοκινητικές ιδιότητες</w:t>
      </w:r>
    </w:p>
    <w:p w14:paraId="79304FAF" w14:textId="77777777" w:rsidR="00FD771B" w:rsidRPr="00684E83" w:rsidRDefault="00FD771B">
      <w:pPr>
        <w:rPr>
          <w:b/>
          <w:noProof/>
          <w:szCs w:val="22"/>
          <w:lang w:val="el-GR"/>
        </w:rPr>
      </w:pPr>
    </w:p>
    <w:p w14:paraId="4D6DEB34" w14:textId="1C04EF9F" w:rsidR="00B24B29" w:rsidRDefault="00B24B29">
      <w:pPr>
        <w:rPr>
          <w:szCs w:val="22"/>
          <w:lang w:val="el-GR"/>
        </w:rPr>
      </w:pPr>
      <w:r>
        <w:rPr>
          <w:szCs w:val="22"/>
          <w:lang w:val="el-GR"/>
        </w:rPr>
        <w:lastRenderedPageBreak/>
        <w:t xml:space="preserve">Η βιοδιαθεσιμότητα των δισκίων </w:t>
      </w:r>
      <w:proofErr w:type="spellStart"/>
      <w:r w:rsidR="00B32253" w:rsidRPr="00B32253">
        <w:rPr>
          <w:szCs w:val="22"/>
          <w:lang w:val="el-GR"/>
        </w:rPr>
        <w:t>τορασεμίδης</w:t>
      </w:r>
      <w:proofErr w:type="spellEnd"/>
      <w:r>
        <w:rPr>
          <w:szCs w:val="22"/>
          <w:lang w:val="el-GR"/>
        </w:rPr>
        <w:t xml:space="preserve"> είναι περίπου 80% με </w:t>
      </w:r>
      <w:r w:rsidR="00196DA9">
        <w:rPr>
          <w:szCs w:val="22"/>
          <w:lang w:val="el-GR"/>
        </w:rPr>
        <w:t>μικρ</w:t>
      </w:r>
      <w:r w:rsidR="001C3466">
        <w:rPr>
          <w:szCs w:val="22"/>
          <w:lang w:val="el-GR"/>
        </w:rPr>
        <w:t>ή διακύμανση</w:t>
      </w:r>
      <w:r w:rsidR="00196DA9">
        <w:rPr>
          <w:szCs w:val="22"/>
          <w:lang w:val="el-GR"/>
        </w:rPr>
        <w:t xml:space="preserve"> μεταξύ διαφορετικών </w:t>
      </w:r>
      <w:r>
        <w:rPr>
          <w:szCs w:val="22"/>
          <w:lang w:val="el-GR"/>
        </w:rPr>
        <w:t>ατ</w:t>
      </w:r>
      <w:r w:rsidR="00196DA9">
        <w:rPr>
          <w:szCs w:val="22"/>
          <w:lang w:val="el-GR"/>
        </w:rPr>
        <w:t>όμων</w:t>
      </w:r>
      <w:r>
        <w:rPr>
          <w:szCs w:val="22"/>
          <w:lang w:val="el-GR"/>
        </w:rPr>
        <w:t xml:space="preserve">, το </w:t>
      </w:r>
      <w:r w:rsidR="001C3466" w:rsidRPr="001C3466">
        <w:rPr>
          <w:szCs w:val="22"/>
          <w:lang w:val="el-GR"/>
        </w:rPr>
        <w:t>90%</w:t>
      </w:r>
      <w:r w:rsidR="001C3466">
        <w:rPr>
          <w:szCs w:val="22"/>
          <w:lang w:val="el-GR"/>
        </w:rPr>
        <w:t xml:space="preserve"> </w:t>
      </w:r>
      <w:r>
        <w:rPr>
          <w:szCs w:val="22"/>
          <w:lang w:val="el-GR"/>
        </w:rPr>
        <w:t xml:space="preserve">διάστημα εμπιστοσύνης κυμαίνεται από 75% έως 89%. Η </w:t>
      </w:r>
      <w:proofErr w:type="spellStart"/>
      <w:r w:rsidR="00B32253" w:rsidRPr="00B32253">
        <w:rPr>
          <w:szCs w:val="22"/>
          <w:lang w:val="el-GR"/>
        </w:rPr>
        <w:t>τορασεμίδη</w:t>
      </w:r>
      <w:proofErr w:type="spellEnd"/>
      <w:r>
        <w:rPr>
          <w:szCs w:val="22"/>
          <w:lang w:val="el-GR"/>
        </w:rPr>
        <w:t xml:space="preserve"> απορροφάται με ελάχιστο μεταβολισμό πρώτης διόδου, και η συγκέντρωση ορού φθάνει στο μέγιστο (</w:t>
      </w:r>
      <w:proofErr w:type="spellStart"/>
      <w:r>
        <w:rPr>
          <w:szCs w:val="22"/>
          <w:lang w:val="en-US"/>
        </w:rPr>
        <w:t>C</w:t>
      </w:r>
      <w:r w:rsidRPr="00B24B29">
        <w:rPr>
          <w:szCs w:val="22"/>
          <w:vertAlign w:val="subscript"/>
          <w:lang w:val="en-US"/>
        </w:rPr>
        <w:t>max</w:t>
      </w:r>
      <w:proofErr w:type="spellEnd"/>
      <w:r w:rsidRPr="00B24B29">
        <w:rPr>
          <w:szCs w:val="22"/>
          <w:lang w:val="el-GR"/>
        </w:rPr>
        <w:t xml:space="preserve">) </w:t>
      </w:r>
      <w:r>
        <w:rPr>
          <w:szCs w:val="22"/>
          <w:lang w:val="el-GR"/>
        </w:rPr>
        <w:t xml:space="preserve">εντός μιας ώρας </w:t>
      </w:r>
      <w:r w:rsidR="006D6938">
        <w:rPr>
          <w:szCs w:val="22"/>
          <w:lang w:val="el-GR"/>
        </w:rPr>
        <w:t xml:space="preserve">μετά από του στόματος χορήγηση. Η </w:t>
      </w:r>
      <w:proofErr w:type="spellStart"/>
      <w:r w:rsidR="006D6938">
        <w:rPr>
          <w:szCs w:val="22"/>
          <w:lang w:val="en-US"/>
        </w:rPr>
        <w:t>C</w:t>
      </w:r>
      <w:r w:rsidR="006D6938" w:rsidRPr="00B24B29">
        <w:rPr>
          <w:szCs w:val="22"/>
          <w:vertAlign w:val="subscript"/>
          <w:lang w:val="en-US"/>
        </w:rPr>
        <w:t>max</w:t>
      </w:r>
      <w:proofErr w:type="spellEnd"/>
      <w:r w:rsidR="006D6938">
        <w:rPr>
          <w:szCs w:val="22"/>
          <w:lang w:val="el-GR"/>
        </w:rPr>
        <w:t xml:space="preserve"> και η περιοχή κάτω από την καμπύλη (</w:t>
      </w:r>
      <w:r w:rsidR="006D6938">
        <w:rPr>
          <w:szCs w:val="22"/>
          <w:lang w:val="en-US"/>
        </w:rPr>
        <w:t>AUC</w:t>
      </w:r>
      <w:r w:rsidR="006D6938" w:rsidRPr="006D6938">
        <w:rPr>
          <w:szCs w:val="22"/>
          <w:lang w:val="el-GR"/>
        </w:rPr>
        <w:t xml:space="preserve">) </w:t>
      </w:r>
      <w:r w:rsidR="006D6938">
        <w:rPr>
          <w:szCs w:val="22"/>
          <w:lang w:val="el-GR"/>
        </w:rPr>
        <w:t xml:space="preserve">συγκέντρωσης ορού μετά από του στόματος χορήγηση είναι ανάλογη της δόσης </w:t>
      </w:r>
      <w:r w:rsidR="00127716">
        <w:rPr>
          <w:szCs w:val="22"/>
          <w:lang w:val="el-GR"/>
        </w:rPr>
        <w:t>με εύρος από 2,5 έως 200 </w:t>
      </w:r>
      <w:r w:rsidR="00127716">
        <w:rPr>
          <w:szCs w:val="22"/>
          <w:lang w:val="en-US"/>
        </w:rPr>
        <w:t>mg</w:t>
      </w:r>
      <w:r w:rsidR="00127716" w:rsidRPr="00127716">
        <w:rPr>
          <w:szCs w:val="22"/>
          <w:lang w:val="el-GR"/>
        </w:rPr>
        <w:t xml:space="preserve">. </w:t>
      </w:r>
      <w:r w:rsidR="00127716">
        <w:rPr>
          <w:szCs w:val="22"/>
          <w:lang w:val="el-GR"/>
        </w:rPr>
        <w:t xml:space="preserve">Ταυτόχρονη λήψη τροφής καθυστερεί τον χρόνο της </w:t>
      </w:r>
      <w:proofErr w:type="spellStart"/>
      <w:r w:rsidR="00127716">
        <w:rPr>
          <w:szCs w:val="22"/>
          <w:lang w:val="en-US"/>
        </w:rPr>
        <w:t>C</w:t>
      </w:r>
      <w:r w:rsidR="00127716" w:rsidRPr="00B24B29">
        <w:rPr>
          <w:szCs w:val="22"/>
          <w:vertAlign w:val="subscript"/>
          <w:lang w:val="en-US"/>
        </w:rPr>
        <w:t>max</w:t>
      </w:r>
      <w:proofErr w:type="spellEnd"/>
      <w:r w:rsidR="00127716">
        <w:rPr>
          <w:szCs w:val="22"/>
          <w:lang w:val="el-GR"/>
        </w:rPr>
        <w:t xml:space="preserve"> περίπου 30 λεπτά, αλλά η συνολική βιοδιαθεσιμότητα (</w:t>
      </w:r>
      <w:r w:rsidR="00127716">
        <w:rPr>
          <w:szCs w:val="22"/>
          <w:lang w:val="en-US"/>
        </w:rPr>
        <w:t>AUC</w:t>
      </w:r>
      <w:r w:rsidR="00127716" w:rsidRPr="006D6938">
        <w:rPr>
          <w:szCs w:val="22"/>
          <w:lang w:val="el-GR"/>
        </w:rPr>
        <w:t>)</w:t>
      </w:r>
      <w:r w:rsidR="00127716">
        <w:rPr>
          <w:szCs w:val="22"/>
          <w:lang w:val="el-GR"/>
        </w:rPr>
        <w:t xml:space="preserve"> και η διουρητική δράση παραμένουν αμετάβλητες. Η απορρόφηση δεν επηρεάζεται ουσιαστικά από τη νεφρική ή ηπατική δυσλειτουργία.</w:t>
      </w:r>
    </w:p>
    <w:p w14:paraId="0CE502D5" w14:textId="77777777" w:rsidR="006D333D" w:rsidRDefault="006D333D">
      <w:pPr>
        <w:rPr>
          <w:szCs w:val="22"/>
          <w:lang w:val="el-GR"/>
        </w:rPr>
      </w:pPr>
    </w:p>
    <w:p w14:paraId="48AA7028" w14:textId="77777777" w:rsidR="006D333D" w:rsidRDefault="006D333D">
      <w:pPr>
        <w:rPr>
          <w:szCs w:val="22"/>
          <w:lang w:val="el-GR"/>
        </w:rPr>
      </w:pPr>
      <w:r>
        <w:rPr>
          <w:szCs w:val="22"/>
          <w:lang w:val="el-GR"/>
        </w:rPr>
        <w:t xml:space="preserve">Ο όγκος κατανομής της </w:t>
      </w:r>
      <w:proofErr w:type="spellStart"/>
      <w:r w:rsidR="00B32253" w:rsidRPr="00B32253">
        <w:rPr>
          <w:szCs w:val="22"/>
          <w:lang w:val="el-GR"/>
        </w:rPr>
        <w:t>τορασεμίδης</w:t>
      </w:r>
      <w:proofErr w:type="spellEnd"/>
      <w:r>
        <w:rPr>
          <w:szCs w:val="22"/>
          <w:lang w:val="el-GR"/>
        </w:rPr>
        <w:t xml:space="preserve"> είναι από 12 έως 15 λίτρα σε φυσιολογικούς ενήλικες ή σε ασθενείς με ήπια έως μέτρια </w:t>
      </w:r>
      <w:r w:rsidR="004B79BB">
        <w:rPr>
          <w:szCs w:val="22"/>
          <w:lang w:val="el-GR"/>
        </w:rPr>
        <w:t xml:space="preserve">νεφρική ανεπάρκεια ή </w:t>
      </w:r>
      <w:r>
        <w:rPr>
          <w:szCs w:val="22"/>
          <w:lang w:val="el-GR"/>
        </w:rPr>
        <w:t xml:space="preserve">συμφορητική καρδιακή ανεπάρκεια. </w:t>
      </w:r>
      <w:r w:rsidR="00AA1005">
        <w:rPr>
          <w:szCs w:val="22"/>
          <w:lang w:val="el-GR"/>
        </w:rPr>
        <w:t>Σε ασθενείς με κίρρωση του ήπατος, ο όγκος κατανομής είναι περίπου ο διπλάσιος.</w:t>
      </w:r>
    </w:p>
    <w:p w14:paraId="4D9D9302" w14:textId="77777777" w:rsidR="00AA1005" w:rsidRDefault="00AA1005">
      <w:pPr>
        <w:rPr>
          <w:szCs w:val="22"/>
          <w:lang w:val="el-GR"/>
        </w:rPr>
      </w:pPr>
    </w:p>
    <w:p w14:paraId="311DA3D2" w14:textId="0461F054" w:rsidR="00AA1005" w:rsidRDefault="004B79BB">
      <w:pPr>
        <w:rPr>
          <w:szCs w:val="22"/>
          <w:lang w:val="el-GR"/>
        </w:rPr>
      </w:pPr>
      <w:r>
        <w:rPr>
          <w:szCs w:val="22"/>
          <w:lang w:val="el-GR"/>
        </w:rPr>
        <w:t>Ο</w:t>
      </w:r>
      <w:r w:rsidR="00116658">
        <w:rPr>
          <w:szCs w:val="22"/>
          <w:lang w:val="el-GR"/>
        </w:rPr>
        <w:t xml:space="preserve"> </w:t>
      </w:r>
      <w:r>
        <w:rPr>
          <w:szCs w:val="22"/>
          <w:lang w:val="el-GR"/>
        </w:rPr>
        <w:t xml:space="preserve">χρόνος </w:t>
      </w:r>
      <w:r w:rsidR="00AA1005">
        <w:rPr>
          <w:szCs w:val="22"/>
          <w:lang w:val="el-GR"/>
        </w:rPr>
        <w:t>ημίσεια</w:t>
      </w:r>
      <w:r>
        <w:rPr>
          <w:szCs w:val="22"/>
          <w:lang w:val="el-GR"/>
        </w:rPr>
        <w:t>ς</w:t>
      </w:r>
      <w:r w:rsidR="00AA1005">
        <w:rPr>
          <w:szCs w:val="22"/>
          <w:lang w:val="el-GR"/>
        </w:rPr>
        <w:t xml:space="preserve"> ζωή</w:t>
      </w:r>
      <w:r>
        <w:rPr>
          <w:szCs w:val="22"/>
          <w:lang w:val="el-GR"/>
        </w:rPr>
        <w:t>ς</w:t>
      </w:r>
      <w:r w:rsidR="00AA1005">
        <w:rPr>
          <w:szCs w:val="22"/>
          <w:lang w:val="el-GR"/>
        </w:rPr>
        <w:t xml:space="preserve"> της </w:t>
      </w:r>
      <w:proofErr w:type="spellStart"/>
      <w:r w:rsidR="00B32253" w:rsidRPr="00B32253">
        <w:rPr>
          <w:szCs w:val="22"/>
          <w:lang w:val="el-GR"/>
        </w:rPr>
        <w:t>τορασεμίδης</w:t>
      </w:r>
      <w:proofErr w:type="spellEnd"/>
      <w:r w:rsidR="00AA1005">
        <w:rPr>
          <w:szCs w:val="22"/>
          <w:lang w:val="el-GR"/>
        </w:rPr>
        <w:t xml:space="preserve"> </w:t>
      </w:r>
      <w:r>
        <w:rPr>
          <w:szCs w:val="22"/>
          <w:lang w:val="el-GR"/>
        </w:rPr>
        <w:t xml:space="preserve">στο αίμα </w:t>
      </w:r>
      <w:r w:rsidR="00AA1005">
        <w:rPr>
          <w:szCs w:val="22"/>
          <w:lang w:val="el-GR"/>
        </w:rPr>
        <w:t xml:space="preserve">σε φυσιολογικά άτομα, είναι περίπου 3,5 ώρες. Η </w:t>
      </w:r>
      <w:proofErr w:type="spellStart"/>
      <w:r w:rsidR="00B32253" w:rsidRPr="00B32253">
        <w:rPr>
          <w:szCs w:val="22"/>
          <w:lang w:val="el-GR"/>
        </w:rPr>
        <w:t>τορασεμίδη</w:t>
      </w:r>
      <w:proofErr w:type="spellEnd"/>
      <w:r w:rsidR="00AA1005">
        <w:rPr>
          <w:szCs w:val="22"/>
          <w:lang w:val="el-GR"/>
        </w:rPr>
        <w:t xml:space="preserve"> αποβάλλεται από την κυκλοφορία τόσο μέσω του ηπατικού μεταβολισμού (περίπου το 80% της συνολικής κάθαρσης) όσο και από την απέκκριση στα ούρα (περίπου 20% της συνολικής κάθαρσης σε ασθενείς με φυσιολογική νεφρική λειτουργία). Στον άνθρωπο, ο κύριος μεταβολίτης είναι το παράγωγο </w:t>
      </w:r>
      <w:proofErr w:type="spellStart"/>
      <w:r w:rsidR="00AA1005">
        <w:rPr>
          <w:szCs w:val="22"/>
          <w:lang w:val="el-GR"/>
        </w:rPr>
        <w:t>καρβοξυλικού</w:t>
      </w:r>
      <w:proofErr w:type="spellEnd"/>
      <w:r w:rsidR="00AA1005">
        <w:rPr>
          <w:szCs w:val="22"/>
          <w:lang w:val="el-GR"/>
        </w:rPr>
        <w:t xml:space="preserve"> οξέος, το οποίο είναι βιολογικά αδρανές. Δύο </w:t>
      </w:r>
      <w:r w:rsidR="00F77689">
        <w:rPr>
          <w:szCs w:val="22"/>
          <w:lang w:val="el-GR"/>
        </w:rPr>
        <w:t>ήσσονος</w:t>
      </w:r>
      <w:r w:rsidR="00AA1005">
        <w:rPr>
          <w:szCs w:val="22"/>
          <w:lang w:val="el-GR"/>
        </w:rPr>
        <w:t xml:space="preserve"> σημασίας μεταβολίτες διαθέτουν κάποια διουρητική δράση, αλλά </w:t>
      </w:r>
      <w:r>
        <w:rPr>
          <w:szCs w:val="22"/>
          <w:lang w:val="el-GR"/>
        </w:rPr>
        <w:t>κατ</w:t>
      </w:r>
      <w:r w:rsidR="00116658">
        <w:rPr>
          <w:szCs w:val="22"/>
          <w:lang w:val="el-GR"/>
        </w:rPr>
        <w:t>’</w:t>
      </w:r>
      <w:r>
        <w:rPr>
          <w:szCs w:val="22"/>
          <w:lang w:val="el-GR"/>
        </w:rPr>
        <w:t xml:space="preserve"> ουσία</w:t>
      </w:r>
      <w:r w:rsidR="00AA1005">
        <w:rPr>
          <w:szCs w:val="22"/>
          <w:lang w:val="el-GR"/>
        </w:rPr>
        <w:t xml:space="preserve"> , ο μεταβολισμός τερματίζει τη δράση της </w:t>
      </w:r>
      <w:proofErr w:type="spellStart"/>
      <w:r w:rsidR="00B32253" w:rsidRPr="00B32253">
        <w:rPr>
          <w:szCs w:val="22"/>
          <w:lang w:val="el-GR"/>
        </w:rPr>
        <w:t>τορασεμίδης</w:t>
      </w:r>
      <w:proofErr w:type="spellEnd"/>
      <w:r w:rsidR="00AA1005">
        <w:rPr>
          <w:szCs w:val="22"/>
          <w:lang w:val="el-GR"/>
        </w:rPr>
        <w:t>.</w:t>
      </w:r>
    </w:p>
    <w:p w14:paraId="59227EF0" w14:textId="77777777" w:rsidR="00432327" w:rsidRDefault="00432327">
      <w:pPr>
        <w:rPr>
          <w:szCs w:val="22"/>
          <w:lang w:val="el-GR"/>
        </w:rPr>
      </w:pPr>
    </w:p>
    <w:p w14:paraId="1B6C9A40" w14:textId="56F9DA8E" w:rsidR="00432327" w:rsidRDefault="00432327">
      <w:pPr>
        <w:rPr>
          <w:szCs w:val="22"/>
          <w:lang w:val="el-GR"/>
        </w:rPr>
      </w:pPr>
      <w:r>
        <w:rPr>
          <w:szCs w:val="22"/>
          <w:lang w:val="el-GR"/>
        </w:rPr>
        <w:t xml:space="preserve">Δεδομένου ότι η </w:t>
      </w:r>
      <w:proofErr w:type="spellStart"/>
      <w:r w:rsidR="00B32253" w:rsidRPr="00B32253">
        <w:rPr>
          <w:szCs w:val="22"/>
          <w:lang w:val="el-GR"/>
        </w:rPr>
        <w:t>τορασεμίδη</w:t>
      </w:r>
      <w:proofErr w:type="spellEnd"/>
      <w:r>
        <w:rPr>
          <w:szCs w:val="22"/>
          <w:lang w:val="el-GR"/>
        </w:rPr>
        <w:t xml:space="preserve"> συνδ</w:t>
      </w:r>
      <w:r w:rsidR="009B3B71">
        <w:rPr>
          <w:szCs w:val="22"/>
          <w:lang w:val="el-GR"/>
        </w:rPr>
        <w:t xml:space="preserve">έεται με υψηλή συγγένεια </w:t>
      </w:r>
      <w:r>
        <w:rPr>
          <w:szCs w:val="22"/>
          <w:lang w:val="el-GR"/>
        </w:rPr>
        <w:t xml:space="preserve">με τις </w:t>
      </w:r>
      <w:r w:rsidR="00092BDB">
        <w:rPr>
          <w:szCs w:val="22"/>
          <w:lang w:val="el-GR"/>
        </w:rPr>
        <w:t>πρωτεΐνες</w:t>
      </w:r>
      <w:r>
        <w:rPr>
          <w:szCs w:val="22"/>
          <w:lang w:val="el-GR"/>
        </w:rPr>
        <w:t xml:space="preserve"> του πλάσματος (&gt;99%), η ποσότητα που φθάνει στα </w:t>
      </w:r>
      <w:proofErr w:type="spellStart"/>
      <w:r>
        <w:rPr>
          <w:szCs w:val="22"/>
          <w:lang w:val="el-GR"/>
        </w:rPr>
        <w:t>σωληναριακά</w:t>
      </w:r>
      <w:proofErr w:type="spellEnd"/>
      <w:r>
        <w:rPr>
          <w:szCs w:val="22"/>
          <w:lang w:val="el-GR"/>
        </w:rPr>
        <w:t xml:space="preserve"> ούρα μέσω της </w:t>
      </w:r>
      <w:proofErr w:type="spellStart"/>
      <w:r>
        <w:rPr>
          <w:szCs w:val="22"/>
          <w:lang w:val="el-GR"/>
        </w:rPr>
        <w:t>σπειραματικής</w:t>
      </w:r>
      <w:proofErr w:type="spellEnd"/>
      <w:r>
        <w:rPr>
          <w:szCs w:val="22"/>
          <w:lang w:val="el-GR"/>
        </w:rPr>
        <w:t xml:space="preserve"> διήθησης είναι πολύ μικρή. </w:t>
      </w:r>
      <w:r w:rsidR="005B28CF">
        <w:rPr>
          <w:szCs w:val="22"/>
          <w:lang w:val="el-GR"/>
        </w:rPr>
        <w:t xml:space="preserve">Το μεγαλύτερο μέρος της νεφρικής κάθαρσης της </w:t>
      </w:r>
      <w:proofErr w:type="spellStart"/>
      <w:r w:rsidR="00B32253" w:rsidRPr="00B32253">
        <w:rPr>
          <w:szCs w:val="22"/>
          <w:lang w:val="el-GR"/>
        </w:rPr>
        <w:t>τορασεμίδης</w:t>
      </w:r>
      <w:proofErr w:type="spellEnd"/>
      <w:r w:rsidR="005B28CF">
        <w:rPr>
          <w:szCs w:val="22"/>
          <w:lang w:val="el-GR"/>
        </w:rPr>
        <w:t xml:space="preserve"> πραγματοποιείται με ενεργή απέκκριση της ένωσης από τα εγγύς σωληνάρια των </w:t>
      </w:r>
      <w:proofErr w:type="spellStart"/>
      <w:r w:rsidR="005B28CF">
        <w:rPr>
          <w:szCs w:val="22"/>
          <w:lang w:val="el-GR"/>
        </w:rPr>
        <w:t>σωληναριακών</w:t>
      </w:r>
      <w:proofErr w:type="spellEnd"/>
      <w:r w:rsidR="005B28CF">
        <w:rPr>
          <w:szCs w:val="22"/>
          <w:lang w:val="el-GR"/>
        </w:rPr>
        <w:t xml:space="preserve"> ούρων.</w:t>
      </w:r>
    </w:p>
    <w:p w14:paraId="306653A8" w14:textId="77777777" w:rsidR="004C1266" w:rsidRDefault="004C1266">
      <w:pPr>
        <w:rPr>
          <w:szCs w:val="22"/>
          <w:lang w:val="el-GR"/>
        </w:rPr>
      </w:pPr>
    </w:p>
    <w:p w14:paraId="60A415AB" w14:textId="596AB1D6" w:rsidR="004C1266" w:rsidRDefault="004C1266" w:rsidP="00630EAF">
      <w:pPr>
        <w:rPr>
          <w:szCs w:val="22"/>
          <w:lang w:val="el-GR"/>
        </w:rPr>
      </w:pPr>
      <w:r>
        <w:rPr>
          <w:szCs w:val="22"/>
          <w:lang w:val="el-GR"/>
        </w:rPr>
        <w:t xml:space="preserve">Η ηπατική και η νεφρική κάθαρση είναι μειωμένες σε ασθενείς με μη </w:t>
      </w:r>
      <w:proofErr w:type="spellStart"/>
      <w:r>
        <w:rPr>
          <w:szCs w:val="22"/>
          <w:lang w:val="el-GR"/>
        </w:rPr>
        <w:t>αντιρροπούμενη</w:t>
      </w:r>
      <w:proofErr w:type="spellEnd"/>
      <w:r>
        <w:rPr>
          <w:szCs w:val="22"/>
          <w:lang w:val="el-GR"/>
        </w:rPr>
        <w:t xml:space="preserve"> συμφορητική καρδιακή ανεπάρκεια, κατά πάσα πιθανότητα λόγω ηπατικής συμφόρησης και μείωσης της νεφρικής αιματικής ροής, αντίστοιχα. </w:t>
      </w:r>
      <w:r w:rsidR="00630EAF">
        <w:rPr>
          <w:szCs w:val="22"/>
          <w:lang w:val="el-GR"/>
        </w:rPr>
        <w:t xml:space="preserve">Η ολική κάθαρση της </w:t>
      </w:r>
      <w:proofErr w:type="spellStart"/>
      <w:r w:rsidR="00B32253">
        <w:rPr>
          <w:szCs w:val="22"/>
          <w:lang w:val="el-GR"/>
        </w:rPr>
        <w:t>τορασεμίδης</w:t>
      </w:r>
      <w:proofErr w:type="spellEnd"/>
      <w:r w:rsidR="00630EAF">
        <w:rPr>
          <w:szCs w:val="22"/>
          <w:lang w:val="el-GR"/>
        </w:rPr>
        <w:t xml:space="preserve"> είναι περίπου 50</w:t>
      </w:r>
      <w:r w:rsidR="0033664E" w:rsidRPr="00B32DC3">
        <w:rPr>
          <w:szCs w:val="22"/>
          <w:lang w:val="el-GR"/>
        </w:rPr>
        <w:t>%</w:t>
      </w:r>
      <w:r w:rsidR="00630EAF">
        <w:rPr>
          <w:szCs w:val="22"/>
          <w:lang w:val="el-GR"/>
        </w:rPr>
        <w:t xml:space="preserve"> αυτής που έχει καταγραφεί σε υγιείς εθελοντές, ενώ ο χρόνος </w:t>
      </w:r>
      <w:proofErr w:type="spellStart"/>
      <w:r w:rsidR="00630EAF">
        <w:rPr>
          <w:szCs w:val="22"/>
          <w:lang w:val="el-GR"/>
        </w:rPr>
        <w:t>ημιζωής</w:t>
      </w:r>
      <w:proofErr w:type="spellEnd"/>
      <w:r w:rsidR="00630EAF">
        <w:rPr>
          <w:szCs w:val="22"/>
          <w:lang w:val="el-GR"/>
        </w:rPr>
        <w:t xml:space="preserve"> στο πλάσμα και η </w:t>
      </w:r>
      <w:r w:rsidR="00630EAF" w:rsidRPr="00630EAF">
        <w:rPr>
          <w:szCs w:val="22"/>
          <w:lang w:val="el-GR"/>
        </w:rPr>
        <w:t>AUC</w:t>
      </w:r>
      <w:r w:rsidR="00630EAF">
        <w:rPr>
          <w:szCs w:val="22"/>
          <w:lang w:val="el-GR"/>
        </w:rPr>
        <w:t xml:space="preserve"> εμφανίζονται </w:t>
      </w:r>
      <w:proofErr w:type="spellStart"/>
      <w:r w:rsidR="006D5C11">
        <w:rPr>
          <w:szCs w:val="22"/>
          <w:lang w:val="el-GR"/>
        </w:rPr>
        <w:t>κατ’αντιστοιχία</w:t>
      </w:r>
      <w:proofErr w:type="spellEnd"/>
      <w:r w:rsidR="006D5C11">
        <w:rPr>
          <w:szCs w:val="22"/>
          <w:lang w:val="el-GR"/>
        </w:rPr>
        <w:t xml:space="preserve"> </w:t>
      </w:r>
      <w:r w:rsidR="00630EAF">
        <w:rPr>
          <w:szCs w:val="22"/>
          <w:lang w:val="el-GR"/>
        </w:rPr>
        <w:t>αυξημέν</w:t>
      </w:r>
      <w:r w:rsidR="009B3B71">
        <w:rPr>
          <w:szCs w:val="22"/>
          <w:lang w:val="el-GR"/>
        </w:rPr>
        <w:t>ες</w:t>
      </w:r>
      <w:r w:rsidR="00630EAF">
        <w:rPr>
          <w:szCs w:val="22"/>
          <w:lang w:val="el-GR"/>
        </w:rPr>
        <w:t>. Λόγω της μειωμένης νεφρικής κάθαρσης, ένα μικρότερο κλάσμα της χορηγούμενης δόσης</w:t>
      </w:r>
      <w:r w:rsidR="006D5C11" w:rsidRPr="00B32DC3">
        <w:rPr>
          <w:szCs w:val="22"/>
          <w:lang w:val="el-GR"/>
        </w:rPr>
        <w:t xml:space="preserve"> </w:t>
      </w:r>
      <w:r w:rsidR="006D5C11">
        <w:rPr>
          <w:szCs w:val="22"/>
          <w:lang w:val="el-GR"/>
        </w:rPr>
        <w:t xml:space="preserve">είναι διαθέσιμο </w:t>
      </w:r>
      <w:r w:rsidR="006D5C11" w:rsidRPr="006D5C11">
        <w:rPr>
          <w:szCs w:val="22"/>
          <w:lang w:val="el-GR"/>
        </w:rPr>
        <w:t xml:space="preserve">στη θέση </w:t>
      </w:r>
      <w:proofErr w:type="spellStart"/>
      <w:r w:rsidR="006D5C11" w:rsidRPr="006D5C11">
        <w:rPr>
          <w:szCs w:val="22"/>
          <w:lang w:val="el-GR"/>
        </w:rPr>
        <w:t>ενδοαυλικής</w:t>
      </w:r>
      <w:proofErr w:type="spellEnd"/>
      <w:r w:rsidR="006D5C11" w:rsidRPr="006D5C11">
        <w:rPr>
          <w:szCs w:val="22"/>
          <w:lang w:val="el-GR"/>
        </w:rPr>
        <w:t xml:space="preserve"> δράσης</w:t>
      </w:r>
      <w:r w:rsidR="00630EAF">
        <w:rPr>
          <w:szCs w:val="22"/>
          <w:lang w:val="el-GR"/>
        </w:rPr>
        <w:t xml:space="preserve"> έτσι ώστε, για </w:t>
      </w:r>
      <w:r w:rsidR="006D5C11">
        <w:rPr>
          <w:szCs w:val="22"/>
          <w:lang w:val="el-GR"/>
        </w:rPr>
        <w:t>κάθε</w:t>
      </w:r>
      <w:r w:rsidR="00630EAF">
        <w:rPr>
          <w:szCs w:val="22"/>
          <w:lang w:val="el-GR"/>
        </w:rPr>
        <w:t xml:space="preserve"> δεδομένη δόση, η </w:t>
      </w:r>
      <w:proofErr w:type="spellStart"/>
      <w:r w:rsidR="00630EAF">
        <w:rPr>
          <w:szCs w:val="22"/>
          <w:lang w:val="el-GR"/>
        </w:rPr>
        <w:t>νατριούρηση</w:t>
      </w:r>
      <w:proofErr w:type="spellEnd"/>
      <w:r w:rsidR="00630EAF">
        <w:rPr>
          <w:szCs w:val="22"/>
          <w:lang w:val="el-GR"/>
        </w:rPr>
        <w:t xml:space="preserve"> σε ασθενείς με συμφορητική καρδιακή ανεπάρκεια είναι χαμηλότερη από </w:t>
      </w:r>
      <w:proofErr w:type="spellStart"/>
      <w:r w:rsidR="00630EAF">
        <w:rPr>
          <w:szCs w:val="22"/>
          <w:lang w:val="el-GR"/>
        </w:rPr>
        <w:t>ό</w:t>
      </w:r>
      <w:r w:rsidR="006D5C11">
        <w:rPr>
          <w:szCs w:val="22"/>
          <w:lang w:val="el-GR"/>
        </w:rPr>
        <w:t>,</w:t>
      </w:r>
      <w:r w:rsidR="00630EAF">
        <w:rPr>
          <w:szCs w:val="22"/>
          <w:lang w:val="el-GR"/>
        </w:rPr>
        <w:t>τι</w:t>
      </w:r>
      <w:proofErr w:type="spellEnd"/>
      <w:r w:rsidR="00630EAF">
        <w:rPr>
          <w:szCs w:val="22"/>
          <w:lang w:val="el-GR"/>
        </w:rPr>
        <w:t xml:space="preserve"> στα φυσιολογικά άτομα.</w:t>
      </w:r>
    </w:p>
    <w:p w14:paraId="11E01F75" w14:textId="77777777" w:rsidR="00630EAF" w:rsidRDefault="00630EAF" w:rsidP="00630EAF">
      <w:pPr>
        <w:rPr>
          <w:szCs w:val="22"/>
          <w:lang w:val="el-GR"/>
        </w:rPr>
      </w:pPr>
    </w:p>
    <w:p w14:paraId="5E239947" w14:textId="2D97A000" w:rsidR="00630EAF" w:rsidRDefault="00630EAF" w:rsidP="00630EAF">
      <w:pPr>
        <w:rPr>
          <w:szCs w:val="22"/>
          <w:lang w:val="el-GR"/>
        </w:rPr>
      </w:pPr>
      <w:r>
        <w:rPr>
          <w:szCs w:val="22"/>
          <w:lang w:val="el-GR"/>
        </w:rPr>
        <w:t>Σε ασθενείς με νεφρική δυσλειτουργία, η κ</w:t>
      </w:r>
      <w:r w:rsidR="006B19EE">
        <w:rPr>
          <w:szCs w:val="22"/>
          <w:lang w:val="el-GR"/>
        </w:rPr>
        <w:t>άθαρση</w:t>
      </w:r>
      <w:r>
        <w:rPr>
          <w:szCs w:val="22"/>
          <w:lang w:val="el-GR"/>
        </w:rPr>
        <w:t xml:space="preserve"> με </w:t>
      </w:r>
      <w:proofErr w:type="spellStart"/>
      <w:r w:rsidR="00B32253" w:rsidRPr="00B32253">
        <w:rPr>
          <w:szCs w:val="22"/>
          <w:lang w:val="el-GR"/>
        </w:rPr>
        <w:t>τορασεμίδη</w:t>
      </w:r>
      <w:proofErr w:type="spellEnd"/>
      <w:r>
        <w:rPr>
          <w:szCs w:val="22"/>
          <w:lang w:val="el-GR"/>
        </w:rPr>
        <w:t xml:space="preserve"> εμφανίζεται σημαντικά μειωμένη, αλλά η συνολική κάθαρση του πλάσματος δεν αλλάζει σημαντικά. Απελευθερώνεται στη θέση </w:t>
      </w:r>
      <w:proofErr w:type="spellStart"/>
      <w:r>
        <w:rPr>
          <w:szCs w:val="22"/>
          <w:lang w:val="el-GR"/>
        </w:rPr>
        <w:t>ενδοαυλικής</w:t>
      </w:r>
      <w:proofErr w:type="spellEnd"/>
      <w:r>
        <w:rPr>
          <w:szCs w:val="22"/>
          <w:lang w:val="el-GR"/>
        </w:rPr>
        <w:t xml:space="preserve"> δράσης ένα μικρό κλάσμα της χορηγούμενης δόσης </w:t>
      </w:r>
      <w:r w:rsidR="00581A9C">
        <w:rPr>
          <w:szCs w:val="22"/>
          <w:lang w:val="el-GR"/>
        </w:rPr>
        <w:t xml:space="preserve">και η </w:t>
      </w:r>
      <w:proofErr w:type="spellStart"/>
      <w:r w:rsidR="00581A9C">
        <w:rPr>
          <w:szCs w:val="22"/>
          <w:lang w:val="el-GR"/>
        </w:rPr>
        <w:t>νατριουρητική</w:t>
      </w:r>
      <w:proofErr w:type="spellEnd"/>
      <w:r w:rsidR="00581A9C">
        <w:rPr>
          <w:szCs w:val="22"/>
          <w:lang w:val="el-GR"/>
        </w:rPr>
        <w:t xml:space="preserve"> δράση του διουρητικού παραμένει μειωμένη. Μπορεί να επιτευχθεί </w:t>
      </w:r>
      <w:r w:rsidR="009B3B71">
        <w:rPr>
          <w:szCs w:val="22"/>
          <w:lang w:val="el-GR"/>
        </w:rPr>
        <w:t xml:space="preserve">ακόμη και σε περιπτώσεις νεφρικής ανεπάρκειας </w:t>
      </w:r>
      <w:r w:rsidR="00581A9C">
        <w:rPr>
          <w:szCs w:val="22"/>
          <w:lang w:val="el-GR"/>
        </w:rPr>
        <w:t>διουρητική ανταπόκριση με υψηλότερες δόσεις</w:t>
      </w:r>
      <w:r w:rsidR="009B3B71">
        <w:rPr>
          <w:szCs w:val="22"/>
          <w:lang w:val="el-GR"/>
        </w:rPr>
        <w:t>.</w:t>
      </w:r>
      <w:r w:rsidR="00581A9C">
        <w:rPr>
          <w:szCs w:val="22"/>
          <w:lang w:val="el-GR"/>
        </w:rPr>
        <w:t xml:space="preserve">. Η συνολική κάθαρση πλάσματος και ο χρόνος ημίσειας ζωής της </w:t>
      </w:r>
      <w:proofErr w:type="spellStart"/>
      <w:r w:rsidR="00B32253" w:rsidRPr="00B32253">
        <w:rPr>
          <w:szCs w:val="22"/>
          <w:lang w:val="el-GR"/>
        </w:rPr>
        <w:t>τορασεμίδης</w:t>
      </w:r>
      <w:proofErr w:type="spellEnd"/>
      <w:r w:rsidR="00581A9C">
        <w:rPr>
          <w:szCs w:val="22"/>
          <w:lang w:val="el-GR"/>
        </w:rPr>
        <w:t xml:space="preserve"> παραμένουν φυσιολογικά σε περίπτωση μείωσης της νεφρικής λειτουργίας, επειδή η μεταβολική απ</w:t>
      </w:r>
      <w:r w:rsidR="009B3B71">
        <w:rPr>
          <w:szCs w:val="22"/>
          <w:lang w:val="el-GR"/>
        </w:rPr>
        <w:t>έκκριση</w:t>
      </w:r>
      <w:r w:rsidR="00116658">
        <w:rPr>
          <w:szCs w:val="22"/>
          <w:lang w:val="el-GR"/>
        </w:rPr>
        <w:t xml:space="preserve"> </w:t>
      </w:r>
      <w:r w:rsidR="00581A9C">
        <w:rPr>
          <w:szCs w:val="22"/>
          <w:lang w:val="el-GR"/>
        </w:rPr>
        <w:t>από το ήπαρ παραμένει ανεπηρέαστη.</w:t>
      </w:r>
    </w:p>
    <w:p w14:paraId="16BC2777" w14:textId="77777777" w:rsidR="00D141F8" w:rsidRDefault="00D141F8" w:rsidP="00630EAF">
      <w:pPr>
        <w:rPr>
          <w:szCs w:val="22"/>
          <w:lang w:val="el-GR"/>
        </w:rPr>
      </w:pPr>
    </w:p>
    <w:p w14:paraId="4B42BE92" w14:textId="77777777" w:rsidR="00D141F8" w:rsidRDefault="00D141F8" w:rsidP="00630EAF">
      <w:pPr>
        <w:rPr>
          <w:szCs w:val="22"/>
          <w:lang w:val="el-GR"/>
        </w:rPr>
      </w:pPr>
      <w:r>
        <w:rPr>
          <w:szCs w:val="22"/>
          <w:lang w:val="el-GR"/>
        </w:rPr>
        <w:t>Σε ασθενείς με κίρρωση του ήπατος, ο όγκος κατανομής, ο χρόνος ημίσειας ζωής στο πλάσμα και η νεφρική κάθαρση είναι αυξημένα, αλλά η συνολική κάθαρση παραμένει αμετάβλητη.</w:t>
      </w:r>
    </w:p>
    <w:p w14:paraId="5A95C5AC" w14:textId="77777777" w:rsidR="00D141F8" w:rsidRDefault="00D141F8" w:rsidP="00630EAF">
      <w:pPr>
        <w:rPr>
          <w:szCs w:val="22"/>
          <w:lang w:val="el-GR"/>
        </w:rPr>
      </w:pPr>
    </w:p>
    <w:p w14:paraId="3ECD4122" w14:textId="732C4AEE" w:rsidR="00FD771B" w:rsidRPr="00166D11" w:rsidRDefault="00D141F8" w:rsidP="006B14CB">
      <w:pPr>
        <w:rPr>
          <w:szCs w:val="22"/>
          <w:lang w:val="el-GR"/>
        </w:rPr>
      </w:pPr>
      <w:r>
        <w:rPr>
          <w:szCs w:val="22"/>
          <w:lang w:val="el-GR"/>
        </w:rPr>
        <w:t xml:space="preserve">Το </w:t>
      </w:r>
      <w:proofErr w:type="spellStart"/>
      <w:r>
        <w:rPr>
          <w:szCs w:val="22"/>
          <w:lang w:val="el-GR"/>
        </w:rPr>
        <w:t>φαρμακοκινητικό</w:t>
      </w:r>
      <w:proofErr w:type="spellEnd"/>
      <w:r>
        <w:rPr>
          <w:szCs w:val="22"/>
          <w:lang w:val="el-GR"/>
        </w:rPr>
        <w:t xml:space="preserve"> προφίλ της </w:t>
      </w:r>
      <w:proofErr w:type="spellStart"/>
      <w:r w:rsidR="00B32253" w:rsidRPr="00B32253">
        <w:rPr>
          <w:szCs w:val="22"/>
          <w:lang w:val="el-GR"/>
        </w:rPr>
        <w:t>τορασεμίδης</w:t>
      </w:r>
      <w:proofErr w:type="spellEnd"/>
      <w:r>
        <w:rPr>
          <w:szCs w:val="22"/>
          <w:lang w:val="el-GR"/>
        </w:rPr>
        <w:t xml:space="preserve"> σε υγιείς ηλικιωμένους εθελοντές είναι παρόμοιο με αυτό νέων εθελοντών, εκτός από τη μείωση της νεφρικής κάθαρσης που σχετίζεται με τη μείωση της νεφρικής λειτουργίας λόγω ηλικίας. Ωστόσο, η συνολική κάθαρση </w:t>
      </w:r>
      <w:r w:rsidR="006D5C11">
        <w:rPr>
          <w:szCs w:val="22"/>
          <w:lang w:val="el-GR"/>
        </w:rPr>
        <w:t xml:space="preserve">του πλάσματος </w:t>
      </w:r>
      <w:r>
        <w:rPr>
          <w:szCs w:val="22"/>
          <w:lang w:val="el-GR"/>
        </w:rPr>
        <w:t>και ο</w:t>
      </w:r>
      <w:r w:rsidR="00092BDB">
        <w:rPr>
          <w:szCs w:val="22"/>
          <w:lang w:val="el-GR"/>
        </w:rPr>
        <w:t xml:space="preserve"> </w:t>
      </w:r>
      <w:r>
        <w:rPr>
          <w:szCs w:val="22"/>
          <w:lang w:val="el-GR"/>
        </w:rPr>
        <w:t>χρόνος ημίσειας ζωής παραμένουν αμετάβλητ</w:t>
      </w:r>
      <w:r w:rsidR="006D5C11">
        <w:rPr>
          <w:szCs w:val="22"/>
          <w:lang w:val="el-GR"/>
        </w:rPr>
        <w:t>α</w:t>
      </w:r>
      <w:r>
        <w:rPr>
          <w:szCs w:val="22"/>
          <w:lang w:val="el-GR"/>
        </w:rPr>
        <w:t>.</w:t>
      </w:r>
    </w:p>
    <w:p w14:paraId="63489389" w14:textId="77777777" w:rsidR="00FD771B" w:rsidRPr="00684E83" w:rsidRDefault="00FD771B">
      <w:pPr>
        <w:rPr>
          <w:noProof/>
          <w:szCs w:val="22"/>
          <w:lang w:val="el-GR"/>
        </w:rPr>
      </w:pPr>
    </w:p>
    <w:p w14:paraId="7250D4F8" w14:textId="77777777" w:rsidR="00FD771B" w:rsidRPr="006D5C11" w:rsidRDefault="00FD771B">
      <w:pPr>
        <w:rPr>
          <w:noProof/>
          <w:szCs w:val="22"/>
          <w:lang w:val="el-GR"/>
        </w:rPr>
      </w:pPr>
      <w:r w:rsidRPr="00684E83">
        <w:rPr>
          <w:b/>
          <w:noProof/>
          <w:szCs w:val="22"/>
          <w:lang w:val="el-GR"/>
        </w:rPr>
        <w:t>5.3</w:t>
      </w:r>
      <w:r w:rsidRPr="00684E83">
        <w:rPr>
          <w:b/>
          <w:noProof/>
          <w:szCs w:val="22"/>
          <w:lang w:val="el-GR"/>
        </w:rPr>
        <w:tab/>
        <w:t>Προκλινικά δεδομένα για την ασφάλεια</w:t>
      </w:r>
    </w:p>
    <w:p w14:paraId="22072502" w14:textId="77777777" w:rsidR="00FD771B" w:rsidRPr="00684E83" w:rsidRDefault="00FD771B">
      <w:pPr>
        <w:rPr>
          <w:noProof/>
          <w:szCs w:val="22"/>
          <w:lang w:val="el-GR"/>
        </w:rPr>
      </w:pPr>
    </w:p>
    <w:p w14:paraId="07237B65" w14:textId="53AD6FC7" w:rsidR="002313A2" w:rsidRDefault="002313A2">
      <w:pPr>
        <w:rPr>
          <w:szCs w:val="22"/>
          <w:lang w:val="el-GR"/>
        </w:rPr>
      </w:pPr>
      <w:r>
        <w:rPr>
          <w:noProof/>
          <w:szCs w:val="22"/>
          <w:lang w:val="el-GR"/>
        </w:rPr>
        <w:t>Δεν έχει παρατηρηθεί συν</w:t>
      </w:r>
      <w:r w:rsidR="00027234">
        <w:rPr>
          <w:noProof/>
          <w:szCs w:val="22"/>
          <w:lang w:val="el-GR"/>
        </w:rPr>
        <w:t>ο</w:t>
      </w:r>
      <w:r>
        <w:rPr>
          <w:noProof/>
          <w:szCs w:val="22"/>
          <w:lang w:val="el-GR"/>
        </w:rPr>
        <w:t xml:space="preserve">λική αύξηση στη συχνότητα εμφάνισης όγκων μετά τη χορήγηση </w:t>
      </w:r>
      <w:proofErr w:type="spellStart"/>
      <w:r w:rsidR="00B32253" w:rsidRPr="00B32253">
        <w:rPr>
          <w:szCs w:val="22"/>
          <w:lang w:val="el-GR"/>
        </w:rPr>
        <w:t>τορασεμίδης</w:t>
      </w:r>
      <w:proofErr w:type="spellEnd"/>
      <w:r>
        <w:rPr>
          <w:szCs w:val="22"/>
          <w:lang w:val="el-GR"/>
        </w:rPr>
        <w:t xml:space="preserve"> </w:t>
      </w:r>
      <w:proofErr w:type="spellStart"/>
      <w:r>
        <w:rPr>
          <w:szCs w:val="22"/>
          <w:lang w:val="el-GR"/>
        </w:rPr>
        <w:t>καθόλη</w:t>
      </w:r>
      <w:proofErr w:type="spellEnd"/>
      <w:r>
        <w:rPr>
          <w:szCs w:val="22"/>
          <w:lang w:val="el-GR"/>
        </w:rPr>
        <w:t xml:space="preserve"> τη διάρκεια ζωής σε </w:t>
      </w:r>
      <w:r w:rsidR="006D5C11">
        <w:rPr>
          <w:szCs w:val="22"/>
          <w:lang w:val="el-GR"/>
        </w:rPr>
        <w:t xml:space="preserve">αρουραίους </w:t>
      </w:r>
      <w:r w:rsidR="009B3B71">
        <w:rPr>
          <w:szCs w:val="22"/>
          <w:lang w:val="el-GR"/>
        </w:rPr>
        <w:t xml:space="preserve">και </w:t>
      </w:r>
      <w:r w:rsidR="006D5C11">
        <w:rPr>
          <w:szCs w:val="22"/>
          <w:lang w:val="el-GR"/>
        </w:rPr>
        <w:t xml:space="preserve">ποντίκια </w:t>
      </w:r>
      <w:r>
        <w:rPr>
          <w:szCs w:val="22"/>
          <w:lang w:val="el-GR"/>
        </w:rPr>
        <w:t>με δόσεις της τάξης των 9 </w:t>
      </w:r>
      <w:r>
        <w:rPr>
          <w:szCs w:val="22"/>
          <w:lang w:val="en-US"/>
        </w:rPr>
        <w:t>mg</w:t>
      </w:r>
      <w:r w:rsidRPr="002313A2">
        <w:rPr>
          <w:szCs w:val="22"/>
          <w:lang w:val="el-GR"/>
        </w:rPr>
        <w:t>/</w:t>
      </w:r>
      <w:r>
        <w:rPr>
          <w:szCs w:val="22"/>
          <w:lang w:val="en-US"/>
        </w:rPr>
        <w:t>kg</w:t>
      </w:r>
      <w:r w:rsidRPr="002313A2">
        <w:rPr>
          <w:szCs w:val="22"/>
          <w:lang w:val="el-GR"/>
        </w:rPr>
        <w:t>/</w:t>
      </w:r>
      <w:r>
        <w:rPr>
          <w:szCs w:val="22"/>
          <w:lang w:val="el-GR"/>
        </w:rPr>
        <w:t>ημέρα (</w:t>
      </w:r>
      <w:r w:rsidR="006D4E2A">
        <w:rPr>
          <w:szCs w:val="22"/>
          <w:lang w:val="el-GR"/>
        </w:rPr>
        <w:t>αρουραίοι</w:t>
      </w:r>
      <w:r>
        <w:rPr>
          <w:szCs w:val="22"/>
          <w:lang w:val="el-GR"/>
        </w:rPr>
        <w:t>) και 32 </w:t>
      </w:r>
      <w:r>
        <w:rPr>
          <w:szCs w:val="22"/>
          <w:lang w:val="en-US"/>
        </w:rPr>
        <w:t>mg</w:t>
      </w:r>
      <w:r w:rsidRPr="002313A2">
        <w:rPr>
          <w:szCs w:val="22"/>
          <w:lang w:val="el-GR"/>
        </w:rPr>
        <w:t>/</w:t>
      </w:r>
      <w:r>
        <w:rPr>
          <w:szCs w:val="22"/>
          <w:lang w:val="en-US"/>
        </w:rPr>
        <w:t>kg</w:t>
      </w:r>
      <w:r w:rsidRPr="002313A2">
        <w:rPr>
          <w:szCs w:val="22"/>
          <w:lang w:val="el-GR"/>
        </w:rPr>
        <w:t>/</w:t>
      </w:r>
      <w:r>
        <w:rPr>
          <w:szCs w:val="22"/>
          <w:lang w:val="el-GR"/>
        </w:rPr>
        <w:t xml:space="preserve">ημέρα </w:t>
      </w:r>
      <w:r w:rsidR="006D4E2A">
        <w:rPr>
          <w:szCs w:val="22"/>
          <w:lang w:val="el-GR"/>
        </w:rPr>
        <w:t>ποντίκια</w:t>
      </w:r>
      <w:r>
        <w:rPr>
          <w:szCs w:val="22"/>
          <w:lang w:val="el-GR"/>
        </w:rPr>
        <w:t xml:space="preserve">. Λαμβάνοντας </w:t>
      </w:r>
      <w:proofErr w:type="spellStart"/>
      <w:r>
        <w:rPr>
          <w:szCs w:val="22"/>
          <w:lang w:val="el-GR"/>
        </w:rPr>
        <w:t>υπόψιν</w:t>
      </w:r>
      <w:proofErr w:type="spellEnd"/>
      <w:r>
        <w:rPr>
          <w:szCs w:val="22"/>
          <w:lang w:val="el-GR"/>
        </w:rPr>
        <w:t xml:space="preserve"> το σωματικό βάρος, </w:t>
      </w:r>
      <w:r>
        <w:rPr>
          <w:szCs w:val="22"/>
          <w:lang w:val="el-GR"/>
        </w:rPr>
        <w:lastRenderedPageBreak/>
        <w:t>οι δόσεις αυτές αντιπροσωπεύουν 27-96 φορές τη δόση που αντιστοιχεί σ</w:t>
      </w:r>
      <w:r w:rsidR="009B3B71">
        <w:rPr>
          <w:szCs w:val="22"/>
          <w:lang w:val="el-GR"/>
        </w:rPr>
        <w:t>τα</w:t>
      </w:r>
      <w:r>
        <w:rPr>
          <w:szCs w:val="22"/>
          <w:lang w:val="el-GR"/>
        </w:rPr>
        <w:t xml:space="preserve"> 20 </w:t>
      </w:r>
      <w:r>
        <w:rPr>
          <w:szCs w:val="22"/>
          <w:lang w:val="en-US"/>
        </w:rPr>
        <w:t>mg</w:t>
      </w:r>
      <w:r w:rsidR="009B3B71">
        <w:rPr>
          <w:szCs w:val="22"/>
          <w:lang w:val="el-GR"/>
        </w:rPr>
        <w:t xml:space="preserve"> </w:t>
      </w:r>
      <w:r w:rsidR="006D4E2A">
        <w:rPr>
          <w:szCs w:val="22"/>
          <w:lang w:val="el-GR"/>
        </w:rPr>
        <w:t xml:space="preserve">σε ανθρώπους </w:t>
      </w:r>
      <w:proofErr w:type="spellStart"/>
      <w:r w:rsidR="009B3B71">
        <w:rPr>
          <w:szCs w:val="22"/>
          <w:lang w:val="el-GR"/>
        </w:rPr>
        <w:t>ένω</w:t>
      </w:r>
      <w:proofErr w:type="spellEnd"/>
      <w:r w:rsidR="009B3B71">
        <w:rPr>
          <w:szCs w:val="22"/>
          <w:lang w:val="el-GR"/>
        </w:rPr>
        <w:t xml:space="preserve"> λαμβάνοντας υπόψη τη</w:t>
      </w:r>
      <w:r>
        <w:rPr>
          <w:szCs w:val="22"/>
          <w:lang w:val="el-GR"/>
        </w:rPr>
        <w:t xml:space="preserve"> </w:t>
      </w:r>
      <w:r w:rsidR="009B3B71">
        <w:rPr>
          <w:szCs w:val="22"/>
          <w:lang w:val="el-GR"/>
        </w:rPr>
        <w:t>σχέση επιφανείας</w:t>
      </w:r>
      <w:r>
        <w:rPr>
          <w:szCs w:val="22"/>
          <w:lang w:val="el-GR"/>
        </w:rPr>
        <w:t xml:space="preserve"> σώματος</w:t>
      </w:r>
      <w:r w:rsidR="0003607D">
        <w:rPr>
          <w:szCs w:val="22"/>
          <w:lang w:val="el-GR"/>
        </w:rPr>
        <w:t xml:space="preserve"> μεταξύ των ζώων και του ανθρώπου</w:t>
      </w:r>
      <w:r w:rsidR="00244CAF">
        <w:rPr>
          <w:szCs w:val="22"/>
          <w:lang w:val="el-GR"/>
        </w:rPr>
        <w:t>,</w:t>
      </w:r>
      <w:r w:rsidR="0003607D">
        <w:rPr>
          <w:szCs w:val="22"/>
          <w:lang w:val="el-GR"/>
        </w:rPr>
        <w:t xml:space="preserve"> η </w:t>
      </w:r>
      <w:r>
        <w:rPr>
          <w:szCs w:val="22"/>
          <w:lang w:val="el-GR"/>
        </w:rPr>
        <w:t xml:space="preserve">υπέρβαση </w:t>
      </w:r>
      <w:r w:rsidR="0003607D">
        <w:rPr>
          <w:szCs w:val="22"/>
          <w:lang w:val="el-GR"/>
        </w:rPr>
        <w:t xml:space="preserve">δόσης είναι </w:t>
      </w:r>
      <w:r>
        <w:rPr>
          <w:szCs w:val="22"/>
          <w:lang w:val="el-GR"/>
        </w:rPr>
        <w:t>από 5 έως 8 φορές.</w:t>
      </w:r>
    </w:p>
    <w:p w14:paraId="774197F9" w14:textId="77777777" w:rsidR="002313A2" w:rsidRDefault="002313A2">
      <w:pPr>
        <w:rPr>
          <w:szCs w:val="22"/>
          <w:lang w:val="el-GR"/>
        </w:rPr>
      </w:pPr>
    </w:p>
    <w:p w14:paraId="2A7013D5" w14:textId="3D472217" w:rsidR="002313A2" w:rsidRDefault="002313A2">
      <w:pPr>
        <w:rPr>
          <w:noProof/>
          <w:szCs w:val="22"/>
          <w:lang w:val="el-GR"/>
        </w:rPr>
      </w:pPr>
      <w:r>
        <w:rPr>
          <w:noProof/>
          <w:szCs w:val="22"/>
          <w:lang w:val="el-GR"/>
        </w:rPr>
        <w:t>Στη μελέτη με αρουραίους, η ομάδα υψηλής δόσης, εμφάνισε νεφρικ</w:t>
      </w:r>
      <w:r w:rsidR="006D4E2A">
        <w:rPr>
          <w:noProof/>
          <w:szCs w:val="22"/>
          <w:lang w:val="el-GR"/>
        </w:rPr>
        <w:t>ή</w:t>
      </w:r>
      <w:r>
        <w:rPr>
          <w:noProof/>
          <w:szCs w:val="22"/>
          <w:lang w:val="el-GR"/>
        </w:rPr>
        <w:t xml:space="preserve"> σωληναριακ</w:t>
      </w:r>
      <w:r w:rsidR="006D4E2A">
        <w:rPr>
          <w:noProof/>
          <w:szCs w:val="22"/>
          <w:lang w:val="el-GR"/>
        </w:rPr>
        <w:t>ή βλάβη</w:t>
      </w:r>
      <w:r>
        <w:rPr>
          <w:noProof/>
          <w:szCs w:val="22"/>
          <w:lang w:val="el-GR"/>
        </w:rPr>
        <w:t xml:space="preserve">, διάμεση φλεγμονή, και μία στατιστικά σημαντική αύξηση του αριθμού των </w:t>
      </w:r>
      <w:r w:rsidR="006D4E2A">
        <w:rPr>
          <w:noProof/>
          <w:szCs w:val="22"/>
          <w:lang w:val="el-GR"/>
        </w:rPr>
        <w:t xml:space="preserve">νεφρικών </w:t>
      </w:r>
      <w:r>
        <w:rPr>
          <w:noProof/>
          <w:szCs w:val="22"/>
          <w:lang w:val="el-GR"/>
        </w:rPr>
        <w:t xml:space="preserve">αδενωμάτων και καρκινωμάτων. Ωστόσο, η </w:t>
      </w:r>
      <w:r w:rsidR="006D4E2A">
        <w:rPr>
          <w:noProof/>
          <w:szCs w:val="22"/>
          <w:lang w:val="el-GR"/>
        </w:rPr>
        <w:t xml:space="preserve">επίπτωση </w:t>
      </w:r>
      <w:r>
        <w:rPr>
          <w:noProof/>
          <w:szCs w:val="22"/>
          <w:lang w:val="el-GR"/>
        </w:rPr>
        <w:t>εμφάνισης όγκων σε αυτήν την ομάδα δεν ήταν σημαντικά μεγαλύτ</w:t>
      </w:r>
      <w:r w:rsidR="005C27B5">
        <w:rPr>
          <w:noProof/>
          <w:szCs w:val="22"/>
          <w:lang w:val="el-GR"/>
        </w:rPr>
        <w:t>ε</w:t>
      </w:r>
      <w:r>
        <w:rPr>
          <w:noProof/>
          <w:szCs w:val="22"/>
          <w:lang w:val="el-GR"/>
        </w:rPr>
        <w:t xml:space="preserve">ρη από αυτή που είχε παρατηρηθεί μερικές φορές σε </w:t>
      </w:r>
      <w:r w:rsidR="005C27B5">
        <w:rPr>
          <w:noProof/>
          <w:szCs w:val="22"/>
          <w:lang w:val="el-GR"/>
        </w:rPr>
        <w:t xml:space="preserve">ιστορικές ομάδες </w:t>
      </w:r>
      <w:r>
        <w:rPr>
          <w:noProof/>
          <w:szCs w:val="22"/>
          <w:lang w:val="el-GR"/>
        </w:rPr>
        <w:t>ελέγχου. Παρόμοιες ενδείξεις χρόνιας μη νεοπλασματικής νεφρικής βλάβης έχουν αναφερθεί σε μελέτες σε ζώα με υψηλές δόσεις άλλων διουρητικών</w:t>
      </w:r>
      <w:r w:rsidR="00244CAF">
        <w:rPr>
          <w:noProof/>
          <w:szCs w:val="22"/>
          <w:lang w:val="el-GR"/>
        </w:rPr>
        <w:t>,</w:t>
      </w:r>
      <w:r>
        <w:rPr>
          <w:noProof/>
          <w:szCs w:val="22"/>
          <w:lang w:val="el-GR"/>
        </w:rPr>
        <w:t xml:space="preserve"> όπ</w:t>
      </w:r>
      <w:r w:rsidR="005C27B5">
        <w:rPr>
          <w:noProof/>
          <w:szCs w:val="22"/>
          <w:lang w:val="el-GR"/>
        </w:rPr>
        <w:t>ω</w:t>
      </w:r>
      <w:r>
        <w:rPr>
          <w:noProof/>
          <w:szCs w:val="22"/>
          <w:lang w:val="el-GR"/>
        </w:rPr>
        <w:t>ς η φουροσεμίδη και η υδροχλωροθειαζίδη.</w:t>
      </w:r>
    </w:p>
    <w:p w14:paraId="28B5AD45" w14:textId="77777777" w:rsidR="002313A2" w:rsidRDefault="002313A2">
      <w:pPr>
        <w:rPr>
          <w:noProof/>
          <w:szCs w:val="22"/>
          <w:lang w:val="el-GR"/>
        </w:rPr>
      </w:pPr>
    </w:p>
    <w:p w14:paraId="5CC4F034" w14:textId="6CF3AD29" w:rsidR="002313A2" w:rsidRDefault="00027234">
      <w:pPr>
        <w:rPr>
          <w:szCs w:val="22"/>
          <w:lang w:val="el-GR"/>
        </w:rPr>
      </w:pPr>
      <w:r>
        <w:rPr>
          <w:noProof/>
          <w:szCs w:val="22"/>
          <w:lang w:val="el-GR"/>
        </w:rPr>
        <w:t xml:space="preserve">Δεν έχει ανιχνευθεί καμία μεταλλαξιογόνος δράση σε καμία από τις </w:t>
      </w:r>
      <w:r>
        <w:rPr>
          <w:noProof/>
          <w:szCs w:val="22"/>
          <w:lang w:val="en-US"/>
        </w:rPr>
        <w:t>in</w:t>
      </w:r>
      <w:r w:rsidRPr="00027234">
        <w:rPr>
          <w:noProof/>
          <w:szCs w:val="22"/>
          <w:lang w:val="el-GR"/>
        </w:rPr>
        <w:t xml:space="preserve"> </w:t>
      </w:r>
      <w:r>
        <w:rPr>
          <w:noProof/>
          <w:szCs w:val="22"/>
          <w:lang w:val="en-US"/>
        </w:rPr>
        <w:t>vivo</w:t>
      </w:r>
      <w:r w:rsidRPr="00027234">
        <w:rPr>
          <w:noProof/>
          <w:szCs w:val="22"/>
          <w:lang w:val="el-GR"/>
        </w:rPr>
        <w:t xml:space="preserve"> </w:t>
      </w:r>
      <w:r>
        <w:rPr>
          <w:noProof/>
          <w:szCs w:val="22"/>
          <w:lang w:val="el-GR"/>
        </w:rPr>
        <w:t xml:space="preserve">και </w:t>
      </w:r>
      <w:r>
        <w:rPr>
          <w:noProof/>
          <w:szCs w:val="22"/>
          <w:lang w:val="en-US"/>
        </w:rPr>
        <w:t>in</w:t>
      </w:r>
      <w:r w:rsidRPr="00027234">
        <w:rPr>
          <w:noProof/>
          <w:szCs w:val="22"/>
          <w:lang w:val="el-GR"/>
        </w:rPr>
        <w:t xml:space="preserve"> </w:t>
      </w:r>
      <w:r>
        <w:rPr>
          <w:noProof/>
          <w:szCs w:val="22"/>
          <w:lang w:val="en-US"/>
        </w:rPr>
        <w:t>vitro</w:t>
      </w:r>
      <w:r w:rsidRPr="00027234">
        <w:rPr>
          <w:noProof/>
          <w:szCs w:val="22"/>
          <w:lang w:val="el-GR"/>
        </w:rPr>
        <w:t xml:space="preserve"> </w:t>
      </w:r>
      <w:r>
        <w:rPr>
          <w:noProof/>
          <w:szCs w:val="22"/>
          <w:lang w:val="el-GR"/>
        </w:rPr>
        <w:t xml:space="preserve">δοκιμασίες με </w:t>
      </w:r>
      <w:proofErr w:type="spellStart"/>
      <w:r w:rsidR="00B32253" w:rsidRPr="00B32253">
        <w:rPr>
          <w:szCs w:val="22"/>
          <w:lang w:val="el-GR"/>
        </w:rPr>
        <w:t>τορασεμίδη</w:t>
      </w:r>
      <w:proofErr w:type="spellEnd"/>
      <w:r>
        <w:rPr>
          <w:szCs w:val="22"/>
          <w:lang w:val="el-GR"/>
        </w:rPr>
        <w:t xml:space="preserve"> και τον κύριο ανθρώπινο μεταβολίτη της. Οι μελέτες περιλάμβαναν τη </w:t>
      </w:r>
      <w:proofErr w:type="spellStart"/>
      <w:r>
        <w:rPr>
          <w:szCs w:val="22"/>
          <w:lang w:val="el-GR"/>
        </w:rPr>
        <w:t>βακτηριακή</w:t>
      </w:r>
      <w:proofErr w:type="spellEnd"/>
      <w:r>
        <w:rPr>
          <w:szCs w:val="22"/>
          <w:lang w:val="el-GR"/>
        </w:rPr>
        <w:t xml:space="preserve"> δοκιμή μετάλλαξης (</w:t>
      </w:r>
      <w:r>
        <w:rPr>
          <w:szCs w:val="22"/>
          <w:lang w:val="en-US"/>
        </w:rPr>
        <w:t>Ames</w:t>
      </w:r>
      <w:r w:rsidRPr="00027234">
        <w:rPr>
          <w:szCs w:val="22"/>
          <w:lang w:val="el-GR"/>
        </w:rPr>
        <w:t xml:space="preserve"> </w:t>
      </w:r>
      <w:r>
        <w:rPr>
          <w:szCs w:val="22"/>
          <w:lang w:val="en-US"/>
        </w:rPr>
        <w:t>test</w:t>
      </w:r>
      <w:r w:rsidRPr="00027234">
        <w:rPr>
          <w:szCs w:val="22"/>
          <w:lang w:val="el-GR"/>
        </w:rPr>
        <w:t xml:space="preserve">) </w:t>
      </w:r>
      <w:r>
        <w:rPr>
          <w:szCs w:val="22"/>
          <w:lang w:val="el-GR"/>
        </w:rPr>
        <w:t>(με και χωρίς μεταβολική ενεργοποίηση)</w:t>
      </w:r>
      <w:r w:rsidRPr="00027234">
        <w:rPr>
          <w:szCs w:val="22"/>
          <w:lang w:val="el-GR"/>
        </w:rPr>
        <w:t xml:space="preserve">, </w:t>
      </w:r>
      <w:r>
        <w:rPr>
          <w:szCs w:val="22"/>
          <w:lang w:val="el-GR"/>
        </w:rPr>
        <w:t xml:space="preserve">προσδιορισμούς </w:t>
      </w:r>
      <w:proofErr w:type="spellStart"/>
      <w:r>
        <w:rPr>
          <w:szCs w:val="22"/>
          <w:lang w:val="el-GR"/>
        </w:rPr>
        <w:t>χρωμοσωματικών</w:t>
      </w:r>
      <w:proofErr w:type="spellEnd"/>
      <w:r>
        <w:rPr>
          <w:szCs w:val="22"/>
          <w:lang w:val="el-GR"/>
        </w:rPr>
        <w:t xml:space="preserve"> ανωμαλιών και ανταλλαγών αδελφών </w:t>
      </w:r>
      <w:proofErr w:type="spellStart"/>
      <w:r>
        <w:rPr>
          <w:szCs w:val="22"/>
          <w:lang w:val="el-GR"/>
        </w:rPr>
        <w:t>χρωματίδων</w:t>
      </w:r>
      <w:proofErr w:type="spellEnd"/>
      <w:r>
        <w:rPr>
          <w:szCs w:val="22"/>
          <w:lang w:val="el-GR"/>
        </w:rPr>
        <w:t xml:space="preserve"> σε ανθρώπινα λεμφοκύτταρα και διαφορετικές πυρηνικές ανωμαλίες σε κύτταρα του μυελού των οστών </w:t>
      </w:r>
      <w:proofErr w:type="spellStart"/>
      <w:r>
        <w:rPr>
          <w:szCs w:val="22"/>
          <w:lang w:val="el-GR"/>
        </w:rPr>
        <w:t>χάμστερ</w:t>
      </w:r>
      <w:proofErr w:type="spellEnd"/>
      <w:r>
        <w:rPr>
          <w:szCs w:val="22"/>
          <w:lang w:val="el-GR"/>
        </w:rPr>
        <w:t xml:space="preserve"> και ποντικιών και δοκιμές μη προγραμματισμένης σύνθεσης </w:t>
      </w:r>
      <w:r>
        <w:rPr>
          <w:szCs w:val="22"/>
          <w:lang w:val="en-US"/>
        </w:rPr>
        <w:t>DNA</w:t>
      </w:r>
      <w:r w:rsidRPr="00027234">
        <w:rPr>
          <w:szCs w:val="22"/>
          <w:lang w:val="el-GR"/>
        </w:rPr>
        <w:t xml:space="preserve"> </w:t>
      </w:r>
      <w:r>
        <w:rPr>
          <w:szCs w:val="22"/>
          <w:lang w:val="el-GR"/>
        </w:rPr>
        <w:t>σε ποντίκια και αρουραίους και άλλα.</w:t>
      </w:r>
    </w:p>
    <w:p w14:paraId="0A3FE751" w14:textId="77777777" w:rsidR="00092BDB" w:rsidRDefault="00092BDB">
      <w:pPr>
        <w:rPr>
          <w:szCs w:val="22"/>
          <w:lang w:val="el-GR"/>
        </w:rPr>
      </w:pPr>
    </w:p>
    <w:p w14:paraId="5099BB88" w14:textId="1D07A5E7" w:rsidR="00027234" w:rsidRPr="00027234" w:rsidRDefault="00027234">
      <w:pPr>
        <w:rPr>
          <w:szCs w:val="22"/>
          <w:lang w:val="el-GR"/>
        </w:rPr>
      </w:pPr>
      <w:r>
        <w:rPr>
          <w:szCs w:val="22"/>
          <w:lang w:val="el-GR"/>
        </w:rPr>
        <w:t>Σε δόσεις έως 25 </w:t>
      </w:r>
      <w:r>
        <w:rPr>
          <w:szCs w:val="22"/>
          <w:lang w:val="en-US"/>
        </w:rPr>
        <w:t>mg</w:t>
      </w:r>
      <w:r w:rsidRPr="002313A2">
        <w:rPr>
          <w:szCs w:val="22"/>
          <w:lang w:val="el-GR"/>
        </w:rPr>
        <w:t>/</w:t>
      </w:r>
      <w:r>
        <w:rPr>
          <w:szCs w:val="22"/>
          <w:lang w:val="en-US"/>
        </w:rPr>
        <w:t>kg</w:t>
      </w:r>
      <w:r w:rsidRPr="002313A2">
        <w:rPr>
          <w:szCs w:val="22"/>
          <w:lang w:val="el-GR"/>
        </w:rPr>
        <w:t>/</w:t>
      </w:r>
      <w:r>
        <w:rPr>
          <w:szCs w:val="22"/>
          <w:lang w:val="el-GR"/>
        </w:rPr>
        <w:t>ημέρα (75 φορές την ανθρώπινη δόση των 20 </w:t>
      </w:r>
      <w:r>
        <w:rPr>
          <w:szCs w:val="22"/>
          <w:lang w:val="en-US"/>
        </w:rPr>
        <w:t>mg</w:t>
      </w:r>
      <w:r>
        <w:rPr>
          <w:szCs w:val="22"/>
          <w:lang w:val="el-GR"/>
        </w:rPr>
        <w:t xml:space="preserve"> </w:t>
      </w:r>
      <w:r w:rsidR="00015F18">
        <w:rPr>
          <w:szCs w:val="22"/>
          <w:lang w:val="el-GR"/>
        </w:rPr>
        <w:t xml:space="preserve">ως προς το </w:t>
      </w:r>
      <w:r>
        <w:rPr>
          <w:szCs w:val="22"/>
          <w:lang w:val="el-GR"/>
        </w:rPr>
        <w:t>σωματικ</w:t>
      </w:r>
      <w:r w:rsidR="00015F18">
        <w:rPr>
          <w:szCs w:val="22"/>
          <w:lang w:val="el-GR"/>
        </w:rPr>
        <w:t>ό</w:t>
      </w:r>
      <w:r>
        <w:rPr>
          <w:szCs w:val="22"/>
          <w:lang w:val="el-GR"/>
        </w:rPr>
        <w:t xml:space="preserve"> βάρος, 13 φορές τη</w:t>
      </w:r>
      <w:r w:rsidR="005C27B5">
        <w:rPr>
          <w:szCs w:val="22"/>
          <w:lang w:val="el-GR"/>
        </w:rPr>
        <w:t xml:space="preserve">ν </w:t>
      </w:r>
      <w:proofErr w:type="spellStart"/>
      <w:r w:rsidR="005C27B5">
        <w:rPr>
          <w:szCs w:val="22"/>
          <w:lang w:val="el-GR"/>
        </w:rPr>
        <w:t>ανθρὠπινη</w:t>
      </w:r>
      <w:proofErr w:type="spellEnd"/>
      <w:r w:rsidR="005C27B5">
        <w:rPr>
          <w:szCs w:val="22"/>
          <w:lang w:val="el-GR"/>
        </w:rPr>
        <w:t xml:space="preserve"> </w:t>
      </w:r>
      <w:proofErr w:type="spellStart"/>
      <w:r>
        <w:rPr>
          <w:szCs w:val="22"/>
          <w:lang w:val="el-GR"/>
        </w:rPr>
        <w:t>δοσ</w:t>
      </w:r>
      <w:r w:rsidR="005C27B5">
        <w:rPr>
          <w:szCs w:val="22"/>
          <w:lang w:val="el-GR"/>
        </w:rPr>
        <w:t>η</w:t>
      </w:r>
      <w:proofErr w:type="spellEnd"/>
      <w:r>
        <w:rPr>
          <w:szCs w:val="22"/>
          <w:lang w:val="el-GR"/>
        </w:rPr>
        <w:t xml:space="preserve"> </w:t>
      </w:r>
      <w:r w:rsidR="00015F18">
        <w:rPr>
          <w:szCs w:val="22"/>
          <w:lang w:val="el-GR"/>
        </w:rPr>
        <w:t xml:space="preserve">ως προς την </w:t>
      </w:r>
      <w:r>
        <w:rPr>
          <w:szCs w:val="22"/>
          <w:lang w:val="el-GR"/>
        </w:rPr>
        <w:t xml:space="preserve">επιφάνεια σώματος), η </w:t>
      </w:r>
      <w:proofErr w:type="spellStart"/>
      <w:r w:rsidR="00B32253" w:rsidRPr="00B32253">
        <w:rPr>
          <w:szCs w:val="22"/>
          <w:lang w:val="el-GR"/>
        </w:rPr>
        <w:t>τορασεμίδη</w:t>
      </w:r>
      <w:proofErr w:type="spellEnd"/>
      <w:r>
        <w:rPr>
          <w:szCs w:val="22"/>
          <w:lang w:val="el-GR"/>
        </w:rPr>
        <w:t xml:space="preserve"> δεν εμφάνισε ανεπιθύμητες </w:t>
      </w:r>
      <w:r w:rsidR="005C27B5">
        <w:rPr>
          <w:szCs w:val="22"/>
          <w:lang w:val="el-GR"/>
        </w:rPr>
        <w:t xml:space="preserve">δράσεις </w:t>
      </w:r>
      <w:r>
        <w:rPr>
          <w:szCs w:val="22"/>
          <w:lang w:val="el-GR"/>
        </w:rPr>
        <w:t xml:space="preserve">στην αναπαραγωγική </w:t>
      </w:r>
      <w:r w:rsidR="00520FB1">
        <w:rPr>
          <w:szCs w:val="22"/>
          <w:lang w:val="el-GR"/>
        </w:rPr>
        <w:t xml:space="preserve">δραστηριότητα </w:t>
      </w:r>
      <w:r>
        <w:rPr>
          <w:szCs w:val="22"/>
          <w:lang w:val="el-GR"/>
        </w:rPr>
        <w:t>των αρσενικών ή θηλυκών αρουραίων.</w:t>
      </w:r>
    </w:p>
    <w:p w14:paraId="34BC3795" w14:textId="77777777" w:rsidR="00FD771B" w:rsidRPr="00684E83" w:rsidRDefault="00FD771B" w:rsidP="005D77D3">
      <w:pPr>
        <w:rPr>
          <w:noProof/>
          <w:szCs w:val="22"/>
          <w:lang w:val="el-GR"/>
        </w:rPr>
      </w:pPr>
    </w:p>
    <w:p w14:paraId="33AD2D8A" w14:textId="77777777" w:rsidR="00FD771B" w:rsidRPr="00684E83" w:rsidRDefault="00FD771B" w:rsidP="005D77D3">
      <w:pPr>
        <w:rPr>
          <w:noProof/>
          <w:szCs w:val="22"/>
          <w:lang w:val="el-GR"/>
        </w:rPr>
      </w:pPr>
    </w:p>
    <w:p w14:paraId="15B8DBE1" w14:textId="77777777" w:rsidR="00FD771B" w:rsidRPr="00684E83" w:rsidRDefault="00FD771B" w:rsidP="00622633">
      <w:pPr>
        <w:rPr>
          <w:noProof/>
          <w:szCs w:val="22"/>
          <w:lang w:val="el-GR"/>
        </w:rPr>
      </w:pPr>
      <w:r w:rsidRPr="00684E83">
        <w:rPr>
          <w:b/>
          <w:noProof/>
          <w:szCs w:val="22"/>
          <w:lang w:val="el-GR"/>
        </w:rPr>
        <w:t>6.</w:t>
      </w:r>
      <w:r w:rsidRPr="00684E83">
        <w:rPr>
          <w:b/>
          <w:noProof/>
          <w:szCs w:val="22"/>
          <w:lang w:val="el-GR"/>
        </w:rPr>
        <w:tab/>
        <w:t>ΦΑΡΜΑΚΕΥΤΙΚΕΣ ΠΛΗΡΟΦΟΡΙΕΣ</w:t>
      </w:r>
    </w:p>
    <w:p w14:paraId="6FD80AEC" w14:textId="77777777" w:rsidR="00FD771B" w:rsidRPr="00684E83" w:rsidRDefault="00FD771B">
      <w:pPr>
        <w:rPr>
          <w:noProof/>
          <w:szCs w:val="22"/>
          <w:lang w:val="el-GR"/>
        </w:rPr>
      </w:pPr>
    </w:p>
    <w:p w14:paraId="4E27E4D0" w14:textId="77777777" w:rsidR="00FD771B" w:rsidRPr="00684E83" w:rsidRDefault="00FD771B">
      <w:pPr>
        <w:rPr>
          <w:noProof/>
          <w:szCs w:val="22"/>
          <w:lang w:val="el-GR"/>
        </w:rPr>
      </w:pPr>
      <w:r w:rsidRPr="00684E83">
        <w:rPr>
          <w:b/>
          <w:noProof/>
          <w:szCs w:val="22"/>
          <w:lang w:val="el-GR"/>
        </w:rPr>
        <w:t>6.1</w:t>
      </w:r>
      <w:r w:rsidRPr="00684E83">
        <w:rPr>
          <w:b/>
          <w:noProof/>
          <w:szCs w:val="22"/>
          <w:lang w:val="el-GR"/>
        </w:rPr>
        <w:tab/>
        <w:t>Κατάλογος εκδόχων</w:t>
      </w:r>
    </w:p>
    <w:p w14:paraId="6B81DABF" w14:textId="77777777" w:rsidR="00FD771B" w:rsidRPr="00684E83" w:rsidRDefault="00FD771B">
      <w:pPr>
        <w:rPr>
          <w:noProof/>
          <w:szCs w:val="22"/>
          <w:lang w:val="el-GR"/>
        </w:rPr>
      </w:pPr>
    </w:p>
    <w:p w14:paraId="6FB1D3C2" w14:textId="77777777" w:rsidR="00092BDB" w:rsidRPr="00FC757E" w:rsidRDefault="00092BDB">
      <w:pPr>
        <w:rPr>
          <w:noProof/>
          <w:szCs w:val="22"/>
          <w:lang w:val="el-GR"/>
        </w:rPr>
      </w:pPr>
      <w:r>
        <w:rPr>
          <w:noProof/>
          <w:szCs w:val="22"/>
          <w:lang w:val="en-US"/>
        </w:rPr>
        <w:t>Lactose</w:t>
      </w:r>
      <w:r w:rsidRPr="00FC757E">
        <w:rPr>
          <w:noProof/>
          <w:szCs w:val="22"/>
          <w:lang w:val="el-GR"/>
        </w:rPr>
        <w:t xml:space="preserve"> </w:t>
      </w:r>
      <w:r>
        <w:rPr>
          <w:noProof/>
          <w:szCs w:val="22"/>
          <w:lang w:val="en-US"/>
        </w:rPr>
        <w:t>monohydrate</w:t>
      </w:r>
    </w:p>
    <w:p w14:paraId="1415BBC8" w14:textId="77777777" w:rsidR="00092BDB" w:rsidRDefault="00092BDB">
      <w:pPr>
        <w:rPr>
          <w:noProof/>
          <w:szCs w:val="22"/>
          <w:lang w:val="en-US"/>
        </w:rPr>
      </w:pPr>
      <w:r>
        <w:rPr>
          <w:noProof/>
          <w:szCs w:val="22"/>
          <w:lang w:val="en-US"/>
        </w:rPr>
        <w:t>Pregelatinised starch</w:t>
      </w:r>
    </w:p>
    <w:p w14:paraId="20D19657" w14:textId="77777777" w:rsidR="00092BDB" w:rsidRDefault="00092BDB">
      <w:pPr>
        <w:rPr>
          <w:noProof/>
          <w:szCs w:val="22"/>
          <w:lang w:val="en-US"/>
        </w:rPr>
      </w:pPr>
      <w:r>
        <w:rPr>
          <w:noProof/>
          <w:szCs w:val="22"/>
          <w:lang w:val="en-US"/>
        </w:rPr>
        <w:t>Colloidail anhydrous silica</w:t>
      </w:r>
    </w:p>
    <w:p w14:paraId="2381414D" w14:textId="77777777" w:rsidR="00092BDB" w:rsidRDefault="00092BDB">
      <w:pPr>
        <w:rPr>
          <w:noProof/>
          <w:szCs w:val="22"/>
          <w:lang w:val="en-US"/>
        </w:rPr>
      </w:pPr>
      <w:r>
        <w:rPr>
          <w:noProof/>
          <w:szCs w:val="22"/>
          <w:lang w:val="en-US"/>
        </w:rPr>
        <w:t>Magnesium stearate</w:t>
      </w:r>
    </w:p>
    <w:p w14:paraId="30B2FB91" w14:textId="77777777" w:rsidR="00FD771B" w:rsidRPr="00684E83" w:rsidRDefault="00092BDB">
      <w:pPr>
        <w:rPr>
          <w:noProof/>
          <w:szCs w:val="22"/>
          <w:lang w:val="el-GR"/>
        </w:rPr>
      </w:pPr>
      <w:r>
        <w:rPr>
          <w:noProof/>
          <w:szCs w:val="22"/>
          <w:lang w:val="en-US"/>
        </w:rPr>
        <w:t>Purified</w:t>
      </w:r>
      <w:r w:rsidRPr="00FC757E">
        <w:rPr>
          <w:noProof/>
          <w:szCs w:val="22"/>
          <w:lang w:val="el-GR"/>
        </w:rPr>
        <w:t xml:space="preserve"> </w:t>
      </w:r>
      <w:r>
        <w:rPr>
          <w:noProof/>
          <w:szCs w:val="22"/>
          <w:lang w:val="en-US"/>
        </w:rPr>
        <w:t>water</w:t>
      </w:r>
    </w:p>
    <w:p w14:paraId="5D69C649" w14:textId="77777777" w:rsidR="00FD771B" w:rsidRPr="00684E83" w:rsidRDefault="00FD771B">
      <w:pPr>
        <w:rPr>
          <w:noProof/>
          <w:szCs w:val="22"/>
          <w:lang w:val="el-GR"/>
        </w:rPr>
      </w:pPr>
    </w:p>
    <w:p w14:paraId="3DE8CBD7" w14:textId="77777777" w:rsidR="00FD771B" w:rsidRPr="00684E83" w:rsidRDefault="00FD771B">
      <w:pPr>
        <w:rPr>
          <w:noProof/>
          <w:szCs w:val="22"/>
          <w:lang w:val="el-GR"/>
        </w:rPr>
      </w:pPr>
      <w:r w:rsidRPr="00684E83">
        <w:rPr>
          <w:b/>
          <w:noProof/>
          <w:szCs w:val="22"/>
          <w:lang w:val="el-GR"/>
        </w:rPr>
        <w:t>6.2</w:t>
      </w:r>
      <w:r w:rsidRPr="00684E83">
        <w:rPr>
          <w:b/>
          <w:noProof/>
          <w:szCs w:val="22"/>
          <w:lang w:val="el-GR"/>
        </w:rPr>
        <w:tab/>
        <w:t>Ασυμβατότητες</w:t>
      </w:r>
    </w:p>
    <w:p w14:paraId="26E0D179" w14:textId="77777777" w:rsidR="00FD771B" w:rsidRPr="00684E83" w:rsidRDefault="00FD771B">
      <w:pPr>
        <w:rPr>
          <w:noProof/>
          <w:szCs w:val="22"/>
          <w:lang w:val="el-GR"/>
        </w:rPr>
      </w:pPr>
    </w:p>
    <w:p w14:paraId="19D0C4AF" w14:textId="77777777" w:rsidR="00FD771B" w:rsidRPr="00684E83" w:rsidRDefault="002313A2">
      <w:pPr>
        <w:rPr>
          <w:noProof/>
          <w:szCs w:val="22"/>
          <w:lang w:val="el-GR"/>
        </w:rPr>
      </w:pPr>
      <w:r>
        <w:rPr>
          <w:noProof/>
          <w:szCs w:val="22"/>
          <w:lang w:val="el-GR"/>
        </w:rPr>
        <w:t>Δεν εφαρμόζεται.</w:t>
      </w:r>
    </w:p>
    <w:p w14:paraId="79162A1D" w14:textId="77777777" w:rsidR="00FD771B" w:rsidRPr="00684E83" w:rsidRDefault="00FD771B">
      <w:pPr>
        <w:rPr>
          <w:noProof/>
          <w:szCs w:val="22"/>
          <w:lang w:val="el-GR"/>
        </w:rPr>
      </w:pPr>
    </w:p>
    <w:p w14:paraId="625A91BF" w14:textId="77777777" w:rsidR="00FD771B" w:rsidRPr="00684E83" w:rsidRDefault="00FD771B">
      <w:pPr>
        <w:rPr>
          <w:noProof/>
          <w:szCs w:val="22"/>
          <w:lang w:val="el-GR"/>
        </w:rPr>
      </w:pPr>
      <w:r w:rsidRPr="00684E83">
        <w:rPr>
          <w:b/>
          <w:noProof/>
          <w:szCs w:val="22"/>
          <w:lang w:val="el-GR"/>
        </w:rPr>
        <w:t>6.3</w:t>
      </w:r>
      <w:r w:rsidRPr="00684E83">
        <w:rPr>
          <w:b/>
          <w:noProof/>
          <w:szCs w:val="22"/>
          <w:lang w:val="el-GR"/>
        </w:rPr>
        <w:tab/>
        <w:t>Διάρκεια ζωής</w:t>
      </w:r>
    </w:p>
    <w:p w14:paraId="479625ED" w14:textId="77777777" w:rsidR="00FD771B" w:rsidRPr="00684E83" w:rsidRDefault="00FD771B">
      <w:pPr>
        <w:rPr>
          <w:noProof/>
          <w:szCs w:val="22"/>
          <w:lang w:val="el-GR"/>
        </w:rPr>
      </w:pPr>
    </w:p>
    <w:p w14:paraId="6639D142" w14:textId="77777777" w:rsidR="00FD771B" w:rsidRPr="00684E83" w:rsidRDefault="002313A2">
      <w:pPr>
        <w:rPr>
          <w:noProof/>
          <w:szCs w:val="22"/>
          <w:lang w:val="el-GR"/>
        </w:rPr>
      </w:pPr>
      <w:r>
        <w:rPr>
          <w:noProof/>
          <w:szCs w:val="22"/>
          <w:lang w:val="el-GR"/>
        </w:rPr>
        <w:t>3 χρόνια</w:t>
      </w:r>
      <w:r w:rsidR="00DA7D95">
        <w:rPr>
          <w:noProof/>
          <w:szCs w:val="22"/>
          <w:lang w:val="el-GR"/>
        </w:rPr>
        <w:t>.</w:t>
      </w:r>
    </w:p>
    <w:p w14:paraId="531DBAD9" w14:textId="77777777" w:rsidR="00FD771B" w:rsidRPr="00684E83" w:rsidRDefault="00FD771B">
      <w:pPr>
        <w:rPr>
          <w:noProof/>
          <w:szCs w:val="22"/>
          <w:lang w:val="el-GR"/>
        </w:rPr>
      </w:pPr>
    </w:p>
    <w:p w14:paraId="369609EC" w14:textId="77777777" w:rsidR="00FD771B" w:rsidRPr="00684E83" w:rsidRDefault="00FD771B">
      <w:pPr>
        <w:rPr>
          <w:noProof/>
          <w:szCs w:val="22"/>
          <w:lang w:val="el-GR"/>
        </w:rPr>
      </w:pPr>
      <w:r w:rsidRPr="00684E83">
        <w:rPr>
          <w:b/>
          <w:noProof/>
          <w:szCs w:val="22"/>
          <w:lang w:val="el-GR"/>
        </w:rPr>
        <w:t>6.4</w:t>
      </w:r>
      <w:r w:rsidRPr="00684E83">
        <w:rPr>
          <w:b/>
          <w:noProof/>
          <w:szCs w:val="22"/>
          <w:lang w:val="el-GR"/>
        </w:rPr>
        <w:tab/>
        <w:t>Ιδιαίτερες προφυλάξεις κατά τη φύλαξη του προϊόντος</w:t>
      </w:r>
    </w:p>
    <w:p w14:paraId="35077C93" w14:textId="77777777" w:rsidR="00FD771B" w:rsidRPr="00684E83" w:rsidRDefault="00FD771B">
      <w:pPr>
        <w:rPr>
          <w:noProof/>
          <w:szCs w:val="22"/>
          <w:lang w:val="el-GR"/>
        </w:rPr>
      </w:pPr>
    </w:p>
    <w:p w14:paraId="7B42E512" w14:textId="77777777" w:rsidR="00FD771B" w:rsidRPr="00684E83" w:rsidRDefault="00DA7D95">
      <w:pPr>
        <w:rPr>
          <w:noProof/>
          <w:szCs w:val="22"/>
          <w:lang w:val="el-GR"/>
        </w:rPr>
      </w:pPr>
      <w:r>
        <w:rPr>
          <w:noProof/>
          <w:szCs w:val="22"/>
          <w:lang w:val="el-GR"/>
        </w:rPr>
        <w:t>Δεν υπάρχουν ειδικέ</w:t>
      </w:r>
      <w:r w:rsidR="00D1779B">
        <w:rPr>
          <w:noProof/>
          <w:szCs w:val="22"/>
          <w:lang w:val="el-GR"/>
        </w:rPr>
        <w:t>ς οδηγίες διατήρησης για το προϊόν αυτό.</w:t>
      </w:r>
    </w:p>
    <w:p w14:paraId="505AE34B" w14:textId="77777777" w:rsidR="00FD771B" w:rsidRPr="00684E83" w:rsidRDefault="00FD771B">
      <w:pPr>
        <w:rPr>
          <w:noProof/>
          <w:szCs w:val="22"/>
          <w:lang w:val="el-GR"/>
        </w:rPr>
      </w:pPr>
    </w:p>
    <w:p w14:paraId="49CE828C" w14:textId="77777777" w:rsidR="00FD771B" w:rsidRPr="00166D11" w:rsidRDefault="00FD771B">
      <w:pPr>
        <w:rPr>
          <w:b/>
          <w:szCs w:val="22"/>
          <w:lang w:val="el-GR"/>
        </w:rPr>
      </w:pPr>
      <w:r w:rsidRPr="00684E83">
        <w:rPr>
          <w:b/>
          <w:noProof/>
          <w:szCs w:val="22"/>
          <w:lang w:val="el-GR"/>
        </w:rPr>
        <w:t>6.5</w:t>
      </w:r>
      <w:r w:rsidRPr="00684E83">
        <w:rPr>
          <w:b/>
          <w:noProof/>
          <w:szCs w:val="22"/>
          <w:lang w:val="el-GR"/>
        </w:rPr>
        <w:tab/>
        <w:t>Φύση και συστατικά του περιέκτη</w:t>
      </w:r>
    </w:p>
    <w:p w14:paraId="12730795" w14:textId="77777777" w:rsidR="00FD771B" w:rsidRPr="00684E83" w:rsidRDefault="00FD771B">
      <w:pPr>
        <w:rPr>
          <w:noProof/>
          <w:szCs w:val="22"/>
          <w:lang w:val="el-GR"/>
        </w:rPr>
      </w:pPr>
    </w:p>
    <w:p w14:paraId="61F6A6FC" w14:textId="77777777" w:rsidR="00C22FE5" w:rsidRDefault="00C22FE5">
      <w:pPr>
        <w:rPr>
          <w:noProof/>
          <w:szCs w:val="22"/>
          <w:lang w:val="el-GR"/>
        </w:rPr>
      </w:pPr>
      <w:r>
        <w:rPr>
          <w:noProof/>
          <w:szCs w:val="22"/>
          <w:lang w:val="el-GR"/>
        </w:rPr>
        <w:t xml:space="preserve">Τα δισκία διατίθενται σε συσκευασίες κυψελών, σε περιέκτες από </w:t>
      </w:r>
      <w:r>
        <w:rPr>
          <w:noProof/>
          <w:szCs w:val="22"/>
          <w:lang w:val="en-US"/>
        </w:rPr>
        <w:t>PVC</w:t>
      </w:r>
      <w:r w:rsidRPr="00C22FE5">
        <w:rPr>
          <w:noProof/>
          <w:szCs w:val="22"/>
          <w:lang w:val="el-GR"/>
        </w:rPr>
        <w:t>/</w:t>
      </w:r>
      <w:r>
        <w:rPr>
          <w:noProof/>
          <w:szCs w:val="22"/>
          <w:lang w:val="en-US"/>
        </w:rPr>
        <w:t>Aluminium</w:t>
      </w:r>
      <w:r w:rsidRPr="00C22FE5">
        <w:rPr>
          <w:noProof/>
          <w:szCs w:val="22"/>
          <w:lang w:val="el-GR"/>
        </w:rPr>
        <w:t xml:space="preserve">, </w:t>
      </w:r>
      <w:r>
        <w:rPr>
          <w:noProof/>
          <w:szCs w:val="22"/>
          <w:lang w:val="el-GR"/>
        </w:rPr>
        <w:t>σε χάρτινα κουτιά των 30 δισκίων ανά συσκευασία.</w:t>
      </w:r>
    </w:p>
    <w:p w14:paraId="4E70F2CE" w14:textId="77777777" w:rsidR="00FD771B" w:rsidRPr="00684E83" w:rsidRDefault="00FD771B">
      <w:pPr>
        <w:rPr>
          <w:b/>
          <w:noProof/>
          <w:szCs w:val="22"/>
          <w:lang w:val="el-GR"/>
        </w:rPr>
      </w:pPr>
    </w:p>
    <w:p w14:paraId="5E1F99D5" w14:textId="77777777" w:rsidR="00FD771B" w:rsidRPr="00684E83" w:rsidRDefault="00FD771B">
      <w:pPr>
        <w:rPr>
          <w:noProof/>
          <w:szCs w:val="22"/>
          <w:lang w:val="el-GR"/>
        </w:rPr>
      </w:pPr>
      <w:r w:rsidRPr="00684E83">
        <w:rPr>
          <w:b/>
          <w:noProof/>
          <w:szCs w:val="22"/>
          <w:lang w:val="el-GR"/>
        </w:rPr>
        <w:t>6.6</w:t>
      </w:r>
      <w:r w:rsidRPr="00684E83">
        <w:rPr>
          <w:b/>
          <w:noProof/>
          <w:szCs w:val="22"/>
          <w:lang w:val="el-GR"/>
        </w:rPr>
        <w:tab/>
        <w:t>Ιδιαίτερες προφυλάξεις απόρριψης και άλλος χειρισμός</w:t>
      </w:r>
    </w:p>
    <w:p w14:paraId="7D5D67C7" w14:textId="77777777" w:rsidR="00FD771B" w:rsidRPr="00684E83" w:rsidRDefault="00FD771B">
      <w:pPr>
        <w:rPr>
          <w:noProof/>
          <w:szCs w:val="22"/>
          <w:lang w:val="el-GR"/>
        </w:rPr>
      </w:pPr>
    </w:p>
    <w:p w14:paraId="0363309D" w14:textId="77777777" w:rsidR="00FD771B" w:rsidRPr="00684E83" w:rsidRDefault="00FD771B">
      <w:pPr>
        <w:rPr>
          <w:noProof/>
          <w:szCs w:val="22"/>
          <w:lang w:val="el-GR"/>
        </w:rPr>
      </w:pPr>
      <w:r w:rsidRPr="00684E83">
        <w:rPr>
          <w:noProof/>
          <w:szCs w:val="22"/>
          <w:lang w:val="el-GR"/>
        </w:rPr>
        <w:t>Κάθε αχρησιμοποίητο φαρμακευτικό προϊόν ή υπόλειμμα πρέπει να απορρίπτεται σύμφωνα με τις κατά τόπου</w:t>
      </w:r>
      <w:r w:rsidR="00C22FE5">
        <w:rPr>
          <w:noProof/>
          <w:szCs w:val="22"/>
          <w:lang w:val="el-GR"/>
        </w:rPr>
        <w:t>ς ισχύουσες σχετικές διατάξεις.</w:t>
      </w:r>
    </w:p>
    <w:p w14:paraId="0F4C9921" w14:textId="77777777" w:rsidR="00FD771B" w:rsidRPr="00684E83" w:rsidRDefault="00FD771B" w:rsidP="005D77D3">
      <w:pPr>
        <w:rPr>
          <w:noProof/>
          <w:szCs w:val="22"/>
          <w:lang w:val="el-GR"/>
        </w:rPr>
      </w:pPr>
    </w:p>
    <w:p w14:paraId="089B5345" w14:textId="77777777" w:rsidR="00FD771B" w:rsidRPr="00684E83" w:rsidRDefault="00FD771B" w:rsidP="005D77D3">
      <w:pPr>
        <w:rPr>
          <w:noProof/>
          <w:szCs w:val="22"/>
          <w:lang w:val="el-GR"/>
        </w:rPr>
      </w:pPr>
    </w:p>
    <w:p w14:paraId="49D62E18" w14:textId="77777777" w:rsidR="00FD771B" w:rsidRPr="00684E83" w:rsidRDefault="00FD771B" w:rsidP="00622633">
      <w:pPr>
        <w:rPr>
          <w:noProof/>
          <w:szCs w:val="22"/>
          <w:lang w:val="el-GR"/>
        </w:rPr>
      </w:pPr>
      <w:r w:rsidRPr="00684E83">
        <w:rPr>
          <w:b/>
          <w:noProof/>
          <w:szCs w:val="22"/>
          <w:lang w:val="el-GR"/>
        </w:rPr>
        <w:lastRenderedPageBreak/>
        <w:t>7.</w:t>
      </w:r>
      <w:r w:rsidRPr="00684E83">
        <w:rPr>
          <w:b/>
          <w:noProof/>
          <w:szCs w:val="22"/>
          <w:lang w:val="el-GR"/>
        </w:rPr>
        <w:tab/>
        <w:t>ΚΑΤΟΧΟΣ ΤΗΣ ΑΔΕΙΑΣ ΚΥΚΛΟΦΟΡΙΑΣ</w:t>
      </w:r>
    </w:p>
    <w:p w14:paraId="38B3391E" w14:textId="77777777" w:rsidR="00FD771B" w:rsidRPr="00684E83" w:rsidRDefault="00FD771B" w:rsidP="00622633">
      <w:pPr>
        <w:rPr>
          <w:noProof/>
          <w:szCs w:val="22"/>
          <w:lang w:val="el-GR"/>
        </w:rPr>
      </w:pPr>
    </w:p>
    <w:p w14:paraId="4EA30B0A" w14:textId="361EB2F6" w:rsidR="00FD771B" w:rsidRPr="001779CF" w:rsidRDefault="00C22FE5" w:rsidP="00622633">
      <w:pPr>
        <w:rPr>
          <w:noProof/>
          <w:szCs w:val="22"/>
          <w:lang w:val="el-GR"/>
        </w:rPr>
      </w:pPr>
      <w:r>
        <w:rPr>
          <w:noProof/>
          <w:szCs w:val="22"/>
          <w:lang w:val="en-US"/>
        </w:rPr>
        <w:t>WIN</w:t>
      </w:r>
      <w:r w:rsidRPr="001779CF">
        <w:rPr>
          <w:noProof/>
          <w:szCs w:val="22"/>
          <w:lang w:val="el-GR"/>
        </w:rPr>
        <w:t xml:space="preserve"> </w:t>
      </w:r>
      <w:r>
        <w:rPr>
          <w:noProof/>
          <w:szCs w:val="22"/>
          <w:lang w:val="en-US"/>
        </w:rPr>
        <w:t>MEDICA</w:t>
      </w:r>
      <w:r w:rsidRPr="001779CF">
        <w:rPr>
          <w:noProof/>
          <w:szCs w:val="22"/>
          <w:lang w:val="el-GR"/>
        </w:rPr>
        <w:t xml:space="preserve"> </w:t>
      </w:r>
      <w:r>
        <w:rPr>
          <w:noProof/>
          <w:szCs w:val="22"/>
          <w:lang w:val="el-GR"/>
        </w:rPr>
        <w:t>ΦΑΡΜΑΚ</w:t>
      </w:r>
      <w:r w:rsidR="00D11B8A">
        <w:rPr>
          <w:noProof/>
          <w:szCs w:val="22"/>
          <w:lang w:val="en-US"/>
        </w:rPr>
        <w:t>E</w:t>
      </w:r>
      <w:r>
        <w:rPr>
          <w:noProof/>
          <w:szCs w:val="22"/>
          <w:lang w:val="el-GR"/>
        </w:rPr>
        <w:t>ΥΤΙΚΗ</w:t>
      </w:r>
      <w:r w:rsidRPr="001779CF">
        <w:rPr>
          <w:noProof/>
          <w:szCs w:val="22"/>
          <w:lang w:val="el-GR"/>
        </w:rPr>
        <w:t xml:space="preserve"> </w:t>
      </w:r>
      <w:r w:rsidR="00870B25">
        <w:rPr>
          <w:noProof/>
          <w:szCs w:val="22"/>
          <w:lang w:val="en-US"/>
        </w:rPr>
        <w:t>A</w:t>
      </w:r>
      <w:r w:rsidR="00870B25" w:rsidRPr="001779CF">
        <w:rPr>
          <w:noProof/>
          <w:szCs w:val="22"/>
          <w:lang w:val="el-GR"/>
        </w:rPr>
        <w:t>.</w:t>
      </w:r>
      <w:r w:rsidR="00870B25">
        <w:rPr>
          <w:noProof/>
          <w:szCs w:val="22"/>
          <w:lang w:val="en-US"/>
        </w:rPr>
        <w:t>E</w:t>
      </w:r>
      <w:r w:rsidR="00870B25" w:rsidRPr="001779CF">
        <w:rPr>
          <w:noProof/>
          <w:szCs w:val="22"/>
          <w:lang w:val="el-GR"/>
        </w:rPr>
        <w:t>.</w:t>
      </w:r>
    </w:p>
    <w:p w14:paraId="5FEB61FC" w14:textId="52C4609B" w:rsidR="00FD771B" w:rsidRPr="00870B25" w:rsidRDefault="00870B25">
      <w:pPr>
        <w:rPr>
          <w:noProof/>
          <w:szCs w:val="22"/>
          <w:lang w:val="el-GR"/>
        </w:rPr>
      </w:pPr>
      <w:r>
        <w:rPr>
          <w:noProof/>
          <w:szCs w:val="22"/>
          <w:lang w:val="el-GR"/>
        </w:rPr>
        <w:t>Οιδίποδος 1-3 &amp; Παράδρομος Αττικής Οδού 33-35</w:t>
      </w:r>
    </w:p>
    <w:p w14:paraId="641AFB34" w14:textId="39DD4304" w:rsidR="00FD771B" w:rsidRDefault="00C22FE5">
      <w:pPr>
        <w:rPr>
          <w:noProof/>
          <w:szCs w:val="22"/>
          <w:lang w:val="el-GR"/>
        </w:rPr>
      </w:pPr>
      <w:r>
        <w:rPr>
          <w:noProof/>
          <w:szCs w:val="22"/>
          <w:lang w:val="el-GR"/>
        </w:rPr>
        <w:t>1</w:t>
      </w:r>
      <w:r w:rsidR="00870B25">
        <w:rPr>
          <w:noProof/>
          <w:szCs w:val="22"/>
          <w:lang w:val="el-GR"/>
        </w:rPr>
        <w:t>52</w:t>
      </w:r>
      <w:r>
        <w:rPr>
          <w:noProof/>
          <w:szCs w:val="22"/>
          <w:lang w:val="el-GR"/>
        </w:rPr>
        <w:t xml:space="preserve"> </w:t>
      </w:r>
      <w:r w:rsidR="00870B25">
        <w:rPr>
          <w:noProof/>
          <w:szCs w:val="22"/>
          <w:lang w:val="el-GR"/>
        </w:rPr>
        <w:t>3</w:t>
      </w:r>
      <w:r>
        <w:rPr>
          <w:noProof/>
          <w:szCs w:val="22"/>
          <w:lang w:val="el-GR"/>
        </w:rPr>
        <w:t xml:space="preserve">8 </w:t>
      </w:r>
      <w:r w:rsidR="00870B25">
        <w:rPr>
          <w:noProof/>
          <w:szCs w:val="22"/>
          <w:lang w:val="el-GR"/>
        </w:rPr>
        <w:t>Χαλάνδρι</w:t>
      </w:r>
      <w:r>
        <w:rPr>
          <w:noProof/>
          <w:szCs w:val="22"/>
          <w:lang w:val="el-GR"/>
        </w:rPr>
        <w:t>, Αθήνα</w:t>
      </w:r>
    </w:p>
    <w:p w14:paraId="7A23E0FD" w14:textId="77777777" w:rsidR="00C22FE5" w:rsidRDefault="00C22FE5">
      <w:pPr>
        <w:rPr>
          <w:noProof/>
          <w:szCs w:val="22"/>
          <w:lang w:val="el-GR"/>
        </w:rPr>
      </w:pPr>
      <w:r>
        <w:rPr>
          <w:noProof/>
          <w:szCs w:val="22"/>
          <w:lang w:val="el-GR"/>
        </w:rPr>
        <w:t>Τηλ.</w:t>
      </w:r>
      <w:r w:rsidRPr="00FC757E">
        <w:rPr>
          <w:noProof/>
          <w:szCs w:val="22"/>
          <w:lang w:val="el-GR"/>
        </w:rPr>
        <w:t>:</w:t>
      </w:r>
      <w:r>
        <w:rPr>
          <w:noProof/>
          <w:szCs w:val="22"/>
          <w:lang w:val="el-GR"/>
        </w:rPr>
        <w:t xml:space="preserve"> 210 7488821</w:t>
      </w:r>
    </w:p>
    <w:p w14:paraId="4D7B47B7" w14:textId="77777777" w:rsidR="00C22FE5" w:rsidRPr="00C22FE5" w:rsidRDefault="00C22FE5">
      <w:pPr>
        <w:rPr>
          <w:noProof/>
          <w:szCs w:val="22"/>
          <w:lang w:val="el-GR"/>
        </w:rPr>
      </w:pPr>
      <w:r>
        <w:rPr>
          <w:noProof/>
          <w:szCs w:val="22"/>
          <w:lang w:val="el-GR"/>
        </w:rPr>
        <w:t>Φαξ</w:t>
      </w:r>
      <w:r w:rsidRPr="00FC757E">
        <w:rPr>
          <w:noProof/>
          <w:szCs w:val="22"/>
          <w:lang w:val="el-GR"/>
        </w:rPr>
        <w:t xml:space="preserve">: </w:t>
      </w:r>
      <w:r>
        <w:rPr>
          <w:noProof/>
          <w:szCs w:val="22"/>
          <w:lang w:val="el-GR"/>
        </w:rPr>
        <w:t>210 7488827</w:t>
      </w:r>
    </w:p>
    <w:p w14:paraId="0D7B106C" w14:textId="77777777" w:rsidR="00FD771B" w:rsidRPr="00684E83" w:rsidRDefault="00FD771B">
      <w:pPr>
        <w:rPr>
          <w:noProof/>
          <w:szCs w:val="22"/>
          <w:lang w:val="el-GR"/>
        </w:rPr>
      </w:pPr>
    </w:p>
    <w:p w14:paraId="4531CA03" w14:textId="77777777" w:rsidR="00FD771B" w:rsidRPr="00684E83" w:rsidRDefault="00FD771B">
      <w:pPr>
        <w:rPr>
          <w:noProof/>
          <w:szCs w:val="22"/>
          <w:lang w:val="el-GR"/>
        </w:rPr>
      </w:pPr>
    </w:p>
    <w:p w14:paraId="221FB992" w14:textId="77777777" w:rsidR="00FD771B" w:rsidRPr="00684E83" w:rsidRDefault="00FD771B">
      <w:pPr>
        <w:rPr>
          <w:noProof/>
          <w:szCs w:val="22"/>
          <w:lang w:val="el-GR"/>
        </w:rPr>
      </w:pPr>
      <w:r w:rsidRPr="00684E83">
        <w:rPr>
          <w:b/>
          <w:noProof/>
          <w:szCs w:val="22"/>
          <w:lang w:val="el-GR"/>
        </w:rPr>
        <w:t>8.</w:t>
      </w:r>
      <w:r w:rsidRPr="00684E83">
        <w:rPr>
          <w:b/>
          <w:noProof/>
          <w:szCs w:val="22"/>
          <w:lang w:val="el-GR"/>
        </w:rPr>
        <w:tab/>
        <w:t>ΑΡΙΘΜΟΣ(ΟΙ) ΑΔΕΙΑΣ ΚΥΚΛΟΦΟΡΙΑΣ</w:t>
      </w:r>
    </w:p>
    <w:p w14:paraId="361EDFC5" w14:textId="77777777" w:rsidR="00C22FE5" w:rsidRPr="00684E83" w:rsidRDefault="00C22FE5">
      <w:pPr>
        <w:rPr>
          <w:noProof/>
          <w:szCs w:val="22"/>
          <w:lang w:val="el-GR"/>
        </w:rPr>
      </w:pPr>
    </w:p>
    <w:p w14:paraId="597B5837" w14:textId="77777777" w:rsidR="00FD771B" w:rsidRPr="00684E83" w:rsidRDefault="00FD771B">
      <w:pPr>
        <w:rPr>
          <w:noProof/>
          <w:szCs w:val="22"/>
          <w:lang w:val="el-GR"/>
        </w:rPr>
      </w:pPr>
    </w:p>
    <w:p w14:paraId="6BF4130A" w14:textId="77777777" w:rsidR="00FD771B" w:rsidRPr="00684E83" w:rsidRDefault="00FD771B">
      <w:pPr>
        <w:rPr>
          <w:noProof/>
          <w:szCs w:val="22"/>
          <w:lang w:val="el-GR"/>
        </w:rPr>
      </w:pPr>
      <w:r w:rsidRPr="00684E83">
        <w:rPr>
          <w:b/>
          <w:noProof/>
          <w:szCs w:val="22"/>
          <w:lang w:val="el-GR"/>
        </w:rPr>
        <w:t>9.</w:t>
      </w:r>
      <w:r w:rsidRPr="00684E83">
        <w:rPr>
          <w:b/>
          <w:noProof/>
          <w:szCs w:val="22"/>
          <w:lang w:val="el-GR"/>
        </w:rPr>
        <w:tab/>
        <w:t>ΗΜΕΡΟΜΗΝΙΑ ΠΡΩΤΗΣ ΕΓΚΡΙΣΗΣ/ΑΝΑΝΕΩΣΗΣ ΤΗΣ ΑΔΕΙΑΣ</w:t>
      </w:r>
    </w:p>
    <w:p w14:paraId="0D8B5767" w14:textId="77777777" w:rsidR="00FD771B" w:rsidRPr="00684E83" w:rsidRDefault="00FD771B">
      <w:pPr>
        <w:rPr>
          <w:noProof/>
          <w:szCs w:val="22"/>
          <w:lang w:val="el-GR"/>
        </w:rPr>
      </w:pPr>
    </w:p>
    <w:p w14:paraId="35A4CC22" w14:textId="77777777" w:rsidR="00FD771B" w:rsidRPr="00684E83" w:rsidRDefault="00FD771B">
      <w:pPr>
        <w:rPr>
          <w:noProof/>
          <w:szCs w:val="22"/>
          <w:lang w:val="el-GR"/>
        </w:rPr>
      </w:pPr>
      <w:r w:rsidRPr="00684E83">
        <w:rPr>
          <w:noProof/>
          <w:szCs w:val="22"/>
          <w:lang w:val="el-GR"/>
        </w:rPr>
        <w:t>Ημερομηνία π</w:t>
      </w:r>
      <w:r w:rsidR="00C22FE5">
        <w:rPr>
          <w:noProof/>
          <w:szCs w:val="22"/>
          <w:lang w:val="el-GR"/>
        </w:rPr>
        <w:t>ρώτης έγκρισης: {ΗΗ μήνας ΕΕΕΕ}</w:t>
      </w:r>
    </w:p>
    <w:p w14:paraId="0E37F34B" w14:textId="77777777" w:rsidR="00FD771B" w:rsidRPr="00684E83" w:rsidRDefault="00FD771B">
      <w:pPr>
        <w:rPr>
          <w:noProof/>
          <w:szCs w:val="22"/>
          <w:lang w:val="el-GR"/>
        </w:rPr>
      </w:pPr>
      <w:r w:rsidRPr="00684E83">
        <w:rPr>
          <w:noProof/>
          <w:szCs w:val="22"/>
          <w:lang w:val="el-GR"/>
        </w:rPr>
        <w:t>Ημερομηνία τελευτ</w:t>
      </w:r>
      <w:r w:rsidR="00C22FE5">
        <w:rPr>
          <w:noProof/>
          <w:szCs w:val="22"/>
          <w:lang w:val="el-GR"/>
        </w:rPr>
        <w:t>αίας ανανέωσης: {ΗΗ μήνας ΕΕΕΕ}</w:t>
      </w:r>
    </w:p>
    <w:p w14:paraId="137D4DE7" w14:textId="77777777" w:rsidR="00FD771B" w:rsidRPr="005D77D3" w:rsidRDefault="00FD771B" w:rsidP="005D77D3">
      <w:pPr>
        <w:rPr>
          <w:noProof/>
          <w:szCs w:val="22"/>
          <w:lang w:val="el-GR"/>
        </w:rPr>
      </w:pPr>
    </w:p>
    <w:p w14:paraId="49225F99" w14:textId="77777777" w:rsidR="00FD771B" w:rsidRPr="00684E83" w:rsidRDefault="00FD771B" w:rsidP="005D77D3">
      <w:pPr>
        <w:rPr>
          <w:noProof/>
          <w:szCs w:val="22"/>
          <w:lang w:val="el-GR"/>
        </w:rPr>
      </w:pPr>
    </w:p>
    <w:p w14:paraId="46BA51C4" w14:textId="77777777" w:rsidR="00FD771B" w:rsidRPr="00684E83" w:rsidRDefault="00FD771B" w:rsidP="00622633">
      <w:pPr>
        <w:rPr>
          <w:b/>
          <w:noProof/>
          <w:szCs w:val="22"/>
          <w:lang w:val="el-GR"/>
        </w:rPr>
      </w:pPr>
      <w:r w:rsidRPr="00684E83">
        <w:rPr>
          <w:b/>
          <w:noProof/>
          <w:szCs w:val="22"/>
          <w:lang w:val="el-GR"/>
        </w:rPr>
        <w:t>10.</w:t>
      </w:r>
      <w:r w:rsidRPr="00684E83">
        <w:rPr>
          <w:b/>
          <w:noProof/>
          <w:szCs w:val="22"/>
          <w:lang w:val="el-GR"/>
        </w:rPr>
        <w:tab/>
        <w:t>ΗΜΕΡΟΜΗΝΙΑ ΑΝΑΘΕΩΡΗΣΗΣ ΤΟΥ ΚΕΙΜΕΝΟΥ</w:t>
      </w:r>
    </w:p>
    <w:p w14:paraId="74DF963B" w14:textId="77777777" w:rsidR="00FD771B" w:rsidRPr="00684E83" w:rsidRDefault="00FD771B">
      <w:pPr>
        <w:rPr>
          <w:b/>
          <w:noProof/>
          <w:szCs w:val="22"/>
          <w:lang w:val="el-GR"/>
        </w:rPr>
      </w:pPr>
    </w:p>
    <w:p w14:paraId="409340F5" w14:textId="77777777" w:rsidR="00FD771B" w:rsidRPr="00684E83" w:rsidRDefault="00FD771B">
      <w:pPr>
        <w:rPr>
          <w:b/>
          <w:noProof/>
          <w:szCs w:val="22"/>
          <w:lang w:val="el-GR"/>
        </w:rPr>
      </w:pPr>
      <w:r w:rsidRPr="00684E83">
        <w:rPr>
          <w:noProof/>
          <w:szCs w:val="22"/>
          <w:lang w:val="el-GR"/>
        </w:rPr>
        <w:t>&lt;ΜΜ/ΕΕΕΕ&gt;</w:t>
      </w:r>
    </w:p>
    <w:sectPr w:rsidR="00FD771B" w:rsidRPr="00684E83" w:rsidSect="00A324C0">
      <w:footerReference w:type="default" r:id="rId10"/>
      <w:footerReference w:type="first" r:id="rId11"/>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B5C3C" w14:textId="77777777" w:rsidR="00D93432" w:rsidRDefault="00D93432">
      <w:pPr>
        <w:rPr>
          <w:szCs w:val="24"/>
        </w:rPr>
      </w:pPr>
      <w:r>
        <w:rPr>
          <w:szCs w:val="24"/>
        </w:rPr>
        <w:separator/>
      </w:r>
    </w:p>
  </w:endnote>
  <w:endnote w:type="continuationSeparator" w:id="0">
    <w:p w14:paraId="273E2B19" w14:textId="77777777" w:rsidR="00D93432" w:rsidRDefault="00D93432">
      <w:pPr>
        <w:rPr>
          <w:szCs w:val="24"/>
        </w:rPr>
      </w:pPr>
      <w:r>
        <w:rPr>
          <w:szCs w:val="24"/>
        </w:rPr>
        <w:continuationSeparator/>
      </w:r>
    </w:p>
  </w:endnote>
  <w:endnote w:type="continuationNotice" w:id="1">
    <w:p w14:paraId="2F118488" w14:textId="77777777" w:rsidR="00D93432" w:rsidRDefault="00D934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1E7A" w14:textId="77777777" w:rsidR="00327BE4" w:rsidRPr="005D77D3" w:rsidRDefault="00327BE4">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F67B2C">
      <w:rPr>
        <w:rStyle w:val="a5"/>
        <w:rFonts w:ascii="Arial" w:hAnsi="Arial" w:cs="Arial"/>
        <w:noProof/>
        <w:sz w:val="16"/>
        <w:szCs w:val="16"/>
      </w:rPr>
      <w:t>2</w:t>
    </w:r>
    <w:r w:rsidRPr="005D77D3">
      <w:rPr>
        <w:rStyle w:val="a5"/>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8EF9" w14:textId="77777777" w:rsidR="00327BE4" w:rsidRPr="005D77D3" w:rsidRDefault="00327BE4">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F67B2C">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40C10" w14:textId="77777777" w:rsidR="00D93432" w:rsidRDefault="00D93432">
      <w:pPr>
        <w:rPr>
          <w:szCs w:val="24"/>
        </w:rPr>
      </w:pPr>
      <w:r>
        <w:rPr>
          <w:szCs w:val="24"/>
        </w:rPr>
        <w:separator/>
      </w:r>
    </w:p>
  </w:footnote>
  <w:footnote w:type="continuationSeparator" w:id="0">
    <w:p w14:paraId="30B7930E" w14:textId="77777777" w:rsidR="00D93432" w:rsidRDefault="00D93432">
      <w:pPr>
        <w:rPr>
          <w:szCs w:val="24"/>
        </w:rPr>
      </w:pPr>
      <w:r>
        <w:rPr>
          <w:szCs w:val="24"/>
        </w:rPr>
        <w:continuationSeparator/>
      </w:r>
    </w:p>
  </w:footnote>
  <w:footnote w:type="continuationNotice" w:id="1">
    <w:p w14:paraId="1828D954" w14:textId="77777777" w:rsidR="00D93432" w:rsidRDefault="00D9343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F905AFE"/>
    <w:multiLevelType w:val="hybridMultilevel"/>
    <w:tmpl w:val="36E202D6"/>
    <w:lvl w:ilvl="0" w:tplc="61A21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1">
    <w:nsid w:val="472B7438"/>
    <w:multiLevelType w:val="hybridMultilevel"/>
    <w:tmpl w:val="ADC62264"/>
    <w:lvl w:ilvl="0" w:tplc="61A21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810019"/>
    <w:multiLevelType w:val="singleLevel"/>
    <w:tmpl w:val="FFFFFFFF"/>
    <w:lvl w:ilvl="0">
      <w:start w:val="1"/>
      <w:numFmt w:val="bullet"/>
      <w:lvlText w:val="-"/>
      <w:lvlJc w:val="left"/>
      <w:pPr>
        <w:ind w:left="1800" w:hanging="360"/>
      </w:pPr>
    </w:lvl>
  </w:abstractNum>
  <w:abstractNum w:abstractNumId="13">
    <w:nsid w:val="560C4365"/>
    <w:multiLevelType w:val="singleLevel"/>
    <w:tmpl w:val="FFFFFFFF"/>
    <w:lvl w:ilvl="0">
      <w:start w:val="1"/>
      <w:numFmt w:val="bullet"/>
      <w:lvlText w:val="-"/>
      <w:lvlJc w:val="left"/>
      <w:pPr>
        <w:ind w:left="1800" w:hanging="360"/>
      </w:pPr>
    </w:lvl>
  </w:abstractNum>
  <w:abstractNum w:abstractNumId="14">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9E60F0D"/>
    <w:multiLevelType w:val="hybridMultilevel"/>
    <w:tmpl w:val="7FC07C30"/>
    <w:lvl w:ilvl="0" w:tplc="3AFC523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18">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9">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2">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7"/>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18"/>
  </w:num>
  <w:num w:numId="6">
    <w:abstractNumId w:val="14"/>
  </w:num>
  <w:num w:numId="7">
    <w:abstractNumId w:val="6"/>
  </w:num>
  <w:num w:numId="8">
    <w:abstractNumId w:val="10"/>
  </w:num>
  <w:num w:numId="9">
    <w:abstractNumId w:val="23"/>
  </w:num>
  <w:num w:numId="10">
    <w:abstractNumId w:val="1"/>
  </w:num>
  <w:num w:numId="11">
    <w:abstractNumId w:val="20"/>
  </w:num>
  <w:num w:numId="12">
    <w:abstractNumId w:val="8"/>
  </w:num>
  <w:num w:numId="13">
    <w:abstractNumId w:val="4"/>
  </w:num>
  <w:num w:numId="14">
    <w:abstractNumId w:val="3"/>
  </w:num>
  <w:num w:numId="15">
    <w:abstractNumId w:val="0"/>
    <w:lvlOverride w:ilvl="0">
      <w:lvl w:ilvl="0">
        <w:start w:val="1"/>
        <w:numFmt w:val="bullet"/>
        <w:lvlText w:val="-"/>
        <w:lvlJc w:val="left"/>
        <w:pPr>
          <w:ind w:left="360" w:hanging="360"/>
        </w:pPr>
      </w:lvl>
    </w:lvlOverride>
  </w:num>
  <w:num w:numId="16">
    <w:abstractNumId w:val="21"/>
  </w:num>
  <w:num w:numId="17">
    <w:abstractNumId w:val="12"/>
  </w:num>
  <w:num w:numId="18">
    <w:abstractNumId w:val="13"/>
  </w:num>
  <w:num w:numId="19">
    <w:abstractNumId w:val="24"/>
  </w:num>
  <w:num w:numId="20">
    <w:abstractNumId w:val="16"/>
  </w:num>
  <w:num w:numId="21">
    <w:abstractNumId w:val="22"/>
  </w:num>
  <w:num w:numId="22">
    <w:abstractNumId w:val="19"/>
  </w:num>
  <w:num w:numId="23">
    <w:abstractNumId w:val="5"/>
  </w:num>
  <w:num w:numId="24">
    <w:abstractNumId w:val="22"/>
  </w:num>
  <w:num w:numId="25">
    <w:abstractNumId w:val="3"/>
  </w:num>
  <w:num w:numId="26">
    <w:abstractNumId w:val="22"/>
  </w:num>
  <w:num w:numId="27">
    <w:abstractNumId w:val="9"/>
  </w:num>
  <w:num w:numId="28">
    <w:abstractNumId w:val="0"/>
    <w:lvlOverride w:ilvl="0">
      <w:lvl w:ilvl="0">
        <w:start w:val="1"/>
        <w:numFmt w:val="bullet"/>
        <w:lvlText w:val="-"/>
        <w:lvlJc w:val="left"/>
        <w:pPr>
          <w:ind w:left="360" w:hanging="360"/>
        </w:pPr>
      </w:lvl>
    </w:lvlOverride>
  </w:num>
  <w:num w:numId="29">
    <w:abstractNumId w:val="3"/>
  </w:num>
  <w:num w:numId="30">
    <w:abstractNumId w:val="11"/>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072B3C"/>
    <w:rsid w:val="00000D62"/>
    <w:rsid w:val="00001587"/>
    <w:rsid w:val="0000362A"/>
    <w:rsid w:val="00005701"/>
    <w:rsid w:val="00007528"/>
    <w:rsid w:val="0001164F"/>
    <w:rsid w:val="00013A4F"/>
    <w:rsid w:val="00013BA0"/>
    <w:rsid w:val="000144AD"/>
    <w:rsid w:val="00014869"/>
    <w:rsid w:val="000150D3"/>
    <w:rsid w:val="00015F18"/>
    <w:rsid w:val="000166C1"/>
    <w:rsid w:val="0002006B"/>
    <w:rsid w:val="00020104"/>
    <w:rsid w:val="00020AE8"/>
    <w:rsid w:val="00024106"/>
    <w:rsid w:val="00025EBE"/>
    <w:rsid w:val="00026BF2"/>
    <w:rsid w:val="000271F6"/>
    <w:rsid w:val="00027234"/>
    <w:rsid w:val="00027841"/>
    <w:rsid w:val="00030445"/>
    <w:rsid w:val="000318C7"/>
    <w:rsid w:val="00033FDB"/>
    <w:rsid w:val="000344F6"/>
    <w:rsid w:val="0003607D"/>
    <w:rsid w:val="000364EC"/>
    <w:rsid w:val="00036522"/>
    <w:rsid w:val="00041CC9"/>
    <w:rsid w:val="00042263"/>
    <w:rsid w:val="00043505"/>
    <w:rsid w:val="00044042"/>
    <w:rsid w:val="000474D2"/>
    <w:rsid w:val="000479C5"/>
    <w:rsid w:val="00050DFD"/>
    <w:rsid w:val="000515B3"/>
    <w:rsid w:val="00053470"/>
    <w:rsid w:val="00053809"/>
    <w:rsid w:val="00053914"/>
    <w:rsid w:val="00053B11"/>
    <w:rsid w:val="00054756"/>
    <w:rsid w:val="000560C5"/>
    <w:rsid w:val="00056C49"/>
    <w:rsid w:val="00056FE0"/>
    <w:rsid w:val="000603C8"/>
    <w:rsid w:val="000608A4"/>
    <w:rsid w:val="00060AA1"/>
    <w:rsid w:val="000631FD"/>
    <w:rsid w:val="00064A68"/>
    <w:rsid w:val="0007033E"/>
    <w:rsid w:val="00071F8A"/>
    <w:rsid w:val="00072B3C"/>
    <w:rsid w:val="00073E04"/>
    <w:rsid w:val="0007628D"/>
    <w:rsid w:val="00081DAB"/>
    <w:rsid w:val="00083AB1"/>
    <w:rsid w:val="000866E8"/>
    <w:rsid w:val="00092BDB"/>
    <w:rsid w:val="0009351E"/>
    <w:rsid w:val="0009479A"/>
    <w:rsid w:val="00095E44"/>
    <w:rsid w:val="00096D8D"/>
    <w:rsid w:val="0009755A"/>
    <w:rsid w:val="00097DA9"/>
    <w:rsid w:val="000A10A3"/>
    <w:rsid w:val="000A1232"/>
    <w:rsid w:val="000A40D0"/>
    <w:rsid w:val="000A6E1F"/>
    <w:rsid w:val="000A7CE6"/>
    <w:rsid w:val="000B0097"/>
    <w:rsid w:val="000B101F"/>
    <w:rsid w:val="000B147D"/>
    <w:rsid w:val="000B1F4B"/>
    <w:rsid w:val="000B288A"/>
    <w:rsid w:val="000B2F27"/>
    <w:rsid w:val="000B2F58"/>
    <w:rsid w:val="000B37A8"/>
    <w:rsid w:val="000B51D9"/>
    <w:rsid w:val="000B7A26"/>
    <w:rsid w:val="000C03FB"/>
    <w:rsid w:val="000C0D0C"/>
    <w:rsid w:val="000C308F"/>
    <w:rsid w:val="000C449B"/>
    <w:rsid w:val="000C59B8"/>
    <w:rsid w:val="000C5A4E"/>
    <w:rsid w:val="000C635D"/>
    <w:rsid w:val="000C7F49"/>
    <w:rsid w:val="000D1AEE"/>
    <w:rsid w:val="000D1F4F"/>
    <w:rsid w:val="000D4D07"/>
    <w:rsid w:val="000D6AB1"/>
    <w:rsid w:val="000D6F94"/>
    <w:rsid w:val="000D7535"/>
    <w:rsid w:val="000E165D"/>
    <w:rsid w:val="000E1BAF"/>
    <w:rsid w:val="000E223E"/>
    <w:rsid w:val="000E2399"/>
    <w:rsid w:val="000E2491"/>
    <w:rsid w:val="000E2EA9"/>
    <w:rsid w:val="000E46A3"/>
    <w:rsid w:val="000E4E88"/>
    <w:rsid w:val="000E5726"/>
    <w:rsid w:val="000E6C94"/>
    <w:rsid w:val="000E7806"/>
    <w:rsid w:val="000E7932"/>
    <w:rsid w:val="000F1A77"/>
    <w:rsid w:val="000F1BB2"/>
    <w:rsid w:val="000F2C2E"/>
    <w:rsid w:val="000F3F94"/>
    <w:rsid w:val="000F7369"/>
    <w:rsid w:val="0010159A"/>
    <w:rsid w:val="00103501"/>
    <w:rsid w:val="00103B2D"/>
    <w:rsid w:val="00103CD2"/>
    <w:rsid w:val="00104061"/>
    <w:rsid w:val="00104322"/>
    <w:rsid w:val="00107236"/>
    <w:rsid w:val="0010791C"/>
    <w:rsid w:val="001101A2"/>
    <w:rsid w:val="001106F7"/>
    <w:rsid w:val="001108A9"/>
    <w:rsid w:val="00112EDA"/>
    <w:rsid w:val="00114174"/>
    <w:rsid w:val="00116658"/>
    <w:rsid w:val="00117C1D"/>
    <w:rsid w:val="00123688"/>
    <w:rsid w:val="00123EE6"/>
    <w:rsid w:val="001272F6"/>
    <w:rsid w:val="00127716"/>
    <w:rsid w:val="00127F47"/>
    <w:rsid w:val="00133572"/>
    <w:rsid w:val="00135725"/>
    <w:rsid w:val="00135D69"/>
    <w:rsid w:val="00136D7A"/>
    <w:rsid w:val="00141470"/>
    <w:rsid w:val="00141540"/>
    <w:rsid w:val="001434A0"/>
    <w:rsid w:val="001449DF"/>
    <w:rsid w:val="0014569B"/>
    <w:rsid w:val="001470E0"/>
    <w:rsid w:val="00150060"/>
    <w:rsid w:val="0015317B"/>
    <w:rsid w:val="00154C69"/>
    <w:rsid w:val="0015565B"/>
    <w:rsid w:val="0015704C"/>
    <w:rsid w:val="00161701"/>
    <w:rsid w:val="00161E87"/>
    <w:rsid w:val="0016566C"/>
    <w:rsid w:val="00166D11"/>
    <w:rsid w:val="001710BA"/>
    <w:rsid w:val="001727F0"/>
    <w:rsid w:val="00172B06"/>
    <w:rsid w:val="0017347E"/>
    <w:rsid w:val="001752D8"/>
    <w:rsid w:val="00175931"/>
    <w:rsid w:val="0017656D"/>
    <w:rsid w:val="00176B25"/>
    <w:rsid w:val="001779CF"/>
    <w:rsid w:val="00181C65"/>
    <w:rsid w:val="0018238B"/>
    <w:rsid w:val="00183419"/>
    <w:rsid w:val="0018394A"/>
    <w:rsid w:val="00184DCC"/>
    <w:rsid w:val="00186A9D"/>
    <w:rsid w:val="001874A6"/>
    <w:rsid w:val="0018765B"/>
    <w:rsid w:val="00190913"/>
    <w:rsid w:val="0019255F"/>
    <w:rsid w:val="00193DD3"/>
    <w:rsid w:val="00195714"/>
    <w:rsid w:val="00195F65"/>
    <w:rsid w:val="001960D0"/>
    <w:rsid w:val="00196DA9"/>
    <w:rsid w:val="001A07E2"/>
    <w:rsid w:val="001A2018"/>
    <w:rsid w:val="001A56F1"/>
    <w:rsid w:val="001A787D"/>
    <w:rsid w:val="001B01C8"/>
    <w:rsid w:val="001B0B52"/>
    <w:rsid w:val="001B13F6"/>
    <w:rsid w:val="001B1747"/>
    <w:rsid w:val="001B228F"/>
    <w:rsid w:val="001B2D44"/>
    <w:rsid w:val="001B2DFB"/>
    <w:rsid w:val="001B70AD"/>
    <w:rsid w:val="001B752A"/>
    <w:rsid w:val="001C0693"/>
    <w:rsid w:val="001C12FB"/>
    <w:rsid w:val="001C2DB4"/>
    <w:rsid w:val="001C3228"/>
    <w:rsid w:val="001C3466"/>
    <w:rsid w:val="001C35E9"/>
    <w:rsid w:val="001C36BD"/>
    <w:rsid w:val="001C3733"/>
    <w:rsid w:val="001C42C4"/>
    <w:rsid w:val="001C49B3"/>
    <w:rsid w:val="001C5B30"/>
    <w:rsid w:val="001D1440"/>
    <w:rsid w:val="001D1D4E"/>
    <w:rsid w:val="001D3C05"/>
    <w:rsid w:val="001D6AF4"/>
    <w:rsid w:val="001E0CC1"/>
    <w:rsid w:val="001E1C10"/>
    <w:rsid w:val="001E3CC0"/>
    <w:rsid w:val="001E77C3"/>
    <w:rsid w:val="001F00CF"/>
    <w:rsid w:val="001F090B"/>
    <w:rsid w:val="001F180A"/>
    <w:rsid w:val="001F1A28"/>
    <w:rsid w:val="001F1AD0"/>
    <w:rsid w:val="001F2C93"/>
    <w:rsid w:val="001F35E8"/>
    <w:rsid w:val="001F3758"/>
    <w:rsid w:val="001F4014"/>
    <w:rsid w:val="001F445E"/>
    <w:rsid w:val="001F4D51"/>
    <w:rsid w:val="001F5B1D"/>
    <w:rsid w:val="00201213"/>
    <w:rsid w:val="0020165E"/>
    <w:rsid w:val="00202E50"/>
    <w:rsid w:val="002050B2"/>
    <w:rsid w:val="00205180"/>
    <w:rsid w:val="00205B89"/>
    <w:rsid w:val="00206B18"/>
    <w:rsid w:val="00207F81"/>
    <w:rsid w:val="002109F4"/>
    <w:rsid w:val="00211FDA"/>
    <w:rsid w:val="00214868"/>
    <w:rsid w:val="00215FDA"/>
    <w:rsid w:val="002160C2"/>
    <w:rsid w:val="00222BB9"/>
    <w:rsid w:val="0022350B"/>
    <w:rsid w:val="002258D6"/>
    <w:rsid w:val="002274FB"/>
    <w:rsid w:val="002309D2"/>
    <w:rsid w:val="002313A2"/>
    <w:rsid w:val="00231B61"/>
    <w:rsid w:val="0023315B"/>
    <w:rsid w:val="002347FE"/>
    <w:rsid w:val="0024178D"/>
    <w:rsid w:val="00242F67"/>
    <w:rsid w:val="0024392B"/>
    <w:rsid w:val="00244CAF"/>
    <w:rsid w:val="00244CF5"/>
    <w:rsid w:val="002450C6"/>
    <w:rsid w:val="00245DCF"/>
    <w:rsid w:val="0024677B"/>
    <w:rsid w:val="00246797"/>
    <w:rsid w:val="00246C65"/>
    <w:rsid w:val="002542A8"/>
    <w:rsid w:val="00256D81"/>
    <w:rsid w:val="0026003C"/>
    <w:rsid w:val="00260A11"/>
    <w:rsid w:val="0026169A"/>
    <w:rsid w:val="00262179"/>
    <w:rsid w:val="00262763"/>
    <w:rsid w:val="00264BEA"/>
    <w:rsid w:val="00267850"/>
    <w:rsid w:val="00270DD3"/>
    <w:rsid w:val="00271032"/>
    <w:rsid w:val="002716A6"/>
    <w:rsid w:val="00273E3E"/>
    <w:rsid w:val="00273F28"/>
    <w:rsid w:val="00274147"/>
    <w:rsid w:val="00275189"/>
    <w:rsid w:val="002751BB"/>
    <w:rsid w:val="002756DC"/>
    <w:rsid w:val="00276412"/>
    <w:rsid w:val="00276437"/>
    <w:rsid w:val="0028063F"/>
    <w:rsid w:val="00280740"/>
    <w:rsid w:val="00283B02"/>
    <w:rsid w:val="00283C5D"/>
    <w:rsid w:val="002842B9"/>
    <w:rsid w:val="002844B0"/>
    <w:rsid w:val="00286322"/>
    <w:rsid w:val="002869BF"/>
    <w:rsid w:val="0029145A"/>
    <w:rsid w:val="00293929"/>
    <w:rsid w:val="00296B03"/>
    <w:rsid w:val="00296C1F"/>
    <w:rsid w:val="002A41E6"/>
    <w:rsid w:val="002A44C8"/>
    <w:rsid w:val="002A48FD"/>
    <w:rsid w:val="002A5E48"/>
    <w:rsid w:val="002B0059"/>
    <w:rsid w:val="002B01C0"/>
    <w:rsid w:val="002B0455"/>
    <w:rsid w:val="002B1197"/>
    <w:rsid w:val="002B261C"/>
    <w:rsid w:val="002B2BEE"/>
    <w:rsid w:val="002B35C5"/>
    <w:rsid w:val="002B3935"/>
    <w:rsid w:val="002B406A"/>
    <w:rsid w:val="002B41D4"/>
    <w:rsid w:val="002B43B3"/>
    <w:rsid w:val="002B543F"/>
    <w:rsid w:val="002B7D73"/>
    <w:rsid w:val="002C06E3"/>
    <w:rsid w:val="002C0801"/>
    <w:rsid w:val="002C33B3"/>
    <w:rsid w:val="002C44B0"/>
    <w:rsid w:val="002C4E07"/>
    <w:rsid w:val="002D0586"/>
    <w:rsid w:val="002D1023"/>
    <w:rsid w:val="002D1459"/>
    <w:rsid w:val="002D1470"/>
    <w:rsid w:val="002D21CF"/>
    <w:rsid w:val="002D2334"/>
    <w:rsid w:val="002D4705"/>
    <w:rsid w:val="002D5B65"/>
    <w:rsid w:val="002D6396"/>
    <w:rsid w:val="002D653D"/>
    <w:rsid w:val="002D70A3"/>
    <w:rsid w:val="002D72E8"/>
    <w:rsid w:val="002D7E5E"/>
    <w:rsid w:val="002E07EF"/>
    <w:rsid w:val="002E0D06"/>
    <w:rsid w:val="002E1810"/>
    <w:rsid w:val="002E4C00"/>
    <w:rsid w:val="002E4E94"/>
    <w:rsid w:val="002E5404"/>
    <w:rsid w:val="002F1F28"/>
    <w:rsid w:val="002F43CA"/>
    <w:rsid w:val="002F57AA"/>
    <w:rsid w:val="002F714C"/>
    <w:rsid w:val="002F77BF"/>
    <w:rsid w:val="00300143"/>
    <w:rsid w:val="003004A2"/>
    <w:rsid w:val="00302ECB"/>
    <w:rsid w:val="00303DD5"/>
    <w:rsid w:val="00304172"/>
    <w:rsid w:val="003044F4"/>
    <w:rsid w:val="00305360"/>
    <w:rsid w:val="0030785B"/>
    <w:rsid w:val="00307B74"/>
    <w:rsid w:val="00307BE4"/>
    <w:rsid w:val="00310764"/>
    <w:rsid w:val="00310CE1"/>
    <w:rsid w:val="00313059"/>
    <w:rsid w:val="003134F8"/>
    <w:rsid w:val="00315599"/>
    <w:rsid w:val="00320203"/>
    <w:rsid w:val="00321AA8"/>
    <w:rsid w:val="00321B26"/>
    <w:rsid w:val="00322002"/>
    <w:rsid w:val="003247B0"/>
    <w:rsid w:val="00325442"/>
    <w:rsid w:val="00325D7B"/>
    <w:rsid w:val="00325E81"/>
    <w:rsid w:val="00326948"/>
    <w:rsid w:val="00327052"/>
    <w:rsid w:val="00327BE4"/>
    <w:rsid w:val="00333372"/>
    <w:rsid w:val="0033486D"/>
    <w:rsid w:val="0033664E"/>
    <w:rsid w:val="003367C4"/>
    <w:rsid w:val="00336A7F"/>
    <w:rsid w:val="00336D8E"/>
    <w:rsid w:val="003376B3"/>
    <w:rsid w:val="003379E1"/>
    <w:rsid w:val="00340769"/>
    <w:rsid w:val="003425FD"/>
    <w:rsid w:val="00345F2F"/>
    <w:rsid w:val="00345F9C"/>
    <w:rsid w:val="003462F9"/>
    <w:rsid w:val="00346973"/>
    <w:rsid w:val="00346C49"/>
    <w:rsid w:val="00347776"/>
    <w:rsid w:val="00351A91"/>
    <w:rsid w:val="003520C4"/>
    <w:rsid w:val="003533AE"/>
    <w:rsid w:val="00355C81"/>
    <w:rsid w:val="00355E14"/>
    <w:rsid w:val="00361280"/>
    <w:rsid w:val="003615F1"/>
    <w:rsid w:val="00361A6E"/>
    <w:rsid w:val="00363D7F"/>
    <w:rsid w:val="003653AA"/>
    <w:rsid w:val="00367C66"/>
    <w:rsid w:val="003700B2"/>
    <w:rsid w:val="00371C63"/>
    <w:rsid w:val="0037233D"/>
    <w:rsid w:val="003736EF"/>
    <w:rsid w:val="003737E3"/>
    <w:rsid w:val="00374815"/>
    <w:rsid w:val="00380124"/>
    <w:rsid w:val="00380A1A"/>
    <w:rsid w:val="00380D80"/>
    <w:rsid w:val="00380F13"/>
    <w:rsid w:val="0038500E"/>
    <w:rsid w:val="00385A4B"/>
    <w:rsid w:val="0038761D"/>
    <w:rsid w:val="003906F8"/>
    <w:rsid w:val="003935EE"/>
    <w:rsid w:val="0039383C"/>
    <w:rsid w:val="0039408A"/>
    <w:rsid w:val="003945F5"/>
    <w:rsid w:val="0039673D"/>
    <w:rsid w:val="003975DA"/>
    <w:rsid w:val="00397893"/>
    <w:rsid w:val="003A2407"/>
    <w:rsid w:val="003A2CF0"/>
    <w:rsid w:val="003A33D3"/>
    <w:rsid w:val="003A3880"/>
    <w:rsid w:val="003A4A6B"/>
    <w:rsid w:val="003A5BC5"/>
    <w:rsid w:val="003A5D55"/>
    <w:rsid w:val="003A5E2E"/>
    <w:rsid w:val="003A75E6"/>
    <w:rsid w:val="003A75EB"/>
    <w:rsid w:val="003B0CCD"/>
    <w:rsid w:val="003B1A45"/>
    <w:rsid w:val="003B255B"/>
    <w:rsid w:val="003B3317"/>
    <w:rsid w:val="003B4B2F"/>
    <w:rsid w:val="003B52D4"/>
    <w:rsid w:val="003C1CA5"/>
    <w:rsid w:val="003C1EC7"/>
    <w:rsid w:val="003C204C"/>
    <w:rsid w:val="003C2E1E"/>
    <w:rsid w:val="003C3C16"/>
    <w:rsid w:val="003C3D8E"/>
    <w:rsid w:val="003C4B06"/>
    <w:rsid w:val="003C5B09"/>
    <w:rsid w:val="003C64A0"/>
    <w:rsid w:val="003C68D8"/>
    <w:rsid w:val="003C6F0B"/>
    <w:rsid w:val="003C7BA3"/>
    <w:rsid w:val="003D4E9C"/>
    <w:rsid w:val="003D6501"/>
    <w:rsid w:val="003E0118"/>
    <w:rsid w:val="003E0565"/>
    <w:rsid w:val="003E0D78"/>
    <w:rsid w:val="003E1CB1"/>
    <w:rsid w:val="003E3A1D"/>
    <w:rsid w:val="003E6CA0"/>
    <w:rsid w:val="003F0409"/>
    <w:rsid w:val="003F1726"/>
    <w:rsid w:val="003F1F41"/>
    <w:rsid w:val="003F2FDE"/>
    <w:rsid w:val="003F330B"/>
    <w:rsid w:val="003F6FDF"/>
    <w:rsid w:val="00400B9E"/>
    <w:rsid w:val="004016F5"/>
    <w:rsid w:val="004045AA"/>
    <w:rsid w:val="0040549A"/>
    <w:rsid w:val="00405CC9"/>
    <w:rsid w:val="00407D67"/>
    <w:rsid w:val="004138DE"/>
    <w:rsid w:val="00414B2F"/>
    <w:rsid w:val="00415E58"/>
    <w:rsid w:val="00416231"/>
    <w:rsid w:val="004208AB"/>
    <w:rsid w:val="004219EF"/>
    <w:rsid w:val="00422B5B"/>
    <w:rsid w:val="00426330"/>
    <w:rsid w:val="0042695B"/>
    <w:rsid w:val="00426CD9"/>
    <w:rsid w:val="00427296"/>
    <w:rsid w:val="00427311"/>
    <w:rsid w:val="00430A3E"/>
    <w:rsid w:val="00430FEB"/>
    <w:rsid w:val="004310EE"/>
    <w:rsid w:val="00432327"/>
    <w:rsid w:val="00433677"/>
    <w:rsid w:val="004340D5"/>
    <w:rsid w:val="00434880"/>
    <w:rsid w:val="0043526D"/>
    <w:rsid w:val="00435544"/>
    <w:rsid w:val="00436E2A"/>
    <w:rsid w:val="00441E30"/>
    <w:rsid w:val="0044500D"/>
    <w:rsid w:val="004460E9"/>
    <w:rsid w:val="00447B6F"/>
    <w:rsid w:val="00453623"/>
    <w:rsid w:val="00453C11"/>
    <w:rsid w:val="004557B0"/>
    <w:rsid w:val="00456872"/>
    <w:rsid w:val="00457946"/>
    <w:rsid w:val="00457D8B"/>
    <w:rsid w:val="00460A17"/>
    <w:rsid w:val="004624F7"/>
    <w:rsid w:val="00462A80"/>
    <w:rsid w:val="00463ECE"/>
    <w:rsid w:val="00470CB5"/>
    <w:rsid w:val="00471EAB"/>
    <w:rsid w:val="004723EE"/>
    <w:rsid w:val="004725AC"/>
    <w:rsid w:val="00475A92"/>
    <w:rsid w:val="00476DED"/>
    <w:rsid w:val="00477BB9"/>
    <w:rsid w:val="00477F9E"/>
    <w:rsid w:val="00487366"/>
    <w:rsid w:val="004873E4"/>
    <w:rsid w:val="0049072C"/>
    <w:rsid w:val="00490E38"/>
    <w:rsid w:val="00490FD1"/>
    <w:rsid w:val="00491AD2"/>
    <w:rsid w:val="004933A8"/>
    <w:rsid w:val="004935C0"/>
    <w:rsid w:val="00493B43"/>
    <w:rsid w:val="00494EB1"/>
    <w:rsid w:val="00495465"/>
    <w:rsid w:val="004960A0"/>
    <w:rsid w:val="00496414"/>
    <w:rsid w:val="004978B0"/>
    <w:rsid w:val="00497A38"/>
    <w:rsid w:val="004A0115"/>
    <w:rsid w:val="004A0871"/>
    <w:rsid w:val="004A0C49"/>
    <w:rsid w:val="004A399D"/>
    <w:rsid w:val="004A45BD"/>
    <w:rsid w:val="004A4656"/>
    <w:rsid w:val="004A4CFF"/>
    <w:rsid w:val="004A5B5E"/>
    <w:rsid w:val="004A7568"/>
    <w:rsid w:val="004A77B0"/>
    <w:rsid w:val="004B08A9"/>
    <w:rsid w:val="004B1CED"/>
    <w:rsid w:val="004B34A7"/>
    <w:rsid w:val="004B3B06"/>
    <w:rsid w:val="004B4643"/>
    <w:rsid w:val="004B79BB"/>
    <w:rsid w:val="004B7F67"/>
    <w:rsid w:val="004C1266"/>
    <w:rsid w:val="004C1994"/>
    <w:rsid w:val="004C1B45"/>
    <w:rsid w:val="004D4080"/>
    <w:rsid w:val="004D6159"/>
    <w:rsid w:val="004D6BD8"/>
    <w:rsid w:val="004E05FD"/>
    <w:rsid w:val="004E1A0D"/>
    <w:rsid w:val="004E23F5"/>
    <w:rsid w:val="004E5418"/>
    <w:rsid w:val="004E628F"/>
    <w:rsid w:val="004E63E5"/>
    <w:rsid w:val="004E6560"/>
    <w:rsid w:val="004E6B76"/>
    <w:rsid w:val="004F3540"/>
    <w:rsid w:val="004F52DB"/>
    <w:rsid w:val="004F5624"/>
    <w:rsid w:val="004F5DA4"/>
    <w:rsid w:val="004F62B2"/>
    <w:rsid w:val="004F6424"/>
    <w:rsid w:val="004F656C"/>
    <w:rsid w:val="004F7839"/>
    <w:rsid w:val="0050161D"/>
    <w:rsid w:val="005040CD"/>
    <w:rsid w:val="00505229"/>
    <w:rsid w:val="00507F18"/>
    <w:rsid w:val="00507F98"/>
    <w:rsid w:val="005108A3"/>
    <w:rsid w:val="00510F6E"/>
    <w:rsid w:val="005118AE"/>
    <w:rsid w:val="0051587A"/>
    <w:rsid w:val="005158FA"/>
    <w:rsid w:val="005169AD"/>
    <w:rsid w:val="005208B9"/>
    <w:rsid w:val="00520FB1"/>
    <w:rsid w:val="005221F0"/>
    <w:rsid w:val="00524807"/>
    <w:rsid w:val="005256F3"/>
    <w:rsid w:val="00525FF9"/>
    <w:rsid w:val="00526EF3"/>
    <w:rsid w:val="00530D0F"/>
    <w:rsid w:val="00532C41"/>
    <w:rsid w:val="00532D3F"/>
    <w:rsid w:val="0053386D"/>
    <w:rsid w:val="00533E08"/>
    <w:rsid w:val="00534700"/>
    <w:rsid w:val="00535550"/>
    <w:rsid w:val="00536BC0"/>
    <w:rsid w:val="0053791F"/>
    <w:rsid w:val="00547538"/>
    <w:rsid w:val="005510B2"/>
    <w:rsid w:val="00553BFA"/>
    <w:rsid w:val="00554D05"/>
    <w:rsid w:val="0056077E"/>
    <w:rsid w:val="00560EDA"/>
    <w:rsid w:val="005616EB"/>
    <w:rsid w:val="005629EE"/>
    <w:rsid w:val="00563FA1"/>
    <w:rsid w:val="005648FA"/>
    <w:rsid w:val="00564BD8"/>
    <w:rsid w:val="00564D50"/>
    <w:rsid w:val="00567346"/>
    <w:rsid w:val="00567E2D"/>
    <w:rsid w:val="005705F2"/>
    <w:rsid w:val="0057371B"/>
    <w:rsid w:val="00575EB8"/>
    <w:rsid w:val="005774BF"/>
    <w:rsid w:val="00577D0F"/>
    <w:rsid w:val="00581A9C"/>
    <w:rsid w:val="00582A9B"/>
    <w:rsid w:val="005832AB"/>
    <w:rsid w:val="0058437C"/>
    <w:rsid w:val="0059186F"/>
    <w:rsid w:val="005935F4"/>
    <w:rsid w:val="00593E0A"/>
    <w:rsid w:val="0059510A"/>
    <w:rsid w:val="005A167F"/>
    <w:rsid w:val="005A346E"/>
    <w:rsid w:val="005A73CF"/>
    <w:rsid w:val="005A7A60"/>
    <w:rsid w:val="005A7B2D"/>
    <w:rsid w:val="005A7F09"/>
    <w:rsid w:val="005B0A75"/>
    <w:rsid w:val="005B28CF"/>
    <w:rsid w:val="005B3897"/>
    <w:rsid w:val="005B3F6F"/>
    <w:rsid w:val="005B798B"/>
    <w:rsid w:val="005C1FAE"/>
    <w:rsid w:val="005C27B5"/>
    <w:rsid w:val="005C39E8"/>
    <w:rsid w:val="005C5204"/>
    <w:rsid w:val="005C5660"/>
    <w:rsid w:val="005C5813"/>
    <w:rsid w:val="005D3AAA"/>
    <w:rsid w:val="005D4B68"/>
    <w:rsid w:val="005D75C4"/>
    <w:rsid w:val="005D77D3"/>
    <w:rsid w:val="005E11C1"/>
    <w:rsid w:val="005E2563"/>
    <w:rsid w:val="005E394C"/>
    <w:rsid w:val="005E42BF"/>
    <w:rsid w:val="005E4E70"/>
    <w:rsid w:val="005E65BB"/>
    <w:rsid w:val="005F0DA0"/>
    <w:rsid w:val="005F143B"/>
    <w:rsid w:val="005F1D1D"/>
    <w:rsid w:val="005F2557"/>
    <w:rsid w:val="005F34F1"/>
    <w:rsid w:val="005F4914"/>
    <w:rsid w:val="005F4F83"/>
    <w:rsid w:val="005F62B7"/>
    <w:rsid w:val="005F6869"/>
    <w:rsid w:val="005F6BB9"/>
    <w:rsid w:val="00603148"/>
    <w:rsid w:val="00603F07"/>
    <w:rsid w:val="0060530C"/>
    <w:rsid w:val="00606FC7"/>
    <w:rsid w:val="00607769"/>
    <w:rsid w:val="00610456"/>
    <w:rsid w:val="00611473"/>
    <w:rsid w:val="00611B36"/>
    <w:rsid w:val="00613158"/>
    <w:rsid w:val="00613A34"/>
    <w:rsid w:val="00614F8B"/>
    <w:rsid w:val="00615ADA"/>
    <w:rsid w:val="0062018C"/>
    <w:rsid w:val="006221CD"/>
    <w:rsid w:val="00622633"/>
    <w:rsid w:val="00623896"/>
    <w:rsid w:val="006266A9"/>
    <w:rsid w:val="00630426"/>
    <w:rsid w:val="00630EAF"/>
    <w:rsid w:val="006316C1"/>
    <w:rsid w:val="00631ED4"/>
    <w:rsid w:val="00633BC7"/>
    <w:rsid w:val="00634A64"/>
    <w:rsid w:val="00635D8C"/>
    <w:rsid w:val="00635E9C"/>
    <w:rsid w:val="006361A2"/>
    <w:rsid w:val="00637B41"/>
    <w:rsid w:val="006414EE"/>
    <w:rsid w:val="00642524"/>
    <w:rsid w:val="00642D0A"/>
    <w:rsid w:val="00644762"/>
    <w:rsid w:val="00644833"/>
    <w:rsid w:val="00645FEE"/>
    <w:rsid w:val="00646FE1"/>
    <w:rsid w:val="00647D88"/>
    <w:rsid w:val="00651A6B"/>
    <w:rsid w:val="0065460D"/>
    <w:rsid w:val="00655477"/>
    <w:rsid w:val="0065581D"/>
    <w:rsid w:val="00655C2F"/>
    <w:rsid w:val="00660403"/>
    <w:rsid w:val="00660BFF"/>
    <w:rsid w:val="00661140"/>
    <w:rsid w:val="00663812"/>
    <w:rsid w:val="006710DD"/>
    <w:rsid w:val="00673200"/>
    <w:rsid w:val="0067501E"/>
    <w:rsid w:val="006773D2"/>
    <w:rsid w:val="00680581"/>
    <w:rsid w:val="00681A41"/>
    <w:rsid w:val="006821B2"/>
    <w:rsid w:val="00682AE2"/>
    <w:rsid w:val="006838C0"/>
    <w:rsid w:val="00684E83"/>
    <w:rsid w:val="00685901"/>
    <w:rsid w:val="00685BB9"/>
    <w:rsid w:val="00686F16"/>
    <w:rsid w:val="00690127"/>
    <w:rsid w:val="00691136"/>
    <w:rsid w:val="00691BFF"/>
    <w:rsid w:val="0069423F"/>
    <w:rsid w:val="00694F29"/>
    <w:rsid w:val="006953C1"/>
    <w:rsid w:val="00695AE8"/>
    <w:rsid w:val="00695C45"/>
    <w:rsid w:val="00695E37"/>
    <w:rsid w:val="00696EB2"/>
    <w:rsid w:val="006A16E9"/>
    <w:rsid w:val="006A3583"/>
    <w:rsid w:val="006A5450"/>
    <w:rsid w:val="006A71EB"/>
    <w:rsid w:val="006A7294"/>
    <w:rsid w:val="006B0199"/>
    <w:rsid w:val="006B0A32"/>
    <w:rsid w:val="006B0BD8"/>
    <w:rsid w:val="006B0C7F"/>
    <w:rsid w:val="006B14CB"/>
    <w:rsid w:val="006B1556"/>
    <w:rsid w:val="006B19EE"/>
    <w:rsid w:val="006B7E10"/>
    <w:rsid w:val="006C0251"/>
    <w:rsid w:val="006C0B83"/>
    <w:rsid w:val="006C2B9A"/>
    <w:rsid w:val="006C337B"/>
    <w:rsid w:val="006C39BB"/>
    <w:rsid w:val="006C3BDA"/>
    <w:rsid w:val="006C4502"/>
    <w:rsid w:val="006C6D0D"/>
    <w:rsid w:val="006C753A"/>
    <w:rsid w:val="006D0B69"/>
    <w:rsid w:val="006D2478"/>
    <w:rsid w:val="006D333D"/>
    <w:rsid w:val="006D4E2A"/>
    <w:rsid w:val="006D5C11"/>
    <w:rsid w:val="006D5E91"/>
    <w:rsid w:val="006D6938"/>
    <w:rsid w:val="006E14B1"/>
    <w:rsid w:val="006E14E6"/>
    <w:rsid w:val="006E1AEE"/>
    <w:rsid w:val="006E2A9F"/>
    <w:rsid w:val="006E2F52"/>
    <w:rsid w:val="006E3B9C"/>
    <w:rsid w:val="006E51A2"/>
    <w:rsid w:val="006E53F1"/>
    <w:rsid w:val="006F0DE2"/>
    <w:rsid w:val="006F3495"/>
    <w:rsid w:val="006F417D"/>
    <w:rsid w:val="006F5C83"/>
    <w:rsid w:val="006F67CC"/>
    <w:rsid w:val="006F7591"/>
    <w:rsid w:val="006F772A"/>
    <w:rsid w:val="00701AA6"/>
    <w:rsid w:val="00701C2D"/>
    <w:rsid w:val="00702162"/>
    <w:rsid w:val="00703930"/>
    <w:rsid w:val="0070610E"/>
    <w:rsid w:val="00706F96"/>
    <w:rsid w:val="00707759"/>
    <w:rsid w:val="00710081"/>
    <w:rsid w:val="00710B0D"/>
    <w:rsid w:val="00710FFC"/>
    <w:rsid w:val="00712C42"/>
    <w:rsid w:val="00713CB5"/>
    <w:rsid w:val="00713E47"/>
    <w:rsid w:val="0071558B"/>
    <w:rsid w:val="00721189"/>
    <w:rsid w:val="007221C3"/>
    <w:rsid w:val="00722F2C"/>
    <w:rsid w:val="007254D1"/>
    <w:rsid w:val="00725B32"/>
    <w:rsid w:val="00725B3C"/>
    <w:rsid w:val="007324E4"/>
    <w:rsid w:val="00732721"/>
    <w:rsid w:val="00733D54"/>
    <w:rsid w:val="0073411A"/>
    <w:rsid w:val="007341E5"/>
    <w:rsid w:val="00736A4F"/>
    <w:rsid w:val="00737753"/>
    <w:rsid w:val="00740CE9"/>
    <w:rsid w:val="00742460"/>
    <w:rsid w:val="007428E3"/>
    <w:rsid w:val="00742E42"/>
    <w:rsid w:val="0074394E"/>
    <w:rsid w:val="0074524D"/>
    <w:rsid w:val="00750D0A"/>
    <w:rsid w:val="00751D93"/>
    <w:rsid w:val="00752300"/>
    <w:rsid w:val="00752922"/>
    <w:rsid w:val="007546F8"/>
    <w:rsid w:val="00755247"/>
    <w:rsid w:val="00755BAB"/>
    <w:rsid w:val="00756F08"/>
    <w:rsid w:val="00757F8E"/>
    <w:rsid w:val="0076080E"/>
    <w:rsid w:val="00760D29"/>
    <w:rsid w:val="00760FC4"/>
    <w:rsid w:val="0076411D"/>
    <w:rsid w:val="007670F8"/>
    <w:rsid w:val="007671D4"/>
    <w:rsid w:val="007675E9"/>
    <w:rsid w:val="00770A85"/>
    <w:rsid w:val="0077211F"/>
    <w:rsid w:val="00773DC9"/>
    <w:rsid w:val="00774497"/>
    <w:rsid w:val="00774EBC"/>
    <w:rsid w:val="0077572E"/>
    <w:rsid w:val="007766D1"/>
    <w:rsid w:val="00776B5C"/>
    <w:rsid w:val="0078031B"/>
    <w:rsid w:val="00784F44"/>
    <w:rsid w:val="00786672"/>
    <w:rsid w:val="00786C4A"/>
    <w:rsid w:val="007872CF"/>
    <w:rsid w:val="00790E46"/>
    <w:rsid w:val="0079201C"/>
    <w:rsid w:val="007927E6"/>
    <w:rsid w:val="00793074"/>
    <w:rsid w:val="0079307F"/>
    <w:rsid w:val="007940C5"/>
    <w:rsid w:val="007947C4"/>
    <w:rsid w:val="007948BE"/>
    <w:rsid w:val="007948C2"/>
    <w:rsid w:val="00795425"/>
    <w:rsid w:val="00795CE1"/>
    <w:rsid w:val="007A06AC"/>
    <w:rsid w:val="007B0D81"/>
    <w:rsid w:val="007B1014"/>
    <w:rsid w:val="007B103F"/>
    <w:rsid w:val="007B1484"/>
    <w:rsid w:val="007B1A10"/>
    <w:rsid w:val="007B4EFE"/>
    <w:rsid w:val="007B5644"/>
    <w:rsid w:val="007B6659"/>
    <w:rsid w:val="007B76AB"/>
    <w:rsid w:val="007B7D76"/>
    <w:rsid w:val="007B7DBD"/>
    <w:rsid w:val="007C45D3"/>
    <w:rsid w:val="007C597B"/>
    <w:rsid w:val="007C6574"/>
    <w:rsid w:val="007C760C"/>
    <w:rsid w:val="007D08FD"/>
    <w:rsid w:val="007D1584"/>
    <w:rsid w:val="007D2044"/>
    <w:rsid w:val="007D4F33"/>
    <w:rsid w:val="007D55A1"/>
    <w:rsid w:val="007D65C7"/>
    <w:rsid w:val="007D74D2"/>
    <w:rsid w:val="007D79B5"/>
    <w:rsid w:val="007D79D9"/>
    <w:rsid w:val="007E0AF5"/>
    <w:rsid w:val="007E17BE"/>
    <w:rsid w:val="007E2334"/>
    <w:rsid w:val="007E23CE"/>
    <w:rsid w:val="007E2CE7"/>
    <w:rsid w:val="007E43D0"/>
    <w:rsid w:val="007E4F00"/>
    <w:rsid w:val="007E54F8"/>
    <w:rsid w:val="007E5987"/>
    <w:rsid w:val="007E5BD8"/>
    <w:rsid w:val="007E5C6D"/>
    <w:rsid w:val="007E70DA"/>
    <w:rsid w:val="007E7BF9"/>
    <w:rsid w:val="007F02BC"/>
    <w:rsid w:val="007F1D17"/>
    <w:rsid w:val="007F2E65"/>
    <w:rsid w:val="007F43BA"/>
    <w:rsid w:val="007F45D1"/>
    <w:rsid w:val="007F4F8E"/>
    <w:rsid w:val="007F5F3E"/>
    <w:rsid w:val="007F64BE"/>
    <w:rsid w:val="007F6DC3"/>
    <w:rsid w:val="008006B4"/>
    <w:rsid w:val="008015B6"/>
    <w:rsid w:val="00803FD4"/>
    <w:rsid w:val="0080481C"/>
    <w:rsid w:val="00804C54"/>
    <w:rsid w:val="008056DD"/>
    <w:rsid w:val="0081104C"/>
    <w:rsid w:val="00812188"/>
    <w:rsid w:val="00812D16"/>
    <w:rsid w:val="00812E19"/>
    <w:rsid w:val="008144B2"/>
    <w:rsid w:val="00815362"/>
    <w:rsid w:val="008159D2"/>
    <w:rsid w:val="00816C51"/>
    <w:rsid w:val="0081719D"/>
    <w:rsid w:val="00821865"/>
    <w:rsid w:val="00822709"/>
    <w:rsid w:val="0082327D"/>
    <w:rsid w:val="0082433D"/>
    <w:rsid w:val="00826509"/>
    <w:rsid w:val="0083081A"/>
    <w:rsid w:val="00831E54"/>
    <w:rsid w:val="0083354D"/>
    <w:rsid w:val="0083561B"/>
    <w:rsid w:val="00837D78"/>
    <w:rsid w:val="00840D79"/>
    <w:rsid w:val="00842A21"/>
    <w:rsid w:val="00843ADF"/>
    <w:rsid w:val="00845DAD"/>
    <w:rsid w:val="00850867"/>
    <w:rsid w:val="00851377"/>
    <w:rsid w:val="00854B2F"/>
    <w:rsid w:val="00855481"/>
    <w:rsid w:val="00856354"/>
    <w:rsid w:val="008568E1"/>
    <w:rsid w:val="00856BE9"/>
    <w:rsid w:val="008578F8"/>
    <w:rsid w:val="00860566"/>
    <w:rsid w:val="008605E2"/>
    <w:rsid w:val="008606E2"/>
    <w:rsid w:val="0086165C"/>
    <w:rsid w:val="00861B26"/>
    <w:rsid w:val="00862EED"/>
    <w:rsid w:val="008643FC"/>
    <w:rsid w:val="008649B9"/>
    <w:rsid w:val="00866BE8"/>
    <w:rsid w:val="0086784F"/>
    <w:rsid w:val="00867A9C"/>
    <w:rsid w:val="00870394"/>
    <w:rsid w:val="0087073B"/>
    <w:rsid w:val="00870B25"/>
    <w:rsid w:val="00873967"/>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96D11"/>
    <w:rsid w:val="008A03AC"/>
    <w:rsid w:val="008A2EF7"/>
    <w:rsid w:val="008A345A"/>
    <w:rsid w:val="008A3DB9"/>
    <w:rsid w:val="008A6A5C"/>
    <w:rsid w:val="008A6BFD"/>
    <w:rsid w:val="008A7316"/>
    <w:rsid w:val="008B0C4D"/>
    <w:rsid w:val="008B500A"/>
    <w:rsid w:val="008B626D"/>
    <w:rsid w:val="008B6C98"/>
    <w:rsid w:val="008C1541"/>
    <w:rsid w:val="008C1610"/>
    <w:rsid w:val="008C2F1E"/>
    <w:rsid w:val="008C30E5"/>
    <w:rsid w:val="008C3B5B"/>
    <w:rsid w:val="008C409F"/>
    <w:rsid w:val="008C54B2"/>
    <w:rsid w:val="008C602D"/>
    <w:rsid w:val="008C6BCC"/>
    <w:rsid w:val="008D098D"/>
    <w:rsid w:val="008D0C93"/>
    <w:rsid w:val="008D135A"/>
    <w:rsid w:val="008D2205"/>
    <w:rsid w:val="008D2331"/>
    <w:rsid w:val="008D36CD"/>
    <w:rsid w:val="008D4380"/>
    <w:rsid w:val="008D450B"/>
    <w:rsid w:val="008D48D1"/>
    <w:rsid w:val="008D4E84"/>
    <w:rsid w:val="008D6549"/>
    <w:rsid w:val="008D6BE8"/>
    <w:rsid w:val="008D7BA5"/>
    <w:rsid w:val="008E27E9"/>
    <w:rsid w:val="008E3DD0"/>
    <w:rsid w:val="008E60A6"/>
    <w:rsid w:val="008F2BD2"/>
    <w:rsid w:val="008F2C49"/>
    <w:rsid w:val="008F36F0"/>
    <w:rsid w:val="008F40CD"/>
    <w:rsid w:val="008F7CFF"/>
    <w:rsid w:val="008F7ED1"/>
    <w:rsid w:val="009000CC"/>
    <w:rsid w:val="00901544"/>
    <w:rsid w:val="00901C8D"/>
    <w:rsid w:val="00903659"/>
    <w:rsid w:val="0090492E"/>
    <w:rsid w:val="00904A4D"/>
    <w:rsid w:val="00905EE9"/>
    <w:rsid w:val="009065F4"/>
    <w:rsid w:val="009071A8"/>
    <w:rsid w:val="009075A7"/>
    <w:rsid w:val="00907DFB"/>
    <w:rsid w:val="00910624"/>
    <w:rsid w:val="00910FBA"/>
    <w:rsid w:val="00911D39"/>
    <w:rsid w:val="00912B9F"/>
    <w:rsid w:val="00917C0F"/>
    <w:rsid w:val="0092040E"/>
    <w:rsid w:val="0092048E"/>
    <w:rsid w:val="00920C6C"/>
    <w:rsid w:val="0092184B"/>
    <w:rsid w:val="00921C6D"/>
    <w:rsid w:val="009227D9"/>
    <w:rsid w:val="00923C44"/>
    <w:rsid w:val="00927791"/>
    <w:rsid w:val="00930607"/>
    <w:rsid w:val="00930D0A"/>
    <w:rsid w:val="00931FB6"/>
    <w:rsid w:val="009329BA"/>
    <w:rsid w:val="0093304D"/>
    <w:rsid w:val="00934F10"/>
    <w:rsid w:val="00935FAA"/>
    <w:rsid w:val="00936939"/>
    <w:rsid w:val="0094053B"/>
    <w:rsid w:val="00940FAC"/>
    <w:rsid w:val="00941054"/>
    <w:rsid w:val="00942040"/>
    <w:rsid w:val="00942C9F"/>
    <w:rsid w:val="00945631"/>
    <w:rsid w:val="00947549"/>
    <w:rsid w:val="00953F60"/>
    <w:rsid w:val="00954807"/>
    <w:rsid w:val="00955CFD"/>
    <w:rsid w:val="009570BE"/>
    <w:rsid w:val="0095793C"/>
    <w:rsid w:val="00957F0A"/>
    <w:rsid w:val="0096045D"/>
    <w:rsid w:val="0096111E"/>
    <w:rsid w:val="00961125"/>
    <w:rsid w:val="009615CB"/>
    <w:rsid w:val="00963362"/>
    <w:rsid w:val="00963681"/>
    <w:rsid w:val="00963BD1"/>
    <w:rsid w:val="009648E4"/>
    <w:rsid w:val="00964A57"/>
    <w:rsid w:val="00966B1F"/>
    <w:rsid w:val="0097116E"/>
    <w:rsid w:val="00974518"/>
    <w:rsid w:val="0097557C"/>
    <w:rsid w:val="00975617"/>
    <w:rsid w:val="0098052A"/>
    <w:rsid w:val="00980FE0"/>
    <w:rsid w:val="00983CF3"/>
    <w:rsid w:val="00990C3B"/>
    <w:rsid w:val="00991CBD"/>
    <w:rsid w:val="009928B7"/>
    <w:rsid w:val="0099321A"/>
    <w:rsid w:val="009947E8"/>
    <w:rsid w:val="00994EE8"/>
    <w:rsid w:val="009960B7"/>
    <w:rsid w:val="009972FE"/>
    <w:rsid w:val="009A2CE1"/>
    <w:rsid w:val="009A7F4C"/>
    <w:rsid w:val="009B004E"/>
    <w:rsid w:val="009B0B67"/>
    <w:rsid w:val="009B124E"/>
    <w:rsid w:val="009B3B71"/>
    <w:rsid w:val="009B536C"/>
    <w:rsid w:val="009B5C19"/>
    <w:rsid w:val="009B6496"/>
    <w:rsid w:val="009C01DA"/>
    <w:rsid w:val="009C1528"/>
    <w:rsid w:val="009C20CC"/>
    <w:rsid w:val="009C33E0"/>
    <w:rsid w:val="009C3558"/>
    <w:rsid w:val="009C562E"/>
    <w:rsid w:val="009C7531"/>
    <w:rsid w:val="009D220C"/>
    <w:rsid w:val="009D221F"/>
    <w:rsid w:val="009D73A4"/>
    <w:rsid w:val="009D7D2F"/>
    <w:rsid w:val="009E09F0"/>
    <w:rsid w:val="009E19E8"/>
    <w:rsid w:val="009E346F"/>
    <w:rsid w:val="009E377C"/>
    <w:rsid w:val="009E411C"/>
    <w:rsid w:val="009E458A"/>
    <w:rsid w:val="009E46FF"/>
    <w:rsid w:val="009E5316"/>
    <w:rsid w:val="009E5763"/>
    <w:rsid w:val="009E5D7C"/>
    <w:rsid w:val="009E5DFC"/>
    <w:rsid w:val="009E6BBE"/>
    <w:rsid w:val="009E735E"/>
    <w:rsid w:val="009F1789"/>
    <w:rsid w:val="009F2E3B"/>
    <w:rsid w:val="009F36D2"/>
    <w:rsid w:val="009F3B6B"/>
    <w:rsid w:val="009F4504"/>
    <w:rsid w:val="009F4D6D"/>
    <w:rsid w:val="009F502C"/>
    <w:rsid w:val="009F603B"/>
    <w:rsid w:val="009F6987"/>
    <w:rsid w:val="009F720F"/>
    <w:rsid w:val="00A00162"/>
    <w:rsid w:val="00A010E7"/>
    <w:rsid w:val="00A01A17"/>
    <w:rsid w:val="00A01A60"/>
    <w:rsid w:val="00A04DD7"/>
    <w:rsid w:val="00A076F9"/>
    <w:rsid w:val="00A07997"/>
    <w:rsid w:val="00A07F87"/>
    <w:rsid w:val="00A10139"/>
    <w:rsid w:val="00A11027"/>
    <w:rsid w:val="00A206ED"/>
    <w:rsid w:val="00A20806"/>
    <w:rsid w:val="00A20C7F"/>
    <w:rsid w:val="00A21958"/>
    <w:rsid w:val="00A21D41"/>
    <w:rsid w:val="00A22DBA"/>
    <w:rsid w:val="00A2329D"/>
    <w:rsid w:val="00A25BFF"/>
    <w:rsid w:val="00A27096"/>
    <w:rsid w:val="00A27522"/>
    <w:rsid w:val="00A27FC2"/>
    <w:rsid w:val="00A324C0"/>
    <w:rsid w:val="00A332A8"/>
    <w:rsid w:val="00A34D0C"/>
    <w:rsid w:val="00A34D76"/>
    <w:rsid w:val="00A35E4C"/>
    <w:rsid w:val="00A365D0"/>
    <w:rsid w:val="00A37ACC"/>
    <w:rsid w:val="00A402B8"/>
    <w:rsid w:val="00A4043E"/>
    <w:rsid w:val="00A40A1A"/>
    <w:rsid w:val="00A40F6A"/>
    <w:rsid w:val="00A443A6"/>
    <w:rsid w:val="00A44A0F"/>
    <w:rsid w:val="00A45A1A"/>
    <w:rsid w:val="00A45E61"/>
    <w:rsid w:val="00A47F32"/>
    <w:rsid w:val="00A53220"/>
    <w:rsid w:val="00A538E6"/>
    <w:rsid w:val="00A56102"/>
    <w:rsid w:val="00A56800"/>
    <w:rsid w:val="00A56D7E"/>
    <w:rsid w:val="00A57404"/>
    <w:rsid w:val="00A575BD"/>
    <w:rsid w:val="00A60EEC"/>
    <w:rsid w:val="00A65BD9"/>
    <w:rsid w:val="00A66718"/>
    <w:rsid w:val="00A70671"/>
    <w:rsid w:val="00A70B31"/>
    <w:rsid w:val="00A73A74"/>
    <w:rsid w:val="00A7508C"/>
    <w:rsid w:val="00A759FE"/>
    <w:rsid w:val="00A76D67"/>
    <w:rsid w:val="00A776B8"/>
    <w:rsid w:val="00A81EB6"/>
    <w:rsid w:val="00A82830"/>
    <w:rsid w:val="00A837FE"/>
    <w:rsid w:val="00A85357"/>
    <w:rsid w:val="00A902DD"/>
    <w:rsid w:val="00A91617"/>
    <w:rsid w:val="00A95EA1"/>
    <w:rsid w:val="00A96FA8"/>
    <w:rsid w:val="00A97595"/>
    <w:rsid w:val="00A9770A"/>
    <w:rsid w:val="00AA0187"/>
    <w:rsid w:val="00AA0407"/>
    <w:rsid w:val="00AA0A43"/>
    <w:rsid w:val="00AA0DD3"/>
    <w:rsid w:val="00AA1005"/>
    <w:rsid w:val="00AA1C07"/>
    <w:rsid w:val="00AA3688"/>
    <w:rsid w:val="00AA52EB"/>
    <w:rsid w:val="00AA5887"/>
    <w:rsid w:val="00AA58F0"/>
    <w:rsid w:val="00AA6308"/>
    <w:rsid w:val="00AB19F8"/>
    <w:rsid w:val="00AB2A61"/>
    <w:rsid w:val="00AB3A12"/>
    <w:rsid w:val="00AB5A8D"/>
    <w:rsid w:val="00AB6642"/>
    <w:rsid w:val="00AC2EFE"/>
    <w:rsid w:val="00AC3930"/>
    <w:rsid w:val="00AC3AB1"/>
    <w:rsid w:val="00AC68C6"/>
    <w:rsid w:val="00AC79C1"/>
    <w:rsid w:val="00AC7CA4"/>
    <w:rsid w:val="00AD0569"/>
    <w:rsid w:val="00AD15D1"/>
    <w:rsid w:val="00AD4A64"/>
    <w:rsid w:val="00AD598F"/>
    <w:rsid w:val="00AD6AC7"/>
    <w:rsid w:val="00AD6D09"/>
    <w:rsid w:val="00AE07DA"/>
    <w:rsid w:val="00AE098E"/>
    <w:rsid w:val="00AE0BBA"/>
    <w:rsid w:val="00AE1C61"/>
    <w:rsid w:val="00AE2197"/>
    <w:rsid w:val="00AE2291"/>
    <w:rsid w:val="00AE25C8"/>
    <w:rsid w:val="00AE4113"/>
    <w:rsid w:val="00AE4380"/>
    <w:rsid w:val="00AE4D0C"/>
    <w:rsid w:val="00AE4FAC"/>
    <w:rsid w:val="00AE5525"/>
    <w:rsid w:val="00AE5FCC"/>
    <w:rsid w:val="00AE6076"/>
    <w:rsid w:val="00AE6381"/>
    <w:rsid w:val="00AE656F"/>
    <w:rsid w:val="00AE6866"/>
    <w:rsid w:val="00AE6CEB"/>
    <w:rsid w:val="00AE7D78"/>
    <w:rsid w:val="00AF3E66"/>
    <w:rsid w:val="00AF41F6"/>
    <w:rsid w:val="00AF438E"/>
    <w:rsid w:val="00AF45CA"/>
    <w:rsid w:val="00AF56C0"/>
    <w:rsid w:val="00AF5CEE"/>
    <w:rsid w:val="00AF72E5"/>
    <w:rsid w:val="00AF7506"/>
    <w:rsid w:val="00B007DD"/>
    <w:rsid w:val="00B0098A"/>
    <w:rsid w:val="00B01016"/>
    <w:rsid w:val="00B0146E"/>
    <w:rsid w:val="00B02160"/>
    <w:rsid w:val="00B026B0"/>
    <w:rsid w:val="00B027CB"/>
    <w:rsid w:val="00B0352B"/>
    <w:rsid w:val="00B073E6"/>
    <w:rsid w:val="00B074F8"/>
    <w:rsid w:val="00B121B0"/>
    <w:rsid w:val="00B17972"/>
    <w:rsid w:val="00B17FAB"/>
    <w:rsid w:val="00B201EE"/>
    <w:rsid w:val="00B209A6"/>
    <w:rsid w:val="00B22C5F"/>
    <w:rsid w:val="00B23687"/>
    <w:rsid w:val="00B23FC2"/>
    <w:rsid w:val="00B24B29"/>
    <w:rsid w:val="00B25710"/>
    <w:rsid w:val="00B27B03"/>
    <w:rsid w:val="00B31B62"/>
    <w:rsid w:val="00B31E2E"/>
    <w:rsid w:val="00B3210E"/>
    <w:rsid w:val="00B32253"/>
    <w:rsid w:val="00B32DC3"/>
    <w:rsid w:val="00B33711"/>
    <w:rsid w:val="00B3425D"/>
    <w:rsid w:val="00B34889"/>
    <w:rsid w:val="00B36DA7"/>
    <w:rsid w:val="00B37550"/>
    <w:rsid w:val="00B402C6"/>
    <w:rsid w:val="00B41BDD"/>
    <w:rsid w:val="00B41DC1"/>
    <w:rsid w:val="00B45571"/>
    <w:rsid w:val="00B46EC7"/>
    <w:rsid w:val="00B477E6"/>
    <w:rsid w:val="00B50A91"/>
    <w:rsid w:val="00B516B3"/>
    <w:rsid w:val="00B51761"/>
    <w:rsid w:val="00B52022"/>
    <w:rsid w:val="00B52187"/>
    <w:rsid w:val="00B53E07"/>
    <w:rsid w:val="00B54691"/>
    <w:rsid w:val="00B5502E"/>
    <w:rsid w:val="00B60CCD"/>
    <w:rsid w:val="00B627E6"/>
    <w:rsid w:val="00B62854"/>
    <w:rsid w:val="00B62EF1"/>
    <w:rsid w:val="00B640CC"/>
    <w:rsid w:val="00B645B6"/>
    <w:rsid w:val="00B64B2F"/>
    <w:rsid w:val="00B667BF"/>
    <w:rsid w:val="00B6797D"/>
    <w:rsid w:val="00B735B8"/>
    <w:rsid w:val="00B74858"/>
    <w:rsid w:val="00B752EB"/>
    <w:rsid w:val="00B77BE4"/>
    <w:rsid w:val="00B8089C"/>
    <w:rsid w:val="00B812BE"/>
    <w:rsid w:val="00B813D5"/>
    <w:rsid w:val="00B81704"/>
    <w:rsid w:val="00B818A1"/>
    <w:rsid w:val="00B83758"/>
    <w:rsid w:val="00B86608"/>
    <w:rsid w:val="00B87847"/>
    <w:rsid w:val="00B90477"/>
    <w:rsid w:val="00B90CBF"/>
    <w:rsid w:val="00B92958"/>
    <w:rsid w:val="00B92AA5"/>
    <w:rsid w:val="00B93008"/>
    <w:rsid w:val="00B93331"/>
    <w:rsid w:val="00B955FE"/>
    <w:rsid w:val="00B96744"/>
    <w:rsid w:val="00BA0B9F"/>
    <w:rsid w:val="00BA356F"/>
    <w:rsid w:val="00BA4506"/>
    <w:rsid w:val="00BA6419"/>
    <w:rsid w:val="00BA6550"/>
    <w:rsid w:val="00BB3642"/>
    <w:rsid w:val="00BB4AB8"/>
    <w:rsid w:val="00BB59F6"/>
    <w:rsid w:val="00BB66AB"/>
    <w:rsid w:val="00BB6A54"/>
    <w:rsid w:val="00BB7A05"/>
    <w:rsid w:val="00BC0AD6"/>
    <w:rsid w:val="00BC122E"/>
    <w:rsid w:val="00BC3584"/>
    <w:rsid w:val="00BC522E"/>
    <w:rsid w:val="00BD3316"/>
    <w:rsid w:val="00BD65C1"/>
    <w:rsid w:val="00BE0801"/>
    <w:rsid w:val="00BE09B6"/>
    <w:rsid w:val="00BE3E34"/>
    <w:rsid w:val="00BE4ED6"/>
    <w:rsid w:val="00BE54F3"/>
    <w:rsid w:val="00BE5F67"/>
    <w:rsid w:val="00BE7920"/>
    <w:rsid w:val="00BF1E46"/>
    <w:rsid w:val="00BF2CD1"/>
    <w:rsid w:val="00BF4B6A"/>
    <w:rsid w:val="00BF5135"/>
    <w:rsid w:val="00BF6D0A"/>
    <w:rsid w:val="00C00312"/>
    <w:rsid w:val="00C003BD"/>
    <w:rsid w:val="00C009F5"/>
    <w:rsid w:val="00C01129"/>
    <w:rsid w:val="00C02239"/>
    <w:rsid w:val="00C022E1"/>
    <w:rsid w:val="00C0398D"/>
    <w:rsid w:val="00C04887"/>
    <w:rsid w:val="00C071AC"/>
    <w:rsid w:val="00C11E4C"/>
    <w:rsid w:val="00C14954"/>
    <w:rsid w:val="00C179B0"/>
    <w:rsid w:val="00C20CA6"/>
    <w:rsid w:val="00C21C1D"/>
    <w:rsid w:val="00C226F9"/>
    <w:rsid w:val="00C22FE5"/>
    <w:rsid w:val="00C23398"/>
    <w:rsid w:val="00C23A6D"/>
    <w:rsid w:val="00C23B23"/>
    <w:rsid w:val="00C24579"/>
    <w:rsid w:val="00C26C22"/>
    <w:rsid w:val="00C27B03"/>
    <w:rsid w:val="00C3089B"/>
    <w:rsid w:val="00C34B40"/>
    <w:rsid w:val="00C34EDA"/>
    <w:rsid w:val="00C35836"/>
    <w:rsid w:val="00C36C2A"/>
    <w:rsid w:val="00C41CD3"/>
    <w:rsid w:val="00C43438"/>
    <w:rsid w:val="00C44264"/>
    <w:rsid w:val="00C454EC"/>
    <w:rsid w:val="00C46251"/>
    <w:rsid w:val="00C46C7E"/>
    <w:rsid w:val="00C4790F"/>
    <w:rsid w:val="00C47FC0"/>
    <w:rsid w:val="00C51152"/>
    <w:rsid w:val="00C528CC"/>
    <w:rsid w:val="00C53ABD"/>
    <w:rsid w:val="00C53AD3"/>
    <w:rsid w:val="00C53C94"/>
    <w:rsid w:val="00C545B0"/>
    <w:rsid w:val="00C5725A"/>
    <w:rsid w:val="00C57741"/>
    <w:rsid w:val="00C57BF2"/>
    <w:rsid w:val="00C6074F"/>
    <w:rsid w:val="00C6087E"/>
    <w:rsid w:val="00C60D6C"/>
    <w:rsid w:val="00C61940"/>
    <w:rsid w:val="00C61C35"/>
    <w:rsid w:val="00C62568"/>
    <w:rsid w:val="00C62AA0"/>
    <w:rsid w:val="00C64143"/>
    <w:rsid w:val="00C6434D"/>
    <w:rsid w:val="00C652E5"/>
    <w:rsid w:val="00C67446"/>
    <w:rsid w:val="00C749A5"/>
    <w:rsid w:val="00C7697F"/>
    <w:rsid w:val="00C76AC4"/>
    <w:rsid w:val="00C770CD"/>
    <w:rsid w:val="00C80438"/>
    <w:rsid w:val="00C8136C"/>
    <w:rsid w:val="00C82EF8"/>
    <w:rsid w:val="00C82FFA"/>
    <w:rsid w:val="00C84906"/>
    <w:rsid w:val="00C85521"/>
    <w:rsid w:val="00C863EE"/>
    <w:rsid w:val="00C92646"/>
    <w:rsid w:val="00C928A2"/>
    <w:rsid w:val="00C9316A"/>
    <w:rsid w:val="00C93B5E"/>
    <w:rsid w:val="00C94FDC"/>
    <w:rsid w:val="00C95D8D"/>
    <w:rsid w:val="00C97C7F"/>
    <w:rsid w:val="00CA05C1"/>
    <w:rsid w:val="00CA2191"/>
    <w:rsid w:val="00CA2283"/>
    <w:rsid w:val="00CA23D1"/>
    <w:rsid w:val="00CA2AEF"/>
    <w:rsid w:val="00CA325F"/>
    <w:rsid w:val="00CA33B8"/>
    <w:rsid w:val="00CA3DE1"/>
    <w:rsid w:val="00CB0C6E"/>
    <w:rsid w:val="00CB1582"/>
    <w:rsid w:val="00CB22B7"/>
    <w:rsid w:val="00CB31DA"/>
    <w:rsid w:val="00CB5032"/>
    <w:rsid w:val="00CB6624"/>
    <w:rsid w:val="00CB7DF6"/>
    <w:rsid w:val="00CC303F"/>
    <w:rsid w:val="00CC3C96"/>
    <w:rsid w:val="00CC6511"/>
    <w:rsid w:val="00CD077C"/>
    <w:rsid w:val="00CD342A"/>
    <w:rsid w:val="00CD3940"/>
    <w:rsid w:val="00CD577C"/>
    <w:rsid w:val="00CD7215"/>
    <w:rsid w:val="00CE061F"/>
    <w:rsid w:val="00CE203E"/>
    <w:rsid w:val="00CE2CE0"/>
    <w:rsid w:val="00CE6A0B"/>
    <w:rsid w:val="00CF0950"/>
    <w:rsid w:val="00CF209B"/>
    <w:rsid w:val="00CF3B07"/>
    <w:rsid w:val="00CF4C13"/>
    <w:rsid w:val="00CF6384"/>
    <w:rsid w:val="00CF6902"/>
    <w:rsid w:val="00D004A0"/>
    <w:rsid w:val="00D048F4"/>
    <w:rsid w:val="00D06E88"/>
    <w:rsid w:val="00D11B8A"/>
    <w:rsid w:val="00D11F90"/>
    <w:rsid w:val="00D13527"/>
    <w:rsid w:val="00D141F8"/>
    <w:rsid w:val="00D15E4E"/>
    <w:rsid w:val="00D17601"/>
    <w:rsid w:val="00D1779B"/>
    <w:rsid w:val="00D20D6E"/>
    <w:rsid w:val="00D21300"/>
    <w:rsid w:val="00D2167A"/>
    <w:rsid w:val="00D22F7B"/>
    <w:rsid w:val="00D230DC"/>
    <w:rsid w:val="00D253C0"/>
    <w:rsid w:val="00D26C9A"/>
    <w:rsid w:val="00D3012C"/>
    <w:rsid w:val="00D303E8"/>
    <w:rsid w:val="00D31BA6"/>
    <w:rsid w:val="00D335E1"/>
    <w:rsid w:val="00D340CC"/>
    <w:rsid w:val="00D346F9"/>
    <w:rsid w:val="00D3545E"/>
    <w:rsid w:val="00D355B3"/>
    <w:rsid w:val="00D35FEA"/>
    <w:rsid w:val="00D366E4"/>
    <w:rsid w:val="00D423AC"/>
    <w:rsid w:val="00D42C71"/>
    <w:rsid w:val="00D42FA5"/>
    <w:rsid w:val="00D437F0"/>
    <w:rsid w:val="00D44DC6"/>
    <w:rsid w:val="00D514E5"/>
    <w:rsid w:val="00D53589"/>
    <w:rsid w:val="00D539D5"/>
    <w:rsid w:val="00D544D5"/>
    <w:rsid w:val="00D55E1D"/>
    <w:rsid w:val="00D56AE8"/>
    <w:rsid w:val="00D570DD"/>
    <w:rsid w:val="00D57B43"/>
    <w:rsid w:val="00D602DE"/>
    <w:rsid w:val="00D6096A"/>
    <w:rsid w:val="00D60ABE"/>
    <w:rsid w:val="00D60CE5"/>
    <w:rsid w:val="00D60D67"/>
    <w:rsid w:val="00D61811"/>
    <w:rsid w:val="00D63F9F"/>
    <w:rsid w:val="00D646D3"/>
    <w:rsid w:val="00D662F2"/>
    <w:rsid w:val="00D665F1"/>
    <w:rsid w:val="00D6711E"/>
    <w:rsid w:val="00D676B9"/>
    <w:rsid w:val="00D71A41"/>
    <w:rsid w:val="00D73B08"/>
    <w:rsid w:val="00D754E9"/>
    <w:rsid w:val="00D80127"/>
    <w:rsid w:val="00D804E2"/>
    <w:rsid w:val="00D80513"/>
    <w:rsid w:val="00D805D1"/>
    <w:rsid w:val="00D82EBA"/>
    <w:rsid w:val="00D82FD7"/>
    <w:rsid w:val="00D83345"/>
    <w:rsid w:val="00D84FA6"/>
    <w:rsid w:val="00D85C5F"/>
    <w:rsid w:val="00D85ECC"/>
    <w:rsid w:val="00D864C7"/>
    <w:rsid w:val="00D86EB7"/>
    <w:rsid w:val="00D92B5E"/>
    <w:rsid w:val="00D93388"/>
    <w:rsid w:val="00D93432"/>
    <w:rsid w:val="00D95457"/>
    <w:rsid w:val="00D97A7B"/>
    <w:rsid w:val="00D97DCE"/>
    <w:rsid w:val="00DA1259"/>
    <w:rsid w:val="00DA1AAD"/>
    <w:rsid w:val="00DA1E08"/>
    <w:rsid w:val="00DA4A52"/>
    <w:rsid w:val="00DA4FBC"/>
    <w:rsid w:val="00DA4FEC"/>
    <w:rsid w:val="00DA7457"/>
    <w:rsid w:val="00DA7D95"/>
    <w:rsid w:val="00DB1083"/>
    <w:rsid w:val="00DB2995"/>
    <w:rsid w:val="00DB2ED0"/>
    <w:rsid w:val="00DB2FF0"/>
    <w:rsid w:val="00DB38F0"/>
    <w:rsid w:val="00DB3EE8"/>
    <w:rsid w:val="00DB4701"/>
    <w:rsid w:val="00DB59C0"/>
    <w:rsid w:val="00DC0146"/>
    <w:rsid w:val="00DC03EE"/>
    <w:rsid w:val="00DC36B8"/>
    <w:rsid w:val="00DC53F2"/>
    <w:rsid w:val="00DC67ED"/>
    <w:rsid w:val="00DC6B01"/>
    <w:rsid w:val="00DC719D"/>
    <w:rsid w:val="00DC7797"/>
    <w:rsid w:val="00DD0310"/>
    <w:rsid w:val="00DD078A"/>
    <w:rsid w:val="00DD0832"/>
    <w:rsid w:val="00DD1737"/>
    <w:rsid w:val="00DD34E1"/>
    <w:rsid w:val="00DD4E64"/>
    <w:rsid w:val="00DD7667"/>
    <w:rsid w:val="00DD777C"/>
    <w:rsid w:val="00DE0D2F"/>
    <w:rsid w:val="00DE0D75"/>
    <w:rsid w:val="00DE19EB"/>
    <w:rsid w:val="00DE5B0F"/>
    <w:rsid w:val="00DF0FE3"/>
    <w:rsid w:val="00DF2CB1"/>
    <w:rsid w:val="00DF69F9"/>
    <w:rsid w:val="00E02579"/>
    <w:rsid w:val="00E02B50"/>
    <w:rsid w:val="00E03F1B"/>
    <w:rsid w:val="00E04B3F"/>
    <w:rsid w:val="00E04F72"/>
    <w:rsid w:val="00E060C1"/>
    <w:rsid w:val="00E06B1E"/>
    <w:rsid w:val="00E07787"/>
    <w:rsid w:val="00E10AAF"/>
    <w:rsid w:val="00E147D5"/>
    <w:rsid w:val="00E14C0E"/>
    <w:rsid w:val="00E16642"/>
    <w:rsid w:val="00E1787C"/>
    <w:rsid w:val="00E206AD"/>
    <w:rsid w:val="00E20E71"/>
    <w:rsid w:val="00E2249E"/>
    <w:rsid w:val="00E22B76"/>
    <w:rsid w:val="00E234F1"/>
    <w:rsid w:val="00E23AAF"/>
    <w:rsid w:val="00E24E3A"/>
    <w:rsid w:val="00E25AF8"/>
    <w:rsid w:val="00E26C55"/>
    <w:rsid w:val="00E26F6C"/>
    <w:rsid w:val="00E27C5F"/>
    <w:rsid w:val="00E31BD0"/>
    <w:rsid w:val="00E34CA3"/>
    <w:rsid w:val="00E35C4A"/>
    <w:rsid w:val="00E368F2"/>
    <w:rsid w:val="00E37DA6"/>
    <w:rsid w:val="00E37FE3"/>
    <w:rsid w:val="00E43AAA"/>
    <w:rsid w:val="00E4499B"/>
    <w:rsid w:val="00E44C62"/>
    <w:rsid w:val="00E47506"/>
    <w:rsid w:val="00E47D8C"/>
    <w:rsid w:val="00E54EF2"/>
    <w:rsid w:val="00E556B2"/>
    <w:rsid w:val="00E608FA"/>
    <w:rsid w:val="00E60DC5"/>
    <w:rsid w:val="00E63559"/>
    <w:rsid w:val="00E64150"/>
    <w:rsid w:val="00E67180"/>
    <w:rsid w:val="00E676E2"/>
    <w:rsid w:val="00E74FA5"/>
    <w:rsid w:val="00E756A8"/>
    <w:rsid w:val="00E76032"/>
    <w:rsid w:val="00E768F2"/>
    <w:rsid w:val="00E77E9E"/>
    <w:rsid w:val="00E81DED"/>
    <w:rsid w:val="00E82316"/>
    <w:rsid w:val="00E825B3"/>
    <w:rsid w:val="00E83FAD"/>
    <w:rsid w:val="00E849DE"/>
    <w:rsid w:val="00E85948"/>
    <w:rsid w:val="00E86536"/>
    <w:rsid w:val="00E87307"/>
    <w:rsid w:val="00E8778C"/>
    <w:rsid w:val="00E9167E"/>
    <w:rsid w:val="00E922A4"/>
    <w:rsid w:val="00E925CE"/>
    <w:rsid w:val="00E93F3F"/>
    <w:rsid w:val="00E94E22"/>
    <w:rsid w:val="00EA05D9"/>
    <w:rsid w:val="00EA0D16"/>
    <w:rsid w:val="00EA0E23"/>
    <w:rsid w:val="00EA1104"/>
    <w:rsid w:val="00EA5257"/>
    <w:rsid w:val="00EA59B6"/>
    <w:rsid w:val="00EB0433"/>
    <w:rsid w:val="00EB1B8B"/>
    <w:rsid w:val="00EB3C54"/>
    <w:rsid w:val="00EB4951"/>
    <w:rsid w:val="00EC098E"/>
    <w:rsid w:val="00EC0BCB"/>
    <w:rsid w:val="00EC0E71"/>
    <w:rsid w:val="00EC1E85"/>
    <w:rsid w:val="00EC27F4"/>
    <w:rsid w:val="00EC2CBD"/>
    <w:rsid w:val="00EC733A"/>
    <w:rsid w:val="00ED5EA6"/>
    <w:rsid w:val="00ED613A"/>
    <w:rsid w:val="00ED6CFA"/>
    <w:rsid w:val="00ED6D53"/>
    <w:rsid w:val="00ED747A"/>
    <w:rsid w:val="00EE1855"/>
    <w:rsid w:val="00EE1A66"/>
    <w:rsid w:val="00EE2B68"/>
    <w:rsid w:val="00EE3733"/>
    <w:rsid w:val="00EE6D70"/>
    <w:rsid w:val="00EF1386"/>
    <w:rsid w:val="00EF2491"/>
    <w:rsid w:val="00EF256B"/>
    <w:rsid w:val="00EF5277"/>
    <w:rsid w:val="00EF557D"/>
    <w:rsid w:val="00EF5CAD"/>
    <w:rsid w:val="00EF611F"/>
    <w:rsid w:val="00EF76E1"/>
    <w:rsid w:val="00F04A08"/>
    <w:rsid w:val="00F06D45"/>
    <w:rsid w:val="00F06E56"/>
    <w:rsid w:val="00F10012"/>
    <w:rsid w:val="00F10234"/>
    <w:rsid w:val="00F1030E"/>
    <w:rsid w:val="00F10925"/>
    <w:rsid w:val="00F11B72"/>
    <w:rsid w:val="00F12A0E"/>
    <w:rsid w:val="00F12F6C"/>
    <w:rsid w:val="00F13DAE"/>
    <w:rsid w:val="00F157D8"/>
    <w:rsid w:val="00F201AD"/>
    <w:rsid w:val="00F20610"/>
    <w:rsid w:val="00F21481"/>
    <w:rsid w:val="00F21B21"/>
    <w:rsid w:val="00F222BB"/>
    <w:rsid w:val="00F2491A"/>
    <w:rsid w:val="00F24EF6"/>
    <w:rsid w:val="00F254E4"/>
    <w:rsid w:val="00F26F5D"/>
    <w:rsid w:val="00F2720E"/>
    <w:rsid w:val="00F33D68"/>
    <w:rsid w:val="00F35D19"/>
    <w:rsid w:val="00F3756B"/>
    <w:rsid w:val="00F4002B"/>
    <w:rsid w:val="00F41269"/>
    <w:rsid w:val="00F41319"/>
    <w:rsid w:val="00F4432E"/>
    <w:rsid w:val="00F44B13"/>
    <w:rsid w:val="00F45BE7"/>
    <w:rsid w:val="00F463D7"/>
    <w:rsid w:val="00F50163"/>
    <w:rsid w:val="00F510E2"/>
    <w:rsid w:val="00F515F1"/>
    <w:rsid w:val="00F5273A"/>
    <w:rsid w:val="00F52D6B"/>
    <w:rsid w:val="00F52E18"/>
    <w:rsid w:val="00F546FB"/>
    <w:rsid w:val="00F54FA0"/>
    <w:rsid w:val="00F55335"/>
    <w:rsid w:val="00F55CF7"/>
    <w:rsid w:val="00F56B4B"/>
    <w:rsid w:val="00F57D1C"/>
    <w:rsid w:val="00F6086A"/>
    <w:rsid w:val="00F6169B"/>
    <w:rsid w:val="00F6170C"/>
    <w:rsid w:val="00F62824"/>
    <w:rsid w:val="00F62D7C"/>
    <w:rsid w:val="00F634C8"/>
    <w:rsid w:val="00F63A3C"/>
    <w:rsid w:val="00F65114"/>
    <w:rsid w:val="00F67155"/>
    <w:rsid w:val="00F67B2C"/>
    <w:rsid w:val="00F7058F"/>
    <w:rsid w:val="00F70D21"/>
    <w:rsid w:val="00F70FEF"/>
    <w:rsid w:val="00F74F3A"/>
    <w:rsid w:val="00F75C02"/>
    <w:rsid w:val="00F77689"/>
    <w:rsid w:val="00F77DC8"/>
    <w:rsid w:val="00F77ECB"/>
    <w:rsid w:val="00F81E47"/>
    <w:rsid w:val="00F824EF"/>
    <w:rsid w:val="00F83196"/>
    <w:rsid w:val="00F84408"/>
    <w:rsid w:val="00F86474"/>
    <w:rsid w:val="00F868B4"/>
    <w:rsid w:val="00F8730A"/>
    <w:rsid w:val="00F9016F"/>
    <w:rsid w:val="00F90601"/>
    <w:rsid w:val="00F954C6"/>
    <w:rsid w:val="00FA0754"/>
    <w:rsid w:val="00FA1943"/>
    <w:rsid w:val="00FA2DEA"/>
    <w:rsid w:val="00FA3BC9"/>
    <w:rsid w:val="00FA44E0"/>
    <w:rsid w:val="00FA4D0D"/>
    <w:rsid w:val="00FA78FD"/>
    <w:rsid w:val="00FB11BE"/>
    <w:rsid w:val="00FB1357"/>
    <w:rsid w:val="00FB1B56"/>
    <w:rsid w:val="00FB27F1"/>
    <w:rsid w:val="00FB2CD0"/>
    <w:rsid w:val="00FB4C6F"/>
    <w:rsid w:val="00FC1D08"/>
    <w:rsid w:val="00FC3213"/>
    <w:rsid w:val="00FC475B"/>
    <w:rsid w:val="00FC5E76"/>
    <w:rsid w:val="00FC69CF"/>
    <w:rsid w:val="00FC7214"/>
    <w:rsid w:val="00FC757E"/>
    <w:rsid w:val="00FD0B70"/>
    <w:rsid w:val="00FD11B8"/>
    <w:rsid w:val="00FD1440"/>
    <w:rsid w:val="00FD1489"/>
    <w:rsid w:val="00FD17D7"/>
    <w:rsid w:val="00FD2DA9"/>
    <w:rsid w:val="00FD35FA"/>
    <w:rsid w:val="00FD59F1"/>
    <w:rsid w:val="00FD6129"/>
    <w:rsid w:val="00FD6FE2"/>
    <w:rsid w:val="00FD74CB"/>
    <w:rsid w:val="00FD7543"/>
    <w:rsid w:val="00FD771B"/>
    <w:rsid w:val="00FD7BF5"/>
    <w:rsid w:val="00FE185C"/>
    <w:rsid w:val="00FE3C5F"/>
    <w:rsid w:val="00FE401B"/>
    <w:rsid w:val="00FE4705"/>
    <w:rsid w:val="00FE51A2"/>
    <w:rsid w:val="00FE557C"/>
    <w:rsid w:val="00FF1C4D"/>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4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uiPriority w:val="99"/>
    <w:rsid w:val="00C454EC"/>
    <w:pPr>
      <w:tabs>
        <w:tab w:val="center" w:pos="4153"/>
        <w:tab w:val="right" w:pos="8306"/>
      </w:tabs>
    </w:pPr>
    <w:rPr>
      <w:lang w:eastAsia="zh-CN"/>
    </w:rPr>
  </w:style>
  <w:style w:type="character" w:customStyle="1" w:styleId="Char0">
    <w:name w:val="Κεφαλίδα Char"/>
    <w:basedOn w:val="a0"/>
    <w:link w:val="a4"/>
    <w:uiPriority w:val="99"/>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paragraph" w:styleId="a8">
    <w:name w:val="List Paragraph"/>
    <w:basedOn w:val="a"/>
    <w:uiPriority w:val="34"/>
    <w:qFormat/>
    <w:rsid w:val="00F54FA0"/>
    <w:pPr>
      <w:ind w:left="720"/>
      <w:contextualSpacing/>
    </w:pPr>
  </w:style>
  <w:style w:type="character" w:styleId="a9">
    <w:name w:val="annotation reference"/>
    <w:basedOn w:val="a0"/>
    <w:uiPriority w:val="99"/>
    <w:semiHidden/>
    <w:unhideWhenUsed/>
    <w:rsid w:val="00C76AC4"/>
    <w:rPr>
      <w:sz w:val="16"/>
      <w:szCs w:val="16"/>
    </w:rPr>
  </w:style>
  <w:style w:type="paragraph" w:styleId="aa">
    <w:name w:val="annotation text"/>
    <w:basedOn w:val="a"/>
    <w:link w:val="Char2"/>
    <w:uiPriority w:val="99"/>
    <w:semiHidden/>
    <w:unhideWhenUsed/>
    <w:rsid w:val="00C76AC4"/>
    <w:pPr>
      <w:spacing w:line="240" w:lineRule="auto"/>
    </w:pPr>
    <w:rPr>
      <w:sz w:val="20"/>
    </w:rPr>
  </w:style>
  <w:style w:type="character" w:customStyle="1" w:styleId="Char2">
    <w:name w:val="Κείμενο σχολίου Char"/>
    <w:basedOn w:val="a0"/>
    <w:link w:val="aa"/>
    <w:uiPriority w:val="99"/>
    <w:semiHidden/>
    <w:rsid w:val="00C76AC4"/>
    <w:rPr>
      <w:sz w:val="20"/>
      <w:szCs w:val="20"/>
      <w:lang w:eastAsia="en-US"/>
    </w:rPr>
  </w:style>
  <w:style w:type="paragraph" w:styleId="ab">
    <w:name w:val="annotation subject"/>
    <w:basedOn w:val="aa"/>
    <w:next w:val="aa"/>
    <w:link w:val="Char3"/>
    <w:uiPriority w:val="99"/>
    <w:semiHidden/>
    <w:unhideWhenUsed/>
    <w:rsid w:val="00C76AC4"/>
    <w:rPr>
      <w:b/>
      <w:bCs/>
    </w:rPr>
  </w:style>
  <w:style w:type="character" w:customStyle="1" w:styleId="Char3">
    <w:name w:val="Θέμα σχολίου Char"/>
    <w:basedOn w:val="Char2"/>
    <w:link w:val="ab"/>
    <w:uiPriority w:val="99"/>
    <w:semiHidden/>
    <w:rsid w:val="00C76AC4"/>
    <w:rPr>
      <w:b/>
      <w:bCs/>
      <w:sz w:val="20"/>
      <w:szCs w:val="20"/>
      <w:lang w:eastAsia="en-US"/>
    </w:rPr>
  </w:style>
  <w:style w:type="paragraph" w:styleId="-HTML">
    <w:name w:val="HTML Preformatted"/>
    <w:basedOn w:val="a"/>
    <w:link w:val="-HTMLChar"/>
    <w:uiPriority w:val="99"/>
    <w:semiHidden/>
    <w:unhideWhenUsed/>
    <w:rsid w:val="003B1A45"/>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l-GR" w:eastAsia="el-GR"/>
    </w:rPr>
  </w:style>
  <w:style w:type="character" w:customStyle="1" w:styleId="-HTMLChar">
    <w:name w:val="Προ-διαμορφωμένο HTML Char"/>
    <w:basedOn w:val="a0"/>
    <w:link w:val="-HTML"/>
    <w:uiPriority w:val="99"/>
    <w:semiHidden/>
    <w:rsid w:val="003B1A45"/>
    <w:rPr>
      <w:rFonts w:ascii="Courier New" w:hAnsi="Courier New" w:cs="Courier New"/>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uiPriority w:val="99"/>
    <w:rsid w:val="00C454EC"/>
    <w:pPr>
      <w:tabs>
        <w:tab w:val="center" w:pos="4153"/>
        <w:tab w:val="right" w:pos="8306"/>
      </w:tabs>
    </w:pPr>
    <w:rPr>
      <w:lang w:eastAsia="zh-CN"/>
    </w:rPr>
  </w:style>
  <w:style w:type="character" w:customStyle="1" w:styleId="Char0">
    <w:name w:val="Κεφαλίδα Char"/>
    <w:basedOn w:val="a0"/>
    <w:link w:val="a4"/>
    <w:uiPriority w:val="99"/>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paragraph" w:styleId="a8">
    <w:name w:val="List Paragraph"/>
    <w:basedOn w:val="a"/>
    <w:uiPriority w:val="34"/>
    <w:qFormat/>
    <w:rsid w:val="00F54FA0"/>
    <w:pPr>
      <w:ind w:left="720"/>
      <w:contextualSpacing/>
    </w:pPr>
  </w:style>
  <w:style w:type="character" w:styleId="a9">
    <w:name w:val="annotation reference"/>
    <w:basedOn w:val="a0"/>
    <w:uiPriority w:val="99"/>
    <w:semiHidden/>
    <w:unhideWhenUsed/>
    <w:rsid w:val="00C76AC4"/>
    <w:rPr>
      <w:sz w:val="16"/>
      <w:szCs w:val="16"/>
    </w:rPr>
  </w:style>
  <w:style w:type="paragraph" w:styleId="aa">
    <w:name w:val="annotation text"/>
    <w:basedOn w:val="a"/>
    <w:link w:val="Char2"/>
    <w:uiPriority w:val="99"/>
    <w:semiHidden/>
    <w:unhideWhenUsed/>
    <w:rsid w:val="00C76AC4"/>
    <w:pPr>
      <w:spacing w:line="240" w:lineRule="auto"/>
    </w:pPr>
    <w:rPr>
      <w:sz w:val="20"/>
    </w:rPr>
  </w:style>
  <w:style w:type="character" w:customStyle="1" w:styleId="Char2">
    <w:name w:val="Κείμενο σχολίου Char"/>
    <w:basedOn w:val="a0"/>
    <w:link w:val="aa"/>
    <w:uiPriority w:val="99"/>
    <w:semiHidden/>
    <w:rsid w:val="00C76AC4"/>
    <w:rPr>
      <w:sz w:val="20"/>
      <w:szCs w:val="20"/>
      <w:lang w:eastAsia="en-US"/>
    </w:rPr>
  </w:style>
  <w:style w:type="paragraph" w:styleId="ab">
    <w:name w:val="annotation subject"/>
    <w:basedOn w:val="aa"/>
    <w:next w:val="aa"/>
    <w:link w:val="Char3"/>
    <w:uiPriority w:val="99"/>
    <w:semiHidden/>
    <w:unhideWhenUsed/>
    <w:rsid w:val="00C76AC4"/>
    <w:rPr>
      <w:b/>
      <w:bCs/>
    </w:rPr>
  </w:style>
  <w:style w:type="character" w:customStyle="1" w:styleId="Char3">
    <w:name w:val="Θέμα σχολίου Char"/>
    <w:basedOn w:val="Char2"/>
    <w:link w:val="ab"/>
    <w:uiPriority w:val="99"/>
    <w:semiHidden/>
    <w:rsid w:val="00C76AC4"/>
    <w:rPr>
      <w:b/>
      <w:bCs/>
      <w:sz w:val="20"/>
      <w:szCs w:val="20"/>
      <w:lang w:eastAsia="en-US"/>
    </w:rPr>
  </w:style>
  <w:style w:type="paragraph" w:styleId="-HTML">
    <w:name w:val="HTML Preformatted"/>
    <w:basedOn w:val="a"/>
    <w:link w:val="-HTMLChar"/>
    <w:uiPriority w:val="99"/>
    <w:semiHidden/>
    <w:unhideWhenUsed/>
    <w:rsid w:val="003B1A45"/>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l-GR" w:eastAsia="el-GR"/>
    </w:rPr>
  </w:style>
  <w:style w:type="character" w:customStyle="1" w:styleId="-HTMLChar">
    <w:name w:val="Προ-διαμορφωμένο HTML Char"/>
    <w:basedOn w:val="a0"/>
    <w:link w:val="-HTML"/>
    <w:uiPriority w:val="99"/>
    <w:semiHidden/>
    <w:rsid w:val="003B1A45"/>
    <w:rPr>
      <w:rFonts w:ascii="Courier New"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1659">
      <w:marLeft w:val="0"/>
      <w:marRight w:val="0"/>
      <w:marTop w:val="0"/>
      <w:marBottom w:val="0"/>
      <w:divBdr>
        <w:top w:val="none" w:sz="0" w:space="0" w:color="auto"/>
        <w:left w:val="none" w:sz="0" w:space="0" w:color="auto"/>
        <w:bottom w:val="none" w:sz="0" w:space="0" w:color="auto"/>
        <w:right w:val="none" w:sz="0" w:space="0" w:color="auto"/>
      </w:divBdr>
    </w:div>
    <w:div w:id="1603151660">
      <w:marLeft w:val="0"/>
      <w:marRight w:val="0"/>
      <w:marTop w:val="0"/>
      <w:marBottom w:val="0"/>
      <w:divBdr>
        <w:top w:val="none" w:sz="0" w:space="0" w:color="auto"/>
        <w:left w:val="none" w:sz="0" w:space="0" w:color="auto"/>
        <w:bottom w:val="none" w:sz="0" w:space="0" w:color="auto"/>
        <w:right w:val="none" w:sz="0" w:space="0" w:color="auto"/>
      </w:divBdr>
    </w:div>
    <w:div w:id="1603151661">
      <w:marLeft w:val="0"/>
      <w:marRight w:val="0"/>
      <w:marTop w:val="0"/>
      <w:marBottom w:val="0"/>
      <w:divBdr>
        <w:top w:val="none" w:sz="0" w:space="0" w:color="auto"/>
        <w:left w:val="none" w:sz="0" w:space="0" w:color="auto"/>
        <w:bottom w:val="none" w:sz="0" w:space="0" w:color="auto"/>
        <w:right w:val="none" w:sz="0" w:space="0" w:color="auto"/>
      </w:divBdr>
    </w:div>
    <w:div w:id="1603151662">
      <w:marLeft w:val="0"/>
      <w:marRight w:val="0"/>
      <w:marTop w:val="0"/>
      <w:marBottom w:val="0"/>
      <w:divBdr>
        <w:top w:val="none" w:sz="0" w:space="0" w:color="auto"/>
        <w:left w:val="none" w:sz="0" w:space="0" w:color="auto"/>
        <w:bottom w:val="none" w:sz="0" w:space="0" w:color="auto"/>
        <w:right w:val="none" w:sz="0" w:space="0" w:color="auto"/>
      </w:divBdr>
    </w:div>
    <w:div w:id="1603151663">
      <w:marLeft w:val="0"/>
      <w:marRight w:val="0"/>
      <w:marTop w:val="0"/>
      <w:marBottom w:val="0"/>
      <w:divBdr>
        <w:top w:val="none" w:sz="0" w:space="0" w:color="auto"/>
        <w:left w:val="none" w:sz="0" w:space="0" w:color="auto"/>
        <w:bottom w:val="none" w:sz="0" w:space="0" w:color="auto"/>
        <w:right w:val="none" w:sz="0" w:space="0" w:color="auto"/>
      </w:divBdr>
    </w:div>
    <w:div w:id="1603151664">
      <w:marLeft w:val="0"/>
      <w:marRight w:val="0"/>
      <w:marTop w:val="0"/>
      <w:marBottom w:val="0"/>
      <w:divBdr>
        <w:top w:val="none" w:sz="0" w:space="0" w:color="auto"/>
        <w:left w:val="none" w:sz="0" w:space="0" w:color="auto"/>
        <w:bottom w:val="none" w:sz="0" w:space="0" w:color="auto"/>
        <w:right w:val="none" w:sz="0" w:space="0" w:color="auto"/>
      </w:divBdr>
    </w:div>
    <w:div w:id="1603151665">
      <w:marLeft w:val="0"/>
      <w:marRight w:val="0"/>
      <w:marTop w:val="0"/>
      <w:marBottom w:val="0"/>
      <w:divBdr>
        <w:top w:val="none" w:sz="0" w:space="0" w:color="auto"/>
        <w:left w:val="none" w:sz="0" w:space="0" w:color="auto"/>
        <w:bottom w:val="none" w:sz="0" w:space="0" w:color="auto"/>
        <w:right w:val="none" w:sz="0" w:space="0" w:color="auto"/>
      </w:divBdr>
    </w:div>
    <w:div w:id="1603151666">
      <w:marLeft w:val="0"/>
      <w:marRight w:val="0"/>
      <w:marTop w:val="0"/>
      <w:marBottom w:val="0"/>
      <w:divBdr>
        <w:top w:val="none" w:sz="0" w:space="0" w:color="auto"/>
        <w:left w:val="none" w:sz="0" w:space="0" w:color="auto"/>
        <w:bottom w:val="none" w:sz="0" w:space="0" w:color="auto"/>
        <w:right w:val="none" w:sz="0" w:space="0" w:color="auto"/>
      </w:divBdr>
    </w:div>
    <w:div w:id="1603151667">
      <w:marLeft w:val="0"/>
      <w:marRight w:val="0"/>
      <w:marTop w:val="0"/>
      <w:marBottom w:val="0"/>
      <w:divBdr>
        <w:top w:val="none" w:sz="0" w:space="0" w:color="auto"/>
        <w:left w:val="none" w:sz="0" w:space="0" w:color="auto"/>
        <w:bottom w:val="none" w:sz="0" w:space="0" w:color="auto"/>
        <w:right w:val="none" w:sz="0" w:space="0" w:color="auto"/>
      </w:divBdr>
    </w:div>
    <w:div w:id="1603151668">
      <w:marLeft w:val="0"/>
      <w:marRight w:val="0"/>
      <w:marTop w:val="0"/>
      <w:marBottom w:val="0"/>
      <w:divBdr>
        <w:top w:val="none" w:sz="0" w:space="0" w:color="auto"/>
        <w:left w:val="none" w:sz="0" w:space="0" w:color="auto"/>
        <w:bottom w:val="none" w:sz="0" w:space="0" w:color="auto"/>
        <w:right w:val="none" w:sz="0" w:space="0" w:color="auto"/>
      </w:divBdr>
    </w:div>
    <w:div w:id="1603151669">
      <w:marLeft w:val="0"/>
      <w:marRight w:val="0"/>
      <w:marTop w:val="0"/>
      <w:marBottom w:val="0"/>
      <w:divBdr>
        <w:top w:val="none" w:sz="0" w:space="0" w:color="auto"/>
        <w:left w:val="none" w:sz="0" w:space="0" w:color="auto"/>
        <w:bottom w:val="none" w:sz="0" w:space="0" w:color="auto"/>
        <w:right w:val="none" w:sz="0" w:space="0" w:color="auto"/>
      </w:divBdr>
    </w:div>
    <w:div w:id="1603151670">
      <w:marLeft w:val="0"/>
      <w:marRight w:val="0"/>
      <w:marTop w:val="0"/>
      <w:marBottom w:val="0"/>
      <w:divBdr>
        <w:top w:val="none" w:sz="0" w:space="0" w:color="auto"/>
        <w:left w:val="none" w:sz="0" w:space="0" w:color="auto"/>
        <w:bottom w:val="none" w:sz="0" w:space="0" w:color="auto"/>
        <w:right w:val="none" w:sz="0" w:space="0" w:color="auto"/>
      </w:divBdr>
    </w:div>
    <w:div w:id="1603151671">
      <w:marLeft w:val="0"/>
      <w:marRight w:val="0"/>
      <w:marTop w:val="0"/>
      <w:marBottom w:val="0"/>
      <w:divBdr>
        <w:top w:val="none" w:sz="0" w:space="0" w:color="auto"/>
        <w:left w:val="none" w:sz="0" w:space="0" w:color="auto"/>
        <w:bottom w:val="none" w:sz="0" w:space="0" w:color="auto"/>
        <w:right w:val="none" w:sz="0" w:space="0" w:color="auto"/>
      </w:divBdr>
    </w:div>
    <w:div w:id="1603151672">
      <w:marLeft w:val="0"/>
      <w:marRight w:val="0"/>
      <w:marTop w:val="0"/>
      <w:marBottom w:val="0"/>
      <w:divBdr>
        <w:top w:val="none" w:sz="0" w:space="0" w:color="auto"/>
        <w:left w:val="none" w:sz="0" w:space="0" w:color="auto"/>
        <w:bottom w:val="none" w:sz="0" w:space="0" w:color="auto"/>
        <w:right w:val="none" w:sz="0" w:space="0" w:color="auto"/>
      </w:divBdr>
    </w:div>
    <w:div w:id="1603151673">
      <w:marLeft w:val="0"/>
      <w:marRight w:val="0"/>
      <w:marTop w:val="0"/>
      <w:marBottom w:val="0"/>
      <w:divBdr>
        <w:top w:val="none" w:sz="0" w:space="0" w:color="auto"/>
        <w:left w:val="none" w:sz="0" w:space="0" w:color="auto"/>
        <w:bottom w:val="none" w:sz="0" w:space="0" w:color="auto"/>
        <w:right w:val="none" w:sz="0" w:space="0" w:color="auto"/>
      </w:divBdr>
    </w:div>
    <w:div w:id="1603151674">
      <w:marLeft w:val="0"/>
      <w:marRight w:val="0"/>
      <w:marTop w:val="0"/>
      <w:marBottom w:val="0"/>
      <w:divBdr>
        <w:top w:val="none" w:sz="0" w:space="0" w:color="auto"/>
        <w:left w:val="none" w:sz="0" w:space="0" w:color="auto"/>
        <w:bottom w:val="none" w:sz="0" w:space="0" w:color="auto"/>
        <w:right w:val="none" w:sz="0" w:space="0" w:color="auto"/>
      </w:divBdr>
    </w:div>
    <w:div w:id="1603151675">
      <w:marLeft w:val="0"/>
      <w:marRight w:val="0"/>
      <w:marTop w:val="0"/>
      <w:marBottom w:val="0"/>
      <w:divBdr>
        <w:top w:val="none" w:sz="0" w:space="0" w:color="auto"/>
        <w:left w:val="none" w:sz="0" w:space="0" w:color="auto"/>
        <w:bottom w:val="none" w:sz="0" w:space="0" w:color="auto"/>
        <w:right w:val="none" w:sz="0" w:space="0" w:color="auto"/>
      </w:divBdr>
    </w:div>
    <w:div w:id="1603151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DA8A-0C23-4C63-B1C3-6EF1F0F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19216</Characters>
  <Application>Microsoft Office Word</Application>
  <DocSecurity>0</DocSecurity>
  <Lines>160</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Hqrdtemplatecleanel</vt:lpstr>
      <vt:lpstr>Hqrdtemplatecleanel</vt:lpstr>
    </vt:vector>
  </TitlesOfParts>
  <Company>Translation Centre</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Hqrdtemplatecleanel</dc:title>
  <dc:creator>Translation Centre</dc:creator>
  <cp:lastModifiedBy>ΘΑΛΑΣΣΙΝΟΥ ΜΑΡΙΑ</cp:lastModifiedBy>
  <cp:revision>2</cp:revision>
  <cp:lastPrinted>2015-12-18T14:30:00Z</cp:lastPrinted>
  <dcterms:created xsi:type="dcterms:W3CDTF">2017-02-21T10:52:00Z</dcterms:created>
  <dcterms:modified xsi:type="dcterms:W3CDTF">2017-02-21T10:52:00Z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CURRENT,1.1</vt:lpwstr>
  </property>
  <property fmtid="{D5CDD505-2E9C-101B-9397-08002B2CF9AE}" pid="31" name="DM_Name">
    <vt:lpwstr>Hqrdtemplatecleanel</vt:lpwstr>
  </property>
  <property fmtid="{D5CDD505-2E9C-101B-9397-08002B2CF9AE}" pid="32" name="DM_Creation_Date">
    <vt:lpwstr>05/06/2015 15:19:23</vt:lpwstr>
  </property>
  <property fmtid="{D5CDD505-2E9C-101B-9397-08002B2CF9AE}" pid="33" name="DM_Modify_Date">
    <vt:lpwstr>05/06/2015 15:19:23</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EMA/366569/2015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Templates/05 H-qrd template v9.1/Review by MSs</vt:lpwstr>
  </property>
  <property fmtid="{D5CDD505-2E9C-101B-9397-08002B2CF9AE}" pid="40" name="DM_emea_doc_ref_id">
    <vt:lpwstr>EMA/366569/2015</vt:lpwstr>
  </property>
  <property fmtid="{D5CDD505-2E9C-101B-9397-08002B2CF9AE}" pid="41" name="DM_Modifer_Name">
    <vt:lpwstr>Guardado Susana</vt:lpwstr>
  </property>
  <property fmtid="{D5CDD505-2E9C-101B-9397-08002B2CF9AE}" pid="42" name="DM_Modified_Date">
    <vt:lpwstr>05/06/2015 15:19:23</vt:lpwstr>
  </property>
</Properties>
</file>