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94" w:rsidRPr="00D75110" w:rsidRDefault="00271694" w:rsidP="005453E2">
      <w:pPr>
        <w:rPr>
          <w:i/>
          <w:szCs w:val="22"/>
        </w:rPr>
      </w:pPr>
      <w:bookmarkStart w:id="0" w:name="_GoBack"/>
      <w:bookmarkEnd w:id="0"/>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496809" w:rsidRPr="00D75110" w:rsidRDefault="00496809" w:rsidP="005453E2">
      <w:pPr>
        <w:rPr>
          <w:szCs w:val="22"/>
        </w:rPr>
      </w:pPr>
    </w:p>
    <w:p w:rsidR="00984BC2" w:rsidRDefault="00A71131">
      <w:pPr>
        <w:jc w:val="center"/>
      </w:pPr>
      <w:r w:rsidRPr="00A71131">
        <w:rPr>
          <w:b/>
        </w:rPr>
        <w:t>ΠΕΡΙΛΗΨΗ ΤΩΝ ΧΑΡΑΚΤΗΡΙΣΤΙΚΩΝ ΤΟΥ ΠΡΟΪΟΝΤΟΣ</w:t>
      </w:r>
    </w:p>
    <w:p w:rsidR="00984BC2" w:rsidRDefault="00496809">
      <w:r w:rsidRPr="00D75110">
        <w:rPr>
          <w:szCs w:val="22"/>
        </w:rPr>
        <w:br w:type="page"/>
      </w:r>
      <w:r w:rsidR="00733CB2">
        <w:rPr>
          <w:noProof/>
          <w:lang w:eastAsia="el-GR"/>
        </w:rPr>
        <w:lastRenderedPageBreak/>
        <w:drawing>
          <wp:inline distT="0" distB="0" distL="0" distR="0">
            <wp:extent cx="198755" cy="174625"/>
            <wp:effectExtent l="0" t="0" r="0" b="0"/>
            <wp:docPr id="2" name="Εικόνα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443696">
        <w:rPr>
          <w:szCs w:val="22"/>
        </w:rPr>
        <w:t xml:space="preserve"> </w:t>
      </w:r>
      <w:r w:rsidR="00A71131" w:rsidRPr="00A71131">
        <w:t>Το φάρμακο αυτό τελεί υπό συμπληρωματική παρακολούθηση</w:t>
      </w:r>
      <w:r w:rsidR="00443696">
        <w:rPr>
          <w:noProof/>
          <w:szCs w:val="22"/>
        </w:rPr>
        <w:t>.</w:t>
      </w:r>
      <w:r w:rsidR="00443696">
        <w:rPr>
          <w:szCs w:val="22"/>
        </w:rPr>
        <w:t xml:space="preserve"> Αυτό θα επιτρέψει</w:t>
      </w:r>
      <w:r w:rsidR="00443696">
        <w:rPr>
          <w:noProof/>
          <w:szCs w:val="22"/>
        </w:rPr>
        <w:t xml:space="preserve"> </w:t>
      </w:r>
      <w:r w:rsidR="00443696">
        <w:rPr>
          <w:szCs w:val="22"/>
        </w:rPr>
        <w:t>τον ταχύ προσδιορισμό</w:t>
      </w:r>
      <w:r w:rsidR="00443696">
        <w:rPr>
          <w:noProof/>
          <w:szCs w:val="22"/>
        </w:rPr>
        <w:t xml:space="preserve"> </w:t>
      </w:r>
      <w:r w:rsidR="00443696">
        <w:rPr>
          <w:szCs w:val="22"/>
        </w:rPr>
        <w:t>νέων πληροφοριών ασφάλειας</w:t>
      </w:r>
      <w:r w:rsidR="00443696">
        <w:rPr>
          <w:noProof/>
          <w:szCs w:val="22"/>
        </w:rPr>
        <w:t>.</w:t>
      </w:r>
      <w:r w:rsidR="00443696">
        <w:rPr>
          <w:szCs w:val="22"/>
        </w:rPr>
        <w:t xml:space="preserve"> Ζητείται από τους επαγγελματίες του τομέα της υγειονομικής περίθαλψης να αναφέρουν</w:t>
      </w:r>
      <w:r w:rsidR="00443696">
        <w:rPr>
          <w:noProof/>
          <w:szCs w:val="22"/>
        </w:rPr>
        <w:t xml:space="preserve"> </w:t>
      </w:r>
      <w:r w:rsidR="00443696">
        <w:rPr>
          <w:szCs w:val="22"/>
        </w:rPr>
        <w:t>οποιεσδήποτε πιθανολογούμενες ανεπιθύμητες ενέργειες</w:t>
      </w:r>
      <w:r w:rsidR="00443696">
        <w:rPr>
          <w:noProof/>
          <w:szCs w:val="22"/>
        </w:rPr>
        <w:t>.</w:t>
      </w:r>
      <w:r w:rsidR="00443696">
        <w:rPr>
          <w:szCs w:val="22"/>
        </w:rPr>
        <w:t xml:space="preserve"> Βλ. παράγραφο</w:t>
      </w:r>
      <w:r w:rsidR="00443696">
        <w:rPr>
          <w:noProof/>
          <w:szCs w:val="22"/>
        </w:rPr>
        <w:t xml:space="preserve"> 4.8 </w:t>
      </w:r>
      <w:r w:rsidR="00443696">
        <w:rPr>
          <w:szCs w:val="22"/>
        </w:rPr>
        <w:t>για τον τρόπο αναφοράς ανεπιθύμητων ενεργειών</w:t>
      </w:r>
      <w:r w:rsidR="00443696">
        <w:rPr>
          <w:noProof/>
          <w:szCs w:val="22"/>
        </w:rPr>
        <w:t>.</w:t>
      </w:r>
    </w:p>
    <w:p w:rsidR="00984BC2" w:rsidRDefault="00984BC2"/>
    <w:p w:rsidR="00984BC2" w:rsidRDefault="00984BC2">
      <w:pPr>
        <w:rPr>
          <w:b/>
        </w:rPr>
      </w:pPr>
    </w:p>
    <w:p w:rsidR="00984BC2" w:rsidRDefault="00A71131">
      <w:r w:rsidRPr="00A71131">
        <w:rPr>
          <w:b/>
        </w:rPr>
        <w:t>1.</w:t>
      </w:r>
      <w:r w:rsidR="00496809" w:rsidRPr="00D75110">
        <w:rPr>
          <w:b/>
          <w:szCs w:val="22"/>
        </w:rPr>
        <w:tab/>
      </w:r>
      <w:r w:rsidRPr="00A71131">
        <w:rPr>
          <w:b/>
        </w:rPr>
        <w:t>ΟΝΟΜΑΣΙΑ ΤΟΥ ΦΑΡΜΑΚΕΥΤΙΚΟΥ ΠΡΟΪΟΝΤΟΣ</w:t>
      </w:r>
    </w:p>
    <w:p w:rsidR="00984BC2" w:rsidRDefault="000A65D4" w:rsidP="00984BC2">
      <w:pPr>
        <w:pStyle w:val="CM12"/>
        <w:spacing w:after="412" w:line="198" w:lineRule="atLeast"/>
        <w:ind w:left="180"/>
        <w:jc w:val="both"/>
        <w:rPr>
          <w:rFonts w:ascii="Times New Roman" w:hAnsi="Times New Roman"/>
          <w:sz w:val="22"/>
          <w:lang w:val="el-GR"/>
        </w:rPr>
      </w:pPr>
      <w:r>
        <w:rPr>
          <w:rFonts w:ascii="Times New Roman" w:hAnsi="Times New Roman" w:cs="Arial MT"/>
        </w:rPr>
        <w:t>Cilostazol</w:t>
      </w:r>
      <w:r w:rsidRPr="000A65D4">
        <w:rPr>
          <w:rFonts w:ascii="Times New Roman" w:hAnsi="Times New Roman" w:cs="Arial MT"/>
          <w:lang w:val="el-GR"/>
        </w:rPr>
        <w:t>/</w:t>
      </w:r>
      <w:r>
        <w:rPr>
          <w:rFonts w:ascii="Times New Roman" w:hAnsi="Times New Roman" w:cs="Arial MT"/>
        </w:rPr>
        <w:t>Galenica</w:t>
      </w:r>
      <w:r w:rsidRPr="000A65D4">
        <w:rPr>
          <w:rFonts w:ascii="Times New Roman" w:hAnsi="Times New Roman" w:cs="Arial MT"/>
          <w:lang w:val="el-GR"/>
        </w:rPr>
        <w:t xml:space="preserve"> </w:t>
      </w:r>
      <w:r w:rsidR="00A71131" w:rsidRPr="00A71131">
        <w:rPr>
          <w:rFonts w:ascii="Times New Roman" w:hAnsi="Times New Roman"/>
          <w:sz w:val="22"/>
          <w:lang w:val="el-GR"/>
        </w:rPr>
        <w:t xml:space="preserve">100 </w:t>
      </w:r>
      <w:r w:rsidR="00A71131" w:rsidRPr="00A71131">
        <w:rPr>
          <w:rFonts w:ascii="Times New Roman" w:hAnsi="Times New Roman"/>
          <w:sz w:val="22"/>
        </w:rPr>
        <w:t>mg</w:t>
      </w:r>
      <w:r w:rsidR="00A71131" w:rsidRPr="00A71131">
        <w:rPr>
          <w:rFonts w:ascii="Times New Roman" w:hAnsi="Times New Roman"/>
          <w:sz w:val="22"/>
          <w:lang w:val="el-GR"/>
        </w:rPr>
        <w:t xml:space="preserve"> δισκία </w:t>
      </w:r>
    </w:p>
    <w:p w:rsidR="00496809" w:rsidRPr="00D75110" w:rsidRDefault="00496809" w:rsidP="005453E2">
      <w:pPr>
        <w:rPr>
          <w:szCs w:val="22"/>
        </w:rPr>
      </w:pPr>
    </w:p>
    <w:p w:rsidR="00496809" w:rsidRPr="00D75110" w:rsidRDefault="001C30BE" w:rsidP="005453E2">
      <w:pPr>
        <w:rPr>
          <w:szCs w:val="22"/>
        </w:rPr>
      </w:pPr>
      <w:r>
        <w:rPr>
          <w:b/>
        </w:rPr>
        <w:t>2.</w:t>
      </w:r>
      <w:r w:rsidR="00496809" w:rsidRPr="00D75110">
        <w:rPr>
          <w:b/>
          <w:szCs w:val="22"/>
        </w:rPr>
        <w:tab/>
      </w:r>
      <w:r>
        <w:rPr>
          <w:b/>
        </w:rPr>
        <w:t>ΠΟΙΟΤΙΚΗ ΚΑΙ ΠΟΣΟΤΙΚΗ ΣΥΝΘΕΣΗ</w:t>
      </w:r>
    </w:p>
    <w:p w:rsidR="00984BC2" w:rsidRDefault="00984BC2"/>
    <w:p w:rsidR="005453E2" w:rsidRPr="00917AD3" w:rsidRDefault="001C30BE" w:rsidP="005453E2">
      <w:pPr>
        <w:pStyle w:val="EMEAEnBodyText"/>
        <w:autoSpaceDE w:val="0"/>
        <w:autoSpaceDN w:val="0"/>
        <w:adjustRightInd w:val="0"/>
        <w:spacing w:before="0" w:after="0"/>
        <w:rPr>
          <w:szCs w:val="22"/>
          <w:lang w:val="el-GR"/>
        </w:rPr>
      </w:pPr>
      <w:r>
        <w:rPr>
          <w:lang w:val="el-GR"/>
        </w:rPr>
        <w:t xml:space="preserve">Ένα δισκίο περιέχει 100 </w:t>
      </w:r>
      <w:r>
        <w:t>mg</w:t>
      </w:r>
      <w:r>
        <w:rPr>
          <w:lang w:val="el-GR"/>
        </w:rPr>
        <w:t xml:space="preserve"> </w:t>
      </w:r>
      <w:r w:rsidR="00917AD3" w:rsidRPr="00917AD3">
        <w:rPr>
          <w:rFonts w:cs="Arial MT"/>
          <w:lang w:val="el-GR"/>
        </w:rPr>
        <w:t xml:space="preserve"> </w:t>
      </w:r>
      <w:r w:rsidR="005453E2" w:rsidRPr="00D75110">
        <w:rPr>
          <w:szCs w:val="22"/>
          <w:lang w:val="el-GR"/>
        </w:rPr>
        <w:t xml:space="preserve">σιλοσταζόλης. </w:t>
      </w:r>
    </w:p>
    <w:p w:rsidR="00984BC2" w:rsidRDefault="00984BC2">
      <w:pPr>
        <w:widowControl/>
        <w:tabs>
          <w:tab w:val="left" w:pos="567"/>
        </w:tabs>
      </w:pPr>
    </w:p>
    <w:p w:rsidR="00496809" w:rsidRPr="00D75110" w:rsidRDefault="001C30BE" w:rsidP="005453E2">
      <w:pPr>
        <w:widowControl/>
        <w:tabs>
          <w:tab w:val="left" w:pos="567"/>
        </w:tabs>
        <w:rPr>
          <w:szCs w:val="22"/>
        </w:rPr>
      </w:pPr>
      <w:r>
        <w:t>Για τον πλήρη κατάλογο των εκδόχων</w:t>
      </w:r>
      <w:r w:rsidR="00496809" w:rsidRPr="00D75110">
        <w:rPr>
          <w:szCs w:val="22"/>
        </w:rPr>
        <w:t>,</w:t>
      </w:r>
      <w:r>
        <w:t xml:space="preserve"> βλ. παράγραφο 6.1</w:t>
      </w:r>
      <w:r w:rsidR="00496809" w:rsidRPr="00D75110">
        <w:rPr>
          <w:szCs w:val="22"/>
        </w:rPr>
        <w:t>.</w:t>
      </w:r>
    </w:p>
    <w:p w:rsidR="00496809" w:rsidRPr="00D75110" w:rsidRDefault="00496809" w:rsidP="005453E2">
      <w:pPr>
        <w:rPr>
          <w:szCs w:val="22"/>
        </w:rPr>
      </w:pPr>
    </w:p>
    <w:p w:rsidR="00984BC2" w:rsidRDefault="00984BC2"/>
    <w:p w:rsidR="00496809" w:rsidRPr="00D75110" w:rsidRDefault="001C30BE" w:rsidP="005453E2">
      <w:pPr>
        <w:rPr>
          <w:szCs w:val="22"/>
        </w:rPr>
      </w:pPr>
      <w:r>
        <w:rPr>
          <w:b/>
        </w:rPr>
        <w:t>3.</w:t>
      </w:r>
      <w:r w:rsidR="00917AD3" w:rsidRPr="00984BC2">
        <w:rPr>
          <w:rFonts w:cs="Arial"/>
          <w:b/>
          <w:bCs/>
        </w:rPr>
        <w:t xml:space="preserve">        </w:t>
      </w:r>
      <w:r w:rsidR="00496809" w:rsidRPr="00D75110">
        <w:rPr>
          <w:b/>
          <w:szCs w:val="22"/>
        </w:rPr>
        <w:t>ΦΑΡΜΑΚΟΤΕΧΝΙΚΗ ΜΟΡΦΗ</w:t>
      </w:r>
    </w:p>
    <w:p w:rsidR="00984BC2" w:rsidRDefault="00984BC2"/>
    <w:p w:rsidR="00496809" w:rsidRPr="00D75110" w:rsidRDefault="001C30BE" w:rsidP="005453E2">
      <w:pPr>
        <w:rPr>
          <w:szCs w:val="22"/>
        </w:rPr>
      </w:pPr>
      <w:r>
        <w:t>Δισκίο</w:t>
      </w:r>
      <w:r w:rsidR="005453E2" w:rsidRPr="00D75110">
        <w:rPr>
          <w:szCs w:val="22"/>
        </w:rPr>
        <w:t>.</w:t>
      </w:r>
    </w:p>
    <w:p w:rsidR="00984BC2" w:rsidRDefault="00984BC2"/>
    <w:p w:rsidR="00984BC2" w:rsidRDefault="00A71131">
      <w:pPr>
        <w:pStyle w:val="Default"/>
        <w:rPr>
          <w:sz w:val="22"/>
          <w:lang w:val="el-GR"/>
        </w:rPr>
      </w:pPr>
      <w:r w:rsidRPr="00A71131">
        <w:rPr>
          <w:color w:val="auto"/>
          <w:sz w:val="22"/>
          <w:lang w:val="el-GR"/>
        </w:rPr>
        <w:t xml:space="preserve">Τα </w:t>
      </w:r>
      <w:r w:rsidR="005453E2" w:rsidRPr="00D75110">
        <w:rPr>
          <w:color w:val="auto"/>
          <w:sz w:val="22"/>
          <w:szCs w:val="22"/>
          <w:lang w:val="el-GR"/>
        </w:rPr>
        <w:t>δισκία</w:t>
      </w:r>
      <w:r w:rsidR="001F4361" w:rsidRPr="00D75110">
        <w:rPr>
          <w:color w:val="auto"/>
          <w:sz w:val="22"/>
          <w:szCs w:val="22"/>
          <w:lang w:val="el-GR"/>
        </w:rPr>
        <w:t xml:space="preserve"> </w:t>
      </w:r>
      <w:r w:rsidR="000A65D4">
        <w:rPr>
          <w:rFonts w:cs="Arial MT"/>
        </w:rPr>
        <w:t>Cilostazol</w:t>
      </w:r>
      <w:r w:rsidR="000A65D4" w:rsidRPr="000A65D4">
        <w:rPr>
          <w:rFonts w:cs="Arial MT"/>
          <w:lang w:val="el-GR"/>
        </w:rPr>
        <w:t>/</w:t>
      </w:r>
      <w:r w:rsidR="000A65D4">
        <w:rPr>
          <w:rFonts w:cs="Arial MT"/>
        </w:rPr>
        <w:t>Galenica</w:t>
      </w:r>
      <w:r w:rsidR="000A65D4" w:rsidRPr="000A65D4">
        <w:rPr>
          <w:rFonts w:cs="Arial MT"/>
          <w:lang w:val="el-GR"/>
        </w:rPr>
        <w:t xml:space="preserve"> </w:t>
      </w:r>
      <w:r w:rsidRPr="00A71131">
        <w:rPr>
          <w:color w:val="auto"/>
          <w:sz w:val="22"/>
          <w:lang w:val="el-GR"/>
        </w:rPr>
        <w:t xml:space="preserve">100 </w:t>
      </w:r>
      <w:r w:rsidRPr="00A71131">
        <w:rPr>
          <w:color w:val="auto"/>
          <w:sz w:val="22"/>
        </w:rPr>
        <w:t>mg</w:t>
      </w:r>
      <w:r w:rsidRPr="00A71131">
        <w:rPr>
          <w:color w:val="auto"/>
          <w:sz w:val="22"/>
          <w:lang w:val="el-GR"/>
        </w:rPr>
        <w:t xml:space="preserve"> είναι λευκά στρογγυλά </w:t>
      </w:r>
      <w:r w:rsidR="005453E2" w:rsidRPr="00D75110">
        <w:rPr>
          <w:color w:val="auto"/>
          <w:sz w:val="22"/>
          <w:szCs w:val="22"/>
          <w:lang w:val="el-GR"/>
        </w:rPr>
        <w:t xml:space="preserve">δισκία </w:t>
      </w:r>
      <w:r w:rsidRPr="00A71131">
        <w:rPr>
          <w:color w:val="auto"/>
          <w:sz w:val="22"/>
          <w:lang w:val="el-GR"/>
        </w:rPr>
        <w:t>με εγκοπή στην μία πλευρά</w:t>
      </w:r>
      <w:r w:rsidR="00917AD3" w:rsidRPr="00917AD3">
        <w:rPr>
          <w:color w:val="auto"/>
          <w:sz w:val="22"/>
          <w:lang w:val="el-GR"/>
        </w:rPr>
        <w:t xml:space="preserve"> </w:t>
      </w:r>
      <w:r w:rsidR="005453E2" w:rsidRPr="00D75110">
        <w:rPr>
          <w:color w:val="auto"/>
          <w:sz w:val="22"/>
          <w:szCs w:val="22"/>
          <w:lang w:val="el-GR"/>
        </w:rPr>
        <w:t>, με</w:t>
      </w:r>
      <w:r w:rsidRPr="00A71131">
        <w:rPr>
          <w:color w:val="auto"/>
          <w:sz w:val="22"/>
          <w:lang w:val="el-GR"/>
        </w:rPr>
        <w:t xml:space="preserve"> διάμετρο περίπου 8 </w:t>
      </w:r>
      <w:r w:rsidRPr="00A71131">
        <w:rPr>
          <w:color w:val="auto"/>
          <w:sz w:val="22"/>
        </w:rPr>
        <w:t>mm</w:t>
      </w:r>
      <w:r w:rsidRPr="00A71131">
        <w:rPr>
          <w:color w:val="auto"/>
          <w:sz w:val="22"/>
          <w:lang w:val="el-GR"/>
        </w:rPr>
        <w:t>.</w:t>
      </w:r>
    </w:p>
    <w:p w:rsidR="005453E2" w:rsidRPr="00D75110" w:rsidRDefault="005453E2" w:rsidP="005453E2">
      <w:pPr>
        <w:pStyle w:val="Default"/>
        <w:rPr>
          <w:color w:val="auto"/>
          <w:sz w:val="22"/>
          <w:szCs w:val="22"/>
          <w:lang w:val="el-GR"/>
        </w:rPr>
      </w:pPr>
    </w:p>
    <w:p w:rsidR="00984BC2" w:rsidRDefault="00A71131">
      <w:r w:rsidRPr="00A71131">
        <w:t xml:space="preserve">Το δισκίο μπορεί να </w:t>
      </w:r>
      <w:r w:rsidR="006E53A5">
        <w:rPr>
          <w:rFonts w:cs="Arial MT"/>
        </w:rPr>
        <w:t>διαιρεθεί</w:t>
      </w:r>
      <w:r w:rsidR="00917AD3" w:rsidRPr="00917AD3">
        <w:rPr>
          <w:rFonts w:cs="Arial MT"/>
        </w:rPr>
        <w:t xml:space="preserve"> </w:t>
      </w:r>
      <w:r w:rsidRPr="00A71131">
        <w:t xml:space="preserve">σε </w:t>
      </w:r>
      <w:r w:rsidR="00D02D5E">
        <w:t xml:space="preserve">δύο ίσες </w:t>
      </w:r>
      <w:r w:rsidRPr="00A71131">
        <w:t>δόσεις.</w:t>
      </w:r>
    </w:p>
    <w:p w:rsidR="00984BC2" w:rsidRDefault="00984BC2"/>
    <w:p w:rsidR="00496809" w:rsidRPr="00D75110" w:rsidRDefault="00496809" w:rsidP="005453E2">
      <w:pPr>
        <w:rPr>
          <w:szCs w:val="22"/>
        </w:rPr>
      </w:pPr>
    </w:p>
    <w:p w:rsidR="00496809" w:rsidRPr="00D75110" w:rsidRDefault="001C30BE" w:rsidP="005453E2">
      <w:pPr>
        <w:rPr>
          <w:szCs w:val="22"/>
        </w:rPr>
      </w:pPr>
      <w:r>
        <w:rPr>
          <w:b/>
        </w:rPr>
        <w:t>4.</w:t>
      </w:r>
      <w:r w:rsidR="00496809" w:rsidRPr="00D75110">
        <w:rPr>
          <w:b/>
          <w:szCs w:val="22"/>
        </w:rPr>
        <w:tab/>
      </w:r>
      <w:r>
        <w:rPr>
          <w:b/>
        </w:rPr>
        <w:t>ΚΛΙΝΙΚΕΣ ΠΛΗΡΟΦΟΡΙΕΣ</w:t>
      </w:r>
    </w:p>
    <w:p w:rsidR="00984BC2" w:rsidRDefault="00984BC2"/>
    <w:p w:rsidR="00984BC2" w:rsidRDefault="00A71131">
      <w:r w:rsidRPr="00A71131">
        <w:rPr>
          <w:b/>
        </w:rPr>
        <w:t>4.1</w:t>
      </w:r>
      <w:r w:rsidR="00496809" w:rsidRPr="00D75110">
        <w:rPr>
          <w:b/>
          <w:szCs w:val="22"/>
        </w:rPr>
        <w:tab/>
      </w:r>
      <w:r w:rsidRPr="00A71131">
        <w:rPr>
          <w:b/>
        </w:rPr>
        <w:t>Θεραπευτικές ενδείξεις</w:t>
      </w:r>
    </w:p>
    <w:p w:rsidR="00496809" w:rsidRPr="00D75110" w:rsidRDefault="00496809" w:rsidP="005453E2">
      <w:pPr>
        <w:rPr>
          <w:szCs w:val="22"/>
        </w:rPr>
      </w:pPr>
    </w:p>
    <w:p w:rsidR="00984BC2" w:rsidRPr="00984BC2" w:rsidRDefault="00A71131" w:rsidP="00984BC2">
      <w:pPr>
        <w:autoSpaceDE w:val="0"/>
        <w:autoSpaceDN w:val="0"/>
        <w:adjustRightInd w:val="0"/>
        <w:ind w:left="90"/>
        <w:rPr>
          <w:sz w:val="24"/>
          <w:szCs w:val="24"/>
        </w:rPr>
      </w:pPr>
      <w:r w:rsidRPr="00A71131">
        <w:rPr>
          <w:szCs w:val="24"/>
        </w:rPr>
        <w:t xml:space="preserve">Το </w:t>
      </w:r>
      <w:r w:rsidR="000A65D4">
        <w:rPr>
          <w:rFonts w:cs="Arial MT"/>
        </w:rPr>
        <w:t xml:space="preserve">Cilostazol/Galenica </w:t>
      </w:r>
      <w:r w:rsidRPr="00A71131">
        <w:rPr>
          <w:szCs w:val="24"/>
        </w:rPr>
        <w:t xml:space="preserve">ενδείκνυται για τη βελτίωση των μέγιστων και ελεύθερων πόνου αποστάσεων βάδισης σε ασθενείς με διαλείπουσα χωλότητα, οι οποίοι δεν παρουσιάζουν πόνο ανάπαυσης και δεν έχουν ένδειξη περιφερικής ιστικής νέκρωσης (περιφερική αρτηριακή νόσος </w:t>
      </w:r>
      <w:r w:rsidRPr="00A71131">
        <w:rPr>
          <w:szCs w:val="24"/>
          <w:lang w:val="en-US"/>
        </w:rPr>
        <w:t>Fontaine</w:t>
      </w:r>
      <w:r w:rsidRPr="00A71131">
        <w:rPr>
          <w:szCs w:val="24"/>
        </w:rPr>
        <w:t xml:space="preserve"> σταδίου </w:t>
      </w:r>
      <w:r w:rsidRPr="00A71131">
        <w:rPr>
          <w:szCs w:val="24"/>
          <w:lang w:val="en-US"/>
        </w:rPr>
        <w:t>II</w:t>
      </w:r>
      <w:r w:rsidRPr="00A71131">
        <w:rPr>
          <w:szCs w:val="24"/>
        </w:rPr>
        <w:t xml:space="preserve">). </w:t>
      </w:r>
    </w:p>
    <w:p w:rsidR="005453E2" w:rsidRPr="00917AD3" w:rsidRDefault="005453E2" w:rsidP="005453E2">
      <w:pPr>
        <w:rPr>
          <w:szCs w:val="22"/>
        </w:rPr>
      </w:pPr>
    </w:p>
    <w:p w:rsidR="00984BC2" w:rsidRDefault="00A71131">
      <w:r w:rsidRPr="00A71131">
        <w:t xml:space="preserve">Το </w:t>
      </w:r>
      <w:r w:rsidR="000A65D4">
        <w:rPr>
          <w:rFonts w:cs="Arial MT"/>
        </w:rPr>
        <w:t xml:space="preserve">Cilostazol/Galenica </w:t>
      </w:r>
      <w:r w:rsidRPr="00A71131">
        <w:t>ενδείκνυται για χρήση δεύτερης γραμμής, σε ασθενείς στους οποίους οι αλλαγές στον τρόπο διαβίωσης (συμπεριλαμβανομένων της διακοπής του καπνίσματος και των [επιβλεπομένων] προγραμμάτων άσκησης) και άλλες κατάλληλες παρεμβάσεις έχουν αποτύχει να βελτιώσουν επαρκώς τα συμπτώματα της διαλείπουσας χωλότητάς τους.</w:t>
      </w:r>
      <w:r w:rsidR="005453E2" w:rsidRPr="00D75110">
        <w:rPr>
          <w:szCs w:val="22"/>
        </w:rPr>
        <w:t xml:space="preserve"> </w:t>
      </w:r>
    </w:p>
    <w:p w:rsidR="00984BC2" w:rsidRDefault="00984BC2"/>
    <w:p w:rsidR="00984BC2" w:rsidRDefault="00A71131">
      <w:r w:rsidRPr="00A71131">
        <w:rPr>
          <w:b/>
        </w:rPr>
        <w:t>4.2</w:t>
      </w:r>
      <w:r w:rsidR="00496809" w:rsidRPr="00D75110">
        <w:rPr>
          <w:b/>
          <w:szCs w:val="22"/>
        </w:rPr>
        <w:tab/>
      </w:r>
      <w:r w:rsidRPr="00A71131">
        <w:rPr>
          <w:b/>
        </w:rPr>
        <w:t>Δοσολογία και τρόπος χορήγησης</w:t>
      </w:r>
    </w:p>
    <w:p w:rsidR="00984BC2" w:rsidRDefault="00984BC2"/>
    <w:p w:rsidR="00984BC2" w:rsidRDefault="00A71131">
      <w:pPr>
        <w:rPr>
          <w:u w:val="single"/>
        </w:rPr>
      </w:pPr>
      <w:r w:rsidRPr="00A71131">
        <w:rPr>
          <w:u w:val="single"/>
        </w:rPr>
        <w:t>Δοσολογία</w:t>
      </w:r>
    </w:p>
    <w:p w:rsidR="00984BC2" w:rsidRDefault="00984BC2">
      <w:pPr>
        <w:rPr>
          <w:u w:val="single"/>
        </w:rPr>
      </w:pPr>
    </w:p>
    <w:p w:rsidR="00984BC2" w:rsidRPr="00984BC2" w:rsidRDefault="00A71131">
      <w:pPr>
        <w:pStyle w:val="Default"/>
        <w:rPr>
          <w:color w:val="auto"/>
          <w:lang w:val="el-GR"/>
        </w:rPr>
      </w:pPr>
      <w:r w:rsidRPr="00A71131">
        <w:rPr>
          <w:color w:val="auto"/>
          <w:sz w:val="22"/>
          <w:lang w:val="el-GR"/>
        </w:rPr>
        <w:t xml:space="preserve">Η συνιστώμενη </w:t>
      </w:r>
      <w:r w:rsidR="005453E2" w:rsidRPr="00D75110">
        <w:rPr>
          <w:color w:val="auto"/>
          <w:sz w:val="22"/>
          <w:szCs w:val="22"/>
          <w:lang w:val="el-GR"/>
        </w:rPr>
        <w:t>δ</w:t>
      </w:r>
      <w:r w:rsidR="000F3E15" w:rsidRPr="00D75110">
        <w:rPr>
          <w:color w:val="auto"/>
          <w:sz w:val="22"/>
          <w:szCs w:val="22"/>
          <w:lang w:val="el-GR"/>
        </w:rPr>
        <w:t>οσολογία</w:t>
      </w:r>
      <w:r w:rsidR="005453E2" w:rsidRPr="00D75110">
        <w:rPr>
          <w:color w:val="auto"/>
          <w:sz w:val="22"/>
          <w:szCs w:val="22"/>
          <w:lang w:val="el-GR"/>
        </w:rPr>
        <w:t xml:space="preserve"> </w:t>
      </w:r>
      <w:r w:rsidR="000F3E15" w:rsidRPr="00D75110">
        <w:rPr>
          <w:color w:val="auto"/>
          <w:sz w:val="22"/>
          <w:szCs w:val="22"/>
          <w:lang w:val="el-GR"/>
        </w:rPr>
        <w:t>τη</w:t>
      </w:r>
      <w:r w:rsidR="00917AD3">
        <w:rPr>
          <w:color w:val="auto"/>
          <w:sz w:val="22"/>
          <w:szCs w:val="22"/>
          <w:lang w:val="el-GR"/>
        </w:rPr>
        <w:t>ς</w:t>
      </w:r>
      <w:r w:rsidR="000F3E15" w:rsidRPr="00D75110">
        <w:rPr>
          <w:color w:val="auto"/>
          <w:sz w:val="22"/>
          <w:szCs w:val="22"/>
          <w:lang w:val="el-GR"/>
        </w:rPr>
        <w:t xml:space="preserve"> </w:t>
      </w:r>
      <w:r w:rsidR="005453E2" w:rsidRPr="00D75110">
        <w:rPr>
          <w:color w:val="auto"/>
          <w:sz w:val="22"/>
          <w:szCs w:val="22"/>
          <w:lang w:val="el-GR"/>
        </w:rPr>
        <w:t>σιλοσταζόλη</w:t>
      </w:r>
      <w:r w:rsidR="00917AD3">
        <w:rPr>
          <w:color w:val="auto"/>
          <w:sz w:val="22"/>
          <w:szCs w:val="22"/>
          <w:lang w:val="el-GR"/>
        </w:rPr>
        <w:t>ς</w:t>
      </w:r>
      <w:r w:rsidR="005453E2" w:rsidRPr="00D75110">
        <w:rPr>
          <w:color w:val="auto"/>
          <w:sz w:val="22"/>
          <w:szCs w:val="22"/>
          <w:lang w:val="el-GR"/>
        </w:rPr>
        <w:t xml:space="preserve"> </w:t>
      </w:r>
      <w:r w:rsidRPr="00A71131">
        <w:rPr>
          <w:color w:val="auto"/>
          <w:sz w:val="22"/>
          <w:lang w:val="el-GR"/>
        </w:rPr>
        <w:t xml:space="preserve">είναι 100 </w:t>
      </w:r>
      <w:r w:rsidRPr="00A71131">
        <w:rPr>
          <w:color w:val="auto"/>
          <w:sz w:val="22"/>
        </w:rPr>
        <w:t>mg</w:t>
      </w:r>
      <w:r w:rsidRPr="00A71131">
        <w:rPr>
          <w:color w:val="auto"/>
          <w:sz w:val="22"/>
          <w:lang w:val="el-GR"/>
        </w:rPr>
        <w:t xml:space="preserve"> </w:t>
      </w:r>
      <w:r w:rsidR="005453E2" w:rsidRPr="00D75110">
        <w:rPr>
          <w:color w:val="auto"/>
          <w:sz w:val="22"/>
          <w:szCs w:val="22"/>
          <w:lang w:val="el-GR"/>
        </w:rPr>
        <w:t xml:space="preserve">δύο φορές </w:t>
      </w:r>
      <w:r w:rsidR="00C26389" w:rsidRPr="00D75110">
        <w:rPr>
          <w:color w:val="auto"/>
          <w:sz w:val="22"/>
          <w:szCs w:val="22"/>
          <w:lang w:val="el-GR"/>
        </w:rPr>
        <w:t>την ημέρα</w:t>
      </w:r>
      <w:r w:rsidR="005453E2" w:rsidRPr="00D75110">
        <w:rPr>
          <w:color w:val="auto"/>
          <w:sz w:val="22"/>
          <w:szCs w:val="22"/>
          <w:lang w:val="el-GR"/>
        </w:rPr>
        <w:t>.</w:t>
      </w:r>
      <w:r w:rsidRPr="00A71131">
        <w:rPr>
          <w:color w:val="auto"/>
          <w:sz w:val="22"/>
          <w:lang w:val="el-GR"/>
        </w:rPr>
        <w:t xml:space="preserve"> Η σιλοσταζόλη</w:t>
      </w:r>
      <w:r w:rsidR="00917AD3">
        <w:rPr>
          <w:color w:val="auto"/>
          <w:sz w:val="22"/>
          <w:lang w:val="el-GR"/>
        </w:rPr>
        <w:t xml:space="preserve"> </w:t>
      </w:r>
      <w:r w:rsidR="00375CEF" w:rsidRPr="00375CEF">
        <w:rPr>
          <w:sz w:val="22"/>
          <w:szCs w:val="22"/>
          <w:lang w:val="el-GR" w:eastAsia="el-GR"/>
        </w:rPr>
        <w:t>θα</w:t>
      </w:r>
      <w:r w:rsidRPr="00A71131">
        <w:rPr>
          <w:color w:val="auto"/>
          <w:sz w:val="22"/>
          <w:lang w:val="el-GR"/>
        </w:rPr>
        <w:t xml:space="preserve"> πρέπει να λαμβάνεται 30 λεπτά πριν το πρωινό και το δείπνο. Η λήψη σιλοσταζόλης με την τροφή έχει καταδειχθεί ότι αυξάνει τις μέγιστες συγκεντρώσεις (</w:t>
      </w:r>
      <w:r w:rsidRPr="00A71131">
        <w:rPr>
          <w:color w:val="auto"/>
          <w:sz w:val="22"/>
        </w:rPr>
        <w:t>C</w:t>
      </w:r>
      <w:r w:rsidRPr="00A71131">
        <w:rPr>
          <w:color w:val="auto"/>
          <w:sz w:val="14"/>
        </w:rPr>
        <w:t>max</w:t>
      </w:r>
      <w:r w:rsidRPr="00A71131">
        <w:rPr>
          <w:color w:val="auto"/>
          <w:sz w:val="22"/>
          <w:lang w:val="el-GR"/>
        </w:rPr>
        <w:t xml:space="preserve">) της σιλοσταζόλης στο πλάσμα, που μπορεί να σχετίζονται με αυξημένη συχνότητα ανεπιθύμητων αντιδράσεων. </w:t>
      </w:r>
    </w:p>
    <w:p w:rsidR="00984BC2" w:rsidRPr="00984BC2" w:rsidRDefault="00984BC2">
      <w:pPr>
        <w:pStyle w:val="Default"/>
        <w:rPr>
          <w:color w:val="auto"/>
          <w:lang w:val="el-GR"/>
        </w:rPr>
      </w:pPr>
    </w:p>
    <w:p w:rsidR="00984BC2" w:rsidRPr="00984BC2" w:rsidRDefault="00A71131">
      <w:pPr>
        <w:pStyle w:val="Default"/>
        <w:rPr>
          <w:color w:val="auto"/>
          <w:lang w:val="el-GR"/>
        </w:rPr>
      </w:pPr>
      <w:r w:rsidRPr="00A71131">
        <w:rPr>
          <w:color w:val="auto"/>
          <w:sz w:val="22"/>
          <w:lang w:val="el-GR"/>
        </w:rPr>
        <w:t xml:space="preserve">Η έναρξη της θεραπείας με σιλοσταζόλη πρέπει να γίνει από </w:t>
      </w:r>
      <w:r w:rsidR="005453E2" w:rsidRPr="00D75110">
        <w:rPr>
          <w:color w:val="auto"/>
          <w:sz w:val="22"/>
          <w:szCs w:val="22"/>
          <w:lang w:val="el-GR"/>
        </w:rPr>
        <w:t>γιατρούς</w:t>
      </w:r>
      <w:r w:rsidRPr="00A71131">
        <w:rPr>
          <w:color w:val="auto"/>
          <w:sz w:val="22"/>
          <w:lang w:val="el-GR"/>
        </w:rPr>
        <w:t xml:space="preserve"> με εμπειρία στο χειρισμό της διαλείπουσας χωλότητας (</w:t>
      </w:r>
      <w:r w:rsidR="00917AD3">
        <w:rPr>
          <w:sz w:val="22"/>
          <w:szCs w:val="22"/>
          <w:lang w:val="el-GR" w:eastAsia="el-GR"/>
        </w:rPr>
        <w:t xml:space="preserve"> </w:t>
      </w:r>
      <w:r w:rsidR="005453E2" w:rsidRPr="00D75110">
        <w:rPr>
          <w:color w:val="auto"/>
          <w:sz w:val="22"/>
          <w:szCs w:val="22"/>
          <w:lang w:val="el-GR"/>
        </w:rPr>
        <w:t>βλ</w:t>
      </w:r>
      <w:r w:rsidR="000F3E15" w:rsidRPr="00D75110">
        <w:rPr>
          <w:color w:val="auto"/>
          <w:sz w:val="22"/>
          <w:szCs w:val="22"/>
          <w:lang w:val="el-GR"/>
        </w:rPr>
        <w:t>.</w:t>
      </w:r>
      <w:r w:rsidRPr="00A71131">
        <w:rPr>
          <w:color w:val="auto"/>
          <w:sz w:val="22"/>
          <w:lang w:val="el-GR"/>
        </w:rPr>
        <w:t xml:space="preserve"> επίσης παράγραφο 4.4).</w:t>
      </w:r>
    </w:p>
    <w:p w:rsidR="00984BC2" w:rsidRDefault="005453E2">
      <w:pPr>
        <w:pStyle w:val="Default"/>
        <w:rPr>
          <w:color w:val="auto"/>
          <w:sz w:val="22"/>
          <w:lang w:val="el-GR"/>
        </w:rPr>
      </w:pPr>
      <w:r w:rsidRPr="00D75110">
        <w:rPr>
          <w:color w:val="auto"/>
          <w:sz w:val="22"/>
          <w:szCs w:val="22"/>
          <w:lang w:val="el-GR"/>
        </w:rPr>
        <w:t xml:space="preserve"> </w:t>
      </w:r>
    </w:p>
    <w:p w:rsidR="00984BC2" w:rsidRPr="00D200CC" w:rsidRDefault="00A71131" w:rsidP="00984BC2">
      <w:pPr>
        <w:pStyle w:val="Default"/>
        <w:rPr>
          <w:color w:val="auto"/>
          <w:sz w:val="22"/>
          <w:lang w:val="el-GR"/>
        </w:rPr>
      </w:pPr>
      <w:r w:rsidRPr="00A71131">
        <w:rPr>
          <w:color w:val="auto"/>
          <w:sz w:val="22"/>
          <w:lang w:val="el-GR"/>
        </w:rPr>
        <w:t xml:space="preserve">Ο </w:t>
      </w:r>
      <w:r w:rsidR="00917AD3">
        <w:rPr>
          <w:sz w:val="22"/>
          <w:szCs w:val="22"/>
          <w:lang w:val="el-GR" w:eastAsia="el-GR"/>
        </w:rPr>
        <w:t xml:space="preserve"> </w:t>
      </w:r>
      <w:r w:rsidR="005453E2" w:rsidRPr="00D75110">
        <w:rPr>
          <w:color w:val="auto"/>
          <w:sz w:val="22"/>
          <w:szCs w:val="22"/>
          <w:lang w:val="el-GR"/>
        </w:rPr>
        <w:t>γιατρός</w:t>
      </w:r>
      <w:r w:rsidRPr="00A71131">
        <w:rPr>
          <w:color w:val="auto"/>
          <w:sz w:val="22"/>
          <w:lang w:val="el-GR"/>
        </w:rPr>
        <w:t xml:space="preserve"> </w:t>
      </w:r>
      <w:r w:rsidR="00917AD3">
        <w:rPr>
          <w:color w:val="auto"/>
          <w:sz w:val="22"/>
          <w:lang w:val="el-GR"/>
        </w:rPr>
        <w:t xml:space="preserve">θα </w:t>
      </w:r>
      <w:r w:rsidRPr="00A71131">
        <w:rPr>
          <w:color w:val="auto"/>
          <w:sz w:val="22"/>
          <w:lang w:val="el-GR"/>
        </w:rPr>
        <w:t>πρέπει να επαναξιολογήσει τον ασθενή μετά από 3 μήνες θεραπείας με σκοπό τη διακοπή της σιλοσταζόλης όπου παρατηρείται ανεπαρκής επίδραση ή τα συμπτώματα δεν έχουν βελτιωθεί</w:t>
      </w:r>
      <w:r w:rsidR="005453E2" w:rsidRPr="00D75110">
        <w:rPr>
          <w:color w:val="auto"/>
          <w:sz w:val="22"/>
          <w:szCs w:val="22"/>
          <w:lang w:val="el-GR"/>
        </w:rPr>
        <w:t>.</w:t>
      </w:r>
      <w:r w:rsidRPr="00A71131">
        <w:rPr>
          <w:color w:val="auto"/>
          <w:sz w:val="22"/>
          <w:lang w:val="el-GR"/>
        </w:rPr>
        <w:t xml:space="preserve"> </w:t>
      </w:r>
    </w:p>
    <w:p w:rsidR="00984BC2" w:rsidRPr="00D200CC" w:rsidRDefault="00984BC2" w:rsidP="00984BC2">
      <w:pPr>
        <w:pStyle w:val="Default"/>
        <w:rPr>
          <w:color w:val="auto"/>
          <w:sz w:val="22"/>
          <w:lang w:val="el-GR"/>
        </w:rPr>
      </w:pPr>
    </w:p>
    <w:p w:rsidR="00984BC2" w:rsidRDefault="00A71131" w:rsidP="00984BC2">
      <w:pPr>
        <w:pStyle w:val="Default"/>
        <w:rPr>
          <w:sz w:val="22"/>
          <w:lang w:val="el-GR"/>
        </w:rPr>
      </w:pPr>
      <w:r w:rsidRPr="00A71131">
        <w:rPr>
          <w:color w:val="auto"/>
          <w:sz w:val="22"/>
          <w:lang w:val="el-GR"/>
        </w:rPr>
        <w:lastRenderedPageBreak/>
        <w:t xml:space="preserve">Οι ασθενείς που λαμβάνουν θεραπεία με σιλοσταζόλη </w:t>
      </w:r>
      <w:r w:rsidR="00375CEF" w:rsidRPr="00375CEF">
        <w:rPr>
          <w:lang w:val="el-GR"/>
        </w:rPr>
        <w:t xml:space="preserve">θα </w:t>
      </w:r>
      <w:r w:rsidRPr="00A71131">
        <w:rPr>
          <w:color w:val="auto"/>
          <w:sz w:val="22"/>
          <w:lang w:val="el-GR"/>
        </w:rPr>
        <w:t>πρέπει να συνεχίσουν με τις αλλαγές στον τρόπο διαβίωσής τους (διακοπή καπνίσματος και άσκηση</w:t>
      </w:r>
      <w:r w:rsidR="005453E2" w:rsidRPr="00D75110">
        <w:rPr>
          <w:color w:val="auto"/>
          <w:sz w:val="22"/>
          <w:szCs w:val="22"/>
          <w:lang w:val="el-GR"/>
        </w:rPr>
        <w:t>),</w:t>
      </w:r>
      <w:r w:rsidRPr="00A71131">
        <w:rPr>
          <w:color w:val="auto"/>
          <w:sz w:val="22"/>
          <w:lang w:val="el-GR"/>
        </w:rPr>
        <w:t xml:space="preserve"> και τις φαρμακολογικές παρεμβάσεις (όπως μείωση λιπιδίων και αντιαιμοπεταλιακή θεραπεία) για τη μείωση του κινδύνου καρδιαγγειακών επεισοδίων. Η σιλοσταζόλη δεν αποτελεί υποκατάστατο για τέτοιου είδους θεραπείες.</w:t>
      </w:r>
      <w:r w:rsidR="005453E2" w:rsidRPr="00D75110">
        <w:rPr>
          <w:color w:val="auto"/>
          <w:sz w:val="22"/>
          <w:szCs w:val="22"/>
          <w:lang w:val="el-GR"/>
        </w:rPr>
        <w:t xml:space="preserve"> </w:t>
      </w:r>
    </w:p>
    <w:p w:rsidR="00984BC2" w:rsidRDefault="00984BC2"/>
    <w:p w:rsidR="00917AD3" w:rsidRDefault="00A71131">
      <w:r w:rsidRPr="00A71131">
        <w:t xml:space="preserve">Μείωση της δόσης σε 50 mg </w:t>
      </w:r>
      <w:r w:rsidR="00917AD3">
        <w:t xml:space="preserve"> </w:t>
      </w:r>
      <w:r w:rsidR="005453E2" w:rsidRPr="00D75110">
        <w:rPr>
          <w:szCs w:val="22"/>
        </w:rPr>
        <w:t xml:space="preserve">δύο φορές </w:t>
      </w:r>
      <w:r w:rsidR="00C26389" w:rsidRPr="00D75110">
        <w:rPr>
          <w:szCs w:val="22"/>
        </w:rPr>
        <w:t>την ημέρα</w:t>
      </w:r>
      <w:r w:rsidRPr="00A71131">
        <w:t xml:space="preserve"> συνιστάται σε ασθενείς που λαμβάνουν φάρμακα τα οποία αναστέλλουν ισχυρά το CYP3A4, για παράδειγμα ορισμένα μακρολίδια, αντιμυκητιασικά αζόλης, αναστολείς πρωτεάσης</w:t>
      </w:r>
      <w:r w:rsidR="005453E2" w:rsidRPr="00D75110">
        <w:rPr>
          <w:szCs w:val="22"/>
        </w:rPr>
        <w:t>,</w:t>
      </w:r>
      <w:r w:rsidRPr="00A71131">
        <w:t xml:space="preserve"> ή φάρμακα που αναστέλλουν ισχυρά το CYP2C19, για παράδειγμα </w:t>
      </w:r>
      <w:r w:rsidR="00D74854" w:rsidRPr="00D75110">
        <w:rPr>
          <w:szCs w:val="22"/>
        </w:rPr>
        <w:t xml:space="preserve">η </w:t>
      </w:r>
      <w:r w:rsidRPr="00A71131">
        <w:t>ομεπραζόλη (</w:t>
      </w:r>
      <w:r w:rsidR="005453E2" w:rsidRPr="00D75110">
        <w:rPr>
          <w:szCs w:val="22"/>
        </w:rPr>
        <w:t>βλ</w:t>
      </w:r>
      <w:r w:rsidR="000F3E15" w:rsidRPr="00D75110">
        <w:rPr>
          <w:szCs w:val="22"/>
        </w:rPr>
        <w:t>.</w:t>
      </w:r>
      <w:r w:rsidRPr="00A71131">
        <w:t xml:space="preserve"> παραγράφους 4.4 και 4.5).</w:t>
      </w:r>
    </w:p>
    <w:p w:rsidR="00984BC2" w:rsidRDefault="00984BC2"/>
    <w:p w:rsidR="00984BC2" w:rsidRPr="00984BC2" w:rsidRDefault="00D74854">
      <w:pPr>
        <w:pStyle w:val="Default"/>
        <w:rPr>
          <w:i/>
          <w:color w:val="auto"/>
          <w:lang w:val="el-GR"/>
        </w:rPr>
      </w:pPr>
      <w:r w:rsidRPr="00D75110">
        <w:rPr>
          <w:i/>
          <w:color w:val="auto"/>
          <w:sz w:val="22"/>
          <w:szCs w:val="22"/>
          <w:lang w:val="el-GR"/>
        </w:rPr>
        <w:t>Ηλικιωμένα άτομα</w:t>
      </w:r>
      <w:r w:rsidR="00A71131" w:rsidRPr="00A71131">
        <w:rPr>
          <w:i/>
          <w:color w:val="auto"/>
          <w:sz w:val="22"/>
          <w:lang w:val="el-GR"/>
        </w:rPr>
        <w:t xml:space="preserve"> </w:t>
      </w:r>
    </w:p>
    <w:p w:rsidR="00984BC2" w:rsidRDefault="00A71131">
      <w:pPr>
        <w:pStyle w:val="Default"/>
        <w:rPr>
          <w:color w:val="auto"/>
          <w:sz w:val="22"/>
          <w:lang w:val="el-GR"/>
        </w:rPr>
      </w:pPr>
      <w:r w:rsidRPr="00A71131">
        <w:rPr>
          <w:color w:val="auto"/>
          <w:sz w:val="22"/>
          <w:lang w:val="el-GR"/>
        </w:rPr>
        <w:t>Δεν υπάρχουν ειδικές απαιτήσεις σχετικά με τη δοσολογία για τους ηλικιωμένους</w:t>
      </w:r>
      <w:r w:rsidR="00D74854" w:rsidRPr="00D75110">
        <w:rPr>
          <w:color w:val="auto"/>
          <w:sz w:val="22"/>
          <w:szCs w:val="22"/>
          <w:lang w:val="el-GR"/>
        </w:rPr>
        <w:t xml:space="preserve">. </w:t>
      </w:r>
    </w:p>
    <w:p w:rsidR="00984BC2" w:rsidRDefault="00984BC2">
      <w:pPr>
        <w:pStyle w:val="Default"/>
        <w:rPr>
          <w:sz w:val="22"/>
          <w:lang w:val="el-GR"/>
        </w:rPr>
      </w:pPr>
    </w:p>
    <w:p w:rsidR="00984BC2" w:rsidRPr="00984BC2" w:rsidRDefault="00A71131">
      <w:pPr>
        <w:pStyle w:val="Default"/>
        <w:rPr>
          <w:i/>
          <w:color w:val="auto"/>
          <w:lang w:val="el-GR"/>
        </w:rPr>
      </w:pPr>
      <w:r w:rsidRPr="00A71131">
        <w:rPr>
          <w:i/>
          <w:color w:val="auto"/>
          <w:sz w:val="22"/>
          <w:lang w:val="el-GR"/>
        </w:rPr>
        <w:t xml:space="preserve">Παιδιατρικός πληθυσμός </w:t>
      </w:r>
    </w:p>
    <w:p w:rsidR="00984BC2" w:rsidRDefault="00A71131">
      <w:pPr>
        <w:pStyle w:val="Default"/>
        <w:rPr>
          <w:sz w:val="22"/>
          <w:lang w:val="el-GR"/>
        </w:rPr>
      </w:pPr>
      <w:r w:rsidRPr="00A71131">
        <w:rPr>
          <w:color w:val="auto"/>
          <w:sz w:val="22"/>
          <w:lang w:val="el-GR"/>
        </w:rPr>
        <w:t xml:space="preserve">Η ασφάλεια και </w:t>
      </w:r>
      <w:r w:rsidR="00D74854" w:rsidRPr="00D75110">
        <w:rPr>
          <w:color w:val="auto"/>
          <w:sz w:val="22"/>
          <w:szCs w:val="22"/>
          <w:lang w:val="el-GR"/>
        </w:rPr>
        <w:t xml:space="preserve">η </w:t>
      </w:r>
      <w:r w:rsidRPr="00A71131">
        <w:rPr>
          <w:color w:val="auto"/>
          <w:sz w:val="22"/>
          <w:lang w:val="el-GR"/>
        </w:rPr>
        <w:t>αποτελεσματικότητα σε παιδιά δεν έχουν τεκμηριωθεί.</w:t>
      </w:r>
      <w:r w:rsidR="00D74854" w:rsidRPr="00D75110">
        <w:rPr>
          <w:color w:val="auto"/>
          <w:sz w:val="22"/>
          <w:szCs w:val="22"/>
          <w:lang w:val="el-GR"/>
        </w:rPr>
        <w:t xml:space="preserve"> </w:t>
      </w:r>
    </w:p>
    <w:p w:rsidR="00984BC2" w:rsidRDefault="00984BC2">
      <w:pPr>
        <w:pStyle w:val="Default"/>
        <w:rPr>
          <w:sz w:val="22"/>
          <w:lang w:val="el-GR"/>
        </w:rPr>
      </w:pPr>
    </w:p>
    <w:p w:rsidR="00984BC2" w:rsidRPr="00984BC2" w:rsidRDefault="00D74854">
      <w:pPr>
        <w:pStyle w:val="Default"/>
        <w:rPr>
          <w:i/>
          <w:color w:val="auto"/>
          <w:lang w:val="el-GR"/>
        </w:rPr>
      </w:pPr>
      <w:r w:rsidRPr="00D75110">
        <w:rPr>
          <w:i/>
          <w:color w:val="auto"/>
          <w:sz w:val="22"/>
          <w:szCs w:val="22"/>
          <w:lang w:val="el-GR"/>
        </w:rPr>
        <w:t>Ασθενείς με νεφρική</w:t>
      </w:r>
      <w:r w:rsidR="00A71131" w:rsidRPr="00A71131">
        <w:rPr>
          <w:i/>
          <w:color w:val="auto"/>
          <w:sz w:val="22"/>
          <w:lang w:val="el-GR"/>
        </w:rPr>
        <w:t xml:space="preserve"> δυσλειτουργία </w:t>
      </w:r>
    </w:p>
    <w:p w:rsidR="00917AD3" w:rsidRPr="00917AD3" w:rsidRDefault="00A71131">
      <w:pPr>
        <w:pStyle w:val="Default"/>
        <w:rPr>
          <w:color w:val="auto"/>
          <w:lang w:val="el-GR"/>
        </w:rPr>
      </w:pPr>
      <w:r w:rsidRPr="00A71131">
        <w:rPr>
          <w:color w:val="auto"/>
          <w:sz w:val="22"/>
          <w:lang w:val="el-GR"/>
        </w:rPr>
        <w:t xml:space="preserve">Δεν απαιτείται </w:t>
      </w:r>
      <w:r w:rsidR="007F09E1" w:rsidRPr="007F09E1">
        <w:rPr>
          <w:lang w:val="el-GR" w:eastAsia="el-GR"/>
        </w:rPr>
        <w:t>ρύθμιση</w:t>
      </w:r>
      <w:r w:rsidRPr="00A71131">
        <w:rPr>
          <w:color w:val="auto"/>
          <w:sz w:val="22"/>
          <w:lang w:val="el-GR"/>
        </w:rPr>
        <w:t xml:space="preserve"> της δόσης σε ασθενείς με κάθαρση κρεατινίνης &gt; 25 </w:t>
      </w:r>
      <w:r w:rsidRPr="00A71131">
        <w:rPr>
          <w:color w:val="auto"/>
          <w:sz w:val="22"/>
        </w:rPr>
        <w:t>ml</w:t>
      </w:r>
      <w:r w:rsidRPr="00A71131">
        <w:rPr>
          <w:color w:val="auto"/>
          <w:sz w:val="22"/>
          <w:lang w:val="el-GR"/>
        </w:rPr>
        <w:t>/</w:t>
      </w:r>
      <w:r w:rsidRPr="00A71131">
        <w:rPr>
          <w:color w:val="auto"/>
          <w:sz w:val="22"/>
        </w:rPr>
        <w:t>min</w:t>
      </w:r>
      <w:r w:rsidRPr="00A71131">
        <w:rPr>
          <w:color w:val="auto"/>
          <w:sz w:val="22"/>
          <w:lang w:val="el-GR"/>
        </w:rPr>
        <w:t>.</w:t>
      </w:r>
      <w:r w:rsidR="00D74854" w:rsidRPr="00D75110">
        <w:rPr>
          <w:color w:val="auto"/>
          <w:sz w:val="22"/>
          <w:szCs w:val="22"/>
          <w:lang w:val="el-GR"/>
        </w:rPr>
        <w:t xml:space="preserve"> </w:t>
      </w:r>
      <w:r w:rsidR="003B7AF9" w:rsidRPr="00D75110">
        <w:rPr>
          <w:color w:val="auto"/>
          <w:sz w:val="22"/>
          <w:szCs w:val="22"/>
          <w:lang w:val="el-GR"/>
        </w:rPr>
        <w:t xml:space="preserve">Το </w:t>
      </w:r>
      <w:r w:rsidR="000A65D4">
        <w:rPr>
          <w:color w:val="auto"/>
          <w:sz w:val="22"/>
          <w:szCs w:val="22"/>
        </w:rPr>
        <w:t>Cilostazol</w:t>
      </w:r>
      <w:r w:rsidR="000A65D4" w:rsidRPr="000A65D4">
        <w:rPr>
          <w:color w:val="auto"/>
          <w:sz w:val="22"/>
          <w:szCs w:val="22"/>
          <w:lang w:val="el-GR"/>
        </w:rPr>
        <w:t>/</w:t>
      </w:r>
      <w:r w:rsidR="000A65D4">
        <w:rPr>
          <w:color w:val="auto"/>
          <w:sz w:val="22"/>
          <w:szCs w:val="22"/>
        </w:rPr>
        <w:t>Galenica</w:t>
      </w:r>
      <w:r w:rsidR="000A65D4" w:rsidRPr="000A65D4">
        <w:rPr>
          <w:color w:val="auto"/>
          <w:sz w:val="22"/>
          <w:szCs w:val="22"/>
          <w:lang w:val="el-GR"/>
        </w:rPr>
        <w:t xml:space="preserve"> </w:t>
      </w:r>
      <w:r w:rsidRPr="00A71131">
        <w:rPr>
          <w:color w:val="auto"/>
          <w:sz w:val="22"/>
          <w:lang w:val="el-GR"/>
        </w:rPr>
        <w:t xml:space="preserve">αντενδείκνυται σε ασθενείς με κάθαρση κρεατινίνης ≤ 25 </w:t>
      </w:r>
      <w:r w:rsidRPr="00A71131">
        <w:rPr>
          <w:color w:val="auto"/>
          <w:sz w:val="22"/>
        </w:rPr>
        <w:t>ml</w:t>
      </w:r>
      <w:r w:rsidRPr="00A71131">
        <w:rPr>
          <w:color w:val="auto"/>
          <w:sz w:val="22"/>
          <w:lang w:val="el-GR"/>
        </w:rPr>
        <w:t>/</w:t>
      </w:r>
      <w:r w:rsidRPr="00A71131">
        <w:rPr>
          <w:color w:val="auto"/>
          <w:sz w:val="22"/>
        </w:rPr>
        <w:t>min</w:t>
      </w:r>
      <w:r w:rsidRPr="00A71131">
        <w:rPr>
          <w:color w:val="auto"/>
          <w:sz w:val="22"/>
          <w:lang w:val="el-GR"/>
        </w:rPr>
        <w:t xml:space="preserve">. </w:t>
      </w:r>
    </w:p>
    <w:p w:rsidR="00984BC2" w:rsidRPr="00984BC2" w:rsidRDefault="00984BC2">
      <w:pPr>
        <w:pStyle w:val="Default"/>
        <w:rPr>
          <w:color w:val="auto"/>
          <w:lang w:val="el-GR"/>
        </w:rPr>
      </w:pPr>
    </w:p>
    <w:p w:rsidR="00984BC2" w:rsidRPr="00984BC2" w:rsidRDefault="00A71131">
      <w:pPr>
        <w:pStyle w:val="Default"/>
        <w:rPr>
          <w:i/>
          <w:color w:val="auto"/>
          <w:lang w:val="el-GR"/>
        </w:rPr>
      </w:pPr>
      <w:r w:rsidRPr="00A71131">
        <w:rPr>
          <w:i/>
          <w:color w:val="auto"/>
          <w:sz w:val="22"/>
          <w:lang w:val="el-GR"/>
        </w:rPr>
        <w:t xml:space="preserve">Ηπατική δυσλειτουργία </w:t>
      </w:r>
    </w:p>
    <w:p w:rsidR="00984BC2" w:rsidRDefault="00A71131">
      <w:r w:rsidRPr="00A71131">
        <w:t xml:space="preserve">Δεν απαιτείται ρύθμιση της δόσης σε ασθενείς με ήπια ηπατική νόσο. Δεν υπάρχουν διαθέσιμα δεδομένα σε ασθενείς με μέτρια ή </w:t>
      </w:r>
      <w:r w:rsidR="0014242B" w:rsidRPr="00D75110">
        <w:rPr>
          <w:szCs w:val="22"/>
        </w:rPr>
        <w:t>σοβαρή</w:t>
      </w:r>
      <w:r w:rsidRPr="00A71131">
        <w:t xml:space="preserve"> ηπατική δυσλειτουργία. Επειδή η σιλοσταζόλη μεταβολίζεται εκτενώς από τα ηπατικά ένζυμα, αντενδείκνυται σε ασθενείς με μέτρια ή </w:t>
      </w:r>
      <w:r w:rsidR="00712F10" w:rsidRPr="00D75110">
        <w:rPr>
          <w:szCs w:val="22"/>
        </w:rPr>
        <w:t>σοβαρή</w:t>
      </w:r>
      <w:r w:rsidRPr="00A71131">
        <w:t xml:space="preserve"> ηπατική δυσλειτουργία</w:t>
      </w:r>
      <w:r w:rsidR="00D74854" w:rsidRPr="00D75110">
        <w:rPr>
          <w:szCs w:val="22"/>
        </w:rPr>
        <w:t>.</w:t>
      </w:r>
      <w:r w:rsidR="005453E2" w:rsidRPr="00D75110">
        <w:rPr>
          <w:szCs w:val="22"/>
        </w:rPr>
        <w:t xml:space="preserve"> </w:t>
      </w:r>
    </w:p>
    <w:p w:rsidR="00984BC2" w:rsidRDefault="00984BC2"/>
    <w:p w:rsidR="00984BC2" w:rsidRDefault="00A71131">
      <w:r w:rsidRPr="00A71131">
        <w:rPr>
          <w:b/>
        </w:rPr>
        <w:t>4.3</w:t>
      </w:r>
      <w:r w:rsidR="00496809" w:rsidRPr="00D75110">
        <w:rPr>
          <w:b/>
          <w:szCs w:val="22"/>
        </w:rPr>
        <w:tab/>
      </w:r>
      <w:r w:rsidRPr="00A71131">
        <w:rPr>
          <w:b/>
        </w:rPr>
        <w:t>Αντενδείξεις</w:t>
      </w:r>
    </w:p>
    <w:p w:rsidR="00496809" w:rsidRPr="00D75110" w:rsidRDefault="00496809" w:rsidP="005453E2">
      <w:pPr>
        <w:rPr>
          <w:szCs w:val="22"/>
        </w:rPr>
      </w:pPr>
    </w:p>
    <w:p w:rsidR="00984BC2" w:rsidRDefault="00D74854">
      <w:pPr>
        <w:ind w:left="360" w:hanging="360"/>
      </w:pPr>
      <w:r w:rsidRPr="00D75110">
        <w:rPr>
          <w:szCs w:val="22"/>
        </w:rPr>
        <w:t xml:space="preserve">• </w:t>
      </w:r>
      <w:r w:rsidRPr="00D75110">
        <w:rPr>
          <w:szCs w:val="22"/>
        </w:rPr>
        <w:tab/>
      </w:r>
      <w:r w:rsidRPr="00D75110">
        <w:rPr>
          <w:noProof/>
          <w:szCs w:val="22"/>
        </w:rPr>
        <w:t>Υπερευαισθησία στη δραστική ουσία</w:t>
      </w:r>
      <w:r w:rsidR="00A71131" w:rsidRPr="00A71131">
        <w:t xml:space="preserve"> ή σε κάποιο από τα έκδοχα που αναφέρονται στην παράγραφο 6.1.</w:t>
      </w:r>
    </w:p>
    <w:p w:rsidR="00917AD3"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t>Σοβαρή</w:t>
      </w:r>
      <w:r w:rsidR="00A71131" w:rsidRPr="00A71131">
        <w:rPr>
          <w:color w:val="auto"/>
          <w:sz w:val="22"/>
          <w:lang w:val="el-GR"/>
        </w:rPr>
        <w:t xml:space="preserve"> νεφρική </w:t>
      </w:r>
      <w:r w:rsidRPr="00D75110">
        <w:rPr>
          <w:color w:val="auto"/>
          <w:sz w:val="22"/>
          <w:szCs w:val="22"/>
          <w:lang w:val="el-GR"/>
        </w:rPr>
        <w:t>δυσλειτουργία</w:t>
      </w:r>
      <w:r w:rsidR="00A71131" w:rsidRPr="00A71131">
        <w:rPr>
          <w:color w:val="auto"/>
          <w:sz w:val="22"/>
          <w:lang w:val="el-GR"/>
        </w:rPr>
        <w:t xml:space="preserve">: κάθαρση κρεατινίνης ≤ 25 </w:t>
      </w:r>
      <w:r w:rsidR="00A71131" w:rsidRPr="00A71131">
        <w:rPr>
          <w:color w:val="auto"/>
          <w:sz w:val="22"/>
        </w:rPr>
        <w:t>ml</w:t>
      </w:r>
      <w:r w:rsidR="00A71131" w:rsidRPr="00A71131">
        <w:rPr>
          <w:color w:val="auto"/>
          <w:sz w:val="22"/>
          <w:lang w:val="el-GR"/>
        </w:rPr>
        <w:t>/</w:t>
      </w:r>
      <w:r w:rsidR="00A71131" w:rsidRPr="00A71131">
        <w:rPr>
          <w:color w:val="auto"/>
          <w:sz w:val="22"/>
        </w:rPr>
        <w:t>min</w:t>
      </w:r>
      <w:r w:rsidR="00A71131" w:rsidRPr="00A71131">
        <w:rPr>
          <w:color w:val="auto"/>
          <w:sz w:val="22"/>
          <w:lang w:val="el-GR"/>
        </w:rPr>
        <w:t>.</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Pr="00D75110">
        <w:rPr>
          <w:color w:val="auto"/>
          <w:sz w:val="22"/>
          <w:szCs w:val="22"/>
        </w:rPr>
        <w:t>M</w:t>
      </w:r>
      <w:r w:rsidRPr="00D75110">
        <w:rPr>
          <w:color w:val="auto"/>
          <w:sz w:val="22"/>
          <w:szCs w:val="22"/>
          <w:lang w:val="el-GR"/>
        </w:rPr>
        <w:t>έτρια</w:t>
      </w:r>
      <w:r w:rsidR="00A71131" w:rsidRPr="00A71131">
        <w:rPr>
          <w:color w:val="auto"/>
          <w:sz w:val="22"/>
          <w:lang w:val="el-GR"/>
        </w:rPr>
        <w:t xml:space="preserve"> ή </w:t>
      </w:r>
      <w:r w:rsidRPr="00D75110">
        <w:rPr>
          <w:color w:val="auto"/>
          <w:sz w:val="22"/>
          <w:szCs w:val="22"/>
          <w:lang w:val="el-GR"/>
        </w:rPr>
        <w:t>σοβαρή</w:t>
      </w:r>
      <w:r w:rsidR="00A71131" w:rsidRPr="00A71131">
        <w:rPr>
          <w:color w:val="auto"/>
          <w:sz w:val="22"/>
          <w:lang w:val="el-GR"/>
        </w:rPr>
        <w:t xml:space="preserve"> ηπατική δυσλειτουργία.</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Συμφορητική καρδιακή ανεπάρκεια.</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Εγκυμοσύνη.</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Ασθενείς με τυχόν γνωστή προδιάθεση για αιμορραγία (π.χ. ενεργό πεπτικό έλκος, πρόσφατο (τους τελευταίους έξι μήνες) αιμορραγικό αγγειακό εγκεφαλικό επεισόδιο, υπερπλαστική διαβητική αμφιβληστροειδοπάθεια, ανεπαρκώς ελεγχόμενη υπέρταση).</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Ασθενείς με</w:t>
      </w:r>
      <w:r w:rsidRPr="00D75110">
        <w:rPr>
          <w:color w:val="auto"/>
          <w:sz w:val="22"/>
          <w:szCs w:val="22"/>
          <w:lang w:val="el-GR"/>
        </w:rPr>
        <w:t xml:space="preserve"> τυχόν</w:t>
      </w:r>
      <w:r w:rsidR="00A71131" w:rsidRPr="00A71131">
        <w:rPr>
          <w:color w:val="auto"/>
          <w:sz w:val="22"/>
          <w:lang w:val="el-GR"/>
        </w:rPr>
        <w:t xml:space="preserve"> ιστορικό κοιλιακής ταχυκαρδίας, κοιλιακής μαρμαρυγής ή πολυεστιακών κοιλιακών εκτακτοσυστολών, είτε έλαβαν κατάλληλη θεραπεία είτε όχι</w:t>
      </w:r>
      <w:r w:rsidRPr="00D75110">
        <w:rPr>
          <w:color w:val="auto"/>
          <w:sz w:val="22"/>
          <w:szCs w:val="22"/>
          <w:lang w:val="el-GR"/>
        </w:rPr>
        <w:t>,</w:t>
      </w:r>
      <w:r w:rsidR="00A71131" w:rsidRPr="00A71131">
        <w:rPr>
          <w:color w:val="auto"/>
          <w:sz w:val="22"/>
          <w:lang w:val="el-GR"/>
        </w:rPr>
        <w:t xml:space="preserve"> και σε ασθενείς με παράταση του διαστήματος </w:t>
      </w:r>
      <w:r w:rsidR="00A71131" w:rsidRPr="00A71131">
        <w:rPr>
          <w:color w:val="auto"/>
          <w:sz w:val="22"/>
        </w:rPr>
        <w:t>QTc</w:t>
      </w:r>
      <w:r w:rsidR="00A71131" w:rsidRPr="00A71131">
        <w:rPr>
          <w:color w:val="auto"/>
          <w:sz w:val="22"/>
          <w:lang w:val="el-GR"/>
        </w:rPr>
        <w:t>.</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Ασθενείς με ιστορικό σοβαρής ταχυαρρυθμίας</w:t>
      </w:r>
      <w:r w:rsidR="000F3E15" w:rsidRPr="00D75110">
        <w:rPr>
          <w:color w:val="auto"/>
          <w:sz w:val="22"/>
          <w:szCs w:val="22"/>
          <w:lang w:val="el-GR"/>
        </w:rPr>
        <w:t>.</w:t>
      </w:r>
      <w:r w:rsidRPr="00D75110">
        <w:rPr>
          <w:color w:val="auto"/>
          <w:sz w:val="22"/>
          <w:szCs w:val="22"/>
          <w:lang w:val="el-GR"/>
        </w:rPr>
        <w:t xml:space="preserve">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 xml:space="preserve">Ασθενείς που λαμβάνουν ταυτόχρονη θεραπεία με δύο ή περισσότερους επιπρόσθετους </w:t>
      </w:r>
      <w:r w:rsidR="002323F0" w:rsidRPr="00D200CC">
        <w:rPr>
          <w:color w:val="auto"/>
          <w:sz w:val="22"/>
          <w:lang w:val="el-GR"/>
        </w:rPr>
        <w:t xml:space="preserve"> </w:t>
      </w:r>
      <w:r w:rsidRPr="00D200CC">
        <w:rPr>
          <w:color w:val="auto"/>
          <w:sz w:val="22"/>
          <w:lang w:val="el-GR"/>
        </w:rPr>
        <w:t>αντιαιμοπεταλιακούς</w:t>
      </w:r>
      <w:r w:rsidR="00A71131" w:rsidRPr="00A71131">
        <w:rPr>
          <w:color w:val="auto"/>
          <w:sz w:val="22"/>
          <w:lang w:val="el-GR"/>
        </w:rPr>
        <w:t xml:space="preserve"> ή αντιπηκτικούς παράγοντες (π.χ. ακετυλοσαλικυλικό οξύ, κλοπιδογρέλη, ηπαρίνη, βαρφαρίνη, ασενοκουμαρόλη, </w:t>
      </w:r>
      <w:r w:rsidR="0029672E" w:rsidRPr="00D200CC">
        <w:rPr>
          <w:color w:val="auto"/>
          <w:sz w:val="22"/>
          <w:lang w:val="el-GR"/>
        </w:rPr>
        <w:t>δαμπιγκατράν</w:t>
      </w:r>
      <w:r w:rsidR="00984BC2" w:rsidRPr="00D200CC">
        <w:rPr>
          <w:color w:val="auto"/>
          <w:sz w:val="22"/>
          <w:lang w:val="el-GR"/>
        </w:rPr>
        <w:t>η</w:t>
      </w:r>
      <w:r w:rsidR="00A71131" w:rsidRPr="00A71131">
        <w:rPr>
          <w:color w:val="auto"/>
          <w:sz w:val="22"/>
          <w:lang w:val="el-GR"/>
        </w:rPr>
        <w:t xml:space="preserve">, ριβαροξαμπάνη ή απιξαμπάνη). </w:t>
      </w:r>
    </w:p>
    <w:p w:rsidR="00984BC2" w:rsidRDefault="00D74854">
      <w:pPr>
        <w:pStyle w:val="Default"/>
        <w:ind w:left="360" w:hanging="360"/>
        <w:rPr>
          <w:color w:val="auto"/>
          <w:sz w:val="22"/>
          <w:lang w:val="el-GR"/>
        </w:rPr>
      </w:pPr>
      <w:r w:rsidRPr="00D75110">
        <w:rPr>
          <w:color w:val="auto"/>
          <w:sz w:val="22"/>
          <w:szCs w:val="22"/>
          <w:lang w:val="el-GR"/>
        </w:rPr>
        <w:t xml:space="preserve">• </w:t>
      </w:r>
      <w:r w:rsidRPr="00D75110">
        <w:rPr>
          <w:color w:val="auto"/>
          <w:sz w:val="22"/>
          <w:szCs w:val="22"/>
          <w:lang w:val="el-GR"/>
        </w:rPr>
        <w:tab/>
      </w:r>
      <w:r w:rsidR="00A71131" w:rsidRPr="00A71131">
        <w:rPr>
          <w:color w:val="auto"/>
          <w:sz w:val="22"/>
          <w:lang w:val="el-GR"/>
        </w:rPr>
        <w:t xml:space="preserve">Ασθενείς με </w:t>
      </w:r>
      <w:r w:rsidRPr="00D75110">
        <w:rPr>
          <w:color w:val="auto"/>
          <w:sz w:val="22"/>
          <w:szCs w:val="22"/>
          <w:lang w:val="el-GR"/>
        </w:rPr>
        <w:t>ασταθή</w:t>
      </w:r>
      <w:r w:rsidR="00A71131" w:rsidRPr="00A71131">
        <w:rPr>
          <w:color w:val="auto"/>
          <w:sz w:val="22"/>
          <w:lang w:val="el-GR"/>
        </w:rPr>
        <w:t xml:space="preserve"> στηθάγχη, έμφραγμα του μυοκαρδίου </w:t>
      </w:r>
      <w:r w:rsidR="006A2401" w:rsidRPr="00D75110">
        <w:rPr>
          <w:color w:val="auto"/>
          <w:sz w:val="22"/>
          <w:szCs w:val="22"/>
          <w:lang w:val="el-GR"/>
        </w:rPr>
        <w:t>εντός των τελευταίων</w:t>
      </w:r>
      <w:r w:rsidR="00A71131" w:rsidRPr="00A71131">
        <w:rPr>
          <w:color w:val="auto"/>
          <w:sz w:val="22"/>
          <w:lang w:val="el-GR"/>
        </w:rPr>
        <w:t xml:space="preserve"> 6 </w:t>
      </w:r>
      <w:r w:rsidR="006A2401" w:rsidRPr="00D75110">
        <w:rPr>
          <w:color w:val="auto"/>
          <w:sz w:val="22"/>
          <w:szCs w:val="22"/>
          <w:lang w:val="el-GR"/>
        </w:rPr>
        <w:t>μηνών</w:t>
      </w:r>
      <w:r w:rsidR="00A71131" w:rsidRPr="00A71131">
        <w:rPr>
          <w:color w:val="auto"/>
          <w:sz w:val="22"/>
          <w:lang w:val="el-GR"/>
        </w:rPr>
        <w:t xml:space="preserve"> ή παρέμβαση της στεφανιαίας τους τελευταίους 6 μήνες. </w:t>
      </w:r>
    </w:p>
    <w:p w:rsidR="00984BC2" w:rsidRDefault="00984BC2"/>
    <w:p w:rsidR="00984BC2" w:rsidRDefault="00984BC2"/>
    <w:p w:rsidR="00443696" w:rsidRPr="00917AD3" w:rsidRDefault="00443696" w:rsidP="005453E2">
      <w:pPr>
        <w:rPr>
          <w:szCs w:val="22"/>
        </w:rPr>
      </w:pPr>
    </w:p>
    <w:p w:rsidR="00443696" w:rsidRPr="00917AD3" w:rsidRDefault="00443696" w:rsidP="005453E2">
      <w:pPr>
        <w:rPr>
          <w:szCs w:val="22"/>
        </w:rPr>
      </w:pPr>
    </w:p>
    <w:p w:rsidR="00443696" w:rsidRPr="00917AD3" w:rsidRDefault="00443696" w:rsidP="005453E2">
      <w:pPr>
        <w:rPr>
          <w:szCs w:val="22"/>
        </w:rPr>
      </w:pPr>
    </w:p>
    <w:p w:rsidR="00443696" w:rsidRPr="00917AD3" w:rsidRDefault="00443696" w:rsidP="005453E2">
      <w:pPr>
        <w:rPr>
          <w:szCs w:val="22"/>
        </w:rPr>
      </w:pPr>
    </w:p>
    <w:p w:rsidR="00443696" w:rsidRPr="00917AD3" w:rsidRDefault="00443696" w:rsidP="005453E2">
      <w:pPr>
        <w:rPr>
          <w:szCs w:val="22"/>
        </w:rPr>
      </w:pPr>
    </w:p>
    <w:p w:rsidR="00443696" w:rsidRPr="00917AD3" w:rsidRDefault="00443696" w:rsidP="005453E2">
      <w:pPr>
        <w:rPr>
          <w:szCs w:val="22"/>
        </w:rPr>
      </w:pPr>
    </w:p>
    <w:p w:rsidR="00443696" w:rsidRPr="00917AD3" w:rsidRDefault="00443696" w:rsidP="005453E2">
      <w:pPr>
        <w:rPr>
          <w:szCs w:val="22"/>
        </w:rPr>
      </w:pPr>
    </w:p>
    <w:p w:rsidR="00984BC2" w:rsidRDefault="00A71131">
      <w:r w:rsidRPr="00A71131">
        <w:rPr>
          <w:b/>
        </w:rPr>
        <w:t>4.4</w:t>
      </w:r>
      <w:r w:rsidR="00496809" w:rsidRPr="00D75110">
        <w:rPr>
          <w:b/>
          <w:szCs w:val="22"/>
        </w:rPr>
        <w:tab/>
      </w:r>
      <w:r w:rsidRPr="00A71131">
        <w:rPr>
          <w:b/>
        </w:rPr>
        <w:t>Ειδικές προειδοποιήσεις και προφυλάξεις κατά τη χρήση</w:t>
      </w:r>
    </w:p>
    <w:p w:rsidR="00984BC2" w:rsidRDefault="00984BC2">
      <w:pPr>
        <w:rPr>
          <w:i/>
        </w:rPr>
      </w:pPr>
    </w:p>
    <w:p w:rsidR="00984BC2" w:rsidRPr="00984BC2" w:rsidRDefault="00A71131">
      <w:pPr>
        <w:pStyle w:val="Default"/>
        <w:rPr>
          <w:lang w:val="el-GR"/>
        </w:rPr>
      </w:pPr>
      <w:r w:rsidRPr="00A71131">
        <w:rPr>
          <w:color w:val="auto"/>
          <w:sz w:val="22"/>
          <w:lang w:val="el-GR"/>
        </w:rPr>
        <w:lastRenderedPageBreak/>
        <w:t xml:space="preserve">Η καταλληλότητα της θεραπείας με σιλοσταζόλη </w:t>
      </w:r>
      <w:r w:rsidR="004139C5" w:rsidRPr="004139C5">
        <w:rPr>
          <w:lang w:val="el-GR"/>
        </w:rPr>
        <w:t xml:space="preserve">θα </w:t>
      </w:r>
      <w:r w:rsidRPr="00A71131">
        <w:rPr>
          <w:color w:val="auto"/>
          <w:sz w:val="22"/>
          <w:lang w:val="el-GR"/>
        </w:rPr>
        <w:t>πρέπει να εξεταστεί προσεκτικά παράλληλα με άλλες θεραπευτικές επιλογές όπως η επαναγγείωση.</w:t>
      </w:r>
      <w:r w:rsidR="00D74854" w:rsidRPr="00D75110">
        <w:rPr>
          <w:color w:val="auto"/>
          <w:sz w:val="22"/>
          <w:szCs w:val="22"/>
          <w:lang w:val="el-GR"/>
        </w:rPr>
        <w:t xml:space="preserve"> </w:t>
      </w:r>
    </w:p>
    <w:p w:rsidR="00984BC2" w:rsidRPr="00984BC2" w:rsidRDefault="00984BC2">
      <w:pPr>
        <w:pStyle w:val="Default"/>
        <w:rPr>
          <w:lang w:val="el-GR"/>
        </w:rPr>
      </w:pPr>
    </w:p>
    <w:p w:rsidR="00984BC2" w:rsidRPr="00984BC2" w:rsidRDefault="00A71131">
      <w:pPr>
        <w:pStyle w:val="Default"/>
        <w:rPr>
          <w:lang w:val="el-GR"/>
        </w:rPr>
      </w:pPr>
      <w:r w:rsidRPr="00A71131">
        <w:rPr>
          <w:color w:val="auto"/>
          <w:sz w:val="22"/>
          <w:lang w:val="el-GR"/>
        </w:rPr>
        <w:t xml:space="preserve">Με βάση το μηχανισμό δράσης της, η σιλοσταζόλη μπορεί να επάγει ταχυκαρδία, αίσθημα παλμών, ταχυαρρυθμία και/ή υπόταση. Η αύξηση του καρδιακού ρυθμού που σχετίζεται με τη σιλοσταζόλη είναι περίπου 5 έως 7 </w:t>
      </w:r>
      <w:r w:rsidRPr="00A71131">
        <w:rPr>
          <w:color w:val="auto"/>
          <w:sz w:val="22"/>
        </w:rPr>
        <w:t>bpm</w:t>
      </w:r>
      <w:r w:rsidRPr="00A71131">
        <w:rPr>
          <w:color w:val="auto"/>
          <w:sz w:val="22"/>
          <w:lang w:val="el-GR"/>
        </w:rPr>
        <w:t>. Σε ασθενείς που διατρέχουν κίνδυνο κατά συνέπεια αυτό μπορεί να επάγει στηθάγχη.</w:t>
      </w:r>
      <w:r w:rsidR="00D74854" w:rsidRPr="00D75110">
        <w:rPr>
          <w:color w:val="auto"/>
          <w:sz w:val="22"/>
          <w:szCs w:val="22"/>
          <w:lang w:val="el-GR"/>
        </w:rPr>
        <w:t xml:space="preserve"> </w:t>
      </w:r>
    </w:p>
    <w:p w:rsidR="00984BC2" w:rsidRPr="00984BC2" w:rsidRDefault="00984BC2">
      <w:pPr>
        <w:pStyle w:val="Default"/>
        <w:rPr>
          <w:lang w:val="el-GR"/>
        </w:rPr>
      </w:pPr>
    </w:p>
    <w:p w:rsidR="00984BC2" w:rsidRPr="00984BC2" w:rsidRDefault="00A71131">
      <w:pPr>
        <w:pStyle w:val="Default"/>
        <w:rPr>
          <w:lang w:val="el-GR"/>
        </w:rPr>
      </w:pPr>
      <w:r w:rsidRPr="00A71131">
        <w:rPr>
          <w:color w:val="auto"/>
          <w:sz w:val="22"/>
          <w:lang w:val="el-GR"/>
        </w:rPr>
        <w:t>Οι ασθενείς που μπορεί να διατρέχουν αυξημένο κίνδυνο σοβαρών καρδιακών ανεπιθύμητων ενεργειών ως αποτέλεσμα του αυξημένου καρδιακού ρυθμού, π.χ. ασθενείς με σταθερή στεφανιαία νόσο,</w:t>
      </w:r>
      <w:r w:rsidR="004139C5" w:rsidRPr="004139C5">
        <w:rPr>
          <w:lang w:val="el-GR"/>
        </w:rPr>
        <w:t>θα</w:t>
      </w:r>
      <w:r w:rsidRPr="00A71131">
        <w:rPr>
          <w:color w:val="auto"/>
          <w:sz w:val="22"/>
          <w:lang w:val="el-GR"/>
        </w:rPr>
        <w:t xml:space="preserve"> πρέπει να παρακολουθούνται στενά κατά τη διάρκεια της θεραπείας με σιλοσταζόλη, ενώ αντενδείκνυται η χρήση της σιλοσταζόλης σε ασθενείς με ασταθή στηθάγχη</w:t>
      </w:r>
      <w:r w:rsidR="00A92A72" w:rsidRPr="00D75110">
        <w:rPr>
          <w:color w:val="auto"/>
          <w:sz w:val="22"/>
          <w:szCs w:val="22"/>
          <w:lang w:val="el-GR"/>
        </w:rPr>
        <w:t>,</w:t>
      </w:r>
      <w:r w:rsidRPr="00A71131">
        <w:rPr>
          <w:color w:val="auto"/>
          <w:sz w:val="22"/>
          <w:lang w:val="el-GR"/>
        </w:rPr>
        <w:t xml:space="preserve"> ή έμφραγμα μυοκαρδίου/παρέμβαση της στεφανιαίας κατά τους τελευταίους 6 μήνες</w:t>
      </w:r>
      <w:r w:rsidR="000F3E15" w:rsidRPr="00D75110">
        <w:rPr>
          <w:color w:val="auto"/>
          <w:sz w:val="22"/>
          <w:szCs w:val="22"/>
          <w:lang w:val="el-GR"/>
        </w:rPr>
        <w:t>,</w:t>
      </w:r>
      <w:r w:rsidRPr="00A71131">
        <w:rPr>
          <w:color w:val="auto"/>
          <w:sz w:val="22"/>
          <w:lang w:val="el-GR"/>
        </w:rPr>
        <w:t xml:space="preserve"> ή ιστορικό σοβαρών ταχυαρρυθμιών (</w:t>
      </w:r>
      <w:r w:rsidR="00D74854" w:rsidRPr="00D75110">
        <w:rPr>
          <w:color w:val="auto"/>
          <w:sz w:val="22"/>
          <w:szCs w:val="22"/>
          <w:lang w:val="el-GR"/>
        </w:rPr>
        <w:t>βλ</w:t>
      </w:r>
      <w:r w:rsidR="000F3E15" w:rsidRPr="00D75110">
        <w:rPr>
          <w:color w:val="auto"/>
          <w:sz w:val="22"/>
          <w:szCs w:val="22"/>
          <w:lang w:val="el-GR"/>
        </w:rPr>
        <w:t>.</w:t>
      </w:r>
      <w:r w:rsidRPr="00A71131">
        <w:rPr>
          <w:color w:val="auto"/>
          <w:sz w:val="22"/>
          <w:lang w:val="el-GR"/>
        </w:rPr>
        <w:t xml:space="preserve"> παράγραφο 4.3).</w:t>
      </w:r>
      <w:r w:rsidR="00D74854"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Απαιτείται προσοχή κατά τη συνταγογράφηση σιλοσταζόλης για ασθενείς με κολπικές ή κοιλιακές εκτακτοσυστολές και ασθενείς με κολπική μαρμαρυγή ή πτερυγισμό.</w:t>
      </w:r>
      <w:r w:rsidR="00D74854"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Οι ασθενείς πρέπει να προειδοποιούνται να αναφέρουν οποιοδήποτε επεισόδιο αιμορραγίας ή εύκολης δημιουργίας μώλωπα ενόσω είναι σε θεραπεία. Σε περίπτωση αιμορραγίας του αμφιβληστροειδούς η χορήγηση σιλοσταζόλης</w:t>
      </w:r>
      <w:r w:rsidR="002323F0">
        <w:rPr>
          <w:color w:val="auto"/>
          <w:sz w:val="22"/>
          <w:lang w:val="el-GR"/>
        </w:rPr>
        <w:t xml:space="preserve"> </w:t>
      </w:r>
      <w:r w:rsidR="004139C5" w:rsidRPr="004139C5">
        <w:rPr>
          <w:lang w:val="el-GR"/>
        </w:rPr>
        <w:t>θα</w:t>
      </w:r>
      <w:r w:rsidRPr="00A71131">
        <w:rPr>
          <w:color w:val="auto"/>
          <w:sz w:val="22"/>
          <w:lang w:val="el-GR"/>
        </w:rPr>
        <w:t xml:space="preserve"> πρέπει να διακοπεί. Ανατρέξτε στις παραγράφους 4.3 και 4.5 για περαιτέρω πληροφορίες σχετικά με τους κινδύνους αιμορραγίας.</w:t>
      </w:r>
    </w:p>
    <w:p w:rsidR="00984BC2" w:rsidRDefault="00D74854">
      <w:pPr>
        <w:pStyle w:val="Default"/>
        <w:rPr>
          <w:color w:val="auto"/>
          <w:sz w:val="22"/>
          <w:lang w:val="el-GR"/>
        </w:rPr>
      </w:pPr>
      <w:r w:rsidRPr="00D75110">
        <w:rPr>
          <w:color w:val="auto"/>
          <w:sz w:val="22"/>
          <w:szCs w:val="22"/>
          <w:lang w:val="el-GR"/>
        </w:rPr>
        <w:t xml:space="preserve"> </w:t>
      </w:r>
    </w:p>
    <w:p w:rsidR="00917AD3" w:rsidRDefault="00A71131">
      <w:pPr>
        <w:pStyle w:val="Default"/>
        <w:rPr>
          <w:color w:val="auto"/>
          <w:sz w:val="22"/>
          <w:lang w:val="el-GR"/>
        </w:rPr>
      </w:pPr>
      <w:r w:rsidRPr="00A71131">
        <w:rPr>
          <w:color w:val="auto"/>
          <w:sz w:val="22"/>
          <w:lang w:val="el-GR"/>
        </w:rPr>
        <w:t xml:space="preserve">Λόγω της ανασταλτικής δράσης της σιλοσταζόλης στη συσσώρευση αιμοπεταλίων είναι δυνατό να </w:t>
      </w:r>
      <w:r w:rsidR="008B7BBA" w:rsidRPr="00D75110">
        <w:rPr>
          <w:color w:val="auto"/>
          <w:sz w:val="22"/>
          <w:szCs w:val="22"/>
          <w:lang w:val="el-GR"/>
        </w:rPr>
        <w:t>υπάρξει</w:t>
      </w:r>
      <w:r w:rsidRPr="00A71131">
        <w:rPr>
          <w:color w:val="auto"/>
          <w:sz w:val="22"/>
          <w:lang w:val="el-GR"/>
        </w:rPr>
        <w:t xml:space="preserve"> αυξημένος κίνδυνος αιμορραγίας σε συνδυασμό με εγχείρηση (συμπεριλαμβανομένων λιγότερο επεμβατικών διαδικασιών όπως εξαγωγή οδόντων). Εάν ένας ασθενής πρόκειται να υποβληθεί σε εκλεκτική επέμβαση και η αντιαιμοπεταλιακή δράση δεν είναι απαραίτητη, η σιλοσταζόλη </w:t>
      </w:r>
      <w:r w:rsidR="001C30BE" w:rsidRPr="001C30BE">
        <w:rPr>
          <w:color w:val="auto"/>
          <w:sz w:val="22"/>
          <w:lang w:val="el-GR"/>
        </w:rPr>
        <w:t>πρέπει να διακοπεί 5 ημέρες πριν από την εγχείρηση.</w:t>
      </w:r>
      <w:r w:rsidR="00D74854" w:rsidRPr="00D75110">
        <w:rPr>
          <w:color w:val="auto"/>
          <w:sz w:val="22"/>
          <w:szCs w:val="22"/>
          <w:lang w:val="el-GR"/>
        </w:rPr>
        <w:t xml:space="preserve"> </w:t>
      </w:r>
    </w:p>
    <w:p w:rsid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Υπάρχουν σπάνιες ή πολύ σπάνιες αναφορές αιματολογικών ανωμαλιών που περιλαμβάνουν θρομβοκυττοπενία, λευκοπενία, ακοκκιοκυτταραιμία, πανκυτταροπενία και απλαστική αναιμία (βλ. παράγραφο 4.8). Οι περισσότεροι ασθενείς ανέρρωσαν μετά τη διακοπή της σιλοσταζόλης. Ωστόσο, μερικές περιπτώσεις πανκυτταροπενίας και απλαστικής αναιμίας είχαν μοιραία έκβαση.</w:t>
      </w:r>
      <w:r w:rsidR="00D74854" w:rsidRPr="00D75110">
        <w:rPr>
          <w:color w:val="auto"/>
          <w:sz w:val="22"/>
          <w:szCs w:val="22"/>
          <w:lang w:val="el-GR"/>
        </w:rPr>
        <w:t xml:space="preserve"> </w:t>
      </w:r>
    </w:p>
    <w:p w:rsid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 xml:space="preserve">Επιπρόσθετα με την αναφορά επεισοδίων αιμορραγίας και εύκολης δημιουργίας μώλωπα, πρέπει να συσταθεί στους ασθενείς να αναφέρουν αμέσως τυχόν άλλα συμπτώματα που ενδέχεται επίσης να δηλώνουν την πρώιμη ανάπτυξη δυσκρασίας του αίματος όπως πυρεξία και πονόλαιμο. </w:t>
      </w:r>
      <w:r w:rsidR="00AA2287" w:rsidRPr="00D75110">
        <w:rPr>
          <w:color w:val="auto"/>
          <w:sz w:val="22"/>
          <w:szCs w:val="22"/>
          <w:lang w:val="el-GR"/>
        </w:rPr>
        <w:t>Πρέπει</w:t>
      </w:r>
      <w:r w:rsidRPr="001C30BE">
        <w:rPr>
          <w:color w:val="auto"/>
          <w:sz w:val="22"/>
          <w:lang w:val="el-GR"/>
        </w:rPr>
        <w:t xml:space="preserve"> να εκτελείται γενική εξέταση αίματος εάν πιθανολογείται λοίμωξη ή εάν υπάρχει οποιαδήποτε άλλη κλινική ένδειξη δυσκρασίας του αίματος. Η σιλοσταζόλη πρέπει να διακοπεί αμέσως εάν υπάρχει κλινική ή εργαστηριακή ένδειξη αιματολογικών ανωμαλιών</w:t>
      </w:r>
      <w:r w:rsidR="00A71131" w:rsidRPr="00A71131">
        <w:rPr>
          <w:color w:val="auto"/>
          <w:sz w:val="22"/>
          <w:lang w:val="el-GR"/>
        </w:rPr>
        <w:t>.</w:t>
      </w:r>
      <w:r w:rsidR="00D74854"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Στην περίπτωση ασθενών που λαμβάνουν ισχυρούς αναστολείς του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 xml:space="preserve">4 ή του </w:t>
      </w:r>
      <w:r w:rsidRPr="00A71131">
        <w:rPr>
          <w:color w:val="auto"/>
          <w:sz w:val="22"/>
        </w:rPr>
        <w:t>CYP</w:t>
      </w:r>
      <w:r w:rsidRPr="00A71131">
        <w:rPr>
          <w:color w:val="auto"/>
          <w:sz w:val="22"/>
          <w:lang w:val="el-GR"/>
        </w:rPr>
        <w:t>2</w:t>
      </w:r>
      <w:r w:rsidRPr="00A71131">
        <w:rPr>
          <w:color w:val="auto"/>
          <w:sz w:val="22"/>
        </w:rPr>
        <w:t>C</w:t>
      </w:r>
      <w:r w:rsidRPr="00A71131">
        <w:rPr>
          <w:color w:val="auto"/>
          <w:sz w:val="22"/>
          <w:lang w:val="el-GR"/>
        </w:rPr>
        <w:t xml:space="preserve">19, τα επίπεδα της σιλοσταζόλης </w:t>
      </w:r>
      <w:r w:rsidR="00D74854" w:rsidRPr="00D75110">
        <w:rPr>
          <w:color w:val="auto"/>
          <w:sz w:val="22"/>
          <w:szCs w:val="22"/>
          <w:lang w:val="el-GR"/>
        </w:rPr>
        <w:t xml:space="preserve">στο πλάσμα </w:t>
      </w:r>
      <w:r w:rsidRPr="00A71131">
        <w:rPr>
          <w:color w:val="auto"/>
          <w:sz w:val="22"/>
          <w:lang w:val="el-GR"/>
        </w:rPr>
        <w:t xml:space="preserve">εμφανίστηκαν αυξημένα. Σε τέτοιες περιπτώσεις, συνιστάται μια δοσολογία σιλοσταζόλης των 50 </w:t>
      </w:r>
      <w:r w:rsidRPr="00A71131">
        <w:rPr>
          <w:color w:val="auto"/>
          <w:sz w:val="22"/>
        </w:rPr>
        <w:t>mg</w:t>
      </w:r>
      <w:r w:rsidRPr="00A71131">
        <w:rPr>
          <w:color w:val="auto"/>
          <w:sz w:val="22"/>
          <w:lang w:val="el-GR"/>
        </w:rPr>
        <w:t xml:space="preserve"> </w:t>
      </w:r>
      <w:r w:rsidR="00D74854" w:rsidRPr="00D75110">
        <w:rPr>
          <w:color w:val="auto"/>
          <w:sz w:val="22"/>
          <w:szCs w:val="22"/>
          <w:lang w:val="el-GR"/>
        </w:rPr>
        <w:t>δ</w:t>
      </w:r>
      <w:r w:rsidR="000F3E15" w:rsidRPr="00D75110">
        <w:rPr>
          <w:color w:val="auto"/>
          <w:sz w:val="22"/>
          <w:szCs w:val="22"/>
          <w:lang w:val="el-GR"/>
        </w:rPr>
        <w:t xml:space="preserve">ύο φορές </w:t>
      </w:r>
      <w:r w:rsidR="00C26389" w:rsidRPr="00D75110">
        <w:rPr>
          <w:color w:val="auto"/>
          <w:sz w:val="22"/>
          <w:szCs w:val="22"/>
          <w:lang w:val="el-GR"/>
        </w:rPr>
        <w:t>την ημέρα</w:t>
      </w:r>
      <w:r w:rsidR="00D74854" w:rsidRPr="00D75110">
        <w:rPr>
          <w:color w:val="auto"/>
          <w:sz w:val="22"/>
          <w:szCs w:val="22"/>
          <w:lang w:val="el-GR"/>
        </w:rPr>
        <w:t xml:space="preserve"> (βλ</w:t>
      </w:r>
      <w:r w:rsidR="000F3E15" w:rsidRPr="00D75110">
        <w:rPr>
          <w:color w:val="auto"/>
          <w:sz w:val="22"/>
          <w:szCs w:val="22"/>
          <w:lang w:val="el-GR"/>
        </w:rPr>
        <w:t>.</w:t>
      </w:r>
      <w:r w:rsidRPr="00A71131">
        <w:rPr>
          <w:color w:val="auto"/>
          <w:sz w:val="22"/>
          <w:lang w:val="el-GR"/>
        </w:rPr>
        <w:t xml:space="preserve"> παράγραφο 4.5 για περαιτέρω πληροφορίες).</w:t>
      </w:r>
      <w:r w:rsidR="00D74854"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Απαιτείται προσοχή κατά τη συγχορήγηση σιλοσταζόλης με οποιονδήποτε άλλο παράγοντα που έχει τη δυνατότητα να μειώνει την πίεση του αίματος λόγω της πιθανότητας να υπάρχει </w:t>
      </w:r>
      <w:r w:rsidR="005E4F08" w:rsidRPr="00D75110">
        <w:rPr>
          <w:color w:val="auto"/>
          <w:sz w:val="22"/>
          <w:szCs w:val="22"/>
          <w:lang w:val="el-GR"/>
        </w:rPr>
        <w:t>αθροιστική</w:t>
      </w:r>
      <w:r w:rsidRPr="00A71131">
        <w:rPr>
          <w:color w:val="auto"/>
          <w:sz w:val="22"/>
          <w:lang w:val="el-GR"/>
        </w:rPr>
        <w:t xml:space="preserve"> υποτασική επίδραση με αντανακλαστική ταχυκαρδία. Ανατρέξτε επίσης στην παράγραφο 4.8.</w:t>
      </w:r>
      <w:r w:rsidR="00D74854"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rPr>
          <w:i/>
        </w:rPr>
      </w:pPr>
      <w:r w:rsidRPr="00A71131">
        <w:t>Απαιτείται προσοχή κατά τη συγχορήγηση σιλοσταζόλης με οποιονδήποτε άλλο παράγοντα που αναστέλλει τη συσσώρευση αιμοπεταλίων. Ανατρέξτε στις παραγράφους 4.3 και 4.5</w:t>
      </w:r>
      <w:r w:rsidRPr="00A71131">
        <w:rPr>
          <w:i/>
        </w:rPr>
        <w:t>.</w:t>
      </w:r>
      <w:r w:rsidR="00D74854" w:rsidRPr="00D75110">
        <w:rPr>
          <w:i/>
          <w:iCs/>
          <w:szCs w:val="22"/>
        </w:rPr>
        <w:t xml:space="preserve"> </w:t>
      </w:r>
    </w:p>
    <w:p w:rsidR="00496809" w:rsidRPr="00D75110" w:rsidRDefault="00496809" w:rsidP="005453E2">
      <w:pPr>
        <w:rPr>
          <w:szCs w:val="22"/>
        </w:rPr>
      </w:pPr>
    </w:p>
    <w:p w:rsidR="00984BC2" w:rsidRDefault="00984BC2">
      <w:pPr>
        <w:rPr>
          <w:b/>
        </w:rPr>
      </w:pPr>
    </w:p>
    <w:p w:rsidR="00984BC2" w:rsidRDefault="00A71131">
      <w:r w:rsidRPr="00A71131">
        <w:rPr>
          <w:b/>
        </w:rPr>
        <w:t>4.5</w:t>
      </w:r>
      <w:r w:rsidR="00496809" w:rsidRPr="00D75110">
        <w:rPr>
          <w:b/>
          <w:szCs w:val="22"/>
        </w:rPr>
        <w:tab/>
      </w:r>
      <w:r w:rsidRPr="00A71131">
        <w:rPr>
          <w:b/>
        </w:rPr>
        <w:t xml:space="preserve">Αλληλεπιδράσεις με άλλα φαρμακευτικά προϊόντα και άλλες μορφές </w:t>
      </w:r>
      <w:r w:rsidR="00496809" w:rsidRPr="00D75110">
        <w:rPr>
          <w:b/>
          <w:szCs w:val="22"/>
        </w:rPr>
        <w:t>αλληλεπίδρασης</w:t>
      </w:r>
    </w:p>
    <w:p w:rsidR="00984BC2" w:rsidRDefault="00984BC2"/>
    <w:p w:rsidR="00984BC2" w:rsidRDefault="00A71131">
      <w:pPr>
        <w:pStyle w:val="Default"/>
        <w:rPr>
          <w:sz w:val="22"/>
          <w:u w:val="single"/>
          <w:lang w:val="el-GR"/>
        </w:rPr>
      </w:pPr>
      <w:r w:rsidRPr="00A71131">
        <w:rPr>
          <w:color w:val="auto"/>
          <w:sz w:val="22"/>
          <w:u w:val="single"/>
          <w:lang w:val="el-GR"/>
        </w:rPr>
        <w:t>Αναστολείς συσσώρευσης αιμοπεταλίων</w:t>
      </w:r>
      <w:r w:rsidR="00781BF5" w:rsidRPr="00D75110">
        <w:rPr>
          <w:color w:val="auto"/>
          <w:sz w:val="22"/>
          <w:szCs w:val="22"/>
          <w:u w:val="single"/>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Η σιλοσταζόλη είναι ένας αναστολέας </w:t>
      </w:r>
      <w:r w:rsidRPr="00A71131">
        <w:rPr>
          <w:color w:val="auto"/>
          <w:sz w:val="22"/>
        </w:rPr>
        <w:t>PDE</w:t>
      </w:r>
      <w:r w:rsidRPr="00A71131">
        <w:rPr>
          <w:color w:val="auto"/>
          <w:sz w:val="22"/>
          <w:lang w:val="el-GR"/>
        </w:rPr>
        <w:t xml:space="preserve"> </w:t>
      </w:r>
      <w:r w:rsidRPr="00A71131">
        <w:rPr>
          <w:color w:val="auto"/>
          <w:sz w:val="22"/>
        </w:rPr>
        <w:t>III</w:t>
      </w:r>
      <w:r w:rsidRPr="00A71131">
        <w:rPr>
          <w:color w:val="auto"/>
          <w:sz w:val="22"/>
          <w:lang w:val="el-GR"/>
        </w:rPr>
        <w:t xml:space="preserve"> με αντιαιμοπεταλιακή δράση. Σε μια κλινική μελέτη σε υγιή άτομα, η σιλοσταζόλη χορηγούμενη σε δοσολογία 150 </w:t>
      </w:r>
      <w:r w:rsidRPr="00A71131">
        <w:rPr>
          <w:color w:val="auto"/>
          <w:sz w:val="22"/>
        </w:rPr>
        <w:t>mg</w:t>
      </w:r>
      <w:r w:rsidRPr="00A71131">
        <w:rPr>
          <w:color w:val="auto"/>
          <w:sz w:val="22"/>
          <w:lang w:val="el-GR"/>
        </w:rPr>
        <w:t xml:space="preserve"> </w:t>
      </w:r>
      <w:r w:rsidR="00781BF5" w:rsidRPr="00D75110">
        <w:rPr>
          <w:color w:val="auto"/>
          <w:sz w:val="22"/>
          <w:szCs w:val="22"/>
          <w:lang w:val="el-GR"/>
        </w:rPr>
        <w:t xml:space="preserve">δύο φορές </w:t>
      </w:r>
      <w:r w:rsidR="00C26389" w:rsidRPr="00D75110">
        <w:rPr>
          <w:color w:val="auto"/>
          <w:sz w:val="22"/>
          <w:szCs w:val="22"/>
          <w:lang w:val="el-GR"/>
        </w:rPr>
        <w:t>την ημέρα</w:t>
      </w:r>
      <w:r w:rsidRPr="00A71131">
        <w:rPr>
          <w:color w:val="auto"/>
          <w:sz w:val="22"/>
          <w:lang w:val="el-GR"/>
        </w:rPr>
        <w:t xml:space="preserve"> για πέντε ημέρες δεν οδήγησε σε παράταση του χρόνου αιμορραγίας.</w:t>
      </w:r>
      <w:r w:rsidR="00781BF5"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u w:val="single"/>
          <w:lang w:val="el-GR"/>
        </w:rPr>
      </w:pPr>
      <w:r w:rsidRPr="00A71131">
        <w:rPr>
          <w:color w:val="auto"/>
          <w:sz w:val="22"/>
          <w:u w:val="single"/>
          <w:lang w:val="el-GR"/>
        </w:rPr>
        <w:t>Ακετυλοσαλικυλικό οξύ (</w:t>
      </w:r>
      <w:r w:rsidRPr="00A71131">
        <w:rPr>
          <w:color w:val="auto"/>
          <w:sz w:val="22"/>
          <w:u w:val="single"/>
        </w:rPr>
        <w:t>ASA</w:t>
      </w:r>
      <w:r w:rsidRPr="00A71131">
        <w:rPr>
          <w:color w:val="auto"/>
          <w:sz w:val="22"/>
          <w:u w:val="single"/>
          <w:lang w:val="el-GR"/>
        </w:rPr>
        <w:t>)</w:t>
      </w:r>
      <w:r w:rsidR="00781BF5" w:rsidRPr="00D75110">
        <w:rPr>
          <w:color w:val="auto"/>
          <w:sz w:val="22"/>
          <w:szCs w:val="22"/>
          <w:u w:val="single"/>
          <w:lang w:val="el-GR"/>
        </w:rPr>
        <w:t xml:space="preserve"> </w:t>
      </w:r>
    </w:p>
    <w:p w:rsidR="00984BC2" w:rsidRDefault="00984BC2">
      <w:pPr>
        <w:pStyle w:val="Default"/>
        <w:rPr>
          <w:color w:val="auto"/>
          <w:sz w:val="22"/>
          <w:lang w:val="el-GR"/>
        </w:rPr>
      </w:pPr>
    </w:p>
    <w:p w:rsidR="00984BC2" w:rsidRPr="00984BC2" w:rsidRDefault="00A71131">
      <w:pPr>
        <w:pStyle w:val="Default"/>
        <w:rPr>
          <w:color w:val="auto"/>
          <w:lang w:val="el-GR"/>
        </w:rPr>
      </w:pPr>
      <w:r w:rsidRPr="00A71131">
        <w:rPr>
          <w:color w:val="auto"/>
          <w:sz w:val="22"/>
          <w:lang w:val="el-GR"/>
        </w:rPr>
        <w:t>Η βραχυπρόθεσμη (≤</w:t>
      </w:r>
      <w:r w:rsidR="00781BF5" w:rsidRPr="00D75110">
        <w:rPr>
          <w:color w:val="auto"/>
          <w:sz w:val="22"/>
          <w:szCs w:val="22"/>
          <w:lang w:val="el-GR"/>
        </w:rPr>
        <w:t xml:space="preserve"> </w:t>
      </w:r>
      <w:r w:rsidRPr="00A71131">
        <w:rPr>
          <w:color w:val="auto"/>
          <w:sz w:val="22"/>
          <w:lang w:val="el-GR"/>
        </w:rPr>
        <w:t xml:space="preserve">4 ημέρες) συγχορήγηση </w:t>
      </w:r>
      <w:r w:rsidRPr="00A71131">
        <w:rPr>
          <w:color w:val="auto"/>
          <w:sz w:val="22"/>
        </w:rPr>
        <w:t>ASA</w:t>
      </w:r>
      <w:r w:rsidRPr="00A71131">
        <w:rPr>
          <w:color w:val="auto"/>
          <w:sz w:val="22"/>
          <w:lang w:val="el-GR"/>
        </w:rPr>
        <w:t xml:space="preserve"> με σιλοσταζόλη έδειξε μια αύξηση 23-25% </w:t>
      </w:r>
      <w:r w:rsidR="005E4F08" w:rsidRPr="00D75110">
        <w:rPr>
          <w:color w:val="auto"/>
          <w:sz w:val="22"/>
          <w:szCs w:val="22"/>
          <w:lang w:val="el-GR"/>
        </w:rPr>
        <w:t>στην</w:t>
      </w:r>
      <w:r w:rsidRPr="00A71131">
        <w:rPr>
          <w:color w:val="auto"/>
          <w:sz w:val="22"/>
          <w:lang w:val="el-GR"/>
        </w:rPr>
        <w:t xml:space="preserve"> αναστολή</w:t>
      </w:r>
      <w:r w:rsidR="00781BF5" w:rsidRPr="00D75110">
        <w:rPr>
          <w:color w:val="auto"/>
          <w:sz w:val="22"/>
          <w:szCs w:val="22"/>
          <w:lang w:val="el-GR"/>
        </w:rPr>
        <w:t xml:space="preserve"> </w:t>
      </w:r>
      <w:r w:rsidR="005E4F08" w:rsidRPr="00D75110">
        <w:rPr>
          <w:color w:val="auto"/>
          <w:sz w:val="22"/>
          <w:szCs w:val="22"/>
          <w:lang w:val="el-GR"/>
        </w:rPr>
        <w:t>της</w:t>
      </w:r>
      <w:r w:rsidRPr="00A71131">
        <w:rPr>
          <w:color w:val="auto"/>
          <w:sz w:val="22"/>
          <w:lang w:val="el-GR"/>
        </w:rPr>
        <w:t xml:space="preserve"> επαγόμενης από το </w:t>
      </w:r>
      <w:r w:rsidRPr="00A71131">
        <w:rPr>
          <w:color w:val="auto"/>
          <w:sz w:val="22"/>
        </w:rPr>
        <w:t>ADP</w:t>
      </w:r>
      <w:r w:rsidRPr="00A71131">
        <w:rPr>
          <w:color w:val="auto"/>
          <w:sz w:val="22"/>
          <w:lang w:val="el-GR"/>
        </w:rPr>
        <w:t xml:space="preserve"> </w:t>
      </w:r>
      <w:r w:rsidRPr="00A71131">
        <w:rPr>
          <w:i/>
          <w:color w:val="auto"/>
          <w:sz w:val="22"/>
        </w:rPr>
        <w:t>ex</w:t>
      </w:r>
      <w:r w:rsidRPr="00A71131">
        <w:rPr>
          <w:i/>
          <w:color w:val="auto"/>
          <w:sz w:val="22"/>
          <w:lang w:val="el-GR"/>
        </w:rPr>
        <w:t xml:space="preserve"> </w:t>
      </w:r>
      <w:r w:rsidRPr="00A71131">
        <w:rPr>
          <w:i/>
          <w:color w:val="auto"/>
          <w:sz w:val="22"/>
        </w:rPr>
        <w:t>vivo</w:t>
      </w:r>
      <w:r w:rsidRPr="00A71131">
        <w:rPr>
          <w:i/>
          <w:color w:val="auto"/>
          <w:sz w:val="22"/>
          <w:lang w:val="el-GR"/>
        </w:rPr>
        <w:t xml:space="preserve"> </w:t>
      </w:r>
      <w:r w:rsidRPr="00A71131">
        <w:rPr>
          <w:color w:val="auto"/>
          <w:sz w:val="22"/>
          <w:lang w:val="el-GR"/>
        </w:rPr>
        <w:t xml:space="preserve">συσσώρευσης αιμοπεταλίων σε σύγκριση με το </w:t>
      </w:r>
      <w:r w:rsidRPr="00A71131">
        <w:rPr>
          <w:color w:val="auto"/>
          <w:sz w:val="22"/>
        </w:rPr>
        <w:t>ASA</w:t>
      </w:r>
      <w:r w:rsidRPr="00A71131">
        <w:rPr>
          <w:color w:val="auto"/>
          <w:sz w:val="22"/>
          <w:lang w:val="el-GR"/>
        </w:rPr>
        <w:t xml:space="preserve"> μόνο.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Δεν υπήρχαν εμφανείς τάσεις προς μεγαλύτερη συχνότητα αιμορραγικών ανεπιθύμητων ενεργειών σε ασθενείς που λάμβαναν σιλοσταζόλη και </w:t>
      </w:r>
      <w:r w:rsidRPr="00A71131">
        <w:rPr>
          <w:color w:val="auto"/>
          <w:sz w:val="22"/>
        </w:rPr>
        <w:t>ASA</w:t>
      </w:r>
      <w:r w:rsidRPr="00A71131">
        <w:rPr>
          <w:color w:val="auto"/>
          <w:sz w:val="22"/>
          <w:lang w:val="el-GR"/>
        </w:rPr>
        <w:t xml:space="preserve"> σε σύγκριση με ασθενείς που λάμβαναν εικονικό φάρμακο και ισοδύναμες δόσεις </w:t>
      </w:r>
      <w:r w:rsidRPr="00A71131">
        <w:rPr>
          <w:color w:val="auto"/>
          <w:sz w:val="22"/>
        </w:rPr>
        <w:t>ASA</w:t>
      </w:r>
      <w:r w:rsidRPr="00A71131">
        <w:rPr>
          <w:color w:val="auto"/>
          <w:sz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u w:val="single"/>
          <w:lang w:val="el-GR"/>
        </w:rPr>
      </w:pPr>
      <w:r w:rsidRPr="00A71131">
        <w:rPr>
          <w:color w:val="auto"/>
          <w:sz w:val="22"/>
          <w:u w:val="single"/>
          <w:lang w:val="el-GR"/>
        </w:rPr>
        <w:t xml:space="preserve">Κλοπιδογρέλη και άλλα </w:t>
      </w:r>
      <w:r w:rsidR="002323F0">
        <w:rPr>
          <w:iCs/>
          <w:u w:val="single"/>
          <w:lang w:val="el-GR"/>
        </w:rPr>
        <w:t xml:space="preserve"> </w:t>
      </w:r>
      <w:r w:rsidR="00781BF5" w:rsidRPr="00D75110">
        <w:rPr>
          <w:color w:val="auto"/>
          <w:sz w:val="22"/>
          <w:szCs w:val="22"/>
          <w:u w:val="single"/>
          <w:lang w:val="el-GR"/>
        </w:rPr>
        <w:t>αντιαιμοπεταλιακά</w:t>
      </w:r>
      <w:r w:rsidRPr="00A71131">
        <w:rPr>
          <w:color w:val="auto"/>
          <w:sz w:val="22"/>
          <w:u w:val="single"/>
          <w:lang w:val="el-GR"/>
        </w:rPr>
        <w:t xml:space="preserve"> φάρμακα</w:t>
      </w:r>
      <w:r w:rsidR="00781BF5" w:rsidRPr="00D75110">
        <w:rPr>
          <w:color w:val="auto"/>
          <w:sz w:val="22"/>
          <w:szCs w:val="22"/>
          <w:u w:val="single"/>
          <w:lang w:val="el-GR"/>
        </w:rPr>
        <w:t xml:space="preserve"> </w:t>
      </w:r>
    </w:p>
    <w:p w:rsidR="00984BC2" w:rsidRDefault="00984BC2">
      <w:pPr>
        <w:pStyle w:val="Default"/>
        <w:rPr>
          <w:color w:val="auto"/>
          <w:sz w:val="22"/>
          <w:lang w:val="el-GR"/>
        </w:rPr>
      </w:pPr>
    </w:p>
    <w:p w:rsidR="00984BC2" w:rsidRPr="00984BC2" w:rsidRDefault="00A71131">
      <w:pPr>
        <w:pStyle w:val="Default"/>
        <w:rPr>
          <w:color w:val="auto"/>
          <w:lang w:val="el-GR"/>
        </w:rPr>
      </w:pPr>
      <w:r w:rsidRPr="00A71131">
        <w:rPr>
          <w:color w:val="auto"/>
          <w:sz w:val="22"/>
          <w:lang w:val="el-GR"/>
        </w:rPr>
        <w:t>Η ταυτόχρονη χορήγηση σιλοσταζόλης και κλοπιδογρέλης δεν είχε επίδραση στον αριθμό αιμοπεταλίων, το χρόνο προθρομβίνης (</w:t>
      </w:r>
      <w:r w:rsidRPr="00D200CC">
        <w:rPr>
          <w:color w:val="auto"/>
          <w:sz w:val="22"/>
          <w:lang w:val="el-GR"/>
        </w:rPr>
        <w:t>PT</w:t>
      </w:r>
      <w:r w:rsidRPr="00A71131">
        <w:rPr>
          <w:color w:val="auto"/>
          <w:sz w:val="22"/>
          <w:lang w:val="el-GR"/>
        </w:rPr>
        <w:t xml:space="preserve">) ή τον </w:t>
      </w:r>
      <w:r w:rsidR="00C10290" w:rsidRPr="00D200CC">
        <w:rPr>
          <w:color w:val="auto"/>
          <w:sz w:val="22"/>
          <w:lang w:val="el-GR"/>
        </w:rPr>
        <w:t xml:space="preserve">ενεργοποιημένο </w:t>
      </w:r>
      <w:r w:rsidRPr="00A71131">
        <w:rPr>
          <w:color w:val="auto"/>
          <w:sz w:val="22"/>
          <w:lang w:val="el-GR"/>
        </w:rPr>
        <w:t>χρόνο</w:t>
      </w:r>
      <w:r w:rsidR="00781BF5" w:rsidRPr="00D75110">
        <w:rPr>
          <w:color w:val="auto"/>
          <w:sz w:val="22"/>
          <w:szCs w:val="22"/>
          <w:lang w:val="el-GR"/>
        </w:rPr>
        <w:t xml:space="preserve"> </w:t>
      </w:r>
      <w:r w:rsidRPr="00A71131">
        <w:rPr>
          <w:color w:val="auto"/>
          <w:sz w:val="22"/>
          <w:lang w:val="el-GR"/>
        </w:rPr>
        <w:t>μερικής θρομβοπλαστίνης (</w:t>
      </w:r>
      <w:r w:rsidRPr="00A71131">
        <w:rPr>
          <w:color w:val="auto"/>
          <w:sz w:val="22"/>
        </w:rPr>
        <w:t>aPTT</w:t>
      </w:r>
      <w:r w:rsidRPr="00A71131">
        <w:rPr>
          <w:color w:val="auto"/>
          <w:sz w:val="22"/>
          <w:lang w:val="el-GR"/>
        </w:rPr>
        <w:t xml:space="preserve">). Όλα τα υγιή άτομα στη μελέτη είχαν μια παράταση του χρόνου αιμορραγίας </w:t>
      </w:r>
      <w:r w:rsidR="007E593D" w:rsidRPr="00D75110">
        <w:rPr>
          <w:color w:val="auto"/>
          <w:sz w:val="22"/>
          <w:szCs w:val="22"/>
          <w:lang w:val="el-GR"/>
        </w:rPr>
        <w:t>μ</w:t>
      </w:r>
      <w:r w:rsidR="00781BF5" w:rsidRPr="00D75110">
        <w:rPr>
          <w:color w:val="auto"/>
          <w:sz w:val="22"/>
          <w:szCs w:val="22"/>
          <w:lang w:val="el-GR"/>
        </w:rPr>
        <w:t>ε</w:t>
      </w:r>
      <w:r w:rsidRPr="00A71131">
        <w:rPr>
          <w:color w:val="auto"/>
          <w:sz w:val="22"/>
          <w:lang w:val="el-GR"/>
        </w:rPr>
        <w:t xml:space="preserve"> κλοπιδογρέλη </w:t>
      </w:r>
      <w:r w:rsidR="00720CF4" w:rsidRPr="00D75110">
        <w:rPr>
          <w:color w:val="auto"/>
          <w:sz w:val="22"/>
          <w:szCs w:val="22"/>
          <w:lang w:val="el-GR"/>
        </w:rPr>
        <w:t>μόνο</w:t>
      </w:r>
      <w:r w:rsidRPr="00A71131">
        <w:rPr>
          <w:color w:val="auto"/>
          <w:sz w:val="22"/>
          <w:lang w:val="el-GR"/>
        </w:rPr>
        <w:t xml:space="preserve"> και η ταυτόχρονη χορήγηση με σιλοσταζόλη δεν οδήγησε σε σημαντική πρόσθετη επίδραση στο χρόνο αιμορραγίας. Συνιστάται προσοχή κατά τη συγχορήγηση σιλοσταζόλης με οποιοδήποτε φάρμακο που αναστέλλει τη συσσώρευση αιμοπεταλίων. Απαιτείται προσοχή για την παρακολούθηση του χρόνου αιμορραγίας στα μεσοδιαστήματα. Η θεραπεία με σιλοσταζόλη αντενδείκνυται σε ασθενείς που λαμβάνουν δύο ή περισσότερους επιπρόσθετους αντιαιμοπεταλιακούς/αντιπηκτικούς παράγοντες (</w:t>
      </w:r>
      <w:r w:rsidR="00781BF5" w:rsidRPr="00D75110">
        <w:rPr>
          <w:color w:val="auto"/>
          <w:sz w:val="22"/>
          <w:szCs w:val="22"/>
          <w:lang w:val="el-GR"/>
        </w:rPr>
        <w:t>βλ</w:t>
      </w:r>
      <w:r w:rsidR="000F3E15" w:rsidRPr="00D75110">
        <w:rPr>
          <w:color w:val="auto"/>
          <w:sz w:val="22"/>
          <w:szCs w:val="22"/>
          <w:lang w:val="el-GR"/>
        </w:rPr>
        <w:t>.</w:t>
      </w:r>
      <w:r w:rsidRPr="00A71131">
        <w:rPr>
          <w:color w:val="auto"/>
          <w:sz w:val="22"/>
          <w:lang w:val="el-GR"/>
        </w:rPr>
        <w:t xml:space="preserve"> παράγραφο 4.3).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Ένα υψηλότερο ποσοστό αιμορραγίας παρατηρήθηκε με τη συγχορήγηση κλοπιδογρέλης, </w:t>
      </w:r>
      <w:r w:rsidRPr="00A71131">
        <w:rPr>
          <w:color w:val="auto"/>
          <w:sz w:val="22"/>
        </w:rPr>
        <w:t>ASA</w:t>
      </w:r>
      <w:r w:rsidRPr="00A71131">
        <w:rPr>
          <w:color w:val="auto"/>
          <w:sz w:val="22"/>
          <w:lang w:val="el-GR"/>
        </w:rPr>
        <w:t xml:space="preserve"> και σιλοσταζόλης στη δοκιμή </w:t>
      </w:r>
      <w:r w:rsidRPr="00A71131">
        <w:rPr>
          <w:color w:val="auto"/>
          <w:sz w:val="22"/>
        </w:rPr>
        <w:t>CASTLE</w:t>
      </w:r>
      <w:r w:rsidR="00781BF5"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u w:val="single"/>
          <w:lang w:val="el-GR"/>
        </w:rPr>
      </w:pPr>
      <w:r w:rsidRPr="00A71131">
        <w:rPr>
          <w:color w:val="auto"/>
          <w:sz w:val="22"/>
          <w:u w:val="single"/>
          <w:lang w:val="el-GR"/>
        </w:rPr>
        <w:t xml:space="preserve">Από </w:t>
      </w:r>
      <w:r w:rsidR="00737487">
        <w:rPr>
          <w:iCs/>
          <w:u w:val="single"/>
          <w:lang w:val="el-GR"/>
        </w:rPr>
        <w:t xml:space="preserve">του </w:t>
      </w:r>
      <w:r w:rsidRPr="00A71131">
        <w:rPr>
          <w:color w:val="auto"/>
          <w:sz w:val="22"/>
          <w:u w:val="single"/>
          <w:lang w:val="el-GR"/>
        </w:rPr>
        <w:t>στόματος αντιπηκτικά όπως βαρφαρίνη</w:t>
      </w:r>
      <w:r w:rsidR="00781BF5" w:rsidRPr="00D75110">
        <w:rPr>
          <w:color w:val="auto"/>
          <w:sz w:val="22"/>
          <w:szCs w:val="22"/>
          <w:u w:val="single"/>
          <w:lang w:val="el-GR"/>
        </w:rPr>
        <w:t xml:space="preserve"> </w:t>
      </w:r>
    </w:p>
    <w:p w:rsidR="00984BC2" w:rsidRDefault="00984BC2">
      <w:pPr>
        <w:pStyle w:val="Default"/>
        <w:rPr>
          <w:color w:val="auto"/>
          <w:sz w:val="22"/>
          <w:lang w:val="el-GR"/>
        </w:rPr>
      </w:pPr>
    </w:p>
    <w:p w:rsidR="00984BC2" w:rsidRPr="00984BC2" w:rsidRDefault="00A71131">
      <w:pPr>
        <w:pStyle w:val="Default"/>
        <w:rPr>
          <w:color w:val="auto"/>
          <w:lang w:val="el-GR"/>
        </w:rPr>
      </w:pPr>
      <w:r w:rsidRPr="00A71131">
        <w:rPr>
          <w:color w:val="auto"/>
          <w:sz w:val="22"/>
          <w:lang w:val="el-GR"/>
        </w:rPr>
        <w:t>Σε μια κλινική μελέτη μονής δόσης, δεν παρατηρήθηκε αναστολή του μεταβολισμού της βαρφαρίνης ή επίδραση στις παραμέτρους πήξης (</w:t>
      </w:r>
      <w:r w:rsidRPr="00A71131">
        <w:rPr>
          <w:color w:val="auto"/>
          <w:sz w:val="22"/>
        </w:rPr>
        <w:t>PT</w:t>
      </w:r>
      <w:r w:rsidRPr="00A71131">
        <w:rPr>
          <w:color w:val="auto"/>
          <w:sz w:val="22"/>
          <w:lang w:val="el-GR"/>
        </w:rPr>
        <w:t xml:space="preserve">, </w:t>
      </w:r>
      <w:r w:rsidRPr="00A71131">
        <w:rPr>
          <w:color w:val="auto"/>
          <w:sz w:val="22"/>
        </w:rPr>
        <w:t>aPTT</w:t>
      </w:r>
      <w:r w:rsidRPr="00A71131">
        <w:rPr>
          <w:color w:val="auto"/>
          <w:sz w:val="22"/>
          <w:lang w:val="el-GR"/>
        </w:rPr>
        <w:t>, χρόνος αιμορραγίας). Ωστόσο, συνιστάται προσοχή σε ασθενείς που λαμβάνουν σιλοσταζόλη μαζί με οποιονδήποτε αντιπηκτικό παράγοντα</w:t>
      </w:r>
      <w:r w:rsidR="000F3E15" w:rsidRPr="00D75110">
        <w:rPr>
          <w:color w:val="auto"/>
          <w:sz w:val="22"/>
          <w:szCs w:val="22"/>
          <w:lang w:val="el-GR"/>
        </w:rPr>
        <w:t>,</w:t>
      </w:r>
      <w:r w:rsidRPr="00A71131">
        <w:rPr>
          <w:color w:val="auto"/>
          <w:sz w:val="22"/>
          <w:lang w:val="el-GR"/>
        </w:rPr>
        <w:t xml:space="preserve"> και απαιτείται συχνή παρακολούθηση για τη μείωση της πιθανότητας αιμορραγίας. </w:t>
      </w:r>
    </w:p>
    <w:p w:rsidR="00984BC2" w:rsidRDefault="00A71131">
      <w:pPr>
        <w:pStyle w:val="Default"/>
        <w:rPr>
          <w:color w:val="auto"/>
          <w:sz w:val="22"/>
          <w:lang w:val="el-GR"/>
        </w:rPr>
      </w:pPr>
      <w:r w:rsidRPr="00A71131">
        <w:rPr>
          <w:color w:val="auto"/>
          <w:sz w:val="22"/>
          <w:lang w:val="el-GR"/>
        </w:rPr>
        <w:t>Η θεραπεία με σιλοσταζόλη αντενδείκνυται σε ασθενείς που λαμβάνουν δύο ή περισσότερους επιπρόσθετους αντιαιμοπεταλιακούς/αντιπηκτικούς παράγοντες (</w:t>
      </w:r>
      <w:r w:rsidR="00781BF5" w:rsidRPr="00D75110">
        <w:rPr>
          <w:color w:val="auto"/>
          <w:sz w:val="22"/>
          <w:szCs w:val="22"/>
          <w:lang w:val="el-GR"/>
        </w:rPr>
        <w:t>βλ</w:t>
      </w:r>
      <w:r w:rsidR="000F3E15" w:rsidRPr="00D75110">
        <w:rPr>
          <w:color w:val="auto"/>
          <w:sz w:val="22"/>
          <w:szCs w:val="22"/>
          <w:lang w:val="el-GR"/>
        </w:rPr>
        <w:t>.</w:t>
      </w:r>
      <w:r w:rsidRPr="00A71131">
        <w:rPr>
          <w:color w:val="auto"/>
          <w:sz w:val="22"/>
          <w:lang w:val="el-GR"/>
        </w:rPr>
        <w:t xml:space="preserve"> παράγραφο 4.3).</w:t>
      </w:r>
      <w:r w:rsidR="00781BF5"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u w:val="single"/>
          <w:lang w:val="el-GR"/>
        </w:rPr>
      </w:pPr>
      <w:r w:rsidRPr="00A71131">
        <w:rPr>
          <w:color w:val="auto"/>
          <w:sz w:val="22"/>
          <w:u w:val="single"/>
          <w:lang w:val="el-GR"/>
        </w:rPr>
        <w:t xml:space="preserve">Αναστολείς ενζύμου κυτοχρώματος </w:t>
      </w:r>
      <w:r w:rsidRPr="00A71131">
        <w:rPr>
          <w:color w:val="auto"/>
          <w:sz w:val="22"/>
          <w:u w:val="single"/>
        </w:rPr>
        <w:t>P</w:t>
      </w:r>
      <w:r w:rsidRPr="00A71131">
        <w:rPr>
          <w:color w:val="auto"/>
          <w:sz w:val="22"/>
          <w:u w:val="single"/>
          <w:lang w:val="el-GR"/>
        </w:rPr>
        <w:t>-450 (</w:t>
      </w:r>
      <w:r w:rsidRPr="00A71131">
        <w:rPr>
          <w:color w:val="auto"/>
          <w:sz w:val="22"/>
          <w:u w:val="single"/>
        </w:rPr>
        <w:t>CYP</w:t>
      </w:r>
      <w:r w:rsidRPr="00A71131">
        <w:rPr>
          <w:color w:val="auto"/>
          <w:sz w:val="22"/>
          <w:u w:val="single"/>
          <w:lang w:val="el-GR"/>
        </w:rPr>
        <w:t xml:space="preserve">) </w:t>
      </w:r>
    </w:p>
    <w:p w:rsidR="00984BC2" w:rsidRDefault="00984BC2">
      <w:pPr>
        <w:pStyle w:val="Default"/>
        <w:rPr>
          <w:color w:val="auto"/>
          <w:sz w:val="22"/>
          <w:lang w:val="el-GR"/>
        </w:rPr>
      </w:pPr>
    </w:p>
    <w:p w:rsidR="00984BC2" w:rsidRDefault="00A71131">
      <w:pPr>
        <w:pStyle w:val="Default"/>
        <w:rPr>
          <w:color w:val="auto"/>
          <w:sz w:val="22"/>
          <w:lang w:val="el-GR"/>
        </w:rPr>
      </w:pPr>
      <w:r w:rsidRPr="00A71131">
        <w:rPr>
          <w:color w:val="auto"/>
          <w:sz w:val="22"/>
          <w:lang w:val="el-GR"/>
        </w:rPr>
        <w:t xml:space="preserve">Η σιλοσταζόλη μεταβολίζεται εκτενώς από ένζυμα </w:t>
      </w:r>
      <w:r w:rsidRPr="00A71131">
        <w:rPr>
          <w:color w:val="auto"/>
          <w:sz w:val="22"/>
        </w:rPr>
        <w:t>CYP</w:t>
      </w:r>
      <w:r w:rsidRPr="00A71131">
        <w:rPr>
          <w:color w:val="auto"/>
          <w:sz w:val="22"/>
          <w:lang w:val="el-GR"/>
        </w:rPr>
        <w:t xml:space="preserve">, ιδιαιτέρως από το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 xml:space="preserve">4 και το </w:t>
      </w:r>
      <w:r w:rsidRPr="00A71131">
        <w:rPr>
          <w:color w:val="auto"/>
          <w:sz w:val="22"/>
        </w:rPr>
        <w:t>CYP</w:t>
      </w:r>
      <w:r w:rsidRPr="00A71131">
        <w:rPr>
          <w:color w:val="auto"/>
          <w:sz w:val="22"/>
          <w:lang w:val="el-GR"/>
        </w:rPr>
        <w:t>2</w:t>
      </w:r>
      <w:r w:rsidRPr="00A71131">
        <w:rPr>
          <w:color w:val="auto"/>
          <w:sz w:val="22"/>
        </w:rPr>
        <w:t>C</w:t>
      </w:r>
      <w:r w:rsidRPr="00A71131">
        <w:rPr>
          <w:color w:val="auto"/>
          <w:sz w:val="22"/>
          <w:lang w:val="el-GR"/>
        </w:rPr>
        <w:t xml:space="preserve">19 και σε μικρότερο βαθμό από το </w:t>
      </w:r>
      <w:r w:rsidRPr="00A71131">
        <w:rPr>
          <w:color w:val="auto"/>
          <w:sz w:val="22"/>
        </w:rPr>
        <w:t>CYP</w:t>
      </w:r>
      <w:r w:rsidRPr="00A71131">
        <w:rPr>
          <w:color w:val="auto"/>
          <w:sz w:val="22"/>
          <w:lang w:val="el-GR"/>
        </w:rPr>
        <w:t>1</w:t>
      </w:r>
      <w:r w:rsidRPr="00A71131">
        <w:rPr>
          <w:color w:val="auto"/>
          <w:sz w:val="22"/>
        </w:rPr>
        <w:t>A</w:t>
      </w:r>
      <w:r w:rsidRPr="00A71131">
        <w:rPr>
          <w:color w:val="auto"/>
          <w:sz w:val="22"/>
          <w:lang w:val="el-GR"/>
        </w:rPr>
        <w:t xml:space="preserve">2. Ο δεϋδρο-μεταβολίτης που έχει 4-7 φορές την ισχύ της σιλοσταζόλης στην αναστολή της συσσώρευσης αιμοπεταλίων, φαίνεται να σχηματίζεται κυρίως μέσω </w:t>
      </w:r>
      <w:r w:rsidR="000F3E15" w:rsidRPr="00D75110">
        <w:rPr>
          <w:color w:val="auto"/>
          <w:sz w:val="22"/>
          <w:szCs w:val="22"/>
          <w:lang w:val="el-GR"/>
        </w:rPr>
        <w:t xml:space="preserve">του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4. Ο 4`-τρανς-υδροξυ μεταβολίτης, με ισχύ ενός πέμπτου της σιλοσταζόλης, φαίνεται να σχηματίζεται κυρίως μέσω</w:t>
      </w:r>
      <w:r w:rsidR="00781BF5" w:rsidRPr="00D75110">
        <w:rPr>
          <w:color w:val="auto"/>
          <w:sz w:val="22"/>
          <w:szCs w:val="22"/>
          <w:lang w:val="el-GR"/>
        </w:rPr>
        <w:t xml:space="preserve"> </w:t>
      </w:r>
      <w:r w:rsidR="000F3E15" w:rsidRPr="00D75110">
        <w:rPr>
          <w:color w:val="auto"/>
          <w:sz w:val="22"/>
          <w:szCs w:val="22"/>
          <w:lang w:val="el-GR"/>
        </w:rPr>
        <w:t>του</w:t>
      </w:r>
      <w:r w:rsidRPr="00A71131">
        <w:rPr>
          <w:color w:val="auto"/>
          <w:sz w:val="22"/>
          <w:lang w:val="el-GR"/>
        </w:rPr>
        <w:t xml:space="preserve"> </w:t>
      </w:r>
      <w:r w:rsidRPr="00A71131">
        <w:rPr>
          <w:color w:val="auto"/>
          <w:sz w:val="22"/>
        </w:rPr>
        <w:t>CYP</w:t>
      </w:r>
      <w:r w:rsidRPr="00A71131">
        <w:rPr>
          <w:color w:val="auto"/>
          <w:sz w:val="22"/>
          <w:lang w:val="el-GR"/>
        </w:rPr>
        <w:t>2</w:t>
      </w:r>
      <w:r w:rsidRPr="00A71131">
        <w:rPr>
          <w:color w:val="auto"/>
          <w:sz w:val="22"/>
        </w:rPr>
        <w:t>C</w:t>
      </w:r>
      <w:r w:rsidRPr="00A71131">
        <w:rPr>
          <w:color w:val="auto"/>
          <w:sz w:val="22"/>
          <w:lang w:val="el-GR"/>
        </w:rPr>
        <w:t xml:space="preserve">19. Επομένως, τα φάρμακα που αναστέλλουν το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 xml:space="preserve">4 (π.χ. μερικά μακρολίδια, αντιμυκητιασικά αζόλης, αναστολείς πρωτεάσης) ή </w:t>
      </w:r>
      <w:r w:rsidR="000F3E15" w:rsidRPr="00D75110">
        <w:rPr>
          <w:color w:val="auto"/>
          <w:sz w:val="22"/>
          <w:szCs w:val="22"/>
          <w:lang w:val="el-GR"/>
        </w:rPr>
        <w:t xml:space="preserve">το </w:t>
      </w:r>
      <w:r w:rsidRPr="00A71131">
        <w:rPr>
          <w:color w:val="auto"/>
          <w:sz w:val="22"/>
        </w:rPr>
        <w:t>CYP</w:t>
      </w:r>
      <w:r w:rsidRPr="00A71131">
        <w:rPr>
          <w:color w:val="auto"/>
          <w:sz w:val="22"/>
          <w:lang w:val="el-GR"/>
        </w:rPr>
        <w:t>2</w:t>
      </w:r>
      <w:r w:rsidRPr="00A71131">
        <w:rPr>
          <w:color w:val="auto"/>
          <w:sz w:val="22"/>
        </w:rPr>
        <w:t>C</w:t>
      </w:r>
      <w:r w:rsidRPr="00A71131">
        <w:rPr>
          <w:color w:val="auto"/>
          <w:sz w:val="22"/>
          <w:lang w:val="el-GR"/>
        </w:rPr>
        <w:t xml:space="preserve">19 (όπως αναστολείς αντλίας πρωτονίων, </w:t>
      </w:r>
      <w:r w:rsidRPr="00A71131">
        <w:rPr>
          <w:color w:val="auto"/>
          <w:sz w:val="22"/>
        </w:rPr>
        <w:t>PPIs</w:t>
      </w:r>
      <w:r w:rsidRPr="00A71131">
        <w:rPr>
          <w:color w:val="auto"/>
          <w:sz w:val="22"/>
          <w:lang w:val="el-GR"/>
        </w:rPr>
        <w:t>) αυξάνουν τη συνολική φαρμακολογική δράση</w:t>
      </w:r>
      <w:r w:rsidR="00781BF5" w:rsidRPr="00D75110">
        <w:rPr>
          <w:color w:val="auto"/>
          <w:sz w:val="22"/>
          <w:szCs w:val="22"/>
          <w:lang w:val="el-GR"/>
        </w:rPr>
        <w:t xml:space="preserve"> </w:t>
      </w:r>
      <w:r w:rsidR="0037560D" w:rsidRPr="00D75110">
        <w:rPr>
          <w:color w:val="auto"/>
          <w:sz w:val="22"/>
          <w:szCs w:val="22"/>
          <w:lang w:val="el-GR"/>
        </w:rPr>
        <w:t>κατά 32 και 42%, αντίστοιχα</w:t>
      </w:r>
      <w:r w:rsidRPr="00A71131">
        <w:rPr>
          <w:color w:val="auto"/>
          <w:sz w:val="22"/>
          <w:lang w:val="el-GR"/>
        </w:rPr>
        <w:t xml:space="preserve"> και θα μπορούσαν να έχουν τη δυνατότητα να ενισχύσουν τις ανεπιθύμητες ενέργειες της σιλοσταζόλης. Κατά συνέπεια, για ασθενείς που λαμβάνουν ταυτόχρονα ισχυρούς αναστολείς του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 xml:space="preserve">4 ή του </w:t>
      </w:r>
      <w:r w:rsidRPr="00A71131">
        <w:rPr>
          <w:color w:val="auto"/>
          <w:sz w:val="22"/>
        </w:rPr>
        <w:t>CYP</w:t>
      </w:r>
      <w:r w:rsidRPr="00A71131">
        <w:rPr>
          <w:color w:val="auto"/>
          <w:sz w:val="22"/>
          <w:lang w:val="el-GR"/>
        </w:rPr>
        <w:t>2</w:t>
      </w:r>
      <w:r w:rsidRPr="00A71131">
        <w:rPr>
          <w:color w:val="auto"/>
          <w:sz w:val="22"/>
        </w:rPr>
        <w:t>C</w:t>
      </w:r>
      <w:r w:rsidRPr="00A71131">
        <w:rPr>
          <w:color w:val="auto"/>
          <w:sz w:val="22"/>
          <w:lang w:val="el-GR"/>
        </w:rPr>
        <w:t xml:space="preserve">19 η συνιστώμενη δόση είναι 50 </w:t>
      </w:r>
      <w:r w:rsidRPr="00A71131">
        <w:rPr>
          <w:color w:val="auto"/>
          <w:sz w:val="22"/>
        </w:rPr>
        <w:t>mg</w:t>
      </w:r>
      <w:r w:rsidRPr="00A71131">
        <w:rPr>
          <w:color w:val="auto"/>
          <w:sz w:val="22"/>
          <w:lang w:val="el-GR"/>
        </w:rPr>
        <w:t xml:space="preserve"> </w:t>
      </w:r>
      <w:r w:rsidR="000F3E15" w:rsidRPr="00D75110">
        <w:rPr>
          <w:color w:val="auto"/>
          <w:sz w:val="22"/>
          <w:szCs w:val="22"/>
          <w:lang w:val="el-GR"/>
        </w:rPr>
        <w:t>δύο φορές</w:t>
      </w:r>
      <w:r w:rsidR="00781BF5" w:rsidRPr="00D75110">
        <w:rPr>
          <w:color w:val="auto"/>
          <w:sz w:val="22"/>
          <w:szCs w:val="22"/>
          <w:lang w:val="el-GR"/>
        </w:rPr>
        <w:t xml:space="preserve"> </w:t>
      </w:r>
      <w:r w:rsidR="00C26389" w:rsidRPr="00D75110">
        <w:rPr>
          <w:color w:val="auto"/>
          <w:sz w:val="22"/>
          <w:szCs w:val="22"/>
          <w:lang w:val="el-GR"/>
        </w:rPr>
        <w:t>την ημέρα</w:t>
      </w:r>
      <w:r w:rsidR="00781BF5" w:rsidRPr="00D75110">
        <w:rPr>
          <w:color w:val="auto"/>
          <w:sz w:val="22"/>
          <w:szCs w:val="22"/>
          <w:lang w:val="el-GR"/>
        </w:rPr>
        <w:t xml:space="preserve"> (βλ</w:t>
      </w:r>
      <w:r w:rsidR="000F3E15" w:rsidRPr="00D75110">
        <w:rPr>
          <w:color w:val="auto"/>
          <w:sz w:val="22"/>
          <w:szCs w:val="22"/>
          <w:lang w:val="el-GR"/>
        </w:rPr>
        <w:t>.</w:t>
      </w:r>
      <w:r w:rsidRPr="00A71131">
        <w:rPr>
          <w:color w:val="auto"/>
          <w:sz w:val="22"/>
          <w:lang w:val="el-GR"/>
        </w:rPr>
        <w:t xml:space="preserve"> παράγραφο 4.2). </w:t>
      </w:r>
    </w:p>
    <w:p w:rsidR="00984BC2" w:rsidRDefault="00984BC2">
      <w:pPr>
        <w:pStyle w:val="Default"/>
        <w:rPr>
          <w:color w:val="auto"/>
          <w:sz w:val="22"/>
          <w:lang w:val="el-GR"/>
        </w:rPr>
      </w:pPr>
    </w:p>
    <w:p w:rsidR="00781BF5" w:rsidRPr="00D75110" w:rsidRDefault="00A71131" w:rsidP="00781BF5">
      <w:pPr>
        <w:pStyle w:val="Default"/>
        <w:rPr>
          <w:color w:val="auto"/>
          <w:sz w:val="22"/>
          <w:szCs w:val="22"/>
          <w:lang w:val="el-GR"/>
        </w:rPr>
      </w:pPr>
      <w:r w:rsidRPr="00A71131">
        <w:rPr>
          <w:color w:val="auto"/>
          <w:sz w:val="22"/>
          <w:lang w:val="el-GR"/>
        </w:rPr>
        <w:t xml:space="preserve">Η χορήγηση </w:t>
      </w:r>
      <w:r w:rsidR="00736566" w:rsidRPr="001C30BE">
        <w:rPr>
          <w:color w:val="auto"/>
          <w:sz w:val="22"/>
          <w:lang w:val="el-GR"/>
        </w:rPr>
        <w:t xml:space="preserve"> </w:t>
      </w:r>
      <w:r w:rsidRPr="00A71131">
        <w:rPr>
          <w:color w:val="auto"/>
          <w:sz w:val="22"/>
          <w:lang w:val="el-GR"/>
        </w:rPr>
        <w:t xml:space="preserve">σιλοσταζόλης με ερυθρομυκίνη (έναν αναστολέα του </w:t>
      </w:r>
      <w:r w:rsidRPr="00A71131">
        <w:rPr>
          <w:color w:val="auto"/>
          <w:sz w:val="22"/>
        </w:rPr>
        <w:t>CYP</w:t>
      </w:r>
      <w:r w:rsidRPr="00A71131">
        <w:rPr>
          <w:color w:val="auto"/>
          <w:sz w:val="22"/>
          <w:lang w:val="el-GR"/>
        </w:rPr>
        <w:t>3</w:t>
      </w:r>
      <w:r w:rsidRPr="00A71131">
        <w:rPr>
          <w:color w:val="auto"/>
          <w:sz w:val="22"/>
        </w:rPr>
        <w:t>A</w:t>
      </w:r>
      <w:r w:rsidRPr="00A71131">
        <w:rPr>
          <w:color w:val="auto"/>
          <w:sz w:val="22"/>
          <w:lang w:val="el-GR"/>
        </w:rPr>
        <w:t xml:space="preserve">4) 500 </w:t>
      </w:r>
      <w:r w:rsidRPr="00A71131">
        <w:rPr>
          <w:color w:val="auto"/>
          <w:sz w:val="22"/>
        </w:rPr>
        <w:t>mg</w:t>
      </w:r>
      <w:r w:rsidRPr="00A71131">
        <w:rPr>
          <w:color w:val="auto"/>
          <w:sz w:val="22"/>
          <w:lang w:val="el-GR"/>
        </w:rPr>
        <w:t xml:space="preserve"> </w:t>
      </w:r>
      <w:r w:rsidR="000F3E15" w:rsidRPr="00D75110">
        <w:rPr>
          <w:color w:val="auto"/>
          <w:sz w:val="22"/>
          <w:szCs w:val="22"/>
          <w:lang w:val="el-GR"/>
        </w:rPr>
        <w:t xml:space="preserve">τρεις φορές </w:t>
      </w:r>
      <w:r w:rsidR="00C26389" w:rsidRPr="00D75110">
        <w:rPr>
          <w:color w:val="auto"/>
          <w:sz w:val="22"/>
          <w:szCs w:val="22"/>
          <w:lang w:val="el-GR"/>
        </w:rPr>
        <w:t>την ημέρα</w:t>
      </w:r>
      <w:r w:rsidRPr="00A71131">
        <w:rPr>
          <w:color w:val="auto"/>
          <w:sz w:val="22"/>
          <w:lang w:val="el-GR"/>
        </w:rPr>
        <w:t xml:space="preserve"> οδήγησε σε αύξηση στην περιοχή κάτω από την καμπύλη (</w:t>
      </w:r>
      <w:r w:rsidRPr="00A71131">
        <w:rPr>
          <w:color w:val="auto"/>
          <w:sz w:val="22"/>
        </w:rPr>
        <w:t>AUC</w:t>
      </w:r>
      <w:r w:rsidRPr="00A71131">
        <w:rPr>
          <w:color w:val="auto"/>
          <w:sz w:val="22"/>
          <w:lang w:val="el-GR"/>
        </w:rPr>
        <w:t xml:space="preserve">) </w:t>
      </w:r>
      <w:r w:rsidR="009F0DE7" w:rsidRPr="00D75110">
        <w:rPr>
          <w:color w:val="auto"/>
          <w:sz w:val="22"/>
          <w:szCs w:val="22"/>
          <w:lang w:val="el-GR"/>
        </w:rPr>
        <w:t xml:space="preserve">της </w:t>
      </w:r>
      <w:r w:rsidRPr="00A71131">
        <w:rPr>
          <w:color w:val="auto"/>
          <w:sz w:val="22"/>
          <w:lang w:val="el-GR"/>
        </w:rPr>
        <w:t xml:space="preserve">σιλοσταζόλης κατά 72%, συνοδευόμενη από 6% αύξηση στην </w:t>
      </w:r>
      <w:r w:rsidRPr="00A71131">
        <w:rPr>
          <w:color w:val="auto"/>
          <w:sz w:val="22"/>
        </w:rPr>
        <w:t>AUC</w:t>
      </w:r>
      <w:r w:rsidRPr="00A71131">
        <w:rPr>
          <w:color w:val="auto"/>
          <w:sz w:val="22"/>
          <w:lang w:val="el-GR"/>
        </w:rPr>
        <w:t xml:space="preserve"> του δεϋδρο-μεταβολίτη και 119% αύξηση στην </w:t>
      </w:r>
      <w:r w:rsidRPr="00A71131">
        <w:rPr>
          <w:color w:val="auto"/>
          <w:sz w:val="22"/>
        </w:rPr>
        <w:t>AUC</w:t>
      </w:r>
      <w:r w:rsidRPr="00A71131">
        <w:rPr>
          <w:color w:val="auto"/>
          <w:sz w:val="22"/>
          <w:lang w:val="el-GR"/>
        </w:rPr>
        <w:t xml:space="preserve"> του 4`-τρανς-</w:t>
      </w:r>
      <w:r w:rsidR="00781BF5" w:rsidRPr="00D75110">
        <w:rPr>
          <w:color w:val="auto"/>
          <w:sz w:val="22"/>
          <w:szCs w:val="22"/>
          <w:lang w:val="el-GR"/>
        </w:rPr>
        <w:t>υδροξυ</w:t>
      </w:r>
      <w:r w:rsidR="005C26C8" w:rsidRPr="00D75110">
        <w:rPr>
          <w:color w:val="auto"/>
          <w:sz w:val="22"/>
          <w:szCs w:val="22"/>
          <w:lang w:val="el-GR"/>
        </w:rPr>
        <w:t xml:space="preserve"> </w:t>
      </w:r>
      <w:r w:rsidR="00781BF5" w:rsidRPr="00D75110">
        <w:rPr>
          <w:color w:val="auto"/>
          <w:sz w:val="22"/>
          <w:szCs w:val="22"/>
          <w:lang w:val="el-GR"/>
        </w:rPr>
        <w:t xml:space="preserve">μεταβολίτη. </w:t>
      </w:r>
    </w:p>
    <w:p w:rsidR="00917AD3" w:rsidRDefault="001C30BE">
      <w:pPr>
        <w:pStyle w:val="Default"/>
        <w:rPr>
          <w:color w:val="auto"/>
          <w:sz w:val="22"/>
          <w:lang w:val="el-GR"/>
        </w:rPr>
      </w:pPr>
      <w:r w:rsidRPr="001C30BE">
        <w:rPr>
          <w:color w:val="auto"/>
          <w:sz w:val="22"/>
          <w:lang w:val="el-GR"/>
        </w:rPr>
        <w:lastRenderedPageBreak/>
        <w:t xml:space="preserve">Με βάση την </w:t>
      </w:r>
      <w:r w:rsidRPr="001C30BE">
        <w:rPr>
          <w:color w:val="auto"/>
          <w:sz w:val="22"/>
        </w:rPr>
        <w:t>AUC</w:t>
      </w:r>
      <w:r w:rsidRPr="001C30BE">
        <w:rPr>
          <w:color w:val="auto"/>
          <w:sz w:val="22"/>
          <w:lang w:val="el-GR"/>
        </w:rPr>
        <w:t>, η συνολική φαρμακολογική δράση της σιλοσταζόλης αυξάνει</w:t>
      </w:r>
      <w:r w:rsidR="00781BF5" w:rsidRPr="00D75110">
        <w:rPr>
          <w:color w:val="auto"/>
          <w:sz w:val="22"/>
          <w:szCs w:val="22"/>
          <w:lang w:val="el-GR"/>
        </w:rPr>
        <w:t xml:space="preserve"> </w:t>
      </w:r>
      <w:r w:rsidR="00B67FE3" w:rsidRPr="00D75110">
        <w:rPr>
          <w:color w:val="auto"/>
          <w:sz w:val="22"/>
          <w:szCs w:val="22"/>
          <w:lang w:val="el-GR"/>
        </w:rPr>
        <w:t>κατά</w:t>
      </w:r>
      <w:r w:rsidRPr="001C30BE">
        <w:rPr>
          <w:color w:val="auto"/>
          <w:sz w:val="22"/>
          <w:lang w:val="el-GR"/>
        </w:rPr>
        <w:t xml:space="preserve"> 34% όταν συγχορηγείται με ερυθρομυκίνη. Με βάση αυτά τα δεδομένα, η συνιστώμενη δόση της σιλοσταζόλης είναι 50 </w:t>
      </w:r>
      <w:r w:rsidRPr="001C30BE">
        <w:rPr>
          <w:color w:val="auto"/>
          <w:sz w:val="22"/>
        </w:rPr>
        <w:t>mg</w:t>
      </w:r>
      <w:r w:rsidRPr="001C30BE">
        <w:rPr>
          <w:color w:val="auto"/>
          <w:sz w:val="22"/>
          <w:lang w:val="el-GR"/>
        </w:rPr>
        <w:t xml:space="preserve"> </w:t>
      </w:r>
      <w:r w:rsidR="000F3E15" w:rsidRPr="00D75110">
        <w:rPr>
          <w:color w:val="auto"/>
          <w:sz w:val="22"/>
          <w:szCs w:val="22"/>
          <w:lang w:val="el-GR"/>
        </w:rPr>
        <w:t>δύο φορές</w:t>
      </w:r>
      <w:r w:rsidR="00781BF5" w:rsidRPr="00D75110">
        <w:rPr>
          <w:color w:val="auto"/>
          <w:sz w:val="22"/>
          <w:szCs w:val="22"/>
          <w:lang w:val="el-GR"/>
        </w:rPr>
        <w:t xml:space="preserve"> </w:t>
      </w:r>
      <w:r w:rsidR="00C26389" w:rsidRPr="00D75110">
        <w:rPr>
          <w:color w:val="auto"/>
          <w:sz w:val="22"/>
          <w:szCs w:val="22"/>
          <w:lang w:val="el-GR"/>
        </w:rPr>
        <w:t>την ημέρα</w:t>
      </w:r>
      <w:r w:rsidRPr="001C30BE">
        <w:rPr>
          <w:color w:val="auto"/>
          <w:sz w:val="22"/>
          <w:lang w:val="el-GR"/>
        </w:rPr>
        <w:t xml:space="preserve"> παρουσία ερυθρομυκίνης και παρόμοιων παραγόντων (π.χ., κλαριθρομυκίνης).</w:t>
      </w:r>
      <w:r w:rsidR="00781BF5" w:rsidRPr="00D75110">
        <w:rPr>
          <w:color w:val="auto"/>
          <w:sz w:val="22"/>
          <w:szCs w:val="22"/>
          <w:lang w:val="el-GR"/>
        </w:rPr>
        <w:t xml:space="preserve"> </w:t>
      </w:r>
    </w:p>
    <w:p w:rsid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 xml:space="preserve">Η συγχορήγηση κετοκοναζόλης (ενός αναστολέα του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με σιλοσταζόλη οδήγησε σε 117% αύξηση στην </w:t>
      </w:r>
      <w:r w:rsidRPr="001C30BE">
        <w:rPr>
          <w:color w:val="auto"/>
          <w:sz w:val="22"/>
        </w:rPr>
        <w:t>AUC</w:t>
      </w:r>
      <w:r w:rsidRPr="001C30BE">
        <w:rPr>
          <w:color w:val="auto"/>
          <w:sz w:val="22"/>
          <w:lang w:val="el-GR"/>
        </w:rPr>
        <w:t xml:space="preserve"> </w:t>
      </w:r>
      <w:r w:rsidR="00FA0588" w:rsidRPr="00D75110">
        <w:rPr>
          <w:color w:val="auto"/>
          <w:sz w:val="22"/>
          <w:szCs w:val="22"/>
          <w:lang w:val="el-GR"/>
        </w:rPr>
        <w:t xml:space="preserve">της </w:t>
      </w:r>
      <w:r w:rsidRPr="001C30BE">
        <w:rPr>
          <w:color w:val="auto"/>
          <w:sz w:val="22"/>
          <w:lang w:val="el-GR"/>
        </w:rPr>
        <w:t xml:space="preserve">σιλοσταζόλης, συνοδευόμενη από 15% μείωση στην </w:t>
      </w:r>
      <w:r w:rsidRPr="001C30BE">
        <w:rPr>
          <w:color w:val="auto"/>
          <w:sz w:val="22"/>
        </w:rPr>
        <w:t>AUC</w:t>
      </w:r>
      <w:r w:rsidRPr="001C30BE">
        <w:rPr>
          <w:color w:val="auto"/>
          <w:sz w:val="22"/>
          <w:lang w:val="el-GR"/>
        </w:rPr>
        <w:t xml:space="preserve"> του δεϋδρο-μεταβολίτη και 87% αύξηση στην </w:t>
      </w:r>
      <w:r w:rsidRPr="001C30BE">
        <w:rPr>
          <w:color w:val="auto"/>
          <w:sz w:val="22"/>
        </w:rPr>
        <w:t>AUC</w:t>
      </w:r>
      <w:r w:rsidRPr="001C30BE">
        <w:rPr>
          <w:color w:val="auto"/>
          <w:sz w:val="22"/>
          <w:lang w:val="el-GR"/>
        </w:rPr>
        <w:t xml:space="preserve"> του 4`-τρανς-</w:t>
      </w:r>
      <w:r w:rsidR="00781BF5" w:rsidRPr="00D75110">
        <w:rPr>
          <w:color w:val="auto"/>
          <w:sz w:val="22"/>
          <w:szCs w:val="22"/>
          <w:lang w:val="el-GR"/>
        </w:rPr>
        <w:t>υδροξυ</w:t>
      </w:r>
      <w:r w:rsidR="005C26C8" w:rsidRPr="00D75110">
        <w:rPr>
          <w:color w:val="auto"/>
          <w:sz w:val="22"/>
          <w:szCs w:val="22"/>
          <w:lang w:val="el-GR"/>
        </w:rPr>
        <w:t xml:space="preserve"> </w:t>
      </w:r>
      <w:r w:rsidR="00781BF5" w:rsidRPr="00D75110">
        <w:rPr>
          <w:color w:val="auto"/>
          <w:sz w:val="22"/>
          <w:szCs w:val="22"/>
          <w:lang w:val="el-GR"/>
        </w:rPr>
        <w:t>μεταβολίτη.</w:t>
      </w:r>
      <w:r w:rsidRPr="001C30BE">
        <w:rPr>
          <w:color w:val="auto"/>
          <w:sz w:val="22"/>
          <w:lang w:val="el-GR"/>
        </w:rPr>
        <w:t xml:space="preserve"> Με βάση την </w:t>
      </w:r>
      <w:r w:rsidRPr="001C30BE">
        <w:rPr>
          <w:color w:val="auto"/>
          <w:sz w:val="22"/>
        </w:rPr>
        <w:t>AUC</w:t>
      </w:r>
      <w:r w:rsidRPr="001C30BE">
        <w:rPr>
          <w:color w:val="auto"/>
          <w:sz w:val="22"/>
          <w:lang w:val="el-GR"/>
        </w:rPr>
        <w:t>, η συνολική φαρμακολογική δράση της σιλοσταζόλης αυξάνει</w:t>
      </w:r>
      <w:r w:rsidR="00781BF5" w:rsidRPr="00D75110">
        <w:rPr>
          <w:color w:val="auto"/>
          <w:sz w:val="22"/>
          <w:szCs w:val="22"/>
          <w:lang w:val="el-GR"/>
        </w:rPr>
        <w:t xml:space="preserve"> </w:t>
      </w:r>
      <w:r w:rsidR="00145126" w:rsidRPr="00D75110">
        <w:rPr>
          <w:color w:val="auto"/>
          <w:sz w:val="22"/>
          <w:szCs w:val="22"/>
          <w:lang w:val="el-GR"/>
        </w:rPr>
        <w:t>κατά</w:t>
      </w:r>
      <w:r w:rsidRPr="001C30BE">
        <w:rPr>
          <w:color w:val="auto"/>
          <w:sz w:val="22"/>
          <w:lang w:val="el-GR"/>
        </w:rPr>
        <w:t xml:space="preserve"> 35% όταν συγχορηγείται με κετοκοναζόλη. Με βάση αυτά τα δεδομένα, η συνιστώμενη δόση της σιλοσταζόλης είναι 50 </w:t>
      </w:r>
      <w:r w:rsidRPr="001C30BE">
        <w:rPr>
          <w:color w:val="auto"/>
          <w:sz w:val="22"/>
        </w:rPr>
        <w:t>mg</w:t>
      </w:r>
      <w:r w:rsidRPr="001C30BE">
        <w:rPr>
          <w:color w:val="auto"/>
          <w:sz w:val="22"/>
          <w:lang w:val="el-GR"/>
        </w:rPr>
        <w:t xml:space="preserve"> </w:t>
      </w:r>
      <w:r w:rsidR="000F3E15" w:rsidRPr="00D75110">
        <w:rPr>
          <w:color w:val="auto"/>
          <w:sz w:val="22"/>
          <w:szCs w:val="22"/>
          <w:lang w:val="el-GR"/>
        </w:rPr>
        <w:t>δύο φορές</w:t>
      </w:r>
      <w:r w:rsidR="00781BF5" w:rsidRPr="00D75110">
        <w:rPr>
          <w:color w:val="auto"/>
          <w:sz w:val="22"/>
          <w:szCs w:val="22"/>
          <w:lang w:val="el-GR"/>
        </w:rPr>
        <w:t xml:space="preserve"> </w:t>
      </w:r>
      <w:r w:rsidR="00C26389" w:rsidRPr="00D75110">
        <w:rPr>
          <w:color w:val="auto"/>
          <w:sz w:val="22"/>
          <w:szCs w:val="22"/>
          <w:lang w:val="el-GR"/>
        </w:rPr>
        <w:t>την ημέρα</w:t>
      </w:r>
      <w:r w:rsidRPr="001C30BE">
        <w:rPr>
          <w:color w:val="auto"/>
          <w:sz w:val="22"/>
          <w:lang w:val="el-GR"/>
        </w:rPr>
        <w:t xml:space="preserve"> παρουσία κετοκοναζόλης και παρόμοιων παραγόντων (π.χ., ιτρακοναζόλης</w:t>
      </w:r>
      <w:r w:rsidR="00781BF5" w:rsidRPr="00D75110">
        <w:rPr>
          <w:color w:val="auto"/>
          <w:sz w:val="22"/>
          <w:szCs w:val="22"/>
          <w:lang w:val="el-GR"/>
        </w:rPr>
        <w:t xml:space="preserve">). </w:t>
      </w:r>
    </w:p>
    <w:p w:rsidR="00984BC2" w:rsidRDefault="00984BC2">
      <w:pPr>
        <w:pStyle w:val="Default"/>
        <w:rPr>
          <w:color w:val="auto"/>
          <w:sz w:val="22"/>
          <w:lang w:val="el-GR"/>
        </w:rPr>
      </w:pPr>
    </w:p>
    <w:p w:rsidR="00781BF5" w:rsidRPr="00D75110" w:rsidRDefault="001C30BE" w:rsidP="00781BF5">
      <w:pPr>
        <w:pStyle w:val="Default"/>
        <w:rPr>
          <w:color w:val="auto"/>
          <w:sz w:val="22"/>
          <w:szCs w:val="22"/>
          <w:lang w:val="el-GR"/>
        </w:rPr>
      </w:pPr>
      <w:r w:rsidRPr="001C30BE">
        <w:rPr>
          <w:color w:val="auto"/>
          <w:sz w:val="22"/>
          <w:lang w:val="el-GR"/>
        </w:rPr>
        <w:t xml:space="preserve">Η χορήγηση σιλοσταζόλης με διλτιαζέμη (έναν ασθενή αναστολέα του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οδήγησε σε αύξηση στην </w:t>
      </w:r>
      <w:r w:rsidRPr="001C30BE">
        <w:rPr>
          <w:color w:val="auto"/>
          <w:sz w:val="22"/>
        </w:rPr>
        <w:t>AUC</w:t>
      </w:r>
      <w:r w:rsidRPr="001C30BE">
        <w:rPr>
          <w:color w:val="auto"/>
          <w:sz w:val="22"/>
          <w:lang w:val="el-GR"/>
        </w:rPr>
        <w:t xml:space="preserve"> </w:t>
      </w:r>
      <w:r w:rsidR="004E1A4D" w:rsidRPr="00D75110">
        <w:rPr>
          <w:color w:val="auto"/>
          <w:sz w:val="22"/>
          <w:szCs w:val="22"/>
          <w:lang w:val="el-GR"/>
        </w:rPr>
        <w:t xml:space="preserve">της </w:t>
      </w:r>
      <w:r w:rsidRPr="001C30BE">
        <w:rPr>
          <w:color w:val="auto"/>
          <w:sz w:val="22"/>
          <w:lang w:val="el-GR"/>
        </w:rPr>
        <w:t xml:space="preserve">σιλοσταζόλης της τάξης του 44%, συνοδευόμενη από 4% αύξηση στην </w:t>
      </w:r>
      <w:r w:rsidRPr="001C30BE">
        <w:rPr>
          <w:color w:val="auto"/>
          <w:sz w:val="22"/>
        </w:rPr>
        <w:t>AUC</w:t>
      </w:r>
      <w:r w:rsidRPr="001C30BE">
        <w:rPr>
          <w:color w:val="auto"/>
          <w:sz w:val="22"/>
          <w:lang w:val="el-GR"/>
        </w:rPr>
        <w:t xml:space="preserve"> του δεϋδρο-μεταβολίτη και 43% αύξηση στην </w:t>
      </w:r>
      <w:r w:rsidRPr="001C30BE">
        <w:rPr>
          <w:color w:val="auto"/>
          <w:sz w:val="22"/>
        </w:rPr>
        <w:t>AUC</w:t>
      </w:r>
      <w:r w:rsidRPr="001C30BE">
        <w:rPr>
          <w:color w:val="auto"/>
          <w:sz w:val="22"/>
          <w:lang w:val="el-GR"/>
        </w:rPr>
        <w:t xml:space="preserve"> του 4`-τρανς-</w:t>
      </w:r>
      <w:r w:rsidR="00781BF5" w:rsidRPr="00D75110">
        <w:rPr>
          <w:color w:val="auto"/>
          <w:sz w:val="22"/>
          <w:szCs w:val="22"/>
          <w:lang w:val="el-GR"/>
        </w:rPr>
        <w:t>υδροξυ</w:t>
      </w:r>
      <w:r w:rsidR="005C26C8" w:rsidRPr="00D75110">
        <w:rPr>
          <w:color w:val="auto"/>
          <w:sz w:val="22"/>
          <w:szCs w:val="22"/>
          <w:lang w:val="el-GR"/>
        </w:rPr>
        <w:t xml:space="preserve"> </w:t>
      </w:r>
      <w:r w:rsidR="00781BF5" w:rsidRPr="00D75110">
        <w:rPr>
          <w:color w:val="auto"/>
          <w:sz w:val="22"/>
          <w:szCs w:val="22"/>
          <w:lang w:val="el-GR"/>
        </w:rPr>
        <w:t xml:space="preserve">μεταβολίτη. </w:t>
      </w:r>
    </w:p>
    <w:p w:rsidR="00917AD3" w:rsidRDefault="001C30BE">
      <w:pPr>
        <w:pStyle w:val="Default"/>
        <w:rPr>
          <w:color w:val="auto"/>
          <w:sz w:val="22"/>
          <w:lang w:val="el-GR"/>
        </w:rPr>
      </w:pPr>
      <w:r w:rsidRPr="001C30BE">
        <w:rPr>
          <w:color w:val="auto"/>
          <w:sz w:val="22"/>
          <w:lang w:val="el-GR"/>
        </w:rPr>
        <w:t xml:space="preserve">Με βάση την </w:t>
      </w:r>
      <w:r w:rsidRPr="001C30BE">
        <w:rPr>
          <w:color w:val="auto"/>
          <w:sz w:val="22"/>
        </w:rPr>
        <w:t>AUC</w:t>
      </w:r>
      <w:r w:rsidRPr="001C30BE">
        <w:rPr>
          <w:color w:val="auto"/>
          <w:sz w:val="22"/>
          <w:lang w:val="el-GR"/>
        </w:rPr>
        <w:t>, η συνολική φαρμακολογική δράση της σιλοσταζόλης αυξάνει</w:t>
      </w:r>
      <w:r w:rsidR="00781BF5" w:rsidRPr="00D75110">
        <w:rPr>
          <w:color w:val="auto"/>
          <w:sz w:val="22"/>
          <w:szCs w:val="22"/>
          <w:lang w:val="el-GR"/>
        </w:rPr>
        <w:t xml:space="preserve"> </w:t>
      </w:r>
      <w:r w:rsidR="000C1AAB" w:rsidRPr="00D75110">
        <w:rPr>
          <w:color w:val="auto"/>
          <w:sz w:val="22"/>
          <w:szCs w:val="22"/>
          <w:lang w:val="el-GR"/>
        </w:rPr>
        <w:t>κατά</w:t>
      </w:r>
      <w:r w:rsidRPr="001C30BE">
        <w:rPr>
          <w:color w:val="auto"/>
          <w:sz w:val="22"/>
          <w:lang w:val="el-GR"/>
        </w:rPr>
        <w:t xml:space="preserve"> 19% όταν συγχορηγείται με διλτιαζέμη. Με βάση αυτά τα δεδομένα, δεν απαιτείται προσαρμογή της δόσης</w:t>
      </w:r>
      <w:r w:rsidR="00A71131" w:rsidRPr="00A71131">
        <w:rPr>
          <w:color w:val="auto"/>
          <w:sz w:val="22"/>
          <w:lang w:val="el-GR"/>
        </w:rPr>
        <w:t>.</w:t>
      </w:r>
      <w:r w:rsidR="00781BF5" w:rsidRPr="00D75110">
        <w:rPr>
          <w:color w:val="auto"/>
          <w:sz w:val="22"/>
          <w:szCs w:val="22"/>
          <w:lang w:val="el-GR"/>
        </w:rPr>
        <w:t xml:space="preserve"> </w:t>
      </w:r>
    </w:p>
    <w:p w:rsidR="00984BC2" w:rsidRDefault="00984BC2">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 xml:space="preserve">Η χορήγηση μιας δόσης 100 </w:t>
      </w:r>
      <w:r w:rsidRPr="001C30BE">
        <w:rPr>
          <w:color w:val="auto"/>
          <w:sz w:val="22"/>
        </w:rPr>
        <w:t>mg</w:t>
      </w:r>
      <w:r w:rsidRPr="001C30BE">
        <w:rPr>
          <w:color w:val="auto"/>
          <w:sz w:val="22"/>
          <w:lang w:val="el-GR"/>
        </w:rPr>
        <w:t xml:space="preserve"> σιλοσταζόλης με 240 </w:t>
      </w:r>
      <w:r w:rsidRPr="001C30BE">
        <w:rPr>
          <w:color w:val="auto"/>
          <w:sz w:val="22"/>
        </w:rPr>
        <w:t>ml</w:t>
      </w:r>
      <w:r w:rsidRPr="001C30BE">
        <w:rPr>
          <w:color w:val="auto"/>
          <w:sz w:val="22"/>
          <w:lang w:val="el-GR"/>
        </w:rPr>
        <w:t xml:space="preserve"> </w:t>
      </w:r>
      <w:r w:rsidR="00781BF5" w:rsidRPr="00D75110">
        <w:rPr>
          <w:color w:val="auto"/>
          <w:sz w:val="22"/>
          <w:szCs w:val="22"/>
          <w:lang w:val="el-GR"/>
        </w:rPr>
        <w:t>χυμ</w:t>
      </w:r>
      <w:r w:rsidR="00D3033D" w:rsidRPr="00D75110">
        <w:rPr>
          <w:color w:val="auto"/>
          <w:sz w:val="22"/>
          <w:szCs w:val="22"/>
          <w:lang w:val="el-GR"/>
        </w:rPr>
        <w:t>ού</w:t>
      </w:r>
      <w:r w:rsidRPr="001C30BE">
        <w:rPr>
          <w:color w:val="auto"/>
          <w:sz w:val="22"/>
          <w:lang w:val="el-GR"/>
        </w:rPr>
        <w:t xml:space="preserve"> γκρέιπφρουτ (έναν αναστολέα του εντερικού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δεν είχε αξιοσημείωτη επίδραση στη φαρμακοκινητική της σιλοσταζόλης. Με βάση αυτά τα δεδομένα, δεν απαιτείται προσαρμογή της δόσης. Μια κλινικά σημαντική επίδραση στη σιλοσταζόλη εξακολουθεί να είναι δυνατή </w:t>
      </w:r>
      <w:r w:rsidR="00D66D30" w:rsidRPr="00D75110">
        <w:rPr>
          <w:color w:val="auto"/>
          <w:sz w:val="22"/>
          <w:szCs w:val="22"/>
          <w:lang w:val="el-GR"/>
        </w:rPr>
        <w:t>μ</w:t>
      </w:r>
      <w:r w:rsidR="00781BF5" w:rsidRPr="00D75110">
        <w:rPr>
          <w:color w:val="auto"/>
          <w:sz w:val="22"/>
          <w:szCs w:val="22"/>
          <w:lang w:val="el-GR"/>
        </w:rPr>
        <w:t>ε</w:t>
      </w:r>
      <w:r w:rsidRPr="001C30BE">
        <w:rPr>
          <w:color w:val="auto"/>
          <w:sz w:val="22"/>
          <w:lang w:val="el-GR"/>
        </w:rPr>
        <w:t xml:space="preserve"> μεγαλύτερες ποσότητες χυμού γκρέιπφρουτ.</w:t>
      </w:r>
      <w:r w:rsidR="00781BF5" w:rsidRPr="00D75110">
        <w:rPr>
          <w:color w:val="auto"/>
          <w:sz w:val="22"/>
          <w:szCs w:val="22"/>
          <w:lang w:val="el-GR"/>
        </w:rPr>
        <w:t xml:space="preserve"> </w:t>
      </w:r>
    </w:p>
    <w:p w:rsid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 xml:space="preserve">Η χορήγηση σιλοσταζόλης με ομεπραζόλη (έναν αναστολέα του </w:t>
      </w:r>
      <w:r w:rsidRPr="001C30BE">
        <w:rPr>
          <w:color w:val="auto"/>
          <w:sz w:val="22"/>
        </w:rPr>
        <w:t>CYP</w:t>
      </w:r>
      <w:r w:rsidRPr="001C30BE">
        <w:rPr>
          <w:color w:val="auto"/>
          <w:sz w:val="22"/>
          <w:lang w:val="el-GR"/>
        </w:rPr>
        <w:t>2</w:t>
      </w:r>
      <w:r w:rsidRPr="001C30BE">
        <w:rPr>
          <w:color w:val="auto"/>
          <w:sz w:val="22"/>
        </w:rPr>
        <w:t>C</w:t>
      </w:r>
      <w:r w:rsidRPr="001C30BE">
        <w:rPr>
          <w:color w:val="auto"/>
          <w:sz w:val="22"/>
          <w:lang w:val="el-GR"/>
        </w:rPr>
        <w:t xml:space="preserve">19) αύξησε την </w:t>
      </w:r>
      <w:r w:rsidRPr="001C30BE">
        <w:rPr>
          <w:color w:val="auto"/>
          <w:sz w:val="22"/>
        </w:rPr>
        <w:t>AUC</w:t>
      </w:r>
      <w:r w:rsidR="00781BF5" w:rsidRPr="00D75110">
        <w:rPr>
          <w:color w:val="auto"/>
          <w:sz w:val="22"/>
          <w:szCs w:val="22"/>
          <w:lang w:val="el-GR"/>
        </w:rPr>
        <w:t xml:space="preserve"> </w:t>
      </w:r>
      <w:r w:rsidR="00471DB2" w:rsidRPr="00D75110">
        <w:rPr>
          <w:color w:val="auto"/>
          <w:sz w:val="22"/>
          <w:szCs w:val="22"/>
          <w:lang w:val="el-GR"/>
        </w:rPr>
        <w:t>της</w:t>
      </w:r>
      <w:r w:rsidRPr="001C30BE">
        <w:rPr>
          <w:color w:val="auto"/>
          <w:sz w:val="22"/>
          <w:lang w:val="el-GR"/>
        </w:rPr>
        <w:t xml:space="preserve"> σιλοσταζόλης κατά 22%, συνοδευόμενη από 68% αύξηση στην </w:t>
      </w:r>
      <w:r w:rsidRPr="001C30BE">
        <w:rPr>
          <w:color w:val="auto"/>
          <w:sz w:val="22"/>
        </w:rPr>
        <w:t>AUC</w:t>
      </w:r>
      <w:r w:rsidRPr="001C30BE">
        <w:rPr>
          <w:color w:val="auto"/>
          <w:sz w:val="22"/>
          <w:lang w:val="el-GR"/>
        </w:rPr>
        <w:t xml:space="preserve"> του δεϋδρο-μεταβολίτη και 36% μείωση στην </w:t>
      </w:r>
      <w:r w:rsidRPr="001C30BE">
        <w:rPr>
          <w:color w:val="auto"/>
          <w:sz w:val="22"/>
        </w:rPr>
        <w:t>AUC</w:t>
      </w:r>
      <w:r w:rsidRPr="001C30BE">
        <w:rPr>
          <w:color w:val="auto"/>
          <w:sz w:val="22"/>
          <w:lang w:val="el-GR"/>
        </w:rPr>
        <w:t xml:space="preserve"> του 4`-τρανς-</w:t>
      </w:r>
      <w:r w:rsidR="00781BF5" w:rsidRPr="00D75110">
        <w:rPr>
          <w:color w:val="auto"/>
          <w:sz w:val="22"/>
          <w:szCs w:val="22"/>
          <w:lang w:val="el-GR"/>
        </w:rPr>
        <w:t>υδροξυ</w:t>
      </w:r>
      <w:r w:rsidR="005C26C8" w:rsidRPr="00D75110">
        <w:rPr>
          <w:color w:val="auto"/>
          <w:sz w:val="22"/>
          <w:szCs w:val="22"/>
          <w:lang w:val="el-GR"/>
        </w:rPr>
        <w:t xml:space="preserve"> </w:t>
      </w:r>
      <w:r w:rsidR="00781BF5" w:rsidRPr="00D75110">
        <w:rPr>
          <w:color w:val="auto"/>
          <w:sz w:val="22"/>
          <w:szCs w:val="22"/>
          <w:lang w:val="el-GR"/>
        </w:rPr>
        <w:t>μεταβολίτη.</w:t>
      </w:r>
      <w:r w:rsidRPr="001C30BE">
        <w:rPr>
          <w:color w:val="auto"/>
          <w:sz w:val="22"/>
          <w:lang w:val="el-GR"/>
        </w:rPr>
        <w:t xml:space="preserve"> Με βάση την </w:t>
      </w:r>
      <w:r w:rsidRPr="001C30BE">
        <w:rPr>
          <w:color w:val="auto"/>
          <w:sz w:val="22"/>
        </w:rPr>
        <w:t>AUC</w:t>
      </w:r>
      <w:r w:rsidRPr="001C30BE">
        <w:rPr>
          <w:color w:val="auto"/>
          <w:sz w:val="22"/>
          <w:lang w:val="el-GR"/>
        </w:rPr>
        <w:t xml:space="preserve">, η συνολική φαρμακολογική δράση αυξάνει κατά 47% όταν συγχορηγείται με ομεπραζόλη. Με βάση αυτά τα δεδομένα, η συνιστώμενη δόση της σιλοσταζόλης είναι 50 </w:t>
      </w:r>
      <w:r w:rsidRPr="001C30BE">
        <w:rPr>
          <w:color w:val="auto"/>
          <w:sz w:val="22"/>
        </w:rPr>
        <w:t>mg</w:t>
      </w:r>
      <w:r w:rsidRPr="001C30BE">
        <w:rPr>
          <w:color w:val="auto"/>
          <w:sz w:val="22"/>
          <w:lang w:val="el-GR"/>
        </w:rPr>
        <w:t xml:space="preserve"> </w:t>
      </w:r>
      <w:r w:rsidR="000F3E15" w:rsidRPr="00D75110">
        <w:rPr>
          <w:color w:val="auto"/>
          <w:sz w:val="22"/>
          <w:szCs w:val="22"/>
          <w:lang w:val="el-GR"/>
        </w:rPr>
        <w:t xml:space="preserve">δύο φορές </w:t>
      </w:r>
      <w:r w:rsidR="00C26389" w:rsidRPr="00D75110">
        <w:rPr>
          <w:color w:val="auto"/>
          <w:sz w:val="22"/>
          <w:szCs w:val="22"/>
          <w:lang w:val="el-GR"/>
        </w:rPr>
        <w:t>την ημέρα</w:t>
      </w:r>
      <w:r w:rsidRPr="001C30BE">
        <w:rPr>
          <w:color w:val="auto"/>
          <w:sz w:val="22"/>
          <w:lang w:val="el-GR"/>
        </w:rPr>
        <w:t xml:space="preserve"> παρουσία ομεπραζόλης.</w:t>
      </w:r>
      <w:r w:rsidR="00781BF5" w:rsidRPr="00D75110">
        <w:rPr>
          <w:color w:val="auto"/>
          <w:sz w:val="22"/>
          <w:szCs w:val="22"/>
          <w:lang w:val="el-GR"/>
        </w:rPr>
        <w:t xml:space="preserve"> </w:t>
      </w:r>
    </w:p>
    <w:p w:rsidR="00984BC2" w:rsidRDefault="00984BC2">
      <w:pPr>
        <w:pStyle w:val="Default"/>
        <w:rPr>
          <w:color w:val="auto"/>
          <w:sz w:val="22"/>
          <w:lang w:val="el-GR"/>
        </w:rPr>
      </w:pPr>
    </w:p>
    <w:p w:rsidR="00984BC2" w:rsidRDefault="00A71131">
      <w:pPr>
        <w:pStyle w:val="Default"/>
        <w:rPr>
          <w:color w:val="auto"/>
          <w:sz w:val="22"/>
          <w:u w:val="single"/>
          <w:lang w:val="el-GR"/>
        </w:rPr>
      </w:pPr>
      <w:r w:rsidRPr="00A71131">
        <w:rPr>
          <w:color w:val="auto"/>
          <w:sz w:val="22"/>
          <w:u w:val="single"/>
          <w:lang w:val="el-GR"/>
        </w:rPr>
        <w:t xml:space="preserve">Υποστρώματα </w:t>
      </w:r>
      <w:r w:rsidR="00736566">
        <w:rPr>
          <w:iCs/>
          <w:u w:val="single"/>
          <w:lang w:val="el-GR"/>
        </w:rPr>
        <w:t xml:space="preserve"> </w:t>
      </w:r>
      <w:r w:rsidR="000F3E15" w:rsidRPr="00D75110">
        <w:rPr>
          <w:color w:val="auto"/>
          <w:sz w:val="22"/>
          <w:szCs w:val="22"/>
          <w:u w:val="single"/>
          <w:lang w:val="el-GR"/>
        </w:rPr>
        <w:t>κυτοχρώματος</w:t>
      </w:r>
      <w:r w:rsidRPr="00A71131">
        <w:rPr>
          <w:color w:val="auto"/>
          <w:sz w:val="22"/>
          <w:u w:val="single"/>
          <w:lang w:val="el-GR"/>
        </w:rPr>
        <w:t xml:space="preserve"> </w:t>
      </w:r>
      <w:r w:rsidRPr="00A71131">
        <w:rPr>
          <w:color w:val="auto"/>
          <w:sz w:val="22"/>
          <w:u w:val="single"/>
        </w:rPr>
        <w:t>P</w:t>
      </w:r>
      <w:r w:rsidRPr="00A71131">
        <w:rPr>
          <w:color w:val="auto"/>
          <w:sz w:val="22"/>
          <w:u w:val="single"/>
          <w:lang w:val="el-GR"/>
        </w:rPr>
        <w:t xml:space="preserve">-450 </w:t>
      </w:r>
    </w:p>
    <w:p w:rsidR="00984BC2" w:rsidRDefault="00984BC2">
      <w:pPr>
        <w:pStyle w:val="Default"/>
        <w:rPr>
          <w:color w:val="auto"/>
          <w:sz w:val="22"/>
          <w:lang w:val="el-GR"/>
        </w:rPr>
      </w:pPr>
    </w:p>
    <w:p w:rsidR="00917AD3" w:rsidRDefault="0077235E">
      <w:pPr>
        <w:pStyle w:val="Default"/>
        <w:rPr>
          <w:color w:val="auto"/>
          <w:sz w:val="22"/>
          <w:lang w:val="el-GR"/>
        </w:rPr>
      </w:pPr>
      <w:r w:rsidRPr="00D75110">
        <w:rPr>
          <w:color w:val="auto"/>
          <w:sz w:val="22"/>
          <w:szCs w:val="22"/>
          <w:lang w:val="el-GR"/>
        </w:rPr>
        <w:t>Έχει καταδειχθεί ότι η</w:t>
      </w:r>
      <w:r w:rsidR="001C30BE" w:rsidRPr="001C30BE">
        <w:rPr>
          <w:color w:val="auto"/>
          <w:sz w:val="22"/>
          <w:lang w:val="el-GR"/>
        </w:rPr>
        <w:t xml:space="preserve"> σιλοσταζόλη </w:t>
      </w:r>
      <w:r w:rsidRPr="00D75110">
        <w:rPr>
          <w:color w:val="auto"/>
          <w:sz w:val="22"/>
          <w:szCs w:val="22"/>
          <w:lang w:val="el-GR"/>
        </w:rPr>
        <w:t>αυξάνει</w:t>
      </w:r>
      <w:r w:rsidR="001C30BE" w:rsidRPr="001C30BE">
        <w:rPr>
          <w:color w:val="auto"/>
          <w:sz w:val="22"/>
          <w:lang w:val="el-GR"/>
        </w:rPr>
        <w:t xml:space="preserve"> την </w:t>
      </w:r>
      <w:r w:rsidR="001C30BE" w:rsidRPr="001C30BE">
        <w:rPr>
          <w:color w:val="auto"/>
          <w:sz w:val="22"/>
        </w:rPr>
        <w:t>AUC</w:t>
      </w:r>
      <w:r w:rsidR="001C30BE" w:rsidRPr="001C30BE">
        <w:rPr>
          <w:color w:val="auto"/>
          <w:sz w:val="22"/>
          <w:lang w:val="el-GR"/>
        </w:rPr>
        <w:t xml:space="preserve"> της λοβαστατίνης (ευαίσθητο υπόστρωμα για το </w:t>
      </w:r>
      <w:r w:rsidR="001C30BE" w:rsidRPr="001C30BE">
        <w:rPr>
          <w:color w:val="auto"/>
          <w:sz w:val="22"/>
        </w:rPr>
        <w:t>CYP</w:t>
      </w:r>
      <w:r w:rsidR="001C30BE" w:rsidRPr="001C30BE">
        <w:rPr>
          <w:color w:val="auto"/>
          <w:sz w:val="22"/>
          <w:lang w:val="el-GR"/>
        </w:rPr>
        <w:t>3</w:t>
      </w:r>
      <w:r w:rsidR="001C30BE" w:rsidRPr="001C30BE">
        <w:rPr>
          <w:color w:val="auto"/>
          <w:sz w:val="22"/>
        </w:rPr>
        <w:t>A</w:t>
      </w:r>
      <w:r w:rsidR="001C30BE" w:rsidRPr="001C30BE">
        <w:rPr>
          <w:color w:val="auto"/>
          <w:sz w:val="22"/>
          <w:lang w:val="el-GR"/>
        </w:rPr>
        <w:t xml:space="preserve">4) και </w:t>
      </w:r>
      <w:r w:rsidR="00781BF5" w:rsidRPr="00D75110">
        <w:rPr>
          <w:color w:val="auto"/>
          <w:sz w:val="22"/>
          <w:szCs w:val="22"/>
          <w:lang w:val="el-GR"/>
        </w:rPr>
        <w:t>το</w:t>
      </w:r>
      <w:r w:rsidR="001A79BC" w:rsidRPr="00D75110">
        <w:rPr>
          <w:color w:val="auto"/>
          <w:sz w:val="22"/>
          <w:szCs w:val="22"/>
          <w:lang w:val="el-GR"/>
        </w:rPr>
        <w:t>υ</w:t>
      </w:r>
      <w:r w:rsidR="001C30BE" w:rsidRPr="001C30BE">
        <w:rPr>
          <w:color w:val="auto"/>
          <w:sz w:val="22"/>
          <w:lang w:val="el-GR"/>
        </w:rPr>
        <w:t xml:space="preserve"> β-</w:t>
      </w:r>
      <w:r w:rsidR="00781BF5" w:rsidRPr="00D75110">
        <w:rPr>
          <w:color w:val="auto"/>
          <w:sz w:val="22"/>
          <w:szCs w:val="22"/>
          <w:lang w:val="el-GR"/>
        </w:rPr>
        <w:t>υδρ</w:t>
      </w:r>
      <w:r w:rsidR="001A79BC" w:rsidRPr="00D75110">
        <w:rPr>
          <w:color w:val="auto"/>
          <w:sz w:val="22"/>
          <w:szCs w:val="22"/>
          <w:lang w:val="el-GR"/>
        </w:rPr>
        <w:t>ο</w:t>
      </w:r>
      <w:r w:rsidR="00781BF5" w:rsidRPr="00D75110">
        <w:rPr>
          <w:color w:val="auto"/>
          <w:sz w:val="22"/>
          <w:szCs w:val="22"/>
          <w:lang w:val="el-GR"/>
        </w:rPr>
        <w:t>ξυ οξ</w:t>
      </w:r>
      <w:r w:rsidR="001A79BC" w:rsidRPr="00D75110">
        <w:rPr>
          <w:color w:val="auto"/>
          <w:sz w:val="22"/>
          <w:szCs w:val="22"/>
          <w:lang w:val="el-GR"/>
        </w:rPr>
        <w:t>έος</w:t>
      </w:r>
      <w:r w:rsidR="001C30BE" w:rsidRPr="001C30BE">
        <w:rPr>
          <w:color w:val="auto"/>
          <w:sz w:val="22"/>
          <w:lang w:val="el-GR"/>
        </w:rPr>
        <w:t xml:space="preserve"> της κατά 70%. Συνιστάται προσοχή κατά τη συγχορήγηση σιλοσταζόλης με υποστρώματα </w:t>
      </w:r>
      <w:r w:rsidR="001A79BC" w:rsidRPr="00D75110">
        <w:rPr>
          <w:color w:val="auto"/>
          <w:sz w:val="22"/>
          <w:szCs w:val="22"/>
          <w:lang w:val="el-GR"/>
        </w:rPr>
        <w:t xml:space="preserve">του </w:t>
      </w:r>
      <w:r w:rsidR="001C30BE" w:rsidRPr="001C30BE">
        <w:rPr>
          <w:color w:val="auto"/>
          <w:sz w:val="22"/>
        </w:rPr>
        <w:t>CYP</w:t>
      </w:r>
      <w:r w:rsidR="001C30BE" w:rsidRPr="001C30BE">
        <w:rPr>
          <w:color w:val="auto"/>
          <w:sz w:val="22"/>
          <w:lang w:val="el-GR"/>
        </w:rPr>
        <w:t>3</w:t>
      </w:r>
      <w:r w:rsidR="001C30BE" w:rsidRPr="001C30BE">
        <w:rPr>
          <w:color w:val="auto"/>
          <w:sz w:val="22"/>
        </w:rPr>
        <w:t>A</w:t>
      </w:r>
      <w:r w:rsidR="001C30BE" w:rsidRPr="001C30BE">
        <w:rPr>
          <w:color w:val="auto"/>
          <w:sz w:val="22"/>
          <w:lang w:val="el-GR"/>
        </w:rPr>
        <w:t xml:space="preserve">4 με στενό θεραπευτικό δείκτη (π.χ. </w:t>
      </w:r>
      <w:r w:rsidR="00781BF5" w:rsidRPr="00D75110">
        <w:rPr>
          <w:color w:val="auto"/>
          <w:sz w:val="22"/>
          <w:szCs w:val="22"/>
          <w:lang w:val="el-GR"/>
        </w:rPr>
        <w:t>σι</w:t>
      </w:r>
      <w:r w:rsidR="00717EBB" w:rsidRPr="00D75110">
        <w:rPr>
          <w:color w:val="auto"/>
          <w:sz w:val="22"/>
          <w:szCs w:val="22"/>
          <w:lang w:val="el-GR"/>
        </w:rPr>
        <w:t>ζ</w:t>
      </w:r>
      <w:r w:rsidR="00781BF5" w:rsidRPr="00D75110">
        <w:rPr>
          <w:color w:val="auto"/>
          <w:sz w:val="22"/>
          <w:szCs w:val="22"/>
          <w:lang w:val="el-GR"/>
        </w:rPr>
        <w:t>απρίδη</w:t>
      </w:r>
      <w:r w:rsidR="001C30BE" w:rsidRPr="001C30BE">
        <w:rPr>
          <w:color w:val="auto"/>
          <w:sz w:val="22"/>
          <w:lang w:val="el-GR"/>
        </w:rPr>
        <w:t xml:space="preserve">, αλοφαντρίνη, πιμοζίδη, παράγωγα </w:t>
      </w:r>
      <w:r w:rsidR="00C23A32" w:rsidRPr="00D75110">
        <w:rPr>
          <w:color w:val="auto"/>
          <w:sz w:val="22"/>
          <w:szCs w:val="22"/>
          <w:lang w:val="el-GR"/>
        </w:rPr>
        <w:t>ερυσιβώδους όλυρας</w:t>
      </w:r>
      <w:r w:rsidR="00781BF5" w:rsidRPr="00D75110">
        <w:rPr>
          <w:color w:val="auto"/>
          <w:sz w:val="22"/>
          <w:szCs w:val="22"/>
          <w:lang w:val="el-GR"/>
        </w:rPr>
        <w:t>).</w:t>
      </w:r>
      <w:r w:rsidR="001C30BE" w:rsidRPr="001C30BE">
        <w:rPr>
          <w:color w:val="auto"/>
          <w:sz w:val="22"/>
          <w:lang w:val="el-GR"/>
        </w:rPr>
        <w:t xml:space="preserve"> Συνιστάται προσοχή </w:t>
      </w:r>
      <w:r w:rsidR="00717EBB" w:rsidRPr="00D75110">
        <w:rPr>
          <w:color w:val="auto"/>
          <w:sz w:val="22"/>
          <w:szCs w:val="22"/>
          <w:lang w:val="el-GR"/>
        </w:rPr>
        <w:t>σε</w:t>
      </w:r>
      <w:r w:rsidR="001C30BE" w:rsidRPr="001C30BE">
        <w:rPr>
          <w:color w:val="auto"/>
          <w:sz w:val="22"/>
          <w:lang w:val="el-GR"/>
        </w:rPr>
        <w:t xml:space="preserve"> περίπτωση συγχορήγησης με στατίνες που μεταβολίζονται από το </w:t>
      </w:r>
      <w:r w:rsidR="001C30BE" w:rsidRPr="001C30BE">
        <w:rPr>
          <w:color w:val="auto"/>
          <w:sz w:val="22"/>
        </w:rPr>
        <w:t>CYP</w:t>
      </w:r>
      <w:r w:rsidR="001C30BE" w:rsidRPr="001C30BE">
        <w:rPr>
          <w:color w:val="auto"/>
          <w:sz w:val="22"/>
          <w:lang w:val="el-GR"/>
        </w:rPr>
        <w:t>3</w:t>
      </w:r>
      <w:r w:rsidR="001C30BE" w:rsidRPr="001C30BE">
        <w:rPr>
          <w:color w:val="auto"/>
          <w:sz w:val="22"/>
        </w:rPr>
        <w:t>A</w:t>
      </w:r>
      <w:r w:rsidR="001C30BE" w:rsidRPr="001C30BE">
        <w:rPr>
          <w:color w:val="auto"/>
          <w:sz w:val="22"/>
          <w:lang w:val="el-GR"/>
        </w:rPr>
        <w:t>4, για παράδειγμα σιμβαστατίνη, ατορβαστατίνη και λοβαστατίνη.</w:t>
      </w:r>
      <w:r w:rsidR="00781BF5" w:rsidRPr="00D75110">
        <w:rPr>
          <w:color w:val="auto"/>
          <w:sz w:val="22"/>
          <w:szCs w:val="22"/>
          <w:lang w:val="el-GR"/>
        </w:rPr>
        <w:t xml:space="preserve"> </w:t>
      </w:r>
    </w:p>
    <w:p w:rsidR="00984BC2" w:rsidRDefault="00984BC2">
      <w:pPr>
        <w:pStyle w:val="Default"/>
        <w:rPr>
          <w:color w:val="auto"/>
          <w:sz w:val="22"/>
          <w:lang w:val="el-GR"/>
        </w:rPr>
      </w:pPr>
    </w:p>
    <w:p w:rsidR="00917AD3" w:rsidRDefault="001C30BE">
      <w:pPr>
        <w:pStyle w:val="Default"/>
        <w:rPr>
          <w:color w:val="auto"/>
          <w:sz w:val="22"/>
          <w:u w:val="single"/>
          <w:lang w:val="el-GR"/>
        </w:rPr>
      </w:pPr>
      <w:r w:rsidRPr="001C30BE">
        <w:rPr>
          <w:color w:val="auto"/>
          <w:sz w:val="22"/>
          <w:u w:val="single"/>
          <w:lang w:val="el-GR"/>
        </w:rPr>
        <w:t xml:space="preserve">Επαγωγείς </w:t>
      </w:r>
      <w:r w:rsidR="00736566">
        <w:rPr>
          <w:iCs/>
          <w:u w:val="single"/>
          <w:lang w:val="el-GR"/>
        </w:rPr>
        <w:t xml:space="preserve"> </w:t>
      </w:r>
      <w:r w:rsidRPr="001C30BE">
        <w:rPr>
          <w:color w:val="auto"/>
          <w:sz w:val="22"/>
          <w:u w:val="single"/>
          <w:lang w:val="el-GR"/>
        </w:rPr>
        <w:t xml:space="preserve">κυτοχρώματος </w:t>
      </w:r>
      <w:r w:rsidRPr="001C30BE">
        <w:rPr>
          <w:color w:val="auto"/>
          <w:sz w:val="22"/>
          <w:u w:val="single"/>
        </w:rPr>
        <w:t>P</w:t>
      </w:r>
      <w:r w:rsidRPr="001C30BE">
        <w:rPr>
          <w:color w:val="auto"/>
          <w:sz w:val="22"/>
          <w:u w:val="single"/>
          <w:lang w:val="el-GR"/>
        </w:rPr>
        <w:t>-450</w:t>
      </w:r>
      <w:r w:rsidR="00781BF5" w:rsidRPr="00D75110">
        <w:rPr>
          <w:color w:val="auto"/>
          <w:sz w:val="22"/>
          <w:szCs w:val="22"/>
          <w:u w:val="single"/>
          <w:lang w:val="el-GR"/>
        </w:rPr>
        <w:t xml:space="preserve"> </w:t>
      </w:r>
    </w:p>
    <w:p w:rsidR="00917AD3" w:rsidRDefault="00917AD3">
      <w:pPr>
        <w:pStyle w:val="Default"/>
        <w:rPr>
          <w:color w:val="auto"/>
          <w:sz w:val="22"/>
          <w:lang w:val="el-GR"/>
        </w:rPr>
      </w:pPr>
    </w:p>
    <w:p w:rsidR="00917AD3" w:rsidRPr="00917AD3" w:rsidRDefault="001C30BE">
      <w:pPr>
        <w:pStyle w:val="Default"/>
        <w:rPr>
          <w:color w:val="auto"/>
          <w:lang w:val="el-GR"/>
        </w:rPr>
      </w:pPr>
      <w:r w:rsidRPr="001C30BE">
        <w:rPr>
          <w:color w:val="auto"/>
          <w:sz w:val="22"/>
          <w:lang w:val="el-GR"/>
        </w:rPr>
        <w:t xml:space="preserve">Η επίδραση των επαγωγέων </w:t>
      </w:r>
      <w:r w:rsidR="001A79BC" w:rsidRPr="00D75110">
        <w:rPr>
          <w:color w:val="auto"/>
          <w:sz w:val="22"/>
          <w:szCs w:val="22"/>
          <w:lang w:val="el-GR"/>
        </w:rPr>
        <w:t xml:space="preserve">των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και </w:t>
      </w:r>
      <w:r w:rsidRPr="001C30BE">
        <w:rPr>
          <w:color w:val="auto"/>
          <w:sz w:val="22"/>
        </w:rPr>
        <w:t>CYP</w:t>
      </w:r>
      <w:r w:rsidRPr="001C30BE">
        <w:rPr>
          <w:color w:val="auto"/>
          <w:sz w:val="22"/>
          <w:lang w:val="el-GR"/>
        </w:rPr>
        <w:t>2</w:t>
      </w:r>
      <w:r w:rsidRPr="001C30BE">
        <w:rPr>
          <w:color w:val="auto"/>
          <w:sz w:val="22"/>
        </w:rPr>
        <w:t>C</w:t>
      </w:r>
      <w:r w:rsidRPr="001C30BE">
        <w:rPr>
          <w:color w:val="auto"/>
          <w:sz w:val="22"/>
          <w:lang w:val="el-GR"/>
        </w:rPr>
        <w:t xml:space="preserve">19 όπως καρβαμαζεπίνη, φαινυτοΐνη, ριφαμπικίνη και </w:t>
      </w:r>
      <w:r w:rsidRPr="001C30BE">
        <w:rPr>
          <w:color w:val="auto"/>
          <w:sz w:val="22"/>
        </w:rPr>
        <w:t>St</w:t>
      </w:r>
      <w:r w:rsidRPr="001C30BE">
        <w:rPr>
          <w:color w:val="auto"/>
          <w:sz w:val="22"/>
          <w:lang w:val="el-GR"/>
        </w:rPr>
        <w:t xml:space="preserve">. </w:t>
      </w:r>
      <w:r w:rsidRPr="001C30BE">
        <w:rPr>
          <w:color w:val="auto"/>
          <w:sz w:val="22"/>
        </w:rPr>
        <w:t>John</w:t>
      </w:r>
      <w:r w:rsidRPr="001C30BE">
        <w:rPr>
          <w:color w:val="auto"/>
          <w:sz w:val="22"/>
          <w:lang w:val="el-GR"/>
        </w:rPr>
        <w:t>’</w:t>
      </w:r>
      <w:r w:rsidRPr="001C30BE">
        <w:rPr>
          <w:color w:val="auto"/>
          <w:sz w:val="22"/>
        </w:rPr>
        <w:t>s</w:t>
      </w:r>
      <w:r w:rsidRPr="001C30BE">
        <w:rPr>
          <w:color w:val="auto"/>
          <w:sz w:val="22"/>
          <w:lang w:val="el-GR"/>
        </w:rPr>
        <w:t xml:space="preserve"> </w:t>
      </w:r>
      <w:r w:rsidRPr="001C30BE">
        <w:rPr>
          <w:color w:val="auto"/>
          <w:sz w:val="22"/>
        </w:rPr>
        <w:t>wort</w:t>
      </w:r>
      <w:r w:rsidRPr="001C30BE">
        <w:rPr>
          <w:color w:val="auto"/>
          <w:sz w:val="22"/>
          <w:lang w:val="el-GR"/>
        </w:rPr>
        <w:t xml:space="preserve"> στη φαρμακοκινητική της σιλοσταζόλης δεν έχει αξιολογηθεί. Η αντιαιμοπεταλιακή επίδραση μπορεί θεωρητικά να </w:t>
      </w:r>
      <w:r w:rsidR="0096207C" w:rsidRPr="00D75110">
        <w:rPr>
          <w:color w:val="auto"/>
          <w:sz w:val="22"/>
          <w:szCs w:val="22"/>
          <w:lang w:val="el-GR"/>
        </w:rPr>
        <w:t>τροποποιηθεί</w:t>
      </w:r>
      <w:r w:rsidRPr="001C30BE">
        <w:rPr>
          <w:color w:val="auto"/>
          <w:sz w:val="22"/>
          <w:lang w:val="el-GR"/>
        </w:rPr>
        <w:t xml:space="preserve"> και πρέπει να παρακολουθείται προσεκτικά όταν </w:t>
      </w:r>
      <w:r w:rsidR="0096207C" w:rsidRPr="00D75110">
        <w:rPr>
          <w:color w:val="auto"/>
          <w:sz w:val="22"/>
          <w:szCs w:val="22"/>
          <w:lang w:val="el-GR"/>
        </w:rPr>
        <w:t xml:space="preserve">η σιλοσταζόλη </w:t>
      </w:r>
      <w:r w:rsidRPr="001C30BE">
        <w:rPr>
          <w:color w:val="auto"/>
          <w:sz w:val="22"/>
          <w:lang w:val="el-GR"/>
        </w:rPr>
        <w:t>συγχορηγείται με επαγωγείς</w:t>
      </w:r>
      <w:r w:rsidR="00781BF5" w:rsidRPr="00D75110">
        <w:rPr>
          <w:color w:val="auto"/>
          <w:sz w:val="22"/>
          <w:szCs w:val="22"/>
          <w:lang w:val="el-GR"/>
        </w:rPr>
        <w:t xml:space="preserve"> </w:t>
      </w:r>
      <w:r w:rsidR="001A79BC" w:rsidRPr="00D75110">
        <w:rPr>
          <w:color w:val="auto"/>
          <w:sz w:val="22"/>
          <w:szCs w:val="22"/>
          <w:lang w:val="el-GR"/>
        </w:rPr>
        <w:t>των</w:t>
      </w:r>
      <w:r w:rsidRPr="001C30BE">
        <w:rPr>
          <w:color w:val="auto"/>
          <w:sz w:val="22"/>
          <w:lang w:val="el-GR"/>
        </w:rPr>
        <w:t xml:space="preserve">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και </w:t>
      </w:r>
      <w:r w:rsidRPr="001C30BE">
        <w:rPr>
          <w:color w:val="auto"/>
          <w:sz w:val="22"/>
        </w:rPr>
        <w:t>CYP</w:t>
      </w:r>
      <w:r w:rsidRPr="001C30BE">
        <w:rPr>
          <w:color w:val="auto"/>
          <w:sz w:val="22"/>
          <w:lang w:val="el-GR"/>
        </w:rPr>
        <w:t>2</w:t>
      </w:r>
      <w:r w:rsidRPr="001C30BE">
        <w:rPr>
          <w:color w:val="auto"/>
          <w:sz w:val="22"/>
        </w:rPr>
        <w:t>C</w:t>
      </w:r>
      <w:r w:rsidRPr="001C30BE">
        <w:rPr>
          <w:color w:val="auto"/>
          <w:sz w:val="22"/>
          <w:lang w:val="el-GR"/>
        </w:rPr>
        <w:t xml:space="preserve">19. </w:t>
      </w:r>
    </w:p>
    <w:p w:rsidR="00917AD3" w:rsidRDefault="001C30BE">
      <w:pPr>
        <w:pStyle w:val="Default"/>
        <w:rPr>
          <w:color w:val="auto"/>
          <w:sz w:val="22"/>
          <w:lang w:val="el-GR"/>
        </w:rPr>
      </w:pPr>
      <w:r w:rsidRPr="001C30BE">
        <w:rPr>
          <w:color w:val="auto"/>
          <w:sz w:val="22"/>
          <w:lang w:val="el-GR"/>
        </w:rPr>
        <w:t xml:space="preserve">Σε κλινικές δοκιμές, το κάπνισμα (που επάγει το </w:t>
      </w:r>
      <w:r w:rsidRPr="001C30BE">
        <w:rPr>
          <w:color w:val="auto"/>
          <w:sz w:val="22"/>
        </w:rPr>
        <w:t>CYP</w:t>
      </w:r>
      <w:r w:rsidRPr="001C30BE">
        <w:rPr>
          <w:color w:val="auto"/>
          <w:sz w:val="22"/>
          <w:lang w:val="el-GR"/>
        </w:rPr>
        <w:t>1</w:t>
      </w:r>
      <w:r w:rsidRPr="001C30BE">
        <w:rPr>
          <w:color w:val="auto"/>
          <w:sz w:val="22"/>
        </w:rPr>
        <w:t>A</w:t>
      </w:r>
      <w:r w:rsidRPr="001C30BE">
        <w:rPr>
          <w:color w:val="auto"/>
          <w:sz w:val="22"/>
          <w:lang w:val="el-GR"/>
        </w:rPr>
        <w:t xml:space="preserve">2) μείωσε τις συγκεντρώσεις </w:t>
      </w:r>
      <w:r w:rsidR="003E3E53" w:rsidRPr="00D75110">
        <w:rPr>
          <w:color w:val="auto"/>
          <w:sz w:val="22"/>
          <w:szCs w:val="22"/>
          <w:lang w:val="el-GR"/>
        </w:rPr>
        <w:t xml:space="preserve">της </w:t>
      </w:r>
      <w:r w:rsidRPr="001C30BE">
        <w:rPr>
          <w:color w:val="auto"/>
          <w:sz w:val="22"/>
          <w:lang w:val="el-GR"/>
        </w:rPr>
        <w:t>σιλοσταζόλης στο πλάσμα κατά 18%.</w:t>
      </w:r>
      <w:r w:rsidR="00781BF5" w:rsidRPr="00D75110">
        <w:rPr>
          <w:color w:val="auto"/>
          <w:sz w:val="22"/>
          <w:szCs w:val="22"/>
          <w:lang w:val="el-GR"/>
        </w:rPr>
        <w:t xml:space="preserve"> </w:t>
      </w:r>
    </w:p>
    <w:p w:rsidR="00917AD3" w:rsidRDefault="00917AD3">
      <w:pPr>
        <w:pStyle w:val="Default"/>
        <w:rPr>
          <w:color w:val="auto"/>
          <w:sz w:val="22"/>
          <w:lang w:val="el-GR"/>
        </w:rPr>
      </w:pPr>
    </w:p>
    <w:p w:rsidR="00917AD3" w:rsidRPr="00917AD3" w:rsidRDefault="001C30BE">
      <w:pPr>
        <w:pStyle w:val="Default"/>
        <w:rPr>
          <w:color w:val="auto"/>
          <w:sz w:val="22"/>
          <w:u w:val="single"/>
          <w:lang w:val="el-GR"/>
        </w:rPr>
      </w:pPr>
      <w:r w:rsidRPr="00917AD3">
        <w:rPr>
          <w:color w:val="auto"/>
          <w:sz w:val="22"/>
          <w:u w:val="single"/>
          <w:lang w:val="el-GR"/>
        </w:rPr>
        <w:t xml:space="preserve">Άλλες πιθανές αλληλεπιδράσεις </w:t>
      </w:r>
    </w:p>
    <w:p w:rsidR="00917AD3" w:rsidRDefault="00917AD3"/>
    <w:p w:rsidR="00917AD3" w:rsidRDefault="001C30BE">
      <w:r w:rsidRPr="001C30BE">
        <w:t xml:space="preserve">Απαιτείται προσοχή κατά τη συγχορήγηση σιλοσταζόλης με οποιονδήποτε άλλο παράγοντα που έχει τη δυνατότητα να μειώνει την πίεση του αίματος λόγω της πιθανότητας να υπάρχει </w:t>
      </w:r>
      <w:r w:rsidR="008536D0" w:rsidRPr="00D75110">
        <w:rPr>
          <w:szCs w:val="22"/>
        </w:rPr>
        <w:t>αθροιστική</w:t>
      </w:r>
      <w:r w:rsidRPr="001C30BE">
        <w:t xml:space="preserve"> υποτασική επίδραση με αντανακλαστική ταχυκαρδία.</w:t>
      </w:r>
      <w:r w:rsidR="00781BF5" w:rsidRPr="00D75110">
        <w:rPr>
          <w:szCs w:val="22"/>
        </w:rPr>
        <w:t xml:space="preserve"> </w:t>
      </w:r>
    </w:p>
    <w:p w:rsidR="00984BC2" w:rsidRDefault="00984BC2"/>
    <w:p w:rsidR="00917AD3" w:rsidRDefault="001C30BE">
      <w:r w:rsidRPr="001C30BE">
        <w:rPr>
          <w:b/>
        </w:rPr>
        <w:t>4.6</w:t>
      </w:r>
      <w:r w:rsidR="00496809" w:rsidRPr="00D75110">
        <w:rPr>
          <w:b/>
          <w:szCs w:val="22"/>
        </w:rPr>
        <w:tab/>
      </w:r>
      <w:r w:rsidRPr="001C30BE">
        <w:rPr>
          <w:b/>
        </w:rPr>
        <w:t>Γονιμότητα, κύηση και γαλουχία</w:t>
      </w:r>
    </w:p>
    <w:p w:rsidR="00917AD3" w:rsidRDefault="00917AD3">
      <w:pPr>
        <w:rPr>
          <w:i/>
        </w:rPr>
      </w:pPr>
    </w:p>
    <w:p w:rsidR="00917AD3" w:rsidRDefault="001C30BE">
      <w:pPr>
        <w:pStyle w:val="Default"/>
        <w:rPr>
          <w:color w:val="auto"/>
          <w:sz w:val="22"/>
          <w:u w:val="single"/>
          <w:lang w:val="el-GR"/>
        </w:rPr>
      </w:pPr>
      <w:r w:rsidRPr="001C30BE">
        <w:rPr>
          <w:color w:val="auto"/>
          <w:sz w:val="22"/>
          <w:u w:val="single"/>
          <w:lang w:val="el-GR"/>
        </w:rPr>
        <w:t>Εγκυμοσύνη</w:t>
      </w:r>
      <w:r w:rsidR="00781BF5" w:rsidRPr="00D75110">
        <w:rPr>
          <w:color w:val="auto"/>
          <w:sz w:val="22"/>
          <w:szCs w:val="22"/>
          <w:u w:val="single"/>
          <w:lang w:val="el-GR"/>
        </w:rPr>
        <w:t xml:space="preserve"> </w:t>
      </w:r>
    </w:p>
    <w:p w:rsidR="00917AD3" w:rsidRDefault="001C30BE">
      <w:pPr>
        <w:pStyle w:val="Default"/>
        <w:rPr>
          <w:color w:val="auto"/>
          <w:sz w:val="22"/>
          <w:lang w:val="el-GR"/>
        </w:rPr>
      </w:pPr>
      <w:r w:rsidRPr="001C30BE">
        <w:rPr>
          <w:color w:val="auto"/>
          <w:sz w:val="22"/>
          <w:lang w:val="el-GR"/>
        </w:rPr>
        <w:lastRenderedPageBreak/>
        <w:t xml:space="preserve">Δεν διατίθενται επαρκή δεδομένα σχετικά με τη χρήση της σιλοσταζόλης σε </w:t>
      </w:r>
      <w:r w:rsidR="001A79BC" w:rsidRPr="00D75110">
        <w:rPr>
          <w:color w:val="auto"/>
          <w:sz w:val="22"/>
          <w:szCs w:val="22"/>
          <w:lang w:val="el-GR"/>
        </w:rPr>
        <w:t>εγκύους</w:t>
      </w:r>
      <w:r w:rsidRPr="001C30BE">
        <w:rPr>
          <w:color w:val="auto"/>
          <w:sz w:val="22"/>
          <w:lang w:val="el-GR"/>
        </w:rPr>
        <w:t xml:space="preserve">. Μελέτες σε ζώα κατέδειξαν </w:t>
      </w:r>
      <w:r w:rsidR="001A79BC" w:rsidRPr="00D75110">
        <w:rPr>
          <w:color w:val="auto"/>
          <w:sz w:val="22"/>
          <w:szCs w:val="22"/>
          <w:lang w:val="el-GR"/>
        </w:rPr>
        <w:t>τ</w:t>
      </w:r>
      <w:r w:rsidR="00781BF5" w:rsidRPr="00D75110">
        <w:rPr>
          <w:color w:val="auto"/>
          <w:sz w:val="22"/>
          <w:szCs w:val="22"/>
          <w:lang w:val="el-GR"/>
        </w:rPr>
        <w:t>οξικότητα</w:t>
      </w:r>
      <w:r w:rsidR="001A79BC" w:rsidRPr="00D75110">
        <w:rPr>
          <w:color w:val="auto"/>
          <w:sz w:val="22"/>
          <w:szCs w:val="22"/>
          <w:lang w:val="el-GR"/>
        </w:rPr>
        <w:t xml:space="preserve"> στην </w:t>
      </w:r>
      <w:r w:rsidRPr="001C30BE">
        <w:rPr>
          <w:color w:val="auto"/>
          <w:sz w:val="22"/>
          <w:lang w:val="el-GR"/>
        </w:rPr>
        <w:t xml:space="preserve">αναπαραγωγική </w:t>
      </w:r>
      <w:r w:rsidR="001A79BC" w:rsidRPr="00D75110">
        <w:rPr>
          <w:color w:val="auto"/>
          <w:sz w:val="22"/>
          <w:szCs w:val="22"/>
          <w:lang w:val="el-GR"/>
        </w:rPr>
        <w:t>ικανότητα</w:t>
      </w:r>
      <w:r w:rsidR="00781BF5" w:rsidRPr="00D75110">
        <w:rPr>
          <w:color w:val="auto"/>
          <w:sz w:val="22"/>
          <w:szCs w:val="22"/>
          <w:lang w:val="el-GR"/>
        </w:rPr>
        <w:t xml:space="preserve"> (βλ</w:t>
      </w:r>
      <w:r w:rsidR="000F3E15" w:rsidRPr="00D75110">
        <w:rPr>
          <w:color w:val="auto"/>
          <w:sz w:val="22"/>
          <w:szCs w:val="22"/>
          <w:lang w:val="el-GR"/>
        </w:rPr>
        <w:t>.</w:t>
      </w:r>
      <w:r w:rsidRPr="001C30BE">
        <w:rPr>
          <w:color w:val="auto"/>
          <w:sz w:val="22"/>
          <w:lang w:val="el-GR"/>
        </w:rPr>
        <w:t xml:space="preserve"> παράγραφο 5.3). Ο ενδεχόμενος κίνδυνος για τον άνθρωπο είναι άγνωστος. Το </w:t>
      </w:r>
      <w:r w:rsidR="000A65D4">
        <w:rPr>
          <w:color w:val="auto"/>
          <w:sz w:val="22"/>
          <w:szCs w:val="22"/>
        </w:rPr>
        <w:t>Cilostazol</w:t>
      </w:r>
      <w:r w:rsidR="000A65D4" w:rsidRPr="000A65D4">
        <w:rPr>
          <w:color w:val="auto"/>
          <w:sz w:val="22"/>
          <w:szCs w:val="22"/>
          <w:lang w:val="el-GR"/>
        </w:rPr>
        <w:t>/</w:t>
      </w:r>
      <w:r w:rsidR="000A65D4">
        <w:rPr>
          <w:color w:val="auto"/>
          <w:sz w:val="22"/>
          <w:szCs w:val="22"/>
        </w:rPr>
        <w:t>Galenica</w:t>
      </w:r>
      <w:r w:rsidR="000A65D4" w:rsidRPr="000A65D4">
        <w:rPr>
          <w:color w:val="auto"/>
          <w:sz w:val="22"/>
          <w:szCs w:val="22"/>
          <w:lang w:val="el-GR"/>
        </w:rPr>
        <w:t xml:space="preserve"> </w:t>
      </w:r>
      <w:r w:rsidRPr="001C30BE">
        <w:rPr>
          <w:color w:val="auto"/>
          <w:sz w:val="22"/>
          <w:lang w:val="el-GR"/>
        </w:rPr>
        <w:t>δεν πρέπει να χρησιμοποιείται κατά τη διάρκεια της εγκυμοσύνης (</w:t>
      </w:r>
      <w:r w:rsidR="00781BF5" w:rsidRPr="00D75110">
        <w:rPr>
          <w:color w:val="auto"/>
          <w:sz w:val="22"/>
          <w:szCs w:val="22"/>
          <w:lang w:val="el-GR"/>
        </w:rPr>
        <w:t>βλ</w:t>
      </w:r>
      <w:r w:rsidR="000F3E15" w:rsidRPr="00D75110">
        <w:rPr>
          <w:color w:val="auto"/>
          <w:sz w:val="22"/>
          <w:szCs w:val="22"/>
          <w:lang w:val="el-GR"/>
        </w:rPr>
        <w:t>.</w:t>
      </w:r>
      <w:r w:rsidRPr="001C30BE">
        <w:rPr>
          <w:color w:val="auto"/>
          <w:sz w:val="22"/>
          <w:lang w:val="el-GR"/>
        </w:rPr>
        <w:t xml:space="preserve"> παράγραφο 4.3).</w:t>
      </w:r>
      <w:r w:rsidR="00781BF5" w:rsidRPr="00D75110">
        <w:rPr>
          <w:color w:val="auto"/>
          <w:sz w:val="22"/>
          <w:szCs w:val="22"/>
          <w:lang w:val="el-GR"/>
        </w:rPr>
        <w:t xml:space="preserve"> </w:t>
      </w:r>
    </w:p>
    <w:p w:rsidR="00917AD3" w:rsidRDefault="00917AD3">
      <w:pPr>
        <w:pStyle w:val="Default"/>
        <w:rPr>
          <w:color w:val="auto"/>
          <w:sz w:val="22"/>
          <w:lang w:val="el-GR"/>
        </w:rPr>
      </w:pPr>
    </w:p>
    <w:p w:rsidR="00917AD3" w:rsidRDefault="001C30BE">
      <w:pPr>
        <w:pStyle w:val="Default"/>
        <w:rPr>
          <w:color w:val="auto"/>
          <w:sz w:val="22"/>
          <w:u w:val="single"/>
          <w:lang w:val="el-GR"/>
        </w:rPr>
      </w:pPr>
      <w:r w:rsidRPr="001C30BE">
        <w:rPr>
          <w:color w:val="auto"/>
          <w:sz w:val="22"/>
          <w:u w:val="single"/>
          <w:lang w:val="el-GR"/>
        </w:rPr>
        <w:t>Θηλασμός</w:t>
      </w:r>
      <w:r w:rsidR="00781BF5" w:rsidRPr="00D75110">
        <w:rPr>
          <w:color w:val="auto"/>
          <w:sz w:val="22"/>
          <w:szCs w:val="22"/>
          <w:u w:val="single"/>
          <w:lang w:val="el-GR"/>
        </w:rPr>
        <w:t xml:space="preserve"> </w:t>
      </w:r>
    </w:p>
    <w:p w:rsidR="00917AD3" w:rsidRDefault="001C30BE">
      <w:pPr>
        <w:pStyle w:val="Default"/>
        <w:rPr>
          <w:color w:val="auto"/>
          <w:sz w:val="22"/>
          <w:lang w:val="el-GR"/>
        </w:rPr>
      </w:pPr>
      <w:r w:rsidRPr="001C30BE">
        <w:rPr>
          <w:color w:val="auto"/>
          <w:sz w:val="22"/>
          <w:lang w:val="el-GR"/>
        </w:rPr>
        <w:t xml:space="preserve">Η μεταφορά σιλοσταζόλης στο μητρικό γάλα έχει αναφερθεί σε μελέτες σε ζώα. Δεν είναι γνωστό εάν η σιλοσταζόλη απεκκρίνεται στο ανθρώπινο γάλα. Λόγω της </w:t>
      </w:r>
      <w:r w:rsidR="00781BF5" w:rsidRPr="00D75110">
        <w:rPr>
          <w:color w:val="auto"/>
          <w:sz w:val="22"/>
          <w:szCs w:val="22"/>
          <w:lang w:val="el-GR"/>
        </w:rPr>
        <w:t>δυνητικ</w:t>
      </w:r>
      <w:r w:rsidR="00B05BF2" w:rsidRPr="00D75110">
        <w:rPr>
          <w:color w:val="auto"/>
          <w:sz w:val="22"/>
          <w:szCs w:val="22"/>
          <w:lang w:val="el-GR"/>
        </w:rPr>
        <w:t>ά</w:t>
      </w:r>
      <w:r w:rsidRPr="001C30BE">
        <w:rPr>
          <w:color w:val="auto"/>
          <w:sz w:val="22"/>
          <w:lang w:val="el-GR"/>
        </w:rPr>
        <w:t xml:space="preserve"> επιβλαβούς επίδρασης στο θηλάζον νεογέννητο από μια μητέρα που </w:t>
      </w:r>
      <w:r w:rsidR="00B05BF2" w:rsidRPr="00D75110">
        <w:rPr>
          <w:color w:val="auto"/>
          <w:sz w:val="22"/>
          <w:szCs w:val="22"/>
          <w:lang w:val="el-GR"/>
        </w:rPr>
        <w:t>λαμβάνει</w:t>
      </w:r>
      <w:r w:rsidRPr="001C30BE">
        <w:rPr>
          <w:color w:val="auto"/>
          <w:sz w:val="22"/>
          <w:lang w:val="el-GR"/>
        </w:rPr>
        <w:t xml:space="preserve"> θεραπεία, η χρήση του </w:t>
      </w:r>
      <w:r w:rsidR="000A65D4">
        <w:rPr>
          <w:color w:val="auto"/>
          <w:sz w:val="22"/>
          <w:szCs w:val="22"/>
        </w:rPr>
        <w:t>Cilostazol</w:t>
      </w:r>
      <w:r w:rsidR="000A65D4" w:rsidRPr="000A65D4">
        <w:rPr>
          <w:color w:val="auto"/>
          <w:sz w:val="22"/>
          <w:szCs w:val="22"/>
          <w:lang w:val="el-GR"/>
        </w:rPr>
        <w:t>/</w:t>
      </w:r>
      <w:r w:rsidR="000A65D4">
        <w:rPr>
          <w:color w:val="auto"/>
          <w:sz w:val="22"/>
          <w:szCs w:val="22"/>
        </w:rPr>
        <w:t>Galenica</w:t>
      </w:r>
      <w:r w:rsidR="000A65D4" w:rsidRPr="000A65D4">
        <w:rPr>
          <w:color w:val="auto"/>
          <w:sz w:val="22"/>
          <w:szCs w:val="22"/>
          <w:lang w:val="el-GR"/>
        </w:rPr>
        <w:t xml:space="preserve"> </w:t>
      </w:r>
      <w:r w:rsidRPr="001C30BE">
        <w:rPr>
          <w:color w:val="auto"/>
          <w:sz w:val="22"/>
          <w:lang w:val="el-GR"/>
        </w:rPr>
        <w:t>δε συνιστάται κατά τη διάρκεια του θηλασμού</w:t>
      </w:r>
      <w:r w:rsidR="00A71131" w:rsidRPr="00A71131">
        <w:rPr>
          <w:color w:val="auto"/>
          <w:sz w:val="22"/>
          <w:lang w:val="el-GR"/>
        </w:rPr>
        <w:t>.</w:t>
      </w:r>
      <w:r w:rsidR="00781BF5" w:rsidRPr="00D75110">
        <w:rPr>
          <w:color w:val="auto"/>
          <w:sz w:val="22"/>
          <w:szCs w:val="22"/>
          <w:lang w:val="el-GR"/>
        </w:rPr>
        <w:t xml:space="preserve"> </w:t>
      </w:r>
    </w:p>
    <w:p w:rsidR="00984BC2" w:rsidRDefault="00984BC2">
      <w:pPr>
        <w:pStyle w:val="Default"/>
        <w:rPr>
          <w:color w:val="auto"/>
          <w:sz w:val="22"/>
          <w:lang w:val="el-GR"/>
        </w:rPr>
      </w:pPr>
    </w:p>
    <w:p w:rsidR="00917AD3" w:rsidRPr="00917AD3" w:rsidRDefault="001C30BE">
      <w:pPr>
        <w:pStyle w:val="Default"/>
        <w:rPr>
          <w:color w:val="auto"/>
          <w:u w:val="single"/>
          <w:lang w:val="el-GR"/>
        </w:rPr>
      </w:pPr>
      <w:r w:rsidRPr="00917AD3">
        <w:rPr>
          <w:color w:val="auto"/>
          <w:sz w:val="22"/>
          <w:u w:val="single"/>
          <w:lang w:val="el-GR"/>
        </w:rPr>
        <w:t>Γονιμότητα</w:t>
      </w:r>
      <w:r w:rsidR="00781BF5" w:rsidRPr="00917AD3">
        <w:rPr>
          <w:color w:val="auto"/>
          <w:sz w:val="22"/>
          <w:szCs w:val="22"/>
          <w:u w:val="single"/>
          <w:lang w:val="el-GR"/>
        </w:rPr>
        <w:t xml:space="preserve"> </w:t>
      </w:r>
    </w:p>
    <w:p w:rsidR="00917AD3" w:rsidRDefault="001C30BE">
      <w:r w:rsidRPr="001C30BE">
        <w:t>Η σιλοσταζόλη δεν μετέβαλε τη γονιμότητα σε μελέτες σε ζώα.</w:t>
      </w:r>
    </w:p>
    <w:p w:rsidR="00984BC2" w:rsidRDefault="00984BC2"/>
    <w:p w:rsidR="00917AD3" w:rsidRDefault="001C30BE">
      <w:r w:rsidRPr="001C30BE">
        <w:rPr>
          <w:b/>
        </w:rPr>
        <w:t>4.7</w:t>
      </w:r>
      <w:r w:rsidR="00496809" w:rsidRPr="00D75110">
        <w:rPr>
          <w:b/>
          <w:szCs w:val="22"/>
        </w:rPr>
        <w:tab/>
      </w:r>
      <w:r w:rsidRPr="001C30BE">
        <w:rPr>
          <w:b/>
        </w:rPr>
        <w:t>Επιδράσεις στην ικανότητα οδήγησης και χειρισμού μηχανών</w:t>
      </w:r>
    </w:p>
    <w:p w:rsidR="00917AD3" w:rsidRDefault="00917AD3"/>
    <w:p w:rsidR="00917AD3" w:rsidRDefault="001C30BE">
      <w:r w:rsidRPr="001C30BE">
        <w:t xml:space="preserve">Η σιλοσταζόλη μπορεί να προκαλέσει ζάλη και οι ασθενείς </w:t>
      </w:r>
      <w:r w:rsidR="0079694B" w:rsidRPr="0079694B">
        <w:t>θα</w:t>
      </w:r>
      <w:r w:rsidRPr="001C30BE">
        <w:t>πρέπει να προειδοποιούνται να προσέχουν πριν την οδήγηση ή το χειρισμό μηχανών.</w:t>
      </w:r>
    </w:p>
    <w:p w:rsidR="00917AD3" w:rsidRDefault="00917AD3"/>
    <w:p w:rsidR="00917AD3" w:rsidRDefault="001C30BE">
      <w:r w:rsidRPr="001C30BE">
        <w:rPr>
          <w:b/>
        </w:rPr>
        <w:t>4.8</w:t>
      </w:r>
      <w:r w:rsidR="00496809" w:rsidRPr="00D75110">
        <w:rPr>
          <w:b/>
          <w:szCs w:val="22"/>
        </w:rPr>
        <w:tab/>
      </w:r>
      <w:r w:rsidRPr="001C30BE">
        <w:rPr>
          <w:b/>
        </w:rPr>
        <w:t>Ανεπιθύμητες ενέργειες</w:t>
      </w:r>
    </w:p>
    <w:p w:rsidR="00917AD3" w:rsidRDefault="00917AD3"/>
    <w:p w:rsidR="00917AD3" w:rsidRPr="00917AD3" w:rsidRDefault="001C30BE">
      <w:pPr>
        <w:pStyle w:val="Default"/>
        <w:rPr>
          <w:color w:val="auto"/>
          <w:sz w:val="22"/>
          <w:lang w:val="el-GR"/>
        </w:rPr>
      </w:pPr>
      <w:r w:rsidRPr="001C30BE">
        <w:rPr>
          <w:color w:val="auto"/>
          <w:sz w:val="22"/>
          <w:lang w:val="el-GR"/>
        </w:rPr>
        <w:t xml:space="preserve">Οι συχνότερα αναφερόμενες ανεπιθύμητες ενέργειες σε κλινικές δοκιμές ήταν κεφαλαλγία (σε &gt; 30%), διάρροια και μη φυσιολογικά κόπρανα (σε &gt; 15% </w:t>
      </w:r>
      <w:r w:rsidR="00A6534C" w:rsidRPr="00D75110">
        <w:rPr>
          <w:color w:val="auto"/>
          <w:sz w:val="22"/>
          <w:szCs w:val="22"/>
          <w:lang w:val="el-GR"/>
        </w:rPr>
        <w:t>η καθεμία</w:t>
      </w:r>
      <w:r w:rsidRPr="001C30BE">
        <w:rPr>
          <w:color w:val="auto"/>
          <w:sz w:val="22"/>
          <w:lang w:val="el-GR"/>
        </w:rPr>
        <w:t>). Αυτές οι αντιδράσεις ήταν συνήθως ήπιας έως μέτριας έντασης και ανακουφίζονταν ενίοτε με μείωση της δόσης.</w:t>
      </w:r>
      <w:r w:rsidR="005F0465" w:rsidRPr="00D75110">
        <w:rPr>
          <w:color w:val="auto"/>
          <w:sz w:val="22"/>
          <w:szCs w:val="22"/>
          <w:lang w:val="el-GR"/>
        </w:rPr>
        <w:t xml:space="preserve"> </w:t>
      </w:r>
    </w:p>
    <w:p w:rsidR="00917AD3" w:rsidRP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Οι ανεπιθύμητες ενέργειες που αναφέρθηκαν σε κλινικές δοκιμές και στην περίοδο μετά την κυκλοφορία του προϊόντος στην αγορά περιλαμβάνονται στον παρακάτω πίνακα.</w:t>
      </w:r>
      <w:r w:rsidR="005F0465" w:rsidRPr="00D75110">
        <w:rPr>
          <w:color w:val="auto"/>
          <w:sz w:val="22"/>
          <w:szCs w:val="22"/>
          <w:lang w:val="el-GR"/>
        </w:rPr>
        <w:t xml:space="preserve"> </w:t>
      </w:r>
    </w:p>
    <w:p w:rsidR="00917AD3" w:rsidRP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Οι συχνότητες αντιστοιχούν</w:t>
      </w:r>
      <w:r w:rsidR="005F0465" w:rsidRPr="00D75110">
        <w:rPr>
          <w:color w:val="auto"/>
          <w:sz w:val="22"/>
          <w:szCs w:val="22"/>
          <w:lang w:val="el-GR"/>
        </w:rPr>
        <w:t xml:space="preserve"> με</w:t>
      </w:r>
      <w:r w:rsidRPr="001C30BE">
        <w:rPr>
          <w:color w:val="auto"/>
          <w:sz w:val="22"/>
          <w:lang w:val="el-GR"/>
        </w:rPr>
        <w:t xml:space="preserve">: </w:t>
      </w:r>
    </w:p>
    <w:p w:rsidR="00917AD3" w:rsidRDefault="001C30BE">
      <w:pPr>
        <w:pStyle w:val="Default"/>
        <w:rPr>
          <w:color w:val="auto"/>
          <w:sz w:val="22"/>
          <w:lang w:val="el-GR"/>
        </w:rPr>
      </w:pPr>
      <w:r w:rsidRPr="001C30BE">
        <w:rPr>
          <w:color w:val="auto"/>
          <w:sz w:val="22"/>
          <w:lang w:val="el-GR"/>
        </w:rPr>
        <w:t>Πολύ συχνές (≥1/10)</w:t>
      </w:r>
      <w:r w:rsidR="005F0465" w:rsidRPr="00D75110">
        <w:rPr>
          <w:color w:val="auto"/>
          <w:sz w:val="22"/>
          <w:szCs w:val="22"/>
          <w:lang w:val="el-GR"/>
        </w:rPr>
        <w:t xml:space="preserve"> </w:t>
      </w:r>
    </w:p>
    <w:p w:rsidR="00917AD3" w:rsidRDefault="001C30BE">
      <w:pPr>
        <w:pStyle w:val="Default"/>
        <w:rPr>
          <w:color w:val="auto"/>
          <w:sz w:val="22"/>
          <w:lang w:val="el-GR"/>
        </w:rPr>
      </w:pPr>
      <w:r w:rsidRPr="001C30BE">
        <w:rPr>
          <w:color w:val="auto"/>
          <w:sz w:val="22"/>
          <w:lang w:val="el-GR"/>
        </w:rPr>
        <w:t xml:space="preserve">Συχνές (≥1/100 </w:t>
      </w:r>
      <w:r w:rsidR="005F0465" w:rsidRPr="00D75110">
        <w:rPr>
          <w:color w:val="auto"/>
          <w:sz w:val="22"/>
          <w:szCs w:val="22"/>
          <w:lang w:val="el-GR"/>
        </w:rPr>
        <w:t>έως</w:t>
      </w:r>
      <w:r w:rsidRPr="001C30BE">
        <w:rPr>
          <w:color w:val="auto"/>
          <w:sz w:val="22"/>
          <w:lang w:val="el-GR"/>
        </w:rPr>
        <w:t xml:space="preserve"> &lt;1/10)</w:t>
      </w:r>
      <w:r w:rsidR="005F0465" w:rsidRPr="00D75110">
        <w:rPr>
          <w:color w:val="auto"/>
          <w:sz w:val="22"/>
          <w:szCs w:val="22"/>
          <w:lang w:val="el-GR"/>
        </w:rPr>
        <w:t xml:space="preserve"> </w:t>
      </w:r>
    </w:p>
    <w:p w:rsidR="00917AD3" w:rsidRDefault="001C30BE">
      <w:pPr>
        <w:pStyle w:val="Default"/>
        <w:rPr>
          <w:color w:val="auto"/>
          <w:sz w:val="22"/>
          <w:lang w:val="el-GR"/>
        </w:rPr>
      </w:pPr>
      <w:r w:rsidRPr="001C30BE">
        <w:rPr>
          <w:color w:val="auto"/>
          <w:sz w:val="22"/>
          <w:lang w:val="el-GR"/>
        </w:rPr>
        <w:t>Όχι συχνές (≥1/1</w:t>
      </w:r>
      <w:r w:rsidR="005F0465" w:rsidRPr="00D75110">
        <w:rPr>
          <w:color w:val="auto"/>
          <w:sz w:val="22"/>
          <w:szCs w:val="22"/>
          <w:lang w:val="el-GR"/>
        </w:rPr>
        <w:t>.</w:t>
      </w:r>
      <w:r w:rsidRPr="001C30BE">
        <w:rPr>
          <w:color w:val="auto"/>
          <w:sz w:val="22"/>
          <w:lang w:val="el-GR"/>
        </w:rPr>
        <w:t xml:space="preserve">000 </w:t>
      </w:r>
      <w:r w:rsidR="005F0465" w:rsidRPr="00D75110">
        <w:rPr>
          <w:color w:val="auto"/>
          <w:sz w:val="22"/>
          <w:szCs w:val="22"/>
          <w:lang w:val="el-GR"/>
        </w:rPr>
        <w:t>έως</w:t>
      </w:r>
      <w:r w:rsidRPr="001C30BE">
        <w:rPr>
          <w:color w:val="auto"/>
          <w:sz w:val="22"/>
          <w:lang w:val="el-GR"/>
        </w:rPr>
        <w:t xml:space="preserve"> &lt;1/100)</w:t>
      </w:r>
      <w:r w:rsidR="005F0465" w:rsidRPr="00D75110">
        <w:rPr>
          <w:color w:val="auto"/>
          <w:sz w:val="22"/>
          <w:szCs w:val="22"/>
          <w:lang w:val="el-GR"/>
        </w:rPr>
        <w:t xml:space="preserve"> </w:t>
      </w:r>
    </w:p>
    <w:p w:rsidR="00917AD3" w:rsidRDefault="001C30BE">
      <w:pPr>
        <w:pStyle w:val="Default"/>
        <w:rPr>
          <w:color w:val="auto"/>
          <w:sz w:val="22"/>
          <w:lang w:val="el-GR"/>
        </w:rPr>
      </w:pPr>
      <w:r w:rsidRPr="001C30BE">
        <w:rPr>
          <w:color w:val="auto"/>
          <w:sz w:val="22"/>
          <w:lang w:val="el-GR"/>
        </w:rPr>
        <w:t>Σπάνιες (≥1/10</w:t>
      </w:r>
      <w:r w:rsidR="005F0465" w:rsidRPr="00D75110">
        <w:rPr>
          <w:color w:val="auto"/>
          <w:sz w:val="22"/>
          <w:szCs w:val="22"/>
          <w:lang w:val="el-GR"/>
        </w:rPr>
        <w:t>.</w:t>
      </w:r>
      <w:r w:rsidRPr="001C30BE">
        <w:rPr>
          <w:color w:val="auto"/>
          <w:sz w:val="22"/>
          <w:lang w:val="el-GR"/>
        </w:rPr>
        <w:t xml:space="preserve">000 </w:t>
      </w:r>
      <w:r w:rsidR="005F0465" w:rsidRPr="00D75110">
        <w:rPr>
          <w:color w:val="auto"/>
          <w:sz w:val="22"/>
          <w:szCs w:val="22"/>
          <w:lang w:val="el-GR"/>
        </w:rPr>
        <w:t>έως</w:t>
      </w:r>
      <w:r w:rsidRPr="001C30BE">
        <w:rPr>
          <w:color w:val="auto"/>
          <w:sz w:val="22"/>
          <w:lang w:val="el-GR"/>
        </w:rPr>
        <w:t xml:space="preserve"> &lt;1/</w:t>
      </w:r>
      <w:r w:rsidR="005F0465" w:rsidRPr="00D75110">
        <w:rPr>
          <w:color w:val="auto"/>
          <w:sz w:val="22"/>
          <w:szCs w:val="22"/>
          <w:lang w:val="el-GR"/>
        </w:rPr>
        <w:t xml:space="preserve">1.000) </w:t>
      </w:r>
    </w:p>
    <w:p w:rsidR="00917AD3" w:rsidRPr="00917AD3" w:rsidRDefault="001C30BE">
      <w:pPr>
        <w:pStyle w:val="Default"/>
        <w:rPr>
          <w:color w:val="auto"/>
          <w:sz w:val="22"/>
          <w:lang w:val="el-GR"/>
        </w:rPr>
      </w:pPr>
      <w:r w:rsidRPr="001C30BE">
        <w:rPr>
          <w:color w:val="auto"/>
          <w:sz w:val="22"/>
          <w:lang w:val="el-GR"/>
        </w:rPr>
        <w:t>Πολύ σπάνιες (&lt;1/10</w:t>
      </w:r>
      <w:r w:rsidR="005F0465" w:rsidRPr="00D75110">
        <w:rPr>
          <w:color w:val="auto"/>
          <w:sz w:val="22"/>
          <w:szCs w:val="22"/>
          <w:lang w:val="el-GR"/>
        </w:rPr>
        <w:t>.</w:t>
      </w:r>
      <w:r w:rsidRPr="001C30BE">
        <w:rPr>
          <w:color w:val="auto"/>
          <w:sz w:val="22"/>
          <w:lang w:val="el-GR"/>
        </w:rPr>
        <w:t>000</w:t>
      </w:r>
      <w:r w:rsidR="005F0465" w:rsidRPr="00D75110">
        <w:rPr>
          <w:color w:val="auto"/>
          <w:sz w:val="22"/>
          <w:szCs w:val="22"/>
          <w:lang w:val="el-GR"/>
        </w:rPr>
        <w:t xml:space="preserve">), </w:t>
      </w:r>
    </w:p>
    <w:p w:rsidR="00917AD3" w:rsidRPr="00917AD3" w:rsidRDefault="005F0465">
      <w:pPr>
        <w:pStyle w:val="Default"/>
        <w:rPr>
          <w:color w:val="auto"/>
          <w:sz w:val="22"/>
          <w:lang w:val="el-GR"/>
        </w:rPr>
      </w:pPr>
      <w:r w:rsidRPr="00D75110">
        <w:rPr>
          <w:color w:val="auto"/>
          <w:sz w:val="22"/>
          <w:szCs w:val="22"/>
        </w:rPr>
        <w:t>M</w:t>
      </w:r>
      <w:r w:rsidRPr="00D75110">
        <w:rPr>
          <w:color w:val="auto"/>
          <w:sz w:val="22"/>
          <w:szCs w:val="22"/>
          <w:lang w:val="el-GR"/>
        </w:rPr>
        <w:t>η</w:t>
      </w:r>
      <w:r w:rsidR="001C30BE" w:rsidRPr="001C30BE">
        <w:rPr>
          <w:color w:val="auto"/>
          <w:sz w:val="22"/>
          <w:lang w:val="el-GR"/>
        </w:rPr>
        <w:t xml:space="preserve"> γνωστές (δεν μπορούν να εκτιμηθούν με βάση τα διαθέσιμα δεδομένα)</w:t>
      </w:r>
    </w:p>
    <w:p w:rsidR="00917AD3" w:rsidRPr="00917AD3" w:rsidRDefault="00917AD3">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Οι συχνότητες ανεπιθύμητων ενεργειών που παρατηρήθηκαν στην περίοδο μετά την κυκλοφορία του προϊόντος στην αγορά θεωρούνται μη γνωστές (δεν μπορούν να εκτιμηθούν με βάση τα διαθέσιμα δεδομένα).</w:t>
      </w:r>
    </w:p>
    <w:p w:rsidR="00515AB0" w:rsidRPr="00917AD3" w:rsidRDefault="005F0465" w:rsidP="00515AB0">
      <w:pPr>
        <w:pStyle w:val="Default"/>
        <w:ind w:left="851"/>
        <w:jc w:val="both"/>
        <w:rPr>
          <w:color w:val="auto"/>
          <w:lang w:val="el-GR"/>
        </w:rPr>
      </w:pPr>
      <w:r w:rsidRPr="00D75110">
        <w:rPr>
          <w:color w:val="auto"/>
          <w:sz w:val="22"/>
          <w:szCs w:val="22"/>
          <w:lang w:val="el-GR"/>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1710"/>
        <w:gridCol w:w="4308"/>
      </w:tblGrid>
      <w:tr w:rsidR="00515AB0" w:rsidRPr="00D75110" w:rsidTr="00E53307">
        <w:tc>
          <w:tcPr>
            <w:tcW w:w="3420" w:type="dxa"/>
            <w:vMerge w:val="restart"/>
            <w:shd w:val="clear" w:color="auto" w:fill="auto"/>
          </w:tcPr>
          <w:p w:rsidR="00984BC2" w:rsidRDefault="00A71131">
            <w:pPr>
              <w:pStyle w:val="Default"/>
              <w:rPr>
                <w:color w:val="auto"/>
                <w:sz w:val="22"/>
                <w:lang w:val="el-GR"/>
              </w:rPr>
            </w:pPr>
            <w:r w:rsidRPr="00A71131">
              <w:rPr>
                <w:color w:val="auto"/>
                <w:sz w:val="22"/>
                <w:lang w:val="el-GR"/>
              </w:rPr>
              <w:t>Διαταραχές του αιμοποιητικού και του λεμφικού συστήματος</w:t>
            </w:r>
          </w:p>
        </w:tc>
        <w:tc>
          <w:tcPr>
            <w:tcW w:w="1710" w:type="dxa"/>
            <w:shd w:val="clear" w:color="auto" w:fill="auto"/>
          </w:tcPr>
          <w:p w:rsidR="00984BC2" w:rsidRDefault="00A71131">
            <w:pPr>
              <w:pStyle w:val="Default"/>
              <w:rPr>
                <w:color w:val="auto"/>
                <w:sz w:val="22"/>
              </w:rPr>
            </w:pPr>
            <w:r w:rsidRPr="00A71131">
              <w:rPr>
                <w:color w:val="auto"/>
                <w:sz w:val="22"/>
                <w:lang w:val="el-GR"/>
              </w:rPr>
              <w:t>Συχνές</w:t>
            </w:r>
          </w:p>
        </w:tc>
        <w:tc>
          <w:tcPr>
            <w:tcW w:w="4308" w:type="dxa"/>
            <w:shd w:val="clear" w:color="auto" w:fill="auto"/>
          </w:tcPr>
          <w:p w:rsidR="00984BC2" w:rsidRDefault="00A71131">
            <w:pPr>
              <w:pStyle w:val="Default"/>
              <w:rPr>
                <w:color w:val="auto"/>
                <w:sz w:val="22"/>
              </w:rPr>
            </w:pPr>
            <w:r w:rsidRPr="00A71131">
              <w:rPr>
                <w:color w:val="auto"/>
                <w:sz w:val="22"/>
                <w:lang w:val="el-GR"/>
              </w:rPr>
              <w:t>Εκχύμωση</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rPr>
            </w:pPr>
            <w:r w:rsidRPr="00A71131">
              <w:rPr>
                <w:color w:val="auto"/>
                <w:sz w:val="22"/>
                <w:lang w:val="el-GR"/>
              </w:rPr>
              <w:t>Όχι συχνές</w:t>
            </w:r>
          </w:p>
        </w:tc>
        <w:tc>
          <w:tcPr>
            <w:tcW w:w="4308" w:type="dxa"/>
            <w:shd w:val="clear" w:color="auto" w:fill="auto"/>
          </w:tcPr>
          <w:p w:rsidR="00984BC2" w:rsidRDefault="00A71131">
            <w:pPr>
              <w:pStyle w:val="Default"/>
              <w:rPr>
                <w:color w:val="auto"/>
                <w:sz w:val="22"/>
              </w:rPr>
            </w:pPr>
            <w:r w:rsidRPr="00A71131">
              <w:rPr>
                <w:color w:val="auto"/>
                <w:sz w:val="22"/>
                <w:lang w:val="el-GR"/>
              </w:rPr>
              <w:t>Αναιμία</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rPr>
            </w:pPr>
            <w:r w:rsidRPr="00A71131">
              <w:rPr>
                <w:color w:val="auto"/>
                <w:sz w:val="22"/>
                <w:lang w:val="el-GR"/>
              </w:rPr>
              <w:t>Σπάνιες</w:t>
            </w:r>
          </w:p>
        </w:tc>
        <w:tc>
          <w:tcPr>
            <w:tcW w:w="4308" w:type="dxa"/>
            <w:shd w:val="clear" w:color="auto" w:fill="auto"/>
          </w:tcPr>
          <w:p w:rsidR="00984BC2" w:rsidRDefault="00A71131">
            <w:pPr>
              <w:pStyle w:val="Default"/>
              <w:rPr>
                <w:color w:val="auto"/>
                <w:sz w:val="22"/>
              </w:rPr>
            </w:pPr>
            <w:r w:rsidRPr="00A71131">
              <w:rPr>
                <w:color w:val="auto"/>
                <w:sz w:val="22"/>
                <w:lang w:val="el-GR"/>
              </w:rPr>
              <w:t xml:space="preserve">Παράταση χρόνου αιμορραγίας, </w:t>
            </w:r>
            <w:r w:rsidR="0079694B" w:rsidRPr="0079694B">
              <w:t xml:space="preserve">θρομβοκυτταραιμία </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1C30BE">
            <w:pPr>
              <w:pStyle w:val="Default"/>
              <w:rPr>
                <w:color w:val="auto"/>
                <w:sz w:val="22"/>
              </w:rPr>
            </w:pPr>
            <w:r w:rsidRPr="001C30BE">
              <w:rPr>
                <w:color w:val="auto"/>
                <w:sz w:val="22"/>
                <w:lang w:val="el-GR"/>
              </w:rPr>
              <w:t>Μη γνωστές</w:t>
            </w:r>
          </w:p>
        </w:tc>
        <w:tc>
          <w:tcPr>
            <w:tcW w:w="4308" w:type="dxa"/>
            <w:shd w:val="clear" w:color="auto" w:fill="auto"/>
          </w:tcPr>
          <w:p w:rsidR="00917AD3" w:rsidRDefault="001C30BE">
            <w:pPr>
              <w:pStyle w:val="Default"/>
              <w:rPr>
                <w:color w:val="auto"/>
                <w:sz w:val="22"/>
                <w:lang w:val="el-GR"/>
              </w:rPr>
            </w:pPr>
            <w:r w:rsidRPr="001C30BE">
              <w:rPr>
                <w:color w:val="auto"/>
                <w:sz w:val="22"/>
                <w:lang w:val="el-GR"/>
              </w:rPr>
              <w:t xml:space="preserve">Τάση αιμορραγίας, </w:t>
            </w:r>
            <w:r w:rsidR="008F77BA" w:rsidRPr="00D75110">
              <w:rPr>
                <w:color w:val="auto"/>
                <w:sz w:val="22"/>
                <w:szCs w:val="22"/>
                <w:lang w:val="el-GR"/>
              </w:rPr>
              <w:t>θρομβοπενία</w:t>
            </w:r>
            <w:r w:rsidR="00515AB0" w:rsidRPr="00D75110">
              <w:rPr>
                <w:color w:val="auto"/>
                <w:sz w:val="22"/>
                <w:szCs w:val="22"/>
                <w:lang w:val="el-GR"/>
              </w:rPr>
              <w:t xml:space="preserve">, </w:t>
            </w:r>
            <w:r w:rsidR="00CC2AC8" w:rsidRPr="00D75110">
              <w:rPr>
                <w:color w:val="auto"/>
                <w:sz w:val="22"/>
                <w:szCs w:val="22"/>
                <w:lang w:val="el-GR"/>
              </w:rPr>
              <w:t>κοκκιοκυτταροπενία</w:t>
            </w:r>
            <w:r w:rsidRPr="001C30BE">
              <w:rPr>
                <w:color w:val="auto"/>
                <w:sz w:val="22"/>
                <w:lang w:val="el-GR"/>
              </w:rPr>
              <w:t>, ακοκκιοκυττάρωση, λευκοπενία, πανκυτταροπενία, απλαστική αναιμία</w:t>
            </w:r>
          </w:p>
        </w:tc>
      </w:tr>
      <w:tr w:rsidR="00515AB0" w:rsidRPr="00D75110" w:rsidTr="00E53307">
        <w:tc>
          <w:tcPr>
            <w:tcW w:w="3420" w:type="dxa"/>
            <w:shd w:val="clear" w:color="auto" w:fill="auto"/>
          </w:tcPr>
          <w:p w:rsidR="00984BC2" w:rsidRDefault="00A71131">
            <w:pPr>
              <w:pStyle w:val="Default"/>
              <w:rPr>
                <w:color w:val="auto"/>
                <w:sz w:val="22"/>
              </w:rPr>
            </w:pPr>
            <w:r w:rsidRPr="00A71131">
              <w:rPr>
                <w:color w:val="auto"/>
                <w:sz w:val="22"/>
              </w:rPr>
              <w:t>Διαταραχές του ανοσοποιητικού συστήματος</w:t>
            </w:r>
          </w:p>
        </w:tc>
        <w:tc>
          <w:tcPr>
            <w:tcW w:w="1710" w:type="dxa"/>
            <w:shd w:val="clear" w:color="auto" w:fill="auto"/>
          </w:tcPr>
          <w:p w:rsidR="00984BC2" w:rsidRDefault="00A71131">
            <w:pPr>
              <w:pStyle w:val="Default"/>
              <w:rPr>
                <w:color w:val="auto"/>
                <w:sz w:val="22"/>
              </w:rPr>
            </w:pPr>
            <w:r w:rsidRPr="00A71131">
              <w:rPr>
                <w:color w:val="auto"/>
                <w:sz w:val="22"/>
              </w:rPr>
              <w:t>Όχι συχνές</w:t>
            </w:r>
          </w:p>
        </w:tc>
        <w:tc>
          <w:tcPr>
            <w:tcW w:w="4308" w:type="dxa"/>
            <w:shd w:val="clear" w:color="auto" w:fill="auto"/>
          </w:tcPr>
          <w:p w:rsidR="00984BC2" w:rsidRDefault="00A71131">
            <w:pPr>
              <w:pStyle w:val="Default"/>
              <w:rPr>
                <w:color w:val="auto"/>
                <w:sz w:val="22"/>
              </w:rPr>
            </w:pPr>
            <w:r w:rsidRPr="00A71131">
              <w:rPr>
                <w:color w:val="auto"/>
                <w:sz w:val="22"/>
              </w:rPr>
              <w:t>Αλλεργική αντίδραση</w:t>
            </w:r>
          </w:p>
        </w:tc>
      </w:tr>
      <w:tr w:rsidR="00515AB0" w:rsidRPr="00D75110" w:rsidTr="00E53307">
        <w:tc>
          <w:tcPr>
            <w:tcW w:w="3420" w:type="dxa"/>
            <w:vMerge w:val="restart"/>
            <w:shd w:val="clear" w:color="auto" w:fill="auto"/>
          </w:tcPr>
          <w:p w:rsidR="00984BC2" w:rsidRDefault="00A71131">
            <w:pPr>
              <w:pStyle w:val="Default"/>
              <w:rPr>
                <w:color w:val="auto"/>
                <w:sz w:val="22"/>
                <w:lang w:val="el-GR"/>
              </w:rPr>
            </w:pPr>
            <w:r w:rsidRPr="00A71131">
              <w:rPr>
                <w:color w:val="auto"/>
                <w:sz w:val="22"/>
                <w:lang w:val="el-GR"/>
              </w:rPr>
              <w:t>Διαταραχές του μεταβολισμού και της θρέψης</w:t>
            </w:r>
          </w:p>
        </w:tc>
        <w:tc>
          <w:tcPr>
            <w:tcW w:w="1710" w:type="dxa"/>
            <w:shd w:val="clear" w:color="auto" w:fill="auto"/>
          </w:tcPr>
          <w:p w:rsidR="00984BC2" w:rsidRDefault="00A71131">
            <w:pPr>
              <w:pStyle w:val="Default"/>
              <w:rPr>
                <w:color w:val="auto"/>
                <w:sz w:val="22"/>
              </w:rPr>
            </w:pPr>
            <w:r w:rsidRPr="00A71131">
              <w:rPr>
                <w:color w:val="auto"/>
                <w:sz w:val="22"/>
                <w:lang w:val="el-GR"/>
              </w:rPr>
              <w:t>Συχνές</w:t>
            </w:r>
          </w:p>
        </w:tc>
        <w:tc>
          <w:tcPr>
            <w:tcW w:w="4308" w:type="dxa"/>
            <w:shd w:val="clear" w:color="auto" w:fill="auto"/>
          </w:tcPr>
          <w:p w:rsidR="00984BC2" w:rsidRDefault="00A71131">
            <w:pPr>
              <w:pStyle w:val="Default"/>
              <w:rPr>
                <w:color w:val="auto"/>
                <w:sz w:val="22"/>
              </w:rPr>
            </w:pPr>
            <w:r w:rsidRPr="00A71131">
              <w:rPr>
                <w:color w:val="auto"/>
                <w:sz w:val="22"/>
                <w:lang w:val="el-GR"/>
              </w:rPr>
              <w:t xml:space="preserve">Οίδημα (περιφερικό, </w:t>
            </w:r>
            <w:r w:rsidR="00B25FA3" w:rsidRPr="00D75110">
              <w:rPr>
                <w:color w:val="auto"/>
                <w:sz w:val="22"/>
                <w:szCs w:val="22"/>
                <w:lang w:val="el-GR"/>
              </w:rPr>
              <w:t>προσώπου</w:t>
            </w:r>
            <w:r w:rsidRPr="00A71131">
              <w:rPr>
                <w:color w:val="auto"/>
                <w:sz w:val="22"/>
                <w:lang w:val="el-GR"/>
              </w:rPr>
              <w:t>), ανορεξία</w:t>
            </w:r>
          </w:p>
        </w:tc>
      </w:tr>
      <w:tr w:rsidR="00515AB0" w:rsidRPr="00D75110" w:rsidTr="00E53307">
        <w:trPr>
          <w:trHeight w:val="342"/>
        </w:trPr>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rPr>
            </w:pPr>
            <w:r w:rsidRPr="00A71131">
              <w:rPr>
                <w:color w:val="auto"/>
                <w:sz w:val="22"/>
                <w:lang w:val="el-GR"/>
              </w:rPr>
              <w:t xml:space="preserve">Όχι συχνές </w:t>
            </w:r>
          </w:p>
        </w:tc>
        <w:tc>
          <w:tcPr>
            <w:tcW w:w="4308" w:type="dxa"/>
            <w:shd w:val="clear" w:color="auto" w:fill="auto"/>
          </w:tcPr>
          <w:p w:rsidR="00984BC2" w:rsidRDefault="00A71131">
            <w:pPr>
              <w:pStyle w:val="Default"/>
              <w:rPr>
                <w:color w:val="auto"/>
                <w:sz w:val="22"/>
              </w:rPr>
            </w:pPr>
            <w:r w:rsidRPr="00A71131">
              <w:rPr>
                <w:color w:val="auto"/>
                <w:sz w:val="22"/>
                <w:lang w:val="el-GR"/>
              </w:rPr>
              <w:t>Υπεργλυκαιμία, σακχαρώδης διαβήτης</w:t>
            </w:r>
          </w:p>
        </w:tc>
      </w:tr>
      <w:tr w:rsidR="00515AB0" w:rsidRPr="00D75110" w:rsidTr="00E53307">
        <w:tc>
          <w:tcPr>
            <w:tcW w:w="3420" w:type="dxa"/>
            <w:shd w:val="clear" w:color="auto" w:fill="auto"/>
          </w:tcPr>
          <w:p w:rsidR="00984BC2" w:rsidRDefault="00A71131">
            <w:pPr>
              <w:pStyle w:val="Default"/>
              <w:rPr>
                <w:color w:val="auto"/>
                <w:sz w:val="22"/>
                <w:lang w:val="el-GR"/>
              </w:rPr>
            </w:pPr>
            <w:r w:rsidRPr="00A71131">
              <w:rPr>
                <w:color w:val="auto"/>
                <w:lang w:val="el-GR"/>
              </w:rPr>
              <w:t xml:space="preserve">Ψυχιατρικές διαταραχές </w:t>
            </w:r>
          </w:p>
        </w:tc>
        <w:tc>
          <w:tcPr>
            <w:tcW w:w="1710" w:type="dxa"/>
            <w:shd w:val="clear" w:color="auto" w:fill="auto"/>
          </w:tcPr>
          <w:p w:rsidR="00984BC2" w:rsidRDefault="00A71131">
            <w:pPr>
              <w:pStyle w:val="Default"/>
              <w:rPr>
                <w:color w:val="auto"/>
                <w:sz w:val="22"/>
              </w:rPr>
            </w:pPr>
            <w:r w:rsidRPr="00A71131">
              <w:rPr>
                <w:color w:val="auto"/>
              </w:rPr>
              <w:t xml:space="preserve">Όχι συχνές </w:t>
            </w:r>
          </w:p>
        </w:tc>
        <w:tc>
          <w:tcPr>
            <w:tcW w:w="4308" w:type="dxa"/>
            <w:shd w:val="clear" w:color="auto" w:fill="auto"/>
          </w:tcPr>
          <w:p w:rsidR="00984BC2" w:rsidRDefault="00A71131">
            <w:pPr>
              <w:pStyle w:val="Default"/>
              <w:rPr>
                <w:color w:val="auto"/>
                <w:sz w:val="22"/>
                <w:lang w:val="el-GR"/>
              </w:rPr>
            </w:pPr>
            <w:r w:rsidRPr="00A71131">
              <w:rPr>
                <w:color w:val="auto"/>
              </w:rPr>
              <w:t xml:space="preserve">Άγχος </w:t>
            </w:r>
          </w:p>
        </w:tc>
      </w:tr>
      <w:tr w:rsidR="00515AB0" w:rsidRPr="00D75110" w:rsidTr="00E53307">
        <w:tc>
          <w:tcPr>
            <w:tcW w:w="3420" w:type="dxa"/>
            <w:vMerge w:val="restart"/>
            <w:shd w:val="clear" w:color="auto" w:fill="auto"/>
          </w:tcPr>
          <w:p w:rsidR="00984BC2" w:rsidRDefault="00A71131">
            <w:pPr>
              <w:pStyle w:val="Default"/>
              <w:rPr>
                <w:color w:val="auto"/>
                <w:sz w:val="22"/>
              </w:rPr>
            </w:pPr>
            <w:r w:rsidRPr="00A71131">
              <w:rPr>
                <w:color w:val="auto"/>
              </w:rPr>
              <w:t>Διαταραχές του νευρικού συστήματος</w:t>
            </w:r>
          </w:p>
        </w:tc>
        <w:tc>
          <w:tcPr>
            <w:tcW w:w="1710" w:type="dxa"/>
            <w:shd w:val="clear" w:color="auto" w:fill="auto"/>
          </w:tcPr>
          <w:p w:rsidR="00984BC2" w:rsidRDefault="00A71131">
            <w:pPr>
              <w:pStyle w:val="Default"/>
              <w:rPr>
                <w:color w:val="auto"/>
                <w:sz w:val="22"/>
                <w:lang w:val="el-GR"/>
              </w:rPr>
            </w:pPr>
            <w:r w:rsidRPr="00A71131">
              <w:rPr>
                <w:color w:val="auto"/>
                <w:sz w:val="22"/>
                <w:lang w:val="el-GR"/>
              </w:rPr>
              <w:t>Πολύ συχνές</w:t>
            </w:r>
          </w:p>
        </w:tc>
        <w:tc>
          <w:tcPr>
            <w:tcW w:w="4308" w:type="dxa"/>
            <w:shd w:val="clear" w:color="auto" w:fill="auto"/>
          </w:tcPr>
          <w:p w:rsidR="00984BC2" w:rsidRDefault="00A71131">
            <w:pPr>
              <w:pStyle w:val="Default"/>
              <w:rPr>
                <w:color w:val="auto"/>
                <w:sz w:val="22"/>
                <w:lang w:val="el-GR"/>
              </w:rPr>
            </w:pPr>
            <w:r w:rsidRPr="00A71131">
              <w:rPr>
                <w:color w:val="auto"/>
                <w:sz w:val="22"/>
              </w:rPr>
              <w:t xml:space="preserve">Κεφαλαλγία </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rPr>
            </w:pPr>
            <w:r w:rsidRPr="00A71131">
              <w:rPr>
                <w:color w:val="auto"/>
                <w:sz w:val="22"/>
                <w:lang w:val="el-GR"/>
              </w:rPr>
              <w:t>Συχνές</w:t>
            </w:r>
          </w:p>
        </w:tc>
        <w:tc>
          <w:tcPr>
            <w:tcW w:w="4308" w:type="dxa"/>
            <w:shd w:val="clear" w:color="auto" w:fill="auto"/>
          </w:tcPr>
          <w:p w:rsidR="00984BC2" w:rsidRDefault="00A71131">
            <w:pPr>
              <w:pStyle w:val="Default"/>
              <w:rPr>
                <w:color w:val="auto"/>
                <w:sz w:val="22"/>
                <w:lang w:val="el-GR"/>
              </w:rPr>
            </w:pPr>
            <w:r w:rsidRPr="00A71131">
              <w:rPr>
                <w:color w:val="auto"/>
                <w:sz w:val="22"/>
              </w:rPr>
              <w:t xml:space="preserve">Ζάλη </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lang w:val="el-GR"/>
              </w:rPr>
            </w:pPr>
            <w:r w:rsidRPr="00A71131">
              <w:rPr>
                <w:color w:val="auto"/>
                <w:sz w:val="22"/>
                <w:lang w:val="el-GR"/>
              </w:rPr>
              <w:t>Όχι συχνές</w:t>
            </w:r>
          </w:p>
        </w:tc>
        <w:tc>
          <w:tcPr>
            <w:tcW w:w="4308" w:type="dxa"/>
            <w:shd w:val="clear" w:color="auto" w:fill="auto"/>
          </w:tcPr>
          <w:p w:rsidR="00984BC2" w:rsidRDefault="00A71131">
            <w:pPr>
              <w:pStyle w:val="Default"/>
              <w:rPr>
                <w:color w:val="auto"/>
                <w:sz w:val="22"/>
                <w:lang w:val="el-GR"/>
              </w:rPr>
            </w:pPr>
            <w:r w:rsidRPr="00A71131">
              <w:rPr>
                <w:color w:val="auto"/>
                <w:sz w:val="22"/>
              </w:rPr>
              <w:t xml:space="preserve">Αϋπνία, μη φυσιολογικά όνειρα </w:t>
            </w:r>
          </w:p>
        </w:tc>
      </w:tr>
      <w:tr w:rsidR="00515AB0" w:rsidRPr="00D75110" w:rsidTr="00E53307">
        <w:tc>
          <w:tcPr>
            <w:tcW w:w="3420" w:type="dxa"/>
            <w:vMerge/>
            <w:shd w:val="clear" w:color="auto" w:fill="auto"/>
          </w:tcPr>
          <w:p w:rsidR="00984BC2" w:rsidRDefault="00984BC2">
            <w:pPr>
              <w:pStyle w:val="Default"/>
              <w:rPr>
                <w:color w:val="auto"/>
                <w:sz w:val="22"/>
              </w:rPr>
            </w:pPr>
          </w:p>
        </w:tc>
        <w:tc>
          <w:tcPr>
            <w:tcW w:w="1710" w:type="dxa"/>
            <w:shd w:val="clear" w:color="auto" w:fill="auto"/>
          </w:tcPr>
          <w:p w:rsidR="00984BC2" w:rsidRDefault="00A71131">
            <w:pPr>
              <w:pStyle w:val="Default"/>
              <w:rPr>
                <w:color w:val="auto"/>
                <w:sz w:val="22"/>
              </w:rPr>
            </w:pPr>
            <w:r w:rsidRPr="00A71131">
              <w:rPr>
                <w:color w:val="auto"/>
                <w:sz w:val="22"/>
                <w:lang w:val="el-GR"/>
              </w:rPr>
              <w:t>Μη γνωστές</w:t>
            </w:r>
          </w:p>
        </w:tc>
        <w:tc>
          <w:tcPr>
            <w:tcW w:w="4308" w:type="dxa"/>
            <w:shd w:val="clear" w:color="auto" w:fill="auto"/>
          </w:tcPr>
          <w:p w:rsidR="00984BC2" w:rsidRDefault="00A71131">
            <w:pPr>
              <w:pStyle w:val="Default"/>
              <w:rPr>
                <w:color w:val="auto"/>
                <w:sz w:val="22"/>
                <w:lang w:val="el-GR"/>
              </w:rPr>
            </w:pPr>
            <w:r w:rsidRPr="00A71131">
              <w:rPr>
                <w:color w:val="auto"/>
                <w:sz w:val="22"/>
              </w:rPr>
              <w:t>Πάρεση, υπαισθησία</w:t>
            </w:r>
            <w:r w:rsidR="006D464C" w:rsidRPr="00D75110">
              <w:rPr>
                <w:color w:val="auto"/>
                <w:sz w:val="22"/>
                <w:szCs w:val="22"/>
              </w:rPr>
              <w:t xml:space="preserve"> </w:t>
            </w:r>
          </w:p>
        </w:tc>
      </w:tr>
      <w:tr w:rsidR="00515AB0" w:rsidRPr="00D75110" w:rsidTr="00E53307">
        <w:tc>
          <w:tcPr>
            <w:tcW w:w="3420" w:type="dxa"/>
            <w:shd w:val="clear" w:color="auto" w:fill="auto"/>
          </w:tcPr>
          <w:p w:rsidR="00984BC2" w:rsidRDefault="00A71131">
            <w:pPr>
              <w:pStyle w:val="Default"/>
              <w:rPr>
                <w:color w:val="auto"/>
                <w:sz w:val="22"/>
              </w:rPr>
            </w:pPr>
            <w:r w:rsidRPr="00A71131">
              <w:rPr>
                <w:color w:val="auto"/>
                <w:sz w:val="22"/>
              </w:rPr>
              <w:t>Οφθαλμικές διαταραχές</w:t>
            </w:r>
          </w:p>
        </w:tc>
        <w:tc>
          <w:tcPr>
            <w:tcW w:w="1710" w:type="dxa"/>
            <w:shd w:val="clear" w:color="auto" w:fill="auto"/>
          </w:tcPr>
          <w:p w:rsidR="00984BC2" w:rsidRDefault="00A71131">
            <w:pPr>
              <w:pStyle w:val="Default"/>
              <w:rPr>
                <w:color w:val="auto"/>
                <w:sz w:val="22"/>
              </w:rPr>
            </w:pPr>
            <w:r w:rsidRPr="00A71131">
              <w:rPr>
                <w:color w:val="auto"/>
                <w:sz w:val="22"/>
                <w:lang w:val="el-GR"/>
              </w:rPr>
              <w:t>Μη γνωστές</w:t>
            </w:r>
          </w:p>
        </w:tc>
        <w:tc>
          <w:tcPr>
            <w:tcW w:w="4308" w:type="dxa"/>
            <w:shd w:val="clear" w:color="auto" w:fill="auto"/>
          </w:tcPr>
          <w:p w:rsidR="00984BC2" w:rsidRDefault="00A71131">
            <w:pPr>
              <w:pStyle w:val="Default"/>
              <w:rPr>
                <w:color w:val="auto"/>
                <w:sz w:val="22"/>
                <w:lang w:val="el-GR"/>
              </w:rPr>
            </w:pPr>
            <w:r w:rsidRPr="00A71131">
              <w:rPr>
                <w:color w:val="auto"/>
                <w:sz w:val="22"/>
              </w:rPr>
              <w:t xml:space="preserve">Επιπεφυκίτιδα </w:t>
            </w:r>
          </w:p>
        </w:tc>
      </w:tr>
      <w:tr w:rsidR="00515AB0" w:rsidRPr="00D75110" w:rsidTr="00E53307">
        <w:tc>
          <w:tcPr>
            <w:tcW w:w="3420" w:type="dxa"/>
            <w:shd w:val="clear" w:color="auto" w:fill="auto"/>
          </w:tcPr>
          <w:p w:rsidR="00984BC2" w:rsidRDefault="00A71131">
            <w:pPr>
              <w:pStyle w:val="Default"/>
              <w:rPr>
                <w:color w:val="auto"/>
                <w:sz w:val="22"/>
                <w:lang w:val="el-GR"/>
              </w:rPr>
            </w:pPr>
            <w:r w:rsidRPr="00A71131">
              <w:rPr>
                <w:color w:val="auto"/>
                <w:sz w:val="22"/>
                <w:lang w:val="el-GR"/>
              </w:rPr>
              <w:t>Διαταραχές του ωτός και του λαβυρίνθου</w:t>
            </w:r>
          </w:p>
        </w:tc>
        <w:tc>
          <w:tcPr>
            <w:tcW w:w="1710" w:type="dxa"/>
            <w:shd w:val="clear" w:color="auto" w:fill="auto"/>
          </w:tcPr>
          <w:p w:rsidR="00984BC2" w:rsidRDefault="00A71131">
            <w:pPr>
              <w:pStyle w:val="Default"/>
              <w:rPr>
                <w:color w:val="auto"/>
                <w:sz w:val="22"/>
              </w:rPr>
            </w:pPr>
            <w:r w:rsidRPr="00A71131">
              <w:rPr>
                <w:color w:val="auto"/>
                <w:sz w:val="22"/>
                <w:lang w:val="el-GR"/>
              </w:rPr>
              <w:t>Μη γνωστές</w:t>
            </w:r>
          </w:p>
        </w:tc>
        <w:tc>
          <w:tcPr>
            <w:tcW w:w="4308" w:type="dxa"/>
            <w:shd w:val="clear" w:color="auto" w:fill="auto"/>
          </w:tcPr>
          <w:p w:rsidR="00984BC2" w:rsidRDefault="00A71131">
            <w:pPr>
              <w:pStyle w:val="Default"/>
              <w:rPr>
                <w:color w:val="auto"/>
                <w:sz w:val="22"/>
                <w:lang w:val="el-GR"/>
              </w:rPr>
            </w:pPr>
            <w:r w:rsidRPr="00A71131">
              <w:rPr>
                <w:color w:val="auto"/>
                <w:sz w:val="22"/>
              </w:rPr>
              <w:t xml:space="preserve">Εμβοές </w:t>
            </w:r>
          </w:p>
        </w:tc>
      </w:tr>
      <w:tr w:rsidR="00515AB0" w:rsidRPr="00D75110" w:rsidTr="00E53307">
        <w:tc>
          <w:tcPr>
            <w:tcW w:w="3420" w:type="dxa"/>
            <w:vMerge w:val="restart"/>
            <w:shd w:val="clear" w:color="auto" w:fill="auto"/>
          </w:tcPr>
          <w:p w:rsidR="00984BC2" w:rsidRDefault="00A71131">
            <w:pPr>
              <w:pStyle w:val="Default"/>
              <w:rPr>
                <w:color w:val="auto"/>
                <w:sz w:val="22"/>
              </w:rPr>
            </w:pPr>
            <w:r w:rsidRPr="00A71131">
              <w:rPr>
                <w:color w:val="auto"/>
                <w:sz w:val="22"/>
              </w:rPr>
              <w:t>Καρδιακές διαταραχές</w:t>
            </w:r>
          </w:p>
        </w:tc>
        <w:tc>
          <w:tcPr>
            <w:tcW w:w="1710" w:type="dxa"/>
            <w:shd w:val="clear" w:color="auto" w:fill="auto"/>
          </w:tcPr>
          <w:p w:rsidR="00984BC2" w:rsidRDefault="00A71131">
            <w:pPr>
              <w:pStyle w:val="Default"/>
              <w:rPr>
                <w:color w:val="auto"/>
                <w:sz w:val="22"/>
              </w:rPr>
            </w:pPr>
            <w:r w:rsidRPr="00A71131">
              <w:rPr>
                <w:color w:val="auto"/>
                <w:sz w:val="22"/>
                <w:lang w:val="el-GR"/>
              </w:rPr>
              <w:t>Συχνές</w:t>
            </w:r>
          </w:p>
        </w:tc>
        <w:tc>
          <w:tcPr>
            <w:tcW w:w="4308" w:type="dxa"/>
            <w:shd w:val="clear" w:color="auto" w:fill="auto"/>
          </w:tcPr>
          <w:p w:rsidR="00984BC2" w:rsidRDefault="00A71131">
            <w:pPr>
              <w:pStyle w:val="Default"/>
              <w:rPr>
                <w:color w:val="auto"/>
                <w:sz w:val="22"/>
                <w:lang w:val="el-GR"/>
              </w:rPr>
            </w:pPr>
            <w:r w:rsidRPr="00A71131">
              <w:rPr>
                <w:color w:val="auto"/>
                <w:sz w:val="22"/>
                <w:lang w:val="el-GR"/>
              </w:rPr>
              <w:t xml:space="preserve">Αίσθημα παλμών, ταχυκαρδία, στηθάγχη, αρρυθμία, κοιλιακές εκτακτοσυστολές </w:t>
            </w:r>
          </w:p>
        </w:tc>
      </w:tr>
      <w:tr w:rsidR="00515AB0" w:rsidRPr="00D75110" w:rsidTr="00E53307">
        <w:tc>
          <w:tcPr>
            <w:tcW w:w="3420" w:type="dxa"/>
            <w:vMerge/>
            <w:shd w:val="clear" w:color="auto" w:fill="auto"/>
          </w:tcPr>
          <w:p w:rsidR="00984BC2" w:rsidRDefault="00984BC2">
            <w:pPr>
              <w:pStyle w:val="Default"/>
              <w:rPr>
                <w:color w:val="auto"/>
                <w:sz w:val="22"/>
                <w:lang w:val="el-GR"/>
              </w:rPr>
            </w:pPr>
          </w:p>
        </w:tc>
        <w:tc>
          <w:tcPr>
            <w:tcW w:w="1710" w:type="dxa"/>
            <w:shd w:val="clear" w:color="auto" w:fill="auto"/>
          </w:tcPr>
          <w:p w:rsidR="00984BC2" w:rsidRDefault="00A71131">
            <w:pPr>
              <w:pStyle w:val="Default"/>
              <w:rPr>
                <w:color w:val="auto"/>
                <w:sz w:val="22"/>
              </w:rPr>
            </w:pPr>
            <w:r w:rsidRPr="00A71131">
              <w:rPr>
                <w:color w:val="auto"/>
                <w:sz w:val="22"/>
              </w:rPr>
              <w:t>Όχι συχνές</w:t>
            </w:r>
          </w:p>
        </w:tc>
        <w:tc>
          <w:tcPr>
            <w:tcW w:w="4308" w:type="dxa"/>
            <w:shd w:val="clear" w:color="auto" w:fill="auto"/>
          </w:tcPr>
          <w:p w:rsidR="00984BC2" w:rsidRDefault="00A71131">
            <w:pPr>
              <w:pStyle w:val="Default"/>
              <w:rPr>
                <w:color w:val="auto"/>
                <w:sz w:val="22"/>
                <w:lang w:val="el-GR"/>
              </w:rPr>
            </w:pPr>
            <w:r w:rsidRPr="00A71131">
              <w:rPr>
                <w:color w:val="auto"/>
                <w:sz w:val="22"/>
                <w:lang w:val="el-GR"/>
              </w:rPr>
              <w:t xml:space="preserve">Έμφραγμα του μυοκαρδίου, κολπική μαρμαρυγή, συμφορητική καρδιακή ανεπάρκεια, υπερκοιλιακή ταχυκαρδία, κοιλιακή ταχυκαρδία, συγκοπή </w:t>
            </w:r>
          </w:p>
        </w:tc>
      </w:tr>
      <w:tr w:rsidR="00515AB0" w:rsidRPr="00D75110" w:rsidTr="00E53307">
        <w:tc>
          <w:tcPr>
            <w:tcW w:w="3420" w:type="dxa"/>
            <w:vMerge w:val="restart"/>
            <w:shd w:val="clear" w:color="auto" w:fill="auto"/>
          </w:tcPr>
          <w:p w:rsidR="00917AD3" w:rsidRDefault="001C30BE">
            <w:pPr>
              <w:pStyle w:val="Default"/>
              <w:rPr>
                <w:color w:val="auto"/>
                <w:sz w:val="22"/>
              </w:rPr>
            </w:pPr>
            <w:r w:rsidRPr="001C30BE">
              <w:rPr>
                <w:color w:val="auto"/>
                <w:sz w:val="22"/>
              </w:rPr>
              <w:t>Αγγειακές διαταραχές</w:t>
            </w:r>
          </w:p>
        </w:tc>
        <w:tc>
          <w:tcPr>
            <w:tcW w:w="1710" w:type="dxa"/>
            <w:shd w:val="clear" w:color="auto" w:fill="auto"/>
          </w:tcPr>
          <w:p w:rsidR="00917AD3" w:rsidRDefault="001C30BE">
            <w:pPr>
              <w:pStyle w:val="Default"/>
              <w:rPr>
                <w:color w:val="auto"/>
                <w:sz w:val="22"/>
              </w:rPr>
            </w:pPr>
            <w:r w:rsidRPr="001C30BE">
              <w:rPr>
                <w:color w:val="auto"/>
                <w:sz w:val="22"/>
              </w:rPr>
              <w:t>Όχι συχνές</w:t>
            </w:r>
          </w:p>
        </w:tc>
        <w:tc>
          <w:tcPr>
            <w:tcW w:w="4308" w:type="dxa"/>
            <w:shd w:val="clear" w:color="auto" w:fill="auto"/>
          </w:tcPr>
          <w:p w:rsidR="00917AD3" w:rsidRDefault="001C30BE">
            <w:pPr>
              <w:pStyle w:val="Default"/>
              <w:rPr>
                <w:color w:val="auto"/>
                <w:sz w:val="22"/>
                <w:lang w:val="el-GR"/>
              </w:rPr>
            </w:pPr>
            <w:r w:rsidRPr="001C30BE">
              <w:rPr>
                <w:color w:val="auto"/>
                <w:sz w:val="22"/>
                <w:lang w:val="el-GR"/>
              </w:rPr>
              <w:t xml:space="preserve">Αιμορραγία οφθαλμού, επίσταξη, γαστρεντερική αιμορραγία, </w:t>
            </w:r>
            <w:r w:rsidR="006D464C" w:rsidRPr="00D75110">
              <w:rPr>
                <w:color w:val="auto"/>
                <w:sz w:val="22"/>
                <w:szCs w:val="22"/>
                <w:lang w:val="el-GR"/>
              </w:rPr>
              <w:t>αιμορραγία</w:t>
            </w:r>
            <w:r w:rsidR="001A79BC" w:rsidRPr="00D75110">
              <w:rPr>
                <w:color w:val="auto"/>
                <w:sz w:val="22"/>
                <w:szCs w:val="22"/>
                <w:lang w:val="el-GR"/>
              </w:rPr>
              <w:t xml:space="preserve"> μη </w:t>
            </w:r>
            <w:r w:rsidR="00CA52AA" w:rsidRPr="00D75110">
              <w:rPr>
                <w:color w:val="auto"/>
                <w:sz w:val="22"/>
                <w:szCs w:val="22"/>
                <w:lang w:val="el-GR"/>
              </w:rPr>
              <w:t>καθοριζόμενη</w:t>
            </w:r>
            <w:r w:rsidRPr="001C30BE">
              <w:rPr>
                <w:color w:val="auto"/>
                <w:sz w:val="22"/>
                <w:lang w:val="el-GR"/>
              </w:rPr>
              <w:t xml:space="preserve">, ορθοστατική υπόταση </w:t>
            </w:r>
          </w:p>
        </w:tc>
      </w:tr>
      <w:tr w:rsidR="00515AB0" w:rsidRPr="00D75110" w:rsidTr="00E53307">
        <w:tc>
          <w:tcPr>
            <w:tcW w:w="3420" w:type="dxa"/>
            <w:vMerge/>
            <w:shd w:val="clear" w:color="auto" w:fill="auto"/>
          </w:tcPr>
          <w:p w:rsidR="00917AD3" w:rsidRDefault="00917AD3">
            <w:pPr>
              <w:pStyle w:val="Default"/>
              <w:rPr>
                <w:color w:val="auto"/>
                <w:sz w:val="22"/>
                <w:lang w:val="el-GR"/>
              </w:rPr>
            </w:pPr>
          </w:p>
        </w:tc>
        <w:tc>
          <w:tcPr>
            <w:tcW w:w="1710" w:type="dxa"/>
            <w:shd w:val="clear" w:color="auto" w:fill="auto"/>
          </w:tcPr>
          <w:p w:rsidR="00917AD3" w:rsidRDefault="006D464C">
            <w:pPr>
              <w:pStyle w:val="Default"/>
              <w:rPr>
                <w:color w:val="auto"/>
                <w:sz w:val="22"/>
              </w:rPr>
            </w:pPr>
            <w:r w:rsidRPr="00D75110">
              <w:rPr>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917AD3" w:rsidRDefault="002234D5">
            <w:pPr>
              <w:pStyle w:val="Default"/>
              <w:rPr>
                <w:color w:val="auto"/>
                <w:sz w:val="22"/>
                <w:lang w:val="el-GR"/>
              </w:rPr>
            </w:pPr>
            <w:r w:rsidRPr="00D75110">
              <w:rPr>
                <w:color w:val="auto"/>
                <w:sz w:val="22"/>
                <w:szCs w:val="22"/>
                <w:lang w:val="el-GR"/>
              </w:rPr>
              <w:t>Ε</w:t>
            </w:r>
            <w:r w:rsidR="006D464C" w:rsidRPr="00D75110">
              <w:rPr>
                <w:color w:val="auto"/>
                <w:sz w:val="22"/>
                <w:szCs w:val="22"/>
                <w:lang w:val="el-GR"/>
              </w:rPr>
              <w:t>ξάψεις</w:t>
            </w:r>
            <w:r w:rsidR="001C30BE" w:rsidRPr="001C30BE">
              <w:rPr>
                <w:color w:val="auto"/>
                <w:sz w:val="22"/>
                <w:lang w:val="el-GR"/>
              </w:rPr>
              <w:t xml:space="preserve">, υπέρταση, υπόταση, εγκεφαλική αιμορραγία, πνευμονική αιμορραγία, μυϊκή αιμορραγία, αιμορραγία </w:t>
            </w:r>
            <w:r w:rsidR="00796934" w:rsidRPr="00D75110">
              <w:rPr>
                <w:color w:val="auto"/>
                <w:sz w:val="22"/>
                <w:szCs w:val="22"/>
                <w:lang w:val="el-GR"/>
              </w:rPr>
              <w:t>αναπνευστικών οδών</w:t>
            </w:r>
            <w:r w:rsidR="001C30BE" w:rsidRPr="001C30BE">
              <w:rPr>
                <w:color w:val="auto"/>
                <w:sz w:val="22"/>
                <w:lang w:val="el-GR"/>
              </w:rPr>
              <w:t xml:space="preserve">, υποδόρια αιμορραγία </w:t>
            </w:r>
          </w:p>
        </w:tc>
      </w:tr>
      <w:tr w:rsidR="00515AB0" w:rsidRPr="00D75110" w:rsidTr="00E53307">
        <w:tc>
          <w:tcPr>
            <w:tcW w:w="3420" w:type="dxa"/>
            <w:vMerge w:val="restart"/>
            <w:shd w:val="clear" w:color="auto" w:fill="auto"/>
          </w:tcPr>
          <w:p w:rsidR="00917AD3" w:rsidRDefault="001C30BE">
            <w:pPr>
              <w:pStyle w:val="Default"/>
              <w:rPr>
                <w:color w:val="auto"/>
                <w:sz w:val="22"/>
                <w:lang w:val="el-GR"/>
              </w:rPr>
            </w:pPr>
            <w:r w:rsidRPr="00917AD3">
              <w:rPr>
                <w:color w:val="auto"/>
                <w:sz w:val="22"/>
                <w:lang w:val="el-GR"/>
              </w:rPr>
              <w:t xml:space="preserve">Διαταραχές του αναπνευστικού συστήματος, του θώρακα και του </w:t>
            </w:r>
            <w:r w:rsidR="00515AB0" w:rsidRPr="00D75110">
              <w:rPr>
                <w:color w:val="auto"/>
                <w:sz w:val="22"/>
                <w:szCs w:val="22"/>
                <w:lang w:val="el-GR"/>
              </w:rPr>
              <w:t>μεσοθωρ</w:t>
            </w:r>
            <w:r w:rsidR="00001149" w:rsidRPr="00D75110">
              <w:rPr>
                <w:color w:val="auto"/>
                <w:sz w:val="22"/>
                <w:szCs w:val="22"/>
                <w:lang w:val="el-GR"/>
              </w:rPr>
              <w:t>α</w:t>
            </w:r>
            <w:r w:rsidR="00515AB0" w:rsidRPr="00D75110">
              <w:rPr>
                <w:color w:val="auto"/>
                <w:sz w:val="22"/>
                <w:szCs w:val="22"/>
                <w:lang w:val="el-GR"/>
              </w:rPr>
              <w:t>κ</w:t>
            </w:r>
            <w:r w:rsidR="00001149" w:rsidRPr="00D75110">
              <w:rPr>
                <w:color w:val="auto"/>
                <w:sz w:val="22"/>
                <w:szCs w:val="22"/>
                <w:lang w:val="el-GR"/>
              </w:rPr>
              <w:t>ί</w:t>
            </w:r>
            <w:r w:rsidR="00515AB0" w:rsidRPr="00D75110">
              <w:rPr>
                <w:color w:val="auto"/>
                <w:sz w:val="22"/>
                <w:szCs w:val="22"/>
                <w:lang w:val="el-GR"/>
              </w:rPr>
              <w:t>ου</w:t>
            </w:r>
          </w:p>
        </w:tc>
        <w:tc>
          <w:tcPr>
            <w:tcW w:w="1710" w:type="dxa"/>
            <w:shd w:val="clear" w:color="auto" w:fill="auto"/>
          </w:tcPr>
          <w:p w:rsidR="00917AD3" w:rsidRDefault="001C30BE">
            <w:pPr>
              <w:pStyle w:val="Default"/>
              <w:rPr>
                <w:color w:val="auto"/>
                <w:sz w:val="22"/>
              </w:rPr>
            </w:pPr>
            <w:r w:rsidRPr="001C30BE">
              <w:rPr>
                <w:color w:val="auto"/>
                <w:sz w:val="22"/>
                <w:lang w:val="el-GR"/>
              </w:rPr>
              <w:t>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Ρινίτιδα, φαρυγγίτιδα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1C30BE">
            <w:pPr>
              <w:pStyle w:val="Default"/>
              <w:rPr>
                <w:color w:val="auto"/>
                <w:sz w:val="22"/>
              </w:rPr>
            </w:pPr>
            <w:r w:rsidRPr="001C30BE">
              <w:rPr>
                <w:color w:val="auto"/>
                <w:sz w:val="22"/>
              </w:rPr>
              <w:t>Όχι 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Δύσπνοια, πνευμονία, βήχας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6D464C">
            <w:pPr>
              <w:pStyle w:val="Default"/>
              <w:rPr>
                <w:color w:val="auto"/>
                <w:sz w:val="22"/>
                <w:lang w:val="el-GR"/>
              </w:rPr>
            </w:pPr>
            <w:r w:rsidRPr="00D75110">
              <w:rPr>
                <w:iCs/>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Διάμεση πνευμονία </w:t>
            </w:r>
          </w:p>
        </w:tc>
      </w:tr>
      <w:tr w:rsidR="00515AB0" w:rsidRPr="00D75110" w:rsidTr="00E53307">
        <w:tc>
          <w:tcPr>
            <w:tcW w:w="3420" w:type="dxa"/>
            <w:vMerge w:val="restart"/>
            <w:shd w:val="clear" w:color="auto" w:fill="auto"/>
          </w:tcPr>
          <w:p w:rsidR="00917AD3" w:rsidRDefault="001C30BE">
            <w:pPr>
              <w:pStyle w:val="Default"/>
              <w:rPr>
                <w:color w:val="auto"/>
                <w:sz w:val="22"/>
                <w:lang w:val="el-GR"/>
              </w:rPr>
            </w:pPr>
            <w:r w:rsidRPr="001C30BE">
              <w:rPr>
                <w:color w:val="auto"/>
                <w:sz w:val="22"/>
              </w:rPr>
              <w:t>Διαταραχές του γαστρεντερικού</w:t>
            </w:r>
            <w:r w:rsidRPr="001C30BE">
              <w:rPr>
                <w:color w:val="auto"/>
                <w:sz w:val="22"/>
                <w:lang w:val="el-GR"/>
              </w:rPr>
              <w:t xml:space="preserve"> </w:t>
            </w:r>
            <w:r w:rsidR="00F70487" w:rsidRPr="00D75110">
              <w:rPr>
                <w:color w:val="auto"/>
                <w:sz w:val="22"/>
                <w:szCs w:val="22"/>
                <w:lang w:val="el-GR"/>
              </w:rPr>
              <w:t>συστήματος</w:t>
            </w:r>
          </w:p>
        </w:tc>
        <w:tc>
          <w:tcPr>
            <w:tcW w:w="1710" w:type="dxa"/>
            <w:shd w:val="clear" w:color="auto" w:fill="auto"/>
          </w:tcPr>
          <w:p w:rsidR="00917AD3" w:rsidRDefault="001C30BE">
            <w:pPr>
              <w:pStyle w:val="Default"/>
              <w:rPr>
                <w:color w:val="auto"/>
                <w:sz w:val="22"/>
                <w:lang w:val="el-GR"/>
              </w:rPr>
            </w:pPr>
            <w:r w:rsidRPr="001C30BE">
              <w:rPr>
                <w:color w:val="auto"/>
                <w:sz w:val="22"/>
                <w:lang w:val="el-GR"/>
              </w:rPr>
              <w:t>Πολύ 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Διάρροια, μη φυσιολογικά κόπρανα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1C30BE">
            <w:pPr>
              <w:pStyle w:val="Default"/>
              <w:rPr>
                <w:color w:val="auto"/>
                <w:sz w:val="22"/>
              </w:rPr>
            </w:pPr>
            <w:r w:rsidRPr="001C30BE">
              <w:rPr>
                <w:color w:val="auto"/>
                <w:sz w:val="22"/>
                <w:lang w:val="el-GR"/>
              </w:rPr>
              <w:t>Συχνές</w:t>
            </w:r>
          </w:p>
        </w:tc>
        <w:tc>
          <w:tcPr>
            <w:tcW w:w="4308" w:type="dxa"/>
            <w:shd w:val="clear" w:color="auto" w:fill="auto"/>
          </w:tcPr>
          <w:p w:rsidR="00917AD3" w:rsidRDefault="001C30BE">
            <w:pPr>
              <w:pStyle w:val="Default"/>
              <w:rPr>
                <w:color w:val="auto"/>
                <w:sz w:val="22"/>
                <w:lang w:val="el-GR"/>
              </w:rPr>
            </w:pPr>
            <w:r w:rsidRPr="001C30BE">
              <w:rPr>
                <w:color w:val="auto"/>
                <w:sz w:val="22"/>
                <w:lang w:val="el-GR"/>
              </w:rPr>
              <w:t xml:space="preserve">Ναυτία και έμετος, δυσπεψία, μετεωρισμός, </w:t>
            </w:r>
            <w:r w:rsidR="006D464C" w:rsidRPr="00D75110">
              <w:rPr>
                <w:color w:val="auto"/>
                <w:sz w:val="22"/>
                <w:szCs w:val="22"/>
                <w:lang w:val="el-GR"/>
              </w:rPr>
              <w:t xml:space="preserve">κοιλιακό </w:t>
            </w:r>
            <w:r w:rsidR="004800E9" w:rsidRPr="00D75110">
              <w:rPr>
                <w:color w:val="auto"/>
                <w:sz w:val="22"/>
                <w:szCs w:val="22"/>
                <w:lang w:val="el-GR"/>
              </w:rPr>
              <w:t>άλγος</w:t>
            </w:r>
            <w:r w:rsidRPr="001C30BE">
              <w:rPr>
                <w:color w:val="auto"/>
                <w:sz w:val="22"/>
                <w:lang w:val="el-GR"/>
              </w:rPr>
              <w:t xml:space="preserve"> </w:t>
            </w:r>
          </w:p>
        </w:tc>
      </w:tr>
      <w:tr w:rsidR="00515AB0" w:rsidRPr="00D75110" w:rsidTr="00E53307">
        <w:tc>
          <w:tcPr>
            <w:tcW w:w="3420" w:type="dxa"/>
            <w:vMerge/>
            <w:shd w:val="clear" w:color="auto" w:fill="auto"/>
          </w:tcPr>
          <w:p w:rsidR="00917AD3" w:rsidRDefault="00917AD3">
            <w:pPr>
              <w:pStyle w:val="Default"/>
              <w:rPr>
                <w:color w:val="auto"/>
                <w:sz w:val="22"/>
                <w:lang w:val="el-GR"/>
              </w:rPr>
            </w:pPr>
          </w:p>
        </w:tc>
        <w:tc>
          <w:tcPr>
            <w:tcW w:w="1710" w:type="dxa"/>
            <w:shd w:val="clear" w:color="auto" w:fill="auto"/>
          </w:tcPr>
          <w:p w:rsidR="00917AD3" w:rsidRDefault="001C30BE">
            <w:pPr>
              <w:pStyle w:val="Default"/>
              <w:rPr>
                <w:color w:val="auto"/>
                <w:sz w:val="22"/>
              </w:rPr>
            </w:pPr>
            <w:r w:rsidRPr="001C30BE">
              <w:rPr>
                <w:color w:val="auto"/>
                <w:sz w:val="22"/>
              </w:rPr>
              <w:t>Όχι 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Γαστρίτιδα </w:t>
            </w:r>
          </w:p>
        </w:tc>
      </w:tr>
      <w:tr w:rsidR="00515AB0" w:rsidRPr="00D75110" w:rsidTr="00E53307">
        <w:tc>
          <w:tcPr>
            <w:tcW w:w="3420" w:type="dxa"/>
            <w:shd w:val="clear" w:color="auto" w:fill="auto"/>
          </w:tcPr>
          <w:p w:rsidR="00917AD3" w:rsidRDefault="001C30BE">
            <w:pPr>
              <w:pStyle w:val="Default"/>
              <w:rPr>
                <w:color w:val="auto"/>
                <w:sz w:val="22"/>
                <w:lang w:val="el-GR"/>
              </w:rPr>
            </w:pPr>
            <w:r w:rsidRPr="001C30BE">
              <w:rPr>
                <w:color w:val="auto"/>
                <w:sz w:val="22"/>
                <w:lang w:val="el-GR"/>
              </w:rPr>
              <w:t>Διαταραχές του ήπατος και των χοληφόρων</w:t>
            </w:r>
          </w:p>
        </w:tc>
        <w:tc>
          <w:tcPr>
            <w:tcW w:w="1710" w:type="dxa"/>
            <w:shd w:val="clear" w:color="auto" w:fill="auto"/>
          </w:tcPr>
          <w:p w:rsidR="00917AD3" w:rsidRDefault="006D464C">
            <w:pPr>
              <w:pStyle w:val="Default"/>
              <w:rPr>
                <w:color w:val="auto"/>
                <w:sz w:val="22"/>
              </w:rPr>
            </w:pPr>
            <w:r w:rsidRPr="00D75110">
              <w:rPr>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917AD3" w:rsidRDefault="001C30BE">
            <w:pPr>
              <w:pStyle w:val="Default"/>
              <w:rPr>
                <w:color w:val="auto"/>
                <w:sz w:val="22"/>
                <w:lang w:val="el-GR"/>
              </w:rPr>
            </w:pPr>
            <w:r w:rsidRPr="001C30BE">
              <w:rPr>
                <w:color w:val="auto"/>
                <w:sz w:val="22"/>
                <w:lang w:val="el-GR"/>
              </w:rPr>
              <w:t xml:space="preserve">Ηπατίτιδα, μη φυσιολογική ηπατική λειτουργία, ίκτερος </w:t>
            </w:r>
          </w:p>
        </w:tc>
      </w:tr>
      <w:tr w:rsidR="00515AB0" w:rsidRPr="00D75110" w:rsidTr="00E53307">
        <w:tc>
          <w:tcPr>
            <w:tcW w:w="3420" w:type="dxa"/>
            <w:vMerge w:val="restart"/>
            <w:shd w:val="clear" w:color="auto" w:fill="auto"/>
          </w:tcPr>
          <w:p w:rsidR="00917AD3" w:rsidRDefault="001C30BE">
            <w:pPr>
              <w:pStyle w:val="Default"/>
              <w:rPr>
                <w:color w:val="auto"/>
                <w:sz w:val="22"/>
                <w:lang w:val="el-GR"/>
              </w:rPr>
            </w:pPr>
            <w:r w:rsidRPr="00917AD3">
              <w:rPr>
                <w:color w:val="auto"/>
                <w:sz w:val="22"/>
                <w:lang w:val="el-GR"/>
              </w:rPr>
              <w:t>Διαταραχές του δέρματος και του υποδόριου ιστού</w:t>
            </w:r>
          </w:p>
        </w:tc>
        <w:tc>
          <w:tcPr>
            <w:tcW w:w="1710" w:type="dxa"/>
            <w:shd w:val="clear" w:color="auto" w:fill="auto"/>
          </w:tcPr>
          <w:p w:rsidR="00917AD3" w:rsidRDefault="001C30BE">
            <w:pPr>
              <w:pStyle w:val="Default"/>
              <w:rPr>
                <w:color w:val="auto"/>
                <w:sz w:val="22"/>
              </w:rPr>
            </w:pPr>
            <w:r w:rsidRPr="001C30BE">
              <w:rPr>
                <w:color w:val="auto"/>
                <w:sz w:val="22"/>
                <w:lang w:val="el-GR"/>
              </w:rPr>
              <w:t>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Εξάνθημα, κνησμός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6D464C">
            <w:pPr>
              <w:pStyle w:val="Default"/>
              <w:rPr>
                <w:color w:val="auto"/>
                <w:sz w:val="22"/>
              </w:rPr>
            </w:pPr>
            <w:r w:rsidRPr="00D75110">
              <w:rPr>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917AD3" w:rsidRDefault="001C30BE">
            <w:pPr>
              <w:pStyle w:val="Default"/>
              <w:rPr>
                <w:color w:val="auto"/>
                <w:sz w:val="22"/>
                <w:lang w:val="el-GR"/>
              </w:rPr>
            </w:pPr>
            <w:r w:rsidRPr="001C30BE">
              <w:rPr>
                <w:color w:val="auto"/>
                <w:sz w:val="22"/>
                <w:lang w:val="el-GR"/>
              </w:rPr>
              <w:t xml:space="preserve">Έκζεμα, δερματικά εξανθήματα, σύνδρομο </w:t>
            </w:r>
            <w:r w:rsidRPr="001C30BE">
              <w:rPr>
                <w:color w:val="auto"/>
                <w:sz w:val="22"/>
              </w:rPr>
              <w:t>Stevens</w:t>
            </w:r>
            <w:r w:rsidRPr="001C30BE">
              <w:rPr>
                <w:color w:val="auto"/>
                <w:sz w:val="22"/>
                <w:lang w:val="el-GR"/>
              </w:rPr>
              <w:t>-</w:t>
            </w:r>
            <w:r w:rsidRPr="001C30BE">
              <w:rPr>
                <w:color w:val="auto"/>
                <w:sz w:val="22"/>
              </w:rPr>
              <w:t>Johnson</w:t>
            </w:r>
            <w:r w:rsidRPr="001C30BE">
              <w:rPr>
                <w:color w:val="auto"/>
                <w:sz w:val="22"/>
                <w:lang w:val="el-GR"/>
              </w:rPr>
              <w:t xml:space="preserve">, τοξική επιδερμική νεκρόλυση, κνίδωση </w:t>
            </w:r>
          </w:p>
        </w:tc>
      </w:tr>
      <w:tr w:rsidR="00515AB0" w:rsidRPr="00D75110" w:rsidTr="00E53307">
        <w:tc>
          <w:tcPr>
            <w:tcW w:w="3420" w:type="dxa"/>
            <w:shd w:val="clear" w:color="auto" w:fill="auto"/>
          </w:tcPr>
          <w:p w:rsidR="00917AD3" w:rsidRDefault="001C30BE">
            <w:pPr>
              <w:pStyle w:val="Default"/>
              <w:rPr>
                <w:color w:val="auto"/>
                <w:sz w:val="22"/>
                <w:lang w:val="el-GR"/>
              </w:rPr>
            </w:pPr>
            <w:r w:rsidRPr="00917AD3">
              <w:rPr>
                <w:color w:val="auto"/>
                <w:sz w:val="22"/>
                <w:lang w:val="el-GR"/>
              </w:rPr>
              <w:t>Διαταραχές του μυοσκελετικού συστήματος και του συνδετικού ιστού</w:t>
            </w:r>
          </w:p>
        </w:tc>
        <w:tc>
          <w:tcPr>
            <w:tcW w:w="1710" w:type="dxa"/>
            <w:shd w:val="clear" w:color="auto" w:fill="auto"/>
          </w:tcPr>
          <w:p w:rsidR="00917AD3" w:rsidRDefault="001C30BE">
            <w:pPr>
              <w:pStyle w:val="Default"/>
              <w:rPr>
                <w:color w:val="auto"/>
                <w:sz w:val="22"/>
              </w:rPr>
            </w:pPr>
            <w:r w:rsidRPr="001C30BE">
              <w:rPr>
                <w:color w:val="auto"/>
                <w:sz w:val="22"/>
              </w:rPr>
              <w:t>Όχι 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Μυαλγία </w:t>
            </w:r>
          </w:p>
        </w:tc>
      </w:tr>
      <w:tr w:rsidR="00515AB0" w:rsidRPr="00D75110" w:rsidTr="00E53307">
        <w:tc>
          <w:tcPr>
            <w:tcW w:w="3420" w:type="dxa"/>
            <w:vMerge w:val="restart"/>
            <w:shd w:val="clear" w:color="auto" w:fill="auto"/>
          </w:tcPr>
          <w:p w:rsidR="00917AD3" w:rsidRDefault="001C30BE">
            <w:pPr>
              <w:pStyle w:val="Default"/>
              <w:rPr>
                <w:color w:val="auto"/>
                <w:sz w:val="22"/>
                <w:lang w:val="el-GR"/>
              </w:rPr>
            </w:pPr>
            <w:r w:rsidRPr="00917AD3">
              <w:rPr>
                <w:color w:val="auto"/>
                <w:sz w:val="22"/>
                <w:lang w:val="el-GR"/>
              </w:rPr>
              <w:t xml:space="preserve">Διαταραχές των νεφρών και των ουροφόρων οδών </w:t>
            </w:r>
          </w:p>
        </w:tc>
        <w:tc>
          <w:tcPr>
            <w:tcW w:w="1710" w:type="dxa"/>
            <w:shd w:val="clear" w:color="auto" w:fill="auto"/>
          </w:tcPr>
          <w:p w:rsidR="00917AD3" w:rsidRDefault="001C30BE">
            <w:pPr>
              <w:pStyle w:val="Default"/>
              <w:rPr>
                <w:color w:val="auto"/>
                <w:sz w:val="22"/>
                <w:lang w:val="el-GR"/>
              </w:rPr>
            </w:pPr>
            <w:r w:rsidRPr="001C30BE">
              <w:rPr>
                <w:color w:val="auto"/>
                <w:sz w:val="22"/>
                <w:lang w:val="el-GR"/>
              </w:rPr>
              <w:t>Σπάνιες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Νεφρική ανεπάρκεια, νεφρική δυσλειτουργία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6D464C">
            <w:pPr>
              <w:pStyle w:val="Default"/>
              <w:rPr>
                <w:color w:val="auto"/>
                <w:sz w:val="22"/>
              </w:rPr>
            </w:pPr>
            <w:r w:rsidRPr="00D75110">
              <w:rPr>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Αιματουρία, συχνουρία </w:t>
            </w:r>
          </w:p>
        </w:tc>
      </w:tr>
      <w:tr w:rsidR="00515AB0" w:rsidRPr="00D75110" w:rsidTr="00E53307">
        <w:tc>
          <w:tcPr>
            <w:tcW w:w="3420" w:type="dxa"/>
            <w:vMerge w:val="restart"/>
            <w:shd w:val="clear" w:color="auto" w:fill="auto"/>
          </w:tcPr>
          <w:p w:rsidR="00917AD3" w:rsidRDefault="001C30BE">
            <w:pPr>
              <w:pStyle w:val="Default"/>
              <w:rPr>
                <w:color w:val="auto"/>
                <w:sz w:val="22"/>
                <w:lang w:val="el-GR"/>
              </w:rPr>
            </w:pPr>
            <w:r w:rsidRPr="001C30BE">
              <w:rPr>
                <w:color w:val="auto"/>
                <w:sz w:val="22"/>
                <w:lang w:val="el-GR"/>
              </w:rPr>
              <w:t xml:space="preserve">Γενικές διαταραχές και καταστάσεις της οδού χορήγησης </w:t>
            </w:r>
          </w:p>
          <w:p w:rsidR="00917AD3" w:rsidRDefault="00917AD3">
            <w:pPr>
              <w:pStyle w:val="Default"/>
              <w:rPr>
                <w:color w:val="auto"/>
                <w:sz w:val="22"/>
                <w:lang w:val="el-GR"/>
              </w:rPr>
            </w:pPr>
          </w:p>
        </w:tc>
        <w:tc>
          <w:tcPr>
            <w:tcW w:w="1710" w:type="dxa"/>
            <w:shd w:val="clear" w:color="auto" w:fill="auto"/>
          </w:tcPr>
          <w:p w:rsidR="00917AD3" w:rsidRDefault="001C30BE">
            <w:pPr>
              <w:pStyle w:val="Default"/>
              <w:rPr>
                <w:color w:val="auto"/>
                <w:sz w:val="22"/>
              </w:rPr>
            </w:pPr>
            <w:r w:rsidRPr="001C30BE">
              <w:rPr>
                <w:color w:val="auto"/>
                <w:sz w:val="22"/>
                <w:lang w:val="el-GR"/>
              </w:rPr>
              <w:t>Συχνές</w:t>
            </w:r>
          </w:p>
        </w:tc>
        <w:tc>
          <w:tcPr>
            <w:tcW w:w="4308" w:type="dxa"/>
            <w:shd w:val="clear" w:color="auto" w:fill="auto"/>
          </w:tcPr>
          <w:p w:rsidR="00917AD3" w:rsidRDefault="006D464C">
            <w:pPr>
              <w:pStyle w:val="Default"/>
              <w:rPr>
                <w:color w:val="auto"/>
                <w:sz w:val="22"/>
                <w:lang w:val="el-GR"/>
              </w:rPr>
            </w:pPr>
            <w:r w:rsidRPr="00D75110">
              <w:rPr>
                <w:color w:val="auto"/>
                <w:sz w:val="22"/>
                <w:szCs w:val="22"/>
              </w:rPr>
              <w:t xml:space="preserve">Θωρακικό </w:t>
            </w:r>
            <w:r w:rsidR="000D0075" w:rsidRPr="00D75110">
              <w:rPr>
                <w:color w:val="auto"/>
                <w:sz w:val="22"/>
                <w:szCs w:val="22"/>
                <w:lang w:val="el-GR"/>
              </w:rPr>
              <w:t>άλγος</w:t>
            </w:r>
            <w:r w:rsidR="001C30BE" w:rsidRPr="001C30BE">
              <w:rPr>
                <w:color w:val="auto"/>
                <w:sz w:val="22"/>
              </w:rPr>
              <w:t xml:space="preserve">, εξασθένιση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1C30BE">
            <w:pPr>
              <w:pStyle w:val="Default"/>
              <w:rPr>
                <w:color w:val="auto"/>
                <w:sz w:val="22"/>
              </w:rPr>
            </w:pPr>
            <w:r w:rsidRPr="001C30BE">
              <w:rPr>
                <w:color w:val="auto"/>
                <w:sz w:val="22"/>
              </w:rPr>
              <w:t>Όχι συχνές</w:t>
            </w:r>
          </w:p>
        </w:tc>
        <w:tc>
          <w:tcPr>
            <w:tcW w:w="4308" w:type="dxa"/>
            <w:shd w:val="clear" w:color="auto" w:fill="auto"/>
          </w:tcPr>
          <w:p w:rsidR="00917AD3" w:rsidRDefault="001C30BE">
            <w:pPr>
              <w:pStyle w:val="Default"/>
              <w:rPr>
                <w:color w:val="auto"/>
                <w:sz w:val="22"/>
                <w:lang w:val="el-GR"/>
              </w:rPr>
            </w:pPr>
            <w:r w:rsidRPr="001C30BE">
              <w:rPr>
                <w:color w:val="auto"/>
                <w:sz w:val="22"/>
              </w:rPr>
              <w:t xml:space="preserve">Ρίγη, αίσθημα κακουχίας </w:t>
            </w:r>
          </w:p>
        </w:tc>
      </w:tr>
      <w:tr w:rsidR="00515AB0" w:rsidRPr="00D75110" w:rsidTr="00E53307">
        <w:tc>
          <w:tcPr>
            <w:tcW w:w="3420" w:type="dxa"/>
            <w:vMerge/>
            <w:shd w:val="clear" w:color="auto" w:fill="auto"/>
          </w:tcPr>
          <w:p w:rsidR="00917AD3" w:rsidRDefault="00917AD3">
            <w:pPr>
              <w:pStyle w:val="Default"/>
              <w:rPr>
                <w:color w:val="auto"/>
                <w:sz w:val="22"/>
              </w:rPr>
            </w:pPr>
          </w:p>
        </w:tc>
        <w:tc>
          <w:tcPr>
            <w:tcW w:w="1710" w:type="dxa"/>
            <w:shd w:val="clear" w:color="auto" w:fill="auto"/>
          </w:tcPr>
          <w:p w:rsidR="00917AD3" w:rsidRDefault="006D464C">
            <w:pPr>
              <w:pStyle w:val="Default"/>
              <w:rPr>
                <w:color w:val="auto"/>
                <w:sz w:val="22"/>
              </w:rPr>
            </w:pPr>
            <w:r w:rsidRPr="00D75110">
              <w:rPr>
                <w:color w:val="auto"/>
                <w:sz w:val="22"/>
                <w:szCs w:val="22"/>
                <w:lang w:val="el-GR"/>
              </w:rPr>
              <w:t>Μη</w:t>
            </w:r>
            <w:r w:rsidR="001C30BE" w:rsidRPr="001C30BE">
              <w:rPr>
                <w:color w:val="auto"/>
                <w:sz w:val="22"/>
                <w:lang w:val="el-GR"/>
              </w:rPr>
              <w:t xml:space="preserve"> γνωστές</w:t>
            </w:r>
          </w:p>
        </w:tc>
        <w:tc>
          <w:tcPr>
            <w:tcW w:w="4308" w:type="dxa"/>
            <w:shd w:val="clear" w:color="auto" w:fill="auto"/>
          </w:tcPr>
          <w:p w:rsidR="00515AB0" w:rsidRPr="00D75110" w:rsidRDefault="001C30BE" w:rsidP="006D464C">
            <w:pPr>
              <w:pStyle w:val="Default"/>
              <w:widowControl w:val="0"/>
              <w:rPr>
                <w:color w:val="auto"/>
                <w:sz w:val="22"/>
                <w:lang w:val="el-GR"/>
              </w:rPr>
            </w:pPr>
            <w:r w:rsidRPr="001C30BE">
              <w:rPr>
                <w:color w:val="auto"/>
                <w:sz w:val="22"/>
              </w:rPr>
              <w:t xml:space="preserve">Πυρεξία, άλγος </w:t>
            </w:r>
          </w:p>
        </w:tc>
      </w:tr>
      <w:tr w:rsidR="00515AB0" w:rsidRPr="00D75110" w:rsidTr="00E53307">
        <w:tc>
          <w:tcPr>
            <w:tcW w:w="3420" w:type="dxa"/>
            <w:shd w:val="clear" w:color="auto" w:fill="auto"/>
          </w:tcPr>
          <w:p w:rsidR="00917AD3" w:rsidRDefault="001C30BE">
            <w:pPr>
              <w:pStyle w:val="Default"/>
              <w:rPr>
                <w:color w:val="auto"/>
                <w:sz w:val="22"/>
              </w:rPr>
            </w:pPr>
            <w:r w:rsidRPr="001C30BE">
              <w:rPr>
                <w:color w:val="auto"/>
                <w:sz w:val="22"/>
              </w:rPr>
              <w:t xml:space="preserve">Παρακλινικές εξετάσεις </w:t>
            </w:r>
          </w:p>
          <w:p w:rsidR="00917AD3" w:rsidRDefault="00917AD3">
            <w:pPr>
              <w:pStyle w:val="Default"/>
              <w:rPr>
                <w:color w:val="auto"/>
                <w:sz w:val="22"/>
              </w:rPr>
            </w:pPr>
          </w:p>
        </w:tc>
        <w:tc>
          <w:tcPr>
            <w:tcW w:w="1710" w:type="dxa"/>
            <w:shd w:val="clear" w:color="auto" w:fill="auto"/>
          </w:tcPr>
          <w:p w:rsidR="00984BC2" w:rsidRDefault="006D464C">
            <w:pPr>
              <w:pStyle w:val="Default"/>
              <w:rPr>
                <w:color w:val="auto"/>
                <w:sz w:val="22"/>
              </w:rPr>
            </w:pPr>
            <w:r w:rsidRPr="00D75110">
              <w:rPr>
                <w:color w:val="auto"/>
                <w:sz w:val="22"/>
                <w:szCs w:val="22"/>
                <w:lang w:val="el-GR"/>
              </w:rPr>
              <w:t>Μη</w:t>
            </w:r>
            <w:r w:rsidR="00A71131" w:rsidRPr="00A71131">
              <w:rPr>
                <w:color w:val="auto"/>
                <w:sz w:val="22"/>
                <w:lang w:val="el-GR"/>
              </w:rPr>
              <w:t xml:space="preserve"> γνωστές</w:t>
            </w:r>
          </w:p>
        </w:tc>
        <w:tc>
          <w:tcPr>
            <w:tcW w:w="4308" w:type="dxa"/>
            <w:shd w:val="clear" w:color="auto" w:fill="auto"/>
          </w:tcPr>
          <w:p w:rsidR="00917AD3" w:rsidRDefault="000E15BC" w:rsidP="00693D9D">
            <w:pPr>
              <w:pStyle w:val="Default"/>
              <w:widowControl w:val="0"/>
              <w:rPr>
                <w:color w:val="auto"/>
                <w:sz w:val="22"/>
                <w:lang w:val="el-GR"/>
              </w:rPr>
            </w:pPr>
            <w:r w:rsidRPr="00917692">
              <w:rPr>
                <w:lang w:val="el-GR"/>
              </w:rPr>
              <w:t>Αυξημένο επίπεδο ουρικού οξέος</w:t>
            </w:r>
            <w:r w:rsidR="00D200CC" w:rsidRPr="00917692">
              <w:rPr>
                <w:lang w:val="el-GR"/>
              </w:rPr>
              <w:t>,</w:t>
            </w:r>
            <w:r w:rsidR="00D200CC" w:rsidRPr="00D200CC">
              <w:rPr>
                <w:lang w:val="el-GR"/>
              </w:rPr>
              <w:t xml:space="preserve"> </w:t>
            </w:r>
            <w:r w:rsidRPr="000E15BC">
              <w:rPr>
                <w:lang w:val="el-GR"/>
              </w:rPr>
              <w:t xml:space="preserve">αυξημένη ουρία </w:t>
            </w:r>
            <w:r w:rsidR="001C30BE" w:rsidRPr="00917AD3">
              <w:rPr>
                <w:color w:val="auto"/>
                <w:sz w:val="22"/>
                <w:lang w:val="el-GR"/>
              </w:rPr>
              <w:t>αίματος</w:t>
            </w:r>
            <w:r w:rsidR="00693D9D">
              <w:rPr>
                <w:color w:val="auto"/>
                <w:sz w:val="22"/>
                <w:lang w:val="el-GR"/>
              </w:rPr>
              <w:t>,</w:t>
            </w:r>
            <w:r w:rsidR="00A1472E" w:rsidRPr="00D75110">
              <w:rPr>
                <w:color w:val="auto"/>
                <w:sz w:val="22"/>
                <w:szCs w:val="22"/>
                <w:lang w:val="el-GR"/>
              </w:rPr>
              <w:t xml:space="preserve"> </w:t>
            </w:r>
            <w:r w:rsidR="001C30BE" w:rsidRPr="00917AD3">
              <w:rPr>
                <w:color w:val="auto"/>
                <w:sz w:val="22"/>
                <w:lang w:val="el-GR"/>
              </w:rPr>
              <w:t>αυξημένη</w:t>
            </w:r>
            <w:r w:rsidR="00693D9D">
              <w:rPr>
                <w:color w:val="auto"/>
                <w:sz w:val="22"/>
                <w:lang w:val="el-GR"/>
              </w:rPr>
              <w:t xml:space="preserve"> </w:t>
            </w:r>
            <w:r w:rsidR="001C30BE" w:rsidRPr="00917AD3">
              <w:rPr>
                <w:color w:val="auto"/>
                <w:sz w:val="22"/>
                <w:lang w:val="el-GR"/>
              </w:rPr>
              <w:t xml:space="preserve">κρεατινίνη αίματος </w:t>
            </w:r>
          </w:p>
        </w:tc>
      </w:tr>
    </w:tbl>
    <w:p w:rsidR="00984BC2" w:rsidRDefault="00984BC2">
      <w:pPr>
        <w:rPr>
          <w:i/>
        </w:rPr>
      </w:pPr>
    </w:p>
    <w:p w:rsidR="00917AD3" w:rsidRDefault="001C30BE">
      <w:pPr>
        <w:pStyle w:val="Default"/>
        <w:rPr>
          <w:color w:val="auto"/>
          <w:sz w:val="22"/>
          <w:lang w:val="el-GR"/>
        </w:rPr>
      </w:pPr>
      <w:r w:rsidRPr="001C30BE">
        <w:rPr>
          <w:color w:val="auto"/>
          <w:sz w:val="22"/>
          <w:lang w:val="el-GR"/>
        </w:rPr>
        <w:t xml:space="preserve">Μια αύξηση στη συχνότητα του αισθήματος παλμών και του περιφερικού οιδήματος παρατηρήθηκε όταν η σιλοσταζόλη συνδυάστηκε με άλλους αγγειοδιαστολείς που προκαλούν αντανακλαστική ταχυκαρδία π.χ. αποκλειστές διαύλων ασβεστίου </w:t>
      </w:r>
      <w:r w:rsidR="00E53307" w:rsidRPr="00D75110">
        <w:rPr>
          <w:color w:val="auto"/>
          <w:sz w:val="22"/>
          <w:szCs w:val="22"/>
          <w:lang w:val="el-GR"/>
        </w:rPr>
        <w:t>δι</w:t>
      </w:r>
      <w:r w:rsidR="00CB08B2" w:rsidRPr="00D75110">
        <w:rPr>
          <w:color w:val="auto"/>
          <w:sz w:val="22"/>
          <w:szCs w:val="22"/>
          <w:lang w:val="el-GR"/>
        </w:rPr>
        <w:t>ϋ</w:t>
      </w:r>
      <w:r w:rsidR="00E53307" w:rsidRPr="00D75110">
        <w:rPr>
          <w:color w:val="auto"/>
          <w:sz w:val="22"/>
          <w:szCs w:val="22"/>
          <w:lang w:val="el-GR"/>
        </w:rPr>
        <w:t xml:space="preserve">δροπυριδίνης. </w:t>
      </w:r>
    </w:p>
    <w:p w:rsidR="00917AD3" w:rsidRDefault="00917AD3">
      <w:pPr>
        <w:pStyle w:val="Default"/>
        <w:rPr>
          <w:color w:val="auto"/>
          <w:sz w:val="22"/>
          <w:lang w:val="el-GR"/>
        </w:rPr>
      </w:pPr>
    </w:p>
    <w:p w:rsidR="00917AD3" w:rsidRPr="00917AD3" w:rsidRDefault="001C30BE">
      <w:pPr>
        <w:pStyle w:val="Default"/>
        <w:rPr>
          <w:color w:val="auto"/>
          <w:lang w:val="el-GR"/>
        </w:rPr>
      </w:pPr>
      <w:r w:rsidRPr="001C30BE">
        <w:rPr>
          <w:color w:val="auto"/>
          <w:sz w:val="22"/>
          <w:lang w:val="el-GR"/>
        </w:rPr>
        <w:t>Η μόνη ανεπιθύμητη ενέργεια που οδήγησε σε διακοπή της θεραπείας σε ≥ 3% των ασθενών που υποβλήθηκε σε θεραπεία με σιλοσταζόλη ήταν η κεφαλαλγία. Άλλες συχνές αιτίες διακοπής περιελάμβαναν αίσθημα παλμών και διάρροια (</w:t>
      </w:r>
      <w:r w:rsidR="000E15BC" w:rsidRPr="000E15BC">
        <w:rPr>
          <w:lang w:val="el-GR" w:eastAsia="el-GR"/>
        </w:rPr>
        <w:t>αμφότερες</w:t>
      </w:r>
      <w:r w:rsidR="00D200CC" w:rsidRPr="00D200CC">
        <w:rPr>
          <w:lang w:val="el-GR" w:eastAsia="el-GR"/>
        </w:rPr>
        <w:t xml:space="preserve"> </w:t>
      </w:r>
      <w:r w:rsidRPr="001C30BE">
        <w:rPr>
          <w:color w:val="auto"/>
          <w:sz w:val="22"/>
          <w:lang w:val="el-GR"/>
        </w:rPr>
        <w:t xml:space="preserve">1,1%). </w:t>
      </w:r>
    </w:p>
    <w:p w:rsidR="00917AD3" w:rsidRPr="00917AD3" w:rsidRDefault="00917AD3">
      <w:pPr>
        <w:pStyle w:val="Default"/>
        <w:rPr>
          <w:color w:val="auto"/>
          <w:lang w:val="el-GR"/>
        </w:rPr>
      </w:pPr>
    </w:p>
    <w:p w:rsidR="00917AD3" w:rsidRPr="00917AD3" w:rsidRDefault="001C30BE">
      <w:pPr>
        <w:pStyle w:val="Default"/>
        <w:rPr>
          <w:color w:val="auto"/>
          <w:lang w:val="el-GR"/>
        </w:rPr>
      </w:pPr>
      <w:r w:rsidRPr="001C30BE">
        <w:rPr>
          <w:color w:val="auto"/>
          <w:sz w:val="22"/>
          <w:lang w:val="el-GR"/>
        </w:rPr>
        <w:t>Η σιλοσταζόλη από μόνη της</w:t>
      </w:r>
      <w:r w:rsidRPr="001C30BE">
        <w:rPr>
          <w:i/>
          <w:color w:val="auto"/>
          <w:sz w:val="22"/>
          <w:lang w:val="el-GR"/>
        </w:rPr>
        <w:t xml:space="preserve"> </w:t>
      </w:r>
      <w:r w:rsidRPr="001C30BE">
        <w:rPr>
          <w:color w:val="auto"/>
          <w:sz w:val="22"/>
          <w:lang w:val="el-GR"/>
        </w:rPr>
        <w:t xml:space="preserve">μπορεί να ενέχει αυξημένο κίνδυνο αιμορραγίας και ο κίνδυνος μπορεί να ενισχυθεί από συγχορήγηση με οποιονδήποτε άλλο παράγοντα με τέτοια δυνατότητα. </w:t>
      </w:r>
    </w:p>
    <w:p w:rsidR="00917AD3" w:rsidRPr="00917AD3" w:rsidRDefault="00917AD3">
      <w:pPr>
        <w:pStyle w:val="Default"/>
        <w:rPr>
          <w:color w:val="auto"/>
          <w:lang w:val="el-GR"/>
        </w:rPr>
      </w:pPr>
    </w:p>
    <w:p w:rsidR="00917AD3" w:rsidRPr="00917AD3" w:rsidRDefault="001C30BE">
      <w:pPr>
        <w:pStyle w:val="Default"/>
        <w:rPr>
          <w:color w:val="auto"/>
          <w:lang w:val="el-GR"/>
        </w:rPr>
      </w:pPr>
      <w:r w:rsidRPr="001C30BE">
        <w:rPr>
          <w:color w:val="auto"/>
          <w:sz w:val="22"/>
          <w:lang w:val="el-GR"/>
        </w:rPr>
        <w:t xml:space="preserve">Ο κίνδυνος ενδοφθάλμιας αιμορραγίας μπορεί να είναι υψηλότερος σε ασθενείς με διαβήτη. </w:t>
      </w:r>
    </w:p>
    <w:p w:rsidR="00E53307" w:rsidRPr="00D75110" w:rsidRDefault="00E53307" w:rsidP="00E53307">
      <w:pPr>
        <w:rPr>
          <w:szCs w:val="22"/>
        </w:rPr>
      </w:pPr>
    </w:p>
    <w:p w:rsidR="00917AD3" w:rsidRDefault="001C30BE">
      <w:r w:rsidRPr="001C30BE">
        <w:t xml:space="preserve">Μια αύξηση στη συχνότητα της διάρροιας και του αισθήματος παλμών έχει βρεθεί σε ασθενείς </w:t>
      </w:r>
      <w:r w:rsidRPr="001C30BE">
        <w:lastRenderedPageBreak/>
        <w:t>ηλικίας άνω των 70 ετών.</w:t>
      </w:r>
    </w:p>
    <w:p w:rsidR="00984BC2" w:rsidRDefault="00984BC2">
      <w:pPr>
        <w:rPr>
          <w:i/>
        </w:rPr>
      </w:pPr>
    </w:p>
    <w:p w:rsidR="00917AD3" w:rsidRDefault="001C30BE">
      <w:pPr>
        <w:autoSpaceDE w:val="0"/>
        <w:autoSpaceDN w:val="0"/>
        <w:adjustRightInd w:val="0"/>
        <w:jc w:val="both"/>
        <w:rPr>
          <w:u w:val="single"/>
        </w:rPr>
      </w:pPr>
      <w:r w:rsidRPr="001C30BE">
        <w:rPr>
          <w:u w:val="single"/>
        </w:rPr>
        <w:t>Αναφορά πιθανολογούμενων ανεπιθύμητων ενεργειών</w:t>
      </w:r>
    </w:p>
    <w:p w:rsidR="002B7F73" w:rsidRPr="00BB06F8" w:rsidRDefault="001C30BE" w:rsidP="002B7F73">
      <w:pPr>
        <w:autoSpaceDE w:val="0"/>
        <w:autoSpaceDN w:val="0"/>
        <w:adjustRightInd w:val="0"/>
        <w:jc w:val="both"/>
        <w:rPr>
          <w:noProof/>
          <w:szCs w:val="22"/>
        </w:rPr>
      </w:pPr>
      <w:r w:rsidRPr="00917AD3">
        <w:t xml:space="preserve">Η αναφορά </w:t>
      </w:r>
      <w:r w:rsidR="003B4BF5" w:rsidRPr="00917AD3">
        <w:rPr>
          <w:szCs w:val="22"/>
        </w:rPr>
        <w:t>πιθανολογούμενων</w:t>
      </w:r>
      <w:r w:rsidRPr="00917AD3">
        <w:t xml:space="preserve"> ανεπιθύμητων ενεργειών μετά </w:t>
      </w:r>
      <w:r w:rsidR="003B4BF5" w:rsidRPr="00917AD3">
        <w:rPr>
          <w:szCs w:val="22"/>
        </w:rPr>
        <w:t>από τη χορήγηση άδειας κυκλοφορίας</w:t>
      </w:r>
      <w:r w:rsidRPr="00917AD3">
        <w:t xml:space="preserve"> του φαρμακευτικού προϊόντος είναι σημαντική. Επιτρέπει τη συνεχή παρακολούθηση της σχέσης οφέλους</w:t>
      </w:r>
      <w:r w:rsidR="003B4BF5" w:rsidRPr="00917AD3">
        <w:rPr>
          <w:szCs w:val="22"/>
        </w:rPr>
        <w:t>-</w:t>
      </w:r>
      <w:r w:rsidRPr="00917AD3">
        <w:t xml:space="preserve">κινδύνου του φαρμακευτικού προϊόντος. </w:t>
      </w:r>
      <w:r w:rsidR="003B4BF5" w:rsidRPr="00917AD3">
        <w:rPr>
          <w:szCs w:val="22"/>
        </w:rPr>
        <w:t xml:space="preserve">Ζητείται από τους </w:t>
      </w:r>
      <w:r w:rsidRPr="00917AD3">
        <w:t xml:space="preserve">επαγγελματίες </w:t>
      </w:r>
      <w:r w:rsidR="003B4BF5" w:rsidRPr="00917AD3">
        <w:rPr>
          <w:szCs w:val="22"/>
        </w:rPr>
        <w:t xml:space="preserve">του τομέα </w:t>
      </w:r>
      <w:r w:rsidRPr="00917AD3">
        <w:t xml:space="preserve">της </w:t>
      </w:r>
      <w:r w:rsidR="003B4BF5" w:rsidRPr="00917AD3">
        <w:rPr>
          <w:szCs w:val="22"/>
        </w:rPr>
        <w:t>υγειονομικής περίθαλψης</w:t>
      </w:r>
      <w:r w:rsidRPr="00917AD3">
        <w:t xml:space="preserve"> να αναφέρουν </w:t>
      </w:r>
      <w:r w:rsidR="003B4BF5" w:rsidRPr="00D75110">
        <w:rPr>
          <w:szCs w:val="22"/>
        </w:rPr>
        <w:t>οποιεσδήποτε πιθανολογούμενες ανεπιθύμητες ενέργειες</w:t>
      </w:r>
      <w:r w:rsidRPr="001C30BE">
        <w:t xml:space="preserve"> </w:t>
      </w:r>
    </w:p>
    <w:p w:rsidR="002B7F73" w:rsidRPr="00BB06F8" w:rsidRDefault="002B7F73" w:rsidP="002B7F73">
      <w:pPr>
        <w:rPr>
          <w:rFonts w:eastAsia="Calibri"/>
          <w:szCs w:val="22"/>
          <w:lang w:eastAsia="zh-CN"/>
        </w:rPr>
      </w:pPr>
      <w:r>
        <w:rPr>
          <w:noProof/>
          <w:szCs w:val="22"/>
        </w:rPr>
        <w:t xml:space="preserve">στον </w:t>
      </w:r>
      <w:r>
        <w:rPr>
          <w:rFonts w:eastAsia="Calibri"/>
          <w:noProof/>
          <w:szCs w:val="22"/>
          <w:lang w:eastAsia="zh-CN"/>
        </w:rPr>
        <w:t>Εθνικό  Οργανισμό</w:t>
      </w:r>
      <w:r w:rsidRPr="00BB06F8">
        <w:rPr>
          <w:rFonts w:eastAsia="Calibri"/>
          <w:noProof/>
          <w:szCs w:val="22"/>
          <w:lang w:eastAsia="zh-CN"/>
        </w:rPr>
        <w:t xml:space="preserve"> Φαρμάκων</w:t>
      </w:r>
      <w:r>
        <w:rPr>
          <w:rFonts w:eastAsia="Calibri"/>
          <w:noProof/>
          <w:szCs w:val="22"/>
          <w:lang w:eastAsia="zh-CN"/>
        </w:rPr>
        <w:t>,</w:t>
      </w:r>
      <w:r w:rsidR="00D200CC" w:rsidRPr="00D200CC">
        <w:rPr>
          <w:rFonts w:eastAsia="Calibri"/>
          <w:noProof/>
          <w:szCs w:val="22"/>
          <w:lang w:eastAsia="zh-CN"/>
        </w:rPr>
        <w:t xml:space="preserve"> </w:t>
      </w:r>
      <w:r w:rsidRPr="00BB06F8">
        <w:rPr>
          <w:rFonts w:eastAsia="Calibri"/>
          <w:noProof/>
          <w:szCs w:val="22"/>
          <w:lang w:eastAsia="zh-CN"/>
        </w:rPr>
        <w:t>Μεσογείων 284</w:t>
      </w:r>
      <w:r>
        <w:rPr>
          <w:rFonts w:eastAsia="Calibri"/>
          <w:noProof/>
          <w:szCs w:val="22"/>
          <w:lang w:eastAsia="zh-CN"/>
        </w:rPr>
        <w:t>,</w:t>
      </w:r>
      <w:r w:rsidRPr="00BB06F8">
        <w:rPr>
          <w:rFonts w:eastAsia="Calibri"/>
          <w:noProof/>
          <w:szCs w:val="22"/>
          <w:lang w:eastAsia="zh-CN"/>
        </w:rPr>
        <w:t>GR</w:t>
      </w:r>
      <w:r w:rsidRPr="00C21A35">
        <w:rPr>
          <w:rFonts w:eastAsia="Calibri"/>
          <w:noProof/>
          <w:szCs w:val="22"/>
          <w:lang w:eastAsia="zh-CN"/>
        </w:rPr>
        <w:t xml:space="preserve">-15562 </w:t>
      </w:r>
      <w:r w:rsidRPr="00BB06F8">
        <w:rPr>
          <w:rFonts w:eastAsia="Calibri"/>
          <w:noProof/>
          <w:szCs w:val="22"/>
          <w:lang w:eastAsia="zh-CN"/>
        </w:rPr>
        <w:t xml:space="preserve">Χολαργός, </w:t>
      </w:r>
      <w:r w:rsidR="00D200CC" w:rsidRPr="00D200CC">
        <w:rPr>
          <w:rFonts w:eastAsia="Calibri"/>
          <w:noProof/>
          <w:szCs w:val="22"/>
          <w:lang w:eastAsia="zh-CN"/>
        </w:rPr>
        <w:t xml:space="preserve"> </w:t>
      </w:r>
      <w:r w:rsidRPr="00BB06F8">
        <w:rPr>
          <w:rFonts w:eastAsia="Calibri"/>
          <w:noProof/>
          <w:szCs w:val="22"/>
          <w:lang w:eastAsia="zh-CN"/>
        </w:rPr>
        <w:t>Αθήνα</w:t>
      </w:r>
      <w:r>
        <w:rPr>
          <w:rFonts w:eastAsia="Calibri"/>
          <w:noProof/>
          <w:szCs w:val="22"/>
          <w:lang w:eastAsia="zh-CN"/>
        </w:rPr>
        <w:t>,</w:t>
      </w:r>
      <w:r w:rsidRPr="00BB06F8">
        <w:rPr>
          <w:rFonts w:eastAsia="Calibri"/>
          <w:noProof/>
          <w:szCs w:val="22"/>
          <w:lang w:eastAsia="zh-CN"/>
        </w:rPr>
        <w:t xml:space="preserve">Τηλ: + </w:t>
      </w:r>
      <w:r w:rsidRPr="00C21A35">
        <w:rPr>
          <w:rFonts w:eastAsia="Calibri"/>
          <w:noProof/>
          <w:szCs w:val="22"/>
          <w:lang w:eastAsia="zh-CN"/>
        </w:rPr>
        <w:t xml:space="preserve">30 </w:t>
      </w:r>
      <w:r w:rsidRPr="00C21A35">
        <w:rPr>
          <w:rFonts w:eastAsia="Calibri"/>
          <w:szCs w:val="22"/>
          <w:lang w:eastAsia="zh-CN"/>
        </w:rPr>
        <w:t>21 32040380/337</w:t>
      </w:r>
      <w:r>
        <w:rPr>
          <w:rFonts w:eastAsia="Calibri"/>
          <w:szCs w:val="22"/>
          <w:lang w:eastAsia="zh-CN"/>
        </w:rPr>
        <w:t>,</w:t>
      </w:r>
      <w:r w:rsidR="00D200CC" w:rsidRPr="00D200CC">
        <w:rPr>
          <w:rFonts w:eastAsia="Calibri"/>
          <w:szCs w:val="22"/>
          <w:lang w:eastAsia="zh-CN"/>
        </w:rPr>
        <w:t xml:space="preserve"> </w:t>
      </w:r>
      <w:r w:rsidRPr="00BB06F8">
        <w:rPr>
          <w:rFonts w:eastAsia="Calibri"/>
          <w:lang w:eastAsia="zh-CN"/>
        </w:rPr>
        <w:t>Φαξ</w:t>
      </w:r>
      <w:r w:rsidRPr="00C21A35">
        <w:rPr>
          <w:rFonts w:eastAsia="Calibri"/>
          <w:noProof/>
          <w:szCs w:val="22"/>
          <w:lang w:eastAsia="zh-CN"/>
        </w:rPr>
        <w:t xml:space="preserve">: + 30 </w:t>
      </w:r>
      <w:r w:rsidRPr="00C21A35">
        <w:rPr>
          <w:rFonts w:eastAsia="Calibri"/>
          <w:szCs w:val="22"/>
          <w:lang w:eastAsia="zh-CN"/>
        </w:rPr>
        <w:t>21 06549585</w:t>
      </w:r>
      <w:r>
        <w:rPr>
          <w:rFonts w:eastAsia="Calibri"/>
          <w:noProof/>
          <w:szCs w:val="22"/>
          <w:lang w:eastAsia="zh-CN"/>
        </w:rPr>
        <w:t>,</w:t>
      </w:r>
      <w:r w:rsidR="00D200CC" w:rsidRPr="00D200CC">
        <w:rPr>
          <w:rFonts w:eastAsia="Calibri"/>
          <w:noProof/>
          <w:szCs w:val="22"/>
          <w:lang w:eastAsia="zh-CN"/>
        </w:rPr>
        <w:t xml:space="preserve"> </w:t>
      </w:r>
      <w:r w:rsidRPr="00BB06F8">
        <w:rPr>
          <w:rFonts w:eastAsia="Calibri"/>
          <w:lang w:eastAsia="zh-CN"/>
        </w:rPr>
        <w:t>Ιστότοπος</w:t>
      </w:r>
      <w:r w:rsidRPr="00BB06F8">
        <w:rPr>
          <w:rFonts w:eastAsia="Calibri"/>
          <w:noProof/>
          <w:szCs w:val="22"/>
          <w:lang w:eastAsia="zh-CN"/>
        </w:rPr>
        <w:t xml:space="preserve">: </w:t>
      </w:r>
      <w:hyperlink r:id="rId9" w:history="1">
        <w:r w:rsidRPr="00BB06F8">
          <w:rPr>
            <w:rFonts w:eastAsia="Calibri"/>
            <w:color w:val="0000FF"/>
            <w:szCs w:val="22"/>
            <w:u w:val="single"/>
            <w:lang w:eastAsia="zh-CN"/>
          </w:rPr>
          <w:t>http://www.eof.gr</w:t>
        </w:r>
      </w:hyperlink>
    </w:p>
    <w:p w:rsidR="00917AD3" w:rsidRDefault="00917AD3">
      <w:pPr>
        <w:rPr>
          <w:i/>
        </w:rPr>
      </w:pPr>
    </w:p>
    <w:p w:rsidR="00917AD3" w:rsidRDefault="001C30BE">
      <w:r w:rsidRPr="001C30BE">
        <w:rPr>
          <w:b/>
        </w:rPr>
        <w:t>4.9</w:t>
      </w:r>
      <w:r w:rsidR="00496809" w:rsidRPr="00D75110">
        <w:rPr>
          <w:b/>
          <w:szCs w:val="22"/>
        </w:rPr>
        <w:tab/>
      </w:r>
      <w:r w:rsidRPr="001C30BE">
        <w:rPr>
          <w:b/>
        </w:rPr>
        <w:t>Υπερδοσολογία</w:t>
      </w:r>
    </w:p>
    <w:p w:rsidR="00496809" w:rsidRPr="00D75110" w:rsidRDefault="00496809" w:rsidP="005453E2">
      <w:pPr>
        <w:rPr>
          <w:szCs w:val="22"/>
        </w:rPr>
      </w:pPr>
    </w:p>
    <w:p w:rsidR="00917AD3" w:rsidRPr="00917AD3" w:rsidRDefault="00EA5C3E">
      <w:pPr>
        <w:pStyle w:val="Default"/>
        <w:rPr>
          <w:color w:val="auto"/>
          <w:lang w:val="el-GR"/>
        </w:rPr>
      </w:pPr>
      <w:r w:rsidRPr="00D75110">
        <w:rPr>
          <w:color w:val="auto"/>
          <w:sz w:val="22"/>
          <w:szCs w:val="22"/>
          <w:lang w:val="el-GR"/>
        </w:rPr>
        <w:t>Οι</w:t>
      </w:r>
      <w:r w:rsidR="001C30BE" w:rsidRPr="001C30BE">
        <w:rPr>
          <w:color w:val="auto"/>
          <w:sz w:val="22"/>
          <w:lang w:val="el-GR"/>
        </w:rPr>
        <w:t xml:space="preserve"> πληροφορίες σχετικά με την οξεία υπερδοσολογία σε ανθρώπους</w:t>
      </w:r>
      <w:r w:rsidRPr="00D75110">
        <w:rPr>
          <w:color w:val="auto"/>
          <w:sz w:val="22"/>
          <w:szCs w:val="22"/>
          <w:lang w:val="el-GR"/>
        </w:rPr>
        <w:t xml:space="preserve"> είναι περιορισμένες</w:t>
      </w:r>
      <w:r w:rsidR="001C30BE" w:rsidRPr="001C30BE">
        <w:rPr>
          <w:color w:val="auto"/>
          <w:sz w:val="22"/>
          <w:lang w:val="el-GR"/>
        </w:rPr>
        <w:t xml:space="preserve">. </w:t>
      </w:r>
      <w:r w:rsidR="001C30BE" w:rsidRPr="001C30BE">
        <w:rPr>
          <w:color w:val="auto"/>
          <w:sz w:val="22"/>
        </w:rPr>
        <w:t>T</w:t>
      </w:r>
      <w:r w:rsidR="001C30BE" w:rsidRPr="001C30BE">
        <w:rPr>
          <w:color w:val="auto"/>
          <w:sz w:val="22"/>
          <w:lang w:val="el-GR"/>
        </w:rPr>
        <w:t xml:space="preserve">α σημεία και τα συμπτώματα αναμένεται να είναι </w:t>
      </w:r>
      <w:r w:rsidR="00042628" w:rsidRPr="00D75110">
        <w:rPr>
          <w:color w:val="auto"/>
          <w:sz w:val="22"/>
          <w:szCs w:val="22"/>
          <w:lang w:val="el-GR"/>
        </w:rPr>
        <w:t>σοβαρή</w:t>
      </w:r>
      <w:r w:rsidR="001C30BE" w:rsidRPr="001C30BE">
        <w:rPr>
          <w:color w:val="auto"/>
          <w:sz w:val="22"/>
          <w:lang w:val="el-GR"/>
        </w:rPr>
        <w:t xml:space="preserve"> κεφαλαλγία, διάρροια, ταχυκαρδία και </w:t>
      </w:r>
      <w:r w:rsidR="00042628" w:rsidRPr="00D75110">
        <w:rPr>
          <w:color w:val="auto"/>
          <w:sz w:val="22"/>
          <w:szCs w:val="22"/>
          <w:lang w:val="el-GR"/>
        </w:rPr>
        <w:t>πιθανώς</w:t>
      </w:r>
      <w:r w:rsidR="001C30BE" w:rsidRPr="001C30BE">
        <w:rPr>
          <w:color w:val="auto"/>
          <w:sz w:val="22"/>
          <w:lang w:val="el-GR"/>
        </w:rPr>
        <w:t xml:space="preserve"> καρδιακές αρρυθμίες</w:t>
      </w:r>
      <w:r w:rsidR="00A71131" w:rsidRPr="00A71131">
        <w:rPr>
          <w:color w:val="auto"/>
          <w:sz w:val="22"/>
          <w:lang w:val="el-GR"/>
        </w:rPr>
        <w:t xml:space="preserve">. </w:t>
      </w:r>
    </w:p>
    <w:p w:rsidR="00E53307" w:rsidRPr="00D75110" w:rsidRDefault="00E53307" w:rsidP="00E53307">
      <w:pPr>
        <w:pStyle w:val="Default"/>
        <w:rPr>
          <w:color w:val="auto"/>
          <w:sz w:val="22"/>
          <w:szCs w:val="22"/>
          <w:lang w:val="el-GR"/>
        </w:rPr>
      </w:pPr>
    </w:p>
    <w:p w:rsidR="00917AD3" w:rsidRDefault="001C30BE">
      <w:pPr>
        <w:pStyle w:val="Default"/>
        <w:rPr>
          <w:sz w:val="22"/>
          <w:lang w:val="el-GR"/>
        </w:rPr>
      </w:pPr>
      <w:r w:rsidRPr="001C30BE">
        <w:rPr>
          <w:color w:val="auto"/>
          <w:sz w:val="22"/>
          <w:lang w:val="el-GR"/>
        </w:rPr>
        <w:t xml:space="preserve">Οι ασθενείς </w:t>
      </w:r>
      <w:r w:rsidR="000E15BC" w:rsidRPr="000E15BC">
        <w:rPr>
          <w:lang w:val="el-GR" w:eastAsia="el-GR"/>
        </w:rPr>
        <w:t xml:space="preserve">θα </w:t>
      </w:r>
      <w:r w:rsidRPr="001C30BE">
        <w:rPr>
          <w:color w:val="auto"/>
          <w:sz w:val="22"/>
          <w:lang w:val="el-GR"/>
        </w:rPr>
        <w:t xml:space="preserve">πρέπει να παρακολουθούνται και να παρέχεται υποστηρικτική αγωγή. </w:t>
      </w:r>
      <w:r w:rsidR="000E15BC" w:rsidRPr="000E15BC">
        <w:rPr>
          <w:lang w:val="el-GR" w:eastAsia="el-GR"/>
        </w:rPr>
        <w:t>Θα</w:t>
      </w:r>
      <w:r w:rsidR="00311B8A">
        <w:rPr>
          <w:lang w:val="el-GR" w:eastAsia="el-GR"/>
        </w:rPr>
        <w:t xml:space="preserve"> </w:t>
      </w:r>
      <w:r w:rsidR="00311B8A">
        <w:rPr>
          <w:color w:val="auto"/>
          <w:sz w:val="22"/>
          <w:szCs w:val="22"/>
          <w:lang w:val="el-GR"/>
        </w:rPr>
        <w:t>π</w:t>
      </w:r>
      <w:r w:rsidR="00AA2287" w:rsidRPr="00D75110">
        <w:rPr>
          <w:color w:val="auto"/>
          <w:sz w:val="22"/>
          <w:szCs w:val="22"/>
          <w:lang w:val="el-GR"/>
        </w:rPr>
        <w:t>ρέπει</w:t>
      </w:r>
      <w:r w:rsidRPr="001C30BE">
        <w:rPr>
          <w:color w:val="auto"/>
          <w:sz w:val="22"/>
          <w:lang w:val="el-GR"/>
        </w:rPr>
        <w:t xml:space="preserve"> να γίνεται κένωση στομάχου με πρόκληση εμέτου ή γαστρική πλύση, όπως είναι κατάλληλο.</w:t>
      </w:r>
      <w:r w:rsidR="00E53307" w:rsidRPr="00D75110">
        <w:rPr>
          <w:color w:val="auto"/>
          <w:sz w:val="22"/>
          <w:szCs w:val="22"/>
          <w:lang w:val="el-GR"/>
        </w:rPr>
        <w:t xml:space="preserve"> </w:t>
      </w:r>
    </w:p>
    <w:p w:rsidR="00917AD3" w:rsidRDefault="00917AD3"/>
    <w:p w:rsidR="00984BC2" w:rsidRDefault="00984BC2"/>
    <w:p w:rsidR="00917AD3" w:rsidRDefault="001C30BE">
      <w:r w:rsidRPr="001C30BE">
        <w:rPr>
          <w:b/>
        </w:rPr>
        <w:t>5.</w:t>
      </w:r>
      <w:r w:rsidR="00496809" w:rsidRPr="00D75110">
        <w:rPr>
          <w:b/>
          <w:szCs w:val="22"/>
        </w:rPr>
        <w:tab/>
      </w:r>
      <w:r w:rsidRPr="001C30BE">
        <w:rPr>
          <w:b/>
        </w:rPr>
        <w:t>ΦΑΡΜΑΚΟΛΟΓΙΚΕΣ ΙΔΙΟΤΗΤΕΣ</w:t>
      </w:r>
    </w:p>
    <w:p w:rsidR="00917AD3" w:rsidRDefault="00917AD3"/>
    <w:p w:rsidR="00917AD3" w:rsidRDefault="001C30BE">
      <w:r w:rsidRPr="001C30BE">
        <w:rPr>
          <w:b/>
        </w:rPr>
        <w:t>5.1</w:t>
      </w:r>
      <w:r w:rsidR="00496809" w:rsidRPr="00D75110">
        <w:rPr>
          <w:b/>
          <w:szCs w:val="22"/>
        </w:rPr>
        <w:tab/>
      </w:r>
      <w:r w:rsidRPr="001C30BE">
        <w:rPr>
          <w:b/>
        </w:rPr>
        <w:t>Φαρμακοδυναμικές ιδιότητες</w:t>
      </w:r>
    </w:p>
    <w:p w:rsidR="00496809" w:rsidRPr="00D75110" w:rsidRDefault="00496809" w:rsidP="005453E2">
      <w:pPr>
        <w:rPr>
          <w:szCs w:val="22"/>
        </w:rPr>
      </w:pPr>
    </w:p>
    <w:p w:rsidR="00917AD3" w:rsidRDefault="001C30BE">
      <w:pPr>
        <w:pStyle w:val="Default"/>
        <w:rPr>
          <w:sz w:val="22"/>
          <w:lang w:val="el-GR"/>
        </w:rPr>
      </w:pPr>
      <w:r w:rsidRPr="001C30BE">
        <w:rPr>
          <w:color w:val="auto"/>
          <w:sz w:val="22"/>
          <w:lang w:val="el-GR"/>
        </w:rPr>
        <w:t xml:space="preserve">Φαρμακοθεραπευτική κατηγορία: Αντιθρομβωτικοί παράγοντες, αναστολέας συσσώρευσης αιμοπεταλίων εκτός ηπαρίνης. </w:t>
      </w:r>
    </w:p>
    <w:p w:rsidR="00E53307" w:rsidRPr="00D75110" w:rsidRDefault="001A79BC" w:rsidP="00E53307">
      <w:pPr>
        <w:pStyle w:val="Default"/>
        <w:rPr>
          <w:color w:val="auto"/>
          <w:sz w:val="22"/>
          <w:szCs w:val="22"/>
          <w:lang w:val="el-GR"/>
        </w:rPr>
      </w:pPr>
      <w:r w:rsidRPr="00D75110">
        <w:rPr>
          <w:color w:val="auto"/>
          <w:sz w:val="22"/>
          <w:szCs w:val="22"/>
          <w:lang w:val="el-GR"/>
        </w:rPr>
        <w:t>Κ</w:t>
      </w:r>
      <w:r w:rsidR="00E53307" w:rsidRPr="00D75110">
        <w:rPr>
          <w:color w:val="auto"/>
          <w:sz w:val="22"/>
          <w:szCs w:val="22"/>
          <w:lang w:val="el-GR"/>
        </w:rPr>
        <w:t xml:space="preserve">ωδικός </w:t>
      </w:r>
      <w:r w:rsidR="00E53307" w:rsidRPr="00D75110">
        <w:rPr>
          <w:color w:val="auto"/>
          <w:sz w:val="22"/>
          <w:szCs w:val="22"/>
        </w:rPr>
        <w:t>ATC</w:t>
      </w:r>
      <w:r w:rsidR="00E53307" w:rsidRPr="00D75110">
        <w:rPr>
          <w:color w:val="auto"/>
          <w:sz w:val="22"/>
          <w:szCs w:val="22"/>
          <w:lang w:val="el-GR"/>
        </w:rPr>
        <w:t xml:space="preserve">: </w:t>
      </w:r>
      <w:r w:rsidR="00E53307" w:rsidRPr="00D75110">
        <w:rPr>
          <w:color w:val="auto"/>
          <w:sz w:val="22"/>
          <w:szCs w:val="22"/>
        </w:rPr>
        <w:t>B</w:t>
      </w:r>
      <w:r w:rsidR="00E53307" w:rsidRPr="00D75110">
        <w:rPr>
          <w:color w:val="auto"/>
          <w:sz w:val="22"/>
          <w:szCs w:val="22"/>
          <w:lang w:val="el-GR"/>
        </w:rPr>
        <w:t>01</w:t>
      </w:r>
      <w:r w:rsidR="00E53307" w:rsidRPr="00D75110">
        <w:rPr>
          <w:color w:val="auto"/>
          <w:sz w:val="22"/>
          <w:szCs w:val="22"/>
        </w:rPr>
        <w:t>AC</w:t>
      </w:r>
      <w:r w:rsidRPr="00D75110">
        <w:rPr>
          <w:color w:val="auto"/>
          <w:sz w:val="22"/>
          <w:szCs w:val="22"/>
          <w:lang w:val="el-GR"/>
        </w:rPr>
        <w:t>23</w:t>
      </w:r>
      <w:r w:rsidR="00E53307" w:rsidRPr="00D75110">
        <w:rPr>
          <w:color w:val="auto"/>
          <w:sz w:val="22"/>
          <w:szCs w:val="22"/>
          <w:lang w:val="el-GR"/>
        </w:rPr>
        <w:t xml:space="preserve"> </w:t>
      </w:r>
    </w:p>
    <w:p w:rsidR="00917AD3" w:rsidRDefault="00917AD3">
      <w:pPr>
        <w:pStyle w:val="Default"/>
        <w:rPr>
          <w:sz w:val="22"/>
          <w:lang w:val="el-GR"/>
        </w:rPr>
      </w:pPr>
    </w:p>
    <w:p w:rsidR="00917AD3" w:rsidRPr="00917AD3" w:rsidRDefault="001C30BE">
      <w:pPr>
        <w:pStyle w:val="Default"/>
        <w:rPr>
          <w:lang w:val="el-GR"/>
        </w:rPr>
      </w:pPr>
      <w:r w:rsidRPr="001C30BE">
        <w:rPr>
          <w:color w:val="auto"/>
          <w:sz w:val="22"/>
          <w:lang w:val="el-GR"/>
        </w:rPr>
        <w:t xml:space="preserve">Από δεδομένα που παρήχθησαν σε εννέα ελεγχόμενες με εικονικό φάρμακο μελέτες (όπου 1.634 ασθενείς εκτέθηκαν σε σιλοσταζόλη), </w:t>
      </w:r>
      <w:r w:rsidR="00D7542D">
        <w:rPr>
          <w:color w:val="auto"/>
          <w:sz w:val="22"/>
          <w:szCs w:val="22"/>
          <w:lang w:val="el-GR"/>
        </w:rPr>
        <w:t>καταδείχθηκε</w:t>
      </w:r>
      <w:r w:rsidRPr="001C30BE">
        <w:rPr>
          <w:color w:val="auto"/>
          <w:sz w:val="22"/>
          <w:lang w:val="el-GR"/>
        </w:rPr>
        <w:t xml:space="preserve"> ότι η σιλοσταζόλη βελτιώνει την ικανότητα άσκησης όπως κρίνεται από τις αλλαγές στην Απόλυτη </w:t>
      </w:r>
      <w:r w:rsidR="001A79BC" w:rsidRPr="00D75110">
        <w:rPr>
          <w:color w:val="auto"/>
          <w:sz w:val="22"/>
          <w:szCs w:val="22"/>
          <w:lang w:val="el-GR"/>
        </w:rPr>
        <w:t>Α</w:t>
      </w:r>
      <w:r w:rsidR="00E53307" w:rsidRPr="00D75110">
        <w:rPr>
          <w:color w:val="auto"/>
          <w:sz w:val="22"/>
          <w:szCs w:val="22"/>
          <w:lang w:val="el-GR"/>
        </w:rPr>
        <w:t xml:space="preserve">πόσταση </w:t>
      </w:r>
      <w:r w:rsidR="001A79BC" w:rsidRPr="00D75110">
        <w:rPr>
          <w:color w:val="auto"/>
          <w:sz w:val="22"/>
          <w:szCs w:val="22"/>
          <w:lang w:val="el-GR"/>
        </w:rPr>
        <w:t>Χ</w:t>
      </w:r>
      <w:r w:rsidR="00E53307" w:rsidRPr="00D75110">
        <w:rPr>
          <w:color w:val="auto"/>
          <w:sz w:val="22"/>
          <w:szCs w:val="22"/>
          <w:lang w:val="el-GR"/>
        </w:rPr>
        <w:t>ωλότητας</w:t>
      </w:r>
      <w:r w:rsidRPr="001C30BE">
        <w:rPr>
          <w:color w:val="auto"/>
          <w:sz w:val="22"/>
          <w:lang w:val="el-GR"/>
        </w:rPr>
        <w:t xml:space="preserve"> (</w:t>
      </w:r>
      <w:r w:rsidRPr="001C30BE">
        <w:rPr>
          <w:color w:val="auto"/>
          <w:sz w:val="22"/>
        </w:rPr>
        <w:t>ACD</w:t>
      </w:r>
      <w:r w:rsidRPr="001C30BE">
        <w:rPr>
          <w:color w:val="auto"/>
          <w:sz w:val="22"/>
          <w:lang w:val="el-GR"/>
        </w:rPr>
        <w:t xml:space="preserve"> ή μέγιστη απόσταση βάδισης) και την Αρχική </w:t>
      </w:r>
      <w:r w:rsidR="001A79BC" w:rsidRPr="00D75110">
        <w:rPr>
          <w:color w:val="auto"/>
          <w:sz w:val="22"/>
          <w:szCs w:val="22"/>
          <w:lang w:val="el-GR"/>
        </w:rPr>
        <w:t>Α</w:t>
      </w:r>
      <w:r w:rsidR="00E53307" w:rsidRPr="00D75110">
        <w:rPr>
          <w:color w:val="auto"/>
          <w:sz w:val="22"/>
          <w:szCs w:val="22"/>
          <w:lang w:val="el-GR"/>
        </w:rPr>
        <w:t xml:space="preserve">πόσταση </w:t>
      </w:r>
      <w:r w:rsidR="001A79BC" w:rsidRPr="00D75110">
        <w:rPr>
          <w:color w:val="auto"/>
          <w:sz w:val="22"/>
          <w:szCs w:val="22"/>
          <w:lang w:val="el-GR"/>
        </w:rPr>
        <w:t>Χ</w:t>
      </w:r>
      <w:r w:rsidR="00E53307" w:rsidRPr="00D75110">
        <w:rPr>
          <w:color w:val="auto"/>
          <w:sz w:val="22"/>
          <w:szCs w:val="22"/>
          <w:lang w:val="el-GR"/>
        </w:rPr>
        <w:t>ωλότητας</w:t>
      </w:r>
      <w:r w:rsidRPr="001C30BE">
        <w:rPr>
          <w:color w:val="auto"/>
          <w:sz w:val="22"/>
          <w:lang w:val="el-GR"/>
        </w:rPr>
        <w:t xml:space="preserve"> (</w:t>
      </w:r>
      <w:r w:rsidRPr="001C30BE">
        <w:rPr>
          <w:color w:val="auto"/>
          <w:sz w:val="22"/>
        </w:rPr>
        <w:t>ICD</w:t>
      </w:r>
      <w:r w:rsidRPr="001C30BE">
        <w:rPr>
          <w:b/>
          <w:color w:val="auto"/>
          <w:sz w:val="22"/>
          <w:lang w:val="el-GR"/>
        </w:rPr>
        <w:t xml:space="preserve">, </w:t>
      </w:r>
      <w:r w:rsidRPr="001C30BE">
        <w:rPr>
          <w:color w:val="auto"/>
          <w:sz w:val="22"/>
          <w:lang w:val="el-GR"/>
        </w:rPr>
        <w:t xml:space="preserve">ή ελεύθερη πόνου απόσταση βάδισης) στη δοκιμασία κόπωσης. Μετά από 24 εβδομάδες θεραπείας, η σιλοσταζόλη 100 </w:t>
      </w:r>
      <w:r w:rsidRPr="001C30BE">
        <w:rPr>
          <w:color w:val="auto"/>
          <w:sz w:val="22"/>
        </w:rPr>
        <w:t>mg</w:t>
      </w:r>
      <w:r w:rsidRPr="001C30BE">
        <w:rPr>
          <w:color w:val="auto"/>
          <w:sz w:val="22"/>
          <w:lang w:val="el-GR"/>
        </w:rPr>
        <w:t xml:space="preserve"> </w:t>
      </w:r>
      <w:r w:rsidR="000F3E15" w:rsidRPr="00D75110">
        <w:rPr>
          <w:color w:val="auto"/>
          <w:sz w:val="22"/>
          <w:szCs w:val="22"/>
          <w:lang w:val="el-GR"/>
        </w:rPr>
        <w:t>δύο φορές</w:t>
      </w:r>
      <w:r w:rsidR="00E53307" w:rsidRPr="00D75110">
        <w:rPr>
          <w:color w:val="auto"/>
          <w:sz w:val="22"/>
          <w:szCs w:val="22"/>
          <w:lang w:val="el-GR"/>
        </w:rPr>
        <w:t xml:space="preserve"> </w:t>
      </w:r>
      <w:r w:rsidR="00C26389" w:rsidRPr="00D75110">
        <w:rPr>
          <w:color w:val="auto"/>
          <w:sz w:val="22"/>
          <w:szCs w:val="22"/>
          <w:lang w:val="el-GR"/>
        </w:rPr>
        <w:t>την ημέρα</w:t>
      </w:r>
      <w:r w:rsidRPr="001C30BE">
        <w:rPr>
          <w:color w:val="auto"/>
          <w:sz w:val="22"/>
          <w:lang w:val="el-GR"/>
        </w:rPr>
        <w:t xml:space="preserve"> αυξάνει τη μέση </w:t>
      </w:r>
      <w:r w:rsidRPr="001C30BE">
        <w:rPr>
          <w:color w:val="auto"/>
          <w:sz w:val="22"/>
        </w:rPr>
        <w:t>ACD</w:t>
      </w:r>
      <w:r w:rsidRPr="001C30BE">
        <w:rPr>
          <w:color w:val="auto"/>
          <w:sz w:val="22"/>
          <w:lang w:val="el-GR"/>
        </w:rPr>
        <w:t xml:space="preserve"> από 60,4 – 129,1 μέτρα, ενώ το εύρος της μέσης </w:t>
      </w:r>
      <w:r w:rsidRPr="001C30BE">
        <w:rPr>
          <w:color w:val="auto"/>
          <w:sz w:val="22"/>
        </w:rPr>
        <w:t>ICD</w:t>
      </w:r>
      <w:r w:rsidRPr="001C30BE">
        <w:rPr>
          <w:color w:val="auto"/>
          <w:sz w:val="22"/>
          <w:lang w:val="el-GR"/>
        </w:rPr>
        <w:t xml:space="preserve"> αυξήθηκε από 47,3 – 93,6 μέτρα</w:t>
      </w:r>
      <w:r w:rsidR="00A71131" w:rsidRPr="00A71131">
        <w:rPr>
          <w:color w:val="auto"/>
          <w:sz w:val="22"/>
          <w:lang w:val="el-GR"/>
        </w:rPr>
        <w:t xml:space="preserve">. </w:t>
      </w:r>
    </w:p>
    <w:p w:rsidR="00984BC2" w:rsidRDefault="00984BC2">
      <w:pPr>
        <w:pStyle w:val="Default"/>
        <w:rPr>
          <w:sz w:val="22"/>
          <w:lang w:val="el-GR"/>
        </w:rPr>
      </w:pPr>
    </w:p>
    <w:p w:rsidR="00917AD3" w:rsidRDefault="001C30BE">
      <w:pPr>
        <w:pStyle w:val="Default"/>
        <w:rPr>
          <w:sz w:val="22"/>
          <w:lang w:val="el-GR"/>
        </w:rPr>
      </w:pPr>
      <w:r w:rsidRPr="001C30BE">
        <w:rPr>
          <w:color w:val="auto"/>
          <w:sz w:val="22"/>
          <w:lang w:val="el-GR"/>
        </w:rPr>
        <w:t xml:space="preserve">Μια </w:t>
      </w:r>
      <w:r w:rsidR="00E53307" w:rsidRPr="00D75110">
        <w:rPr>
          <w:color w:val="auto"/>
          <w:sz w:val="22"/>
          <w:szCs w:val="22"/>
          <w:lang w:val="el-GR"/>
        </w:rPr>
        <w:t>μετα</w:t>
      </w:r>
      <w:r w:rsidR="004277B8">
        <w:rPr>
          <w:color w:val="auto"/>
          <w:sz w:val="22"/>
          <w:szCs w:val="22"/>
          <w:lang w:val="el-GR"/>
        </w:rPr>
        <w:t>-</w:t>
      </w:r>
      <w:r w:rsidR="00E53307" w:rsidRPr="00D75110">
        <w:rPr>
          <w:color w:val="auto"/>
          <w:sz w:val="22"/>
          <w:szCs w:val="22"/>
          <w:lang w:val="el-GR"/>
        </w:rPr>
        <w:t>ανάλυση</w:t>
      </w:r>
      <w:r w:rsidRPr="001C30BE">
        <w:rPr>
          <w:color w:val="auto"/>
          <w:sz w:val="22"/>
          <w:lang w:val="el-GR"/>
        </w:rPr>
        <w:t xml:space="preserve"> που βασίστηκε στις σταθμισμένες μέσες διαφορές στις εννέα μελέτες έδειξε ότι υπήρχε σημαντική απόλυτη συνολική βελτίωση </w:t>
      </w:r>
      <w:r w:rsidR="00495959" w:rsidRPr="00495959">
        <w:rPr>
          <w:lang w:val="el-GR"/>
        </w:rPr>
        <w:t>μετά τη γραμμή αναφοράς</w:t>
      </w:r>
      <w:r w:rsidR="001A79BC" w:rsidRPr="00D75110">
        <w:rPr>
          <w:color w:val="auto"/>
          <w:sz w:val="22"/>
          <w:szCs w:val="22"/>
          <w:lang w:val="el-GR"/>
        </w:rPr>
        <w:t>από την έναρξη της θεραπείας κατά</w:t>
      </w:r>
      <w:r w:rsidRPr="001C30BE">
        <w:rPr>
          <w:color w:val="auto"/>
          <w:sz w:val="22"/>
          <w:lang w:val="el-GR"/>
        </w:rPr>
        <w:t xml:space="preserve"> 42 </w:t>
      </w:r>
      <w:r w:rsidRPr="001C30BE">
        <w:rPr>
          <w:color w:val="auto"/>
          <w:sz w:val="22"/>
        </w:rPr>
        <w:t>m</w:t>
      </w:r>
      <w:r w:rsidRPr="001C30BE">
        <w:rPr>
          <w:color w:val="auto"/>
          <w:sz w:val="22"/>
          <w:lang w:val="el-GR"/>
        </w:rPr>
        <w:t xml:space="preserve"> στη μέγιστη απόσταση βάδισης (</w:t>
      </w:r>
      <w:r w:rsidRPr="001C30BE">
        <w:rPr>
          <w:color w:val="auto"/>
          <w:sz w:val="22"/>
        </w:rPr>
        <w:t>ACD</w:t>
      </w:r>
      <w:r w:rsidRPr="001C30BE">
        <w:rPr>
          <w:color w:val="auto"/>
          <w:sz w:val="22"/>
          <w:lang w:val="el-GR"/>
        </w:rPr>
        <w:t xml:space="preserve">) για </w:t>
      </w:r>
      <w:r w:rsidR="004F0D10">
        <w:rPr>
          <w:color w:val="auto"/>
          <w:sz w:val="22"/>
          <w:szCs w:val="22"/>
          <w:lang w:val="el-GR"/>
        </w:rPr>
        <w:t xml:space="preserve">τη </w:t>
      </w:r>
      <w:r w:rsidRPr="001C30BE">
        <w:rPr>
          <w:color w:val="auto"/>
          <w:sz w:val="22"/>
          <w:lang w:val="el-GR"/>
        </w:rPr>
        <w:t xml:space="preserve">σιλοσταζόλη 100 </w:t>
      </w:r>
      <w:r w:rsidRPr="001C30BE">
        <w:rPr>
          <w:color w:val="auto"/>
          <w:sz w:val="22"/>
        </w:rPr>
        <w:t>mg</w:t>
      </w:r>
      <w:r w:rsidRPr="001C30BE">
        <w:rPr>
          <w:color w:val="auto"/>
          <w:sz w:val="22"/>
          <w:lang w:val="el-GR"/>
        </w:rPr>
        <w:t xml:space="preserve"> </w:t>
      </w:r>
      <w:r w:rsidR="000F3E15" w:rsidRPr="00D75110">
        <w:rPr>
          <w:color w:val="auto"/>
          <w:sz w:val="22"/>
          <w:szCs w:val="22"/>
          <w:lang w:val="el-GR"/>
        </w:rPr>
        <w:t>δύο φορές</w:t>
      </w:r>
      <w:r w:rsidR="00E53307" w:rsidRPr="00D75110">
        <w:rPr>
          <w:color w:val="auto"/>
          <w:sz w:val="22"/>
          <w:szCs w:val="22"/>
          <w:lang w:val="el-GR"/>
        </w:rPr>
        <w:t xml:space="preserve"> </w:t>
      </w:r>
      <w:r w:rsidR="00C26389" w:rsidRPr="00D75110">
        <w:rPr>
          <w:color w:val="auto"/>
          <w:sz w:val="22"/>
          <w:szCs w:val="22"/>
          <w:lang w:val="el-GR"/>
        </w:rPr>
        <w:t>την ημέρα</w:t>
      </w:r>
      <w:r w:rsidRPr="001C30BE">
        <w:rPr>
          <w:color w:val="auto"/>
          <w:sz w:val="22"/>
          <w:lang w:val="el-GR"/>
        </w:rPr>
        <w:t xml:space="preserve"> σε σχέση με τη βελτίωση που παρατηρήθηκε με εικονικό φάρμακο. Αυτό αντιστοιχεί σε μια σχετική βελτίωση 100% σε σχέση με το εικονικό φάρμακο. Η επίδραση φάνηκε μικρότερη σε διαβητικούς σε σχέση με τους μη διαβητικούς</w:t>
      </w:r>
      <w:r w:rsidR="00311B8A">
        <w:rPr>
          <w:color w:val="auto"/>
          <w:sz w:val="22"/>
          <w:lang w:val="el-GR"/>
        </w:rPr>
        <w:t>.</w:t>
      </w:r>
      <w:r w:rsidR="00E53307" w:rsidRPr="00D75110">
        <w:rPr>
          <w:color w:val="auto"/>
          <w:sz w:val="22"/>
          <w:szCs w:val="22"/>
          <w:lang w:val="el-GR"/>
        </w:rPr>
        <w:t xml:space="preserve"> </w:t>
      </w:r>
    </w:p>
    <w:p w:rsidR="00E53307" w:rsidRPr="00D75110" w:rsidRDefault="00E53307" w:rsidP="00E53307">
      <w:pPr>
        <w:pStyle w:val="Default"/>
        <w:rPr>
          <w:color w:val="auto"/>
          <w:sz w:val="22"/>
          <w:lang w:val="el-GR"/>
        </w:rPr>
      </w:pPr>
    </w:p>
    <w:p w:rsidR="00917AD3" w:rsidRDefault="001C30BE">
      <w:pPr>
        <w:pStyle w:val="Default"/>
        <w:rPr>
          <w:sz w:val="22"/>
          <w:lang w:val="el-GR"/>
        </w:rPr>
      </w:pPr>
      <w:r w:rsidRPr="001C30BE">
        <w:rPr>
          <w:color w:val="auto"/>
          <w:sz w:val="22"/>
          <w:lang w:val="el-GR"/>
        </w:rPr>
        <w:t xml:space="preserve">Μελέτες σε ζώα έδειξαν ότι η σιλοσταζόλη έχει αγγειοδιασταλτική δράση και αυτό </w:t>
      </w:r>
      <w:r w:rsidR="007B4720">
        <w:rPr>
          <w:color w:val="auto"/>
          <w:sz w:val="22"/>
          <w:szCs w:val="22"/>
          <w:lang w:val="el-GR"/>
        </w:rPr>
        <w:t>καταδείχθηκε</w:t>
      </w:r>
      <w:r w:rsidRPr="001C30BE">
        <w:rPr>
          <w:color w:val="auto"/>
          <w:sz w:val="22"/>
          <w:lang w:val="el-GR"/>
        </w:rPr>
        <w:t xml:space="preserve"> σε μικρότερες μελέτες στον άνθρωπο όπου η ροή του αίματος στον αστράγαλο </w:t>
      </w:r>
      <w:r w:rsidRPr="001C30BE">
        <w:rPr>
          <w:sz w:val="22"/>
          <w:lang w:val="el-GR"/>
        </w:rPr>
        <w:t xml:space="preserve">μετρήθηκε με πληθυσμογραφία </w:t>
      </w:r>
      <w:r w:rsidR="00495959" w:rsidRPr="00B10B6B">
        <w:rPr>
          <w:lang w:val="el-GR"/>
        </w:rPr>
        <w:t xml:space="preserve">τύπου </w:t>
      </w:r>
      <w:r w:rsidRPr="001C30BE">
        <w:rPr>
          <w:sz w:val="22"/>
          <w:lang w:val="el-GR"/>
        </w:rPr>
        <w:t xml:space="preserve">strain </w:t>
      </w:r>
      <w:r w:rsidR="00495959" w:rsidRPr="00B10B6B">
        <w:t>gauge</w:t>
      </w:r>
      <w:r w:rsidR="00311B8A">
        <w:rPr>
          <w:lang w:val="el-GR"/>
        </w:rPr>
        <w:t>.</w:t>
      </w:r>
      <w:r w:rsidR="00495959" w:rsidRPr="00B10B6B">
        <w:rPr>
          <w:lang w:val="el-GR"/>
        </w:rPr>
        <w:t xml:space="preserve"> </w:t>
      </w:r>
      <w:r w:rsidRPr="001C30BE">
        <w:rPr>
          <w:color w:val="auto"/>
          <w:sz w:val="22"/>
          <w:lang w:val="el-GR"/>
        </w:rPr>
        <w:t xml:space="preserve">Η σιλοσταζόλη αναστέλλει επίσης τον πολλαπλασιασμό των λείων μυϊκών κυττάρων σε </w:t>
      </w:r>
      <w:r w:rsidR="00C7001A">
        <w:rPr>
          <w:color w:val="auto"/>
          <w:sz w:val="22"/>
          <w:szCs w:val="22"/>
          <w:lang w:val="el-GR"/>
        </w:rPr>
        <w:t>αρουραίους</w:t>
      </w:r>
      <w:r w:rsidR="00C7001A" w:rsidRPr="00D75110">
        <w:rPr>
          <w:color w:val="auto"/>
          <w:sz w:val="22"/>
          <w:szCs w:val="22"/>
          <w:lang w:val="el-GR"/>
        </w:rPr>
        <w:t xml:space="preserve"> </w:t>
      </w:r>
      <w:r w:rsidR="007A077C" w:rsidRPr="00D75110">
        <w:rPr>
          <w:color w:val="auto"/>
          <w:sz w:val="22"/>
          <w:szCs w:val="22"/>
          <w:lang w:val="el-GR"/>
        </w:rPr>
        <w:t xml:space="preserve">και </w:t>
      </w:r>
      <w:r w:rsidR="00E53307" w:rsidRPr="00D75110">
        <w:rPr>
          <w:color w:val="auto"/>
          <w:sz w:val="22"/>
          <w:szCs w:val="22"/>
          <w:lang w:val="el-GR"/>
        </w:rPr>
        <w:t xml:space="preserve">σε </w:t>
      </w:r>
      <w:r w:rsidR="007A077C" w:rsidRPr="00D75110">
        <w:rPr>
          <w:color w:val="auto"/>
          <w:sz w:val="22"/>
          <w:szCs w:val="22"/>
          <w:lang w:val="el-GR"/>
        </w:rPr>
        <w:t xml:space="preserve">ανθρώπινα </w:t>
      </w:r>
      <w:r w:rsidRPr="001C30BE">
        <w:rPr>
          <w:color w:val="auto"/>
          <w:sz w:val="22"/>
          <w:lang w:val="el-GR"/>
        </w:rPr>
        <w:t xml:space="preserve">κύτταρα λείων μυών </w:t>
      </w:r>
      <w:r w:rsidRPr="001C30BE">
        <w:rPr>
          <w:i/>
          <w:color w:val="auto"/>
          <w:sz w:val="22"/>
        </w:rPr>
        <w:t>in</w:t>
      </w:r>
      <w:r w:rsidRPr="001C30BE">
        <w:rPr>
          <w:i/>
          <w:color w:val="auto"/>
          <w:sz w:val="22"/>
          <w:lang w:val="el-GR"/>
        </w:rPr>
        <w:t xml:space="preserve"> </w:t>
      </w:r>
      <w:r w:rsidRPr="001C30BE">
        <w:rPr>
          <w:i/>
          <w:color w:val="auto"/>
          <w:sz w:val="22"/>
        </w:rPr>
        <w:t>vitro</w:t>
      </w:r>
      <w:r w:rsidRPr="001C30BE">
        <w:rPr>
          <w:color w:val="auto"/>
          <w:sz w:val="22"/>
          <w:lang w:val="el-GR"/>
        </w:rPr>
        <w:t xml:space="preserve">, και αναστέλλει την αντίδραση </w:t>
      </w:r>
      <w:r w:rsidR="007A077C" w:rsidRPr="00D75110">
        <w:rPr>
          <w:color w:val="auto"/>
          <w:sz w:val="22"/>
          <w:szCs w:val="22"/>
          <w:lang w:val="el-GR"/>
        </w:rPr>
        <w:t xml:space="preserve">απελευθέρωσης από τα αιμοπετάλια </w:t>
      </w:r>
      <w:r w:rsidR="00C7001A">
        <w:rPr>
          <w:color w:val="auto"/>
          <w:sz w:val="22"/>
          <w:szCs w:val="22"/>
          <w:lang w:val="el-GR"/>
        </w:rPr>
        <w:t>του</w:t>
      </w:r>
      <w:r w:rsidRPr="001C30BE">
        <w:rPr>
          <w:color w:val="auto"/>
          <w:sz w:val="22"/>
          <w:lang w:val="el-GR"/>
        </w:rPr>
        <w:t xml:space="preserve"> αυξητικού παράγοντα που </w:t>
      </w:r>
      <w:r w:rsidR="00CD051C">
        <w:rPr>
          <w:color w:val="auto"/>
          <w:sz w:val="22"/>
          <w:szCs w:val="22"/>
          <w:lang w:val="el-GR"/>
        </w:rPr>
        <w:t>προέρχεται</w:t>
      </w:r>
      <w:r w:rsidRPr="001C30BE">
        <w:rPr>
          <w:color w:val="auto"/>
          <w:sz w:val="22"/>
          <w:lang w:val="el-GR"/>
        </w:rPr>
        <w:t xml:space="preserve"> από τα αιμοπετάλια και </w:t>
      </w:r>
      <w:r w:rsidR="007A077C" w:rsidRPr="00D75110">
        <w:rPr>
          <w:color w:val="auto"/>
          <w:sz w:val="22"/>
          <w:szCs w:val="22"/>
          <w:lang w:val="el-GR"/>
        </w:rPr>
        <w:t xml:space="preserve">του </w:t>
      </w:r>
      <w:r w:rsidRPr="001C30BE">
        <w:rPr>
          <w:color w:val="auto"/>
          <w:sz w:val="22"/>
        </w:rPr>
        <w:t>PF</w:t>
      </w:r>
      <w:r w:rsidRPr="001C30BE">
        <w:rPr>
          <w:color w:val="auto"/>
          <w:sz w:val="22"/>
          <w:lang w:val="el-GR"/>
        </w:rPr>
        <w:t>-4 σε ανθρώπινα αιμοπετάλια.</w:t>
      </w:r>
      <w:r w:rsidR="00E53307" w:rsidRPr="00D75110">
        <w:rPr>
          <w:color w:val="auto"/>
          <w:sz w:val="22"/>
          <w:szCs w:val="22"/>
          <w:lang w:val="el-GR"/>
        </w:rPr>
        <w:t xml:space="preserve"> </w:t>
      </w:r>
    </w:p>
    <w:p w:rsidR="00984BC2" w:rsidRDefault="00984BC2">
      <w:pPr>
        <w:pStyle w:val="Default"/>
        <w:rPr>
          <w:sz w:val="22"/>
          <w:lang w:val="el-GR"/>
        </w:rPr>
      </w:pPr>
    </w:p>
    <w:p w:rsidR="00917AD3" w:rsidRPr="002E23B6" w:rsidRDefault="001C30BE" w:rsidP="002E23B6">
      <w:pPr>
        <w:pStyle w:val="CM12"/>
        <w:spacing w:line="198" w:lineRule="atLeast"/>
        <w:jc w:val="both"/>
        <w:rPr>
          <w:rFonts w:ascii="Times New Roman" w:hAnsi="Times New Roman"/>
          <w:sz w:val="22"/>
          <w:szCs w:val="22"/>
          <w:lang w:val="el-GR"/>
        </w:rPr>
      </w:pPr>
      <w:r w:rsidRPr="002E23B6">
        <w:rPr>
          <w:rFonts w:ascii="Times New Roman" w:hAnsi="Times New Roman"/>
          <w:sz w:val="22"/>
          <w:szCs w:val="22"/>
          <w:lang w:val="el-GR"/>
        </w:rPr>
        <w:t>Οι μελέτες σε ζώα και στον άνθρωπο (</w:t>
      </w:r>
      <w:r w:rsidRPr="002E23B6">
        <w:rPr>
          <w:rFonts w:ascii="Times New Roman" w:hAnsi="Times New Roman"/>
          <w:i/>
          <w:sz w:val="22"/>
          <w:szCs w:val="22"/>
        </w:rPr>
        <w:t>in</w:t>
      </w:r>
      <w:r w:rsidRPr="002E23B6">
        <w:rPr>
          <w:rFonts w:ascii="Times New Roman" w:hAnsi="Times New Roman"/>
          <w:i/>
          <w:sz w:val="22"/>
          <w:szCs w:val="22"/>
          <w:lang w:val="el-GR"/>
        </w:rPr>
        <w:t xml:space="preserve"> </w:t>
      </w:r>
      <w:r w:rsidRPr="002E23B6">
        <w:rPr>
          <w:rFonts w:ascii="Times New Roman" w:hAnsi="Times New Roman"/>
          <w:i/>
          <w:sz w:val="22"/>
          <w:szCs w:val="22"/>
        </w:rPr>
        <w:t>vivo</w:t>
      </w:r>
      <w:r w:rsidRPr="002E23B6">
        <w:rPr>
          <w:rFonts w:ascii="Times New Roman" w:hAnsi="Times New Roman"/>
          <w:i/>
          <w:sz w:val="22"/>
          <w:szCs w:val="22"/>
          <w:lang w:val="el-GR"/>
        </w:rPr>
        <w:t xml:space="preserve"> </w:t>
      </w:r>
      <w:r w:rsidRPr="002E23B6">
        <w:rPr>
          <w:rFonts w:ascii="Times New Roman" w:hAnsi="Times New Roman"/>
          <w:sz w:val="22"/>
          <w:szCs w:val="22"/>
          <w:lang w:val="el-GR"/>
        </w:rPr>
        <w:t xml:space="preserve">και </w:t>
      </w:r>
      <w:r w:rsidRPr="002E23B6">
        <w:rPr>
          <w:rFonts w:ascii="Times New Roman" w:hAnsi="Times New Roman"/>
          <w:i/>
          <w:sz w:val="22"/>
          <w:szCs w:val="22"/>
        </w:rPr>
        <w:t>ex</w:t>
      </w:r>
      <w:r w:rsidRPr="002E23B6">
        <w:rPr>
          <w:rFonts w:ascii="Times New Roman" w:hAnsi="Times New Roman"/>
          <w:i/>
          <w:sz w:val="22"/>
          <w:szCs w:val="22"/>
          <w:lang w:val="el-GR"/>
        </w:rPr>
        <w:t xml:space="preserve"> </w:t>
      </w:r>
      <w:r w:rsidRPr="002E23B6">
        <w:rPr>
          <w:rFonts w:ascii="Times New Roman" w:hAnsi="Times New Roman"/>
          <w:i/>
          <w:sz w:val="22"/>
          <w:szCs w:val="22"/>
        </w:rPr>
        <w:t>vivo</w:t>
      </w:r>
      <w:r w:rsidRPr="002E23B6">
        <w:rPr>
          <w:rFonts w:ascii="Times New Roman" w:hAnsi="Times New Roman"/>
          <w:sz w:val="22"/>
          <w:szCs w:val="22"/>
          <w:lang w:val="el-GR"/>
        </w:rPr>
        <w:t xml:space="preserve">) έδειξαν ότι η σιλοσταζόλη προκαλεί αναστρέψιμη αναστολή της συσσώρευσης αιμοπεταλίων. Η αναστολή είναι αποτελεσματική έναντι ενός εύρους παραγόντων συσσώρευσης (περιλαμβανομένης </w:t>
      </w:r>
      <w:r w:rsidR="007A077C" w:rsidRPr="002E23B6">
        <w:rPr>
          <w:rFonts w:ascii="Times New Roman" w:hAnsi="Times New Roman"/>
          <w:sz w:val="22"/>
          <w:szCs w:val="22"/>
          <w:lang w:val="el-GR"/>
        </w:rPr>
        <w:t xml:space="preserve">της </w:t>
      </w:r>
      <w:r w:rsidRPr="002E23B6">
        <w:rPr>
          <w:rFonts w:ascii="Times New Roman" w:hAnsi="Times New Roman"/>
          <w:sz w:val="22"/>
          <w:szCs w:val="22"/>
          <w:lang w:val="el-GR"/>
        </w:rPr>
        <w:t xml:space="preserve">διατμητικής τάσης, </w:t>
      </w:r>
      <w:r w:rsidR="007A077C" w:rsidRPr="002E23B6">
        <w:rPr>
          <w:rFonts w:ascii="Times New Roman" w:hAnsi="Times New Roman"/>
          <w:sz w:val="22"/>
          <w:szCs w:val="22"/>
          <w:lang w:val="el-GR"/>
        </w:rPr>
        <w:t xml:space="preserve">του </w:t>
      </w:r>
      <w:r w:rsidRPr="002E23B6">
        <w:rPr>
          <w:rFonts w:ascii="Times New Roman" w:hAnsi="Times New Roman"/>
          <w:sz w:val="22"/>
          <w:szCs w:val="22"/>
          <w:lang w:val="el-GR"/>
        </w:rPr>
        <w:t xml:space="preserve">αραχιδονικού οξέος, </w:t>
      </w:r>
      <w:r w:rsidR="007A077C" w:rsidRPr="002E23B6">
        <w:rPr>
          <w:rFonts w:ascii="Times New Roman" w:hAnsi="Times New Roman"/>
          <w:sz w:val="22"/>
          <w:szCs w:val="22"/>
          <w:lang w:val="el-GR"/>
        </w:rPr>
        <w:t xml:space="preserve">του </w:t>
      </w:r>
      <w:r w:rsidRPr="002E23B6">
        <w:rPr>
          <w:rFonts w:ascii="Times New Roman" w:hAnsi="Times New Roman"/>
          <w:sz w:val="22"/>
          <w:szCs w:val="22"/>
          <w:lang w:val="el-GR"/>
        </w:rPr>
        <w:t xml:space="preserve">κολλαγόνου, </w:t>
      </w:r>
      <w:r w:rsidR="007A077C" w:rsidRPr="002E23B6">
        <w:rPr>
          <w:rFonts w:ascii="Times New Roman" w:hAnsi="Times New Roman"/>
          <w:sz w:val="22"/>
          <w:szCs w:val="22"/>
          <w:lang w:val="el-GR"/>
        </w:rPr>
        <w:t xml:space="preserve">της </w:t>
      </w:r>
      <w:r w:rsidRPr="002E23B6">
        <w:rPr>
          <w:rFonts w:ascii="Times New Roman" w:hAnsi="Times New Roman"/>
          <w:sz w:val="22"/>
          <w:szCs w:val="22"/>
        </w:rPr>
        <w:t>ADP</w:t>
      </w:r>
      <w:r w:rsidRPr="002E23B6">
        <w:rPr>
          <w:rFonts w:ascii="Times New Roman" w:hAnsi="Times New Roman"/>
          <w:sz w:val="22"/>
          <w:szCs w:val="22"/>
          <w:lang w:val="el-GR"/>
        </w:rPr>
        <w:t xml:space="preserve"> και </w:t>
      </w:r>
      <w:r w:rsidR="007A077C" w:rsidRPr="002E23B6">
        <w:rPr>
          <w:rFonts w:ascii="Times New Roman" w:hAnsi="Times New Roman"/>
          <w:sz w:val="22"/>
          <w:szCs w:val="22"/>
          <w:lang w:val="el-GR"/>
        </w:rPr>
        <w:t xml:space="preserve">της </w:t>
      </w:r>
      <w:r w:rsidRPr="002E23B6">
        <w:rPr>
          <w:rFonts w:ascii="Times New Roman" w:hAnsi="Times New Roman"/>
          <w:sz w:val="22"/>
          <w:szCs w:val="22"/>
          <w:lang w:val="el-GR"/>
        </w:rPr>
        <w:t>αδρεναλίνης</w:t>
      </w:r>
      <w:r w:rsidR="00B10B6B" w:rsidRPr="002E23B6">
        <w:rPr>
          <w:rFonts w:ascii="Times New Roman" w:hAnsi="Times New Roman"/>
          <w:sz w:val="22"/>
          <w:szCs w:val="22"/>
          <w:lang w:val="el-GR"/>
        </w:rPr>
        <w:t>),στον</w:t>
      </w:r>
      <w:r w:rsidRPr="002E23B6">
        <w:rPr>
          <w:rFonts w:ascii="Times New Roman" w:hAnsi="Times New Roman"/>
          <w:sz w:val="22"/>
          <w:szCs w:val="22"/>
          <w:lang w:val="el-GR"/>
        </w:rPr>
        <w:t xml:space="preserve"> άνθρωπο η αναστολή διαρκεί για έως </w:t>
      </w:r>
      <w:r w:rsidR="005A18D3" w:rsidRPr="002E23B6">
        <w:rPr>
          <w:rFonts w:ascii="Times New Roman" w:hAnsi="Times New Roman"/>
          <w:sz w:val="22"/>
          <w:szCs w:val="22"/>
          <w:lang w:val="el-GR"/>
        </w:rPr>
        <w:t xml:space="preserve">και </w:t>
      </w:r>
      <w:r w:rsidRPr="002E23B6">
        <w:rPr>
          <w:rFonts w:ascii="Times New Roman" w:hAnsi="Times New Roman"/>
          <w:sz w:val="22"/>
          <w:szCs w:val="22"/>
          <w:lang w:val="el-GR"/>
        </w:rPr>
        <w:t xml:space="preserve">12 ώρες και σε διακοπή της χορήγησης σιλοσταζόλης η </w:t>
      </w:r>
      <w:r w:rsidR="007A077C" w:rsidRPr="002E23B6">
        <w:rPr>
          <w:rFonts w:ascii="Times New Roman" w:hAnsi="Times New Roman"/>
          <w:sz w:val="22"/>
          <w:szCs w:val="22"/>
          <w:lang w:val="el-GR"/>
        </w:rPr>
        <w:t>αποκατάσταση</w:t>
      </w:r>
      <w:r w:rsidRPr="002E23B6">
        <w:rPr>
          <w:rFonts w:ascii="Times New Roman" w:hAnsi="Times New Roman"/>
          <w:sz w:val="22"/>
          <w:szCs w:val="22"/>
          <w:lang w:val="el-GR"/>
        </w:rPr>
        <w:t xml:space="preserve"> της συσσώρευσης συμβαίνει εντός 48-96 ωρών, χωρίς υπερσυσσώρευση λόγω αναπήδησης (</w:t>
      </w:r>
      <w:r w:rsidRPr="002E23B6">
        <w:rPr>
          <w:rFonts w:ascii="Times New Roman" w:hAnsi="Times New Roman"/>
          <w:sz w:val="22"/>
          <w:szCs w:val="22"/>
        </w:rPr>
        <w:t>rebound</w:t>
      </w:r>
      <w:r w:rsidRPr="002E23B6">
        <w:rPr>
          <w:rFonts w:ascii="Times New Roman" w:hAnsi="Times New Roman"/>
          <w:sz w:val="22"/>
          <w:szCs w:val="22"/>
          <w:lang w:val="el-GR"/>
        </w:rPr>
        <w:t xml:space="preserve">). Οι επιδράσεις στα κυκλοφορούντα λιπίδια πλάσματος εξετάστηκαν σε ασθενείς που λαμβάνουν </w:t>
      </w:r>
      <w:r w:rsidR="007A077C" w:rsidRPr="002E23B6">
        <w:rPr>
          <w:rFonts w:ascii="Times New Roman" w:hAnsi="Times New Roman"/>
          <w:sz w:val="22"/>
          <w:szCs w:val="22"/>
        </w:rPr>
        <w:t>Cilostazole</w:t>
      </w:r>
      <w:r w:rsidR="007A077C" w:rsidRPr="002E23B6">
        <w:rPr>
          <w:rFonts w:ascii="Times New Roman" w:hAnsi="Times New Roman"/>
          <w:sz w:val="22"/>
          <w:szCs w:val="22"/>
          <w:lang w:val="el-GR"/>
        </w:rPr>
        <w:t xml:space="preserve"> </w:t>
      </w:r>
      <w:r w:rsidR="007A077C" w:rsidRPr="002E23B6">
        <w:rPr>
          <w:rFonts w:ascii="Times New Roman" w:hAnsi="Times New Roman"/>
          <w:sz w:val="22"/>
          <w:szCs w:val="22"/>
        </w:rPr>
        <w:t>Galenica</w:t>
      </w:r>
      <w:r w:rsidR="00E53307" w:rsidRPr="002E23B6">
        <w:rPr>
          <w:rFonts w:ascii="Times New Roman" w:hAnsi="Times New Roman"/>
          <w:sz w:val="22"/>
          <w:szCs w:val="22"/>
          <w:lang w:val="el-GR"/>
        </w:rPr>
        <w:t>.</w:t>
      </w:r>
      <w:r w:rsidRPr="002E23B6">
        <w:rPr>
          <w:rFonts w:ascii="Times New Roman" w:hAnsi="Times New Roman"/>
          <w:sz w:val="22"/>
          <w:szCs w:val="22"/>
          <w:lang w:val="el-GR"/>
        </w:rPr>
        <w:t xml:space="preserve"> </w:t>
      </w:r>
      <w:r w:rsidRPr="002E23B6">
        <w:rPr>
          <w:rFonts w:ascii="Times New Roman" w:hAnsi="Times New Roman"/>
          <w:sz w:val="22"/>
          <w:szCs w:val="22"/>
          <w:lang w:val="el-GR"/>
        </w:rPr>
        <w:lastRenderedPageBreak/>
        <w:t xml:space="preserve">Μετά από 12 εβδομάδες, σε σύγκριση με το εικονικό φάρμακο, το </w:t>
      </w:r>
      <w:r w:rsidR="007A077C" w:rsidRPr="002E23B6">
        <w:rPr>
          <w:rFonts w:ascii="Times New Roman" w:hAnsi="Times New Roman"/>
          <w:sz w:val="22"/>
          <w:szCs w:val="22"/>
        </w:rPr>
        <w:t>Cilostazole</w:t>
      </w:r>
      <w:r w:rsidR="007A077C" w:rsidRPr="002E23B6">
        <w:rPr>
          <w:rFonts w:ascii="Times New Roman" w:hAnsi="Times New Roman"/>
          <w:sz w:val="22"/>
          <w:szCs w:val="22"/>
          <w:lang w:val="el-GR"/>
        </w:rPr>
        <w:t xml:space="preserve"> </w:t>
      </w:r>
      <w:r w:rsidR="007A077C" w:rsidRPr="002E23B6">
        <w:rPr>
          <w:rFonts w:ascii="Times New Roman" w:hAnsi="Times New Roman"/>
          <w:sz w:val="22"/>
          <w:szCs w:val="22"/>
        </w:rPr>
        <w:t>Galenica</w:t>
      </w:r>
      <w:r w:rsidRPr="002E23B6">
        <w:rPr>
          <w:rFonts w:ascii="Times New Roman" w:hAnsi="Times New Roman"/>
          <w:sz w:val="22"/>
          <w:szCs w:val="22"/>
          <w:lang w:val="el-GR"/>
        </w:rPr>
        <w:t xml:space="preserve"> 100 </w:t>
      </w:r>
      <w:r w:rsidRPr="002E23B6">
        <w:rPr>
          <w:rFonts w:ascii="Times New Roman" w:hAnsi="Times New Roman"/>
          <w:sz w:val="22"/>
          <w:szCs w:val="22"/>
        </w:rPr>
        <w:t>mg</w:t>
      </w:r>
      <w:r w:rsidRPr="002E23B6">
        <w:rPr>
          <w:rFonts w:ascii="Times New Roman" w:hAnsi="Times New Roman"/>
          <w:sz w:val="22"/>
          <w:szCs w:val="22"/>
          <w:lang w:val="el-GR"/>
        </w:rPr>
        <w:t xml:space="preserve"> </w:t>
      </w:r>
      <w:r w:rsidR="000F3E15" w:rsidRPr="002E23B6">
        <w:rPr>
          <w:rFonts w:ascii="Times New Roman" w:hAnsi="Times New Roman"/>
          <w:sz w:val="22"/>
          <w:szCs w:val="22"/>
          <w:lang w:val="el-GR"/>
        </w:rPr>
        <w:t>δύο φορές</w:t>
      </w:r>
      <w:r w:rsidR="00E53307" w:rsidRPr="002E23B6">
        <w:rPr>
          <w:rFonts w:ascii="Times New Roman" w:hAnsi="Times New Roman"/>
          <w:sz w:val="22"/>
          <w:szCs w:val="22"/>
          <w:lang w:val="el-GR"/>
        </w:rPr>
        <w:t xml:space="preserve"> </w:t>
      </w:r>
      <w:r w:rsidR="00C26389" w:rsidRPr="002E23B6">
        <w:rPr>
          <w:rFonts w:ascii="Times New Roman" w:hAnsi="Times New Roman"/>
          <w:sz w:val="22"/>
          <w:szCs w:val="22"/>
          <w:lang w:val="el-GR"/>
        </w:rPr>
        <w:t>την ημέρα</w:t>
      </w:r>
      <w:r w:rsidRPr="002E23B6">
        <w:rPr>
          <w:rFonts w:ascii="Times New Roman" w:hAnsi="Times New Roman"/>
          <w:sz w:val="22"/>
          <w:szCs w:val="22"/>
          <w:lang w:val="el-GR"/>
        </w:rPr>
        <w:t xml:space="preserve"> οδήγησε σε μείωση </w:t>
      </w:r>
      <w:r w:rsidR="005A18D3" w:rsidRPr="002E23B6">
        <w:rPr>
          <w:rFonts w:ascii="Times New Roman" w:hAnsi="Times New Roman"/>
          <w:sz w:val="22"/>
          <w:szCs w:val="22"/>
          <w:lang w:val="el-GR"/>
        </w:rPr>
        <w:t xml:space="preserve">των </w:t>
      </w:r>
      <w:r w:rsidRPr="002E23B6">
        <w:rPr>
          <w:rFonts w:ascii="Times New Roman" w:hAnsi="Times New Roman"/>
          <w:sz w:val="22"/>
          <w:szCs w:val="22"/>
          <w:lang w:val="el-GR"/>
        </w:rPr>
        <w:t xml:space="preserve">τριγλυκεριδίων </w:t>
      </w:r>
      <w:r w:rsidR="007A077C" w:rsidRPr="002E23B6">
        <w:rPr>
          <w:rFonts w:ascii="Times New Roman" w:hAnsi="Times New Roman"/>
          <w:sz w:val="22"/>
          <w:szCs w:val="22"/>
          <w:lang w:val="el-GR"/>
        </w:rPr>
        <w:t xml:space="preserve">κατά </w:t>
      </w:r>
      <w:r w:rsidRPr="002E23B6">
        <w:rPr>
          <w:rFonts w:ascii="Times New Roman" w:hAnsi="Times New Roman"/>
          <w:sz w:val="22"/>
          <w:szCs w:val="22"/>
          <w:lang w:val="el-GR"/>
        </w:rPr>
        <w:t xml:space="preserve">0,33 </w:t>
      </w:r>
      <w:r w:rsidRPr="002E23B6">
        <w:rPr>
          <w:rFonts w:ascii="Times New Roman" w:hAnsi="Times New Roman"/>
          <w:sz w:val="22"/>
          <w:szCs w:val="22"/>
        </w:rPr>
        <w:t>mmol</w:t>
      </w:r>
      <w:r w:rsidRPr="002E23B6">
        <w:rPr>
          <w:rFonts w:ascii="Times New Roman" w:hAnsi="Times New Roman"/>
          <w:sz w:val="22"/>
          <w:szCs w:val="22"/>
          <w:lang w:val="el-GR"/>
        </w:rPr>
        <w:t>/</w:t>
      </w:r>
      <w:r w:rsidRPr="002E23B6">
        <w:rPr>
          <w:rFonts w:ascii="Times New Roman" w:hAnsi="Times New Roman"/>
          <w:sz w:val="22"/>
          <w:szCs w:val="22"/>
        </w:rPr>
        <w:t>l</w:t>
      </w:r>
      <w:r w:rsidRPr="002E23B6">
        <w:rPr>
          <w:rFonts w:ascii="Times New Roman" w:hAnsi="Times New Roman"/>
          <w:sz w:val="22"/>
          <w:szCs w:val="22"/>
          <w:lang w:val="el-GR"/>
        </w:rPr>
        <w:t xml:space="preserve"> (15%) και αύξηση </w:t>
      </w:r>
      <w:r w:rsidR="005A18D3" w:rsidRPr="002E23B6">
        <w:rPr>
          <w:rFonts w:ascii="Times New Roman" w:hAnsi="Times New Roman"/>
          <w:sz w:val="22"/>
          <w:szCs w:val="22"/>
          <w:lang w:val="el-GR"/>
        </w:rPr>
        <w:t>της</w:t>
      </w:r>
      <w:r w:rsidRPr="002E23B6">
        <w:rPr>
          <w:rFonts w:ascii="Times New Roman" w:hAnsi="Times New Roman"/>
          <w:sz w:val="22"/>
          <w:szCs w:val="22"/>
          <w:lang w:val="el-GR"/>
        </w:rPr>
        <w:t xml:space="preserve"> </w:t>
      </w:r>
      <w:r w:rsidRPr="002E23B6">
        <w:rPr>
          <w:rFonts w:ascii="Times New Roman" w:hAnsi="Times New Roman"/>
          <w:sz w:val="22"/>
          <w:szCs w:val="22"/>
        </w:rPr>
        <w:t>HDL</w:t>
      </w:r>
      <w:r w:rsidRPr="002E23B6">
        <w:rPr>
          <w:rFonts w:ascii="Times New Roman" w:hAnsi="Times New Roman"/>
          <w:sz w:val="22"/>
          <w:szCs w:val="22"/>
          <w:lang w:val="el-GR"/>
        </w:rPr>
        <w:t>-</w:t>
      </w:r>
      <w:r w:rsidR="00E53307" w:rsidRPr="002E23B6">
        <w:rPr>
          <w:rFonts w:ascii="Times New Roman" w:hAnsi="Times New Roman"/>
          <w:sz w:val="22"/>
          <w:szCs w:val="22"/>
          <w:lang w:val="el-GR"/>
        </w:rPr>
        <w:t>χοληστερόλη</w:t>
      </w:r>
      <w:r w:rsidR="005A18D3" w:rsidRPr="002E23B6">
        <w:rPr>
          <w:rFonts w:ascii="Times New Roman" w:hAnsi="Times New Roman"/>
          <w:sz w:val="22"/>
          <w:szCs w:val="22"/>
          <w:lang w:val="el-GR"/>
        </w:rPr>
        <w:t>ς</w:t>
      </w:r>
      <w:r w:rsidR="007A077C" w:rsidRPr="002E23B6">
        <w:rPr>
          <w:rFonts w:ascii="Times New Roman" w:hAnsi="Times New Roman"/>
          <w:sz w:val="22"/>
          <w:szCs w:val="22"/>
          <w:lang w:val="el-GR"/>
        </w:rPr>
        <w:t xml:space="preserve"> κατά</w:t>
      </w:r>
      <w:r w:rsidRPr="002E23B6">
        <w:rPr>
          <w:rFonts w:ascii="Times New Roman" w:hAnsi="Times New Roman"/>
          <w:sz w:val="22"/>
          <w:szCs w:val="22"/>
          <w:lang w:val="el-GR"/>
        </w:rPr>
        <w:t xml:space="preserve"> 0,10 </w:t>
      </w:r>
      <w:r w:rsidRPr="002E23B6">
        <w:rPr>
          <w:rFonts w:ascii="Times New Roman" w:hAnsi="Times New Roman"/>
          <w:sz w:val="22"/>
          <w:szCs w:val="22"/>
        </w:rPr>
        <w:t>mmol</w:t>
      </w:r>
      <w:r w:rsidRPr="002E23B6">
        <w:rPr>
          <w:rFonts w:ascii="Times New Roman" w:hAnsi="Times New Roman"/>
          <w:sz w:val="22"/>
          <w:szCs w:val="22"/>
          <w:lang w:val="el-GR"/>
        </w:rPr>
        <w:t>/</w:t>
      </w:r>
      <w:r w:rsidRPr="002E23B6">
        <w:rPr>
          <w:rFonts w:ascii="Times New Roman" w:hAnsi="Times New Roman"/>
          <w:sz w:val="22"/>
          <w:szCs w:val="22"/>
        </w:rPr>
        <w:t>l</w:t>
      </w:r>
      <w:r w:rsidRPr="002E23B6">
        <w:rPr>
          <w:rFonts w:ascii="Times New Roman" w:hAnsi="Times New Roman"/>
          <w:sz w:val="22"/>
          <w:szCs w:val="22"/>
          <w:lang w:val="el-GR"/>
        </w:rPr>
        <w:t xml:space="preserve"> (10%).</w:t>
      </w:r>
      <w:r w:rsidR="00E53307" w:rsidRPr="002E23B6">
        <w:rPr>
          <w:rFonts w:ascii="Times New Roman" w:hAnsi="Times New Roman"/>
          <w:sz w:val="22"/>
          <w:szCs w:val="22"/>
          <w:lang w:val="el-GR"/>
        </w:rPr>
        <w:t xml:space="preserve"> </w:t>
      </w:r>
    </w:p>
    <w:p w:rsidR="00984BC2" w:rsidRDefault="00984BC2">
      <w:pPr>
        <w:pStyle w:val="Default"/>
        <w:rPr>
          <w:sz w:val="22"/>
          <w:lang w:val="el-GR"/>
        </w:rPr>
      </w:pPr>
    </w:p>
    <w:p w:rsidR="00917AD3" w:rsidRDefault="001C30BE">
      <w:pPr>
        <w:rPr>
          <w:szCs w:val="22"/>
        </w:rPr>
      </w:pPr>
      <w:r w:rsidRPr="001C30BE">
        <w:t xml:space="preserve">Μια τυχαιοποιημένη, διπλά τυφλή, ελεγχόμενη με εικονικό φάρμακο μελέτη </w:t>
      </w:r>
      <w:r w:rsidR="00FE44F7">
        <w:rPr>
          <w:szCs w:val="22"/>
        </w:rPr>
        <w:t>Φ</w:t>
      </w:r>
      <w:r w:rsidR="00E53307" w:rsidRPr="00D75110">
        <w:rPr>
          <w:szCs w:val="22"/>
        </w:rPr>
        <w:t>άσης</w:t>
      </w:r>
      <w:r w:rsidR="00A71131">
        <w:t xml:space="preserve"> IV διεξήχθη για την αξιολόγηση των μακροπρόθεσμων επιπτώσεων της σιλοσταζόλης, με εστίαση στη θνησιμότητα και την ασφάλεια. Συνολικά, 1.439 ασθενείς με διαλείπουσα χωλότητα και χωρίς καρδιακή ανεπάρκεια υποβλήθηκαν σε αγωγή με σιλοσταζόλη ή εικονικό φάρμακο για έως </w:t>
      </w:r>
      <w:r w:rsidR="00872DBA">
        <w:rPr>
          <w:szCs w:val="22"/>
        </w:rPr>
        <w:t xml:space="preserve">και </w:t>
      </w:r>
      <w:r w:rsidR="00A71131">
        <w:t xml:space="preserve">τρία χρόνια. Αναφορικά με τη θνησιμότητα, </w:t>
      </w:r>
      <w:r w:rsidR="007A077C" w:rsidRPr="00D75110">
        <w:rPr>
          <w:szCs w:val="22"/>
        </w:rPr>
        <w:t>τ</w:t>
      </w:r>
      <w:r w:rsidR="00E53307" w:rsidRPr="00D75110">
        <w:rPr>
          <w:szCs w:val="22"/>
        </w:rPr>
        <w:t>ο παρατηρούμενο</w:t>
      </w:r>
      <w:r w:rsidR="007A077C" w:rsidRPr="00D75110">
        <w:rPr>
          <w:szCs w:val="22"/>
        </w:rPr>
        <w:t xml:space="preserve"> σε 36 μήνες ποσοστό</w:t>
      </w:r>
      <w:r w:rsidR="00A71131">
        <w:t xml:space="preserve"> συμβάντων </w:t>
      </w:r>
      <w:r w:rsidR="007A077C" w:rsidRPr="00D75110">
        <w:rPr>
          <w:szCs w:val="22"/>
        </w:rPr>
        <w:t xml:space="preserve">κατά </w:t>
      </w:r>
      <w:r w:rsidR="00A71131">
        <w:t xml:space="preserve">Kaplan-Meier για θανάτους </w:t>
      </w:r>
      <w:r w:rsidR="009E6F7E">
        <w:rPr>
          <w:szCs w:val="22"/>
        </w:rPr>
        <w:t>με το</w:t>
      </w:r>
      <w:r w:rsidR="00A71131">
        <w:t xml:space="preserve"> φάρμακο της μελέτης με διάμεσο χρόνο στο φάρμακο της μελέτης 18 μήνες ήταν 5,6% (95% </w:t>
      </w:r>
      <w:r w:rsidR="00E53307" w:rsidRPr="00D75110">
        <w:rPr>
          <w:szCs w:val="22"/>
        </w:rPr>
        <w:t>διάστημα εμπιστοσύνης</w:t>
      </w:r>
      <w:r w:rsidR="00A71131">
        <w:t xml:space="preserve"> 2,8 έως 8,4%) </w:t>
      </w:r>
      <w:r w:rsidR="00E52FB8">
        <w:rPr>
          <w:szCs w:val="22"/>
        </w:rPr>
        <w:t>μ</w:t>
      </w:r>
      <w:r w:rsidR="00E53307" w:rsidRPr="00D75110">
        <w:rPr>
          <w:szCs w:val="22"/>
        </w:rPr>
        <w:t>ε</w:t>
      </w:r>
      <w:r w:rsidR="00A71131">
        <w:t xml:space="preserve"> σιλοσταζόλη και 6,8% (95% </w:t>
      </w:r>
      <w:r w:rsidR="00E53307" w:rsidRPr="00D75110">
        <w:rPr>
          <w:szCs w:val="22"/>
        </w:rPr>
        <w:t>διάστημα εμπιστοσύνης</w:t>
      </w:r>
      <w:r w:rsidR="00A71131">
        <w:t xml:space="preserve"> 1,9 έως 11,5%) </w:t>
      </w:r>
      <w:r w:rsidR="00E52FB8">
        <w:rPr>
          <w:szCs w:val="22"/>
        </w:rPr>
        <w:t>μ</w:t>
      </w:r>
      <w:r w:rsidR="00E53307" w:rsidRPr="00D75110">
        <w:rPr>
          <w:szCs w:val="22"/>
        </w:rPr>
        <w:t>ε</w:t>
      </w:r>
      <w:r w:rsidR="00A71131">
        <w:t xml:space="preserve"> εικονικό φάρμακο. Η μακροπρόθεσμη αγωγή με σιλοσταζόλη δεν </w:t>
      </w:r>
      <w:r w:rsidR="002451BF" w:rsidRPr="00D75110">
        <w:rPr>
          <w:szCs w:val="22"/>
        </w:rPr>
        <w:t>ανήγειρε</w:t>
      </w:r>
      <w:r w:rsidR="00A71131">
        <w:t xml:space="preserve"> ζητήματα ασφάλειας.</w:t>
      </w:r>
      <w:r w:rsidR="00E53307" w:rsidRPr="00D75110">
        <w:rPr>
          <w:szCs w:val="22"/>
        </w:rPr>
        <w:t xml:space="preserve"> </w:t>
      </w:r>
    </w:p>
    <w:p w:rsidR="00984BC2" w:rsidRDefault="00984BC2"/>
    <w:p w:rsidR="00496809" w:rsidRPr="00D75110" w:rsidRDefault="001C30BE" w:rsidP="005453E2">
      <w:pPr>
        <w:rPr>
          <w:b/>
          <w:szCs w:val="22"/>
        </w:rPr>
      </w:pPr>
      <w:r>
        <w:rPr>
          <w:b/>
        </w:rPr>
        <w:t>5.2</w:t>
      </w:r>
      <w:r w:rsidR="00496809" w:rsidRPr="00D75110">
        <w:rPr>
          <w:b/>
          <w:szCs w:val="22"/>
        </w:rPr>
        <w:tab/>
      </w:r>
      <w:r>
        <w:rPr>
          <w:b/>
        </w:rPr>
        <w:t>Φαρμακοκινητικές ιδιότητες</w:t>
      </w:r>
    </w:p>
    <w:p w:rsidR="00984BC2" w:rsidRDefault="00984BC2"/>
    <w:p w:rsidR="00917AD3" w:rsidRDefault="001C30BE">
      <w:pPr>
        <w:pStyle w:val="Default"/>
        <w:rPr>
          <w:color w:val="auto"/>
          <w:sz w:val="22"/>
          <w:lang w:val="el-GR"/>
        </w:rPr>
      </w:pPr>
      <w:r w:rsidRPr="001C30BE">
        <w:rPr>
          <w:color w:val="auto"/>
          <w:sz w:val="22"/>
          <w:lang w:val="el-GR"/>
        </w:rPr>
        <w:t xml:space="preserve">Μετά από πολλαπλές δόσεις σιλοσταζόλης 100 </w:t>
      </w:r>
      <w:r w:rsidRPr="001C30BE">
        <w:rPr>
          <w:color w:val="auto"/>
          <w:sz w:val="22"/>
        </w:rPr>
        <w:t>mg</w:t>
      </w:r>
      <w:r w:rsidRPr="001C30BE">
        <w:rPr>
          <w:color w:val="auto"/>
          <w:sz w:val="22"/>
          <w:lang w:val="el-GR"/>
        </w:rPr>
        <w:t xml:space="preserve"> </w:t>
      </w:r>
      <w:r w:rsidR="000F3E15" w:rsidRPr="00D75110">
        <w:rPr>
          <w:color w:val="auto"/>
          <w:sz w:val="22"/>
          <w:szCs w:val="22"/>
          <w:lang w:val="el-GR"/>
        </w:rPr>
        <w:t>δύο φορές</w:t>
      </w:r>
      <w:r w:rsidR="00E53307" w:rsidRPr="00D75110">
        <w:rPr>
          <w:color w:val="auto"/>
          <w:sz w:val="22"/>
          <w:szCs w:val="22"/>
          <w:lang w:val="el-GR"/>
        </w:rPr>
        <w:t xml:space="preserve"> </w:t>
      </w:r>
      <w:r w:rsidR="00C26389" w:rsidRPr="00D75110">
        <w:rPr>
          <w:color w:val="auto"/>
          <w:sz w:val="22"/>
          <w:szCs w:val="22"/>
          <w:lang w:val="el-GR"/>
        </w:rPr>
        <w:t>την ημέρα</w:t>
      </w:r>
      <w:r w:rsidRPr="001C30BE">
        <w:rPr>
          <w:color w:val="auto"/>
          <w:sz w:val="22"/>
          <w:lang w:val="el-GR"/>
        </w:rPr>
        <w:t xml:space="preserve"> σε ασθενείς με περιφερική αγγειακή νόσο, </w:t>
      </w:r>
      <w:r w:rsidR="003868F7">
        <w:rPr>
          <w:color w:val="auto"/>
          <w:sz w:val="22"/>
          <w:szCs w:val="22"/>
          <w:lang w:val="el-GR"/>
        </w:rPr>
        <w:t xml:space="preserve">η </w:t>
      </w:r>
      <w:r w:rsidR="00E53307" w:rsidRPr="00D75110">
        <w:rPr>
          <w:color w:val="auto"/>
          <w:sz w:val="22"/>
          <w:szCs w:val="22"/>
          <w:lang w:val="el-GR"/>
        </w:rPr>
        <w:t>σταθερ</w:t>
      </w:r>
      <w:r w:rsidR="007A077C" w:rsidRPr="00D75110">
        <w:rPr>
          <w:color w:val="auto"/>
          <w:sz w:val="22"/>
          <w:szCs w:val="22"/>
          <w:lang w:val="el-GR"/>
        </w:rPr>
        <w:t>οποιημένη</w:t>
      </w:r>
      <w:r w:rsidRPr="001C30BE">
        <w:rPr>
          <w:color w:val="auto"/>
          <w:sz w:val="22"/>
          <w:lang w:val="el-GR"/>
        </w:rPr>
        <w:t xml:space="preserve"> κατάσταση επετεύχθη εντός 4 ημερών</w:t>
      </w:r>
      <w:r w:rsidR="00A71131" w:rsidRPr="00A71131">
        <w:rPr>
          <w:color w:val="auto"/>
          <w:sz w:val="22"/>
          <w:lang w:val="el-GR"/>
        </w:rPr>
        <w:t>.</w:t>
      </w:r>
      <w:r w:rsidR="00E53307" w:rsidRPr="00D75110">
        <w:rPr>
          <w:color w:val="auto"/>
          <w:sz w:val="22"/>
          <w:szCs w:val="22"/>
          <w:lang w:val="el-GR"/>
        </w:rPr>
        <w:t xml:space="preserve"> </w:t>
      </w:r>
    </w:p>
    <w:p w:rsidR="00984BC2" w:rsidRDefault="00984BC2">
      <w:pPr>
        <w:pStyle w:val="Default"/>
        <w:rPr>
          <w:color w:val="auto"/>
          <w:sz w:val="22"/>
          <w:lang w:val="el-GR"/>
        </w:rPr>
      </w:pPr>
    </w:p>
    <w:p w:rsidR="00917AD3" w:rsidRDefault="007D106B">
      <w:pPr>
        <w:pStyle w:val="Default"/>
        <w:rPr>
          <w:color w:val="auto"/>
          <w:sz w:val="22"/>
          <w:lang w:val="el-GR"/>
        </w:rPr>
      </w:pPr>
      <w:r>
        <w:rPr>
          <w:color w:val="auto"/>
          <w:sz w:val="22"/>
          <w:szCs w:val="22"/>
          <w:lang w:val="el-GR"/>
        </w:rPr>
        <w:t>Οι</w:t>
      </w:r>
      <w:r w:rsidR="001C30BE" w:rsidRPr="001C30BE">
        <w:rPr>
          <w:color w:val="auto"/>
          <w:sz w:val="22"/>
          <w:lang w:val="el-GR"/>
        </w:rPr>
        <w:t xml:space="preserve"> </w:t>
      </w:r>
      <w:r w:rsidR="001C30BE" w:rsidRPr="001C30BE">
        <w:rPr>
          <w:color w:val="auto"/>
          <w:sz w:val="22"/>
        </w:rPr>
        <w:t>C</w:t>
      </w:r>
      <w:r w:rsidR="001C30BE" w:rsidRPr="001C30BE">
        <w:rPr>
          <w:color w:val="auto"/>
          <w:sz w:val="14"/>
        </w:rPr>
        <w:t>max</w:t>
      </w:r>
      <w:r w:rsidR="001C30BE" w:rsidRPr="001C30BE">
        <w:rPr>
          <w:color w:val="auto"/>
          <w:sz w:val="14"/>
          <w:lang w:val="el-GR"/>
        </w:rPr>
        <w:t xml:space="preserve"> </w:t>
      </w:r>
      <w:r w:rsidR="001C30BE" w:rsidRPr="001C30BE">
        <w:rPr>
          <w:color w:val="auto"/>
          <w:sz w:val="22"/>
          <w:lang w:val="el-GR"/>
        </w:rPr>
        <w:t xml:space="preserve">της σιλοσταζόλης και </w:t>
      </w:r>
      <w:r w:rsidR="006257AA">
        <w:rPr>
          <w:color w:val="auto"/>
          <w:sz w:val="22"/>
          <w:szCs w:val="22"/>
          <w:lang w:val="el-GR"/>
        </w:rPr>
        <w:t>των</w:t>
      </w:r>
      <w:r w:rsidR="006257AA" w:rsidRPr="00D75110">
        <w:rPr>
          <w:color w:val="auto"/>
          <w:sz w:val="22"/>
          <w:szCs w:val="22"/>
          <w:lang w:val="el-GR"/>
        </w:rPr>
        <w:t xml:space="preserve"> </w:t>
      </w:r>
      <w:r w:rsidR="00E53307" w:rsidRPr="00D75110">
        <w:rPr>
          <w:color w:val="auto"/>
          <w:sz w:val="22"/>
          <w:szCs w:val="22"/>
          <w:lang w:val="el-GR"/>
        </w:rPr>
        <w:t>κύρι</w:t>
      </w:r>
      <w:r w:rsidR="006257AA">
        <w:rPr>
          <w:color w:val="auto"/>
          <w:sz w:val="22"/>
          <w:szCs w:val="22"/>
          <w:lang w:val="el-GR"/>
        </w:rPr>
        <w:t>ων</w:t>
      </w:r>
      <w:r w:rsidR="00E53307" w:rsidRPr="00D75110">
        <w:rPr>
          <w:color w:val="auto"/>
          <w:sz w:val="22"/>
          <w:szCs w:val="22"/>
          <w:lang w:val="el-GR"/>
        </w:rPr>
        <w:t xml:space="preserve"> κυκλοφορούντ</w:t>
      </w:r>
      <w:r w:rsidR="006257AA">
        <w:rPr>
          <w:color w:val="auto"/>
          <w:sz w:val="22"/>
          <w:szCs w:val="22"/>
          <w:lang w:val="el-GR"/>
        </w:rPr>
        <w:t>ων</w:t>
      </w:r>
      <w:r w:rsidR="00E53307" w:rsidRPr="00D75110">
        <w:rPr>
          <w:color w:val="auto"/>
          <w:sz w:val="22"/>
          <w:szCs w:val="22"/>
          <w:lang w:val="el-GR"/>
        </w:rPr>
        <w:t xml:space="preserve"> </w:t>
      </w:r>
      <w:r w:rsidR="006257AA">
        <w:rPr>
          <w:color w:val="auto"/>
          <w:sz w:val="22"/>
          <w:szCs w:val="22"/>
          <w:lang w:val="el-GR"/>
        </w:rPr>
        <w:t>μεταβολιτών</w:t>
      </w:r>
      <w:r w:rsidR="001C30BE" w:rsidRPr="001C30BE">
        <w:rPr>
          <w:color w:val="auto"/>
          <w:sz w:val="22"/>
          <w:lang w:val="el-GR"/>
        </w:rPr>
        <w:t xml:space="preserve"> της αυξάνουν λιγότερο από αναλογικά με αυξανόμενες δόσεις. Ωστόσο, η </w:t>
      </w:r>
      <w:r w:rsidR="001C30BE" w:rsidRPr="001C30BE">
        <w:rPr>
          <w:color w:val="auto"/>
          <w:sz w:val="22"/>
        </w:rPr>
        <w:t>AUC</w:t>
      </w:r>
      <w:r w:rsidR="001C30BE" w:rsidRPr="001C30BE">
        <w:rPr>
          <w:color w:val="auto"/>
          <w:sz w:val="22"/>
          <w:lang w:val="el-GR"/>
        </w:rPr>
        <w:t xml:space="preserve"> για τη σιλοσταζόλη και τους μεταβολίτες της αυξάνει σχεδόν αναλογικά με τη δόση.</w:t>
      </w:r>
      <w:r w:rsidR="00E53307" w:rsidRPr="00D75110">
        <w:rPr>
          <w:color w:val="auto"/>
          <w:sz w:val="22"/>
          <w:szCs w:val="22"/>
          <w:lang w:val="el-GR"/>
        </w:rPr>
        <w:t xml:space="preserve"> </w:t>
      </w:r>
    </w:p>
    <w:p w:rsidR="00917AD3" w:rsidRDefault="00917AD3">
      <w:pPr>
        <w:pStyle w:val="Default"/>
        <w:rPr>
          <w:color w:val="auto"/>
          <w:sz w:val="22"/>
          <w:lang w:val="el-GR"/>
        </w:rPr>
      </w:pPr>
    </w:p>
    <w:p w:rsidR="00917AD3" w:rsidRDefault="000E1FE1">
      <w:pPr>
        <w:pStyle w:val="Default"/>
        <w:rPr>
          <w:color w:val="auto"/>
          <w:sz w:val="22"/>
          <w:lang w:val="el-GR"/>
        </w:rPr>
      </w:pPr>
      <w:r>
        <w:rPr>
          <w:color w:val="auto"/>
          <w:sz w:val="22"/>
          <w:szCs w:val="22"/>
          <w:lang w:val="el-GR"/>
        </w:rPr>
        <w:t>Η φαινόμενη ημιπερίοδος ζωής</w:t>
      </w:r>
      <w:r w:rsidR="00E53307" w:rsidRPr="00D75110">
        <w:rPr>
          <w:color w:val="auto"/>
          <w:sz w:val="22"/>
          <w:szCs w:val="22"/>
          <w:lang w:val="el-GR"/>
        </w:rPr>
        <w:t xml:space="preserve"> </w:t>
      </w:r>
      <w:r w:rsidR="007A077C" w:rsidRPr="00D75110">
        <w:rPr>
          <w:color w:val="auto"/>
          <w:sz w:val="22"/>
          <w:szCs w:val="22"/>
          <w:lang w:val="el-GR"/>
        </w:rPr>
        <w:t>της</w:t>
      </w:r>
      <w:r w:rsidR="001C30BE" w:rsidRPr="001C30BE">
        <w:rPr>
          <w:color w:val="auto"/>
          <w:sz w:val="22"/>
          <w:lang w:val="el-GR"/>
        </w:rPr>
        <w:t xml:space="preserve"> απομάκρυνσης της σιλοσταζόλης είναι 10,5 ώρες. Υπάρχουν δύο μείζονες μεταβολίτες, μια δεϋδρο-σιλοσταζόλη και μια 4’-τρανς-υδρόξυ σιλοσταζόλη, που και οι δύο έχουν </w:t>
      </w:r>
      <w:r w:rsidR="00E53307" w:rsidRPr="00D75110">
        <w:rPr>
          <w:color w:val="auto"/>
          <w:sz w:val="22"/>
          <w:szCs w:val="22"/>
          <w:lang w:val="el-GR"/>
        </w:rPr>
        <w:t>παρόμοι</w:t>
      </w:r>
      <w:r w:rsidR="00020574">
        <w:rPr>
          <w:color w:val="auto"/>
          <w:sz w:val="22"/>
          <w:szCs w:val="22"/>
          <w:lang w:val="el-GR"/>
        </w:rPr>
        <w:t>ες</w:t>
      </w:r>
      <w:r w:rsidR="00E53307" w:rsidRPr="00D75110">
        <w:rPr>
          <w:color w:val="auto"/>
          <w:sz w:val="22"/>
          <w:szCs w:val="22"/>
          <w:lang w:val="el-GR"/>
        </w:rPr>
        <w:t xml:space="preserve"> </w:t>
      </w:r>
      <w:r w:rsidR="00020574">
        <w:rPr>
          <w:color w:val="auto"/>
          <w:sz w:val="22"/>
          <w:szCs w:val="22"/>
          <w:lang w:val="el-GR"/>
        </w:rPr>
        <w:t>φαινόμενες</w:t>
      </w:r>
      <w:r w:rsidR="00020574" w:rsidRPr="00D75110">
        <w:rPr>
          <w:color w:val="auto"/>
          <w:sz w:val="22"/>
          <w:szCs w:val="22"/>
          <w:lang w:val="el-GR"/>
        </w:rPr>
        <w:t xml:space="preserve"> </w:t>
      </w:r>
      <w:r w:rsidR="00020574">
        <w:rPr>
          <w:color w:val="auto"/>
          <w:sz w:val="22"/>
          <w:szCs w:val="22"/>
          <w:lang w:val="el-GR"/>
        </w:rPr>
        <w:t>ημιπεριόδους ζωής</w:t>
      </w:r>
      <w:r w:rsidR="00E53307" w:rsidRPr="00D75110">
        <w:rPr>
          <w:color w:val="auto"/>
          <w:sz w:val="22"/>
          <w:szCs w:val="22"/>
          <w:lang w:val="el-GR"/>
        </w:rPr>
        <w:t>.</w:t>
      </w:r>
      <w:r w:rsidR="001C30BE" w:rsidRPr="001C30BE">
        <w:rPr>
          <w:color w:val="auto"/>
          <w:sz w:val="22"/>
          <w:lang w:val="el-GR"/>
        </w:rPr>
        <w:t xml:space="preserve"> Ο δεϋδρο-μεταβολίτης είναι 4-7 φορές </w:t>
      </w:r>
      <w:r w:rsidR="00E53307" w:rsidRPr="00D75110">
        <w:rPr>
          <w:color w:val="auto"/>
          <w:sz w:val="22"/>
          <w:szCs w:val="22"/>
          <w:lang w:val="el-GR"/>
        </w:rPr>
        <w:t>δραστικό</w:t>
      </w:r>
      <w:r w:rsidR="007A077C" w:rsidRPr="00D75110">
        <w:rPr>
          <w:color w:val="auto"/>
          <w:sz w:val="22"/>
          <w:szCs w:val="22"/>
          <w:lang w:val="el-GR"/>
        </w:rPr>
        <w:t>τερος</w:t>
      </w:r>
      <w:r w:rsidR="001C30BE" w:rsidRPr="001C30BE">
        <w:rPr>
          <w:color w:val="auto"/>
          <w:sz w:val="22"/>
          <w:lang w:val="el-GR"/>
        </w:rPr>
        <w:t xml:space="preserve"> παράγοντας κατά της συσσώρευσης αιμοπεταλίων </w:t>
      </w:r>
      <w:r w:rsidR="007A077C" w:rsidRPr="00D75110">
        <w:rPr>
          <w:color w:val="auto"/>
          <w:sz w:val="22"/>
          <w:szCs w:val="22"/>
          <w:lang w:val="el-GR"/>
        </w:rPr>
        <w:t>από ότι</w:t>
      </w:r>
      <w:r w:rsidR="001C30BE" w:rsidRPr="001C30BE">
        <w:rPr>
          <w:color w:val="auto"/>
          <w:sz w:val="22"/>
          <w:lang w:val="el-GR"/>
        </w:rPr>
        <w:t xml:space="preserve"> η μητρική ένωση και ο 4’-τρανς-</w:t>
      </w:r>
      <w:r w:rsidR="00E53307" w:rsidRPr="00D75110">
        <w:rPr>
          <w:color w:val="auto"/>
          <w:sz w:val="22"/>
          <w:szCs w:val="22"/>
          <w:lang w:val="el-GR"/>
        </w:rPr>
        <w:t>υδροξυ</w:t>
      </w:r>
      <w:r w:rsidR="005C26C8" w:rsidRPr="00D75110">
        <w:rPr>
          <w:color w:val="auto"/>
          <w:sz w:val="22"/>
          <w:szCs w:val="22"/>
          <w:lang w:val="el-GR"/>
        </w:rPr>
        <w:t xml:space="preserve"> </w:t>
      </w:r>
      <w:r w:rsidR="00E53307" w:rsidRPr="00D75110">
        <w:rPr>
          <w:color w:val="auto"/>
          <w:sz w:val="22"/>
          <w:szCs w:val="22"/>
          <w:lang w:val="el-GR"/>
        </w:rPr>
        <w:t>μεταβολίτης</w:t>
      </w:r>
      <w:r w:rsidR="001C30BE" w:rsidRPr="001C30BE">
        <w:rPr>
          <w:color w:val="auto"/>
          <w:sz w:val="22"/>
          <w:lang w:val="el-GR"/>
        </w:rPr>
        <w:t xml:space="preserve"> είναι δραστικός κατά το ένα πέμπτο. Οι συγκεντρώσεις </w:t>
      </w:r>
      <w:r w:rsidR="00766604">
        <w:rPr>
          <w:color w:val="auto"/>
          <w:sz w:val="22"/>
          <w:szCs w:val="22"/>
          <w:lang w:val="el-GR"/>
        </w:rPr>
        <w:t>στο πλάσμα</w:t>
      </w:r>
      <w:r w:rsidR="001C30BE" w:rsidRPr="001C30BE">
        <w:rPr>
          <w:color w:val="auto"/>
          <w:sz w:val="22"/>
          <w:lang w:val="el-GR"/>
        </w:rPr>
        <w:t xml:space="preserve"> (όπως </w:t>
      </w:r>
      <w:r w:rsidR="00A21BF1">
        <w:rPr>
          <w:color w:val="auto"/>
          <w:sz w:val="22"/>
          <w:szCs w:val="22"/>
          <w:lang w:val="el-GR"/>
        </w:rPr>
        <w:t>μετρώνται</w:t>
      </w:r>
      <w:r w:rsidR="001C30BE" w:rsidRPr="001C30BE">
        <w:rPr>
          <w:color w:val="auto"/>
          <w:sz w:val="22"/>
          <w:lang w:val="el-GR"/>
        </w:rPr>
        <w:t xml:space="preserve"> από την </w:t>
      </w:r>
      <w:r w:rsidR="001C30BE" w:rsidRPr="001C30BE">
        <w:rPr>
          <w:color w:val="auto"/>
          <w:sz w:val="22"/>
        </w:rPr>
        <w:t>AUC</w:t>
      </w:r>
      <w:r w:rsidR="001C30BE" w:rsidRPr="001C30BE">
        <w:rPr>
          <w:color w:val="auto"/>
          <w:sz w:val="22"/>
          <w:lang w:val="el-GR"/>
        </w:rPr>
        <w:t>) των δεϋδρο και 4`-τρανς-</w:t>
      </w:r>
      <w:r w:rsidR="00E53307" w:rsidRPr="00D75110">
        <w:rPr>
          <w:color w:val="auto"/>
          <w:sz w:val="22"/>
          <w:szCs w:val="22"/>
          <w:lang w:val="el-GR"/>
        </w:rPr>
        <w:t>υδροξυ</w:t>
      </w:r>
      <w:r w:rsidR="005C26C8" w:rsidRPr="00D75110">
        <w:rPr>
          <w:color w:val="auto"/>
          <w:sz w:val="22"/>
          <w:szCs w:val="22"/>
          <w:lang w:val="el-GR"/>
        </w:rPr>
        <w:t xml:space="preserve"> </w:t>
      </w:r>
      <w:r w:rsidR="00E53307" w:rsidRPr="00D75110">
        <w:rPr>
          <w:color w:val="auto"/>
          <w:sz w:val="22"/>
          <w:szCs w:val="22"/>
          <w:lang w:val="el-GR"/>
        </w:rPr>
        <w:t>μεταβολιτών</w:t>
      </w:r>
      <w:r w:rsidR="001C30BE" w:rsidRPr="001C30BE">
        <w:rPr>
          <w:color w:val="auto"/>
          <w:sz w:val="22"/>
          <w:lang w:val="el-GR"/>
        </w:rPr>
        <w:t xml:space="preserve"> είναι ~41% και ~12% των συγκεντρώσεων </w:t>
      </w:r>
      <w:r w:rsidR="005F1B9F">
        <w:rPr>
          <w:color w:val="auto"/>
          <w:sz w:val="22"/>
          <w:szCs w:val="22"/>
          <w:lang w:val="el-GR"/>
        </w:rPr>
        <w:t>της</w:t>
      </w:r>
      <w:r w:rsidR="00E53307" w:rsidRPr="00D75110">
        <w:rPr>
          <w:color w:val="auto"/>
          <w:sz w:val="22"/>
          <w:szCs w:val="22"/>
          <w:lang w:val="el-GR"/>
        </w:rPr>
        <w:t xml:space="preserve"> </w:t>
      </w:r>
      <w:r w:rsidR="001C30BE" w:rsidRPr="001C30BE">
        <w:rPr>
          <w:color w:val="auto"/>
          <w:sz w:val="22"/>
          <w:lang w:val="el-GR"/>
        </w:rPr>
        <w:t>σιλοσταζόλης.</w:t>
      </w:r>
      <w:r w:rsidR="00E53307" w:rsidRPr="00D75110">
        <w:rPr>
          <w:color w:val="auto"/>
          <w:sz w:val="22"/>
          <w:szCs w:val="22"/>
          <w:lang w:val="el-GR"/>
        </w:rPr>
        <w:t xml:space="preserve"> </w:t>
      </w:r>
    </w:p>
    <w:p w:rsidR="00984BC2" w:rsidRDefault="00984BC2">
      <w:pPr>
        <w:pStyle w:val="Default"/>
        <w:rPr>
          <w:color w:val="auto"/>
          <w:sz w:val="22"/>
          <w:lang w:val="el-GR"/>
        </w:rPr>
      </w:pPr>
    </w:p>
    <w:p w:rsidR="00917AD3" w:rsidRDefault="001C30BE">
      <w:pPr>
        <w:pStyle w:val="Default"/>
        <w:rPr>
          <w:color w:val="auto"/>
          <w:sz w:val="22"/>
          <w:lang w:val="el-GR"/>
        </w:rPr>
      </w:pPr>
      <w:r w:rsidRPr="001C30BE">
        <w:rPr>
          <w:color w:val="auto"/>
          <w:sz w:val="22"/>
          <w:lang w:val="el-GR"/>
        </w:rPr>
        <w:t xml:space="preserve">Η σιλοσταζόλη απομακρύνεται κυρίως με μεταβολισμό και επακόλουθη ουρική απέκκριση των μεταβολιτών. </w:t>
      </w:r>
      <w:r w:rsidRPr="001C30BE">
        <w:rPr>
          <w:color w:val="auto"/>
          <w:sz w:val="22"/>
        </w:rPr>
        <w:t>T</w:t>
      </w:r>
      <w:r w:rsidRPr="001C30BE">
        <w:rPr>
          <w:color w:val="auto"/>
          <w:sz w:val="22"/>
          <w:lang w:val="el-GR"/>
        </w:rPr>
        <w:t xml:space="preserve">α </w:t>
      </w:r>
      <w:r w:rsidR="007A077C" w:rsidRPr="00D75110">
        <w:rPr>
          <w:color w:val="auto"/>
          <w:sz w:val="22"/>
          <w:szCs w:val="22"/>
          <w:lang w:val="el-GR"/>
        </w:rPr>
        <w:t>κύρια</w:t>
      </w:r>
      <w:r w:rsidRPr="001C30BE">
        <w:rPr>
          <w:color w:val="auto"/>
          <w:sz w:val="22"/>
          <w:lang w:val="el-GR"/>
        </w:rPr>
        <w:t xml:space="preserve"> ισοένζυμα που ενέχονται στο μεταβολισμό </w:t>
      </w:r>
      <w:r w:rsidR="00C43E54">
        <w:rPr>
          <w:color w:val="auto"/>
          <w:sz w:val="22"/>
          <w:szCs w:val="22"/>
          <w:lang w:val="el-GR"/>
        </w:rPr>
        <w:t>της</w:t>
      </w:r>
      <w:r w:rsidRPr="001C30BE">
        <w:rPr>
          <w:color w:val="auto"/>
          <w:sz w:val="22"/>
          <w:lang w:val="el-GR"/>
        </w:rPr>
        <w:t xml:space="preserve"> είναι το κυτόχρωμα </w:t>
      </w:r>
      <w:r w:rsidRPr="001C30BE">
        <w:rPr>
          <w:color w:val="auto"/>
          <w:sz w:val="22"/>
        </w:rPr>
        <w:t>P</w:t>
      </w:r>
      <w:r w:rsidRPr="001C30BE">
        <w:rPr>
          <w:color w:val="auto"/>
          <w:sz w:val="22"/>
          <w:lang w:val="el-GR"/>
        </w:rPr>
        <w:t xml:space="preserve">-450 </w:t>
      </w:r>
      <w:r w:rsidRPr="001C30BE">
        <w:rPr>
          <w:color w:val="auto"/>
          <w:sz w:val="22"/>
        </w:rPr>
        <w:t>CYP</w:t>
      </w:r>
      <w:r w:rsidRPr="001C30BE">
        <w:rPr>
          <w:color w:val="auto"/>
          <w:sz w:val="22"/>
          <w:lang w:val="el-GR"/>
        </w:rPr>
        <w:t>3</w:t>
      </w:r>
      <w:r w:rsidRPr="001C30BE">
        <w:rPr>
          <w:color w:val="auto"/>
          <w:sz w:val="22"/>
        </w:rPr>
        <w:t>A</w:t>
      </w:r>
      <w:r w:rsidRPr="001C30BE">
        <w:rPr>
          <w:color w:val="auto"/>
          <w:sz w:val="22"/>
          <w:lang w:val="el-GR"/>
        </w:rPr>
        <w:t xml:space="preserve">4, σε μικρότερο βαθμό το </w:t>
      </w:r>
      <w:r w:rsidRPr="001C30BE">
        <w:rPr>
          <w:color w:val="auto"/>
          <w:sz w:val="22"/>
        </w:rPr>
        <w:t>CYP</w:t>
      </w:r>
      <w:r w:rsidRPr="001C30BE">
        <w:rPr>
          <w:color w:val="auto"/>
          <w:sz w:val="22"/>
          <w:lang w:val="el-GR"/>
        </w:rPr>
        <w:t>2</w:t>
      </w:r>
      <w:r w:rsidRPr="001C30BE">
        <w:rPr>
          <w:color w:val="auto"/>
          <w:sz w:val="22"/>
        </w:rPr>
        <w:t>C</w:t>
      </w:r>
      <w:r w:rsidRPr="001C30BE">
        <w:rPr>
          <w:color w:val="auto"/>
          <w:sz w:val="22"/>
          <w:lang w:val="el-GR"/>
        </w:rPr>
        <w:t xml:space="preserve">19 και σε ακόμα μικρότερο βαθμό το </w:t>
      </w:r>
      <w:r w:rsidRPr="001C30BE">
        <w:rPr>
          <w:color w:val="auto"/>
          <w:sz w:val="22"/>
        </w:rPr>
        <w:t>CYP</w:t>
      </w:r>
      <w:r w:rsidRPr="001C30BE">
        <w:rPr>
          <w:color w:val="auto"/>
          <w:sz w:val="22"/>
          <w:lang w:val="el-GR"/>
        </w:rPr>
        <w:t>1</w:t>
      </w:r>
      <w:r w:rsidRPr="001C30BE">
        <w:rPr>
          <w:color w:val="auto"/>
          <w:sz w:val="22"/>
        </w:rPr>
        <w:t>A</w:t>
      </w:r>
      <w:r w:rsidRPr="001C30BE">
        <w:rPr>
          <w:color w:val="auto"/>
          <w:sz w:val="22"/>
          <w:lang w:val="el-GR"/>
        </w:rPr>
        <w:t>2.</w:t>
      </w:r>
      <w:r w:rsidR="00E53307" w:rsidRPr="00D75110">
        <w:rPr>
          <w:color w:val="auto"/>
          <w:sz w:val="22"/>
          <w:szCs w:val="22"/>
          <w:lang w:val="el-GR"/>
        </w:rPr>
        <w:t xml:space="preserve"> </w:t>
      </w:r>
    </w:p>
    <w:p w:rsidR="00984BC2" w:rsidRDefault="00984BC2">
      <w:pPr>
        <w:pStyle w:val="Default"/>
        <w:rPr>
          <w:sz w:val="22"/>
          <w:lang w:val="el-GR"/>
        </w:rPr>
      </w:pPr>
    </w:p>
    <w:p w:rsidR="00917AD3" w:rsidRDefault="001C30BE">
      <w:pPr>
        <w:pStyle w:val="Default"/>
        <w:rPr>
          <w:sz w:val="22"/>
          <w:lang w:val="el-GR"/>
        </w:rPr>
      </w:pPr>
      <w:r w:rsidRPr="001C30BE">
        <w:rPr>
          <w:color w:val="auto"/>
          <w:sz w:val="22"/>
          <w:lang w:val="el-GR"/>
        </w:rPr>
        <w:t xml:space="preserve">Η </w:t>
      </w:r>
      <w:r w:rsidR="007A077C" w:rsidRPr="00D75110">
        <w:rPr>
          <w:color w:val="auto"/>
          <w:sz w:val="22"/>
          <w:szCs w:val="22"/>
          <w:lang w:val="el-GR"/>
        </w:rPr>
        <w:t>κύρια</w:t>
      </w:r>
      <w:r w:rsidRPr="001C30BE">
        <w:rPr>
          <w:color w:val="auto"/>
          <w:sz w:val="22"/>
          <w:lang w:val="el-GR"/>
        </w:rPr>
        <w:t xml:space="preserve"> οδός </w:t>
      </w:r>
      <w:r w:rsidR="001F0601">
        <w:rPr>
          <w:color w:val="auto"/>
          <w:sz w:val="22"/>
          <w:szCs w:val="22"/>
          <w:lang w:val="el-GR"/>
        </w:rPr>
        <w:t>απέκκρισης</w:t>
      </w:r>
      <w:r w:rsidRPr="001C30BE">
        <w:rPr>
          <w:color w:val="auto"/>
          <w:sz w:val="22"/>
          <w:lang w:val="el-GR"/>
        </w:rPr>
        <w:t xml:space="preserve"> είναι η ουρική (74%) με το υπόλοιπο να απεκκρίνεται στα κόπρανα. Δεν απεκκρίνεται στα ούρα μετρήσιμη ποσότητα αμετάβλητης σιλοσταζόλης</w:t>
      </w:r>
      <w:r w:rsidR="007A077C" w:rsidRPr="00D75110">
        <w:rPr>
          <w:color w:val="auto"/>
          <w:sz w:val="22"/>
          <w:szCs w:val="22"/>
          <w:lang w:val="el-GR"/>
        </w:rPr>
        <w:t>,</w:t>
      </w:r>
      <w:r w:rsidRPr="001C30BE">
        <w:rPr>
          <w:color w:val="auto"/>
          <w:sz w:val="22"/>
          <w:lang w:val="el-GR"/>
        </w:rPr>
        <w:t xml:space="preserve"> και </w:t>
      </w:r>
      <w:r w:rsidR="007A077C" w:rsidRPr="00D75110">
        <w:rPr>
          <w:color w:val="auto"/>
          <w:sz w:val="22"/>
          <w:szCs w:val="22"/>
          <w:lang w:val="el-GR"/>
        </w:rPr>
        <w:t>λιγότερο</w:t>
      </w:r>
      <w:r w:rsidRPr="001C30BE">
        <w:rPr>
          <w:color w:val="auto"/>
          <w:sz w:val="22"/>
          <w:lang w:val="el-GR"/>
        </w:rPr>
        <w:t xml:space="preserve"> από το 2% της δόσης</w:t>
      </w:r>
      <w:r w:rsidR="00E53307" w:rsidRPr="00D75110">
        <w:rPr>
          <w:color w:val="auto"/>
          <w:sz w:val="22"/>
          <w:szCs w:val="22"/>
          <w:lang w:val="el-GR"/>
        </w:rPr>
        <w:t xml:space="preserve"> </w:t>
      </w:r>
      <w:r w:rsidR="007A077C" w:rsidRPr="00D75110">
        <w:rPr>
          <w:color w:val="auto"/>
          <w:sz w:val="22"/>
          <w:szCs w:val="22"/>
          <w:lang w:val="el-GR"/>
        </w:rPr>
        <w:t>απεκκρίνεται</w:t>
      </w:r>
      <w:r w:rsidRPr="001C30BE">
        <w:rPr>
          <w:color w:val="auto"/>
          <w:sz w:val="22"/>
          <w:lang w:val="el-GR"/>
        </w:rPr>
        <w:t xml:space="preserve"> ως μεταβολίτης δεϋδρο-σιλοσταζόλης. Περίπου το 30% της δόσης απεκκρίνεται στα ούρα ως 4’-τρανς-</w:t>
      </w:r>
      <w:r w:rsidR="00E53307" w:rsidRPr="00D75110">
        <w:rPr>
          <w:color w:val="auto"/>
          <w:sz w:val="22"/>
          <w:szCs w:val="22"/>
          <w:lang w:val="el-GR"/>
        </w:rPr>
        <w:t>υδροξυ</w:t>
      </w:r>
      <w:r w:rsidR="005C26C8" w:rsidRPr="00D75110">
        <w:rPr>
          <w:color w:val="auto"/>
          <w:sz w:val="22"/>
          <w:szCs w:val="22"/>
          <w:lang w:val="el-GR"/>
        </w:rPr>
        <w:t xml:space="preserve"> </w:t>
      </w:r>
      <w:r w:rsidR="00E53307" w:rsidRPr="00D75110">
        <w:rPr>
          <w:color w:val="auto"/>
          <w:sz w:val="22"/>
          <w:szCs w:val="22"/>
          <w:lang w:val="el-GR"/>
        </w:rPr>
        <w:t>μεταβολίτης.</w:t>
      </w:r>
      <w:r w:rsidRPr="001C30BE">
        <w:rPr>
          <w:color w:val="auto"/>
          <w:sz w:val="22"/>
          <w:lang w:val="el-GR"/>
        </w:rPr>
        <w:t xml:space="preserve"> </w:t>
      </w:r>
      <w:r w:rsidRPr="001C30BE">
        <w:rPr>
          <w:color w:val="auto"/>
          <w:sz w:val="22"/>
        </w:rPr>
        <w:t>T</w:t>
      </w:r>
      <w:r w:rsidRPr="001C30BE">
        <w:rPr>
          <w:color w:val="auto"/>
          <w:sz w:val="22"/>
          <w:lang w:val="el-GR"/>
        </w:rPr>
        <w:t>ο υπόλοιπο απεκκρίνεται ως μεταβολίτες, κανένας εκ των οποίων δεν υπερβαίνει το 5% της συνολικής απέκκρισης</w:t>
      </w:r>
      <w:r w:rsidR="00E53307" w:rsidRPr="00D75110">
        <w:rPr>
          <w:color w:val="auto"/>
          <w:sz w:val="22"/>
          <w:szCs w:val="22"/>
          <w:lang w:val="el-GR"/>
        </w:rPr>
        <w:t xml:space="preserve">. </w:t>
      </w:r>
    </w:p>
    <w:p w:rsidR="00E53307" w:rsidRPr="00D75110" w:rsidRDefault="00E53307" w:rsidP="00E53307">
      <w:pPr>
        <w:pStyle w:val="Default"/>
        <w:rPr>
          <w:color w:val="auto"/>
          <w:sz w:val="22"/>
          <w:lang w:val="el-GR"/>
        </w:rPr>
      </w:pPr>
    </w:p>
    <w:p w:rsidR="00917AD3" w:rsidRDefault="001C30BE">
      <w:pPr>
        <w:pStyle w:val="Default"/>
        <w:rPr>
          <w:sz w:val="22"/>
          <w:lang w:val="el-GR"/>
        </w:rPr>
      </w:pPr>
      <w:r w:rsidRPr="001C30BE">
        <w:rPr>
          <w:color w:val="auto"/>
          <w:sz w:val="22"/>
          <w:lang w:val="el-GR"/>
        </w:rPr>
        <w:t xml:space="preserve">Η σιλοσταζόλη δεσμεύεται κατά 95-98% με </w:t>
      </w:r>
      <w:r w:rsidR="007B36BC" w:rsidRPr="007B36BC">
        <w:rPr>
          <w:lang w:val="el-GR"/>
        </w:rPr>
        <w:t>πρωτεΐνη</w:t>
      </w:r>
      <w:r w:rsidRPr="001C30BE">
        <w:rPr>
          <w:color w:val="auto"/>
          <w:sz w:val="22"/>
          <w:lang w:val="el-GR"/>
        </w:rPr>
        <w:t xml:space="preserve">, κυρίως </w:t>
      </w:r>
      <w:r w:rsidR="005778A7">
        <w:rPr>
          <w:color w:val="auto"/>
          <w:sz w:val="22"/>
          <w:szCs w:val="22"/>
          <w:lang w:val="el-GR"/>
        </w:rPr>
        <w:t xml:space="preserve">με </w:t>
      </w:r>
      <w:r w:rsidR="007A077C" w:rsidRPr="00D75110">
        <w:rPr>
          <w:color w:val="auto"/>
          <w:sz w:val="22"/>
          <w:szCs w:val="22"/>
          <w:lang w:val="el-GR"/>
        </w:rPr>
        <w:t xml:space="preserve">την </w:t>
      </w:r>
      <w:r w:rsidRPr="001C30BE">
        <w:rPr>
          <w:color w:val="auto"/>
          <w:sz w:val="22"/>
          <w:lang w:val="el-GR"/>
        </w:rPr>
        <w:t>αλβουμίνη. Ο δεϋδρο-μεταβολίτης και ο 4’-τρανς-</w:t>
      </w:r>
      <w:r w:rsidR="00E53307" w:rsidRPr="00D75110">
        <w:rPr>
          <w:color w:val="auto"/>
          <w:sz w:val="22"/>
          <w:szCs w:val="22"/>
          <w:lang w:val="el-GR"/>
        </w:rPr>
        <w:t>υδροξυ</w:t>
      </w:r>
      <w:r w:rsidR="005C26C8" w:rsidRPr="00D75110">
        <w:rPr>
          <w:color w:val="auto"/>
          <w:sz w:val="22"/>
          <w:szCs w:val="22"/>
          <w:lang w:val="el-GR"/>
        </w:rPr>
        <w:t xml:space="preserve"> </w:t>
      </w:r>
      <w:r w:rsidR="00E53307" w:rsidRPr="00D75110">
        <w:rPr>
          <w:color w:val="auto"/>
          <w:sz w:val="22"/>
          <w:szCs w:val="22"/>
          <w:lang w:val="el-GR"/>
        </w:rPr>
        <w:t>μεταβολίτης</w:t>
      </w:r>
      <w:r w:rsidRPr="001C30BE">
        <w:rPr>
          <w:color w:val="auto"/>
          <w:sz w:val="22"/>
          <w:lang w:val="el-GR"/>
        </w:rPr>
        <w:t xml:space="preserve"> δεσμεύονται με </w:t>
      </w:r>
      <w:r w:rsidR="007B36BC" w:rsidRPr="007B36BC">
        <w:rPr>
          <w:lang w:val="el-GR"/>
        </w:rPr>
        <w:t>πρωτεΐνη</w:t>
      </w:r>
      <w:r w:rsidRPr="001C30BE">
        <w:rPr>
          <w:color w:val="auto"/>
          <w:sz w:val="22"/>
          <w:lang w:val="el-GR"/>
        </w:rPr>
        <w:t xml:space="preserve"> κατά 97,4% και 66% αντιστοίχως</w:t>
      </w:r>
      <w:r w:rsidR="00E53307" w:rsidRPr="00D75110">
        <w:rPr>
          <w:color w:val="auto"/>
          <w:sz w:val="22"/>
          <w:szCs w:val="22"/>
          <w:lang w:val="el-GR"/>
        </w:rPr>
        <w:t xml:space="preserve">. </w:t>
      </w:r>
    </w:p>
    <w:p w:rsidR="00E53307" w:rsidRPr="00D75110" w:rsidRDefault="00E53307" w:rsidP="00E53307">
      <w:pPr>
        <w:pStyle w:val="Default"/>
        <w:rPr>
          <w:color w:val="auto"/>
          <w:sz w:val="22"/>
          <w:lang w:val="el-GR"/>
        </w:rPr>
      </w:pPr>
    </w:p>
    <w:p w:rsidR="00917AD3" w:rsidRDefault="001C30BE">
      <w:pPr>
        <w:pStyle w:val="Default"/>
        <w:rPr>
          <w:sz w:val="22"/>
          <w:lang w:val="el-GR"/>
        </w:rPr>
      </w:pPr>
      <w:r w:rsidRPr="001C30BE">
        <w:rPr>
          <w:color w:val="auto"/>
          <w:sz w:val="22"/>
          <w:lang w:val="el-GR"/>
        </w:rPr>
        <w:t xml:space="preserve">Δεν υπάρχει ένδειξη ότι η σιλοσταζόλη επάγει τα ηπατικά </w:t>
      </w:r>
      <w:r w:rsidR="00E53307" w:rsidRPr="00D75110">
        <w:rPr>
          <w:color w:val="auto"/>
          <w:sz w:val="22"/>
          <w:szCs w:val="22"/>
          <w:lang w:val="el-GR"/>
        </w:rPr>
        <w:t>μικροσωμι</w:t>
      </w:r>
      <w:r w:rsidR="0041172F">
        <w:rPr>
          <w:color w:val="auto"/>
          <w:sz w:val="22"/>
          <w:szCs w:val="22"/>
          <w:lang w:val="el-GR"/>
        </w:rPr>
        <w:t>α</w:t>
      </w:r>
      <w:r w:rsidR="00E53307" w:rsidRPr="00D75110">
        <w:rPr>
          <w:color w:val="auto"/>
          <w:sz w:val="22"/>
          <w:szCs w:val="22"/>
          <w:lang w:val="el-GR"/>
        </w:rPr>
        <w:t>κά</w:t>
      </w:r>
      <w:r w:rsidRPr="001C30BE">
        <w:rPr>
          <w:color w:val="auto"/>
          <w:sz w:val="22"/>
          <w:lang w:val="el-GR"/>
        </w:rPr>
        <w:t xml:space="preserve"> ένζυμα</w:t>
      </w:r>
      <w:r w:rsidR="00E53307" w:rsidRPr="00D75110">
        <w:rPr>
          <w:color w:val="auto"/>
          <w:sz w:val="22"/>
          <w:szCs w:val="22"/>
          <w:lang w:val="el-GR"/>
        </w:rPr>
        <w:t xml:space="preserve">. </w:t>
      </w:r>
    </w:p>
    <w:p w:rsidR="00E53307" w:rsidRPr="00D75110" w:rsidRDefault="00E53307" w:rsidP="00E53307">
      <w:pPr>
        <w:pStyle w:val="Default"/>
        <w:rPr>
          <w:color w:val="auto"/>
          <w:sz w:val="22"/>
          <w:lang w:val="el-GR"/>
        </w:rPr>
      </w:pPr>
    </w:p>
    <w:p w:rsidR="00917AD3" w:rsidRDefault="001C30BE">
      <w:pPr>
        <w:pStyle w:val="Default"/>
        <w:rPr>
          <w:sz w:val="22"/>
          <w:lang w:val="el-GR"/>
        </w:rPr>
      </w:pPr>
      <w:r w:rsidRPr="001C30BE">
        <w:rPr>
          <w:color w:val="auto"/>
          <w:sz w:val="22"/>
          <w:lang w:val="el-GR"/>
        </w:rPr>
        <w:t>Η φαρμακοκινητική της σιλοσταζόλης και των μεταβολιτών της δεν επηρεάζεται σημαντικά από την ηλικία ή το φύλο σε υγιή άτομα ηλικίας μεταξύ 50-80 ετών.</w:t>
      </w:r>
      <w:r w:rsidR="00E53307" w:rsidRPr="00D75110">
        <w:rPr>
          <w:color w:val="auto"/>
          <w:sz w:val="22"/>
          <w:szCs w:val="22"/>
          <w:lang w:val="el-GR"/>
        </w:rPr>
        <w:t xml:space="preserve"> </w:t>
      </w:r>
    </w:p>
    <w:p w:rsidR="00E53307" w:rsidRPr="00D75110" w:rsidRDefault="00E53307" w:rsidP="00E53307">
      <w:pPr>
        <w:pStyle w:val="Default"/>
        <w:rPr>
          <w:color w:val="auto"/>
          <w:sz w:val="22"/>
          <w:lang w:val="el-GR"/>
        </w:rPr>
      </w:pPr>
    </w:p>
    <w:p w:rsidR="00917AD3" w:rsidRPr="00917AD3" w:rsidRDefault="001C30BE">
      <w:pPr>
        <w:pStyle w:val="Default"/>
        <w:rPr>
          <w:color w:val="auto"/>
          <w:lang w:val="el-GR"/>
        </w:rPr>
      </w:pPr>
      <w:r w:rsidRPr="001C30BE">
        <w:rPr>
          <w:color w:val="auto"/>
          <w:sz w:val="22"/>
          <w:lang w:val="el-GR"/>
        </w:rPr>
        <w:t xml:space="preserve">Σε άτομα με </w:t>
      </w:r>
      <w:r w:rsidR="007A077C" w:rsidRPr="00D75110">
        <w:rPr>
          <w:color w:val="auto"/>
          <w:sz w:val="22"/>
          <w:szCs w:val="22"/>
          <w:lang w:val="el-GR"/>
        </w:rPr>
        <w:t>σοβαρή</w:t>
      </w:r>
      <w:r w:rsidRPr="001C30BE">
        <w:rPr>
          <w:color w:val="auto"/>
          <w:sz w:val="22"/>
          <w:lang w:val="el-GR"/>
        </w:rPr>
        <w:t xml:space="preserve"> νεφρική </w:t>
      </w:r>
      <w:r w:rsidR="007A077C" w:rsidRPr="00D75110">
        <w:rPr>
          <w:color w:val="auto"/>
          <w:sz w:val="22"/>
          <w:szCs w:val="22"/>
          <w:lang w:val="el-GR"/>
        </w:rPr>
        <w:t>δυσλειτουργία</w:t>
      </w:r>
      <w:r w:rsidRPr="001C30BE">
        <w:rPr>
          <w:color w:val="auto"/>
          <w:sz w:val="22"/>
          <w:lang w:val="el-GR"/>
        </w:rPr>
        <w:t xml:space="preserve">, το ελεύθερο κλάσμα σιλοσταζόλης ήταν κατά 27% υψηλότερο και αμφότερες οι </w:t>
      </w:r>
      <w:r w:rsidRPr="001C30BE">
        <w:rPr>
          <w:color w:val="auto"/>
          <w:sz w:val="22"/>
        </w:rPr>
        <w:t>C</w:t>
      </w:r>
      <w:r w:rsidRPr="001C30BE">
        <w:rPr>
          <w:color w:val="auto"/>
          <w:sz w:val="14"/>
        </w:rPr>
        <w:t>max</w:t>
      </w:r>
      <w:r w:rsidRPr="001C30BE">
        <w:rPr>
          <w:color w:val="auto"/>
          <w:sz w:val="14"/>
          <w:lang w:val="el-GR"/>
        </w:rPr>
        <w:t xml:space="preserve"> </w:t>
      </w:r>
      <w:r w:rsidRPr="001C30BE">
        <w:rPr>
          <w:color w:val="auto"/>
          <w:sz w:val="22"/>
          <w:lang w:val="el-GR"/>
        </w:rPr>
        <w:t xml:space="preserve">και </w:t>
      </w:r>
      <w:r w:rsidRPr="001C30BE">
        <w:rPr>
          <w:color w:val="auto"/>
          <w:sz w:val="22"/>
        </w:rPr>
        <w:t>AUC</w:t>
      </w:r>
      <w:r w:rsidRPr="001C30BE">
        <w:rPr>
          <w:color w:val="auto"/>
          <w:sz w:val="22"/>
          <w:lang w:val="el-GR"/>
        </w:rPr>
        <w:t xml:space="preserve"> ήταν κατά 29% και 39% χαμηλότερες </w:t>
      </w:r>
      <w:r w:rsidR="00EF3327">
        <w:rPr>
          <w:color w:val="auto"/>
          <w:sz w:val="22"/>
          <w:szCs w:val="22"/>
          <w:lang w:val="el-GR"/>
        </w:rPr>
        <w:t>αντίστοιχα</w:t>
      </w:r>
      <w:r w:rsidRPr="001C30BE">
        <w:rPr>
          <w:color w:val="auto"/>
          <w:sz w:val="22"/>
          <w:lang w:val="el-GR"/>
        </w:rPr>
        <w:t xml:space="preserve"> από </w:t>
      </w:r>
      <w:r w:rsidR="007A077C" w:rsidRPr="00D75110">
        <w:rPr>
          <w:color w:val="auto"/>
          <w:sz w:val="22"/>
          <w:szCs w:val="22"/>
          <w:lang w:val="el-GR"/>
        </w:rPr>
        <w:t>ότι</w:t>
      </w:r>
      <w:r w:rsidRPr="001C30BE">
        <w:rPr>
          <w:color w:val="auto"/>
          <w:sz w:val="22"/>
          <w:lang w:val="el-GR"/>
        </w:rPr>
        <w:t xml:space="preserve"> σε άτομα με φυσιολογική νεφρική λειτουργία. Η </w:t>
      </w:r>
      <w:r w:rsidRPr="001C30BE">
        <w:rPr>
          <w:color w:val="auto"/>
          <w:sz w:val="22"/>
        </w:rPr>
        <w:t>C</w:t>
      </w:r>
      <w:r w:rsidRPr="001C30BE">
        <w:rPr>
          <w:color w:val="auto"/>
          <w:sz w:val="14"/>
        </w:rPr>
        <w:t>max</w:t>
      </w:r>
      <w:r w:rsidRPr="001C30BE">
        <w:rPr>
          <w:color w:val="auto"/>
          <w:sz w:val="14"/>
          <w:lang w:val="el-GR"/>
        </w:rPr>
        <w:t xml:space="preserve"> </w:t>
      </w:r>
      <w:r w:rsidRPr="001C30BE">
        <w:rPr>
          <w:color w:val="auto"/>
          <w:sz w:val="22"/>
          <w:lang w:val="el-GR"/>
        </w:rPr>
        <w:t xml:space="preserve">και η </w:t>
      </w:r>
      <w:r w:rsidRPr="001C30BE">
        <w:rPr>
          <w:color w:val="auto"/>
          <w:sz w:val="22"/>
        </w:rPr>
        <w:t>AUC</w:t>
      </w:r>
      <w:r w:rsidRPr="001C30BE">
        <w:rPr>
          <w:color w:val="auto"/>
          <w:sz w:val="22"/>
          <w:lang w:val="el-GR"/>
        </w:rPr>
        <w:t xml:space="preserve"> του δεϋδρο-μεταβολίτη ήταν κατά 41% και 47% χαμηλότερες </w:t>
      </w:r>
      <w:r w:rsidR="004F5D3D">
        <w:rPr>
          <w:color w:val="auto"/>
          <w:sz w:val="22"/>
          <w:szCs w:val="22"/>
          <w:lang w:val="el-GR"/>
        </w:rPr>
        <w:t>αντίστοιχα</w:t>
      </w:r>
      <w:r w:rsidRPr="001C30BE">
        <w:rPr>
          <w:color w:val="auto"/>
          <w:sz w:val="22"/>
          <w:lang w:val="el-GR"/>
        </w:rPr>
        <w:t xml:space="preserve"> σε άτομα με </w:t>
      </w:r>
      <w:r w:rsidR="007A077C" w:rsidRPr="00D75110">
        <w:rPr>
          <w:color w:val="auto"/>
          <w:sz w:val="22"/>
          <w:szCs w:val="22"/>
          <w:lang w:val="el-GR"/>
        </w:rPr>
        <w:t>σοβαρή</w:t>
      </w:r>
      <w:r w:rsidRPr="001C30BE">
        <w:rPr>
          <w:color w:val="auto"/>
          <w:sz w:val="22"/>
          <w:lang w:val="el-GR"/>
        </w:rPr>
        <w:t xml:space="preserve"> νεφρική </w:t>
      </w:r>
      <w:r w:rsidR="007A077C" w:rsidRPr="00D75110">
        <w:rPr>
          <w:color w:val="auto"/>
          <w:sz w:val="22"/>
          <w:szCs w:val="22"/>
          <w:lang w:val="el-GR"/>
        </w:rPr>
        <w:t>δυσλειτουργία</w:t>
      </w:r>
      <w:r w:rsidRPr="001C30BE">
        <w:rPr>
          <w:color w:val="auto"/>
          <w:sz w:val="22"/>
          <w:lang w:val="el-GR"/>
        </w:rPr>
        <w:t xml:space="preserve"> σε σύγκριση με τα άτομα με φυσιολογική νεφρική λειτουργία. Η </w:t>
      </w:r>
      <w:r w:rsidRPr="001C30BE">
        <w:rPr>
          <w:color w:val="auto"/>
          <w:sz w:val="22"/>
        </w:rPr>
        <w:t>C</w:t>
      </w:r>
      <w:r w:rsidRPr="001C30BE">
        <w:rPr>
          <w:color w:val="auto"/>
          <w:sz w:val="14"/>
        </w:rPr>
        <w:t>max</w:t>
      </w:r>
      <w:r w:rsidRPr="001C30BE">
        <w:rPr>
          <w:color w:val="auto"/>
          <w:sz w:val="14"/>
          <w:lang w:val="el-GR"/>
        </w:rPr>
        <w:t xml:space="preserve"> </w:t>
      </w:r>
      <w:r w:rsidRPr="001C30BE">
        <w:rPr>
          <w:color w:val="auto"/>
          <w:sz w:val="22"/>
          <w:lang w:val="el-GR"/>
        </w:rPr>
        <w:t xml:space="preserve">και η </w:t>
      </w:r>
      <w:r w:rsidRPr="001C30BE">
        <w:rPr>
          <w:color w:val="auto"/>
          <w:sz w:val="22"/>
        </w:rPr>
        <w:t>AUC</w:t>
      </w:r>
      <w:r w:rsidRPr="001C30BE">
        <w:rPr>
          <w:color w:val="auto"/>
          <w:sz w:val="22"/>
          <w:lang w:val="el-GR"/>
        </w:rPr>
        <w:t xml:space="preserve"> της 4’-τρανς-υδρόξυ σιλοσταζόλης ήταν κατά 173% και 209% μεγαλύτερες σε άτομα με </w:t>
      </w:r>
      <w:r w:rsidR="007A077C" w:rsidRPr="00D75110">
        <w:rPr>
          <w:color w:val="auto"/>
          <w:sz w:val="22"/>
          <w:szCs w:val="22"/>
          <w:lang w:val="el-GR"/>
        </w:rPr>
        <w:t>σοβαρή</w:t>
      </w:r>
      <w:r w:rsidRPr="001C30BE">
        <w:rPr>
          <w:color w:val="auto"/>
          <w:sz w:val="22"/>
          <w:lang w:val="el-GR"/>
        </w:rPr>
        <w:t xml:space="preserve"> νεφρική </w:t>
      </w:r>
      <w:r w:rsidR="007A077C" w:rsidRPr="00D75110">
        <w:rPr>
          <w:color w:val="auto"/>
          <w:sz w:val="22"/>
          <w:szCs w:val="22"/>
          <w:lang w:val="el-GR"/>
        </w:rPr>
        <w:t>δυσλειτουργία</w:t>
      </w:r>
      <w:r w:rsidRPr="001C30BE">
        <w:rPr>
          <w:color w:val="auto"/>
          <w:sz w:val="22"/>
          <w:lang w:val="el-GR"/>
        </w:rPr>
        <w:t>. Το φάρμακο δεν πρέπει να χορηγείται σε ασθενείς με κάθαρση κρεατινίνης &lt;25</w:t>
      </w:r>
      <w:r w:rsidRPr="001C30BE">
        <w:rPr>
          <w:color w:val="auto"/>
          <w:sz w:val="22"/>
        </w:rPr>
        <w:t>ml</w:t>
      </w:r>
      <w:r w:rsidRPr="001C30BE">
        <w:rPr>
          <w:color w:val="auto"/>
          <w:sz w:val="22"/>
          <w:lang w:val="el-GR"/>
        </w:rPr>
        <w:t>/</w:t>
      </w:r>
      <w:r w:rsidRPr="001C30BE">
        <w:rPr>
          <w:color w:val="auto"/>
          <w:sz w:val="22"/>
        </w:rPr>
        <w:t>min</w:t>
      </w:r>
      <w:r w:rsidRPr="001C30BE">
        <w:rPr>
          <w:color w:val="auto"/>
          <w:sz w:val="22"/>
          <w:lang w:val="el-GR"/>
        </w:rPr>
        <w:t xml:space="preserve"> (βλ. παράγραφο 4.3). </w:t>
      </w:r>
    </w:p>
    <w:p w:rsidR="00E53307" w:rsidRPr="00D75110" w:rsidRDefault="00E53307" w:rsidP="00E53307">
      <w:pPr>
        <w:pStyle w:val="Default"/>
        <w:rPr>
          <w:color w:val="auto"/>
          <w:sz w:val="22"/>
          <w:lang w:val="el-GR"/>
        </w:rPr>
      </w:pPr>
    </w:p>
    <w:p w:rsidR="00917AD3" w:rsidRDefault="001C30BE">
      <w:r w:rsidRPr="001C30BE">
        <w:t xml:space="preserve">Δεν </w:t>
      </w:r>
      <w:r w:rsidR="00B77701">
        <w:rPr>
          <w:szCs w:val="22"/>
        </w:rPr>
        <w:t>υπάρχουν</w:t>
      </w:r>
      <w:r w:rsidRPr="001C30BE">
        <w:t xml:space="preserve"> δεδομένα για ασθενείς με μέτρια έως </w:t>
      </w:r>
      <w:r w:rsidR="00B77701">
        <w:rPr>
          <w:szCs w:val="22"/>
        </w:rPr>
        <w:t>σοβαρή</w:t>
      </w:r>
      <w:r w:rsidRPr="001C30BE">
        <w:t xml:space="preserve"> ηπατική δυσλειτουργία και επειδή η σιλοσταζόλη μεταβολίζεται εκτενώς από τα ηπατικά ένζυμα, το φάρμακο δεν πρέπει να χρησιμοποιείται σε αυτούς τους ασθενείς (βλ. παράγραφο 4.3).</w:t>
      </w:r>
      <w:r w:rsidR="00E53307" w:rsidRPr="00D75110">
        <w:rPr>
          <w:szCs w:val="22"/>
        </w:rPr>
        <w:t xml:space="preserve"> </w:t>
      </w:r>
    </w:p>
    <w:p w:rsidR="00917AD3" w:rsidRDefault="00917AD3">
      <w:pPr>
        <w:rPr>
          <w:i/>
        </w:rPr>
      </w:pPr>
    </w:p>
    <w:p w:rsidR="00917AD3" w:rsidRDefault="001C30BE">
      <w:r w:rsidRPr="001C30BE">
        <w:rPr>
          <w:b/>
        </w:rPr>
        <w:t>5.3</w:t>
      </w:r>
      <w:r w:rsidR="00496809" w:rsidRPr="00D75110">
        <w:rPr>
          <w:b/>
          <w:szCs w:val="22"/>
        </w:rPr>
        <w:tab/>
      </w:r>
      <w:r w:rsidR="00A71131">
        <w:rPr>
          <w:b/>
        </w:rPr>
        <w:t>Προκλινικά δεδομένα για την ασφάλεια</w:t>
      </w:r>
    </w:p>
    <w:p w:rsidR="00496809" w:rsidRPr="00D75110" w:rsidRDefault="00496809" w:rsidP="005453E2">
      <w:pPr>
        <w:rPr>
          <w:szCs w:val="22"/>
        </w:rPr>
      </w:pPr>
    </w:p>
    <w:p w:rsidR="00917AD3" w:rsidRDefault="001C30BE">
      <w:pPr>
        <w:pStyle w:val="Default"/>
        <w:rPr>
          <w:sz w:val="22"/>
          <w:lang w:val="el-GR"/>
        </w:rPr>
      </w:pPr>
      <w:r w:rsidRPr="001C30BE">
        <w:rPr>
          <w:color w:val="auto"/>
          <w:sz w:val="22"/>
          <w:lang w:val="el-GR"/>
        </w:rPr>
        <w:t xml:space="preserve">Η σιλοσταζόλη και διάφοροι μεταβολίτες της είναι αναστολείς της φωσφοδιεστεράσης </w:t>
      </w:r>
      <w:r w:rsidRPr="001C30BE">
        <w:rPr>
          <w:color w:val="auto"/>
          <w:sz w:val="22"/>
        </w:rPr>
        <w:t>III</w:t>
      </w:r>
      <w:r w:rsidRPr="001C30BE">
        <w:rPr>
          <w:color w:val="auto"/>
          <w:sz w:val="22"/>
          <w:lang w:val="el-GR"/>
        </w:rPr>
        <w:t xml:space="preserve"> που καταστέλλουν την </w:t>
      </w:r>
      <w:r w:rsidR="00E53307" w:rsidRPr="00D75110">
        <w:rPr>
          <w:color w:val="auto"/>
          <w:sz w:val="22"/>
          <w:szCs w:val="22"/>
          <w:lang w:val="el-GR"/>
        </w:rPr>
        <w:t>απο</w:t>
      </w:r>
      <w:r w:rsidR="005806EF">
        <w:rPr>
          <w:color w:val="auto"/>
          <w:sz w:val="22"/>
          <w:szCs w:val="22"/>
          <w:lang w:val="el-GR"/>
        </w:rPr>
        <w:t>ικο</w:t>
      </w:r>
      <w:r w:rsidR="00E53307" w:rsidRPr="00D75110">
        <w:rPr>
          <w:color w:val="auto"/>
          <w:sz w:val="22"/>
          <w:szCs w:val="22"/>
          <w:lang w:val="el-GR"/>
        </w:rPr>
        <w:t>δόμηση</w:t>
      </w:r>
      <w:r w:rsidRPr="001C30BE">
        <w:rPr>
          <w:color w:val="auto"/>
          <w:sz w:val="22"/>
          <w:lang w:val="el-GR"/>
        </w:rPr>
        <w:t xml:space="preserve"> του κυκλικού </w:t>
      </w:r>
      <w:r w:rsidRPr="001C30BE">
        <w:rPr>
          <w:color w:val="auto"/>
          <w:sz w:val="22"/>
        </w:rPr>
        <w:t>AMP</w:t>
      </w:r>
      <w:r w:rsidRPr="001C30BE">
        <w:rPr>
          <w:color w:val="auto"/>
          <w:sz w:val="22"/>
          <w:lang w:val="el-GR"/>
        </w:rPr>
        <w:t xml:space="preserve">, με αποτέλεσμα την αύξηση του </w:t>
      </w:r>
      <w:r w:rsidRPr="001C30BE">
        <w:rPr>
          <w:color w:val="auto"/>
          <w:sz w:val="22"/>
        </w:rPr>
        <w:t>cAMP</w:t>
      </w:r>
      <w:r w:rsidRPr="001C30BE">
        <w:rPr>
          <w:color w:val="auto"/>
          <w:sz w:val="22"/>
          <w:lang w:val="el-GR"/>
        </w:rPr>
        <w:t xml:space="preserve"> σε μια ποικιλία ιστών συμπεριλαμβανομένων </w:t>
      </w:r>
      <w:r w:rsidR="007A077C" w:rsidRPr="00D75110">
        <w:rPr>
          <w:color w:val="auto"/>
          <w:sz w:val="22"/>
          <w:szCs w:val="22"/>
          <w:lang w:val="el-GR"/>
        </w:rPr>
        <w:t xml:space="preserve">των </w:t>
      </w:r>
      <w:r w:rsidRPr="001C30BE">
        <w:rPr>
          <w:color w:val="auto"/>
          <w:sz w:val="22"/>
          <w:lang w:val="el-GR"/>
        </w:rPr>
        <w:t>αιμοπεταλίων και</w:t>
      </w:r>
      <w:r w:rsidR="00E53307" w:rsidRPr="00D75110">
        <w:rPr>
          <w:color w:val="auto"/>
          <w:sz w:val="22"/>
          <w:szCs w:val="22"/>
          <w:lang w:val="el-GR"/>
        </w:rPr>
        <w:t xml:space="preserve"> </w:t>
      </w:r>
      <w:r w:rsidR="007A077C" w:rsidRPr="00D75110">
        <w:rPr>
          <w:color w:val="auto"/>
          <w:sz w:val="22"/>
          <w:szCs w:val="22"/>
          <w:lang w:val="el-GR"/>
        </w:rPr>
        <w:t>των</w:t>
      </w:r>
      <w:r w:rsidRPr="001C30BE">
        <w:rPr>
          <w:color w:val="auto"/>
          <w:sz w:val="22"/>
          <w:lang w:val="el-GR"/>
        </w:rPr>
        <w:t xml:space="preserve"> αιμοφόρων αγγείων. Όπως και άλλοι θετικοί ινότροποι και αγγειοδιασταλτικοί παράγοντες, η σιλοσταζόλη </w:t>
      </w:r>
      <w:r w:rsidR="0071403C">
        <w:rPr>
          <w:color w:val="auto"/>
          <w:sz w:val="22"/>
          <w:szCs w:val="22"/>
          <w:lang w:val="el-GR"/>
        </w:rPr>
        <w:t>προκάλεσε</w:t>
      </w:r>
      <w:r w:rsidRPr="001C30BE">
        <w:rPr>
          <w:color w:val="auto"/>
          <w:sz w:val="22"/>
          <w:lang w:val="el-GR"/>
        </w:rPr>
        <w:t xml:space="preserve"> καρδιαγγειακές βλάβες σε σκύλους. Τέτοιες βλάβες δεν παρατηρήθηκαν σε </w:t>
      </w:r>
      <w:r w:rsidR="00DF7931">
        <w:rPr>
          <w:color w:val="auto"/>
          <w:sz w:val="22"/>
          <w:szCs w:val="22"/>
          <w:lang w:val="el-GR"/>
        </w:rPr>
        <w:t>αρουραίους</w:t>
      </w:r>
      <w:r w:rsidRPr="001C30BE">
        <w:rPr>
          <w:color w:val="auto"/>
          <w:sz w:val="22"/>
          <w:lang w:val="el-GR"/>
        </w:rPr>
        <w:t xml:space="preserve"> ή πιθήκους και θεωρούνται ειδικές για το είδος. Η διερεύνηση του </w:t>
      </w:r>
      <w:r w:rsidRPr="001C30BE">
        <w:rPr>
          <w:color w:val="auto"/>
          <w:sz w:val="22"/>
        </w:rPr>
        <w:t>QTc</w:t>
      </w:r>
      <w:r w:rsidRPr="001C30BE">
        <w:rPr>
          <w:color w:val="auto"/>
          <w:sz w:val="22"/>
          <w:lang w:val="el-GR"/>
        </w:rPr>
        <w:t xml:space="preserve"> σε σκύλους και πιθήκους δεν έδειξε παράταση μετά από χορήγηση σιλοσταζόλης ή μεταβολιτών της. </w:t>
      </w:r>
    </w:p>
    <w:p w:rsidR="00917AD3" w:rsidRDefault="001C30BE">
      <w:pPr>
        <w:pStyle w:val="Default"/>
        <w:rPr>
          <w:sz w:val="22"/>
          <w:lang w:val="el-GR"/>
        </w:rPr>
      </w:pPr>
      <w:r w:rsidRPr="001C30BE">
        <w:rPr>
          <w:color w:val="auto"/>
          <w:sz w:val="22"/>
          <w:lang w:val="el-GR"/>
        </w:rPr>
        <w:t xml:space="preserve">Οι μελέτες μεταλλαξιογένεσης ήταν αρνητικές για βακτηριακή μετάλλαξη γονιδίων, αποκατάσταση βακτηριακού </w:t>
      </w:r>
      <w:r w:rsidRPr="001C30BE">
        <w:rPr>
          <w:color w:val="auto"/>
          <w:sz w:val="22"/>
        </w:rPr>
        <w:t>DNA</w:t>
      </w:r>
      <w:r w:rsidRPr="001C30BE">
        <w:rPr>
          <w:color w:val="auto"/>
          <w:sz w:val="22"/>
          <w:lang w:val="el-GR"/>
        </w:rPr>
        <w:t xml:space="preserve">, μετάλλαξη γονιδίων κυττάρων θηλαστικών και χρωμοσωμικές ανωμαλίες μυελού των οστών </w:t>
      </w:r>
      <w:r w:rsidRPr="001C30BE">
        <w:rPr>
          <w:i/>
          <w:color w:val="auto"/>
          <w:sz w:val="22"/>
        </w:rPr>
        <w:t>in</w:t>
      </w:r>
      <w:r w:rsidRPr="001C30BE">
        <w:rPr>
          <w:i/>
          <w:color w:val="auto"/>
          <w:sz w:val="22"/>
          <w:lang w:val="el-GR"/>
        </w:rPr>
        <w:t xml:space="preserve"> </w:t>
      </w:r>
      <w:r w:rsidRPr="001C30BE">
        <w:rPr>
          <w:i/>
          <w:color w:val="auto"/>
          <w:sz w:val="22"/>
        </w:rPr>
        <w:t>vivo</w:t>
      </w:r>
      <w:r w:rsidRPr="001C30BE">
        <w:rPr>
          <w:i/>
          <w:color w:val="auto"/>
          <w:sz w:val="22"/>
          <w:lang w:val="el-GR"/>
        </w:rPr>
        <w:t xml:space="preserve"> </w:t>
      </w:r>
      <w:r w:rsidRPr="001C30BE">
        <w:rPr>
          <w:color w:val="auto"/>
          <w:sz w:val="22"/>
          <w:lang w:val="el-GR"/>
        </w:rPr>
        <w:t xml:space="preserve">σε </w:t>
      </w:r>
      <w:r w:rsidR="00DF7931">
        <w:rPr>
          <w:color w:val="auto"/>
          <w:sz w:val="22"/>
          <w:szCs w:val="22"/>
          <w:lang w:val="el-GR"/>
        </w:rPr>
        <w:t>ποντικούς</w:t>
      </w:r>
      <w:r w:rsidRPr="001C30BE">
        <w:rPr>
          <w:color w:val="auto"/>
          <w:sz w:val="22"/>
          <w:lang w:val="el-GR"/>
        </w:rPr>
        <w:t xml:space="preserve">. Σε </w:t>
      </w:r>
      <w:r w:rsidRPr="001C30BE">
        <w:rPr>
          <w:i/>
          <w:color w:val="auto"/>
          <w:sz w:val="22"/>
        </w:rPr>
        <w:t>in</w:t>
      </w:r>
      <w:r w:rsidRPr="001C30BE">
        <w:rPr>
          <w:i/>
          <w:color w:val="auto"/>
          <w:sz w:val="22"/>
          <w:lang w:val="el-GR"/>
        </w:rPr>
        <w:t xml:space="preserve"> </w:t>
      </w:r>
      <w:r w:rsidRPr="001C30BE">
        <w:rPr>
          <w:i/>
          <w:color w:val="auto"/>
          <w:sz w:val="22"/>
        </w:rPr>
        <w:t>vitro</w:t>
      </w:r>
      <w:r w:rsidRPr="001C30BE">
        <w:rPr>
          <w:i/>
          <w:color w:val="auto"/>
          <w:sz w:val="22"/>
          <w:lang w:val="el-GR"/>
        </w:rPr>
        <w:t xml:space="preserve"> </w:t>
      </w:r>
      <w:r w:rsidRPr="001C30BE">
        <w:rPr>
          <w:color w:val="auto"/>
          <w:sz w:val="22"/>
          <w:lang w:val="el-GR"/>
        </w:rPr>
        <w:t xml:space="preserve">δοκιμασίες σε κύτταρα ωοθηκών κινέζικων χάμστερ, η σιλοσταζόλη </w:t>
      </w:r>
      <w:r w:rsidR="00D934FA">
        <w:rPr>
          <w:color w:val="auto"/>
          <w:sz w:val="22"/>
          <w:szCs w:val="22"/>
          <w:lang w:val="el-GR"/>
        </w:rPr>
        <w:t>προκάλεσε</w:t>
      </w:r>
      <w:r w:rsidRPr="001C30BE">
        <w:rPr>
          <w:color w:val="auto"/>
          <w:sz w:val="22"/>
          <w:lang w:val="el-GR"/>
        </w:rPr>
        <w:t xml:space="preserve"> ασθενή αλλά σημαντική αύξηση στη συχνότητα χρωμοσωμικών ανωμαλιών. Δεν παρατηρήθηκαν ασυνήθεις νεοπλασματικές εκβάσεις σε διετείς μελέτες καρκινογονόνου δράσης σε </w:t>
      </w:r>
      <w:r w:rsidR="00B070F8">
        <w:rPr>
          <w:color w:val="auto"/>
          <w:sz w:val="22"/>
          <w:szCs w:val="22"/>
          <w:lang w:val="el-GR"/>
        </w:rPr>
        <w:t>αρουραίους</w:t>
      </w:r>
      <w:r w:rsidR="00B070F8" w:rsidRPr="00D75110">
        <w:rPr>
          <w:color w:val="auto"/>
          <w:sz w:val="22"/>
          <w:szCs w:val="22"/>
          <w:lang w:val="el-GR"/>
        </w:rPr>
        <w:t xml:space="preserve"> </w:t>
      </w:r>
      <w:r w:rsidR="00B070F8">
        <w:rPr>
          <w:color w:val="auto"/>
          <w:sz w:val="22"/>
          <w:szCs w:val="22"/>
          <w:lang w:val="el-GR"/>
        </w:rPr>
        <w:t>μ</w:t>
      </w:r>
      <w:r w:rsidR="00E53307" w:rsidRPr="00D75110">
        <w:rPr>
          <w:color w:val="auto"/>
          <w:sz w:val="22"/>
          <w:szCs w:val="22"/>
          <w:lang w:val="el-GR"/>
        </w:rPr>
        <w:t>ε</w:t>
      </w:r>
      <w:r w:rsidRPr="001C30BE">
        <w:rPr>
          <w:color w:val="auto"/>
          <w:sz w:val="22"/>
          <w:lang w:val="el-GR"/>
        </w:rPr>
        <w:t xml:space="preserve"> από στόματος (διατροφικές) δόσεις έως 500 </w:t>
      </w:r>
      <w:r w:rsidRPr="001C30BE">
        <w:rPr>
          <w:color w:val="auto"/>
          <w:sz w:val="22"/>
        </w:rPr>
        <w:t>mg</w:t>
      </w:r>
      <w:r w:rsidRPr="001C30BE">
        <w:rPr>
          <w:color w:val="auto"/>
          <w:sz w:val="22"/>
          <w:lang w:val="el-GR"/>
        </w:rPr>
        <w:t>/</w:t>
      </w:r>
      <w:r w:rsidRPr="001C30BE">
        <w:rPr>
          <w:color w:val="auto"/>
          <w:sz w:val="22"/>
        </w:rPr>
        <w:t>kg</w:t>
      </w:r>
      <w:r w:rsidRPr="001C30BE">
        <w:rPr>
          <w:color w:val="auto"/>
          <w:sz w:val="22"/>
          <w:lang w:val="el-GR"/>
        </w:rPr>
        <w:t xml:space="preserve">/ημέρα, και σε </w:t>
      </w:r>
      <w:r w:rsidR="00B070F8">
        <w:rPr>
          <w:color w:val="auto"/>
          <w:sz w:val="22"/>
          <w:szCs w:val="22"/>
          <w:lang w:val="el-GR"/>
        </w:rPr>
        <w:t>ποντικούς</w:t>
      </w:r>
      <w:r w:rsidR="00B070F8" w:rsidRPr="00D75110">
        <w:rPr>
          <w:color w:val="auto"/>
          <w:sz w:val="22"/>
          <w:szCs w:val="22"/>
          <w:lang w:val="el-GR"/>
        </w:rPr>
        <w:t xml:space="preserve"> </w:t>
      </w:r>
      <w:r w:rsidR="00834661">
        <w:rPr>
          <w:color w:val="auto"/>
          <w:sz w:val="22"/>
          <w:szCs w:val="22"/>
          <w:lang w:val="el-GR"/>
        </w:rPr>
        <w:t>με</w:t>
      </w:r>
      <w:r w:rsidRPr="001C30BE">
        <w:rPr>
          <w:color w:val="auto"/>
          <w:sz w:val="22"/>
          <w:lang w:val="el-GR"/>
        </w:rPr>
        <w:t xml:space="preserve"> δόσεις έως 1.000 </w:t>
      </w:r>
      <w:r w:rsidRPr="001C30BE">
        <w:rPr>
          <w:color w:val="auto"/>
          <w:sz w:val="22"/>
        </w:rPr>
        <w:t>mg</w:t>
      </w:r>
      <w:r w:rsidRPr="001C30BE">
        <w:rPr>
          <w:color w:val="auto"/>
          <w:sz w:val="22"/>
          <w:lang w:val="el-GR"/>
        </w:rPr>
        <w:t>/</w:t>
      </w:r>
      <w:r w:rsidRPr="001C30BE">
        <w:rPr>
          <w:color w:val="auto"/>
          <w:sz w:val="22"/>
        </w:rPr>
        <w:t>kg</w:t>
      </w:r>
      <w:r w:rsidRPr="001C30BE">
        <w:rPr>
          <w:color w:val="auto"/>
          <w:sz w:val="22"/>
          <w:lang w:val="el-GR"/>
        </w:rPr>
        <w:t>/ημέρα.</w:t>
      </w:r>
      <w:r w:rsidR="00E53307" w:rsidRPr="00D75110">
        <w:rPr>
          <w:color w:val="auto"/>
          <w:sz w:val="22"/>
          <w:szCs w:val="22"/>
          <w:lang w:val="el-GR"/>
        </w:rPr>
        <w:t xml:space="preserve"> </w:t>
      </w:r>
    </w:p>
    <w:p w:rsidR="00984BC2" w:rsidRDefault="00984BC2"/>
    <w:p w:rsidR="00917AD3" w:rsidRDefault="001C30BE">
      <w:r w:rsidRPr="001C30BE">
        <w:t xml:space="preserve">Σε </w:t>
      </w:r>
      <w:r w:rsidR="008C24AC">
        <w:rPr>
          <w:szCs w:val="22"/>
        </w:rPr>
        <w:t>αρουραίους</w:t>
      </w:r>
      <w:r w:rsidRPr="001C30BE">
        <w:t xml:space="preserve"> στους οποίους χορηγήθηκε δόση κατά τη διάρκεια της κύησης, μειώθηκαν τα βάρη των εμβρύων. Επιπρόσθετα, σε υψηλά επίπεδα δόσης παρατηρήθηκε μια αύξηση σε έμβρυα με εξωτερικές, σπλαχνικές και σκελετικές ανωμαλίες. Σε χαμηλότερα επίπεδα δόσης, παρατηρήθηκαν καθυστερήσεις οστεοποίησης. Η έκθεση σε προχωρημένο στάδιο της εγκυμοσύνης οδήγησε σε αυξημένη συχνότητα θανάτων </w:t>
      </w:r>
      <w:r w:rsidR="00823395">
        <w:rPr>
          <w:szCs w:val="22"/>
        </w:rPr>
        <w:t>στα νεογνά</w:t>
      </w:r>
      <w:r w:rsidRPr="001C30BE">
        <w:t xml:space="preserve"> και χαμηλότερα βάρη απογόνων. Σε </w:t>
      </w:r>
      <w:r w:rsidR="00A97479">
        <w:rPr>
          <w:szCs w:val="22"/>
        </w:rPr>
        <w:t>κουνέλια</w:t>
      </w:r>
      <w:r w:rsidRPr="001C30BE">
        <w:t xml:space="preserve"> παρατηρήθηκε αυξημένη συχνότητα επιβράδυνσης της οστεοποίησης του στέρνου.</w:t>
      </w:r>
    </w:p>
    <w:p w:rsidR="00984BC2" w:rsidRDefault="00984BC2"/>
    <w:p w:rsidR="00984BC2" w:rsidRDefault="00984BC2"/>
    <w:p w:rsidR="00917AD3" w:rsidRDefault="00A71131">
      <w:r>
        <w:rPr>
          <w:b/>
        </w:rPr>
        <w:t>6.</w:t>
      </w:r>
      <w:r w:rsidR="00496809" w:rsidRPr="00D75110">
        <w:rPr>
          <w:b/>
          <w:szCs w:val="22"/>
        </w:rPr>
        <w:tab/>
      </w:r>
      <w:r w:rsidR="001C30BE" w:rsidRPr="001C30BE">
        <w:rPr>
          <w:b/>
        </w:rPr>
        <w:t>ΦΑΡΜΑΚΕΥΤΙΚΕΣ ΠΛΗΡΟΦΟΡΙΕΣ</w:t>
      </w:r>
    </w:p>
    <w:p w:rsidR="00917AD3" w:rsidRDefault="00917AD3">
      <w:pPr>
        <w:pStyle w:val="a3"/>
        <w:tabs>
          <w:tab w:val="clear" w:pos="4153"/>
          <w:tab w:val="clear" w:pos="8306"/>
        </w:tabs>
      </w:pPr>
    </w:p>
    <w:p w:rsidR="00917AD3" w:rsidRDefault="001C30BE">
      <w:r w:rsidRPr="001C30BE">
        <w:rPr>
          <w:b/>
        </w:rPr>
        <w:t>6.1</w:t>
      </w:r>
      <w:r w:rsidR="00496809" w:rsidRPr="00D75110">
        <w:rPr>
          <w:b/>
          <w:szCs w:val="22"/>
        </w:rPr>
        <w:tab/>
      </w:r>
      <w:r w:rsidRPr="001C30BE">
        <w:rPr>
          <w:b/>
        </w:rPr>
        <w:t>Κατάλογος εκδόχων</w:t>
      </w:r>
    </w:p>
    <w:p w:rsidR="00496809" w:rsidRPr="00D75110" w:rsidRDefault="00496809" w:rsidP="005453E2">
      <w:pPr>
        <w:rPr>
          <w:szCs w:val="22"/>
        </w:rPr>
      </w:pPr>
    </w:p>
    <w:p w:rsidR="00E53307" w:rsidRPr="00D75110" w:rsidRDefault="00E53307" w:rsidP="005453E2">
      <w:pPr>
        <w:rPr>
          <w:szCs w:val="22"/>
        </w:rPr>
      </w:pPr>
      <w:r w:rsidRPr="00D75110">
        <w:rPr>
          <w:szCs w:val="22"/>
        </w:rPr>
        <w:t>Άμυλο αραβοσίτου</w:t>
      </w:r>
    </w:p>
    <w:p w:rsidR="00E53307" w:rsidRPr="00D75110" w:rsidRDefault="00E53307" w:rsidP="005453E2">
      <w:pPr>
        <w:rPr>
          <w:szCs w:val="22"/>
        </w:rPr>
      </w:pPr>
      <w:r w:rsidRPr="00D75110">
        <w:rPr>
          <w:szCs w:val="22"/>
        </w:rPr>
        <w:t>Μικροκρυσταλλική κυτταρίνη</w:t>
      </w:r>
    </w:p>
    <w:p w:rsidR="00E53307" w:rsidRPr="00D75110" w:rsidRDefault="00E53307" w:rsidP="005453E2">
      <w:pPr>
        <w:rPr>
          <w:szCs w:val="22"/>
        </w:rPr>
      </w:pPr>
      <w:r w:rsidRPr="00D75110">
        <w:rPr>
          <w:szCs w:val="22"/>
        </w:rPr>
        <w:t>Ασβεστούχος καρμελλόζη</w:t>
      </w:r>
    </w:p>
    <w:p w:rsidR="00917AD3" w:rsidRDefault="00E53307">
      <w:r w:rsidRPr="00D75110">
        <w:rPr>
          <w:szCs w:val="22"/>
        </w:rPr>
        <w:t>Υπρομελλόζη</w:t>
      </w:r>
      <w:r w:rsidR="001C30BE" w:rsidRPr="001C30BE">
        <w:t xml:space="preserve"> </w:t>
      </w:r>
    </w:p>
    <w:p w:rsidR="00E53307" w:rsidRPr="00D75110" w:rsidRDefault="00E53307" w:rsidP="00E53307">
      <w:pPr>
        <w:rPr>
          <w:szCs w:val="22"/>
        </w:rPr>
      </w:pPr>
      <w:r w:rsidRPr="00D75110">
        <w:rPr>
          <w:szCs w:val="22"/>
        </w:rPr>
        <w:t xml:space="preserve">Στεατικό μαγνήσιο. </w:t>
      </w:r>
    </w:p>
    <w:p w:rsidR="00E53307" w:rsidRPr="00D75110" w:rsidRDefault="00E53307" w:rsidP="00E53307">
      <w:pPr>
        <w:rPr>
          <w:szCs w:val="22"/>
        </w:rPr>
      </w:pPr>
    </w:p>
    <w:p w:rsidR="00917AD3" w:rsidRDefault="001C30BE">
      <w:r w:rsidRPr="001C30BE">
        <w:rPr>
          <w:b/>
        </w:rPr>
        <w:t>6.2</w:t>
      </w:r>
      <w:r w:rsidR="00496809" w:rsidRPr="00D75110">
        <w:rPr>
          <w:b/>
          <w:szCs w:val="22"/>
        </w:rPr>
        <w:tab/>
      </w:r>
      <w:r w:rsidRPr="001C30BE">
        <w:rPr>
          <w:b/>
        </w:rPr>
        <w:t>Ασυμβατότητες</w:t>
      </w:r>
    </w:p>
    <w:p w:rsidR="00496809" w:rsidRPr="00D75110" w:rsidRDefault="00496809" w:rsidP="005453E2">
      <w:pPr>
        <w:rPr>
          <w:szCs w:val="22"/>
        </w:rPr>
      </w:pPr>
    </w:p>
    <w:p w:rsidR="00917AD3" w:rsidRDefault="001C30BE">
      <w:r w:rsidRPr="001C30BE">
        <w:t>Δεν εφαρμόζεται.</w:t>
      </w:r>
    </w:p>
    <w:p w:rsidR="00496809" w:rsidRPr="00917AD3" w:rsidRDefault="00496809" w:rsidP="005453E2">
      <w:pPr>
        <w:rPr>
          <w:szCs w:val="22"/>
        </w:rPr>
      </w:pPr>
    </w:p>
    <w:p w:rsidR="00443696" w:rsidRPr="00917AD3" w:rsidRDefault="00443696" w:rsidP="005453E2">
      <w:pPr>
        <w:rPr>
          <w:szCs w:val="22"/>
        </w:rPr>
      </w:pPr>
    </w:p>
    <w:p w:rsidR="00496809" w:rsidRPr="00D75110" w:rsidRDefault="001C30BE" w:rsidP="005453E2">
      <w:pPr>
        <w:rPr>
          <w:szCs w:val="22"/>
        </w:rPr>
      </w:pPr>
      <w:r>
        <w:rPr>
          <w:b/>
        </w:rPr>
        <w:t>6.3</w:t>
      </w:r>
      <w:r w:rsidR="00496809" w:rsidRPr="00D75110">
        <w:rPr>
          <w:b/>
          <w:szCs w:val="22"/>
        </w:rPr>
        <w:tab/>
      </w:r>
      <w:r>
        <w:rPr>
          <w:b/>
        </w:rPr>
        <w:t>Διάρκεια ζωής</w:t>
      </w:r>
    </w:p>
    <w:p w:rsidR="00917AD3" w:rsidRDefault="00917AD3"/>
    <w:p w:rsidR="00917AD3" w:rsidRDefault="001C30BE">
      <w:r w:rsidRPr="001C30BE">
        <w:t>24 μήνες</w:t>
      </w:r>
    </w:p>
    <w:p w:rsidR="00984BC2" w:rsidRDefault="00984BC2"/>
    <w:p w:rsidR="00917AD3" w:rsidRPr="002E23B6" w:rsidRDefault="001C30BE">
      <w:pPr>
        <w:rPr>
          <w:szCs w:val="22"/>
        </w:rPr>
      </w:pPr>
      <w:r w:rsidRPr="001C30BE">
        <w:rPr>
          <w:b/>
        </w:rPr>
        <w:t>6.4</w:t>
      </w:r>
      <w:r w:rsidR="00496809" w:rsidRPr="00D75110">
        <w:rPr>
          <w:b/>
          <w:szCs w:val="22"/>
        </w:rPr>
        <w:tab/>
      </w:r>
      <w:r w:rsidRPr="002E23B6">
        <w:rPr>
          <w:b/>
          <w:szCs w:val="22"/>
        </w:rPr>
        <w:t xml:space="preserve">Ιδιαίτερες προφυλάξεις κατά </w:t>
      </w:r>
      <w:r w:rsidR="00496809" w:rsidRPr="002E23B6">
        <w:rPr>
          <w:b/>
          <w:szCs w:val="22"/>
        </w:rPr>
        <w:t>την</w:t>
      </w:r>
      <w:r w:rsidRPr="002E23B6">
        <w:rPr>
          <w:b/>
          <w:szCs w:val="22"/>
        </w:rPr>
        <w:t xml:space="preserve"> φύλαξη του προϊόντος</w:t>
      </w:r>
    </w:p>
    <w:p w:rsidR="00917AD3" w:rsidRPr="002E23B6" w:rsidRDefault="00905F58" w:rsidP="002E23B6">
      <w:pPr>
        <w:pStyle w:val="CM12"/>
        <w:spacing w:line="198" w:lineRule="atLeast"/>
        <w:ind w:left="131" w:firstLine="720"/>
        <w:jc w:val="both"/>
        <w:rPr>
          <w:rFonts w:ascii="Times New Roman" w:hAnsi="Times New Roman"/>
          <w:sz w:val="22"/>
          <w:szCs w:val="22"/>
          <w:lang w:val="el-GR"/>
        </w:rPr>
      </w:pPr>
      <w:r w:rsidRPr="002E23B6">
        <w:rPr>
          <w:rFonts w:ascii="Times New Roman" w:hAnsi="Times New Roman"/>
          <w:sz w:val="22"/>
          <w:szCs w:val="22"/>
          <w:lang w:val="el-GR"/>
        </w:rPr>
        <w:t>Αυτό το φαρμακευτικό προϊόν δεν απαιτεί</w:t>
      </w:r>
      <w:r w:rsidR="002E23B6" w:rsidRPr="002E23B6">
        <w:rPr>
          <w:rFonts w:ascii="Times New Roman" w:hAnsi="Times New Roman"/>
          <w:sz w:val="22"/>
          <w:szCs w:val="22"/>
          <w:lang w:val="el-GR"/>
        </w:rPr>
        <w:t xml:space="preserve"> </w:t>
      </w:r>
      <w:r w:rsidR="001C30BE" w:rsidRPr="002E23B6">
        <w:rPr>
          <w:rFonts w:ascii="Times New Roman" w:hAnsi="Times New Roman"/>
          <w:sz w:val="22"/>
          <w:szCs w:val="22"/>
          <w:lang w:val="el-GR"/>
        </w:rPr>
        <w:t xml:space="preserve">ειδικές </w:t>
      </w:r>
      <w:r w:rsidR="002E23B6" w:rsidRPr="002E23B6">
        <w:rPr>
          <w:rFonts w:ascii="Times New Roman" w:hAnsi="Times New Roman"/>
          <w:sz w:val="22"/>
          <w:szCs w:val="22"/>
          <w:lang w:val="el-GR"/>
        </w:rPr>
        <w:t xml:space="preserve"> συνθήκες φύλαξης.</w:t>
      </w:r>
    </w:p>
    <w:p w:rsidR="00917AD3" w:rsidRDefault="00917AD3">
      <w:pPr>
        <w:pStyle w:val="a3"/>
        <w:tabs>
          <w:tab w:val="clear" w:pos="4153"/>
          <w:tab w:val="clear" w:pos="8306"/>
        </w:tabs>
      </w:pPr>
    </w:p>
    <w:p w:rsidR="00917AD3" w:rsidRDefault="001C30BE">
      <w:r w:rsidRPr="001C30BE">
        <w:rPr>
          <w:b/>
        </w:rPr>
        <w:t>6.5</w:t>
      </w:r>
      <w:r w:rsidR="00496809" w:rsidRPr="00D75110">
        <w:rPr>
          <w:b/>
          <w:szCs w:val="22"/>
        </w:rPr>
        <w:tab/>
      </w:r>
      <w:r w:rsidRPr="001C30BE">
        <w:rPr>
          <w:b/>
        </w:rPr>
        <w:t>Φύση και συστατικά του περιέκτη</w:t>
      </w:r>
    </w:p>
    <w:p w:rsidR="00496809" w:rsidRPr="00D75110" w:rsidRDefault="00496809" w:rsidP="005453E2">
      <w:pPr>
        <w:rPr>
          <w:szCs w:val="22"/>
        </w:rPr>
      </w:pPr>
    </w:p>
    <w:p w:rsidR="00917AD3" w:rsidRDefault="001C30BE" w:rsidP="002E23B6">
      <w:pPr>
        <w:pStyle w:val="CM12"/>
        <w:spacing w:line="198" w:lineRule="atLeast"/>
        <w:ind w:left="851"/>
        <w:jc w:val="both"/>
        <w:rPr>
          <w:rFonts w:ascii="Times New Roman" w:hAnsi="Times New Roman"/>
          <w:lang w:val="el-GR"/>
        </w:rPr>
      </w:pPr>
      <w:r w:rsidRPr="002E23B6">
        <w:rPr>
          <w:rFonts w:ascii="Times New Roman" w:hAnsi="Times New Roman"/>
          <w:sz w:val="22"/>
          <w:szCs w:val="22"/>
          <w:lang w:val="el-GR"/>
        </w:rPr>
        <w:t xml:space="preserve">Κουτιά που περιέχουν 56 δισκία συσκευασμένα σε </w:t>
      </w:r>
      <w:r w:rsidRPr="002E23B6">
        <w:rPr>
          <w:rFonts w:ascii="Times New Roman" w:hAnsi="Times New Roman"/>
          <w:sz w:val="22"/>
          <w:szCs w:val="22"/>
        </w:rPr>
        <w:t>PVC</w:t>
      </w:r>
      <w:r w:rsidR="00984BC2">
        <w:rPr>
          <w:rFonts w:ascii="Times New Roman" w:hAnsi="Times New Roman"/>
          <w:sz w:val="22"/>
          <w:szCs w:val="22"/>
          <w:lang w:val="el-GR"/>
        </w:rPr>
        <w:t xml:space="preserve">/ </w:t>
      </w:r>
      <w:r w:rsidR="007C459A" w:rsidRPr="002E23B6">
        <w:rPr>
          <w:rFonts w:ascii="Times New Roman" w:hAnsi="Times New Roman"/>
          <w:sz w:val="22"/>
          <w:szCs w:val="22"/>
        </w:rPr>
        <w:t>Aluminium</w:t>
      </w:r>
      <w:r w:rsidR="007C459A" w:rsidRPr="002E23B6">
        <w:rPr>
          <w:rFonts w:ascii="Times New Roman" w:hAnsi="Times New Roman"/>
          <w:sz w:val="22"/>
          <w:szCs w:val="22"/>
          <w:lang w:val="el-GR"/>
        </w:rPr>
        <w:t xml:space="preserve"> </w:t>
      </w:r>
      <w:r w:rsidR="007C459A" w:rsidRPr="002E23B6">
        <w:rPr>
          <w:rFonts w:ascii="Times New Roman" w:hAnsi="Times New Roman"/>
          <w:sz w:val="22"/>
          <w:szCs w:val="22"/>
        </w:rPr>
        <w:t>blisters</w:t>
      </w:r>
      <w:r w:rsidR="007C459A" w:rsidRPr="002E23B6">
        <w:rPr>
          <w:rFonts w:cs="Arial MT"/>
          <w:lang w:val="el-GR"/>
        </w:rPr>
        <w:t>.</w:t>
      </w:r>
    </w:p>
    <w:p w:rsidR="00917AD3" w:rsidRDefault="00917AD3">
      <w:pPr>
        <w:rPr>
          <w:b/>
        </w:rPr>
      </w:pPr>
    </w:p>
    <w:p w:rsidR="00917AD3" w:rsidRDefault="001C30BE">
      <w:r w:rsidRPr="001C30BE">
        <w:rPr>
          <w:b/>
        </w:rPr>
        <w:t>6.6</w:t>
      </w:r>
      <w:r w:rsidR="00496809" w:rsidRPr="00D75110">
        <w:rPr>
          <w:b/>
          <w:szCs w:val="22"/>
        </w:rPr>
        <w:tab/>
      </w:r>
      <w:r w:rsidRPr="001C30BE">
        <w:rPr>
          <w:b/>
        </w:rPr>
        <w:t xml:space="preserve">Ιδιαίτερες προφυλάξεις απόρριψης και </w:t>
      </w:r>
      <w:r w:rsidR="00496809" w:rsidRPr="00D75110">
        <w:rPr>
          <w:b/>
          <w:noProof/>
          <w:szCs w:val="22"/>
        </w:rPr>
        <w:t>άλλος χειρισμός</w:t>
      </w:r>
    </w:p>
    <w:p w:rsidR="007F0DD3" w:rsidRPr="00D75110" w:rsidRDefault="007F0DD3" w:rsidP="005453E2">
      <w:pPr>
        <w:rPr>
          <w:i/>
          <w:noProof/>
          <w:szCs w:val="22"/>
        </w:rPr>
      </w:pPr>
    </w:p>
    <w:p w:rsidR="00917AD3" w:rsidRDefault="001C30BE">
      <w:r>
        <w:t xml:space="preserve">Κάθε αχρησιμοποίητο φαρμακευτικό προϊόν ή </w:t>
      </w:r>
      <w:r w:rsidR="00496809" w:rsidRPr="00D75110">
        <w:rPr>
          <w:szCs w:val="22"/>
        </w:rPr>
        <w:t>υπόλειμμα</w:t>
      </w:r>
      <w:r>
        <w:t xml:space="preserve"> πρέπει να απορρίπτεται σύμφωνα με τις </w:t>
      </w:r>
      <w:r w:rsidR="00496809" w:rsidRPr="00D75110">
        <w:rPr>
          <w:szCs w:val="22"/>
        </w:rPr>
        <w:t>κατά τόπου</w:t>
      </w:r>
      <w:r w:rsidR="00E53307" w:rsidRPr="00D75110">
        <w:rPr>
          <w:szCs w:val="22"/>
        </w:rPr>
        <w:t>ς ισχύουσες σχετικές διατάξεις</w:t>
      </w:r>
      <w:r>
        <w:t>.</w:t>
      </w:r>
    </w:p>
    <w:p w:rsidR="00984BC2" w:rsidRDefault="00984BC2"/>
    <w:p w:rsidR="00917AD3" w:rsidRDefault="001C30BE">
      <w:r>
        <w:t xml:space="preserve">Τα φάρμακα δεν πρέπει να απορρίπτονται στο νερό της αποχέτευσης ή στα σκουπίδια. Ρωτήστε </w:t>
      </w:r>
      <w:r w:rsidR="00E53307" w:rsidRPr="00D75110">
        <w:rPr>
          <w:rFonts w:cs="Arial MT"/>
        </w:rPr>
        <w:t>το</w:t>
      </w:r>
      <w:r w:rsidR="00014FEB">
        <w:rPr>
          <w:rFonts w:cs="Arial MT"/>
        </w:rPr>
        <w:t>ν</w:t>
      </w:r>
      <w:r w:rsidR="00E53307" w:rsidRPr="00D75110">
        <w:rPr>
          <w:rFonts w:cs="Arial MT"/>
        </w:rPr>
        <w:t xml:space="preserve"> φαρμακοποιό</w:t>
      </w:r>
      <w:r>
        <w:t xml:space="preserve"> σας πώς να πετάξετε τα φάρμακα που δεν χρειάζονται πια. Αυτά τα μέτρα θα βοηθήσουν στην προστασία του περιβάλλοντος.</w:t>
      </w:r>
    </w:p>
    <w:p w:rsidR="00984BC2" w:rsidRDefault="00984BC2"/>
    <w:p w:rsidR="00984BC2" w:rsidRDefault="00984BC2"/>
    <w:p w:rsidR="00984BC2" w:rsidRDefault="00A71131">
      <w:r w:rsidRPr="00A71131">
        <w:rPr>
          <w:b/>
        </w:rPr>
        <w:t>7.</w:t>
      </w:r>
      <w:r w:rsidR="00496809" w:rsidRPr="00D75110">
        <w:rPr>
          <w:b/>
          <w:szCs w:val="22"/>
        </w:rPr>
        <w:tab/>
      </w:r>
      <w:r w:rsidRPr="00A71131">
        <w:rPr>
          <w:b/>
        </w:rPr>
        <w:t xml:space="preserve">ΚΑΤΟΧΟΣ </w:t>
      </w:r>
      <w:r w:rsidR="00496809" w:rsidRPr="00D75110">
        <w:rPr>
          <w:b/>
          <w:szCs w:val="22"/>
        </w:rPr>
        <w:t xml:space="preserve">ΤΗΣ </w:t>
      </w:r>
      <w:r w:rsidRPr="00A71131">
        <w:rPr>
          <w:b/>
        </w:rPr>
        <w:t>ΑΔΕΙΑΣ ΚΥΚΛΟΦΟΡΙΑΣ</w:t>
      </w:r>
    </w:p>
    <w:p w:rsidR="006A6579" w:rsidRPr="00917692" w:rsidRDefault="006A6579" w:rsidP="006A6579">
      <w:pPr>
        <w:rPr>
          <w:szCs w:val="22"/>
        </w:rPr>
      </w:pPr>
    </w:p>
    <w:p w:rsidR="006A6579" w:rsidRPr="00D75110" w:rsidRDefault="006A6579" w:rsidP="006A6579">
      <w:pPr>
        <w:rPr>
          <w:szCs w:val="22"/>
        </w:rPr>
      </w:pPr>
      <w:r w:rsidRPr="00D75110">
        <w:rPr>
          <w:szCs w:val="22"/>
          <w:lang w:val="en-US"/>
        </w:rPr>
        <w:t>GALENICA</w:t>
      </w:r>
      <w:r w:rsidRPr="00D75110">
        <w:rPr>
          <w:szCs w:val="22"/>
        </w:rPr>
        <w:t xml:space="preserve"> </w:t>
      </w:r>
      <w:r w:rsidRPr="00D75110">
        <w:rPr>
          <w:szCs w:val="22"/>
          <w:lang w:val="en-US"/>
        </w:rPr>
        <w:t>A</w:t>
      </w:r>
      <w:r w:rsidRPr="00D75110">
        <w:rPr>
          <w:szCs w:val="22"/>
        </w:rPr>
        <w:t>.</w:t>
      </w:r>
      <w:r w:rsidRPr="00D75110">
        <w:rPr>
          <w:szCs w:val="22"/>
          <w:lang w:val="en-US"/>
        </w:rPr>
        <w:t>E</w:t>
      </w:r>
      <w:r w:rsidRPr="00D75110">
        <w:rPr>
          <w:szCs w:val="22"/>
        </w:rPr>
        <w:t>.</w:t>
      </w:r>
    </w:p>
    <w:p w:rsidR="006A6579" w:rsidRPr="00D75110" w:rsidRDefault="006A6579" w:rsidP="006A6579">
      <w:pPr>
        <w:rPr>
          <w:szCs w:val="22"/>
        </w:rPr>
      </w:pPr>
      <w:r w:rsidRPr="00D75110">
        <w:rPr>
          <w:szCs w:val="22"/>
        </w:rPr>
        <w:t xml:space="preserve">Ελευθερίας 4, </w:t>
      </w:r>
    </w:p>
    <w:p w:rsidR="006A6579" w:rsidRPr="00D75110" w:rsidRDefault="006A6579" w:rsidP="006A6579">
      <w:pPr>
        <w:rPr>
          <w:szCs w:val="22"/>
        </w:rPr>
      </w:pPr>
      <w:r w:rsidRPr="00D75110">
        <w:rPr>
          <w:szCs w:val="22"/>
        </w:rPr>
        <w:t>14564, Κηφισιά</w:t>
      </w:r>
      <w:r w:rsidRPr="00D75110" w:rsidDel="00F81563">
        <w:rPr>
          <w:szCs w:val="22"/>
        </w:rPr>
        <w:t xml:space="preserve"> </w:t>
      </w:r>
    </w:p>
    <w:p w:rsidR="006A6579" w:rsidRPr="00917692" w:rsidRDefault="006A6579" w:rsidP="006A6579">
      <w:pPr>
        <w:rPr>
          <w:szCs w:val="22"/>
        </w:rPr>
      </w:pPr>
      <w:r w:rsidRPr="00D75110">
        <w:rPr>
          <w:szCs w:val="22"/>
        </w:rPr>
        <w:t>Ελλάδα</w:t>
      </w:r>
    </w:p>
    <w:p w:rsidR="00917692" w:rsidRPr="00917692" w:rsidRDefault="00917692" w:rsidP="006A6579">
      <w:pPr>
        <w:rPr>
          <w:szCs w:val="22"/>
        </w:rPr>
      </w:pPr>
      <w:r>
        <w:rPr>
          <w:szCs w:val="22"/>
          <w:lang w:val="en-US"/>
        </w:rPr>
        <w:t>T</w:t>
      </w:r>
      <w:r>
        <w:rPr>
          <w:szCs w:val="22"/>
        </w:rPr>
        <w:t>ηλ. 210 52 81 700</w:t>
      </w:r>
    </w:p>
    <w:p w:rsidR="00984BC2" w:rsidRDefault="00984BC2"/>
    <w:p w:rsidR="00984BC2" w:rsidRDefault="00984BC2"/>
    <w:p w:rsidR="00984BC2" w:rsidRDefault="00A71131">
      <w:r w:rsidRPr="00A71131">
        <w:rPr>
          <w:b/>
        </w:rPr>
        <w:t>8.</w:t>
      </w:r>
      <w:r w:rsidR="00496809" w:rsidRPr="00D75110">
        <w:rPr>
          <w:b/>
          <w:szCs w:val="22"/>
        </w:rPr>
        <w:tab/>
      </w:r>
      <w:r w:rsidRPr="00A71131">
        <w:rPr>
          <w:b/>
        </w:rPr>
        <w:t>ΑΡΙΘΜΟΣ(ΟΙ) ΑΔΕΙΑΣ ΚΥΚΛΟΦΟΡΙΑΣ</w:t>
      </w:r>
    </w:p>
    <w:p w:rsidR="00496809" w:rsidRPr="00D75110" w:rsidRDefault="00496809" w:rsidP="005453E2">
      <w:pPr>
        <w:rPr>
          <w:szCs w:val="22"/>
        </w:rPr>
      </w:pPr>
    </w:p>
    <w:p w:rsidR="00984BC2" w:rsidRDefault="00496809">
      <w:pPr>
        <w:rPr>
          <w:i/>
        </w:rPr>
      </w:pPr>
      <w:r w:rsidRPr="00D75110">
        <w:rPr>
          <w:szCs w:val="22"/>
        </w:rPr>
        <w:t>&lt;[</w:t>
      </w:r>
      <w:r w:rsidR="00A71131" w:rsidRPr="00A71131">
        <w:t>Να συμπληρωθεί σε εθνικό επίπεδο</w:t>
      </w:r>
      <w:r w:rsidRPr="00D75110">
        <w:rPr>
          <w:szCs w:val="22"/>
        </w:rPr>
        <w:t>]&gt;</w:t>
      </w:r>
    </w:p>
    <w:p w:rsidR="00984BC2" w:rsidRDefault="00984BC2"/>
    <w:p w:rsidR="00984BC2" w:rsidRDefault="00984BC2"/>
    <w:p w:rsidR="00984BC2" w:rsidRDefault="00A71131">
      <w:r w:rsidRPr="00A71131">
        <w:rPr>
          <w:b/>
        </w:rPr>
        <w:t>9.</w:t>
      </w:r>
      <w:r w:rsidR="00496809" w:rsidRPr="00D75110">
        <w:rPr>
          <w:b/>
          <w:szCs w:val="22"/>
        </w:rPr>
        <w:tab/>
      </w:r>
      <w:r w:rsidRPr="00A71131">
        <w:rPr>
          <w:b/>
        </w:rPr>
        <w:t>ΗΜΕΡΟΜΗΝΙΑ ΠΡΩΤΗΣ ΕΓΚΡΙΣΗΣ / ΑΝΑΝΕΩΣΗΣ ΤΗΣ ΑΔΕΙΑΣ</w:t>
      </w:r>
    </w:p>
    <w:p w:rsidR="00496809" w:rsidRPr="00D75110" w:rsidRDefault="00496809" w:rsidP="005453E2">
      <w:pPr>
        <w:rPr>
          <w:szCs w:val="22"/>
        </w:rPr>
      </w:pPr>
    </w:p>
    <w:p w:rsidR="00B549A0" w:rsidRPr="00D75110" w:rsidRDefault="00B549A0" w:rsidP="005453E2">
      <w:pPr>
        <w:rPr>
          <w:noProof/>
          <w:szCs w:val="22"/>
        </w:rPr>
      </w:pPr>
      <w:r w:rsidRPr="00D75110">
        <w:rPr>
          <w:noProof/>
          <w:szCs w:val="22"/>
        </w:rPr>
        <w:t>&lt;Ημερομηνία πρώτης έγκρισης: {ΗΗ μήνας ΕΕΕΕ}&gt;</w:t>
      </w:r>
    </w:p>
    <w:p w:rsidR="00B549A0" w:rsidRPr="00D75110" w:rsidRDefault="00B549A0" w:rsidP="005453E2">
      <w:pPr>
        <w:rPr>
          <w:noProof/>
          <w:szCs w:val="22"/>
        </w:rPr>
      </w:pPr>
      <w:r w:rsidRPr="00D75110">
        <w:rPr>
          <w:noProof/>
          <w:szCs w:val="22"/>
        </w:rPr>
        <w:t>&lt;Ημερομηνία τελευταίας ανανέωσης: {ΗΗ μήνας ΕΕΕΕ}&gt;</w:t>
      </w:r>
    </w:p>
    <w:p w:rsidR="00984BC2" w:rsidRDefault="00984BC2"/>
    <w:p w:rsidR="00984BC2" w:rsidRDefault="00984BC2"/>
    <w:p w:rsidR="00984BC2" w:rsidRDefault="00A71131">
      <w:pPr>
        <w:tabs>
          <w:tab w:val="left" w:pos="709"/>
        </w:tabs>
      </w:pPr>
      <w:r w:rsidRPr="00A71131">
        <w:rPr>
          <w:b/>
        </w:rPr>
        <w:t>10.</w:t>
      </w:r>
      <w:r w:rsidR="00496809" w:rsidRPr="00D75110">
        <w:rPr>
          <w:b/>
          <w:szCs w:val="22"/>
        </w:rPr>
        <w:tab/>
      </w:r>
      <w:r w:rsidRPr="00A71131">
        <w:rPr>
          <w:b/>
        </w:rPr>
        <w:t>ΗΜΕΡΟΜΗΝΙΑ ΑΝΑΘΕΩΡΗΣΗΣ ΤΟΥ ΚΕΙΜΕΝΟΥ</w:t>
      </w:r>
    </w:p>
    <w:p w:rsidR="00496809" w:rsidRPr="00D75110" w:rsidRDefault="00496809" w:rsidP="005453E2">
      <w:pPr>
        <w:pStyle w:val="a3"/>
        <w:tabs>
          <w:tab w:val="clear" w:pos="4153"/>
          <w:tab w:val="clear" w:pos="8306"/>
        </w:tabs>
        <w:rPr>
          <w:bCs/>
          <w:noProof/>
          <w:szCs w:val="22"/>
        </w:rPr>
      </w:pPr>
    </w:p>
    <w:p w:rsidR="00496809" w:rsidRPr="00D75110" w:rsidRDefault="00496809" w:rsidP="005453E2">
      <w:pPr>
        <w:rPr>
          <w:noProof/>
          <w:szCs w:val="22"/>
        </w:rPr>
      </w:pPr>
      <w:r w:rsidRPr="00D75110">
        <w:rPr>
          <w:bCs/>
          <w:noProof/>
          <w:szCs w:val="22"/>
        </w:rPr>
        <w:t>&lt;{</w:t>
      </w:r>
      <w:r w:rsidRPr="00D75110">
        <w:rPr>
          <w:bCs/>
          <w:noProof/>
          <w:szCs w:val="22"/>
          <w:lang w:val="en-US"/>
        </w:rPr>
        <w:t>MM</w:t>
      </w:r>
      <w:r w:rsidRPr="00D75110">
        <w:rPr>
          <w:bCs/>
          <w:noProof/>
          <w:szCs w:val="22"/>
        </w:rPr>
        <w:t>/ΕΕΕΕ}&gt;</w:t>
      </w:r>
    </w:p>
    <w:p w:rsidR="00B549A0" w:rsidRPr="00D75110" w:rsidRDefault="00B549A0" w:rsidP="005453E2">
      <w:pPr>
        <w:rPr>
          <w:bCs/>
          <w:noProof/>
          <w:szCs w:val="22"/>
        </w:rPr>
      </w:pPr>
      <w:r w:rsidRPr="00D75110">
        <w:rPr>
          <w:noProof/>
          <w:szCs w:val="22"/>
        </w:rPr>
        <w:t>&lt;ΗΗ/ΜΜ/ΕΕΕΕ&gt;</w:t>
      </w:r>
    </w:p>
    <w:p w:rsidR="00496809" w:rsidRPr="00D75110" w:rsidRDefault="00B549A0" w:rsidP="005453E2">
      <w:pPr>
        <w:rPr>
          <w:noProof/>
          <w:szCs w:val="22"/>
        </w:rPr>
      </w:pPr>
      <w:r w:rsidRPr="00D75110">
        <w:rPr>
          <w:noProof/>
          <w:szCs w:val="22"/>
        </w:rPr>
        <w:t>&lt;</w:t>
      </w:r>
      <w:r w:rsidRPr="00D75110">
        <w:rPr>
          <w:bCs/>
          <w:noProof/>
          <w:szCs w:val="22"/>
        </w:rPr>
        <w:t>{ΗΗ μήνας ΕΕΕΕ}</w:t>
      </w:r>
      <w:r w:rsidRPr="00D75110">
        <w:rPr>
          <w:noProof/>
          <w:szCs w:val="22"/>
        </w:rPr>
        <w:t>&gt;</w:t>
      </w:r>
    </w:p>
    <w:p w:rsidR="00496809" w:rsidRPr="00D75110" w:rsidRDefault="00496809" w:rsidP="005453E2">
      <w:pPr>
        <w:rPr>
          <w:b/>
          <w:bCs/>
          <w:noProof/>
          <w:szCs w:val="22"/>
        </w:rPr>
      </w:pPr>
    </w:p>
    <w:sectPr w:rsidR="00496809" w:rsidRPr="00D75110" w:rsidSect="001C30BE">
      <w:footerReference w:type="default" r:id="rId10"/>
      <w:footerReference w:type="first" r:id="rId11"/>
      <w:endnotePr>
        <w:numFmt w:val="decimal"/>
      </w:endnotePr>
      <w:pgSz w:w="11896" w:h="16834" w:code="9"/>
      <w:pgMar w:top="1134" w:right="1418" w:bottom="1134" w:left="1418" w:header="737"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E4" w:rsidRDefault="002A77E4">
      <w:r>
        <w:separator/>
      </w:r>
    </w:p>
  </w:endnote>
  <w:endnote w:type="continuationSeparator" w:id="0">
    <w:p w:rsidR="002A77E4" w:rsidRDefault="002A7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C2" w:rsidRDefault="00643560">
    <w:pPr>
      <w:pStyle w:val="a4"/>
      <w:tabs>
        <w:tab w:val="clear" w:pos="4153"/>
        <w:tab w:val="clear" w:pos="8306"/>
        <w:tab w:val="center" w:pos="4536"/>
        <w:tab w:val="center" w:pos="8930"/>
      </w:tabs>
      <w:jc w:val="center"/>
      <w:rPr>
        <w:rFonts w:ascii="Arial" w:hAnsi="Arial"/>
        <w:sz w:val="16"/>
        <w:lang w:val="fr-FR"/>
      </w:rPr>
    </w:pPr>
    <w:r>
      <w:rPr>
        <w:rFonts w:ascii="Arial" w:hAnsi="Arial" w:cs="Arial"/>
        <w:sz w:val="16"/>
        <w:lang w:val="fr-FR"/>
      </w:rPr>
      <w:fldChar w:fldCharType="begin"/>
    </w:r>
    <w:r w:rsidR="00984BC2">
      <w:rPr>
        <w:rFonts w:ascii="Arial" w:hAnsi="Arial" w:cs="Arial"/>
        <w:sz w:val="16"/>
        <w:lang w:val="fr-FR"/>
      </w:rPr>
      <w:instrText xml:space="preserve">PAGE  </w:instrText>
    </w:r>
    <w:r>
      <w:rPr>
        <w:rFonts w:ascii="Arial" w:hAnsi="Arial" w:cs="Arial"/>
        <w:sz w:val="16"/>
        <w:lang w:val="fr-FR"/>
      </w:rPr>
      <w:fldChar w:fldCharType="separate"/>
    </w:r>
    <w:r w:rsidR="005819C8">
      <w:rPr>
        <w:rFonts w:ascii="Arial" w:hAnsi="Arial" w:cs="Arial"/>
        <w:noProof/>
        <w:sz w:val="16"/>
        <w:lang w:val="fr-FR"/>
      </w:rPr>
      <w:t>12</w:t>
    </w:r>
    <w:r>
      <w:rPr>
        <w:rFonts w:ascii="Arial" w:hAnsi="Arial" w:cs="Arial"/>
        <w:sz w:val="16"/>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C2" w:rsidRDefault="00643560">
    <w:pPr>
      <w:pStyle w:val="a4"/>
      <w:tabs>
        <w:tab w:val="clear" w:pos="4153"/>
        <w:tab w:val="clear" w:pos="8306"/>
        <w:tab w:val="center" w:pos="4536"/>
        <w:tab w:val="center" w:pos="8930"/>
      </w:tabs>
      <w:jc w:val="center"/>
      <w:rPr>
        <w:rFonts w:ascii="Arial" w:hAnsi="Arial"/>
        <w:sz w:val="16"/>
        <w:lang w:val="fr-FR"/>
      </w:rPr>
    </w:pPr>
    <w:r>
      <w:rPr>
        <w:rFonts w:ascii="Arial" w:hAnsi="Arial" w:cs="Arial"/>
        <w:sz w:val="16"/>
        <w:lang w:val="fr-FR"/>
      </w:rPr>
      <w:fldChar w:fldCharType="begin"/>
    </w:r>
    <w:r w:rsidR="00984BC2">
      <w:rPr>
        <w:rFonts w:ascii="Arial" w:hAnsi="Arial" w:cs="Arial"/>
        <w:sz w:val="16"/>
        <w:lang w:val="fr-FR"/>
      </w:rPr>
      <w:instrText xml:space="preserve">PAGE  </w:instrText>
    </w:r>
    <w:r>
      <w:rPr>
        <w:rFonts w:ascii="Arial" w:hAnsi="Arial" w:cs="Arial"/>
        <w:sz w:val="16"/>
        <w:lang w:val="fr-FR"/>
      </w:rPr>
      <w:fldChar w:fldCharType="separate"/>
    </w:r>
    <w:r w:rsidR="005819C8">
      <w:rPr>
        <w:rFonts w:ascii="Arial" w:hAnsi="Arial" w:cs="Arial"/>
        <w:noProof/>
        <w:sz w:val="16"/>
        <w:lang w:val="fr-FR"/>
      </w:rPr>
      <w:t>1</w:t>
    </w:r>
    <w:r>
      <w:rPr>
        <w:rFonts w:ascii="Arial" w:hAnsi="Arial" w:cs="Arial"/>
        <w:sz w:val="16"/>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E4" w:rsidRDefault="002A77E4">
      <w:r>
        <w:separator/>
      </w:r>
    </w:p>
  </w:footnote>
  <w:footnote w:type="continuationSeparator" w:id="0">
    <w:p w:rsidR="002A77E4" w:rsidRDefault="002A7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45pt;height:13.7pt" o:bullet="t">
        <v:imagedata r:id="rId1" o:title="BT_1000x858px"/>
      </v:shape>
    </w:pict>
  </w:numPicBullet>
  <w:abstractNum w:abstractNumId="0">
    <w:nsid w:val="B9FB42A7"/>
    <w:multiLevelType w:val="hybridMultilevel"/>
    <w:tmpl w:val="09FE4E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3A0CD0"/>
    <w:multiLevelType w:val="hybridMultilevel"/>
    <w:tmpl w:val="51E6CE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94C3B3"/>
    <w:multiLevelType w:val="hybridMultilevel"/>
    <w:tmpl w:val="8E6A36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FE"/>
    <w:multiLevelType w:val="singleLevel"/>
    <w:tmpl w:val="FFFFFFFF"/>
    <w:lvl w:ilvl="0">
      <w:numFmt w:val="decimal"/>
      <w:lvlText w:val="*"/>
      <w:lvlJc w:val="left"/>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BD3AB6"/>
    <w:multiLevelType w:val="hybridMultilevel"/>
    <w:tmpl w:val="17800E7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nsid w:val="16B978CD"/>
    <w:multiLevelType w:val="singleLevel"/>
    <w:tmpl w:val="31304CA6"/>
    <w:lvl w:ilvl="0">
      <w:start w:val="1"/>
      <w:numFmt w:val="decimal"/>
      <w:lvlText w:val="%1."/>
      <w:legacy w:legacy="1" w:legacySpace="0" w:legacyIndent="360"/>
      <w:lvlJc w:val="left"/>
      <w:pPr>
        <w:ind w:left="360" w:hanging="360"/>
      </w:pPr>
    </w:lvl>
  </w:abstractNum>
  <w:abstractNum w:abstractNumId="7">
    <w:nsid w:val="1EA37FC5"/>
    <w:multiLevelType w:val="singleLevel"/>
    <w:tmpl w:val="FFFFFFFF"/>
    <w:lvl w:ilvl="0">
      <w:start w:val="1"/>
      <w:numFmt w:val="bullet"/>
      <w:lvlText w:val="-"/>
      <w:legacy w:legacy="1" w:legacySpace="0" w:legacyIndent="360"/>
      <w:lvlJc w:val="left"/>
      <w:pPr>
        <w:ind w:left="1800" w:hanging="360"/>
      </w:pPr>
    </w:lvl>
  </w:abstractNum>
  <w:abstractNum w:abstractNumId="8">
    <w:nsid w:val="250039AE"/>
    <w:multiLevelType w:val="hybridMultilevel"/>
    <w:tmpl w:val="B0589876"/>
    <w:lvl w:ilvl="0" w:tplc="437E9E42">
      <w:start w:val="6"/>
      <w:numFmt w:val="bullet"/>
      <w:lvlText w:val="-"/>
      <w:lvlJc w:val="left"/>
      <w:pPr>
        <w:tabs>
          <w:tab w:val="num" w:pos="1050"/>
        </w:tabs>
        <w:ind w:left="1050" w:hanging="69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6947BF0"/>
    <w:multiLevelType w:val="hybridMultilevel"/>
    <w:tmpl w:val="7C9E3D26"/>
    <w:lvl w:ilvl="0" w:tplc="91AC1582">
      <w:start w:val="6"/>
      <w:numFmt w:val="bullet"/>
      <w:lvlText w:val="-"/>
      <w:lvlJc w:val="left"/>
      <w:pPr>
        <w:tabs>
          <w:tab w:val="num" w:pos="1050"/>
        </w:tabs>
        <w:ind w:left="1050" w:hanging="69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B07258"/>
    <w:multiLevelType w:val="multilevel"/>
    <w:tmpl w:val="F75069E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A810019"/>
    <w:multiLevelType w:val="singleLevel"/>
    <w:tmpl w:val="FFFFFFFF"/>
    <w:lvl w:ilvl="0">
      <w:start w:val="1"/>
      <w:numFmt w:val="bullet"/>
      <w:lvlText w:val="-"/>
      <w:legacy w:legacy="1" w:legacySpace="0" w:legacyIndent="360"/>
      <w:lvlJc w:val="left"/>
      <w:pPr>
        <w:ind w:left="1800" w:hanging="360"/>
      </w:pPr>
    </w:lvl>
  </w:abstractNum>
  <w:abstractNum w:abstractNumId="13">
    <w:nsid w:val="4AA4312D"/>
    <w:multiLevelType w:val="hybridMultilevel"/>
    <w:tmpl w:val="D0B8DB20"/>
    <w:lvl w:ilvl="0" w:tplc="81A03DD0">
      <w:start w:val="10"/>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60C4365"/>
    <w:multiLevelType w:val="singleLevel"/>
    <w:tmpl w:val="FFFFFFFF"/>
    <w:lvl w:ilvl="0">
      <w:start w:val="1"/>
      <w:numFmt w:val="bullet"/>
      <w:lvlText w:val="-"/>
      <w:legacy w:legacy="1" w:legacySpace="0" w:legacyIndent="360"/>
      <w:lvlJc w:val="left"/>
      <w:pPr>
        <w:ind w:left="1800" w:hanging="360"/>
      </w:pPr>
    </w:lvl>
  </w:abstractNum>
  <w:abstractNum w:abstractNumId="15">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16">
    <w:nsid w:val="61A3EF91"/>
    <w:multiLevelType w:val="hybridMultilevel"/>
    <w:tmpl w:val="F9DB1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0">
    <w:nsid w:val="6E8AEE10"/>
    <w:multiLevelType w:val="hybridMultilevel"/>
    <w:tmpl w:val="DEE71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F433B24"/>
    <w:multiLevelType w:val="hybridMultilevel"/>
    <w:tmpl w:val="AD1A2EDE"/>
    <w:lvl w:ilvl="0" w:tplc="415263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013DB5"/>
    <w:multiLevelType w:val="hybridMultilevel"/>
    <w:tmpl w:val="82929552"/>
    <w:lvl w:ilvl="0" w:tplc="3D8CB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465FC6"/>
    <w:multiLevelType w:val="hybridMultilevel"/>
    <w:tmpl w:val="97503EA2"/>
    <w:lvl w:ilvl="0" w:tplc="7124FE8A">
      <w:start w:val="6"/>
      <w:numFmt w:val="bullet"/>
      <w:lvlText w:val="-"/>
      <w:lvlJc w:val="left"/>
      <w:pPr>
        <w:tabs>
          <w:tab w:val="num" w:pos="1110"/>
        </w:tabs>
        <w:ind w:left="1110" w:hanging="75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3"/>
    <w:lvlOverride w:ilvl="0">
      <w:lvl w:ilvl="0">
        <w:start w:val="1"/>
        <w:numFmt w:val="bullet"/>
        <w:lvlText w:val="-"/>
        <w:legacy w:legacy="1" w:legacySpace="0" w:legacyIndent="360"/>
        <w:lvlJc w:val="left"/>
        <w:pPr>
          <w:ind w:left="360" w:hanging="360"/>
        </w:pPr>
      </w:lvl>
    </w:lvlOverride>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9"/>
  </w:num>
  <w:num w:numId="6">
    <w:abstractNumId w:val="18"/>
  </w:num>
  <w:num w:numId="7">
    <w:abstractNumId w:val="9"/>
  </w:num>
  <w:num w:numId="8">
    <w:abstractNumId w:val="14"/>
  </w:num>
  <w:num w:numId="9">
    <w:abstractNumId w:val="12"/>
  </w:num>
  <w:num w:numId="10">
    <w:abstractNumId w:val="7"/>
  </w:num>
  <w:num w:numId="11">
    <w:abstractNumId w:val="17"/>
  </w:num>
  <w:num w:numId="12">
    <w:abstractNumId w:val="4"/>
  </w:num>
  <w:num w:numId="13">
    <w:abstractNumId w:val="13"/>
  </w:num>
  <w:num w:numId="14">
    <w:abstractNumId w:val="23"/>
  </w:num>
  <w:num w:numId="15">
    <w:abstractNumId w:val="8"/>
  </w:num>
  <w:num w:numId="16">
    <w:abstractNumId w:val="10"/>
  </w:num>
  <w:num w:numId="17">
    <w:abstractNumId w:val="21"/>
  </w:num>
  <w:num w:numId="18">
    <w:abstractNumId w:val="11"/>
  </w:num>
  <w:num w:numId="19">
    <w:abstractNumId w:val="22"/>
  </w:num>
  <w:num w:numId="20">
    <w:abstractNumId w:val="16"/>
  </w:num>
  <w:num w:numId="21">
    <w:abstractNumId w:val="1"/>
  </w:num>
  <w:num w:numId="22">
    <w:abstractNumId w:val="0"/>
  </w:num>
  <w:num w:numId="23">
    <w:abstractNumId w:val="2"/>
  </w:num>
  <w:num w:numId="24">
    <w:abstractNumId w:val="2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cVars>
    <w:docVar w:name="Registered" w:val="-1"/>
    <w:docVar w:name="Version" w:val="0"/>
  </w:docVars>
  <w:rsids>
    <w:rsidRoot w:val="00496809"/>
    <w:rsid w:val="00001149"/>
    <w:rsid w:val="00004EC0"/>
    <w:rsid w:val="000101D2"/>
    <w:rsid w:val="000125B7"/>
    <w:rsid w:val="00013910"/>
    <w:rsid w:val="00014FEB"/>
    <w:rsid w:val="00020574"/>
    <w:rsid w:val="0002614E"/>
    <w:rsid w:val="000269B9"/>
    <w:rsid w:val="00031D1A"/>
    <w:rsid w:val="000355D6"/>
    <w:rsid w:val="000403BC"/>
    <w:rsid w:val="00041E7F"/>
    <w:rsid w:val="00042628"/>
    <w:rsid w:val="00044801"/>
    <w:rsid w:val="00056716"/>
    <w:rsid w:val="00062A0D"/>
    <w:rsid w:val="000650B8"/>
    <w:rsid w:val="00067901"/>
    <w:rsid w:val="0009263E"/>
    <w:rsid w:val="000A0F61"/>
    <w:rsid w:val="000A6282"/>
    <w:rsid w:val="000A6515"/>
    <w:rsid w:val="000A65D4"/>
    <w:rsid w:val="000C1A25"/>
    <w:rsid w:val="000C1AAB"/>
    <w:rsid w:val="000C2376"/>
    <w:rsid w:val="000D0075"/>
    <w:rsid w:val="000E15BC"/>
    <w:rsid w:val="000E1FE1"/>
    <w:rsid w:val="000F3AE1"/>
    <w:rsid w:val="000F3E15"/>
    <w:rsid w:val="0010327A"/>
    <w:rsid w:val="00104BF9"/>
    <w:rsid w:val="001056BE"/>
    <w:rsid w:val="00106529"/>
    <w:rsid w:val="00107839"/>
    <w:rsid w:val="00107DC0"/>
    <w:rsid w:val="00110DE4"/>
    <w:rsid w:val="00125B4C"/>
    <w:rsid w:val="001271E1"/>
    <w:rsid w:val="00132449"/>
    <w:rsid w:val="0014242B"/>
    <w:rsid w:val="00144214"/>
    <w:rsid w:val="00144E67"/>
    <w:rsid w:val="00145126"/>
    <w:rsid w:val="00154E4A"/>
    <w:rsid w:val="0016252F"/>
    <w:rsid w:val="001649FF"/>
    <w:rsid w:val="0017051D"/>
    <w:rsid w:val="001754E2"/>
    <w:rsid w:val="0018145D"/>
    <w:rsid w:val="00186992"/>
    <w:rsid w:val="00195F86"/>
    <w:rsid w:val="001A79BC"/>
    <w:rsid w:val="001C30BE"/>
    <w:rsid w:val="001C35DF"/>
    <w:rsid w:val="001C51F9"/>
    <w:rsid w:val="001D5EA4"/>
    <w:rsid w:val="001E7046"/>
    <w:rsid w:val="001F0601"/>
    <w:rsid w:val="001F4361"/>
    <w:rsid w:val="001F73F0"/>
    <w:rsid w:val="00215D88"/>
    <w:rsid w:val="0021612F"/>
    <w:rsid w:val="00216787"/>
    <w:rsid w:val="002234D5"/>
    <w:rsid w:val="002239E8"/>
    <w:rsid w:val="0023054A"/>
    <w:rsid w:val="002323F0"/>
    <w:rsid w:val="00240FFA"/>
    <w:rsid w:val="002443A1"/>
    <w:rsid w:val="002445B8"/>
    <w:rsid w:val="00244A39"/>
    <w:rsid w:val="002451BF"/>
    <w:rsid w:val="00252477"/>
    <w:rsid w:val="00252E1A"/>
    <w:rsid w:val="00253B3D"/>
    <w:rsid w:val="00265A4F"/>
    <w:rsid w:val="00270879"/>
    <w:rsid w:val="00271694"/>
    <w:rsid w:val="002726C6"/>
    <w:rsid w:val="00276B97"/>
    <w:rsid w:val="002916E3"/>
    <w:rsid w:val="002922F1"/>
    <w:rsid w:val="0029672E"/>
    <w:rsid w:val="002A4BFA"/>
    <w:rsid w:val="002A77E4"/>
    <w:rsid w:val="002B7F73"/>
    <w:rsid w:val="002C2596"/>
    <w:rsid w:val="002C7789"/>
    <w:rsid w:val="002D0C37"/>
    <w:rsid w:val="002D203A"/>
    <w:rsid w:val="002D47AE"/>
    <w:rsid w:val="002D4D99"/>
    <w:rsid w:val="002E23B6"/>
    <w:rsid w:val="002F0A5D"/>
    <w:rsid w:val="002F20F4"/>
    <w:rsid w:val="002F36E7"/>
    <w:rsid w:val="002F765B"/>
    <w:rsid w:val="003013A6"/>
    <w:rsid w:val="003017DF"/>
    <w:rsid w:val="00311B8A"/>
    <w:rsid w:val="00315025"/>
    <w:rsid w:val="003150FB"/>
    <w:rsid w:val="003442D6"/>
    <w:rsid w:val="003521A1"/>
    <w:rsid w:val="00352976"/>
    <w:rsid w:val="0037560D"/>
    <w:rsid w:val="00375CEF"/>
    <w:rsid w:val="00377F7F"/>
    <w:rsid w:val="003808CD"/>
    <w:rsid w:val="003814A4"/>
    <w:rsid w:val="003868F7"/>
    <w:rsid w:val="003921DF"/>
    <w:rsid w:val="003A2D6E"/>
    <w:rsid w:val="003B4BF5"/>
    <w:rsid w:val="003B7AF9"/>
    <w:rsid w:val="003C0467"/>
    <w:rsid w:val="003C2892"/>
    <w:rsid w:val="003C4CC0"/>
    <w:rsid w:val="003C562A"/>
    <w:rsid w:val="003D725B"/>
    <w:rsid w:val="003D7B66"/>
    <w:rsid w:val="003E0C5B"/>
    <w:rsid w:val="003E3E53"/>
    <w:rsid w:val="003F2FEB"/>
    <w:rsid w:val="003F7235"/>
    <w:rsid w:val="004008F4"/>
    <w:rsid w:val="004046F2"/>
    <w:rsid w:val="00404AA2"/>
    <w:rsid w:val="004064C6"/>
    <w:rsid w:val="0041172F"/>
    <w:rsid w:val="004129A6"/>
    <w:rsid w:val="004139C5"/>
    <w:rsid w:val="00414AEC"/>
    <w:rsid w:val="004151AD"/>
    <w:rsid w:val="00417FA7"/>
    <w:rsid w:val="00423B7D"/>
    <w:rsid w:val="004277B8"/>
    <w:rsid w:val="00443696"/>
    <w:rsid w:val="00451F4D"/>
    <w:rsid w:val="0045257F"/>
    <w:rsid w:val="00457D5E"/>
    <w:rsid w:val="00464262"/>
    <w:rsid w:val="004666DF"/>
    <w:rsid w:val="00471DB2"/>
    <w:rsid w:val="004720E6"/>
    <w:rsid w:val="0047347A"/>
    <w:rsid w:val="00474A45"/>
    <w:rsid w:val="004800E9"/>
    <w:rsid w:val="004843F1"/>
    <w:rsid w:val="00485503"/>
    <w:rsid w:val="00493BAC"/>
    <w:rsid w:val="00495959"/>
    <w:rsid w:val="00496809"/>
    <w:rsid w:val="004A693D"/>
    <w:rsid w:val="004B22CF"/>
    <w:rsid w:val="004C6D3B"/>
    <w:rsid w:val="004D6F7C"/>
    <w:rsid w:val="004E1A4D"/>
    <w:rsid w:val="004E3123"/>
    <w:rsid w:val="004F0D10"/>
    <w:rsid w:val="004F4B10"/>
    <w:rsid w:val="004F578E"/>
    <w:rsid w:val="004F5D3D"/>
    <w:rsid w:val="00500585"/>
    <w:rsid w:val="00501DAA"/>
    <w:rsid w:val="00503411"/>
    <w:rsid w:val="00504931"/>
    <w:rsid w:val="00515AB0"/>
    <w:rsid w:val="00526B30"/>
    <w:rsid w:val="00532084"/>
    <w:rsid w:val="005334DA"/>
    <w:rsid w:val="0053463F"/>
    <w:rsid w:val="005414C1"/>
    <w:rsid w:val="00542F6D"/>
    <w:rsid w:val="00544D4B"/>
    <w:rsid w:val="005453E2"/>
    <w:rsid w:val="00570E10"/>
    <w:rsid w:val="00573554"/>
    <w:rsid w:val="005778A7"/>
    <w:rsid w:val="005806EF"/>
    <w:rsid w:val="005819C8"/>
    <w:rsid w:val="00582482"/>
    <w:rsid w:val="00585BE2"/>
    <w:rsid w:val="00591468"/>
    <w:rsid w:val="0059213D"/>
    <w:rsid w:val="005A18D3"/>
    <w:rsid w:val="005A1EE8"/>
    <w:rsid w:val="005A4A4F"/>
    <w:rsid w:val="005B10EA"/>
    <w:rsid w:val="005B2808"/>
    <w:rsid w:val="005C26C8"/>
    <w:rsid w:val="005C31DC"/>
    <w:rsid w:val="005C5540"/>
    <w:rsid w:val="005D5488"/>
    <w:rsid w:val="005E02A6"/>
    <w:rsid w:val="005E2B82"/>
    <w:rsid w:val="005E4F08"/>
    <w:rsid w:val="005E7980"/>
    <w:rsid w:val="005F0465"/>
    <w:rsid w:val="005F1572"/>
    <w:rsid w:val="005F1B9F"/>
    <w:rsid w:val="005F724C"/>
    <w:rsid w:val="00604A03"/>
    <w:rsid w:val="00606CBF"/>
    <w:rsid w:val="00613981"/>
    <w:rsid w:val="00625061"/>
    <w:rsid w:val="006257AA"/>
    <w:rsid w:val="006320B4"/>
    <w:rsid w:val="00632C52"/>
    <w:rsid w:val="00643560"/>
    <w:rsid w:val="006451CC"/>
    <w:rsid w:val="00650705"/>
    <w:rsid w:val="00654AAF"/>
    <w:rsid w:val="00661B67"/>
    <w:rsid w:val="006818FA"/>
    <w:rsid w:val="006918DB"/>
    <w:rsid w:val="006920E0"/>
    <w:rsid w:val="00693D9D"/>
    <w:rsid w:val="006A2156"/>
    <w:rsid w:val="006A2401"/>
    <w:rsid w:val="006A4F76"/>
    <w:rsid w:val="006A6579"/>
    <w:rsid w:val="006C0C5A"/>
    <w:rsid w:val="006D3646"/>
    <w:rsid w:val="006D464C"/>
    <w:rsid w:val="006E2F26"/>
    <w:rsid w:val="006E53A5"/>
    <w:rsid w:val="00702CE9"/>
    <w:rsid w:val="00711396"/>
    <w:rsid w:val="00712F10"/>
    <w:rsid w:val="0071403C"/>
    <w:rsid w:val="00714C8C"/>
    <w:rsid w:val="00717EBB"/>
    <w:rsid w:val="00720CF4"/>
    <w:rsid w:val="00722035"/>
    <w:rsid w:val="00722F6C"/>
    <w:rsid w:val="00732CA5"/>
    <w:rsid w:val="00733CB2"/>
    <w:rsid w:val="00736566"/>
    <w:rsid w:val="00737487"/>
    <w:rsid w:val="00743553"/>
    <w:rsid w:val="007574DD"/>
    <w:rsid w:val="0076194A"/>
    <w:rsid w:val="007638D3"/>
    <w:rsid w:val="00766604"/>
    <w:rsid w:val="00766E61"/>
    <w:rsid w:val="0077235E"/>
    <w:rsid w:val="0077441A"/>
    <w:rsid w:val="00777213"/>
    <w:rsid w:val="00781B50"/>
    <w:rsid w:val="00781BF5"/>
    <w:rsid w:val="00786D07"/>
    <w:rsid w:val="00790B66"/>
    <w:rsid w:val="00796934"/>
    <w:rsid w:val="0079694B"/>
    <w:rsid w:val="007A077C"/>
    <w:rsid w:val="007A27C0"/>
    <w:rsid w:val="007A4F97"/>
    <w:rsid w:val="007A6584"/>
    <w:rsid w:val="007B36BC"/>
    <w:rsid w:val="007B4720"/>
    <w:rsid w:val="007B7A18"/>
    <w:rsid w:val="007C13FF"/>
    <w:rsid w:val="007C459A"/>
    <w:rsid w:val="007C7A10"/>
    <w:rsid w:val="007D106B"/>
    <w:rsid w:val="007D6AF4"/>
    <w:rsid w:val="007E0B03"/>
    <w:rsid w:val="007E593D"/>
    <w:rsid w:val="007E5AEC"/>
    <w:rsid w:val="007F09E1"/>
    <w:rsid w:val="007F0DD3"/>
    <w:rsid w:val="007F31C9"/>
    <w:rsid w:val="007F3C39"/>
    <w:rsid w:val="00803C43"/>
    <w:rsid w:val="00804E23"/>
    <w:rsid w:val="008056D9"/>
    <w:rsid w:val="00807031"/>
    <w:rsid w:val="00807D75"/>
    <w:rsid w:val="00812BE5"/>
    <w:rsid w:val="008165AB"/>
    <w:rsid w:val="00823395"/>
    <w:rsid w:val="00831452"/>
    <w:rsid w:val="0083217A"/>
    <w:rsid w:val="00834661"/>
    <w:rsid w:val="00841FC0"/>
    <w:rsid w:val="0084400C"/>
    <w:rsid w:val="00844F56"/>
    <w:rsid w:val="00852AB2"/>
    <w:rsid w:val="008536D0"/>
    <w:rsid w:val="00853ED6"/>
    <w:rsid w:val="0085697F"/>
    <w:rsid w:val="00861159"/>
    <w:rsid w:val="00872DBA"/>
    <w:rsid w:val="008777F0"/>
    <w:rsid w:val="00877C6A"/>
    <w:rsid w:val="00896D3C"/>
    <w:rsid w:val="008A0D8C"/>
    <w:rsid w:val="008A1F6C"/>
    <w:rsid w:val="008A7DA4"/>
    <w:rsid w:val="008B7BBA"/>
    <w:rsid w:val="008C13FE"/>
    <w:rsid w:val="008C24AC"/>
    <w:rsid w:val="008C3686"/>
    <w:rsid w:val="008D4059"/>
    <w:rsid w:val="008D48BA"/>
    <w:rsid w:val="008D4940"/>
    <w:rsid w:val="008D4C58"/>
    <w:rsid w:val="008F1A7E"/>
    <w:rsid w:val="008F77BA"/>
    <w:rsid w:val="00903194"/>
    <w:rsid w:val="00905F58"/>
    <w:rsid w:val="00912779"/>
    <w:rsid w:val="00913969"/>
    <w:rsid w:val="00917692"/>
    <w:rsid w:val="00917AD3"/>
    <w:rsid w:val="00920548"/>
    <w:rsid w:val="009254F5"/>
    <w:rsid w:val="00945535"/>
    <w:rsid w:val="00954E98"/>
    <w:rsid w:val="00957006"/>
    <w:rsid w:val="00960B07"/>
    <w:rsid w:val="0096207C"/>
    <w:rsid w:val="009648A5"/>
    <w:rsid w:val="0097462F"/>
    <w:rsid w:val="00977840"/>
    <w:rsid w:val="00983604"/>
    <w:rsid w:val="00984BC2"/>
    <w:rsid w:val="00995A43"/>
    <w:rsid w:val="009A5015"/>
    <w:rsid w:val="009B086F"/>
    <w:rsid w:val="009B2951"/>
    <w:rsid w:val="009B5BCB"/>
    <w:rsid w:val="009C3CFC"/>
    <w:rsid w:val="009C6BA3"/>
    <w:rsid w:val="009E24DF"/>
    <w:rsid w:val="009E308C"/>
    <w:rsid w:val="009E314C"/>
    <w:rsid w:val="009E3E1C"/>
    <w:rsid w:val="009E6F7E"/>
    <w:rsid w:val="009E7EBA"/>
    <w:rsid w:val="009F0DE7"/>
    <w:rsid w:val="009F2E38"/>
    <w:rsid w:val="009F3AFA"/>
    <w:rsid w:val="009F438D"/>
    <w:rsid w:val="009F60F4"/>
    <w:rsid w:val="00A035C9"/>
    <w:rsid w:val="00A056A7"/>
    <w:rsid w:val="00A1472E"/>
    <w:rsid w:val="00A15817"/>
    <w:rsid w:val="00A16503"/>
    <w:rsid w:val="00A21BF1"/>
    <w:rsid w:val="00A40F56"/>
    <w:rsid w:val="00A42700"/>
    <w:rsid w:val="00A45E23"/>
    <w:rsid w:val="00A46A73"/>
    <w:rsid w:val="00A505D3"/>
    <w:rsid w:val="00A50ADF"/>
    <w:rsid w:val="00A51E54"/>
    <w:rsid w:val="00A576C6"/>
    <w:rsid w:val="00A641E6"/>
    <w:rsid w:val="00A6534C"/>
    <w:rsid w:val="00A71131"/>
    <w:rsid w:val="00A712E2"/>
    <w:rsid w:val="00A73605"/>
    <w:rsid w:val="00A92A72"/>
    <w:rsid w:val="00A97479"/>
    <w:rsid w:val="00AA2287"/>
    <w:rsid w:val="00AB1D2B"/>
    <w:rsid w:val="00AC2345"/>
    <w:rsid w:val="00AC6622"/>
    <w:rsid w:val="00AC6B6C"/>
    <w:rsid w:val="00AC7069"/>
    <w:rsid w:val="00AC7A86"/>
    <w:rsid w:val="00AD3434"/>
    <w:rsid w:val="00AD4A7B"/>
    <w:rsid w:val="00AD78A4"/>
    <w:rsid w:val="00AE6987"/>
    <w:rsid w:val="00AF310E"/>
    <w:rsid w:val="00AF56E9"/>
    <w:rsid w:val="00B05BF2"/>
    <w:rsid w:val="00B070F8"/>
    <w:rsid w:val="00B10B6B"/>
    <w:rsid w:val="00B132B8"/>
    <w:rsid w:val="00B1517B"/>
    <w:rsid w:val="00B1527B"/>
    <w:rsid w:val="00B25FA3"/>
    <w:rsid w:val="00B416AB"/>
    <w:rsid w:val="00B45565"/>
    <w:rsid w:val="00B51432"/>
    <w:rsid w:val="00B549A0"/>
    <w:rsid w:val="00B67B3C"/>
    <w:rsid w:val="00B67FE3"/>
    <w:rsid w:val="00B7269B"/>
    <w:rsid w:val="00B73BB9"/>
    <w:rsid w:val="00B7603D"/>
    <w:rsid w:val="00B77701"/>
    <w:rsid w:val="00B80BEC"/>
    <w:rsid w:val="00B84E28"/>
    <w:rsid w:val="00B91DEA"/>
    <w:rsid w:val="00BA4247"/>
    <w:rsid w:val="00BB2B84"/>
    <w:rsid w:val="00BB3C2A"/>
    <w:rsid w:val="00BB3DA5"/>
    <w:rsid w:val="00BB5CB5"/>
    <w:rsid w:val="00BC23C6"/>
    <w:rsid w:val="00BD03ED"/>
    <w:rsid w:val="00BE254D"/>
    <w:rsid w:val="00BE3B8B"/>
    <w:rsid w:val="00BE3DF6"/>
    <w:rsid w:val="00BE49E3"/>
    <w:rsid w:val="00C07410"/>
    <w:rsid w:val="00C10290"/>
    <w:rsid w:val="00C123BB"/>
    <w:rsid w:val="00C225B3"/>
    <w:rsid w:val="00C23A32"/>
    <w:rsid w:val="00C251E1"/>
    <w:rsid w:val="00C25A40"/>
    <w:rsid w:val="00C26389"/>
    <w:rsid w:val="00C348D0"/>
    <w:rsid w:val="00C37210"/>
    <w:rsid w:val="00C41F0F"/>
    <w:rsid w:val="00C43E54"/>
    <w:rsid w:val="00C4732F"/>
    <w:rsid w:val="00C573C6"/>
    <w:rsid w:val="00C57886"/>
    <w:rsid w:val="00C62438"/>
    <w:rsid w:val="00C627F4"/>
    <w:rsid w:val="00C67B7D"/>
    <w:rsid w:val="00C7001A"/>
    <w:rsid w:val="00C7253D"/>
    <w:rsid w:val="00C75C3B"/>
    <w:rsid w:val="00C76539"/>
    <w:rsid w:val="00C8175C"/>
    <w:rsid w:val="00C95834"/>
    <w:rsid w:val="00C96E53"/>
    <w:rsid w:val="00CA52AA"/>
    <w:rsid w:val="00CB08B2"/>
    <w:rsid w:val="00CB10EA"/>
    <w:rsid w:val="00CC0A48"/>
    <w:rsid w:val="00CC2AC8"/>
    <w:rsid w:val="00CD0093"/>
    <w:rsid w:val="00CD051C"/>
    <w:rsid w:val="00CD2AF8"/>
    <w:rsid w:val="00CD32BB"/>
    <w:rsid w:val="00CE3701"/>
    <w:rsid w:val="00CE570A"/>
    <w:rsid w:val="00CF5BFD"/>
    <w:rsid w:val="00D01336"/>
    <w:rsid w:val="00D0217E"/>
    <w:rsid w:val="00D02D5E"/>
    <w:rsid w:val="00D05C63"/>
    <w:rsid w:val="00D14ABC"/>
    <w:rsid w:val="00D200CC"/>
    <w:rsid w:val="00D238B5"/>
    <w:rsid w:val="00D25EB7"/>
    <w:rsid w:val="00D27885"/>
    <w:rsid w:val="00D3033D"/>
    <w:rsid w:val="00D42D89"/>
    <w:rsid w:val="00D43CA1"/>
    <w:rsid w:val="00D453FD"/>
    <w:rsid w:val="00D52B37"/>
    <w:rsid w:val="00D56E07"/>
    <w:rsid w:val="00D57B2C"/>
    <w:rsid w:val="00D64BE0"/>
    <w:rsid w:val="00D65434"/>
    <w:rsid w:val="00D66D30"/>
    <w:rsid w:val="00D673F2"/>
    <w:rsid w:val="00D70266"/>
    <w:rsid w:val="00D74854"/>
    <w:rsid w:val="00D74D2B"/>
    <w:rsid w:val="00D75110"/>
    <w:rsid w:val="00D7542D"/>
    <w:rsid w:val="00D7761F"/>
    <w:rsid w:val="00D80D02"/>
    <w:rsid w:val="00D810E1"/>
    <w:rsid w:val="00D903A5"/>
    <w:rsid w:val="00D92B6C"/>
    <w:rsid w:val="00D934FA"/>
    <w:rsid w:val="00D93C90"/>
    <w:rsid w:val="00D9500A"/>
    <w:rsid w:val="00D95ED9"/>
    <w:rsid w:val="00DA3506"/>
    <w:rsid w:val="00DB24D7"/>
    <w:rsid w:val="00DC0E15"/>
    <w:rsid w:val="00DC43EE"/>
    <w:rsid w:val="00DE5C4E"/>
    <w:rsid w:val="00DF2989"/>
    <w:rsid w:val="00DF3BFB"/>
    <w:rsid w:val="00DF6342"/>
    <w:rsid w:val="00DF66EC"/>
    <w:rsid w:val="00DF7931"/>
    <w:rsid w:val="00E07B7C"/>
    <w:rsid w:val="00E110A2"/>
    <w:rsid w:val="00E22EB4"/>
    <w:rsid w:val="00E24E34"/>
    <w:rsid w:val="00E27894"/>
    <w:rsid w:val="00E311DD"/>
    <w:rsid w:val="00E31307"/>
    <w:rsid w:val="00E36806"/>
    <w:rsid w:val="00E415AC"/>
    <w:rsid w:val="00E43951"/>
    <w:rsid w:val="00E50DB8"/>
    <w:rsid w:val="00E52FB8"/>
    <w:rsid w:val="00E53307"/>
    <w:rsid w:val="00E55462"/>
    <w:rsid w:val="00E6178C"/>
    <w:rsid w:val="00E6414F"/>
    <w:rsid w:val="00E73904"/>
    <w:rsid w:val="00E748F4"/>
    <w:rsid w:val="00E83E9E"/>
    <w:rsid w:val="00E8618B"/>
    <w:rsid w:val="00E873CD"/>
    <w:rsid w:val="00E911DF"/>
    <w:rsid w:val="00E922E4"/>
    <w:rsid w:val="00E93552"/>
    <w:rsid w:val="00E936C3"/>
    <w:rsid w:val="00E94E45"/>
    <w:rsid w:val="00E95920"/>
    <w:rsid w:val="00E96CBE"/>
    <w:rsid w:val="00EA5C3E"/>
    <w:rsid w:val="00EA60C0"/>
    <w:rsid w:val="00EB0BF8"/>
    <w:rsid w:val="00EB7ADF"/>
    <w:rsid w:val="00EC36B5"/>
    <w:rsid w:val="00ED03A7"/>
    <w:rsid w:val="00ED455B"/>
    <w:rsid w:val="00ED4AFD"/>
    <w:rsid w:val="00ED6457"/>
    <w:rsid w:val="00EE3A79"/>
    <w:rsid w:val="00EF3327"/>
    <w:rsid w:val="00F02D6C"/>
    <w:rsid w:val="00F04A8C"/>
    <w:rsid w:val="00F132AB"/>
    <w:rsid w:val="00F17452"/>
    <w:rsid w:val="00F2004F"/>
    <w:rsid w:val="00F2372E"/>
    <w:rsid w:val="00F27ED8"/>
    <w:rsid w:val="00F3188F"/>
    <w:rsid w:val="00F35723"/>
    <w:rsid w:val="00F53892"/>
    <w:rsid w:val="00F5636D"/>
    <w:rsid w:val="00F57B4C"/>
    <w:rsid w:val="00F672C2"/>
    <w:rsid w:val="00F70487"/>
    <w:rsid w:val="00F716ED"/>
    <w:rsid w:val="00F8754B"/>
    <w:rsid w:val="00F9115D"/>
    <w:rsid w:val="00F968D6"/>
    <w:rsid w:val="00FA0588"/>
    <w:rsid w:val="00FA06D0"/>
    <w:rsid w:val="00FA2D6C"/>
    <w:rsid w:val="00FC56E1"/>
    <w:rsid w:val="00FE3655"/>
    <w:rsid w:val="00FE44F7"/>
    <w:rsid w:val="00FE5B0A"/>
    <w:rsid w:val="00FE6A46"/>
    <w:rsid w:val="00FF4E90"/>
    <w:rsid w:val="00FF4E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A5D"/>
    <w:pPr>
      <w:widowControl w:val="0"/>
    </w:pPr>
    <w:rPr>
      <w:sz w:val="22"/>
      <w:lang w:eastAsia="en-US"/>
    </w:rPr>
  </w:style>
  <w:style w:type="paragraph" w:styleId="1">
    <w:name w:val="heading 1"/>
    <w:basedOn w:val="a"/>
    <w:next w:val="a"/>
    <w:qFormat/>
    <w:rsid w:val="001C30BE"/>
    <w:pPr>
      <w:keepNext/>
      <w:jc w:val="center"/>
      <w:outlineLvl w:val="0"/>
    </w:pPr>
    <w:rPr>
      <w:b/>
    </w:rPr>
  </w:style>
  <w:style w:type="paragraph" w:styleId="2">
    <w:name w:val="heading 2"/>
    <w:basedOn w:val="a"/>
    <w:next w:val="a"/>
    <w:qFormat/>
    <w:rsid w:val="001C30BE"/>
    <w:pPr>
      <w:keepNext/>
      <w:outlineLvl w:val="1"/>
    </w:pPr>
    <w:rPr>
      <w:b/>
    </w:rPr>
  </w:style>
  <w:style w:type="paragraph" w:styleId="6">
    <w:name w:val="heading 6"/>
    <w:basedOn w:val="a"/>
    <w:next w:val="a"/>
    <w:qFormat/>
    <w:rsid w:val="001C30BE"/>
    <w:pPr>
      <w:keepNext/>
      <w:tabs>
        <w:tab w:val="left" w:pos="-720"/>
        <w:tab w:val="left" w:pos="567"/>
        <w:tab w:val="left" w:pos="4536"/>
      </w:tabs>
      <w:suppressAutoHyphens/>
      <w:spacing w:line="-260" w:lineRule="auto"/>
      <w:outlineLvl w:val="5"/>
    </w:pPr>
    <w:rPr>
      <w:i/>
      <w:lang w:val="en-GB"/>
    </w:rPr>
  </w:style>
  <w:style w:type="paragraph" w:styleId="7">
    <w:name w:val="heading 7"/>
    <w:basedOn w:val="a"/>
    <w:next w:val="a"/>
    <w:qFormat/>
    <w:rsid w:val="001C30BE"/>
    <w:pPr>
      <w:keepNext/>
      <w:tabs>
        <w:tab w:val="left" w:pos="-720"/>
        <w:tab w:val="left" w:pos="567"/>
        <w:tab w:val="left" w:pos="4536"/>
      </w:tabs>
      <w:suppressAutoHyphens/>
      <w:spacing w:line="-260" w:lineRule="auto"/>
      <w:jc w:val="both"/>
      <w:outlineLvl w:val="6"/>
    </w:pPr>
    <w:rPr>
      <w:i/>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F0A5D"/>
    <w:pPr>
      <w:tabs>
        <w:tab w:val="center" w:pos="4153"/>
        <w:tab w:val="right" w:pos="8306"/>
      </w:tabs>
    </w:pPr>
  </w:style>
  <w:style w:type="paragraph" w:styleId="a4">
    <w:name w:val="footer"/>
    <w:basedOn w:val="a"/>
    <w:link w:val="Char0"/>
    <w:uiPriority w:val="99"/>
    <w:rsid w:val="002F0A5D"/>
    <w:pPr>
      <w:tabs>
        <w:tab w:val="center" w:pos="4153"/>
        <w:tab w:val="right" w:pos="8306"/>
      </w:tabs>
    </w:pPr>
  </w:style>
  <w:style w:type="character" w:styleId="a5">
    <w:name w:val="page number"/>
    <w:basedOn w:val="a0"/>
    <w:rsid w:val="001C30BE"/>
  </w:style>
  <w:style w:type="character" w:styleId="-">
    <w:name w:val="Hyperlink"/>
    <w:uiPriority w:val="99"/>
    <w:rsid w:val="001C30BE"/>
    <w:rPr>
      <w:color w:val="0000FF"/>
      <w:u w:val="single"/>
    </w:rPr>
  </w:style>
  <w:style w:type="paragraph" w:styleId="a6">
    <w:name w:val="Body Text"/>
    <w:basedOn w:val="a"/>
    <w:rsid w:val="001C30BE"/>
    <w:pPr>
      <w:jc w:val="center"/>
    </w:pPr>
  </w:style>
  <w:style w:type="paragraph" w:styleId="20">
    <w:name w:val="Body Text 2"/>
    <w:basedOn w:val="a"/>
    <w:rsid w:val="001C30BE"/>
    <w:rPr>
      <w:color w:val="FF0000"/>
    </w:rPr>
  </w:style>
  <w:style w:type="paragraph" w:customStyle="1" w:styleId="EMEAEnBodyText">
    <w:name w:val="EMEA En Body Text"/>
    <w:basedOn w:val="a"/>
    <w:rsid w:val="001C30BE"/>
    <w:pPr>
      <w:widowControl/>
      <w:spacing w:before="120" w:after="120"/>
      <w:jc w:val="both"/>
    </w:pPr>
    <w:rPr>
      <w:lang w:val="en-US"/>
    </w:rPr>
  </w:style>
  <w:style w:type="paragraph" w:styleId="a7">
    <w:name w:val="Balloon Text"/>
    <w:basedOn w:val="a"/>
    <w:link w:val="Char1"/>
    <w:uiPriority w:val="99"/>
    <w:semiHidden/>
    <w:rsid w:val="002F0A5D"/>
    <w:rPr>
      <w:rFonts w:ascii="Tahoma" w:hAnsi="Tahoma" w:cs="Tahoma"/>
      <w:sz w:val="16"/>
      <w:szCs w:val="16"/>
    </w:rPr>
  </w:style>
  <w:style w:type="character" w:styleId="-0">
    <w:name w:val="FollowedHyperlink"/>
    <w:rsid w:val="00056716"/>
    <w:rPr>
      <w:color w:val="800080"/>
      <w:u w:val="single"/>
    </w:rPr>
  </w:style>
  <w:style w:type="paragraph" w:customStyle="1" w:styleId="CM12">
    <w:name w:val="CM12"/>
    <w:basedOn w:val="a"/>
    <w:next w:val="a"/>
    <w:uiPriority w:val="99"/>
    <w:rsid w:val="005453E2"/>
    <w:pPr>
      <w:autoSpaceDE w:val="0"/>
      <w:autoSpaceDN w:val="0"/>
      <w:adjustRightInd w:val="0"/>
    </w:pPr>
    <w:rPr>
      <w:rFonts w:ascii="Arial" w:hAnsi="Arial"/>
      <w:sz w:val="24"/>
      <w:szCs w:val="24"/>
      <w:lang w:val="en-US"/>
    </w:rPr>
  </w:style>
  <w:style w:type="paragraph" w:customStyle="1" w:styleId="Default">
    <w:name w:val="Default"/>
    <w:uiPriority w:val="99"/>
    <w:rsid w:val="002F0A5D"/>
    <w:pPr>
      <w:autoSpaceDE w:val="0"/>
      <w:autoSpaceDN w:val="0"/>
      <w:adjustRightInd w:val="0"/>
    </w:pPr>
    <w:rPr>
      <w:color w:val="000000"/>
      <w:sz w:val="24"/>
      <w:szCs w:val="24"/>
      <w:lang w:val="en-US" w:eastAsia="en-US"/>
    </w:rPr>
  </w:style>
  <w:style w:type="character" w:styleId="a8">
    <w:name w:val="annotation reference"/>
    <w:basedOn w:val="a0"/>
    <w:rsid w:val="00DF2989"/>
    <w:rPr>
      <w:sz w:val="16"/>
      <w:szCs w:val="16"/>
    </w:rPr>
  </w:style>
  <w:style w:type="paragraph" w:styleId="a9">
    <w:name w:val="annotation text"/>
    <w:basedOn w:val="a"/>
    <w:link w:val="Char2"/>
    <w:rsid w:val="00DF2989"/>
    <w:rPr>
      <w:sz w:val="20"/>
    </w:rPr>
  </w:style>
  <w:style w:type="character" w:customStyle="1" w:styleId="Char2">
    <w:name w:val="Κείμενο σχολίου Char"/>
    <w:basedOn w:val="a0"/>
    <w:link w:val="a9"/>
    <w:rsid w:val="00DF2989"/>
    <w:rPr>
      <w:lang w:eastAsia="en-US"/>
    </w:rPr>
  </w:style>
  <w:style w:type="paragraph" w:styleId="aa">
    <w:name w:val="annotation subject"/>
    <w:basedOn w:val="a9"/>
    <w:next w:val="a9"/>
    <w:link w:val="Char3"/>
    <w:rsid w:val="00DF2989"/>
    <w:rPr>
      <w:b/>
      <w:bCs/>
    </w:rPr>
  </w:style>
  <w:style w:type="character" w:customStyle="1" w:styleId="Char3">
    <w:name w:val="Θέμα σχολίου Char"/>
    <w:basedOn w:val="Char2"/>
    <w:link w:val="aa"/>
    <w:rsid w:val="00DF2989"/>
    <w:rPr>
      <w:b/>
      <w:bCs/>
      <w:lang w:eastAsia="en-US"/>
    </w:rPr>
  </w:style>
  <w:style w:type="paragraph" w:styleId="ab">
    <w:name w:val="Revision"/>
    <w:hidden/>
    <w:uiPriority w:val="99"/>
    <w:semiHidden/>
    <w:rsid w:val="00DF2989"/>
    <w:rPr>
      <w:sz w:val="22"/>
      <w:lang w:eastAsia="en-US"/>
    </w:rPr>
  </w:style>
  <w:style w:type="paragraph" w:customStyle="1" w:styleId="CM1">
    <w:name w:val="CM1"/>
    <w:basedOn w:val="Default"/>
    <w:next w:val="Default"/>
    <w:uiPriority w:val="99"/>
    <w:rsid w:val="002F0A5D"/>
    <w:pPr>
      <w:widowControl w:val="0"/>
      <w:spacing w:line="198" w:lineRule="atLeast"/>
    </w:pPr>
    <w:rPr>
      <w:rFonts w:ascii="Arial" w:hAnsi="Arial"/>
      <w:color w:val="auto"/>
    </w:rPr>
  </w:style>
  <w:style w:type="paragraph" w:customStyle="1" w:styleId="CM11">
    <w:name w:val="CM11"/>
    <w:basedOn w:val="Default"/>
    <w:next w:val="Default"/>
    <w:uiPriority w:val="99"/>
    <w:rsid w:val="002F0A5D"/>
    <w:pPr>
      <w:widowControl w:val="0"/>
    </w:pPr>
    <w:rPr>
      <w:rFonts w:ascii="Arial" w:hAnsi="Arial"/>
      <w:color w:val="auto"/>
    </w:rPr>
  </w:style>
  <w:style w:type="paragraph" w:customStyle="1" w:styleId="CM13">
    <w:name w:val="CM13"/>
    <w:basedOn w:val="Default"/>
    <w:next w:val="Default"/>
    <w:uiPriority w:val="99"/>
    <w:rsid w:val="002F0A5D"/>
    <w:pPr>
      <w:widowControl w:val="0"/>
    </w:pPr>
    <w:rPr>
      <w:rFonts w:ascii="Arial" w:hAnsi="Arial"/>
      <w:color w:val="auto"/>
    </w:rPr>
  </w:style>
  <w:style w:type="paragraph" w:customStyle="1" w:styleId="CM14">
    <w:name w:val="CM14"/>
    <w:basedOn w:val="Default"/>
    <w:next w:val="Default"/>
    <w:uiPriority w:val="99"/>
    <w:rsid w:val="002F0A5D"/>
    <w:pPr>
      <w:widowControl w:val="0"/>
    </w:pPr>
    <w:rPr>
      <w:rFonts w:ascii="Arial" w:hAnsi="Arial"/>
      <w:color w:val="auto"/>
    </w:rPr>
  </w:style>
  <w:style w:type="paragraph" w:customStyle="1" w:styleId="CM2">
    <w:name w:val="CM2"/>
    <w:basedOn w:val="Default"/>
    <w:next w:val="Default"/>
    <w:uiPriority w:val="99"/>
    <w:rsid w:val="002F0A5D"/>
    <w:pPr>
      <w:widowControl w:val="0"/>
      <w:spacing w:line="198" w:lineRule="atLeast"/>
    </w:pPr>
    <w:rPr>
      <w:rFonts w:ascii="Arial" w:hAnsi="Arial"/>
      <w:color w:val="auto"/>
    </w:rPr>
  </w:style>
  <w:style w:type="paragraph" w:customStyle="1" w:styleId="CM15">
    <w:name w:val="CM15"/>
    <w:basedOn w:val="Default"/>
    <w:next w:val="Default"/>
    <w:uiPriority w:val="99"/>
    <w:rsid w:val="002F0A5D"/>
    <w:pPr>
      <w:widowControl w:val="0"/>
    </w:pPr>
    <w:rPr>
      <w:rFonts w:ascii="Arial" w:hAnsi="Arial"/>
      <w:color w:val="auto"/>
    </w:rPr>
  </w:style>
  <w:style w:type="paragraph" w:customStyle="1" w:styleId="CM16">
    <w:name w:val="CM16"/>
    <w:basedOn w:val="Default"/>
    <w:next w:val="Default"/>
    <w:uiPriority w:val="99"/>
    <w:rsid w:val="002F0A5D"/>
    <w:pPr>
      <w:widowControl w:val="0"/>
    </w:pPr>
    <w:rPr>
      <w:rFonts w:ascii="Arial" w:hAnsi="Arial"/>
      <w:color w:val="auto"/>
    </w:rPr>
  </w:style>
  <w:style w:type="paragraph" w:customStyle="1" w:styleId="CM3">
    <w:name w:val="CM3"/>
    <w:basedOn w:val="Default"/>
    <w:next w:val="Default"/>
    <w:uiPriority w:val="99"/>
    <w:rsid w:val="002F0A5D"/>
    <w:pPr>
      <w:widowControl w:val="0"/>
      <w:spacing w:line="198" w:lineRule="atLeast"/>
    </w:pPr>
    <w:rPr>
      <w:rFonts w:ascii="Arial" w:hAnsi="Arial"/>
      <w:color w:val="auto"/>
    </w:rPr>
  </w:style>
  <w:style w:type="paragraph" w:customStyle="1" w:styleId="CM4">
    <w:name w:val="CM4"/>
    <w:basedOn w:val="Default"/>
    <w:next w:val="Default"/>
    <w:uiPriority w:val="99"/>
    <w:rsid w:val="002F0A5D"/>
    <w:pPr>
      <w:widowControl w:val="0"/>
      <w:spacing w:line="198" w:lineRule="atLeast"/>
    </w:pPr>
    <w:rPr>
      <w:rFonts w:ascii="Arial" w:hAnsi="Arial"/>
      <w:color w:val="auto"/>
    </w:rPr>
  </w:style>
  <w:style w:type="paragraph" w:customStyle="1" w:styleId="CM17">
    <w:name w:val="CM17"/>
    <w:basedOn w:val="Default"/>
    <w:next w:val="Default"/>
    <w:uiPriority w:val="99"/>
    <w:rsid w:val="002F0A5D"/>
    <w:pPr>
      <w:widowControl w:val="0"/>
    </w:pPr>
    <w:rPr>
      <w:rFonts w:ascii="Arial" w:hAnsi="Arial"/>
      <w:color w:val="auto"/>
    </w:rPr>
  </w:style>
  <w:style w:type="paragraph" w:customStyle="1" w:styleId="CM7">
    <w:name w:val="CM7"/>
    <w:basedOn w:val="Default"/>
    <w:next w:val="Default"/>
    <w:uiPriority w:val="99"/>
    <w:rsid w:val="002F0A5D"/>
    <w:pPr>
      <w:widowControl w:val="0"/>
      <w:spacing w:line="356" w:lineRule="atLeast"/>
    </w:pPr>
    <w:rPr>
      <w:rFonts w:ascii="Arial" w:hAnsi="Arial"/>
      <w:color w:val="auto"/>
    </w:rPr>
  </w:style>
  <w:style w:type="paragraph" w:customStyle="1" w:styleId="CM18">
    <w:name w:val="CM18"/>
    <w:basedOn w:val="Default"/>
    <w:next w:val="Default"/>
    <w:uiPriority w:val="99"/>
    <w:rsid w:val="002F0A5D"/>
    <w:pPr>
      <w:widowControl w:val="0"/>
    </w:pPr>
    <w:rPr>
      <w:rFonts w:ascii="Arial" w:hAnsi="Arial"/>
      <w:color w:val="auto"/>
    </w:rPr>
  </w:style>
  <w:style w:type="paragraph" w:customStyle="1" w:styleId="CM8">
    <w:name w:val="CM8"/>
    <w:basedOn w:val="Default"/>
    <w:next w:val="Default"/>
    <w:uiPriority w:val="99"/>
    <w:rsid w:val="002F0A5D"/>
    <w:pPr>
      <w:widowControl w:val="0"/>
      <w:spacing w:line="276" w:lineRule="atLeast"/>
    </w:pPr>
    <w:rPr>
      <w:rFonts w:ascii="Arial" w:hAnsi="Arial"/>
      <w:color w:val="auto"/>
    </w:rPr>
  </w:style>
  <w:style w:type="paragraph" w:customStyle="1" w:styleId="CM9">
    <w:name w:val="CM9"/>
    <w:basedOn w:val="Default"/>
    <w:next w:val="Default"/>
    <w:uiPriority w:val="99"/>
    <w:rsid w:val="002F0A5D"/>
    <w:pPr>
      <w:widowControl w:val="0"/>
      <w:spacing w:line="198" w:lineRule="atLeast"/>
    </w:pPr>
    <w:rPr>
      <w:rFonts w:ascii="Arial" w:hAnsi="Arial"/>
      <w:color w:val="auto"/>
    </w:rPr>
  </w:style>
  <w:style w:type="paragraph" w:customStyle="1" w:styleId="CM5">
    <w:name w:val="CM5"/>
    <w:basedOn w:val="Default"/>
    <w:next w:val="Default"/>
    <w:uiPriority w:val="99"/>
    <w:rsid w:val="002F0A5D"/>
    <w:pPr>
      <w:widowControl w:val="0"/>
      <w:spacing w:line="198" w:lineRule="atLeast"/>
    </w:pPr>
    <w:rPr>
      <w:rFonts w:ascii="Arial" w:hAnsi="Arial"/>
      <w:color w:val="auto"/>
    </w:rPr>
  </w:style>
  <w:style w:type="table" w:styleId="ac">
    <w:name w:val="Table Grid"/>
    <w:basedOn w:val="a1"/>
    <w:uiPriority w:val="59"/>
    <w:rsid w:val="002F0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F0A5D"/>
    <w:pPr>
      <w:widowControl/>
      <w:spacing w:before="100" w:beforeAutospacing="1" w:after="100" w:afterAutospacing="1"/>
    </w:pPr>
    <w:rPr>
      <w:rFonts w:ascii="Times" w:hAnsi="Times"/>
      <w:sz w:val="20"/>
      <w:lang w:val="en-US" w:eastAsia="es-ES"/>
    </w:rPr>
  </w:style>
  <w:style w:type="character" w:customStyle="1" w:styleId="Char">
    <w:name w:val="Κεφαλίδα Char"/>
    <w:link w:val="a3"/>
    <w:uiPriority w:val="99"/>
    <w:rsid w:val="002F0A5D"/>
    <w:rPr>
      <w:sz w:val="22"/>
      <w:lang w:eastAsia="en-US"/>
    </w:rPr>
  </w:style>
  <w:style w:type="character" w:customStyle="1" w:styleId="Char0">
    <w:name w:val="Υποσέλιδο Char"/>
    <w:link w:val="a4"/>
    <w:uiPriority w:val="99"/>
    <w:rsid w:val="002F0A5D"/>
    <w:rPr>
      <w:sz w:val="22"/>
      <w:lang w:eastAsia="en-US"/>
    </w:rPr>
  </w:style>
  <w:style w:type="character" w:customStyle="1" w:styleId="Char1">
    <w:name w:val="Κείμενο πλαισίου Char"/>
    <w:link w:val="a7"/>
    <w:uiPriority w:val="99"/>
    <w:semiHidden/>
    <w:rsid w:val="002F0A5D"/>
    <w:rPr>
      <w:rFonts w:ascii="Tahoma" w:hAnsi="Tahoma" w:cs="Tahoma"/>
      <w:sz w:val="16"/>
      <w:szCs w:val="16"/>
      <w:lang w:eastAsia="en-US"/>
    </w:rPr>
  </w:style>
  <w:style w:type="character" w:customStyle="1" w:styleId="hps">
    <w:name w:val="hps"/>
    <w:basedOn w:val="a0"/>
    <w:rsid w:val="002F0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A5D"/>
    <w:pPr>
      <w:widowControl w:val="0"/>
    </w:pPr>
    <w:rPr>
      <w:sz w:val="22"/>
      <w:lang w:eastAsia="en-US"/>
    </w:rPr>
  </w:style>
  <w:style w:type="paragraph" w:styleId="1">
    <w:name w:val="heading 1"/>
    <w:basedOn w:val="a"/>
    <w:next w:val="a"/>
    <w:qFormat/>
    <w:rsid w:val="001C30BE"/>
    <w:pPr>
      <w:keepNext/>
      <w:jc w:val="center"/>
      <w:outlineLvl w:val="0"/>
    </w:pPr>
    <w:rPr>
      <w:b/>
    </w:rPr>
  </w:style>
  <w:style w:type="paragraph" w:styleId="2">
    <w:name w:val="heading 2"/>
    <w:basedOn w:val="a"/>
    <w:next w:val="a"/>
    <w:qFormat/>
    <w:rsid w:val="001C30BE"/>
    <w:pPr>
      <w:keepNext/>
      <w:outlineLvl w:val="1"/>
    </w:pPr>
    <w:rPr>
      <w:b/>
    </w:rPr>
  </w:style>
  <w:style w:type="paragraph" w:styleId="6">
    <w:name w:val="heading 6"/>
    <w:basedOn w:val="a"/>
    <w:next w:val="a"/>
    <w:qFormat/>
    <w:rsid w:val="001C30BE"/>
    <w:pPr>
      <w:keepNext/>
      <w:tabs>
        <w:tab w:val="left" w:pos="-720"/>
        <w:tab w:val="left" w:pos="567"/>
        <w:tab w:val="left" w:pos="4536"/>
      </w:tabs>
      <w:suppressAutoHyphens/>
      <w:spacing w:line="-260" w:lineRule="auto"/>
      <w:outlineLvl w:val="5"/>
    </w:pPr>
    <w:rPr>
      <w:i/>
      <w:lang w:val="en-GB"/>
    </w:rPr>
  </w:style>
  <w:style w:type="paragraph" w:styleId="7">
    <w:name w:val="heading 7"/>
    <w:basedOn w:val="a"/>
    <w:next w:val="a"/>
    <w:qFormat/>
    <w:rsid w:val="001C30BE"/>
    <w:pPr>
      <w:keepNext/>
      <w:tabs>
        <w:tab w:val="left" w:pos="-720"/>
        <w:tab w:val="left" w:pos="567"/>
        <w:tab w:val="left" w:pos="4536"/>
      </w:tabs>
      <w:suppressAutoHyphens/>
      <w:spacing w:line="-260" w:lineRule="auto"/>
      <w:jc w:val="both"/>
      <w:outlineLvl w:val="6"/>
    </w:pPr>
    <w:rPr>
      <w: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F0A5D"/>
    <w:pPr>
      <w:tabs>
        <w:tab w:val="center" w:pos="4153"/>
        <w:tab w:val="right" w:pos="8306"/>
      </w:tabs>
    </w:pPr>
  </w:style>
  <w:style w:type="paragraph" w:styleId="a4">
    <w:name w:val="footer"/>
    <w:basedOn w:val="a"/>
    <w:link w:val="Char0"/>
    <w:uiPriority w:val="99"/>
    <w:rsid w:val="002F0A5D"/>
    <w:pPr>
      <w:tabs>
        <w:tab w:val="center" w:pos="4153"/>
        <w:tab w:val="right" w:pos="8306"/>
      </w:tabs>
    </w:pPr>
  </w:style>
  <w:style w:type="character" w:styleId="a5">
    <w:name w:val="page number"/>
    <w:basedOn w:val="a0"/>
    <w:rsid w:val="001C30BE"/>
  </w:style>
  <w:style w:type="character" w:styleId="-">
    <w:name w:val="Hyperlink"/>
    <w:uiPriority w:val="99"/>
    <w:rsid w:val="001C30BE"/>
    <w:rPr>
      <w:color w:val="0000FF"/>
      <w:u w:val="single"/>
    </w:rPr>
  </w:style>
  <w:style w:type="paragraph" w:styleId="a6">
    <w:name w:val="Body Text"/>
    <w:basedOn w:val="a"/>
    <w:rsid w:val="001C30BE"/>
    <w:pPr>
      <w:jc w:val="center"/>
    </w:pPr>
  </w:style>
  <w:style w:type="paragraph" w:styleId="20">
    <w:name w:val="Body Text 2"/>
    <w:basedOn w:val="a"/>
    <w:rsid w:val="001C30BE"/>
    <w:rPr>
      <w:color w:val="FF0000"/>
    </w:rPr>
  </w:style>
  <w:style w:type="paragraph" w:customStyle="1" w:styleId="EMEAEnBodyText">
    <w:name w:val="EMEA En Body Text"/>
    <w:basedOn w:val="a"/>
    <w:rsid w:val="001C30BE"/>
    <w:pPr>
      <w:widowControl/>
      <w:spacing w:before="120" w:after="120"/>
      <w:jc w:val="both"/>
    </w:pPr>
    <w:rPr>
      <w:lang w:val="en-US"/>
    </w:rPr>
  </w:style>
  <w:style w:type="paragraph" w:styleId="a7">
    <w:name w:val="Balloon Text"/>
    <w:basedOn w:val="a"/>
    <w:link w:val="Char1"/>
    <w:uiPriority w:val="99"/>
    <w:semiHidden/>
    <w:rsid w:val="002F0A5D"/>
    <w:rPr>
      <w:rFonts w:ascii="Tahoma" w:hAnsi="Tahoma" w:cs="Tahoma"/>
      <w:sz w:val="16"/>
      <w:szCs w:val="16"/>
    </w:rPr>
  </w:style>
  <w:style w:type="character" w:styleId="-0">
    <w:name w:val="FollowedHyperlink"/>
    <w:rsid w:val="00056716"/>
    <w:rPr>
      <w:color w:val="800080"/>
      <w:u w:val="single"/>
    </w:rPr>
  </w:style>
  <w:style w:type="paragraph" w:customStyle="1" w:styleId="CM12">
    <w:name w:val="CM12"/>
    <w:basedOn w:val="a"/>
    <w:next w:val="a"/>
    <w:uiPriority w:val="99"/>
    <w:rsid w:val="005453E2"/>
    <w:pPr>
      <w:autoSpaceDE w:val="0"/>
      <w:autoSpaceDN w:val="0"/>
      <w:adjustRightInd w:val="0"/>
    </w:pPr>
    <w:rPr>
      <w:rFonts w:ascii="Arial" w:hAnsi="Arial"/>
      <w:sz w:val="24"/>
      <w:szCs w:val="24"/>
      <w:lang w:val="en-US"/>
    </w:rPr>
  </w:style>
  <w:style w:type="paragraph" w:customStyle="1" w:styleId="Default">
    <w:name w:val="Default"/>
    <w:uiPriority w:val="99"/>
    <w:rsid w:val="002F0A5D"/>
    <w:pPr>
      <w:autoSpaceDE w:val="0"/>
      <w:autoSpaceDN w:val="0"/>
      <w:adjustRightInd w:val="0"/>
    </w:pPr>
    <w:rPr>
      <w:color w:val="000000"/>
      <w:sz w:val="24"/>
      <w:szCs w:val="24"/>
      <w:lang w:val="en-US" w:eastAsia="en-US"/>
    </w:rPr>
  </w:style>
  <w:style w:type="character" w:styleId="a8">
    <w:name w:val="annotation reference"/>
    <w:basedOn w:val="a0"/>
    <w:rsid w:val="00DF2989"/>
    <w:rPr>
      <w:sz w:val="16"/>
      <w:szCs w:val="16"/>
    </w:rPr>
  </w:style>
  <w:style w:type="paragraph" w:styleId="a9">
    <w:name w:val="annotation text"/>
    <w:basedOn w:val="a"/>
    <w:link w:val="Char2"/>
    <w:rsid w:val="00DF2989"/>
    <w:rPr>
      <w:sz w:val="20"/>
    </w:rPr>
  </w:style>
  <w:style w:type="character" w:customStyle="1" w:styleId="Char2">
    <w:name w:val="Κείμενο σχολίου Char"/>
    <w:basedOn w:val="a0"/>
    <w:link w:val="a9"/>
    <w:rsid w:val="00DF2989"/>
    <w:rPr>
      <w:lang w:eastAsia="en-US"/>
    </w:rPr>
  </w:style>
  <w:style w:type="paragraph" w:styleId="aa">
    <w:name w:val="annotation subject"/>
    <w:basedOn w:val="a9"/>
    <w:next w:val="a9"/>
    <w:link w:val="Char3"/>
    <w:rsid w:val="00DF2989"/>
    <w:rPr>
      <w:b/>
      <w:bCs/>
    </w:rPr>
  </w:style>
  <w:style w:type="character" w:customStyle="1" w:styleId="Char3">
    <w:name w:val="Θέμα σχολίου Char"/>
    <w:basedOn w:val="Char2"/>
    <w:link w:val="aa"/>
    <w:rsid w:val="00DF2989"/>
    <w:rPr>
      <w:b/>
      <w:bCs/>
      <w:lang w:eastAsia="en-US"/>
    </w:rPr>
  </w:style>
  <w:style w:type="paragraph" w:styleId="ab">
    <w:name w:val="Revision"/>
    <w:hidden/>
    <w:uiPriority w:val="99"/>
    <w:semiHidden/>
    <w:rsid w:val="00DF2989"/>
    <w:rPr>
      <w:sz w:val="22"/>
      <w:lang w:eastAsia="en-US"/>
    </w:rPr>
  </w:style>
  <w:style w:type="paragraph" w:customStyle="1" w:styleId="CM1">
    <w:name w:val="CM1"/>
    <w:basedOn w:val="Default"/>
    <w:next w:val="Default"/>
    <w:uiPriority w:val="99"/>
    <w:rsid w:val="002F0A5D"/>
    <w:pPr>
      <w:widowControl w:val="0"/>
      <w:spacing w:line="198" w:lineRule="atLeast"/>
    </w:pPr>
    <w:rPr>
      <w:rFonts w:ascii="Arial" w:hAnsi="Arial"/>
      <w:color w:val="auto"/>
    </w:rPr>
  </w:style>
  <w:style w:type="paragraph" w:customStyle="1" w:styleId="CM11">
    <w:name w:val="CM11"/>
    <w:basedOn w:val="Default"/>
    <w:next w:val="Default"/>
    <w:uiPriority w:val="99"/>
    <w:rsid w:val="002F0A5D"/>
    <w:pPr>
      <w:widowControl w:val="0"/>
    </w:pPr>
    <w:rPr>
      <w:rFonts w:ascii="Arial" w:hAnsi="Arial"/>
      <w:color w:val="auto"/>
    </w:rPr>
  </w:style>
  <w:style w:type="paragraph" w:customStyle="1" w:styleId="CM13">
    <w:name w:val="CM13"/>
    <w:basedOn w:val="Default"/>
    <w:next w:val="Default"/>
    <w:uiPriority w:val="99"/>
    <w:rsid w:val="002F0A5D"/>
    <w:pPr>
      <w:widowControl w:val="0"/>
    </w:pPr>
    <w:rPr>
      <w:rFonts w:ascii="Arial" w:hAnsi="Arial"/>
      <w:color w:val="auto"/>
    </w:rPr>
  </w:style>
  <w:style w:type="paragraph" w:customStyle="1" w:styleId="CM14">
    <w:name w:val="CM14"/>
    <w:basedOn w:val="Default"/>
    <w:next w:val="Default"/>
    <w:uiPriority w:val="99"/>
    <w:rsid w:val="002F0A5D"/>
    <w:pPr>
      <w:widowControl w:val="0"/>
    </w:pPr>
    <w:rPr>
      <w:rFonts w:ascii="Arial" w:hAnsi="Arial"/>
      <w:color w:val="auto"/>
    </w:rPr>
  </w:style>
  <w:style w:type="paragraph" w:customStyle="1" w:styleId="CM2">
    <w:name w:val="CM2"/>
    <w:basedOn w:val="Default"/>
    <w:next w:val="Default"/>
    <w:uiPriority w:val="99"/>
    <w:rsid w:val="002F0A5D"/>
    <w:pPr>
      <w:widowControl w:val="0"/>
      <w:spacing w:line="198" w:lineRule="atLeast"/>
    </w:pPr>
    <w:rPr>
      <w:rFonts w:ascii="Arial" w:hAnsi="Arial"/>
      <w:color w:val="auto"/>
    </w:rPr>
  </w:style>
  <w:style w:type="paragraph" w:customStyle="1" w:styleId="CM15">
    <w:name w:val="CM15"/>
    <w:basedOn w:val="Default"/>
    <w:next w:val="Default"/>
    <w:uiPriority w:val="99"/>
    <w:rsid w:val="002F0A5D"/>
    <w:pPr>
      <w:widowControl w:val="0"/>
    </w:pPr>
    <w:rPr>
      <w:rFonts w:ascii="Arial" w:hAnsi="Arial"/>
      <w:color w:val="auto"/>
    </w:rPr>
  </w:style>
  <w:style w:type="paragraph" w:customStyle="1" w:styleId="CM16">
    <w:name w:val="CM16"/>
    <w:basedOn w:val="Default"/>
    <w:next w:val="Default"/>
    <w:uiPriority w:val="99"/>
    <w:rsid w:val="002F0A5D"/>
    <w:pPr>
      <w:widowControl w:val="0"/>
    </w:pPr>
    <w:rPr>
      <w:rFonts w:ascii="Arial" w:hAnsi="Arial"/>
      <w:color w:val="auto"/>
    </w:rPr>
  </w:style>
  <w:style w:type="paragraph" w:customStyle="1" w:styleId="CM3">
    <w:name w:val="CM3"/>
    <w:basedOn w:val="Default"/>
    <w:next w:val="Default"/>
    <w:uiPriority w:val="99"/>
    <w:rsid w:val="002F0A5D"/>
    <w:pPr>
      <w:widowControl w:val="0"/>
      <w:spacing w:line="198" w:lineRule="atLeast"/>
    </w:pPr>
    <w:rPr>
      <w:rFonts w:ascii="Arial" w:hAnsi="Arial"/>
      <w:color w:val="auto"/>
    </w:rPr>
  </w:style>
  <w:style w:type="paragraph" w:customStyle="1" w:styleId="CM4">
    <w:name w:val="CM4"/>
    <w:basedOn w:val="Default"/>
    <w:next w:val="Default"/>
    <w:uiPriority w:val="99"/>
    <w:rsid w:val="002F0A5D"/>
    <w:pPr>
      <w:widowControl w:val="0"/>
      <w:spacing w:line="198" w:lineRule="atLeast"/>
    </w:pPr>
    <w:rPr>
      <w:rFonts w:ascii="Arial" w:hAnsi="Arial"/>
      <w:color w:val="auto"/>
    </w:rPr>
  </w:style>
  <w:style w:type="paragraph" w:customStyle="1" w:styleId="CM17">
    <w:name w:val="CM17"/>
    <w:basedOn w:val="Default"/>
    <w:next w:val="Default"/>
    <w:uiPriority w:val="99"/>
    <w:rsid w:val="002F0A5D"/>
    <w:pPr>
      <w:widowControl w:val="0"/>
    </w:pPr>
    <w:rPr>
      <w:rFonts w:ascii="Arial" w:hAnsi="Arial"/>
      <w:color w:val="auto"/>
    </w:rPr>
  </w:style>
  <w:style w:type="paragraph" w:customStyle="1" w:styleId="CM7">
    <w:name w:val="CM7"/>
    <w:basedOn w:val="Default"/>
    <w:next w:val="Default"/>
    <w:uiPriority w:val="99"/>
    <w:rsid w:val="002F0A5D"/>
    <w:pPr>
      <w:widowControl w:val="0"/>
      <w:spacing w:line="356" w:lineRule="atLeast"/>
    </w:pPr>
    <w:rPr>
      <w:rFonts w:ascii="Arial" w:hAnsi="Arial"/>
      <w:color w:val="auto"/>
    </w:rPr>
  </w:style>
  <w:style w:type="paragraph" w:customStyle="1" w:styleId="CM18">
    <w:name w:val="CM18"/>
    <w:basedOn w:val="Default"/>
    <w:next w:val="Default"/>
    <w:uiPriority w:val="99"/>
    <w:rsid w:val="002F0A5D"/>
    <w:pPr>
      <w:widowControl w:val="0"/>
    </w:pPr>
    <w:rPr>
      <w:rFonts w:ascii="Arial" w:hAnsi="Arial"/>
      <w:color w:val="auto"/>
    </w:rPr>
  </w:style>
  <w:style w:type="paragraph" w:customStyle="1" w:styleId="CM8">
    <w:name w:val="CM8"/>
    <w:basedOn w:val="Default"/>
    <w:next w:val="Default"/>
    <w:uiPriority w:val="99"/>
    <w:rsid w:val="002F0A5D"/>
    <w:pPr>
      <w:widowControl w:val="0"/>
      <w:spacing w:line="276" w:lineRule="atLeast"/>
    </w:pPr>
    <w:rPr>
      <w:rFonts w:ascii="Arial" w:hAnsi="Arial"/>
      <w:color w:val="auto"/>
    </w:rPr>
  </w:style>
  <w:style w:type="paragraph" w:customStyle="1" w:styleId="CM9">
    <w:name w:val="CM9"/>
    <w:basedOn w:val="Default"/>
    <w:next w:val="Default"/>
    <w:uiPriority w:val="99"/>
    <w:rsid w:val="002F0A5D"/>
    <w:pPr>
      <w:widowControl w:val="0"/>
      <w:spacing w:line="198" w:lineRule="atLeast"/>
    </w:pPr>
    <w:rPr>
      <w:rFonts w:ascii="Arial" w:hAnsi="Arial"/>
      <w:color w:val="auto"/>
    </w:rPr>
  </w:style>
  <w:style w:type="paragraph" w:customStyle="1" w:styleId="CM5">
    <w:name w:val="CM5"/>
    <w:basedOn w:val="Default"/>
    <w:next w:val="Default"/>
    <w:uiPriority w:val="99"/>
    <w:rsid w:val="002F0A5D"/>
    <w:pPr>
      <w:widowControl w:val="0"/>
      <w:spacing w:line="198" w:lineRule="atLeast"/>
    </w:pPr>
    <w:rPr>
      <w:rFonts w:ascii="Arial" w:hAnsi="Arial"/>
      <w:color w:val="auto"/>
    </w:rPr>
  </w:style>
  <w:style w:type="table" w:styleId="ac">
    <w:name w:val="Table Grid"/>
    <w:basedOn w:val="a1"/>
    <w:uiPriority w:val="59"/>
    <w:rsid w:val="002F0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F0A5D"/>
    <w:pPr>
      <w:widowControl/>
      <w:spacing w:before="100" w:beforeAutospacing="1" w:after="100" w:afterAutospacing="1"/>
    </w:pPr>
    <w:rPr>
      <w:rFonts w:ascii="Times" w:hAnsi="Times"/>
      <w:sz w:val="20"/>
      <w:lang w:val="en-US" w:eastAsia="es-ES"/>
    </w:rPr>
  </w:style>
  <w:style w:type="character" w:customStyle="1" w:styleId="Char">
    <w:name w:val="Κεφαλίδα Char"/>
    <w:link w:val="a3"/>
    <w:uiPriority w:val="99"/>
    <w:rsid w:val="002F0A5D"/>
    <w:rPr>
      <w:sz w:val="22"/>
      <w:lang w:eastAsia="en-US"/>
    </w:rPr>
  </w:style>
  <w:style w:type="character" w:customStyle="1" w:styleId="Char0">
    <w:name w:val="Υποσέλιδο Char"/>
    <w:link w:val="a4"/>
    <w:uiPriority w:val="99"/>
    <w:rsid w:val="002F0A5D"/>
    <w:rPr>
      <w:sz w:val="22"/>
      <w:lang w:eastAsia="en-US"/>
    </w:rPr>
  </w:style>
  <w:style w:type="character" w:customStyle="1" w:styleId="Char1">
    <w:name w:val="Κείμενο πλαισίου Char"/>
    <w:link w:val="a7"/>
    <w:uiPriority w:val="99"/>
    <w:semiHidden/>
    <w:rsid w:val="002F0A5D"/>
    <w:rPr>
      <w:rFonts w:ascii="Tahoma" w:hAnsi="Tahoma" w:cs="Tahoma"/>
      <w:sz w:val="16"/>
      <w:szCs w:val="16"/>
      <w:lang w:eastAsia="en-US"/>
    </w:rPr>
  </w:style>
  <w:style w:type="character" w:customStyle="1" w:styleId="hps">
    <w:name w:val="hps"/>
    <w:basedOn w:val="a0"/>
    <w:rsid w:val="002F0A5D"/>
  </w:style>
</w:styles>
</file>

<file path=word/webSettings.xml><?xml version="1.0" encoding="utf-8"?>
<w:webSettings xmlns:r="http://schemas.openxmlformats.org/officeDocument/2006/relationships" xmlns:w="http://schemas.openxmlformats.org/wordprocessingml/2006/main">
  <w:divs>
    <w:div w:id="242379859">
      <w:bodyDiv w:val="1"/>
      <w:marLeft w:val="0"/>
      <w:marRight w:val="0"/>
      <w:marTop w:val="0"/>
      <w:marBottom w:val="0"/>
      <w:divBdr>
        <w:top w:val="none" w:sz="0" w:space="0" w:color="auto"/>
        <w:left w:val="none" w:sz="0" w:space="0" w:color="auto"/>
        <w:bottom w:val="none" w:sz="0" w:space="0" w:color="auto"/>
        <w:right w:val="none" w:sz="0" w:space="0" w:color="auto"/>
      </w:divBdr>
    </w:div>
    <w:div w:id="476070202">
      <w:bodyDiv w:val="1"/>
      <w:marLeft w:val="0"/>
      <w:marRight w:val="0"/>
      <w:marTop w:val="0"/>
      <w:marBottom w:val="0"/>
      <w:divBdr>
        <w:top w:val="none" w:sz="0" w:space="0" w:color="auto"/>
        <w:left w:val="none" w:sz="0" w:space="0" w:color="auto"/>
        <w:bottom w:val="none" w:sz="0" w:space="0" w:color="auto"/>
        <w:right w:val="none" w:sz="0" w:space="0" w:color="auto"/>
      </w:divBdr>
    </w:div>
    <w:div w:id="926842226">
      <w:bodyDiv w:val="1"/>
      <w:marLeft w:val="0"/>
      <w:marRight w:val="0"/>
      <w:marTop w:val="0"/>
      <w:marBottom w:val="0"/>
      <w:divBdr>
        <w:top w:val="none" w:sz="0" w:space="0" w:color="auto"/>
        <w:left w:val="none" w:sz="0" w:space="0" w:color="auto"/>
        <w:bottom w:val="none" w:sz="0" w:space="0" w:color="auto"/>
        <w:right w:val="none" w:sz="0" w:space="0" w:color="auto"/>
      </w:divBdr>
      <w:divsChild>
        <w:div w:id="1587032169">
          <w:marLeft w:val="0"/>
          <w:marRight w:val="0"/>
          <w:marTop w:val="0"/>
          <w:marBottom w:val="0"/>
          <w:divBdr>
            <w:top w:val="none" w:sz="0" w:space="0" w:color="auto"/>
            <w:left w:val="none" w:sz="0" w:space="0" w:color="auto"/>
            <w:bottom w:val="none" w:sz="0" w:space="0" w:color="auto"/>
            <w:right w:val="none" w:sz="0" w:space="0" w:color="auto"/>
          </w:divBdr>
          <w:divsChild>
            <w:div w:id="345519917">
              <w:marLeft w:val="0"/>
              <w:marRight w:val="0"/>
              <w:marTop w:val="0"/>
              <w:marBottom w:val="0"/>
              <w:divBdr>
                <w:top w:val="none" w:sz="0" w:space="0" w:color="auto"/>
                <w:left w:val="none" w:sz="0" w:space="0" w:color="auto"/>
                <w:bottom w:val="none" w:sz="0" w:space="0" w:color="auto"/>
                <w:right w:val="none" w:sz="0" w:space="0" w:color="auto"/>
              </w:divBdr>
              <w:divsChild>
                <w:div w:id="533348497">
                  <w:marLeft w:val="0"/>
                  <w:marRight w:val="0"/>
                  <w:marTop w:val="0"/>
                  <w:marBottom w:val="0"/>
                  <w:divBdr>
                    <w:top w:val="none" w:sz="0" w:space="0" w:color="auto"/>
                    <w:left w:val="none" w:sz="0" w:space="0" w:color="auto"/>
                    <w:bottom w:val="none" w:sz="0" w:space="0" w:color="auto"/>
                    <w:right w:val="none" w:sz="0" w:space="0" w:color="auto"/>
                  </w:divBdr>
                  <w:divsChild>
                    <w:div w:id="2084597271">
                      <w:marLeft w:val="0"/>
                      <w:marRight w:val="0"/>
                      <w:marTop w:val="0"/>
                      <w:marBottom w:val="0"/>
                      <w:divBdr>
                        <w:top w:val="none" w:sz="0" w:space="0" w:color="auto"/>
                        <w:left w:val="none" w:sz="0" w:space="0" w:color="auto"/>
                        <w:bottom w:val="none" w:sz="0" w:space="0" w:color="auto"/>
                        <w:right w:val="none" w:sz="0" w:space="0" w:color="auto"/>
                      </w:divBdr>
                      <w:divsChild>
                        <w:div w:id="1513757541">
                          <w:marLeft w:val="0"/>
                          <w:marRight w:val="0"/>
                          <w:marTop w:val="0"/>
                          <w:marBottom w:val="0"/>
                          <w:divBdr>
                            <w:top w:val="none" w:sz="0" w:space="0" w:color="auto"/>
                            <w:left w:val="none" w:sz="0" w:space="0" w:color="auto"/>
                            <w:bottom w:val="none" w:sz="0" w:space="0" w:color="auto"/>
                            <w:right w:val="none" w:sz="0" w:space="0" w:color="auto"/>
                          </w:divBdr>
                          <w:divsChild>
                            <w:div w:id="1851096125">
                              <w:marLeft w:val="0"/>
                              <w:marRight w:val="0"/>
                              <w:marTop w:val="0"/>
                              <w:marBottom w:val="0"/>
                              <w:divBdr>
                                <w:top w:val="none" w:sz="0" w:space="0" w:color="auto"/>
                                <w:left w:val="none" w:sz="0" w:space="0" w:color="auto"/>
                                <w:bottom w:val="none" w:sz="0" w:space="0" w:color="auto"/>
                                <w:right w:val="none" w:sz="0" w:space="0" w:color="auto"/>
                              </w:divBdr>
                              <w:divsChild>
                                <w:div w:id="558710785">
                                  <w:marLeft w:val="0"/>
                                  <w:marRight w:val="0"/>
                                  <w:marTop w:val="0"/>
                                  <w:marBottom w:val="0"/>
                                  <w:divBdr>
                                    <w:top w:val="none" w:sz="0" w:space="0" w:color="auto"/>
                                    <w:left w:val="none" w:sz="0" w:space="0" w:color="auto"/>
                                    <w:bottom w:val="none" w:sz="0" w:space="0" w:color="auto"/>
                                    <w:right w:val="none" w:sz="0" w:space="0" w:color="auto"/>
                                  </w:divBdr>
                                  <w:divsChild>
                                    <w:div w:id="531767973">
                                      <w:marLeft w:val="60"/>
                                      <w:marRight w:val="0"/>
                                      <w:marTop w:val="0"/>
                                      <w:marBottom w:val="0"/>
                                      <w:divBdr>
                                        <w:top w:val="none" w:sz="0" w:space="0" w:color="auto"/>
                                        <w:left w:val="none" w:sz="0" w:space="0" w:color="auto"/>
                                        <w:bottom w:val="none" w:sz="0" w:space="0" w:color="auto"/>
                                        <w:right w:val="none" w:sz="0" w:space="0" w:color="auto"/>
                                      </w:divBdr>
                                      <w:divsChild>
                                        <w:div w:id="1184593672">
                                          <w:marLeft w:val="0"/>
                                          <w:marRight w:val="0"/>
                                          <w:marTop w:val="0"/>
                                          <w:marBottom w:val="0"/>
                                          <w:divBdr>
                                            <w:top w:val="none" w:sz="0" w:space="0" w:color="auto"/>
                                            <w:left w:val="none" w:sz="0" w:space="0" w:color="auto"/>
                                            <w:bottom w:val="none" w:sz="0" w:space="0" w:color="auto"/>
                                            <w:right w:val="none" w:sz="0" w:space="0" w:color="auto"/>
                                          </w:divBdr>
                                          <w:divsChild>
                                            <w:div w:id="518083365">
                                              <w:marLeft w:val="0"/>
                                              <w:marRight w:val="0"/>
                                              <w:marTop w:val="0"/>
                                              <w:marBottom w:val="120"/>
                                              <w:divBdr>
                                                <w:top w:val="single" w:sz="6" w:space="0" w:color="F5F5F5"/>
                                                <w:left w:val="single" w:sz="6" w:space="0" w:color="F5F5F5"/>
                                                <w:bottom w:val="single" w:sz="6" w:space="0" w:color="F5F5F5"/>
                                                <w:right w:val="single" w:sz="6" w:space="0" w:color="F5F5F5"/>
                                              </w:divBdr>
                                              <w:divsChild>
                                                <w:div w:id="1488126396">
                                                  <w:marLeft w:val="0"/>
                                                  <w:marRight w:val="0"/>
                                                  <w:marTop w:val="0"/>
                                                  <w:marBottom w:val="0"/>
                                                  <w:divBdr>
                                                    <w:top w:val="none" w:sz="0" w:space="0" w:color="auto"/>
                                                    <w:left w:val="none" w:sz="0" w:space="0" w:color="auto"/>
                                                    <w:bottom w:val="none" w:sz="0" w:space="0" w:color="auto"/>
                                                    <w:right w:val="none" w:sz="0" w:space="0" w:color="auto"/>
                                                  </w:divBdr>
                                                  <w:divsChild>
                                                    <w:div w:id="176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414758">
      <w:bodyDiv w:val="1"/>
      <w:marLeft w:val="0"/>
      <w:marRight w:val="0"/>
      <w:marTop w:val="0"/>
      <w:marBottom w:val="0"/>
      <w:divBdr>
        <w:top w:val="none" w:sz="0" w:space="0" w:color="auto"/>
        <w:left w:val="none" w:sz="0" w:space="0" w:color="auto"/>
        <w:bottom w:val="none" w:sz="0" w:space="0" w:color="auto"/>
        <w:right w:val="none" w:sz="0" w:space="0" w:color="auto"/>
      </w:divBdr>
    </w:div>
    <w:div w:id="1486968646">
      <w:bodyDiv w:val="1"/>
      <w:marLeft w:val="0"/>
      <w:marRight w:val="0"/>
      <w:marTop w:val="0"/>
      <w:marBottom w:val="0"/>
      <w:divBdr>
        <w:top w:val="none" w:sz="0" w:space="0" w:color="auto"/>
        <w:left w:val="none" w:sz="0" w:space="0" w:color="auto"/>
        <w:bottom w:val="none" w:sz="0" w:space="0" w:color="auto"/>
        <w:right w:val="none" w:sz="0" w:space="0" w:color="auto"/>
      </w:divBdr>
    </w:div>
    <w:div w:id="1641300630">
      <w:bodyDiv w:val="1"/>
      <w:marLeft w:val="0"/>
      <w:marRight w:val="0"/>
      <w:marTop w:val="0"/>
      <w:marBottom w:val="0"/>
      <w:divBdr>
        <w:top w:val="none" w:sz="0" w:space="0" w:color="auto"/>
        <w:left w:val="none" w:sz="0" w:space="0" w:color="auto"/>
        <w:bottom w:val="none" w:sz="0" w:space="0" w:color="auto"/>
        <w:right w:val="none" w:sz="0" w:space="0" w:color="auto"/>
      </w:divBdr>
    </w:div>
    <w:div w:id="2083598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f.gr"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EE6F-2CD8-4E83-A513-596E01BC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4809</Words>
  <Characters>25974</Characters>
  <Application>Microsoft Office Word</Application>
  <DocSecurity>0</DocSecurity>
  <Lines>216</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Hreferralspccleanel</vt:lpstr>
      <vt:lpstr>Hreferralspccleanel</vt:lpstr>
    </vt:vector>
  </TitlesOfParts>
  <Company>EMEA</Company>
  <LinksUpToDate>false</LinksUpToDate>
  <CharactersWithSpaces>30722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Hreferralspccleanel</dc:title>
  <dc:subject>General-EMA/53547/2010</dc:subject>
  <dc:creator>User196</dc:creator>
  <cp:lastModifiedBy>user146</cp:lastModifiedBy>
  <cp:revision>2</cp:revision>
  <cp:lastPrinted>2014-09-16T10:58:00Z</cp:lastPrinted>
  <dcterms:created xsi:type="dcterms:W3CDTF">2014-12-08T08:55:00Z</dcterms:created>
  <dcterms:modified xsi:type="dcterms:W3CDTF">2014-12-08T08:55:00Z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53547</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General-EMA/53547/2010</vt:lpwstr>
  </property>
  <property fmtid="{D5CDD505-2E9C-101B-9397-08002B2CF9AE}" pid="30" name="DM_Version">
    <vt:lpwstr>CURRENT,1.0</vt:lpwstr>
  </property>
  <property fmtid="{D5CDD505-2E9C-101B-9397-08002B2CF9AE}" pid="31" name="DM_Name">
    <vt:lpwstr>Hreferralspccleanel</vt:lpwstr>
  </property>
  <property fmtid="{D5CDD505-2E9C-101B-9397-08002B2CF9AE}" pid="32" name="DM_Creation_Date">
    <vt:lpwstr>04/04/2013 15:51:28</vt:lpwstr>
  </property>
  <property fmtid="{D5CDD505-2E9C-101B-9397-08002B2CF9AE}" pid="33" name="DM_Modify_Date">
    <vt:lpwstr>04/04/2013 15:51:28</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EMA/213318/2013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EMA/213318/2013</vt:lpwstr>
  </property>
  <property fmtid="{D5CDD505-2E9C-101B-9397-08002B2CF9AE}" pid="41" name="DM_Modifer_Name">
    <vt:lpwstr>Horemans Karina</vt:lpwstr>
  </property>
  <property fmtid="{D5CDD505-2E9C-101B-9397-08002B2CF9AE}" pid="42" name="DM_Modified_Date">
    <vt:lpwstr>04/04/2013 15:51:28</vt:lpwstr>
  </property>
</Properties>
</file>