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AC" w:rsidRDefault="008C77AC" w:rsidP="008C77AC">
      <w:pPr>
        <w:pStyle w:val="Style8"/>
        <w:widowControl/>
        <w:rPr>
          <w:b/>
          <w:bCs/>
          <w:i/>
          <w:iCs/>
          <w:color w:val="000000"/>
          <w:sz w:val="22"/>
          <w:szCs w:val="22"/>
        </w:rPr>
      </w:pPr>
    </w:p>
    <w:p w:rsidR="00D041ED" w:rsidRDefault="00D041ED" w:rsidP="008C77AC">
      <w:pPr>
        <w:pStyle w:val="Style8"/>
        <w:widowControl/>
        <w:rPr>
          <w:b/>
          <w:bCs/>
          <w:i/>
          <w:iCs/>
          <w:color w:val="000000"/>
          <w:sz w:val="22"/>
          <w:szCs w:val="22"/>
        </w:rPr>
      </w:pPr>
    </w:p>
    <w:p w:rsidR="00D041ED" w:rsidRDefault="00D041ED" w:rsidP="008C77AC">
      <w:pPr>
        <w:pStyle w:val="Style8"/>
        <w:widowControl/>
        <w:rPr>
          <w:b/>
          <w:bCs/>
          <w:i/>
          <w:iCs/>
          <w:color w:val="000000"/>
          <w:sz w:val="22"/>
          <w:szCs w:val="22"/>
        </w:rPr>
      </w:pPr>
    </w:p>
    <w:p w:rsidR="00D041ED" w:rsidRDefault="00D041ED" w:rsidP="008C77AC">
      <w:pPr>
        <w:pStyle w:val="Style8"/>
        <w:widowControl/>
        <w:rPr>
          <w:b/>
          <w:bCs/>
          <w:i/>
          <w:i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D041ED" w:rsidRDefault="00D041ED" w:rsidP="008C77AC">
      <w:pPr>
        <w:pStyle w:val="Style8"/>
        <w:widowControl/>
        <w:jc w:val="center"/>
        <w:rPr>
          <w:b/>
          <w:bCs/>
          <w:color w:val="000000"/>
          <w:sz w:val="22"/>
          <w:szCs w:val="22"/>
        </w:rPr>
      </w:pPr>
    </w:p>
    <w:p w:rsidR="008C77AC" w:rsidRPr="008C77AC" w:rsidRDefault="00D041ED" w:rsidP="008C77AC">
      <w:pPr>
        <w:pStyle w:val="Style8"/>
        <w:widowControl/>
        <w:jc w:val="center"/>
        <w:rPr>
          <w:b/>
          <w:bCs/>
          <w:color w:val="000000"/>
          <w:sz w:val="22"/>
          <w:szCs w:val="22"/>
        </w:rPr>
      </w:pPr>
      <w:r w:rsidRPr="00D041ED">
        <w:rPr>
          <w:b/>
          <w:bCs/>
          <w:color w:val="000000"/>
          <w:sz w:val="22"/>
          <w:szCs w:val="22"/>
        </w:rPr>
        <w:t>ΠΕΡΙΛΗΨΗ ΤΩΝ ΧΑΡΑΚΤΗΡΙΣΤΙΚΩΝ ΤΟΥ ΠΡΟΪΟΝΤΟΣ</w:t>
      </w:r>
    </w:p>
    <w:p w:rsidR="005D5E57" w:rsidRPr="00A072F5" w:rsidRDefault="00D041ED" w:rsidP="00D041ED">
      <w:pPr>
        <w:pStyle w:val="Style8"/>
        <w:widowControl/>
        <w:rPr>
          <w:rStyle w:val="FontStyle21"/>
          <w:sz w:val="22"/>
          <w:szCs w:val="22"/>
        </w:rPr>
      </w:pPr>
      <w:r>
        <w:rPr>
          <w:rStyle w:val="FontStyle21"/>
          <w:sz w:val="22"/>
          <w:szCs w:val="22"/>
        </w:rPr>
        <w:br w:type="page"/>
      </w:r>
      <w:r w:rsidR="0042565E" w:rsidRPr="00A072F5">
        <w:rPr>
          <w:rStyle w:val="FontStyle21"/>
          <w:sz w:val="22"/>
          <w:szCs w:val="22"/>
        </w:rPr>
        <w:lastRenderedPageBreak/>
        <w:t>1.</w:t>
      </w:r>
      <w:r w:rsidR="0042565E" w:rsidRPr="0038404B">
        <w:rPr>
          <w:rStyle w:val="FontStyle21"/>
          <w:sz w:val="22"/>
          <w:szCs w:val="22"/>
        </w:rPr>
        <w:tab/>
      </w:r>
      <w:r w:rsidR="005D5E57" w:rsidRPr="00A072F5">
        <w:rPr>
          <w:rStyle w:val="FontStyle21"/>
          <w:sz w:val="22"/>
          <w:szCs w:val="22"/>
        </w:rPr>
        <w:t>ΟΝΟΜΑΣΙΑ ΤΟΥ ΦΑΡΜΑΚΕΥΤΙΚΟΥ ΠΡΟΪΟΝΤΟΣ</w:t>
      </w:r>
    </w:p>
    <w:p w:rsidR="00E35AE3" w:rsidRPr="003A1857" w:rsidRDefault="00E35AE3" w:rsidP="00E35AE3">
      <w:pPr>
        <w:tabs>
          <w:tab w:val="left" w:pos="567"/>
        </w:tabs>
        <w:autoSpaceDE/>
        <w:autoSpaceDN/>
        <w:adjustRightInd/>
        <w:contextualSpacing/>
        <w:rPr>
          <w:sz w:val="22"/>
          <w:szCs w:val="22"/>
          <w:highlight w:val="lightGray"/>
          <w:lang w:eastAsia="en-US"/>
        </w:rPr>
      </w:pPr>
    </w:p>
    <w:p w:rsidR="00E35AE3" w:rsidRPr="0038404B" w:rsidRDefault="004463B3" w:rsidP="00E35AE3">
      <w:pPr>
        <w:tabs>
          <w:tab w:val="left" w:pos="567"/>
        </w:tabs>
        <w:autoSpaceDE/>
        <w:autoSpaceDN/>
        <w:adjustRightInd/>
        <w:contextualSpacing/>
        <w:rPr>
          <w:noProof/>
          <w:sz w:val="22"/>
          <w:szCs w:val="22"/>
          <w:lang w:eastAsia="en-US"/>
        </w:rPr>
      </w:pP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10</w:t>
      </w:r>
      <w:r>
        <w:rPr>
          <w:noProof/>
          <w:sz w:val="22"/>
          <w:szCs w:val="22"/>
          <w:lang w:val="en-GB" w:eastAsia="en-US"/>
        </w:rPr>
        <w:t> mg</w:t>
      </w:r>
      <w:r w:rsidRPr="0038404B">
        <w:rPr>
          <w:noProof/>
          <w:sz w:val="22"/>
          <w:szCs w:val="22"/>
          <w:lang w:eastAsia="en-US"/>
        </w:rPr>
        <w:t xml:space="preserve"> </w:t>
      </w:r>
      <w:r>
        <w:rPr>
          <w:noProof/>
          <w:sz w:val="22"/>
          <w:szCs w:val="22"/>
          <w:lang w:eastAsia="en-US"/>
        </w:rPr>
        <w:t>Επικαλυμμένα με λεπτό υμένιο δισκία</w:t>
      </w:r>
      <w:r w:rsidR="00E35AE3" w:rsidRPr="0038404B">
        <w:rPr>
          <w:noProof/>
          <w:sz w:val="22"/>
          <w:szCs w:val="22"/>
          <w:lang w:eastAsia="en-US"/>
        </w:rPr>
        <w:t xml:space="preserve"> </w:t>
      </w:r>
    </w:p>
    <w:p w:rsidR="00E35AE3" w:rsidRPr="004463B3" w:rsidRDefault="004463B3" w:rsidP="00E35AE3">
      <w:pPr>
        <w:tabs>
          <w:tab w:val="left" w:pos="567"/>
        </w:tabs>
        <w:autoSpaceDE/>
        <w:autoSpaceDN/>
        <w:adjustRightInd/>
        <w:contextualSpacing/>
        <w:rPr>
          <w:noProof/>
          <w:sz w:val="22"/>
          <w:szCs w:val="22"/>
          <w:lang w:eastAsia="en-US"/>
        </w:rPr>
      </w:pP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20</w:t>
      </w:r>
      <w:r>
        <w:rPr>
          <w:noProof/>
          <w:sz w:val="22"/>
          <w:szCs w:val="22"/>
          <w:lang w:val="en-GB" w:eastAsia="en-US"/>
        </w:rPr>
        <w:t> mg</w:t>
      </w:r>
      <w:r w:rsidRPr="0038404B">
        <w:rPr>
          <w:noProof/>
          <w:sz w:val="22"/>
          <w:szCs w:val="22"/>
          <w:lang w:eastAsia="en-US"/>
        </w:rPr>
        <w:t xml:space="preserve"> </w:t>
      </w:r>
      <w:r>
        <w:rPr>
          <w:noProof/>
          <w:sz w:val="22"/>
          <w:szCs w:val="22"/>
          <w:lang w:eastAsia="en-US"/>
        </w:rPr>
        <w:t>Επικαλυμμένα με λεπτό υμένιο δισκία</w:t>
      </w:r>
    </w:p>
    <w:p w:rsidR="00E35AE3" w:rsidRPr="004463B3" w:rsidRDefault="004463B3" w:rsidP="00E35AE3">
      <w:pPr>
        <w:tabs>
          <w:tab w:val="left" w:pos="567"/>
        </w:tabs>
        <w:autoSpaceDE/>
        <w:autoSpaceDN/>
        <w:adjustRightInd/>
        <w:contextualSpacing/>
        <w:rPr>
          <w:noProof/>
          <w:sz w:val="22"/>
          <w:szCs w:val="22"/>
          <w:lang w:eastAsia="en-US"/>
        </w:rPr>
      </w:pP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40</w:t>
      </w:r>
      <w:r>
        <w:rPr>
          <w:noProof/>
          <w:sz w:val="22"/>
          <w:szCs w:val="22"/>
          <w:lang w:val="en-GB" w:eastAsia="en-US"/>
        </w:rPr>
        <w:t> mg</w:t>
      </w:r>
      <w:r w:rsidRPr="0038404B">
        <w:rPr>
          <w:noProof/>
          <w:sz w:val="22"/>
          <w:szCs w:val="22"/>
          <w:lang w:eastAsia="en-US"/>
        </w:rPr>
        <w:t xml:space="preserve"> </w:t>
      </w:r>
      <w:r>
        <w:rPr>
          <w:noProof/>
          <w:sz w:val="22"/>
          <w:szCs w:val="22"/>
          <w:lang w:eastAsia="en-US"/>
        </w:rPr>
        <w:t>Επικαλυμμένα με λεπτό υμένιο δισκία</w:t>
      </w:r>
    </w:p>
    <w:p w:rsidR="00E35AE3" w:rsidRPr="0038404B" w:rsidRDefault="00E35AE3" w:rsidP="00E35AE3">
      <w:pPr>
        <w:tabs>
          <w:tab w:val="left" w:pos="567"/>
        </w:tabs>
        <w:autoSpaceDE/>
        <w:autoSpaceDN/>
        <w:adjustRightInd/>
        <w:contextualSpacing/>
        <w:rPr>
          <w:noProof/>
          <w:sz w:val="22"/>
          <w:szCs w:val="22"/>
          <w:lang w:eastAsia="en-US"/>
        </w:rPr>
      </w:pPr>
    </w:p>
    <w:p w:rsidR="005D5E57" w:rsidRPr="00A072F5" w:rsidRDefault="005D5E57" w:rsidP="0042565E">
      <w:pPr>
        <w:pStyle w:val="Style8"/>
        <w:widowControl/>
        <w:jc w:val="left"/>
        <w:rPr>
          <w:sz w:val="22"/>
          <w:szCs w:val="22"/>
        </w:rPr>
      </w:pPr>
    </w:p>
    <w:p w:rsidR="005D5E57" w:rsidRPr="00A072F5" w:rsidRDefault="0042565E" w:rsidP="0042565E">
      <w:pPr>
        <w:pStyle w:val="Style8"/>
        <w:widowControl/>
        <w:jc w:val="left"/>
        <w:rPr>
          <w:rStyle w:val="FontStyle21"/>
          <w:sz w:val="22"/>
          <w:szCs w:val="22"/>
        </w:rPr>
      </w:pPr>
      <w:r w:rsidRPr="00A072F5">
        <w:rPr>
          <w:rStyle w:val="FontStyle21"/>
          <w:sz w:val="22"/>
          <w:szCs w:val="22"/>
        </w:rPr>
        <w:t>2.</w:t>
      </w:r>
      <w:r w:rsidRPr="0038404B">
        <w:rPr>
          <w:rStyle w:val="FontStyle21"/>
          <w:sz w:val="22"/>
          <w:szCs w:val="22"/>
        </w:rPr>
        <w:tab/>
      </w:r>
      <w:r w:rsidR="005D5E57" w:rsidRPr="00A072F5">
        <w:rPr>
          <w:rStyle w:val="FontStyle21"/>
          <w:sz w:val="22"/>
          <w:szCs w:val="22"/>
        </w:rPr>
        <w:t>ΠΟΙΟΤΙΚΗ ΚΑΙ ΠΟΣΟΤΙΚΗ ΣΥΝΘΕΣΗ</w:t>
      </w:r>
    </w:p>
    <w:p w:rsidR="00E35AE3" w:rsidRPr="0038404B" w:rsidRDefault="00E35AE3" w:rsidP="00E35AE3">
      <w:pPr>
        <w:tabs>
          <w:tab w:val="left" w:pos="567"/>
        </w:tabs>
        <w:autoSpaceDE/>
        <w:autoSpaceDN/>
        <w:adjustRightInd/>
        <w:contextualSpacing/>
        <w:rPr>
          <w:noProof/>
          <w:sz w:val="22"/>
          <w:szCs w:val="22"/>
          <w:lang w:eastAsia="en-US"/>
        </w:rPr>
      </w:pPr>
    </w:p>
    <w:p w:rsidR="00E35AE3" w:rsidRPr="0038404B" w:rsidRDefault="00E35AE3" w:rsidP="00E35AE3">
      <w:pPr>
        <w:tabs>
          <w:tab w:val="left" w:pos="567"/>
        </w:tabs>
        <w:autoSpaceDE/>
        <w:autoSpaceDN/>
        <w:adjustRightInd/>
        <w:contextualSpacing/>
        <w:rPr>
          <w:noProof/>
          <w:sz w:val="22"/>
          <w:szCs w:val="22"/>
          <w:lang w:eastAsia="en-US"/>
        </w:rPr>
      </w:pPr>
      <w:r w:rsidRPr="00E35AE3">
        <w:rPr>
          <w:noProof/>
          <w:sz w:val="22"/>
          <w:szCs w:val="22"/>
          <w:lang w:val="en-GB" w:eastAsia="en-US"/>
        </w:rPr>
        <w:t>Olmesartan</w:t>
      </w:r>
      <w:r w:rsidRPr="0038404B">
        <w:rPr>
          <w:noProof/>
          <w:sz w:val="22"/>
          <w:szCs w:val="22"/>
          <w:lang w:eastAsia="en-US"/>
        </w:rPr>
        <w:t xml:space="preserve"> </w:t>
      </w:r>
      <w:r w:rsidRPr="00E35AE3">
        <w:rPr>
          <w:noProof/>
          <w:sz w:val="22"/>
          <w:szCs w:val="22"/>
          <w:lang w:val="en-GB" w:eastAsia="en-US"/>
        </w:rPr>
        <w:t>medoxomil</w:t>
      </w:r>
    </w:p>
    <w:p w:rsidR="00E35AE3" w:rsidRPr="0038404B" w:rsidRDefault="00E35AE3" w:rsidP="00E35AE3">
      <w:pPr>
        <w:tabs>
          <w:tab w:val="left" w:pos="567"/>
        </w:tabs>
        <w:autoSpaceDE/>
        <w:autoSpaceDN/>
        <w:adjustRightInd/>
        <w:contextualSpacing/>
        <w:rPr>
          <w:noProof/>
          <w:sz w:val="22"/>
          <w:szCs w:val="22"/>
          <w:lang w:eastAsia="en-US"/>
        </w:rPr>
      </w:pPr>
    </w:p>
    <w:p w:rsidR="00E35AE3" w:rsidRPr="00D041ED" w:rsidRDefault="004463B3" w:rsidP="00E35AE3">
      <w:pPr>
        <w:tabs>
          <w:tab w:val="left" w:pos="567"/>
        </w:tabs>
        <w:autoSpaceDE/>
        <w:autoSpaceDN/>
        <w:adjustRightInd/>
        <w:contextualSpacing/>
        <w:rPr>
          <w:noProof/>
          <w:sz w:val="22"/>
          <w:szCs w:val="22"/>
          <w:lang w:eastAsia="en-US"/>
        </w:rPr>
      </w:pPr>
      <w:r w:rsidRPr="00D041ED">
        <w:rPr>
          <w:noProof/>
          <w:sz w:val="22"/>
          <w:szCs w:val="22"/>
          <w:lang w:eastAsia="en-US"/>
        </w:rPr>
        <w:t>Κάθε επικαλυμμένο με λεπτό υμένιο δισκίο περιέχει</w:t>
      </w:r>
      <w:r w:rsidR="00E35AE3" w:rsidRPr="0038404B">
        <w:rPr>
          <w:noProof/>
          <w:sz w:val="22"/>
          <w:szCs w:val="22"/>
          <w:lang w:eastAsia="en-US"/>
        </w:rPr>
        <w:t xml:space="preserve"> 10</w:t>
      </w:r>
      <w:r w:rsidR="00E35AE3" w:rsidRPr="00D041ED">
        <w:rPr>
          <w:noProof/>
          <w:sz w:val="22"/>
          <w:szCs w:val="22"/>
          <w:lang w:val="en-GB" w:eastAsia="en-US"/>
        </w:rPr>
        <w:t> mg</w:t>
      </w:r>
      <w:r w:rsidR="00E35AE3" w:rsidRPr="0038404B">
        <w:rPr>
          <w:noProof/>
          <w:sz w:val="22"/>
          <w:szCs w:val="22"/>
          <w:lang w:eastAsia="en-US"/>
        </w:rPr>
        <w:t xml:space="preserve"> </w:t>
      </w:r>
      <w:r w:rsidR="00E35AE3" w:rsidRPr="00D041ED">
        <w:rPr>
          <w:noProof/>
          <w:sz w:val="22"/>
          <w:szCs w:val="22"/>
          <w:lang w:val="en-GB" w:eastAsia="en-US"/>
        </w:rPr>
        <w:t>olmesartan</w:t>
      </w:r>
      <w:r w:rsidR="00E35AE3" w:rsidRPr="0038404B">
        <w:rPr>
          <w:noProof/>
          <w:sz w:val="22"/>
          <w:szCs w:val="22"/>
          <w:lang w:eastAsia="en-US"/>
        </w:rPr>
        <w:t xml:space="preserve"> </w:t>
      </w:r>
      <w:r w:rsidR="00E35AE3" w:rsidRPr="00D041ED">
        <w:rPr>
          <w:noProof/>
          <w:sz w:val="22"/>
          <w:szCs w:val="22"/>
          <w:lang w:val="en-GB" w:eastAsia="en-US"/>
        </w:rPr>
        <w:t>medoxomil</w:t>
      </w:r>
      <w:r w:rsidR="000D0553" w:rsidRPr="00D041ED">
        <w:rPr>
          <w:noProof/>
          <w:sz w:val="22"/>
          <w:szCs w:val="22"/>
          <w:lang w:eastAsia="en-US"/>
        </w:rPr>
        <w:t>.</w:t>
      </w:r>
    </w:p>
    <w:p w:rsidR="00E35AE3" w:rsidRPr="003A1857" w:rsidRDefault="004463B3" w:rsidP="00E35AE3">
      <w:pPr>
        <w:tabs>
          <w:tab w:val="left" w:pos="567"/>
        </w:tabs>
        <w:autoSpaceDE/>
        <w:autoSpaceDN/>
        <w:adjustRightInd/>
        <w:contextualSpacing/>
        <w:rPr>
          <w:noProof/>
          <w:sz w:val="22"/>
          <w:szCs w:val="22"/>
          <w:highlight w:val="lightGray"/>
          <w:lang w:eastAsia="en-US"/>
        </w:rPr>
      </w:pPr>
      <w:r w:rsidRPr="003A1857">
        <w:rPr>
          <w:noProof/>
          <w:sz w:val="22"/>
          <w:szCs w:val="22"/>
          <w:highlight w:val="lightGray"/>
          <w:lang w:eastAsia="en-US"/>
        </w:rPr>
        <w:t>Κάθε επικαλυμμένο με λεπτό υμένιο δισκίο περιέχει 20</w:t>
      </w:r>
      <w:r w:rsidRPr="003A1857">
        <w:rPr>
          <w:noProof/>
          <w:sz w:val="22"/>
          <w:szCs w:val="22"/>
          <w:highlight w:val="lightGray"/>
          <w:lang w:val="en-GB" w:eastAsia="en-US"/>
        </w:rPr>
        <w:t> mg</w:t>
      </w:r>
      <w:r w:rsidRPr="003A1857">
        <w:rPr>
          <w:noProof/>
          <w:sz w:val="22"/>
          <w:szCs w:val="22"/>
          <w:highlight w:val="lightGray"/>
          <w:lang w:eastAsia="en-US"/>
        </w:rPr>
        <w:t xml:space="preserve"> </w:t>
      </w:r>
      <w:r w:rsidRPr="003A1857">
        <w:rPr>
          <w:noProof/>
          <w:sz w:val="22"/>
          <w:szCs w:val="22"/>
          <w:highlight w:val="lightGray"/>
          <w:lang w:val="en-GB" w:eastAsia="en-US"/>
        </w:rPr>
        <w:t>olmesartan</w:t>
      </w:r>
      <w:r w:rsidRPr="003A1857">
        <w:rPr>
          <w:noProof/>
          <w:sz w:val="22"/>
          <w:szCs w:val="22"/>
          <w:highlight w:val="lightGray"/>
          <w:lang w:eastAsia="en-US"/>
        </w:rPr>
        <w:t xml:space="preserve"> </w:t>
      </w:r>
      <w:r w:rsidRPr="003A1857">
        <w:rPr>
          <w:noProof/>
          <w:sz w:val="22"/>
          <w:szCs w:val="22"/>
          <w:highlight w:val="lightGray"/>
          <w:lang w:val="en-GB" w:eastAsia="en-US"/>
        </w:rPr>
        <w:t>medoxomil</w:t>
      </w:r>
      <w:r w:rsidR="000D0553" w:rsidRPr="003A1857">
        <w:rPr>
          <w:noProof/>
          <w:sz w:val="22"/>
          <w:szCs w:val="22"/>
          <w:highlight w:val="lightGray"/>
          <w:lang w:eastAsia="en-US"/>
        </w:rPr>
        <w:t>.</w:t>
      </w:r>
    </w:p>
    <w:p w:rsidR="00E35AE3" w:rsidRPr="000D0553" w:rsidRDefault="004463B3" w:rsidP="00E35AE3">
      <w:pPr>
        <w:tabs>
          <w:tab w:val="left" w:pos="567"/>
        </w:tabs>
        <w:autoSpaceDE/>
        <w:autoSpaceDN/>
        <w:adjustRightInd/>
        <w:contextualSpacing/>
        <w:rPr>
          <w:noProof/>
          <w:sz w:val="22"/>
          <w:szCs w:val="22"/>
          <w:lang w:eastAsia="en-US"/>
        </w:rPr>
      </w:pPr>
      <w:r w:rsidRPr="003A1857">
        <w:rPr>
          <w:noProof/>
          <w:sz w:val="22"/>
          <w:szCs w:val="22"/>
          <w:highlight w:val="lightGray"/>
          <w:lang w:eastAsia="en-US"/>
        </w:rPr>
        <w:t>Κάθε επικαλυμμένο με λεπτό υμένιο δισκίο περιέχει 40</w:t>
      </w:r>
      <w:r w:rsidRPr="003A1857">
        <w:rPr>
          <w:noProof/>
          <w:sz w:val="22"/>
          <w:szCs w:val="22"/>
          <w:highlight w:val="lightGray"/>
          <w:lang w:val="en-GB" w:eastAsia="en-US"/>
        </w:rPr>
        <w:t> mg</w:t>
      </w:r>
      <w:r w:rsidRPr="003A1857">
        <w:rPr>
          <w:noProof/>
          <w:sz w:val="22"/>
          <w:szCs w:val="22"/>
          <w:highlight w:val="lightGray"/>
          <w:lang w:eastAsia="en-US"/>
        </w:rPr>
        <w:t xml:space="preserve"> </w:t>
      </w:r>
      <w:r w:rsidRPr="003A1857">
        <w:rPr>
          <w:noProof/>
          <w:sz w:val="22"/>
          <w:szCs w:val="22"/>
          <w:highlight w:val="lightGray"/>
          <w:lang w:val="en-GB" w:eastAsia="en-US"/>
        </w:rPr>
        <w:t>olmesartan</w:t>
      </w:r>
      <w:r w:rsidRPr="003A1857">
        <w:rPr>
          <w:noProof/>
          <w:sz w:val="22"/>
          <w:szCs w:val="22"/>
          <w:highlight w:val="lightGray"/>
          <w:lang w:eastAsia="en-US"/>
        </w:rPr>
        <w:t xml:space="preserve"> </w:t>
      </w:r>
      <w:r w:rsidRPr="003A1857">
        <w:rPr>
          <w:noProof/>
          <w:sz w:val="22"/>
          <w:szCs w:val="22"/>
          <w:highlight w:val="lightGray"/>
          <w:lang w:val="en-GB" w:eastAsia="en-US"/>
        </w:rPr>
        <w:t>medoxomil</w:t>
      </w:r>
      <w:r w:rsidR="000D0553" w:rsidRPr="003A1857">
        <w:rPr>
          <w:noProof/>
          <w:sz w:val="22"/>
          <w:szCs w:val="22"/>
          <w:highlight w:val="lightGray"/>
          <w:lang w:eastAsia="en-US"/>
        </w:rPr>
        <w:t>.</w:t>
      </w:r>
    </w:p>
    <w:p w:rsidR="00E35AE3" w:rsidRPr="0038404B" w:rsidRDefault="00E35AE3" w:rsidP="00E35AE3">
      <w:pPr>
        <w:tabs>
          <w:tab w:val="left" w:pos="567"/>
        </w:tabs>
        <w:autoSpaceDE/>
        <w:autoSpaceDN/>
        <w:adjustRightInd/>
        <w:contextualSpacing/>
        <w:rPr>
          <w:noProof/>
          <w:sz w:val="22"/>
          <w:szCs w:val="22"/>
          <w:lang w:eastAsia="en-US"/>
        </w:rPr>
      </w:pPr>
    </w:p>
    <w:p w:rsidR="00E35AE3" w:rsidRPr="0038404B" w:rsidRDefault="004463B3" w:rsidP="00E35AE3">
      <w:pPr>
        <w:tabs>
          <w:tab w:val="left" w:pos="567"/>
        </w:tabs>
        <w:autoSpaceDE/>
        <w:autoSpaceDN/>
        <w:adjustRightInd/>
        <w:contextualSpacing/>
        <w:rPr>
          <w:noProof/>
          <w:sz w:val="22"/>
          <w:szCs w:val="22"/>
          <w:lang w:eastAsia="en-US"/>
        </w:rPr>
      </w:pPr>
      <w:r>
        <w:rPr>
          <w:noProof/>
          <w:sz w:val="22"/>
          <w:szCs w:val="22"/>
          <w:lang w:eastAsia="en-US"/>
        </w:rPr>
        <w:t>Για τον πλήρη κατάλογο των εκδόχων, βλ. παράγραφο</w:t>
      </w:r>
      <w:r w:rsidR="00E35AE3" w:rsidRPr="0038404B">
        <w:rPr>
          <w:noProof/>
          <w:sz w:val="22"/>
          <w:szCs w:val="22"/>
          <w:lang w:eastAsia="en-US"/>
        </w:rPr>
        <w:t xml:space="preserve"> 6.1.</w:t>
      </w:r>
    </w:p>
    <w:p w:rsidR="00E35AE3" w:rsidRPr="0038404B" w:rsidRDefault="00E35AE3" w:rsidP="00E35AE3">
      <w:pPr>
        <w:tabs>
          <w:tab w:val="left" w:pos="567"/>
        </w:tabs>
        <w:autoSpaceDE/>
        <w:autoSpaceDN/>
        <w:adjustRightInd/>
        <w:contextualSpacing/>
        <w:rPr>
          <w:noProof/>
          <w:sz w:val="22"/>
          <w:szCs w:val="22"/>
          <w:lang w:eastAsia="en-US"/>
        </w:rPr>
      </w:pPr>
    </w:p>
    <w:p w:rsidR="00E35AE3" w:rsidRPr="0038404B" w:rsidRDefault="00E35AE3" w:rsidP="00E35AE3">
      <w:pPr>
        <w:tabs>
          <w:tab w:val="left" w:pos="567"/>
        </w:tabs>
        <w:autoSpaceDE/>
        <w:autoSpaceDN/>
        <w:adjustRightInd/>
        <w:contextualSpacing/>
        <w:rPr>
          <w:noProof/>
          <w:sz w:val="22"/>
          <w:szCs w:val="22"/>
          <w:lang w:eastAsia="en-US"/>
        </w:rPr>
      </w:pPr>
    </w:p>
    <w:p w:rsidR="00E35AE3" w:rsidRPr="004463B3" w:rsidRDefault="00E35AE3" w:rsidP="00E35AE3">
      <w:pPr>
        <w:tabs>
          <w:tab w:val="left" w:pos="567"/>
        </w:tabs>
        <w:autoSpaceDE/>
        <w:autoSpaceDN/>
        <w:adjustRightInd/>
        <w:contextualSpacing/>
        <w:outlineLvl w:val="1"/>
        <w:rPr>
          <w:b/>
          <w:caps/>
          <w:noProof/>
          <w:sz w:val="22"/>
          <w:szCs w:val="22"/>
          <w:lang w:eastAsia="en-US"/>
        </w:rPr>
      </w:pPr>
      <w:r w:rsidRPr="0038404B">
        <w:rPr>
          <w:b/>
          <w:noProof/>
          <w:sz w:val="22"/>
          <w:szCs w:val="22"/>
          <w:lang w:eastAsia="en-US"/>
        </w:rPr>
        <w:t>3.</w:t>
      </w:r>
      <w:r w:rsidR="004463B3" w:rsidRPr="0038404B">
        <w:rPr>
          <w:b/>
          <w:noProof/>
          <w:sz w:val="22"/>
          <w:szCs w:val="22"/>
          <w:lang w:eastAsia="en-US"/>
        </w:rPr>
        <w:tab/>
      </w:r>
      <w:r w:rsidR="004463B3">
        <w:rPr>
          <w:b/>
          <w:noProof/>
          <w:sz w:val="22"/>
          <w:szCs w:val="22"/>
          <w:lang w:eastAsia="en-US"/>
        </w:rPr>
        <w:t>ΦΑΡΜΑΚΟΤΕΧΝΙΚΗ ΜΟΡΦΗ</w:t>
      </w:r>
    </w:p>
    <w:p w:rsidR="00E35AE3" w:rsidRPr="0038404B" w:rsidRDefault="00E35AE3" w:rsidP="00E35AE3">
      <w:pPr>
        <w:tabs>
          <w:tab w:val="left" w:pos="567"/>
        </w:tabs>
        <w:autoSpaceDE/>
        <w:autoSpaceDN/>
        <w:adjustRightInd/>
        <w:contextualSpacing/>
        <w:rPr>
          <w:noProof/>
          <w:sz w:val="22"/>
          <w:szCs w:val="22"/>
          <w:lang w:eastAsia="en-US"/>
        </w:rPr>
      </w:pPr>
    </w:p>
    <w:p w:rsidR="00E35AE3" w:rsidRPr="0038404B" w:rsidRDefault="004463B3" w:rsidP="00E35AE3">
      <w:pPr>
        <w:tabs>
          <w:tab w:val="left" w:pos="567"/>
        </w:tabs>
        <w:autoSpaceDE/>
        <w:autoSpaceDN/>
        <w:adjustRightInd/>
        <w:contextualSpacing/>
        <w:rPr>
          <w:noProof/>
          <w:sz w:val="22"/>
          <w:szCs w:val="22"/>
          <w:lang w:eastAsia="en-US"/>
        </w:rPr>
      </w:pPr>
      <w:r>
        <w:rPr>
          <w:noProof/>
          <w:sz w:val="22"/>
          <w:szCs w:val="22"/>
          <w:lang w:eastAsia="en-US"/>
        </w:rPr>
        <w:t>Επικαλυμμένο με λεπτό υμένιο δισκίο</w:t>
      </w:r>
      <w:r w:rsidR="00E35AE3" w:rsidRPr="0038404B">
        <w:rPr>
          <w:noProof/>
          <w:sz w:val="22"/>
          <w:szCs w:val="22"/>
          <w:lang w:eastAsia="en-US"/>
        </w:rPr>
        <w:t>.</w:t>
      </w:r>
    </w:p>
    <w:p w:rsidR="00E35AE3" w:rsidRPr="0038404B" w:rsidRDefault="004463B3" w:rsidP="00E35AE3">
      <w:pPr>
        <w:tabs>
          <w:tab w:val="left" w:pos="567"/>
        </w:tabs>
        <w:autoSpaceDE/>
        <w:autoSpaceDN/>
        <w:adjustRightInd/>
        <w:contextualSpacing/>
        <w:rPr>
          <w:sz w:val="22"/>
          <w:szCs w:val="20"/>
          <w:lang w:eastAsia="en-US"/>
        </w:rPr>
      </w:pPr>
      <w:r>
        <w:rPr>
          <w:sz w:val="22"/>
          <w:szCs w:val="22"/>
          <w:lang w:eastAsia="en-US"/>
        </w:rPr>
        <w:t xml:space="preserve">Δισκία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w:t>
      </w:r>
      <w:r w:rsidR="00E35AE3" w:rsidRPr="0038404B">
        <w:rPr>
          <w:noProof/>
          <w:sz w:val="22"/>
          <w:szCs w:val="22"/>
          <w:lang w:eastAsia="en-US"/>
        </w:rPr>
        <w:t>10</w:t>
      </w:r>
      <w:r w:rsidR="00E35AE3" w:rsidRPr="00E35AE3">
        <w:rPr>
          <w:noProof/>
          <w:sz w:val="22"/>
          <w:szCs w:val="22"/>
          <w:lang w:val="en-GB" w:eastAsia="en-US"/>
        </w:rPr>
        <w:t> mg</w:t>
      </w:r>
      <w:r w:rsidR="00E35AE3" w:rsidRPr="0038404B">
        <w:rPr>
          <w:noProof/>
          <w:sz w:val="22"/>
          <w:szCs w:val="22"/>
          <w:lang w:eastAsia="en-US"/>
        </w:rPr>
        <w:t xml:space="preserve">: </w:t>
      </w:r>
      <w:r>
        <w:rPr>
          <w:sz w:val="22"/>
          <w:szCs w:val="20"/>
          <w:lang w:eastAsia="en-US"/>
        </w:rPr>
        <w:t>Λευκά, επικαλυμμένα με λεπτό υμένιο, στρο</w:t>
      </w:r>
      <w:r w:rsidR="00BA510D">
        <w:rPr>
          <w:sz w:val="22"/>
          <w:szCs w:val="20"/>
          <w:lang w:eastAsia="en-US"/>
        </w:rPr>
        <w:t>γγυλά, αμφίκυρτα, με στρογγυλεμ</w:t>
      </w:r>
      <w:r>
        <w:rPr>
          <w:sz w:val="22"/>
          <w:szCs w:val="20"/>
          <w:lang w:eastAsia="en-US"/>
        </w:rPr>
        <w:t>ένα άκρα δισκία, τα οποία φέρου</w:t>
      </w:r>
      <w:r w:rsidR="00BA510D">
        <w:rPr>
          <w:sz w:val="22"/>
          <w:szCs w:val="20"/>
          <w:lang w:eastAsia="en-US"/>
        </w:rPr>
        <w:t>ν ανάγλυφ</w:t>
      </w:r>
      <w:r>
        <w:rPr>
          <w:sz w:val="22"/>
          <w:szCs w:val="20"/>
          <w:lang w:eastAsia="en-US"/>
        </w:rPr>
        <w:t>ο το διακριτικό</w:t>
      </w:r>
      <w:r w:rsidR="00BA510D" w:rsidRPr="0038404B">
        <w:rPr>
          <w:sz w:val="22"/>
          <w:szCs w:val="20"/>
          <w:lang w:eastAsia="en-US"/>
        </w:rPr>
        <w:t xml:space="preserve"> </w:t>
      </w:r>
      <w:r w:rsidR="00BA510D">
        <w:rPr>
          <w:sz w:val="22"/>
          <w:szCs w:val="20"/>
          <w:lang w:eastAsia="en-US"/>
        </w:rPr>
        <w:t>«</w:t>
      </w:r>
      <w:r w:rsidR="00E35AE3" w:rsidRPr="00E35AE3">
        <w:rPr>
          <w:b/>
          <w:sz w:val="22"/>
          <w:szCs w:val="20"/>
          <w:lang w:val="en-GB" w:eastAsia="en-US"/>
        </w:rPr>
        <w:t>M</w:t>
      </w:r>
      <w:r w:rsidR="00BA510D">
        <w:rPr>
          <w:sz w:val="22"/>
          <w:szCs w:val="20"/>
          <w:lang w:eastAsia="en-US"/>
        </w:rPr>
        <w:t>»</w:t>
      </w:r>
      <w:r w:rsidR="00E35AE3" w:rsidRPr="0038404B">
        <w:rPr>
          <w:sz w:val="22"/>
          <w:szCs w:val="20"/>
          <w:lang w:eastAsia="en-US"/>
        </w:rPr>
        <w:t xml:space="preserve"> </w:t>
      </w:r>
      <w:r w:rsidR="00BA510D">
        <w:rPr>
          <w:sz w:val="22"/>
          <w:szCs w:val="20"/>
          <w:lang w:eastAsia="en-US"/>
        </w:rPr>
        <w:t>στη μία όψη του δισκίου και «</w:t>
      </w:r>
      <w:r w:rsidR="00E35AE3" w:rsidRPr="00E35AE3">
        <w:rPr>
          <w:b/>
          <w:sz w:val="22"/>
          <w:szCs w:val="20"/>
          <w:lang w:val="en-GB" w:eastAsia="en-US"/>
        </w:rPr>
        <w:t>O</w:t>
      </w:r>
      <w:r w:rsidR="00E35AE3" w:rsidRPr="0038404B">
        <w:rPr>
          <w:b/>
          <w:sz w:val="22"/>
          <w:szCs w:val="20"/>
          <w:lang w:eastAsia="en-US"/>
        </w:rPr>
        <w:t>1</w:t>
      </w:r>
      <w:r w:rsidR="00BA510D">
        <w:rPr>
          <w:sz w:val="22"/>
          <w:szCs w:val="20"/>
          <w:lang w:eastAsia="en-US"/>
        </w:rPr>
        <w:t>»</w:t>
      </w:r>
      <w:r w:rsidR="00E35AE3" w:rsidRPr="0038404B">
        <w:rPr>
          <w:sz w:val="22"/>
          <w:szCs w:val="20"/>
          <w:lang w:eastAsia="en-US"/>
        </w:rPr>
        <w:t xml:space="preserve"> </w:t>
      </w:r>
      <w:r w:rsidR="00BA510D">
        <w:rPr>
          <w:sz w:val="22"/>
          <w:szCs w:val="20"/>
          <w:lang w:eastAsia="en-US"/>
        </w:rPr>
        <w:t>στην άλλη όψη του</w:t>
      </w:r>
      <w:r w:rsidR="00E35AE3" w:rsidRPr="0038404B">
        <w:rPr>
          <w:sz w:val="22"/>
          <w:szCs w:val="20"/>
          <w:lang w:eastAsia="en-US"/>
        </w:rPr>
        <w:t>.</w:t>
      </w:r>
    </w:p>
    <w:p w:rsidR="00E35AE3" w:rsidRPr="0038404B" w:rsidRDefault="00E35AE3" w:rsidP="00E35AE3">
      <w:pPr>
        <w:tabs>
          <w:tab w:val="left" w:pos="567"/>
        </w:tabs>
        <w:autoSpaceDE/>
        <w:autoSpaceDN/>
        <w:adjustRightInd/>
        <w:contextualSpacing/>
        <w:rPr>
          <w:sz w:val="22"/>
          <w:szCs w:val="20"/>
          <w:lang w:eastAsia="en-US"/>
        </w:rPr>
      </w:pPr>
    </w:p>
    <w:p w:rsidR="00E35AE3" w:rsidRPr="0038404B" w:rsidRDefault="004463B3" w:rsidP="00E35AE3">
      <w:pPr>
        <w:tabs>
          <w:tab w:val="left" w:pos="567"/>
        </w:tabs>
        <w:autoSpaceDE/>
        <w:autoSpaceDN/>
        <w:adjustRightInd/>
        <w:contextualSpacing/>
        <w:rPr>
          <w:sz w:val="22"/>
          <w:szCs w:val="20"/>
          <w:lang w:eastAsia="en-US"/>
        </w:rPr>
      </w:pPr>
      <w:r>
        <w:rPr>
          <w:noProof/>
          <w:sz w:val="22"/>
          <w:szCs w:val="22"/>
          <w:lang w:eastAsia="en-US"/>
        </w:rPr>
        <w:t xml:space="preserve">Δισκία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w:t>
      </w:r>
      <w:r w:rsidR="00E35AE3" w:rsidRPr="0038404B">
        <w:rPr>
          <w:noProof/>
          <w:sz w:val="22"/>
          <w:szCs w:val="22"/>
          <w:lang w:eastAsia="en-US"/>
        </w:rPr>
        <w:t>20</w:t>
      </w:r>
      <w:r w:rsidR="00E35AE3" w:rsidRPr="00E35AE3">
        <w:rPr>
          <w:noProof/>
          <w:sz w:val="22"/>
          <w:szCs w:val="22"/>
          <w:lang w:val="en-GB" w:eastAsia="en-US"/>
        </w:rPr>
        <w:t> mg</w:t>
      </w:r>
      <w:r w:rsidR="00E35AE3" w:rsidRPr="0038404B">
        <w:rPr>
          <w:noProof/>
          <w:sz w:val="22"/>
          <w:szCs w:val="22"/>
          <w:lang w:eastAsia="en-US"/>
        </w:rPr>
        <w:t xml:space="preserve">: </w:t>
      </w:r>
      <w:r w:rsidR="00BA510D">
        <w:rPr>
          <w:sz w:val="22"/>
          <w:szCs w:val="20"/>
          <w:lang w:eastAsia="en-US"/>
        </w:rPr>
        <w:t>Λευκά, επικαλυμμένα με λεπτό υμένιο, στρογγυλά, αμφίκυρτα, με στρογγυλεμένα άκρα δισκία, τα οποία φέρουν ανάγλυφο το διακριτικό</w:t>
      </w:r>
      <w:r w:rsidR="00BA510D" w:rsidRPr="0038404B">
        <w:rPr>
          <w:sz w:val="22"/>
          <w:szCs w:val="20"/>
          <w:lang w:eastAsia="en-US"/>
        </w:rPr>
        <w:t xml:space="preserve"> </w:t>
      </w:r>
      <w:r w:rsidR="00BA510D">
        <w:rPr>
          <w:sz w:val="22"/>
          <w:szCs w:val="20"/>
          <w:lang w:eastAsia="en-US"/>
        </w:rPr>
        <w:t>«</w:t>
      </w:r>
      <w:r w:rsidR="00BA510D" w:rsidRPr="00E35AE3">
        <w:rPr>
          <w:b/>
          <w:sz w:val="22"/>
          <w:szCs w:val="20"/>
          <w:lang w:val="en-GB" w:eastAsia="en-US"/>
        </w:rPr>
        <w:t>M</w:t>
      </w:r>
      <w:r w:rsidR="00BA510D">
        <w:rPr>
          <w:sz w:val="22"/>
          <w:szCs w:val="20"/>
          <w:lang w:eastAsia="en-US"/>
        </w:rPr>
        <w:t>»</w:t>
      </w:r>
      <w:r w:rsidR="00BA510D" w:rsidRPr="0038404B">
        <w:rPr>
          <w:sz w:val="22"/>
          <w:szCs w:val="20"/>
          <w:lang w:eastAsia="en-US"/>
        </w:rPr>
        <w:t xml:space="preserve"> </w:t>
      </w:r>
      <w:r w:rsidR="00BA510D">
        <w:rPr>
          <w:sz w:val="22"/>
          <w:szCs w:val="20"/>
          <w:lang w:eastAsia="en-US"/>
        </w:rPr>
        <w:t>στη μία όψη του δισκίου και «</w:t>
      </w:r>
      <w:r w:rsidR="00BA510D">
        <w:rPr>
          <w:b/>
          <w:sz w:val="22"/>
          <w:szCs w:val="20"/>
          <w:lang w:val="en-GB" w:eastAsia="en-US"/>
        </w:rPr>
        <w:t>O</w:t>
      </w:r>
      <w:r w:rsidR="00BA510D">
        <w:rPr>
          <w:b/>
          <w:sz w:val="22"/>
          <w:szCs w:val="20"/>
          <w:lang w:eastAsia="en-US"/>
        </w:rPr>
        <w:t>2</w:t>
      </w:r>
      <w:r w:rsidR="00BA510D">
        <w:rPr>
          <w:sz w:val="22"/>
          <w:szCs w:val="20"/>
          <w:lang w:eastAsia="en-US"/>
        </w:rPr>
        <w:t>»</w:t>
      </w:r>
      <w:r w:rsidR="00BA510D" w:rsidRPr="0038404B">
        <w:rPr>
          <w:sz w:val="22"/>
          <w:szCs w:val="20"/>
          <w:lang w:eastAsia="en-US"/>
        </w:rPr>
        <w:t xml:space="preserve"> </w:t>
      </w:r>
      <w:r w:rsidR="00BA510D">
        <w:rPr>
          <w:sz w:val="22"/>
          <w:szCs w:val="20"/>
          <w:lang w:eastAsia="en-US"/>
        </w:rPr>
        <w:t>στην άλλη όψη του</w:t>
      </w:r>
      <w:r w:rsidR="00E35AE3" w:rsidRPr="0038404B">
        <w:rPr>
          <w:sz w:val="22"/>
          <w:szCs w:val="20"/>
          <w:lang w:eastAsia="en-US"/>
        </w:rPr>
        <w:t>.</w:t>
      </w:r>
    </w:p>
    <w:p w:rsidR="00E35AE3" w:rsidRPr="0038404B" w:rsidRDefault="00E35AE3" w:rsidP="00E35AE3">
      <w:pPr>
        <w:tabs>
          <w:tab w:val="left" w:pos="567"/>
        </w:tabs>
        <w:autoSpaceDE/>
        <w:autoSpaceDN/>
        <w:adjustRightInd/>
        <w:contextualSpacing/>
        <w:rPr>
          <w:sz w:val="22"/>
          <w:szCs w:val="20"/>
          <w:lang w:eastAsia="en-US"/>
        </w:rPr>
      </w:pPr>
    </w:p>
    <w:p w:rsidR="00E35AE3" w:rsidRPr="0038404B" w:rsidRDefault="004463B3" w:rsidP="00E35AE3">
      <w:pPr>
        <w:tabs>
          <w:tab w:val="left" w:pos="567"/>
        </w:tabs>
        <w:autoSpaceDE/>
        <w:autoSpaceDN/>
        <w:adjustRightInd/>
        <w:contextualSpacing/>
        <w:rPr>
          <w:sz w:val="22"/>
          <w:szCs w:val="20"/>
          <w:lang w:eastAsia="en-US"/>
        </w:rPr>
      </w:pPr>
      <w:r>
        <w:rPr>
          <w:noProof/>
          <w:sz w:val="22"/>
          <w:szCs w:val="22"/>
          <w:lang w:eastAsia="en-US"/>
        </w:rPr>
        <w:t xml:space="preserve">Δισκία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w:t>
      </w:r>
      <w:r w:rsidR="00E35AE3" w:rsidRPr="0038404B">
        <w:rPr>
          <w:noProof/>
          <w:sz w:val="22"/>
          <w:szCs w:val="22"/>
          <w:lang w:eastAsia="en-US"/>
        </w:rPr>
        <w:t>40</w:t>
      </w:r>
      <w:r w:rsidR="00E35AE3" w:rsidRPr="00E35AE3">
        <w:rPr>
          <w:noProof/>
          <w:sz w:val="22"/>
          <w:szCs w:val="22"/>
          <w:lang w:val="en-GB" w:eastAsia="en-US"/>
        </w:rPr>
        <w:t> mg</w:t>
      </w:r>
      <w:r w:rsidR="00E35AE3" w:rsidRPr="0038404B">
        <w:rPr>
          <w:noProof/>
          <w:sz w:val="22"/>
          <w:szCs w:val="22"/>
          <w:lang w:eastAsia="en-US"/>
        </w:rPr>
        <w:t xml:space="preserve">: </w:t>
      </w:r>
      <w:r w:rsidR="00BA510D">
        <w:rPr>
          <w:sz w:val="22"/>
          <w:szCs w:val="20"/>
          <w:lang w:eastAsia="en-US"/>
        </w:rPr>
        <w:t>Λευκά, επικαλυμμένα με λεπτό υμένιο, ωοειδή, αμφίκυρτα, με στρογγυλεμένα άκρα δισκία, τα οποία φέρουν ανάγλυφο το διακριτικό</w:t>
      </w:r>
      <w:r w:rsidR="00BA510D" w:rsidRPr="0038404B">
        <w:rPr>
          <w:sz w:val="22"/>
          <w:szCs w:val="20"/>
          <w:lang w:eastAsia="en-US"/>
        </w:rPr>
        <w:t xml:space="preserve"> </w:t>
      </w:r>
      <w:r w:rsidR="00BA510D">
        <w:rPr>
          <w:sz w:val="22"/>
          <w:szCs w:val="20"/>
          <w:lang w:eastAsia="en-US"/>
        </w:rPr>
        <w:t>«</w:t>
      </w:r>
      <w:r w:rsidR="00BA510D" w:rsidRPr="00E35AE3">
        <w:rPr>
          <w:b/>
          <w:sz w:val="22"/>
          <w:szCs w:val="20"/>
          <w:lang w:val="en-GB" w:eastAsia="en-US"/>
        </w:rPr>
        <w:t>M</w:t>
      </w:r>
      <w:r w:rsidR="00BA510D">
        <w:rPr>
          <w:sz w:val="22"/>
          <w:szCs w:val="20"/>
          <w:lang w:eastAsia="en-US"/>
        </w:rPr>
        <w:t>»</w:t>
      </w:r>
      <w:r w:rsidR="00BA510D" w:rsidRPr="0038404B">
        <w:rPr>
          <w:sz w:val="22"/>
          <w:szCs w:val="20"/>
          <w:lang w:eastAsia="en-US"/>
        </w:rPr>
        <w:t xml:space="preserve"> </w:t>
      </w:r>
      <w:r w:rsidR="00BA510D">
        <w:rPr>
          <w:sz w:val="22"/>
          <w:szCs w:val="20"/>
          <w:lang w:eastAsia="en-US"/>
        </w:rPr>
        <w:t>στη μία όψη του δισκίου και «</w:t>
      </w:r>
      <w:r w:rsidR="00BA510D">
        <w:rPr>
          <w:b/>
          <w:sz w:val="22"/>
          <w:szCs w:val="20"/>
          <w:lang w:val="en-GB" w:eastAsia="en-US"/>
        </w:rPr>
        <w:t>O</w:t>
      </w:r>
      <w:r w:rsidR="00BA510D">
        <w:rPr>
          <w:b/>
          <w:sz w:val="22"/>
          <w:szCs w:val="20"/>
          <w:lang w:eastAsia="en-US"/>
        </w:rPr>
        <w:t>4</w:t>
      </w:r>
      <w:r w:rsidR="00BA510D">
        <w:rPr>
          <w:sz w:val="22"/>
          <w:szCs w:val="20"/>
          <w:lang w:eastAsia="en-US"/>
        </w:rPr>
        <w:t>»</w:t>
      </w:r>
      <w:r w:rsidR="00BA510D" w:rsidRPr="0038404B">
        <w:rPr>
          <w:sz w:val="22"/>
          <w:szCs w:val="20"/>
          <w:lang w:eastAsia="en-US"/>
        </w:rPr>
        <w:t xml:space="preserve"> </w:t>
      </w:r>
      <w:r w:rsidR="00BA510D">
        <w:rPr>
          <w:sz w:val="22"/>
          <w:szCs w:val="20"/>
          <w:lang w:eastAsia="en-US"/>
        </w:rPr>
        <w:t>στην άλλη όψη του</w:t>
      </w:r>
      <w:r w:rsidR="00E35AE3" w:rsidRPr="0038404B">
        <w:rPr>
          <w:sz w:val="22"/>
          <w:szCs w:val="20"/>
          <w:lang w:eastAsia="en-US"/>
        </w:rPr>
        <w:t>.</w:t>
      </w:r>
    </w:p>
    <w:p w:rsidR="005D5E57" w:rsidRPr="0038404B" w:rsidRDefault="005D5E57" w:rsidP="0042565E">
      <w:pPr>
        <w:pStyle w:val="Style8"/>
        <w:widowControl/>
        <w:jc w:val="left"/>
        <w:rPr>
          <w:sz w:val="22"/>
          <w:szCs w:val="22"/>
        </w:rPr>
      </w:pPr>
    </w:p>
    <w:p w:rsidR="0042565E" w:rsidRPr="0038404B" w:rsidRDefault="0042565E" w:rsidP="0042565E">
      <w:pPr>
        <w:pStyle w:val="Style8"/>
        <w:widowControl/>
        <w:jc w:val="left"/>
        <w:rPr>
          <w:sz w:val="22"/>
          <w:szCs w:val="22"/>
        </w:rPr>
      </w:pPr>
    </w:p>
    <w:p w:rsidR="005D5E57" w:rsidRPr="00A072F5" w:rsidRDefault="0042565E" w:rsidP="0042565E">
      <w:pPr>
        <w:pStyle w:val="Style8"/>
        <w:widowControl/>
        <w:jc w:val="left"/>
        <w:rPr>
          <w:rStyle w:val="FontStyle21"/>
          <w:sz w:val="22"/>
          <w:szCs w:val="22"/>
          <w:lang w:val="en-US"/>
        </w:rPr>
      </w:pPr>
      <w:r w:rsidRPr="00A072F5">
        <w:rPr>
          <w:rStyle w:val="FontStyle21"/>
          <w:sz w:val="22"/>
          <w:szCs w:val="22"/>
        </w:rPr>
        <w:t>4.</w:t>
      </w:r>
      <w:r w:rsidRPr="00A072F5">
        <w:rPr>
          <w:rStyle w:val="FontStyle21"/>
          <w:sz w:val="22"/>
          <w:szCs w:val="22"/>
          <w:lang w:val="en-US"/>
        </w:rPr>
        <w:tab/>
      </w:r>
      <w:r w:rsidR="005D5E57" w:rsidRPr="00A072F5">
        <w:rPr>
          <w:rStyle w:val="FontStyle21"/>
          <w:sz w:val="22"/>
          <w:szCs w:val="22"/>
        </w:rPr>
        <w:t>ΚΛΙΝΙΚΕΣ ΠΛΗΡΟΦΟΡΙΕΣ</w:t>
      </w:r>
    </w:p>
    <w:p w:rsidR="0042565E" w:rsidRPr="00A072F5" w:rsidRDefault="0042565E" w:rsidP="0042565E">
      <w:pPr>
        <w:pStyle w:val="Style8"/>
        <w:widowControl/>
        <w:jc w:val="left"/>
        <w:rPr>
          <w:rStyle w:val="FontStyle21"/>
          <w:sz w:val="22"/>
          <w:szCs w:val="22"/>
          <w:lang w:val="en-US"/>
        </w:rPr>
      </w:pPr>
    </w:p>
    <w:p w:rsidR="005D5E57" w:rsidRPr="00A072F5" w:rsidRDefault="005D5E57" w:rsidP="0042565E">
      <w:pPr>
        <w:pStyle w:val="Style6"/>
        <w:widowControl/>
        <w:numPr>
          <w:ilvl w:val="0"/>
          <w:numId w:val="1"/>
        </w:numPr>
        <w:tabs>
          <w:tab w:val="left" w:pos="720"/>
        </w:tabs>
        <w:spacing w:line="240" w:lineRule="auto"/>
        <w:ind w:firstLine="0"/>
        <w:rPr>
          <w:rStyle w:val="FontStyle21"/>
          <w:sz w:val="22"/>
          <w:szCs w:val="22"/>
        </w:rPr>
      </w:pPr>
      <w:r w:rsidRPr="00A072F5">
        <w:rPr>
          <w:rStyle w:val="FontStyle21"/>
          <w:sz w:val="22"/>
          <w:szCs w:val="22"/>
        </w:rPr>
        <w:t>Θεραπευτικές ενδείξεις</w:t>
      </w:r>
    </w:p>
    <w:p w:rsidR="0042565E" w:rsidRPr="00A072F5" w:rsidRDefault="0042565E" w:rsidP="0042565E">
      <w:pPr>
        <w:pStyle w:val="Style6"/>
        <w:widowControl/>
        <w:tabs>
          <w:tab w:val="left" w:pos="720"/>
        </w:tabs>
        <w:spacing w:line="240" w:lineRule="auto"/>
        <w:ind w:firstLine="0"/>
        <w:rPr>
          <w:rStyle w:val="FontStyle21"/>
          <w:sz w:val="22"/>
          <w:szCs w:val="22"/>
        </w:rPr>
      </w:pPr>
    </w:p>
    <w:p w:rsidR="005D5E57" w:rsidRPr="00A072F5" w:rsidRDefault="005D5E57" w:rsidP="0042565E">
      <w:pPr>
        <w:pStyle w:val="Style4"/>
        <w:widowControl/>
        <w:spacing w:line="240" w:lineRule="auto"/>
        <w:jc w:val="left"/>
        <w:rPr>
          <w:rStyle w:val="FontStyle22"/>
          <w:sz w:val="22"/>
          <w:szCs w:val="22"/>
          <w:lang w:val="en-US"/>
        </w:rPr>
      </w:pPr>
      <w:r w:rsidRPr="00A072F5">
        <w:rPr>
          <w:rStyle w:val="FontStyle22"/>
          <w:sz w:val="22"/>
          <w:szCs w:val="22"/>
        </w:rPr>
        <w:t>Θεραπεία της ιδιοπαθούς υπέρτασης.</w:t>
      </w:r>
    </w:p>
    <w:p w:rsidR="0042565E" w:rsidRPr="00A072F5" w:rsidRDefault="0042565E" w:rsidP="0042565E">
      <w:pPr>
        <w:pStyle w:val="Style4"/>
        <w:widowControl/>
        <w:spacing w:line="240" w:lineRule="auto"/>
        <w:jc w:val="left"/>
        <w:rPr>
          <w:rStyle w:val="FontStyle22"/>
          <w:sz w:val="22"/>
          <w:szCs w:val="22"/>
          <w:lang w:val="en-US"/>
        </w:rPr>
      </w:pPr>
    </w:p>
    <w:p w:rsidR="0042565E" w:rsidRPr="00A072F5" w:rsidRDefault="0042565E" w:rsidP="0042565E">
      <w:pPr>
        <w:pStyle w:val="Style6"/>
        <w:widowControl/>
        <w:numPr>
          <w:ilvl w:val="0"/>
          <w:numId w:val="2"/>
        </w:numPr>
        <w:tabs>
          <w:tab w:val="left" w:pos="720"/>
        </w:tabs>
        <w:spacing w:line="240" w:lineRule="auto"/>
        <w:ind w:left="720"/>
        <w:rPr>
          <w:rStyle w:val="FontStyle21"/>
          <w:sz w:val="22"/>
          <w:szCs w:val="22"/>
        </w:rPr>
      </w:pPr>
      <w:r w:rsidRPr="00A072F5">
        <w:rPr>
          <w:rStyle w:val="FontStyle21"/>
          <w:sz w:val="22"/>
          <w:szCs w:val="22"/>
        </w:rPr>
        <w:t>Δοσολογία και τρόπος χορήγηση</w:t>
      </w:r>
      <w:r w:rsidR="00BA510D">
        <w:rPr>
          <w:rStyle w:val="FontStyle21"/>
          <w:sz w:val="22"/>
          <w:szCs w:val="22"/>
        </w:rPr>
        <w:t>ς</w:t>
      </w:r>
    </w:p>
    <w:p w:rsidR="00E35AE3" w:rsidRPr="00BA510D" w:rsidRDefault="00E35AE3" w:rsidP="00E35AE3">
      <w:pPr>
        <w:rPr>
          <w:sz w:val="22"/>
          <w:szCs w:val="22"/>
          <w:u w:val="single"/>
          <w:lang w:val="en-US"/>
        </w:rPr>
      </w:pPr>
    </w:p>
    <w:p w:rsidR="00E35AE3" w:rsidRPr="00BA510D" w:rsidRDefault="00123F5A" w:rsidP="00E35AE3">
      <w:pPr>
        <w:rPr>
          <w:sz w:val="22"/>
          <w:szCs w:val="22"/>
          <w:u w:val="single"/>
        </w:rPr>
      </w:pPr>
      <w:r w:rsidRPr="00BA510D">
        <w:rPr>
          <w:sz w:val="22"/>
          <w:szCs w:val="22"/>
          <w:u w:val="single"/>
        </w:rPr>
        <w:t>Δοσολογία</w:t>
      </w:r>
    </w:p>
    <w:p w:rsidR="00E35AE3" w:rsidRPr="00BA510D" w:rsidRDefault="00E35AE3" w:rsidP="00E35AE3">
      <w:pPr>
        <w:rPr>
          <w:noProof/>
          <w:sz w:val="22"/>
          <w:szCs w:val="22"/>
        </w:rPr>
      </w:pPr>
    </w:p>
    <w:p w:rsidR="00E35AE3" w:rsidRPr="00BA510D" w:rsidRDefault="00BA510D" w:rsidP="00E35AE3">
      <w:pPr>
        <w:rPr>
          <w:bCs/>
          <w:i/>
          <w:iCs/>
          <w:sz w:val="22"/>
          <w:szCs w:val="22"/>
        </w:rPr>
      </w:pPr>
      <w:r w:rsidRPr="00BA510D">
        <w:rPr>
          <w:bCs/>
          <w:i/>
          <w:iCs/>
          <w:sz w:val="22"/>
          <w:szCs w:val="22"/>
        </w:rPr>
        <w:t>Ενήλικες</w:t>
      </w:r>
    </w:p>
    <w:p w:rsidR="005D5E57" w:rsidRPr="0038404B" w:rsidRDefault="005D5E57" w:rsidP="0042565E">
      <w:pPr>
        <w:pStyle w:val="Style4"/>
        <w:widowControl/>
        <w:spacing w:line="240" w:lineRule="auto"/>
        <w:rPr>
          <w:rStyle w:val="FontStyle22"/>
          <w:sz w:val="22"/>
          <w:szCs w:val="22"/>
        </w:rPr>
      </w:pPr>
      <w:r w:rsidRPr="00A072F5">
        <w:rPr>
          <w:rStyle w:val="FontStyle22"/>
          <w:sz w:val="22"/>
          <w:szCs w:val="22"/>
        </w:rPr>
        <w:t>Η συνιστώμενη αρχική δοσολογία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είναι 10</w:t>
      </w:r>
      <w:r w:rsidRPr="0038404B">
        <w:rPr>
          <w:rStyle w:val="FontStyle22"/>
          <w:sz w:val="22"/>
          <w:szCs w:val="22"/>
        </w:rPr>
        <w:t xml:space="preserve"> </w:t>
      </w:r>
      <w:r w:rsidRPr="00A072F5">
        <w:rPr>
          <w:rStyle w:val="FontStyle22"/>
          <w:sz w:val="22"/>
          <w:szCs w:val="22"/>
          <w:lang w:val="en-US"/>
        </w:rPr>
        <w:t>mg</w:t>
      </w:r>
      <w:r w:rsidRPr="00A072F5">
        <w:rPr>
          <w:rStyle w:val="FontStyle22"/>
          <w:sz w:val="22"/>
          <w:szCs w:val="22"/>
        </w:rPr>
        <w:t xml:space="preserve"> μία φορά την ημέρα. Σε ασθενείς στους οποίους η αρτηριακή πίεση δε ρυθμίζεται επαρκώς με αυτή τη δόση, η δόση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μπορεί να αυξηθεί στη βέλτιστη δόση των 20</w:t>
      </w:r>
      <w:r w:rsidRPr="0038404B">
        <w:rPr>
          <w:rStyle w:val="FontStyle22"/>
          <w:sz w:val="22"/>
          <w:szCs w:val="22"/>
        </w:rPr>
        <w:t xml:space="preserve"> </w:t>
      </w:r>
      <w:r w:rsidRPr="00A072F5">
        <w:rPr>
          <w:rStyle w:val="FontStyle22"/>
          <w:sz w:val="22"/>
          <w:szCs w:val="22"/>
          <w:lang w:val="en-US"/>
        </w:rPr>
        <w:t>mg</w:t>
      </w:r>
      <w:r w:rsidRPr="0038404B">
        <w:rPr>
          <w:rStyle w:val="FontStyle22"/>
          <w:sz w:val="22"/>
          <w:szCs w:val="22"/>
        </w:rPr>
        <w:t xml:space="preserve"> </w:t>
      </w:r>
      <w:r w:rsidRPr="00A072F5">
        <w:rPr>
          <w:rStyle w:val="FontStyle22"/>
          <w:sz w:val="22"/>
          <w:szCs w:val="22"/>
        </w:rPr>
        <w:t xml:space="preserve">μία φορά την ημέρα. Εάν απαιτείται επιπλέον μείωση της αρτηριακής πίεσης, η δόση της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μπορεί να αυξηθεί μέχρι το μέγιστο των</w:t>
      </w:r>
      <w:r w:rsidRPr="0038404B">
        <w:rPr>
          <w:rStyle w:val="FontStyle22"/>
          <w:sz w:val="22"/>
          <w:szCs w:val="22"/>
        </w:rPr>
        <w:t xml:space="preserve"> 40</w:t>
      </w:r>
      <w:r w:rsidR="00BA510D">
        <w:rPr>
          <w:rStyle w:val="FontStyle22"/>
          <w:sz w:val="22"/>
          <w:szCs w:val="22"/>
        </w:rPr>
        <w:t xml:space="preserve"> </w:t>
      </w:r>
      <w:r w:rsidRPr="00A072F5">
        <w:rPr>
          <w:rStyle w:val="FontStyle22"/>
          <w:sz w:val="22"/>
          <w:szCs w:val="22"/>
          <w:lang w:val="en-US"/>
        </w:rPr>
        <w:t>mg</w:t>
      </w:r>
      <w:r w:rsidRPr="00A072F5">
        <w:rPr>
          <w:rStyle w:val="FontStyle22"/>
          <w:sz w:val="22"/>
          <w:szCs w:val="22"/>
        </w:rPr>
        <w:t xml:space="preserve"> την ημέρα ή να προστεθεί θεραπεία με</w:t>
      </w:r>
      <w:r w:rsidRPr="0038404B">
        <w:rPr>
          <w:rStyle w:val="FontStyle22"/>
          <w:sz w:val="22"/>
          <w:szCs w:val="22"/>
        </w:rPr>
        <w:t xml:space="preserve"> </w:t>
      </w:r>
      <w:r w:rsidR="00EC2C60" w:rsidRPr="00A072F5">
        <w:rPr>
          <w:rStyle w:val="FontStyle22"/>
          <w:sz w:val="22"/>
          <w:szCs w:val="22"/>
        </w:rPr>
        <w:t>υδροχλωροθειαζίδη</w:t>
      </w:r>
      <w:r w:rsidRPr="0038404B">
        <w:rPr>
          <w:rStyle w:val="FontStyle22"/>
          <w:sz w:val="22"/>
          <w:szCs w:val="22"/>
        </w:rPr>
        <w:t>.</w:t>
      </w:r>
    </w:p>
    <w:p w:rsidR="00C24182" w:rsidRPr="0038404B" w:rsidRDefault="00C24182" w:rsidP="00C24182">
      <w:pPr>
        <w:pStyle w:val="Style7"/>
        <w:widowControl/>
        <w:spacing w:line="240" w:lineRule="auto"/>
        <w:ind w:firstLine="0"/>
        <w:rPr>
          <w:rStyle w:val="FontStyle22"/>
          <w:sz w:val="22"/>
          <w:szCs w:val="22"/>
        </w:rPr>
      </w:pPr>
    </w:p>
    <w:p w:rsidR="005D5E57" w:rsidRPr="00A072F5" w:rsidRDefault="005D5E57" w:rsidP="00C24182">
      <w:pPr>
        <w:pStyle w:val="Style7"/>
        <w:widowControl/>
        <w:spacing w:line="240" w:lineRule="auto"/>
        <w:ind w:firstLine="0"/>
        <w:rPr>
          <w:rStyle w:val="FontStyle22"/>
          <w:sz w:val="22"/>
          <w:szCs w:val="22"/>
        </w:rPr>
      </w:pPr>
      <w:r w:rsidRPr="00A072F5">
        <w:rPr>
          <w:rStyle w:val="FontStyle22"/>
          <w:sz w:val="22"/>
          <w:szCs w:val="22"/>
        </w:rPr>
        <w:lastRenderedPageBreak/>
        <w:t>Το αντιυπερτασικό αποτέλεσμα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εμφανίζεται ουσιαστικά σε 2 εβδομάδες και φτάνει στο μέγιστο περίπου 8 εβδομάδες μετά την έναρξη της θεραπείας. Αυτό πρέπει να λαμβάνεται υπόψη, όταν εξετάζεται η αλλαγή του δοσολογικού σχήματος για κάθε ασθενή.</w:t>
      </w:r>
    </w:p>
    <w:p w:rsidR="005D5E57" w:rsidRPr="00A072F5" w:rsidRDefault="005D5E57" w:rsidP="0042565E">
      <w:pPr>
        <w:pStyle w:val="Style8"/>
        <w:widowControl/>
        <w:jc w:val="left"/>
        <w:rPr>
          <w:sz w:val="22"/>
          <w:szCs w:val="22"/>
        </w:rPr>
      </w:pPr>
    </w:p>
    <w:p w:rsidR="005D5E57" w:rsidRPr="00A072F5" w:rsidRDefault="001F4ACE" w:rsidP="0042565E">
      <w:pPr>
        <w:pStyle w:val="Style11"/>
        <w:widowControl/>
        <w:spacing w:line="240" w:lineRule="auto"/>
        <w:rPr>
          <w:sz w:val="22"/>
          <w:szCs w:val="22"/>
        </w:rPr>
      </w:pPr>
      <w:r>
        <w:rPr>
          <w:bCs/>
          <w:i/>
          <w:iCs/>
          <w:sz w:val="22"/>
          <w:szCs w:val="22"/>
        </w:rPr>
        <w:t>Υπερήλικες</w:t>
      </w:r>
      <w:r w:rsidR="00C24182" w:rsidRPr="0038404B">
        <w:rPr>
          <w:bCs/>
          <w:i/>
          <w:iCs/>
          <w:sz w:val="22"/>
          <w:szCs w:val="22"/>
        </w:rPr>
        <w:t xml:space="preserve"> (65</w:t>
      </w:r>
      <w:r>
        <w:rPr>
          <w:bCs/>
          <w:i/>
          <w:iCs/>
          <w:sz w:val="22"/>
          <w:szCs w:val="22"/>
        </w:rPr>
        <w:t xml:space="preserve"> ετών και άνω</w:t>
      </w:r>
      <w:r w:rsidR="00C24182" w:rsidRPr="0038404B">
        <w:rPr>
          <w:bCs/>
          <w:i/>
          <w:iCs/>
          <w:sz w:val="22"/>
          <w:szCs w:val="22"/>
        </w:rPr>
        <w:t>)</w:t>
      </w:r>
    </w:p>
    <w:p w:rsidR="005D5E57" w:rsidRPr="00A072F5" w:rsidRDefault="005D5E57" w:rsidP="0042565E">
      <w:pPr>
        <w:pStyle w:val="Style11"/>
        <w:widowControl/>
        <w:spacing w:line="240" w:lineRule="auto"/>
        <w:rPr>
          <w:rStyle w:val="FontStyle22"/>
          <w:sz w:val="22"/>
          <w:szCs w:val="22"/>
        </w:rPr>
      </w:pPr>
      <w:r w:rsidRPr="00A072F5">
        <w:rPr>
          <w:rStyle w:val="FontStyle22"/>
          <w:sz w:val="22"/>
          <w:szCs w:val="22"/>
        </w:rPr>
        <w:t xml:space="preserve">Δεν απαιτείται προσαρμογή της συνιστώμενης δοσολογίας σε </w:t>
      </w:r>
      <w:r w:rsidR="001F4ACE">
        <w:rPr>
          <w:rStyle w:val="FontStyle22"/>
          <w:sz w:val="22"/>
          <w:szCs w:val="22"/>
        </w:rPr>
        <w:t>υπερήλικες</w:t>
      </w:r>
      <w:r w:rsidRPr="00A072F5">
        <w:rPr>
          <w:rStyle w:val="FontStyle22"/>
          <w:sz w:val="22"/>
          <w:szCs w:val="22"/>
        </w:rPr>
        <w:t xml:space="preserve"> </w:t>
      </w:r>
      <w:r w:rsidR="001F4ACE">
        <w:rPr>
          <w:rStyle w:val="FontStyle22"/>
          <w:sz w:val="22"/>
          <w:szCs w:val="22"/>
        </w:rPr>
        <w:t>(βλ.</w:t>
      </w:r>
      <w:r w:rsidRPr="00A072F5">
        <w:rPr>
          <w:rStyle w:val="FontStyle22"/>
          <w:sz w:val="22"/>
          <w:szCs w:val="22"/>
        </w:rPr>
        <w:t xml:space="preserve"> παρακάτω για συνιστώμενη δοσολογία σε ασθενείς με νεφρική </w:t>
      </w:r>
      <w:r w:rsidR="001F4ACE">
        <w:rPr>
          <w:rStyle w:val="FontStyle22"/>
          <w:sz w:val="22"/>
          <w:szCs w:val="22"/>
        </w:rPr>
        <w:t>δυσλειτουργία</w:t>
      </w:r>
      <w:r w:rsidRPr="00A072F5">
        <w:rPr>
          <w:rStyle w:val="FontStyle22"/>
          <w:sz w:val="22"/>
          <w:szCs w:val="22"/>
        </w:rPr>
        <w:t>). Εάν χρειάζεται π</w:t>
      </w:r>
      <w:r w:rsidR="001F4ACE">
        <w:rPr>
          <w:rStyle w:val="FontStyle22"/>
          <w:sz w:val="22"/>
          <w:szCs w:val="22"/>
        </w:rPr>
        <w:t>ροοδευτική αύξηση της δόσης στη</w:t>
      </w:r>
      <w:r w:rsidRPr="00A072F5">
        <w:rPr>
          <w:rStyle w:val="FontStyle22"/>
          <w:sz w:val="22"/>
          <w:szCs w:val="22"/>
        </w:rPr>
        <w:t xml:space="preserve"> μέγιστη των</w:t>
      </w:r>
      <w:r w:rsidRPr="0038404B">
        <w:rPr>
          <w:rStyle w:val="FontStyle22"/>
          <w:sz w:val="22"/>
          <w:szCs w:val="22"/>
        </w:rPr>
        <w:t xml:space="preserve"> 40</w:t>
      </w:r>
      <w:r w:rsidR="001F4ACE">
        <w:rPr>
          <w:rStyle w:val="FontStyle22"/>
          <w:sz w:val="22"/>
          <w:szCs w:val="22"/>
        </w:rPr>
        <w:t xml:space="preserve"> </w:t>
      </w:r>
      <w:r w:rsidRPr="00A072F5">
        <w:rPr>
          <w:rStyle w:val="FontStyle22"/>
          <w:sz w:val="22"/>
          <w:szCs w:val="22"/>
          <w:lang w:val="en-US"/>
        </w:rPr>
        <w:t>mg</w:t>
      </w:r>
      <w:r w:rsidRPr="00A072F5">
        <w:rPr>
          <w:rStyle w:val="FontStyle22"/>
          <w:sz w:val="22"/>
          <w:szCs w:val="22"/>
        </w:rPr>
        <w:t xml:space="preserve"> ημερησίως, η αρτηριακή πίεση θα πρέπει να παρακολουθείται προσεκτικά.</w:t>
      </w:r>
    </w:p>
    <w:p w:rsidR="005D5E57" w:rsidRPr="00A072F5" w:rsidRDefault="005D5E57" w:rsidP="0042565E">
      <w:pPr>
        <w:pStyle w:val="Style8"/>
        <w:widowControl/>
        <w:jc w:val="left"/>
        <w:rPr>
          <w:sz w:val="22"/>
          <w:szCs w:val="22"/>
        </w:rPr>
      </w:pPr>
    </w:p>
    <w:p w:rsidR="005D5E57" w:rsidRPr="00C24182" w:rsidRDefault="001F4ACE" w:rsidP="00176403">
      <w:pPr>
        <w:pStyle w:val="Style8"/>
        <w:widowControl/>
        <w:jc w:val="left"/>
        <w:rPr>
          <w:rStyle w:val="FontStyle21"/>
          <w:b w:val="0"/>
          <w:i/>
          <w:sz w:val="22"/>
          <w:szCs w:val="22"/>
        </w:rPr>
      </w:pPr>
      <w:r>
        <w:rPr>
          <w:rStyle w:val="FontStyle21"/>
          <w:b w:val="0"/>
          <w:i/>
          <w:sz w:val="22"/>
          <w:szCs w:val="22"/>
        </w:rPr>
        <w:t>Νεφρική δυσλειτουργία</w:t>
      </w: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 xml:space="preserve">Η μέγιστη δόση σε ασθενείς με ήπια έως μέτρια νεφρική </w:t>
      </w:r>
      <w:r w:rsidR="001F4ACE">
        <w:rPr>
          <w:rStyle w:val="FontStyle22"/>
          <w:sz w:val="22"/>
          <w:szCs w:val="22"/>
        </w:rPr>
        <w:t>δυσλειτουργία</w:t>
      </w:r>
      <w:r w:rsidRPr="00A072F5">
        <w:rPr>
          <w:rStyle w:val="FontStyle22"/>
          <w:sz w:val="22"/>
          <w:szCs w:val="22"/>
        </w:rPr>
        <w:t xml:space="preserve"> (κάθαρση κρεατινίνης 20-60</w:t>
      </w:r>
      <w:r w:rsidRPr="0038404B">
        <w:rPr>
          <w:rStyle w:val="FontStyle22"/>
          <w:sz w:val="22"/>
          <w:szCs w:val="22"/>
        </w:rPr>
        <w:t xml:space="preserve"> </w:t>
      </w:r>
      <w:r w:rsidRPr="00A072F5">
        <w:rPr>
          <w:rStyle w:val="FontStyle22"/>
          <w:sz w:val="22"/>
          <w:szCs w:val="22"/>
          <w:lang w:val="en-US"/>
        </w:rPr>
        <w:t>mL</w:t>
      </w:r>
      <w:r w:rsidRPr="00A072F5">
        <w:rPr>
          <w:rStyle w:val="FontStyle22"/>
          <w:sz w:val="22"/>
          <w:szCs w:val="22"/>
        </w:rPr>
        <w:t>/λεπτό) είναι 20</w:t>
      </w:r>
      <w:r w:rsidRPr="0038404B">
        <w:rPr>
          <w:rStyle w:val="FontStyle22"/>
          <w:sz w:val="22"/>
          <w:szCs w:val="22"/>
        </w:rPr>
        <w:t xml:space="preserve"> </w:t>
      </w:r>
      <w:r w:rsidRPr="00A072F5">
        <w:rPr>
          <w:rStyle w:val="FontStyle22"/>
          <w:sz w:val="22"/>
          <w:szCs w:val="22"/>
          <w:lang w:val="en-US"/>
        </w:rPr>
        <w:t>mg</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μία φορά ημερησίως, λόγω της περιορισμένης εμπειρίας με υψηλότερες δόσεις σε αυτή την ομάδα των ασθενών. Η χρήση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σε ασθενείς με σοβαρή νεφρική </w:t>
      </w:r>
      <w:r w:rsidR="001F4ACE">
        <w:rPr>
          <w:rStyle w:val="FontStyle22"/>
          <w:sz w:val="22"/>
          <w:szCs w:val="22"/>
        </w:rPr>
        <w:t>δυσλειτουργία</w:t>
      </w:r>
      <w:r w:rsidRPr="00A072F5">
        <w:rPr>
          <w:rStyle w:val="FontStyle22"/>
          <w:sz w:val="22"/>
          <w:szCs w:val="22"/>
        </w:rPr>
        <w:t xml:space="preserve"> (κάθαρση κρεατινίνης &lt; 20</w:t>
      </w:r>
      <w:r w:rsidRPr="0038404B">
        <w:rPr>
          <w:rStyle w:val="FontStyle22"/>
          <w:sz w:val="22"/>
          <w:szCs w:val="22"/>
        </w:rPr>
        <w:t xml:space="preserve"> </w:t>
      </w:r>
      <w:r w:rsidRPr="00A072F5">
        <w:rPr>
          <w:rStyle w:val="FontStyle22"/>
          <w:sz w:val="22"/>
          <w:szCs w:val="22"/>
          <w:lang w:val="en-US"/>
        </w:rPr>
        <w:t>mL</w:t>
      </w:r>
      <w:r w:rsidRPr="00A072F5">
        <w:rPr>
          <w:rStyle w:val="FontStyle22"/>
          <w:sz w:val="22"/>
          <w:szCs w:val="22"/>
        </w:rPr>
        <w:t>/λεπτό) δεν συνιστάται, καθώς υπάρχει περιορισμένη μόνο εμπειρία σε α</w:t>
      </w:r>
      <w:r w:rsidR="001F4ACE">
        <w:rPr>
          <w:rStyle w:val="FontStyle22"/>
          <w:sz w:val="22"/>
          <w:szCs w:val="22"/>
        </w:rPr>
        <w:t>υτή την ομάδα των ασθενών (βλ. παραγράφους 4.4 και</w:t>
      </w:r>
      <w:r w:rsidRPr="00A072F5">
        <w:rPr>
          <w:rStyle w:val="FontStyle22"/>
          <w:sz w:val="22"/>
          <w:szCs w:val="22"/>
        </w:rPr>
        <w:t xml:space="preserve"> 5.2.).</w:t>
      </w:r>
    </w:p>
    <w:p w:rsidR="005D5E57" w:rsidRPr="00A072F5" w:rsidRDefault="005D5E57" w:rsidP="00176403">
      <w:pPr>
        <w:pStyle w:val="Style8"/>
        <w:widowControl/>
        <w:jc w:val="left"/>
        <w:rPr>
          <w:sz w:val="22"/>
          <w:szCs w:val="22"/>
        </w:rPr>
      </w:pPr>
    </w:p>
    <w:p w:rsidR="005D5E57" w:rsidRPr="00C24182" w:rsidRDefault="001F4ACE" w:rsidP="00176403">
      <w:pPr>
        <w:pStyle w:val="Style8"/>
        <w:widowControl/>
        <w:jc w:val="left"/>
        <w:rPr>
          <w:rStyle w:val="FontStyle21"/>
          <w:b w:val="0"/>
          <w:i/>
          <w:sz w:val="22"/>
          <w:szCs w:val="22"/>
        </w:rPr>
      </w:pPr>
      <w:r>
        <w:rPr>
          <w:rStyle w:val="FontStyle21"/>
          <w:b w:val="0"/>
          <w:i/>
          <w:sz w:val="22"/>
          <w:szCs w:val="22"/>
        </w:rPr>
        <w:t>Ηπατική δυσλειτουργία</w:t>
      </w:r>
    </w:p>
    <w:p w:rsidR="00C24182" w:rsidRPr="0038404B" w:rsidRDefault="005D5E57" w:rsidP="00176403">
      <w:pPr>
        <w:pStyle w:val="Style4"/>
        <w:widowControl/>
        <w:spacing w:line="240" w:lineRule="auto"/>
        <w:jc w:val="left"/>
        <w:rPr>
          <w:rStyle w:val="FontStyle22"/>
          <w:sz w:val="22"/>
          <w:szCs w:val="22"/>
        </w:rPr>
      </w:pPr>
      <w:r w:rsidRPr="00A072F5">
        <w:rPr>
          <w:rStyle w:val="FontStyle22"/>
          <w:sz w:val="22"/>
          <w:szCs w:val="22"/>
        </w:rPr>
        <w:t xml:space="preserve">Δεν απαιτείται προσαρμογή της συνιστώμενης δοσολογίας σε ασθενείς με ήπια ηπατική </w:t>
      </w:r>
      <w:r w:rsidR="001F4ACE">
        <w:rPr>
          <w:rStyle w:val="FontStyle22"/>
          <w:sz w:val="22"/>
          <w:szCs w:val="22"/>
        </w:rPr>
        <w:t>δυσλειτουργία</w:t>
      </w:r>
      <w:r w:rsidRPr="00A072F5">
        <w:rPr>
          <w:rStyle w:val="FontStyle22"/>
          <w:sz w:val="22"/>
          <w:szCs w:val="22"/>
        </w:rPr>
        <w:t xml:space="preserve">. Σε ασθενείς με μέτρια ηπατική </w:t>
      </w:r>
      <w:r w:rsidR="001F4ACE">
        <w:rPr>
          <w:rStyle w:val="FontStyle22"/>
          <w:sz w:val="22"/>
          <w:szCs w:val="22"/>
        </w:rPr>
        <w:t>δυσλειτουργία</w:t>
      </w:r>
      <w:r w:rsidRPr="00A072F5">
        <w:rPr>
          <w:rStyle w:val="FontStyle22"/>
          <w:sz w:val="22"/>
          <w:szCs w:val="22"/>
        </w:rPr>
        <w:t xml:space="preserve">, συνιστάται μία αρχική δόση των 10 </w:t>
      </w:r>
      <w:r w:rsidRPr="00A072F5">
        <w:rPr>
          <w:rStyle w:val="FontStyle22"/>
          <w:sz w:val="22"/>
          <w:szCs w:val="22"/>
          <w:lang w:val="en-US"/>
        </w:rPr>
        <w:t>mg</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εφάπαξ ημερησίως και η μέγιστη δόση δεν πρέπει να υπερβαίνει τα 20</w:t>
      </w:r>
      <w:r w:rsidRPr="0038404B">
        <w:rPr>
          <w:rStyle w:val="FontStyle22"/>
          <w:sz w:val="22"/>
          <w:szCs w:val="22"/>
        </w:rPr>
        <w:t xml:space="preserve"> </w:t>
      </w:r>
      <w:r w:rsidRPr="00A072F5">
        <w:rPr>
          <w:rStyle w:val="FontStyle22"/>
          <w:sz w:val="22"/>
          <w:szCs w:val="22"/>
          <w:lang w:val="en-US"/>
        </w:rPr>
        <w:t>mg</w:t>
      </w:r>
      <w:r w:rsidRPr="00A072F5">
        <w:rPr>
          <w:rStyle w:val="FontStyle22"/>
          <w:sz w:val="22"/>
          <w:szCs w:val="22"/>
        </w:rPr>
        <w:t xml:space="preserve"> εφάπαξ ημερησίως. Συνιστάται στενή παρακολούθηση της αρτηριακής πίεσης και της νεφρικής λειτουργίας σε ασθενείς με ηπατική </w:t>
      </w:r>
      <w:r w:rsidR="001F4ACE">
        <w:rPr>
          <w:rStyle w:val="FontStyle22"/>
          <w:sz w:val="22"/>
          <w:szCs w:val="22"/>
        </w:rPr>
        <w:t>δυσλειτουργία</w:t>
      </w:r>
      <w:r w:rsidR="001F4ACE" w:rsidRPr="00A072F5">
        <w:rPr>
          <w:rStyle w:val="FontStyle22"/>
          <w:sz w:val="22"/>
          <w:szCs w:val="22"/>
        </w:rPr>
        <w:t xml:space="preserve"> </w:t>
      </w:r>
      <w:r w:rsidRPr="00A072F5">
        <w:rPr>
          <w:rStyle w:val="FontStyle22"/>
          <w:sz w:val="22"/>
          <w:szCs w:val="22"/>
        </w:rPr>
        <w:t>που ήδη λαμβάνουν διουρητικά και/ή άλλους αντιυπερτασικούς παράγοντες. Δεν υπάρχει εμπειρία με την</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σε ασθενείς με σοβαρή ηπατική </w:t>
      </w:r>
      <w:r w:rsidR="001F4ACE">
        <w:rPr>
          <w:rStyle w:val="FontStyle22"/>
          <w:sz w:val="22"/>
          <w:szCs w:val="22"/>
        </w:rPr>
        <w:t>δυσλειτουργία</w:t>
      </w:r>
      <w:r w:rsidRPr="00A072F5">
        <w:rPr>
          <w:rStyle w:val="FontStyle22"/>
          <w:sz w:val="22"/>
          <w:szCs w:val="22"/>
        </w:rPr>
        <w:t xml:space="preserve"> (βλέπε 4.4 και 5.2). </w:t>
      </w:r>
    </w:p>
    <w:p w:rsidR="00C24182" w:rsidRPr="0038404B" w:rsidRDefault="00C24182" w:rsidP="00176403">
      <w:pPr>
        <w:pStyle w:val="Style4"/>
        <w:widowControl/>
        <w:spacing w:line="240" w:lineRule="auto"/>
        <w:jc w:val="left"/>
        <w:rPr>
          <w:rStyle w:val="FontStyle22"/>
          <w:sz w:val="22"/>
          <w:szCs w:val="22"/>
        </w:rPr>
      </w:pP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δεν πρέπει να χρησιμοποιείται σε ασθενείς με απόφρ</w:t>
      </w:r>
      <w:r w:rsidR="001F4ACE">
        <w:rPr>
          <w:rStyle w:val="FontStyle22"/>
          <w:sz w:val="22"/>
          <w:szCs w:val="22"/>
        </w:rPr>
        <w:t>αξη των χοληφόρων οδών (βλ. παράγραφο</w:t>
      </w:r>
      <w:r w:rsidRPr="00A072F5">
        <w:rPr>
          <w:rStyle w:val="FontStyle22"/>
          <w:sz w:val="22"/>
          <w:szCs w:val="22"/>
        </w:rPr>
        <w:t xml:space="preserve"> 4.3).</w:t>
      </w:r>
    </w:p>
    <w:p w:rsidR="005D5E57" w:rsidRPr="00A072F5" w:rsidRDefault="005D5E57" w:rsidP="00176403">
      <w:pPr>
        <w:pStyle w:val="Style8"/>
        <w:widowControl/>
        <w:jc w:val="left"/>
        <w:rPr>
          <w:sz w:val="22"/>
          <w:szCs w:val="22"/>
        </w:rPr>
      </w:pPr>
    </w:p>
    <w:p w:rsidR="005D5E57" w:rsidRPr="00C24182" w:rsidRDefault="001F4ACE" w:rsidP="00176403">
      <w:pPr>
        <w:pStyle w:val="Style8"/>
        <w:widowControl/>
        <w:jc w:val="left"/>
        <w:rPr>
          <w:rStyle w:val="FontStyle21"/>
          <w:b w:val="0"/>
          <w:i/>
          <w:sz w:val="22"/>
          <w:szCs w:val="22"/>
        </w:rPr>
      </w:pPr>
      <w:r>
        <w:rPr>
          <w:rStyle w:val="FontStyle21"/>
          <w:b w:val="0"/>
          <w:i/>
          <w:sz w:val="22"/>
          <w:szCs w:val="22"/>
        </w:rPr>
        <w:t>Παιδιατρικός πληθυσμός</w:t>
      </w:r>
    </w:p>
    <w:p w:rsidR="00C24182" w:rsidRPr="0038404B" w:rsidRDefault="005D5E57" w:rsidP="00176403">
      <w:pPr>
        <w:pStyle w:val="Style4"/>
        <w:widowControl/>
        <w:jc w:val="left"/>
        <w:rPr>
          <w:color w:val="000000"/>
          <w:sz w:val="22"/>
          <w:szCs w:val="22"/>
        </w:rPr>
      </w:pPr>
      <w:r w:rsidRPr="00A072F5">
        <w:rPr>
          <w:rStyle w:val="FontStyle22"/>
          <w:sz w:val="22"/>
          <w:szCs w:val="22"/>
        </w:rPr>
        <w:t>Η ασφάλ</w:t>
      </w:r>
      <w:r w:rsidR="001F4ACE">
        <w:rPr>
          <w:rStyle w:val="FontStyle22"/>
          <w:sz w:val="22"/>
          <w:szCs w:val="22"/>
        </w:rPr>
        <w:t xml:space="preserve">εια και η αποτελεσματικότητα του </w:t>
      </w:r>
      <w:r w:rsidR="001F4ACE" w:rsidRPr="00E35AE3">
        <w:rPr>
          <w:noProof/>
          <w:sz w:val="22"/>
          <w:szCs w:val="22"/>
          <w:lang w:val="en-GB" w:eastAsia="en-US"/>
        </w:rPr>
        <w:t>Olmesartan</w:t>
      </w:r>
      <w:r w:rsidR="001F4ACE" w:rsidRPr="0038404B">
        <w:rPr>
          <w:noProof/>
          <w:sz w:val="22"/>
          <w:szCs w:val="22"/>
          <w:lang w:eastAsia="en-US"/>
        </w:rPr>
        <w:t xml:space="preserve"> </w:t>
      </w:r>
      <w:r w:rsidR="001F4ACE">
        <w:rPr>
          <w:noProof/>
          <w:sz w:val="22"/>
          <w:szCs w:val="22"/>
          <w:lang w:eastAsia="en-US"/>
        </w:rPr>
        <w:t xml:space="preserve">/ </w:t>
      </w:r>
      <w:r w:rsidR="001F4ACE">
        <w:rPr>
          <w:noProof/>
          <w:sz w:val="22"/>
          <w:szCs w:val="22"/>
          <w:lang w:val="en-US" w:eastAsia="en-US"/>
        </w:rPr>
        <w:t>Mylan</w:t>
      </w:r>
      <w:r w:rsidR="001F4ACE" w:rsidRPr="00A072F5">
        <w:rPr>
          <w:rStyle w:val="FontStyle22"/>
          <w:sz w:val="22"/>
          <w:szCs w:val="22"/>
        </w:rPr>
        <w:t xml:space="preserve"> </w:t>
      </w:r>
      <w:r w:rsidRPr="00A072F5">
        <w:rPr>
          <w:rStyle w:val="FontStyle22"/>
          <w:sz w:val="22"/>
          <w:szCs w:val="22"/>
        </w:rPr>
        <w:t>δεν έχει τεκμηριωθεί σε παιδιά και εφήβους μέχρι 18 ετών.</w:t>
      </w:r>
      <w:r w:rsidR="00C24182" w:rsidRPr="0038404B">
        <w:rPr>
          <w:rStyle w:val="FontStyle22"/>
          <w:sz w:val="22"/>
          <w:szCs w:val="22"/>
        </w:rPr>
        <w:t xml:space="preserve"> </w:t>
      </w:r>
      <w:r w:rsidR="001F4ACE">
        <w:rPr>
          <w:color w:val="000000"/>
          <w:sz w:val="22"/>
          <w:szCs w:val="22"/>
        </w:rPr>
        <w:t>Δεν υπάρχουν διαθέσιμα δεδομένα</w:t>
      </w:r>
      <w:r w:rsidR="00C24182" w:rsidRPr="0038404B">
        <w:rPr>
          <w:color w:val="000000"/>
          <w:sz w:val="22"/>
          <w:szCs w:val="22"/>
        </w:rPr>
        <w:t xml:space="preserve">. </w:t>
      </w:r>
    </w:p>
    <w:p w:rsidR="00C24182" w:rsidRPr="0038404B" w:rsidRDefault="00C24182" w:rsidP="00176403">
      <w:pPr>
        <w:pStyle w:val="Style4"/>
        <w:widowControl/>
        <w:jc w:val="left"/>
        <w:rPr>
          <w:color w:val="000000"/>
          <w:sz w:val="22"/>
          <w:szCs w:val="22"/>
        </w:rPr>
      </w:pPr>
    </w:p>
    <w:p w:rsidR="00C24182" w:rsidRPr="0038404B" w:rsidRDefault="001F4ACE" w:rsidP="00176403">
      <w:pPr>
        <w:pStyle w:val="Style4"/>
        <w:widowControl/>
        <w:jc w:val="left"/>
        <w:rPr>
          <w:color w:val="000000"/>
          <w:sz w:val="22"/>
          <w:szCs w:val="22"/>
          <w:u w:val="single"/>
        </w:rPr>
      </w:pPr>
      <w:r>
        <w:rPr>
          <w:color w:val="000000"/>
          <w:sz w:val="22"/>
          <w:szCs w:val="22"/>
          <w:u w:val="single"/>
        </w:rPr>
        <w:t>Τρόπος χορήγησης</w:t>
      </w:r>
      <w:r w:rsidR="00C24182" w:rsidRPr="0038404B">
        <w:rPr>
          <w:color w:val="000000"/>
          <w:sz w:val="22"/>
          <w:szCs w:val="22"/>
          <w:u w:val="single"/>
        </w:rPr>
        <w:t>:</w:t>
      </w:r>
    </w:p>
    <w:p w:rsidR="00C24182" w:rsidRPr="0038404B" w:rsidRDefault="00C24182" w:rsidP="00176403">
      <w:pPr>
        <w:pStyle w:val="Style4"/>
        <w:widowControl/>
        <w:jc w:val="left"/>
        <w:rPr>
          <w:color w:val="000000"/>
          <w:sz w:val="22"/>
          <w:szCs w:val="22"/>
          <w:u w:val="single"/>
        </w:rPr>
      </w:pPr>
    </w:p>
    <w:p w:rsidR="00C24182" w:rsidRPr="00C24182" w:rsidRDefault="001F4ACE" w:rsidP="00176403">
      <w:pPr>
        <w:pStyle w:val="Style4"/>
        <w:widowControl/>
        <w:jc w:val="left"/>
        <w:rPr>
          <w:color w:val="000000"/>
          <w:sz w:val="22"/>
          <w:szCs w:val="22"/>
          <w:lang w:val="en-GB"/>
        </w:rPr>
      </w:pPr>
      <w:r>
        <w:rPr>
          <w:color w:val="000000"/>
          <w:sz w:val="22"/>
          <w:szCs w:val="22"/>
        </w:rPr>
        <w:t xml:space="preserve">Για την καλύτερη συμμόρφωση στη θεραπεία, συνιστάται η λήψη των δισκίων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Pr>
          <w:noProof/>
          <w:sz w:val="22"/>
          <w:szCs w:val="22"/>
          <w:lang w:eastAsia="en-US"/>
        </w:rPr>
        <w:t xml:space="preserve"> περίπου την ίδια ώρα κάθε μέρα, συνοδεία ή όχι τροφής, για παράδειγμα την ώρα του πρωινού. Το δισκίο θα πρέπει να καταπίνεται με επαρκή ποσότητα υγρού (π.χ. με ένα ποτήρι νερό). Το </w:t>
      </w:r>
      <w:r w:rsidR="009E049D">
        <w:rPr>
          <w:noProof/>
          <w:sz w:val="22"/>
          <w:szCs w:val="22"/>
          <w:lang w:eastAsia="en-US"/>
        </w:rPr>
        <w:t>δισκίο δεν θα πρέπει να μασάται</w:t>
      </w:r>
      <w:r w:rsidR="00C24182" w:rsidRPr="00C24182">
        <w:rPr>
          <w:color w:val="000000"/>
          <w:sz w:val="22"/>
          <w:szCs w:val="22"/>
          <w:lang w:val="en-GB"/>
        </w:rPr>
        <w:t>.</w:t>
      </w:r>
    </w:p>
    <w:p w:rsidR="0042565E" w:rsidRPr="00A072F5" w:rsidRDefault="0042565E" w:rsidP="00176403">
      <w:pPr>
        <w:pStyle w:val="Style4"/>
        <w:widowControl/>
        <w:spacing w:line="240" w:lineRule="auto"/>
        <w:jc w:val="left"/>
        <w:rPr>
          <w:rStyle w:val="FontStyle22"/>
          <w:sz w:val="22"/>
          <w:szCs w:val="22"/>
          <w:lang w:val="en-US"/>
        </w:rPr>
      </w:pPr>
    </w:p>
    <w:p w:rsidR="005D5E57" w:rsidRPr="00A072F5" w:rsidRDefault="005D5E57" w:rsidP="00176403">
      <w:pPr>
        <w:pStyle w:val="Style6"/>
        <w:widowControl/>
        <w:numPr>
          <w:ilvl w:val="0"/>
          <w:numId w:val="3"/>
        </w:numPr>
        <w:tabs>
          <w:tab w:val="left" w:pos="715"/>
        </w:tabs>
        <w:spacing w:line="240" w:lineRule="auto"/>
        <w:ind w:firstLine="0"/>
        <w:rPr>
          <w:rStyle w:val="FontStyle21"/>
          <w:sz w:val="22"/>
          <w:szCs w:val="22"/>
        </w:rPr>
      </w:pPr>
      <w:r w:rsidRPr="00A072F5">
        <w:rPr>
          <w:rStyle w:val="FontStyle21"/>
          <w:sz w:val="22"/>
          <w:szCs w:val="22"/>
        </w:rPr>
        <w:t>Αντενδείξεις</w:t>
      </w:r>
    </w:p>
    <w:p w:rsidR="005D5E57" w:rsidRPr="00A072F5" w:rsidRDefault="005D5E57" w:rsidP="00176403">
      <w:pPr>
        <w:pStyle w:val="Style4"/>
        <w:widowControl/>
        <w:spacing w:line="240" w:lineRule="auto"/>
        <w:jc w:val="left"/>
        <w:rPr>
          <w:sz w:val="22"/>
          <w:szCs w:val="22"/>
        </w:rPr>
      </w:pPr>
    </w:p>
    <w:p w:rsidR="005D5E57" w:rsidRPr="0038404B" w:rsidRDefault="005D5E57" w:rsidP="00176403">
      <w:pPr>
        <w:pStyle w:val="Style4"/>
        <w:widowControl/>
        <w:spacing w:line="240" w:lineRule="auto"/>
        <w:jc w:val="left"/>
        <w:rPr>
          <w:rStyle w:val="FontStyle22"/>
          <w:sz w:val="22"/>
          <w:szCs w:val="22"/>
        </w:rPr>
      </w:pPr>
      <w:r w:rsidRPr="00A072F5">
        <w:rPr>
          <w:rStyle w:val="FontStyle22"/>
          <w:sz w:val="22"/>
          <w:szCs w:val="22"/>
        </w:rPr>
        <w:t xml:space="preserve">Υπερευαισθησία στη δραστική ουσία ή σε </w:t>
      </w:r>
      <w:r w:rsidR="009E049D">
        <w:rPr>
          <w:rStyle w:val="FontStyle22"/>
          <w:sz w:val="22"/>
          <w:szCs w:val="22"/>
        </w:rPr>
        <w:t>κάποιο</w:t>
      </w:r>
      <w:r w:rsidRPr="00A072F5">
        <w:rPr>
          <w:rStyle w:val="FontStyle22"/>
          <w:sz w:val="22"/>
          <w:szCs w:val="22"/>
        </w:rPr>
        <w:t xml:space="preserve"> από τα έκδοχα</w:t>
      </w:r>
      <w:r w:rsidR="009E049D">
        <w:rPr>
          <w:rStyle w:val="FontStyle22"/>
          <w:sz w:val="22"/>
          <w:szCs w:val="22"/>
        </w:rPr>
        <w:t xml:space="preserve"> που αναφέρονται στην παράγραφο</w:t>
      </w:r>
      <w:r w:rsidRPr="00A072F5">
        <w:rPr>
          <w:rStyle w:val="FontStyle22"/>
          <w:sz w:val="22"/>
          <w:szCs w:val="22"/>
        </w:rPr>
        <w:t xml:space="preserve"> 6.1).</w:t>
      </w:r>
    </w:p>
    <w:p w:rsidR="00C24182" w:rsidRPr="0038404B" w:rsidRDefault="00C24182" w:rsidP="00176403">
      <w:pPr>
        <w:pStyle w:val="Style4"/>
        <w:widowControl/>
        <w:spacing w:line="240" w:lineRule="auto"/>
        <w:jc w:val="left"/>
        <w:rPr>
          <w:rStyle w:val="FontStyle22"/>
          <w:sz w:val="22"/>
          <w:szCs w:val="22"/>
        </w:rPr>
      </w:pPr>
    </w:p>
    <w:p w:rsidR="005D5E57" w:rsidRPr="0038404B" w:rsidRDefault="005D5E57" w:rsidP="00176403">
      <w:pPr>
        <w:pStyle w:val="Style1"/>
        <w:widowControl/>
        <w:spacing w:line="240" w:lineRule="auto"/>
        <w:rPr>
          <w:rStyle w:val="FontStyle22"/>
          <w:sz w:val="22"/>
          <w:szCs w:val="22"/>
        </w:rPr>
      </w:pPr>
      <w:r w:rsidRPr="00A072F5">
        <w:rPr>
          <w:rStyle w:val="FontStyle22"/>
          <w:sz w:val="22"/>
          <w:szCs w:val="22"/>
        </w:rPr>
        <w:t>Δεύτερο και τρίτο τρίμηνο της κύησης (βλ.</w:t>
      </w:r>
      <w:r w:rsidR="009E049D">
        <w:rPr>
          <w:rStyle w:val="FontStyle22"/>
          <w:sz w:val="22"/>
          <w:szCs w:val="22"/>
        </w:rPr>
        <w:t xml:space="preserve"> παραγράφους 4.4 και</w:t>
      </w:r>
      <w:r w:rsidRPr="00A072F5">
        <w:rPr>
          <w:rStyle w:val="FontStyle22"/>
          <w:sz w:val="22"/>
          <w:szCs w:val="22"/>
        </w:rPr>
        <w:t xml:space="preserve"> 4.6). </w:t>
      </w:r>
    </w:p>
    <w:p w:rsidR="00C24182" w:rsidRPr="0038404B" w:rsidRDefault="00C24182" w:rsidP="00176403">
      <w:pPr>
        <w:pStyle w:val="Style1"/>
        <w:widowControl/>
        <w:spacing w:line="240" w:lineRule="auto"/>
        <w:rPr>
          <w:rStyle w:val="FontStyle22"/>
          <w:sz w:val="22"/>
          <w:szCs w:val="22"/>
        </w:rPr>
      </w:pPr>
    </w:p>
    <w:p w:rsidR="005D5E57" w:rsidRPr="0038404B" w:rsidRDefault="005D5E57" w:rsidP="00176403">
      <w:pPr>
        <w:pStyle w:val="Style11"/>
        <w:widowControl/>
        <w:spacing w:line="240" w:lineRule="auto"/>
        <w:rPr>
          <w:rStyle w:val="FontStyle22"/>
          <w:sz w:val="22"/>
          <w:szCs w:val="22"/>
        </w:rPr>
      </w:pPr>
      <w:r w:rsidRPr="00A072F5">
        <w:rPr>
          <w:rStyle w:val="FontStyle22"/>
          <w:sz w:val="22"/>
          <w:szCs w:val="22"/>
        </w:rPr>
        <w:t xml:space="preserve">Απόφραξη των χοληφόρων οδών (βλ. </w:t>
      </w:r>
      <w:r w:rsidR="009E049D">
        <w:rPr>
          <w:rStyle w:val="FontStyle22"/>
          <w:sz w:val="22"/>
          <w:szCs w:val="22"/>
        </w:rPr>
        <w:t xml:space="preserve">παράγραφο </w:t>
      </w:r>
      <w:r w:rsidRPr="00A072F5">
        <w:rPr>
          <w:rStyle w:val="FontStyle22"/>
          <w:sz w:val="22"/>
          <w:szCs w:val="22"/>
        </w:rPr>
        <w:t>5.2).</w:t>
      </w:r>
    </w:p>
    <w:p w:rsidR="00C24182" w:rsidRPr="0038404B" w:rsidRDefault="00C24182" w:rsidP="00176403">
      <w:pPr>
        <w:pStyle w:val="Style11"/>
        <w:widowControl/>
        <w:rPr>
          <w:color w:val="000000"/>
          <w:sz w:val="22"/>
          <w:szCs w:val="22"/>
        </w:rPr>
      </w:pPr>
    </w:p>
    <w:p w:rsidR="00C24182" w:rsidRPr="0038404B" w:rsidRDefault="00951213" w:rsidP="00176403">
      <w:pPr>
        <w:pStyle w:val="Style11"/>
        <w:widowControl/>
        <w:rPr>
          <w:color w:val="000000"/>
          <w:sz w:val="22"/>
          <w:szCs w:val="22"/>
        </w:rPr>
      </w:pPr>
      <w:r w:rsidRPr="0038404B">
        <w:rPr>
          <w:iCs/>
          <w:color w:val="000000"/>
          <w:sz w:val="22"/>
          <w:szCs w:val="22"/>
        </w:rPr>
        <w:t>Η ταυτόχρονη χρήση το</w:t>
      </w:r>
      <w:r>
        <w:rPr>
          <w:iCs/>
          <w:color w:val="000000"/>
          <w:sz w:val="22"/>
          <w:szCs w:val="22"/>
        </w:rPr>
        <w:t xml:space="preserve">υ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00114450" w:rsidRPr="0038404B">
        <w:rPr>
          <w:iCs/>
          <w:color w:val="000000"/>
          <w:sz w:val="22"/>
          <w:szCs w:val="22"/>
        </w:rPr>
        <w:t xml:space="preserve"> με προϊόντα που περιέχουν αλισκιρένη αντενδείκνυται σε</w:t>
      </w:r>
      <w:r>
        <w:rPr>
          <w:iCs/>
          <w:color w:val="000000"/>
          <w:sz w:val="22"/>
          <w:szCs w:val="22"/>
        </w:rPr>
        <w:t xml:space="preserve"> </w:t>
      </w:r>
      <w:r w:rsidR="00114450" w:rsidRPr="0038404B">
        <w:rPr>
          <w:iCs/>
          <w:color w:val="000000"/>
          <w:sz w:val="22"/>
          <w:szCs w:val="22"/>
        </w:rPr>
        <w:t>ασθενείς με σακχαρώδη διαβήτη ή νεφρική δυσλειτουργία (</w:t>
      </w:r>
      <w:r w:rsidR="00114450" w:rsidRPr="00114450">
        <w:rPr>
          <w:iCs/>
          <w:color w:val="000000"/>
          <w:sz w:val="22"/>
          <w:szCs w:val="22"/>
          <w:lang w:val="en-GB"/>
        </w:rPr>
        <w:t>GFR</w:t>
      </w:r>
      <w:r w:rsidR="00114450" w:rsidRPr="0038404B">
        <w:rPr>
          <w:iCs/>
          <w:color w:val="000000"/>
          <w:sz w:val="22"/>
          <w:szCs w:val="22"/>
        </w:rPr>
        <w:t xml:space="preserve"> &lt; 60 </w:t>
      </w:r>
      <w:r w:rsidR="00114450" w:rsidRPr="00114450">
        <w:rPr>
          <w:iCs/>
          <w:color w:val="000000"/>
          <w:sz w:val="22"/>
          <w:szCs w:val="22"/>
          <w:lang w:val="en-GB"/>
        </w:rPr>
        <w:t>ml</w:t>
      </w:r>
      <w:r w:rsidR="00114450" w:rsidRPr="0038404B">
        <w:rPr>
          <w:iCs/>
          <w:color w:val="000000"/>
          <w:sz w:val="22"/>
          <w:szCs w:val="22"/>
        </w:rPr>
        <w:t>/</w:t>
      </w:r>
      <w:r w:rsidR="00114450" w:rsidRPr="00114450">
        <w:rPr>
          <w:iCs/>
          <w:color w:val="000000"/>
          <w:sz w:val="22"/>
          <w:szCs w:val="22"/>
          <w:lang w:val="en-GB"/>
        </w:rPr>
        <w:t>min</w:t>
      </w:r>
      <w:r w:rsidR="00114450" w:rsidRPr="0038404B">
        <w:rPr>
          <w:iCs/>
          <w:color w:val="000000"/>
          <w:sz w:val="22"/>
          <w:szCs w:val="22"/>
        </w:rPr>
        <w:t xml:space="preserve">/1,73 </w:t>
      </w:r>
      <w:r w:rsidR="00114450" w:rsidRPr="00114450">
        <w:rPr>
          <w:iCs/>
          <w:color w:val="000000"/>
          <w:sz w:val="22"/>
          <w:szCs w:val="22"/>
          <w:lang w:val="en-GB"/>
        </w:rPr>
        <w:t>m</w:t>
      </w:r>
      <w:r w:rsidR="00114450" w:rsidRPr="0038404B">
        <w:rPr>
          <w:iCs/>
          <w:color w:val="000000"/>
          <w:sz w:val="22"/>
          <w:szCs w:val="22"/>
          <w:vertAlign w:val="superscript"/>
        </w:rPr>
        <w:t>2</w:t>
      </w:r>
      <w:r w:rsidRPr="0038404B">
        <w:rPr>
          <w:iCs/>
          <w:color w:val="000000"/>
          <w:sz w:val="22"/>
          <w:szCs w:val="22"/>
        </w:rPr>
        <w:t>) (βλ</w:t>
      </w:r>
      <w:r>
        <w:rPr>
          <w:iCs/>
          <w:color w:val="000000"/>
          <w:sz w:val="22"/>
          <w:szCs w:val="22"/>
        </w:rPr>
        <w:t xml:space="preserve">. </w:t>
      </w:r>
      <w:r w:rsidR="00114450" w:rsidRPr="0038404B">
        <w:rPr>
          <w:iCs/>
          <w:color w:val="000000"/>
          <w:sz w:val="22"/>
          <w:szCs w:val="22"/>
        </w:rPr>
        <w:t xml:space="preserve">παραγράφους 4.5 και 5.1). </w:t>
      </w:r>
    </w:p>
    <w:p w:rsidR="0042565E" w:rsidRPr="0038404B" w:rsidRDefault="0042565E" w:rsidP="00176403">
      <w:pPr>
        <w:pStyle w:val="Style11"/>
        <w:widowControl/>
        <w:spacing w:line="240" w:lineRule="auto"/>
        <w:rPr>
          <w:rStyle w:val="FontStyle22"/>
          <w:sz w:val="22"/>
          <w:szCs w:val="22"/>
        </w:rPr>
      </w:pPr>
    </w:p>
    <w:p w:rsidR="0042565E" w:rsidRPr="00A072F5" w:rsidRDefault="00951213" w:rsidP="00176403">
      <w:pPr>
        <w:pStyle w:val="Style6"/>
        <w:widowControl/>
        <w:numPr>
          <w:ilvl w:val="0"/>
          <w:numId w:val="4"/>
        </w:numPr>
        <w:tabs>
          <w:tab w:val="left" w:pos="715"/>
        </w:tabs>
        <w:spacing w:line="240" w:lineRule="auto"/>
        <w:ind w:left="715" w:hanging="715"/>
        <w:rPr>
          <w:rStyle w:val="FontStyle21"/>
          <w:sz w:val="22"/>
          <w:szCs w:val="22"/>
        </w:rPr>
      </w:pPr>
      <w:r>
        <w:rPr>
          <w:rStyle w:val="FontStyle21"/>
          <w:sz w:val="22"/>
          <w:szCs w:val="22"/>
        </w:rPr>
        <w:t>Ειδικές</w:t>
      </w:r>
      <w:r w:rsidR="005D5E57" w:rsidRPr="00A072F5">
        <w:rPr>
          <w:rStyle w:val="FontStyle21"/>
          <w:sz w:val="22"/>
          <w:szCs w:val="22"/>
        </w:rPr>
        <w:t xml:space="preserve"> προειδοποιήσεις και </w:t>
      </w:r>
      <w:r w:rsidR="0042565E" w:rsidRPr="00A072F5">
        <w:rPr>
          <w:rStyle w:val="FontStyle21"/>
          <w:sz w:val="22"/>
          <w:szCs w:val="22"/>
        </w:rPr>
        <w:t>προφυλάξεις κατά τη χρήση</w:t>
      </w:r>
    </w:p>
    <w:p w:rsidR="0042565E" w:rsidRPr="0038404B" w:rsidRDefault="0042565E" w:rsidP="00176403">
      <w:pPr>
        <w:pStyle w:val="Style6"/>
        <w:widowControl/>
        <w:tabs>
          <w:tab w:val="left" w:pos="715"/>
        </w:tabs>
        <w:spacing w:line="240" w:lineRule="auto"/>
        <w:ind w:firstLine="0"/>
        <w:rPr>
          <w:rStyle w:val="FontStyle21"/>
          <w:sz w:val="22"/>
          <w:szCs w:val="22"/>
        </w:rPr>
      </w:pPr>
    </w:p>
    <w:p w:rsidR="005D5E57" w:rsidRPr="00A072F5" w:rsidRDefault="005D5E57" w:rsidP="00176403">
      <w:pPr>
        <w:pStyle w:val="Style6"/>
        <w:widowControl/>
        <w:tabs>
          <w:tab w:val="left" w:pos="715"/>
        </w:tabs>
        <w:spacing w:line="240" w:lineRule="auto"/>
        <w:ind w:firstLine="0"/>
        <w:rPr>
          <w:rStyle w:val="FontStyle21"/>
          <w:sz w:val="22"/>
          <w:szCs w:val="22"/>
        </w:rPr>
      </w:pPr>
      <w:r w:rsidRPr="00A072F5">
        <w:rPr>
          <w:rStyle w:val="FontStyle21"/>
          <w:sz w:val="22"/>
          <w:szCs w:val="22"/>
        </w:rPr>
        <w:t>Μείωση του ενδαγγειακού όγκου:</w:t>
      </w:r>
    </w:p>
    <w:p w:rsidR="005D5E57" w:rsidRPr="0038404B" w:rsidRDefault="005D5E57" w:rsidP="00176403">
      <w:pPr>
        <w:pStyle w:val="Style4"/>
        <w:widowControl/>
        <w:spacing w:line="240" w:lineRule="auto"/>
        <w:jc w:val="left"/>
        <w:rPr>
          <w:rStyle w:val="FontStyle22"/>
          <w:sz w:val="22"/>
          <w:szCs w:val="22"/>
        </w:rPr>
      </w:pPr>
      <w:r w:rsidRPr="00A072F5">
        <w:rPr>
          <w:rStyle w:val="FontStyle22"/>
          <w:sz w:val="22"/>
          <w:szCs w:val="22"/>
        </w:rPr>
        <w:t>Σε ασθενείς με μειωμένο ενδαγγειακό όγκο ή/και νάτριο, λόγω ισχυρής διουρητικής θεραπείας, διαιτητικού περιορισμού του νατρίου, διάρροιας ή εμέτου μπορεί να εμφανιστεί συμπτωματική υπόταση, ιδίως μετά την πρώτη δόση.</w:t>
      </w:r>
      <w:r w:rsidR="00D041ED">
        <w:rPr>
          <w:rStyle w:val="FontStyle22"/>
          <w:sz w:val="22"/>
          <w:szCs w:val="22"/>
        </w:rPr>
        <w:t xml:space="preserve"> </w:t>
      </w:r>
      <w:r w:rsidRPr="00A072F5">
        <w:rPr>
          <w:rStyle w:val="FontStyle22"/>
          <w:sz w:val="22"/>
          <w:szCs w:val="22"/>
        </w:rPr>
        <w:t>Τέτοιες καταστάσεις πρέπει να ελέγχονται πριν την χορήγηση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38404B">
        <w:rPr>
          <w:rStyle w:val="FontStyle22"/>
          <w:sz w:val="22"/>
          <w:szCs w:val="22"/>
        </w:rPr>
        <w:t>.</w:t>
      </w:r>
    </w:p>
    <w:p w:rsidR="005D5E57" w:rsidRPr="00A072F5" w:rsidRDefault="005D5E57" w:rsidP="00176403">
      <w:pPr>
        <w:pStyle w:val="Style8"/>
        <w:widowControl/>
        <w:jc w:val="left"/>
        <w:rPr>
          <w:sz w:val="22"/>
          <w:szCs w:val="22"/>
        </w:rPr>
      </w:pPr>
    </w:p>
    <w:p w:rsidR="005D5E57" w:rsidRPr="0038404B" w:rsidRDefault="005D5E57" w:rsidP="00176403">
      <w:pPr>
        <w:pStyle w:val="Style8"/>
        <w:widowControl/>
        <w:jc w:val="left"/>
        <w:rPr>
          <w:rStyle w:val="FontStyle21"/>
          <w:sz w:val="22"/>
          <w:szCs w:val="22"/>
        </w:rPr>
      </w:pPr>
      <w:r w:rsidRPr="00A072F5">
        <w:rPr>
          <w:rStyle w:val="FontStyle21"/>
          <w:sz w:val="22"/>
          <w:szCs w:val="22"/>
        </w:rPr>
        <w:t>Άλλες καταστάσεις που προκαλούν διέγερση του συστήματος ρενίνης-αγγειοτασίνης-αλδοστερόνης:</w:t>
      </w:r>
    </w:p>
    <w:p w:rsidR="005D5E57" w:rsidRPr="0038404B" w:rsidRDefault="005D5E57" w:rsidP="00176403">
      <w:pPr>
        <w:pStyle w:val="Style4"/>
        <w:widowControl/>
        <w:spacing w:line="240" w:lineRule="auto"/>
        <w:jc w:val="left"/>
        <w:rPr>
          <w:rStyle w:val="FontStyle22"/>
          <w:sz w:val="22"/>
          <w:szCs w:val="22"/>
        </w:rPr>
      </w:pPr>
      <w:r w:rsidRPr="00A072F5">
        <w:rPr>
          <w:rStyle w:val="FontStyle22"/>
          <w:sz w:val="22"/>
          <w:szCs w:val="22"/>
        </w:rPr>
        <w:t>Σε ασθενείς, στους οποίους ο αγγειακός τόνος και η νεφρική λειτουργία εξαρτώνται κυρίως από τη λειτουργία του συστήματος ρενίνης-αγγειοτασίνης- αλδοστερόνης (π.χ. ασθενείς με σοβαρή συμφορητική καρδιακή ανεπάρκεια ή υποκείμενη νεφρική νόσο, συμπεριλαμβανομένης της στένωσης της νεφρικής αρτηρίας), η θεραπεία με άλλα φάρμακα που επηρεάζουν αυτό το σύστημα έχει σχετιστεί με οξεία υπόταση, αζωθαιμία, ολιγουρία ή σπανίως με οξεία νεφρική ανεπάρκεια. Η πιθανότητα παρόμοιων επιδράσεων δεν μπορεί να αποκλειστεί με ανταγωνιστές των υποδοχέων της αγγειοτασίνης ΙΙ.</w:t>
      </w:r>
    </w:p>
    <w:p w:rsidR="0042565E" w:rsidRPr="0038404B" w:rsidRDefault="0042565E" w:rsidP="00176403">
      <w:pPr>
        <w:pStyle w:val="Style4"/>
        <w:widowControl/>
        <w:spacing w:line="240" w:lineRule="auto"/>
        <w:jc w:val="left"/>
        <w:rPr>
          <w:rStyle w:val="FontStyle22"/>
          <w:sz w:val="22"/>
          <w:szCs w:val="22"/>
        </w:rPr>
      </w:pPr>
    </w:p>
    <w:p w:rsidR="005D5E57" w:rsidRPr="00A072F5" w:rsidRDefault="005D5E57" w:rsidP="00176403">
      <w:pPr>
        <w:pStyle w:val="Style8"/>
        <w:widowControl/>
        <w:jc w:val="left"/>
        <w:rPr>
          <w:rStyle w:val="FontStyle21"/>
          <w:sz w:val="22"/>
          <w:szCs w:val="22"/>
        </w:rPr>
      </w:pPr>
      <w:r w:rsidRPr="00A072F5">
        <w:rPr>
          <w:rStyle w:val="FontStyle21"/>
          <w:sz w:val="22"/>
          <w:szCs w:val="22"/>
        </w:rPr>
        <w:t>Νεφραγγειακή υπέρταση:</w:t>
      </w: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Υπάρχει αυξημένος κίνδυνος σοβαρής υπότασης και νεφρικής ανεπάρκειας, όταν σε ασθενείς με αμφοτερόπλευρη στένωση της νεφρικής αρτηρίας ή με στένωση της αρτηρίας προς τον μοναδικό λειτουργούντα νεφρό χορηγούνται φαρμακευτικά προϊόντα τα οποία επηρεάζουν το σύστημα ρενίνης-αγγειοτασίνης-αλδοστερόνης.</w:t>
      </w:r>
    </w:p>
    <w:p w:rsidR="005D5E57" w:rsidRPr="00A072F5" w:rsidRDefault="005D5E57" w:rsidP="00176403">
      <w:pPr>
        <w:pStyle w:val="Style8"/>
        <w:widowControl/>
        <w:jc w:val="left"/>
        <w:rPr>
          <w:sz w:val="22"/>
          <w:szCs w:val="22"/>
        </w:rPr>
      </w:pPr>
    </w:p>
    <w:p w:rsidR="005D5E57" w:rsidRPr="00A072F5" w:rsidRDefault="005D5E57" w:rsidP="00176403">
      <w:pPr>
        <w:pStyle w:val="Style8"/>
        <w:widowControl/>
        <w:jc w:val="left"/>
        <w:rPr>
          <w:rStyle w:val="FontStyle21"/>
          <w:sz w:val="22"/>
          <w:szCs w:val="22"/>
        </w:rPr>
      </w:pPr>
      <w:r w:rsidRPr="00A072F5">
        <w:rPr>
          <w:rStyle w:val="FontStyle21"/>
          <w:sz w:val="22"/>
          <w:szCs w:val="22"/>
        </w:rPr>
        <w:t xml:space="preserve">Νεφρική </w:t>
      </w:r>
      <w:r w:rsidR="00951213">
        <w:rPr>
          <w:rStyle w:val="FontStyle21"/>
          <w:sz w:val="22"/>
          <w:szCs w:val="22"/>
        </w:rPr>
        <w:t>δυσλειτουργία</w:t>
      </w:r>
      <w:r w:rsidRPr="00A072F5">
        <w:rPr>
          <w:rStyle w:val="FontStyle21"/>
          <w:sz w:val="22"/>
          <w:szCs w:val="22"/>
        </w:rPr>
        <w:t xml:space="preserve"> και μεταμόσχευση νεφρού:</w:t>
      </w: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Όταν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χορηγείται σε ασθενείς με νεφρική </w:t>
      </w:r>
      <w:r w:rsidR="00951213">
        <w:rPr>
          <w:rStyle w:val="FontStyle22"/>
          <w:sz w:val="22"/>
          <w:szCs w:val="22"/>
        </w:rPr>
        <w:t>δυσλειτουργία</w:t>
      </w:r>
      <w:r w:rsidRPr="00A072F5">
        <w:rPr>
          <w:rStyle w:val="FontStyle22"/>
          <w:sz w:val="22"/>
          <w:szCs w:val="22"/>
        </w:rPr>
        <w:t xml:space="preserve">, συνιστάται περιοδική παρακολούθηση του καλίου του ορού και των επιπέδων της κρεατινίνης. Η χρήση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δεν συνιστάται σε ασθενείς με σοβαρή νεφρική </w:t>
      </w:r>
      <w:r w:rsidR="00951213">
        <w:rPr>
          <w:rStyle w:val="FontStyle22"/>
          <w:sz w:val="22"/>
          <w:szCs w:val="22"/>
        </w:rPr>
        <w:t>δυσλειτουργία</w:t>
      </w:r>
      <w:r w:rsidR="00951213" w:rsidRPr="00A072F5">
        <w:rPr>
          <w:rStyle w:val="FontStyle22"/>
          <w:sz w:val="22"/>
          <w:szCs w:val="22"/>
        </w:rPr>
        <w:t xml:space="preserve"> </w:t>
      </w:r>
      <w:r w:rsidR="005A76BA">
        <w:rPr>
          <w:rStyle w:val="FontStyle22"/>
          <w:sz w:val="22"/>
          <w:szCs w:val="22"/>
        </w:rPr>
        <w:t>(κάθαρση κρεατινίνης &lt; 2</w:t>
      </w:r>
      <w:r w:rsidRPr="00A072F5">
        <w:rPr>
          <w:rStyle w:val="FontStyle22"/>
          <w:sz w:val="22"/>
          <w:szCs w:val="22"/>
        </w:rPr>
        <w:t>0</w:t>
      </w:r>
      <w:r w:rsidRPr="0038404B">
        <w:rPr>
          <w:rStyle w:val="FontStyle22"/>
          <w:sz w:val="22"/>
          <w:szCs w:val="22"/>
        </w:rPr>
        <w:t xml:space="preserve"> </w:t>
      </w:r>
      <w:r w:rsidRPr="00A072F5">
        <w:rPr>
          <w:rStyle w:val="FontStyle22"/>
          <w:sz w:val="22"/>
          <w:szCs w:val="22"/>
          <w:lang w:val="en-US"/>
        </w:rPr>
        <w:t>mL</w:t>
      </w:r>
      <w:r w:rsidRPr="0038404B">
        <w:rPr>
          <w:rStyle w:val="FontStyle22"/>
          <w:sz w:val="22"/>
          <w:szCs w:val="22"/>
        </w:rPr>
        <w:t>/</w:t>
      </w:r>
      <w:r w:rsidRPr="00A072F5">
        <w:rPr>
          <w:rStyle w:val="FontStyle22"/>
          <w:sz w:val="22"/>
          <w:szCs w:val="22"/>
          <w:lang w:val="en-US"/>
        </w:rPr>
        <w:t>min</w:t>
      </w:r>
      <w:r w:rsidRPr="0038404B">
        <w:rPr>
          <w:rStyle w:val="FontStyle22"/>
          <w:sz w:val="22"/>
          <w:szCs w:val="22"/>
        </w:rPr>
        <w:t>)</w:t>
      </w:r>
      <w:r w:rsidRPr="00A072F5">
        <w:rPr>
          <w:rStyle w:val="FontStyle22"/>
          <w:sz w:val="22"/>
          <w:szCs w:val="22"/>
        </w:rPr>
        <w:t xml:space="preserve"> (βλ. </w:t>
      </w:r>
      <w:r w:rsidR="005A76BA">
        <w:rPr>
          <w:rStyle w:val="FontStyle22"/>
          <w:sz w:val="22"/>
          <w:szCs w:val="22"/>
        </w:rPr>
        <w:t xml:space="preserve">παραγράφους </w:t>
      </w:r>
      <w:r w:rsidRPr="00A072F5">
        <w:rPr>
          <w:rStyle w:val="FontStyle22"/>
          <w:sz w:val="22"/>
          <w:szCs w:val="22"/>
        </w:rPr>
        <w:t>4.2 και 5.2.).</w:t>
      </w:r>
      <w:r w:rsidR="00C24182">
        <w:rPr>
          <w:rStyle w:val="FontStyle22"/>
          <w:sz w:val="22"/>
          <w:szCs w:val="22"/>
        </w:rPr>
        <w:t xml:space="preserve"> </w:t>
      </w:r>
      <w:r w:rsidRPr="00A072F5">
        <w:rPr>
          <w:rStyle w:val="FontStyle22"/>
          <w:sz w:val="22"/>
          <w:szCs w:val="22"/>
        </w:rPr>
        <w:t>Δεν υπάρχει εμπειρία χορήγησης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σε ασθενείς με πρόσφατη μεταμόσχευση νεφρού ή σε ασθενείς με νεφρική </w:t>
      </w:r>
      <w:r w:rsidR="005A76BA">
        <w:rPr>
          <w:rStyle w:val="FontStyle22"/>
          <w:sz w:val="22"/>
          <w:szCs w:val="22"/>
        </w:rPr>
        <w:t>δυσλειτουργία</w:t>
      </w:r>
      <w:r w:rsidR="005A76BA" w:rsidRPr="00A072F5">
        <w:rPr>
          <w:rStyle w:val="FontStyle22"/>
          <w:sz w:val="22"/>
          <w:szCs w:val="22"/>
        </w:rPr>
        <w:t xml:space="preserve"> </w:t>
      </w:r>
      <w:r w:rsidRPr="00A072F5">
        <w:rPr>
          <w:rStyle w:val="FontStyle22"/>
          <w:sz w:val="22"/>
          <w:szCs w:val="22"/>
        </w:rPr>
        <w:t>στο τελικό στάδιο (δηλ. κάθαρση κρεατινίνης &lt; 12</w:t>
      </w:r>
      <w:r w:rsidRPr="0038404B">
        <w:rPr>
          <w:rStyle w:val="FontStyle22"/>
          <w:sz w:val="22"/>
          <w:szCs w:val="22"/>
        </w:rPr>
        <w:t xml:space="preserve"> </w:t>
      </w:r>
      <w:r w:rsidRPr="00A072F5">
        <w:rPr>
          <w:rStyle w:val="FontStyle22"/>
          <w:sz w:val="22"/>
          <w:szCs w:val="22"/>
          <w:lang w:val="en-US"/>
        </w:rPr>
        <w:t>mL</w:t>
      </w:r>
      <w:r w:rsidRPr="00A072F5">
        <w:rPr>
          <w:rStyle w:val="FontStyle22"/>
          <w:sz w:val="22"/>
          <w:szCs w:val="22"/>
        </w:rPr>
        <w:t>/</w:t>
      </w:r>
      <w:r w:rsidR="005A76BA">
        <w:rPr>
          <w:rStyle w:val="FontStyle22"/>
          <w:sz w:val="22"/>
          <w:szCs w:val="22"/>
          <w:lang w:val="en-US"/>
        </w:rPr>
        <w:t>min</w:t>
      </w:r>
      <w:r w:rsidRPr="00A072F5">
        <w:rPr>
          <w:rStyle w:val="FontStyle22"/>
          <w:sz w:val="22"/>
          <w:szCs w:val="22"/>
        </w:rPr>
        <w:t>).</w:t>
      </w:r>
    </w:p>
    <w:p w:rsidR="005D5E57" w:rsidRPr="00A072F5" w:rsidRDefault="005D5E57" w:rsidP="00176403">
      <w:pPr>
        <w:pStyle w:val="Style8"/>
        <w:widowControl/>
        <w:jc w:val="left"/>
        <w:rPr>
          <w:sz w:val="22"/>
          <w:szCs w:val="22"/>
        </w:rPr>
      </w:pPr>
    </w:p>
    <w:p w:rsidR="005D5E57" w:rsidRPr="00A072F5" w:rsidRDefault="005D5E57" w:rsidP="00176403">
      <w:pPr>
        <w:pStyle w:val="Style8"/>
        <w:widowControl/>
        <w:jc w:val="left"/>
        <w:rPr>
          <w:rStyle w:val="FontStyle21"/>
          <w:sz w:val="22"/>
          <w:szCs w:val="22"/>
        </w:rPr>
      </w:pPr>
      <w:r w:rsidRPr="00A072F5">
        <w:rPr>
          <w:rStyle w:val="FontStyle21"/>
          <w:sz w:val="22"/>
          <w:szCs w:val="22"/>
        </w:rPr>
        <w:t xml:space="preserve">Ηπατική </w:t>
      </w:r>
      <w:r w:rsidR="005A76BA" w:rsidRPr="005A76BA">
        <w:rPr>
          <w:rStyle w:val="FontStyle22"/>
          <w:b/>
          <w:sz w:val="22"/>
          <w:szCs w:val="22"/>
        </w:rPr>
        <w:t>δυσλειτουργία</w:t>
      </w:r>
      <w:r w:rsidRPr="00A072F5">
        <w:rPr>
          <w:rStyle w:val="FontStyle21"/>
          <w:sz w:val="22"/>
          <w:szCs w:val="22"/>
        </w:rPr>
        <w:t>:</w:t>
      </w: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 xml:space="preserve">Δεν υπάρχει εμπειρία σε ασθενείς με σοβαρή ηπατική </w:t>
      </w:r>
      <w:r w:rsidR="005A76BA">
        <w:rPr>
          <w:rStyle w:val="FontStyle22"/>
          <w:sz w:val="22"/>
          <w:szCs w:val="22"/>
        </w:rPr>
        <w:t>δυσλειτουργία</w:t>
      </w:r>
      <w:r w:rsidR="005A76BA" w:rsidRPr="00A072F5">
        <w:rPr>
          <w:rStyle w:val="FontStyle22"/>
          <w:sz w:val="22"/>
          <w:szCs w:val="22"/>
        </w:rPr>
        <w:t xml:space="preserve"> </w:t>
      </w:r>
      <w:r w:rsidRPr="00A072F5">
        <w:rPr>
          <w:rStyle w:val="FontStyle22"/>
          <w:sz w:val="22"/>
          <w:szCs w:val="22"/>
        </w:rPr>
        <w:t>και γι'</w:t>
      </w:r>
      <w:r w:rsidR="005A76BA">
        <w:rPr>
          <w:rStyle w:val="FontStyle22"/>
          <w:sz w:val="22"/>
          <w:szCs w:val="22"/>
        </w:rPr>
        <w:t xml:space="preserve"> </w:t>
      </w:r>
      <w:r w:rsidRPr="00A072F5">
        <w:rPr>
          <w:rStyle w:val="FontStyle22"/>
          <w:sz w:val="22"/>
          <w:szCs w:val="22"/>
        </w:rPr>
        <w:t xml:space="preserve">αυτό η χρήση της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δεν συνιστάται σε α</w:t>
      </w:r>
      <w:r w:rsidR="005A76BA">
        <w:rPr>
          <w:rStyle w:val="FontStyle22"/>
          <w:sz w:val="22"/>
          <w:szCs w:val="22"/>
        </w:rPr>
        <w:t>υτή την ομάδα των ασθενών (βλ.</w:t>
      </w:r>
      <w:r w:rsidRPr="00A072F5">
        <w:rPr>
          <w:rStyle w:val="FontStyle22"/>
          <w:sz w:val="22"/>
          <w:szCs w:val="22"/>
        </w:rPr>
        <w:t xml:space="preserve"> παράγραφο 4.2 για συνιστώμενη δοσολογία σε ασθενείς με ήπια ή μέτρια ηπατική </w:t>
      </w:r>
      <w:r w:rsidR="005A76BA">
        <w:rPr>
          <w:rStyle w:val="FontStyle22"/>
          <w:sz w:val="22"/>
          <w:szCs w:val="22"/>
        </w:rPr>
        <w:t>δυσλειτουργία</w:t>
      </w:r>
      <w:r w:rsidRPr="00A072F5">
        <w:rPr>
          <w:rStyle w:val="FontStyle22"/>
          <w:sz w:val="22"/>
          <w:szCs w:val="22"/>
        </w:rPr>
        <w:t>).</w:t>
      </w:r>
    </w:p>
    <w:p w:rsidR="005D5E57" w:rsidRPr="00A072F5" w:rsidRDefault="005D5E57" w:rsidP="00176403">
      <w:pPr>
        <w:pStyle w:val="Style8"/>
        <w:widowControl/>
        <w:jc w:val="left"/>
        <w:rPr>
          <w:sz w:val="22"/>
          <w:szCs w:val="22"/>
        </w:rPr>
      </w:pPr>
    </w:p>
    <w:p w:rsidR="005D5E57" w:rsidRPr="00A072F5" w:rsidRDefault="005D5E57" w:rsidP="00176403">
      <w:pPr>
        <w:pStyle w:val="Style8"/>
        <w:widowControl/>
        <w:jc w:val="left"/>
        <w:rPr>
          <w:rStyle w:val="FontStyle21"/>
          <w:sz w:val="22"/>
          <w:szCs w:val="22"/>
        </w:rPr>
      </w:pPr>
      <w:r w:rsidRPr="00A072F5">
        <w:rPr>
          <w:rStyle w:val="FontStyle21"/>
          <w:sz w:val="22"/>
          <w:szCs w:val="22"/>
        </w:rPr>
        <w:t>Υπερκαλιαιμία:</w:t>
      </w:r>
    </w:p>
    <w:p w:rsidR="00C24182" w:rsidRPr="0038404B" w:rsidRDefault="005A76BA" w:rsidP="00176403">
      <w:pPr>
        <w:tabs>
          <w:tab w:val="left" w:pos="567"/>
        </w:tabs>
        <w:autoSpaceDE/>
        <w:autoSpaceDN/>
        <w:adjustRightInd/>
        <w:contextualSpacing/>
        <w:rPr>
          <w:noProof/>
          <w:sz w:val="22"/>
          <w:szCs w:val="22"/>
          <w:lang w:eastAsia="en-US"/>
        </w:rPr>
      </w:pPr>
      <w:r>
        <w:rPr>
          <w:noProof/>
          <w:sz w:val="22"/>
          <w:szCs w:val="22"/>
          <w:lang w:eastAsia="en-US"/>
        </w:rPr>
        <w:t>Η χρήση φαρμακευτικών προϊόντων που επιδρούν στο σύστημα ρενίνης-αγγειοτασίνης-αλδοστερόνης μπορεί να προκαλέσει υπερκαλιαιμία</w:t>
      </w:r>
      <w:r w:rsidR="00C24182" w:rsidRPr="0038404B">
        <w:rPr>
          <w:noProof/>
          <w:sz w:val="22"/>
          <w:szCs w:val="22"/>
          <w:lang w:eastAsia="en-US"/>
        </w:rPr>
        <w:t>.</w:t>
      </w:r>
    </w:p>
    <w:p w:rsidR="00C24182" w:rsidRPr="0038404B" w:rsidRDefault="00C24182" w:rsidP="00176403">
      <w:pPr>
        <w:tabs>
          <w:tab w:val="left" w:pos="567"/>
        </w:tabs>
        <w:autoSpaceDE/>
        <w:autoSpaceDN/>
        <w:adjustRightInd/>
        <w:contextualSpacing/>
        <w:rPr>
          <w:noProof/>
          <w:sz w:val="22"/>
          <w:szCs w:val="22"/>
          <w:lang w:eastAsia="en-US"/>
        </w:rPr>
      </w:pPr>
    </w:p>
    <w:p w:rsidR="00C24182" w:rsidRPr="0038404B" w:rsidRDefault="005A76BA" w:rsidP="00176403">
      <w:pPr>
        <w:tabs>
          <w:tab w:val="left" w:pos="567"/>
        </w:tabs>
        <w:autoSpaceDE/>
        <w:autoSpaceDN/>
        <w:adjustRightInd/>
        <w:contextualSpacing/>
        <w:rPr>
          <w:noProof/>
          <w:sz w:val="22"/>
          <w:szCs w:val="22"/>
          <w:lang w:eastAsia="en-US"/>
        </w:rPr>
      </w:pPr>
      <w:r>
        <w:rPr>
          <w:noProof/>
          <w:sz w:val="22"/>
          <w:szCs w:val="22"/>
          <w:lang w:eastAsia="en-US"/>
        </w:rPr>
        <w:t xml:space="preserve">Ο κίνδυνος, ο οποίος μπορεί να έχει μοιραία κατάληξη, είναι αυξημένος στους υπερήλικες, στους ασθενείς με νεφρική ανεπάρκεια και στους διαβητικούς ασθενείς, στους ασθενείς που λαμβάνουν </w:t>
      </w:r>
      <w:r w:rsidRPr="00D041ED">
        <w:rPr>
          <w:noProof/>
          <w:sz w:val="22"/>
          <w:szCs w:val="22"/>
          <w:lang w:eastAsia="en-US"/>
        </w:rPr>
        <w:t>ταυτόχρονα άλλα φάρμακα που μπορεί να αυξήσουν τα επίπεδα του καλίου και/ή σε ασθενείς με συντρέχουσες καταστάσεις</w:t>
      </w:r>
      <w:r w:rsidR="00C24182" w:rsidRPr="0038404B">
        <w:rPr>
          <w:noProof/>
          <w:sz w:val="22"/>
          <w:szCs w:val="22"/>
          <w:lang w:eastAsia="en-US"/>
        </w:rPr>
        <w:t>.</w:t>
      </w:r>
    </w:p>
    <w:p w:rsidR="00C24182" w:rsidRPr="0038404B" w:rsidRDefault="00C24182" w:rsidP="00C24182">
      <w:pPr>
        <w:tabs>
          <w:tab w:val="left" w:pos="567"/>
        </w:tabs>
        <w:autoSpaceDE/>
        <w:autoSpaceDN/>
        <w:adjustRightInd/>
        <w:contextualSpacing/>
        <w:rPr>
          <w:noProof/>
          <w:sz w:val="22"/>
          <w:szCs w:val="22"/>
          <w:lang w:eastAsia="en-US"/>
        </w:rPr>
      </w:pPr>
    </w:p>
    <w:p w:rsidR="00C24182" w:rsidRPr="0038404B" w:rsidRDefault="005A76BA" w:rsidP="00C24182">
      <w:pPr>
        <w:tabs>
          <w:tab w:val="left" w:pos="567"/>
        </w:tabs>
        <w:autoSpaceDE/>
        <w:autoSpaceDN/>
        <w:adjustRightInd/>
        <w:contextualSpacing/>
        <w:rPr>
          <w:noProof/>
          <w:sz w:val="22"/>
          <w:szCs w:val="22"/>
          <w:lang w:eastAsia="en-US"/>
        </w:rPr>
      </w:pPr>
      <w:r>
        <w:rPr>
          <w:noProof/>
          <w:sz w:val="22"/>
          <w:szCs w:val="22"/>
          <w:lang w:eastAsia="en-US"/>
        </w:rPr>
        <w:t xml:space="preserve">Πριν αποφασιστεί η ταυτόχρονη χορήγηση των φαρμακευτικών προϊόντων που επιδρούν στο σύστημα ρενίνης-αγγειοτασίνης-αλδοστερόνης, </w:t>
      </w:r>
      <w:r w:rsidR="00580D36">
        <w:rPr>
          <w:noProof/>
          <w:sz w:val="22"/>
          <w:szCs w:val="22"/>
          <w:lang w:eastAsia="en-US"/>
        </w:rPr>
        <w:t>θα πρέπει να εκτιμηθεί ο λόγος οφέλους-κινδύνου και να ληφθούν υπόψη και άλλες εναλλακτικές θεραπείες</w:t>
      </w:r>
      <w:r w:rsidR="00C24182" w:rsidRPr="0038404B">
        <w:rPr>
          <w:noProof/>
          <w:sz w:val="22"/>
          <w:szCs w:val="22"/>
          <w:lang w:eastAsia="en-US"/>
        </w:rPr>
        <w:t>.</w:t>
      </w:r>
    </w:p>
    <w:p w:rsidR="00C24182" w:rsidRPr="0038404B" w:rsidRDefault="00C24182" w:rsidP="00C24182">
      <w:pPr>
        <w:tabs>
          <w:tab w:val="left" w:pos="567"/>
        </w:tabs>
        <w:autoSpaceDE/>
        <w:autoSpaceDN/>
        <w:adjustRightInd/>
        <w:contextualSpacing/>
        <w:rPr>
          <w:noProof/>
          <w:sz w:val="22"/>
          <w:szCs w:val="22"/>
          <w:lang w:eastAsia="en-US"/>
        </w:rPr>
      </w:pPr>
    </w:p>
    <w:p w:rsidR="00C24182" w:rsidRPr="0038404B" w:rsidRDefault="00580D36" w:rsidP="00C24182">
      <w:pPr>
        <w:tabs>
          <w:tab w:val="left" w:pos="567"/>
        </w:tabs>
        <w:autoSpaceDE/>
        <w:autoSpaceDN/>
        <w:adjustRightInd/>
        <w:contextualSpacing/>
        <w:rPr>
          <w:noProof/>
          <w:sz w:val="22"/>
          <w:szCs w:val="22"/>
          <w:lang w:eastAsia="en-US"/>
        </w:rPr>
      </w:pPr>
      <w:r>
        <w:rPr>
          <w:noProof/>
          <w:sz w:val="22"/>
          <w:szCs w:val="22"/>
          <w:lang w:eastAsia="en-US"/>
        </w:rPr>
        <w:t>Οι κύριοι παράγοντες κινδύνου για εμφάνιση υπερκαλιαιμίας που πρέπει να ληφθούν υπόψη είναι</w:t>
      </w:r>
      <w:r w:rsidR="00C24182" w:rsidRPr="0038404B">
        <w:rPr>
          <w:noProof/>
          <w:sz w:val="22"/>
          <w:szCs w:val="22"/>
          <w:lang w:eastAsia="en-US"/>
        </w:rPr>
        <w:t>:</w:t>
      </w:r>
    </w:p>
    <w:p w:rsidR="00C24182" w:rsidRPr="0038404B" w:rsidRDefault="00580D36" w:rsidP="00C24182">
      <w:pPr>
        <w:keepLines/>
        <w:widowControl/>
        <w:numPr>
          <w:ilvl w:val="0"/>
          <w:numId w:val="13"/>
        </w:numPr>
        <w:tabs>
          <w:tab w:val="left" w:pos="567"/>
        </w:tabs>
        <w:autoSpaceDE/>
        <w:autoSpaceDN/>
        <w:adjustRightInd/>
        <w:spacing w:before="220" w:after="220"/>
        <w:contextualSpacing/>
        <w:rPr>
          <w:noProof/>
          <w:sz w:val="22"/>
          <w:szCs w:val="22"/>
          <w:lang w:eastAsia="en-US"/>
        </w:rPr>
      </w:pPr>
      <w:r>
        <w:rPr>
          <w:noProof/>
          <w:sz w:val="22"/>
          <w:szCs w:val="22"/>
          <w:lang w:eastAsia="en-US"/>
        </w:rPr>
        <w:t>Ο διαβήτης, η νεφρική δυσλειτουργία, η ηλικία</w:t>
      </w:r>
      <w:r w:rsidR="00C24182" w:rsidRPr="0038404B">
        <w:rPr>
          <w:noProof/>
          <w:sz w:val="22"/>
          <w:szCs w:val="22"/>
          <w:lang w:eastAsia="en-US"/>
        </w:rPr>
        <w:t xml:space="preserve"> (&gt; 70 </w:t>
      </w:r>
      <w:r>
        <w:rPr>
          <w:noProof/>
          <w:sz w:val="22"/>
          <w:szCs w:val="22"/>
          <w:lang w:eastAsia="en-US"/>
        </w:rPr>
        <w:t>έτη</w:t>
      </w:r>
      <w:r w:rsidR="00C24182" w:rsidRPr="0038404B">
        <w:rPr>
          <w:noProof/>
          <w:sz w:val="22"/>
          <w:szCs w:val="22"/>
          <w:lang w:eastAsia="en-US"/>
        </w:rPr>
        <w:t>)</w:t>
      </w:r>
    </w:p>
    <w:p w:rsidR="00C24182" w:rsidRPr="0038404B" w:rsidRDefault="00E7216F" w:rsidP="00D041ED">
      <w:pPr>
        <w:keepLines/>
        <w:widowControl/>
        <w:numPr>
          <w:ilvl w:val="0"/>
          <w:numId w:val="13"/>
        </w:numPr>
        <w:tabs>
          <w:tab w:val="left" w:pos="567"/>
        </w:tabs>
        <w:autoSpaceDE/>
        <w:autoSpaceDN/>
        <w:adjustRightInd/>
        <w:spacing w:before="220" w:after="220"/>
        <w:ind w:left="567"/>
        <w:contextualSpacing/>
        <w:rPr>
          <w:noProof/>
          <w:sz w:val="22"/>
          <w:szCs w:val="22"/>
          <w:lang w:eastAsia="en-US"/>
        </w:rPr>
      </w:pPr>
      <w:r>
        <w:rPr>
          <w:noProof/>
          <w:sz w:val="22"/>
          <w:szCs w:val="22"/>
          <w:lang w:eastAsia="en-US"/>
        </w:rPr>
        <w:lastRenderedPageBreak/>
        <w:t xml:space="preserve">Συνδυασμός με ένα ή περισσότερα φαρμακευτικά προϊόντα που επιδρούν στο σύστημα ρενίνης-αγγειοτασίνης-αλδοστερόνης και/ή συμπληρώματα καλίου. Μερικά φάρμακα ή </w:t>
      </w:r>
      <w:r w:rsidR="005943D3">
        <w:rPr>
          <w:noProof/>
          <w:sz w:val="22"/>
          <w:szCs w:val="22"/>
          <w:lang w:eastAsia="en-US"/>
        </w:rPr>
        <w:t>φαρμακο</w:t>
      </w:r>
      <w:r>
        <w:rPr>
          <w:noProof/>
          <w:sz w:val="22"/>
          <w:szCs w:val="22"/>
          <w:lang w:eastAsia="en-US"/>
        </w:rPr>
        <w:t xml:space="preserve">θεραπευτικές </w:t>
      </w:r>
      <w:r w:rsidR="005943D3">
        <w:rPr>
          <w:noProof/>
          <w:sz w:val="22"/>
          <w:szCs w:val="22"/>
          <w:lang w:eastAsia="en-US"/>
        </w:rPr>
        <w:t xml:space="preserve">κατηγορίες μπορεί να προκαλέσουν υπερκαλιαιμία: υποκατάστατα άλατος που περιέχουν κάλιο, καλιοσυντηρητικά διουρητικά, αναστολείς ΜΕΑ, ανταγωνιστές των </w:t>
      </w:r>
      <w:r w:rsidR="005943D3" w:rsidRPr="00D041ED">
        <w:rPr>
          <w:noProof/>
          <w:sz w:val="22"/>
          <w:szCs w:val="22"/>
          <w:lang w:eastAsia="en-US"/>
        </w:rPr>
        <w:t>υποδοχέων της αγγειοτασίνης ΙΙ, μη στεροειδή αντιφλεγμονώδη φάρμακα (συμπεριλαμβανομένων εκλεκτικών αναστολέων της</w:t>
      </w:r>
      <w:r w:rsidR="00C24182" w:rsidRPr="0038404B">
        <w:rPr>
          <w:noProof/>
          <w:sz w:val="22"/>
          <w:szCs w:val="22"/>
          <w:lang w:eastAsia="en-US"/>
        </w:rPr>
        <w:t xml:space="preserve"> </w:t>
      </w:r>
      <w:r w:rsidR="00C24182" w:rsidRPr="00D041ED">
        <w:rPr>
          <w:noProof/>
          <w:sz w:val="22"/>
          <w:szCs w:val="22"/>
          <w:lang w:val="en-GB" w:eastAsia="en-US"/>
        </w:rPr>
        <w:t>COX</w:t>
      </w:r>
      <w:r w:rsidR="00C24182" w:rsidRPr="0038404B">
        <w:rPr>
          <w:noProof/>
          <w:sz w:val="22"/>
          <w:szCs w:val="22"/>
          <w:lang w:eastAsia="en-US"/>
        </w:rPr>
        <w:t xml:space="preserve">-2), </w:t>
      </w:r>
      <w:r w:rsidR="005943D3" w:rsidRPr="00D041ED">
        <w:rPr>
          <w:noProof/>
          <w:sz w:val="22"/>
          <w:szCs w:val="22"/>
          <w:lang w:eastAsia="en-US"/>
        </w:rPr>
        <w:t>ηπαρίνη, ανοσοκατασταλτικά όπως κυκλοσπορίνη ή τακρόλιμους, τριμεθοπρίμη</w:t>
      </w:r>
    </w:p>
    <w:p w:rsidR="00C24182" w:rsidRPr="0038404B" w:rsidRDefault="005943D3" w:rsidP="00D041ED">
      <w:pPr>
        <w:keepLines/>
        <w:widowControl/>
        <w:numPr>
          <w:ilvl w:val="0"/>
          <w:numId w:val="13"/>
        </w:numPr>
        <w:tabs>
          <w:tab w:val="left" w:pos="567"/>
        </w:tabs>
        <w:autoSpaceDE/>
        <w:autoSpaceDN/>
        <w:adjustRightInd/>
        <w:spacing w:before="220" w:after="220"/>
        <w:ind w:left="567"/>
        <w:contextualSpacing/>
        <w:rPr>
          <w:noProof/>
          <w:sz w:val="22"/>
          <w:szCs w:val="22"/>
          <w:lang w:eastAsia="en-US"/>
        </w:rPr>
      </w:pPr>
      <w:r w:rsidRPr="00D041ED">
        <w:rPr>
          <w:noProof/>
          <w:sz w:val="22"/>
          <w:szCs w:val="22"/>
          <w:lang w:eastAsia="en-US"/>
        </w:rPr>
        <w:t>Συντρέχουσες καταστάσεις, ιδιαίτερα αφυδάτωση, οξεία ανεπάρκεια καρδιακής αντιρρόπησης, μεταβολική οξέωση, επιδείνωση της νεφρικής λειτουργίας</w:t>
      </w:r>
      <w:r>
        <w:rPr>
          <w:noProof/>
          <w:sz w:val="22"/>
          <w:szCs w:val="22"/>
          <w:lang w:eastAsia="en-US"/>
        </w:rPr>
        <w:t>, αιφνίδια επιδείνωση της κατάστασης των νεφρών (π.χ. λοιμώδη νοσήματα), κυτταρική λύση (π.χ. οξεία ισχαιμία άκρου, ραβδομυόλυση, εκτεταμένο τραύμα</w:t>
      </w:r>
      <w:r w:rsidR="00C24182" w:rsidRPr="0038404B">
        <w:rPr>
          <w:noProof/>
          <w:sz w:val="22"/>
          <w:szCs w:val="22"/>
          <w:lang w:eastAsia="en-US"/>
        </w:rPr>
        <w:t>).</w:t>
      </w:r>
    </w:p>
    <w:p w:rsidR="00C24182" w:rsidRPr="0038404B" w:rsidRDefault="00C24182" w:rsidP="00C24182">
      <w:pPr>
        <w:autoSpaceDE/>
        <w:autoSpaceDN/>
        <w:adjustRightInd/>
        <w:contextualSpacing/>
        <w:rPr>
          <w:noProof/>
          <w:sz w:val="22"/>
          <w:szCs w:val="22"/>
          <w:lang w:eastAsia="en-US"/>
        </w:rPr>
      </w:pPr>
    </w:p>
    <w:p w:rsidR="00C24182" w:rsidRPr="0038404B" w:rsidRDefault="005943D3" w:rsidP="00D041ED">
      <w:pPr>
        <w:tabs>
          <w:tab w:val="left" w:pos="567"/>
        </w:tabs>
        <w:autoSpaceDE/>
        <w:autoSpaceDN/>
        <w:adjustRightInd/>
        <w:contextualSpacing/>
        <w:rPr>
          <w:noProof/>
          <w:sz w:val="22"/>
          <w:szCs w:val="22"/>
          <w:lang w:eastAsia="en-US"/>
        </w:rPr>
      </w:pPr>
      <w:r>
        <w:rPr>
          <w:noProof/>
          <w:sz w:val="22"/>
          <w:szCs w:val="22"/>
          <w:lang w:eastAsia="en-US"/>
        </w:rPr>
        <w:t>Συνιστάται στενή παρακολούθηση του καλίου στο ορό στους ασθενείς που διατρέχουν κίνδυνο</w:t>
      </w:r>
      <w:r w:rsidR="00C24182" w:rsidRPr="0038404B">
        <w:rPr>
          <w:noProof/>
          <w:sz w:val="22"/>
          <w:szCs w:val="22"/>
          <w:lang w:eastAsia="en-US"/>
        </w:rPr>
        <w:t xml:space="preserve"> (</w:t>
      </w:r>
      <w:r>
        <w:rPr>
          <w:noProof/>
          <w:sz w:val="22"/>
          <w:szCs w:val="22"/>
          <w:lang w:eastAsia="en-US"/>
        </w:rPr>
        <w:t>βλ. παράγραφο</w:t>
      </w:r>
      <w:r w:rsidR="00C24182" w:rsidRPr="0038404B">
        <w:rPr>
          <w:noProof/>
          <w:sz w:val="22"/>
          <w:szCs w:val="22"/>
          <w:lang w:eastAsia="en-US"/>
        </w:rPr>
        <w:t xml:space="preserve"> 4.5).</w:t>
      </w:r>
    </w:p>
    <w:p w:rsidR="00C24182" w:rsidRPr="0038404B" w:rsidRDefault="00C24182" w:rsidP="00D041ED">
      <w:pPr>
        <w:tabs>
          <w:tab w:val="left" w:pos="567"/>
        </w:tabs>
        <w:autoSpaceDE/>
        <w:autoSpaceDN/>
        <w:adjustRightInd/>
        <w:contextualSpacing/>
        <w:rPr>
          <w:noProof/>
          <w:sz w:val="22"/>
          <w:szCs w:val="22"/>
          <w:lang w:eastAsia="en-US"/>
        </w:rPr>
      </w:pPr>
    </w:p>
    <w:p w:rsidR="005D5E57" w:rsidRPr="00A072F5" w:rsidRDefault="005D5E57" w:rsidP="00D041ED">
      <w:pPr>
        <w:pStyle w:val="Style8"/>
        <w:widowControl/>
        <w:jc w:val="left"/>
        <w:rPr>
          <w:rStyle w:val="FontStyle21"/>
          <w:sz w:val="22"/>
          <w:szCs w:val="22"/>
        </w:rPr>
      </w:pPr>
      <w:r w:rsidRPr="00A072F5">
        <w:rPr>
          <w:rStyle w:val="FontStyle21"/>
          <w:sz w:val="22"/>
          <w:szCs w:val="22"/>
        </w:rPr>
        <w:t>Λίθιο:</w:t>
      </w:r>
    </w:p>
    <w:p w:rsidR="005D5E57" w:rsidRPr="00A072F5" w:rsidRDefault="005D5E57" w:rsidP="00D041ED">
      <w:pPr>
        <w:pStyle w:val="Style4"/>
        <w:widowControl/>
        <w:spacing w:line="240" w:lineRule="auto"/>
        <w:jc w:val="left"/>
        <w:rPr>
          <w:rStyle w:val="FontStyle22"/>
          <w:sz w:val="22"/>
          <w:szCs w:val="22"/>
        </w:rPr>
      </w:pPr>
      <w:r w:rsidRPr="00A072F5">
        <w:rPr>
          <w:rStyle w:val="FontStyle22"/>
          <w:sz w:val="22"/>
          <w:szCs w:val="22"/>
        </w:rPr>
        <w:t>Όπως και με άλλους ανταγωνιστές των υποδοχέων της αγγειοτασίνης ΙΙ, ο συνδυασμός λιθίου και</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δεν συνιστάται (βλ</w:t>
      </w:r>
      <w:r w:rsidR="005943D3">
        <w:rPr>
          <w:rStyle w:val="FontStyle22"/>
          <w:sz w:val="22"/>
          <w:szCs w:val="22"/>
        </w:rPr>
        <w:t>. παράγραφο</w:t>
      </w:r>
      <w:r w:rsidRPr="00A072F5">
        <w:rPr>
          <w:rStyle w:val="FontStyle22"/>
          <w:sz w:val="22"/>
          <w:szCs w:val="22"/>
        </w:rPr>
        <w:t xml:space="preserve"> 4.5).</w:t>
      </w:r>
    </w:p>
    <w:p w:rsidR="005D5E57" w:rsidRPr="00A072F5" w:rsidRDefault="005D5E57" w:rsidP="00D041ED">
      <w:pPr>
        <w:pStyle w:val="Style8"/>
        <w:widowControl/>
        <w:jc w:val="left"/>
        <w:rPr>
          <w:sz w:val="22"/>
          <w:szCs w:val="22"/>
        </w:rPr>
      </w:pPr>
    </w:p>
    <w:p w:rsidR="005D5E57" w:rsidRPr="00A072F5" w:rsidRDefault="005D5E57" w:rsidP="00D041ED">
      <w:pPr>
        <w:pStyle w:val="Style8"/>
        <w:widowControl/>
        <w:jc w:val="left"/>
        <w:rPr>
          <w:rStyle w:val="FontStyle21"/>
          <w:sz w:val="22"/>
          <w:szCs w:val="22"/>
        </w:rPr>
      </w:pPr>
      <w:r w:rsidRPr="00A072F5">
        <w:rPr>
          <w:rStyle w:val="FontStyle21"/>
          <w:sz w:val="22"/>
          <w:szCs w:val="22"/>
        </w:rPr>
        <w:t>Στένωση αορτικής ή μιτροειδούς βαλβίδας, αποφρακτική υπερτροφική μυοκαρδιοπάθεια:</w:t>
      </w:r>
    </w:p>
    <w:p w:rsidR="005D5E57" w:rsidRPr="00A072F5" w:rsidRDefault="005D5E57" w:rsidP="00D041ED">
      <w:pPr>
        <w:pStyle w:val="Style4"/>
        <w:widowControl/>
        <w:spacing w:line="240" w:lineRule="auto"/>
        <w:jc w:val="left"/>
        <w:rPr>
          <w:rStyle w:val="FontStyle22"/>
          <w:sz w:val="22"/>
          <w:szCs w:val="22"/>
        </w:rPr>
      </w:pPr>
      <w:r w:rsidRPr="00A072F5">
        <w:rPr>
          <w:rStyle w:val="FontStyle22"/>
          <w:sz w:val="22"/>
          <w:szCs w:val="22"/>
        </w:rPr>
        <w:t>Όπως και με άλλα αγγειοδιασταλτικά φάρμακα, απαιτείται ιδιαίτερη προσοχή σε ασθενείς που πάσχουν από στένωση της αορτικής ή της μιτροειδούς βαλβίδας ή από αποφρακτική υπερτροφική μυοκαρδιοπάθεια.</w:t>
      </w:r>
    </w:p>
    <w:p w:rsidR="005D5E57" w:rsidRPr="00A072F5" w:rsidRDefault="005D5E57" w:rsidP="00176403">
      <w:pPr>
        <w:pStyle w:val="Style8"/>
        <w:widowControl/>
        <w:jc w:val="left"/>
        <w:rPr>
          <w:sz w:val="22"/>
          <w:szCs w:val="22"/>
        </w:rPr>
      </w:pPr>
    </w:p>
    <w:p w:rsidR="005D5E57" w:rsidRPr="00A072F5" w:rsidRDefault="005D5E57" w:rsidP="00176403">
      <w:pPr>
        <w:pStyle w:val="Style8"/>
        <w:widowControl/>
        <w:jc w:val="left"/>
        <w:rPr>
          <w:rStyle w:val="FontStyle21"/>
          <w:sz w:val="22"/>
          <w:szCs w:val="22"/>
        </w:rPr>
      </w:pPr>
      <w:r w:rsidRPr="00A072F5">
        <w:rPr>
          <w:rStyle w:val="FontStyle21"/>
          <w:sz w:val="22"/>
          <w:szCs w:val="22"/>
        </w:rPr>
        <w:t>Πρωτοπαθής αλδοστερονισμός:</w:t>
      </w:r>
    </w:p>
    <w:p w:rsidR="005D5E57" w:rsidRPr="0038404B" w:rsidRDefault="005D5E57" w:rsidP="00176403">
      <w:pPr>
        <w:pStyle w:val="Style4"/>
        <w:widowControl/>
        <w:spacing w:line="240" w:lineRule="auto"/>
        <w:jc w:val="left"/>
        <w:rPr>
          <w:rStyle w:val="FontStyle22"/>
          <w:sz w:val="22"/>
          <w:szCs w:val="22"/>
        </w:rPr>
      </w:pPr>
      <w:r w:rsidRPr="00A072F5">
        <w:rPr>
          <w:rStyle w:val="FontStyle22"/>
          <w:sz w:val="22"/>
          <w:szCs w:val="22"/>
        </w:rPr>
        <w:t>Γενικά, ασθενείς με πρωτοπαθή αλδοστερονισμό δεν ανταποκρίνονται σε αντιυπερτασικά φάρμακα που δρουν μέσω της αναστολής του συστήματος ρενίνης-αγγειοτασίνης. Επομένως σ' αυτούς τους ασθενείς δεν συνιστάται η χρήση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38404B">
        <w:rPr>
          <w:rStyle w:val="FontStyle22"/>
          <w:sz w:val="22"/>
          <w:szCs w:val="22"/>
        </w:rPr>
        <w:t>.</w:t>
      </w:r>
    </w:p>
    <w:p w:rsidR="005D5E57" w:rsidRPr="00A072F5" w:rsidRDefault="005D5E57" w:rsidP="00176403">
      <w:pPr>
        <w:pStyle w:val="Style8"/>
        <w:widowControl/>
        <w:jc w:val="left"/>
        <w:rPr>
          <w:sz w:val="22"/>
          <w:szCs w:val="22"/>
        </w:rPr>
      </w:pPr>
    </w:p>
    <w:p w:rsidR="005D5E57" w:rsidRPr="00A072F5" w:rsidRDefault="005D5E57" w:rsidP="00176403">
      <w:pPr>
        <w:pStyle w:val="Style8"/>
        <w:widowControl/>
        <w:jc w:val="left"/>
        <w:rPr>
          <w:rStyle w:val="FontStyle21"/>
          <w:sz w:val="22"/>
          <w:szCs w:val="22"/>
        </w:rPr>
      </w:pPr>
      <w:r w:rsidRPr="00A072F5">
        <w:rPr>
          <w:rStyle w:val="FontStyle21"/>
          <w:sz w:val="22"/>
          <w:szCs w:val="22"/>
        </w:rPr>
        <w:t>Φυλετικές διαφορές:</w:t>
      </w: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 xml:space="preserve">Όπως και με άλλους ανταγωνιστές </w:t>
      </w:r>
      <w:r w:rsidR="005A2D8E">
        <w:rPr>
          <w:rStyle w:val="FontStyle22"/>
          <w:sz w:val="22"/>
          <w:szCs w:val="22"/>
        </w:rPr>
        <w:t xml:space="preserve">των υποδοχέων </w:t>
      </w:r>
      <w:r w:rsidRPr="00A072F5">
        <w:rPr>
          <w:rStyle w:val="FontStyle22"/>
          <w:sz w:val="22"/>
          <w:szCs w:val="22"/>
        </w:rPr>
        <w:t>της αγγειοτασίνης ΙΙ, η αντιυπερτασική δράση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είναι κάπως μικρότερη στους ασθενείς της μαύρης φυλής από ότι</w:t>
      </w:r>
      <w:r w:rsidR="005A2D8E">
        <w:rPr>
          <w:rStyle w:val="FontStyle22"/>
          <w:sz w:val="22"/>
          <w:szCs w:val="22"/>
        </w:rPr>
        <w:t xml:space="preserve"> στους ασθενείς που δεν ανήκουν στη μαύρη φυλή</w:t>
      </w:r>
      <w:r w:rsidRPr="00A072F5">
        <w:rPr>
          <w:rStyle w:val="FontStyle22"/>
          <w:sz w:val="22"/>
          <w:szCs w:val="22"/>
        </w:rPr>
        <w:t>, πιθαν</w:t>
      </w:r>
      <w:r w:rsidR="005A2D8E">
        <w:rPr>
          <w:rStyle w:val="FontStyle22"/>
          <w:sz w:val="22"/>
          <w:szCs w:val="22"/>
        </w:rPr>
        <w:t>όν λόγω του υψηλότερου επιπολασμού</w:t>
      </w:r>
      <w:r w:rsidRPr="00A072F5">
        <w:rPr>
          <w:rStyle w:val="FontStyle22"/>
          <w:sz w:val="22"/>
          <w:szCs w:val="22"/>
        </w:rPr>
        <w:t xml:space="preserve"> χαμηλών επιπέδων ρενίνης στον υπερτασικό πληθυσμό της μαύρης φυλής.</w:t>
      </w:r>
    </w:p>
    <w:p w:rsidR="00C24182" w:rsidRPr="0038404B" w:rsidRDefault="00C24182" w:rsidP="00C24182">
      <w:pPr>
        <w:tabs>
          <w:tab w:val="left" w:pos="567"/>
        </w:tabs>
        <w:autoSpaceDE/>
        <w:autoSpaceDN/>
        <w:adjustRightInd/>
        <w:contextualSpacing/>
        <w:rPr>
          <w:noProof/>
          <w:sz w:val="22"/>
          <w:szCs w:val="22"/>
          <w:lang w:eastAsia="en-US"/>
        </w:rPr>
      </w:pPr>
    </w:p>
    <w:p w:rsidR="00C24182" w:rsidRPr="0038404B" w:rsidRDefault="005A2D8E" w:rsidP="00C24182">
      <w:pPr>
        <w:tabs>
          <w:tab w:val="left" w:pos="567"/>
        </w:tabs>
        <w:autoSpaceDE/>
        <w:autoSpaceDN/>
        <w:adjustRightInd/>
        <w:contextualSpacing/>
        <w:rPr>
          <w:b/>
          <w:bCs/>
          <w:noProof/>
          <w:sz w:val="22"/>
          <w:szCs w:val="22"/>
          <w:lang w:eastAsia="en-US"/>
        </w:rPr>
      </w:pPr>
      <w:r>
        <w:rPr>
          <w:b/>
          <w:bCs/>
          <w:noProof/>
          <w:sz w:val="22"/>
          <w:szCs w:val="22"/>
          <w:lang w:eastAsia="en-US"/>
        </w:rPr>
        <w:t>Κύηση</w:t>
      </w:r>
      <w:r w:rsidR="00C24182" w:rsidRPr="0038404B">
        <w:rPr>
          <w:b/>
          <w:bCs/>
          <w:noProof/>
          <w:sz w:val="22"/>
          <w:szCs w:val="22"/>
          <w:lang w:eastAsia="en-US"/>
        </w:rPr>
        <w:t>:</w:t>
      </w:r>
    </w:p>
    <w:p w:rsidR="00C24182" w:rsidRPr="0038404B" w:rsidRDefault="005A2D8E" w:rsidP="00C24182">
      <w:pPr>
        <w:tabs>
          <w:tab w:val="left" w:pos="567"/>
        </w:tabs>
        <w:autoSpaceDE/>
        <w:autoSpaceDN/>
        <w:adjustRightInd/>
        <w:contextualSpacing/>
        <w:rPr>
          <w:noProof/>
          <w:sz w:val="22"/>
          <w:szCs w:val="22"/>
          <w:lang w:eastAsia="en-US"/>
        </w:rPr>
      </w:pPr>
      <w:r>
        <w:rPr>
          <w:noProof/>
          <w:sz w:val="22"/>
          <w:szCs w:val="22"/>
          <w:lang w:eastAsia="en-US"/>
        </w:rPr>
        <w:t>Δε θα πρέπει να ξεκινά θεραπεία με ανταγωνιστές των υποδοχέων της αγγειοτασίνης</w:t>
      </w:r>
      <w:r w:rsidR="00C24182" w:rsidRPr="0038404B">
        <w:rPr>
          <w:noProof/>
          <w:sz w:val="22"/>
          <w:szCs w:val="22"/>
          <w:lang w:eastAsia="en-US"/>
        </w:rPr>
        <w:t xml:space="preserve"> </w:t>
      </w:r>
      <w:r w:rsidR="00C24182" w:rsidRPr="00C24182">
        <w:rPr>
          <w:noProof/>
          <w:sz w:val="22"/>
          <w:szCs w:val="22"/>
          <w:lang w:val="en-GB" w:eastAsia="en-US"/>
        </w:rPr>
        <w:t>II</w:t>
      </w:r>
      <w:r>
        <w:rPr>
          <w:noProof/>
          <w:sz w:val="22"/>
          <w:szCs w:val="22"/>
          <w:lang w:eastAsia="en-US"/>
        </w:rPr>
        <w:t xml:space="preserve"> κατά τη διάρκεια της κύησης. Οι ασθενείς που προγραμματίζουν εγκυμοσύνη θα πρέπει να μεταβαίνουν σε εναλλακτικές αντιυπερτασικές θεραπείες με τεκμηριωμένο προφίλ ασφαλείας για χρήση κατά την κύηση, εκτός και αν κρίνεται απαραίτητη η συνέχιση της θεραπείας με ανταγωνιστές των υποδοχέων της αγγειοτασίνης</w:t>
      </w:r>
      <w:r w:rsidR="00C24182" w:rsidRPr="0038404B">
        <w:rPr>
          <w:noProof/>
          <w:sz w:val="22"/>
          <w:szCs w:val="22"/>
          <w:lang w:eastAsia="en-US"/>
        </w:rPr>
        <w:t xml:space="preserve"> </w:t>
      </w:r>
      <w:r w:rsidR="00C24182" w:rsidRPr="00C24182">
        <w:rPr>
          <w:noProof/>
          <w:sz w:val="22"/>
          <w:szCs w:val="22"/>
          <w:lang w:val="en-GB" w:eastAsia="en-US"/>
        </w:rPr>
        <w:t>II</w:t>
      </w:r>
      <w:r>
        <w:rPr>
          <w:noProof/>
          <w:sz w:val="22"/>
          <w:szCs w:val="22"/>
          <w:lang w:eastAsia="en-US"/>
        </w:rPr>
        <w:t>. Εάν διαγνωστεί κύηση, η θεραπεία με ανταγωνιστές των υποδοχέων της αγγειοτασίνης</w:t>
      </w:r>
      <w:r w:rsidR="00C24182" w:rsidRPr="0038404B">
        <w:rPr>
          <w:noProof/>
          <w:sz w:val="22"/>
          <w:szCs w:val="22"/>
          <w:lang w:eastAsia="en-US"/>
        </w:rPr>
        <w:t xml:space="preserve"> </w:t>
      </w:r>
      <w:r w:rsidR="00C24182" w:rsidRPr="00C24182">
        <w:rPr>
          <w:noProof/>
          <w:sz w:val="22"/>
          <w:szCs w:val="22"/>
          <w:lang w:val="en-GB" w:eastAsia="en-US"/>
        </w:rPr>
        <w:t>II</w:t>
      </w:r>
      <w:r>
        <w:rPr>
          <w:noProof/>
          <w:sz w:val="22"/>
          <w:szCs w:val="22"/>
          <w:lang w:eastAsia="en-US"/>
        </w:rPr>
        <w:t xml:space="preserve"> θα πρέπει να σταματήσει αμέσως και, εάν ενδείκνυται, θα πρέπει να ξεκινήσει εναλλακτική θεραπεία</w:t>
      </w:r>
      <w:r w:rsidR="00C24182" w:rsidRPr="0038404B">
        <w:rPr>
          <w:noProof/>
          <w:sz w:val="22"/>
          <w:szCs w:val="22"/>
          <w:lang w:eastAsia="en-US"/>
        </w:rPr>
        <w:t xml:space="preserve"> (</w:t>
      </w:r>
      <w:r>
        <w:rPr>
          <w:noProof/>
          <w:sz w:val="22"/>
          <w:szCs w:val="22"/>
          <w:lang w:eastAsia="en-US"/>
        </w:rPr>
        <w:t>βλ. παραγράφους</w:t>
      </w:r>
      <w:r w:rsidR="00C24182" w:rsidRPr="0038404B">
        <w:rPr>
          <w:noProof/>
          <w:sz w:val="22"/>
          <w:szCs w:val="22"/>
          <w:lang w:eastAsia="en-US"/>
        </w:rPr>
        <w:t xml:space="preserve"> 4.3 </w:t>
      </w:r>
      <w:r>
        <w:rPr>
          <w:noProof/>
          <w:sz w:val="22"/>
          <w:szCs w:val="22"/>
          <w:lang w:eastAsia="en-US"/>
        </w:rPr>
        <w:t xml:space="preserve">και </w:t>
      </w:r>
      <w:r w:rsidR="00C24182" w:rsidRPr="0038404B">
        <w:rPr>
          <w:noProof/>
          <w:sz w:val="22"/>
          <w:szCs w:val="22"/>
          <w:lang w:eastAsia="en-US"/>
        </w:rPr>
        <w:t>4.6).</w:t>
      </w:r>
    </w:p>
    <w:p w:rsidR="00C24182" w:rsidRPr="0038404B" w:rsidRDefault="00C24182" w:rsidP="00C24182">
      <w:pPr>
        <w:tabs>
          <w:tab w:val="left" w:pos="567"/>
        </w:tabs>
        <w:autoSpaceDE/>
        <w:autoSpaceDN/>
        <w:adjustRightInd/>
        <w:contextualSpacing/>
        <w:rPr>
          <w:noProof/>
          <w:sz w:val="22"/>
          <w:szCs w:val="22"/>
          <w:lang w:eastAsia="en-US"/>
        </w:rPr>
      </w:pPr>
    </w:p>
    <w:p w:rsidR="00C24182" w:rsidRPr="0038404B" w:rsidRDefault="00114450" w:rsidP="00C24182">
      <w:pPr>
        <w:tabs>
          <w:tab w:val="left" w:pos="567"/>
        </w:tabs>
        <w:autoSpaceDE/>
        <w:autoSpaceDN/>
        <w:adjustRightInd/>
        <w:contextualSpacing/>
        <w:rPr>
          <w:b/>
          <w:bCs/>
          <w:noProof/>
          <w:sz w:val="22"/>
          <w:szCs w:val="22"/>
          <w:lang w:eastAsia="en-US"/>
        </w:rPr>
      </w:pPr>
      <w:r w:rsidRPr="0038404B">
        <w:rPr>
          <w:b/>
          <w:bCs/>
          <w:noProof/>
          <w:sz w:val="22"/>
          <w:szCs w:val="22"/>
          <w:lang w:eastAsia="en-US"/>
        </w:rPr>
        <w:t>Διπλός αποκλεισμός το</w:t>
      </w:r>
      <w:r w:rsidR="005A2D8E" w:rsidRPr="0038404B">
        <w:rPr>
          <w:b/>
          <w:bCs/>
          <w:noProof/>
          <w:sz w:val="22"/>
          <w:szCs w:val="22"/>
          <w:lang w:eastAsia="en-US"/>
        </w:rPr>
        <w:t>υ συστήματος ρενίνης – αγγειοτ</w:t>
      </w:r>
      <w:r w:rsidR="005A2D8E">
        <w:rPr>
          <w:b/>
          <w:bCs/>
          <w:noProof/>
          <w:sz w:val="22"/>
          <w:szCs w:val="22"/>
          <w:lang w:eastAsia="en-US"/>
        </w:rPr>
        <w:t>α</w:t>
      </w:r>
      <w:r w:rsidRPr="0038404B">
        <w:rPr>
          <w:b/>
          <w:bCs/>
          <w:noProof/>
          <w:sz w:val="22"/>
          <w:szCs w:val="22"/>
          <w:lang w:eastAsia="en-US"/>
        </w:rPr>
        <w:t xml:space="preserve">σίνης – αλδοστερόνης </w:t>
      </w:r>
      <w:r w:rsidR="00C24182" w:rsidRPr="0038404B">
        <w:rPr>
          <w:b/>
          <w:bCs/>
          <w:noProof/>
          <w:sz w:val="22"/>
          <w:szCs w:val="22"/>
          <w:lang w:eastAsia="en-US"/>
        </w:rPr>
        <w:t>(</w:t>
      </w:r>
      <w:r w:rsidR="00C24182" w:rsidRPr="00C24182">
        <w:rPr>
          <w:b/>
          <w:bCs/>
          <w:noProof/>
          <w:sz w:val="22"/>
          <w:szCs w:val="22"/>
          <w:lang w:val="en-GB" w:eastAsia="en-US"/>
        </w:rPr>
        <w:t>RAAS</w:t>
      </w:r>
      <w:r w:rsidR="00C24182" w:rsidRPr="0038404B">
        <w:rPr>
          <w:b/>
          <w:bCs/>
          <w:noProof/>
          <w:sz w:val="22"/>
          <w:szCs w:val="22"/>
          <w:lang w:eastAsia="en-US"/>
        </w:rPr>
        <w:t>):</w:t>
      </w:r>
    </w:p>
    <w:p w:rsidR="00114450" w:rsidRPr="0038404B"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Υπάρχουν αποδείξεις ότι η ταυτόχρονη χρήση αναστολέων ΜΕΑ, αποκλειστών των υποδοχέων</w:t>
      </w:r>
    </w:p>
    <w:p w:rsidR="00114450" w:rsidRPr="0038404B" w:rsidRDefault="005A2D8E" w:rsidP="00114450">
      <w:pPr>
        <w:tabs>
          <w:tab w:val="left" w:pos="567"/>
        </w:tabs>
        <w:autoSpaceDE/>
        <w:autoSpaceDN/>
        <w:adjustRightInd/>
        <w:contextualSpacing/>
        <w:rPr>
          <w:iCs/>
          <w:noProof/>
          <w:sz w:val="22"/>
          <w:szCs w:val="22"/>
          <w:lang w:eastAsia="en-US"/>
        </w:rPr>
      </w:pPr>
      <w:r w:rsidRPr="0038404B">
        <w:rPr>
          <w:iCs/>
          <w:noProof/>
          <w:sz w:val="22"/>
          <w:szCs w:val="22"/>
          <w:lang w:eastAsia="en-US"/>
        </w:rPr>
        <w:t>αγγειοτ</w:t>
      </w:r>
      <w:r>
        <w:rPr>
          <w:iCs/>
          <w:noProof/>
          <w:sz w:val="22"/>
          <w:szCs w:val="22"/>
          <w:lang w:eastAsia="en-US"/>
        </w:rPr>
        <w:t>α</w:t>
      </w:r>
      <w:r w:rsidR="00114450" w:rsidRPr="0038404B">
        <w:rPr>
          <w:iCs/>
          <w:noProof/>
          <w:sz w:val="22"/>
          <w:szCs w:val="22"/>
          <w:lang w:eastAsia="en-US"/>
        </w:rPr>
        <w:t>σίνης ΙΙ ή αλισκιρένης αυξάνει τον κίνδυνο υπότασης, υπερκαλιαιμίας και μειωμένης νεφρικής</w:t>
      </w:r>
      <w:r w:rsidR="00114450">
        <w:rPr>
          <w:iCs/>
          <w:noProof/>
          <w:sz w:val="22"/>
          <w:szCs w:val="22"/>
          <w:lang w:eastAsia="en-US"/>
        </w:rPr>
        <w:t xml:space="preserve"> </w:t>
      </w:r>
      <w:r w:rsidR="00114450" w:rsidRPr="0038404B">
        <w:rPr>
          <w:iCs/>
          <w:noProof/>
          <w:sz w:val="22"/>
          <w:szCs w:val="22"/>
          <w:lang w:eastAsia="en-US"/>
        </w:rPr>
        <w:t>λειτουργίας (περιλαμβανομένης της οξείας νεφρικής ανεπάρκειας). Ως εκ τούτου, διπλός αποκλεισμός</w:t>
      </w:r>
      <w:r w:rsidR="00114450">
        <w:rPr>
          <w:iCs/>
          <w:noProof/>
          <w:sz w:val="22"/>
          <w:szCs w:val="22"/>
          <w:lang w:eastAsia="en-US"/>
        </w:rPr>
        <w:t xml:space="preserve"> </w:t>
      </w:r>
      <w:r w:rsidR="00114450" w:rsidRPr="0038404B">
        <w:rPr>
          <w:iCs/>
          <w:noProof/>
          <w:sz w:val="22"/>
          <w:szCs w:val="22"/>
          <w:lang w:eastAsia="en-US"/>
        </w:rPr>
        <w:t>του συστήματος ρενίνης</w:t>
      </w:r>
      <w:r w:rsidRPr="0038404B">
        <w:rPr>
          <w:iCs/>
          <w:noProof/>
          <w:sz w:val="22"/>
          <w:szCs w:val="22"/>
          <w:lang w:eastAsia="en-US"/>
        </w:rPr>
        <w:t>-αγγειοτ</w:t>
      </w:r>
      <w:r>
        <w:rPr>
          <w:iCs/>
          <w:noProof/>
          <w:sz w:val="22"/>
          <w:szCs w:val="22"/>
          <w:lang w:eastAsia="en-US"/>
        </w:rPr>
        <w:t>α</w:t>
      </w:r>
      <w:r w:rsidR="00114450" w:rsidRPr="0038404B">
        <w:rPr>
          <w:iCs/>
          <w:noProof/>
          <w:sz w:val="22"/>
          <w:szCs w:val="22"/>
          <w:lang w:eastAsia="en-US"/>
        </w:rPr>
        <w:t>σίνης-αλδοστερόνης (</w:t>
      </w:r>
      <w:r w:rsidR="00114450" w:rsidRPr="00114450">
        <w:rPr>
          <w:iCs/>
          <w:noProof/>
          <w:sz w:val="22"/>
          <w:szCs w:val="22"/>
          <w:lang w:val="en-GB" w:eastAsia="en-US"/>
        </w:rPr>
        <w:t>RASS</w:t>
      </w:r>
      <w:r w:rsidR="00114450" w:rsidRPr="0038404B">
        <w:rPr>
          <w:iCs/>
          <w:noProof/>
          <w:sz w:val="22"/>
          <w:szCs w:val="22"/>
          <w:lang w:eastAsia="en-US"/>
        </w:rPr>
        <w:t>) μέσω της συνδυασμένης χρήσης</w:t>
      </w:r>
      <w:r w:rsidR="00114450">
        <w:rPr>
          <w:iCs/>
          <w:noProof/>
          <w:sz w:val="22"/>
          <w:szCs w:val="22"/>
          <w:lang w:eastAsia="en-US"/>
        </w:rPr>
        <w:t xml:space="preserve"> </w:t>
      </w:r>
      <w:r w:rsidR="00114450" w:rsidRPr="0038404B">
        <w:rPr>
          <w:iCs/>
          <w:noProof/>
          <w:sz w:val="22"/>
          <w:szCs w:val="22"/>
          <w:lang w:eastAsia="en-US"/>
        </w:rPr>
        <w:t>αναστολέων ΜΕΑ, απο</w:t>
      </w:r>
      <w:r w:rsidRPr="0038404B">
        <w:rPr>
          <w:iCs/>
          <w:noProof/>
          <w:sz w:val="22"/>
          <w:szCs w:val="22"/>
          <w:lang w:eastAsia="en-US"/>
        </w:rPr>
        <w:t>κλειστών των υποδοχέων αγγειοτ</w:t>
      </w:r>
      <w:r>
        <w:rPr>
          <w:iCs/>
          <w:noProof/>
          <w:sz w:val="22"/>
          <w:szCs w:val="22"/>
          <w:lang w:eastAsia="en-US"/>
        </w:rPr>
        <w:t>α</w:t>
      </w:r>
      <w:r w:rsidR="00114450" w:rsidRPr="0038404B">
        <w:rPr>
          <w:iCs/>
          <w:noProof/>
          <w:sz w:val="22"/>
          <w:szCs w:val="22"/>
          <w:lang w:eastAsia="en-US"/>
        </w:rPr>
        <w:t>σίνης ΙΙ ή αλισκιρένης δεν συνιστάται (βλ.</w:t>
      </w:r>
      <w:r w:rsidR="00114450">
        <w:rPr>
          <w:iCs/>
          <w:noProof/>
          <w:sz w:val="22"/>
          <w:szCs w:val="22"/>
          <w:lang w:eastAsia="en-US"/>
        </w:rPr>
        <w:t xml:space="preserve"> </w:t>
      </w:r>
      <w:r w:rsidR="00114450" w:rsidRPr="0038404B">
        <w:rPr>
          <w:iCs/>
          <w:noProof/>
          <w:sz w:val="22"/>
          <w:szCs w:val="22"/>
          <w:lang w:eastAsia="en-US"/>
        </w:rPr>
        <w:t>παραγράφους 4.5 και 5.1).</w:t>
      </w:r>
    </w:p>
    <w:p w:rsidR="00114450" w:rsidRDefault="00114450" w:rsidP="00114450">
      <w:pPr>
        <w:tabs>
          <w:tab w:val="left" w:pos="567"/>
        </w:tabs>
        <w:autoSpaceDE/>
        <w:autoSpaceDN/>
        <w:adjustRightInd/>
        <w:contextualSpacing/>
        <w:rPr>
          <w:iCs/>
          <w:noProof/>
          <w:sz w:val="22"/>
          <w:szCs w:val="22"/>
          <w:lang w:eastAsia="en-US"/>
        </w:rPr>
      </w:pPr>
    </w:p>
    <w:p w:rsidR="00114450" w:rsidRPr="0038404B"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Εάν η θεραπεία διπλού αποκλεισμού θεωρείται απολύτως απαραίτητη, αυτό θα πρέπει να λάβει χώρα</w:t>
      </w:r>
    </w:p>
    <w:p w:rsidR="00114450" w:rsidRPr="0038404B"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lastRenderedPageBreak/>
        <w:t>μόνο κάτω από την επίβλεψη ειδικού και με συχνή στενή παρακολούθηση της νεφρικής λειτουργίας,</w:t>
      </w:r>
    </w:p>
    <w:p w:rsidR="00D041ED"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των ηλεκτρολυτών και της αρτηριακής πίεσης.</w:t>
      </w:r>
      <w:r>
        <w:rPr>
          <w:iCs/>
          <w:noProof/>
          <w:sz w:val="22"/>
          <w:szCs w:val="22"/>
          <w:lang w:eastAsia="en-US"/>
        </w:rPr>
        <w:t xml:space="preserve"> </w:t>
      </w:r>
    </w:p>
    <w:p w:rsidR="00D041ED" w:rsidRDefault="00D041ED" w:rsidP="00114450">
      <w:pPr>
        <w:tabs>
          <w:tab w:val="left" w:pos="567"/>
        </w:tabs>
        <w:autoSpaceDE/>
        <w:autoSpaceDN/>
        <w:adjustRightInd/>
        <w:contextualSpacing/>
        <w:rPr>
          <w:iCs/>
          <w:noProof/>
          <w:sz w:val="22"/>
          <w:szCs w:val="22"/>
          <w:lang w:eastAsia="en-US"/>
        </w:rPr>
      </w:pPr>
    </w:p>
    <w:p w:rsidR="00C24182" w:rsidRPr="0038404B" w:rsidRDefault="00114450" w:rsidP="00114450">
      <w:pPr>
        <w:tabs>
          <w:tab w:val="left" w:pos="567"/>
        </w:tabs>
        <w:autoSpaceDE/>
        <w:autoSpaceDN/>
        <w:adjustRightInd/>
        <w:contextualSpacing/>
        <w:rPr>
          <w:noProof/>
          <w:sz w:val="22"/>
          <w:szCs w:val="22"/>
          <w:lang w:eastAsia="en-US"/>
        </w:rPr>
      </w:pPr>
      <w:r w:rsidRPr="0038404B">
        <w:rPr>
          <w:iCs/>
          <w:noProof/>
          <w:sz w:val="22"/>
          <w:szCs w:val="22"/>
          <w:lang w:eastAsia="en-US"/>
        </w:rPr>
        <w:t>Οι αναστολείς ΜΕΑ και οι απο</w:t>
      </w:r>
      <w:r w:rsidR="00EC2C60" w:rsidRPr="0038404B">
        <w:rPr>
          <w:iCs/>
          <w:noProof/>
          <w:sz w:val="22"/>
          <w:szCs w:val="22"/>
          <w:lang w:eastAsia="en-US"/>
        </w:rPr>
        <w:t>κλειστές των υποδοχέων αγγειοτ</w:t>
      </w:r>
      <w:r w:rsidR="00EC2C60">
        <w:rPr>
          <w:iCs/>
          <w:noProof/>
          <w:sz w:val="22"/>
          <w:szCs w:val="22"/>
          <w:lang w:eastAsia="en-US"/>
        </w:rPr>
        <w:t>α</w:t>
      </w:r>
      <w:r w:rsidRPr="0038404B">
        <w:rPr>
          <w:iCs/>
          <w:noProof/>
          <w:sz w:val="22"/>
          <w:szCs w:val="22"/>
          <w:lang w:eastAsia="en-US"/>
        </w:rPr>
        <w:t>σίνης ΙΙ δεν θα πρέπει να</w:t>
      </w:r>
      <w:r>
        <w:rPr>
          <w:iCs/>
          <w:noProof/>
          <w:sz w:val="22"/>
          <w:szCs w:val="22"/>
          <w:lang w:eastAsia="en-US"/>
        </w:rPr>
        <w:t xml:space="preserve"> </w:t>
      </w:r>
      <w:r w:rsidRPr="0038404B">
        <w:rPr>
          <w:iCs/>
          <w:noProof/>
          <w:sz w:val="22"/>
          <w:szCs w:val="22"/>
          <w:lang w:eastAsia="en-US"/>
        </w:rPr>
        <w:t xml:space="preserve">χρησιμοποιούνται ταυτόχρονα σε ασθενείς με διαβητική νεφροπάθεια. </w:t>
      </w:r>
    </w:p>
    <w:p w:rsidR="00C24182" w:rsidRPr="0038404B" w:rsidRDefault="00C24182" w:rsidP="00C24182">
      <w:pPr>
        <w:tabs>
          <w:tab w:val="left" w:pos="567"/>
        </w:tabs>
        <w:autoSpaceDE/>
        <w:autoSpaceDN/>
        <w:adjustRightInd/>
        <w:contextualSpacing/>
        <w:rPr>
          <w:noProof/>
          <w:sz w:val="22"/>
          <w:szCs w:val="22"/>
          <w:lang w:eastAsia="en-US"/>
        </w:rPr>
      </w:pPr>
    </w:p>
    <w:p w:rsidR="005D5E57" w:rsidRPr="00A072F5" w:rsidRDefault="005D5E57" w:rsidP="0042565E">
      <w:pPr>
        <w:pStyle w:val="Style8"/>
        <w:widowControl/>
        <w:jc w:val="left"/>
        <w:rPr>
          <w:rStyle w:val="FontStyle21"/>
          <w:sz w:val="22"/>
          <w:szCs w:val="22"/>
        </w:rPr>
      </w:pPr>
      <w:r w:rsidRPr="00A072F5">
        <w:rPr>
          <w:rStyle w:val="FontStyle21"/>
          <w:sz w:val="22"/>
          <w:szCs w:val="22"/>
        </w:rPr>
        <w:t>Άλλα:</w:t>
      </w:r>
    </w:p>
    <w:p w:rsidR="005D5E57" w:rsidRPr="00A072F5" w:rsidRDefault="005D5E57" w:rsidP="0042565E">
      <w:pPr>
        <w:pStyle w:val="Style4"/>
        <w:widowControl/>
        <w:spacing w:line="240" w:lineRule="auto"/>
        <w:rPr>
          <w:rStyle w:val="FontStyle22"/>
          <w:sz w:val="22"/>
          <w:szCs w:val="22"/>
        </w:rPr>
      </w:pPr>
      <w:r w:rsidRPr="00A072F5">
        <w:rPr>
          <w:rStyle w:val="FontStyle22"/>
          <w:sz w:val="22"/>
          <w:szCs w:val="22"/>
        </w:rPr>
        <w:t xml:space="preserve">Όπως με κάθε αντιυπερτασικό παράγοντα, η υπερβολική μείωση της αρτηριακής πίεσης σε ασθενείς με ισχαιμική καρδιακή νόσο ή ισχαιμική </w:t>
      </w:r>
      <w:r w:rsidR="00EC2C60">
        <w:rPr>
          <w:rStyle w:val="FontStyle22"/>
          <w:sz w:val="22"/>
          <w:szCs w:val="22"/>
        </w:rPr>
        <w:t>αγγειο</w:t>
      </w:r>
      <w:r w:rsidRPr="00A072F5">
        <w:rPr>
          <w:rStyle w:val="FontStyle22"/>
          <w:sz w:val="22"/>
          <w:szCs w:val="22"/>
        </w:rPr>
        <w:t>εγκεφαλ</w:t>
      </w:r>
      <w:r w:rsidR="00EC2C60">
        <w:rPr>
          <w:rStyle w:val="FontStyle22"/>
          <w:sz w:val="22"/>
          <w:szCs w:val="22"/>
        </w:rPr>
        <w:t>ι</w:t>
      </w:r>
      <w:r w:rsidRPr="00A072F5">
        <w:rPr>
          <w:rStyle w:val="FontStyle22"/>
          <w:sz w:val="22"/>
          <w:szCs w:val="22"/>
        </w:rPr>
        <w:t>κή νόσο μπορεί να προκαλέσει έμφραγμα του μυοκαρδίου ή εγκεφαλικό</w:t>
      </w:r>
      <w:r w:rsidR="00EC2C60">
        <w:rPr>
          <w:rStyle w:val="FontStyle22"/>
          <w:sz w:val="22"/>
          <w:szCs w:val="22"/>
        </w:rPr>
        <w:t xml:space="preserve"> επεισόδιο</w:t>
      </w:r>
      <w:r w:rsidRPr="00A072F5">
        <w:rPr>
          <w:rStyle w:val="FontStyle22"/>
          <w:sz w:val="22"/>
          <w:szCs w:val="22"/>
        </w:rPr>
        <w:t>.</w:t>
      </w:r>
    </w:p>
    <w:p w:rsidR="005D5E57" w:rsidRPr="00A072F5" w:rsidRDefault="005D5E57" w:rsidP="0042565E">
      <w:pPr>
        <w:pStyle w:val="Style8"/>
        <w:widowControl/>
        <w:jc w:val="left"/>
        <w:rPr>
          <w:sz w:val="22"/>
          <w:szCs w:val="22"/>
        </w:rPr>
      </w:pPr>
    </w:p>
    <w:p w:rsidR="005D5E57" w:rsidRPr="00A072F5" w:rsidRDefault="0042565E" w:rsidP="0042565E">
      <w:pPr>
        <w:pStyle w:val="Style8"/>
        <w:widowControl/>
        <w:jc w:val="left"/>
        <w:rPr>
          <w:rStyle w:val="FontStyle21"/>
          <w:sz w:val="22"/>
          <w:szCs w:val="22"/>
        </w:rPr>
      </w:pPr>
      <w:r w:rsidRPr="00A072F5">
        <w:rPr>
          <w:rStyle w:val="FontStyle21"/>
          <w:sz w:val="22"/>
          <w:szCs w:val="22"/>
        </w:rPr>
        <w:t>4.5</w:t>
      </w:r>
      <w:r w:rsidRPr="0038404B">
        <w:rPr>
          <w:rStyle w:val="FontStyle21"/>
          <w:sz w:val="22"/>
          <w:szCs w:val="22"/>
        </w:rPr>
        <w:tab/>
      </w:r>
      <w:r w:rsidR="005D5E57" w:rsidRPr="00A072F5">
        <w:rPr>
          <w:rStyle w:val="FontStyle21"/>
          <w:sz w:val="22"/>
          <w:szCs w:val="22"/>
        </w:rPr>
        <w:t>Αλληλεπιδράσεις με άλλα φαρμακευτικά προϊόντα και άλλες μορφές αλληλεπίδρασης</w:t>
      </w:r>
    </w:p>
    <w:p w:rsidR="00C24182" w:rsidRPr="0038404B" w:rsidRDefault="00C24182" w:rsidP="00C24182">
      <w:pPr>
        <w:tabs>
          <w:tab w:val="left" w:pos="567"/>
        </w:tabs>
        <w:autoSpaceDE/>
        <w:autoSpaceDN/>
        <w:adjustRightInd/>
        <w:contextualSpacing/>
        <w:rPr>
          <w:sz w:val="22"/>
          <w:szCs w:val="20"/>
          <w:lang w:eastAsia="en-US"/>
        </w:rPr>
      </w:pPr>
    </w:p>
    <w:p w:rsidR="00C24182" w:rsidRPr="0038404B" w:rsidRDefault="00EC2C60" w:rsidP="00C24182">
      <w:pPr>
        <w:tabs>
          <w:tab w:val="left" w:pos="567"/>
        </w:tabs>
        <w:autoSpaceDE/>
        <w:autoSpaceDN/>
        <w:adjustRightInd/>
        <w:contextualSpacing/>
        <w:rPr>
          <w:sz w:val="22"/>
          <w:szCs w:val="20"/>
          <w:lang w:eastAsia="en-US"/>
        </w:rPr>
      </w:pPr>
      <w:r>
        <w:rPr>
          <w:sz w:val="22"/>
          <w:szCs w:val="20"/>
          <w:lang w:eastAsia="en-US"/>
        </w:rPr>
        <w:t>Μελέτες αλληλεπίδρασης έχουν πραγματοποιηθεί μόνο σε ενήλικες</w:t>
      </w:r>
      <w:r w:rsidR="00C24182" w:rsidRPr="0038404B">
        <w:rPr>
          <w:sz w:val="22"/>
          <w:szCs w:val="20"/>
          <w:lang w:eastAsia="en-US"/>
        </w:rPr>
        <w:t>.</w:t>
      </w:r>
    </w:p>
    <w:p w:rsidR="00C24182" w:rsidRPr="0038404B" w:rsidRDefault="00C24182" w:rsidP="00C24182">
      <w:pPr>
        <w:tabs>
          <w:tab w:val="left" w:pos="567"/>
        </w:tabs>
        <w:autoSpaceDE/>
        <w:autoSpaceDN/>
        <w:adjustRightInd/>
        <w:contextualSpacing/>
        <w:rPr>
          <w:sz w:val="22"/>
          <w:szCs w:val="20"/>
          <w:lang w:eastAsia="en-US"/>
        </w:rPr>
      </w:pPr>
    </w:p>
    <w:p w:rsidR="005D5E57" w:rsidRPr="00C24182" w:rsidRDefault="00EC2C60" w:rsidP="0042565E">
      <w:pPr>
        <w:pStyle w:val="Style8"/>
        <w:widowControl/>
        <w:jc w:val="left"/>
        <w:rPr>
          <w:rStyle w:val="FontStyle21"/>
          <w:sz w:val="22"/>
          <w:szCs w:val="22"/>
        </w:rPr>
      </w:pPr>
      <w:r>
        <w:rPr>
          <w:rStyle w:val="FontStyle21"/>
          <w:sz w:val="22"/>
          <w:szCs w:val="22"/>
        </w:rPr>
        <w:t>Ε</w:t>
      </w:r>
      <w:r w:rsidR="005D5E57" w:rsidRPr="00A072F5">
        <w:rPr>
          <w:rStyle w:val="FontStyle21"/>
          <w:sz w:val="22"/>
          <w:szCs w:val="22"/>
        </w:rPr>
        <w:t>πιδράσεις άλλων φαρμάκων στην</w:t>
      </w:r>
      <w:r w:rsidR="005D5E57" w:rsidRPr="0038404B">
        <w:rPr>
          <w:rStyle w:val="FontStyle21"/>
          <w:sz w:val="22"/>
          <w:szCs w:val="22"/>
        </w:rPr>
        <w:t xml:space="preserve"> </w:t>
      </w:r>
      <w:r w:rsidR="005D5E57" w:rsidRPr="00A072F5">
        <w:rPr>
          <w:rStyle w:val="FontStyle21"/>
          <w:sz w:val="22"/>
          <w:szCs w:val="22"/>
          <w:lang w:val="en-US"/>
        </w:rPr>
        <w:t>olmesartan</w:t>
      </w:r>
      <w:r w:rsidR="005D5E57" w:rsidRPr="0038404B">
        <w:rPr>
          <w:rStyle w:val="FontStyle21"/>
          <w:sz w:val="22"/>
          <w:szCs w:val="22"/>
        </w:rPr>
        <w:t xml:space="preserve"> </w:t>
      </w:r>
      <w:r w:rsidR="005D5E57" w:rsidRPr="00A072F5">
        <w:rPr>
          <w:rStyle w:val="FontStyle21"/>
          <w:sz w:val="22"/>
          <w:szCs w:val="22"/>
          <w:lang w:val="en-US"/>
        </w:rPr>
        <w:t>medoxomil</w:t>
      </w:r>
      <w:r w:rsidR="00C24182">
        <w:rPr>
          <w:rStyle w:val="FontStyle21"/>
          <w:sz w:val="22"/>
          <w:szCs w:val="22"/>
        </w:rPr>
        <w:t>:</w:t>
      </w:r>
    </w:p>
    <w:p w:rsidR="005D5E57" w:rsidRPr="00A072F5" w:rsidRDefault="005D5E57" w:rsidP="00C24182">
      <w:pPr>
        <w:pStyle w:val="Style13"/>
        <w:widowControl/>
        <w:rPr>
          <w:sz w:val="22"/>
          <w:szCs w:val="22"/>
        </w:rPr>
      </w:pPr>
    </w:p>
    <w:p w:rsidR="005D5E57" w:rsidRPr="00A072F5" w:rsidRDefault="005D5E57" w:rsidP="00C24182">
      <w:pPr>
        <w:pStyle w:val="Style13"/>
        <w:widowControl/>
        <w:rPr>
          <w:rStyle w:val="FontStyle19"/>
          <w:sz w:val="22"/>
          <w:szCs w:val="22"/>
        </w:rPr>
      </w:pPr>
      <w:r w:rsidRPr="00A072F5">
        <w:rPr>
          <w:rStyle w:val="FontStyle19"/>
          <w:sz w:val="22"/>
          <w:szCs w:val="22"/>
        </w:rPr>
        <w:t>Συμπληρώματα καλίου και καλιοσυντηρητικά διουρητικά:</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 xml:space="preserve">Με βάση την εμπειρία από τη χρήση άλλων φαρμάκων τα οποία επηρεάζουν το σύστημα ρενίνης-αγγειοτασίνης, η ταυτόχρονη χρήση καλιοσυντηρητικών διουρητικών, συμπληρωμάτων καλίου, υποκατάστατων </w:t>
      </w:r>
      <w:r w:rsidR="00EC2C60">
        <w:rPr>
          <w:rStyle w:val="FontStyle22"/>
          <w:sz w:val="22"/>
          <w:szCs w:val="22"/>
        </w:rPr>
        <w:t>άλατος</w:t>
      </w:r>
      <w:r w:rsidRPr="00A072F5">
        <w:rPr>
          <w:rStyle w:val="FontStyle22"/>
          <w:sz w:val="22"/>
          <w:szCs w:val="22"/>
        </w:rPr>
        <w:t xml:space="preserve"> που περιέχουν κάλιο ή άλλων φαρμάκων που μπορεί να αυξάνουν τα επίπεδα καλίου του ορού (π.χ. ηπαρίνη) μπορεί να οδηγήσει σε αύξηση του καλίου του ορού (βλ. </w:t>
      </w:r>
      <w:r w:rsidR="00EC2C60">
        <w:rPr>
          <w:rStyle w:val="FontStyle22"/>
          <w:sz w:val="22"/>
          <w:szCs w:val="22"/>
        </w:rPr>
        <w:t xml:space="preserve">παράγραφο </w:t>
      </w:r>
      <w:r w:rsidRPr="00A072F5">
        <w:rPr>
          <w:rStyle w:val="FontStyle22"/>
          <w:sz w:val="22"/>
          <w:szCs w:val="22"/>
        </w:rPr>
        <w:t>4.4). Επομένως η ταυτόχρονη χορήγηση δεν συνιστάται.</w:t>
      </w:r>
    </w:p>
    <w:p w:rsidR="00C24182" w:rsidRDefault="00C24182" w:rsidP="00C24182">
      <w:pPr>
        <w:pStyle w:val="Style13"/>
        <w:widowControl/>
        <w:rPr>
          <w:rStyle w:val="FontStyle19"/>
          <w:sz w:val="22"/>
          <w:szCs w:val="22"/>
        </w:rPr>
      </w:pPr>
    </w:p>
    <w:p w:rsidR="005D5E57" w:rsidRPr="00A072F5" w:rsidRDefault="00EC2C60" w:rsidP="00C24182">
      <w:pPr>
        <w:pStyle w:val="Style13"/>
        <w:widowControl/>
        <w:rPr>
          <w:rStyle w:val="FontStyle19"/>
          <w:sz w:val="22"/>
          <w:szCs w:val="22"/>
        </w:rPr>
      </w:pPr>
      <w:r>
        <w:rPr>
          <w:rStyle w:val="FontStyle19"/>
          <w:sz w:val="22"/>
          <w:szCs w:val="22"/>
        </w:rPr>
        <w:t>Άλλες αντιυπερτασικές φαρμακευτικές αγωγές</w:t>
      </w:r>
      <w:r w:rsidR="005D5E57" w:rsidRPr="00A072F5">
        <w:rPr>
          <w:rStyle w:val="FontStyle19"/>
          <w:sz w:val="22"/>
          <w:szCs w:val="22"/>
        </w:rPr>
        <w:t>:</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Το αντιυπερτασικό αποτέλεσμα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μπορεί να αυξηθεί με την ταυτόχρονη χρήση άλλων αντιυπερτασικών φαρμάκων.</w:t>
      </w:r>
    </w:p>
    <w:p w:rsidR="00C24182" w:rsidRPr="0038404B" w:rsidRDefault="00C24182" w:rsidP="00C24182">
      <w:pPr>
        <w:pStyle w:val="Style13"/>
        <w:widowControl/>
        <w:rPr>
          <w:sz w:val="22"/>
          <w:szCs w:val="22"/>
        </w:rPr>
      </w:pPr>
    </w:p>
    <w:p w:rsidR="00114450" w:rsidRPr="0038404B" w:rsidRDefault="00114450" w:rsidP="00114450">
      <w:pPr>
        <w:pStyle w:val="Style13"/>
        <w:widowControl/>
        <w:rPr>
          <w:iCs/>
          <w:sz w:val="22"/>
          <w:szCs w:val="22"/>
        </w:rPr>
      </w:pPr>
      <w:r w:rsidRPr="0038404B">
        <w:rPr>
          <w:iCs/>
          <w:sz w:val="22"/>
          <w:szCs w:val="22"/>
        </w:rPr>
        <w:t>Τα δεδομένα από κλινικές μελέτες έχουν δείξει ότι ο διπλός αποκλεισμός του συστήματος ρενίνης-</w:t>
      </w:r>
    </w:p>
    <w:p w:rsidR="00C24182" w:rsidRPr="0038404B" w:rsidRDefault="00EC2C60" w:rsidP="00114450">
      <w:pPr>
        <w:pStyle w:val="Style13"/>
        <w:widowControl/>
        <w:rPr>
          <w:iCs/>
          <w:sz w:val="22"/>
          <w:szCs w:val="22"/>
        </w:rPr>
      </w:pPr>
      <w:r w:rsidRPr="0038404B">
        <w:rPr>
          <w:iCs/>
          <w:sz w:val="22"/>
          <w:szCs w:val="22"/>
        </w:rPr>
        <w:t>αγγειοτ</w:t>
      </w:r>
      <w:r>
        <w:rPr>
          <w:iCs/>
          <w:sz w:val="22"/>
          <w:szCs w:val="22"/>
        </w:rPr>
        <w:t>α</w:t>
      </w:r>
      <w:r w:rsidR="00114450" w:rsidRPr="0038404B">
        <w:rPr>
          <w:iCs/>
          <w:sz w:val="22"/>
          <w:szCs w:val="22"/>
        </w:rPr>
        <w:t>σίνης-αλδοστερόνης (</w:t>
      </w:r>
      <w:r w:rsidR="00114450" w:rsidRPr="00114450">
        <w:rPr>
          <w:iCs/>
          <w:sz w:val="22"/>
          <w:szCs w:val="22"/>
          <w:lang w:val="en-GB"/>
        </w:rPr>
        <w:t>RAAS</w:t>
      </w:r>
      <w:r w:rsidR="00114450" w:rsidRPr="0038404B">
        <w:rPr>
          <w:iCs/>
          <w:sz w:val="22"/>
          <w:szCs w:val="22"/>
        </w:rPr>
        <w:t>) μέσω της συνδυασμένης χρήσης αναστολέων ΜΕΑ, αποκλειστών</w:t>
      </w:r>
      <w:r w:rsidR="00114450">
        <w:rPr>
          <w:iCs/>
          <w:sz w:val="22"/>
          <w:szCs w:val="22"/>
        </w:rPr>
        <w:t xml:space="preserve"> </w:t>
      </w:r>
      <w:r w:rsidRPr="0038404B">
        <w:rPr>
          <w:iCs/>
          <w:sz w:val="22"/>
          <w:szCs w:val="22"/>
        </w:rPr>
        <w:t>των υποδοχέων αγγειοτ</w:t>
      </w:r>
      <w:r>
        <w:rPr>
          <w:iCs/>
          <w:sz w:val="22"/>
          <w:szCs w:val="22"/>
        </w:rPr>
        <w:t>α</w:t>
      </w:r>
      <w:r w:rsidR="00114450" w:rsidRPr="0038404B">
        <w:rPr>
          <w:iCs/>
          <w:sz w:val="22"/>
          <w:szCs w:val="22"/>
        </w:rPr>
        <w:t>σίνης ΙΙ ή αλισκιρένης συσχετίζεται με υψηλότερη συχνότητα ανεπιθυμήτων</w:t>
      </w:r>
      <w:r w:rsidR="00114450">
        <w:rPr>
          <w:iCs/>
          <w:sz w:val="22"/>
          <w:szCs w:val="22"/>
        </w:rPr>
        <w:t xml:space="preserve"> </w:t>
      </w:r>
      <w:r w:rsidR="00114450" w:rsidRPr="0038404B">
        <w:rPr>
          <w:iCs/>
          <w:sz w:val="22"/>
          <w:szCs w:val="22"/>
        </w:rPr>
        <w:t>συμβάντων όπως η υπόταση, η υπερκαλιαιμία και η μειωμένη νεφρική λειτουργία (περιλαμβανομένης</w:t>
      </w:r>
      <w:r w:rsidR="00114450">
        <w:rPr>
          <w:iCs/>
          <w:sz w:val="22"/>
          <w:szCs w:val="22"/>
        </w:rPr>
        <w:t xml:space="preserve"> </w:t>
      </w:r>
      <w:r w:rsidR="00114450" w:rsidRPr="0038404B">
        <w:rPr>
          <w:iCs/>
          <w:sz w:val="22"/>
          <w:szCs w:val="22"/>
        </w:rPr>
        <w:t>της οξείας νεφρικής ανεπάρκειας) σε σύγκριση με τη χρήση ενός μόνου παράγοντα που δρα στο</w:t>
      </w:r>
      <w:r w:rsidR="00114450">
        <w:rPr>
          <w:iCs/>
          <w:sz w:val="22"/>
          <w:szCs w:val="22"/>
        </w:rPr>
        <w:t xml:space="preserve"> </w:t>
      </w:r>
      <w:r w:rsidRPr="0038404B">
        <w:rPr>
          <w:iCs/>
          <w:sz w:val="22"/>
          <w:szCs w:val="22"/>
        </w:rPr>
        <w:t>σύστημα ρενίνης-αγγειοτ</w:t>
      </w:r>
      <w:r>
        <w:rPr>
          <w:iCs/>
          <w:sz w:val="22"/>
          <w:szCs w:val="22"/>
        </w:rPr>
        <w:t>α</w:t>
      </w:r>
      <w:r w:rsidR="00114450" w:rsidRPr="0038404B">
        <w:rPr>
          <w:iCs/>
          <w:sz w:val="22"/>
          <w:szCs w:val="22"/>
        </w:rPr>
        <w:t>σίνης-αλδοστερόνης (</w:t>
      </w:r>
      <w:r w:rsidR="00114450" w:rsidRPr="00114450">
        <w:rPr>
          <w:iCs/>
          <w:sz w:val="22"/>
          <w:szCs w:val="22"/>
          <w:lang w:val="en-GB"/>
        </w:rPr>
        <w:t>RAAS</w:t>
      </w:r>
      <w:r w:rsidR="00114450" w:rsidRPr="0038404B">
        <w:rPr>
          <w:iCs/>
          <w:sz w:val="22"/>
          <w:szCs w:val="22"/>
        </w:rPr>
        <w:t xml:space="preserve">) (βλ. παραγράφους 4.3, 4.4 και 5.1). </w:t>
      </w:r>
    </w:p>
    <w:p w:rsidR="00C24182" w:rsidRPr="0038404B" w:rsidRDefault="00C24182" w:rsidP="00C24182">
      <w:pPr>
        <w:pStyle w:val="Style13"/>
        <w:widowControl/>
        <w:rPr>
          <w:sz w:val="22"/>
          <w:szCs w:val="22"/>
        </w:rPr>
      </w:pPr>
    </w:p>
    <w:p w:rsidR="005D5E57" w:rsidRPr="00A072F5" w:rsidRDefault="005D5E57" w:rsidP="00C24182">
      <w:pPr>
        <w:pStyle w:val="Style13"/>
        <w:widowControl/>
        <w:rPr>
          <w:rStyle w:val="FontStyle19"/>
          <w:sz w:val="22"/>
          <w:szCs w:val="22"/>
        </w:rPr>
      </w:pPr>
      <w:r w:rsidRPr="00A072F5">
        <w:rPr>
          <w:rStyle w:val="FontStyle19"/>
          <w:sz w:val="22"/>
          <w:szCs w:val="22"/>
        </w:rPr>
        <w:t>Μη στεροειδή αντιφλεγμονώδη φάρμακα (ΜΣΑΦ):</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Τα ΜΣΑΦ (συμπεριλαμβανομένων του ακετυλοσαλικυλικού οξέος σε δοσολογία &gt; 3</w:t>
      </w:r>
      <w:r w:rsidRPr="0038404B">
        <w:rPr>
          <w:rStyle w:val="FontStyle22"/>
          <w:sz w:val="22"/>
          <w:szCs w:val="22"/>
        </w:rPr>
        <w:t xml:space="preserve"> </w:t>
      </w:r>
      <w:r w:rsidRPr="00A072F5">
        <w:rPr>
          <w:rStyle w:val="FontStyle22"/>
          <w:sz w:val="22"/>
          <w:szCs w:val="22"/>
          <w:lang w:val="en-US"/>
        </w:rPr>
        <w:t>g</w:t>
      </w:r>
      <w:r w:rsidRPr="00A072F5">
        <w:rPr>
          <w:rStyle w:val="FontStyle22"/>
          <w:sz w:val="22"/>
          <w:szCs w:val="22"/>
        </w:rPr>
        <w:t>/ημέρα και των αναστολέων</w:t>
      </w:r>
      <w:r w:rsidRPr="0038404B">
        <w:rPr>
          <w:rStyle w:val="FontStyle22"/>
          <w:sz w:val="22"/>
          <w:szCs w:val="22"/>
        </w:rPr>
        <w:t xml:space="preserve"> </w:t>
      </w:r>
      <w:r w:rsidRPr="00A072F5">
        <w:rPr>
          <w:rStyle w:val="FontStyle22"/>
          <w:sz w:val="22"/>
          <w:szCs w:val="22"/>
          <w:lang w:val="en-US"/>
        </w:rPr>
        <w:t>COX</w:t>
      </w:r>
      <w:r w:rsidRPr="0038404B">
        <w:rPr>
          <w:rStyle w:val="FontStyle22"/>
          <w:sz w:val="22"/>
          <w:szCs w:val="22"/>
        </w:rPr>
        <w:t>-2)</w:t>
      </w:r>
      <w:r w:rsidRPr="00A072F5">
        <w:rPr>
          <w:rStyle w:val="FontStyle22"/>
          <w:sz w:val="22"/>
          <w:szCs w:val="22"/>
        </w:rPr>
        <w:t xml:space="preserve"> και οι ανταγωνιστές των υποδοχέων της αγγειοτασίνης ΙΙ μπορεί να δράσουν συνεργικά μειώνοντας τη σπειραματική διήθηση. Ο κίνδυνος από την ταυτόχρονη χορήγηση ΜΣΑΦ και ανταγωνιστών της αγγειοτασίνης ΙΙ είναι η εμφάνιση οξείας νεφρικής ανεπάρκειας.</w:t>
      </w:r>
    </w:p>
    <w:p w:rsidR="005D5E57" w:rsidRDefault="005D5E57" w:rsidP="00C24182">
      <w:pPr>
        <w:pStyle w:val="Style4"/>
        <w:widowControl/>
        <w:spacing w:line="240" w:lineRule="auto"/>
        <w:jc w:val="left"/>
        <w:rPr>
          <w:rStyle w:val="FontStyle22"/>
          <w:sz w:val="22"/>
          <w:szCs w:val="22"/>
        </w:rPr>
      </w:pPr>
      <w:r w:rsidRPr="00A072F5">
        <w:rPr>
          <w:rStyle w:val="FontStyle22"/>
          <w:sz w:val="22"/>
          <w:szCs w:val="22"/>
        </w:rPr>
        <w:t>Συνιστάται παρακολούθηση της νεφρικής λειτουργίας στην αρχή της θεραπείας καθώς επίσης και τακτική ενυδάτωση του ασθενή.</w:t>
      </w:r>
    </w:p>
    <w:p w:rsidR="00C24182" w:rsidRPr="00A072F5" w:rsidRDefault="00C24182" w:rsidP="00C24182">
      <w:pPr>
        <w:pStyle w:val="Style4"/>
        <w:widowControl/>
        <w:spacing w:line="240" w:lineRule="auto"/>
        <w:jc w:val="left"/>
        <w:rPr>
          <w:rStyle w:val="FontStyle22"/>
          <w:sz w:val="22"/>
          <w:szCs w:val="22"/>
        </w:rPr>
      </w:pPr>
    </w:p>
    <w:p w:rsidR="005D5E57" w:rsidRPr="00A072F5" w:rsidRDefault="005D5E57" w:rsidP="00C24182">
      <w:pPr>
        <w:pStyle w:val="Style11"/>
        <w:widowControl/>
        <w:spacing w:line="240" w:lineRule="auto"/>
        <w:rPr>
          <w:rStyle w:val="FontStyle22"/>
          <w:sz w:val="22"/>
          <w:szCs w:val="22"/>
        </w:rPr>
      </w:pPr>
      <w:r w:rsidRPr="00A072F5">
        <w:rPr>
          <w:rStyle w:val="FontStyle22"/>
          <w:sz w:val="22"/>
          <w:szCs w:val="22"/>
        </w:rPr>
        <w:t>Επιπλέον ταυτόχρονη χορήγηση μπορεί να μειώσει το αντιυπερτασικό αποτέλεσμα των ανταγωνιστών των υποδοχέων της αγγειοτασίνης ΙΙ προκαλώντας μερικ</w:t>
      </w:r>
      <w:r w:rsidR="00EC2C60">
        <w:rPr>
          <w:rStyle w:val="FontStyle22"/>
          <w:sz w:val="22"/>
          <w:szCs w:val="22"/>
        </w:rPr>
        <w:t>ή απώλεια της αποτελεσματικότητά</w:t>
      </w:r>
      <w:r w:rsidRPr="00A072F5">
        <w:rPr>
          <w:rStyle w:val="FontStyle22"/>
          <w:sz w:val="22"/>
          <w:szCs w:val="22"/>
        </w:rPr>
        <w:t>ς</w:t>
      </w:r>
      <w:r w:rsidR="00EC2C60">
        <w:rPr>
          <w:rStyle w:val="FontStyle22"/>
          <w:sz w:val="22"/>
          <w:szCs w:val="22"/>
        </w:rPr>
        <w:t xml:space="preserve"> τους</w:t>
      </w:r>
      <w:r w:rsidRPr="00A072F5">
        <w:rPr>
          <w:rStyle w:val="FontStyle22"/>
          <w:sz w:val="22"/>
          <w:szCs w:val="22"/>
        </w:rPr>
        <w:t>.</w:t>
      </w:r>
    </w:p>
    <w:p w:rsidR="005D5E57" w:rsidRPr="00A072F5" w:rsidRDefault="005D5E57" w:rsidP="00C24182">
      <w:pPr>
        <w:pStyle w:val="Style13"/>
        <w:widowControl/>
        <w:rPr>
          <w:sz w:val="22"/>
          <w:szCs w:val="22"/>
        </w:rPr>
      </w:pPr>
    </w:p>
    <w:p w:rsidR="005D5E57" w:rsidRPr="00A072F5" w:rsidRDefault="005D5E57" w:rsidP="00C24182">
      <w:pPr>
        <w:pStyle w:val="Style13"/>
        <w:widowControl/>
        <w:rPr>
          <w:rStyle w:val="FontStyle19"/>
          <w:sz w:val="22"/>
          <w:szCs w:val="22"/>
        </w:rPr>
      </w:pPr>
      <w:r w:rsidRPr="00A072F5">
        <w:rPr>
          <w:rStyle w:val="FontStyle19"/>
          <w:sz w:val="22"/>
          <w:szCs w:val="22"/>
        </w:rPr>
        <w:t>Άλλες ενώσεις:</w:t>
      </w:r>
    </w:p>
    <w:p w:rsidR="005D5E57" w:rsidRPr="0038404B" w:rsidRDefault="005D5E57" w:rsidP="00C24182">
      <w:pPr>
        <w:pStyle w:val="Style4"/>
        <w:widowControl/>
        <w:spacing w:line="240" w:lineRule="auto"/>
        <w:jc w:val="left"/>
        <w:rPr>
          <w:rStyle w:val="FontStyle22"/>
          <w:sz w:val="22"/>
          <w:szCs w:val="22"/>
        </w:rPr>
      </w:pPr>
      <w:r w:rsidRPr="00A072F5">
        <w:rPr>
          <w:rStyle w:val="FontStyle22"/>
          <w:sz w:val="22"/>
          <w:szCs w:val="22"/>
        </w:rPr>
        <w:t>Μετά από θεραπεία με αντιόξινα (υδροξείδιο αργιλίου και μαγνησίου) παρατηρήθηκε μέτρια μείωση της βιοδιαθεσιμότητας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w:t>
      </w:r>
      <w:r w:rsidR="00C24182">
        <w:rPr>
          <w:rStyle w:val="FontStyle22"/>
          <w:sz w:val="22"/>
          <w:szCs w:val="22"/>
        </w:rPr>
        <w:t xml:space="preserve"> </w:t>
      </w:r>
      <w:r w:rsidRPr="00A072F5">
        <w:rPr>
          <w:rStyle w:val="FontStyle22"/>
          <w:sz w:val="22"/>
          <w:szCs w:val="22"/>
        </w:rPr>
        <w:t xml:space="preserve">Συγχορήγηση βαρφαρίνης και </w:t>
      </w:r>
      <w:r w:rsidR="00EC2C60">
        <w:rPr>
          <w:rStyle w:val="FontStyle22"/>
          <w:sz w:val="22"/>
          <w:szCs w:val="22"/>
        </w:rPr>
        <w:t>διγοξίνης δεν είχε επίδραση στη</w:t>
      </w:r>
      <w:r w:rsidRPr="00A072F5">
        <w:rPr>
          <w:rStyle w:val="FontStyle22"/>
          <w:sz w:val="22"/>
          <w:szCs w:val="22"/>
        </w:rPr>
        <w:t xml:space="preserve"> φαρμακοκινητική της </w:t>
      </w:r>
      <w:r w:rsidRPr="00A072F5">
        <w:rPr>
          <w:rStyle w:val="FontStyle22"/>
          <w:sz w:val="22"/>
          <w:szCs w:val="22"/>
          <w:lang w:val="en-US"/>
        </w:rPr>
        <w:t>olmesartan</w:t>
      </w:r>
      <w:r w:rsidRPr="0038404B">
        <w:rPr>
          <w:rStyle w:val="FontStyle22"/>
          <w:sz w:val="22"/>
          <w:szCs w:val="22"/>
        </w:rPr>
        <w:t>.</w:t>
      </w:r>
    </w:p>
    <w:p w:rsidR="005D5E57" w:rsidRPr="00A072F5" w:rsidRDefault="005D5E57" w:rsidP="00C24182">
      <w:pPr>
        <w:pStyle w:val="Style8"/>
        <w:widowControl/>
        <w:jc w:val="left"/>
        <w:rPr>
          <w:sz w:val="22"/>
          <w:szCs w:val="22"/>
        </w:rPr>
      </w:pPr>
    </w:p>
    <w:p w:rsidR="005D5E57" w:rsidRPr="00A072F5" w:rsidRDefault="00EC2C60" w:rsidP="00C24182">
      <w:pPr>
        <w:pStyle w:val="Style8"/>
        <w:widowControl/>
        <w:jc w:val="left"/>
        <w:rPr>
          <w:rStyle w:val="FontStyle21"/>
          <w:sz w:val="22"/>
          <w:szCs w:val="22"/>
        </w:rPr>
      </w:pPr>
      <w:r>
        <w:rPr>
          <w:rStyle w:val="FontStyle21"/>
          <w:sz w:val="22"/>
          <w:szCs w:val="22"/>
        </w:rPr>
        <w:lastRenderedPageBreak/>
        <w:t>Ε</w:t>
      </w:r>
      <w:r w:rsidR="005D5E57" w:rsidRPr="00A072F5">
        <w:rPr>
          <w:rStyle w:val="FontStyle21"/>
          <w:sz w:val="22"/>
          <w:szCs w:val="22"/>
        </w:rPr>
        <w:t>πιδράσεις</w:t>
      </w:r>
      <w:r w:rsidR="00C24182" w:rsidRPr="0038404B">
        <w:rPr>
          <w:rStyle w:val="FontStyle21"/>
          <w:sz w:val="22"/>
          <w:szCs w:val="22"/>
        </w:rPr>
        <w:t xml:space="preserve"> </w:t>
      </w:r>
      <w:r w:rsidR="00C24182">
        <w:rPr>
          <w:rStyle w:val="FontStyle21"/>
          <w:sz w:val="22"/>
          <w:szCs w:val="22"/>
        </w:rPr>
        <w:t>ο</w:t>
      </w:r>
      <w:r w:rsidR="005D5E57" w:rsidRPr="00A072F5">
        <w:rPr>
          <w:rStyle w:val="FontStyle21"/>
          <w:sz w:val="22"/>
          <w:szCs w:val="22"/>
          <w:lang w:val="en-US"/>
        </w:rPr>
        <w:t>lmesartan</w:t>
      </w:r>
      <w:r w:rsidR="005D5E57" w:rsidRPr="0038404B">
        <w:rPr>
          <w:rStyle w:val="FontStyle21"/>
          <w:sz w:val="22"/>
          <w:szCs w:val="22"/>
        </w:rPr>
        <w:t xml:space="preserve"> </w:t>
      </w:r>
      <w:r w:rsidR="005D5E57" w:rsidRPr="00A072F5">
        <w:rPr>
          <w:rStyle w:val="FontStyle21"/>
          <w:sz w:val="22"/>
          <w:szCs w:val="22"/>
          <w:lang w:val="en-US"/>
        </w:rPr>
        <w:t>medoxomil</w:t>
      </w:r>
      <w:r w:rsidR="005D5E57" w:rsidRPr="00A072F5">
        <w:rPr>
          <w:rStyle w:val="FontStyle21"/>
          <w:sz w:val="22"/>
          <w:szCs w:val="22"/>
        </w:rPr>
        <w:t xml:space="preserve"> σε άλλα φάρμακα</w:t>
      </w:r>
      <w:r w:rsidR="00D041ED">
        <w:rPr>
          <w:rStyle w:val="FontStyle21"/>
          <w:sz w:val="22"/>
          <w:szCs w:val="22"/>
        </w:rPr>
        <w:t>:</w:t>
      </w:r>
    </w:p>
    <w:p w:rsidR="0042565E" w:rsidRPr="0038404B" w:rsidRDefault="0042565E" w:rsidP="00C24182">
      <w:pPr>
        <w:pStyle w:val="Style13"/>
        <w:widowControl/>
        <w:rPr>
          <w:rStyle w:val="FontStyle19"/>
          <w:sz w:val="22"/>
          <w:szCs w:val="22"/>
        </w:rPr>
      </w:pPr>
    </w:p>
    <w:p w:rsidR="005D5E57" w:rsidRPr="00A072F5" w:rsidRDefault="005D5E57" w:rsidP="00C24182">
      <w:pPr>
        <w:pStyle w:val="Style13"/>
        <w:widowControl/>
        <w:rPr>
          <w:rStyle w:val="FontStyle19"/>
          <w:sz w:val="22"/>
          <w:szCs w:val="22"/>
        </w:rPr>
      </w:pPr>
      <w:r w:rsidRPr="00A072F5">
        <w:rPr>
          <w:rStyle w:val="FontStyle19"/>
          <w:sz w:val="22"/>
          <w:szCs w:val="22"/>
        </w:rPr>
        <w:t>Λίθιο:</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Έχει αναφερθεί αναστρέψιμη αύξηση της συγκέντρωσης του λιθίου στον ορό και της τοξικότητας κατά τη</w:t>
      </w:r>
      <w:r w:rsidR="00EC2C60">
        <w:rPr>
          <w:rStyle w:val="FontStyle22"/>
          <w:sz w:val="22"/>
          <w:szCs w:val="22"/>
        </w:rPr>
        <w:t>ν</w:t>
      </w:r>
      <w:r w:rsidRPr="00A072F5">
        <w:rPr>
          <w:rStyle w:val="FontStyle22"/>
          <w:sz w:val="22"/>
          <w:szCs w:val="22"/>
        </w:rPr>
        <w:t xml:space="preserve"> ταυτόχρονη χ</w:t>
      </w:r>
      <w:r w:rsidR="00EC2C60">
        <w:rPr>
          <w:rStyle w:val="FontStyle22"/>
          <w:sz w:val="22"/>
          <w:szCs w:val="22"/>
        </w:rPr>
        <w:t>ορήγηση λιθίου με αναστολείς μετατρεπτικού ενζύμου της αγγειοτασίνης</w:t>
      </w:r>
      <w:r w:rsidRPr="00A072F5">
        <w:rPr>
          <w:rStyle w:val="FontStyle22"/>
          <w:sz w:val="22"/>
          <w:szCs w:val="22"/>
        </w:rPr>
        <w:t xml:space="preserve"> και ανταγωνιστές </w:t>
      </w:r>
      <w:r w:rsidR="00EC2C60">
        <w:rPr>
          <w:rStyle w:val="FontStyle22"/>
          <w:sz w:val="22"/>
          <w:szCs w:val="22"/>
        </w:rPr>
        <w:t xml:space="preserve">των υποδοχέων </w:t>
      </w:r>
      <w:r w:rsidRPr="00A072F5">
        <w:rPr>
          <w:rStyle w:val="FontStyle22"/>
          <w:sz w:val="22"/>
          <w:szCs w:val="22"/>
        </w:rPr>
        <w:t>της αγγειοτασίνης ΙΙ.</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Επομένως, δεν συνιστάται ο συνδυασμός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και λιθίου</w:t>
      </w:r>
      <w:r w:rsidR="00EC2C60">
        <w:rPr>
          <w:rStyle w:val="FontStyle22"/>
          <w:sz w:val="22"/>
          <w:szCs w:val="22"/>
        </w:rPr>
        <w:t xml:space="preserve"> (βλ. παράγραφο 4.4)</w:t>
      </w:r>
      <w:r w:rsidRPr="00A072F5">
        <w:rPr>
          <w:rStyle w:val="FontStyle22"/>
          <w:sz w:val="22"/>
          <w:szCs w:val="22"/>
        </w:rPr>
        <w:t>.</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Εάν η χρήση του συνδυασμού κρίνεται απαραίτητη, συνιστάται αυστηρή παρακολούθηση</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των επιπέδων του λιθίου στον ορό.</w:t>
      </w:r>
    </w:p>
    <w:p w:rsidR="005D5E57" w:rsidRPr="00A072F5" w:rsidRDefault="005D5E57" w:rsidP="00C24182">
      <w:pPr>
        <w:pStyle w:val="Style13"/>
        <w:widowControl/>
        <w:rPr>
          <w:sz w:val="22"/>
          <w:szCs w:val="22"/>
        </w:rPr>
      </w:pPr>
    </w:p>
    <w:p w:rsidR="005D5E57" w:rsidRPr="00A072F5" w:rsidRDefault="005D5E57" w:rsidP="00C24182">
      <w:pPr>
        <w:pStyle w:val="Style13"/>
        <w:widowControl/>
        <w:rPr>
          <w:rStyle w:val="FontStyle19"/>
          <w:sz w:val="22"/>
          <w:szCs w:val="22"/>
        </w:rPr>
      </w:pPr>
      <w:r w:rsidRPr="00A072F5">
        <w:rPr>
          <w:rStyle w:val="FontStyle19"/>
          <w:sz w:val="22"/>
          <w:szCs w:val="22"/>
        </w:rPr>
        <w:t>Άλλες ουσίες:</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Ουσίες οι οποίες έχουν μελετηθεί σε ειδικές κλινικές μελέτες σε υγιείς εθελοντές περιλαμβάνουν βαρφαρίνη, διγοξίνη</w:t>
      </w:r>
      <w:r w:rsidR="00EC2C60">
        <w:rPr>
          <w:rStyle w:val="FontStyle22"/>
          <w:sz w:val="22"/>
          <w:szCs w:val="22"/>
        </w:rPr>
        <w:t>,</w:t>
      </w:r>
      <w:r w:rsidRPr="00A072F5">
        <w:rPr>
          <w:rStyle w:val="FontStyle22"/>
          <w:sz w:val="22"/>
          <w:szCs w:val="22"/>
        </w:rPr>
        <w:t xml:space="preserve"> αντιόξινα (υδροξείδιο αργιλίου και μαγνησίου), υδροχλωροθειαζίδη και πραβαστατίνη.</w:t>
      </w:r>
    </w:p>
    <w:p w:rsidR="005D5E57" w:rsidRPr="00A072F5" w:rsidRDefault="005D5E57" w:rsidP="00C24182">
      <w:pPr>
        <w:pStyle w:val="Style4"/>
        <w:widowControl/>
        <w:spacing w:line="240" w:lineRule="auto"/>
        <w:jc w:val="left"/>
        <w:rPr>
          <w:rStyle w:val="FontStyle22"/>
          <w:sz w:val="22"/>
          <w:szCs w:val="22"/>
        </w:rPr>
      </w:pPr>
      <w:r w:rsidRPr="00A072F5">
        <w:rPr>
          <w:rStyle w:val="FontStyle22"/>
          <w:sz w:val="22"/>
          <w:szCs w:val="22"/>
        </w:rPr>
        <w:t>Δεν παρατηρήθηκαν κλινικά σημαντικές αλληλεπιδράσεις και ειδικά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δεν είχε σημαντική επίδραση στη φαρμακοκινητική και φαρμακοδυναμική της βαρφαρίνης ή στη φαρμακοκινητική της διγοξίνης.</w:t>
      </w:r>
    </w:p>
    <w:p w:rsidR="005D5E57" w:rsidRPr="00A072F5" w:rsidRDefault="005D5E57" w:rsidP="00C24182">
      <w:pPr>
        <w:pStyle w:val="Style4"/>
        <w:widowControl/>
        <w:spacing w:line="240" w:lineRule="auto"/>
        <w:jc w:val="left"/>
        <w:rPr>
          <w:sz w:val="22"/>
          <w:szCs w:val="22"/>
        </w:rPr>
      </w:pPr>
    </w:p>
    <w:p w:rsidR="005D5E57" w:rsidRPr="00A072F5" w:rsidRDefault="005D5E57" w:rsidP="00C24182">
      <w:pPr>
        <w:pStyle w:val="Style4"/>
        <w:widowControl/>
        <w:spacing w:line="240" w:lineRule="auto"/>
        <w:jc w:val="left"/>
        <w:rPr>
          <w:rStyle w:val="FontStyle22"/>
          <w:sz w:val="22"/>
          <w:szCs w:val="22"/>
          <w:lang w:eastAsia="en-US"/>
        </w:rPr>
      </w:pPr>
      <w:r w:rsidRPr="00A072F5">
        <w:rPr>
          <w:rStyle w:val="FontStyle22"/>
          <w:sz w:val="22"/>
          <w:szCs w:val="22"/>
          <w:lang w:val="en-US" w:eastAsia="en-US"/>
        </w:rPr>
        <w:t>H</w:t>
      </w:r>
      <w:r w:rsidRPr="0038404B">
        <w:rPr>
          <w:rStyle w:val="FontStyle22"/>
          <w:sz w:val="22"/>
          <w:szCs w:val="22"/>
          <w:lang w:eastAsia="en-US"/>
        </w:rPr>
        <w:t xml:space="preserve"> </w:t>
      </w:r>
      <w:r w:rsidRPr="00A072F5">
        <w:rPr>
          <w:rStyle w:val="FontStyle22"/>
          <w:sz w:val="22"/>
          <w:szCs w:val="22"/>
          <w:lang w:val="en-US" w:eastAsia="en-US"/>
        </w:rPr>
        <w:t>olmesartan</w:t>
      </w:r>
      <w:r w:rsidRPr="00A072F5">
        <w:rPr>
          <w:rStyle w:val="FontStyle22"/>
          <w:sz w:val="22"/>
          <w:szCs w:val="22"/>
          <w:lang w:eastAsia="en-US"/>
        </w:rPr>
        <w:t xml:space="preserve"> δεν είχε κλινικά σημαντική ανασταλτική επίδραση</w:t>
      </w:r>
      <w:r w:rsidRPr="0038404B">
        <w:rPr>
          <w:rStyle w:val="FontStyle22"/>
          <w:sz w:val="22"/>
          <w:szCs w:val="22"/>
          <w:lang w:eastAsia="en-US"/>
        </w:rPr>
        <w:t xml:space="preserve"> </w:t>
      </w:r>
      <w:r w:rsidRPr="00A072F5">
        <w:rPr>
          <w:rStyle w:val="FontStyle19"/>
          <w:sz w:val="22"/>
          <w:szCs w:val="22"/>
          <w:lang w:val="en-US" w:eastAsia="en-US"/>
        </w:rPr>
        <w:t>in</w:t>
      </w:r>
      <w:r w:rsidRPr="0038404B">
        <w:rPr>
          <w:rStyle w:val="FontStyle19"/>
          <w:sz w:val="22"/>
          <w:szCs w:val="22"/>
          <w:lang w:eastAsia="en-US"/>
        </w:rPr>
        <w:t xml:space="preserve"> </w:t>
      </w:r>
      <w:r w:rsidRPr="00A072F5">
        <w:rPr>
          <w:rStyle w:val="FontStyle19"/>
          <w:sz w:val="22"/>
          <w:szCs w:val="22"/>
          <w:lang w:val="en-US" w:eastAsia="en-US"/>
        </w:rPr>
        <w:t>vitro</w:t>
      </w:r>
      <w:r w:rsidRPr="00A072F5">
        <w:rPr>
          <w:rStyle w:val="FontStyle19"/>
          <w:sz w:val="22"/>
          <w:szCs w:val="22"/>
          <w:lang w:eastAsia="en-US"/>
        </w:rPr>
        <w:t xml:space="preserve"> </w:t>
      </w:r>
      <w:r w:rsidRPr="00A072F5">
        <w:rPr>
          <w:rStyle w:val="FontStyle22"/>
          <w:sz w:val="22"/>
          <w:szCs w:val="22"/>
          <w:lang w:eastAsia="en-US"/>
        </w:rPr>
        <w:t>στα ένζυμα του ανθρώπινου Ρ450-κυτοχρώματος</w:t>
      </w:r>
      <w:r w:rsidRPr="0038404B">
        <w:rPr>
          <w:rStyle w:val="FontStyle22"/>
          <w:sz w:val="22"/>
          <w:szCs w:val="22"/>
          <w:lang w:eastAsia="en-US"/>
        </w:rPr>
        <w:t xml:space="preserve"> 1</w:t>
      </w:r>
      <w:r w:rsidRPr="00A072F5">
        <w:rPr>
          <w:rStyle w:val="FontStyle22"/>
          <w:sz w:val="22"/>
          <w:szCs w:val="22"/>
          <w:lang w:val="en-US" w:eastAsia="en-US"/>
        </w:rPr>
        <w:t>A</w:t>
      </w:r>
      <w:r w:rsidRPr="0038404B">
        <w:rPr>
          <w:rStyle w:val="FontStyle22"/>
          <w:sz w:val="22"/>
          <w:szCs w:val="22"/>
          <w:lang w:eastAsia="en-US"/>
        </w:rPr>
        <w:t>1/2, 2</w:t>
      </w:r>
      <w:r w:rsidRPr="00A072F5">
        <w:rPr>
          <w:rStyle w:val="FontStyle22"/>
          <w:sz w:val="22"/>
          <w:szCs w:val="22"/>
          <w:lang w:val="en-US" w:eastAsia="en-US"/>
        </w:rPr>
        <w:t>A</w:t>
      </w:r>
      <w:r w:rsidRPr="0038404B">
        <w:rPr>
          <w:rStyle w:val="FontStyle22"/>
          <w:sz w:val="22"/>
          <w:szCs w:val="22"/>
          <w:lang w:eastAsia="en-US"/>
        </w:rPr>
        <w:t>6, 2</w:t>
      </w:r>
      <w:r w:rsidRPr="00A072F5">
        <w:rPr>
          <w:rStyle w:val="FontStyle22"/>
          <w:sz w:val="22"/>
          <w:szCs w:val="22"/>
          <w:lang w:val="en-US" w:eastAsia="en-US"/>
        </w:rPr>
        <w:t>C</w:t>
      </w:r>
      <w:r w:rsidRPr="0038404B">
        <w:rPr>
          <w:rStyle w:val="FontStyle22"/>
          <w:sz w:val="22"/>
          <w:szCs w:val="22"/>
          <w:lang w:eastAsia="en-US"/>
        </w:rPr>
        <w:t>8/9, 2</w:t>
      </w:r>
      <w:r w:rsidRPr="00A072F5">
        <w:rPr>
          <w:rStyle w:val="FontStyle22"/>
          <w:sz w:val="22"/>
          <w:szCs w:val="22"/>
          <w:lang w:val="en-US" w:eastAsia="en-US"/>
        </w:rPr>
        <w:t>C</w:t>
      </w:r>
      <w:r w:rsidRPr="0038404B">
        <w:rPr>
          <w:rStyle w:val="FontStyle22"/>
          <w:sz w:val="22"/>
          <w:szCs w:val="22"/>
          <w:lang w:eastAsia="en-US"/>
        </w:rPr>
        <w:t>19, 2</w:t>
      </w:r>
      <w:r w:rsidRPr="00A072F5">
        <w:rPr>
          <w:rStyle w:val="FontStyle22"/>
          <w:sz w:val="22"/>
          <w:szCs w:val="22"/>
          <w:lang w:val="en-US" w:eastAsia="en-US"/>
        </w:rPr>
        <w:t>D</w:t>
      </w:r>
      <w:r w:rsidRPr="0038404B">
        <w:rPr>
          <w:rStyle w:val="FontStyle22"/>
          <w:sz w:val="22"/>
          <w:szCs w:val="22"/>
          <w:lang w:eastAsia="en-US"/>
        </w:rPr>
        <w:t>6, 2</w:t>
      </w:r>
      <w:r w:rsidRPr="00A072F5">
        <w:rPr>
          <w:rStyle w:val="FontStyle22"/>
          <w:sz w:val="22"/>
          <w:szCs w:val="22"/>
          <w:lang w:val="en-US" w:eastAsia="en-US"/>
        </w:rPr>
        <w:t>E</w:t>
      </w:r>
      <w:r w:rsidRPr="0038404B">
        <w:rPr>
          <w:rStyle w:val="FontStyle22"/>
          <w:sz w:val="22"/>
          <w:szCs w:val="22"/>
          <w:lang w:eastAsia="en-US"/>
        </w:rPr>
        <w:t>1</w:t>
      </w:r>
      <w:r w:rsidRPr="00A072F5">
        <w:rPr>
          <w:rStyle w:val="FontStyle22"/>
          <w:sz w:val="22"/>
          <w:szCs w:val="22"/>
          <w:lang w:eastAsia="en-US"/>
        </w:rPr>
        <w:t xml:space="preserve"> και 3Α4 και είχε ελάχιστη ή καθόλου επαγωγική επίδραση στη δραστικότητα του </w:t>
      </w:r>
      <w:r w:rsidR="0066657B" w:rsidRPr="00A072F5">
        <w:rPr>
          <w:rStyle w:val="FontStyle22"/>
          <w:sz w:val="22"/>
          <w:szCs w:val="22"/>
          <w:lang w:eastAsia="en-US"/>
        </w:rPr>
        <w:t xml:space="preserve">κυτοχρώματος </w:t>
      </w:r>
      <w:r w:rsidRPr="00A072F5">
        <w:rPr>
          <w:rStyle w:val="FontStyle22"/>
          <w:sz w:val="22"/>
          <w:szCs w:val="22"/>
          <w:lang w:eastAsia="en-US"/>
        </w:rPr>
        <w:t>Ρ450 των επίμυων.</w:t>
      </w:r>
    </w:p>
    <w:p w:rsidR="005D5E57" w:rsidRPr="0038404B" w:rsidRDefault="005D5E57" w:rsidP="00C24182">
      <w:pPr>
        <w:pStyle w:val="Style4"/>
        <w:widowControl/>
        <w:spacing w:line="240" w:lineRule="auto"/>
        <w:jc w:val="left"/>
        <w:rPr>
          <w:rStyle w:val="FontStyle22"/>
          <w:sz w:val="22"/>
          <w:szCs w:val="22"/>
        </w:rPr>
      </w:pPr>
      <w:r w:rsidRPr="00A072F5">
        <w:rPr>
          <w:rStyle w:val="FontStyle22"/>
          <w:sz w:val="22"/>
          <w:szCs w:val="22"/>
        </w:rPr>
        <w:t>Επομένως,</w:t>
      </w:r>
      <w:r w:rsidRPr="0038404B">
        <w:rPr>
          <w:rStyle w:val="FontStyle22"/>
          <w:sz w:val="22"/>
          <w:szCs w:val="22"/>
        </w:rPr>
        <w:t xml:space="preserve"> </w:t>
      </w:r>
      <w:r w:rsidRPr="00A072F5">
        <w:rPr>
          <w:rStyle w:val="FontStyle19"/>
          <w:sz w:val="22"/>
          <w:szCs w:val="22"/>
          <w:lang w:val="en-US"/>
        </w:rPr>
        <w:t>in</w:t>
      </w:r>
      <w:r w:rsidRPr="0038404B">
        <w:rPr>
          <w:rStyle w:val="FontStyle19"/>
          <w:sz w:val="22"/>
          <w:szCs w:val="22"/>
        </w:rPr>
        <w:t xml:space="preserve"> </w:t>
      </w:r>
      <w:r w:rsidRPr="00A072F5">
        <w:rPr>
          <w:rStyle w:val="FontStyle19"/>
          <w:sz w:val="22"/>
          <w:szCs w:val="22"/>
          <w:lang w:val="en-US"/>
        </w:rPr>
        <w:t>vivo</w:t>
      </w:r>
      <w:r w:rsidRPr="00A072F5">
        <w:rPr>
          <w:rStyle w:val="FontStyle19"/>
          <w:sz w:val="22"/>
          <w:szCs w:val="22"/>
        </w:rPr>
        <w:t xml:space="preserve"> </w:t>
      </w:r>
      <w:r w:rsidRPr="00A072F5">
        <w:rPr>
          <w:rStyle w:val="FontStyle22"/>
          <w:sz w:val="22"/>
          <w:szCs w:val="22"/>
        </w:rPr>
        <w:t xml:space="preserve">μελέτες αλληλεπίδρασης με γνωστούς αναστολείς και επαγωγείς του </w:t>
      </w:r>
      <w:r w:rsidR="0066657B">
        <w:rPr>
          <w:rStyle w:val="FontStyle22"/>
          <w:sz w:val="22"/>
          <w:szCs w:val="22"/>
        </w:rPr>
        <w:t>ενζυμικού</w:t>
      </w:r>
      <w:r w:rsidRPr="00A072F5">
        <w:rPr>
          <w:rStyle w:val="FontStyle22"/>
          <w:sz w:val="22"/>
          <w:szCs w:val="22"/>
        </w:rPr>
        <w:t xml:space="preserve"> </w:t>
      </w:r>
      <w:r w:rsidR="0066657B" w:rsidRPr="00A072F5">
        <w:rPr>
          <w:rStyle w:val="FontStyle22"/>
          <w:sz w:val="22"/>
          <w:szCs w:val="22"/>
        </w:rPr>
        <w:t xml:space="preserve">κυτοχρώματος </w:t>
      </w:r>
      <w:r w:rsidRPr="00A072F5">
        <w:rPr>
          <w:rStyle w:val="FontStyle22"/>
          <w:sz w:val="22"/>
          <w:szCs w:val="22"/>
        </w:rPr>
        <w:t>Ρ450 δεν έχουν διεξαχθεί και δεν αναμένονται κλινικά σημαντικές αλληλεπιδράσεις μεταξύ 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και φαρμάκων που μεταβολίζονται από τα ανωτέρω αναφερόμενα ένζυμα του κυτοχρώματος Ρ450.</w:t>
      </w:r>
    </w:p>
    <w:p w:rsidR="0042565E" w:rsidRPr="0038404B" w:rsidRDefault="0042565E" w:rsidP="0042565E">
      <w:pPr>
        <w:pStyle w:val="Style4"/>
        <w:widowControl/>
        <w:spacing w:line="240" w:lineRule="auto"/>
        <w:rPr>
          <w:rStyle w:val="FontStyle22"/>
          <w:sz w:val="22"/>
          <w:szCs w:val="22"/>
        </w:rPr>
      </w:pPr>
    </w:p>
    <w:p w:rsidR="0042565E" w:rsidRPr="00A072F5" w:rsidRDefault="004A5589" w:rsidP="0042565E">
      <w:pPr>
        <w:pStyle w:val="Style6"/>
        <w:widowControl/>
        <w:numPr>
          <w:ilvl w:val="0"/>
          <w:numId w:val="5"/>
        </w:numPr>
        <w:tabs>
          <w:tab w:val="left" w:pos="715"/>
        </w:tabs>
        <w:spacing w:line="240" w:lineRule="auto"/>
        <w:ind w:left="715" w:hanging="715"/>
        <w:rPr>
          <w:rStyle w:val="FontStyle21"/>
          <w:sz w:val="22"/>
          <w:szCs w:val="22"/>
        </w:rPr>
      </w:pPr>
      <w:r>
        <w:rPr>
          <w:rStyle w:val="FontStyle21"/>
          <w:sz w:val="22"/>
          <w:szCs w:val="22"/>
        </w:rPr>
        <w:t>Γονιμότητα, κ</w:t>
      </w:r>
      <w:r w:rsidR="0042565E" w:rsidRPr="00A072F5">
        <w:rPr>
          <w:rStyle w:val="FontStyle21"/>
          <w:sz w:val="22"/>
          <w:szCs w:val="22"/>
        </w:rPr>
        <w:t>ύηση και γαλουχία</w:t>
      </w:r>
    </w:p>
    <w:p w:rsidR="004A5589" w:rsidRPr="004A5589" w:rsidRDefault="004A5589" w:rsidP="004A5589">
      <w:pPr>
        <w:tabs>
          <w:tab w:val="left" w:pos="567"/>
        </w:tabs>
        <w:autoSpaceDE/>
        <w:autoSpaceDN/>
        <w:adjustRightInd/>
        <w:contextualSpacing/>
        <w:rPr>
          <w:b/>
          <w:bCs/>
          <w:noProof/>
          <w:sz w:val="22"/>
          <w:szCs w:val="22"/>
          <w:lang w:val="en-GB" w:eastAsia="en-US"/>
        </w:rPr>
      </w:pPr>
    </w:p>
    <w:p w:rsidR="004A5589" w:rsidRPr="004A5589" w:rsidRDefault="0066657B" w:rsidP="004A5589">
      <w:pPr>
        <w:tabs>
          <w:tab w:val="left" w:pos="567"/>
        </w:tabs>
        <w:autoSpaceDE/>
        <w:autoSpaceDN/>
        <w:adjustRightInd/>
        <w:contextualSpacing/>
        <w:rPr>
          <w:b/>
          <w:bCs/>
          <w:noProof/>
          <w:sz w:val="22"/>
          <w:szCs w:val="22"/>
          <w:lang w:val="en-GB" w:eastAsia="en-US"/>
        </w:rPr>
      </w:pPr>
      <w:r>
        <w:rPr>
          <w:b/>
          <w:bCs/>
          <w:noProof/>
          <w:sz w:val="22"/>
          <w:szCs w:val="22"/>
          <w:lang w:eastAsia="en-US"/>
        </w:rPr>
        <w:t>Γονιμότητα</w:t>
      </w:r>
    </w:p>
    <w:p w:rsidR="004A5589" w:rsidRPr="0038404B" w:rsidRDefault="0066657B" w:rsidP="004A5589">
      <w:pPr>
        <w:tabs>
          <w:tab w:val="left" w:pos="567"/>
        </w:tabs>
        <w:autoSpaceDE/>
        <w:autoSpaceDN/>
        <w:adjustRightInd/>
        <w:contextualSpacing/>
        <w:rPr>
          <w:noProof/>
          <w:sz w:val="22"/>
          <w:szCs w:val="22"/>
          <w:lang w:eastAsia="en-US"/>
        </w:rPr>
      </w:pPr>
      <w:r>
        <w:rPr>
          <w:noProof/>
          <w:sz w:val="22"/>
          <w:szCs w:val="22"/>
          <w:lang w:eastAsia="en-US"/>
        </w:rPr>
        <w:t>Μελέτες στα ζώα δεν έδειξαν επιβλαβείς επιπτώσεις στη γονιμότητα (βλ. παράγραφο</w:t>
      </w:r>
      <w:r w:rsidR="004A5589" w:rsidRPr="0038404B">
        <w:rPr>
          <w:noProof/>
          <w:sz w:val="22"/>
          <w:szCs w:val="22"/>
          <w:lang w:eastAsia="en-US"/>
        </w:rPr>
        <w:t xml:space="preserve"> 5.3).</w:t>
      </w:r>
    </w:p>
    <w:p w:rsidR="004A5589" w:rsidRPr="0038404B" w:rsidRDefault="004A5589" w:rsidP="004A5589">
      <w:pPr>
        <w:tabs>
          <w:tab w:val="left" w:pos="567"/>
        </w:tabs>
        <w:autoSpaceDE/>
        <w:autoSpaceDN/>
        <w:adjustRightInd/>
        <w:contextualSpacing/>
        <w:rPr>
          <w:b/>
          <w:bCs/>
          <w:noProof/>
          <w:sz w:val="22"/>
          <w:szCs w:val="22"/>
          <w:lang w:eastAsia="en-US"/>
        </w:rPr>
      </w:pPr>
    </w:p>
    <w:p w:rsidR="004A5589" w:rsidRPr="0038404B" w:rsidRDefault="0066657B" w:rsidP="004A5589">
      <w:pPr>
        <w:tabs>
          <w:tab w:val="left" w:pos="567"/>
        </w:tabs>
        <w:autoSpaceDE/>
        <w:autoSpaceDN/>
        <w:adjustRightInd/>
        <w:contextualSpacing/>
        <w:rPr>
          <w:b/>
          <w:bCs/>
          <w:noProof/>
          <w:sz w:val="22"/>
          <w:szCs w:val="22"/>
          <w:lang w:eastAsia="en-US"/>
        </w:rPr>
      </w:pPr>
      <w:r>
        <w:rPr>
          <w:b/>
          <w:bCs/>
          <w:noProof/>
          <w:sz w:val="22"/>
          <w:szCs w:val="22"/>
          <w:lang w:eastAsia="en-US"/>
        </w:rPr>
        <w:t>Εγκυμοσύνη</w:t>
      </w:r>
    </w:p>
    <w:p w:rsidR="004A5589" w:rsidRPr="0038404B" w:rsidRDefault="0066657B" w:rsidP="004A5589">
      <w:pPr>
        <w:pBdr>
          <w:top w:val="single" w:sz="4" w:space="1" w:color="auto"/>
          <w:left w:val="single" w:sz="4" w:space="4" w:color="auto"/>
          <w:bottom w:val="single" w:sz="4" w:space="1" w:color="auto"/>
          <w:right w:val="single" w:sz="4" w:space="4" w:color="auto"/>
        </w:pBdr>
        <w:tabs>
          <w:tab w:val="left" w:pos="567"/>
        </w:tabs>
        <w:autoSpaceDE/>
        <w:autoSpaceDN/>
        <w:adjustRightInd/>
        <w:contextualSpacing/>
        <w:rPr>
          <w:noProof/>
          <w:sz w:val="22"/>
          <w:szCs w:val="22"/>
          <w:lang w:eastAsia="en-US"/>
        </w:rPr>
      </w:pPr>
      <w:r>
        <w:rPr>
          <w:noProof/>
          <w:sz w:val="22"/>
          <w:szCs w:val="22"/>
          <w:lang w:eastAsia="en-US"/>
        </w:rPr>
        <w:t>Η χρήση των ανταγωνιστών των υποδοχέων της αγγειοτασίνης</w:t>
      </w:r>
      <w:r w:rsidR="004A5589" w:rsidRPr="0038404B">
        <w:rPr>
          <w:noProof/>
          <w:sz w:val="22"/>
          <w:szCs w:val="22"/>
          <w:lang w:eastAsia="en-US"/>
        </w:rPr>
        <w:t xml:space="preserve"> </w:t>
      </w:r>
      <w:r w:rsidR="004A5589" w:rsidRPr="004A5589">
        <w:rPr>
          <w:noProof/>
          <w:sz w:val="22"/>
          <w:szCs w:val="22"/>
          <w:lang w:val="en-GB" w:eastAsia="en-US"/>
        </w:rPr>
        <w:t>II</w:t>
      </w:r>
      <w:r>
        <w:rPr>
          <w:noProof/>
          <w:sz w:val="22"/>
          <w:szCs w:val="22"/>
          <w:lang w:eastAsia="en-US"/>
        </w:rPr>
        <w:t xml:space="preserve"> δε συνιστάται κατά τη διάρκεια του πρώτου τριμήνου της κύησης (βλ. παράγραφο</w:t>
      </w:r>
      <w:r w:rsidR="004A5589" w:rsidRPr="0038404B">
        <w:rPr>
          <w:noProof/>
          <w:sz w:val="22"/>
          <w:szCs w:val="22"/>
          <w:lang w:eastAsia="en-US"/>
        </w:rPr>
        <w:t xml:space="preserve"> 4.4).</w:t>
      </w:r>
      <w:r>
        <w:rPr>
          <w:noProof/>
          <w:sz w:val="22"/>
          <w:szCs w:val="22"/>
          <w:lang w:eastAsia="en-US"/>
        </w:rPr>
        <w:t xml:space="preserve"> Η χρήση των ανταγωνιστών των υποδοχέων της αγγειοτασίνης</w:t>
      </w:r>
      <w:r w:rsidR="004A5589" w:rsidRPr="0038404B">
        <w:rPr>
          <w:noProof/>
          <w:sz w:val="22"/>
          <w:szCs w:val="22"/>
          <w:lang w:eastAsia="en-US"/>
        </w:rPr>
        <w:t xml:space="preserve"> </w:t>
      </w:r>
      <w:r w:rsidR="004A5589" w:rsidRPr="004A5589">
        <w:rPr>
          <w:noProof/>
          <w:sz w:val="22"/>
          <w:szCs w:val="22"/>
          <w:lang w:val="en-GB" w:eastAsia="en-US"/>
        </w:rPr>
        <w:t>II</w:t>
      </w:r>
      <w:r>
        <w:rPr>
          <w:noProof/>
          <w:sz w:val="22"/>
          <w:szCs w:val="22"/>
          <w:lang w:eastAsia="en-US"/>
        </w:rPr>
        <w:t xml:space="preserve"> αντενδείκνυται κατά τη διάρκεια του δευτέρου και του τρίτου τριμήνου της κύησης</w:t>
      </w:r>
      <w:r w:rsidR="004A5589" w:rsidRPr="0038404B">
        <w:rPr>
          <w:noProof/>
          <w:sz w:val="22"/>
          <w:szCs w:val="22"/>
          <w:lang w:eastAsia="en-US"/>
        </w:rPr>
        <w:t xml:space="preserve"> (</w:t>
      </w:r>
      <w:r>
        <w:rPr>
          <w:noProof/>
          <w:sz w:val="22"/>
          <w:szCs w:val="22"/>
          <w:lang w:eastAsia="en-US"/>
        </w:rPr>
        <w:t>βλ. παραγράφους</w:t>
      </w:r>
      <w:r w:rsidR="004A5589" w:rsidRPr="0038404B">
        <w:rPr>
          <w:noProof/>
          <w:sz w:val="22"/>
          <w:szCs w:val="22"/>
          <w:lang w:eastAsia="en-US"/>
        </w:rPr>
        <w:t xml:space="preserve"> 4.3 </w:t>
      </w:r>
      <w:r>
        <w:rPr>
          <w:noProof/>
          <w:sz w:val="22"/>
          <w:szCs w:val="22"/>
          <w:lang w:eastAsia="en-US"/>
        </w:rPr>
        <w:t>και</w:t>
      </w:r>
      <w:r w:rsidR="004A5589" w:rsidRPr="0038404B">
        <w:rPr>
          <w:noProof/>
          <w:sz w:val="22"/>
          <w:szCs w:val="22"/>
          <w:lang w:eastAsia="en-US"/>
        </w:rPr>
        <w:t xml:space="preserve"> 4.4).</w:t>
      </w:r>
    </w:p>
    <w:p w:rsidR="004A5589" w:rsidRPr="0038404B" w:rsidRDefault="004A5589" w:rsidP="004A5589">
      <w:pPr>
        <w:tabs>
          <w:tab w:val="left" w:pos="567"/>
        </w:tabs>
        <w:autoSpaceDE/>
        <w:autoSpaceDN/>
        <w:adjustRightInd/>
        <w:contextualSpacing/>
        <w:rPr>
          <w:noProof/>
          <w:sz w:val="22"/>
          <w:szCs w:val="22"/>
          <w:lang w:eastAsia="en-US"/>
        </w:rPr>
      </w:pPr>
    </w:p>
    <w:p w:rsidR="0066657B" w:rsidRPr="0038404B" w:rsidRDefault="00EA57D4" w:rsidP="0066657B">
      <w:pPr>
        <w:tabs>
          <w:tab w:val="left" w:pos="567"/>
        </w:tabs>
        <w:autoSpaceDE/>
        <w:autoSpaceDN/>
        <w:adjustRightInd/>
        <w:contextualSpacing/>
        <w:rPr>
          <w:noProof/>
          <w:sz w:val="22"/>
          <w:szCs w:val="22"/>
          <w:lang w:eastAsia="en-US"/>
        </w:rPr>
      </w:pPr>
      <w:r w:rsidRPr="00EC2F30">
        <w:rPr>
          <w:noProof/>
          <w:sz w:val="22"/>
          <w:szCs w:val="22"/>
          <w:lang w:eastAsia="en-US"/>
        </w:rPr>
        <w:t xml:space="preserve">Τα </w:t>
      </w:r>
      <w:r w:rsidR="0066657B" w:rsidRPr="00EC2F30">
        <w:rPr>
          <w:noProof/>
          <w:sz w:val="22"/>
          <w:szCs w:val="22"/>
          <w:lang w:eastAsia="en-US"/>
        </w:rPr>
        <w:t>επιδημιολογικ</w:t>
      </w:r>
      <w:r w:rsidRPr="00EC2F30">
        <w:rPr>
          <w:noProof/>
          <w:sz w:val="22"/>
          <w:szCs w:val="22"/>
          <w:lang w:eastAsia="en-US"/>
        </w:rPr>
        <w:t>ά στοιχεία</w:t>
      </w:r>
      <w:r w:rsidR="0066657B" w:rsidRPr="00EC2F30">
        <w:rPr>
          <w:noProof/>
          <w:sz w:val="22"/>
          <w:szCs w:val="22"/>
          <w:lang w:eastAsia="en-US"/>
        </w:rPr>
        <w:t xml:space="preserve"> σχετικά με τον κίνδυνο τερατογένεσης μετά από έκθεση σε αναστολείς ΜΕΑ κατά τη διάρκεια του πρώτου τριμήνου της κύησης δεν οδήγησαν σε σαφή συμπεράσματα. Ωστόσο, δεν μπορεί να αποκλειστεί μια μικρή αύξηση του κινδύνου. Παρότι δεν υπάρχουν ελεγχόμενα επιδημιολογικά δεδομένα για τον κίνδυνο με τους Ανταγωνιστές των Υποδοχέων της Αγγειοτασί</w:t>
      </w:r>
      <w:r w:rsidR="00A216E8" w:rsidRPr="00EC2F30">
        <w:rPr>
          <w:noProof/>
          <w:sz w:val="22"/>
          <w:szCs w:val="22"/>
          <w:lang w:eastAsia="en-US"/>
        </w:rPr>
        <w:t>νης</w:t>
      </w:r>
      <w:r w:rsidR="00A216E8" w:rsidRPr="0038404B">
        <w:rPr>
          <w:noProof/>
          <w:sz w:val="22"/>
          <w:szCs w:val="22"/>
          <w:lang w:eastAsia="en-US"/>
        </w:rPr>
        <w:t xml:space="preserve"> ΙΙ</w:t>
      </w:r>
      <w:r w:rsidR="0066657B" w:rsidRPr="0038404B">
        <w:rPr>
          <w:noProof/>
          <w:sz w:val="22"/>
          <w:szCs w:val="22"/>
          <w:lang w:eastAsia="en-US"/>
        </w:rPr>
        <w:t xml:space="preserve">, αντίστοιχοι κίνδυνοι μπορεί να υπάρχουν για την κατηγορία αυτή των φαρμάκων. Εκτός από την περίπτωση όπου η συνεχιζόμενη θεραπεία με </w:t>
      </w:r>
      <w:r w:rsidR="00A216E8" w:rsidRPr="0038404B">
        <w:rPr>
          <w:noProof/>
          <w:sz w:val="22"/>
          <w:szCs w:val="22"/>
          <w:lang w:eastAsia="en-US"/>
        </w:rPr>
        <w:t>Α</w:t>
      </w:r>
      <w:r w:rsidR="00A216E8">
        <w:rPr>
          <w:noProof/>
          <w:sz w:val="22"/>
          <w:szCs w:val="22"/>
          <w:lang w:eastAsia="en-US"/>
        </w:rPr>
        <w:t>ποκλε</w:t>
      </w:r>
      <w:r w:rsidR="00A216E8" w:rsidRPr="0038404B">
        <w:rPr>
          <w:noProof/>
          <w:sz w:val="22"/>
          <w:szCs w:val="22"/>
          <w:lang w:eastAsia="en-US"/>
        </w:rPr>
        <w:t xml:space="preserve">ιστές των Υποδοχέων της Αγγειοτασίνης </w:t>
      </w:r>
      <w:r w:rsidR="0066657B" w:rsidRPr="0038404B">
        <w:rPr>
          <w:noProof/>
          <w:sz w:val="22"/>
          <w:szCs w:val="22"/>
          <w:lang w:eastAsia="en-US"/>
        </w:rPr>
        <w:t xml:space="preserve">θεωρηθεί απαραίτητη, στους ασθενείς που σχεδιάζουν εγκυμοσύνη πρέπει να γίνεται αλλαγή σε εναλλακτικές αντιυπερτασικές </w:t>
      </w:r>
      <w:r w:rsidR="00A216E8" w:rsidRPr="0038404B">
        <w:rPr>
          <w:noProof/>
          <w:sz w:val="22"/>
          <w:szCs w:val="22"/>
          <w:lang w:eastAsia="en-US"/>
        </w:rPr>
        <w:t>θεραπείες που έχουν τεκμηριωμέν</w:t>
      </w:r>
      <w:r w:rsidR="00A216E8">
        <w:rPr>
          <w:noProof/>
          <w:sz w:val="22"/>
          <w:szCs w:val="22"/>
          <w:lang w:eastAsia="en-US"/>
        </w:rPr>
        <w:t>ο</w:t>
      </w:r>
      <w:r w:rsidR="0066657B" w:rsidRPr="0038404B">
        <w:rPr>
          <w:noProof/>
          <w:sz w:val="22"/>
          <w:szCs w:val="22"/>
          <w:lang w:eastAsia="en-US"/>
        </w:rPr>
        <w:t xml:space="preserve"> </w:t>
      </w:r>
      <w:r w:rsidR="00A216E8">
        <w:rPr>
          <w:noProof/>
          <w:sz w:val="22"/>
          <w:szCs w:val="22"/>
          <w:lang w:eastAsia="en-US"/>
        </w:rPr>
        <w:t>προφίλ</w:t>
      </w:r>
      <w:r w:rsidR="0066657B" w:rsidRPr="0038404B">
        <w:rPr>
          <w:noProof/>
          <w:sz w:val="22"/>
          <w:szCs w:val="22"/>
          <w:lang w:eastAsia="en-US"/>
        </w:rPr>
        <w:t xml:space="preserve"> ασφάλειας για χρήση κατά την κύηση. Όταν διαπιστώνεται εγκυμοσύνη, η θεραπεία με </w:t>
      </w:r>
      <w:r w:rsidR="00A216E8" w:rsidRPr="0038404B">
        <w:rPr>
          <w:noProof/>
          <w:sz w:val="22"/>
          <w:szCs w:val="22"/>
          <w:lang w:eastAsia="en-US"/>
        </w:rPr>
        <w:t>Ανταγωνιστές των Υποδοχέων της Αγγειοτασίνης ΙΙ</w:t>
      </w:r>
      <w:r w:rsidR="0066657B" w:rsidRPr="0038404B">
        <w:rPr>
          <w:noProof/>
          <w:sz w:val="22"/>
          <w:szCs w:val="22"/>
          <w:lang w:eastAsia="en-US"/>
        </w:rPr>
        <w:t xml:space="preserve"> πρέπει να σταματά αμέσως, και εάν αρμόζει, πρέπει να ξεκινά εναλλακτική θεραπεία.</w:t>
      </w:r>
    </w:p>
    <w:p w:rsidR="0066657B" w:rsidRPr="00DF1929" w:rsidRDefault="0066657B" w:rsidP="0066657B">
      <w:pPr>
        <w:tabs>
          <w:tab w:val="left" w:pos="567"/>
        </w:tabs>
        <w:autoSpaceDE/>
        <w:autoSpaceDN/>
        <w:adjustRightInd/>
        <w:contextualSpacing/>
        <w:rPr>
          <w:noProof/>
          <w:sz w:val="22"/>
          <w:szCs w:val="22"/>
          <w:lang w:eastAsia="en-US"/>
        </w:rPr>
      </w:pPr>
    </w:p>
    <w:p w:rsidR="00D041ED" w:rsidRDefault="0066657B" w:rsidP="0066657B">
      <w:pPr>
        <w:tabs>
          <w:tab w:val="left" w:pos="567"/>
        </w:tabs>
        <w:autoSpaceDE/>
        <w:autoSpaceDN/>
        <w:adjustRightInd/>
        <w:contextualSpacing/>
        <w:rPr>
          <w:noProof/>
          <w:sz w:val="22"/>
          <w:szCs w:val="22"/>
          <w:lang w:eastAsia="en-US"/>
        </w:rPr>
      </w:pPr>
      <w:r w:rsidRPr="0038404B">
        <w:rPr>
          <w:noProof/>
          <w:sz w:val="22"/>
          <w:szCs w:val="22"/>
          <w:lang w:eastAsia="en-US"/>
        </w:rPr>
        <w:t xml:space="preserve">Είναι γνωστό ότι η έκθεση στη θεραπεία με </w:t>
      </w:r>
      <w:r w:rsidR="00A216E8" w:rsidRPr="0038404B">
        <w:rPr>
          <w:noProof/>
          <w:sz w:val="22"/>
          <w:szCs w:val="22"/>
          <w:lang w:eastAsia="en-US"/>
        </w:rPr>
        <w:t>Ανταγωνιστές των Υποδοχέων της Αγγειοτασίνης ΙΙ κατά τη διάρκεια του δε</w:t>
      </w:r>
      <w:r w:rsidR="00A216E8">
        <w:rPr>
          <w:noProof/>
          <w:sz w:val="22"/>
          <w:szCs w:val="22"/>
          <w:lang w:eastAsia="en-US"/>
        </w:rPr>
        <w:t>υτέρου</w:t>
      </w:r>
      <w:r w:rsidRPr="0038404B">
        <w:rPr>
          <w:noProof/>
          <w:sz w:val="22"/>
          <w:szCs w:val="22"/>
          <w:lang w:eastAsia="en-US"/>
        </w:rPr>
        <w:t xml:space="preserve"> και του τρίτου τριμήνου της κύησης, επάγει εμβρυοτοξικότητα στον άνθρωπο (μειωμένη νεφρική λειτουργία, ολιγοϋδράμνιο, επιβράδυνση της οστεοποίησης του κρανίου) και νεογνική τοξικότητα (νεφρική ανεπάρκεια, υπόταση, υπερκαλιαιμία) (βλ. παράγραφο </w:t>
      </w:r>
      <w:r w:rsidRPr="0038404B">
        <w:rPr>
          <w:noProof/>
          <w:sz w:val="22"/>
          <w:szCs w:val="22"/>
          <w:lang w:eastAsia="en-US"/>
        </w:rPr>
        <w:lastRenderedPageBreak/>
        <w:t xml:space="preserve">5.3). </w:t>
      </w:r>
    </w:p>
    <w:p w:rsidR="00D041ED" w:rsidRDefault="00D041ED" w:rsidP="0066657B">
      <w:pPr>
        <w:tabs>
          <w:tab w:val="left" w:pos="567"/>
        </w:tabs>
        <w:autoSpaceDE/>
        <w:autoSpaceDN/>
        <w:adjustRightInd/>
        <w:contextualSpacing/>
        <w:rPr>
          <w:noProof/>
          <w:sz w:val="22"/>
          <w:szCs w:val="22"/>
          <w:lang w:eastAsia="en-US"/>
        </w:rPr>
      </w:pPr>
    </w:p>
    <w:p w:rsidR="0066657B" w:rsidRPr="0038404B" w:rsidRDefault="0066657B" w:rsidP="0066657B">
      <w:pPr>
        <w:tabs>
          <w:tab w:val="left" w:pos="567"/>
        </w:tabs>
        <w:autoSpaceDE/>
        <w:autoSpaceDN/>
        <w:adjustRightInd/>
        <w:contextualSpacing/>
        <w:rPr>
          <w:noProof/>
          <w:sz w:val="22"/>
          <w:szCs w:val="22"/>
          <w:lang w:eastAsia="en-US"/>
        </w:rPr>
      </w:pPr>
      <w:r w:rsidRPr="0038404B">
        <w:rPr>
          <w:noProof/>
          <w:sz w:val="22"/>
          <w:szCs w:val="22"/>
          <w:lang w:eastAsia="en-US"/>
        </w:rPr>
        <w:t xml:space="preserve">Εάν υπάρξει έκθεση σε </w:t>
      </w:r>
      <w:r w:rsidR="00A216E8" w:rsidRPr="0038404B">
        <w:rPr>
          <w:noProof/>
          <w:sz w:val="22"/>
          <w:szCs w:val="22"/>
          <w:lang w:eastAsia="en-US"/>
        </w:rPr>
        <w:t xml:space="preserve">Ανταγωνιστές των Υποδοχέων της Αγγειοτασίνης ΙΙ </w:t>
      </w:r>
      <w:r w:rsidRPr="0038404B">
        <w:rPr>
          <w:noProof/>
          <w:sz w:val="22"/>
          <w:szCs w:val="22"/>
          <w:lang w:eastAsia="en-US"/>
        </w:rPr>
        <w:t>από το δεύτερο τρίμηνο της κύησης, συνιστάται υπερηχογραφικός έλεγχος της νεφρικής λειτουργίας και του κρανίου.</w:t>
      </w:r>
    </w:p>
    <w:p w:rsidR="0066657B" w:rsidRDefault="0066657B" w:rsidP="0066657B">
      <w:pPr>
        <w:tabs>
          <w:tab w:val="left" w:pos="567"/>
        </w:tabs>
        <w:autoSpaceDE/>
        <w:autoSpaceDN/>
        <w:adjustRightInd/>
        <w:contextualSpacing/>
        <w:rPr>
          <w:noProof/>
          <w:sz w:val="22"/>
          <w:szCs w:val="22"/>
          <w:lang w:eastAsia="en-US"/>
        </w:rPr>
      </w:pPr>
      <w:r w:rsidRPr="0038404B">
        <w:rPr>
          <w:noProof/>
          <w:sz w:val="22"/>
          <w:szCs w:val="22"/>
          <w:lang w:eastAsia="en-US"/>
        </w:rPr>
        <w:t xml:space="preserve">Βρέφη των οποίων οι μητέρες έχουν λάβει </w:t>
      </w:r>
      <w:r w:rsidR="00A216E8" w:rsidRPr="0038404B">
        <w:rPr>
          <w:noProof/>
          <w:sz w:val="22"/>
          <w:szCs w:val="22"/>
          <w:lang w:eastAsia="en-US"/>
        </w:rPr>
        <w:t xml:space="preserve">Ανταγωνιστές των Υποδοχέων της Αγγειοτασίνης ΙΙ </w:t>
      </w:r>
      <w:r w:rsidRPr="0038404B">
        <w:rPr>
          <w:noProof/>
          <w:sz w:val="22"/>
          <w:szCs w:val="22"/>
          <w:lang w:eastAsia="en-US"/>
        </w:rPr>
        <w:t>πρέπει να παρακολουθούνται στενά για υπόταση (βλ. παραγράφους 4.3 και 4.4).</w:t>
      </w:r>
    </w:p>
    <w:p w:rsidR="004A5589" w:rsidRPr="0038404B" w:rsidRDefault="004A5589" w:rsidP="004A5589">
      <w:pPr>
        <w:tabs>
          <w:tab w:val="left" w:pos="567"/>
        </w:tabs>
        <w:autoSpaceDE/>
        <w:autoSpaceDN/>
        <w:adjustRightInd/>
        <w:contextualSpacing/>
        <w:rPr>
          <w:noProof/>
          <w:sz w:val="22"/>
          <w:szCs w:val="22"/>
          <w:lang w:eastAsia="en-US"/>
        </w:rPr>
      </w:pPr>
    </w:p>
    <w:p w:rsidR="004A5589" w:rsidRPr="00A216E8" w:rsidRDefault="00A216E8" w:rsidP="00D041ED">
      <w:pPr>
        <w:tabs>
          <w:tab w:val="left" w:pos="567"/>
        </w:tabs>
        <w:autoSpaceDE/>
        <w:autoSpaceDN/>
        <w:adjustRightInd/>
        <w:contextualSpacing/>
        <w:rPr>
          <w:b/>
          <w:noProof/>
          <w:sz w:val="22"/>
          <w:szCs w:val="22"/>
          <w:lang w:eastAsia="en-US"/>
        </w:rPr>
      </w:pPr>
      <w:r>
        <w:rPr>
          <w:b/>
          <w:noProof/>
          <w:sz w:val="22"/>
          <w:szCs w:val="22"/>
          <w:lang w:eastAsia="en-US"/>
        </w:rPr>
        <w:t>Θηλασμός</w:t>
      </w:r>
    </w:p>
    <w:p w:rsidR="005D5E57" w:rsidRPr="0038404B" w:rsidRDefault="005D5E57" w:rsidP="00D041ED">
      <w:pPr>
        <w:pStyle w:val="Style4"/>
        <w:widowControl/>
        <w:spacing w:line="240" w:lineRule="auto"/>
        <w:jc w:val="left"/>
        <w:rPr>
          <w:rStyle w:val="FontStyle22"/>
          <w:sz w:val="22"/>
          <w:szCs w:val="22"/>
        </w:rPr>
      </w:pPr>
      <w:r w:rsidRPr="00A072F5">
        <w:rPr>
          <w:rStyle w:val="FontStyle22"/>
          <w:sz w:val="22"/>
          <w:szCs w:val="22"/>
        </w:rPr>
        <w:t>Η</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αποβάλλεται στο γάλα των </w:t>
      </w:r>
      <w:r w:rsidR="00A216E8">
        <w:rPr>
          <w:rStyle w:val="FontStyle22"/>
          <w:sz w:val="22"/>
          <w:szCs w:val="22"/>
        </w:rPr>
        <w:t>αρουραίων που θηλάζουν</w:t>
      </w:r>
      <w:r w:rsidRPr="00A072F5">
        <w:rPr>
          <w:rStyle w:val="FontStyle22"/>
          <w:sz w:val="22"/>
          <w:szCs w:val="22"/>
        </w:rPr>
        <w:t>, αλλά δεν είναι γνωστό εάν αποβάλλεται στο μητρικό γάλα.</w:t>
      </w:r>
      <w:r w:rsidR="00A216E8">
        <w:rPr>
          <w:rStyle w:val="FontStyle22"/>
          <w:sz w:val="22"/>
          <w:szCs w:val="22"/>
        </w:rPr>
        <w:t xml:space="preserve"> Επειδή δεν υπάρχουν πληροφορίες για τη χρήση της</w:t>
      </w:r>
      <w:r w:rsidR="004A5589" w:rsidRPr="0038404B">
        <w:rPr>
          <w:noProof/>
          <w:sz w:val="22"/>
          <w:szCs w:val="22"/>
          <w:lang w:eastAsia="en-US"/>
        </w:rPr>
        <w:t xml:space="preserve"> </w:t>
      </w:r>
      <w:r w:rsidR="004A5589" w:rsidRPr="004A5589">
        <w:rPr>
          <w:sz w:val="22"/>
          <w:szCs w:val="22"/>
          <w:lang w:val="en-GB" w:eastAsia="en-US"/>
        </w:rPr>
        <w:t>olmesartan</w:t>
      </w:r>
      <w:r w:rsidR="004A5589" w:rsidRPr="0038404B">
        <w:rPr>
          <w:sz w:val="22"/>
          <w:szCs w:val="22"/>
          <w:lang w:eastAsia="en-US"/>
        </w:rPr>
        <w:t xml:space="preserve"> </w:t>
      </w:r>
      <w:r w:rsidR="004A5589" w:rsidRPr="004A5589">
        <w:rPr>
          <w:sz w:val="22"/>
          <w:szCs w:val="22"/>
          <w:lang w:val="en-GB" w:eastAsia="en-US"/>
        </w:rPr>
        <w:t>medoxomil</w:t>
      </w:r>
      <w:r w:rsidR="00A216E8">
        <w:rPr>
          <w:sz w:val="22"/>
          <w:szCs w:val="22"/>
          <w:lang w:eastAsia="en-US"/>
        </w:rPr>
        <w:t xml:space="preserve"> κατά τη διάρκεια του θηλασμού, η χρήση της</w:t>
      </w:r>
      <w:r w:rsidR="004A5589" w:rsidRPr="0038404B">
        <w:rPr>
          <w:noProof/>
          <w:sz w:val="22"/>
          <w:szCs w:val="22"/>
          <w:lang w:eastAsia="en-US"/>
        </w:rPr>
        <w:t xml:space="preserve"> </w:t>
      </w:r>
      <w:r w:rsidR="004A5589" w:rsidRPr="004A5589">
        <w:rPr>
          <w:sz w:val="22"/>
          <w:szCs w:val="22"/>
          <w:lang w:val="en-GB" w:eastAsia="en-US"/>
        </w:rPr>
        <w:t>olmesartan</w:t>
      </w:r>
      <w:r w:rsidR="004A5589" w:rsidRPr="0038404B">
        <w:rPr>
          <w:sz w:val="22"/>
          <w:szCs w:val="22"/>
          <w:lang w:eastAsia="en-US"/>
        </w:rPr>
        <w:t xml:space="preserve"> </w:t>
      </w:r>
      <w:r w:rsidR="004A5589" w:rsidRPr="004A5589">
        <w:rPr>
          <w:sz w:val="22"/>
          <w:szCs w:val="22"/>
          <w:lang w:val="en-GB" w:eastAsia="en-US"/>
        </w:rPr>
        <w:t>medoxomil</w:t>
      </w:r>
      <w:r w:rsidR="00A216E8">
        <w:rPr>
          <w:sz w:val="22"/>
          <w:szCs w:val="22"/>
          <w:lang w:eastAsia="en-US"/>
        </w:rPr>
        <w:t xml:space="preserve"> δε συνιστάται και προτιμώνται εναλλακτικές θεραπείες με καλύτερα τεκμηριωμένα προφίλ ασφάλειας</w:t>
      </w:r>
      <w:r w:rsidR="006E4AAB">
        <w:rPr>
          <w:sz w:val="22"/>
          <w:szCs w:val="22"/>
          <w:lang w:eastAsia="en-US"/>
        </w:rPr>
        <w:t xml:space="preserve"> κατά τη διάρκεια του θηλασμού, ιδιαίτερα κατά το θηλασμό ενός νεογέννητου ή πρόωρου βρέφους.</w:t>
      </w:r>
    </w:p>
    <w:p w:rsidR="0042565E" w:rsidRPr="0038404B" w:rsidRDefault="0042565E" w:rsidP="00D041ED">
      <w:pPr>
        <w:pStyle w:val="Style4"/>
        <w:widowControl/>
        <w:spacing w:line="240" w:lineRule="auto"/>
        <w:jc w:val="left"/>
        <w:rPr>
          <w:rStyle w:val="FontStyle22"/>
          <w:sz w:val="22"/>
          <w:szCs w:val="22"/>
        </w:rPr>
      </w:pPr>
    </w:p>
    <w:p w:rsidR="005D5E57" w:rsidRPr="00A072F5" w:rsidRDefault="005D5E57" w:rsidP="00D041ED">
      <w:pPr>
        <w:pStyle w:val="Style6"/>
        <w:widowControl/>
        <w:numPr>
          <w:ilvl w:val="0"/>
          <w:numId w:val="6"/>
        </w:numPr>
        <w:tabs>
          <w:tab w:val="left" w:pos="715"/>
        </w:tabs>
        <w:spacing w:line="240" w:lineRule="auto"/>
        <w:ind w:firstLine="0"/>
        <w:rPr>
          <w:rStyle w:val="FontStyle21"/>
          <w:sz w:val="22"/>
          <w:szCs w:val="22"/>
        </w:rPr>
      </w:pPr>
      <w:r w:rsidRPr="00A072F5">
        <w:rPr>
          <w:rStyle w:val="FontStyle21"/>
          <w:sz w:val="22"/>
          <w:szCs w:val="22"/>
        </w:rPr>
        <w:t>Επιδράσεις στην ικανότητα οδ</w:t>
      </w:r>
      <w:r w:rsidR="0042565E" w:rsidRPr="00A072F5">
        <w:rPr>
          <w:rStyle w:val="FontStyle21"/>
          <w:sz w:val="22"/>
          <w:szCs w:val="22"/>
        </w:rPr>
        <w:t>ήγησης και χειρισμού μηχανών</w:t>
      </w:r>
    </w:p>
    <w:p w:rsidR="005D5E57" w:rsidRPr="00A072F5" w:rsidRDefault="005D5E57" w:rsidP="00D041ED">
      <w:pPr>
        <w:pStyle w:val="Style4"/>
        <w:widowControl/>
        <w:spacing w:line="240" w:lineRule="auto"/>
        <w:jc w:val="left"/>
        <w:rPr>
          <w:sz w:val="22"/>
          <w:szCs w:val="22"/>
        </w:rPr>
      </w:pPr>
    </w:p>
    <w:p w:rsidR="005D5E57" w:rsidRPr="00A072F5" w:rsidRDefault="006E4AAB" w:rsidP="00D041ED">
      <w:pPr>
        <w:pStyle w:val="Style4"/>
        <w:widowControl/>
        <w:spacing w:line="240" w:lineRule="auto"/>
        <w:jc w:val="left"/>
        <w:rPr>
          <w:rStyle w:val="FontStyle22"/>
          <w:sz w:val="22"/>
          <w:szCs w:val="22"/>
        </w:rPr>
      </w:pPr>
      <w:r>
        <w:rPr>
          <w:rStyle w:val="FontStyle22"/>
          <w:sz w:val="22"/>
          <w:szCs w:val="22"/>
        </w:rPr>
        <w:t xml:space="preserve">Το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Pr>
          <w:noProof/>
          <w:sz w:val="22"/>
          <w:szCs w:val="22"/>
          <w:lang w:eastAsia="en-US"/>
        </w:rPr>
        <w:t xml:space="preserve"> έχει μικρή ή μέτρια επίδραση</w:t>
      </w:r>
      <w:r w:rsidR="005D5E57" w:rsidRPr="00A072F5">
        <w:rPr>
          <w:rStyle w:val="FontStyle22"/>
          <w:sz w:val="22"/>
          <w:szCs w:val="22"/>
        </w:rPr>
        <w:t xml:space="preserve"> στην ικανότητα οδήγησης </w:t>
      </w:r>
      <w:r>
        <w:rPr>
          <w:rStyle w:val="FontStyle22"/>
          <w:sz w:val="22"/>
          <w:szCs w:val="22"/>
        </w:rPr>
        <w:t>και χειρισμού</w:t>
      </w:r>
      <w:r w:rsidR="005D5E57" w:rsidRPr="00A072F5">
        <w:rPr>
          <w:rStyle w:val="FontStyle22"/>
          <w:sz w:val="22"/>
          <w:szCs w:val="22"/>
        </w:rPr>
        <w:t xml:space="preserve"> μη</w:t>
      </w:r>
      <w:r>
        <w:rPr>
          <w:rStyle w:val="FontStyle22"/>
          <w:sz w:val="22"/>
          <w:szCs w:val="22"/>
        </w:rPr>
        <w:t>χανών. Σ</w:t>
      </w:r>
      <w:r w:rsidR="005D5E57" w:rsidRPr="00A072F5">
        <w:rPr>
          <w:rStyle w:val="FontStyle22"/>
          <w:sz w:val="22"/>
          <w:szCs w:val="22"/>
        </w:rPr>
        <w:t>ε ασθενείς που λαμβάνουν αντιυπερτασική θεραπεία μπορεί περιστασιακά να εμφανιστούν ζάλη ή κόπωση</w:t>
      </w:r>
      <w:r>
        <w:rPr>
          <w:rStyle w:val="FontStyle22"/>
          <w:sz w:val="22"/>
          <w:szCs w:val="22"/>
        </w:rPr>
        <w:t>, τα οποία μπορεί να ελαττώσουν την ικανότητα αντίδρασης</w:t>
      </w:r>
      <w:r w:rsidR="005D5E57" w:rsidRPr="00A072F5">
        <w:rPr>
          <w:rStyle w:val="FontStyle22"/>
          <w:sz w:val="22"/>
          <w:szCs w:val="22"/>
        </w:rPr>
        <w:t>.</w:t>
      </w:r>
    </w:p>
    <w:p w:rsidR="005D5E57" w:rsidRPr="00A072F5" w:rsidRDefault="005D5E57" w:rsidP="0042565E">
      <w:pPr>
        <w:pStyle w:val="Style8"/>
        <w:widowControl/>
        <w:jc w:val="left"/>
        <w:rPr>
          <w:sz w:val="22"/>
          <w:szCs w:val="22"/>
        </w:rPr>
      </w:pPr>
    </w:p>
    <w:p w:rsidR="005D5E57" w:rsidRPr="00A072F5" w:rsidRDefault="0042565E" w:rsidP="00D041ED">
      <w:pPr>
        <w:pStyle w:val="Style8"/>
        <w:widowControl/>
        <w:jc w:val="left"/>
        <w:rPr>
          <w:rStyle w:val="FontStyle21"/>
          <w:sz w:val="22"/>
          <w:szCs w:val="22"/>
        </w:rPr>
      </w:pPr>
      <w:r w:rsidRPr="00A072F5">
        <w:rPr>
          <w:rStyle w:val="FontStyle21"/>
          <w:sz w:val="22"/>
          <w:szCs w:val="22"/>
        </w:rPr>
        <w:t>4.8</w:t>
      </w:r>
      <w:r w:rsidRPr="00A072F5">
        <w:rPr>
          <w:rStyle w:val="FontStyle21"/>
          <w:sz w:val="22"/>
          <w:szCs w:val="22"/>
        </w:rPr>
        <w:tab/>
      </w:r>
      <w:r w:rsidR="005D5E57" w:rsidRPr="00A072F5">
        <w:rPr>
          <w:rStyle w:val="FontStyle21"/>
          <w:sz w:val="22"/>
          <w:szCs w:val="22"/>
        </w:rPr>
        <w:t>Ανεπιθύμητες ενέργειες</w:t>
      </w:r>
    </w:p>
    <w:p w:rsidR="007F3084" w:rsidRPr="0038404B" w:rsidRDefault="007F3084" w:rsidP="00D041ED">
      <w:pPr>
        <w:tabs>
          <w:tab w:val="left" w:pos="567"/>
        </w:tabs>
        <w:contextualSpacing/>
        <w:rPr>
          <w:b/>
          <w:bCs/>
          <w:noProof/>
          <w:sz w:val="22"/>
          <w:szCs w:val="22"/>
          <w:u w:val="single"/>
          <w:lang w:eastAsia="en-US"/>
        </w:rPr>
      </w:pPr>
    </w:p>
    <w:p w:rsidR="007F3084" w:rsidRPr="0038404B" w:rsidRDefault="006E4AAB" w:rsidP="00D041ED">
      <w:pPr>
        <w:tabs>
          <w:tab w:val="left" w:pos="567"/>
        </w:tabs>
        <w:contextualSpacing/>
        <w:rPr>
          <w:b/>
          <w:bCs/>
          <w:noProof/>
          <w:sz w:val="22"/>
          <w:szCs w:val="22"/>
          <w:u w:val="single"/>
          <w:lang w:eastAsia="en-US"/>
        </w:rPr>
      </w:pPr>
      <w:r>
        <w:rPr>
          <w:b/>
          <w:bCs/>
          <w:noProof/>
          <w:sz w:val="22"/>
          <w:szCs w:val="22"/>
          <w:u w:val="single"/>
          <w:lang w:eastAsia="en-US"/>
        </w:rPr>
        <w:t>Σύνοψη του προφίλ ασφάλειας</w:t>
      </w:r>
      <w:r w:rsidR="007F3084" w:rsidRPr="0038404B">
        <w:rPr>
          <w:b/>
          <w:bCs/>
          <w:noProof/>
          <w:sz w:val="22"/>
          <w:szCs w:val="22"/>
          <w:u w:val="single"/>
          <w:lang w:eastAsia="en-US"/>
        </w:rPr>
        <w:t>:</w:t>
      </w:r>
    </w:p>
    <w:p w:rsidR="007F3084" w:rsidRPr="0038404B" w:rsidRDefault="007F3084" w:rsidP="00D041ED">
      <w:pPr>
        <w:tabs>
          <w:tab w:val="left" w:pos="567"/>
        </w:tabs>
        <w:contextualSpacing/>
        <w:rPr>
          <w:b/>
          <w:bCs/>
          <w:noProof/>
          <w:sz w:val="22"/>
          <w:szCs w:val="22"/>
          <w:lang w:eastAsia="en-US"/>
        </w:rPr>
      </w:pPr>
    </w:p>
    <w:p w:rsidR="007F3084" w:rsidRPr="0038404B" w:rsidRDefault="006E4AAB" w:rsidP="00D041ED">
      <w:pPr>
        <w:tabs>
          <w:tab w:val="left" w:pos="567"/>
        </w:tabs>
        <w:contextualSpacing/>
        <w:rPr>
          <w:sz w:val="22"/>
          <w:szCs w:val="22"/>
          <w:lang w:eastAsia="en-US"/>
        </w:rPr>
      </w:pPr>
      <w:r>
        <w:rPr>
          <w:bCs/>
          <w:noProof/>
          <w:sz w:val="22"/>
          <w:szCs w:val="22"/>
          <w:lang w:eastAsia="en-US"/>
        </w:rPr>
        <w:t xml:space="preserve">Οι ανεπιθύμητες ενέργειες που αναφέρθηκαν συχνότερα κατά τη θεραπεία με το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bCs/>
          <w:noProof/>
          <w:sz w:val="22"/>
          <w:szCs w:val="22"/>
          <w:lang w:eastAsia="en-US"/>
        </w:rPr>
        <w:t xml:space="preserve"> </w:t>
      </w:r>
      <w:r>
        <w:rPr>
          <w:bCs/>
          <w:noProof/>
          <w:sz w:val="22"/>
          <w:szCs w:val="22"/>
          <w:lang w:eastAsia="en-US"/>
        </w:rPr>
        <w:t xml:space="preserve">είναι κεφαλαλγία, </w:t>
      </w:r>
      <w:r w:rsidRPr="0038404B">
        <w:rPr>
          <w:sz w:val="22"/>
          <w:szCs w:val="22"/>
          <w:lang w:eastAsia="en-US"/>
        </w:rPr>
        <w:t>(7</w:t>
      </w:r>
      <w:r>
        <w:rPr>
          <w:sz w:val="22"/>
          <w:szCs w:val="22"/>
          <w:lang w:eastAsia="en-US"/>
        </w:rPr>
        <w:t>,</w:t>
      </w:r>
      <w:r w:rsidR="007F3084" w:rsidRPr="0038404B">
        <w:rPr>
          <w:sz w:val="22"/>
          <w:szCs w:val="22"/>
          <w:lang w:eastAsia="en-US"/>
        </w:rPr>
        <w:t>7%),</w:t>
      </w:r>
      <w:r>
        <w:rPr>
          <w:sz w:val="22"/>
          <w:szCs w:val="22"/>
          <w:lang w:eastAsia="en-US"/>
        </w:rPr>
        <w:t xml:space="preserve"> συμπτώματα όπως της γρίπης</w:t>
      </w:r>
      <w:r w:rsidRPr="0038404B">
        <w:rPr>
          <w:sz w:val="22"/>
          <w:szCs w:val="22"/>
          <w:lang w:eastAsia="en-US"/>
        </w:rPr>
        <w:t xml:space="preserve"> (4</w:t>
      </w:r>
      <w:r>
        <w:rPr>
          <w:sz w:val="22"/>
          <w:szCs w:val="22"/>
          <w:lang w:eastAsia="en-US"/>
        </w:rPr>
        <w:t>,</w:t>
      </w:r>
      <w:r w:rsidR="007F3084" w:rsidRPr="0038404B">
        <w:rPr>
          <w:sz w:val="22"/>
          <w:szCs w:val="22"/>
          <w:lang w:eastAsia="en-US"/>
        </w:rPr>
        <w:t>0%)</w:t>
      </w:r>
      <w:r>
        <w:rPr>
          <w:sz w:val="22"/>
          <w:szCs w:val="22"/>
          <w:lang w:eastAsia="en-US"/>
        </w:rPr>
        <w:t xml:space="preserve"> και ζάλη</w:t>
      </w:r>
      <w:r w:rsidRPr="0038404B">
        <w:rPr>
          <w:sz w:val="22"/>
          <w:szCs w:val="22"/>
          <w:lang w:eastAsia="en-US"/>
        </w:rPr>
        <w:t xml:space="preserve"> (3</w:t>
      </w:r>
      <w:r>
        <w:rPr>
          <w:sz w:val="22"/>
          <w:szCs w:val="22"/>
          <w:lang w:eastAsia="en-US"/>
        </w:rPr>
        <w:t>,</w:t>
      </w:r>
      <w:r w:rsidR="007F3084" w:rsidRPr="0038404B">
        <w:rPr>
          <w:sz w:val="22"/>
          <w:szCs w:val="22"/>
          <w:lang w:eastAsia="en-US"/>
        </w:rPr>
        <w:t>7%).</w:t>
      </w:r>
    </w:p>
    <w:p w:rsidR="007F3084" w:rsidRPr="0038404B" w:rsidRDefault="007F3084" w:rsidP="00D041ED">
      <w:pPr>
        <w:tabs>
          <w:tab w:val="left" w:pos="567"/>
        </w:tabs>
        <w:contextualSpacing/>
        <w:rPr>
          <w:sz w:val="22"/>
          <w:szCs w:val="22"/>
          <w:lang w:eastAsia="en-US"/>
        </w:rPr>
      </w:pPr>
    </w:p>
    <w:p w:rsidR="007F3084" w:rsidRPr="0038404B" w:rsidRDefault="006E4AAB" w:rsidP="00D041ED">
      <w:pPr>
        <w:tabs>
          <w:tab w:val="left" w:pos="567"/>
        </w:tabs>
        <w:contextualSpacing/>
        <w:rPr>
          <w:sz w:val="22"/>
          <w:szCs w:val="22"/>
          <w:lang w:eastAsia="en-US"/>
        </w:rPr>
      </w:pPr>
      <w:r>
        <w:rPr>
          <w:sz w:val="22"/>
          <w:szCs w:val="22"/>
          <w:lang w:eastAsia="en-US"/>
        </w:rPr>
        <w:t xml:space="preserve">Σε </w:t>
      </w:r>
      <w:r w:rsidRPr="00D041ED">
        <w:rPr>
          <w:sz w:val="22"/>
          <w:szCs w:val="22"/>
          <w:lang w:eastAsia="en-US"/>
        </w:rPr>
        <w:t>ελεγχόμενες με εικονικό φάρμακο μελέτες μονοθεραπείας, η μόνη ανεπιθύμητη ενέργεια του φαρμάκου που σχετίστηκε σαφώς με τη θεραπεία</w:t>
      </w:r>
      <w:r>
        <w:rPr>
          <w:sz w:val="22"/>
          <w:szCs w:val="22"/>
          <w:lang w:eastAsia="en-US"/>
        </w:rPr>
        <w:t xml:space="preserve"> ήταν η ζάλη</w:t>
      </w:r>
      <w:r w:rsidRPr="0038404B">
        <w:rPr>
          <w:sz w:val="22"/>
          <w:szCs w:val="22"/>
          <w:lang w:eastAsia="en-US"/>
        </w:rPr>
        <w:t xml:space="preserve"> (</w:t>
      </w:r>
      <w:r>
        <w:rPr>
          <w:sz w:val="22"/>
          <w:szCs w:val="22"/>
          <w:lang w:eastAsia="en-US"/>
        </w:rPr>
        <w:t xml:space="preserve">επίπτωση </w:t>
      </w:r>
      <w:r w:rsidRPr="0038404B">
        <w:rPr>
          <w:sz w:val="22"/>
          <w:szCs w:val="22"/>
          <w:lang w:eastAsia="en-US"/>
        </w:rPr>
        <w:t>2</w:t>
      </w:r>
      <w:r>
        <w:rPr>
          <w:sz w:val="22"/>
          <w:szCs w:val="22"/>
          <w:lang w:eastAsia="en-US"/>
        </w:rPr>
        <w:t>,</w:t>
      </w:r>
      <w:r w:rsidR="007F3084" w:rsidRPr="0038404B">
        <w:rPr>
          <w:sz w:val="22"/>
          <w:szCs w:val="22"/>
          <w:lang w:eastAsia="en-US"/>
        </w:rPr>
        <w:t>5%</w:t>
      </w:r>
      <w:r>
        <w:rPr>
          <w:sz w:val="22"/>
          <w:szCs w:val="22"/>
          <w:lang w:eastAsia="en-US"/>
        </w:rPr>
        <w:t xml:space="preserve"> με την</w:t>
      </w:r>
      <w:r w:rsidR="007F3084" w:rsidRPr="0038404B">
        <w:rPr>
          <w:sz w:val="22"/>
          <w:szCs w:val="22"/>
          <w:lang w:eastAsia="en-US"/>
        </w:rPr>
        <w:t xml:space="preserve"> </w:t>
      </w:r>
      <w:r w:rsidR="007F3084" w:rsidRPr="007F3084">
        <w:rPr>
          <w:sz w:val="22"/>
          <w:szCs w:val="22"/>
          <w:lang w:val="en-GB" w:eastAsia="en-US"/>
        </w:rPr>
        <w:t>olmesartan</w:t>
      </w:r>
      <w:r w:rsidR="007F3084" w:rsidRPr="0038404B">
        <w:rPr>
          <w:sz w:val="22"/>
          <w:szCs w:val="22"/>
          <w:lang w:eastAsia="en-US"/>
        </w:rPr>
        <w:t xml:space="preserve"> </w:t>
      </w:r>
      <w:r w:rsidR="007F3084" w:rsidRPr="007F3084">
        <w:rPr>
          <w:sz w:val="22"/>
          <w:szCs w:val="22"/>
          <w:lang w:val="en-GB" w:eastAsia="en-US"/>
        </w:rPr>
        <w:t>medoxomil</w:t>
      </w:r>
      <w:r w:rsidR="007F3084" w:rsidRPr="0038404B">
        <w:rPr>
          <w:sz w:val="22"/>
          <w:szCs w:val="22"/>
          <w:lang w:eastAsia="en-US"/>
        </w:rPr>
        <w:t xml:space="preserve"> </w:t>
      </w:r>
      <w:r>
        <w:rPr>
          <w:sz w:val="22"/>
          <w:szCs w:val="22"/>
          <w:lang w:eastAsia="en-US"/>
        </w:rPr>
        <w:t>και</w:t>
      </w:r>
      <w:r w:rsidRPr="0038404B">
        <w:rPr>
          <w:sz w:val="22"/>
          <w:szCs w:val="22"/>
          <w:lang w:eastAsia="en-US"/>
        </w:rPr>
        <w:t xml:space="preserve"> 0</w:t>
      </w:r>
      <w:r>
        <w:rPr>
          <w:sz w:val="22"/>
          <w:szCs w:val="22"/>
          <w:lang w:eastAsia="en-US"/>
        </w:rPr>
        <w:t>,</w:t>
      </w:r>
      <w:r w:rsidR="007F3084" w:rsidRPr="0038404B">
        <w:rPr>
          <w:sz w:val="22"/>
          <w:szCs w:val="22"/>
          <w:lang w:eastAsia="en-US"/>
        </w:rPr>
        <w:t xml:space="preserve">9% </w:t>
      </w:r>
      <w:r w:rsidR="009264AE">
        <w:rPr>
          <w:sz w:val="22"/>
          <w:szCs w:val="22"/>
          <w:lang w:eastAsia="en-US"/>
        </w:rPr>
        <w:t>με το εικονικό φάρμακο</w:t>
      </w:r>
      <w:r w:rsidR="007F3084" w:rsidRPr="0038404B">
        <w:rPr>
          <w:sz w:val="22"/>
          <w:szCs w:val="22"/>
          <w:lang w:eastAsia="en-US"/>
        </w:rPr>
        <w:t>).</w:t>
      </w:r>
    </w:p>
    <w:p w:rsidR="007F3084" w:rsidRPr="0038404B" w:rsidRDefault="007F3084" w:rsidP="00D041ED">
      <w:pPr>
        <w:tabs>
          <w:tab w:val="left" w:pos="567"/>
        </w:tabs>
        <w:contextualSpacing/>
        <w:rPr>
          <w:sz w:val="22"/>
          <w:szCs w:val="22"/>
          <w:lang w:eastAsia="en-US"/>
        </w:rPr>
      </w:pPr>
    </w:p>
    <w:p w:rsidR="007F3084" w:rsidRPr="0038404B" w:rsidRDefault="009264AE" w:rsidP="00D041ED">
      <w:pPr>
        <w:tabs>
          <w:tab w:val="left" w:pos="567"/>
        </w:tabs>
        <w:contextualSpacing/>
        <w:rPr>
          <w:sz w:val="22"/>
          <w:szCs w:val="22"/>
          <w:lang w:eastAsia="en-US"/>
        </w:rPr>
      </w:pPr>
      <w:r>
        <w:rPr>
          <w:sz w:val="22"/>
          <w:szCs w:val="22"/>
          <w:lang w:eastAsia="en-US"/>
        </w:rPr>
        <w:t>Η επίπτωση ήταν επίσης λίγο υψηλότερη με την</w:t>
      </w:r>
      <w:r w:rsidR="007F3084" w:rsidRPr="0038404B">
        <w:rPr>
          <w:sz w:val="22"/>
          <w:szCs w:val="22"/>
          <w:lang w:eastAsia="en-US"/>
        </w:rPr>
        <w:t xml:space="preserve"> </w:t>
      </w:r>
      <w:r w:rsidR="007F3084" w:rsidRPr="007F3084">
        <w:rPr>
          <w:sz w:val="22"/>
          <w:szCs w:val="22"/>
          <w:lang w:val="en-GB" w:eastAsia="en-US"/>
        </w:rPr>
        <w:t>olmesartan</w:t>
      </w:r>
      <w:r w:rsidR="007F3084" w:rsidRPr="0038404B">
        <w:rPr>
          <w:sz w:val="22"/>
          <w:szCs w:val="22"/>
          <w:lang w:eastAsia="en-US"/>
        </w:rPr>
        <w:t xml:space="preserve"> </w:t>
      </w:r>
      <w:r w:rsidR="007F3084" w:rsidRPr="007F3084">
        <w:rPr>
          <w:sz w:val="22"/>
          <w:szCs w:val="22"/>
          <w:lang w:val="en-GB" w:eastAsia="en-US"/>
        </w:rPr>
        <w:t>medoxomil</w:t>
      </w:r>
      <w:r>
        <w:rPr>
          <w:sz w:val="22"/>
          <w:szCs w:val="22"/>
          <w:lang w:eastAsia="en-US"/>
        </w:rPr>
        <w:t xml:space="preserve"> σε σύγκριση με το εικονικό φάρμακο για την υπερτριγλυκεριδαιμία</w:t>
      </w:r>
      <w:r w:rsidRPr="0038404B">
        <w:rPr>
          <w:sz w:val="22"/>
          <w:szCs w:val="22"/>
          <w:lang w:eastAsia="en-US"/>
        </w:rPr>
        <w:t xml:space="preserve"> (2</w:t>
      </w:r>
      <w:r>
        <w:rPr>
          <w:sz w:val="22"/>
          <w:szCs w:val="22"/>
          <w:lang w:eastAsia="en-US"/>
        </w:rPr>
        <w:t>,</w:t>
      </w:r>
      <w:r w:rsidR="007F3084" w:rsidRPr="0038404B">
        <w:rPr>
          <w:sz w:val="22"/>
          <w:szCs w:val="22"/>
          <w:lang w:eastAsia="en-US"/>
        </w:rPr>
        <w:t xml:space="preserve">0% </w:t>
      </w:r>
      <w:r>
        <w:rPr>
          <w:sz w:val="22"/>
          <w:szCs w:val="22"/>
          <w:lang w:eastAsia="en-US"/>
        </w:rPr>
        <w:t>έναντι</w:t>
      </w:r>
      <w:r w:rsidRPr="0038404B">
        <w:rPr>
          <w:sz w:val="22"/>
          <w:szCs w:val="22"/>
          <w:lang w:eastAsia="en-US"/>
        </w:rPr>
        <w:t xml:space="preserve"> 1</w:t>
      </w:r>
      <w:r>
        <w:rPr>
          <w:sz w:val="22"/>
          <w:szCs w:val="22"/>
          <w:lang w:eastAsia="en-US"/>
        </w:rPr>
        <w:t>,</w:t>
      </w:r>
      <w:r w:rsidR="007F3084" w:rsidRPr="0038404B">
        <w:rPr>
          <w:sz w:val="22"/>
          <w:szCs w:val="22"/>
          <w:lang w:eastAsia="en-US"/>
        </w:rPr>
        <w:t xml:space="preserve">1%) </w:t>
      </w:r>
      <w:r>
        <w:rPr>
          <w:sz w:val="22"/>
          <w:szCs w:val="22"/>
          <w:lang w:eastAsia="en-US"/>
        </w:rPr>
        <w:t>και για την αυξημένη κρεατινική φωσφοκινάση</w:t>
      </w:r>
      <w:r w:rsidRPr="0038404B">
        <w:rPr>
          <w:sz w:val="22"/>
          <w:szCs w:val="22"/>
          <w:lang w:eastAsia="en-US"/>
        </w:rPr>
        <w:t xml:space="preserve"> (1</w:t>
      </w:r>
      <w:r>
        <w:rPr>
          <w:sz w:val="22"/>
          <w:szCs w:val="22"/>
          <w:lang w:eastAsia="en-US"/>
        </w:rPr>
        <w:t>,</w:t>
      </w:r>
      <w:r w:rsidR="007F3084" w:rsidRPr="0038404B">
        <w:rPr>
          <w:sz w:val="22"/>
          <w:szCs w:val="22"/>
          <w:lang w:eastAsia="en-US"/>
        </w:rPr>
        <w:t>3%</w:t>
      </w:r>
      <w:r>
        <w:rPr>
          <w:sz w:val="22"/>
          <w:szCs w:val="22"/>
          <w:lang w:eastAsia="en-US"/>
        </w:rPr>
        <w:t xml:space="preserve"> έναντι</w:t>
      </w:r>
      <w:r w:rsidRPr="0038404B">
        <w:rPr>
          <w:sz w:val="22"/>
          <w:szCs w:val="22"/>
          <w:lang w:eastAsia="en-US"/>
        </w:rPr>
        <w:t xml:space="preserve"> 0</w:t>
      </w:r>
      <w:r>
        <w:rPr>
          <w:sz w:val="22"/>
          <w:szCs w:val="22"/>
          <w:lang w:eastAsia="en-US"/>
        </w:rPr>
        <w:t>,</w:t>
      </w:r>
      <w:r w:rsidR="007F3084" w:rsidRPr="0038404B">
        <w:rPr>
          <w:sz w:val="22"/>
          <w:szCs w:val="22"/>
          <w:lang w:eastAsia="en-US"/>
        </w:rPr>
        <w:t>7%).</w:t>
      </w:r>
    </w:p>
    <w:p w:rsidR="007F3084" w:rsidRPr="0038404B" w:rsidRDefault="007F3084" w:rsidP="00D041ED">
      <w:pPr>
        <w:tabs>
          <w:tab w:val="left" w:pos="567"/>
        </w:tabs>
        <w:contextualSpacing/>
        <w:rPr>
          <w:b/>
          <w:bCs/>
          <w:noProof/>
          <w:sz w:val="22"/>
          <w:szCs w:val="22"/>
          <w:lang w:eastAsia="en-US"/>
        </w:rPr>
      </w:pPr>
    </w:p>
    <w:p w:rsidR="007F3084" w:rsidRPr="0038404B" w:rsidRDefault="009264AE" w:rsidP="00D041ED">
      <w:pPr>
        <w:tabs>
          <w:tab w:val="left" w:pos="567"/>
        </w:tabs>
        <w:contextualSpacing/>
        <w:rPr>
          <w:bCs/>
          <w:noProof/>
          <w:sz w:val="22"/>
          <w:szCs w:val="22"/>
          <w:lang w:eastAsia="en-US"/>
        </w:rPr>
      </w:pPr>
      <w:r>
        <w:rPr>
          <w:b/>
          <w:bCs/>
          <w:noProof/>
          <w:sz w:val="22"/>
          <w:szCs w:val="22"/>
          <w:u w:val="single"/>
          <w:lang w:eastAsia="en-US"/>
        </w:rPr>
        <w:t>Κατάλογος ανεπιθύμητων ενεργειών σε μορφή πίνακα</w:t>
      </w:r>
      <w:r w:rsidR="007F3084" w:rsidRPr="0038404B">
        <w:rPr>
          <w:b/>
          <w:bCs/>
          <w:noProof/>
          <w:sz w:val="22"/>
          <w:szCs w:val="22"/>
          <w:u w:val="single"/>
          <w:lang w:eastAsia="en-US"/>
        </w:rPr>
        <w:t>:</w:t>
      </w:r>
    </w:p>
    <w:p w:rsidR="007F3084" w:rsidRPr="0038404B" w:rsidRDefault="007F3084" w:rsidP="00D041ED">
      <w:pPr>
        <w:tabs>
          <w:tab w:val="left" w:pos="567"/>
        </w:tabs>
        <w:contextualSpacing/>
        <w:rPr>
          <w:bCs/>
          <w:noProof/>
          <w:sz w:val="22"/>
          <w:szCs w:val="22"/>
          <w:lang w:eastAsia="en-US"/>
        </w:rPr>
      </w:pPr>
    </w:p>
    <w:p w:rsidR="007F3084" w:rsidRPr="0038404B" w:rsidRDefault="009264AE" w:rsidP="00D041ED">
      <w:pPr>
        <w:tabs>
          <w:tab w:val="left" w:pos="567"/>
        </w:tabs>
        <w:contextualSpacing/>
        <w:rPr>
          <w:sz w:val="22"/>
          <w:szCs w:val="22"/>
          <w:lang w:eastAsia="en-US"/>
        </w:rPr>
      </w:pPr>
      <w:r>
        <w:rPr>
          <w:bCs/>
          <w:noProof/>
          <w:sz w:val="22"/>
          <w:szCs w:val="22"/>
          <w:lang w:eastAsia="en-US"/>
        </w:rPr>
        <w:t xml:space="preserve">Οι ανεπιθύμητες ενέργειες από το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Pr>
          <w:noProof/>
          <w:sz w:val="22"/>
          <w:szCs w:val="22"/>
          <w:lang w:eastAsia="en-US"/>
        </w:rPr>
        <w:t xml:space="preserve"> από κλινικές μελέτες, μετεγκριτικές μελέτες ασφάλειας και αυθόρμητες αναφορές, συνοψίζονται στον παρακάτω πίνακα</w:t>
      </w:r>
      <w:r w:rsidR="007F3084" w:rsidRPr="0038404B">
        <w:rPr>
          <w:sz w:val="22"/>
          <w:szCs w:val="22"/>
          <w:lang w:eastAsia="en-US"/>
        </w:rPr>
        <w:t>.</w:t>
      </w:r>
    </w:p>
    <w:p w:rsidR="007F3084" w:rsidRPr="0038404B" w:rsidRDefault="007F3084" w:rsidP="00D041ED">
      <w:pPr>
        <w:tabs>
          <w:tab w:val="left" w:pos="567"/>
        </w:tabs>
        <w:contextualSpacing/>
        <w:rPr>
          <w:bCs/>
          <w:noProof/>
          <w:sz w:val="22"/>
          <w:szCs w:val="22"/>
          <w:lang w:eastAsia="en-US"/>
        </w:rPr>
      </w:pPr>
    </w:p>
    <w:p w:rsidR="005D5E57" w:rsidRDefault="009264AE" w:rsidP="00D041ED">
      <w:pPr>
        <w:pStyle w:val="Style4"/>
        <w:widowControl/>
        <w:spacing w:line="240" w:lineRule="auto"/>
        <w:jc w:val="left"/>
        <w:rPr>
          <w:rStyle w:val="FontStyle22"/>
          <w:sz w:val="22"/>
          <w:szCs w:val="22"/>
        </w:rPr>
      </w:pPr>
      <w:r w:rsidRPr="00E572E6">
        <w:rPr>
          <w:rStyle w:val="FontStyle22"/>
          <w:sz w:val="22"/>
          <w:szCs w:val="22"/>
        </w:rPr>
        <w:t xml:space="preserve">Χρησιμοποιήθηκαν οι ακόλουθοι ορισμοί για την κατάταξη των ανεπιθύμητων ενεργειών </w:t>
      </w:r>
      <w:r w:rsidR="00E572E6" w:rsidRPr="00E572E6">
        <w:rPr>
          <w:rStyle w:val="FontStyle22"/>
          <w:sz w:val="22"/>
          <w:szCs w:val="22"/>
        </w:rPr>
        <w:t>σύμφωνα με τη συχνότητα εμφάνισή</w:t>
      </w:r>
      <w:r w:rsidRPr="00E572E6">
        <w:rPr>
          <w:rStyle w:val="FontStyle22"/>
          <w:sz w:val="22"/>
          <w:szCs w:val="22"/>
        </w:rPr>
        <w:t>ς</w:t>
      </w:r>
      <w:r w:rsidR="00E572E6" w:rsidRPr="00E572E6">
        <w:rPr>
          <w:rStyle w:val="FontStyle22"/>
          <w:sz w:val="22"/>
          <w:szCs w:val="22"/>
        </w:rPr>
        <w:t xml:space="preserve"> τους: πολύ συχνές (≥1/10), συχνές (≥</w:t>
      </w:r>
      <w:r w:rsidR="005D5E57" w:rsidRPr="00E572E6">
        <w:rPr>
          <w:rStyle w:val="FontStyle22"/>
          <w:sz w:val="22"/>
          <w:szCs w:val="22"/>
        </w:rPr>
        <w:t xml:space="preserve">1/100, &lt;1/10), </w:t>
      </w:r>
      <w:r w:rsidR="00E572E6" w:rsidRPr="00E572E6">
        <w:rPr>
          <w:rStyle w:val="FontStyle22"/>
          <w:sz w:val="22"/>
          <w:szCs w:val="22"/>
        </w:rPr>
        <w:t>όχι συχνές (≥1/1.000, &lt;1/100), σπάνιες (≥</w:t>
      </w:r>
      <w:r w:rsidR="005D5E57" w:rsidRPr="00E572E6">
        <w:rPr>
          <w:rStyle w:val="FontStyle22"/>
          <w:sz w:val="22"/>
          <w:szCs w:val="22"/>
        </w:rPr>
        <w:t>1/10.000, &lt;1/1.000), πολύ σπάνιες (&lt;1/10.000).</w:t>
      </w:r>
    </w:p>
    <w:p w:rsidR="00D041ED" w:rsidRPr="00A072F5" w:rsidRDefault="00D041ED" w:rsidP="00D041ED">
      <w:pPr>
        <w:pStyle w:val="Style4"/>
        <w:widowControl/>
        <w:spacing w:line="240" w:lineRule="auto"/>
        <w:jc w:val="left"/>
        <w:rPr>
          <w:rStyle w:val="FontStyle2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3369"/>
        <w:gridCol w:w="2586"/>
      </w:tblGrid>
      <w:tr w:rsidR="002A0461" w:rsidRPr="007F3084" w:rsidTr="00D842DF">
        <w:tc>
          <w:tcPr>
            <w:tcW w:w="3464" w:type="dxa"/>
            <w:shd w:val="clear" w:color="auto" w:fill="auto"/>
          </w:tcPr>
          <w:p w:rsidR="007F3084" w:rsidRPr="00E572E6" w:rsidRDefault="00E572E6" w:rsidP="007F3084">
            <w:pPr>
              <w:widowControl/>
              <w:rPr>
                <w:sz w:val="22"/>
                <w:szCs w:val="22"/>
              </w:rPr>
            </w:pPr>
            <w:r>
              <w:rPr>
                <w:b/>
                <w:bCs/>
                <w:i/>
                <w:iCs/>
                <w:sz w:val="22"/>
                <w:szCs w:val="22"/>
              </w:rPr>
              <w:t xml:space="preserve">Κατηγορία/Οργανικό σύστημα </w:t>
            </w:r>
            <w:r>
              <w:rPr>
                <w:b/>
                <w:bCs/>
                <w:i/>
                <w:iCs/>
                <w:sz w:val="22"/>
                <w:szCs w:val="22"/>
                <w:lang w:val="en-GB"/>
              </w:rPr>
              <w:t>MedDRA</w:t>
            </w:r>
          </w:p>
        </w:tc>
        <w:tc>
          <w:tcPr>
            <w:tcW w:w="3569" w:type="dxa"/>
            <w:shd w:val="clear" w:color="auto" w:fill="auto"/>
          </w:tcPr>
          <w:p w:rsidR="007F3084" w:rsidRPr="00E572E6" w:rsidRDefault="00E572E6" w:rsidP="007F3084">
            <w:pPr>
              <w:widowControl/>
              <w:rPr>
                <w:sz w:val="22"/>
                <w:szCs w:val="22"/>
              </w:rPr>
            </w:pPr>
            <w:r>
              <w:rPr>
                <w:b/>
                <w:bCs/>
                <w:i/>
                <w:iCs/>
                <w:sz w:val="22"/>
                <w:szCs w:val="22"/>
              </w:rPr>
              <w:t>Ανεπιθύμητες ενέργειες</w:t>
            </w:r>
          </w:p>
        </w:tc>
        <w:tc>
          <w:tcPr>
            <w:tcW w:w="2822" w:type="dxa"/>
          </w:tcPr>
          <w:p w:rsidR="007F3084" w:rsidRPr="007F3084" w:rsidRDefault="002A0461" w:rsidP="002A0461">
            <w:pPr>
              <w:widowControl/>
              <w:rPr>
                <w:b/>
                <w:bCs/>
                <w:i/>
                <w:iCs/>
                <w:sz w:val="22"/>
                <w:szCs w:val="22"/>
                <w:lang w:val="en-GB"/>
              </w:rPr>
            </w:pPr>
            <w:r>
              <w:rPr>
                <w:b/>
                <w:bCs/>
                <w:i/>
                <w:iCs/>
                <w:sz w:val="22"/>
                <w:szCs w:val="22"/>
              </w:rPr>
              <w:t>Συχνότητα</w:t>
            </w:r>
          </w:p>
        </w:tc>
      </w:tr>
      <w:tr w:rsidR="002A0461" w:rsidRPr="007F3084" w:rsidTr="00D842DF">
        <w:tc>
          <w:tcPr>
            <w:tcW w:w="3464" w:type="dxa"/>
            <w:shd w:val="clear" w:color="auto" w:fill="auto"/>
          </w:tcPr>
          <w:p w:rsidR="007F3084" w:rsidRPr="00DF1929" w:rsidRDefault="00DF1929" w:rsidP="00DF1929">
            <w:pPr>
              <w:widowControl/>
              <w:rPr>
                <w:sz w:val="22"/>
                <w:szCs w:val="22"/>
              </w:rPr>
            </w:pPr>
            <w:r w:rsidRPr="0038404B">
              <w:rPr>
                <w:sz w:val="22"/>
                <w:szCs w:val="22"/>
              </w:rPr>
              <w:t>Διαταραχές του αιμοποιητικού και του λεμφικού συστήματος</w:t>
            </w:r>
          </w:p>
        </w:tc>
        <w:tc>
          <w:tcPr>
            <w:tcW w:w="3569" w:type="dxa"/>
            <w:shd w:val="clear" w:color="auto" w:fill="auto"/>
          </w:tcPr>
          <w:p w:rsidR="007F3084" w:rsidRPr="002A0461" w:rsidRDefault="002A0461" w:rsidP="007F3084">
            <w:pPr>
              <w:widowControl/>
              <w:rPr>
                <w:sz w:val="22"/>
                <w:szCs w:val="22"/>
              </w:rPr>
            </w:pPr>
            <w:r>
              <w:rPr>
                <w:sz w:val="22"/>
                <w:szCs w:val="22"/>
              </w:rPr>
              <w:t>Θρομβοπενία</w:t>
            </w:r>
          </w:p>
        </w:tc>
        <w:tc>
          <w:tcPr>
            <w:tcW w:w="2822" w:type="dxa"/>
          </w:tcPr>
          <w:p w:rsidR="007F3084" w:rsidRPr="007F3084" w:rsidRDefault="002A0461" w:rsidP="002A0461">
            <w:pPr>
              <w:widowControl/>
              <w:rPr>
                <w:sz w:val="22"/>
                <w:szCs w:val="22"/>
                <w:lang w:val="en-GB"/>
              </w:rPr>
            </w:pPr>
            <w:r>
              <w:rPr>
                <w:sz w:val="22"/>
                <w:szCs w:val="22"/>
              </w:rPr>
              <w:t>Όχι συχνές</w:t>
            </w:r>
          </w:p>
        </w:tc>
      </w:tr>
      <w:tr w:rsidR="002A0461" w:rsidRPr="007F3084" w:rsidTr="00D842DF">
        <w:tc>
          <w:tcPr>
            <w:tcW w:w="3464" w:type="dxa"/>
            <w:shd w:val="clear" w:color="auto" w:fill="auto"/>
          </w:tcPr>
          <w:p w:rsidR="007F3084" w:rsidRPr="00DF1929" w:rsidRDefault="00DF1929" w:rsidP="00DF1929">
            <w:pPr>
              <w:widowControl/>
              <w:rPr>
                <w:sz w:val="22"/>
                <w:szCs w:val="22"/>
              </w:rPr>
            </w:pPr>
            <w:r w:rsidRPr="00DF1929">
              <w:rPr>
                <w:sz w:val="22"/>
                <w:szCs w:val="22"/>
                <w:lang w:val="en-GB"/>
              </w:rPr>
              <w:t>Διαταραχές του ανοσοποιητικού συστήματος</w:t>
            </w:r>
          </w:p>
        </w:tc>
        <w:tc>
          <w:tcPr>
            <w:tcW w:w="3569" w:type="dxa"/>
            <w:shd w:val="clear" w:color="auto" w:fill="auto"/>
          </w:tcPr>
          <w:p w:rsidR="007F3084" w:rsidRPr="002A0461" w:rsidRDefault="002A0461" w:rsidP="007F3084">
            <w:pPr>
              <w:widowControl/>
              <w:rPr>
                <w:sz w:val="22"/>
                <w:szCs w:val="22"/>
              </w:rPr>
            </w:pPr>
            <w:r>
              <w:rPr>
                <w:sz w:val="22"/>
                <w:szCs w:val="22"/>
              </w:rPr>
              <w:t>Αναφυλακτική αντίδραση</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val="restart"/>
            <w:shd w:val="clear" w:color="auto" w:fill="auto"/>
          </w:tcPr>
          <w:p w:rsidR="007F3084" w:rsidRPr="00DF1929" w:rsidRDefault="00DF1929" w:rsidP="00DF1929">
            <w:pPr>
              <w:widowControl/>
              <w:rPr>
                <w:sz w:val="22"/>
                <w:szCs w:val="22"/>
              </w:rPr>
            </w:pPr>
            <w:r w:rsidRPr="0038404B">
              <w:rPr>
                <w:sz w:val="22"/>
                <w:szCs w:val="22"/>
              </w:rPr>
              <w:t>Διαταραχές του μεταβολισμού και της θρέψης</w:t>
            </w:r>
          </w:p>
        </w:tc>
        <w:tc>
          <w:tcPr>
            <w:tcW w:w="3569" w:type="dxa"/>
            <w:shd w:val="clear" w:color="auto" w:fill="auto"/>
          </w:tcPr>
          <w:p w:rsidR="007F3084" w:rsidRPr="002A0461" w:rsidRDefault="002A0461" w:rsidP="007F3084">
            <w:pPr>
              <w:widowControl/>
              <w:rPr>
                <w:sz w:val="22"/>
                <w:szCs w:val="22"/>
              </w:rPr>
            </w:pPr>
            <w:r>
              <w:rPr>
                <w:sz w:val="22"/>
                <w:szCs w:val="22"/>
              </w:rPr>
              <w:t>Υπερτριγλυκεριδαιμία</w:t>
            </w:r>
          </w:p>
        </w:tc>
        <w:tc>
          <w:tcPr>
            <w:tcW w:w="2822" w:type="dxa"/>
          </w:tcPr>
          <w:p w:rsidR="007F3084" w:rsidRPr="002A0461" w:rsidRDefault="002A0461" w:rsidP="007F3084">
            <w:pPr>
              <w:widowControl/>
              <w:rPr>
                <w:sz w:val="22"/>
                <w:szCs w:val="22"/>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2A0461" w:rsidRDefault="002A0461" w:rsidP="007F3084">
            <w:pPr>
              <w:widowControl/>
              <w:rPr>
                <w:sz w:val="22"/>
                <w:szCs w:val="22"/>
              </w:rPr>
            </w:pPr>
            <w:r>
              <w:rPr>
                <w:sz w:val="22"/>
                <w:szCs w:val="22"/>
              </w:rPr>
              <w:t>Υπερουριχαιμία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Υπερκαλιαιμία</w:t>
            </w:r>
          </w:p>
        </w:tc>
        <w:tc>
          <w:tcPr>
            <w:tcW w:w="2822" w:type="dxa"/>
          </w:tcPr>
          <w:p w:rsidR="007F3084" w:rsidRPr="007F3084" w:rsidRDefault="002A0461" w:rsidP="007F3084">
            <w:pPr>
              <w:widowControl/>
              <w:rPr>
                <w:sz w:val="22"/>
                <w:szCs w:val="22"/>
                <w:lang w:val="en-GB"/>
              </w:rPr>
            </w:pPr>
            <w:r>
              <w:rPr>
                <w:sz w:val="22"/>
                <w:szCs w:val="22"/>
              </w:rPr>
              <w:t>Σπάνιες</w:t>
            </w:r>
          </w:p>
        </w:tc>
      </w:tr>
      <w:tr w:rsidR="002A0461" w:rsidRPr="007F3084" w:rsidTr="00D842DF">
        <w:tc>
          <w:tcPr>
            <w:tcW w:w="3464" w:type="dxa"/>
            <w:vMerge w:val="restart"/>
            <w:shd w:val="clear" w:color="auto" w:fill="auto"/>
          </w:tcPr>
          <w:p w:rsidR="007F3084" w:rsidRPr="00DF1929" w:rsidRDefault="00DF1929" w:rsidP="00DF1929">
            <w:pPr>
              <w:widowControl/>
              <w:rPr>
                <w:sz w:val="22"/>
                <w:szCs w:val="22"/>
              </w:rPr>
            </w:pPr>
            <w:r w:rsidRPr="00DF1929">
              <w:rPr>
                <w:sz w:val="22"/>
                <w:szCs w:val="22"/>
                <w:lang w:val="en-GB"/>
              </w:rPr>
              <w:lastRenderedPageBreak/>
              <w:t>Διαταραχές του νευρικού συστήματος</w:t>
            </w:r>
          </w:p>
        </w:tc>
        <w:tc>
          <w:tcPr>
            <w:tcW w:w="3569" w:type="dxa"/>
            <w:shd w:val="clear" w:color="auto" w:fill="auto"/>
          </w:tcPr>
          <w:p w:rsidR="007F3084" w:rsidRPr="009264AE" w:rsidRDefault="009264AE" w:rsidP="007F3084">
            <w:pPr>
              <w:widowControl/>
              <w:rPr>
                <w:sz w:val="22"/>
                <w:szCs w:val="22"/>
              </w:rPr>
            </w:pPr>
            <w:r>
              <w:rPr>
                <w:sz w:val="22"/>
                <w:szCs w:val="22"/>
              </w:rPr>
              <w:t>Ζάλη</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Κεφαλαλγία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shd w:val="clear" w:color="auto" w:fill="auto"/>
          </w:tcPr>
          <w:p w:rsidR="007F3084" w:rsidRPr="00DF1929" w:rsidRDefault="00DF1929" w:rsidP="00DF1929">
            <w:pPr>
              <w:widowControl/>
              <w:rPr>
                <w:sz w:val="22"/>
                <w:szCs w:val="22"/>
              </w:rPr>
            </w:pPr>
            <w:r w:rsidRPr="0038404B">
              <w:rPr>
                <w:sz w:val="22"/>
                <w:szCs w:val="22"/>
              </w:rPr>
              <w:t>Διαταραχές του ωτός και του λαβυρίνθου</w:t>
            </w:r>
          </w:p>
        </w:tc>
        <w:tc>
          <w:tcPr>
            <w:tcW w:w="3569" w:type="dxa"/>
            <w:shd w:val="clear" w:color="auto" w:fill="auto"/>
          </w:tcPr>
          <w:p w:rsidR="007F3084" w:rsidRPr="009264AE" w:rsidRDefault="009264AE" w:rsidP="007F3084">
            <w:pPr>
              <w:widowControl/>
              <w:rPr>
                <w:sz w:val="22"/>
                <w:szCs w:val="22"/>
              </w:rPr>
            </w:pPr>
            <w:r>
              <w:rPr>
                <w:sz w:val="22"/>
                <w:szCs w:val="22"/>
              </w:rPr>
              <w:t>Ίλιγγος</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shd w:val="clear" w:color="auto" w:fill="auto"/>
          </w:tcPr>
          <w:p w:rsidR="007F3084" w:rsidRPr="007F3084" w:rsidRDefault="00DF1929" w:rsidP="007F3084">
            <w:pPr>
              <w:widowControl/>
              <w:rPr>
                <w:sz w:val="22"/>
                <w:szCs w:val="22"/>
                <w:lang w:val="en-GB"/>
              </w:rPr>
            </w:pPr>
            <w:r w:rsidRPr="00DF1929">
              <w:rPr>
                <w:sz w:val="22"/>
                <w:szCs w:val="22"/>
                <w:lang w:val="en-GB"/>
              </w:rPr>
              <w:t>Καρδιακές διαταραχές</w:t>
            </w:r>
          </w:p>
        </w:tc>
        <w:tc>
          <w:tcPr>
            <w:tcW w:w="3569" w:type="dxa"/>
            <w:shd w:val="clear" w:color="auto" w:fill="auto"/>
          </w:tcPr>
          <w:p w:rsidR="007F3084" w:rsidRPr="009264AE" w:rsidRDefault="009264AE" w:rsidP="007F3084">
            <w:pPr>
              <w:widowControl/>
              <w:rPr>
                <w:sz w:val="22"/>
                <w:szCs w:val="22"/>
              </w:rPr>
            </w:pPr>
            <w:r>
              <w:rPr>
                <w:sz w:val="22"/>
                <w:szCs w:val="22"/>
              </w:rPr>
              <w:t>Στηθάγχη</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shd w:val="clear" w:color="auto" w:fill="auto"/>
          </w:tcPr>
          <w:p w:rsidR="007F3084" w:rsidRPr="007F3084" w:rsidRDefault="00DF1929" w:rsidP="007F3084">
            <w:pPr>
              <w:widowControl/>
              <w:rPr>
                <w:sz w:val="22"/>
                <w:szCs w:val="22"/>
                <w:lang w:val="en-GB"/>
              </w:rPr>
            </w:pPr>
            <w:r w:rsidRPr="00DF1929">
              <w:rPr>
                <w:sz w:val="22"/>
                <w:szCs w:val="22"/>
                <w:lang w:val="en-GB"/>
              </w:rPr>
              <w:t>Αγγειακές διαταραχές</w:t>
            </w:r>
          </w:p>
        </w:tc>
        <w:tc>
          <w:tcPr>
            <w:tcW w:w="3569" w:type="dxa"/>
            <w:shd w:val="clear" w:color="auto" w:fill="auto"/>
          </w:tcPr>
          <w:p w:rsidR="007F3084" w:rsidRPr="009264AE" w:rsidRDefault="009264AE" w:rsidP="007F3084">
            <w:pPr>
              <w:widowControl/>
              <w:rPr>
                <w:sz w:val="22"/>
                <w:szCs w:val="22"/>
              </w:rPr>
            </w:pPr>
            <w:r>
              <w:rPr>
                <w:sz w:val="22"/>
                <w:szCs w:val="22"/>
              </w:rPr>
              <w:t>Υπόταση</w:t>
            </w:r>
          </w:p>
        </w:tc>
        <w:tc>
          <w:tcPr>
            <w:tcW w:w="2822" w:type="dxa"/>
          </w:tcPr>
          <w:p w:rsidR="007F3084" w:rsidRPr="007F3084" w:rsidRDefault="002A0461" w:rsidP="007F3084">
            <w:pPr>
              <w:widowControl/>
              <w:rPr>
                <w:sz w:val="22"/>
                <w:szCs w:val="22"/>
                <w:lang w:val="en-GB"/>
              </w:rPr>
            </w:pPr>
            <w:r>
              <w:rPr>
                <w:sz w:val="22"/>
                <w:szCs w:val="22"/>
              </w:rPr>
              <w:t>Σπάνιες</w:t>
            </w:r>
          </w:p>
        </w:tc>
      </w:tr>
      <w:tr w:rsidR="002A0461" w:rsidRPr="007F3084" w:rsidTr="00D842DF">
        <w:tc>
          <w:tcPr>
            <w:tcW w:w="3464" w:type="dxa"/>
            <w:vMerge w:val="restart"/>
            <w:shd w:val="clear" w:color="auto" w:fill="auto"/>
          </w:tcPr>
          <w:p w:rsidR="007F3084" w:rsidRPr="00DF1929" w:rsidRDefault="00DF1929" w:rsidP="00DF1929">
            <w:pPr>
              <w:widowControl/>
              <w:rPr>
                <w:sz w:val="22"/>
                <w:szCs w:val="22"/>
              </w:rPr>
            </w:pPr>
            <w:r w:rsidRPr="0038404B">
              <w:rPr>
                <w:sz w:val="22"/>
                <w:szCs w:val="22"/>
              </w:rPr>
              <w:t>Διαταραχές του αναπνευστικού συστήματος, του θώρακα και του μεσοθωρακίου</w:t>
            </w:r>
          </w:p>
        </w:tc>
        <w:tc>
          <w:tcPr>
            <w:tcW w:w="3569" w:type="dxa"/>
            <w:shd w:val="clear" w:color="auto" w:fill="auto"/>
          </w:tcPr>
          <w:p w:rsidR="007F3084" w:rsidRPr="009264AE" w:rsidRDefault="009264AE" w:rsidP="007F3084">
            <w:pPr>
              <w:widowControl/>
              <w:rPr>
                <w:sz w:val="22"/>
                <w:szCs w:val="22"/>
              </w:rPr>
            </w:pPr>
            <w:r>
              <w:rPr>
                <w:sz w:val="22"/>
                <w:szCs w:val="22"/>
              </w:rPr>
              <w:t>Βρογχίτιδα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Φαρυγγίτιδα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Βήχας</w:t>
            </w:r>
          </w:p>
        </w:tc>
        <w:tc>
          <w:tcPr>
            <w:tcW w:w="2822" w:type="dxa"/>
          </w:tcPr>
          <w:p w:rsidR="007F3084" w:rsidRPr="002A0461" w:rsidRDefault="002A0461" w:rsidP="007F3084">
            <w:pPr>
              <w:widowControl/>
              <w:rPr>
                <w:sz w:val="22"/>
                <w:szCs w:val="22"/>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Ρινίτιδα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val="restart"/>
            <w:shd w:val="clear" w:color="auto" w:fill="auto"/>
          </w:tcPr>
          <w:p w:rsidR="007F3084" w:rsidRPr="00DF1929" w:rsidRDefault="00DF1929" w:rsidP="00DF1929">
            <w:pPr>
              <w:widowControl/>
              <w:rPr>
                <w:sz w:val="22"/>
                <w:szCs w:val="22"/>
              </w:rPr>
            </w:pPr>
            <w:r w:rsidRPr="00DF1929">
              <w:rPr>
                <w:sz w:val="22"/>
                <w:szCs w:val="22"/>
                <w:lang w:val="en-GB"/>
              </w:rPr>
              <w:t>Διαταραχές του γαστρεντερικού συστήματος</w:t>
            </w:r>
          </w:p>
        </w:tc>
        <w:tc>
          <w:tcPr>
            <w:tcW w:w="3569" w:type="dxa"/>
            <w:shd w:val="clear" w:color="auto" w:fill="auto"/>
          </w:tcPr>
          <w:p w:rsidR="007F3084" w:rsidRPr="009264AE" w:rsidRDefault="009264AE" w:rsidP="007F3084">
            <w:pPr>
              <w:widowControl/>
              <w:rPr>
                <w:sz w:val="22"/>
                <w:szCs w:val="22"/>
              </w:rPr>
            </w:pPr>
            <w:r>
              <w:rPr>
                <w:sz w:val="22"/>
                <w:szCs w:val="22"/>
              </w:rPr>
              <w:t>Γαστρεντερίτιδα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Διάρροια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Κοιλιακό άλγος</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Ναυτία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Δυσπεψία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Έμετος</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val="restart"/>
            <w:shd w:val="clear" w:color="auto" w:fill="auto"/>
          </w:tcPr>
          <w:p w:rsidR="007F3084" w:rsidRPr="00ED443E" w:rsidRDefault="00ED443E" w:rsidP="00ED443E">
            <w:pPr>
              <w:widowControl/>
              <w:rPr>
                <w:sz w:val="22"/>
                <w:szCs w:val="22"/>
              </w:rPr>
            </w:pPr>
            <w:r w:rsidRPr="0038404B">
              <w:rPr>
                <w:sz w:val="22"/>
                <w:szCs w:val="22"/>
              </w:rPr>
              <w:t>Διαταραχές του δέρματος και του υποδόριου ιστού</w:t>
            </w:r>
          </w:p>
        </w:tc>
        <w:tc>
          <w:tcPr>
            <w:tcW w:w="3569" w:type="dxa"/>
            <w:shd w:val="clear" w:color="auto" w:fill="auto"/>
          </w:tcPr>
          <w:p w:rsidR="007F3084" w:rsidRPr="00EC2F30" w:rsidRDefault="009264AE" w:rsidP="007F3084">
            <w:pPr>
              <w:widowControl/>
              <w:rPr>
                <w:sz w:val="22"/>
                <w:szCs w:val="22"/>
              </w:rPr>
            </w:pPr>
            <w:r w:rsidRPr="00EC2F30">
              <w:rPr>
                <w:sz w:val="22"/>
                <w:szCs w:val="22"/>
              </w:rPr>
              <w:t>Εξάνθημα</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9264AE" w:rsidRDefault="009264AE" w:rsidP="007F3084">
            <w:pPr>
              <w:widowControl/>
              <w:rPr>
                <w:sz w:val="22"/>
                <w:szCs w:val="22"/>
              </w:rPr>
            </w:pPr>
            <w:r>
              <w:rPr>
                <w:sz w:val="22"/>
                <w:szCs w:val="22"/>
              </w:rPr>
              <w:t>Αλλεργική δερματίτιδα</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Κνίδωση</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C2F30" w:rsidRDefault="00ED443E" w:rsidP="007F3084">
            <w:pPr>
              <w:widowControl/>
              <w:rPr>
                <w:sz w:val="22"/>
                <w:szCs w:val="22"/>
              </w:rPr>
            </w:pPr>
            <w:r w:rsidRPr="00EC2F30">
              <w:rPr>
                <w:sz w:val="22"/>
                <w:szCs w:val="22"/>
              </w:rPr>
              <w:t>Εξάνθημα</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Κνησμός</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Αγγειοοίδημα</w:t>
            </w:r>
          </w:p>
        </w:tc>
        <w:tc>
          <w:tcPr>
            <w:tcW w:w="2822" w:type="dxa"/>
          </w:tcPr>
          <w:p w:rsidR="007F3084" w:rsidRPr="007F3084" w:rsidRDefault="002A0461" w:rsidP="007F3084">
            <w:pPr>
              <w:widowControl/>
              <w:rPr>
                <w:sz w:val="22"/>
                <w:szCs w:val="22"/>
                <w:lang w:val="en-GB"/>
              </w:rPr>
            </w:pPr>
            <w:r>
              <w:rPr>
                <w:sz w:val="22"/>
                <w:szCs w:val="22"/>
              </w:rPr>
              <w:t>Σπάνιες</w:t>
            </w:r>
          </w:p>
        </w:tc>
      </w:tr>
      <w:tr w:rsidR="002A0461" w:rsidRPr="007F3084" w:rsidTr="00D842DF">
        <w:tc>
          <w:tcPr>
            <w:tcW w:w="3464" w:type="dxa"/>
            <w:vMerge w:val="restart"/>
            <w:shd w:val="clear" w:color="auto" w:fill="auto"/>
          </w:tcPr>
          <w:p w:rsidR="007F3084" w:rsidRPr="00DF1929" w:rsidRDefault="00DF1929" w:rsidP="00DF1929">
            <w:pPr>
              <w:widowControl/>
              <w:rPr>
                <w:sz w:val="22"/>
                <w:szCs w:val="22"/>
              </w:rPr>
            </w:pPr>
            <w:r w:rsidRPr="0038404B">
              <w:rPr>
                <w:sz w:val="22"/>
                <w:szCs w:val="22"/>
              </w:rPr>
              <w:t>Διαταραχές του μυοσκελετικού συστήματος και του συνδετικού ιστού</w:t>
            </w:r>
          </w:p>
        </w:tc>
        <w:tc>
          <w:tcPr>
            <w:tcW w:w="3569" w:type="dxa"/>
            <w:shd w:val="clear" w:color="auto" w:fill="auto"/>
          </w:tcPr>
          <w:p w:rsidR="007F3084" w:rsidRPr="00ED443E" w:rsidRDefault="00ED443E" w:rsidP="007F3084">
            <w:pPr>
              <w:widowControl/>
              <w:rPr>
                <w:sz w:val="22"/>
                <w:szCs w:val="22"/>
              </w:rPr>
            </w:pPr>
            <w:r>
              <w:rPr>
                <w:sz w:val="22"/>
                <w:szCs w:val="22"/>
              </w:rPr>
              <w:t>Αρθρίτιδα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Οσφυαλγία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Σκελετικό άλγος</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Μυαλγία</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BF3368" w:rsidP="007F3084">
            <w:pPr>
              <w:widowControl/>
              <w:rPr>
                <w:sz w:val="22"/>
                <w:szCs w:val="22"/>
              </w:rPr>
            </w:pPr>
            <w:r>
              <w:rPr>
                <w:sz w:val="22"/>
                <w:szCs w:val="22"/>
              </w:rPr>
              <w:t>Μυϊκός</w:t>
            </w:r>
            <w:r w:rsidR="00ED443E">
              <w:rPr>
                <w:sz w:val="22"/>
                <w:szCs w:val="22"/>
              </w:rPr>
              <w:t xml:space="preserve"> σπασμός</w:t>
            </w:r>
          </w:p>
        </w:tc>
        <w:tc>
          <w:tcPr>
            <w:tcW w:w="2822" w:type="dxa"/>
          </w:tcPr>
          <w:p w:rsidR="007F3084" w:rsidRPr="007F3084" w:rsidRDefault="002A0461" w:rsidP="007F3084">
            <w:pPr>
              <w:widowControl/>
              <w:rPr>
                <w:sz w:val="22"/>
                <w:szCs w:val="22"/>
                <w:lang w:val="en-GB"/>
              </w:rPr>
            </w:pPr>
            <w:r>
              <w:rPr>
                <w:sz w:val="22"/>
                <w:szCs w:val="22"/>
              </w:rPr>
              <w:t>Σπάνιες</w:t>
            </w:r>
          </w:p>
        </w:tc>
      </w:tr>
      <w:tr w:rsidR="002A0461" w:rsidRPr="007F3084" w:rsidTr="00D842DF">
        <w:tc>
          <w:tcPr>
            <w:tcW w:w="3464" w:type="dxa"/>
            <w:vMerge w:val="restart"/>
            <w:shd w:val="clear" w:color="auto" w:fill="auto"/>
          </w:tcPr>
          <w:p w:rsidR="007F3084" w:rsidRPr="00DF1929" w:rsidRDefault="00ED443E" w:rsidP="00DF1929">
            <w:pPr>
              <w:widowControl/>
              <w:rPr>
                <w:sz w:val="22"/>
                <w:szCs w:val="22"/>
              </w:rPr>
            </w:pPr>
            <w:r w:rsidRPr="0038404B">
              <w:rPr>
                <w:sz w:val="22"/>
                <w:szCs w:val="22"/>
              </w:rPr>
              <w:t>Διαταραχές τω</w:t>
            </w:r>
            <w:r w:rsidR="00DF1929" w:rsidRPr="0038404B">
              <w:rPr>
                <w:sz w:val="22"/>
                <w:szCs w:val="22"/>
              </w:rPr>
              <w:t>ν νεφρών και των ουροφόρων οδών</w:t>
            </w:r>
          </w:p>
        </w:tc>
        <w:tc>
          <w:tcPr>
            <w:tcW w:w="3569" w:type="dxa"/>
            <w:shd w:val="clear" w:color="auto" w:fill="auto"/>
          </w:tcPr>
          <w:p w:rsidR="007F3084" w:rsidRPr="00ED443E" w:rsidRDefault="00ED443E" w:rsidP="007F3084">
            <w:pPr>
              <w:widowControl/>
              <w:rPr>
                <w:sz w:val="22"/>
                <w:szCs w:val="22"/>
              </w:rPr>
            </w:pPr>
            <w:r>
              <w:rPr>
                <w:sz w:val="22"/>
                <w:szCs w:val="22"/>
              </w:rPr>
              <w:t>Αιματουρία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Ουρολοίμωξη</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Οξεία νεφρική ανεπάρκεια</w:t>
            </w:r>
          </w:p>
        </w:tc>
        <w:tc>
          <w:tcPr>
            <w:tcW w:w="2822" w:type="dxa"/>
          </w:tcPr>
          <w:p w:rsidR="007F3084" w:rsidRPr="007F3084" w:rsidRDefault="002A0461" w:rsidP="007F3084">
            <w:pPr>
              <w:widowControl/>
              <w:rPr>
                <w:sz w:val="22"/>
                <w:szCs w:val="22"/>
                <w:lang w:val="en-GB"/>
              </w:rPr>
            </w:pPr>
            <w:r>
              <w:rPr>
                <w:sz w:val="22"/>
                <w:szCs w:val="22"/>
              </w:rPr>
              <w:t>Σπάνιες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Νεφρική ανεπάρκεια</w:t>
            </w:r>
          </w:p>
        </w:tc>
        <w:tc>
          <w:tcPr>
            <w:tcW w:w="2822" w:type="dxa"/>
          </w:tcPr>
          <w:p w:rsidR="007F3084" w:rsidRPr="007F3084" w:rsidRDefault="002A0461" w:rsidP="007F3084">
            <w:pPr>
              <w:widowControl/>
              <w:rPr>
                <w:sz w:val="22"/>
                <w:szCs w:val="22"/>
                <w:lang w:val="en-GB"/>
              </w:rPr>
            </w:pPr>
            <w:r>
              <w:rPr>
                <w:sz w:val="22"/>
                <w:szCs w:val="22"/>
              </w:rPr>
              <w:t>Σπάνιες</w:t>
            </w:r>
          </w:p>
        </w:tc>
      </w:tr>
      <w:tr w:rsidR="002A0461" w:rsidRPr="007F3084" w:rsidTr="00D842DF">
        <w:tc>
          <w:tcPr>
            <w:tcW w:w="3464" w:type="dxa"/>
            <w:vMerge w:val="restart"/>
            <w:shd w:val="clear" w:color="auto" w:fill="auto"/>
          </w:tcPr>
          <w:p w:rsidR="007F3084" w:rsidRPr="00ED443E" w:rsidRDefault="00ED443E" w:rsidP="00ED443E">
            <w:pPr>
              <w:widowControl/>
              <w:rPr>
                <w:sz w:val="22"/>
                <w:szCs w:val="22"/>
              </w:rPr>
            </w:pPr>
            <w:r w:rsidRPr="0038404B">
              <w:rPr>
                <w:sz w:val="22"/>
                <w:szCs w:val="22"/>
              </w:rPr>
              <w:t>Γενικές διαταραχές και καταστάσεις της οδού χορήγησης</w:t>
            </w:r>
          </w:p>
        </w:tc>
        <w:tc>
          <w:tcPr>
            <w:tcW w:w="3569" w:type="dxa"/>
            <w:shd w:val="clear" w:color="auto" w:fill="auto"/>
          </w:tcPr>
          <w:p w:rsidR="007F3084" w:rsidRPr="00ED443E" w:rsidRDefault="00ED443E" w:rsidP="007F3084">
            <w:pPr>
              <w:widowControl/>
              <w:rPr>
                <w:sz w:val="22"/>
                <w:szCs w:val="22"/>
              </w:rPr>
            </w:pPr>
            <w:r>
              <w:rPr>
                <w:sz w:val="22"/>
                <w:szCs w:val="22"/>
              </w:rPr>
              <w:t>Άλγος</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Θωρακικό άλγος</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Περιφερικό οίδημα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Συμπτώματα όπως της γρίπης</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Κόπωση</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Οίδημα προσώπου</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Εξασθένηση</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Κακουχία</w:t>
            </w:r>
          </w:p>
        </w:tc>
        <w:tc>
          <w:tcPr>
            <w:tcW w:w="2822" w:type="dxa"/>
          </w:tcPr>
          <w:p w:rsidR="007F3084" w:rsidRPr="007F3084" w:rsidRDefault="002A0461" w:rsidP="007F3084">
            <w:pPr>
              <w:widowControl/>
              <w:rPr>
                <w:sz w:val="22"/>
                <w:szCs w:val="22"/>
                <w:lang w:val="en-GB"/>
              </w:rPr>
            </w:pPr>
            <w:r>
              <w:rPr>
                <w:sz w:val="22"/>
                <w:szCs w:val="22"/>
              </w:rPr>
              <w:t>Όχι 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Λήθαργος</w:t>
            </w:r>
          </w:p>
        </w:tc>
        <w:tc>
          <w:tcPr>
            <w:tcW w:w="2822" w:type="dxa"/>
          </w:tcPr>
          <w:p w:rsidR="007F3084" w:rsidRPr="007F3084" w:rsidRDefault="002A0461" w:rsidP="007F3084">
            <w:pPr>
              <w:widowControl/>
              <w:rPr>
                <w:sz w:val="22"/>
                <w:szCs w:val="22"/>
                <w:lang w:val="en-GB"/>
              </w:rPr>
            </w:pPr>
            <w:r>
              <w:rPr>
                <w:sz w:val="22"/>
                <w:szCs w:val="22"/>
              </w:rPr>
              <w:t>Σπάνιες</w:t>
            </w:r>
          </w:p>
        </w:tc>
      </w:tr>
      <w:tr w:rsidR="002A0461" w:rsidRPr="007F3084" w:rsidTr="00D842DF">
        <w:tc>
          <w:tcPr>
            <w:tcW w:w="3464" w:type="dxa"/>
            <w:vMerge w:val="restart"/>
            <w:shd w:val="clear" w:color="auto" w:fill="auto"/>
          </w:tcPr>
          <w:p w:rsidR="007F3084" w:rsidRPr="00ED443E" w:rsidRDefault="00ED443E" w:rsidP="007F3084">
            <w:pPr>
              <w:widowControl/>
              <w:rPr>
                <w:sz w:val="22"/>
                <w:szCs w:val="22"/>
              </w:rPr>
            </w:pPr>
            <w:r>
              <w:rPr>
                <w:sz w:val="22"/>
                <w:szCs w:val="22"/>
              </w:rPr>
              <w:t>Παρακλινικές εξετάσεις</w:t>
            </w:r>
          </w:p>
        </w:tc>
        <w:tc>
          <w:tcPr>
            <w:tcW w:w="3569" w:type="dxa"/>
            <w:shd w:val="clear" w:color="auto" w:fill="auto"/>
          </w:tcPr>
          <w:p w:rsidR="007F3084" w:rsidRPr="00ED443E" w:rsidRDefault="00ED443E" w:rsidP="007F3084">
            <w:pPr>
              <w:widowControl/>
              <w:rPr>
                <w:sz w:val="22"/>
                <w:szCs w:val="22"/>
              </w:rPr>
            </w:pPr>
            <w:r>
              <w:rPr>
                <w:sz w:val="22"/>
                <w:szCs w:val="22"/>
              </w:rPr>
              <w:t>Αυξημένα ηπατικά ένζυμα</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Αυξημένη ουρία αίματος</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Αυξημένη κρεατινική φωσφοκινάση αίματος</w:t>
            </w:r>
          </w:p>
        </w:tc>
        <w:tc>
          <w:tcPr>
            <w:tcW w:w="2822" w:type="dxa"/>
          </w:tcPr>
          <w:p w:rsidR="007F3084" w:rsidRPr="007F3084" w:rsidRDefault="002A0461" w:rsidP="007F3084">
            <w:pPr>
              <w:widowControl/>
              <w:rPr>
                <w:sz w:val="22"/>
                <w:szCs w:val="22"/>
                <w:lang w:val="en-GB"/>
              </w:rPr>
            </w:pPr>
            <w:r>
              <w:rPr>
                <w:sz w:val="22"/>
                <w:szCs w:val="22"/>
              </w:rPr>
              <w:t>Συχνές</w:t>
            </w:r>
          </w:p>
        </w:tc>
      </w:tr>
      <w:tr w:rsidR="002A0461" w:rsidRPr="007F3084" w:rsidTr="00D842DF">
        <w:tc>
          <w:tcPr>
            <w:tcW w:w="3464" w:type="dxa"/>
            <w:vMerge/>
            <w:shd w:val="clear" w:color="auto" w:fill="auto"/>
          </w:tcPr>
          <w:p w:rsidR="007F3084" w:rsidRPr="007F3084" w:rsidRDefault="007F3084" w:rsidP="007F3084">
            <w:pPr>
              <w:widowControl/>
              <w:rPr>
                <w:sz w:val="22"/>
                <w:szCs w:val="22"/>
                <w:lang w:val="en-GB"/>
              </w:rPr>
            </w:pPr>
          </w:p>
        </w:tc>
        <w:tc>
          <w:tcPr>
            <w:tcW w:w="3569" w:type="dxa"/>
            <w:shd w:val="clear" w:color="auto" w:fill="auto"/>
          </w:tcPr>
          <w:p w:rsidR="007F3084" w:rsidRPr="00ED443E" w:rsidRDefault="00ED443E" w:rsidP="007F3084">
            <w:pPr>
              <w:widowControl/>
              <w:rPr>
                <w:sz w:val="22"/>
                <w:szCs w:val="22"/>
              </w:rPr>
            </w:pPr>
            <w:r>
              <w:rPr>
                <w:sz w:val="22"/>
                <w:szCs w:val="22"/>
              </w:rPr>
              <w:t>Αυξημένη κρεατινίνη αίματος</w:t>
            </w:r>
          </w:p>
        </w:tc>
        <w:tc>
          <w:tcPr>
            <w:tcW w:w="2822" w:type="dxa"/>
          </w:tcPr>
          <w:p w:rsidR="007F3084" w:rsidRPr="002A0461" w:rsidRDefault="002A0461" w:rsidP="007F3084">
            <w:pPr>
              <w:widowControl/>
              <w:rPr>
                <w:sz w:val="22"/>
                <w:szCs w:val="22"/>
              </w:rPr>
            </w:pPr>
            <w:r>
              <w:rPr>
                <w:sz w:val="22"/>
                <w:szCs w:val="22"/>
              </w:rPr>
              <w:t>Σπάνιες</w:t>
            </w:r>
          </w:p>
        </w:tc>
      </w:tr>
    </w:tbl>
    <w:p w:rsidR="005D5E57" w:rsidRPr="00A072F5" w:rsidRDefault="005D5E57" w:rsidP="001554F7">
      <w:pPr>
        <w:widowControl/>
        <w:rPr>
          <w:sz w:val="22"/>
          <w:szCs w:val="22"/>
        </w:rPr>
      </w:pPr>
    </w:p>
    <w:p w:rsidR="007F3084" w:rsidRPr="0038404B" w:rsidRDefault="00E572E6" w:rsidP="001554F7">
      <w:pPr>
        <w:tabs>
          <w:tab w:val="left" w:pos="567"/>
        </w:tabs>
        <w:contextualSpacing/>
        <w:rPr>
          <w:noProof/>
          <w:sz w:val="22"/>
          <w:szCs w:val="22"/>
          <w:lang w:eastAsia="en-US"/>
        </w:rPr>
      </w:pPr>
      <w:r>
        <w:rPr>
          <w:noProof/>
          <w:sz w:val="22"/>
          <w:szCs w:val="22"/>
          <w:lang w:eastAsia="en-US"/>
        </w:rPr>
        <w:t>Έχουν αναφερθεί μεμονωμένα περιστατικά ραβδομυόλυσης χρονικά συσχετιζόμενα με τη λήψη ανταγωνιστών των υποδοχέων της αγγειοτασίνης</w:t>
      </w:r>
      <w:r w:rsidR="007F3084" w:rsidRPr="0038404B">
        <w:rPr>
          <w:noProof/>
          <w:sz w:val="22"/>
          <w:szCs w:val="22"/>
          <w:lang w:eastAsia="en-US"/>
        </w:rPr>
        <w:t xml:space="preserve"> </w:t>
      </w:r>
      <w:r w:rsidR="007F3084" w:rsidRPr="007F3084">
        <w:rPr>
          <w:noProof/>
          <w:sz w:val="22"/>
          <w:szCs w:val="22"/>
          <w:lang w:val="en-GB" w:eastAsia="en-US"/>
        </w:rPr>
        <w:t>II</w:t>
      </w:r>
      <w:r w:rsidR="007F3084" w:rsidRPr="0038404B">
        <w:rPr>
          <w:noProof/>
          <w:sz w:val="22"/>
          <w:szCs w:val="22"/>
          <w:lang w:eastAsia="en-US"/>
        </w:rPr>
        <w:t xml:space="preserve">. </w:t>
      </w:r>
    </w:p>
    <w:p w:rsidR="007F3084" w:rsidRPr="0038404B" w:rsidRDefault="007F3084" w:rsidP="001554F7">
      <w:pPr>
        <w:tabs>
          <w:tab w:val="left" w:pos="567"/>
        </w:tabs>
        <w:contextualSpacing/>
        <w:rPr>
          <w:noProof/>
          <w:sz w:val="22"/>
          <w:szCs w:val="22"/>
          <w:lang w:eastAsia="en-US"/>
        </w:rPr>
      </w:pPr>
    </w:p>
    <w:p w:rsidR="007F3084" w:rsidRPr="0038404B" w:rsidRDefault="00E572E6" w:rsidP="001554F7">
      <w:pPr>
        <w:tabs>
          <w:tab w:val="left" w:pos="567"/>
        </w:tabs>
        <w:contextualSpacing/>
        <w:rPr>
          <w:noProof/>
          <w:sz w:val="22"/>
          <w:szCs w:val="22"/>
          <w:u w:val="single"/>
          <w:lang w:eastAsia="en-US"/>
        </w:rPr>
      </w:pPr>
      <w:r>
        <w:rPr>
          <w:noProof/>
          <w:sz w:val="22"/>
          <w:szCs w:val="22"/>
          <w:u w:val="single"/>
          <w:lang w:eastAsia="en-US"/>
        </w:rPr>
        <w:t>Επιπλέον πληροφορίες για ειδικούς πληθυσμούς</w:t>
      </w:r>
    </w:p>
    <w:p w:rsidR="005D5E57" w:rsidRPr="00A072F5" w:rsidRDefault="00D82A7E" w:rsidP="001554F7">
      <w:pPr>
        <w:pStyle w:val="Style4"/>
        <w:widowControl/>
        <w:spacing w:line="240" w:lineRule="auto"/>
        <w:jc w:val="left"/>
        <w:rPr>
          <w:rStyle w:val="FontStyle22"/>
          <w:sz w:val="22"/>
          <w:szCs w:val="22"/>
        </w:rPr>
      </w:pPr>
      <w:r>
        <w:rPr>
          <w:rStyle w:val="FontStyle22"/>
          <w:sz w:val="22"/>
          <w:szCs w:val="22"/>
        </w:rPr>
        <w:t>Στους υπερήλικες</w:t>
      </w:r>
      <w:r w:rsidR="005D5E57" w:rsidRPr="00A072F5">
        <w:rPr>
          <w:rStyle w:val="FontStyle22"/>
          <w:sz w:val="22"/>
          <w:szCs w:val="22"/>
        </w:rPr>
        <w:t xml:space="preserve"> η συχνότητα της υπότασης αυξάνεται ελαφρώς από σπάνια σε </w:t>
      </w:r>
      <w:r>
        <w:rPr>
          <w:rStyle w:val="FontStyle22"/>
          <w:sz w:val="22"/>
          <w:szCs w:val="22"/>
        </w:rPr>
        <w:t>όχι συχνή.</w:t>
      </w:r>
    </w:p>
    <w:p w:rsidR="005D5E57" w:rsidRDefault="005D5E57" w:rsidP="001554F7">
      <w:pPr>
        <w:pStyle w:val="Style14"/>
        <w:widowControl/>
        <w:spacing w:line="240" w:lineRule="auto"/>
        <w:ind w:firstLine="0"/>
        <w:rPr>
          <w:sz w:val="22"/>
          <w:szCs w:val="22"/>
        </w:rPr>
      </w:pPr>
    </w:p>
    <w:p w:rsidR="001554F7" w:rsidRPr="001554F7" w:rsidRDefault="001554F7" w:rsidP="001554F7">
      <w:pPr>
        <w:widowControl/>
        <w:autoSpaceDE/>
        <w:autoSpaceDN/>
        <w:adjustRightInd/>
        <w:rPr>
          <w:sz w:val="22"/>
          <w:szCs w:val="22"/>
          <w:u w:val="single"/>
          <w:lang w:eastAsia="en-US"/>
        </w:rPr>
      </w:pPr>
      <w:r w:rsidRPr="001554F7">
        <w:rPr>
          <w:sz w:val="22"/>
          <w:szCs w:val="22"/>
          <w:u w:val="single"/>
          <w:lang w:eastAsia="en-US"/>
        </w:rPr>
        <w:t>Αναφορά πιθανολογούμενων ανεπιθύμητων ενεργειών</w:t>
      </w:r>
    </w:p>
    <w:p w:rsidR="001554F7" w:rsidRPr="001554F7" w:rsidRDefault="001554F7" w:rsidP="001554F7">
      <w:pPr>
        <w:widowControl/>
        <w:autoSpaceDE/>
        <w:autoSpaceDN/>
        <w:adjustRightInd/>
        <w:rPr>
          <w:sz w:val="22"/>
          <w:szCs w:val="22"/>
          <w:lang w:eastAsia="en-US"/>
        </w:rPr>
      </w:pPr>
      <w:r w:rsidRPr="001554F7">
        <w:rPr>
          <w:sz w:val="22"/>
          <w:szCs w:val="22"/>
          <w:lang w:eastAsia="en-US"/>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Εθνικός Οργανισμός Φαρμάκων, Μεσογείων 284, GR-15562 Χολαργός, Αθήνα. Τηλ: + 30 21 32040380/337, Φαξ: + 30 21 06549585, Ιστότοπος: </w:t>
      </w:r>
      <w:hyperlink r:id="rId7" w:tooltip="blocked::http://www.eof.gr/" w:history="1">
        <w:r w:rsidRPr="001554F7">
          <w:rPr>
            <w:sz w:val="22"/>
            <w:szCs w:val="22"/>
            <w:lang w:eastAsia="en-US"/>
          </w:rPr>
          <w:t>http</w:t>
        </w:r>
        <w:r w:rsidRPr="0038404B">
          <w:rPr>
            <w:sz w:val="22"/>
            <w:szCs w:val="22"/>
            <w:lang w:eastAsia="en-US"/>
          </w:rPr>
          <w:t>://</w:t>
        </w:r>
        <w:r w:rsidRPr="001554F7">
          <w:rPr>
            <w:sz w:val="22"/>
            <w:szCs w:val="22"/>
            <w:lang w:eastAsia="en-US"/>
          </w:rPr>
          <w:t>www</w:t>
        </w:r>
        <w:r w:rsidRPr="0038404B">
          <w:rPr>
            <w:sz w:val="22"/>
            <w:szCs w:val="22"/>
            <w:lang w:eastAsia="en-US"/>
          </w:rPr>
          <w:t>.</w:t>
        </w:r>
        <w:r w:rsidRPr="001554F7">
          <w:rPr>
            <w:sz w:val="22"/>
            <w:szCs w:val="22"/>
            <w:lang w:eastAsia="en-US"/>
          </w:rPr>
          <w:t>eof</w:t>
        </w:r>
        <w:r w:rsidRPr="0038404B">
          <w:rPr>
            <w:sz w:val="22"/>
            <w:szCs w:val="22"/>
            <w:lang w:eastAsia="en-US"/>
          </w:rPr>
          <w:t>.</w:t>
        </w:r>
        <w:r w:rsidRPr="001554F7">
          <w:rPr>
            <w:sz w:val="22"/>
            <w:szCs w:val="22"/>
            <w:lang w:eastAsia="en-US"/>
          </w:rPr>
          <w:t>gr</w:t>
        </w:r>
      </w:hyperlink>
      <w:r>
        <w:rPr>
          <w:sz w:val="22"/>
          <w:szCs w:val="22"/>
          <w:lang w:eastAsia="en-US"/>
        </w:rPr>
        <w:t>.</w:t>
      </w:r>
    </w:p>
    <w:p w:rsidR="001554F7" w:rsidRPr="00A072F5" w:rsidRDefault="001554F7" w:rsidP="001554F7">
      <w:pPr>
        <w:pStyle w:val="Style14"/>
        <w:widowControl/>
        <w:spacing w:line="240" w:lineRule="auto"/>
        <w:ind w:firstLine="0"/>
        <w:rPr>
          <w:sz w:val="22"/>
          <w:szCs w:val="22"/>
        </w:rPr>
      </w:pPr>
    </w:p>
    <w:p w:rsidR="005D5E57" w:rsidRPr="00A072F5" w:rsidRDefault="001554F7" w:rsidP="001554F7">
      <w:pPr>
        <w:pStyle w:val="Style14"/>
        <w:widowControl/>
        <w:spacing w:line="240" w:lineRule="auto"/>
        <w:ind w:firstLine="0"/>
        <w:rPr>
          <w:rStyle w:val="FontStyle21"/>
          <w:sz w:val="22"/>
          <w:szCs w:val="22"/>
        </w:rPr>
      </w:pPr>
      <w:r>
        <w:rPr>
          <w:rStyle w:val="FontStyle21"/>
          <w:sz w:val="22"/>
          <w:szCs w:val="22"/>
        </w:rPr>
        <w:t>4.9</w:t>
      </w:r>
      <w:r>
        <w:rPr>
          <w:rStyle w:val="FontStyle21"/>
          <w:sz w:val="22"/>
          <w:szCs w:val="22"/>
        </w:rPr>
        <w:tab/>
      </w:r>
      <w:r w:rsidR="005D5E57" w:rsidRPr="00A072F5">
        <w:rPr>
          <w:rStyle w:val="FontStyle21"/>
          <w:sz w:val="22"/>
          <w:szCs w:val="22"/>
        </w:rPr>
        <w:t>Υπερδοσολογία</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Υπάρχουν περιορισμένες πληροφορίες σχετικά με την υπερδοσολογία στους ανθρώπους. Το πιθανότερο αποτέλεσμα της υπερδοσολογίας είναι η υπόταση. Σε περίπτωση υπερδοσολογίας, ο ασθενής πρέπει να παρακολουθείται προσεκτικά και να εφαρμόζεται συμπτωματική και υποστηρικτική θεραπεία.</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Δεν υπά</w:t>
      </w:r>
      <w:r w:rsidR="00D82A7E">
        <w:rPr>
          <w:rStyle w:val="FontStyle22"/>
          <w:sz w:val="22"/>
          <w:szCs w:val="22"/>
        </w:rPr>
        <w:t>ρχουν πληροφορίες σχετικά με τη</w:t>
      </w:r>
      <w:r w:rsidRPr="00A072F5">
        <w:rPr>
          <w:rStyle w:val="FontStyle22"/>
          <w:sz w:val="22"/>
          <w:szCs w:val="22"/>
        </w:rPr>
        <w:t xml:space="preserve"> δυνατότητα απομάκρυνσης 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με αιμοκάθαρση.</w:t>
      </w:r>
    </w:p>
    <w:p w:rsidR="005D5E57" w:rsidRDefault="005D5E57" w:rsidP="0042565E">
      <w:pPr>
        <w:pStyle w:val="Style14"/>
        <w:widowControl/>
        <w:spacing w:line="240" w:lineRule="auto"/>
        <w:rPr>
          <w:sz w:val="22"/>
          <w:szCs w:val="22"/>
        </w:rPr>
      </w:pPr>
    </w:p>
    <w:p w:rsidR="00123F5A" w:rsidRPr="00A072F5" w:rsidRDefault="00123F5A" w:rsidP="0042565E">
      <w:pPr>
        <w:pStyle w:val="Style14"/>
        <w:widowControl/>
        <w:spacing w:line="240" w:lineRule="auto"/>
        <w:rPr>
          <w:sz w:val="22"/>
          <w:szCs w:val="22"/>
        </w:rPr>
      </w:pPr>
    </w:p>
    <w:p w:rsidR="0042565E" w:rsidRPr="00A072F5" w:rsidRDefault="0042565E" w:rsidP="0042565E">
      <w:pPr>
        <w:pStyle w:val="Style14"/>
        <w:widowControl/>
        <w:spacing w:line="240" w:lineRule="auto"/>
        <w:ind w:firstLine="0"/>
        <w:rPr>
          <w:rStyle w:val="FontStyle21"/>
          <w:sz w:val="22"/>
          <w:szCs w:val="22"/>
        </w:rPr>
      </w:pPr>
      <w:r w:rsidRPr="00A072F5">
        <w:rPr>
          <w:rStyle w:val="FontStyle21"/>
          <w:sz w:val="22"/>
          <w:szCs w:val="22"/>
        </w:rPr>
        <w:t>5.</w:t>
      </w:r>
      <w:r w:rsidRPr="00A072F5">
        <w:rPr>
          <w:rStyle w:val="FontStyle21"/>
          <w:sz w:val="22"/>
          <w:szCs w:val="22"/>
        </w:rPr>
        <w:tab/>
      </w:r>
      <w:r w:rsidR="005D5E57" w:rsidRPr="00A072F5">
        <w:rPr>
          <w:rStyle w:val="FontStyle21"/>
          <w:sz w:val="22"/>
          <w:szCs w:val="22"/>
        </w:rPr>
        <w:t xml:space="preserve">ΦΑΡΜΑΚΟΛΟΓΙΚΕΣ ΙΔΙΟΤΗΤΕΣ </w:t>
      </w:r>
    </w:p>
    <w:p w:rsidR="0042565E" w:rsidRPr="00A072F5" w:rsidRDefault="0042565E" w:rsidP="0042565E">
      <w:pPr>
        <w:pStyle w:val="Style14"/>
        <w:widowControl/>
        <w:spacing w:line="240" w:lineRule="auto"/>
        <w:ind w:firstLine="0"/>
        <w:rPr>
          <w:rStyle w:val="FontStyle21"/>
          <w:sz w:val="22"/>
          <w:szCs w:val="22"/>
        </w:rPr>
      </w:pPr>
    </w:p>
    <w:p w:rsidR="0042565E" w:rsidRPr="00A072F5" w:rsidRDefault="0042565E" w:rsidP="0042565E">
      <w:pPr>
        <w:pStyle w:val="Style14"/>
        <w:widowControl/>
        <w:spacing w:line="240" w:lineRule="auto"/>
        <w:ind w:firstLine="0"/>
        <w:rPr>
          <w:rStyle w:val="FontStyle21"/>
          <w:sz w:val="22"/>
          <w:szCs w:val="22"/>
        </w:rPr>
      </w:pPr>
      <w:r w:rsidRPr="00A072F5">
        <w:rPr>
          <w:rStyle w:val="FontStyle21"/>
          <w:sz w:val="22"/>
          <w:szCs w:val="22"/>
        </w:rPr>
        <w:t>5.1</w:t>
      </w:r>
      <w:r w:rsidRPr="00A072F5">
        <w:rPr>
          <w:rStyle w:val="FontStyle21"/>
          <w:sz w:val="22"/>
          <w:szCs w:val="22"/>
        </w:rPr>
        <w:tab/>
      </w:r>
      <w:r w:rsidR="005D5E57" w:rsidRPr="00A072F5">
        <w:rPr>
          <w:rStyle w:val="FontStyle21"/>
          <w:sz w:val="22"/>
          <w:szCs w:val="22"/>
        </w:rPr>
        <w:t xml:space="preserve">Φαρμακοδυναμικές ιδιότητες </w:t>
      </w:r>
    </w:p>
    <w:p w:rsidR="0042565E" w:rsidRPr="001554F7" w:rsidRDefault="0042565E" w:rsidP="001554F7">
      <w:pPr>
        <w:pStyle w:val="Style14"/>
        <w:widowControl/>
        <w:spacing w:line="240" w:lineRule="auto"/>
        <w:ind w:firstLine="0"/>
        <w:rPr>
          <w:rStyle w:val="FontStyle21"/>
          <w:b w:val="0"/>
          <w:sz w:val="22"/>
          <w:szCs w:val="22"/>
        </w:rPr>
      </w:pPr>
    </w:p>
    <w:p w:rsidR="00D82A7E" w:rsidRDefault="005D5E57" w:rsidP="001554F7">
      <w:pPr>
        <w:pStyle w:val="Style14"/>
        <w:widowControl/>
        <w:spacing w:line="240" w:lineRule="auto"/>
        <w:ind w:firstLine="0"/>
        <w:rPr>
          <w:rStyle w:val="FontStyle22"/>
          <w:sz w:val="22"/>
          <w:szCs w:val="22"/>
        </w:rPr>
      </w:pPr>
      <w:r w:rsidRPr="001554F7">
        <w:rPr>
          <w:rStyle w:val="FontStyle21"/>
          <w:b w:val="0"/>
          <w:sz w:val="22"/>
          <w:szCs w:val="22"/>
        </w:rPr>
        <w:t>Φαρμακοθεραπευτική κατηγορία:</w:t>
      </w:r>
      <w:r w:rsidR="0042565E" w:rsidRPr="001554F7">
        <w:rPr>
          <w:rStyle w:val="FontStyle21"/>
          <w:b w:val="0"/>
          <w:sz w:val="22"/>
          <w:szCs w:val="22"/>
        </w:rPr>
        <w:t xml:space="preserve"> </w:t>
      </w:r>
      <w:r w:rsidRPr="001554F7">
        <w:rPr>
          <w:rStyle w:val="FontStyle22"/>
          <w:sz w:val="22"/>
          <w:szCs w:val="22"/>
        </w:rPr>
        <w:t xml:space="preserve">Ανταγωνιστές της </w:t>
      </w:r>
      <w:r w:rsidRPr="00D041ED">
        <w:rPr>
          <w:rStyle w:val="FontStyle22"/>
          <w:sz w:val="22"/>
          <w:szCs w:val="22"/>
        </w:rPr>
        <w:t xml:space="preserve">αγγειοτασίνης ΙΙ, </w:t>
      </w:r>
      <w:r w:rsidR="00D82A7E" w:rsidRPr="00D041ED">
        <w:rPr>
          <w:rStyle w:val="FontStyle22"/>
          <w:sz w:val="22"/>
          <w:szCs w:val="22"/>
        </w:rPr>
        <w:t>απλοί.</w:t>
      </w:r>
      <w:r w:rsidR="00D82A7E">
        <w:rPr>
          <w:rStyle w:val="FontStyle22"/>
          <w:sz w:val="22"/>
          <w:szCs w:val="22"/>
        </w:rPr>
        <w:t xml:space="preserve"> </w:t>
      </w:r>
    </w:p>
    <w:p w:rsidR="005D5E57" w:rsidRPr="001554F7" w:rsidRDefault="00D82A7E" w:rsidP="001554F7">
      <w:pPr>
        <w:pStyle w:val="Style14"/>
        <w:widowControl/>
        <w:spacing w:line="240" w:lineRule="auto"/>
        <w:ind w:firstLine="0"/>
        <w:rPr>
          <w:rStyle w:val="FontStyle22"/>
          <w:sz w:val="22"/>
          <w:szCs w:val="22"/>
        </w:rPr>
      </w:pPr>
      <w:r>
        <w:rPr>
          <w:rStyle w:val="FontStyle22"/>
          <w:sz w:val="22"/>
          <w:szCs w:val="22"/>
        </w:rPr>
        <w:t>Κ</w:t>
      </w:r>
      <w:r w:rsidR="005D5E57" w:rsidRPr="001554F7">
        <w:rPr>
          <w:rStyle w:val="FontStyle22"/>
          <w:sz w:val="22"/>
          <w:szCs w:val="22"/>
        </w:rPr>
        <w:t>ωδικός</w:t>
      </w:r>
      <w:r w:rsidR="005D5E57" w:rsidRPr="0038404B">
        <w:rPr>
          <w:rStyle w:val="FontStyle22"/>
          <w:sz w:val="22"/>
          <w:szCs w:val="22"/>
        </w:rPr>
        <w:t xml:space="preserve"> </w:t>
      </w:r>
      <w:r w:rsidR="005D5E57" w:rsidRPr="001554F7">
        <w:rPr>
          <w:rStyle w:val="FontStyle22"/>
          <w:sz w:val="22"/>
          <w:szCs w:val="22"/>
          <w:lang w:val="en-US"/>
        </w:rPr>
        <w:t>ATC</w:t>
      </w:r>
      <w:r w:rsidR="005D5E57" w:rsidRPr="0038404B">
        <w:rPr>
          <w:rStyle w:val="FontStyle22"/>
          <w:sz w:val="22"/>
          <w:szCs w:val="22"/>
        </w:rPr>
        <w:t xml:space="preserve">: </w:t>
      </w:r>
      <w:r w:rsidR="005D5E57" w:rsidRPr="001554F7">
        <w:rPr>
          <w:rStyle w:val="FontStyle22"/>
          <w:sz w:val="22"/>
          <w:szCs w:val="22"/>
          <w:lang w:val="en-US"/>
        </w:rPr>
        <w:t>C</w:t>
      </w:r>
      <w:r w:rsidR="005D5E57" w:rsidRPr="0038404B">
        <w:rPr>
          <w:rStyle w:val="FontStyle22"/>
          <w:sz w:val="22"/>
          <w:szCs w:val="22"/>
        </w:rPr>
        <w:t>09</w:t>
      </w:r>
      <w:r w:rsidR="005D5E57" w:rsidRPr="001554F7">
        <w:rPr>
          <w:rStyle w:val="FontStyle22"/>
          <w:sz w:val="22"/>
          <w:szCs w:val="22"/>
          <w:lang w:val="en-US"/>
        </w:rPr>
        <w:t>C</w:t>
      </w:r>
      <w:r w:rsidR="005D5E57" w:rsidRPr="0038404B">
        <w:rPr>
          <w:rStyle w:val="FontStyle22"/>
          <w:sz w:val="22"/>
          <w:szCs w:val="22"/>
        </w:rPr>
        <w:t xml:space="preserve"> </w:t>
      </w:r>
      <w:r w:rsidR="005D5E57" w:rsidRPr="001554F7">
        <w:rPr>
          <w:rStyle w:val="FontStyle22"/>
          <w:sz w:val="22"/>
          <w:szCs w:val="22"/>
          <w:lang w:val="en-US"/>
        </w:rPr>
        <w:t>A</w:t>
      </w:r>
      <w:r w:rsidR="005D5E57" w:rsidRPr="001554F7">
        <w:rPr>
          <w:rStyle w:val="FontStyle22"/>
          <w:sz w:val="22"/>
          <w:szCs w:val="22"/>
        </w:rPr>
        <w:t xml:space="preserve"> 08.</w:t>
      </w:r>
    </w:p>
    <w:p w:rsidR="001554F7" w:rsidRPr="0038404B" w:rsidRDefault="001554F7" w:rsidP="001554F7">
      <w:pPr>
        <w:tabs>
          <w:tab w:val="left" w:pos="567"/>
        </w:tabs>
        <w:autoSpaceDE/>
        <w:autoSpaceDN/>
        <w:adjustRightInd/>
        <w:contextualSpacing/>
        <w:rPr>
          <w:noProof/>
          <w:sz w:val="22"/>
          <w:szCs w:val="22"/>
          <w:lang w:eastAsia="en-US"/>
        </w:rPr>
      </w:pPr>
    </w:p>
    <w:p w:rsidR="001554F7" w:rsidRPr="0038404B" w:rsidRDefault="00626F20" w:rsidP="001554F7">
      <w:pPr>
        <w:tabs>
          <w:tab w:val="left" w:pos="567"/>
        </w:tabs>
        <w:autoSpaceDE/>
        <w:autoSpaceDN/>
        <w:adjustRightInd/>
        <w:contextualSpacing/>
        <w:rPr>
          <w:b/>
          <w:noProof/>
          <w:sz w:val="22"/>
          <w:szCs w:val="22"/>
          <w:u w:val="single"/>
          <w:lang w:eastAsia="en-US"/>
        </w:rPr>
      </w:pPr>
      <w:r>
        <w:rPr>
          <w:b/>
          <w:noProof/>
          <w:sz w:val="22"/>
          <w:szCs w:val="22"/>
          <w:u w:val="single"/>
          <w:lang w:eastAsia="en-US"/>
        </w:rPr>
        <w:t>Μηχανισμός δράσης</w:t>
      </w:r>
      <w:r w:rsidR="001554F7" w:rsidRPr="0038404B">
        <w:rPr>
          <w:b/>
          <w:noProof/>
          <w:sz w:val="22"/>
          <w:szCs w:val="22"/>
          <w:u w:val="single"/>
          <w:lang w:eastAsia="en-US"/>
        </w:rPr>
        <w:t xml:space="preserve"> / </w:t>
      </w:r>
      <w:r>
        <w:rPr>
          <w:b/>
          <w:noProof/>
          <w:sz w:val="22"/>
          <w:szCs w:val="22"/>
          <w:u w:val="single"/>
          <w:lang w:eastAsia="en-US"/>
        </w:rPr>
        <w:t>Φαρμακοδυναμικές επιδράσεις</w:t>
      </w:r>
    </w:p>
    <w:p w:rsidR="001554F7" w:rsidRPr="0038404B" w:rsidRDefault="001554F7" w:rsidP="001554F7">
      <w:pPr>
        <w:tabs>
          <w:tab w:val="left" w:pos="567"/>
        </w:tabs>
        <w:autoSpaceDE/>
        <w:autoSpaceDN/>
        <w:adjustRightInd/>
        <w:contextualSpacing/>
        <w:rPr>
          <w:b/>
          <w:noProof/>
          <w:sz w:val="22"/>
          <w:szCs w:val="22"/>
          <w:u w:val="single"/>
          <w:lang w:eastAsia="en-US"/>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είναι ένας ισχυρός, </w:t>
      </w:r>
      <w:r w:rsidR="00D82A7E">
        <w:rPr>
          <w:rStyle w:val="FontStyle22"/>
          <w:sz w:val="22"/>
          <w:szCs w:val="22"/>
        </w:rPr>
        <w:t xml:space="preserve">από του στόματος δραστικός, </w:t>
      </w:r>
      <w:r w:rsidRPr="00A072F5">
        <w:rPr>
          <w:rStyle w:val="FontStyle22"/>
          <w:sz w:val="22"/>
          <w:szCs w:val="22"/>
        </w:rPr>
        <w:t>εκλεκτικός ανταγωνιστής των υποδοχέων (τύπου</w:t>
      </w:r>
      <w:r w:rsidRPr="0038404B">
        <w:rPr>
          <w:rStyle w:val="FontStyle22"/>
          <w:sz w:val="22"/>
          <w:szCs w:val="22"/>
        </w:rPr>
        <w:t xml:space="preserve"> </w:t>
      </w:r>
      <w:r w:rsidRPr="00A072F5">
        <w:rPr>
          <w:rStyle w:val="FontStyle22"/>
          <w:sz w:val="22"/>
          <w:szCs w:val="22"/>
          <w:lang w:val="en-US"/>
        </w:rPr>
        <w:t>AT</w:t>
      </w:r>
      <w:r w:rsidRPr="0038404B">
        <w:rPr>
          <w:rStyle w:val="FontStyle18"/>
          <w:sz w:val="22"/>
          <w:szCs w:val="22"/>
          <w:vertAlign w:val="subscript"/>
        </w:rPr>
        <w:t>1</w:t>
      </w:r>
      <w:r w:rsidRPr="0038404B">
        <w:rPr>
          <w:rStyle w:val="FontStyle18"/>
          <w:sz w:val="22"/>
          <w:szCs w:val="22"/>
        </w:rPr>
        <w:t>)</w:t>
      </w:r>
      <w:r w:rsidRPr="00A072F5">
        <w:rPr>
          <w:rStyle w:val="FontStyle18"/>
          <w:sz w:val="22"/>
          <w:szCs w:val="22"/>
        </w:rPr>
        <w:t xml:space="preserve"> </w:t>
      </w:r>
      <w:r w:rsidRPr="00A072F5">
        <w:rPr>
          <w:rStyle w:val="FontStyle22"/>
          <w:sz w:val="22"/>
          <w:szCs w:val="22"/>
        </w:rPr>
        <w:t>της αγγειοτασίνης ΙΙ. Θεωρείται ότι αποκλείει όλες τις δράσεις της αγγειοτασίνης ΙΙ, μέσω των υποδοχέων</w:t>
      </w:r>
      <w:r w:rsidRPr="0038404B">
        <w:rPr>
          <w:rStyle w:val="FontStyle22"/>
          <w:sz w:val="22"/>
          <w:szCs w:val="22"/>
        </w:rPr>
        <w:t xml:space="preserve"> </w:t>
      </w:r>
      <w:r w:rsidRPr="00A072F5">
        <w:rPr>
          <w:rStyle w:val="FontStyle22"/>
          <w:sz w:val="22"/>
          <w:szCs w:val="22"/>
          <w:lang w:val="en-US"/>
        </w:rPr>
        <w:t>AT</w:t>
      </w:r>
      <w:r w:rsidRPr="0038404B">
        <w:rPr>
          <w:rStyle w:val="FontStyle18"/>
          <w:sz w:val="22"/>
          <w:szCs w:val="22"/>
          <w:vertAlign w:val="subscript"/>
        </w:rPr>
        <w:t>1</w:t>
      </w:r>
      <w:r w:rsidRPr="0038404B">
        <w:rPr>
          <w:rStyle w:val="FontStyle18"/>
          <w:sz w:val="22"/>
          <w:szCs w:val="22"/>
        </w:rPr>
        <w:t>,</w:t>
      </w:r>
      <w:r w:rsidRPr="00A072F5">
        <w:rPr>
          <w:rStyle w:val="FontStyle18"/>
          <w:sz w:val="22"/>
          <w:szCs w:val="22"/>
        </w:rPr>
        <w:t xml:space="preserve"> </w:t>
      </w:r>
      <w:r w:rsidRPr="00A072F5">
        <w:rPr>
          <w:rStyle w:val="FontStyle22"/>
          <w:sz w:val="22"/>
          <w:szCs w:val="22"/>
        </w:rPr>
        <w:t>ανεξάρτητα από την πηγή ή την οδό της σύνθεσης της αγγειοτασίνης ΙΙ. Ο εκλεκτικός ανταγωνισμός των υποδοχέων</w:t>
      </w:r>
      <w:r w:rsidRPr="0038404B">
        <w:rPr>
          <w:rStyle w:val="FontStyle22"/>
          <w:sz w:val="22"/>
          <w:szCs w:val="22"/>
        </w:rPr>
        <w:t xml:space="preserve"> (</w:t>
      </w:r>
      <w:r w:rsidRPr="00A072F5">
        <w:rPr>
          <w:rStyle w:val="FontStyle22"/>
          <w:sz w:val="22"/>
          <w:szCs w:val="22"/>
          <w:lang w:val="en-US"/>
        </w:rPr>
        <w:t>AT</w:t>
      </w:r>
      <w:r w:rsidRPr="0038404B">
        <w:rPr>
          <w:rStyle w:val="FontStyle18"/>
          <w:sz w:val="22"/>
          <w:szCs w:val="22"/>
          <w:vertAlign w:val="subscript"/>
        </w:rPr>
        <w:t>1</w:t>
      </w:r>
      <w:r w:rsidRPr="0038404B">
        <w:rPr>
          <w:rStyle w:val="FontStyle18"/>
          <w:sz w:val="22"/>
          <w:szCs w:val="22"/>
        </w:rPr>
        <w:t>)</w:t>
      </w:r>
      <w:r w:rsidRPr="00A072F5">
        <w:rPr>
          <w:rStyle w:val="FontStyle18"/>
          <w:sz w:val="22"/>
          <w:szCs w:val="22"/>
        </w:rPr>
        <w:t xml:space="preserve"> </w:t>
      </w:r>
      <w:r w:rsidRPr="00A072F5">
        <w:rPr>
          <w:rStyle w:val="FontStyle22"/>
          <w:sz w:val="22"/>
          <w:szCs w:val="22"/>
        </w:rPr>
        <w:t>της αγγειοτασίνης ΙΙ έχει ως αποτέλεσμα την αύξηση των επιπέδων της ρενίνης και της συγκέντρωσης της αγγειοτασίνης Ι και ΙΙ στο πλάσμα και βαθμό ελάττωσης των συγκεντρώσεων της αλδοστερόνης στο πλάσμα.</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Η αγγειοτασίνη ΙΙ είναι η πρωτογενής αγγειοδραστική ορμόνη του συστήματος ρενίνης-αγγειοτασίνης-αλδοστερόνης και παίζει σημαντικό ρόλο στην παθοφυσιολογία της υπέρτασης μέσω του τύπου 1 (ΑΤ</w:t>
      </w:r>
      <w:r w:rsidRPr="00D041ED">
        <w:rPr>
          <w:rStyle w:val="FontStyle18"/>
          <w:sz w:val="22"/>
          <w:szCs w:val="22"/>
          <w:vertAlign w:val="subscript"/>
        </w:rPr>
        <w:t>1</w:t>
      </w:r>
      <w:r w:rsidRPr="00A072F5">
        <w:rPr>
          <w:rStyle w:val="FontStyle18"/>
          <w:sz w:val="22"/>
          <w:szCs w:val="22"/>
        </w:rPr>
        <w:t xml:space="preserve">) </w:t>
      </w:r>
      <w:r w:rsidRPr="00A072F5">
        <w:rPr>
          <w:rStyle w:val="FontStyle22"/>
          <w:sz w:val="22"/>
          <w:szCs w:val="22"/>
        </w:rPr>
        <w:t>υποδοχέων.</w:t>
      </w:r>
    </w:p>
    <w:p w:rsidR="001554F7" w:rsidRPr="0038404B" w:rsidRDefault="001554F7" w:rsidP="001554F7">
      <w:pPr>
        <w:pStyle w:val="Style4"/>
        <w:widowControl/>
        <w:jc w:val="left"/>
        <w:rPr>
          <w:sz w:val="22"/>
          <w:szCs w:val="22"/>
        </w:rPr>
      </w:pPr>
    </w:p>
    <w:p w:rsidR="001554F7" w:rsidRPr="0038404B" w:rsidRDefault="00626F20" w:rsidP="001554F7">
      <w:pPr>
        <w:pStyle w:val="Style4"/>
        <w:widowControl/>
        <w:jc w:val="left"/>
        <w:rPr>
          <w:b/>
          <w:sz w:val="22"/>
          <w:szCs w:val="22"/>
          <w:u w:val="single"/>
        </w:rPr>
      </w:pPr>
      <w:r>
        <w:rPr>
          <w:b/>
          <w:sz w:val="22"/>
          <w:szCs w:val="22"/>
          <w:u w:val="single"/>
        </w:rPr>
        <w:t>Κλινική αποτελεσματικότητα και ασφάλεια</w:t>
      </w:r>
    </w:p>
    <w:p w:rsidR="001554F7" w:rsidRPr="0038404B" w:rsidRDefault="001554F7" w:rsidP="001554F7">
      <w:pPr>
        <w:pStyle w:val="Style4"/>
        <w:widowControl/>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Στην υπέρταση,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προκαλεί δοσοεξαρτώμενη, μακράς διάρκειας μείωση της αρτηριακής πίεσης. Δεν υπάρχουν ενδείξεις υπότασης με την πρώτη δόση, ταχυφυλαξίας κατά τη μακρόχρονη θεραπεία ή φαινομένου υποτροπής της υπέρτασης μετά από τη διακοπή της θεραπείας.</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Η χορήγηση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μία φορά την ημέρα παρέχει αποτελεσματική και ομαλή ελάττωση της αρτηριακής πίεσης, για όλο το 24ωρο. Η χορήγηση μίας εφάπαξ δόσης ημερησίως επιφέρει την ίδια ελάττωση της αρτηριακής πίεσης όπως και η χορήγηση της ίδιας συνο</w:t>
      </w:r>
      <w:r w:rsidR="00D82A7E">
        <w:rPr>
          <w:rStyle w:val="FontStyle22"/>
          <w:sz w:val="22"/>
          <w:szCs w:val="22"/>
        </w:rPr>
        <w:t>λικής ημερήσιας δοσολογίας διηρε</w:t>
      </w:r>
      <w:r w:rsidRPr="00A072F5">
        <w:rPr>
          <w:rStyle w:val="FontStyle22"/>
          <w:sz w:val="22"/>
          <w:szCs w:val="22"/>
        </w:rPr>
        <w:t>μένης σε δύο δόσεις.</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lastRenderedPageBreak/>
        <w:t>Με τη συνέχιση της θεραπείας, η μέγιστη μείωση της αρτηριακής πίεσης επιτυγχάνεται μετά από 8 εβδομάδες από την έναρξη της θεραπείας, παρόλο που ένα σημαντικό ποσ</w:t>
      </w:r>
      <w:r w:rsidR="00D82A7E">
        <w:rPr>
          <w:rStyle w:val="FontStyle22"/>
          <w:sz w:val="22"/>
          <w:szCs w:val="22"/>
        </w:rPr>
        <w:t xml:space="preserve">οστό της μείωσης της </w:t>
      </w:r>
      <w:r w:rsidR="00D82A7E" w:rsidRPr="00A072F5">
        <w:rPr>
          <w:rStyle w:val="FontStyle22"/>
          <w:sz w:val="22"/>
          <w:szCs w:val="22"/>
        </w:rPr>
        <w:t xml:space="preserve">αρτηριακής </w:t>
      </w:r>
      <w:r w:rsidR="00D82A7E">
        <w:rPr>
          <w:rStyle w:val="FontStyle22"/>
          <w:sz w:val="22"/>
          <w:szCs w:val="22"/>
        </w:rPr>
        <w:t xml:space="preserve">πίεσης </w:t>
      </w:r>
      <w:r w:rsidRPr="00A072F5">
        <w:rPr>
          <w:rStyle w:val="FontStyle22"/>
          <w:sz w:val="22"/>
          <w:szCs w:val="22"/>
        </w:rPr>
        <w:t xml:space="preserve">παρατηρείται ήδη μετά από 2 </w:t>
      </w:r>
      <w:r w:rsidR="00D82A7E">
        <w:rPr>
          <w:rStyle w:val="FontStyle22"/>
          <w:sz w:val="22"/>
          <w:szCs w:val="22"/>
        </w:rPr>
        <w:t>ε</w:t>
      </w:r>
      <w:r w:rsidRPr="00A072F5">
        <w:rPr>
          <w:rStyle w:val="FontStyle22"/>
          <w:sz w:val="22"/>
          <w:szCs w:val="22"/>
        </w:rPr>
        <w:t>βδομάδες θεραπείας. Όταν χρησιμοποιείται μαζί με υδροχλωροθειαζίδη, επιτυγχάνεται επιπρόσθετη ελάττωση της αρτηριακής πίεσης και η συγχορήγηση είναι καλά ανεκτή.</w:t>
      </w:r>
    </w:p>
    <w:p w:rsidR="0042565E" w:rsidRDefault="0042565E" w:rsidP="0042565E">
      <w:pPr>
        <w:pStyle w:val="Style12"/>
        <w:widowControl/>
        <w:spacing w:line="240" w:lineRule="auto"/>
        <w:ind w:firstLine="0"/>
        <w:rPr>
          <w:rStyle w:val="FontStyle22"/>
          <w:sz w:val="22"/>
          <w:szCs w:val="22"/>
        </w:rPr>
      </w:pPr>
    </w:p>
    <w:p w:rsidR="0042565E" w:rsidRPr="00A072F5" w:rsidRDefault="005D5E57" w:rsidP="0042565E">
      <w:pPr>
        <w:pStyle w:val="Style12"/>
        <w:widowControl/>
        <w:spacing w:line="240" w:lineRule="auto"/>
        <w:ind w:firstLine="0"/>
        <w:rPr>
          <w:rStyle w:val="FontStyle22"/>
          <w:sz w:val="22"/>
          <w:szCs w:val="22"/>
        </w:rPr>
      </w:pPr>
      <w:r w:rsidRPr="00A072F5">
        <w:rPr>
          <w:rStyle w:val="FontStyle22"/>
          <w:sz w:val="22"/>
          <w:szCs w:val="22"/>
        </w:rPr>
        <w:t>Η επίδραση 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στη θνησιμότητα και στη νοσηρότητα δεν είναι ακόμη γνωστή. </w:t>
      </w:r>
    </w:p>
    <w:p w:rsidR="001554F7" w:rsidRPr="0038404B" w:rsidRDefault="001554F7" w:rsidP="001554F7">
      <w:pPr>
        <w:tabs>
          <w:tab w:val="left" w:pos="567"/>
        </w:tabs>
        <w:autoSpaceDE/>
        <w:autoSpaceDN/>
        <w:adjustRightInd/>
        <w:contextualSpacing/>
        <w:rPr>
          <w:noProof/>
          <w:sz w:val="22"/>
          <w:szCs w:val="22"/>
          <w:lang w:eastAsia="en-US"/>
        </w:rPr>
      </w:pPr>
    </w:p>
    <w:p w:rsidR="00114450" w:rsidRPr="0038404B"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 xml:space="preserve">Δύο μεγάλες τυχαιοποιημένες, ελεγχόμενες μελέτες (η </w:t>
      </w:r>
      <w:r w:rsidRPr="00114450">
        <w:rPr>
          <w:iCs/>
          <w:noProof/>
          <w:sz w:val="22"/>
          <w:szCs w:val="22"/>
          <w:lang w:val="en-GB" w:eastAsia="en-US"/>
        </w:rPr>
        <w:t>ONTARGET</w:t>
      </w:r>
      <w:r w:rsidRPr="0038404B">
        <w:rPr>
          <w:iCs/>
          <w:noProof/>
          <w:sz w:val="22"/>
          <w:szCs w:val="22"/>
          <w:lang w:eastAsia="en-US"/>
        </w:rPr>
        <w:t xml:space="preserve"> (</w:t>
      </w:r>
      <w:r w:rsidRPr="00114450">
        <w:rPr>
          <w:iCs/>
          <w:noProof/>
          <w:sz w:val="22"/>
          <w:szCs w:val="22"/>
          <w:lang w:val="en-GB" w:eastAsia="en-US"/>
        </w:rPr>
        <w:t>ONgoing</w:t>
      </w:r>
      <w:r w:rsidRPr="0038404B">
        <w:rPr>
          <w:iCs/>
          <w:noProof/>
          <w:sz w:val="22"/>
          <w:szCs w:val="22"/>
          <w:lang w:eastAsia="en-US"/>
        </w:rPr>
        <w:t xml:space="preserve"> </w:t>
      </w:r>
      <w:r w:rsidRPr="00114450">
        <w:rPr>
          <w:iCs/>
          <w:noProof/>
          <w:sz w:val="22"/>
          <w:szCs w:val="22"/>
          <w:lang w:val="en-GB" w:eastAsia="en-US"/>
        </w:rPr>
        <w:t>Telmisartan</w:t>
      </w:r>
      <w:r w:rsidRPr="0038404B">
        <w:rPr>
          <w:iCs/>
          <w:noProof/>
          <w:sz w:val="22"/>
          <w:szCs w:val="22"/>
          <w:lang w:eastAsia="en-US"/>
        </w:rPr>
        <w:t xml:space="preserve"> </w:t>
      </w:r>
      <w:r w:rsidRPr="00114450">
        <w:rPr>
          <w:iCs/>
          <w:noProof/>
          <w:sz w:val="22"/>
          <w:szCs w:val="22"/>
          <w:lang w:val="en-GB" w:eastAsia="en-US"/>
        </w:rPr>
        <w:t>Alone</w:t>
      </w:r>
      <w:r w:rsidRPr="0038404B">
        <w:rPr>
          <w:iCs/>
          <w:noProof/>
          <w:sz w:val="22"/>
          <w:szCs w:val="22"/>
          <w:lang w:eastAsia="en-US"/>
        </w:rPr>
        <w:t xml:space="preserve"> </w:t>
      </w:r>
      <w:r w:rsidRPr="00114450">
        <w:rPr>
          <w:iCs/>
          <w:noProof/>
          <w:sz w:val="22"/>
          <w:szCs w:val="22"/>
          <w:lang w:val="en-GB" w:eastAsia="en-US"/>
        </w:rPr>
        <w:t>and</w:t>
      </w:r>
      <w:r w:rsidRPr="0038404B">
        <w:rPr>
          <w:iCs/>
          <w:noProof/>
          <w:sz w:val="22"/>
          <w:szCs w:val="22"/>
          <w:lang w:eastAsia="en-US"/>
        </w:rPr>
        <w:t xml:space="preserve"> </w:t>
      </w:r>
      <w:r w:rsidRPr="00114450">
        <w:rPr>
          <w:iCs/>
          <w:noProof/>
          <w:sz w:val="22"/>
          <w:szCs w:val="22"/>
          <w:lang w:val="en-GB" w:eastAsia="en-US"/>
        </w:rPr>
        <w:t>in</w:t>
      </w:r>
      <w:r w:rsidR="00626F20">
        <w:rPr>
          <w:iCs/>
          <w:noProof/>
          <w:sz w:val="22"/>
          <w:szCs w:val="22"/>
          <w:lang w:eastAsia="en-US"/>
        </w:rPr>
        <w:t xml:space="preserve"> </w:t>
      </w:r>
      <w:r w:rsidRPr="00114450">
        <w:rPr>
          <w:iCs/>
          <w:noProof/>
          <w:sz w:val="22"/>
          <w:szCs w:val="22"/>
          <w:lang w:val="en-GB" w:eastAsia="en-US"/>
        </w:rPr>
        <w:t>combination</w:t>
      </w:r>
      <w:r w:rsidRPr="0038404B">
        <w:rPr>
          <w:iCs/>
          <w:noProof/>
          <w:sz w:val="22"/>
          <w:szCs w:val="22"/>
          <w:lang w:eastAsia="en-US"/>
        </w:rPr>
        <w:t xml:space="preserve"> </w:t>
      </w:r>
      <w:r w:rsidRPr="00114450">
        <w:rPr>
          <w:iCs/>
          <w:noProof/>
          <w:sz w:val="22"/>
          <w:szCs w:val="22"/>
          <w:lang w:val="en-GB" w:eastAsia="en-US"/>
        </w:rPr>
        <w:t>with</w:t>
      </w:r>
      <w:r w:rsidRPr="0038404B">
        <w:rPr>
          <w:iCs/>
          <w:noProof/>
          <w:sz w:val="22"/>
          <w:szCs w:val="22"/>
          <w:lang w:eastAsia="en-US"/>
        </w:rPr>
        <w:t xml:space="preserve"> </w:t>
      </w:r>
      <w:r w:rsidRPr="00114450">
        <w:rPr>
          <w:iCs/>
          <w:noProof/>
          <w:sz w:val="22"/>
          <w:szCs w:val="22"/>
          <w:lang w:val="en-GB" w:eastAsia="en-US"/>
        </w:rPr>
        <w:t>Ramipril</w:t>
      </w:r>
      <w:r w:rsidRPr="0038404B">
        <w:rPr>
          <w:iCs/>
          <w:noProof/>
          <w:sz w:val="22"/>
          <w:szCs w:val="22"/>
          <w:lang w:eastAsia="en-US"/>
        </w:rPr>
        <w:t xml:space="preserve"> </w:t>
      </w:r>
      <w:r w:rsidRPr="00114450">
        <w:rPr>
          <w:iCs/>
          <w:noProof/>
          <w:sz w:val="22"/>
          <w:szCs w:val="22"/>
          <w:lang w:val="en-GB" w:eastAsia="en-US"/>
        </w:rPr>
        <w:t>Global</w:t>
      </w:r>
      <w:r w:rsidRPr="0038404B">
        <w:rPr>
          <w:iCs/>
          <w:noProof/>
          <w:sz w:val="22"/>
          <w:szCs w:val="22"/>
          <w:lang w:eastAsia="en-US"/>
        </w:rPr>
        <w:t xml:space="preserve"> </w:t>
      </w:r>
      <w:r w:rsidRPr="00114450">
        <w:rPr>
          <w:iCs/>
          <w:noProof/>
          <w:sz w:val="22"/>
          <w:szCs w:val="22"/>
          <w:lang w:val="en-GB" w:eastAsia="en-US"/>
        </w:rPr>
        <w:t>Endpoint</w:t>
      </w:r>
      <w:r w:rsidRPr="0038404B">
        <w:rPr>
          <w:iCs/>
          <w:noProof/>
          <w:sz w:val="22"/>
          <w:szCs w:val="22"/>
          <w:lang w:eastAsia="en-US"/>
        </w:rPr>
        <w:t xml:space="preserve"> </w:t>
      </w:r>
      <w:r w:rsidRPr="00114450">
        <w:rPr>
          <w:iCs/>
          <w:noProof/>
          <w:sz w:val="22"/>
          <w:szCs w:val="22"/>
          <w:lang w:val="en-GB" w:eastAsia="en-US"/>
        </w:rPr>
        <w:t>Trial</w:t>
      </w:r>
      <w:r w:rsidRPr="0038404B">
        <w:rPr>
          <w:iCs/>
          <w:noProof/>
          <w:sz w:val="22"/>
          <w:szCs w:val="22"/>
          <w:lang w:eastAsia="en-US"/>
        </w:rPr>
        <w:t xml:space="preserve">) και η </w:t>
      </w:r>
      <w:r w:rsidRPr="00114450">
        <w:rPr>
          <w:iCs/>
          <w:noProof/>
          <w:sz w:val="22"/>
          <w:szCs w:val="22"/>
          <w:lang w:val="en-GB" w:eastAsia="en-US"/>
        </w:rPr>
        <w:t>VA</w:t>
      </w:r>
      <w:r w:rsidRPr="0038404B">
        <w:rPr>
          <w:iCs/>
          <w:noProof/>
          <w:sz w:val="22"/>
          <w:szCs w:val="22"/>
          <w:lang w:eastAsia="en-US"/>
        </w:rPr>
        <w:t xml:space="preserve"> </w:t>
      </w:r>
      <w:r w:rsidRPr="00114450">
        <w:rPr>
          <w:iCs/>
          <w:noProof/>
          <w:sz w:val="22"/>
          <w:szCs w:val="22"/>
          <w:lang w:val="en-GB" w:eastAsia="en-US"/>
        </w:rPr>
        <w:t>NEPHRON</w:t>
      </w:r>
      <w:r w:rsidRPr="0038404B">
        <w:rPr>
          <w:iCs/>
          <w:noProof/>
          <w:sz w:val="22"/>
          <w:szCs w:val="22"/>
          <w:lang w:eastAsia="en-US"/>
        </w:rPr>
        <w:t>-</w:t>
      </w:r>
      <w:r w:rsidRPr="00114450">
        <w:rPr>
          <w:iCs/>
          <w:noProof/>
          <w:sz w:val="22"/>
          <w:szCs w:val="22"/>
          <w:lang w:val="en-GB" w:eastAsia="en-US"/>
        </w:rPr>
        <w:t>D</w:t>
      </w:r>
      <w:r w:rsidRPr="0038404B">
        <w:rPr>
          <w:iCs/>
          <w:noProof/>
          <w:sz w:val="22"/>
          <w:szCs w:val="22"/>
          <w:lang w:eastAsia="en-US"/>
        </w:rPr>
        <w:t xml:space="preserve"> (</w:t>
      </w:r>
      <w:r w:rsidRPr="00114450">
        <w:rPr>
          <w:iCs/>
          <w:noProof/>
          <w:sz w:val="22"/>
          <w:szCs w:val="22"/>
          <w:lang w:val="en-GB" w:eastAsia="en-US"/>
        </w:rPr>
        <w:t>The</w:t>
      </w:r>
      <w:r w:rsidRPr="0038404B">
        <w:rPr>
          <w:iCs/>
          <w:noProof/>
          <w:sz w:val="22"/>
          <w:szCs w:val="22"/>
          <w:lang w:eastAsia="en-US"/>
        </w:rPr>
        <w:t xml:space="preserve"> </w:t>
      </w:r>
      <w:r w:rsidRPr="00114450">
        <w:rPr>
          <w:iCs/>
          <w:noProof/>
          <w:sz w:val="22"/>
          <w:szCs w:val="22"/>
          <w:lang w:val="en-GB" w:eastAsia="en-US"/>
        </w:rPr>
        <w:t>Veterans</w:t>
      </w:r>
      <w:r w:rsidRPr="0038404B">
        <w:rPr>
          <w:iCs/>
          <w:noProof/>
          <w:sz w:val="22"/>
          <w:szCs w:val="22"/>
          <w:lang w:eastAsia="en-US"/>
        </w:rPr>
        <w:t xml:space="preserve"> </w:t>
      </w:r>
      <w:r w:rsidRPr="00114450">
        <w:rPr>
          <w:iCs/>
          <w:noProof/>
          <w:sz w:val="22"/>
          <w:szCs w:val="22"/>
          <w:lang w:val="en-GB" w:eastAsia="en-US"/>
        </w:rPr>
        <w:t>Affairs</w:t>
      </w:r>
      <w:r w:rsidR="00626F20">
        <w:rPr>
          <w:iCs/>
          <w:noProof/>
          <w:sz w:val="22"/>
          <w:szCs w:val="22"/>
          <w:lang w:eastAsia="en-US"/>
        </w:rPr>
        <w:t xml:space="preserve"> </w:t>
      </w:r>
      <w:r w:rsidRPr="00114450">
        <w:rPr>
          <w:iCs/>
          <w:noProof/>
          <w:sz w:val="22"/>
          <w:szCs w:val="22"/>
          <w:lang w:val="en-GB" w:eastAsia="en-US"/>
        </w:rPr>
        <w:t>Nephropathy</w:t>
      </w:r>
      <w:r w:rsidRPr="0038404B">
        <w:rPr>
          <w:iCs/>
          <w:noProof/>
          <w:sz w:val="22"/>
          <w:szCs w:val="22"/>
          <w:lang w:eastAsia="en-US"/>
        </w:rPr>
        <w:t xml:space="preserve"> </w:t>
      </w:r>
      <w:r w:rsidRPr="00114450">
        <w:rPr>
          <w:iCs/>
          <w:noProof/>
          <w:sz w:val="22"/>
          <w:szCs w:val="22"/>
          <w:lang w:val="en-GB" w:eastAsia="en-US"/>
        </w:rPr>
        <w:t>in</w:t>
      </w:r>
      <w:r w:rsidRPr="0038404B">
        <w:rPr>
          <w:iCs/>
          <w:noProof/>
          <w:sz w:val="22"/>
          <w:szCs w:val="22"/>
          <w:lang w:eastAsia="en-US"/>
        </w:rPr>
        <w:t xml:space="preserve"> </w:t>
      </w:r>
      <w:r w:rsidRPr="00114450">
        <w:rPr>
          <w:iCs/>
          <w:noProof/>
          <w:sz w:val="22"/>
          <w:szCs w:val="22"/>
          <w:lang w:val="en-GB" w:eastAsia="en-US"/>
        </w:rPr>
        <w:t>Diabetes</w:t>
      </w:r>
      <w:r w:rsidRPr="0038404B">
        <w:rPr>
          <w:iCs/>
          <w:noProof/>
          <w:sz w:val="22"/>
          <w:szCs w:val="22"/>
          <w:lang w:eastAsia="en-US"/>
        </w:rPr>
        <w:t>)) έχουν εξετάσει τη χρήση του συνδυασμού ενός αναστολέα ΜΕΑ με έναν</w:t>
      </w:r>
      <w:r w:rsidR="00626F20">
        <w:rPr>
          <w:iCs/>
          <w:noProof/>
          <w:sz w:val="22"/>
          <w:szCs w:val="22"/>
          <w:lang w:eastAsia="en-US"/>
        </w:rPr>
        <w:t xml:space="preserve"> </w:t>
      </w:r>
      <w:r w:rsidRPr="0038404B">
        <w:rPr>
          <w:iCs/>
          <w:noProof/>
          <w:sz w:val="22"/>
          <w:szCs w:val="22"/>
          <w:lang w:eastAsia="en-US"/>
        </w:rPr>
        <w:t>απ</w:t>
      </w:r>
      <w:r w:rsidR="00D82A7E" w:rsidRPr="0038404B">
        <w:rPr>
          <w:iCs/>
          <w:noProof/>
          <w:sz w:val="22"/>
          <w:szCs w:val="22"/>
          <w:lang w:eastAsia="en-US"/>
        </w:rPr>
        <w:t>οκλειστή των υποδοχέων αγγειοτ</w:t>
      </w:r>
      <w:r w:rsidR="00D82A7E">
        <w:rPr>
          <w:iCs/>
          <w:noProof/>
          <w:sz w:val="22"/>
          <w:szCs w:val="22"/>
          <w:lang w:eastAsia="en-US"/>
        </w:rPr>
        <w:t>α</w:t>
      </w:r>
      <w:r w:rsidRPr="0038404B">
        <w:rPr>
          <w:iCs/>
          <w:noProof/>
          <w:sz w:val="22"/>
          <w:szCs w:val="22"/>
          <w:lang w:eastAsia="en-US"/>
        </w:rPr>
        <w:t xml:space="preserve">σίνης </w:t>
      </w:r>
      <w:r w:rsidRPr="00114450">
        <w:rPr>
          <w:iCs/>
          <w:noProof/>
          <w:sz w:val="22"/>
          <w:szCs w:val="22"/>
          <w:lang w:val="en-GB" w:eastAsia="en-US"/>
        </w:rPr>
        <w:t>II</w:t>
      </w:r>
      <w:r w:rsidRPr="0038404B">
        <w:rPr>
          <w:iCs/>
          <w:noProof/>
          <w:sz w:val="22"/>
          <w:szCs w:val="22"/>
          <w:lang w:eastAsia="en-US"/>
        </w:rPr>
        <w:t>.</w:t>
      </w:r>
    </w:p>
    <w:p w:rsidR="00F6428C" w:rsidRDefault="00F6428C" w:rsidP="00114450">
      <w:pPr>
        <w:tabs>
          <w:tab w:val="left" w:pos="567"/>
        </w:tabs>
        <w:autoSpaceDE/>
        <w:autoSpaceDN/>
        <w:adjustRightInd/>
        <w:contextualSpacing/>
        <w:rPr>
          <w:iCs/>
          <w:noProof/>
          <w:sz w:val="22"/>
          <w:szCs w:val="22"/>
          <w:lang w:eastAsia="en-US"/>
        </w:rPr>
      </w:pPr>
    </w:p>
    <w:p w:rsidR="00114450"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 xml:space="preserve">Η </w:t>
      </w:r>
      <w:r w:rsidRPr="00114450">
        <w:rPr>
          <w:iCs/>
          <w:noProof/>
          <w:sz w:val="22"/>
          <w:szCs w:val="22"/>
          <w:lang w:val="en-GB" w:eastAsia="en-US"/>
        </w:rPr>
        <w:t>ON</w:t>
      </w:r>
      <w:r w:rsidR="00D82A7E">
        <w:rPr>
          <w:iCs/>
          <w:noProof/>
          <w:sz w:val="22"/>
          <w:szCs w:val="22"/>
          <w:lang w:val="en-GB" w:eastAsia="en-US"/>
        </w:rPr>
        <w:t>TARGET</w:t>
      </w:r>
      <w:r w:rsidR="00D82A7E" w:rsidRPr="0038404B">
        <w:rPr>
          <w:iCs/>
          <w:noProof/>
          <w:sz w:val="22"/>
          <w:szCs w:val="22"/>
          <w:lang w:eastAsia="en-US"/>
        </w:rPr>
        <w:t xml:space="preserve"> ήταν μία μελέτη που διεξ</w:t>
      </w:r>
      <w:r w:rsidR="00D82A7E">
        <w:rPr>
          <w:iCs/>
          <w:noProof/>
          <w:sz w:val="22"/>
          <w:szCs w:val="22"/>
          <w:lang w:eastAsia="en-US"/>
        </w:rPr>
        <w:t>ά</w:t>
      </w:r>
      <w:r w:rsidRPr="0038404B">
        <w:rPr>
          <w:iCs/>
          <w:noProof/>
          <w:sz w:val="22"/>
          <w:szCs w:val="22"/>
          <w:lang w:eastAsia="en-US"/>
        </w:rPr>
        <w:t>χθη</w:t>
      </w:r>
      <w:r w:rsidR="00D82A7E">
        <w:rPr>
          <w:iCs/>
          <w:noProof/>
          <w:sz w:val="22"/>
          <w:szCs w:val="22"/>
          <w:lang w:eastAsia="en-US"/>
        </w:rPr>
        <w:t>κε</w:t>
      </w:r>
      <w:r w:rsidRPr="0038404B">
        <w:rPr>
          <w:iCs/>
          <w:noProof/>
          <w:sz w:val="22"/>
          <w:szCs w:val="22"/>
          <w:lang w:eastAsia="en-US"/>
        </w:rPr>
        <w:t xml:space="preserve"> σε ασθενείς με ιστορικό καρδιαγγειακής ή εγκεφαλικής</w:t>
      </w:r>
      <w:r>
        <w:rPr>
          <w:iCs/>
          <w:noProof/>
          <w:sz w:val="22"/>
          <w:szCs w:val="22"/>
          <w:lang w:eastAsia="en-US"/>
        </w:rPr>
        <w:t xml:space="preserve"> </w:t>
      </w:r>
      <w:r w:rsidRPr="0038404B">
        <w:rPr>
          <w:iCs/>
          <w:noProof/>
          <w:sz w:val="22"/>
          <w:szCs w:val="22"/>
          <w:lang w:eastAsia="en-US"/>
        </w:rPr>
        <w:t>αγγειακής νόσου ή σακχαρώδη διαβήτη τύπου 2 συνοδευόμενο από ένδειξη βλάβης τελικού οργάνου.</w:t>
      </w:r>
      <w:r>
        <w:rPr>
          <w:iCs/>
          <w:noProof/>
          <w:sz w:val="22"/>
          <w:szCs w:val="22"/>
          <w:lang w:eastAsia="en-US"/>
        </w:rPr>
        <w:t xml:space="preserve"> </w:t>
      </w:r>
      <w:r w:rsidRPr="0038404B">
        <w:rPr>
          <w:iCs/>
          <w:noProof/>
          <w:sz w:val="22"/>
          <w:szCs w:val="22"/>
          <w:lang w:eastAsia="en-US"/>
        </w:rPr>
        <w:t xml:space="preserve">Η </w:t>
      </w:r>
      <w:r w:rsidRPr="00114450">
        <w:rPr>
          <w:iCs/>
          <w:noProof/>
          <w:sz w:val="22"/>
          <w:szCs w:val="22"/>
          <w:lang w:val="en-GB" w:eastAsia="en-US"/>
        </w:rPr>
        <w:t>VA</w:t>
      </w:r>
      <w:r w:rsidRPr="0038404B">
        <w:rPr>
          <w:iCs/>
          <w:noProof/>
          <w:sz w:val="22"/>
          <w:szCs w:val="22"/>
          <w:lang w:eastAsia="en-US"/>
        </w:rPr>
        <w:t xml:space="preserve"> </w:t>
      </w:r>
      <w:r w:rsidRPr="00114450">
        <w:rPr>
          <w:iCs/>
          <w:noProof/>
          <w:sz w:val="22"/>
          <w:szCs w:val="22"/>
          <w:lang w:val="en-GB" w:eastAsia="en-US"/>
        </w:rPr>
        <w:t>NEPHRON</w:t>
      </w:r>
      <w:r w:rsidRPr="0038404B">
        <w:rPr>
          <w:iCs/>
          <w:noProof/>
          <w:sz w:val="22"/>
          <w:szCs w:val="22"/>
          <w:lang w:eastAsia="en-US"/>
        </w:rPr>
        <w:t>-</w:t>
      </w:r>
      <w:r w:rsidRPr="00114450">
        <w:rPr>
          <w:iCs/>
          <w:noProof/>
          <w:sz w:val="22"/>
          <w:szCs w:val="22"/>
          <w:lang w:val="en-GB" w:eastAsia="en-US"/>
        </w:rPr>
        <w:t>D</w:t>
      </w:r>
      <w:r w:rsidRPr="0038404B">
        <w:rPr>
          <w:iCs/>
          <w:noProof/>
          <w:sz w:val="22"/>
          <w:szCs w:val="22"/>
          <w:lang w:eastAsia="en-US"/>
        </w:rPr>
        <w:t xml:space="preserve"> ήταν μία μελέτη σε ασθενείς με σακχαρώδη διαβήτη τύπου 2 και διαβητική</w:t>
      </w:r>
      <w:r>
        <w:rPr>
          <w:iCs/>
          <w:noProof/>
          <w:sz w:val="22"/>
          <w:szCs w:val="22"/>
          <w:lang w:eastAsia="en-US"/>
        </w:rPr>
        <w:t xml:space="preserve"> </w:t>
      </w:r>
      <w:r w:rsidRPr="0038404B">
        <w:rPr>
          <w:iCs/>
          <w:noProof/>
          <w:sz w:val="22"/>
          <w:szCs w:val="22"/>
          <w:lang w:eastAsia="en-US"/>
        </w:rPr>
        <w:t>νεφροπάθεια.</w:t>
      </w:r>
    </w:p>
    <w:p w:rsidR="00114450" w:rsidRPr="00114450" w:rsidRDefault="00114450" w:rsidP="00114450">
      <w:pPr>
        <w:tabs>
          <w:tab w:val="left" w:pos="567"/>
        </w:tabs>
        <w:autoSpaceDE/>
        <w:autoSpaceDN/>
        <w:adjustRightInd/>
        <w:contextualSpacing/>
        <w:rPr>
          <w:iCs/>
          <w:noProof/>
          <w:sz w:val="22"/>
          <w:szCs w:val="22"/>
          <w:lang w:eastAsia="en-US"/>
        </w:rPr>
      </w:pPr>
    </w:p>
    <w:p w:rsidR="00F6428C"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 xml:space="preserve">Αυτές οι μελέτες δεν έχουν δείξει </w:t>
      </w:r>
      <w:r w:rsidR="00C74425" w:rsidRPr="0038404B">
        <w:rPr>
          <w:iCs/>
          <w:noProof/>
          <w:sz w:val="22"/>
          <w:szCs w:val="22"/>
          <w:lang w:eastAsia="en-US"/>
        </w:rPr>
        <w:t>σημαντικ</w:t>
      </w:r>
      <w:r w:rsidR="00C74425">
        <w:rPr>
          <w:iCs/>
          <w:noProof/>
          <w:sz w:val="22"/>
          <w:szCs w:val="22"/>
          <w:lang w:eastAsia="en-US"/>
        </w:rPr>
        <w:t>ά</w:t>
      </w:r>
      <w:r w:rsidR="00C74425" w:rsidRPr="0038404B">
        <w:rPr>
          <w:iCs/>
          <w:noProof/>
          <w:sz w:val="22"/>
          <w:szCs w:val="22"/>
          <w:lang w:eastAsia="en-US"/>
        </w:rPr>
        <w:t xml:space="preserve"> </w:t>
      </w:r>
      <w:r w:rsidRPr="0038404B">
        <w:rPr>
          <w:iCs/>
          <w:noProof/>
          <w:sz w:val="22"/>
          <w:szCs w:val="22"/>
          <w:lang w:eastAsia="en-US"/>
        </w:rPr>
        <w:t>ωφέλιμη επίδραση στις νεφρικές και/ή στις καρδιαγγειακές</w:t>
      </w:r>
      <w:r>
        <w:rPr>
          <w:iCs/>
          <w:noProof/>
          <w:sz w:val="22"/>
          <w:szCs w:val="22"/>
          <w:lang w:eastAsia="en-US"/>
        </w:rPr>
        <w:t xml:space="preserve"> </w:t>
      </w:r>
      <w:r w:rsidRPr="0038404B">
        <w:rPr>
          <w:iCs/>
          <w:noProof/>
          <w:sz w:val="22"/>
          <w:szCs w:val="22"/>
          <w:lang w:eastAsia="en-US"/>
        </w:rPr>
        <w:t>εκβάσεις και τη θνησιμότητα, ενώ παρατηρήθηκε αυξημένος κίνδυνος υπερκαλιαιμίας, οξείας</w:t>
      </w:r>
      <w:r>
        <w:rPr>
          <w:iCs/>
          <w:noProof/>
          <w:sz w:val="22"/>
          <w:szCs w:val="22"/>
          <w:lang w:eastAsia="en-US"/>
        </w:rPr>
        <w:t xml:space="preserve"> </w:t>
      </w:r>
      <w:r w:rsidRPr="0038404B">
        <w:rPr>
          <w:iCs/>
          <w:noProof/>
          <w:sz w:val="22"/>
          <w:szCs w:val="22"/>
          <w:lang w:eastAsia="en-US"/>
        </w:rPr>
        <w:t>νεφρικής βλάβης και/ή υπότασης σε σύγκριση με τη μονοθεραπεία.</w:t>
      </w:r>
      <w:r w:rsidR="00F6428C">
        <w:rPr>
          <w:iCs/>
          <w:noProof/>
          <w:sz w:val="22"/>
          <w:szCs w:val="22"/>
          <w:lang w:eastAsia="en-US"/>
        </w:rPr>
        <w:t xml:space="preserve"> </w:t>
      </w:r>
      <w:r w:rsidRPr="0038404B">
        <w:rPr>
          <w:iCs/>
          <w:noProof/>
          <w:sz w:val="22"/>
          <w:szCs w:val="22"/>
          <w:lang w:eastAsia="en-US"/>
        </w:rPr>
        <w:t>Δεδομένων των παρόμοιων φαρμακοδυναμικών ιδιοτήτων, αυτά τα αποτελέσματα είναι επίσης σχετικά</w:t>
      </w:r>
      <w:r>
        <w:rPr>
          <w:iCs/>
          <w:noProof/>
          <w:sz w:val="22"/>
          <w:szCs w:val="22"/>
          <w:lang w:eastAsia="en-US"/>
        </w:rPr>
        <w:t xml:space="preserve"> </w:t>
      </w:r>
      <w:r w:rsidRPr="0038404B">
        <w:rPr>
          <w:iCs/>
          <w:noProof/>
          <w:sz w:val="22"/>
          <w:szCs w:val="22"/>
          <w:lang w:eastAsia="en-US"/>
        </w:rPr>
        <w:t>για άλλους αναστολείς ΜΕΑ και απο</w:t>
      </w:r>
      <w:r w:rsidR="00D82A7E" w:rsidRPr="0038404B">
        <w:rPr>
          <w:iCs/>
          <w:noProof/>
          <w:sz w:val="22"/>
          <w:szCs w:val="22"/>
          <w:lang w:eastAsia="en-US"/>
        </w:rPr>
        <w:t>κλειστές των υποδοχέων αγγειοτ</w:t>
      </w:r>
      <w:r w:rsidR="00D82A7E">
        <w:rPr>
          <w:iCs/>
          <w:noProof/>
          <w:sz w:val="22"/>
          <w:szCs w:val="22"/>
          <w:lang w:eastAsia="en-US"/>
        </w:rPr>
        <w:t>α</w:t>
      </w:r>
      <w:r w:rsidRPr="0038404B">
        <w:rPr>
          <w:iCs/>
          <w:noProof/>
          <w:sz w:val="22"/>
          <w:szCs w:val="22"/>
          <w:lang w:eastAsia="en-US"/>
        </w:rPr>
        <w:t>σίνης ΙΙ.</w:t>
      </w:r>
      <w:r w:rsidR="00F6428C">
        <w:rPr>
          <w:iCs/>
          <w:noProof/>
          <w:sz w:val="22"/>
          <w:szCs w:val="22"/>
          <w:lang w:eastAsia="en-US"/>
        </w:rPr>
        <w:t xml:space="preserve"> </w:t>
      </w:r>
    </w:p>
    <w:p w:rsidR="00F6428C" w:rsidRDefault="00F6428C" w:rsidP="00114450">
      <w:pPr>
        <w:tabs>
          <w:tab w:val="left" w:pos="567"/>
        </w:tabs>
        <w:autoSpaceDE/>
        <w:autoSpaceDN/>
        <w:adjustRightInd/>
        <w:contextualSpacing/>
        <w:rPr>
          <w:iCs/>
          <w:noProof/>
          <w:sz w:val="22"/>
          <w:szCs w:val="22"/>
          <w:lang w:eastAsia="en-US"/>
        </w:rPr>
      </w:pPr>
    </w:p>
    <w:p w:rsidR="00114450" w:rsidRPr="0038404B"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Ως εκ τούτου οι αναστολείς ΜΕΑ και οι απο</w:t>
      </w:r>
      <w:r w:rsidR="00D82A7E" w:rsidRPr="0038404B">
        <w:rPr>
          <w:iCs/>
          <w:noProof/>
          <w:sz w:val="22"/>
          <w:szCs w:val="22"/>
          <w:lang w:eastAsia="en-US"/>
        </w:rPr>
        <w:t>κλειστές των υποδοχεών αγγειοτ</w:t>
      </w:r>
      <w:r w:rsidR="00D82A7E">
        <w:rPr>
          <w:iCs/>
          <w:noProof/>
          <w:sz w:val="22"/>
          <w:szCs w:val="22"/>
          <w:lang w:eastAsia="en-US"/>
        </w:rPr>
        <w:t>α</w:t>
      </w:r>
      <w:r w:rsidRPr="0038404B">
        <w:rPr>
          <w:iCs/>
          <w:noProof/>
          <w:sz w:val="22"/>
          <w:szCs w:val="22"/>
          <w:lang w:eastAsia="en-US"/>
        </w:rPr>
        <w:t>σίνης ΙΙ δεν θα πρέπει να</w:t>
      </w:r>
      <w:r>
        <w:rPr>
          <w:iCs/>
          <w:noProof/>
          <w:sz w:val="22"/>
          <w:szCs w:val="22"/>
          <w:lang w:eastAsia="en-US"/>
        </w:rPr>
        <w:t xml:space="preserve"> </w:t>
      </w:r>
      <w:r w:rsidRPr="0038404B">
        <w:rPr>
          <w:iCs/>
          <w:noProof/>
          <w:sz w:val="22"/>
          <w:szCs w:val="22"/>
          <w:lang w:eastAsia="en-US"/>
        </w:rPr>
        <w:t>χρησιμοποιούνται ταυτόχρονα σε ασθενείς με διαβητική νεφροπάθεια.</w:t>
      </w:r>
    </w:p>
    <w:p w:rsidR="00114450" w:rsidRDefault="00114450" w:rsidP="00114450">
      <w:pPr>
        <w:tabs>
          <w:tab w:val="left" w:pos="567"/>
        </w:tabs>
        <w:autoSpaceDE/>
        <w:autoSpaceDN/>
        <w:adjustRightInd/>
        <w:contextualSpacing/>
        <w:rPr>
          <w:iCs/>
          <w:noProof/>
          <w:sz w:val="22"/>
          <w:szCs w:val="22"/>
          <w:lang w:eastAsia="en-US"/>
        </w:rPr>
      </w:pPr>
    </w:p>
    <w:p w:rsidR="001554F7" w:rsidRPr="0038404B" w:rsidRDefault="00114450" w:rsidP="00114450">
      <w:pPr>
        <w:tabs>
          <w:tab w:val="left" w:pos="567"/>
        </w:tabs>
        <w:autoSpaceDE/>
        <w:autoSpaceDN/>
        <w:adjustRightInd/>
        <w:contextualSpacing/>
        <w:rPr>
          <w:iCs/>
          <w:noProof/>
          <w:sz w:val="22"/>
          <w:szCs w:val="22"/>
          <w:lang w:eastAsia="en-US"/>
        </w:rPr>
      </w:pPr>
      <w:r w:rsidRPr="0038404B">
        <w:rPr>
          <w:iCs/>
          <w:noProof/>
          <w:sz w:val="22"/>
          <w:szCs w:val="22"/>
          <w:lang w:eastAsia="en-US"/>
        </w:rPr>
        <w:t xml:space="preserve">Η </w:t>
      </w:r>
      <w:r w:rsidRPr="00114450">
        <w:rPr>
          <w:iCs/>
          <w:noProof/>
          <w:sz w:val="22"/>
          <w:szCs w:val="22"/>
          <w:lang w:val="en-GB" w:eastAsia="en-US"/>
        </w:rPr>
        <w:t>ALTITUDE</w:t>
      </w:r>
      <w:r w:rsidRPr="0038404B">
        <w:rPr>
          <w:iCs/>
          <w:noProof/>
          <w:sz w:val="22"/>
          <w:szCs w:val="22"/>
          <w:lang w:eastAsia="en-US"/>
        </w:rPr>
        <w:t xml:space="preserve"> (</w:t>
      </w:r>
      <w:r w:rsidRPr="00114450">
        <w:rPr>
          <w:iCs/>
          <w:noProof/>
          <w:sz w:val="22"/>
          <w:szCs w:val="22"/>
          <w:lang w:val="en-GB" w:eastAsia="en-US"/>
        </w:rPr>
        <w:t>Aliskiren</w:t>
      </w:r>
      <w:r w:rsidRPr="0038404B">
        <w:rPr>
          <w:iCs/>
          <w:noProof/>
          <w:sz w:val="22"/>
          <w:szCs w:val="22"/>
          <w:lang w:eastAsia="en-US"/>
        </w:rPr>
        <w:t xml:space="preserve"> </w:t>
      </w:r>
      <w:r w:rsidRPr="00114450">
        <w:rPr>
          <w:iCs/>
          <w:noProof/>
          <w:sz w:val="22"/>
          <w:szCs w:val="22"/>
          <w:lang w:val="en-GB" w:eastAsia="en-US"/>
        </w:rPr>
        <w:t>Trial</w:t>
      </w:r>
      <w:r w:rsidRPr="0038404B">
        <w:rPr>
          <w:iCs/>
          <w:noProof/>
          <w:sz w:val="22"/>
          <w:szCs w:val="22"/>
          <w:lang w:eastAsia="en-US"/>
        </w:rPr>
        <w:t xml:space="preserve"> </w:t>
      </w:r>
      <w:r w:rsidRPr="00114450">
        <w:rPr>
          <w:iCs/>
          <w:noProof/>
          <w:sz w:val="22"/>
          <w:szCs w:val="22"/>
          <w:lang w:val="en-GB" w:eastAsia="en-US"/>
        </w:rPr>
        <w:t>in</w:t>
      </w:r>
      <w:r w:rsidRPr="0038404B">
        <w:rPr>
          <w:iCs/>
          <w:noProof/>
          <w:sz w:val="22"/>
          <w:szCs w:val="22"/>
          <w:lang w:eastAsia="en-US"/>
        </w:rPr>
        <w:t xml:space="preserve"> </w:t>
      </w:r>
      <w:r w:rsidRPr="00114450">
        <w:rPr>
          <w:iCs/>
          <w:noProof/>
          <w:sz w:val="22"/>
          <w:szCs w:val="22"/>
          <w:lang w:val="en-GB" w:eastAsia="en-US"/>
        </w:rPr>
        <w:t>Type</w:t>
      </w:r>
      <w:r w:rsidRPr="0038404B">
        <w:rPr>
          <w:iCs/>
          <w:noProof/>
          <w:sz w:val="22"/>
          <w:szCs w:val="22"/>
          <w:lang w:eastAsia="en-US"/>
        </w:rPr>
        <w:t xml:space="preserve"> 2 </w:t>
      </w:r>
      <w:r w:rsidRPr="00114450">
        <w:rPr>
          <w:iCs/>
          <w:noProof/>
          <w:sz w:val="22"/>
          <w:szCs w:val="22"/>
          <w:lang w:val="en-GB" w:eastAsia="en-US"/>
        </w:rPr>
        <w:t>Diabetes</w:t>
      </w:r>
      <w:r w:rsidRPr="0038404B">
        <w:rPr>
          <w:iCs/>
          <w:noProof/>
          <w:sz w:val="22"/>
          <w:szCs w:val="22"/>
          <w:lang w:eastAsia="en-US"/>
        </w:rPr>
        <w:t xml:space="preserve"> </w:t>
      </w:r>
      <w:r w:rsidRPr="00114450">
        <w:rPr>
          <w:iCs/>
          <w:noProof/>
          <w:sz w:val="22"/>
          <w:szCs w:val="22"/>
          <w:lang w:val="en-GB" w:eastAsia="en-US"/>
        </w:rPr>
        <w:t>Using</w:t>
      </w:r>
      <w:r w:rsidRPr="0038404B">
        <w:rPr>
          <w:iCs/>
          <w:noProof/>
          <w:sz w:val="22"/>
          <w:szCs w:val="22"/>
          <w:lang w:eastAsia="en-US"/>
        </w:rPr>
        <w:t xml:space="preserve"> </w:t>
      </w:r>
      <w:r w:rsidRPr="00114450">
        <w:rPr>
          <w:iCs/>
          <w:noProof/>
          <w:sz w:val="22"/>
          <w:szCs w:val="22"/>
          <w:lang w:val="en-GB" w:eastAsia="en-US"/>
        </w:rPr>
        <w:t>Cardiovascular</w:t>
      </w:r>
      <w:r w:rsidRPr="0038404B">
        <w:rPr>
          <w:iCs/>
          <w:noProof/>
          <w:sz w:val="22"/>
          <w:szCs w:val="22"/>
          <w:lang w:eastAsia="en-US"/>
        </w:rPr>
        <w:t xml:space="preserve"> </w:t>
      </w:r>
      <w:r w:rsidRPr="00114450">
        <w:rPr>
          <w:iCs/>
          <w:noProof/>
          <w:sz w:val="22"/>
          <w:szCs w:val="22"/>
          <w:lang w:val="en-GB" w:eastAsia="en-US"/>
        </w:rPr>
        <w:t>and</w:t>
      </w:r>
      <w:r w:rsidRPr="0038404B">
        <w:rPr>
          <w:iCs/>
          <w:noProof/>
          <w:sz w:val="22"/>
          <w:szCs w:val="22"/>
          <w:lang w:eastAsia="en-US"/>
        </w:rPr>
        <w:t xml:space="preserve"> </w:t>
      </w:r>
      <w:r w:rsidRPr="00114450">
        <w:rPr>
          <w:iCs/>
          <w:noProof/>
          <w:sz w:val="22"/>
          <w:szCs w:val="22"/>
          <w:lang w:val="en-GB" w:eastAsia="en-US"/>
        </w:rPr>
        <w:t>Renal</w:t>
      </w:r>
      <w:r w:rsidRPr="0038404B">
        <w:rPr>
          <w:iCs/>
          <w:noProof/>
          <w:sz w:val="22"/>
          <w:szCs w:val="22"/>
          <w:lang w:eastAsia="en-US"/>
        </w:rPr>
        <w:t xml:space="preserve"> </w:t>
      </w:r>
      <w:r w:rsidRPr="00114450">
        <w:rPr>
          <w:iCs/>
          <w:noProof/>
          <w:sz w:val="22"/>
          <w:szCs w:val="22"/>
          <w:lang w:val="en-GB" w:eastAsia="en-US"/>
        </w:rPr>
        <w:t>Disease</w:t>
      </w:r>
      <w:r w:rsidRPr="0038404B">
        <w:rPr>
          <w:iCs/>
          <w:noProof/>
          <w:sz w:val="22"/>
          <w:szCs w:val="22"/>
          <w:lang w:eastAsia="en-US"/>
        </w:rPr>
        <w:t xml:space="preserve"> </w:t>
      </w:r>
      <w:r w:rsidRPr="00114450">
        <w:rPr>
          <w:iCs/>
          <w:noProof/>
          <w:sz w:val="22"/>
          <w:szCs w:val="22"/>
          <w:lang w:val="en-GB" w:eastAsia="en-US"/>
        </w:rPr>
        <w:t>Endpoints</w:t>
      </w:r>
      <w:r w:rsidRPr="0038404B">
        <w:rPr>
          <w:iCs/>
          <w:noProof/>
          <w:sz w:val="22"/>
          <w:szCs w:val="22"/>
          <w:lang w:eastAsia="en-US"/>
        </w:rPr>
        <w:t>)</w:t>
      </w:r>
      <w:r>
        <w:rPr>
          <w:iCs/>
          <w:noProof/>
          <w:sz w:val="22"/>
          <w:szCs w:val="22"/>
          <w:lang w:eastAsia="en-US"/>
        </w:rPr>
        <w:t xml:space="preserve"> </w:t>
      </w:r>
      <w:r w:rsidRPr="0038404B">
        <w:rPr>
          <w:iCs/>
          <w:noProof/>
          <w:sz w:val="22"/>
          <w:szCs w:val="22"/>
          <w:lang w:eastAsia="en-US"/>
        </w:rPr>
        <w:t>ήταν μία μελέτη σχεδιασμένη να ελέγξει το όφελος της προσθήκης αλισκιρένης σε μία πρότυπη θεραπεία</w:t>
      </w:r>
      <w:r>
        <w:rPr>
          <w:iCs/>
          <w:noProof/>
          <w:sz w:val="22"/>
          <w:szCs w:val="22"/>
          <w:lang w:eastAsia="en-US"/>
        </w:rPr>
        <w:t xml:space="preserve"> </w:t>
      </w:r>
      <w:r w:rsidRPr="0038404B">
        <w:rPr>
          <w:iCs/>
          <w:noProof/>
          <w:sz w:val="22"/>
          <w:szCs w:val="22"/>
          <w:lang w:eastAsia="en-US"/>
        </w:rPr>
        <w:t>με έναν αναστολέα ΜΕΑ ή ένα</w:t>
      </w:r>
      <w:r w:rsidR="00D82A7E" w:rsidRPr="0038404B">
        <w:rPr>
          <w:iCs/>
          <w:noProof/>
          <w:sz w:val="22"/>
          <w:szCs w:val="22"/>
          <w:lang w:eastAsia="en-US"/>
        </w:rPr>
        <w:t>ν αποκλειστή υποδοχέων αγγειοτ</w:t>
      </w:r>
      <w:r w:rsidR="00D82A7E">
        <w:rPr>
          <w:iCs/>
          <w:noProof/>
          <w:sz w:val="22"/>
          <w:szCs w:val="22"/>
          <w:lang w:eastAsia="en-US"/>
        </w:rPr>
        <w:t>α</w:t>
      </w:r>
      <w:r w:rsidRPr="0038404B">
        <w:rPr>
          <w:iCs/>
          <w:noProof/>
          <w:sz w:val="22"/>
          <w:szCs w:val="22"/>
          <w:lang w:eastAsia="en-US"/>
        </w:rPr>
        <w:t>σίνης ΙΙ σε ασθενείς με σακχαρώδη</w:t>
      </w:r>
      <w:r>
        <w:rPr>
          <w:iCs/>
          <w:noProof/>
          <w:sz w:val="22"/>
          <w:szCs w:val="22"/>
          <w:lang w:eastAsia="en-US"/>
        </w:rPr>
        <w:t xml:space="preserve"> </w:t>
      </w:r>
      <w:r w:rsidRPr="0038404B">
        <w:rPr>
          <w:iCs/>
          <w:noProof/>
          <w:sz w:val="22"/>
          <w:szCs w:val="22"/>
          <w:lang w:eastAsia="en-US"/>
        </w:rPr>
        <w:t>διαβήτη τύπου 2 και χρόνια νεφρική νόσο, καρδιαγγειακή</w:t>
      </w:r>
      <w:r w:rsidR="00D82A7E" w:rsidRPr="0038404B">
        <w:rPr>
          <w:iCs/>
          <w:noProof/>
          <w:sz w:val="22"/>
          <w:szCs w:val="22"/>
          <w:lang w:eastAsia="en-US"/>
        </w:rPr>
        <w:t xml:space="preserve"> νόσο ή και τα δύο. Η μελέτη δι</w:t>
      </w:r>
      <w:r w:rsidR="00D82A7E">
        <w:rPr>
          <w:iCs/>
          <w:noProof/>
          <w:sz w:val="22"/>
          <w:szCs w:val="22"/>
          <w:lang w:eastAsia="en-US"/>
        </w:rPr>
        <w:t>α</w:t>
      </w:r>
      <w:r w:rsidRPr="0038404B">
        <w:rPr>
          <w:iCs/>
          <w:noProof/>
          <w:sz w:val="22"/>
          <w:szCs w:val="22"/>
          <w:lang w:eastAsia="en-US"/>
        </w:rPr>
        <w:t>κόπη</w:t>
      </w:r>
      <w:r w:rsidR="00D82A7E">
        <w:rPr>
          <w:iCs/>
          <w:noProof/>
          <w:sz w:val="22"/>
          <w:szCs w:val="22"/>
          <w:lang w:eastAsia="en-US"/>
        </w:rPr>
        <w:t>κε</w:t>
      </w:r>
      <w:r w:rsidRPr="0038404B">
        <w:rPr>
          <w:iCs/>
          <w:noProof/>
          <w:sz w:val="22"/>
          <w:szCs w:val="22"/>
          <w:lang w:eastAsia="en-US"/>
        </w:rPr>
        <w:t xml:space="preserve"> πρόωρα</w:t>
      </w:r>
      <w:r>
        <w:rPr>
          <w:iCs/>
          <w:noProof/>
          <w:sz w:val="22"/>
          <w:szCs w:val="22"/>
          <w:lang w:eastAsia="en-US"/>
        </w:rPr>
        <w:t xml:space="preserve"> </w:t>
      </w:r>
      <w:r w:rsidRPr="0038404B">
        <w:rPr>
          <w:iCs/>
          <w:noProof/>
          <w:sz w:val="22"/>
          <w:szCs w:val="22"/>
          <w:lang w:eastAsia="en-US"/>
        </w:rPr>
        <w:t>λόγω ενός αυξημένου κινδύνου ανεπιθύμητων εκβάσεων. Ο καρδιαγγειακός θάνατος και το εγκεφαλικό</w:t>
      </w:r>
      <w:r>
        <w:rPr>
          <w:iCs/>
          <w:noProof/>
          <w:sz w:val="22"/>
          <w:szCs w:val="22"/>
          <w:lang w:eastAsia="en-US"/>
        </w:rPr>
        <w:t xml:space="preserve"> </w:t>
      </w:r>
      <w:r w:rsidRPr="0038404B">
        <w:rPr>
          <w:iCs/>
          <w:noProof/>
          <w:sz w:val="22"/>
          <w:szCs w:val="22"/>
          <w:lang w:eastAsia="en-US"/>
        </w:rPr>
        <w:t>επεισόδιο ήταν και τα δύο αριθμητικά συχνότερα στην ομάδα της αλισκιρένης από ότι στην ομάδα του</w:t>
      </w:r>
      <w:r>
        <w:rPr>
          <w:iCs/>
          <w:noProof/>
          <w:sz w:val="22"/>
          <w:szCs w:val="22"/>
          <w:lang w:eastAsia="en-US"/>
        </w:rPr>
        <w:t xml:space="preserve"> </w:t>
      </w:r>
      <w:r w:rsidRPr="0038404B">
        <w:rPr>
          <w:iCs/>
          <w:noProof/>
          <w:sz w:val="22"/>
          <w:szCs w:val="22"/>
          <w:lang w:eastAsia="en-US"/>
        </w:rPr>
        <w:t>εικονικού φαρμάκου και τα ανεπιθύμητα συμβάντα και τα σοβαρά ανεπιθύμητα συμβάντα ενδιαφέροντος</w:t>
      </w:r>
      <w:r>
        <w:rPr>
          <w:iCs/>
          <w:noProof/>
          <w:sz w:val="22"/>
          <w:szCs w:val="22"/>
          <w:lang w:eastAsia="en-US"/>
        </w:rPr>
        <w:t xml:space="preserve"> </w:t>
      </w:r>
      <w:r w:rsidRPr="0038404B">
        <w:rPr>
          <w:iCs/>
          <w:noProof/>
          <w:sz w:val="22"/>
          <w:szCs w:val="22"/>
          <w:lang w:eastAsia="en-US"/>
        </w:rPr>
        <w:t>(υπερκαλιαιμία, υπόταση και νεφρική δυσλειτουργία) αναφέρθηκαν συχνότερα στην ομάδα της</w:t>
      </w:r>
      <w:r>
        <w:rPr>
          <w:iCs/>
          <w:noProof/>
          <w:sz w:val="22"/>
          <w:szCs w:val="22"/>
          <w:lang w:eastAsia="en-US"/>
        </w:rPr>
        <w:t xml:space="preserve"> </w:t>
      </w:r>
      <w:r w:rsidRPr="0038404B">
        <w:rPr>
          <w:iCs/>
          <w:noProof/>
          <w:sz w:val="22"/>
          <w:szCs w:val="22"/>
          <w:lang w:eastAsia="en-US"/>
        </w:rPr>
        <w:t xml:space="preserve">αλισκιρένης από ότι στην ομάδα του εικονικού φαρμάκου. </w:t>
      </w:r>
    </w:p>
    <w:p w:rsidR="001554F7" w:rsidRPr="00A072F5" w:rsidRDefault="001554F7" w:rsidP="001554F7">
      <w:pPr>
        <w:pStyle w:val="Style12"/>
        <w:widowControl/>
        <w:spacing w:line="240" w:lineRule="auto"/>
        <w:ind w:firstLine="0"/>
        <w:rPr>
          <w:rStyle w:val="FontStyle22"/>
          <w:sz w:val="22"/>
          <w:szCs w:val="22"/>
        </w:rPr>
      </w:pPr>
    </w:p>
    <w:p w:rsidR="005D5E57" w:rsidRPr="00A072F5" w:rsidRDefault="0042565E" w:rsidP="0042565E">
      <w:pPr>
        <w:pStyle w:val="Style12"/>
        <w:widowControl/>
        <w:spacing w:line="240" w:lineRule="auto"/>
        <w:ind w:firstLine="0"/>
        <w:rPr>
          <w:rStyle w:val="FontStyle21"/>
          <w:sz w:val="22"/>
          <w:szCs w:val="22"/>
        </w:rPr>
      </w:pPr>
      <w:r w:rsidRPr="00A072F5">
        <w:rPr>
          <w:rStyle w:val="FontStyle21"/>
          <w:sz w:val="22"/>
          <w:szCs w:val="22"/>
        </w:rPr>
        <w:t>5.2</w:t>
      </w:r>
      <w:r w:rsidRPr="00A072F5">
        <w:rPr>
          <w:rStyle w:val="FontStyle21"/>
          <w:sz w:val="22"/>
          <w:szCs w:val="22"/>
        </w:rPr>
        <w:tab/>
      </w:r>
      <w:r w:rsidR="005D5E57" w:rsidRPr="00A072F5">
        <w:rPr>
          <w:rStyle w:val="FontStyle21"/>
          <w:sz w:val="22"/>
          <w:szCs w:val="22"/>
        </w:rPr>
        <w:t>Φαρμακοκινητικές ιδιότητες</w:t>
      </w:r>
    </w:p>
    <w:p w:rsidR="0042565E" w:rsidRPr="00A072F5" w:rsidRDefault="0042565E" w:rsidP="0042565E">
      <w:pPr>
        <w:pStyle w:val="Style8"/>
        <w:widowControl/>
        <w:jc w:val="left"/>
        <w:rPr>
          <w:rStyle w:val="FontStyle21"/>
          <w:sz w:val="22"/>
          <w:szCs w:val="22"/>
        </w:rPr>
      </w:pPr>
    </w:p>
    <w:p w:rsidR="005D5E57" w:rsidRPr="00A072F5" w:rsidRDefault="005D5E57" w:rsidP="0042565E">
      <w:pPr>
        <w:pStyle w:val="Style8"/>
        <w:widowControl/>
        <w:jc w:val="left"/>
        <w:rPr>
          <w:rStyle w:val="FontStyle21"/>
          <w:sz w:val="22"/>
          <w:szCs w:val="22"/>
        </w:rPr>
      </w:pPr>
      <w:r w:rsidRPr="00A072F5">
        <w:rPr>
          <w:rStyle w:val="FontStyle21"/>
          <w:sz w:val="22"/>
          <w:szCs w:val="22"/>
        </w:rPr>
        <w:t>Απορρόφηση και κατανομή</w:t>
      </w:r>
    </w:p>
    <w:p w:rsidR="005D5E57" w:rsidRDefault="005D5E57" w:rsidP="001554F7">
      <w:pPr>
        <w:pStyle w:val="Style4"/>
        <w:widowControl/>
        <w:spacing w:line="240" w:lineRule="auto"/>
        <w:jc w:val="left"/>
        <w:rPr>
          <w:rStyle w:val="FontStyle22"/>
          <w:sz w:val="22"/>
          <w:szCs w:val="22"/>
        </w:rPr>
      </w:pPr>
      <w:r w:rsidRPr="00A072F5">
        <w:rPr>
          <w:rStyle w:val="FontStyle22"/>
          <w:sz w:val="22"/>
          <w:szCs w:val="22"/>
        </w:rPr>
        <w:t>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είναι προφάρμακο. Μετατρέπεται ταχέως στον φαρμακολογικά ενεργό μεταβολίτη,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w:t>
      </w:r>
      <w:r w:rsidRPr="00A072F5">
        <w:rPr>
          <w:rStyle w:val="FontStyle22"/>
          <w:sz w:val="22"/>
          <w:szCs w:val="22"/>
        </w:rPr>
        <w:t xml:space="preserve"> από εστεράσες του βλεννογόνου του εντέρου και του αίματος της πυλαίας κατά την απορρόφησή της από το γαστρεντερικό σωλήνα.</w:t>
      </w:r>
    </w:p>
    <w:p w:rsidR="001554F7" w:rsidRPr="00A072F5" w:rsidRDefault="001554F7" w:rsidP="001554F7">
      <w:pPr>
        <w:pStyle w:val="Style4"/>
        <w:widowControl/>
        <w:spacing w:line="240" w:lineRule="auto"/>
        <w:jc w:val="left"/>
        <w:rPr>
          <w:rStyle w:val="FontStyle22"/>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Καμία ποσότητα αυτούσιας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00D82A7E">
        <w:rPr>
          <w:rStyle w:val="FontStyle22"/>
          <w:sz w:val="22"/>
          <w:szCs w:val="22"/>
        </w:rPr>
        <w:t xml:space="preserve"> ή ανέπαφης πλευρικής αλύ</w:t>
      </w:r>
      <w:r w:rsidRPr="00A072F5">
        <w:rPr>
          <w:rStyle w:val="FontStyle22"/>
          <w:sz w:val="22"/>
          <w:szCs w:val="22"/>
        </w:rPr>
        <w:t>σου</w:t>
      </w:r>
      <w:r w:rsidRPr="0038404B">
        <w:rPr>
          <w:rStyle w:val="FontStyle22"/>
          <w:sz w:val="22"/>
          <w:szCs w:val="22"/>
        </w:rPr>
        <w:t xml:space="preserve"> </w:t>
      </w:r>
      <w:r w:rsidRPr="00A072F5">
        <w:rPr>
          <w:rStyle w:val="FontStyle22"/>
          <w:sz w:val="22"/>
          <w:szCs w:val="22"/>
          <w:lang w:val="en-US"/>
        </w:rPr>
        <w:t>medoxomil</w:t>
      </w:r>
      <w:r w:rsidRPr="0038404B">
        <w:rPr>
          <w:rStyle w:val="FontStyle22"/>
          <w:sz w:val="22"/>
          <w:szCs w:val="22"/>
        </w:rPr>
        <w:t xml:space="preserve"> </w:t>
      </w:r>
      <w:r w:rsidRPr="00A072F5">
        <w:rPr>
          <w:rStyle w:val="FontStyle22"/>
          <w:sz w:val="22"/>
          <w:szCs w:val="22"/>
        </w:rPr>
        <w:t xml:space="preserve">δεν έχει ανιχνευθεί στο πλάσμα ή στα απεκκρίματα. Η μέση απόλυτη βιοδιαθεσιμότητα της </w:t>
      </w:r>
      <w:r w:rsidRPr="00A072F5">
        <w:rPr>
          <w:rStyle w:val="FontStyle22"/>
          <w:sz w:val="22"/>
          <w:szCs w:val="22"/>
          <w:lang w:val="en-US"/>
        </w:rPr>
        <w:t>olmesartan</w:t>
      </w:r>
      <w:r w:rsidRPr="00A072F5">
        <w:rPr>
          <w:rStyle w:val="FontStyle22"/>
          <w:sz w:val="22"/>
          <w:szCs w:val="22"/>
        </w:rPr>
        <w:t xml:space="preserve"> χορηγούμενης στη φαρμακοτεχνική μορφή του δισκίου ήταν 25,6%.</w:t>
      </w:r>
    </w:p>
    <w:p w:rsidR="005D5E57" w:rsidRPr="00A072F5" w:rsidRDefault="005D5E57" w:rsidP="001554F7">
      <w:pPr>
        <w:pStyle w:val="Style4"/>
        <w:widowControl/>
        <w:spacing w:line="240" w:lineRule="auto"/>
        <w:jc w:val="left"/>
        <w:rPr>
          <w:sz w:val="22"/>
          <w:szCs w:val="22"/>
        </w:rPr>
      </w:pPr>
    </w:p>
    <w:p w:rsidR="005D5E57" w:rsidRPr="0038404B" w:rsidRDefault="005D5E57" w:rsidP="001554F7">
      <w:pPr>
        <w:pStyle w:val="Style4"/>
        <w:widowControl/>
        <w:spacing w:line="240" w:lineRule="auto"/>
        <w:jc w:val="left"/>
        <w:rPr>
          <w:rStyle w:val="FontStyle22"/>
          <w:sz w:val="22"/>
          <w:szCs w:val="22"/>
        </w:rPr>
      </w:pPr>
      <w:r w:rsidRPr="00A072F5">
        <w:rPr>
          <w:rStyle w:val="FontStyle22"/>
          <w:sz w:val="22"/>
          <w:szCs w:val="22"/>
        </w:rPr>
        <w:t>Η μέση μέγιστη συγκέντρωση</w:t>
      </w:r>
      <w:r w:rsidRPr="0038404B">
        <w:rPr>
          <w:rStyle w:val="FontStyle22"/>
          <w:sz w:val="22"/>
          <w:szCs w:val="22"/>
        </w:rPr>
        <w:t xml:space="preserve"> (</w:t>
      </w:r>
      <w:r w:rsidRPr="00A072F5">
        <w:rPr>
          <w:rStyle w:val="FontStyle22"/>
          <w:sz w:val="22"/>
          <w:szCs w:val="22"/>
          <w:lang w:val="en-US"/>
        </w:rPr>
        <w:t>C</w:t>
      </w:r>
      <w:r w:rsidRPr="001554F7">
        <w:rPr>
          <w:rStyle w:val="FontStyle18"/>
          <w:sz w:val="22"/>
          <w:szCs w:val="22"/>
          <w:vertAlign w:val="subscript"/>
          <w:lang w:val="en-US"/>
        </w:rPr>
        <w:t>max</w:t>
      </w:r>
      <w:r w:rsidRPr="0038404B">
        <w:rPr>
          <w:rStyle w:val="FontStyle18"/>
          <w:sz w:val="22"/>
          <w:szCs w:val="22"/>
        </w:rPr>
        <w:t>)</w:t>
      </w:r>
      <w:r w:rsidRPr="00A072F5">
        <w:rPr>
          <w:rStyle w:val="FontStyle18"/>
          <w:sz w:val="22"/>
          <w:szCs w:val="22"/>
        </w:rPr>
        <w:t xml:space="preserve"> </w:t>
      </w:r>
      <w:r w:rsidRPr="00A072F5">
        <w:rPr>
          <w:rStyle w:val="FontStyle22"/>
          <w:sz w:val="22"/>
          <w:szCs w:val="22"/>
        </w:rPr>
        <w:t>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στο πλάσμα επιτυγχάνεται σε </w:t>
      </w:r>
      <w:r w:rsidR="00D82A7E">
        <w:rPr>
          <w:rStyle w:val="FontStyle22"/>
          <w:sz w:val="22"/>
          <w:szCs w:val="22"/>
        </w:rPr>
        <w:t xml:space="preserve">περίπου </w:t>
      </w:r>
      <w:r w:rsidRPr="00A072F5">
        <w:rPr>
          <w:rStyle w:val="FontStyle22"/>
          <w:sz w:val="22"/>
          <w:szCs w:val="22"/>
        </w:rPr>
        <w:t>2 ώρες μετά τη λήψη από το στόμα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και η συγκέντρωση 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στο πλάσμα αυξάνεται σχεδόν γραμμικά σε σχέση με εφάπαξ από του στόματος αυξανόμενες δόσεις μέχρι περίπου 80</w:t>
      </w:r>
      <w:r w:rsidRPr="0038404B">
        <w:rPr>
          <w:rStyle w:val="FontStyle22"/>
          <w:sz w:val="22"/>
          <w:szCs w:val="22"/>
        </w:rPr>
        <w:t xml:space="preserve"> </w:t>
      </w:r>
      <w:r w:rsidRPr="00A072F5">
        <w:rPr>
          <w:rStyle w:val="FontStyle22"/>
          <w:sz w:val="22"/>
          <w:szCs w:val="22"/>
          <w:lang w:val="en-US"/>
        </w:rPr>
        <w:t>mg</w:t>
      </w:r>
      <w:r w:rsidRPr="0038404B">
        <w:rPr>
          <w:rStyle w:val="FontStyle22"/>
          <w:sz w:val="22"/>
          <w:szCs w:val="22"/>
        </w:rPr>
        <w:t>.</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Η τροφή έχει ελάχιστη επίδραση στη βιοδιαθεσιμότητα 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και ως εκ τούτου η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μπορεί να χορηγείται με ή χωρίς τροφή.</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 xml:space="preserve">Δεν έχουν παρατηρηθεί </w:t>
      </w:r>
      <w:r w:rsidR="001417DA">
        <w:rPr>
          <w:rStyle w:val="FontStyle22"/>
          <w:sz w:val="22"/>
          <w:szCs w:val="22"/>
        </w:rPr>
        <w:t>κλινικά σημαντικές διαφορές στη</w:t>
      </w:r>
      <w:r w:rsidRPr="00A072F5">
        <w:rPr>
          <w:rStyle w:val="FontStyle22"/>
          <w:sz w:val="22"/>
          <w:szCs w:val="22"/>
        </w:rPr>
        <w:t xml:space="preserve"> φαρμακοκινητική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rPr>
        <w:t>που να σχετίζονται με το φύλο.</w:t>
      </w:r>
    </w:p>
    <w:p w:rsidR="005D5E57" w:rsidRPr="00A072F5" w:rsidRDefault="005D5E57" w:rsidP="001554F7">
      <w:pPr>
        <w:pStyle w:val="Style4"/>
        <w:widowControl/>
        <w:spacing w:line="240" w:lineRule="auto"/>
        <w:jc w:val="left"/>
        <w:rPr>
          <w:sz w:val="22"/>
          <w:szCs w:val="22"/>
        </w:rPr>
      </w:pPr>
    </w:p>
    <w:p w:rsidR="005D5E57" w:rsidRPr="0038404B" w:rsidRDefault="005D5E57" w:rsidP="001554F7">
      <w:pPr>
        <w:pStyle w:val="Style4"/>
        <w:widowControl/>
        <w:spacing w:line="240" w:lineRule="auto"/>
        <w:jc w:val="left"/>
        <w:rPr>
          <w:rStyle w:val="FontStyle22"/>
          <w:sz w:val="22"/>
          <w:szCs w:val="22"/>
        </w:rPr>
      </w:pPr>
      <w:r w:rsidRPr="00FC74C3">
        <w:rPr>
          <w:rStyle w:val="FontStyle22"/>
          <w:sz w:val="22"/>
          <w:szCs w:val="22"/>
        </w:rPr>
        <w:t>Η ολμεσαρτάνη δεσμεύεται σε μεγάλο βαθμό από τις πρωτ</w:t>
      </w:r>
      <w:r w:rsidR="001417DA" w:rsidRPr="00FC74C3">
        <w:rPr>
          <w:rStyle w:val="FontStyle22"/>
          <w:sz w:val="22"/>
          <w:szCs w:val="22"/>
        </w:rPr>
        <w:t>εΐνες του πλάσματος (</w:t>
      </w:r>
      <w:r w:rsidRPr="00FC74C3">
        <w:rPr>
          <w:rStyle w:val="FontStyle22"/>
          <w:sz w:val="22"/>
          <w:szCs w:val="22"/>
        </w:rPr>
        <w:t xml:space="preserve">99,7%), αλλά η δυνατότητα για κλινικά σημαντικές αντιδράσεις εκτόπισης, μεταξύ της </w:t>
      </w:r>
      <w:r w:rsidRPr="00B4239B">
        <w:rPr>
          <w:rStyle w:val="FontStyle22"/>
          <w:sz w:val="22"/>
          <w:szCs w:val="22"/>
          <w:lang w:val="en-US"/>
        </w:rPr>
        <w:t>olmesartan</w:t>
      </w:r>
      <w:r w:rsidRPr="00D849E5">
        <w:rPr>
          <w:rStyle w:val="FontStyle22"/>
          <w:sz w:val="22"/>
          <w:szCs w:val="22"/>
        </w:rPr>
        <w:t xml:space="preserve"> και άλλων με έντονο βαθμό δέσμευσης συγχορηγούμενων φαρμάκων είναι μικρή (όπως επιβεβαιώνεται κλινικά από την έλλειψη σημαντικής αλληλεπίδρασης μεταξύ της </w:t>
      </w:r>
      <w:r w:rsidRPr="00D849E5">
        <w:rPr>
          <w:rStyle w:val="FontStyle22"/>
          <w:sz w:val="22"/>
          <w:szCs w:val="22"/>
          <w:lang w:val="en-US"/>
        </w:rPr>
        <w:t>olmesartan</w:t>
      </w:r>
      <w:r w:rsidRPr="0080512D">
        <w:rPr>
          <w:rStyle w:val="FontStyle22"/>
          <w:sz w:val="22"/>
          <w:szCs w:val="22"/>
        </w:rPr>
        <w:t xml:space="preserve"> </w:t>
      </w:r>
      <w:r w:rsidRPr="0087361D">
        <w:rPr>
          <w:rStyle w:val="FontStyle22"/>
          <w:sz w:val="22"/>
          <w:szCs w:val="22"/>
          <w:lang w:val="en-US"/>
        </w:rPr>
        <w:t>medoxomil</w:t>
      </w:r>
      <w:r w:rsidRPr="00FC74C3">
        <w:rPr>
          <w:rStyle w:val="FontStyle22"/>
          <w:sz w:val="22"/>
          <w:szCs w:val="22"/>
        </w:rPr>
        <w:t xml:space="preserve"> και της βαρφαρίνης). Η δέσμευση της </w:t>
      </w:r>
      <w:r w:rsidRPr="00FC74C3">
        <w:rPr>
          <w:rStyle w:val="FontStyle22"/>
          <w:sz w:val="22"/>
          <w:szCs w:val="22"/>
          <w:lang w:val="en-US"/>
        </w:rPr>
        <w:t>olmesartan</w:t>
      </w:r>
      <w:r w:rsidRPr="00FC74C3">
        <w:rPr>
          <w:rStyle w:val="FontStyle22"/>
          <w:sz w:val="22"/>
          <w:szCs w:val="22"/>
        </w:rPr>
        <w:t xml:space="preserve"> με τα αιμοσφαίρια είναι ασήμαντη. Ο μέσος όγκος κατανομής μετά από ενδοφλέβια χορήγηση είναι χαμηλός (16 - 29 </w:t>
      </w:r>
      <w:r w:rsidRPr="00FC74C3">
        <w:rPr>
          <w:rStyle w:val="FontStyle22"/>
          <w:sz w:val="22"/>
          <w:szCs w:val="22"/>
          <w:lang w:val="en-US"/>
        </w:rPr>
        <w:t>L</w:t>
      </w:r>
      <w:r w:rsidRPr="00FC74C3">
        <w:rPr>
          <w:rStyle w:val="FontStyle22"/>
          <w:sz w:val="22"/>
          <w:szCs w:val="22"/>
        </w:rPr>
        <w:t>).</w:t>
      </w:r>
    </w:p>
    <w:p w:rsidR="005D5E57" w:rsidRPr="00A072F5" w:rsidRDefault="005D5E57" w:rsidP="001554F7">
      <w:pPr>
        <w:pStyle w:val="Style8"/>
        <w:widowControl/>
        <w:jc w:val="left"/>
        <w:rPr>
          <w:sz w:val="22"/>
          <w:szCs w:val="22"/>
        </w:rPr>
      </w:pPr>
    </w:p>
    <w:p w:rsidR="005D5E57" w:rsidRPr="00A072F5" w:rsidRDefault="001417DA" w:rsidP="001554F7">
      <w:pPr>
        <w:pStyle w:val="Style8"/>
        <w:widowControl/>
        <w:jc w:val="left"/>
        <w:rPr>
          <w:rStyle w:val="FontStyle21"/>
          <w:sz w:val="22"/>
          <w:szCs w:val="22"/>
        </w:rPr>
      </w:pPr>
      <w:r>
        <w:rPr>
          <w:rStyle w:val="FontStyle21"/>
          <w:sz w:val="22"/>
          <w:szCs w:val="22"/>
        </w:rPr>
        <w:t xml:space="preserve">Βιομετασχηματισμός </w:t>
      </w:r>
      <w:r w:rsidR="005D5E57" w:rsidRPr="00A072F5">
        <w:rPr>
          <w:rStyle w:val="FontStyle21"/>
          <w:sz w:val="22"/>
          <w:szCs w:val="22"/>
        </w:rPr>
        <w:t>και αποβολή</w:t>
      </w: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Η ολική κάθαρση πλάσματος είναι τυπικά</w:t>
      </w:r>
      <w:r w:rsidRPr="0038404B">
        <w:rPr>
          <w:rStyle w:val="FontStyle22"/>
          <w:sz w:val="22"/>
          <w:szCs w:val="22"/>
        </w:rPr>
        <w:t xml:space="preserve"> 1,3</w:t>
      </w:r>
      <w:r w:rsidR="001417DA">
        <w:rPr>
          <w:rStyle w:val="FontStyle22"/>
          <w:sz w:val="22"/>
          <w:szCs w:val="22"/>
        </w:rPr>
        <w:t xml:space="preserve"> </w:t>
      </w:r>
      <w:r w:rsidRPr="00A072F5">
        <w:rPr>
          <w:rStyle w:val="FontStyle22"/>
          <w:sz w:val="22"/>
          <w:szCs w:val="22"/>
          <w:lang w:val="en-US"/>
        </w:rPr>
        <w:t>L</w:t>
      </w:r>
      <w:r w:rsidRPr="0038404B">
        <w:rPr>
          <w:rStyle w:val="FontStyle22"/>
          <w:sz w:val="22"/>
          <w:szCs w:val="22"/>
        </w:rPr>
        <w:t>/</w:t>
      </w:r>
      <w:r w:rsidRPr="00A072F5">
        <w:rPr>
          <w:rStyle w:val="FontStyle22"/>
          <w:sz w:val="22"/>
          <w:szCs w:val="22"/>
          <w:lang w:val="en-US"/>
        </w:rPr>
        <w:t>h</w:t>
      </w:r>
      <w:r w:rsidRPr="0038404B">
        <w:rPr>
          <w:rStyle w:val="FontStyle22"/>
          <w:sz w:val="22"/>
          <w:szCs w:val="22"/>
        </w:rPr>
        <w:t xml:space="preserve"> (</w:t>
      </w:r>
      <w:r w:rsidRPr="00A072F5">
        <w:rPr>
          <w:rStyle w:val="FontStyle22"/>
          <w:sz w:val="22"/>
          <w:szCs w:val="22"/>
          <w:lang w:val="en-US"/>
        </w:rPr>
        <w:t>CV</w:t>
      </w:r>
      <w:r w:rsidRPr="00A072F5">
        <w:rPr>
          <w:rStyle w:val="FontStyle22"/>
          <w:sz w:val="22"/>
          <w:szCs w:val="22"/>
        </w:rPr>
        <w:t xml:space="preserve"> 19%) και είναι σχετικά μικρή συγκρινόμενη με την ηπατική ροή του αίματος</w:t>
      </w:r>
      <w:r w:rsidR="001417DA" w:rsidRPr="0038404B">
        <w:rPr>
          <w:rStyle w:val="FontStyle22"/>
          <w:sz w:val="22"/>
          <w:szCs w:val="22"/>
        </w:rPr>
        <w:t xml:space="preserve"> (</w:t>
      </w:r>
      <w:r w:rsidR="001417DA">
        <w:rPr>
          <w:rStyle w:val="FontStyle22"/>
          <w:sz w:val="22"/>
          <w:szCs w:val="22"/>
        </w:rPr>
        <w:t>περίπου</w:t>
      </w:r>
      <w:r w:rsidRPr="0038404B">
        <w:rPr>
          <w:rStyle w:val="FontStyle22"/>
          <w:sz w:val="22"/>
          <w:szCs w:val="22"/>
        </w:rPr>
        <w:t xml:space="preserve"> 90</w:t>
      </w:r>
      <w:r w:rsidR="001417DA">
        <w:rPr>
          <w:rStyle w:val="FontStyle22"/>
          <w:sz w:val="22"/>
          <w:szCs w:val="22"/>
        </w:rPr>
        <w:t xml:space="preserve"> </w:t>
      </w:r>
      <w:r w:rsidRPr="00A072F5">
        <w:rPr>
          <w:rStyle w:val="FontStyle22"/>
          <w:sz w:val="22"/>
          <w:szCs w:val="22"/>
          <w:lang w:val="en-US"/>
        </w:rPr>
        <w:t>L</w:t>
      </w:r>
      <w:r w:rsidRPr="0038404B">
        <w:rPr>
          <w:rStyle w:val="FontStyle22"/>
          <w:sz w:val="22"/>
          <w:szCs w:val="22"/>
        </w:rPr>
        <w:t>/</w:t>
      </w:r>
      <w:r w:rsidRPr="00A072F5">
        <w:rPr>
          <w:rStyle w:val="FontStyle22"/>
          <w:sz w:val="22"/>
          <w:szCs w:val="22"/>
          <w:lang w:val="en-US"/>
        </w:rPr>
        <w:t>h</w:t>
      </w:r>
      <w:r w:rsidRPr="0038404B">
        <w:rPr>
          <w:rStyle w:val="FontStyle22"/>
          <w:sz w:val="22"/>
          <w:szCs w:val="22"/>
        </w:rPr>
        <w:t>).</w:t>
      </w:r>
      <w:r w:rsidR="001554F7">
        <w:rPr>
          <w:rStyle w:val="FontStyle22"/>
          <w:sz w:val="22"/>
          <w:szCs w:val="22"/>
        </w:rPr>
        <w:t xml:space="preserve"> </w:t>
      </w:r>
      <w:r w:rsidRPr="00A072F5">
        <w:rPr>
          <w:rStyle w:val="FontStyle22"/>
          <w:sz w:val="22"/>
          <w:szCs w:val="22"/>
        </w:rPr>
        <w:t>Μετά από εφάπαξ από του στόματος χορήγηση ραδιοσημασμένης με</w:t>
      </w:r>
      <w:r w:rsidRPr="0038404B">
        <w:rPr>
          <w:rStyle w:val="FontStyle22"/>
          <w:sz w:val="22"/>
          <w:szCs w:val="22"/>
        </w:rPr>
        <w:t xml:space="preserve"> </w:t>
      </w:r>
      <w:r w:rsidRPr="0038404B">
        <w:rPr>
          <w:rStyle w:val="FontStyle22"/>
          <w:sz w:val="22"/>
          <w:szCs w:val="22"/>
          <w:vertAlign w:val="superscript"/>
        </w:rPr>
        <w:t>14</w:t>
      </w:r>
      <w:r w:rsidRPr="00A072F5">
        <w:rPr>
          <w:rStyle w:val="FontStyle22"/>
          <w:sz w:val="22"/>
          <w:szCs w:val="22"/>
          <w:lang w:val="en-US"/>
        </w:rPr>
        <w:t>C</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38404B">
        <w:rPr>
          <w:rStyle w:val="FontStyle22"/>
          <w:sz w:val="22"/>
          <w:szCs w:val="22"/>
        </w:rPr>
        <w:t>,</w:t>
      </w:r>
      <w:r w:rsidRPr="00A072F5">
        <w:rPr>
          <w:rStyle w:val="FontStyle22"/>
          <w:sz w:val="22"/>
          <w:szCs w:val="22"/>
        </w:rPr>
        <w:t xml:space="preserve"> το 10 - 16% της χορηγηθείσας ραδιενέργειας αποβλήθηκε στα ούρα (το μεγαλύτερο μέρος της σε 24 ώρες μετά τη χορήγηση της δόσης) και το υπόλοιπο της ανακτηθείσας ραδιενέργειας αποβλήθηκε στα κόπρανα. Με βάση τη συστηματική διαθεσιμότητα του 25,6%, μπορεί να υπολογιστεί ότι η</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που απορροφάται αποβάλλεται τόσο μέσω των νεφρών (περίπου 40%), όσο και μέσω της ηπατοχολικής οδού (περίπου 60%). Όλη η ανακτηθείσα ραδιενέργεια ανιχνεύθηκε ως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w:t>
      </w:r>
      <w:r w:rsidRPr="00A072F5">
        <w:rPr>
          <w:rStyle w:val="FontStyle22"/>
          <w:sz w:val="22"/>
          <w:szCs w:val="22"/>
        </w:rPr>
        <w:t xml:space="preserve"> Δεν ανιχνεύθηκε άλλος σημαντικός μεταβολίτης. Η εντερο-ηπατική ανακύκλωση 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είναι ελάχιστη. Καθώς το μεγαλύτερο ποσοστό της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rPr>
        <w:t>απεκκρίνεται μέσω της χολής, δεν ενδείκνυται η χορήγηση σε ασθενείς με απ</w:t>
      </w:r>
      <w:r w:rsidR="001417DA">
        <w:rPr>
          <w:rStyle w:val="FontStyle22"/>
          <w:sz w:val="22"/>
          <w:szCs w:val="22"/>
        </w:rPr>
        <w:t>όφραξη των χοληφόρων οδών (βλ. παράγραφο 4.3</w:t>
      </w:r>
      <w:r w:rsidRPr="00A072F5">
        <w:rPr>
          <w:rStyle w:val="FontStyle22"/>
          <w:sz w:val="22"/>
          <w:szCs w:val="22"/>
        </w:rPr>
        <w:t>).</w:t>
      </w:r>
    </w:p>
    <w:p w:rsidR="005D5E57" w:rsidRPr="00A072F5" w:rsidRDefault="005D5E57" w:rsidP="001554F7">
      <w:pPr>
        <w:pStyle w:val="Style4"/>
        <w:widowControl/>
        <w:spacing w:line="240" w:lineRule="auto"/>
        <w:jc w:val="left"/>
        <w:rPr>
          <w:sz w:val="22"/>
          <w:szCs w:val="22"/>
        </w:rPr>
      </w:pP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 xml:space="preserve">Ο τελικός χρόνος ημιζωής της </w:t>
      </w:r>
      <w:r w:rsidR="001417DA" w:rsidRPr="00A072F5">
        <w:rPr>
          <w:rStyle w:val="FontStyle22"/>
          <w:sz w:val="22"/>
          <w:szCs w:val="22"/>
          <w:lang w:val="en-US"/>
        </w:rPr>
        <w:t>olmesartan</w:t>
      </w:r>
      <w:r w:rsidR="001417DA" w:rsidRPr="0038404B">
        <w:rPr>
          <w:rStyle w:val="FontStyle22"/>
          <w:sz w:val="22"/>
          <w:szCs w:val="22"/>
        </w:rPr>
        <w:t xml:space="preserve"> </w:t>
      </w:r>
      <w:r w:rsidRPr="00A072F5">
        <w:rPr>
          <w:rStyle w:val="FontStyle22"/>
          <w:sz w:val="22"/>
          <w:szCs w:val="22"/>
        </w:rPr>
        <w:t xml:space="preserve">ποικίλλει μεταξύ 10 και 15 ωρών μετά από επαναλαμβανόμενες από του στόματος δόσεις. Σταθεροποιημένη κατάσταση επιτυγχάνεται μετά τις πρώτες δόσεις και δεν παρατηρήθηκε καμία επιπλέον συσσώρευση μετά από επαναλαμβανόμενη χορήγηση επί 14 ημέρες. Η νεφρική κάθαρση ήταν περίπου 0,5 - 0,7 </w:t>
      </w:r>
      <w:r w:rsidRPr="00A072F5">
        <w:rPr>
          <w:rStyle w:val="FontStyle22"/>
          <w:sz w:val="22"/>
          <w:szCs w:val="22"/>
          <w:lang w:val="en-US"/>
        </w:rPr>
        <w:t>L</w:t>
      </w:r>
      <w:r w:rsidRPr="00A072F5">
        <w:rPr>
          <w:rStyle w:val="FontStyle22"/>
          <w:sz w:val="22"/>
          <w:szCs w:val="22"/>
        </w:rPr>
        <w:t>/ώρα και ήταν ανεξάρτητη από τη δόση.</w:t>
      </w:r>
    </w:p>
    <w:p w:rsidR="005D5E57" w:rsidRPr="00A072F5" w:rsidRDefault="005D5E57" w:rsidP="00176403">
      <w:pPr>
        <w:pStyle w:val="Style8"/>
        <w:widowControl/>
        <w:jc w:val="left"/>
        <w:rPr>
          <w:sz w:val="22"/>
          <w:szCs w:val="22"/>
        </w:rPr>
      </w:pPr>
    </w:p>
    <w:p w:rsidR="005D5E57" w:rsidRPr="00A072F5" w:rsidRDefault="005D5E57" w:rsidP="00176403">
      <w:pPr>
        <w:pStyle w:val="Style8"/>
        <w:widowControl/>
        <w:jc w:val="left"/>
        <w:rPr>
          <w:rStyle w:val="FontStyle21"/>
          <w:sz w:val="22"/>
          <w:szCs w:val="22"/>
        </w:rPr>
      </w:pPr>
      <w:r w:rsidRPr="00A072F5">
        <w:rPr>
          <w:rStyle w:val="FontStyle21"/>
          <w:sz w:val="22"/>
          <w:szCs w:val="22"/>
        </w:rPr>
        <w:t>Φαρμακοκινητική σε ειδικούς πληθυσμούς</w:t>
      </w:r>
    </w:p>
    <w:p w:rsidR="005D5E57" w:rsidRPr="00A072F5" w:rsidRDefault="005D5E57" w:rsidP="00176403">
      <w:pPr>
        <w:pStyle w:val="Style13"/>
        <w:widowControl/>
        <w:rPr>
          <w:sz w:val="22"/>
          <w:szCs w:val="22"/>
        </w:rPr>
      </w:pPr>
    </w:p>
    <w:p w:rsidR="005D5E57" w:rsidRPr="00A072F5" w:rsidRDefault="00FC74C3" w:rsidP="00176403">
      <w:pPr>
        <w:pStyle w:val="Style13"/>
        <w:widowControl/>
        <w:rPr>
          <w:rStyle w:val="FontStyle19"/>
          <w:sz w:val="22"/>
          <w:szCs w:val="22"/>
        </w:rPr>
      </w:pPr>
      <w:r w:rsidRPr="00EC2F30">
        <w:rPr>
          <w:i/>
          <w:iCs/>
          <w:color w:val="000000"/>
          <w:sz w:val="22"/>
          <w:szCs w:val="22"/>
        </w:rPr>
        <w:t>Ηλικιωμένοι</w:t>
      </w:r>
      <w:r>
        <w:rPr>
          <w:i/>
          <w:iCs/>
          <w:color w:val="000000"/>
          <w:sz w:val="22"/>
          <w:szCs w:val="22"/>
        </w:rPr>
        <w:t xml:space="preserve"> </w:t>
      </w:r>
      <w:r w:rsidR="001554F7" w:rsidRPr="0038404B">
        <w:rPr>
          <w:i/>
          <w:iCs/>
          <w:color w:val="000000"/>
          <w:sz w:val="22"/>
          <w:szCs w:val="22"/>
        </w:rPr>
        <w:t>(</w:t>
      </w:r>
      <w:r w:rsidR="00626F20">
        <w:rPr>
          <w:i/>
          <w:iCs/>
          <w:color w:val="000000"/>
          <w:sz w:val="22"/>
          <w:szCs w:val="22"/>
        </w:rPr>
        <w:t>ηλικίας</w:t>
      </w:r>
      <w:r w:rsidR="001554F7" w:rsidRPr="0038404B">
        <w:rPr>
          <w:i/>
          <w:iCs/>
          <w:color w:val="000000"/>
          <w:sz w:val="22"/>
          <w:szCs w:val="22"/>
        </w:rPr>
        <w:t xml:space="preserve"> 65</w:t>
      </w:r>
      <w:r w:rsidR="00626F20">
        <w:rPr>
          <w:i/>
          <w:iCs/>
          <w:color w:val="000000"/>
          <w:sz w:val="22"/>
          <w:szCs w:val="22"/>
        </w:rPr>
        <w:t xml:space="preserve"> ετών και άνω</w:t>
      </w:r>
      <w:r w:rsidR="001554F7" w:rsidRPr="0038404B">
        <w:rPr>
          <w:i/>
          <w:iCs/>
          <w:color w:val="000000"/>
          <w:sz w:val="22"/>
          <w:szCs w:val="22"/>
        </w:rPr>
        <w:t>):</w:t>
      </w:r>
    </w:p>
    <w:p w:rsidR="005D5E57" w:rsidRPr="00A072F5" w:rsidRDefault="005D5E57" w:rsidP="00176403">
      <w:pPr>
        <w:pStyle w:val="Style4"/>
        <w:widowControl/>
        <w:spacing w:line="240" w:lineRule="auto"/>
        <w:jc w:val="left"/>
        <w:rPr>
          <w:rStyle w:val="FontStyle22"/>
          <w:sz w:val="22"/>
          <w:szCs w:val="22"/>
        </w:rPr>
      </w:pPr>
      <w:r w:rsidRPr="00A072F5">
        <w:rPr>
          <w:rStyle w:val="FontStyle22"/>
          <w:sz w:val="22"/>
          <w:szCs w:val="22"/>
        </w:rPr>
        <w:t>Στ</w:t>
      </w:r>
      <w:r w:rsidR="001554F7">
        <w:rPr>
          <w:rStyle w:val="FontStyle22"/>
          <w:sz w:val="22"/>
          <w:szCs w:val="22"/>
        </w:rPr>
        <w:t xml:space="preserve">ους υπερτασικούς ασθενείς, η </w:t>
      </w:r>
      <w:r w:rsidR="001554F7" w:rsidRPr="001554F7">
        <w:rPr>
          <w:rFonts w:eastAsia="SimSun"/>
          <w:sz w:val="22"/>
          <w:szCs w:val="22"/>
          <w:lang w:val="en-GB" w:eastAsia="en-GB"/>
        </w:rPr>
        <w:t>AUC</w:t>
      </w:r>
      <w:r w:rsidR="001417DA">
        <w:rPr>
          <w:rStyle w:val="FontStyle22"/>
          <w:sz w:val="22"/>
          <w:szCs w:val="22"/>
        </w:rPr>
        <w:t xml:space="preserve"> στη</w:t>
      </w:r>
      <w:r w:rsidRPr="00A072F5">
        <w:rPr>
          <w:rStyle w:val="FontStyle22"/>
          <w:sz w:val="22"/>
          <w:szCs w:val="22"/>
        </w:rPr>
        <w:t xml:space="preserve"> σταθεροποιημένη κατάσταση αυξήθηκε κατά</w:t>
      </w:r>
      <w:r w:rsidR="001417DA">
        <w:rPr>
          <w:rStyle w:val="FontStyle22"/>
          <w:sz w:val="22"/>
          <w:szCs w:val="22"/>
        </w:rPr>
        <w:t xml:space="preserve"> περίπου 35% στους </w:t>
      </w:r>
      <w:r w:rsidR="00FC74C3">
        <w:rPr>
          <w:rStyle w:val="FontStyle22"/>
          <w:sz w:val="22"/>
          <w:szCs w:val="22"/>
        </w:rPr>
        <w:t xml:space="preserve">ηλικιωμένους </w:t>
      </w:r>
      <w:r w:rsidR="001417DA">
        <w:rPr>
          <w:rStyle w:val="FontStyle22"/>
          <w:sz w:val="22"/>
          <w:szCs w:val="22"/>
        </w:rPr>
        <w:t>(ηλικίας 65 - 75 ετών</w:t>
      </w:r>
      <w:r w:rsidRPr="00A072F5">
        <w:rPr>
          <w:rStyle w:val="FontStyle22"/>
          <w:sz w:val="22"/>
          <w:szCs w:val="22"/>
        </w:rPr>
        <w:t>) και κατά περίπου 44% στους π</w:t>
      </w:r>
      <w:r w:rsidR="001417DA">
        <w:rPr>
          <w:rStyle w:val="FontStyle22"/>
          <w:sz w:val="22"/>
          <w:szCs w:val="22"/>
        </w:rPr>
        <w:t>ολύ ηλικιωμένους (ηλικίας ≥</w:t>
      </w:r>
      <w:r w:rsidRPr="00A072F5">
        <w:rPr>
          <w:rStyle w:val="FontStyle22"/>
          <w:sz w:val="22"/>
          <w:szCs w:val="22"/>
        </w:rPr>
        <w:t xml:space="preserve"> 75 ε</w:t>
      </w:r>
      <w:r w:rsidR="001417DA">
        <w:rPr>
          <w:rStyle w:val="FontStyle22"/>
          <w:sz w:val="22"/>
          <w:szCs w:val="22"/>
        </w:rPr>
        <w:t>τών) συγκριτικά με την ομάδα νεότε</w:t>
      </w:r>
      <w:r w:rsidRPr="00A072F5">
        <w:rPr>
          <w:rStyle w:val="FontStyle22"/>
          <w:sz w:val="22"/>
          <w:szCs w:val="22"/>
        </w:rPr>
        <w:t>ρων ασθενών. Αυτό μπορ</w:t>
      </w:r>
      <w:r w:rsidR="001417DA">
        <w:rPr>
          <w:rStyle w:val="FontStyle22"/>
          <w:sz w:val="22"/>
          <w:szCs w:val="22"/>
        </w:rPr>
        <w:t>εί να σχετίζεται εν μέρει με τη</w:t>
      </w:r>
      <w:r w:rsidRPr="00A072F5">
        <w:rPr>
          <w:rStyle w:val="FontStyle22"/>
          <w:sz w:val="22"/>
          <w:szCs w:val="22"/>
        </w:rPr>
        <w:t xml:space="preserve"> μέση μείωση της νεφρικής λειτουργίας σε αυτή την ομάδα ασθενών.</w:t>
      </w:r>
    </w:p>
    <w:p w:rsidR="001554F7" w:rsidRDefault="001554F7" w:rsidP="00176403">
      <w:pPr>
        <w:pStyle w:val="Style13"/>
        <w:widowControl/>
        <w:rPr>
          <w:rStyle w:val="FontStyle19"/>
          <w:sz w:val="22"/>
          <w:szCs w:val="22"/>
        </w:rPr>
      </w:pPr>
    </w:p>
    <w:p w:rsidR="005D5E57" w:rsidRPr="00A072F5" w:rsidRDefault="005D5E57" w:rsidP="001554F7">
      <w:pPr>
        <w:pStyle w:val="Style13"/>
        <w:widowControl/>
        <w:rPr>
          <w:rStyle w:val="FontStyle19"/>
          <w:sz w:val="22"/>
          <w:szCs w:val="22"/>
        </w:rPr>
      </w:pPr>
      <w:r w:rsidRPr="00A072F5">
        <w:rPr>
          <w:rStyle w:val="FontStyle19"/>
          <w:sz w:val="22"/>
          <w:szCs w:val="22"/>
        </w:rPr>
        <w:t xml:space="preserve">Νεφρική </w:t>
      </w:r>
      <w:r w:rsidR="001417DA">
        <w:rPr>
          <w:rStyle w:val="FontStyle19"/>
          <w:sz w:val="22"/>
          <w:szCs w:val="22"/>
        </w:rPr>
        <w:t>δυσλειτουργία</w:t>
      </w:r>
      <w:r w:rsidRPr="00A072F5">
        <w:rPr>
          <w:rStyle w:val="FontStyle19"/>
          <w:sz w:val="22"/>
          <w:szCs w:val="22"/>
        </w:rPr>
        <w:t>:</w:t>
      </w: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 xml:space="preserve">Σε ασθενείς με νεφρική </w:t>
      </w:r>
      <w:r w:rsidR="001417DA" w:rsidRPr="001417DA">
        <w:rPr>
          <w:rStyle w:val="FontStyle19"/>
          <w:i w:val="0"/>
          <w:sz w:val="22"/>
          <w:szCs w:val="22"/>
        </w:rPr>
        <w:t>δυσλειτουργία</w:t>
      </w:r>
      <w:r w:rsidRPr="00A072F5">
        <w:rPr>
          <w:rStyle w:val="FontStyle22"/>
          <w:sz w:val="22"/>
          <w:szCs w:val="22"/>
        </w:rPr>
        <w:t>, η</w:t>
      </w:r>
      <w:r w:rsidRPr="0038404B">
        <w:rPr>
          <w:rStyle w:val="FontStyle22"/>
          <w:sz w:val="22"/>
          <w:szCs w:val="22"/>
        </w:rPr>
        <w:t xml:space="preserve"> </w:t>
      </w:r>
      <w:r w:rsidRPr="00A072F5">
        <w:rPr>
          <w:rStyle w:val="FontStyle22"/>
          <w:sz w:val="22"/>
          <w:szCs w:val="22"/>
          <w:lang w:val="en-US"/>
        </w:rPr>
        <w:t>AUC</w:t>
      </w:r>
      <w:r w:rsidRPr="00A072F5">
        <w:rPr>
          <w:rStyle w:val="FontStyle22"/>
          <w:sz w:val="22"/>
          <w:szCs w:val="22"/>
        </w:rPr>
        <w:t xml:space="preserve"> στη σταθεροποιημένη κατάσταση αυξήθηκε κατά 62%, 82% και 179% σε ήπια, μέτρια και σοβαρή νεφρική </w:t>
      </w:r>
      <w:r w:rsidR="001417DA" w:rsidRPr="001417DA">
        <w:rPr>
          <w:rStyle w:val="FontStyle19"/>
          <w:i w:val="0"/>
          <w:sz w:val="22"/>
          <w:szCs w:val="22"/>
        </w:rPr>
        <w:t>δυσλειτουργία</w:t>
      </w:r>
      <w:r w:rsidR="001417DA" w:rsidRPr="00A072F5">
        <w:rPr>
          <w:rStyle w:val="FontStyle22"/>
          <w:sz w:val="22"/>
          <w:szCs w:val="22"/>
        </w:rPr>
        <w:t xml:space="preserve"> </w:t>
      </w:r>
      <w:r w:rsidRPr="00A072F5">
        <w:rPr>
          <w:rStyle w:val="FontStyle22"/>
          <w:sz w:val="22"/>
          <w:szCs w:val="22"/>
        </w:rPr>
        <w:t>αντίστοιχα, σε σύγκριση με υγιή</w:t>
      </w:r>
      <w:r w:rsidR="001417DA">
        <w:rPr>
          <w:rStyle w:val="FontStyle22"/>
          <w:sz w:val="22"/>
          <w:szCs w:val="22"/>
        </w:rPr>
        <w:t xml:space="preserve"> άτομα της ομάδας ελέγχου (βλ.</w:t>
      </w:r>
      <w:r w:rsidRPr="00A072F5">
        <w:rPr>
          <w:rStyle w:val="FontStyle22"/>
          <w:sz w:val="22"/>
          <w:szCs w:val="22"/>
        </w:rPr>
        <w:t xml:space="preserve"> </w:t>
      </w:r>
      <w:r w:rsidR="001417DA">
        <w:rPr>
          <w:rStyle w:val="FontStyle22"/>
          <w:sz w:val="22"/>
          <w:szCs w:val="22"/>
        </w:rPr>
        <w:t xml:space="preserve">παραγράφους </w:t>
      </w:r>
      <w:r w:rsidRPr="00A072F5">
        <w:rPr>
          <w:rStyle w:val="FontStyle22"/>
          <w:sz w:val="22"/>
          <w:szCs w:val="22"/>
        </w:rPr>
        <w:t>4.2. και 4.4).</w:t>
      </w:r>
    </w:p>
    <w:p w:rsidR="005D5E57" w:rsidRPr="00A072F5" w:rsidRDefault="005D5E57" w:rsidP="001554F7">
      <w:pPr>
        <w:pStyle w:val="Style13"/>
        <w:widowControl/>
        <w:rPr>
          <w:sz w:val="22"/>
          <w:szCs w:val="22"/>
        </w:rPr>
      </w:pPr>
    </w:p>
    <w:p w:rsidR="005D5E57" w:rsidRPr="00A072F5" w:rsidRDefault="005D5E57" w:rsidP="001554F7">
      <w:pPr>
        <w:pStyle w:val="Style13"/>
        <w:widowControl/>
        <w:rPr>
          <w:rStyle w:val="FontStyle19"/>
          <w:sz w:val="22"/>
          <w:szCs w:val="22"/>
        </w:rPr>
      </w:pPr>
      <w:r w:rsidRPr="00A072F5">
        <w:rPr>
          <w:rStyle w:val="FontStyle19"/>
          <w:sz w:val="22"/>
          <w:szCs w:val="22"/>
        </w:rPr>
        <w:t xml:space="preserve">Ηπατική </w:t>
      </w:r>
      <w:r w:rsidR="001417DA" w:rsidRPr="001417DA">
        <w:rPr>
          <w:i/>
          <w:iCs/>
          <w:color w:val="000000"/>
          <w:sz w:val="22"/>
          <w:szCs w:val="22"/>
        </w:rPr>
        <w:t>δυσλειτουργία</w:t>
      </w:r>
      <w:r w:rsidRPr="00A072F5">
        <w:rPr>
          <w:rStyle w:val="FontStyle19"/>
          <w:sz w:val="22"/>
          <w:szCs w:val="22"/>
        </w:rPr>
        <w:t>:</w:t>
      </w: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Μετά από εφάπαξ χορήγηση</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από το στόμα, οι τιμές της</w:t>
      </w:r>
      <w:r w:rsidRPr="0038404B">
        <w:rPr>
          <w:rStyle w:val="FontStyle22"/>
          <w:sz w:val="22"/>
          <w:szCs w:val="22"/>
        </w:rPr>
        <w:t xml:space="preserve"> </w:t>
      </w:r>
      <w:r w:rsidRPr="00A072F5">
        <w:rPr>
          <w:rStyle w:val="FontStyle22"/>
          <w:sz w:val="22"/>
          <w:szCs w:val="22"/>
          <w:lang w:val="en-US"/>
        </w:rPr>
        <w:t>AUC</w:t>
      </w:r>
      <w:r w:rsidRPr="00A072F5">
        <w:rPr>
          <w:rStyle w:val="FontStyle22"/>
          <w:sz w:val="22"/>
          <w:szCs w:val="22"/>
        </w:rPr>
        <w:t xml:space="preserve"> ήταν 6% και 65% υψηλότερες σε ασθενείς με ήπια και μέτρια ηπατικ</w:t>
      </w:r>
      <w:r w:rsidR="00626F20">
        <w:rPr>
          <w:rStyle w:val="FontStyle22"/>
          <w:sz w:val="22"/>
          <w:szCs w:val="22"/>
        </w:rPr>
        <w:t xml:space="preserve">ή </w:t>
      </w:r>
      <w:r w:rsidR="001417DA" w:rsidRPr="001417DA">
        <w:rPr>
          <w:rStyle w:val="FontStyle19"/>
          <w:i w:val="0"/>
          <w:sz w:val="22"/>
          <w:szCs w:val="22"/>
        </w:rPr>
        <w:t>δυσλειτουργία</w:t>
      </w:r>
      <w:r w:rsidR="00626F20">
        <w:rPr>
          <w:rStyle w:val="FontStyle22"/>
          <w:sz w:val="22"/>
          <w:szCs w:val="22"/>
        </w:rPr>
        <w:t>, αντίστοιχα, από ό</w:t>
      </w:r>
      <w:r w:rsidRPr="00A072F5">
        <w:rPr>
          <w:rStyle w:val="FontStyle22"/>
          <w:sz w:val="22"/>
          <w:szCs w:val="22"/>
        </w:rPr>
        <w:t xml:space="preserve">τι σε υγιή άτομα της </w:t>
      </w:r>
      <w:r w:rsidR="001417DA">
        <w:rPr>
          <w:rStyle w:val="FontStyle22"/>
          <w:sz w:val="22"/>
          <w:szCs w:val="22"/>
        </w:rPr>
        <w:t xml:space="preserve">αντίστοιχης </w:t>
      </w:r>
      <w:r w:rsidRPr="00A072F5">
        <w:rPr>
          <w:rStyle w:val="FontStyle22"/>
          <w:sz w:val="22"/>
          <w:szCs w:val="22"/>
        </w:rPr>
        <w:t>ομάδας ελέγχου.</w:t>
      </w:r>
      <w:r w:rsidR="001554F7">
        <w:rPr>
          <w:rStyle w:val="FontStyle22"/>
          <w:sz w:val="22"/>
          <w:szCs w:val="22"/>
        </w:rPr>
        <w:t xml:space="preserve"> </w:t>
      </w:r>
      <w:r w:rsidRPr="00A072F5">
        <w:rPr>
          <w:rStyle w:val="FontStyle22"/>
          <w:sz w:val="22"/>
          <w:szCs w:val="22"/>
        </w:rPr>
        <w:t>Το αδέσμευτο κλάσμα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rPr>
        <w:t xml:space="preserve">2 ώρες μετά από τη δόση σε υγιείς εθελοντές, και σε ασθενείς με ήπια και μέτρια ηπατική </w:t>
      </w:r>
      <w:r w:rsidR="001417DA" w:rsidRPr="001417DA">
        <w:rPr>
          <w:rStyle w:val="FontStyle19"/>
          <w:i w:val="0"/>
          <w:sz w:val="22"/>
          <w:szCs w:val="22"/>
        </w:rPr>
        <w:t>δυσλειτουργία</w:t>
      </w:r>
      <w:r w:rsidR="001417DA" w:rsidRPr="00A072F5">
        <w:rPr>
          <w:rStyle w:val="FontStyle22"/>
          <w:sz w:val="22"/>
          <w:szCs w:val="22"/>
        </w:rPr>
        <w:t xml:space="preserve"> </w:t>
      </w:r>
      <w:r w:rsidRPr="00A072F5">
        <w:rPr>
          <w:rStyle w:val="FontStyle22"/>
          <w:sz w:val="22"/>
          <w:szCs w:val="22"/>
        </w:rPr>
        <w:t xml:space="preserve">ήταν 0,26%, 0,34% και 0,41%, αντίστοιχα. Μετά από επαναλαμβανόμενες δόσεις σε ασθενείς με μέτρια ηπατική </w:t>
      </w:r>
      <w:r w:rsidR="001417DA" w:rsidRPr="001417DA">
        <w:rPr>
          <w:rStyle w:val="FontStyle19"/>
          <w:i w:val="0"/>
          <w:sz w:val="22"/>
          <w:szCs w:val="22"/>
        </w:rPr>
        <w:t>δυσλειτουργία</w:t>
      </w:r>
      <w:r w:rsidRPr="00A072F5">
        <w:rPr>
          <w:rStyle w:val="FontStyle22"/>
          <w:sz w:val="22"/>
          <w:szCs w:val="22"/>
        </w:rPr>
        <w:t>, η μέση</w:t>
      </w:r>
      <w:r w:rsidRPr="0038404B">
        <w:rPr>
          <w:rStyle w:val="FontStyle22"/>
          <w:sz w:val="22"/>
          <w:szCs w:val="22"/>
        </w:rPr>
        <w:t xml:space="preserve"> </w:t>
      </w:r>
      <w:r w:rsidRPr="00A072F5">
        <w:rPr>
          <w:rStyle w:val="FontStyle22"/>
          <w:sz w:val="22"/>
          <w:szCs w:val="22"/>
          <w:lang w:val="en-US"/>
        </w:rPr>
        <w:t>AUC</w:t>
      </w:r>
      <w:r w:rsidRPr="00A072F5">
        <w:rPr>
          <w:rStyle w:val="FontStyle22"/>
          <w:sz w:val="22"/>
          <w:szCs w:val="22"/>
        </w:rPr>
        <w:t xml:space="preserve"> 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ήταν π</w:t>
      </w:r>
      <w:r w:rsidR="001417DA">
        <w:rPr>
          <w:rStyle w:val="FontStyle22"/>
          <w:sz w:val="22"/>
          <w:szCs w:val="22"/>
        </w:rPr>
        <w:t>άλι περίπου 65% υψηλότερη από ό</w:t>
      </w:r>
      <w:r w:rsidRPr="00A072F5">
        <w:rPr>
          <w:rStyle w:val="FontStyle22"/>
          <w:sz w:val="22"/>
          <w:szCs w:val="22"/>
        </w:rPr>
        <w:t>τι σε</w:t>
      </w:r>
      <w:r w:rsidR="001417DA">
        <w:rPr>
          <w:rStyle w:val="FontStyle22"/>
          <w:sz w:val="22"/>
          <w:szCs w:val="22"/>
        </w:rPr>
        <w:t xml:space="preserve"> </w:t>
      </w:r>
      <w:r w:rsidR="001417DA">
        <w:rPr>
          <w:rStyle w:val="FontStyle22"/>
          <w:sz w:val="22"/>
          <w:szCs w:val="22"/>
        </w:rPr>
        <w:lastRenderedPageBreak/>
        <w:t>αντίστοιχα</w:t>
      </w:r>
      <w:r w:rsidRPr="00A072F5">
        <w:rPr>
          <w:rStyle w:val="FontStyle22"/>
          <w:sz w:val="22"/>
          <w:szCs w:val="22"/>
        </w:rPr>
        <w:t xml:space="preserve"> υγιή άτομα της ομάδας ελέγχου. Οι μέσες τιμές</w:t>
      </w:r>
      <w:r w:rsidRPr="0038404B">
        <w:rPr>
          <w:rStyle w:val="FontStyle22"/>
          <w:sz w:val="22"/>
          <w:szCs w:val="22"/>
        </w:rPr>
        <w:t xml:space="preserve"> </w:t>
      </w:r>
      <w:r w:rsidRPr="00A072F5">
        <w:rPr>
          <w:rStyle w:val="FontStyle22"/>
          <w:sz w:val="22"/>
          <w:szCs w:val="22"/>
          <w:lang w:val="en-US"/>
        </w:rPr>
        <w:t>C</w:t>
      </w:r>
      <w:r w:rsidRPr="001554F7">
        <w:rPr>
          <w:rStyle w:val="FontStyle18"/>
          <w:sz w:val="22"/>
          <w:szCs w:val="22"/>
          <w:vertAlign w:val="subscript"/>
          <w:lang w:val="en-US"/>
        </w:rPr>
        <w:t>max</w:t>
      </w:r>
      <w:r w:rsidRPr="00A072F5">
        <w:rPr>
          <w:rStyle w:val="FontStyle18"/>
          <w:sz w:val="22"/>
          <w:szCs w:val="22"/>
        </w:rPr>
        <w:t xml:space="preserve"> </w:t>
      </w:r>
      <w:r w:rsidRPr="00A072F5">
        <w:rPr>
          <w:rStyle w:val="FontStyle22"/>
          <w:sz w:val="22"/>
          <w:szCs w:val="22"/>
        </w:rPr>
        <w:t>της</w:t>
      </w:r>
      <w:r w:rsidRPr="0038404B">
        <w:rPr>
          <w:rStyle w:val="FontStyle22"/>
          <w:sz w:val="22"/>
          <w:szCs w:val="22"/>
        </w:rPr>
        <w:t xml:space="preserve"> </w:t>
      </w:r>
      <w:r w:rsidRPr="00A072F5">
        <w:rPr>
          <w:rStyle w:val="FontStyle22"/>
          <w:sz w:val="22"/>
          <w:szCs w:val="22"/>
          <w:lang w:val="en-US"/>
        </w:rPr>
        <w:t>olmesartan</w:t>
      </w:r>
      <w:r w:rsidRPr="00A072F5">
        <w:rPr>
          <w:rStyle w:val="FontStyle22"/>
          <w:sz w:val="22"/>
          <w:szCs w:val="22"/>
        </w:rPr>
        <w:t xml:space="preserve"> ήταν παρόμοιες σε ασθενείς με ηπατική </w:t>
      </w:r>
      <w:r w:rsidR="001417DA" w:rsidRPr="001417DA">
        <w:rPr>
          <w:rStyle w:val="FontStyle19"/>
          <w:i w:val="0"/>
          <w:sz w:val="22"/>
          <w:szCs w:val="22"/>
        </w:rPr>
        <w:t>δυσλειτουργία</w:t>
      </w:r>
      <w:r w:rsidR="001417DA" w:rsidRPr="00A072F5">
        <w:rPr>
          <w:rStyle w:val="FontStyle22"/>
          <w:sz w:val="22"/>
          <w:szCs w:val="22"/>
        </w:rPr>
        <w:t xml:space="preserve"> </w:t>
      </w:r>
      <w:r w:rsidRPr="00A072F5">
        <w:rPr>
          <w:rStyle w:val="FontStyle22"/>
          <w:sz w:val="22"/>
          <w:szCs w:val="22"/>
        </w:rPr>
        <w:t>και σε υγιείς εθελοντές.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δεν έχει αξιολογηθεί σε ασθενείς με σοβαρή ηπατική </w:t>
      </w:r>
      <w:r w:rsidR="001417DA" w:rsidRPr="001417DA">
        <w:rPr>
          <w:rStyle w:val="FontStyle19"/>
          <w:i w:val="0"/>
          <w:sz w:val="22"/>
          <w:szCs w:val="22"/>
        </w:rPr>
        <w:t>δυσλειτουργία</w:t>
      </w:r>
      <w:r w:rsidR="001417DA" w:rsidRPr="00A072F5">
        <w:rPr>
          <w:rStyle w:val="FontStyle22"/>
          <w:sz w:val="22"/>
          <w:szCs w:val="22"/>
        </w:rPr>
        <w:t xml:space="preserve"> </w:t>
      </w:r>
      <w:r w:rsidR="001417DA">
        <w:rPr>
          <w:rStyle w:val="FontStyle22"/>
          <w:sz w:val="22"/>
          <w:szCs w:val="22"/>
        </w:rPr>
        <w:t>(βλ. παραγράφους 4.2 και 4.4</w:t>
      </w:r>
      <w:r w:rsidRPr="00A072F5">
        <w:rPr>
          <w:rStyle w:val="FontStyle22"/>
          <w:sz w:val="22"/>
          <w:szCs w:val="22"/>
        </w:rPr>
        <w:t>)</w:t>
      </w:r>
      <w:r w:rsidR="001417DA">
        <w:rPr>
          <w:rStyle w:val="FontStyle22"/>
          <w:sz w:val="22"/>
          <w:szCs w:val="22"/>
        </w:rPr>
        <w:t>.</w:t>
      </w:r>
    </w:p>
    <w:p w:rsidR="005D5E57" w:rsidRPr="00A072F5" w:rsidRDefault="005D5E57" w:rsidP="001554F7">
      <w:pPr>
        <w:pStyle w:val="Style8"/>
        <w:widowControl/>
        <w:jc w:val="left"/>
        <w:rPr>
          <w:sz w:val="22"/>
          <w:szCs w:val="22"/>
        </w:rPr>
      </w:pPr>
    </w:p>
    <w:p w:rsidR="005D5E57" w:rsidRPr="00A072F5" w:rsidRDefault="000029F2" w:rsidP="001554F7">
      <w:pPr>
        <w:pStyle w:val="Style8"/>
        <w:widowControl/>
        <w:jc w:val="left"/>
        <w:rPr>
          <w:rStyle w:val="FontStyle21"/>
          <w:sz w:val="22"/>
          <w:szCs w:val="22"/>
        </w:rPr>
      </w:pPr>
      <w:r w:rsidRPr="00A072F5">
        <w:rPr>
          <w:rStyle w:val="FontStyle21"/>
          <w:sz w:val="22"/>
          <w:szCs w:val="22"/>
        </w:rPr>
        <w:t>5.3</w:t>
      </w:r>
      <w:r w:rsidRPr="00A072F5">
        <w:rPr>
          <w:rStyle w:val="FontStyle21"/>
          <w:sz w:val="22"/>
          <w:szCs w:val="22"/>
        </w:rPr>
        <w:tab/>
      </w:r>
      <w:r w:rsidR="005D5E57" w:rsidRPr="00A072F5">
        <w:rPr>
          <w:rStyle w:val="FontStyle21"/>
          <w:sz w:val="22"/>
          <w:szCs w:val="22"/>
        </w:rPr>
        <w:t>Προκλινικά δεδομένα για την ασφάλεια</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 xml:space="preserve">Σε μελέτες χρόνιας τοξικότητας σε </w:t>
      </w:r>
      <w:r w:rsidR="001417DA">
        <w:rPr>
          <w:rStyle w:val="FontStyle22"/>
          <w:sz w:val="22"/>
          <w:szCs w:val="22"/>
        </w:rPr>
        <w:t>αρουραίους</w:t>
      </w:r>
      <w:r w:rsidRPr="00A072F5">
        <w:rPr>
          <w:rStyle w:val="FontStyle22"/>
          <w:sz w:val="22"/>
          <w:szCs w:val="22"/>
        </w:rPr>
        <w:t xml:space="preserve"> και σκύλους,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38404B">
        <w:rPr>
          <w:rStyle w:val="FontStyle22"/>
          <w:sz w:val="22"/>
          <w:szCs w:val="22"/>
        </w:rPr>
        <w:t xml:space="preserve"> </w:t>
      </w:r>
      <w:r w:rsidRPr="00A072F5">
        <w:rPr>
          <w:rStyle w:val="FontStyle22"/>
          <w:sz w:val="22"/>
          <w:szCs w:val="22"/>
        </w:rPr>
        <w:t>παρουσίασε παρόμοια αποτελέσματα με άλλους ανταγωνιστές των</w:t>
      </w:r>
      <w:r w:rsidRPr="0038404B">
        <w:rPr>
          <w:rStyle w:val="FontStyle22"/>
          <w:sz w:val="22"/>
          <w:szCs w:val="22"/>
        </w:rPr>
        <w:t xml:space="preserve"> </w:t>
      </w:r>
      <w:r w:rsidRPr="00A072F5">
        <w:rPr>
          <w:rStyle w:val="FontStyle22"/>
          <w:sz w:val="22"/>
          <w:szCs w:val="22"/>
          <w:lang w:val="en-US"/>
        </w:rPr>
        <w:t>AT</w:t>
      </w:r>
      <w:r w:rsidR="001417DA" w:rsidRPr="001417DA">
        <w:rPr>
          <w:rStyle w:val="FontStyle22"/>
          <w:sz w:val="22"/>
          <w:szCs w:val="22"/>
          <w:vertAlign w:val="subscript"/>
        </w:rPr>
        <w:t>1</w:t>
      </w:r>
      <w:r w:rsidRPr="00A072F5">
        <w:rPr>
          <w:rStyle w:val="FontStyle22"/>
          <w:sz w:val="22"/>
          <w:szCs w:val="22"/>
        </w:rPr>
        <w:t xml:space="preserve"> υποδοχέων και με αναστολείς ΜΕΑ: αυξημένη ουρία αίματος</w:t>
      </w:r>
      <w:r w:rsidRPr="0038404B">
        <w:rPr>
          <w:rStyle w:val="FontStyle22"/>
          <w:sz w:val="22"/>
          <w:szCs w:val="22"/>
        </w:rPr>
        <w:t xml:space="preserve"> (</w:t>
      </w:r>
      <w:r w:rsidRPr="00A072F5">
        <w:rPr>
          <w:rStyle w:val="FontStyle22"/>
          <w:sz w:val="22"/>
          <w:szCs w:val="22"/>
          <w:lang w:val="en-US"/>
        </w:rPr>
        <w:t>BUN</w:t>
      </w:r>
      <w:r w:rsidRPr="0038404B">
        <w:rPr>
          <w:rStyle w:val="FontStyle22"/>
          <w:sz w:val="22"/>
          <w:szCs w:val="22"/>
        </w:rPr>
        <w:t>)</w:t>
      </w:r>
      <w:r w:rsidRPr="00A072F5">
        <w:rPr>
          <w:rStyle w:val="FontStyle22"/>
          <w:sz w:val="22"/>
          <w:szCs w:val="22"/>
        </w:rPr>
        <w:t xml:space="preserve"> και κρεατινίνη (μέσω λειτουργικών μεταβολών στους νεφρούς που προκαλούνται από τον αποκλεισμό των</w:t>
      </w:r>
      <w:r w:rsidRPr="0038404B">
        <w:rPr>
          <w:rStyle w:val="FontStyle22"/>
          <w:sz w:val="22"/>
          <w:szCs w:val="22"/>
        </w:rPr>
        <w:t xml:space="preserve"> </w:t>
      </w:r>
      <w:r w:rsidRPr="00A072F5">
        <w:rPr>
          <w:rStyle w:val="FontStyle22"/>
          <w:sz w:val="22"/>
          <w:szCs w:val="22"/>
          <w:lang w:val="en-US"/>
        </w:rPr>
        <w:t>AT</w:t>
      </w:r>
      <w:r w:rsidR="001417DA" w:rsidRPr="00443A99">
        <w:rPr>
          <w:rStyle w:val="FontStyle22"/>
          <w:sz w:val="22"/>
          <w:szCs w:val="22"/>
          <w:vertAlign w:val="subscript"/>
        </w:rPr>
        <w:t>1</w:t>
      </w:r>
      <w:r w:rsidRPr="00A072F5">
        <w:rPr>
          <w:rStyle w:val="FontStyle22"/>
          <w:sz w:val="22"/>
          <w:szCs w:val="22"/>
        </w:rPr>
        <w:t xml:space="preserve"> υποδοχέων), μείωση του βάρους της καρδιάς, μείωση των παραμέτρων των ερυθροκυττάρων (ερυθροκύτταρα, αιμοσφαιρίνη, αιματοκρίτη), ιστολογικές ενδείξεις νεφρικής βλάβης (αναπλαστικές βλάβες του νεφρικού επιθηλίου, πάχυνση της βασικής μεμβράνης, διάταση των σωληναρίων). Αυτές οι ανεπιθύμητες ενέργειες προκαλούμενες από τη φαρμακολογική δράση της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έχουν επίσης εμφανιστεί σε προκλινικές δοκιμές και άλλων ανταγωνιστών των</w:t>
      </w:r>
      <w:r w:rsidRPr="0038404B">
        <w:rPr>
          <w:rStyle w:val="FontStyle22"/>
          <w:sz w:val="22"/>
          <w:szCs w:val="22"/>
        </w:rPr>
        <w:t xml:space="preserve"> </w:t>
      </w:r>
      <w:r w:rsidRPr="00A072F5">
        <w:rPr>
          <w:rStyle w:val="FontStyle22"/>
          <w:sz w:val="22"/>
          <w:szCs w:val="22"/>
          <w:lang w:val="en-US"/>
        </w:rPr>
        <w:t>AT</w:t>
      </w:r>
      <w:r w:rsidR="00443A99" w:rsidRPr="00443A99">
        <w:rPr>
          <w:rStyle w:val="FontStyle22"/>
          <w:sz w:val="22"/>
          <w:szCs w:val="22"/>
          <w:vertAlign w:val="subscript"/>
        </w:rPr>
        <w:t>1</w:t>
      </w:r>
      <w:r w:rsidRPr="00A072F5">
        <w:rPr>
          <w:rStyle w:val="FontStyle22"/>
          <w:sz w:val="22"/>
          <w:szCs w:val="22"/>
        </w:rPr>
        <w:t xml:space="preserve"> υποδοχέων και των αναστολέων ΜΕΑ και μπορούν να ελαττωθούν με την </w:t>
      </w:r>
      <w:r w:rsidR="00443A99">
        <w:rPr>
          <w:rStyle w:val="FontStyle22"/>
          <w:sz w:val="22"/>
          <w:szCs w:val="22"/>
        </w:rPr>
        <w:t>ταυτόχρονη</w:t>
      </w:r>
      <w:r w:rsidRPr="00A072F5">
        <w:rPr>
          <w:rStyle w:val="FontStyle22"/>
          <w:sz w:val="22"/>
          <w:szCs w:val="22"/>
        </w:rPr>
        <w:t xml:space="preserve"> χορήγηση από το στόμα χλωριούχου νατρίου.</w:t>
      </w:r>
    </w:p>
    <w:p w:rsidR="001554F7" w:rsidRDefault="001554F7" w:rsidP="001554F7">
      <w:pPr>
        <w:pStyle w:val="Style4"/>
        <w:widowControl/>
        <w:spacing w:line="240" w:lineRule="auto"/>
        <w:jc w:val="left"/>
        <w:rPr>
          <w:rStyle w:val="FontStyle22"/>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Και στα δύο είδη πειραματόζωων, παρατηρήθηκε αυξημένη δράση της ρενίνης στο πλάσμα και υπερτροφία/υπερπλασία των παρασπειραματικών κυττάρων των νεφρών. Αυτές οι μεταβολές, οι οποίες είναι τυπική επίδραση των φαρμάκων της κατηγορίας των αναστολέων ΜΕΑ και άλλων ανταγωνιστών των</w:t>
      </w:r>
      <w:r w:rsidRPr="0038404B">
        <w:rPr>
          <w:rStyle w:val="FontStyle22"/>
          <w:sz w:val="22"/>
          <w:szCs w:val="22"/>
        </w:rPr>
        <w:t xml:space="preserve"> </w:t>
      </w:r>
      <w:r w:rsidRPr="00A072F5">
        <w:rPr>
          <w:rStyle w:val="FontStyle22"/>
          <w:sz w:val="22"/>
          <w:szCs w:val="22"/>
          <w:lang w:val="en-US"/>
        </w:rPr>
        <w:t>AT</w:t>
      </w:r>
      <w:r w:rsidR="00443A99" w:rsidRPr="00443A99">
        <w:rPr>
          <w:rStyle w:val="FontStyle22"/>
          <w:sz w:val="22"/>
          <w:szCs w:val="22"/>
          <w:vertAlign w:val="subscript"/>
        </w:rPr>
        <w:t>1</w:t>
      </w:r>
      <w:r w:rsidRPr="00A072F5">
        <w:rPr>
          <w:rStyle w:val="FontStyle22"/>
          <w:sz w:val="22"/>
          <w:szCs w:val="22"/>
        </w:rPr>
        <w:t xml:space="preserve"> υποδοχέων, φαίνεται ότι δεν έχουν κλινική σημασία.</w:t>
      </w:r>
    </w:p>
    <w:p w:rsidR="005D5E57" w:rsidRPr="00A072F5" w:rsidRDefault="005D5E57" w:rsidP="001554F7">
      <w:pPr>
        <w:pStyle w:val="Style4"/>
        <w:widowControl/>
        <w:spacing w:line="240" w:lineRule="auto"/>
        <w:jc w:val="left"/>
        <w:rPr>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Όπως και άλλοι</w:t>
      </w:r>
      <w:r w:rsidRPr="0038404B">
        <w:rPr>
          <w:rStyle w:val="FontStyle22"/>
          <w:sz w:val="22"/>
          <w:szCs w:val="22"/>
        </w:rPr>
        <w:t xml:space="preserve"> </w:t>
      </w:r>
      <w:r w:rsidRPr="00A072F5">
        <w:rPr>
          <w:rStyle w:val="FontStyle22"/>
          <w:sz w:val="22"/>
          <w:szCs w:val="22"/>
          <w:lang w:val="en-US"/>
        </w:rPr>
        <w:t>AT</w:t>
      </w:r>
      <w:r w:rsidR="00443A99" w:rsidRPr="00443A99">
        <w:rPr>
          <w:rStyle w:val="FontStyle22"/>
          <w:sz w:val="22"/>
          <w:szCs w:val="22"/>
          <w:vertAlign w:val="subscript"/>
        </w:rPr>
        <w:t>1</w:t>
      </w:r>
      <w:r w:rsidRPr="00A072F5">
        <w:rPr>
          <w:rStyle w:val="FontStyle22"/>
          <w:sz w:val="22"/>
          <w:szCs w:val="22"/>
        </w:rPr>
        <w:t xml:space="preserve"> ανταγωνιστές υποδοχέων,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βρέθηκε να αυξάνει την συχνότητα θραύσης των χρωμοσωμάτων σε κυτταρικές καλλιέργειες</w:t>
      </w:r>
      <w:r w:rsidRPr="0038404B">
        <w:rPr>
          <w:rStyle w:val="FontStyle22"/>
          <w:sz w:val="22"/>
          <w:szCs w:val="22"/>
        </w:rPr>
        <w:t xml:space="preserve"> </w:t>
      </w:r>
      <w:r w:rsidRPr="00A072F5">
        <w:rPr>
          <w:rStyle w:val="FontStyle19"/>
          <w:sz w:val="22"/>
          <w:szCs w:val="22"/>
          <w:lang w:val="en-US"/>
        </w:rPr>
        <w:t>in</w:t>
      </w:r>
      <w:r w:rsidRPr="0038404B">
        <w:rPr>
          <w:rStyle w:val="FontStyle19"/>
          <w:sz w:val="22"/>
          <w:szCs w:val="22"/>
        </w:rPr>
        <w:t xml:space="preserve"> </w:t>
      </w:r>
      <w:r w:rsidRPr="00A072F5">
        <w:rPr>
          <w:rStyle w:val="FontStyle19"/>
          <w:sz w:val="22"/>
          <w:szCs w:val="22"/>
          <w:lang w:val="en-US"/>
        </w:rPr>
        <w:t>vitro</w:t>
      </w:r>
      <w:r w:rsidRPr="0038404B">
        <w:rPr>
          <w:rStyle w:val="FontStyle19"/>
          <w:sz w:val="22"/>
          <w:szCs w:val="22"/>
        </w:rPr>
        <w:t>.</w:t>
      </w:r>
      <w:r w:rsidRPr="00A072F5">
        <w:rPr>
          <w:rStyle w:val="FontStyle19"/>
          <w:sz w:val="22"/>
          <w:szCs w:val="22"/>
        </w:rPr>
        <w:t xml:space="preserve"> </w:t>
      </w:r>
      <w:r w:rsidRPr="00A072F5">
        <w:rPr>
          <w:rStyle w:val="FontStyle22"/>
          <w:sz w:val="22"/>
          <w:szCs w:val="22"/>
        </w:rPr>
        <w:t>Δεν παρατηρήθηκαν σχετικά αποτελέσματα σε μερικές</w:t>
      </w:r>
      <w:r w:rsidRPr="0038404B">
        <w:rPr>
          <w:rStyle w:val="FontStyle22"/>
          <w:sz w:val="22"/>
          <w:szCs w:val="22"/>
        </w:rPr>
        <w:t xml:space="preserve"> </w:t>
      </w:r>
      <w:r w:rsidRPr="00A072F5">
        <w:rPr>
          <w:rStyle w:val="FontStyle19"/>
          <w:sz w:val="22"/>
          <w:szCs w:val="22"/>
          <w:lang w:val="en-US"/>
        </w:rPr>
        <w:t>in</w:t>
      </w:r>
      <w:r w:rsidRPr="0038404B">
        <w:rPr>
          <w:rStyle w:val="FontStyle19"/>
          <w:sz w:val="22"/>
          <w:szCs w:val="22"/>
        </w:rPr>
        <w:t xml:space="preserve"> </w:t>
      </w:r>
      <w:r w:rsidRPr="00A072F5">
        <w:rPr>
          <w:rStyle w:val="FontStyle19"/>
          <w:sz w:val="22"/>
          <w:szCs w:val="22"/>
          <w:lang w:val="en-US"/>
        </w:rPr>
        <w:t>vivo</w:t>
      </w:r>
      <w:r w:rsidRPr="00A072F5">
        <w:rPr>
          <w:rStyle w:val="FontStyle19"/>
          <w:sz w:val="22"/>
          <w:szCs w:val="22"/>
        </w:rPr>
        <w:t xml:space="preserve"> </w:t>
      </w:r>
      <w:r w:rsidRPr="00A072F5">
        <w:rPr>
          <w:rStyle w:val="FontStyle22"/>
          <w:sz w:val="22"/>
          <w:szCs w:val="22"/>
        </w:rPr>
        <w:t>μελέτες με τη χορήγηση από του στόματος</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σε </w:t>
      </w:r>
      <w:r w:rsidR="00443A99">
        <w:rPr>
          <w:rStyle w:val="FontStyle22"/>
          <w:sz w:val="22"/>
          <w:szCs w:val="22"/>
        </w:rPr>
        <w:t>πολύ υψηλές</w:t>
      </w:r>
      <w:r w:rsidRPr="00A072F5">
        <w:rPr>
          <w:rStyle w:val="FontStyle22"/>
          <w:sz w:val="22"/>
          <w:szCs w:val="22"/>
        </w:rPr>
        <w:t xml:space="preserve"> δόσεις μέχρι 2000</w:t>
      </w:r>
      <w:r w:rsidRPr="0038404B">
        <w:rPr>
          <w:rStyle w:val="FontStyle22"/>
          <w:sz w:val="22"/>
          <w:szCs w:val="22"/>
        </w:rPr>
        <w:t xml:space="preserve"> </w:t>
      </w:r>
      <w:r w:rsidRPr="00A072F5">
        <w:rPr>
          <w:rStyle w:val="FontStyle22"/>
          <w:sz w:val="22"/>
          <w:szCs w:val="22"/>
          <w:lang w:val="en-US"/>
        </w:rPr>
        <w:t>mg</w:t>
      </w:r>
      <w:r w:rsidRPr="0038404B">
        <w:rPr>
          <w:rStyle w:val="FontStyle22"/>
          <w:sz w:val="22"/>
          <w:szCs w:val="22"/>
        </w:rPr>
        <w:t>/</w:t>
      </w:r>
      <w:r w:rsidRPr="00A072F5">
        <w:rPr>
          <w:rStyle w:val="FontStyle22"/>
          <w:sz w:val="22"/>
          <w:szCs w:val="22"/>
          <w:lang w:val="en-US"/>
        </w:rPr>
        <w:t>kg</w:t>
      </w:r>
      <w:r w:rsidRPr="0038404B">
        <w:rPr>
          <w:rStyle w:val="FontStyle22"/>
          <w:sz w:val="22"/>
          <w:szCs w:val="22"/>
        </w:rPr>
        <w:t>.</w:t>
      </w:r>
      <w:r w:rsidRPr="00A072F5">
        <w:rPr>
          <w:rStyle w:val="FontStyle22"/>
          <w:sz w:val="22"/>
          <w:szCs w:val="22"/>
        </w:rPr>
        <w:t xml:space="preserve"> Τα συνολικά αποτελέσματα</w:t>
      </w:r>
      <w:r w:rsidR="00443A99">
        <w:rPr>
          <w:rStyle w:val="FontStyle22"/>
          <w:sz w:val="22"/>
          <w:szCs w:val="22"/>
        </w:rPr>
        <w:t xml:space="preserve"> εμπεριστατωμένων δοκιμών γον</w:t>
      </w:r>
      <w:r w:rsidRPr="00A072F5">
        <w:rPr>
          <w:rStyle w:val="FontStyle22"/>
          <w:sz w:val="22"/>
          <w:szCs w:val="22"/>
        </w:rPr>
        <w:t xml:space="preserve">οτοξικότητας υποδηλώνουν ότι η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rPr>
        <w:t>είναι</w:t>
      </w:r>
      <w:r w:rsidR="00443A99">
        <w:rPr>
          <w:rStyle w:val="FontStyle22"/>
          <w:sz w:val="22"/>
          <w:szCs w:val="22"/>
        </w:rPr>
        <w:t xml:space="preserve"> πολύ απίθανο να προκαλεί γον</w:t>
      </w:r>
      <w:r w:rsidRPr="00A072F5">
        <w:rPr>
          <w:rStyle w:val="FontStyle22"/>
          <w:sz w:val="22"/>
          <w:szCs w:val="22"/>
        </w:rPr>
        <w:t>οτοξικές αντιδράσεις σε συνθήκες κλινικής χρήσης.</w:t>
      </w:r>
    </w:p>
    <w:p w:rsidR="001554F7" w:rsidRDefault="001554F7" w:rsidP="001554F7">
      <w:pPr>
        <w:pStyle w:val="Style11"/>
        <w:widowControl/>
        <w:spacing w:line="240" w:lineRule="auto"/>
        <w:rPr>
          <w:rStyle w:val="FontStyle22"/>
          <w:sz w:val="22"/>
          <w:szCs w:val="22"/>
        </w:rPr>
      </w:pPr>
    </w:p>
    <w:p w:rsidR="005D5E57" w:rsidRPr="00A072F5" w:rsidRDefault="005D5E57" w:rsidP="001554F7">
      <w:pPr>
        <w:pStyle w:val="Style11"/>
        <w:widowControl/>
        <w:spacing w:line="240" w:lineRule="auto"/>
        <w:rPr>
          <w:rStyle w:val="FontStyle22"/>
          <w:sz w:val="22"/>
          <w:szCs w:val="22"/>
        </w:rPr>
      </w:pPr>
      <w:r w:rsidRPr="00A072F5">
        <w:rPr>
          <w:rStyle w:val="FontStyle22"/>
          <w:sz w:val="22"/>
          <w:szCs w:val="22"/>
        </w:rPr>
        <w:t>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00443A99">
        <w:rPr>
          <w:rStyle w:val="FontStyle22"/>
          <w:sz w:val="22"/>
          <w:szCs w:val="22"/>
        </w:rPr>
        <w:t xml:space="preserve"> δεν ήταν καρκινογόνος</w:t>
      </w:r>
      <w:r w:rsidRPr="00A072F5">
        <w:rPr>
          <w:rStyle w:val="FontStyle22"/>
          <w:sz w:val="22"/>
          <w:szCs w:val="22"/>
        </w:rPr>
        <w:t>,</w:t>
      </w:r>
      <w:r w:rsidR="00443A99">
        <w:rPr>
          <w:rStyle w:val="FontStyle22"/>
          <w:sz w:val="22"/>
          <w:szCs w:val="22"/>
        </w:rPr>
        <w:t xml:space="preserve"> </w:t>
      </w:r>
      <w:r w:rsidRPr="00A072F5">
        <w:rPr>
          <w:rStyle w:val="FontStyle22"/>
          <w:sz w:val="22"/>
          <w:szCs w:val="22"/>
        </w:rPr>
        <w:t xml:space="preserve">ούτε στους </w:t>
      </w:r>
      <w:r w:rsidR="00443A99">
        <w:rPr>
          <w:rStyle w:val="FontStyle22"/>
          <w:sz w:val="22"/>
          <w:szCs w:val="22"/>
        </w:rPr>
        <w:t>αρουραίους</w:t>
      </w:r>
      <w:r w:rsidRPr="00A072F5">
        <w:rPr>
          <w:rStyle w:val="FontStyle22"/>
          <w:sz w:val="22"/>
          <w:szCs w:val="22"/>
        </w:rPr>
        <w:t xml:space="preserve"> μετά από μελέτες 2 ετών, ούτε στους </w:t>
      </w:r>
      <w:r w:rsidR="00443A99">
        <w:rPr>
          <w:rStyle w:val="FontStyle22"/>
          <w:sz w:val="22"/>
          <w:szCs w:val="22"/>
        </w:rPr>
        <w:t>ποντικούς</w:t>
      </w:r>
      <w:r w:rsidRPr="00A072F5">
        <w:rPr>
          <w:rStyle w:val="FontStyle22"/>
          <w:sz w:val="22"/>
          <w:szCs w:val="22"/>
        </w:rPr>
        <w:t xml:space="preserve"> μετά από μελέτες καρκινογένεσης 6 μηνών χρησιμοποιώντας διαγονιδιακά μοντέλα.</w:t>
      </w:r>
    </w:p>
    <w:p w:rsidR="000029F2" w:rsidRPr="00A072F5" w:rsidRDefault="000029F2" w:rsidP="001554F7">
      <w:pPr>
        <w:pStyle w:val="Style4"/>
        <w:widowControl/>
        <w:spacing w:line="240" w:lineRule="auto"/>
        <w:jc w:val="left"/>
        <w:rPr>
          <w:rStyle w:val="FontStyle22"/>
          <w:sz w:val="22"/>
          <w:szCs w:val="22"/>
        </w:rPr>
      </w:pPr>
    </w:p>
    <w:p w:rsidR="005D5E57" w:rsidRPr="00A072F5" w:rsidRDefault="005D5E57" w:rsidP="001554F7">
      <w:pPr>
        <w:pStyle w:val="Style4"/>
        <w:widowControl/>
        <w:spacing w:line="240" w:lineRule="auto"/>
        <w:jc w:val="left"/>
        <w:rPr>
          <w:rStyle w:val="FontStyle22"/>
          <w:sz w:val="22"/>
          <w:szCs w:val="22"/>
        </w:rPr>
      </w:pPr>
      <w:r w:rsidRPr="00A072F5">
        <w:rPr>
          <w:rStyle w:val="FontStyle22"/>
          <w:sz w:val="22"/>
          <w:szCs w:val="22"/>
        </w:rPr>
        <w:t xml:space="preserve">Σε μελέτες αναπαραγωγικής ικανότητας σε </w:t>
      </w:r>
      <w:r w:rsidR="00443A99">
        <w:rPr>
          <w:rStyle w:val="FontStyle22"/>
          <w:sz w:val="22"/>
          <w:szCs w:val="22"/>
        </w:rPr>
        <w:t>αρουραίους</w:t>
      </w:r>
      <w:r w:rsidRPr="00A072F5">
        <w:rPr>
          <w:rStyle w:val="FontStyle22"/>
          <w:sz w:val="22"/>
          <w:szCs w:val="22"/>
        </w:rPr>
        <w:t>,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δεν επηρέασε τη γονιμότητα και δεν υπήρχαν ενδείξεις τερατογόνου επίδρασης. Όπως και με άλλους ανταγωνιστές </w:t>
      </w:r>
      <w:r w:rsidR="00443A99">
        <w:rPr>
          <w:rStyle w:val="FontStyle22"/>
          <w:sz w:val="22"/>
          <w:szCs w:val="22"/>
        </w:rPr>
        <w:t xml:space="preserve">των υποδοχέων </w:t>
      </w:r>
      <w:r w:rsidRPr="00A072F5">
        <w:rPr>
          <w:rStyle w:val="FontStyle22"/>
          <w:sz w:val="22"/>
          <w:szCs w:val="22"/>
        </w:rPr>
        <w:t xml:space="preserve">της αγγειοτασίνης II, η επιβίωση των </w:t>
      </w:r>
      <w:r w:rsidR="00B4239B">
        <w:rPr>
          <w:rStyle w:val="FontStyle22"/>
          <w:sz w:val="22"/>
          <w:szCs w:val="22"/>
        </w:rPr>
        <w:t>απογόνων</w:t>
      </w:r>
      <w:r w:rsidR="00B4239B" w:rsidRPr="00A072F5">
        <w:rPr>
          <w:rStyle w:val="FontStyle22"/>
          <w:sz w:val="22"/>
          <w:szCs w:val="22"/>
        </w:rPr>
        <w:t xml:space="preserve"> </w:t>
      </w:r>
      <w:r w:rsidRPr="00A072F5">
        <w:rPr>
          <w:rStyle w:val="FontStyle22"/>
          <w:sz w:val="22"/>
          <w:szCs w:val="22"/>
        </w:rPr>
        <w:t>μειώθηκε μετά την έκθεση στην</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και παρατηρήθηκε μετά την έκθεση των μητέρων στο τελευταίο στάδιο της εγκυμοσύνης και στη γαλουχία, διάταση της νεφρικής πυέλου. Όπως και άλλοι αντιυπερτασικοί παράγοντες, η</w:t>
      </w:r>
      <w:r w:rsidRPr="0038404B">
        <w:rPr>
          <w:rStyle w:val="FontStyle22"/>
          <w:sz w:val="22"/>
          <w:szCs w:val="22"/>
        </w:rPr>
        <w:t xml:space="preserve"> </w:t>
      </w:r>
      <w:r w:rsidRPr="00A072F5">
        <w:rPr>
          <w:rStyle w:val="FontStyle22"/>
          <w:sz w:val="22"/>
          <w:szCs w:val="22"/>
          <w:lang w:val="en-US"/>
        </w:rPr>
        <w:t>olmesartan</w:t>
      </w:r>
      <w:r w:rsidRPr="0038404B">
        <w:rPr>
          <w:rStyle w:val="FontStyle22"/>
          <w:sz w:val="22"/>
          <w:szCs w:val="22"/>
        </w:rPr>
        <w:t xml:space="preserve"> </w:t>
      </w:r>
      <w:r w:rsidRPr="00A072F5">
        <w:rPr>
          <w:rStyle w:val="FontStyle22"/>
          <w:sz w:val="22"/>
          <w:szCs w:val="22"/>
          <w:lang w:val="en-US"/>
        </w:rPr>
        <w:t>medoxomil</w:t>
      </w:r>
      <w:r w:rsidRPr="00A072F5">
        <w:rPr>
          <w:rStyle w:val="FontStyle22"/>
          <w:sz w:val="22"/>
          <w:szCs w:val="22"/>
        </w:rPr>
        <w:t xml:space="preserve"> φαίνεται ότι είναι περισσότερο τοξική </w:t>
      </w:r>
      <w:r w:rsidR="00443A99">
        <w:rPr>
          <w:rStyle w:val="FontStyle22"/>
          <w:sz w:val="22"/>
          <w:szCs w:val="22"/>
        </w:rPr>
        <w:t>σε κυοφορούντα κουνέλια από ό</w:t>
      </w:r>
      <w:r w:rsidRPr="00A072F5">
        <w:rPr>
          <w:rStyle w:val="FontStyle22"/>
          <w:sz w:val="22"/>
          <w:szCs w:val="22"/>
        </w:rPr>
        <w:t xml:space="preserve">τι σε κυοφορούντες </w:t>
      </w:r>
      <w:r w:rsidR="00443A99">
        <w:rPr>
          <w:rStyle w:val="FontStyle22"/>
          <w:sz w:val="22"/>
          <w:szCs w:val="22"/>
        </w:rPr>
        <w:t>αρουραίους</w:t>
      </w:r>
      <w:r w:rsidRPr="00A072F5">
        <w:rPr>
          <w:rStyle w:val="FontStyle22"/>
          <w:sz w:val="22"/>
          <w:szCs w:val="22"/>
        </w:rPr>
        <w:t>, ωστόσο, δεν υπήρξαν ενδείξεις τοξικής επίδρασης στο έμβρυο.</w:t>
      </w:r>
    </w:p>
    <w:p w:rsidR="005D5E57" w:rsidRPr="00A072F5" w:rsidRDefault="005D5E57" w:rsidP="001554F7">
      <w:pPr>
        <w:pStyle w:val="Style8"/>
        <w:widowControl/>
        <w:jc w:val="left"/>
        <w:rPr>
          <w:sz w:val="22"/>
          <w:szCs w:val="22"/>
        </w:rPr>
      </w:pPr>
    </w:p>
    <w:p w:rsidR="005D5E57" w:rsidRPr="00A072F5" w:rsidRDefault="005D5E57" w:rsidP="001554F7">
      <w:pPr>
        <w:pStyle w:val="Style8"/>
        <w:widowControl/>
        <w:jc w:val="left"/>
        <w:rPr>
          <w:sz w:val="22"/>
          <w:szCs w:val="22"/>
        </w:rPr>
      </w:pPr>
    </w:p>
    <w:p w:rsidR="005D5E57" w:rsidRDefault="000029F2" w:rsidP="001554F7">
      <w:pPr>
        <w:pStyle w:val="Style8"/>
        <w:widowControl/>
        <w:jc w:val="left"/>
        <w:rPr>
          <w:rStyle w:val="FontStyle21"/>
          <w:sz w:val="22"/>
          <w:szCs w:val="22"/>
        </w:rPr>
      </w:pPr>
      <w:r w:rsidRPr="00A072F5">
        <w:rPr>
          <w:rStyle w:val="FontStyle21"/>
          <w:sz w:val="22"/>
          <w:szCs w:val="22"/>
        </w:rPr>
        <w:t>6.</w:t>
      </w:r>
      <w:r w:rsidRPr="00A072F5">
        <w:rPr>
          <w:rStyle w:val="FontStyle21"/>
          <w:sz w:val="22"/>
          <w:szCs w:val="22"/>
        </w:rPr>
        <w:tab/>
      </w:r>
      <w:r w:rsidR="005D5E57" w:rsidRPr="00A072F5">
        <w:rPr>
          <w:rStyle w:val="FontStyle21"/>
          <w:sz w:val="22"/>
          <w:szCs w:val="22"/>
        </w:rPr>
        <w:t>ΦΑΡΜΑΚΕΥΤΙΚΕΣ ΠΛΗΡΟΦΟΡΙΕΣ</w:t>
      </w:r>
    </w:p>
    <w:p w:rsidR="001554F7" w:rsidRPr="00A072F5" w:rsidRDefault="001554F7" w:rsidP="001554F7">
      <w:pPr>
        <w:pStyle w:val="Style8"/>
        <w:widowControl/>
        <w:jc w:val="left"/>
        <w:rPr>
          <w:rStyle w:val="FontStyle21"/>
          <w:sz w:val="22"/>
          <w:szCs w:val="22"/>
        </w:rPr>
      </w:pPr>
    </w:p>
    <w:p w:rsidR="005D5E57" w:rsidRPr="00A072F5" w:rsidRDefault="005D5E57" w:rsidP="001554F7">
      <w:pPr>
        <w:pStyle w:val="Style10"/>
        <w:widowControl/>
        <w:numPr>
          <w:ilvl w:val="0"/>
          <w:numId w:val="7"/>
        </w:numPr>
        <w:tabs>
          <w:tab w:val="left" w:pos="715"/>
        </w:tabs>
        <w:rPr>
          <w:rStyle w:val="FontStyle21"/>
          <w:sz w:val="22"/>
          <w:szCs w:val="22"/>
        </w:rPr>
      </w:pPr>
      <w:r w:rsidRPr="00A072F5">
        <w:rPr>
          <w:rStyle w:val="FontStyle21"/>
          <w:sz w:val="22"/>
          <w:szCs w:val="22"/>
        </w:rPr>
        <w:t>Κατάλογος εκδόχων</w:t>
      </w:r>
    </w:p>
    <w:p w:rsidR="005D5E57" w:rsidRPr="00A072F5" w:rsidRDefault="005D5E57" w:rsidP="001554F7">
      <w:pPr>
        <w:pStyle w:val="Style11"/>
        <w:widowControl/>
        <w:spacing w:line="240" w:lineRule="auto"/>
        <w:rPr>
          <w:sz w:val="22"/>
          <w:szCs w:val="22"/>
        </w:rPr>
      </w:pPr>
    </w:p>
    <w:p w:rsidR="001554F7" w:rsidRPr="001554F7" w:rsidRDefault="001554F7" w:rsidP="001554F7">
      <w:pPr>
        <w:tabs>
          <w:tab w:val="left" w:pos="567"/>
        </w:tabs>
        <w:autoSpaceDE/>
        <w:autoSpaceDN/>
        <w:adjustRightInd/>
        <w:contextualSpacing/>
        <w:rPr>
          <w:noProof/>
          <w:sz w:val="22"/>
          <w:szCs w:val="22"/>
          <w:u w:val="single"/>
          <w:lang w:val="en-GB" w:eastAsia="en-US"/>
        </w:rPr>
      </w:pPr>
      <w:r>
        <w:rPr>
          <w:noProof/>
          <w:sz w:val="22"/>
          <w:szCs w:val="22"/>
          <w:u w:val="single"/>
          <w:lang w:val="en-GB" w:eastAsia="en-US"/>
        </w:rPr>
        <w:t>Πυρήνας του δισκίου</w:t>
      </w:r>
      <w:r w:rsidRPr="001554F7">
        <w:rPr>
          <w:noProof/>
          <w:sz w:val="22"/>
          <w:szCs w:val="22"/>
          <w:u w:val="single"/>
          <w:lang w:val="en-GB" w:eastAsia="en-US"/>
        </w:rPr>
        <w:t>:</w:t>
      </w:r>
    </w:p>
    <w:p w:rsidR="001554F7" w:rsidRPr="00443A99" w:rsidRDefault="00443A99" w:rsidP="001554F7">
      <w:pPr>
        <w:tabs>
          <w:tab w:val="left" w:pos="567"/>
        </w:tabs>
        <w:autoSpaceDE/>
        <w:autoSpaceDN/>
        <w:adjustRightInd/>
        <w:contextualSpacing/>
        <w:rPr>
          <w:noProof/>
          <w:sz w:val="22"/>
          <w:szCs w:val="22"/>
          <w:lang w:eastAsia="en-US"/>
        </w:rPr>
      </w:pPr>
      <w:r>
        <w:rPr>
          <w:noProof/>
          <w:sz w:val="22"/>
          <w:szCs w:val="22"/>
          <w:lang w:eastAsia="en-US"/>
        </w:rPr>
        <w:t>Καρμελλόζη νατριούχος διασταυρούμενη</w:t>
      </w:r>
    </w:p>
    <w:p w:rsidR="001554F7" w:rsidRPr="00443A99" w:rsidRDefault="00443A99" w:rsidP="001554F7">
      <w:pPr>
        <w:tabs>
          <w:tab w:val="left" w:pos="567"/>
        </w:tabs>
        <w:autoSpaceDE/>
        <w:autoSpaceDN/>
        <w:adjustRightInd/>
        <w:contextualSpacing/>
        <w:rPr>
          <w:noProof/>
          <w:sz w:val="22"/>
          <w:szCs w:val="22"/>
          <w:lang w:eastAsia="en-US"/>
        </w:rPr>
      </w:pPr>
      <w:r>
        <w:rPr>
          <w:noProof/>
          <w:sz w:val="22"/>
          <w:szCs w:val="22"/>
          <w:lang w:eastAsia="en-US"/>
        </w:rPr>
        <w:t>Μαννιτόλη</w:t>
      </w:r>
    </w:p>
    <w:p w:rsidR="001554F7" w:rsidRPr="001554F7" w:rsidRDefault="001554F7" w:rsidP="001554F7">
      <w:pPr>
        <w:tabs>
          <w:tab w:val="left" w:pos="567"/>
        </w:tabs>
        <w:autoSpaceDE/>
        <w:autoSpaceDN/>
        <w:adjustRightInd/>
        <w:contextualSpacing/>
        <w:rPr>
          <w:noProof/>
          <w:sz w:val="22"/>
          <w:szCs w:val="22"/>
          <w:lang w:eastAsia="en-US"/>
        </w:rPr>
      </w:pPr>
      <w:r>
        <w:rPr>
          <w:noProof/>
          <w:sz w:val="22"/>
          <w:szCs w:val="22"/>
          <w:lang w:eastAsia="en-US"/>
        </w:rPr>
        <w:t>Κυτταρίνη μικροκρυσταλλική</w:t>
      </w:r>
    </w:p>
    <w:p w:rsidR="001554F7" w:rsidRPr="001554F7" w:rsidRDefault="00443A99" w:rsidP="001554F7">
      <w:pPr>
        <w:tabs>
          <w:tab w:val="left" w:pos="567"/>
        </w:tabs>
        <w:autoSpaceDE/>
        <w:autoSpaceDN/>
        <w:adjustRightInd/>
        <w:contextualSpacing/>
        <w:rPr>
          <w:noProof/>
          <w:sz w:val="22"/>
          <w:szCs w:val="22"/>
          <w:lang w:val="en-GB" w:eastAsia="en-US"/>
        </w:rPr>
      </w:pPr>
      <w:r>
        <w:rPr>
          <w:noProof/>
          <w:sz w:val="22"/>
          <w:szCs w:val="22"/>
          <w:lang w:eastAsia="en-US"/>
        </w:rPr>
        <w:t>Υδροξυπροπυλοκυτταρίνη χαμηλής υποκατάστασης</w:t>
      </w:r>
    </w:p>
    <w:p w:rsidR="001554F7" w:rsidRPr="001554F7" w:rsidRDefault="00443A99" w:rsidP="001554F7">
      <w:pPr>
        <w:tabs>
          <w:tab w:val="left" w:pos="567"/>
        </w:tabs>
        <w:autoSpaceDE/>
        <w:autoSpaceDN/>
        <w:adjustRightInd/>
        <w:contextualSpacing/>
        <w:rPr>
          <w:noProof/>
          <w:sz w:val="22"/>
          <w:szCs w:val="22"/>
          <w:lang w:val="en-GB" w:eastAsia="en-US"/>
        </w:rPr>
      </w:pPr>
      <w:r>
        <w:rPr>
          <w:noProof/>
          <w:sz w:val="22"/>
          <w:szCs w:val="22"/>
          <w:lang w:eastAsia="en-US"/>
        </w:rPr>
        <w:t>Πυριτίου οξείδιο, κολλοειδές, άνυδρο</w:t>
      </w:r>
    </w:p>
    <w:p w:rsidR="001554F7" w:rsidRPr="001554F7" w:rsidRDefault="00443A99" w:rsidP="001554F7">
      <w:pPr>
        <w:tabs>
          <w:tab w:val="left" w:pos="567"/>
        </w:tabs>
        <w:autoSpaceDE/>
        <w:autoSpaceDN/>
        <w:adjustRightInd/>
        <w:contextualSpacing/>
        <w:rPr>
          <w:noProof/>
          <w:sz w:val="22"/>
          <w:szCs w:val="22"/>
          <w:lang w:val="en-GB" w:eastAsia="en-US"/>
        </w:rPr>
      </w:pPr>
      <w:r>
        <w:rPr>
          <w:noProof/>
          <w:sz w:val="22"/>
          <w:szCs w:val="22"/>
          <w:lang w:eastAsia="en-US"/>
        </w:rPr>
        <w:lastRenderedPageBreak/>
        <w:t>Μαγνήσιο στεατικό</w:t>
      </w:r>
    </w:p>
    <w:p w:rsidR="001554F7" w:rsidRPr="001554F7" w:rsidRDefault="00443A99" w:rsidP="001554F7">
      <w:pPr>
        <w:tabs>
          <w:tab w:val="left" w:pos="567"/>
        </w:tabs>
        <w:autoSpaceDE/>
        <w:autoSpaceDN/>
        <w:adjustRightInd/>
        <w:contextualSpacing/>
        <w:rPr>
          <w:noProof/>
          <w:sz w:val="22"/>
          <w:szCs w:val="22"/>
          <w:lang w:val="en-GB" w:eastAsia="en-US"/>
        </w:rPr>
      </w:pPr>
      <w:r>
        <w:rPr>
          <w:noProof/>
          <w:sz w:val="22"/>
          <w:szCs w:val="22"/>
          <w:lang w:eastAsia="en-US"/>
        </w:rPr>
        <w:t>Νάτριο λαουρυλοθειικό</w:t>
      </w:r>
    </w:p>
    <w:p w:rsidR="001554F7" w:rsidRPr="001554F7" w:rsidRDefault="001554F7" w:rsidP="001554F7">
      <w:pPr>
        <w:tabs>
          <w:tab w:val="left" w:pos="567"/>
        </w:tabs>
        <w:autoSpaceDE/>
        <w:autoSpaceDN/>
        <w:adjustRightInd/>
        <w:contextualSpacing/>
        <w:rPr>
          <w:noProof/>
          <w:sz w:val="22"/>
          <w:szCs w:val="22"/>
          <w:lang w:val="en-GB" w:eastAsia="en-US"/>
        </w:rPr>
      </w:pPr>
    </w:p>
    <w:p w:rsidR="001554F7" w:rsidRPr="001554F7" w:rsidRDefault="001B06FD" w:rsidP="001554F7">
      <w:pPr>
        <w:tabs>
          <w:tab w:val="left" w:pos="567"/>
        </w:tabs>
        <w:autoSpaceDE/>
        <w:autoSpaceDN/>
        <w:adjustRightInd/>
        <w:contextualSpacing/>
        <w:rPr>
          <w:noProof/>
          <w:sz w:val="22"/>
          <w:szCs w:val="22"/>
          <w:u w:val="single"/>
          <w:lang w:val="en-GB" w:eastAsia="en-US"/>
        </w:rPr>
      </w:pPr>
      <w:r>
        <w:rPr>
          <w:noProof/>
          <w:sz w:val="22"/>
          <w:szCs w:val="22"/>
          <w:u w:val="single"/>
          <w:lang w:eastAsia="en-US"/>
        </w:rPr>
        <w:t>Επικάλυψη του δισκίου</w:t>
      </w:r>
      <w:r w:rsidR="001554F7" w:rsidRPr="001554F7">
        <w:rPr>
          <w:noProof/>
          <w:sz w:val="22"/>
          <w:szCs w:val="22"/>
          <w:u w:val="single"/>
          <w:lang w:val="en-GB" w:eastAsia="en-US"/>
        </w:rPr>
        <w:t>:</w:t>
      </w:r>
    </w:p>
    <w:p w:rsidR="001554F7" w:rsidRPr="001554F7" w:rsidRDefault="001B06FD" w:rsidP="001554F7">
      <w:pPr>
        <w:tabs>
          <w:tab w:val="left" w:pos="567"/>
        </w:tabs>
        <w:autoSpaceDE/>
        <w:autoSpaceDN/>
        <w:adjustRightInd/>
        <w:contextualSpacing/>
        <w:rPr>
          <w:noProof/>
          <w:sz w:val="22"/>
          <w:szCs w:val="22"/>
          <w:lang w:val="de-DE" w:eastAsia="en-US"/>
        </w:rPr>
      </w:pPr>
      <w:r>
        <w:rPr>
          <w:noProof/>
          <w:sz w:val="22"/>
          <w:szCs w:val="22"/>
          <w:lang w:eastAsia="en-US"/>
        </w:rPr>
        <w:t xml:space="preserve">Υπρομελλόζη </w:t>
      </w:r>
      <w:r w:rsidR="001554F7" w:rsidRPr="001554F7">
        <w:rPr>
          <w:noProof/>
          <w:sz w:val="22"/>
          <w:szCs w:val="22"/>
          <w:lang w:val="de-DE" w:eastAsia="en-US"/>
        </w:rPr>
        <w:t>6 cP</w:t>
      </w:r>
    </w:p>
    <w:p w:rsidR="001554F7" w:rsidRPr="001554F7" w:rsidRDefault="001B06FD" w:rsidP="001554F7">
      <w:pPr>
        <w:tabs>
          <w:tab w:val="left" w:pos="567"/>
        </w:tabs>
        <w:autoSpaceDE/>
        <w:autoSpaceDN/>
        <w:adjustRightInd/>
        <w:contextualSpacing/>
        <w:rPr>
          <w:noProof/>
          <w:sz w:val="22"/>
          <w:szCs w:val="22"/>
          <w:lang w:val="de-DE" w:eastAsia="en-US"/>
        </w:rPr>
      </w:pPr>
      <w:r>
        <w:rPr>
          <w:noProof/>
          <w:sz w:val="22"/>
          <w:szCs w:val="22"/>
          <w:lang w:eastAsia="en-US"/>
        </w:rPr>
        <w:t>Τιτανίου διοξείδιο</w:t>
      </w:r>
      <w:r w:rsidR="001554F7" w:rsidRPr="001554F7">
        <w:rPr>
          <w:noProof/>
          <w:sz w:val="22"/>
          <w:szCs w:val="22"/>
          <w:lang w:val="de-DE" w:eastAsia="en-US"/>
        </w:rPr>
        <w:t xml:space="preserve"> (E171)</w:t>
      </w:r>
    </w:p>
    <w:p w:rsidR="001554F7" w:rsidRPr="001554F7" w:rsidRDefault="001B06FD" w:rsidP="001554F7">
      <w:pPr>
        <w:tabs>
          <w:tab w:val="left" w:pos="567"/>
        </w:tabs>
        <w:autoSpaceDE/>
        <w:autoSpaceDN/>
        <w:adjustRightInd/>
        <w:contextualSpacing/>
        <w:rPr>
          <w:noProof/>
          <w:sz w:val="22"/>
          <w:szCs w:val="22"/>
          <w:lang w:val="en-GB" w:eastAsia="en-US"/>
        </w:rPr>
      </w:pPr>
      <w:r>
        <w:rPr>
          <w:noProof/>
          <w:sz w:val="22"/>
          <w:szCs w:val="22"/>
          <w:lang w:eastAsia="en-US"/>
        </w:rPr>
        <w:t xml:space="preserve">Πολυαιθυλενογλυκόλη </w:t>
      </w:r>
      <w:r w:rsidR="001554F7" w:rsidRPr="001554F7">
        <w:rPr>
          <w:noProof/>
          <w:sz w:val="22"/>
          <w:szCs w:val="22"/>
          <w:lang w:val="en-GB" w:eastAsia="en-US"/>
        </w:rPr>
        <w:t>6000</w:t>
      </w:r>
    </w:p>
    <w:p w:rsidR="001554F7" w:rsidRPr="001B06FD" w:rsidRDefault="001B06FD" w:rsidP="001554F7">
      <w:pPr>
        <w:tabs>
          <w:tab w:val="left" w:pos="567"/>
        </w:tabs>
        <w:autoSpaceDE/>
        <w:autoSpaceDN/>
        <w:adjustRightInd/>
        <w:contextualSpacing/>
        <w:rPr>
          <w:noProof/>
          <w:sz w:val="22"/>
          <w:szCs w:val="22"/>
          <w:lang w:eastAsia="en-US"/>
        </w:rPr>
      </w:pPr>
      <w:r>
        <w:rPr>
          <w:noProof/>
          <w:sz w:val="22"/>
          <w:szCs w:val="22"/>
          <w:lang w:eastAsia="en-US"/>
        </w:rPr>
        <w:t>Τάλκης</w:t>
      </w:r>
    </w:p>
    <w:p w:rsidR="000029F2" w:rsidRPr="00A072F5" w:rsidRDefault="000029F2" w:rsidP="001554F7">
      <w:pPr>
        <w:pStyle w:val="Style11"/>
        <w:widowControl/>
        <w:spacing w:line="240" w:lineRule="auto"/>
        <w:rPr>
          <w:rStyle w:val="FontStyle22"/>
          <w:sz w:val="22"/>
          <w:szCs w:val="22"/>
        </w:rPr>
      </w:pPr>
    </w:p>
    <w:p w:rsidR="005D5E57" w:rsidRPr="00A072F5" w:rsidRDefault="005D5E57" w:rsidP="001554F7">
      <w:pPr>
        <w:pStyle w:val="Style10"/>
        <w:widowControl/>
        <w:numPr>
          <w:ilvl w:val="0"/>
          <w:numId w:val="8"/>
        </w:numPr>
        <w:tabs>
          <w:tab w:val="left" w:pos="715"/>
        </w:tabs>
        <w:rPr>
          <w:rStyle w:val="FontStyle21"/>
          <w:sz w:val="22"/>
          <w:szCs w:val="22"/>
        </w:rPr>
      </w:pPr>
      <w:r w:rsidRPr="00A072F5">
        <w:rPr>
          <w:rStyle w:val="FontStyle21"/>
          <w:sz w:val="22"/>
          <w:szCs w:val="22"/>
        </w:rPr>
        <w:t>Ασυμβατότητες</w:t>
      </w:r>
    </w:p>
    <w:p w:rsidR="001554F7" w:rsidRPr="006B4557" w:rsidRDefault="001554F7" w:rsidP="001554F7">
      <w:pPr>
        <w:rPr>
          <w:noProof/>
          <w:szCs w:val="22"/>
        </w:rPr>
      </w:pPr>
    </w:p>
    <w:p w:rsidR="005D5E57" w:rsidRPr="00A072F5" w:rsidRDefault="005D5E57" w:rsidP="001554F7">
      <w:pPr>
        <w:pStyle w:val="Style11"/>
        <w:widowControl/>
        <w:spacing w:line="240" w:lineRule="auto"/>
        <w:rPr>
          <w:rStyle w:val="FontStyle22"/>
          <w:sz w:val="22"/>
          <w:szCs w:val="22"/>
        </w:rPr>
      </w:pPr>
      <w:r w:rsidRPr="00A072F5">
        <w:rPr>
          <w:rStyle w:val="FontStyle22"/>
          <w:sz w:val="22"/>
          <w:szCs w:val="22"/>
        </w:rPr>
        <w:t>Δεν εφαρμόζεται</w:t>
      </w:r>
    </w:p>
    <w:p w:rsidR="000029F2" w:rsidRPr="00A072F5" w:rsidRDefault="000029F2" w:rsidP="001554F7">
      <w:pPr>
        <w:pStyle w:val="Style11"/>
        <w:widowControl/>
        <w:spacing w:line="240" w:lineRule="auto"/>
        <w:rPr>
          <w:rStyle w:val="FontStyle22"/>
          <w:sz w:val="22"/>
          <w:szCs w:val="22"/>
        </w:rPr>
      </w:pPr>
    </w:p>
    <w:p w:rsidR="005D5E57" w:rsidRPr="00A072F5" w:rsidRDefault="005D5E57" w:rsidP="001554F7">
      <w:pPr>
        <w:pStyle w:val="Style10"/>
        <w:widowControl/>
        <w:numPr>
          <w:ilvl w:val="0"/>
          <w:numId w:val="9"/>
        </w:numPr>
        <w:tabs>
          <w:tab w:val="left" w:pos="715"/>
        </w:tabs>
        <w:rPr>
          <w:rStyle w:val="FontStyle21"/>
          <w:sz w:val="22"/>
          <w:szCs w:val="22"/>
        </w:rPr>
      </w:pPr>
      <w:r w:rsidRPr="00A072F5">
        <w:rPr>
          <w:rStyle w:val="FontStyle21"/>
          <w:sz w:val="22"/>
          <w:szCs w:val="22"/>
        </w:rPr>
        <w:t>Διάρκεια ζωής</w:t>
      </w:r>
    </w:p>
    <w:p w:rsidR="001554F7" w:rsidRPr="001554F7" w:rsidRDefault="001554F7" w:rsidP="001554F7">
      <w:pPr>
        <w:tabs>
          <w:tab w:val="left" w:pos="567"/>
        </w:tabs>
        <w:autoSpaceDE/>
        <w:autoSpaceDN/>
        <w:adjustRightInd/>
        <w:contextualSpacing/>
        <w:rPr>
          <w:noProof/>
          <w:sz w:val="22"/>
          <w:szCs w:val="22"/>
          <w:lang w:val="en-GB" w:eastAsia="en-US"/>
        </w:rPr>
      </w:pPr>
    </w:p>
    <w:p w:rsidR="001554F7" w:rsidRPr="001554F7" w:rsidRDefault="001554F7" w:rsidP="001554F7">
      <w:pPr>
        <w:tabs>
          <w:tab w:val="left" w:pos="567"/>
        </w:tabs>
        <w:autoSpaceDE/>
        <w:autoSpaceDN/>
        <w:adjustRightInd/>
        <w:contextualSpacing/>
        <w:rPr>
          <w:noProof/>
          <w:sz w:val="22"/>
          <w:szCs w:val="22"/>
          <w:lang w:val="en-GB" w:eastAsia="en-US"/>
        </w:rPr>
      </w:pPr>
      <w:r w:rsidRPr="001554F7">
        <w:rPr>
          <w:noProof/>
          <w:sz w:val="22"/>
          <w:szCs w:val="22"/>
          <w:lang w:val="en-GB" w:eastAsia="en-US"/>
        </w:rPr>
        <w:t xml:space="preserve">10 mg: 18 </w:t>
      </w:r>
      <w:r w:rsidR="00626F20">
        <w:rPr>
          <w:noProof/>
          <w:sz w:val="22"/>
          <w:szCs w:val="22"/>
          <w:lang w:eastAsia="en-US"/>
        </w:rPr>
        <w:t>μήνες</w:t>
      </w:r>
      <w:r w:rsidRPr="001554F7">
        <w:rPr>
          <w:noProof/>
          <w:sz w:val="22"/>
          <w:szCs w:val="22"/>
          <w:lang w:val="en-GB" w:eastAsia="en-US"/>
        </w:rPr>
        <w:t>.</w:t>
      </w:r>
    </w:p>
    <w:p w:rsidR="001554F7" w:rsidRPr="001554F7" w:rsidRDefault="001554F7" w:rsidP="001554F7">
      <w:pPr>
        <w:tabs>
          <w:tab w:val="left" w:pos="567"/>
        </w:tabs>
        <w:autoSpaceDE/>
        <w:autoSpaceDN/>
        <w:adjustRightInd/>
        <w:contextualSpacing/>
        <w:rPr>
          <w:noProof/>
          <w:sz w:val="22"/>
          <w:szCs w:val="22"/>
          <w:lang w:val="en-GB" w:eastAsia="en-US"/>
        </w:rPr>
      </w:pPr>
      <w:r w:rsidRPr="001554F7">
        <w:rPr>
          <w:noProof/>
          <w:sz w:val="22"/>
          <w:szCs w:val="22"/>
          <w:lang w:val="en-GB" w:eastAsia="en-US"/>
        </w:rPr>
        <w:t xml:space="preserve">20 </w:t>
      </w:r>
      <w:r w:rsidR="00626F20">
        <w:rPr>
          <w:noProof/>
          <w:sz w:val="22"/>
          <w:szCs w:val="22"/>
          <w:lang w:eastAsia="en-US"/>
        </w:rPr>
        <w:t>και</w:t>
      </w:r>
      <w:r w:rsidRPr="001554F7">
        <w:rPr>
          <w:noProof/>
          <w:sz w:val="22"/>
          <w:szCs w:val="22"/>
          <w:lang w:val="en-GB" w:eastAsia="en-US"/>
        </w:rPr>
        <w:t xml:space="preserve"> 40 mg: 24 </w:t>
      </w:r>
      <w:r w:rsidR="00626F20">
        <w:rPr>
          <w:noProof/>
          <w:sz w:val="22"/>
          <w:szCs w:val="22"/>
          <w:lang w:eastAsia="en-US"/>
        </w:rPr>
        <w:t>μήνες</w:t>
      </w:r>
      <w:r w:rsidRPr="001554F7">
        <w:rPr>
          <w:noProof/>
          <w:sz w:val="22"/>
          <w:szCs w:val="22"/>
          <w:lang w:val="en-GB" w:eastAsia="en-US"/>
        </w:rPr>
        <w:t>.</w:t>
      </w:r>
    </w:p>
    <w:p w:rsidR="001554F7" w:rsidRPr="001554F7" w:rsidRDefault="001554F7" w:rsidP="001554F7">
      <w:pPr>
        <w:tabs>
          <w:tab w:val="left" w:pos="567"/>
        </w:tabs>
        <w:autoSpaceDE/>
        <w:autoSpaceDN/>
        <w:adjustRightInd/>
        <w:contextualSpacing/>
        <w:rPr>
          <w:noProof/>
          <w:sz w:val="22"/>
          <w:szCs w:val="22"/>
          <w:lang w:val="en-GB" w:eastAsia="en-US"/>
        </w:rPr>
      </w:pPr>
    </w:p>
    <w:p w:rsidR="001554F7" w:rsidRPr="0038404B" w:rsidRDefault="00626F20" w:rsidP="001554F7">
      <w:pPr>
        <w:tabs>
          <w:tab w:val="left" w:pos="567"/>
        </w:tabs>
        <w:autoSpaceDE/>
        <w:autoSpaceDN/>
        <w:adjustRightInd/>
        <w:contextualSpacing/>
        <w:rPr>
          <w:noProof/>
          <w:sz w:val="22"/>
          <w:szCs w:val="22"/>
          <w:lang w:eastAsia="en-US"/>
        </w:rPr>
      </w:pPr>
      <w:r>
        <w:rPr>
          <w:noProof/>
          <w:sz w:val="22"/>
          <w:szCs w:val="22"/>
          <w:lang w:eastAsia="en-US"/>
        </w:rPr>
        <w:t xml:space="preserve">Φιάλη </w:t>
      </w:r>
      <w:r w:rsidR="001554F7" w:rsidRPr="001554F7">
        <w:rPr>
          <w:noProof/>
          <w:sz w:val="22"/>
          <w:szCs w:val="22"/>
          <w:lang w:val="en-GB" w:eastAsia="en-US"/>
        </w:rPr>
        <w:t>HDPE</w:t>
      </w:r>
      <w:r w:rsidR="001554F7" w:rsidRPr="0038404B">
        <w:rPr>
          <w:noProof/>
          <w:sz w:val="22"/>
          <w:szCs w:val="22"/>
          <w:lang w:eastAsia="en-US"/>
        </w:rPr>
        <w:t xml:space="preserve">: </w:t>
      </w:r>
      <w:r w:rsidR="001B06FD">
        <w:rPr>
          <w:noProof/>
          <w:sz w:val="22"/>
          <w:szCs w:val="22"/>
          <w:lang w:eastAsia="en-US"/>
        </w:rPr>
        <w:t>Μετά το πρώτο άνοιγμα χρησιμοποιήσατε εντός</w:t>
      </w:r>
      <w:r w:rsidR="001554F7" w:rsidRPr="0038404B">
        <w:rPr>
          <w:noProof/>
          <w:sz w:val="22"/>
          <w:szCs w:val="22"/>
          <w:lang w:eastAsia="en-US"/>
        </w:rPr>
        <w:t xml:space="preserve"> 100</w:t>
      </w:r>
      <w:r w:rsidR="001B06FD">
        <w:rPr>
          <w:noProof/>
          <w:sz w:val="22"/>
          <w:szCs w:val="22"/>
          <w:lang w:eastAsia="en-US"/>
        </w:rPr>
        <w:t xml:space="preserve"> ημερών</w:t>
      </w:r>
      <w:r w:rsidR="001554F7" w:rsidRPr="0038404B">
        <w:rPr>
          <w:noProof/>
          <w:sz w:val="22"/>
          <w:szCs w:val="22"/>
          <w:lang w:eastAsia="en-US"/>
        </w:rPr>
        <w:t>.</w:t>
      </w:r>
    </w:p>
    <w:p w:rsidR="001554F7" w:rsidRPr="0038404B" w:rsidRDefault="001554F7" w:rsidP="001554F7">
      <w:pPr>
        <w:tabs>
          <w:tab w:val="left" w:pos="567"/>
        </w:tabs>
        <w:autoSpaceDE/>
        <w:autoSpaceDN/>
        <w:adjustRightInd/>
        <w:contextualSpacing/>
        <w:rPr>
          <w:noProof/>
          <w:sz w:val="22"/>
          <w:szCs w:val="22"/>
          <w:lang w:eastAsia="en-US"/>
        </w:rPr>
      </w:pPr>
    </w:p>
    <w:p w:rsidR="005D5E57" w:rsidRPr="00A072F5" w:rsidRDefault="005D5E57" w:rsidP="001554F7">
      <w:pPr>
        <w:pStyle w:val="Style10"/>
        <w:widowControl/>
        <w:numPr>
          <w:ilvl w:val="0"/>
          <w:numId w:val="10"/>
        </w:numPr>
        <w:tabs>
          <w:tab w:val="left" w:pos="715"/>
        </w:tabs>
        <w:rPr>
          <w:rStyle w:val="FontStyle21"/>
          <w:sz w:val="22"/>
          <w:szCs w:val="22"/>
        </w:rPr>
      </w:pPr>
      <w:r w:rsidRPr="00A072F5">
        <w:rPr>
          <w:rStyle w:val="FontStyle21"/>
          <w:sz w:val="22"/>
          <w:szCs w:val="22"/>
        </w:rPr>
        <w:t>Ιδιαίτερες προφυλάξεις κατά τη φύλαξη του προϊόντος</w:t>
      </w:r>
    </w:p>
    <w:p w:rsidR="00F70D26" w:rsidRPr="00F70D26" w:rsidRDefault="00F70D26" w:rsidP="00F70D26">
      <w:pPr>
        <w:pStyle w:val="Style11"/>
        <w:widowControl/>
        <w:rPr>
          <w:rStyle w:val="FontStyle22"/>
          <w:sz w:val="22"/>
          <w:szCs w:val="22"/>
        </w:rPr>
      </w:pPr>
    </w:p>
    <w:p w:rsidR="00F70D26" w:rsidRPr="00F70D26" w:rsidRDefault="001B06FD" w:rsidP="00F70D26">
      <w:pPr>
        <w:pStyle w:val="Style11"/>
        <w:widowControl/>
        <w:rPr>
          <w:rStyle w:val="FontStyle22"/>
          <w:sz w:val="22"/>
          <w:szCs w:val="22"/>
        </w:rPr>
      </w:pPr>
      <w:r>
        <w:rPr>
          <w:rStyle w:val="FontStyle22"/>
          <w:sz w:val="22"/>
          <w:szCs w:val="22"/>
        </w:rPr>
        <w:t xml:space="preserve">Μη φυλάσσετε σε θερμοκρασία </w:t>
      </w:r>
      <w:r w:rsidR="003C2CA4">
        <w:rPr>
          <w:rStyle w:val="FontStyle22"/>
          <w:sz w:val="22"/>
          <w:szCs w:val="22"/>
        </w:rPr>
        <w:t>μεγαλύτερη</w:t>
      </w:r>
      <w:r>
        <w:rPr>
          <w:rStyle w:val="FontStyle22"/>
          <w:sz w:val="22"/>
          <w:szCs w:val="22"/>
        </w:rPr>
        <w:t xml:space="preserve"> των</w:t>
      </w:r>
      <w:r w:rsidR="00F70D26" w:rsidRPr="00F70D26">
        <w:rPr>
          <w:rStyle w:val="FontStyle22"/>
          <w:sz w:val="22"/>
          <w:szCs w:val="22"/>
        </w:rPr>
        <w:t xml:space="preserve"> 25°C.</w:t>
      </w:r>
      <w:r>
        <w:rPr>
          <w:rStyle w:val="FontStyle22"/>
          <w:sz w:val="22"/>
          <w:szCs w:val="22"/>
        </w:rPr>
        <w:t xml:space="preserve"> Φυλάσσετε στον αρχικό περιέκτη για να προστατεύεται από την υγρασία</w:t>
      </w:r>
      <w:r w:rsidR="00F70D26" w:rsidRPr="00F70D26">
        <w:rPr>
          <w:rStyle w:val="FontStyle22"/>
          <w:sz w:val="22"/>
          <w:szCs w:val="22"/>
        </w:rPr>
        <w:t>.</w:t>
      </w:r>
    </w:p>
    <w:p w:rsidR="00F70D26" w:rsidRPr="00F70D26" w:rsidRDefault="00F70D26" w:rsidP="00F70D26">
      <w:pPr>
        <w:pStyle w:val="Style11"/>
        <w:widowControl/>
        <w:rPr>
          <w:rStyle w:val="FontStyle22"/>
          <w:sz w:val="22"/>
          <w:szCs w:val="22"/>
        </w:rPr>
      </w:pPr>
    </w:p>
    <w:p w:rsidR="00F70D26" w:rsidRPr="00F70D26" w:rsidRDefault="001B06FD" w:rsidP="00F70D26">
      <w:pPr>
        <w:pStyle w:val="Style11"/>
        <w:widowControl/>
        <w:rPr>
          <w:rStyle w:val="FontStyle22"/>
          <w:sz w:val="22"/>
          <w:szCs w:val="22"/>
        </w:rPr>
      </w:pPr>
      <w:r>
        <w:rPr>
          <w:rStyle w:val="FontStyle22"/>
          <w:sz w:val="22"/>
          <w:szCs w:val="22"/>
        </w:rPr>
        <w:t>Για τις συνθήκες φύλαξης μετά το πρώτο άνοιγμα του φαρμακευτικού προϊόντος βλ. παράγραφο</w:t>
      </w:r>
      <w:r w:rsidR="00F70D26" w:rsidRPr="00F70D26">
        <w:rPr>
          <w:rStyle w:val="FontStyle22"/>
          <w:sz w:val="22"/>
          <w:szCs w:val="22"/>
        </w:rPr>
        <w:t xml:space="preserve"> 6.3.</w:t>
      </w:r>
    </w:p>
    <w:p w:rsidR="000029F2" w:rsidRPr="00A072F5" w:rsidRDefault="000029F2" w:rsidP="001554F7">
      <w:pPr>
        <w:pStyle w:val="Style11"/>
        <w:widowControl/>
        <w:spacing w:line="240" w:lineRule="auto"/>
        <w:rPr>
          <w:rStyle w:val="FontStyle22"/>
          <w:sz w:val="22"/>
          <w:szCs w:val="22"/>
        </w:rPr>
      </w:pPr>
    </w:p>
    <w:p w:rsidR="005D5E57" w:rsidRPr="00A072F5" w:rsidRDefault="005D5E57" w:rsidP="001554F7">
      <w:pPr>
        <w:pStyle w:val="Style10"/>
        <w:widowControl/>
        <w:numPr>
          <w:ilvl w:val="0"/>
          <w:numId w:val="11"/>
        </w:numPr>
        <w:tabs>
          <w:tab w:val="left" w:pos="715"/>
        </w:tabs>
        <w:rPr>
          <w:rStyle w:val="FontStyle21"/>
          <w:sz w:val="22"/>
          <w:szCs w:val="22"/>
        </w:rPr>
      </w:pPr>
      <w:r w:rsidRPr="00A072F5">
        <w:rPr>
          <w:rStyle w:val="FontStyle21"/>
          <w:sz w:val="22"/>
          <w:szCs w:val="22"/>
        </w:rPr>
        <w:t>Φύση και συστατικά του περιέκτη</w:t>
      </w:r>
    </w:p>
    <w:p w:rsidR="00F70D26" w:rsidRPr="00F70D26" w:rsidRDefault="00F70D26" w:rsidP="00F70D26">
      <w:pPr>
        <w:pStyle w:val="Style11"/>
        <w:widowControl/>
        <w:rPr>
          <w:rStyle w:val="FontStyle22"/>
          <w:sz w:val="22"/>
          <w:szCs w:val="22"/>
          <w:lang w:val="en-US" w:eastAsia="en-US"/>
        </w:rPr>
      </w:pPr>
    </w:p>
    <w:p w:rsidR="00F70D26" w:rsidRPr="000B5426" w:rsidRDefault="001B06FD" w:rsidP="00F70D26">
      <w:pPr>
        <w:pStyle w:val="Style11"/>
        <w:widowControl/>
        <w:rPr>
          <w:rStyle w:val="FontStyle22"/>
          <w:sz w:val="22"/>
          <w:szCs w:val="22"/>
          <w:lang w:eastAsia="en-US"/>
        </w:rPr>
      </w:pPr>
      <w:r>
        <w:rPr>
          <w:rStyle w:val="FontStyle22"/>
          <w:sz w:val="22"/>
          <w:szCs w:val="22"/>
          <w:lang w:eastAsia="en-US"/>
        </w:rPr>
        <w:t>Συσκευασία κυψέλης (</w:t>
      </w:r>
      <w:r w:rsidRPr="00F70D26">
        <w:rPr>
          <w:rStyle w:val="FontStyle22"/>
          <w:sz w:val="22"/>
          <w:szCs w:val="22"/>
          <w:lang w:val="en-US" w:eastAsia="en-US"/>
        </w:rPr>
        <w:t>blister</w:t>
      </w:r>
      <w:r>
        <w:rPr>
          <w:rStyle w:val="FontStyle22"/>
          <w:sz w:val="22"/>
          <w:szCs w:val="22"/>
          <w:lang w:eastAsia="en-US"/>
        </w:rPr>
        <w:t xml:space="preserve">) </w:t>
      </w:r>
      <w:r w:rsidR="003C2CA4">
        <w:rPr>
          <w:rStyle w:val="FontStyle22"/>
          <w:sz w:val="22"/>
          <w:szCs w:val="22"/>
          <w:lang w:eastAsia="en-US"/>
        </w:rPr>
        <w:t>με επίστρωση</w:t>
      </w:r>
      <w:r w:rsidR="00F70D26" w:rsidRPr="0038404B">
        <w:rPr>
          <w:rStyle w:val="FontStyle22"/>
          <w:sz w:val="22"/>
          <w:szCs w:val="22"/>
          <w:lang w:eastAsia="en-US"/>
        </w:rPr>
        <w:t xml:space="preserve"> </w:t>
      </w:r>
      <w:r>
        <w:rPr>
          <w:rStyle w:val="FontStyle22"/>
          <w:sz w:val="22"/>
          <w:szCs w:val="22"/>
          <w:lang w:eastAsia="en-US"/>
        </w:rPr>
        <w:t>πο</w:t>
      </w:r>
      <w:r w:rsidR="003C2CA4">
        <w:rPr>
          <w:rStyle w:val="FontStyle22"/>
          <w:sz w:val="22"/>
          <w:szCs w:val="22"/>
          <w:lang w:eastAsia="en-US"/>
        </w:rPr>
        <w:t xml:space="preserve">λυαμιδίου </w:t>
      </w:r>
      <w:r w:rsidR="00F70D26" w:rsidRPr="0038404B">
        <w:rPr>
          <w:rStyle w:val="FontStyle22"/>
          <w:sz w:val="22"/>
          <w:szCs w:val="22"/>
          <w:lang w:eastAsia="en-US"/>
        </w:rPr>
        <w:t>/</w:t>
      </w:r>
      <w:r w:rsidR="003C2CA4">
        <w:rPr>
          <w:rStyle w:val="FontStyle22"/>
          <w:sz w:val="22"/>
          <w:szCs w:val="22"/>
          <w:lang w:eastAsia="en-US"/>
        </w:rPr>
        <w:t xml:space="preserve"> αλουμινίου </w:t>
      </w:r>
      <w:r w:rsidR="00F70D26" w:rsidRPr="0038404B">
        <w:rPr>
          <w:rStyle w:val="FontStyle22"/>
          <w:sz w:val="22"/>
          <w:szCs w:val="22"/>
          <w:lang w:eastAsia="en-US"/>
        </w:rPr>
        <w:t>/</w:t>
      </w:r>
      <w:r w:rsidR="003C2CA4">
        <w:rPr>
          <w:rStyle w:val="FontStyle22"/>
          <w:sz w:val="22"/>
          <w:szCs w:val="22"/>
          <w:lang w:eastAsia="en-US"/>
        </w:rPr>
        <w:t xml:space="preserve"> πολυβινυλοχλωριδίου / αλουμινίου</w:t>
      </w:r>
      <w:r w:rsidR="003C2CA4" w:rsidRPr="0038404B">
        <w:rPr>
          <w:rStyle w:val="FontStyle22"/>
          <w:sz w:val="22"/>
          <w:szCs w:val="22"/>
          <w:lang w:eastAsia="en-US"/>
        </w:rPr>
        <w:t>:</w:t>
      </w:r>
      <w:r w:rsidR="00F70D26" w:rsidRPr="0038404B">
        <w:rPr>
          <w:rStyle w:val="FontStyle22"/>
          <w:sz w:val="22"/>
          <w:szCs w:val="22"/>
          <w:lang w:eastAsia="en-US"/>
        </w:rPr>
        <w:t xml:space="preserve"> 14, 28, 30, (50 </w:t>
      </w:r>
      <w:r w:rsidR="00F70D26" w:rsidRPr="00F70D26">
        <w:rPr>
          <w:rStyle w:val="FontStyle22"/>
          <w:sz w:val="22"/>
          <w:szCs w:val="22"/>
          <w:lang w:val="en-US" w:eastAsia="en-US"/>
        </w:rPr>
        <w:t>x</w:t>
      </w:r>
      <w:r w:rsidR="003C2CA4">
        <w:rPr>
          <w:rStyle w:val="FontStyle22"/>
          <w:sz w:val="22"/>
          <w:szCs w:val="22"/>
          <w:lang w:eastAsia="en-US"/>
        </w:rPr>
        <w:t xml:space="preserve"> </w:t>
      </w:r>
      <w:r w:rsidR="00F70D26" w:rsidRPr="0038404B">
        <w:rPr>
          <w:rStyle w:val="FontStyle22"/>
          <w:sz w:val="22"/>
          <w:szCs w:val="22"/>
          <w:lang w:eastAsia="en-US"/>
        </w:rPr>
        <w:t>1),</w:t>
      </w:r>
      <w:r w:rsidR="000B5426" w:rsidRPr="0038404B">
        <w:rPr>
          <w:rStyle w:val="FontStyle22"/>
          <w:sz w:val="22"/>
          <w:szCs w:val="22"/>
          <w:lang w:eastAsia="en-US"/>
        </w:rPr>
        <w:t xml:space="preserve"> 56, 90 &amp; 98 </w:t>
      </w:r>
      <w:r w:rsidR="000B5426">
        <w:rPr>
          <w:rStyle w:val="FontStyle22"/>
          <w:sz w:val="22"/>
          <w:szCs w:val="22"/>
          <w:lang w:eastAsia="en-US"/>
        </w:rPr>
        <w:t>επικαλυμμένα με λεπτό υμένιο δισκία</w:t>
      </w:r>
    </w:p>
    <w:p w:rsidR="00F70D26" w:rsidRPr="0038404B" w:rsidRDefault="00F70D26" w:rsidP="00F70D26">
      <w:pPr>
        <w:pStyle w:val="Style11"/>
        <w:widowControl/>
        <w:rPr>
          <w:rStyle w:val="FontStyle22"/>
          <w:sz w:val="22"/>
          <w:szCs w:val="22"/>
          <w:lang w:eastAsia="en-US"/>
        </w:rPr>
      </w:pPr>
    </w:p>
    <w:p w:rsidR="00F70D26" w:rsidRPr="0038404B" w:rsidRDefault="003C2CA4" w:rsidP="00F70D26">
      <w:pPr>
        <w:pStyle w:val="Style11"/>
        <w:widowControl/>
        <w:rPr>
          <w:rStyle w:val="FontStyle22"/>
          <w:sz w:val="22"/>
          <w:szCs w:val="22"/>
          <w:lang w:eastAsia="en-US"/>
        </w:rPr>
      </w:pPr>
      <w:r>
        <w:rPr>
          <w:rStyle w:val="FontStyle22"/>
          <w:sz w:val="22"/>
          <w:szCs w:val="22"/>
          <w:lang w:eastAsia="en-US"/>
        </w:rPr>
        <w:t>Φιάλη από υψηλής πυκνότητας πολυαιθυλένιο</w:t>
      </w:r>
      <w:r w:rsidR="00F70D26" w:rsidRPr="0038404B">
        <w:rPr>
          <w:rStyle w:val="FontStyle22"/>
          <w:sz w:val="22"/>
          <w:szCs w:val="22"/>
          <w:lang w:eastAsia="en-US"/>
        </w:rPr>
        <w:t xml:space="preserve"> (</w:t>
      </w:r>
      <w:r w:rsidR="00F70D26" w:rsidRPr="00F70D26">
        <w:rPr>
          <w:rStyle w:val="FontStyle22"/>
          <w:sz w:val="22"/>
          <w:szCs w:val="22"/>
          <w:lang w:val="en-US" w:eastAsia="en-US"/>
        </w:rPr>
        <w:t>HDPE</w:t>
      </w:r>
      <w:r w:rsidR="00F70D26" w:rsidRPr="0038404B">
        <w:rPr>
          <w:rStyle w:val="FontStyle22"/>
          <w:sz w:val="22"/>
          <w:szCs w:val="22"/>
          <w:lang w:eastAsia="en-US"/>
        </w:rPr>
        <w:t>)</w:t>
      </w:r>
      <w:r>
        <w:rPr>
          <w:rStyle w:val="FontStyle22"/>
          <w:sz w:val="22"/>
          <w:szCs w:val="22"/>
          <w:lang w:eastAsia="en-US"/>
        </w:rPr>
        <w:t xml:space="preserve"> με πώμα από πολυπροπυλένιο</w:t>
      </w:r>
      <w:r w:rsidR="00F70D26" w:rsidRPr="0038404B">
        <w:rPr>
          <w:rStyle w:val="FontStyle22"/>
          <w:sz w:val="22"/>
          <w:szCs w:val="22"/>
          <w:lang w:eastAsia="en-US"/>
        </w:rPr>
        <w:t xml:space="preserve"> (</w:t>
      </w:r>
      <w:r w:rsidR="00F70D26" w:rsidRPr="00F70D26">
        <w:rPr>
          <w:rStyle w:val="FontStyle22"/>
          <w:sz w:val="22"/>
          <w:szCs w:val="22"/>
          <w:lang w:val="en-US" w:eastAsia="en-US"/>
        </w:rPr>
        <w:t>PP</w:t>
      </w:r>
      <w:r w:rsidR="00F70D26" w:rsidRPr="0038404B">
        <w:rPr>
          <w:rStyle w:val="FontStyle22"/>
          <w:sz w:val="22"/>
          <w:szCs w:val="22"/>
          <w:lang w:eastAsia="en-US"/>
        </w:rPr>
        <w:t>) (2</w:t>
      </w:r>
      <w:r w:rsidR="00111F22" w:rsidRPr="0038404B">
        <w:rPr>
          <w:rStyle w:val="FontStyle22"/>
          <w:sz w:val="22"/>
          <w:szCs w:val="22"/>
          <w:lang w:eastAsia="en-US"/>
        </w:rPr>
        <w:t xml:space="preserve">0 </w:t>
      </w:r>
      <w:r w:rsidR="00111F22">
        <w:rPr>
          <w:rStyle w:val="FontStyle22"/>
          <w:sz w:val="22"/>
          <w:szCs w:val="22"/>
          <w:lang w:val="en-US" w:eastAsia="en-US"/>
        </w:rPr>
        <w:t>mg</w:t>
      </w:r>
      <w:r>
        <w:rPr>
          <w:rStyle w:val="FontStyle22"/>
          <w:sz w:val="22"/>
          <w:szCs w:val="22"/>
          <w:lang w:eastAsia="en-US"/>
        </w:rPr>
        <w:t xml:space="preserve"> μόνο</w:t>
      </w:r>
      <w:r w:rsidR="00111F22" w:rsidRPr="0038404B">
        <w:rPr>
          <w:rStyle w:val="FontStyle22"/>
          <w:sz w:val="22"/>
          <w:szCs w:val="22"/>
          <w:lang w:eastAsia="en-US"/>
        </w:rPr>
        <w:t xml:space="preserve">): 98 &amp; 500 </w:t>
      </w:r>
      <w:r w:rsidR="00111F22">
        <w:rPr>
          <w:rStyle w:val="FontStyle22"/>
          <w:sz w:val="22"/>
          <w:szCs w:val="22"/>
          <w:lang w:eastAsia="en-US"/>
        </w:rPr>
        <w:t>επικαλυμμένα με λεπτό υμένιο δισκία</w:t>
      </w:r>
      <w:r w:rsidR="00F70D26" w:rsidRPr="0038404B">
        <w:rPr>
          <w:rStyle w:val="FontStyle22"/>
          <w:sz w:val="22"/>
          <w:szCs w:val="22"/>
          <w:lang w:eastAsia="en-US"/>
        </w:rPr>
        <w:t>.</w:t>
      </w:r>
    </w:p>
    <w:p w:rsidR="000029F2" w:rsidRPr="00A072F5" w:rsidRDefault="000029F2" w:rsidP="001554F7">
      <w:pPr>
        <w:pStyle w:val="Style11"/>
        <w:widowControl/>
        <w:spacing w:line="240" w:lineRule="auto"/>
        <w:rPr>
          <w:rStyle w:val="FontStyle22"/>
          <w:sz w:val="22"/>
          <w:szCs w:val="22"/>
        </w:rPr>
      </w:pPr>
    </w:p>
    <w:p w:rsidR="005D5E57" w:rsidRPr="00A072F5" w:rsidRDefault="005D5E57" w:rsidP="001554F7">
      <w:pPr>
        <w:pStyle w:val="Style11"/>
        <w:widowControl/>
        <w:spacing w:line="240" w:lineRule="auto"/>
        <w:rPr>
          <w:rStyle w:val="FontStyle22"/>
          <w:sz w:val="22"/>
          <w:szCs w:val="22"/>
        </w:rPr>
      </w:pPr>
      <w:r w:rsidRPr="00A072F5">
        <w:rPr>
          <w:rStyle w:val="FontStyle22"/>
          <w:sz w:val="22"/>
          <w:szCs w:val="22"/>
        </w:rPr>
        <w:t>Μπορεί να μη</w:t>
      </w:r>
      <w:r w:rsidR="00111F22">
        <w:rPr>
          <w:rStyle w:val="FontStyle22"/>
          <w:sz w:val="22"/>
          <w:szCs w:val="22"/>
        </w:rPr>
        <w:t>ν</w:t>
      </w:r>
      <w:r w:rsidRPr="00A072F5">
        <w:rPr>
          <w:rStyle w:val="FontStyle22"/>
          <w:sz w:val="22"/>
          <w:szCs w:val="22"/>
        </w:rPr>
        <w:t xml:space="preserve"> κυκλοφορούν όλες οι συσκευασίες.</w:t>
      </w:r>
    </w:p>
    <w:p w:rsidR="00123F5A" w:rsidRPr="00A072F5" w:rsidRDefault="00123F5A" w:rsidP="001554F7">
      <w:pPr>
        <w:pStyle w:val="Style11"/>
        <w:widowControl/>
        <w:spacing w:line="240" w:lineRule="auto"/>
        <w:rPr>
          <w:rStyle w:val="FontStyle22"/>
          <w:sz w:val="22"/>
          <w:szCs w:val="22"/>
        </w:rPr>
      </w:pPr>
    </w:p>
    <w:p w:rsidR="005D5E57" w:rsidRPr="00A072F5" w:rsidRDefault="00123F5A" w:rsidP="00123F5A">
      <w:pPr>
        <w:pStyle w:val="Style10"/>
        <w:widowControl/>
        <w:numPr>
          <w:ilvl w:val="0"/>
          <w:numId w:val="12"/>
        </w:numPr>
        <w:tabs>
          <w:tab w:val="left" w:pos="715"/>
        </w:tabs>
        <w:rPr>
          <w:rStyle w:val="FontStyle21"/>
          <w:sz w:val="22"/>
          <w:szCs w:val="22"/>
        </w:rPr>
      </w:pPr>
      <w:r w:rsidRPr="00123F5A">
        <w:rPr>
          <w:rStyle w:val="FontStyle21"/>
          <w:sz w:val="22"/>
          <w:szCs w:val="22"/>
        </w:rPr>
        <w:t>Ιδι</w:t>
      </w:r>
      <w:r w:rsidR="003C2CA4">
        <w:rPr>
          <w:rStyle w:val="FontStyle21"/>
          <w:sz w:val="22"/>
          <w:szCs w:val="22"/>
        </w:rPr>
        <w:t>αίτερες προφυλάξεις απόρριψης</w:t>
      </w:r>
    </w:p>
    <w:p w:rsidR="00123F5A" w:rsidRDefault="00123F5A" w:rsidP="001554F7">
      <w:pPr>
        <w:pStyle w:val="Style11"/>
        <w:widowControl/>
        <w:spacing w:line="240" w:lineRule="auto"/>
        <w:rPr>
          <w:rStyle w:val="FontStyle22"/>
          <w:sz w:val="22"/>
          <w:szCs w:val="22"/>
        </w:rPr>
      </w:pPr>
    </w:p>
    <w:p w:rsidR="005D5E57" w:rsidRPr="00A072F5" w:rsidRDefault="005D5E57" w:rsidP="001554F7">
      <w:pPr>
        <w:pStyle w:val="Style11"/>
        <w:widowControl/>
        <w:spacing w:line="240" w:lineRule="auto"/>
        <w:rPr>
          <w:rStyle w:val="FontStyle22"/>
          <w:sz w:val="22"/>
          <w:szCs w:val="22"/>
        </w:rPr>
      </w:pPr>
      <w:r w:rsidRPr="00A072F5">
        <w:rPr>
          <w:rStyle w:val="FontStyle22"/>
          <w:sz w:val="22"/>
          <w:szCs w:val="22"/>
        </w:rPr>
        <w:t>Καμία ειδική υποχρέωση</w:t>
      </w:r>
      <w:r w:rsidR="003C2CA4">
        <w:rPr>
          <w:rStyle w:val="FontStyle22"/>
          <w:sz w:val="22"/>
          <w:szCs w:val="22"/>
        </w:rPr>
        <w:t xml:space="preserve"> για απόρριψη</w:t>
      </w:r>
      <w:r w:rsidRPr="00A072F5">
        <w:rPr>
          <w:rStyle w:val="FontStyle22"/>
          <w:sz w:val="22"/>
          <w:szCs w:val="22"/>
        </w:rPr>
        <w:t>.</w:t>
      </w:r>
    </w:p>
    <w:p w:rsidR="005D5E57" w:rsidRPr="0042565E" w:rsidRDefault="005D5E57" w:rsidP="001554F7">
      <w:pPr>
        <w:pStyle w:val="Style8"/>
        <w:widowControl/>
        <w:jc w:val="left"/>
        <w:rPr>
          <w:sz w:val="22"/>
          <w:szCs w:val="22"/>
        </w:rPr>
      </w:pP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sz w:val="22"/>
          <w:szCs w:val="20"/>
          <w:lang w:eastAsia="en-US"/>
        </w:rPr>
      </w:pPr>
      <w:r w:rsidRPr="00123F5A">
        <w:rPr>
          <w:b/>
          <w:sz w:val="22"/>
          <w:szCs w:val="20"/>
          <w:lang w:eastAsia="en-US"/>
        </w:rPr>
        <w:t>7.</w:t>
      </w:r>
      <w:r w:rsidRPr="00123F5A">
        <w:rPr>
          <w:b/>
          <w:sz w:val="22"/>
          <w:szCs w:val="20"/>
          <w:lang w:eastAsia="en-US"/>
        </w:rPr>
        <w:tab/>
        <w:t>ΚΑΤΟΧΟΣ ΤΗΣ ΑΔΕΙΑΣ ΚΥΚΛΟΦΟΡΙΑΣ</w:t>
      </w:r>
    </w:p>
    <w:p w:rsidR="001F0F6A" w:rsidRDefault="001F0F6A" w:rsidP="001F0F6A">
      <w:pPr>
        <w:autoSpaceDE/>
        <w:autoSpaceDN/>
        <w:adjustRightInd/>
        <w:rPr>
          <w:b/>
          <w:sz w:val="22"/>
          <w:szCs w:val="20"/>
          <w:lang w:eastAsia="en-US"/>
        </w:rPr>
      </w:pPr>
    </w:p>
    <w:p w:rsidR="001F0F6A" w:rsidRPr="00A804ED" w:rsidRDefault="001F0F6A" w:rsidP="001F0F6A">
      <w:pPr>
        <w:autoSpaceDE/>
        <w:autoSpaceDN/>
        <w:adjustRightInd/>
        <w:rPr>
          <w:sz w:val="22"/>
          <w:szCs w:val="20"/>
          <w:lang w:eastAsia="en-US"/>
        </w:rPr>
      </w:pPr>
      <w:r w:rsidRPr="001F0F6A">
        <w:rPr>
          <w:b/>
          <w:sz w:val="22"/>
          <w:szCs w:val="20"/>
          <w:lang w:eastAsia="en-US"/>
        </w:rPr>
        <w:t>Δικαιούχος</w:t>
      </w:r>
      <w:r w:rsidRPr="00A804ED">
        <w:rPr>
          <w:b/>
          <w:sz w:val="22"/>
          <w:szCs w:val="20"/>
          <w:lang w:eastAsia="en-US"/>
        </w:rPr>
        <w:t xml:space="preserve"> </w:t>
      </w:r>
      <w:r w:rsidRPr="001F0F6A">
        <w:rPr>
          <w:b/>
          <w:sz w:val="22"/>
          <w:szCs w:val="20"/>
          <w:lang w:eastAsia="en-US"/>
        </w:rPr>
        <w:t>Προϊόντος</w:t>
      </w:r>
      <w:r w:rsidR="00A804ED" w:rsidRPr="00A804ED">
        <w:rPr>
          <w:b/>
          <w:sz w:val="22"/>
          <w:szCs w:val="20"/>
          <w:lang w:eastAsia="en-US"/>
        </w:rPr>
        <w:t xml:space="preserve"> </w:t>
      </w:r>
      <w:r w:rsidR="00A804ED">
        <w:rPr>
          <w:b/>
          <w:sz w:val="22"/>
          <w:szCs w:val="20"/>
          <w:lang w:eastAsia="en-US"/>
        </w:rPr>
        <w:t>και</w:t>
      </w:r>
      <w:r w:rsidR="00A804ED" w:rsidRPr="00A804ED">
        <w:rPr>
          <w:b/>
          <w:sz w:val="22"/>
          <w:szCs w:val="20"/>
          <w:lang w:eastAsia="en-US"/>
        </w:rPr>
        <w:t xml:space="preserve"> </w:t>
      </w:r>
      <w:r w:rsidR="00A804ED">
        <w:rPr>
          <w:b/>
          <w:sz w:val="22"/>
          <w:szCs w:val="20"/>
          <w:lang w:eastAsia="en-US"/>
        </w:rPr>
        <w:t>Κάτοχος Άδειας Κυκλοφορίας</w:t>
      </w:r>
      <w:r w:rsidRPr="00A804ED">
        <w:rPr>
          <w:b/>
          <w:sz w:val="22"/>
          <w:szCs w:val="20"/>
          <w:lang w:eastAsia="en-US"/>
        </w:rPr>
        <w:t xml:space="preserve">: </w:t>
      </w:r>
      <w:r w:rsidRPr="001F0F6A">
        <w:rPr>
          <w:bCs/>
          <w:lang w:val="en-US"/>
        </w:rPr>
        <w:t>Mylan</w:t>
      </w:r>
      <w:r w:rsidRPr="00A804ED">
        <w:rPr>
          <w:bCs/>
        </w:rPr>
        <w:t xml:space="preserve"> </w:t>
      </w:r>
      <w:r w:rsidRPr="001F0F6A">
        <w:rPr>
          <w:bCs/>
          <w:lang w:val="en-US"/>
        </w:rPr>
        <w:t>S</w:t>
      </w:r>
      <w:r w:rsidRPr="00A804ED">
        <w:rPr>
          <w:bCs/>
        </w:rPr>
        <w:t>.</w:t>
      </w:r>
      <w:r w:rsidRPr="001F0F6A">
        <w:rPr>
          <w:bCs/>
          <w:lang w:val="en-US"/>
        </w:rPr>
        <w:t>A</w:t>
      </w:r>
      <w:r w:rsidRPr="00A804ED">
        <w:rPr>
          <w:bCs/>
        </w:rPr>
        <w:t>.</w:t>
      </w:r>
      <w:r w:rsidRPr="001F0F6A">
        <w:rPr>
          <w:bCs/>
          <w:lang w:val="en-US"/>
        </w:rPr>
        <w:t>S</w:t>
      </w:r>
      <w:r w:rsidRPr="00A804ED">
        <w:rPr>
          <w:bCs/>
        </w:rPr>
        <w:t xml:space="preserve">., </w:t>
      </w:r>
      <w:r w:rsidRPr="001F0F6A">
        <w:rPr>
          <w:bCs/>
          <w:lang w:val="fr-FR"/>
        </w:rPr>
        <w:t>117 allee des Parcs, 69 800 Saint Priest, France</w:t>
      </w:r>
    </w:p>
    <w:p w:rsidR="001F0F6A" w:rsidRPr="00A804ED" w:rsidRDefault="001F0F6A" w:rsidP="001F0F6A">
      <w:pPr>
        <w:autoSpaceDE/>
        <w:autoSpaceDN/>
        <w:adjustRightInd/>
        <w:rPr>
          <w:b/>
          <w:sz w:val="22"/>
          <w:szCs w:val="20"/>
          <w:lang w:eastAsia="en-US"/>
        </w:rPr>
      </w:pPr>
    </w:p>
    <w:p w:rsidR="001F0F6A" w:rsidRPr="001F0F6A" w:rsidRDefault="00A804ED" w:rsidP="001F0F6A">
      <w:pPr>
        <w:autoSpaceDE/>
        <w:autoSpaceDN/>
        <w:adjustRightInd/>
        <w:rPr>
          <w:noProof/>
          <w:sz w:val="22"/>
          <w:szCs w:val="20"/>
          <w:lang w:eastAsia="en-US"/>
        </w:rPr>
      </w:pPr>
      <w:r>
        <w:rPr>
          <w:b/>
          <w:sz w:val="22"/>
          <w:szCs w:val="20"/>
          <w:lang w:eastAsia="en-US"/>
        </w:rPr>
        <w:t>Τοπικός αντιπρόσωπος</w:t>
      </w:r>
      <w:r w:rsidR="001F0F6A" w:rsidRPr="001F0F6A">
        <w:rPr>
          <w:b/>
          <w:sz w:val="22"/>
          <w:szCs w:val="20"/>
          <w:lang w:eastAsia="en-US"/>
        </w:rPr>
        <w:t xml:space="preserve">:  </w:t>
      </w:r>
      <w:r w:rsidR="001F0F6A" w:rsidRPr="001F0F6A">
        <w:rPr>
          <w:lang w:val="en-US"/>
        </w:rPr>
        <w:t>Generics</w:t>
      </w:r>
      <w:r w:rsidR="001F0F6A" w:rsidRPr="001F0F6A">
        <w:t xml:space="preserve"> </w:t>
      </w:r>
      <w:r w:rsidR="001F0F6A" w:rsidRPr="001F0F6A">
        <w:rPr>
          <w:lang w:val="en-US"/>
        </w:rPr>
        <w:t>Pharma</w:t>
      </w:r>
      <w:r w:rsidR="001F0F6A" w:rsidRPr="001F0F6A">
        <w:t xml:space="preserve"> </w:t>
      </w:r>
      <w:r w:rsidR="001F0F6A" w:rsidRPr="001F0F6A">
        <w:rPr>
          <w:lang w:val="en-US"/>
        </w:rPr>
        <w:t>Hellas</w:t>
      </w:r>
      <w:r w:rsidR="001F0F6A" w:rsidRPr="001F0F6A">
        <w:t xml:space="preserve"> ΕΠΕ, Λ. Βουλιαγμένης 577</w:t>
      </w:r>
      <w:r w:rsidR="001F0F6A" w:rsidRPr="001F0F6A">
        <w:rPr>
          <w:vertAlign w:val="superscript"/>
        </w:rPr>
        <w:t>Α</w:t>
      </w:r>
      <w:r w:rsidR="001F0F6A" w:rsidRPr="001F0F6A">
        <w:t>, 164 51 Αργυρούπολη, Ελλάδα</w:t>
      </w: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sz w:val="22"/>
          <w:szCs w:val="20"/>
          <w:lang w:eastAsia="en-US"/>
        </w:rPr>
      </w:pPr>
      <w:r w:rsidRPr="00123F5A">
        <w:rPr>
          <w:b/>
          <w:sz w:val="22"/>
          <w:szCs w:val="20"/>
          <w:lang w:eastAsia="en-US"/>
        </w:rPr>
        <w:t>8.</w:t>
      </w:r>
      <w:r w:rsidRPr="00123F5A">
        <w:rPr>
          <w:b/>
          <w:sz w:val="22"/>
          <w:szCs w:val="20"/>
          <w:lang w:eastAsia="en-US"/>
        </w:rPr>
        <w:tab/>
        <w:t>ΑΡΙΘΜΟΣ(ΟΙ) ΑΔΕΙΑΣ ΚΥΚΛΟΦΟΡΙΑΣ</w:t>
      </w: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i/>
          <w:iCs/>
          <w:sz w:val="22"/>
          <w:szCs w:val="20"/>
          <w:lang w:eastAsia="en-US"/>
        </w:rPr>
      </w:pPr>
      <w:r w:rsidRPr="00123F5A">
        <w:rPr>
          <w:sz w:val="22"/>
          <w:szCs w:val="20"/>
          <w:lang w:eastAsia="en-US"/>
        </w:rPr>
        <w:lastRenderedPageBreak/>
        <w:t>&lt;[Να συμπληρωθεί σε εθνικό επίπεδο]&gt;</w:t>
      </w: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sz w:val="22"/>
          <w:szCs w:val="20"/>
          <w:lang w:eastAsia="en-US"/>
        </w:rPr>
      </w:pPr>
      <w:r w:rsidRPr="00123F5A">
        <w:rPr>
          <w:b/>
          <w:sz w:val="22"/>
          <w:szCs w:val="20"/>
          <w:lang w:eastAsia="en-US"/>
        </w:rPr>
        <w:t>9.</w:t>
      </w:r>
      <w:r w:rsidRPr="00123F5A">
        <w:rPr>
          <w:b/>
          <w:sz w:val="22"/>
          <w:szCs w:val="20"/>
          <w:lang w:eastAsia="en-US"/>
        </w:rPr>
        <w:tab/>
        <w:t>ΗΜΕΡΟΜΗΝΙΑ ΠΡΩΤΗΣ ΕΓΚΡΙΣΗΣ / ΑΝΑΝΕΩΣΗΣ ΤΗΣ ΑΔΕΙΑΣ</w:t>
      </w: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i/>
          <w:iCs/>
          <w:sz w:val="22"/>
          <w:szCs w:val="20"/>
          <w:lang w:eastAsia="en-US"/>
        </w:rPr>
      </w:pPr>
      <w:r w:rsidRPr="00123F5A">
        <w:rPr>
          <w:sz w:val="22"/>
          <w:szCs w:val="20"/>
          <w:lang w:eastAsia="en-US"/>
        </w:rPr>
        <w:t>&lt;[Να συμπληρωθεί σε εθνικό επίπεδο]&gt;</w:t>
      </w:r>
    </w:p>
    <w:p w:rsidR="00123F5A" w:rsidRPr="00123F5A" w:rsidRDefault="00123F5A" w:rsidP="00123F5A">
      <w:pPr>
        <w:autoSpaceDE/>
        <w:autoSpaceDN/>
        <w:adjustRightInd/>
        <w:rPr>
          <w:sz w:val="22"/>
          <w:szCs w:val="20"/>
          <w:lang w:eastAsia="en-US"/>
        </w:rPr>
      </w:pPr>
    </w:p>
    <w:p w:rsidR="00123F5A" w:rsidRPr="00123F5A" w:rsidRDefault="00123F5A" w:rsidP="00123F5A">
      <w:pPr>
        <w:autoSpaceDE/>
        <w:autoSpaceDN/>
        <w:adjustRightInd/>
        <w:rPr>
          <w:sz w:val="22"/>
          <w:szCs w:val="20"/>
          <w:lang w:eastAsia="en-US"/>
        </w:rPr>
      </w:pPr>
    </w:p>
    <w:p w:rsidR="00123F5A" w:rsidRPr="00123F5A" w:rsidRDefault="00123F5A" w:rsidP="00123F5A">
      <w:pPr>
        <w:tabs>
          <w:tab w:val="left" w:pos="709"/>
        </w:tabs>
        <w:autoSpaceDE/>
        <w:autoSpaceDN/>
        <w:adjustRightInd/>
        <w:rPr>
          <w:sz w:val="22"/>
          <w:szCs w:val="20"/>
          <w:lang w:eastAsia="en-US"/>
        </w:rPr>
      </w:pPr>
      <w:r w:rsidRPr="00123F5A">
        <w:rPr>
          <w:b/>
          <w:sz w:val="22"/>
          <w:szCs w:val="20"/>
          <w:lang w:eastAsia="en-US"/>
        </w:rPr>
        <w:t>10.</w:t>
      </w:r>
      <w:r w:rsidRPr="00123F5A">
        <w:rPr>
          <w:b/>
          <w:sz w:val="22"/>
          <w:szCs w:val="20"/>
          <w:lang w:eastAsia="en-US"/>
        </w:rPr>
        <w:tab/>
        <w:t>ΗΜΕΡΟΜΗΝΙΑ ΑΝΑΘΕΩΡΗΣΗΣ ΤΟΥ ΚΕΙΜΕΝΟΥ</w:t>
      </w:r>
    </w:p>
    <w:p w:rsidR="00123F5A" w:rsidRPr="00123F5A" w:rsidRDefault="00123F5A" w:rsidP="00123F5A">
      <w:pPr>
        <w:autoSpaceDE/>
        <w:autoSpaceDN/>
        <w:adjustRightInd/>
        <w:rPr>
          <w:noProof/>
          <w:sz w:val="22"/>
          <w:szCs w:val="20"/>
          <w:lang w:eastAsia="en-US"/>
        </w:rPr>
      </w:pPr>
    </w:p>
    <w:p w:rsidR="00123F5A" w:rsidRPr="00123F5A" w:rsidRDefault="00123F5A" w:rsidP="00123F5A">
      <w:pPr>
        <w:autoSpaceDE/>
        <w:autoSpaceDN/>
        <w:adjustRightInd/>
        <w:rPr>
          <w:sz w:val="22"/>
          <w:szCs w:val="20"/>
          <w:lang w:eastAsia="en-US"/>
        </w:rPr>
      </w:pPr>
      <w:r w:rsidRPr="00123F5A">
        <w:rPr>
          <w:sz w:val="22"/>
          <w:szCs w:val="20"/>
          <w:lang w:eastAsia="en-US"/>
        </w:rPr>
        <w:t>&lt;[Να συμπληρωθεί σε εθνικό επίπεδο]&gt;</w:t>
      </w:r>
    </w:p>
    <w:p w:rsidR="00123F5A" w:rsidRPr="00123F5A" w:rsidRDefault="00123F5A" w:rsidP="00123F5A">
      <w:pPr>
        <w:autoSpaceDE/>
        <w:autoSpaceDN/>
        <w:adjustRightInd/>
        <w:rPr>
          <w:noProof/>
          <w:sz w:val="22"/>
          <w:szCs w:val="20"/>
          <w:lang w:eastAsia="en-US"/>
        </w:rPr>
      </w:pPr>
    </w:p>
    <w:p w:rsidR="0030264A" w:rsidRPr="0030264A" w:rsidRDefault="0030264A">
      <w:pPr>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EF4402" w:rsidRPr="00E644C7" w:rsidRDefault="00EF4402">
      <w:pPr>
        <w:pStyle w:val="Style8"/>
        <w:autoSpaceDE/>
        <w:autoSpaceDN/>
        <w:adjustRightInd/>
        <w:jc w:val="left"/>
        <w:rPr>
          <w:rStyle w:val="FontStyle21"/>
          <w:sz w:val="22"/>
          <w:szCs w:val="22"/>
        </w:rPr>
      </w:pPr>
    </w:p>
    <w:sectPr w:rsidR="00EF4402" w:rsidRPr="00E644C7" w:rsidSect="00EA4C72">
      <w:headerReference w:type="default" r:id="rId8"/>
      <w:footerReference w:type="default" r:id="rId9"/>
      <w:headerReference w:type="first" r:id="rId10"/>
      <w:footerReference w:type="first" r:id="rId11"/>
      <w:pgSz w:w="11905" w:h="16837"/>
      <w:pgMar w:top="1829" w:right="1448" w:bottom="1440" w:left="14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93" w:rsidRDefault="002C5393">
      <w:r>
        <w:separator/>
      </w:r>
    </w:p>
  </w:endnote>
  <w:endnote w:type="continuationSeparator" w:id="0">
    <w:p w:rsidR="002C5393" w:rsidRDefault="002C5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Default="0030264A">
    <w:pPr>
      <w:pStyle w:val="a4"/>
      <w:jc w:val="right"/>
    </w:pPr>
    <w:r>
      <w:fldChar w:fldCharType="begin"/>
    </w:r>
    <w:r w:rsidR="00044403">
      <w:instrText>PAGE   \* MERGEFORMAT</w:instrText>
    </w:r>
    <w:r>
      <w:fldChar w:fldCharType="separate"/>
    </w:r>
    <w:r w:rsidR="00EC4E43">
      <w:rPr>
        <w:noProof/>
      </w:rPr>
      <w:t>15</w:t>
    </w:r>
    <w:r>
      <w:fldChar w:fldCharType="end"/>
    </w:r>
  </w:p>
  <w:p w:rsidR="00044403" w:rsidRDefault="000444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Pr="0038404B" w:rsidRDefault="00044403">
    <w:pPr>
      <w:pStyle w:val="Style5"/>
      <w:framePr w:h="164" w:hRule="exact" w:hSpace="38" w:wrap="auto" w:vAnchor="text" w:hAnchor="text" w:x="1" w:y="-18"/>
      <w:widowControl/>
      <w:jc w:val="both"/>
      <w:rPr>
        <w:rStyle w:val="FontStyle23"/>
        <w:lang w:eastAsia="en-US"/>
      </w:rPr>
    </w:pPr>
    <w:r>
      <w:rPr>
        <w:rStyle w:val="FontStyle23"/>
        <w:lang w:val="en-US" w:eastAsia="en-US"/>
      </w:rPr>
      <w:t>Olmetec</w:t>
    </w:r>
  </w:p>
  <w:p w:rsidR="00044403" w:rsidRDefault="00044403">
    <w:pPr>
      <w:pStyle w:val="Style3"/>
      <w:widowControl/>
      <w:ind w:left="3624" w:right="2304"/>
      <w:rPr>
        <w:rStyle w:val="FontStyle23"/>
        <w:lang w:eastAsia="en-US"/>
      </w:rPr>
    </w:pPr>
    <w:r>
      <w:rPr>
        <w:rStyle w:val="FontStyle23"/>
        <w:lang w:val="en-US" w:eastAsia="en-US"/>
      </w:rPr>
      <w:t>L</w:t>
    </w:r>
    <w:r w:rsidRPr="0038404B">
      <w:rPr>
        <w:rStyle w:val="FontStyle23"/>
        <w:lang w:eastAsia="en-US"/>
      </w:rPr>
      <w:t>3</w:t>
    </w:r>
    <w:r>
      <w:rPr>
        <w:rStyle w:val="FontStyle23"/>
        <w:lang w:eastAsia="en-US"/>
      </w:rPr>
      <w:t xml:space="preserve"> (Έ2+Εκφραστικές διορθώσεις +</w:t>
    </w:r>
    <w:r w:rsidRPr="0038404B">
      <w:rPr>
        <w:rStyle w:val="FontStyle23"/>
        <w:lang w:eastAsia="en-US"/>
      </w:rPr>
      <w:t xml:space="preserve"> </w:t>
    </w:r>
    <w:r>
      <w:rPr>
        <w:rStyle w:val="FontStyle23"/>
        <w:lang w:val="en-US" w:eastAsia="en-US"/>
      </w:rPr>
      <w:t>Hepatic</w:t>
    </w:r>
    <w:r w:rsidRPr="0038404B">
      <w:rPr>
        <w:rStyle w:val="FontStyle23"/>
        <w:lang w:eastAsia="en-US"/>
      </w:rPr>
      <w:t xml:space="preserve">- </w:t>
    </w:r>
    <w:r>
      <w:rPr>
        <w:rStyle w:val="FontStyle23"/>
        <w:lang w:val="en-US" w:eastAsia="en-US"/>
      </w:rPr>
      <w:t>renal</w:t>
    </w:r>
    <w:r w:rsidRPr="0038404B">
      <w:rPr>
        <w:rStyle w:val="FontStyle23"/>
        <w:lang w:eastAsia="en-US"/>
      </w:rPr>
      <w:t xml:space="preserve"> </w:t>
    </w:r>
    <w:r>
      <w:rPr>
        <w:rStyle w:val="FontStyle23"/>
        <w:lang w:val="en-US" w:eastAsia="en-US"/>
      </w:rPr>
      <w:t>variation</w:t>
    </w:r>
    <w:r w:rsidRPr="0038404B">
      <w:rPr>
        <w:rStyle w:val="FontStyle23"/>
        <w:lang w:eastAsia="en-US"/>
      </w:rPr>
      <w:t>)</w:t>
    </w:r>
    <w:r>
      <w:rPr>
        <w:rStyle w:val="FontStyle23"/>
        <w:lang w:eastAsia="en-US"/>
      </w:rPr>
      <w:t xml:space="preserve"> Τελικά Κείμενα Έγκριση ΕΟΦ: 11-04-2008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93" w:rsidRDefault="002C5393">
      <w:r>
        <w:separator/>
      </w:r>
    </w:p>
  </w:footnote>
  <w:footnote w:type="continuationSeparator" w:id="0">
    <w:p w:rsidR="002C5393" w:rsidRDefault="002C5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Default="00044403">
    <w:pPr>
      <w:pStyle w:val="Style2"/>
      <w:widowControl/>
      <w:spacing w:line="254" w:lineRule="exact"/>
      <w:jc w:val="right"/>
      <w:rPr>
        <w:rStyle w:val="FontStyle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Default="0030264A">
    <w:pPr>
      <w:pStyle w:val="Style2"/>
      <w:widowControl/>
      <w:ind w:right="34"/>
      <w:jc w:val="right"/>
      <w:rPr>
        <w:rStyle w:val="FontStyle20"/>
      </w:rPr>
    </w:pPr>
    <w:r>
      <w:rPr>
        <w:rStyle w:val="FontStyle20"/>
      </w:rPr>
      <w:fldChar w:fldCharType="begin"/>
    </w:r>
    <w:r w:rsidR="00044403">
      <w:rPr>
        <w:rStyle w:val="FontStyle20"/>
      </w:rPr>
      <w:instrText>PAGE</w:instrText>
    </w:r>
    <w:r>
      <w:rPr>
        <w:rStyle w:val="FontStyle20"/>
      </w:rPr>
      <w:fldChar w:fldCharType="separate"/>
    </w:r>
    <w:r w:rsidR="00044403">
      <w:rPr>
        <w:rStyle w:val="FontStyle20"/>
        <w:noProof/>
      </w:rPr>
      <w:t>1</w:t>
    </w:r>
    <w:r>
      <w:rPr>
        <w:rStyle w:val="FontStyle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371B7"/>
    <w:multiLevelType w:val="singleLevel"/>
    <w:tmpl w:val="7DCCA2DE"/>
    <w:lvl w:ilvl="0">
      <w:start w:val="5"/>
      <w:numFmt w:val="decimal"/>
      <w:lvlText w:val="6.%1"/>
      <w:legacy w:legacy="1" w:legacySpace="0" w:legacyIndent="715"/>
      <w:lvlJc w:val="left"/>
      <w:rPr>
        <w:rFonts w:ascii="Times New Roman" w:hAnsi="Times New Roman" w:cs="Times New Roman" w:hint="default"/>
      </w:rPr>
    </w:lvl>
  </w:abstractNum>
  <w:abstractNum w:abstractNumId="2">
    <w:nsid w:val="0987326F"/>
    <w:multiLevelType w:val="hybridMultilevel"/>
    <w:tmpl w:val="5186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D17B3"/>
    <w:multiLevelType w:val="singleLevel"/>
    <w:tmpl w:val="E5E04B02"/>
    <w:lvl w:ilvl="0">
      <w:start w:val="7"/>
      <w:numFmt w:val="decimal"/>
      <w:lvlText w:val="4.%1"/>
      <w:legacy w:legacy="1" w:legacySpace="0" w:legacyIndent="715"/>
      <w:lvlJc w:val="left"/>
      <w:rPr>
        <w:rFonts w:ascii="Times New Roman" w:hAnsi="Times New Roman" w:cs="Times New Roman" w:hint="default"/>
      </w:rPr>
    </w:lvl>
  </w:abstractNum>
  <w:abstractNum w:abstractNumId="4">
    <w:nsid w:val="161D18E7"/>
    <w:multiLevelType w:val="singleLevel"/>
    <w:tmpl w:val="06682BB6"/>
    <w:lvl w:ilvl="0">
      <w:start w:val="4"/>
      <w:numFmt w:val="decimal"/>
      <w:lvlText w:val="4.%1"/>
      <w:legacy w:legacy="1" w:legacySpace="0" w:legacyIndent="715"/>
      <w:lvlJc w:val="left"/>
      <w:rPr>
        <w:rFonts w:ascii="Times New Roman" w:hAnsi="Times New Roman" w:cs="Times New Roman" w:hint="default"/>
      </w:rPr>
    </w:lvl>
  </w:abstractNum>
  <w:abstractNum w:abstractNumId="5">
    <w:nsid w:val="173F7096"/>
    <w:multiLevelType w:val="singleLevel"/>
    <w:tmpl w:val="133C3EB2"/>
    <w:lvl w:ilvl="0">
      <w:start w:val="2"/>
      <w:numFmt w:val="decimal"/>
      <w:lvlText w:val="4.%1"/>
      <w:legacy w:legacy="1" w:legacySpace="0" w:legacyIndent="720"/>
      <w:lvlJc w:val="left"/>
      <w:rPr>
        <w:rFonts w:ascii="Times New Roman" w:hAnsi="Times New Roman" w:cs="Times New Roman" w:hint="default"/>
      </w:rPr>
    </w:lvl>
  </w:abstractNum>
  <w:abstractNum w:abstractNumId="6">
    <w:nsid w:val="2229388E"/>
    <w:multiLevelType w:val="singleLevel"/>
    <w:tmpl w:val="A1220CCE"/>
    <w:lvl w:ilvl="0">
      <w:start w:val="2"/>
      <w:numFmt w:val="decimal"/>
      <w:lvlText w:val="6.%1"/>
      <w:legacy w:legacy="1" w:legacySpace="0" w:legacyIndent="715"/>
      <w:lvlJc w:val="left"/>
      <w:rPr>
        <w:rFonts w:ascii="Times New Roman" w:hAnsi="Times New Roman" w:cs="Times New Roman" w:hint="default"/>
      </w:rPr>
    </w:lvl>
  </w:abstractNum>
  <w:abstractNum w:abstractNumId="7">
    <w:nsid w:val="242C588F"/>
    <w:multiLevelType w:val="hybridMultilevel"/>
    <w:tmpl w:val="FDAEA524"/>
    <w:lvl w:ilvl="0" w:tplc="E924886C">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DA4303"/>
    <w:multiLevelType w:val="hybridMultilevel"/>
    <w:tmpl w:val="FE50E236"/>
    <w:lvl w:ilvl="0" w:tplc="EE48C8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F270F4"/>
    <w:multiLevelType w:val="singleLevel"/>
    <w:tmpl w:val="96942152"/>
    <w:lvl w:ilvl="0">
      <w:start w:val="1"/>
      <w:numFmt w:val="decimal"/>
      <w:lvlText w:val="4.%1"/>
      <w:legacy w:legacy="1" w:legacySpace="0" w:legacyIndent="720"/>
      <w:lvlJc w:val="left"/>
      <w:rPr>
        <w:rFonts w:ascii="Times New Roman" w:hAnsi="Times New Roman" w:cs="Times New Roman"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A84193A"/>
    <w:multiLevelType w:val="singleLevel"/>
    <w:tmpl w:val="E16099B4"/>
    <w:lvl w:ilvl="0">
      <w:start w:val="6"/>
      <w:numFmt w:val="decimal"/>
      <w:lvlText w:val="4.%1"/>
      <w:legacy w:legacy="1" w:legacySpace="0" w:legacyIndent="715"/>
      <w:lvlJc w:val="left"/>
      <w:rPr>
        <w:rFonts w:ascii="Times New Roman" w:hAnsi="Times New Roman" w:cs="Times New Roman" w:hint="default"/>
      </w:rPr>
    </w:lvl>
  </w:abstractNum>
  <w:abstractNum w:abstractNumId="12">
    <w:nsid w:val="3DD24F6A"/>
    <w:multiLevelType w:val="hybridMultilevel"/>
    <w:tmpl w:val="DBDA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C427B"/>
    <w:multiLevelType w:val="singleLevel"/>
    <w:tmpl w:val="3D36BF60"/>
    <w:lvl w:ilvl="0">
      <w:start w:val="6"/>
      <w:numFmt w:val="decimal"/>
      <w:lvlText w:val="6.%1"/>
      <w:legacy w:legacy="1" w:legacySpace="0" w:legacyIndent="715"/>
      <w:lvlJc w:val="left"/>
      <w:rPr>
        <w:rFonts w:ascii="Times New Roman" w:hAnsi="Times New Roman" w:cs="Times New Roman" w:hint="default"/>
      </w:rPr>
    </w:lvl>
  </w:abstractNum>
  <w:abstractNum w:abstractNumId="14">
    <w:nsid w:val="4CDE187F"/>
    <w:multiLevelType w:val="hybridMultilevel"/>
    <w:tmpl w:val="D3A6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A1D78"/>
    <w:multiLevelType w:val="singleLevel"/>
    <w:tmpl w:val="8C482D60"/>
    <w:lvl w:ilvl="0">
      <w:start w:val="4"/>
      <w:numFmt w:val="decimal"/>
      <w:lvlText w:val="6.%1"/>
      <w:legacy w:legacy="1" w:legacySpace="0" w:legacyIndent="715"/>
      <w:lvlJc w:val="left"/>
      <w:rPr>
        <w:rFonts w:ascii="Times New Roman" w:hAnsi="Times New Roman" w:cs="Times New Roman" w:hint="default"/>
      </w:rPr>
    </w:lvl>
  </w:abstractNum>
  <w:abstractNum w:abstractNumId="16">
    <w:nsid w:val="51975EDD"/>
    <w:multiLevelType w:val="singleLevel"/>
    <w:tmpl w:val="231EA9C0"/>
    <w:lvl w:ilvl="0">
      <w:start w:val="3"/>
      <w:numFmt w:val="decimal"/>
      <w:lvlText w:val="6.%1"/>
      <w:legacy w:legacy="1" w:legacySpace="0" w:legacyIndent="715"/>
      <w:lvlJc w:val="left"/>
      <w:rPr>
        <w:rFonts w:ascii="Times New Roman" w:hAnsi="Times New Roman" w:cs="Times New Roman" w:hint="default"/>
      </w:rPr>
    </w:lvl>
  </w:abstractNum>
  <w:abstractNum w:abstractNumId="17">
    <w:nsid w:val="55F8627A"/>
    <w:multiLevelType w:val="hybridMultilevel"/>
    <w:tmpl w:val="E60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722DE"/>
    <w:multiLevelType w:val="hybridMultilevel"/>
    <w:tmpl w:val="9934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31041"/>
    <w:multiLevelType w:val="singleLevel"/>
    <w:tmpl w:val="8F9237D4"/>
    <w:lvl w:ilvl="0">
      <w:start w:val="3"/>
      <w:numFmt w:val="decimal"/>
      <w:lvlText w:val="4.%1"/>
      <w:legacy w:legacy="1" w:legacySpace="0" w:legacyIndent="715"/>
      <w:lvlJc w:val="left"/>
      <w:rPr>
        <w:rFonts w:ascii="Times New Roman" w:hAnsi="Times New Roman" w:cs="Times New Roman" w:hint="default"/>
      </w:rPr>
    </w:lvl>
  </w:abstractNum>
  <w:abstractNum w:abstractNumId="20">
    <w:nsid w:val="60C00385"/>
    <w:multiLevelType w:val="hybridMultilevel"/>
    <w:tmpl w:val="6966EC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4E32D6B"/>
    <w:multiLevelType w:val="hybridMultilevel"/>
    <w:tmpl w:val="482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8F0B50"/>
    <w:multiLevelType w:val="hybridMultilevel"/>
    <w:tmpl w:val="078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137C84"/>
    <w:multiLevelType w:val="hybridMultilevel"/>
    <w:tmpl w:val="567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5032CF"/>
    <w:multiLevelType w:val="singleLevel"/>
    <w:tmpl w:val="D8DAACCA"/>
    <w:lvl w:ilvl="0">
      <w:start w:val="1"/>
      <w:numFmt w:val="decimal"/>
      <w:lvlText w:val="6.%1"/>
      <w:legacy w:legacy="1" w:legacySpace="0" w:legacyIndent="715"/>
      <w:lvlJc w:val="left"/>
      <w:rPr>
        <w:rFonts w:ascii="Times New Roman" w:hAnsi="Times New Roman" w:cs="Times New Roman" w:hint="default"/>
      </w:rPr>
    </w:lvl>
  </w:abstractNum>
  <w:num w:numId="1">
    <w:abstractNumId w:val="9"/>
  </w:num>
  <w:num w:numId="2">
    <w:abstractNumId w:val="5"/>
  </w:num>
  <w:num w:numId="3">
    <w:abstractNumId w:val="19"/>
  </w:num>
  <w:num w:numId="4">
    <w:abstractNumId w:val="4"/>
  </w:num>
  <w:num w:numId="5">
    <w:abstractNumId w:val="11"/>
  </w:num>
  <w:num w:numId="6">
    <w:abstractNumId w:val="3"/>
  </w:num>
  <w:num w:numId="7">
    <w:abstractNumId w:val="24"/>
  </w:num>
  <w:num w:numId="8">
    <w:abstractNumId w:val="6"/>
  </w:num>
  <w:num w:numId="9">
    <w:abstractNumId w:val="16"/>
  </w:num>
  <w:num w:numId="10">
    <w:abstractNumId w:val="15"/>
  </w:num>
  <w:num w:numId="11">
    <w:abstractNumId w:val="1"/>
  </w:num>
  <w:num w:numId="12">
    <w:abstractNumId w:val="13"/>
  </w:num>
  <w:num w:numId="13">
    <w:abstractNumId w:val="7"/>
  </w:num>
  <w:num w:numId="14">
    <w:abstractNumId w:val="10"/>
  </w:num>
  <w:num w:numId="15">
    <w:abstractNumId w:val="2"/>
  </w:num>
  <w:num w:numId="16">
    <w:abstractNumId w:val="12"/>
  </w:num>
  <w:num w:numId="17">
    <w:abstractNumId w:val="14"/>
  </w:num>
  <w:num w:numId="18">
    <w:abstractNumId w:val="8"/>
  </w:num>
  <w:num w:numId="19">
    <w:abstractNumId w:val="17"/>
  </w:num>
  <w:num w:numId="20">
    <w:abstractNumId w:val="20"/>
  </w:num>
  <w:num w:numId="21">
    <w:abstractNumId w:val="23"/>
  </w:num>
  <w:num w:numId="22">
    <w:abstractNumId w:val="21"/>
  </w:num>
  <w:num w:numId="23">
    <w:abstractNumId w:val="18"/>
  </w:num>
  <w:num w:numId="24">
    <w:abstractNumId w:val="22"/>
  </w:num>
  <w:num w:numId="25">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2565E"/>
    <w:rsid w:val="000029F2"/>
    <w:rsid w:val="0002195B"/>
    <w:rsid w:val="00023D2A"/>
    <w:rsid w:val="00044403"/>
    <w:rsid w:val="0004600C"/>
    <w:rsid w:val="000A58F8"/>
    <w:rsid w:val="000B5426"/>
    <w:rsid w:val="000C04D0"/>
    <w:rsid w:val="000D0553"/>
    <w:rsid w:val="000E2D03"/>
    <w:rsid w:val="000F6468"/>
    <w:rsid w:val="00111BB7"/>
    <w:rsid w:val="00111F22"/>
    <w:rsid w:val="00114450"/>
    <w:rsid w:val="00117539"/>
    <w:rsid w:val="00123F5A"/>
    <w:rsid w:val="001417DA"/>
    <w:rsid w:val="00153204"/>
    <w:rsid w:val="001554F7"/>
    <w:rsid w:val="00176403"/>
    <w:rsid w:val="001B06FD"/>
    <w:rsid w:val="001D17F5"/>
    <w:rsid w:val="001D750A"/>
    <w:rsid w:val="001F0F6A"/>
    <w:rsid w:val="001F4ACE"/>
    <w:rsid w:val="00213ACF"/>
    <w:rsid w:val="00247638"/>
    <w:rsid w:val="002A0461"/>
    <w:rsid w:val="002B5025"/>
    <w:rsid w:val="002C5393"/>
    <w:rsid w:val="002D2C7A"/>
    <w:rsid w:val="002D36FC"/>
    <w:rsid w:val="002E5862"/>
    <w:rsid w:val="002F58F7"/>
    <w:rsid w:val="0030264A"/>
    <w:rsid w:val="00327806"/>
    <w:rsid w:val="00344747"/>
    <w:rsid w:val="0038404B"/>
    <w:rsid w:val="0039389B"/>
    <w:rsid w:val="003A1857"/>
    <w:rsid w:val="003B05BA"/>
    <w:rsid w:val="003B26F9"/>
    <w:rsid w:val="003B5BBC"/>
    <w:rsid w:val="003C2CA4"/>
    <w:rsid w:val="0042565E"/>
    <w:rsid w:val="00443A99"/>
    <w:rsid w:val="004463B3"/>
    <w:rsid w:val="00450E49"/>
    <w:rsid w:val="004736D8"/>
    <w:rsid w:val="004A3AE9"/>
    <w:rsid w:val="004A5589"/>
    <w:rsid w:val="004E4508"/>
    <w:rsid w:val="0053019C"/>
    <w:rsid w:val="00566F89"/>
    <w:rsid w:val="005739B9"/>
    <w:rsid w:val="00580D36"/>
    <w:rsid w:val="005943D3"/>
    <w:rsid w:val="005A2D8E"/>
    <w:rsid w:val="005A76BA"/>
    <w:rsid w:val="005B2129"/>
    <w:rsid w:val="005D5E57"/>
    <w:rsid w:val="005F60A0"/>
    <w:rsid w:val="005F75AA"/>
    <w:rsid w:val="006035A4"/>
    <w:rsid w:val="00614494"/>
    <w:rsid w:val="00626F20"/>
    <w:rsid w:val="00647A28"/>
    <w:rsid w:val="00653DFC"/>
    <w:rsid w:val="006658D8"/>
    <w:rsid w:val="0066657B"/>
    <w:rsid w:val="006853DA"/>
    <w:rsid w:val="006D4131"/>
    <w:rsid w:val="006E4AAB"/>
    <w:rsid w:val="00721091"/>
    <w:rsid w:val="00776489"/>
    <w:rsid w:val="00777DA9"/>
    <w:rsid w:val="007B0E1D"/>
    <w:rsid w:val="007F3084"/>
    <w:rsid w:val="0080512D"/>
    <w:rsid w:val="0087361D"/>
    <w:rsid w:val="00892B49"/>
    <w:rsid w:val="008C77AC"/>
    <w:rsid w:val="009264AE"/>
    <w:rsid w:val="00951213"/>
    <w:rsid w:val="00976063"/>
    <w:rsid w:val="00996E13"/>
    <w:rsid w:val="009A448C"/>
    <w:rsid w:val="009D6583"/>
    <w:rsid w:val="009E049D"/>
    <w:rsid w:val="00A02F59"/>
    <w:rsid w:val="00A072F5"/>
    <w:rsid w:val="00A216E8"/>
    <w:rsid w:val="00A54B25"/>
    <w:rsid w:val="00A6508E"/>
    <w:rsid w:val="00A772EA"/>
    <w:rsid w:val="00A804ED"/>
    <w:rsid w:val="00A81AC8"/>
    <w:rsid w:val="00B4239B"/>
    <w:rsid w:val="00B46E3C"/>
    <w:rsid w:val="00BA510D"/>
    <w:rsid w:val="00BC2E28"/>
    <w:rsid w:val="00BD1373"/>
    <w:rsid w:val="00BD5E74"/>
    <w:rsid w:val="00BF29E6"/>
    <w:rsid w:val="00BF3368"/>
    <w:rsid w:val="00C24182"/>
    <w:rsid w:val="00C25DC5"/>
    <w:rsid w:val="00C35880"/>
    <w:rsid w:val="00C51277"/>
    <w:rsid w:val="00C74425"/>
    <w:rsid w:val="00C87563"/>
    <w:rsid w:val="00CA1177"/>
    <w:rsid w:val="00CB3AE0"/>
    <w:rsid w:val="00CF5361"/>
    <w:rsid w:val="00D041ED"/>
    <w:rsid w:val="00D1788C"/>
    <w:rsid w:val="00D54AA0"/>
    <w:rsid w:val="00D82A7E"/>
    <w:rsid w:val="00D842DF"/>
    <w:rsid w:val="00D849E5"/>
    <w:rsid w:val="00D84F00"/>
    <w:rsid w:val="00DF1929"/>
    <w:rsid w:val="00E04A24"/>
    <w:rsid w:val="00E167E7"/>
    <w:rsid w:val="00E35AE3"/>
    <w:rsid w:val="00E572E6"/>
    <w:rsid w:val="00E644C7"/>
    <w:rsid w:val="00E7216F"/>
    <w:rsid w:val="00EA4C72"/>
    <w:rsid w:val="00EA57D4"/>
    <w:rsid w:val="00EC2C60"/>
    <w:rsid w:val="00EC2F30"/>
    <w:rsid w:val="00EC4E43"/>
    <w:rsid w:val="00ED443E"/>
    <w:rsid w:val="00EF4402"/>
    <w:rsid w:val="00F02138"/>
    <w:rsid w:val="00F02B78"/>
    <w:rsid w:val="00F6428C"/>
    <w:rsid w:val="00F70D26"/>
    <w:rsid w:val="00F86C3D"/>
    <w:rsid w:val="00FC74C3"/>
    <w:rsid w:val="00FD22F0"/>
    <w:rsid w:val="00FD6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E6"/>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A4C72"/>
    <w:pPr>
      <w:spacing w:line="504" w:lineRule="exact"/>
    </w:pPr>
  </w:style>
  <w:style w:type="paragraph" w:customStyle="1" w:styleId="Style2">
    <w:name w:val="Style2"/>
    <w:basedOn w:val="a"/>
    <w:uiPriority w:val="99"/>
    <w:rsid w:val="00EA4C72"/>
  </w:style>
  <w:style w:type="paragraph" w:customStyle="1" w:styleId="Style3">
    <w:name w:val="Style3"/>
    <w:basedOn w:val="a"/>
    <w:uiPriority w:val="99"/>
    <w:rsid w:val="00EA4C72"/>
    <w:pPr>
      <w:spacing w:line="365" w:lineRule="exact"/>
      <w:ind w:hanging="1944"/>
    </w:pPr>
  </w:style>
  <w:style w:type="paragraph" w:customStyle="1" w:styleId="Style4">
    <w:name w:val="Style4"/>
    <w:basedOn w:val="a"/>
    <w:uiPriority w:val="99"/>
    <w:rsid w:val="00EA4C72"/>
    <w:pPr>
      <w:spacing w:line="254" w:lineRule="exact"/>
      <w:jc w:val="both"/>
    </w:pPr>
  </w:style>
  <w:style w:type="paragraph" w:customStyle="1" w:styleId="Style5">
    <w:name w:val="Style5"/>
    <w:basedOn w:val="a"/>
    <w:uiPriority w:val="99"/>
    <w:rsid w:val="00EA4C72"/>
  </w:style>
  <w:style w:type="paragraph" w:customStyle="1" w:styleId="Style6">
    <w:name w:val="Style6"/>
    <w:basedOn w:val="a"/>
    <w:uiPriority w:val="99"/>
    <w:rsid w:val="00EA4C72"/>
    <w:pPr>
      <w:spacing w:line="509" w:lineRule="exact"/>
      <w:ind w:hanging="720"/>
    </w:pPr>
  </w:style>
  <w:style w:type="paragraph" w:customStyle="1" w:styleId="Style7">
    <w:name w:val="Style7"/>
    <w:basedOn w:val="a"/>
    <w:uiPriority w:val="99"/>
    <w:rsid w:val="00EA4C72"/>
    <w:pPr>
      <w:spacing w:line="253" w:lineRule="exact"/>
      <w:ind w:firstLine="259"/>
      <w:jc w:val="both"/>
    </w:pPr>
  </w:style>
  <w:style w:type="paragraph" w:customStyle="1" w:styleId="Style8">
    <w:name w:val="Style8"/>
    <w:basedOn w:val="a"/>
    <w:uiPriority w:val="99"/>
    <w:rsid w:val="00EA4C72"/>
    <w:pPr>
      <w:jc w:val="both"/>
    </w:pPr>
  </w:style>
  <w:style w:type="paragraph" w:customStyle="1" w:styleId="Style9">
    <w:name w:val="Style9"/>
    <w:basedOn w:val="a"/>
    <w:uiPriority w:val="99"/>
    <w:rsid w:val="00EA4C72"/>
    <w:pPr>
      <w:spacing w:line="250" w:lineRule="exact"/>
    </w:pPr>
  </w:style>
  <w:style w:type="paragraph" w:customStyle="1" w:styleId="Style10">
    <w:name w:val="Style10"/>
    <w:basedOn w:val="a"/>
    <w:uiPriority w:val="99"/>
    <w:rsid w:val="00EA4C72"/>
  </w:style>
  <w:style w:type="paragraph" w:customStyle="1" w:styleId="Style11">
    <w:name w:val="Style11"/>
    <w:basedOn w:val="a"/>
    <w:uiPriority w:val="99"/>
    <w:rsid w:val="00EA4C72"/>
    <w:pPr>
      <w:spacing w:line="251" w:lineRule="exact"/>
    </w:pPr>
  </w:style>
  <w:style w:type="paragraph" w:customStyle="1" w:styleId="Style12">
    <w:name w:val="Style12"/>
    <w:basedOn w:val="a"/>
    <w:uiPriority w:val="99"/>
    <w:rsid w:val="00EA4C72"/>
    <w:pPr>
      <w:spacing w:line="509" w:lineRule="exact"/>
      <w:ind w:firstLine="715"/>
    </w:pPr>
  </w:style>
  <w:style w:type="paragraph" w:customStyle="1" w:styleId="Style13">
    <w:name w:val="Style13"/>
    <w:basedOn w:val="a"/>
    <w:uiPriority w:val="99"/>
    <w:rsid w:val="00EA4C72"/>
  </w:style>
  <w:style w:type="paragraph" w:customStyle="1" w:styleId="Style14">
    <w:name w:val="Style14"/>
    <w:basedOn w:val="a"/>
    <w:uiPriority w:val="99"/>
    <w:rsid w:val="00EA4C72"/>
    <w:pPr>
      <w:spacing w:line="506" w:lineRule="exact"/>
      <w:ind w:hanging="360"/>
    </w:pPr>
  </w:style>
  <w:style w:type="paragraph" w:customStyle="1" w:styleId="Style15">
    <w:name w:val="Style15"/>
    <w:basedOn w:val="a"/>
    <w:uiPriority w:val="99"/>
    <w:rsid w:val="00EA4C72"/>
  </w:style>
  <w:style w:type="character" w:customStyle="1" w:styleId="FontStyle17">
    <w:name w:val="Font Style17"/>
    <w:uiPriority w:val="99"/>
    <w:rsid w:val="00EA4C72"/>
    <w:rPr>
      <w:rFonts w:ascii="Times New Roman" w:hAnsi="Times New Roman" w:cs="Times New Roman"/>
      <w:b/>
      <w:bCs/>
      <w:i/>
      <w:iCs/>
      <w:color w:val="000000"/>
      <w:sz w:val="20"/>
      <w:szCs w:val="20"/>
    </w:rPr>
  </w:style>
  <w:style w:type="character" w:customStyle="1" w:styleId="FontStyle18">
    <w:name w:val="Font Style18"/>
    <w:uiPriority w:val="99"/>
    <w:rsid w:val="00EA4C72"/>
    <w:rPr>
      <w:rFonts w:ascii="Times New Roman" w:hAnsi="Times New Roman" w:cs="Times New Roman"/>
      <w:color w:val="000000"/>
      <w:sz w:val="12"/>
      <w:szCs w:val="12"/>
    </w:rPr>
  </w:style>
  <w:style w:type="character" w:customStyle="1" w:styleId="FontStyle19">
    <w:name w:val="Font Style19"/>
    <w:uiPriority w:val="99"/>
    <w:rsid w:val="00EA4C72"/>
    <w:rPr>
      <w:rFonts w:ascii="Times New Roman" w:hAnsi="Times New Roman" w:cs="Times New Roman"/>
      <w:i/>
      <w:iCs/>
      <w:color w:val="000000"/>
      <w:sz w:val="20"/>
      <w:szCs w:val="20"/>
    </w:rPr>
  </w:style>
  <w:style w:type="character" w:customStyle="1" w:styleId="FontStyle20">
    <w:name w:val="Font Style20"/>
    <w:uiPriority w:val="99"/>
    <w:rsid w:val="00EA4C72"/>
    <w:rPr>
      <w:rFonts w:ascii="Arial" w:hAnsi="Arial" w:cs="Arial"/>
      <w:color w:val="000000"/>
      <w:sz w:val="22"/>
      <w:szCs w:val="22"/>
    </w:rPr>
  </w:style>
  <w:style w:type="character" w:customStyle="1" w:styleId="FontStyle21">
    <w:name w:val="Font Style21"/>
    <w:uiPriority w:val="99"/>
    <w:rsid w:val="00EA4C72"/>
    <w:rPr>
      <w:rFonts w:ascii="Times New Roman" w:hAnsi="Times New Roman" w:cs="Times New Roman"/>
      <w:b/>
      <w:bCs/>
      <w:color w:val="000000"/>
      <w:sz w:val="20"/>
      <w:szCs w:val="20"/>
    </w:rPr>
  </w:style>
  <w:style w:type="character" w:customStyle="1" w:styleId="FontStyle22">
    <w:name w:val="Font Style22"/>
    <w:uiPriority w:val="99"/>
    <w:rsid w:val="00EA4C72"/>
    <w:rPr>
      <w:rFonts w:ascii="Times New Roman" w:hAnsi="Times New Roman" w:cs="Times New Roman"/>
      <w:color w:val="000000"/>
      <w:sz w:val="20"/>
      <w:szCs w:val="20"/>
    </w:rPr>
  </w:style>
  <w:style w:type="character" w:customStyle="1" w:styleId="FontStyle23">
    <w:name w:val="Font Style23"/>
    <w:uiPriority w:val="99"/>
    <w:rsid w:val="00EA4C72"/>
    <w:rPr>
      <w:rFonts w:ascii="Times New Roman" w:hAnsi="Times New Roman" w:cs="Times New Roman"/>
      <w:color w:val="000000"/>
      <w:sz w:val="14"/>
      <w:szCs w:val="14"/>
    </w:rPr>
  </w:style>
  <w:style w:type="character" w:styleId="-">
    <w:name w:val="Hyperlink"/>
    <w:uiPriority w:val="99"/>
    <w:rsid w:val="00EA4C72"/>
    <w:rPr>
      <w:color w:val="0066CC"/>
      <w:u w:val="single"/>
    </w:rPr>
  </w:style>
  <w:style w:type="paragraph" w:styleId="a3">
    <w:name w:val="header"/>
    <w:basedOn w:val="a"/>
    <w:link w:val="Char"/>
    <w:uiPriority w:val="99"/>
    <w:unhideWhenUsed/>
    <w:rsid w:val="0042565E"/>
    <w:pPr>
      <w:tabs>
        <w:tab w:val="center" w:pos="4153"/>
        <w:tab w:val="right" w:pos="8306"/>
      </w:tabs>
    </w:pPr>
  </w:style>
  <w:style w:type="character" w:customStyle="1" w:styleId="Char">
    <w:name w:val="Κεφαλίδα Char"/>
    <w:link w:val="a3"/>
    <w:uiPriority w:val="99"/>
    <w:rsid w:val="0042565E"/>
    <w:rPr>
      <w:rFonts w:hAnsi="Times New Roman" w:cs="Times New Roman"/>
      <w:sz w:val="24"/>
      <w:szCs w:val="24"/>
    </w:rPr>
  </w:style>
  <w:style w:type="paragraph" w:styleId="a4">
    <w:name w:val="footer"/>
    <w:basedOn w:val="a"/>
    <w:link w:val="Char0"/>
    <w:uiPriority w:val="99"/>
    <w:unhideWhenUsed/>
    <w:rsid w:val="0042565E"/>
    <w:pPr>
      <w:tabs>
        <w:tab w:val="center" w:pos="4153"/>
        <w:tab w:val="right" w:pos="8306"/>
      </w:tabs>
    </w:pPr>
  </w:style>
  <w:style w:type="character" w:customStyle="1" w:styleId="Char0">
    <w:name w:val="Υποσέλιδο Char"/>
    <w:link w:val="a4"/>
    <w:uiPriority w:val="99"/>
    <w:rsid w:val="0042565E"/>
    <w:rPr>
      <w:rFonts w:hAnsi="Times New Roman" w:cs="Times New Roman"/>
      <w:sz w:val="24"/>
      <w:szCs w:val="24"/>
    </w:rPr>
  </w:style>
  <w:style w:type="paragraph" w:styleId="a5">
    <w:name w:val="List Paragraph"/>
    <w:basedOn w:val="a"/>
    <w:uiPriority w:val="34"/>
    <w:qFormat/>
    <w:rsid w:val="002E5862"/>
    <w:pPr>
      <w:keepLines/>
      <w:widowControl/>
      <w:tabs>
        <w:tab w:val="left" w:pos="567"/>
      </w:tabs>
      <w:autoSpaceDE/>
      <w:autoSpaceDN/>
      <w:adjustRightInd/>
      <w:spacing w:before="220" w:after="220"/>
      <w:ind w:left="720"/>
      <w:contextualSpacing/>
    </w:pPr>
    <w:rPr>
      <w:sz w:val="22"/>
      <w:szCs w:val="20"/>
      <w:lang w:val="en-GB" w:eastAsia="en-US"/>
    </w:rPr>
  </w:style>
  <w:style w:type="paragraph" w:styleId="a6">
    <w:name w:val="Balloon Text"/>
    <w:basedOn w:val="a"/>
    <w:link w:val="Char1"/>
    <w:uiPriority w:val="99"/>
    <w:semiHidden/>
    <w:unhideWhenUsed/>
    <w:rsid w:val="00EA57D4"/>
    <w:rPr>
      <w:rFonts w:ascii="Tahoma" w:hAnsi="Tahoma" w:cs="Tahoma"/>
      <w:sz w:val="16"/>
      <w:szCs w:val="16"/>
    </w:rPr>
  </w:style>
  <w:style w:type="character" w:customStyle="1" w:styleId="Char1">
    <w:name w:val="Κείμενο πλαισίου Char"/>
    <w:link w:val="a6"/>
    <w:uiPriority w:val="99"/>
    <w:semiHidden/>
    <w:rsid w:val="00EA5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5530</Words>
  <Characters>29867</Characters>
  <Application>Microsoft Office Word</Application>
  <DocSecurity>0</DocSecurity>
  <Lines>248</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Hewlett-Packard Company</Company>
  <LinksUpToDate>false</LinksUpToDate>
  <CharactersWithSpaces>35327</CharactersWithSpaces>
  <SharedDoc>false</SharedDoc>
  <HLinks>
    <vt:vector size="12" baseType="variant">
      <vt:variant>
        <vt:i4>6291555</vt:i4>
      </vt:variant>
      <vt:variant>
        <vt:i4>3</vt:i4>
      </vt:variant>
      <vt:variant>
        <vt:i4>0</vt:i4>
      </vt:variant>
      <vt:variant>
        <vt:i4>5</vt:i4>
      </vt:variant>
      <vt:variant>
        <vt:lpwstr>http://www.eof.gr/</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VOLIOTIN</dc:creator>
  <cp:lastModifiedBy>user146</cp:lastModifiedBy>
  <cp:revision>6</cp:revision>
  <cp:lastPrinted>2015-12-21T09:45:00Z</cp:lastPrinted>
  <dcterms:created xsi:type="dcterms:W3CDTF">2015-12-21T09:47:00Z</dcterms:created>
  <dcterms:modified xsi:type="dcterms:W3CDTF">2015-12-30T11:19:00Z</dcterms:modified>
</cp:coreProperties>
</file>