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C3" w:rsidRPr="00B963AF" w:rsidRDefault="00EB0298">
      <w:pPr>
        <w:spacing w:before="80" w:after="0" w:line="240" w:lineRule="auto"/>
        <w:ind w:left="1507" w:right="1513"/>
        <w:jc w:val="center"/>
        <w:rPr>
          <w:rFonts w:ascii="Times New Roman" w:eastAsia="Times New Roman" w:hAnsi="Times New Roman" w:cs="Times New Roman"/>
        </w:rPr>
      </w:pPr>
      <w:bookmarkStart w:id="0" w:name="_GoBack"/>
      <w:bookmarkEnd w:id="0"/>
      <w:r>
        <w:rPr>
          <w:rFonts w:ascii="Times New Roman" w:hAnsi="Times New Roman"/>
          <w:b/>
          <w:spacing w:val="-5"/>
        </w:rPr>
        <w:t>ΠΕΡΙΛΗΨΗ ΤΩΝ ΧΑΡΑΚΤΗΡΙΣΤΙΚΩΝ ΤΟΥ ΠΡΟΪΟΝΤΟΣ (DE/H/4015/001/DC)</w:t>
      </w:r>
    </w:p>
    <w:p w:rsidR="00B94745" w:rsidRPr="00B94745" w:rsidRDefault="00B94745" w:rsidP="00B94745">
      <w:pPr>
        <w:widowControl/>
        <w:spacing w:after="0" w:line="240" w:lineRule="auto"/>
        <w:rPr>
          <w:rFonts w:ascii="Times New Roman" w:eastAsia="Times New Roman" w:hAnsi="Times New Roman" w:cs="Times New Roman"/>
          <w:b/>
          <w:szCs w:val="20"/>
        </w:rPr>
      </w:pPr>
    </w:p>
    <w:p w:rsidR="00C964C3" w:rsidRPr="00B94745" w:rsidRDefault="00B94745" w:rsidP="00B94745">
      <w:pPr>
        <w:widowControl/>
        <w:spacing w:after="0" w:line="240" w:lineRule="auto"/>
        <w:rPr>
          <w:rFonts w:ascii="Times New Roman" w:eastAsia="Times New Roman" w:hAnsi="Times New Roman" w:cs="Times New Roman"/>
          <w:b/>
          <w:szCs w:val="20"/>
        </w:rPr>
      </w:pPr>
      <w:r>
        <w:rPr>
          <w:rFonts w:ascii="Times New Roman" w:hAnsi="Times New Roman"/>
          <w:b/>
        </w:rPr>
        <w:t>1.</w:t>
      </w:r>
      <w:r>
        <w:tab/>
      </w:r>
      <w:r>
        <w:rPr>
          <w:rFonts w:ascii="Times New Roman" w:hAnsi="Times New Roman"/>
          <w:b/>
        </w:rPr>
        <w:t>ΟΝΟΜΑΣΙΑ ΤΟΥ ΦΑΡΜΑΚΕΥΤΙΚΟΥ ΠΡΟΪΟΝΤΟΣ</w:t>
      </w:r>
    </w:p>
    <w:p w:rsidR="00C964C3" w:rsidRPr="00B963AF" w:rsidRDefault="00C964C3">
      <w:pPr>
        <w:spacing w:before="17" w:after="0" w:line="240" w:lineRule="exact"/>
        <w:rPr>
          <w:rFonts w:ascii="Times New Roman" w:hAnsi="Times New Roman" w:cs="Times New Roman"/>
          <w:sz w:val="24"/>
          <w:szCs w:val="24"/>
        </w:rPr>
      </w:pPr>
    </w:p>
    <w:p w:rsidR="00C964C3" w:rsidRPr="00B94745" w:rsidRDefault="00435B0E"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rPr>
        <w:t xml:space="preserve">CYCLOLUX 0,5 mmol ενέσιμο διάλυμα </w:t>
      </w:r>
    </w:p>
    <w:p w:rsidR="00C964C3" w:rsidRPr="00B963AF" w:rsidRDefault="00C964C3">
      <w:pPr>
        <w:spacing w:after="0" w:line="200" w:lineRule="exact"/>
        <w:rPr>
          <w:rFonts w:ascii="Times New Roman" w:hAnsi="Times New Roman" w:cs="Times New Roman"/>
          <w:sz w:val="20"/>
          <w:szCs w:val="20"/>
        </w:rPr>
      </w:pPr>
    </w:p>
    <w:p w:rsidR="00C964C3" w:rsidRPr="00B963AF" w:rsidRDefault="00B94745" w:rsidP="00B94745">
      <w:pPr>
        <w:widowControl/>
        <w:spacing w:after="0" w:line="240" w:lineRule="auto"/>
        <w:rPr>
          <w:rFonts w:ascii="Times New Roman" w:eastAsia="Times New Roman" w:hAnsi="Times New Roman" w:cs="Times New Roman"/>
        </w:rPr>
      </w:pPr>
      <w:r>
        <w:rPr>
          <w:rFonts w:ascii="Times New Roman" w:hAnsi="Times New Roman"/>
          <w:b/>
        </w:rPr>
        <w:t>2.</w:t>
      </w:r>
      <w:r>
        <w:tab/>
      </w:r>
      <w:r>
        <w:rPr>
          <w:rFonts w:ascii="Times New Roman" w:hAnsi="Times New Roman"/>
          <w:b/>
        </w:rPr>
        <w:t>ΠΟΙΟΤΙΚΗ ΚΑΙ ΠΟΣΟΤΙΚΗ ΣΥΝΘΕΣΗ</w:t>
      </w:r>
    </w:p>
    <w:p w:rsidR="00C964C3" w:rsidRPr="00B94745" w:rsidRDefault="00C964C3" w:rsidP="00B94745">
      <w:pPr>
        <w:tabs>
          <w:tab w:val="left" w:pos="567"/>
        </w:tabs>
        <w:spacing w:after="0" w:line="260" w:lineRule="exact"/>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1 ml ενέσιμου διαλύματος περιέχει 279,32 mg γαδοτερικού οξέος (ως άλας μεγλουμίνη</w:t>
      </w:r>
      <w:r w:rsidR="00067881">
        <w:rPr>
          <w:rFonts w:ascii="Times New Roman" w:hAnsi="Times New Roman"/>
        </w:rPr>
        <w:t>ς</w:t>
      </w:r>
      <w:r>
        <w:rPr>
          <w:rFonts w:ascii="Times New Roman" w:hAnsi="Times New Roman"/>
        </w:rPr>
        <w:t>), ισοδύναμα με 0,5 mmol.</w:t>
      </w:r>
    </w:p>
    <w:p w:rsidR="00F9031B" w:rsidRPr="00B94745" w:rsidRDefault="00F9031B" w:rsidP="00F9031B">
      <w:pPr>
        <w:shd w:val="pct10" w:color="auto" w:fill="auto"/>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10 ml ενέσιμου διαλύματος περιέχουν 2.793,2 mg γαδοτερικού οξέος (ως άλας μεγλουμίνη</w:t>
      </w:r>
      <w:r w:rsidR="00067881">
        <w:rPr>
          <w:rFonts w:ascii="Times New Roman" w:hAnsi="Times New Roman"/>
        </w:rPr>
        <w:t>ς</w:t>
      </w:r>
      <w:r>
        <w:rPr>
          <w:rFonts w:ascii="Times New Roman" w:hAnsi="Times New Roman"/>
        </w:rPr>
        <w:t>), ισοδύναμα με 5 mmol.</w:t>
      </w:r>
    </w:p>
    <w:p w:rsidR="00F9031B" w:rsidRDefault="00F9031B" w:rsidP="00F9031B">
      <w:pPr>
        <w:shd w:val="pct10" w:color="auto" w:fill="auto"/>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15 ml ενέσιμου διαλύματος περιέχουν 4.189,8 mg γαδοτερικού οξέος (ως άλας μεγλουμίνη</w:t>
      </w:r>
      <w:r w:rsidR="00067881">
        <w:rPr>
          <w:rFonts w:ascii="Times New Roman" w:hAnsi="Times New Roman"/>
        </w:rPr>
        <w:t>ς</w:t>
      </w:r>
      <w:r>
        <w:rPr>
          <w:rFonts w:ascii="Times New Roman" w:hAnsi="Times New Roman"/>
        </w:rPr>
        <w:t>), ισοδύναμα με 7,5 mmol.</w:t>
      </w:r>
    </w:p>
    <w:p w:rsidR="00F9031B" w:rsidRPr="00B94745" w:rsidRDefault="00F9031B" w:rsidP="00F9031B">
      <w:pPr>
        <w:shd w:val="pct10" w:color="auto" w:fill="auto"/>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20 ml ενέσιμου διαλύματος περιέχουν 5.586,4 mg γαδοτερικού οξέος (ως άλας μεγλουμίνη</w:t>
      </w:r>
      <w:r w:rsidR="00067881">
        <w:rPr>
          <w:rFonts w:ascii="Times New Roman" w:hAnsi="Times New Roman"/>
        </w:rPr>
        <w:t>ς</w:t>
      </w:r>
      <w:r>
        <w:rPr>
          <w:rFonts w:ascii="Times New Roman" w:hAnsi="Times New Roman"/>
        </w:rPr>
        <w:t>), ισοδύναμα με 10 mmol.</w:t>
      </w:r>
    </w:p>
    <w:p w:rsidR="00B94745" w:rsidRPr="00B94745" w:rsidRDefault="00B94745" w:rsidP="00B94745">
      <w:pPr>
        <w:tabs>
          <w:tab w:val="left" w:pos="567"/>
        </w:tabs>
        <w:spacing w:after="0" w:line="260" w:lineRule="exact"/>
        <w:jc w:val="both"/>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Για τον πλήρη κατάλογο των εκδόχων, βλ</w:t>
      </w:r>
      <w:r w:rsidR="004E2770">
        <w:rPr>
          <w:rFonts w:ascii="Times New Roman" w:hAnsi="Times New Roman"/>
        </w:rPr>
        <w:t>έπε</w:t>
      </w:r>
      <w:r>
        <w:rPr>
          <w:rFonts w:ascii="Times New Roman" w:hAnsi="Times New Roman"/>
        </w:rPr>
        <w:t xml:space="preserve"> παράγραφο 6.1.</w:t>
      </w:r>
    </w:p>
    <w:p w:rsidR="00C964C3" w:rsidRPr="00B94745" w:rsidRDefault="00C964C3" w:rsidP="00B94745">
      <w:pPr>
        <w:widowControl/>
        <w:spacing w:after="0" w:line="240" w:lineRule="auto"/>
        <w:rPr>
          <w:rFonts w:ascii="Times New Roman" w:eastAsia="Times New Roman" w:hAnsi="Times New Roman" w:cs="Times New Roman"/>
          <w:b/>
          <w:szCs w:val="20"/>
        </w:rPr>
      </w:pPr>
    </w:p>
    <w:p w:rsidR="00C964C3" w:rsidRPr="00B94745" w:rsidRDefault="00B94745" w:rsidP="00B94745">
      <w:pPr>
        <w:widowControl/>
        <w:spacing w:after="0" w:line="240" w:lineRule="auto"/>
        <w:rPr>
          <w:rFonts w:ascii="Times New Roman" w:eastAsia="Times New Roman" w:hAnsi="Times New Roman" w:cs="Times New Roman"/>
          <w:b/>
          <w:szCs w:val="20"/>
        </w:rPr>
      </w:pPr>
      <w:r>
        <w:rPr>
          <w:rFonts w:ascii="Times New Roman" w:hAnsi="Times New Roman"/>
          <w:b/>
        </w:rPr>
        <w:t>3.</w:t>
      </w:r>
      <w:r>
        <w:tab/>
      </w:r>
      <w:r>
        <w:rPr>
          <w:rFonts w:ascii="Times New Roman" w:hAnsi="Times New Roman"/>
          <w:b/>
        </w:rPr>
        <w:t>ΦΑΡΜΑΚΟΤΕΧΝΙΚΗ ΜΟΡΦΗ</w:t>
      </w:r>
    </w:p>
    <w:p w:rsidR="00C964C3" w:rsidRPr="00B94745" w:rsidRDefault="00C964C3" w:rsidP="00B94745">
      <w:pPr>
        <w:tabs>
          <w:tab w:val="left" w:pos="567"/>
        </w:tabs>
        <w:spacing w:after="0" w:line="260" w:lineRule="exact"/>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rPr>
        <w:t>Ενέσιμο διάλυμα.</w:t>
      </w:r>
    </w:p>
    <w:p w:rsidR="00C964C3" w:rsidRPr="00B94745" w:rsidRDefault="00EB0298"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rPr>
        <w:t>Διαυγές, άχρωμο έως κίτρινο διάλυμα.</w:t>
      </w:r>
    </w:p>
    <w:p w:rsidR="00A15A9D" w:rsidRPr="004E36D7" w:rsidRDefault="00A15A9D" w:rsidP="00A15A9D">
      <w:pPr>
        <w:spacing w:before="2" w:after="0" w:line="241" w:lineRule="auto"/>
        <w:ind w:right="102"/>
        <w:jc w:val="both"/>
        <w:rPr>
          <w:rFonts w:ascii="Times New Roman" w:eastAsia="Times New Roman" w:hAnsi="Times New Roman" w:cs="Times New Roman"/>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4011"/>
        <w:gridCol w:w="1701"/>
      </w:tblGrid>
      <w:tr w:rsidR="00A15A9D" w:rsidRPr="004E36D7" w:rsidTr="00A83911">
        <w:tc>
          <w:tcPr>
            <w:tcW w:w="4011" w:type="dxa"/>
            <w:tcBorders>
              <w:top w:val="single" w:sz="6" w:space="0" w:color="000000"/>
              <w:left w:val="single" w:sz="6" w:space="0" w:color="000000"/>
              <w:bottom w:val="single" w:sz="6" w:space="0" w:color="000000"/>
              <w:right w:val="single" w:sz="6" w:space="0" w:color="000000"/>
            </w:tcBorders>
          </w:tcPr>
          <w:p w:rsidR="00A15A9D" w:rsidRPr="004E36D7" w:rsidRDefault="00A15A9D" w:rsidP="00067881">
            <w:pPr>
              <w:spacing w:before="40" w:after="40" w:line="240" w:lineRule="auto"/>
              <w:ind w:right="102"/>
              <w:jc w:val="both"/>
              <w:rPr>
                <w:rFonts w:ascii="Times New Roman" w:eastAsia="Times New Roman" w:hAnsi="Times New Roman" w:cs="Times New Roman"/>
                <w:szCs w:val="20"/>
              </w:rPr>
            </w:pPr>
            <w:r>
              <w:rPr>
                <w:rFonts w:ascii="Times New Roman" w:hAnsi="Times New Roman"/>
              </w:rPr>
              <w:t>Συγκέντρωση σκιαγραφικού μέσου</w:t>
            </w:r>
          </w:p>
        </w:tc>
        <w:tc>
          <w:tcPr>
            <w:tcW w:w="1701" w:type="dxa"/>
            <w:tcBorders>
              <w:top w:val="single" w:sz="6" w:space="0" w:color="000000"/>
              <w:left w:val="single" w:sz="6" w:space="0" w:color="000000"/>
              <w:bottom w:val="single" w:sz="6" w:space="0" w:color="000000"/>
              <w:right w:val="single" w:sz="6" w:space="0" w:color="000000"/>
            </w:tcBorders>
          </w:tcPr>
          <w:p w:rsidR="00A15A9D" w:rsidRPr="004E36D7" w:rsidRDefault="00A15A9D" w:rsidP="00067881">
            <w:pPr>
              <w:spacing w:before="40" w:after="40" w:line="240" w:lineRule="auto"/>
              <w:ind w:right="102"/>
              <w:jc w:val="center"/>
              <w:rPr>
                <w:rFonts w:ascii="Times New Roman" w:eastAsia="Times New Roman" w:hAnsi="Times New Roman" w:cs="Times New Roman"/>
                <w:szCs w:val="20"/>
              </w:rPr>
            </w:pPr>
            <w:r>
              <w:rPr>
                <w:rFonts w:ascii="Times New Roman" w:hAnsi="Times New Roman"/>
              </w:rPr>
              <w:t>279,32 mg/ml</w:t>
            </w:r>
          </w:p>
          <w:p w:rsidR="00A15A9D" w:rsidRPr="004E36D7" w:rsidRDefault="00A15A9D" w:rsidP="00067881">
            <w:pPr>
              <w:spacing w:before="40" w:after="40" w:line="240" w:lineRule="auto"/>
              <w:ind w:right="102"/>
              <w:jc w:val="center"/>
              <w:rPr>
                <w:rFonts w:ascii="Times New Roman" w:eastAsia="Times New Roman" w:hAnsi="Times New Roman" w:cs="Times New Roman"/>
                <w:szCs w:val="20"/>
              </w:rPr>
            </w:pPr>
            <w:r>
              <w:rPr>
                <w:rFonts w:ascii="Times New Roman" w:hAnsi="Times New Roman"/>
              </w:rPr>
              <w:t>0,5 mmol/ml</w:t>
            </w:r>
          </w:p>
        </w:tc>
      </w:tr>
      <w:tr w:rsidR="00A15A9D" w:rsidRPr="004E36D7" w:rsidTr="00A83911">
        <w:tc>
          <w:tcPr>
            <w:tcW w:w="4011" w:type="dxa"/>
            <w:tcBorders>
              <w:top w:val="single" w:sz="6" w:space="0" w:color="000000"/>
              <w:left w:val="single" w:sz="6" w:space="0" w:color="000000"/>
              <w:bottom w:val="single" w:sz="6" w:space="0" w:color="000000"/>
              <w:right w:val="single" w:sz="6" w:space="0" w:color="000000"/>
            </w:tcBorders>
          </w:tcPr>
          <w:p w:rsidR="00A15A9D" w:rsidRPr="004E36D7" w:rsidRDefault="00A15A9D" w:rsidP="00067881">
            <w:pPr>
              <w:spacing w:before="40" w:after="40" w:line="240" w:lineRule="auto"/>
              <w:ind w:right="102"/>
              <w:jc w:val="both"/>
              <w:rPr>
                <w:rFonts w:ascii="Times New Roman" w:eastAsia="Times New Roman" w:hAnsi="Times New Roman" w:cs="Times New Roman"/>
                <w:szCs w:val="20"/>
              </w:rPr>
            </w:pPr>
            <w:r>
              <w:rPr>
                <w:rFonts w:ascii="Times New Roman" w:hAnsi="Times New Roman"/>
              </w:rPr>
              <w:t>Ωσμομοριακότητα κατά βάρος στους 37°C</w:t>
            </w:r>
          </w:p>
        </w:tc>
        <w:tc>
          <w:tcPr>
            <w:tcW w:w="1701" w:type="dxa"/>
            <w:tcBorders>
              <w:top w:val="single" w:sz="6" w:space="0" w:color="000000"/>
              <w:left w:val="single" w:sz="6" w:space="0" w:color="000000"/>
              <w:bottom w:val="single" w:sz="6" w:space="0" w:color="000000"/>
              <w:right w:val="single" w:sz="6" w:space="0" w:color="000000"/>
            </w:tcBorders>
          </w:tcPr>
          <w:p w:rsidR="00A15A9D" w:rsidRPr="004E36D7" w:rsidRDefault="00A15A9D" w:rsidP="00067881">
            <w:pPr>
              <w:spacing w:before="40" w:after="40" w:line="240" w:lineRule="auto"/>
              <w:ind w:right="102"/>
              <w:jc w:val="center"/>
              <w:rPr>
                <w:rFonts w:ascii="Times New Roman" w:eastAsia="Times New Roman" w:hAnsi="Times New Roman" w:cs="Times New Roman"/>
                <w:szCs w:val="20"/>
              </w:rPr>
            </w:pPr>
            <w:r>
              <w:rPr>
                <w:rFonts w:ascii="Times New Roman" w:hAnsi="Times New Roman"/>
              </w:rPr>
              <w:t>1,35 Osm/kg H</w:t>
            </w:r>
            <w:r>
              <w:rPr>
                <w:rFonts w:ascii="Times New Roman" w:hAnsi="Times New Roman"/>
                <w:vertAlign w:val="subscript"/>
              </w:rPr>
              <w:t>2</w:t>
            </w:r>
            <w:r>
              <w:rPr>
                <w:rFonts w:ascii="Times New Roman" w:hAnsi="Times New Roman"/>
              </w:rPr>
              <w:t>O</w:t>
            </w:r>
          </w:p>
        </w:tc>
      </w:tr>
      <w:tr w:rsidR="00A15A9D" w:rsidRPr="004E36D7" w:rsidTr="00A83911">
        <w:tc>
          <w:tcPr>
            <w:tcW w:w="4011" w:type="dxa"/>
            <w:tcBorders>
              <w:top w:val="single" w:sz="6" w:space="0" w:color="000000"/>
              <w:left w:val="single" w:sz="6" w:space="0" w:color="000000"/>
              <w:bottom w:val="single" w:sz="6" w:space="0" w:color="000000"/>
              <w:right w:val="single" w:sz="6" w:space="0" w:color="000000"/>
            </w:tcBorders>
          </w:tcPr>
          <w:p w:rsidR="00A15A9D" w:rsidRPr="004E36D7" w:rsidRDefault="00A15A9D" w:rsidP="00067881">
            <w:pPr>
              <w:spacing w:before="40" w:after="40" w:line="240" w:lineRule="auto"/>
              <w:ind w:right="102"/>
              <w:jc w:val="both"/>
              <w:rPr>
                <w:rFonts w:ascii="Times New Roman" w:eastAsia="Times New Roman" w:hAnsi="Times New Roman" w:cs="Times New Roman"/>
                <w:szCs w:val="20"/>
              </w:rPr>
            </w:pPr>
            <w:r>
              <w:rPr>
                <w:rFonts w:ascii="Times New Roman" w:hAnsi="Times New Roman"/>
              </w:rPr>
              <w:t>Ιξώδες στους 37°C</w:t>
            </w:r>
          </w:p>
        </w:tc>
        <w:tc>
          <w:tcPr>
            <w:tcW w:w="1701" w:type="dxa"/>
            <w:tcBorders>
              <w:top w:val="single" w:sz="6" w:space="0" w:color="000000"/>
              <w:left w:val="single" w:sz="6" w:space="0" w:color="000000"/>
              <w:bottom w:val="single" w:sz="6" w:space="0" w:color="000000"/>
              <w:right w:val="single" w:sz="6" w:space="0" w:color="000000"/>
            </w:tcBorders>
          </w:tcPr>
          <w:p w:rsidR="00A15A9D" w:rsidRPr="004E36D7" w:rsidRDefault="00A15A9D" w:rsidP="00067881">
            <w:pPr>
              <w:spacing w:before="40" w:after="40" w:line="240" w:lineRule="auto"/>
              <w:ind w:right="102"/>
              <w:jc w:val="center"/>
              <w:rPr>
                <w:rFonts w:ascii="Times New Roman" w:eastAsia="Times New Roman" w:hAnsi="Times New Roman" w:cs="Times New Roman"/>
                <w:szCs w:val="20"/>
              </w:rPr>
            </w:pPr>
            <w:r>
              <w:rPr>
                <w:rFonts w:ascii="Times New Roman" w:hAnsi="Times New Roman"/>
              </w:rPr>
              <w:t>1,8 mPas</w:t>
            </w:r>
          </w:p>
        </w:tc>
      </w:tr>
      <w:tr w:rsidR="00A46290" w:rsidRPr="004E36D7" w:rsidTr="00A83911">
        <w:tc>
          <w:tcPr>
            <w:tcW w:w="4011" w:type="dxa"/>
            <w:tcBorders>
              <w:top w:val="single" w:sz="6" w:space="0" w:color="000000"/>
              <w:left w:val="single" w:sz="6" w:space="0" w:color="000000"/>
              <w:bottom w:val="single" w:sz="6" w:space="0" w:color="000000"/>
              <w:right w:val="single" w:sz="6" w:space="0" w:color="000000"/>
            </w:tcBorders>
          </w:tcPr>
          <w:p w:rsidR="00A46290" w:rsidRPr="004E36D7" w:rsidRDefault="00A46290" w:rsidP="00067881">
            <w:pPr>
              <w:spacing w:before="40" w:after="40" w:line="240" w:lineRule="auto"/>
              <w:ind w:right="102"/>
              <w:jc w:val="both"/>
              <w:rPr>
                <w:rFonts w:ascii="Times New Roman" w:eastAsia="Times New Roman" w:hAnsi="Times New Roman" w:cs="Times New Roman"/>
                <w:szCs w:val="20"/>
              </w:rPr>
            </w:pPr>
            <w:r>
              <w:rPr>
                <w:rFonts w:ascii="Times New Roman" w:hAnsi="Times New Roman"/>
              </w:rPr>
              <w:t>Τιμή pΗ</w:t>
            </w:r>
          </w:p>
        </w:tc>
        <w:tc>
          <w:tcPr>
            <w:tcW w:w="1701" w:type="dxa"/>
            <w:tcBorders>
              <w:top w:val="single" w:sz="6" w:space="0" w:color="000000"/>
              <w:left w:val="single" w:sz="6" w:space="0" w:color="000000"/>
              <w:bottom w:val="single" w:sz="6" w:space="0" w:color="000000"/>
              <w:right w:val="single" w:sz="6" w:space="0" w:color="000000"/>
            </w:tcBorders>
          </w:tcPr>
          <w:p w:rsidR="00A46290" w:rsidRDefault="00A46290" w:rsidP="00C15B20">
            <w:pPr>
              <w:spacing w:before="40" w:after="40" w:line="240" w:lineRule="auto"/>
              <w:ind w:right="102"/>
              <w:jc w:val="center"/>
              <w:rPr>
                <w:rFonts w:ascii="Times New Roman" w:eastAsia="Times New Roman" w:hAnsi="Times New Roman" w:cs="Times New Roman"/>
                <w:szCs w:val="20"/>
              </w:rPr>
            </w:pPr>
            <w:r>
              <w:rPr>
                <w:rFonts w:ascii="Times New Roman" w:hAnsi="Times New Roman"/>
              </w:rPr>
              <w:t>6,5</w:t>
            </w:r>
            <w:r w:rsidR="00C15B20">
              <w:rPr>
                <w:rFonts w:ascii="Times New Roman" w:hAnsi="Times New Roman"/>
                <w:lang w:val="en-US"/>
              </w:rPr>
              <w:t>-</w:t>
            </w:r>
            <w:r>
              <w:rPr>
                <w:rFonts w:ascii="Times New Roman" w:hAnsi="Times New Roman"/>
              </w:rPr>
              <w:t>8,0</w:t>
            </w:r>
          </w:p>
        </w:tc>
      </w:tr>
    </w:tbl>
    <w:p w:rsidR="00C964C3" w:rsidRPr="00B94745" w:rsidRDefault="00C964C3">
      <w:pPr>
        <w:spacing w:after="0" w:line="200" w:lineRule="exact"/>
        <w:rPr>
          <w:rFonts w:ascii="Times New Roman" w:hAnsi="Times New Roman" w:cs="Times New Roman"/>
          <w:sz w:val="20"/>
          <w:szCs w:val="20"/>
        </w:rPr>
      </w:pPr>
    </w:p>
    <w:p w:rsidR="00C964C3" w:rsidRPr="00B94745" w:rsidRDefault="00EB0298" w:rsidP="00B94745">
      <w:pPr>
        <w:widowControl/>
        <w:spacing w:after="0" w:line="240" w:lineRule="auto"/>
        <w:rPr>
          <w:rFonts w:ascii="Times New Roman" w:eastAsia="Times New Roman" w:hAnsi="Times New Roman" w:cs="Times New Roman"/>
          <w:b/>
          <w:szCs w:val="20"/>
        </w:rPr>
      </w:pPr>
      <w:r>
        <w:rPr>
          <w:rFonts w:ascii="Times New Roman" w:hAnsi="Times New Roman"/>
          <w:b/>
        </w:rPr>
        <w:t>4.</w:t>
      </w:r>
      <w:r>
        <w:tab/>
      </w:r>
      <w:r>
        <w:rPr>
          <w:rFonts w:ascii="Times New Roman" w:hAnsi="Times New Roman"/>
          <w:b/>
        </w:rPr>
        <w:t>ΚΛΙΝΙΚΕΣ ΠΛΗΡΟΦΟΡΙΕΣ</w:t>
      </w:r>
    </w:p>
    <w:p w:rsidR="00C964C3" w:rsidRPr="00B94745" w:rsidRDefault="00C964C3">
      <w:pPr>
        <w:spacing w:before="17" w:after="0" w:line="240" w:lineRule="exact"/>
        <w:rPr>
          <w:rFonts w:ascii="Times New Roman" w:hAnsi="Times New Roman" w:cs="Times New Roman"/>
          <w:sz w:val="24"/>
          <w:szCs w:val="24"/>
        </w:rPr>
      </w:pPr>
    </w:p>
    <w:p w:rsidR="00C964C3" w:rsidRPr="00B94745" w:rsidRDefault="00EB0298" w:rsidP="00B94745">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4.1</w:t>
      </w:r>
      <w:r>
        <w:tab/>
      </w:r>
      <w:r>
        <w:tab/>
      </w:r>
      <w:r>
        <w:rPr>
          <w:rFonts w:ascii="Times New Roman" w:hAnsi="Times New Roman"/>
          <w:b/>
        </w:rPr>
        <w:t>Θεραπευτικές ενδείξεις</w:t>
      </w:r>
    </w:p>
    <w:p w:rsidR="00C964C3" w:rsidRPr="00B94745" w:rsidRDefault="00C964C3" w:rsidP="00B94745">
      <w:pPr>
        <w:tabs>
          <w:tab w:val="left" w:pos="567"/>
        </w:tabs>
        <w:spacing w:after="0" w:line="260" w:lineRule="exact"/>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rPr>
        <w:t>Αυτό το φαρμακευτικό προϊόν προορίζεται για διαγνωστική χρήση μόνο.</w:t>
      </w:r>
    </w:p>
    <w:p w:rsidR="00C964C3" w:rsidRPr="00B94745" w:rsidRDefault="00EB0298"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rPr>
        <w:t>Ενίσχυση της αντίθεσης σε τεχνικές μαγνητικής τομογραφίας (MRI) για βελτιωμένη οπτικοποίηση/</w:t>
      </w:r>
      <w:r w:rsidR="00946C11">
        <w:rPr>
          <w:rFonts w:ascii="Times New Roman" w:hAnsi="Times New Roman"/>
        </w:rPr>
        <w:t>σκιαγράφ</w:t>
      </w:r>
      <w:r>
        <w:rPr>
          <w:rFonts w:ascii="Times New Roman" w:hAnsi="Times New Roman"/>
        </w:rPr>
        <w:t>ηση:</w:t>
      </w:r>
    </w:p>
    <w:p w:rsidR="00C964C3" w:rsidRPr="00B94745" w:rsidRDefault="00EB0298" w:rsidP="00B94745">
      <w:pPr>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 MRI του ΚΝΣ, συμπεριλαμβανομένων βλαβών του εγκεφάλου, της σπονδυλικής στήλης και των περιβαλλόντων ιστών.</w:t>
      </w:r>
    </w:p>
    <w:p w:rsidR="00C964C3" w:rsidRPr="00B94745" w:rsidRDefault="00EB0298"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rPr>
        <w:t xml:space="preserve">- </w:t>
      </w:r>
      <w:r w:rsidR="0045059B">
        <w:rPr>
          <w:rFonts w:ascii="Times New Roman" w:hAnsi="Times New Roman"/>
        </w:rPr>
        <w:t>ολόσωμη</w:t>
      </w:r>
      <w:r>
        <w:rPr>
          <w:rFonts w:ascii="Times New Roman" w:hAnsi="Times New Roman"/>
        </w:rPr>
        <w:t xml:space="preserve"> MRI, συμπεριλαμβανομένων βλαβών του ήπατος, των νεφρών, του παγκρέατος, της πυέλου, των πνευμόνων, της καρδιάς, του στήθους και του μυοσκελετικού συστήματος.</w:t>
      </w:r>
    </w:p>
    <w:p w:rsidR="00C964C3" w:rsidRPr="00B94745" w:rsidRDefault="00EB0298"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rPr>
        <w:t>- αγγειογραφία μαγνητικού συντονισμού, συμπεριλαμβανομένων βλαβών ή στενώσεων των μη στεφανιαίων αρτηριών.</w:t>
      </w:r>
    </w:p>
    <w:p w:rsidR="00C964C3" w:rsidRPr="00A11767" w:rsidRDefault="00C964C3" w:rsidP="00A11767">
      <w:pPr>
        <w:spacing w:before="2" w:after="0" w:line="241" w:lineRule="auto"/>
        <w:ind w:right="102"/>
        <w:jc w:val="both"/>
        <w:rPr>
          <w:rFonts w:ascii="Times New Roman" w:hAnsi="Times New Roman"/>
        </w:rPr>
      </w:pPr>
    </w:p>
    <w:p w:rsidR="00236472" w:rsidRPr="00A11767" w:rsidRDefault="00236472" w:rsidP="00A11767">
      <w:pPr>
        <w:spacing w:before="2" w:after="0" w:line="241" w:lineRule="auto"/>
        <w:ind w:right="102"/>
        <w:jc w:val="both"/>
        <w:rPr>
          <w:rFonts w:ascii="Times New Roman" w:hAnsi="Times New Roman"/>
        </w:rPr>
      </w:pPr>
      <w:r w:rsidRPr="00A11767">
        <w:rPr>
          <w:rFonts w:ascii="Times New Roman" w:hAnsi="Times New Roman"/>
        </w:rPr>
        <w:t xml:space="preserve">Το </w:t>
      </w:r>
      <w:r>
        <w:rPr>
          <w:rFonts w:ascii="Times New Roman" w:hAnsi="Times New Roman"/>
          <w:lang w:val="de-AT"/>
        </w:rPr>
        <w:t>Cyclolux</w:t>
      </w:r>
      <w:r w:rsidRPr="00A11767">
        <w:rPr>
          <w:rFonts w:ascii="Times New Roman" w:hAnsi="Times New Roman"/>
        </w:rPr>
        <w:t xml:space="preserve"> πρέπει να χρησιμοποιείται μόνο όταν οι διαγνωστικές πληροφορίες είναι απαραίτητες και μη διαθέσιμες με μη ενισχυμένη απεικόνιση μαγνητικού συντονισμού (MRI).</w:t>
      </w:r>
    </w:p>
    <w:p w:rsidR="00236472" w:rsidRPr="00A11767" w:rsidRDefault="00236472" w:rsidP="00B94745">
      <w:pPr>
        <w:tabs>
          <w:tab w:val="left" w:pos="567"/>
        </w:tabs>
        <w:spacing w:after="0" w:line="260" w:lineRule="exact"/>
        <w:rPr>
          <w:rFonts w:ascii="Times New Roman" w:eastAsia="Times New Roman" w:hAnsi="Times New Roman" w:cs="Times New Roman"/>
          <w:szCs w:val="20"/>
          <w:lang w:val="de-AT"/>
        </w:rPr>
      </w:pPr>
    </w:p>
    <w:p w:rsidR="00C964C3" w:rsidRPr="00B94745" w:rsidRDefault="00EB0298" w:rsidP="00B94745">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4.2</w:t>
      </w:r>
      <w:r>
        <w:tab/>
      </w:r>
      <w:r>
        <w:rPr>
          <w:rFonts w:ascii="Times New Roman" w:hAnsi="Times New Roman"/>
          <w:b/>
        </w:rPr>
        <w:t>Δοσολογία και τρόπος χορήγησης</w:t>
      </w:r>
    </w:p>
    <w:p w:rsidR="00C964C3" w:rsidRDefault="00C964C3">
      <w:pPr>
        <w:spacing w:before="17" w:after="0" w:line="240" w:lineRule="exact"/>
        <w:rPr>
          <w:rFonts w:ascii="Times New Roman" w:hAnsi="Times New Roman" w:cs="Times New Roman"/>
          <w:sz w:val="24"/>
          <w:szCs w:val="24"/>
          <w:lang w:val="de-AT"/>
        </w:rPr>
      </w:pPr>
    </w:p>
    <w:p w:rsidR="00236472" w:rsidRPr="00A11767" w:rsidRDefault="00236472" w:rsidP="00A11767">
      <w:pPr>
        <w:spacing w:before="2" w:after="0" w:line="241" w:lineRule="auto"/>
        <w:ind w:right="102"/>
        <w:jc w:val="both"/>
        <w:rPr>
          <w:rFonts w:ascii="Times New Roman" w:hAnsi="Times New Roman"/>
        </w:rPr>
      </w:pPr>
      <w:r w:rsidRPr="00A11767">
        <w:rPr>
          <w:rFonts w:ascii="Times New Roman" w:hAnsi="Times New Roman"/>
        </w:rPr>
        <w:t>Πρέπει να χρησιμοποιείται η χαμηλότερη δόση που παρέχει επαρκή ενίσχυση για διαγνωστικούς σκοπούς. Η δόση πρέπει να υπολογίζεται με βάση το σωματικό βάρος του ασθενούς και δεν πρέπει να υπερβαίνει τη συνιστώμενη δόση ανά χιλιόγραμμο σωματικού βάρους που καθορίζεται σε αυτήν την παράγραφο.</w:t>
      </w:r>
    </w:p>
    <w:p w:rsidR="00236472" w:rsidRPr="00A11767" w:rsidRDefault="00236472">
      <w:pPr>
        <w:spacing w:before="17" w:after="0" w:line="240" w:lineRule="exact"/>
        <w:rPr>
          <w:rFonts w:ascii="Times New Roman" w:hAnsi="Times New Roman" w:cs="Times New Roman"/>
          <w:sz w:val="24"/>
          <w:szCs w:val="24"/>
          <w:lang w:val="de-AT"/>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Δοσολογία</w:t>
      </w:r>
    </w:p>
    <w:p w:rsidR="00C964C3" w:rsidRPr="00B94745" w:rsidRDefault="00C964C3" w:rsidP="00B94745">
      <w:pPr>
        <w:tabs>
          <w:tab w:val="left" w:pos="567"/>
        </w:tabs>
        <w:spacing w:after="0" w:line="260" w:lineRule="exact"/>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szCs w:val="20"/>
          <w:u w:val="single"/>
        </w:rPr>
      </w:pPr>
      <w:r>
        <w:rPr>
          <w:rFonts w:ascii="Times New Roman" w:hAnsi="Times New Roman"/>
          <w:u w:val="single"/>
        </w:rPr>
        <w:lastRenderedPageBreak/>
        <w:t>MRI εγκεφάλου και σπονδυλικής στήλης:</w:t>
      </w:r>
    </w:p>
    <w:p w:rsidR="00C964C3" w:rsidRPr="00B94745" w:rsidRDefault="00EB0298" w:rsidP="00B94745">
      <w:pPr>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Σε νευρολογικές εξετάσεις, η δόση μπορεί να κυμαίνεται από 0,1 έως 0,3 mmol/kg σ.β., που αντιστοιχούν σε 0,2 έως 0,6 ml/kg σ.β. Μετά από χορήγηση 0,1 mmol/kg σ.β. σε ασθενείς με εγκεφαλικούς όγκους, μια επιπρόσθετη δόση 0,2 mmol/kg σ.β. ενδέχεται να βελτιώσει τον χαρακτηρισμό του όγκου και να διευκολύνει τη λήψη αποφάσεων σχετικά με τη θεραπεία.</w:t>
      </w:r>
    </w:p>
    <w:p w:rsidR="00C964C3" w:rsidRPr="00B94745" w:rsidRDefault="00C964C3" w:rsidP="00B94745">
      <w:pPr>
        <w:tabs>
          <w:tab w:val="left" w:pos="567"/>
        </w:tabs>
        <w:spacing w:after="0" w:line="260" w:lineRule="exact"/>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szCs w:val="20"/>
          <w:u w:val="single"/>
        </w:rPr>
      </w:pPr>
      <w:r>
        <w:rPr>
          <w:rFonts w:ascii="Times New Roman" w:hAnsi="Times New Roman"/>
          <w:u w:val="single"/>
        </w:rPr>
        <w:t>MRI άλλων οργάνων και αγγειογραφία:</w:t>
      </w:r>
    </w:p>
    <w:p w:rsidR="00C964C3" w:rsidRPr="008D340B" w:rsidRDefault="00EB0298" w:rsidP="008D340B">
      <w:pPr>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Η συνιστώμενη δόση για ενδοφλέβια ένεση είναι 0,1 mmol/kg (δηλαδή 0,2 ml/kg) προκειμένου να επιτευχθεί διαγνωστικά επαρκής αντίθεση.</w:t>
      </w:r>
    </w:p>
    <w:p w:rsidR="00C964C3" w:rsidRPr="00B94745" w:rsidRDefault="00EB0298" w:rsidP="00B94745">
      <w:pPr>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Αγγειογραφία: Σε εξαιρετικές περιστάσεις (π.χ. αδυναμία επίτευξης ικανοποιητικών εικόνων μιας εκτεταμένης αγγειακής περιοχής) ενδέχεται να είναι δικαιολογημένη η χορήγηση δεύτερης διαδοχικής ένεσης 0,1 mmol/kg σ.β., ισοδύναμων με 0,2 ml/kg σ.β.</w:t>
      </w:r>
      <w:r w:rsidR="00744883" w:rsidRPr="00744883">
        <w:rPr>
          <w:rFonts w:ascii="Times New Roman" w:hAnsi="Times New Roman"/>
        </w:rPr>
        <w:t>.</w:t>
      </w:r>
      <w:r>
        <w:rPr>
          <w:rFonts w:ascii="Times New Roman" w:hAnsi="Times New Roman"/>
        </w:rPr>
        <w:t xml:space="preserve"> Ωστόσο, αν αναμένεται η χρήση 2 διαδοχικών δόσεων Cyclolux πριν από την εκκίνηση της αγγειογραφίας, η χρήση 0,05 mmol/kg σ.β., ισοδύναμων με 0,1 ml/kg σ.β. για κάθε δόση ενδέχεται να είναι ωφέλιμη, ανάλογα με τον διαθέσιμο απεικονιστικό εξοπλισμό.</w:t>
      </w:r>
    </w:p>
    <w:p w:rsidR="00C964C3" w:rsidRPr="00B94745" w:rsidRDefault="00C964C3" w:rsidP="00B94745">
      <w:pPr>
        <w:tabs>
          <w:tab w:val="left" w:pos="567"/>
        </w:tabs>
        <w:spacing w:after="0" w:line="260" w:lineRule="exact"/>
        <w:rPr>
          <w:rFonts w:ascii="Times New Roman" w:eastAsia="Times New Roman" w:hAnsi="Times New Roman" w:cs="Times New Roman"/>
          <w:b/>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Ειδικοί πληθυσμοί</w:t>
      </w:r>
    </w:p>
    <w:p w:rsidR="00B94745" w:rsidRDefault="00B94745" w:rsidP="00B94745">
      <w:pPr>
        <w:tabs>
          <w:tab w:val="left" w:pos="0"/>
        </w:tabs>
        <w:spacing w:after="0" w:line="260" w:lineRule="exact"/>
        <w:rPr>
          <w:rFonts w:ascii="Times New Roman" w:eastAsia="Times New Roman" w:hAnsi="Times New Roman" w:cs="Times New Roman"/>
          <w:szCs w:val="20"/>
          <w:u w:val="single"/>
        </w:rPr>
      </w:pPr>
    </w:p>
    <w:p w:rsidR="00C964C3" w:rsidRPr="00B94745" w:rsidRDefault="00EB0298" w:rsidP="00B94745">
      <w:pPr>
        <w:tabs>
          <w:tab w:val="left" w:pos="0"/>
        </w:tabs>
        <w:spacing w:after="0" w:line="260" w:lineRule="exact"/>
        <w:rPr>
          <w:rFonts w:ascii="Times New Roman" w:eastAsia="Times New Roman" w:hAnsi="Times New Roman" w:cs="Times New Roman"/>
          <w:szCs w:val="20"/>
          <w:u w:val="single"/>
        </w:rPr>
      </w:pPr>
      <w:r>
        <w:rPr>
          <w:rFonts w:ascii="Times New Roman" w:hAnsi="Times New Roman"/>
          <w:u w:val="single"/>
        </w:rPr>
        <w:t>Νεφρική δυσλειτουργία</w:t>
      </w:r>
    </w:p>
    <w:p w:rsidR="00C964C3" w:rsidRPr="00B94745" w:rsidRDefault="0045059B"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rPr>
        <w:t>Η δόση ενηλίκων ισχύει γ</w:t>
      </w:r>
      <w:r w:rsidR="00EB0298">
        <w:rPr>
          <w:rFonts w:ascii="Times New Roman" w:hAnsi="Times New Roman"/>
        </w:rPr>
        <w:t>ια ασθενείς με ήπια έως μέτρια νεφρική δυσλειτουργία (</w:t>
      </w:r>
      <w:r>
        <w:rPr>
          <w:rFonts w:ascii="Times New Roman" w:hAnsi="Times New Roman"/>
          <w:lang w:val="en-US"/>
        </w:rPr>
        <w:t>GFR</w:t>
      </w:r>
      <w:r w:rsidR="00EB0298">
        <w:rPr>
          <w:rFonts w:ascii="Times New Roman" w:hAnsi="Times New Roman"/>
        </w:rPr>
        <w:t> ≥ 30 ml/min/1,73 m</w:t>
      </w:r>
      <w:r w:rsidR="00EB0298">
        <w:rPr>
          <w:rFonts w:ascii="Times New Roman" w:hAnsi="Times New Roman"/>
          <w:vertAlign w:val="superscript"/>
        </w:rPr>
        <w:t>2</w:t>
      </w:r>
      <w:r w:rsidR="00EB0298">
        <w:rPr>
          <w:rFonts w:ascii="Times New Roman" w:hAnsi="Times New Roman"/>
        </w:rPr>
        <w:t>) .</w:t>
      </w:r>
    </w:p>
    <w:p w:rsidR="00C964C3" w:rsidRPr="00B94745" w:rsidRDefault="00C964C3" w:rsidP="00B94745">
      <w:pPr>
        <w:tabs>
          <w:tab w:val="left" w:pos="567"/>
        </w:tabs>
        <w:spacing w:after="0" w:line="260" w:lineRule="exact"/>
        <w:rPr>
          <w:rFonts w:ascii="Times New Roman" w:eastAsia="Times New Roman" w:hAnsi="Times New Roman" w:cs="Times New Roman"/>
          <w:szCs w:val="20"/>
        </w:rPr>
      </w:pPr>
    </w:p>
    <w:p w:rsidR="00C964C3" w:rsidRPr="00B94745" w:rsidRDefault="00435B0E" w:rsidP="00B94745">
      <w:pPr>
        <w:tabs>
          <w:tab w:val="left" w:pos="567"/>
        </w:tabs>
        <w:spacing w:after="0" w:line="260" w:lineRule="exact"/>
        <w:jc w:val="both"/>
        <w:rPr>
          <w:rFonts w:ascii="Times New Roman" w:eastAsia="Times New Roman" w:hAnsi="Times New Roman" w:cs="Times New Roman"/>
          <w:szCs w:val="20"/>
        </w:rPr>
      </w:pPr>
      <w:r>
        <w:rPr>
          <w:rFonts w:ascii="Times New Roman" w:hAnsi="Times New Roman"/>
        </w:rPr>
        <w:t>Το Cyclolux θα πρέπει να χρησιμοποιείται σε ασθενείς με βαριά νεφρική δυσλειτουργία (</w:t>
      </w:r>
      <w:r w:rsidR="0045059B">
        <w:rPr>
          <w:rFonts w:ascii="Times New Roman" w:hAnsi="Times New Roman"/>
          <w:lang w:val="en-US"/>
        </w:rPr>
        <w:t>GFR</w:t>
      </w:r>
      <w:r w:rsidR="0045059B">
        <w:rPr>
          <w:rFonts w:ascii="Times New Roman" w:hAnsi="Times New Roman"/>
        </w:rPr>
        <w:t> </w:t>
      </w:r>
      <w:r>
        <w:rPr>
          <w:rFonts w:ascii="Times New Roman" w:hAnsi="Times New Roman"/>
        </w:rPr>
        <w:t>&lt; 30 ml/min/1,73 m</w:t>
      </w:r>
      <w:r>
        <w:rPr>
          <w:rFonts w:ascii="Times New Roman" w:hAnsi="Times New Roman"/>
          <w:vertAlign w:val="superscript"/>
        </w:rPr>
        <w:t>2</w:t>
      </w:r>
      <w:r>
        <w:rPr>
          <w:rFonts w:ascii="Times New Roman" w:hAnsi="Times New Roman"/>
        </w:rPr>
        <w:t>) και σε ασθενείς στην περιεγχειρητική περίοδο μεταμόσχευσης ήπατος μόνο μετά από προσεκτική εκτίμηση της σχέσης οφέλους/κινδύνου και εάν η διαγνωστική πληροφορία είναι απαραίτητη και δεν μπορεί να ληφθεί με μη ενισχυμένη με σκιαγραφικό μέσο MRI (βλ. παράγραφο 4.4). Εάν χρειάζεται να χρησιμοποιήσετε το Cyclolux, η δόση δεν θα πρέπει να υπερβεί τα 0,1 mmol/kg σ.β.</w:t>
      </w:r>
      <w:r w:rsidR="00C15B20" w:rsidRPr="00C15B20">
        <w:rPr>
          <w:rFonts w:ascii="Times New Roman" w:hAnsi="Times New Roman"/>
        </w:rPr>
        <w:t>.</w:t>
      </w:r>
      <w:r>
        <w:rPr>
          <w:rFonts w:ascii="Times New Roman" w:hAnsi="Times New Roman"/>
        </w:rPr>
        <w:t xml:space="preserve"> Δεν θα πρέπει να χρησιμοποιηθούν περισσότερες από μία δόσεις σε μία σάρωση. Λόγω της έλλειψης πληροφοριών αναφορικά με την επαναλαμβανόμενη χορήγηση, οι ενέσεις Cyclolux δεν πρέπει να επαναλαμβάνονται, εκτός εάν το διάστημα μεταξύ των ενέσεων είναι τουλάχιστον 7 ημέρες.</w:t>
      </w:r>
    </w:p>
    <w:p w:rsidR="00C964C3" w:rsidRPr="00B94745" w:rsidRDefault="00C964C3" w:rsidP="00B94745">
      <w:pPr>
        <w:tabs>
          <w:tab w:val="left" w:pos="0"/>
        </w:tabs>
        <w:spacing w:after="0" w:line="260" w:lineRule="exact"/>
        <w:rPr>
          <w:rFonts w:ascii="Times New Roman" w:eastAsia="Times New Roman" w:hAnsi="Times New Roman" w:cs="Times New Roman"/>
          <w:szCs w:val="20"/>
          <w:u w:val="single"/>
        </w:rPr>
      </w:pPr>
    </w:p>
    <w:p w:rsidR="00C964C3" w:rsidRPr="00B94745" w:rsidRDefault="00EB0298" w:rsidP="00B94745">
      <w:pPr>
        <w:tabs>
          <w:tab w:val="left" w:pos="0"/>
        </w:tabs>
        <w:spacing w:after="0" w:line="260" w:lineRule="exact"/>
        <w:rPr>
          <w:rFonts w:ascii="Times New Roman" w:eastAsia="Times New Roman" w:hAnsi="Times New Roman" w:cs="Times New Roman"/>
          <w:szCs w:val="20"/>
          <w:u w:val="single"/>
        </w:rPr>
      </w:pPr>
      <w:r>
        <w:rPr>
          <w:rFonts w:ascii="Times New Roman" w:hAnsi="Times New Roman"/>
          <w:u w:val="single"/>
        </w:rPr>
        <w:t>Ηλικιωμένοι (ηλικίας 65 ετών και άνω)</w:t>
      </w:r>
    </w:p>
    <w:p w:rsidR="00C964C3" w:rsidRPr="00B94745" w:rsidRDefault="00EB0298" w:rsidP="00B94745">
      <w:pPr>
        <w:spacing w:before="2" w:after="0" w:line="240" w:lineRule="auto"/>
        <w:ind w:right="92"/>
        <w:jc w:val="both"/>
        <w:rPr>
          <w:rFonts w:ascii="Times New Roman" w:eastAsia="Times New Roman" w:hAnsi="Times New Roman" w:cs="Times New Roman"/>
          <w:szCs w:val="20"/>
        </w:rPr>
      </w:pPr>
      <w:r>
        <w:rPr>
          <w:rFonts w:ascii="Times New Roman" w:hAnsi="Times New Roman"/>
        </w:rPr>
        <w:t>Δεν θεωρείται απαραίτητη προσαρμογή της δοσολογίας. Πρέπει να δίνεται προσοχή σε ηλικιωμένους ασθενείς (βλ. παράγραφο 4.4).</w:t>
      </w:r>
    </w:p>
    <w:p w:rsidR="00C964C3" w:rsidRPr="00B94745" w:rsidRDefault="00C964C3" w:rsidP="00B94745">
      <w:pPr>
        <w:tabs>
          <w:tab w:val="left" w:pos="0"/>
        </w:tabs>
        <w:spacing w:after="0" w:line="260" w:lineRule="exact"/>
        <w:rPr>
          <w:rFonts w:ascii="Times New Roman" w:eastAsia="Times New Roman" w:hAnsi="Times New Roman" w:cs="Times New Roman"/>
          <w:szCs w:val="20"/>
          <w:u w:val="single"/>
        </w:rPr>
      </w:pPr>
    </w:p>
    <w:p w:rsidR="00C964C3" w:rsidRPr="00B94745" w:rsidRDefault="00EB0298" w:rsidP="00B94745">
      <w:pPr>
        <w:tabs>
          <w:tab w:val="left" w:pos="0"/>
        </w:tabs>
        <w:spacing w:after="0" w:line="260" w:lineRule="exact"/>
        <w:rPr>
          <w:rFonts w:ascii="Times New Roman" w:eastAsia="Times New Roman" w:hAnsi="Times New Roman" w:cs="Times New Roman"/>
          <w:szCs w:val="20"/>
          <w:u w:val="single"/>
        </w:rPr>
      </w:pPr>
      <w:r>
        <w:rPr>
          <w:rFonts w:ascii="Times New Roman" w:hAnsi="Times New Roman"/>
          <w:u w:val="single"/>
        </w:rPr>
        <w:t>Ηπατική δυσλειτουργία</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Σε αυτούς τους ασθενείς εφαρμόζεται η δόση ενηλίκων. Συνιστάται προσοχή, ειδικά στην περίπτωση περιεγχειρητικής περιόδου μεταμόσχευσης ήπατος (βλ. παραπάνω «Νεφρική δυσλειτουργία»).</w:t>
      </w:r>
    </w:p>
    <w:p w:rsidR="00C964C3" w:rsidRPr="00B94745" w:rsidRDefault="00C964C3" w:rsidP="00B94745">
      <w:pPr>
        <w:tabs>
          <w:tab w:val="left" w:pos="567"/>
        </w:tabs>
        <w:spacing w:after="0" w:line="260" w:lineRule="exact"/>
        <w:rPr>
          <w:rFonts w:ascii="Times New Roman" w:eastAsia="Times New Roman" w:hAnsi="Times New Roman" w:cs="Times New Roman"/>
          <w:b/>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Παιδιατρικός πληθυσμός</w:t>
      </w:r>
    </w:p>
    <w:p w:rsidR="00C964C3" w:rsidRPr="00744883"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Σε όλες τις ενδείξεις εκτός της αγγειογραφίας εφαρμοζεται δόση 0,1 mmol/kg σ.β.</w:t>
      </w:r>
      <w:r w:rsidR="00744883" w:rsidRPr="00744883">
        <w:rPr>
          <w:rFonts w:ascii="Times New Roman" w:hAnsi="Times New Roman"/>
        </w:rPr>
        <w:t>.</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Λόγω της ανώριμης νεφρικής λειτουργίας των νεογνών ηλικίας έως 4 εβδομάδων και των βρεφών ηλικίας έως 1 έτους, το Cyclolux θα πρέπει να χρησιμοποιείται σε αυτούς τους ασθενείς μόνο μετά από προσεκτική εξέταση, σε δόση που δεν υπερβαίνει τα 0,1 mmol/kg σ.β.</w:t>
      </w:r>
      <w:r w:rsidR="00C15B20" w:rsidRPr="00C15B20">
        <w:rPr>
          <w:rFonts w:ascii="Times New Roman" w:hAnsi="Times New Roman"/>
        </w:rPr>
        <w:t>.</w:t>
      </w:r>
      <w:r>
        <w:rPr>
          <w:rFonts w:ascii="Times New Roman" w:hAnsi="Times New Roman"/>
        </w:rPr>
        <w:t xml:space="preserve"> Δεν θα πρέπει να χρησιμοποιηθούν περισσότερες από μία δόσεις σε μία σάρωση. Λόγω της έλλειψης πληροφοριών αναφορικά με την επαναλαμβανόμενη χορήγηση, οι ενέσεις Cyclolux δεν πρέπει να επαναλαμβάνονται, εκτός εάν το διάστημα μεταξύ των ενέσεων είναι τουλάχιστον 7 ημέρες.</w:t>
      </w:r>
    </w:p>
    <w:p w:rsidR="00C964C3" w:rsidRPr="00B94745" w:rsidRDefault="00435B0E"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Το Cyclolux δεν συνιστάται για αγγειογραφία σε παιδιά ηλικίας μικρότερης των 18 ετών, λόγω ανεπάρκειας των δεδομένων για την αποτελεσματικότητα και την ασφάλεια σε αυτή την ένδειξη.</w:t>
      </w:r>
    </w:p>
    <w:p w:rsidR="00EE7142" w:rsidRDefault="00EE7142"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Η χρήση για ολόσωμη MRI δεν συνιστάται σε παιδιά ηλικίας μικρότερης των 6 μηνών.</w:t>
      </w:r>
    </w:p>
    <w:p w:rsidR="00EE7142" w:rsidRPr="00B94745" w:rsidRDefault="00EE7142"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szCs w:val="20"/>
        </w:rPr>
      </w:pPr>
      <w:r>
        <w:rPr>
          <w:rFonts w:ascii="Times New Roman" w:hAnsi="Times New Roman"/>
          <w:b/>
        </w:rPr>
        <w:t>Τρόπος χορήγησης</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Το προϊόν ενδείκνυται για ενδοφλέβια χορήγηση μόνο.</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Ρυθμός έγχυσης: 3</w:t>
      </w:r>
      <w:r w:rsidR="00C15B20" w:rsidRPr="00C15B20">
        <w:rPr>
          <w:rFonts w:ascii="Times New Roman" w:hAnsi="Times New Roman"/>
        </w:rPr>
        <w:t>-</w:t>
      </w:r>
      <w:r>
        <w:rPr>
          <w:rFonts w:ascii="Times New Roman" w:hAnsi="Times New Roman"/>
        </w:rPr>
        <w:t>5 ml/min (Υψηλότεροι ρυθμοί έγχυσης, έως και 120 ml/min, δηλαδή 2 ml/sec, μπορούν να χρησιμοποιηθούν για αγγειογραφικές διαδικασίες.)</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Βέλτιστη απεικόνιση: εντός 45 λεπτών από την ένεση</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Βέλτιστη ακολουθία εικόνας: Τ1-σταθμισμένη</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Η ενδαγγειακή χορήγηση σκιαγραφικών μέσων θα πρέπει, εάν είναι δυνατόν, να πραγματοποιείται με τον ασθενή σε οριζόντια θέση. Μετά τη χορήγηση, ο ασθενής θα πρέπει να παραμένει υπό παρατήρηση για </w:t>
      </w:r>
      <w:r>
        <w:rPr>
          <w:rFonts w:ascii="Times New Roman" w:hAnsi="Times New Roman"/>
        </w:rPr>
        <w:lastRenderedPageBreak/>
        <w:t>τουλάχιστον μισή ώρα, καθώς η εμπειρία δείχνει ότι η πλειοψηφία των ανεπιθύμητων ενεργειών παρουσιάζονται μέσα σε αυτό το διάστημα.</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Προετοιμάστε μια σύριγγα με βελόνα. Αφαιρέστε τον πλαστικό δίσκο. Αφού καθαρίσετε το πώμα εισχώρησης με ένα τολύπιο εμποτισμένο με οινόπνευμα, τρυπήστε το πώμα με τη βελόνα. Αφαιρέστε την ποσότητα του προϊόντος που απαιτείται για την εξέταση και </w:t>
      </w:r>
      <w:r w:rsidR="006C4BC2">
        <w:rPr>
          <w:rFonts w:ascii="Times New Roman" w:hAnsi="Times New Roman"/>
        </w:rPr>
        <w:t>ενέ</w:t>
      </w:r>
      <w:r>
        <w:rPr>
          <w:rFonts w:ascii="Times New Roman" w:hAnsi="Times New Roman"/>
        </w:rPr>
        <w:t>στε την ενδοφλεβίως.</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Για μία μόνο χρήση. Κάθε αχρησιμοποίητο διάλυμα πρέπει να απορρίπτεται.</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Το ενέσιμο διάλυμα θα πρέπει να ελέγχεται οπτικά πριν τη χρήση. Θα πρέπει να χρησιμοποιούνται μόνο διαυγή διαλύματα, ελεύθερα ορατών σωματιδίων.</w:t>
      </w:r>
    </w:p>
    <w:p w:rsidR="00C964C3" w:rsidRPr="00B94745" w:rsidRDefault="00C964C3" w:rsidP="00B94745">
      <w:pPr>
        <w:widowControl/>
        <w:spacing w:after="0" w:line="240" w:lineRule="auto"/>
        <w:ind w:left="567" w:hanging="567"/>
        <w:outlineLvl w:val="0"/>
        <w:rPr>
          <w:rFonts w:ascii="Times New Roman" w:eastAsia="Times New Roman" w:hAnsi="Times New Roman" w:cs="Times New Roman"/>
          <w:b/>
          <w:szCs w:val="20"/>
        </w:rPr>
      </w:pPr>
    </w:p>
    <w:p w:rsidR="00C964C3" w:rsidRPr="00B94745" w:rsidRDefault="00EB0298" w:rsidP="00B94745">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4.3</w:t>
      </w:r>
      <w:r>
        <w:tab/>
      </w:r>
      <w:r>
        <w:tab/>
      </w:r>
      <w:r>
        <w:rPr>
          <w:rFonts w:ascii="Times New Roman" w:hAnsi="Times New Roman"/>
          <w:b/>
        </w:rPr>
        <w:t>Αντενδείξεις</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Υπερευαισθησία στο γαδοτερικό οξύ, τη μεγλουμίνη ή οποιαδήποτε φαρμακευτικά προϊόντα που περιέχουν γαδολίνιο.</w:t>
      </w:r>
    </w:p>
    <w:p w:rsidR="00B94745" w:rsidRPr="00B94745" w:rsidRDefault="00B94745" w:rsidP="00B94745">
      <w:pPr>
        <w:widowControl/>
        <w:spacing w:after="0" w:line="240" w:lineRule="auto"/>
        <w:ind w:left="567" w:hanging="567"/>
        <w:outlineLvl w:val="0"/>
        <w:rPr>
          <w:rFonts w:ascii="Times New Roman" w:eastAsia="Times New Roman" w:hAnsi="Times New Roman" w:cs="Times New Roman"/>
          <w:b/>
          <w:szCs w:val="20"/>
        </w:rPr>
      </w:pPr>
    </w:p>
    <w:p w:rsidR="00C964C3" w:rsidRPr="00B94745" w:rsidRDefault="00EB0298" w:rsidP="00B94745">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4.4</w:t>
      </w:r>
      <w:r>
        <w:tab/>
      </w:r>
      <w:r>
        <w:tab/>
      </w:r>
      <w:r>
        <w:rPr>
          <w:rFonts w:ascii="Times New Roman" w:hAnsi="Times New Roman"/>
          <w:b/>
        </w:rPr>
        <w:t>Ειδικές προειδοποιήσεις και προφυλάξεις κατά τη χρήση</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Το γαδοτερικό οξύ δεν πρέπει να χορηγείται με υπαραχνοειδή (ή επισκληρίδιο) ένεση.</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Θα πρέπει να λαμβάνονται τα συνήθη μέτρα προφύλαξης για μαγνητική τομογραφία, όπως αποκλεισμός ασθενών με βηματοδότες, σιδηρομαγνητικούς αγγειακούς αγκτήρες, αντλίες έγχυσης, διεγέρτες νεύρου, κοχλιακά εμφυτεύματα ή πιθανολογούμενα μεταλλικά ξένα σώματα, ιδιαίτερα στο μάτι.</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Υπερευαισθησία</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pStyle w:val="a3"/>
        <w:numPr>
          <w:ilvl w:val="0"/>
          <w:numId w:val="6"/>
        </w:numPr>
        <w:spacing w:before="2" w:after="0" w:line="241" w:lineRule="auto"/>
        <w:ind w:left="567" w:right="102" w:hanging="426"/>
        <w:jc w:val="both"/>
        <w:rPr>
          <w:rFonts w:ascii="Times New Roman" w:eastAsia="Times New Roman" w:hAnsi="Times New Roman" w:cs="Times New Roman"/>
          <w:szCs w:val="20"/>
        </w:rPr>
      </w:pPr>
      <w:r>
        <w:rPr>
          <w:rFonts w:ascii="Times New Roman" w:hAnsi="Times New Roman"/>
        </w:rPr>
        <w:t>Όπως και με άλλα σκιαγραφικά μέσα που περιέχουν γαδολίνιο, μπορούν να παρουσιαστούν αντιδράσεις υπερευαισθησίας (βλ. «4.8 Ανεπιθύμητες ενέργειες»). Οι περισσότερες από αυτές τις αντιδράσεις εμφανίζονται τουλάχιστον μισή ώρα μετά την ένεση του σκιαγραφικού μέσου. Ωστόσο, όπως και με άλλα σκιαγραφικά μέσα αυτής της κατηγορίας, η εμφάνιση καθυστερημένων αντιδράσεων έως και μερικές μέρες μετά δεν μπορεί να αποκλειστεί.</w:t>
      </w:r>
    </w:p>
    <w:p w:rsidR="00CD0F87" w:rsidRPr="00B94745" w:rsidDel="00CD0F87" w:rsidRDefault="00CD0F87" w:rsidP="00CD0F87">
      <w:pPr>
        <w:pStyle w:val="a3"/>
        <w:numPr>
          <w:ilvl w:val="0"/>
          <w:numId w:val="6"/>
        </w:numPr>
        <w:spacing w:before="2" w:after="0" w:line="241" w:lineRule="auto"/>
        <w:ind w:left="567" w:right="102" w:hanging="426"/>
        <w:jc w:val="both"/>
        <w:rPr>
          <w:rFonts w:ascii="Times New Roman" w:eastAsia="Times New Roman" w:hAnsi="Times New Roman" w:cs="Times New Roman"/>
          <w:szCs w:val="20"/>
        </w:rPr>
      </w:pPr>
      <w:r>
        <w:rPr>
          <w:rFonts w:ascii="Times New Roman" w:hAnsi="Times New Roman"/>
        </w:rPr>
        <w:t xml:space="preserve">Οι ασθενείς με υπερευαισθησία ή προηγούμενη αντίδραση σε σκιαγραφικό μέσο </w:t>
      </w:r>
      <w:r w:rsidR="007F5B28">
        <w:rPr>
          <w:rFonts w:ascii="Times New Roman" w:hAnsi="Times New Roman"/>
        </w:rPr>
        <w:t>έχουν αυξημένο κίδυνο</w:t>
      </w:r>
      <w:r>
        <w:rPr>
          <w:rFonts w:ascii="Times New Roman" w:hAnsi="Times New Roman"/>
        </w:rPr>
        <w:t xml:space="preserve"> εμφάνιση</w:t>
      </w:r>
      <w:r w:rsidR="007F5B28">
        <w:rPr>
          <w:rFonts w:ascii="Times New Roman" w:hAnsi="Times New Roman"/>
        </w:rPr>
        <w:t>ς</w:t>
      </w:r>
      <w:r>
        <w:rPr>
          <w:rFonts w:ascii="Times New Roman" w:hAnsi="Times New Roman"/>
        </w:rPr>
        <w:t xml:space="preserve"> βαριάς αντίδρασης. Οι ασθενείς θα πρέπει να ρωτώνται σχετικά με τυχόν ιστορικό αλλεργίας (π.χ. πυρετού εκ χόρτου,</w:t>
      </w:r>
      <w:r w:rsidR="00946C11">
        <w:rPr>
          <w:rFonts w:ascii="Times New Roman" w:hAnsi="Times New Roman"/>
        </w:rPr>
        <w:t>κνίδωσης,</w:t>
      </w:r>
      <w:r>
        <w:rPr>
          <w:rFonts w:ascii="Times New Roman" w:hAnsi="Times New Roman"/>
        </w:rPr>
        <w:t xml:space="preserve"> άσθματος...) πριν την ένεση οποιουδήποτε σκιαγραφικού μέσου. Σε τέτοιους ασθενείς, η απόφαση να χρησιμοποιηθεί το Cyclolux πρέπει να ληφθεί μετά από προσεκτική εκτίμηση της σχέσης κινδύνου-οφέλους.</w:t>
      </w:r>
    </w:p>
    <w:p w:rsidR="00C964C3" w:rsidRPr="00CD0F87" w:rsidRDefault="00EB0298">
      <w:pPr>
        <w:pStyle w:val="a3"/>
        <w:numPr>
          <w:ilvl w:val="0"/>
          <w:numId w:val="6"/>
        </w:numPr>
        <w:spacing w:before="2" w:after="0" w:line="241" w:lineRule="auto"/>
        <w:ind w:left="567" w:right="102" w:hanging="426"/>
        <w:jc w:val="both"/>
        <w:rPr>
          <w:rFonts w:ascii="Times New Roman" w:eastAsia="Times New Roman" w:hAnsi="Times New Roman" w:cs="Times New Roman"/>
          <w:szCs w:val="20"/>
        </w:rPr>
      </w:pPr>
      <w:r>
        <w:rPr>
          <w:rFonts w:ascii="Times New Roman" w:hAnsi="Times New Roman"/>
        </w:rPr>
        <w:t>Όπως είναι γνωστό από τη χρήση ιωδιωμένων σκιαγραφικών μέσων, οι αντιδράσεις υπερευαισθησίας μπορούν να είναι σοβαρότερες σε ασθενείς που λαμβάνουν β-αναστολείς και ειδικά παρουσία βρογχικού άσθματος. Αυτοί οι ασθενείς ενδέχεται να είναι ανθεκτικοί στη συνήθη θεραπεία των αντιδράσεων υπερευαισθησίας με β-αγωνιστές.</w:t>
      </w:r>
    </w:p>
    <w:p w:rsidR="00C964C3" w:rsidRPr="00B94745" w:rsidRDefault="00EB0298" w:rsidP="00B94745">
      <w:pPr>
        <w:pStyle w:val="a3"/>
        <w:numPr>
          <w:ilvl w:val="0"/>
          <w:numId w:val="6"/>
        </w:numPr>
        <w:spacing w:before="2" w:after="0" w:line="241" w:lineRule="auto"/>
        <w:ind w:left="567" w:right="102" w:hanging="426"/>
        <w:jc w:val="both"/>
        <w:rPr>
          <w:rFonts w:ascii="Times New Roman" w:eastAsia="Times New Roman" w:hAnsi="Times New Roman" w:cs="Times New Roman"/>
          <w:szCs w:val="20"/>
        </w:rPr>
      </w:pPr>
      <w:r>
        <w:rPr>
          <w:rFonts w:ascii="Times New Roman" w:hAnsi="Times New Roman"/>
        </w:rPr>
        <w:t xml:space="preserve">Κατά τη διάρκεια της εξέτασης, είναι απαραίτητη η επίβλεψη από ιατρό. Εάν παρουσιαστούν αντιδράσεις υπερευαισθησίας, η χορήγηση του σκιαγραφικού μέσου πρέπει να σταματήσει αμέσως και  </w:t>
      </w:r>
      <w:r w:rsidR="00C15B20" w:rsidRPr="00C15B20">
        <w:rPr>
          <w:rFonts w:ascii="Times New Roman" w:hAnsi="Times New Roman"/>
        </w:rPr>
        <w:t>-</w:t>
      </w:r>
      <w:r>
        <w:rPr>
          <w:rFonts w:ascii="Times New Roman" w:hAnsi="Times New Roman"/>
        </w:rPr>
        <w:t>εάν απαιτείται</w:t>
      </w:r>
      <w:r w:rsidR="00C15B20" w:rsidRPr="003C373E">
        <w:rPr>
          <w:rFonts w:ascii="Times New Roman" w:hAnsi="Times New Roman"/>
        </w:rPr>
        <w:t>-</w:t>
      </w:r>
      <w:r>
        <w:rPr>
          <w:rFonts w:ascii="Times New Roman" w:hAnsi="Times New Roman"/>
        </w:rPr>
        <w:t xml:space="preserve"> να εφαρμόζεται </w:t>
      </w:r>
      <w:r w:rsidR="007F5B28">
        <w:rPr>
          <w:rFonts w:ascii="Times New Roman" w:hAnsi="Times New Roman"/>
        </w:rPr>
        <w:t>εξειδικευμένη</w:t>
      </w:r>
      <w:r>
        <w:rPr>
          <w:rFonts w:ascii="Times New Roman" w:hAnsi="Times New Roman"/>
        </w:rPr>
        <w:t xml:space="preserve"> θεραπεία. Συνεπώς, πρέπει να διατηρείται φλεβική πρόσβαση καθόλη τη διάρκεια της εξέτασης. Προκειμένου να είναι δυνατή η λήψη άμεσων μέτρων αντιμετώπισης, θα πρέπει να υπάρχουν άμεσα διαθέσιμα κατάλληλα φάρμακα (π.χ. επινεφρίνη και αντιισταμινικά), ενδοτραχι</w:t>
      </w:r>
      <w:r w:rsidR="007F5B28">
        <w:rPr>
          <w:rFonts w:ascii="Times New Roman" w:hAnsi="Times New Roman"/>
        </w:rPr>
        <w:t>α</w:t>
      </w:r>
      <w:r>
        <w:rPr>
          <w:rFonts w:ascii="Times New Roman" w:hAnsi="Times New Roman"/>
        </w:rPr>
        <w:t>κός σωλήνας και αναπνευστήρας.</w:t>
      </w:r>
    </w:p>
    <w:p w:rsidR="00C964C3" w:rsidRPr="00B963AF" w:rsidRDefault="00C964C3">
      <w:pPr>
        <w:spacing w:before="16" w:after="0" w:line="240" w:lineRule="exact"/>
        <w:rPr>
          <w:rFonts w:ascii="Times New Roman" w:hAnsi="Times New Roman" w:cs="Times New Roman"/>
          <w:sz w:val="24"/>
          <w:szCs w:val="24"/>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Νεφρική δυσλειτουργία</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spacing w:before="2" w:after="0" w:line="241" w:lineRule="auto"/>
        <w:ind w:right="102"/>
        <w:jc w:val="both"/>
        <w:rPr>
          <w:rFonts w:ascii="Times New Roman" w:eastAsia="Times New Roman" w:hAnsi="Times New Roman" w:cs="Times New Roman"/>
          <w:b/>
          <w:szCs w:val="20"/>
        </w:rPr>
      </w:pPr>
      <w:r>
        <w:rPr>
          <w:rFonts w:ascii="Times New Roman" w:hAnsi="Times New Roman"/>
          <w:b/>
        </w:rPr>
        <w:t>Πριν από τη χορήγηση του Cyclolux, συνιστάται όλοι οι ασθενείς να ελέγχονται για νεφρική δυσλειτουργία με διενέργεια εργαστηριακών εξετάσεων.</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Έχουν υπάρξει αναφορές νεφρογενούς συστηματικής ίνωσης (ΝΣΙ) συσχετιζόμενης με τη χρήση μερικών σκιαγραφικών παραγόντων που περιέχουν γαδολίνιο σε ασθενείς με οξεία ή χρόνια βαριά νεφρική δυσλειτουργία (</w:t>
      </w:r>
      <w:r w:rsidR="007F5B28">
        <w:rPr>
          <w:rFonts w:ascii="Times New Roman" w:hAnsi="Times New Roman"/>
          <w:lang w:val="en-US"/>
        </w:rPr>
        <w:t>GFR</w:t>
      </w:r>
      <w:r>
        <w:rPr>
          <w:rFonts w:ascii="Times New Roman" w:hAnsi="Times New Roman"/>
        </w:rPr>
        <w:t> &lt; 30 ml/min/1,73m</w:t>
      </w:r>
      <w:r>
        <w:rPr>
          <w:rFonts w:ascii="Times New Roman" w:hAnsi="Times New Roman"/>
          <w:vertAlign w:val="superscript"/>
        </w:rPr>
        <w:t>2</w:t>
      </w:r>
      <w:r>
        <w:rPr>
          <w:rFonts w:ascii="Times New Roman" w:hAnsi="Times New Roman"/>
        </w:rPr>
        <w:t xml:space="preserve">). Οι ασθενείς που υποβάλλονται σε μεταμόσχευση ήπατος βρίσκονται σε ιδιαίτερο κίνδυνο, καθώς η συχνότητα εμφάνισης οξείας νεφρικής ανεπάρκειας είναι υψηλή σε αυτή την ομάδα. Καθώς με το Cyclolux </w:t>
      </w:r>
      <w:r w:rsidR="007F5B28">
        <w:rPr>
          <w:rFonts w:ascii="Times New Roman" w:hAnsi="Times New Roman"/>
        </w:rPr>
        <w:t>υπάρχει</w:t>
      </w:r>
      <w:r>
        <w:rPr>
          <w:rFonts w:ascii="Times New Roman" w:hAnsi="Times New Roman"/>
        </w:rPr>
        <w:t xml:space="preserve"> η δυνατότητα να εμφανιστεί ΝΣΙ, σε ασθενείς με βαριά νεφρική δυσλειτουργία και σε ασθενείς στην περιεγχειρητική περίοδο μεταμόσχευσης ήπατος </w:t>
      </w:r>
      <w:r w:rsidR="00BC786E">
        <w:rPr>
          <w:rFonts w:ascii="Times New Roman" w:hAnsi="Times New Roman"/>
        </w:rPr>
        <w:t xml:space="preserve">θα πρέπει αυτό </w:t>
      </w:r>
      <w:r w:rsidR="00BC786E">
        <w:rPr>
          <w:rFonts w:ascii="Times New Roman" w:hAnsi="Times New Roman"/>
        </w:rPr>
        <w:lastRenderedPageBreak/>
        <w:t xml:space="preserve">να χρησιμοποιείται </w:t>
      </w:r>
      <w:r>
        <w:rPr>
          <w:rFonts w:ascii="Times New Roman" w:hAnsi="Times New Roman"/>
        </w:rPr>
        <w:t>μόνο μετά από προσεκτική εκτίμηση της σχέσης οφέλους/κινδύνου και εάν η διαγνωστική πληροφορία είναι απαραίτητη και δεν μπορεί να ληφθεί με μη ενισχυμένη με σκιαγραφικό μέσο MRI.</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Η </w:t>
      </w:r>
      <w:r w:rsidR="00BC786E">
        <w:rPr>
          <w:rFonts w:ascii="Times New Roman" w:hAnsi="Times New Roman"/>
        </w:rPr>
        <w:t xml:space="preserve">αιμοκάθαρση </w:t>
      </w:r>
      <w:r>
        <w:rPr>
          <w:rFonts w:ascii="Times New Roman" w:hAnsi="Times New Roman"/>
        </w:rPr>
        <w:t>σε σύντομο χρόνο μετά τη χορήγηση του γαδοτερικού οξέος ενδέχεται να είναι χρήσιμη για την απομάκρυνση του γαδοτερικού οξέος από το σώμα. Δεν υπάρχουν στοιχεία που να υποστηρίζουν την εκκίνηση αιμο</w:t>
      </w:r>
      <w:r w:rsidR="00BC786E">
        <w:rPr>
          <w:rFonts w:ascii="Times New Roman" w:hAnsi="Times New Roman"/>
        </w:rPr>
        <w:t>κάθαρ</w:t>
      </w:r>
      <w:r>
        <w:rPr>
          <w:rFonts w:ascii="Times New Roman" w:hAnsi="Times New Roman"/>
        </w:rPr>
        <w:t>σης με σκοπό την πρόληψη ή τη θεραπεία της ΝΣΙ σε ασθενείς που δε</w:t>
      </w:r>
      <w:r w:rsidR="00BC786E">
        <w:rPr>
          <w:rFonts w:ascii="Times New Roman" w:hAnsi="Times New Roman"/>
        </w:rPr>
        <w:t>ν</w:t>
      </w:r>
      <w:r>
        <w:rPr>
          <w:rFonts w:ascii="Times New Roman" w:hAnsi="Times New Roman"/>
        </w:rPr>
        <w:t xml:space="preserve"> υποβάλλονται ήδη σε αιμο</w:t>
      </w:r>
      <w:r w:rsidR="00BC786E">
        <w:rPr>
          <w:rFonts w:ascii="Times New Roman" w:hAnsi="Times New Roman"/>
        </w:rPr>
        <w:t>κάθαρ</w:t>
      </w:r>
      <w:r>
        <w:rPr>
          <w:rFonts w:ascii="Times New Roman" w:hAnsi="Times New Roman"/>
        </w:rPr>
        <w:t>ση.</w:t>
      </w:r>
    </w:p>
    <w:p w:rsidR="00B94745" w:rsidRDefault="00B94745"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Ηλικιωμένοι</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Καθώς η νεφρ</w:t>
      </w:r>
      <w:r w:rsidR="00744883">
        <w:rPr>
          <w:rFonts w:ascii="Times New Roman" w:hAnsi="Times New Roman"/>
        </w:rPr>
        <w:t>ική κάθαρση του γαδοτερικού οξέο</w:t>
      </w:r>
      <w:r>
        <w:rPr>
          <w:rFonts w:ascii="Times New Roman" w:hAnsi="Times New Roman"/>
        </w:rPr>
        <w:t>ς ενδέχεται να είναι μειωμένη στους ηλικιωμένους, είναι ιδιαίτερα σημαντικός ο έλεγχος των ασθενών ηλικίας 65 και άνω για νεφρική δυσλειτουργία.</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Παιδιατρικός πληθυσμός</w:t>
      </w:r>
    </w:p>
    <w:p w:rsidR="00C964C3" w:rsidRPr="00B963AF" w:rsidRDefault="00C964C3">
      <w:pPr>
        <w:spacing w:before="2" w:after="0" w:line="120" w:lineRule="exact"/>
        <w:rPr>
          <w:rFonts w:ascii="Times New Roman" w:hAnsi="Times New Roman" w:cs="Times New Roman"/>
          <w:sz w:val="12"/>
          <w:szCs w:val="12"/>
        </w:rPr>
      </w:pPr>
    </w:p>
    <w:p w:rsidR="00C964C3" w:rsidRPr="00B94745" w:rsidRDefault="00EB0298" w:rsidP="00B94745">
      <w:pPr>
        <w:spacing w:before="2" w:after="0" w:line="241" w:lineRule="auto"/>
        <w:ind w:right="102"/>
        <w:jc w:val="both"/>
        <w:rPr>
          <w:rFonts w:ascii="Times New Roman" w:eastAsia="Times New Roman" w:hAnsi="Times New Roman" w:cs="Times New Roman"/>
          <w:szCs w:val="20"/>
          <w:u w:val="single"/>
        </w:rPr>
      </w:pPr>
      <w:r>
        <w:rPr>
          <w:rFonts w:ascii="Times New Roman" w:hAnsi="Times New Roman"/>
          <w:u w:val="single"/>
        </w:rPr>
        <w:t>Νεογνά και βρέφη</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Λόγω της ανώριμης νεφρικής λειτουργίας των νεογνών ηλικίας έως 4 εβδομάδων και των βρεφών ηλικίας έως 1 έτους, το Cyclolux θα πρέπει να χρησιμοποιείται σε αυτούς τους ασθενείς μόνο μετά από προσεκτική εξέταση.</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Σε νεογνά και βρέφη, η απαιτούμενη δόση θα πρέπει να χορηγείται χειρωνακτικά.</w:t>
      </w:r>
    </w:p>
    <w:p w:rsidR="00C964C3" w:rsidRPr="00B963AF" w:rsidRDefault="00C964C3">
      <w:pPr>
        <w:spacing w:before="17" w:after="0" w:line="240" w:lineRule="exact"/>
        <w:rPr>
          <w:rFonts w:ascii="Times New Roman" w:hAnsi="Times New Roman" w:cs="Times New Roman"/>
          <w:sz w:val="24"/>
          <w:szCs w:val="24"/>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Καρδιαγγειακή νόσος</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Σε ασθενείς με βαριά καρδιαγγειακή νόσο, το Cyclolux θα πρέπει να χορηγείται μόνο μετά από προσεκτική εκτίμηση της σχέσης κινδύνου-οφέλους, καθώς μέχρι τώρα είναι διαθέσιμα περιορισμένα μόνο δεδομένα.</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tabs>
          <w:tab w:val="left" w:pos="567"/>
        </w:tabs>
        <w:spacing w:after="0" w:line="260" w:lineRule="exact"/>
        <w:rPr>
          <w:rFonts w:ascii="Times New Roman" w:eastAsia="Times New Roman" w:hAnsi="Times New Roman" w:cs="Times New Roman"/>
          <w:b/>
          <w:szCs w:val="20"/>
        </w:rPr>
      </w:pPr>
      <w:r>
        <w:rPr>
          <w:rFonts w:ascii="Times New Roman" w:hAnsi="Times New Roman"/>
          <w:b/>
        </w:rPr>
        <w:t>Διαταραχές του ΚΝΣ</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Όπως και με άλλους σκιαγραφικούς παράγοντες που περιέχουν γαδολίνιο, απαιτείται ιδιαίτερη προφύλαξη σε ασθενείς με χαμηλό ουδό κρίσεων. Θα πρέπει να λαμβάνονται μέτρα προφύλαξης, π.χ. στενή παρακολούθηση. Όλος ο εξοπλισμός και τα φάρμακα που είναι απαραίτητα για την αντιμετώπιση τυχόν σπασμών που ενδέχεται να παρουσιαστούν πρέπει να είναι από πριν διαθέσιμα για χρήση.</w:t>
      </w:r>
    </w:p>
    <w:p w:rsidR="00B94745" w:rsidRPr="00B94745" w:rsidRDefault="00B94745"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4.5</w:t>
      </w:r>
      <w:r>
        <w:tab/>
      </w:r>
      <w:r>
        <w:tab/>
      </w:r>
      <w:r>
        <w:rPr>
          <w:rFonts w:ascii="Times New Roman" w:hAnsi="Times New Roman"/>
          <w:b/>
        </w:rPr>
        <w:t>Αλληλεπιδράσεις με άλλα φαρμακευτικά προϊόντα και άλλες μορφές αλληλεπίδρασης</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Δεν έχουν παρατηρηθεί αλληλεπιδράσεις με άλλα φαρμακευτικά προϊόντα. Δεν έχουν πραγματοποιηθεί επίσημες μελέτες αλληλεπιδράσεων.</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4.6</w:t>
      </w:r>
      <w:r>
        <w:tab/>
      </w:r>
      <w:r>
        <w:tab/>
      </w:r>
      <w:r>
        <w:rPr>
          <w:rFonts w:ascii="Times New Roman" w:hAnsi="Times New Roman"/>
          <w:b/>
        </w:rPr>
        <w:t>Γονιμότητα, κύηση και γαλουχία</w:t>
      </w:r>
    </w:p>
    <w:p w:rsidR="00C964C3" w:rsidRPr="00B963AF" w:rsidRDefault="00C964C3">
      <w:pPr>
        <w:spacing w:before="18" w:after="0" w:line="240" w:lineRule="exact"/>
        <w:rPr>
          <w:rFonts w:ascii="Times New Roman" w:hAnsi="Times New Roman" w:cs="Times New Roman"/>
          <w:sz w:val="24"/>
          <w:szCs w:val="24"/>
        </w:rPr>
      </w:pPr>
    </w:p>
    <w:p w:rsidR="00C964C3" w:rsidRPr="00D57E8E" w:rsidRDefault="00EB0298" w:rsidP="00B94745">
      <w:pPr>
        <w:spacing w:before="2" w:after="0" w:line="241" w:lineRule="auto"/>
        <w:ind w:right="102"/>
        <w:jc w:val="both"/>
        <w:rPr>
          <w:rFonts w:ascii="Times New Roman" w:eastAsia="Times New Roman" w:hAnsi="Times New Roman" w:cs="Times New Roman"/>
          <w:b/>
          <w:szCs w:val="20"/>
        </w:rPr>
      </w:pPr>
      <w:r>
        <w:rPr>
          <w:rFonts w:ascii="Times New Roman" w:hAnsi="Times New Roman"/>
          <w:b/>
        </w:rPr>
        <w:t>Εγκυμοσύνη</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Δεν υπάρχουν δεδομένα από τη χρήση γαδοτερικού οξέος σε έγκυες γυναίκες. Μελέτες σε ζώα δεν υποδεικνύουν άμεσες ή έμμεσες επιβλαβείς δράσεις αναφορικά με τοξικότητα </w:t>
      </w:r>
      <w:r w:rsidR="00BC786E">
        <w:rPr>
          <w:rFonts w:ascii="Times New Roman" w:hAnsi="Times New Roman"/>
        </w:rPr>
        <w:t>κατά</w:t>
      </w:r>
      <w:r>
        <w:rPr>
          <w:rFonts w:ascii="Times New Roman" w:hAnsi="Times New Roman"/>
        </w:rPr>
        <w:t xml:space="preserve"> την αναπαραγωγή (βλ. παράγραφο 5.3). Το Cyclolux δεν θα πρέπει να χρησιμοποιείται κατά τη διάρκεια της εγκυμοσύνης, εκτός εάν η κλινική κατάσταση της γυναίκας απαιτεί τη χρήση γαδοτερικού οξέος.</w:t>
      </w:r>
    </w:p>
    <w:p w:rsidR="00C964C3" w:rsidRPr="00B94745" w:rsidRDefault="00C964C3" w:rsidP="00B94745">
      <w:pPr>
        <w:spacing w:before="2" w:after="0" w:line="241" w:lineRule="auto"/>
        <w:ind w:right="102"/>
        <w:jc w:val="both"/>
        <w:rPr>
          <w:rFonts w:ascii="Times New Roman" w:eastAsia="Times New Roman" w:hAnsi="Times New Roman" w:cs="Times New Roman"/>
          <w:szCs w:val="20"/>
        </w:rPr>
      </w:pPr>
    </w:p>
    <w:p w:rsidR="00C964C3" w:rsidRPr="00D57E8E" w:rsidRDefault="00A15A9D" w:rsidP="00B94745">
      <w:pPr>
        <w:spacing w:before="2" w:after="0" w:line="241" w:lineRule="auto"/>
        <w:ind w:right="102"/>
        <w:jc w:val="both"/>
        <w:rPr>
          <w:rFonts w:ascii="Times New Roman" w:eastAsia="Times New Roman" w:hAnsi="Times New Roman" w:cs="Times New Roman"/>
          <w:b/>
          <w:szCs w:val="20"/>
        </w:rPr>
      </w:pPr>
      <w:r>
        <w:rPr>
          <w:rFonts w:ascii="Times New Roman" w:hAnsi="Times New Roman"/>
          <w:b/>
        </w:rPr>
        <w:t>Θηλασμός</w:t>
      </w:r>
    </w:p>
    <w:p w:rsidR="00C964C3" w:rsidRPr="00B94745" w:rsidRDefault="00EB0298" w:rsidP="00B94745">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Οι σκιαγραφικοί παράγοντες που περιέχουν γαδολίνιο απεκκρίνονται στο μητρικό γάλα σε πολύ μικρές ποσότητες (βλ. παράγραφο 5.3). Σε κλινικές δόσεις, δεν αναμένονται επιδράσεις στο βρέφος, λόγω της μικρής ποσότητας που απεκκρίνεται στο γάλα και της </w:t>
      </w:r>
      <w:r w:rsidR="004609CE">
        <w:rPr>
          <w:rFonts w:ascii="Times New Roman" w:hAnsi="Times New Roman"/>
        </w:rPr>
        <w:t>πτωχ</w:t>
      </w:r>
      <w:r>
        <w:rPr>
          <w:rFonts w:ascii="Times New Roman" w:hAnsi="Times New Roman"/>
        </w:rPr>
        <w:t>ής απορρόφησης από το έντερο. Η συνέχιση ή η διακοπή του θηλασμού για μια περίοδο 24 ωρών μετά τη χορήγηση του Cyclolux θα πρέπει να αποφασίζεται από τον γιατρό και τη θηλάζουσα μητέρα.</w:t>
      </w:r>
    </w:p>
    <w:p w:rsidR="00C964C3" w:rsidRDefault="00C964C3" w:rsidP="00B94745">
      <w:pPr>
        <w:spacing w:before="2" w:after="0" w:line="241" w:lineRule="auto"/>
        <w:ind w:right="102"/>
        <w:jc w:val="both"/>
        <w:rPr>
          <w:rFonts w:ascii="Times New Roman" w:eastAsia="Times New Roman" w:hAnsi="Times New Roman" w:cs="Times New Roman"/>
          <w:szCs w:val="20"/>
        </w:rPr>
      </w:pPr>
    </w:p>
    <w:p w:rsidR="00C964C3" w:rsidRPr="00B94745" w:rsidRDefault="00EB0298" w:rsidP="00B94745">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4.7</w:t>
      </w:r>
      <w:r>
        <w:tab/>
      </w:r>
      <w:r>
        <w:tab/>
      </w:r>
      <w:r>
        <w:rPr>
          <w:rFonts w:ascii="Times New Roman" w:hAnsi="Times New Roman"/>
          <w:b/>
        </w:rPr>
        <w:t>Επιδράσεις στην ικανότητα οδήγησης και χειρισμού μηχανών</w:t>
      </w:r>
    </w:p>
    <w:p w:rsidR="00C964C3" w:rsidRPr="00D57E8E" w:rsidRDefault="00C964C3" w:rsidP="00D57E8E">
      <w:pPr>
        <w:spacing w:before="2" w:after="0" w:line="241" w:lineRule="auto"/>
        <w:ind w:right="102"/>
        <w:jc w:val="both"/>
        <w:rPr>
          <w:rFonts w:ascii="Times New Roman" w:eastAsia="Times New Roman" w:hAnsi="Times New Roman" w:cs="Times New Roman"/>
          <w:szCs w:val="20"/>
        </w:rPr>
      </w:pPr>
    </w:p>
    <w:p w:rsidR="00C964C3"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t>Δεν έχουν πραγματοποιηθεί μελέτες σχετικά με τις επιδράσεις στην ικανότητα οδήγησης και χειρισμού μηχανών. Οι εξωτερικοί ασθενείς θα πρέπει κατά την οδήγηση οχημάτων ή τον χειρισμό μηχανών να λαμβάνουν υπόψη ότι ενδέχεται περιστασιακά να εμφανιστεί ναυτία.</w:t>
      </w:r>
    </w:p>
    <w:p w:rsidR="00D57E8E" w:rsidRDefault="00D57E8E" w:rsidP="00D57E8E">
      <w:pPr>
        <w:widowControl/>
        <w:spacing w:after="0" w:line="240" w:lineRule="auto"/>
        <w:ind w:left="567" w:hanging="567"/>
        <w:outlineLvl w:val="0"/>
        <w:rPr>
          <w:rFonts w:ascii="Times New Roman" w:eastAsia="Times New Roman" w:hAnsi="Times New Roman" w:cs="Times New Roman"/>
          <w:b/>
          <w:szCs w:val="20"/>
        </w:rPr>
      </w:pPr>
    </w:p>
    <w:p w:rsidR="00C964C3" w:rsidRPr="00D57E8E" w:rsidRDefault="00EB0298" w:rsidP="00D57E8E">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4.8</w:t>
      </w:r>
      <w:r>
        <w:tab/>
      </w:r>
      <w:r>
        <w:tab/>
      </w:r>
      <w:r>
        <w:rPr>
          <w:rFonts w:ascii="Times New Roman" w:hAnsi="Times New Roman"/>
          <w:b/>
        </w:rPr>
        <w:t>Ανεπιθύμητες ενέργειες</w:t>
      </w:r>
    </w:p>
    <w:p w:rsidR="00C964C3" w:rsidRPr="00D57E8E" w:rsidRDefault="00C964C3" w:rsidP="00D57E8E">
      <w:pPr>
        <w:spacing w:before="2" w:after="0" w:line="241" w:lineRule="auto"/>
        <w:ind w:right="102"/>
        <w:jc w:val="both"/>
        <w:rPr>
          <w:rFonts w:ascii="Times New Roman" w:eastAsia="Times New Roman" w:hAnsi="Times New Roman" w:cs="Times New Roman"/>
          <w:szCs w:val="20"/>
        </w:rPr>
      </w:pPr>
    </w:p>
    <w:p w:rsidR="00C964C3"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lastRenderedPageBreak/>
        <w:t>Οι ανεπιθύμητες ενέργειες που συσχετίζονται με τη χρήση γαδοτερικού οξέος είναι συνήθως ήπιας έως μέτριας έντασης και παροδικής φύσης. Μια αίσθηση ζέστης, κρύου ή/και πόνου στη θέση ένεσης είναι οι πιο συχνά παρατηρούμενες αντιδράσεις.</w:t>
      </w:r>
    </w:p>
    <w:p w:rsidR="00C964C3"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t>Κατά τη διάρκεια κλινικών δοκιμών, παρατηρήθηκαν πολύ συχνά (&gt; 1/10) κεφαλαλγία και παραισθησία, και συχνά (&gt; 1/100 </w:t>
      </w:r>
      <w:r w:rsidR="003C373E" w:rsidRPr="003C373E">
        <w:rPr>
          <w:rFonts w:ascii="Times New Roman" w:hAnsi="Times New Roman"/>
        </w:rPr>
        <w:t>-</w:t>
      </w:r>
      <w:r>
        <w:rPr>
          <w:rFonts w:ascii="Times New Roman" w:hAnsi="Times New Roman"/>
        </w:rPr>
        <w:t> &lt; 1/10) ναυτία, έμετος και δερματικές αντιδράσεις όπως ερυθηματώδες εξάνθημα και κνησμός.</w:t>
      </w:r>
    </w:p>
    <w:p w:rsidR="00C964C3"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t>Μετά την κυκλοφορία του προϊόντος στην αγορά, οι συχνότερα αναφερόμενες ανεπιθύμητες ενέργειες μετά από χορήγηση γαδοτερικού οξέος είναι ναυτία, έμετος, κνησμός και αντιδράσεις υπερευαισθησίας.</w:t>
      </w:r>
    </w:p>
    <w:p w:rsidR="00C964C3"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t>Από τις αντιδράσεις υπερευαισθησίας, οι αντιδράσεις που παρατηρούνται συχνότερα είναι δερματικές αντιδράσεις, οι οποίες μπορεί να είναι εντοπισμένες, εκτεταμένες ή γενικευμένες.</w:t>
      </w:r>
    </w:p>
    <w:p w:rsidR="00C964C3"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t>Αυτές οι αντιδράσεις εμφανίζονται τις περισσότερες φορές αμέσως (κατά τη διάρκεια της ένεσης ή εντός μίας ώρας από την αρχή της ένεσης) ή μερικές φορές καθυστερημένα (μία ώρα έως αρκετές μέρες μετά την ένεση). Σε αυτή την περίπτωση παρουσιάζονται με τη μορφή δερματικών αντιδράσεων.</w:t>
      </w:r>
    </w:p>
    <w:p w:rsidR="00C964C3"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t>Οι άμεσες αντιδράσεις περιλαμβάνουν μία ή περισσότερες ενέργειες που εμφανίζονται ταυτόχρονα ή διαδοχικά, οι οποίες είναι τις περισσότερες φορές δερματικές, αναπνευστικές ή/και καρδιαγγειακές αντιδράσεις. Κάθε σημείο ενδέχεται να είναι προειδοποιητικό σημείο για την αρχή καταπληξίας και ενδέχεται πολύ σπάνια να εξελιχθεί σε θάνατο.</w:t>
      </w:r>
    </w:p>
    <w:p w:rsidR="00C964C3"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Με το γαδοτερικό οξύ, έχουν αναφερθεί </w:t>
      </w:r>
      <w:r w:rsidR="004609CE">
        <w:rPr>
          <w:rFonts w:ascii="Times New Roman" w:hAnsi="Times New Roman"/>
        </w:rPr>
        <w:t>με</w:t>
      </w:r>
      <w:r>
        <w:rPr>
          <w:rFonts w:ascii="Times New Roman" w:hAnsi="Times New Roman"/>
        </w:rPr>
        <w:t>μονωμένες περιπτώσεις νεφρογενούς συστηματικής ίνωσης (ΝΣΙ), οι περισσότερες των οποίων αφορούσαν</w:t>
      </w:r>
      <w:r w:rsidR="003C373E" w:rsidRPr="003C373E">
        <w:rPr>
          <w:rFonts w:ascii="Times New Roman" w:hAnsi="Times New Roman"/>
        </w:rPr>
        <w:t xml:space="preserve"> </w:t>
      </w:r>
      <w:r w:rsidR="003C373E">
        <w:rPr>
          <w:rFonts w:ascii="Times New Roman" w:hAnsi="Times New Roman"/>
        </w:rPr>
        <w:t xml:space="preserve">σε </w:t>
      </w:r>
      <w:r>
        <w:rPr>
          <w:rFonts w:ascii="Times New Roman" w:hAnsi="Times New Roman"/>
        </w:rPr>
        <w:t>ασθενείς που έλαβαν ταυτόχρονα άλλους σκιαγραφικούς παράγοντες που περιείχαν γαδολίνιο (βλ. παράγραφο 4.4).</w:t>
      </w:r>
    </w:p>
    <w:p w:rsidR="00C964C3" w:rsidRPr="00D57E8E" w:rsidRDefault="00C964C3" w:rsidP="00D57E8E">
      <w:pPr>
        <w:spacing w:before="2" w:after="0" w:line="241" w:lineRule="auto"/>
        <w:ind w:right="102"/>
        <w:jc w:val="both"/>
        <w:rPr>
          <w:rFonts w:ascii="Times New Roman" w:eastAsia="Times New Roman" w:hAnsi="Times New Roman" w:cs="Times New Roman"/>
          <w:szCs w:val="20"/>
        </w:rPr>
      </w:pPr>
    </w:p>
    <w:p w:rsidR="00D57E8E" w:rsidRPr="00D57E8E" w:rsidRDefault="00EB0298" w:rsidP="00D57E8E">
      <w:pPr>
        <w:spacing w:before="2" w:after="0" w:line="241" w:lineRule="auto"/>
        <w:ind w:right="102"/>
        <w:jc w:val="both"/>
        <w:rPr>
          <w:rFonts w:ascii="Times New Roman" w:eastAsia="Times New Roman" w:hAnsi="Times New Roman" w:cs="Times New Roman"/>
          <w:szCs w:val="20"/>
        </w:rPr>
      </w:pPr>
      <w:r>
        <w:rPr>
          <w:rFonts w:ascii="Times New Roman" w:hAnsi="Times New Roman"/>
        </w:rPr>
        <w:t>Οι ανεπιθύμητες ενέργειες αναφέρονται στον παρακάτω πίνακα ανά ΚΟΣ (κατηγορία οργ</w:t>
      </w:r>
      <w:r w:rsidR="004609CE">
        <w:rPr>
          <w:rFonts w:ascii="Times New Roman" w:hAnsi="Times New Roman"/>
        </w:rPr>
        <w:t>ά</w:t>
      </w:r>
      <w:r>
        <w:rPr>
          <w:rFonts w:ascii="Times New Roman" w:hAnsi="Times New Roman"/>
        </w:rPr>
        <w:t>ν</w:t>
      </w:r>
      <w:r w:rsidR="004609CE">
        <w:rPr>
          <w:rFonts w:ascii="Times New Roman" w:hAnsi="Times New Roman"/>
        </w:rPr>
        <w:t>ου</w:t>
      </w:r>
      <w:r>
        <w:rPr>
          <w:rFonts w:ascii="Times New Roman" w:hAnsi="Times New Roman"/>
        </w:rPr>
        <w:t xml:space="preserve"> συστήματος) και συχνότητα σ</w:t>
      </w:r>
      <w:r w:rsidR="004609CE">
        <w:rPr>
          <w:rFonts w:ascii="Times New Roman" w:hAnsi="Times New Roman"/>
        </w:rPr>
        <w:t>ύ</w:t>
      </w:r>
      <w:r>
        <w:rPr>
          <w:rFonts w:ascii="Times New Roman" w:hAnsi="Times New Roman"/>
        </w:rPr>
        <w:t>μφωνα με τις ακόλουθες κατευθυντήριες γραμμές: (πολύ συχνές (≥ 1/10), συχνές (≥ 1/100 έως &lt; 1/10), όχι συχνές (≥ 1/1.000 έως &lt; 1/100), σπάνιες (≥ 1/10.000 έως &lt; 1/1.000), πολύ σπάνιες (&lt; 1/10.000), μη γνωστές (δεν μπορούν να εκτιμηθούν με βάση τα διαθέσιμα δεδομένα). Τα δεδομένα που παρουσιάζονται προέρχονται από κλινικές δοκιμές, όταν είναι διαθέσιμα, ή από μια μελέτη</w:t>
      </w:r>
      <w:r w:rsidR="004609CE">
        <w:rPr>
          <w:rFonts w:ascii="Times New Roman" w:hAnsi="Times New Roman"/>
        </w:rPr>
        <w:t xml:space="preserve"> παρατήρησης</w:t>
      </w:r>
      <w:r>
        <w:rPr>
          <w:rFonts w:ascii="Times New Roman" w:hAnsi="Times New Roman"/>
        </w:rPr>
        <w:t xml:space="preserve"> στην οποία συμμετείχαν 82.103 ασθενείς.</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9"/>
        <w:gridCol w:w="5572"/>
      </w:tblGrid>
      <w:tr w:rsidR="00C964C3" w:rsidRPr="00B94745" w:rsidTr="004E36D7">
        <w:tc>
          <w:tcPr>
            <w:tcW w:w="3199" w:type="dxa"/>
          </w:tcPr>
          <w:p w:rsidR="00C964C3" w:rsidRPr="004E36D7" w:rsidRDefault="00EB0298" w:rsidP="004609CE">
            <w:pPr>
              <w:spacing w:before="60" w:after="60" w:line="240" w:lineRule="auto"/>
              <w:ind w:left="57" w:right="57"/>
              <w:jc w:val="both"/>
              <w:rPr>
                <w:rFonts w:ascii="Times New Roman" w:eastAsia="Times New Roman" w:hAnsi="Times New Roman" w:cs="Times New Roman"/>
                <w:b/>
                <w:szCs w:val="20"/>
              </w:rPr>
            </w:pPr>
            <w:r>
              <w:rPr>
                <w:rFonts w:ascii="Times New Roman" w:hAnsi="Times New Roman"/>
                <w:b/>
              </w:rPr>
              <w:t>Κατηγορία οργ</w:t>
            </w:r>
            <w:r w:rsidR="004609CE">
              <w:rPr>
                <w:rFonts w:ascii="Times New Roman" w:hAnsi="Times New Roman"/>
                <w:b/>
              </w:rPr>
              <w:t>ά</w:t>
            </w:r>
            <w:r>
              <w:rPr>
                <w:rFonts w:ascii="Times New Roman" w:hAnsi="Times New Roman"/>
                <w:b/>
              </w:rPr>
              <w:t>ν</w:t>
            </w:r>
            <w:r w:rsidR="004609CE">
              <w:rPr>
                <w:rFonts w:ascii="Times New Roman" w:hAnsi="Times New Roman"/>
                <w:b/>
              </w:rPr>
              <w:t>ου</w:t>
            </w:r>
            <w:r>
              <w:rPr>
                <w:rFonts w:ascii="Times New Roman" w:hAnsi="Times New Roman"/>
                <w:b/>
              </w:rPr>
              <w:t xml:space="preserve"> συστήματος</w:t>
            </w:r>
          </w:p>
        </w:tc>
        <w:tc>
          <w:tcPr>
            <w:tcW w:w="5572" w:type="dxa"/>
          </w:tcPr>
          <w:p w:rsidR="00C964C3" w:rsidRPr="004E36D7" w:rsidRDefault="00EB0298" w:rsidP="005F361C">
            <w:pPr>
              <w:spacing w:before="60" w:after="60" w:line="240" w:lineRule="auto"/>
              <w:ind w:left="57" w:right="57"/>
              <w:jc w:val="both"/>
              <w:rPr>
                <w:rFonts w:ascii="Times New Roman" w:eastAsia="Times New Roman" w:hAnsi="Times New Roman" w:cs="Times New Roman"/>
                <w:b/>
                <w:szCs w:val="20"/>
              </w:rPr>
            </w:pPr>
            <w:r>
              <w:rPr>
                <w:rFonts w:ascii="Times New Roman" w:hAnsi="Times New Roman"/>
                <w:b/>
              </w:rPr>
              <w:t>Συχνότητα: ανεπιθύμητη ενέργεια</w:t>
            </w:r>
          </w:p>
        </w:tc>
      </w:tr>
      <w:tr w:rsidR="00C964C3" w:rsidRPr="00F9031B" w:rsidTr="004E36D7">
        <w:tc>
          <w:tcPr>
            <w:tcW w:w="3199"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ανοσοποιητικού συστήματος</w:t>
            </w:r>
          </w:p>
        </w:tc>
        <w:tc>
          <w:tcPr>
            <w:tcW w:w="5572"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Όχι συχνές: υπερευαισθησία, αναφυλακτική αντίδραση, αναφυλακτοειδής αντίδραση</w:t>
            </w:r>
          </w:p>
        </w:tc>
      </w:tr>
      <w:tr w:rsidR="00C964C3" w:rsidRPr="00B94745" w:rsidTr="004E36D7">
        <w:tc>
          <w:tcPr>
            <w:tcW w:w="3199"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Ψυχιατρικές διαταραχές</w:t>
            </w:r>
          </w:p>
        </w:tc>
        <w:tc>
          <w:tcPr>
            <w:tcW w:w="5572"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διέγερση, άγχος</w:t>
            </w:r>
          </w:p>
        </w:tc>
      </w:tr>
      <w:tr w:rsidR="00C964C3" w:rsidRPr="00B94745" w:rsidTr="004E36D7">
        <w:tc>
          <w:tcPr>
            <w:tcW w:w="3199"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νευρικού συστήματος</w:t>
            </w:r>
          </w:p>
        </w:tc>
        <w:tc>
          <w:tcPr>
            <w:tcW w:w="5572"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συχνές: παραισθησία, κεφαλαλγία</w:t>
            </w:r>
          </w:p>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Σπάνιες: δυσγευσία</w:t>
            </w:r>
          </w:p>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κώμα, σπασμός, συγκοπή, προσυγκοπή, ζάλη, παροσμία, τρόμος</w:t>
            </w:r>
          </w:p>
        </w:tc>
      </w:tr>
      <w:tr w:rsidR="00C964C3" w:rsidRPr="00F9031B" w:rsidTr="004E36D7">
        <w:tc>
          <w:tcPr>
            <w:tcW w:w="3199"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Οφθαλμικές διαταραχές</w:t>
            </w:r>
          </w:p>
        </w:tc>
        <w:tc>
          <w:tcPr>
            <w:tcW w:w="5572"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επιπεφυκίτιδα, οφθαλμική υπεραιμία, θάμβος όρασης, αυξημένη δακρύρροια, οίδημα του βλεφάρου</w:t>
            </w:r>
          </w:p>
        </w:tc>
      </w:tr>
      <w:tr w:rsidR="00C964C3" w:rsidRPr="00F9031B" w:rsidTr="004E36D7">
        <w:tc>
          <w:tcPr>
            <w:tcW w:w="3199"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Καρδιακές διαταραχές</w:t>
            </w:r>
          </w:p>
        </w:tc>
        <w:tc>
          <w:tcPr>
            <w:tcW w:w="5572"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καρδιακή ανακοπή, βραδυκαρδία, ταχυκαρδία, αρρυθμία, αίσθημα παλμών</w:t>
            </w:r>
          </w:p>
        </w:tc>
      </w:tr>
      <w:tr w:rsidR="00C964C3" w:rsidRPr="00F9031B" w:rsidTr="004E36D7">
        <w:tc>
          <w:tcPr>
            <w:tcW w:w="3199"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Αγγειακές διαταραχές</w:t>
            </w:r>
          </w:p>
        </w:tc>
        <w:tc>
          <w:tcPr>
            <w:tcW w:w="5572"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υπόταση, υπέρταση, αγγειοδιαστολή, ωχρότητα</w:t>
            </w:r>
          </w:p>
        </w:tc>
      </w:tr>
      <w:tr w:rsidR="00C964C3" w:rsidRPr="00F9031B" w:rsidTr="004E36D7">
        <w:tc>
          <w:tcPr>
            <w:tcW w:w="3199" w:type="dxa"/>
          </w:tcPr>
          <w:p w:rsidR="00C964C3" w:rsidRPr="004E36D7" w:rsidRDefault="00EB0298" w:rsidP="00B963AF">
            <w:pPr>
              <w:spacing w:before="40" w:after="40" w:line="240" w:lineRule="auto"/>
              <w:ind w:left="57" w:right="57"/>
              <w:rPr>
                <w:rFonts w:ascii="Times New Roman" w:eastAsia="Times New Roman" w:hAnsi="Times New Roman" w:cs="Times New Roman"/>
                <w:szCs w:val="20"/>
              </w:rPr>
            </w:pPr>
            <w:r>
              <w:rPr>
                <w:rFonts w:ascii="Times New Roman" w:hAnsi="Times New Roman"/>
              </w:rPr>
              <w:t>Διαταραχές του αναπνευστικού συστήματος, του θώρακα και του μεσοθωράκιου</w:t>
            </w:r>
          </w:p>
        </w:tc>
        <w:tc>
          <w:tcPr>
            <w:tcW w:w="5572" w:type="dxa"/>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αναπνευστική ανακοπή, πνευμονικό οίδημα, βρογχόσπασμος, λαρυγγόσπασμος, φαρυγγικό οίδημα, δύσπνοια, ρινική συμφόρηση, πταρμός, βήχας, ξηρός λαιμός</w:t>
            </w:r>
          </w:p>
        </w:tc>
      </w:tr>
      <w:tr w:rsidR="00AC00C7" w:rsidRPr="00B94745" w:rsidTr="00067881">
        <w:trPr>
          <w:trHeight w:val="676"/>
        </w:trPr>
        <w:tc>
          <w:tcPr>
            <w:tcW w:w="3199" w:type="dxa"/>
          </w:tcPr>
          <w:p w:rsidR="00AC00C7" w:rsidRPr="004E36D7" w:rsidRDefault="00AC00C7"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γαστρεντερικού συστήματος</w:t>
            </w:r>
          </w:p>
        </w:tc>
        <w:tc>
          <w:tcPr>
            <w:tcW w:w="5572" w:type="dxa"/>
          </w:tcPr>
          <w:p w:rsidR="00AC00C7" w:rsidRPr="004E36D7" w:rsidRDefault="00AC00C7"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Συχνές: ναυτία, έμετος</w:t>
            </w:r>
          </w:p>
          <w:p w:rsidR="00AC00C7" w:rsidRPr="004E36D7" w:rsidRDefault="00AC00C7"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διάρροια, κοιλιακό άλγος, υπερέκκριση σιέλου</w:t>
            </w:r>
          </w:p>
        </w:tc>
      </w:tr>
      <w:tr w:rsidR="00C964C3" w:rsidRPr="00F9031B" w:rsidTr="004E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9"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δέρματος και του υποδόριου ιστού</w:t>
            </w:r>
          </w:p>
        </w:tc>
        <w:tc>
          <w:tcPr>
            <w:tcW w:w="5572" w:type="dxa"/>
            <w:tcBorders>
              <w:top w:val="single" w:sz="6" w:space="0" w:color="000000"/>
              <w:left w:val="single" w:sz="6" w:space="0" w:color="000000"/>
              <w:bottom w:val="single" w:sz="6" w:space="0" w:color="000000"/>
              <w:right w:val="single" w:sz="6" w:space="0" w:color="000000"/>
            </w:tcBorders>
          </w:tcPr>
          <w:p w:rsidR="004A5CBA"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 xml:space="preserve">Συχνές: κνησμός, ερύθημα, εξάνθημα </w:t>
            </w:r>
          </w:p>
          <w:p w:rsidR="004A5CBA"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Σπάνιες: κνίδωση, υπερ</w:t>
            </w:r>
            <w:r w:rsidR="00CA4556">
              <w:rPr>
                <w:rFonts w:ascii="Times New Roman" w:hAnsi="Times New Roman"/>
              </w:rPr>
              <w:t>ι</w:t>
            </w:r>
            <w:r>
              <w:rPr>
                <w:rFonts w:ascii="Times New Roman" w:hAnsi="Times New Roman"/>
              </w:rPr>
              <w:t>δρωσ</w:t>
            </w:r>
            <w:r w:rsidR="00CA4556">
              <w:rPr>
                <w:rFonts w:ascii="Times New Roman" w:hAnsi="Times New Roman"/>
              </w:rPr>
              <w:t>ία</w:t>
            </w:r>
            <w:r>
              <w:rPr>
                <w:rFonts w:ascii="Times New Roman" w:hAnsi="Times New Roman"/>
              </w:rPr>
              <w:t xml:space="preserve"> </w:t>
            </w:r>
          </w:p>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έκζεμα, αγγειοοίδημα</w:t>
            </w:r>
          </w:p>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Μη γνωστές: νεφρογενής συστηματική ίνωση</w:t>
            </w:r>
          </w:p>
        </w:tc>
      </w:tr>
      <w:tr w:rsidR="00C964C3" w:rsidRPr="00F9031B" w:rsidTr="004E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9" w:type="dxa"/>
            <w:tcBorders>
              <w:top w:val="single" w:sz="6" w:space="0" w:color="000000"/>
              <w:left w:val="single" w:sz="6" w:space="0" w:color="000000"/>
              <w:bottom w:val="single" w:sz="6" w:space="0" w:color="000000"/>
              <w:right w:val="single" w:sz="6" w:space="0" w:color="000000"/>
            </w:tcBorders>
          </w:tcPr>
          <w:p w:rsidR="00C964C3" w:rsidRPr="004E36D7" w:rsidRDefault="00EB0298" w:rsidP="00B963AF">
            <w:pPr>
              <w:spacing w:before="40" w:after="40" w:line="240" w:lineRule="auto"/>
              <w:ind w:left="57" w:right="57"/>
              <w:rPr>
                <w:rFonts w:ascii="Times New Roman" w:eastAsia="Times New Roman" w:hAnsi="Times New Roman" w:cs="Times New Roman"/>
                <w:szCs w:val="20"/>
              </w:rPr>
            </w:pPr>
            <w:r>
              <w:rPr>
                <w:rFonts w:ascii="Times New Roman" w:hAnsi="Times New Roman"/>
              </w:rPr>
              <w:t xml:space="preserve">Διαταραχές του μυοσκελετικού συστήματος και του συνδετικού </w:t>
            </w:r>
            <w:r>
              <w:rPr>
                <w:rFonts w:ascii="Times New Roman" w:hAnsi="Times New Roman"/>
              </w:rPr>
              <w:lastRenderedPageBreak/>
              <w:t>ιστού</w:t>
            </w:r>
          </w:p>
        </w:tc>
        <w:tc>
          <w:tcPr>
            <w:tcW w:w="5572" w:type="dxa"/>
            <w:tcBorders>
              <w:top w:val="single" w:sz="6" w:space="0" w:color="000000"/>
              <w:left w:val="single" w:sz="6" w:space="0" w:color="000000"/>
              <w:bottom w:val="single" w:sz="6" w:space="0" w:color="000000"/>
              <w:right w:val="single" w:sz="6" w:space="0" w:color="000000"/>
            </w:tcBorders>
          </w:tcPr>
          <w:p w:rsidR="00C964C3" w:rsidRPr="004E36D7" w:rsidRDefault="00EB0298" w:rsidP="00CA4556">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lastRenderedPageBreak/>
              <w:t>Πολύ σπάνιες: μυϊκή σύσπαση, μυϊκή αδυναμία, ραχια</w:t>
            </w:r>
            <w:r w:rsidR="00CA4556">
              <w:rPr>
                <w:rFonts w:ascii="Times New Roman" w:hAnsi="Times New Roman"/>
              </w:rPr>
              <w:t>λγ</w:t>
            </w:r>
            <w:r>
              <w:rPr>
                <w:rFonts w:ascii="Times New Roman" w:hAnsi="Times New Roman"/>
              </w:rPr>
              <w:t>ί</w:t>
            </w:r>
            <w:r w:rsidR="00CA4556">
              <w:rPr>
                <w:rFonts w:ascii="Times New Roman" w:hAnsi="Times New Roman"/>
              </w:rPr>
              <w:t>α</w:t>
            </w:r>
          </w:p>
        </w:tc>
      </w:tr>
      <w:tr w:rsidR="00C964C3" w:rsidRPr="00F9031B" w:rsidTr="004E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9" w:type="dxa"/>
            <w:tcBorders>
              <w:top w:val="single" w:sz="6" w:space="0" w:color="000000"/>
              <w:left w:val="single" w:sz="6" w:space="0" w:color="000000"/>
              <w:bottom w:val="single" w:sz="6" w:space="0" w:color="000000"/>
              <w:right w:val="single" w:sz="6" w:space="0" w:color="000000"/>
            </w:tcBorders>
          </w:tcPr>
          <w:p w:rsidR="00C964C3" w:rsidRPr="004E36D7" w:rsidRDefault="00EB0298" w:rsidP="00B963AF">
            <w:pPr>
              <w:spacing w:before="40" w:after="40" w:line="240" w:lineRule="auto"/>
              <w:ind w:left="57" w:right="57"/>
              <w:rPr>
                <w:rFonts w:ascii="Times New Roman" w:eastAsia="Times New Roman" w:hAnsi="Times New Roman" w:cs="Times New Roman"/>
                <w:szCs w:val="20"/>
              </w:rPr>
            </w:pPr>
            <w:r>
              <w:rPr>
                <w:rFonts w:ascii="Times New Roman" w:hAnsi="Times New Roman"/>
              </w:rPr>
              <w:lastRenderedPageBreak/>
              <w:t>Γενικές διαταραχές και καταστάσεις της οδού χορήγησης</w:t>
            </w:r>
          </w:p>
        </w:tc>
        <w:tc>
          <w:tcPr>
            <w:tcW w:w="5572" w:type="dxa"/>
            <w:tcBorders>
              <w:top w:val="single" w:sz="6" w:space="0" w:color="000000"/>
              <w:left w:val="single" w:sz="6" w:space="0" w:color="000000"/>
              <w:bottom w:val="single" w:sz="6" w:space="0" w:color="000000"/>
              <w:right w:val="single" w:sz="6" w:space="0" w:color="000000"/>
            </w:tcBorders>
          </w:tcPr>
          <w:p w:rsidR="00C964C3" w:rsidRPr="004E36D7" w:rsidRDefault="00EB0298" w:rsidP="00B963AF">
            <w:pPr>
              <w:spacing w:before="40" w:after="40" w:line="240" w:lineRule="auto"/>
              <w:ind w:left="57" w:right="57"/>
              <w:rPr>
                <w:rFonts w:ascii="Times New Roman" w:eastAsia="Times New Roman" w:hAnsi="Times New Roman" w:cs="Times New Roman"/>
                <w:szCs w:val="20"/>
              </w:rPr>
            </w:pPr>
            <w:r>
              <w:rPr>
                <w:rFonts w:ascii="Times New Roman" w:hAnsi="Times New Roman"/>
              </w:rPr>
              <w:t>Συχνές: αίσθηση ζέστης, αίσθηση κρύου, άλγος στη ένεσης</w:t>
            </w:r>
          </w:p>
          <w:p w:rsidR="00C964C3" w:rsidRPr="004E36D7" w:rsidRDefault="00EB0298" w:rsidP="00B963AF">
            <w:pPr>
              <w:spacing w:before="40" w:after="40" w:line="240" w:lineRule="auto"/>
              <w:ind w:left="57" w:right="57"/>
              <w:rPr>
                <w:rFonts w:ascii="Times New Roman" w:eastAsia="Times New Roman" w:hAnsi="Times New Roman" w:cs="Times New Roman"/>
                <w:szCs w:val="20"/>
              </w:rPr>
            </w:pPr>
            <w:r>
              <w:rPr>
                <w:rFonts w:ascii="Times New Roman" w:hAnsi="Times New Roman"/>
              </w:rPr>
              <w:t>Πολύ σπάνιες: κακουχία, θωρακικό άλγος, θωρακική δυσφορία, πυρεξία, ρίγη, οίδημα προσώπου, εξασθένιση, δυσφορία στη θέση ένεσης, αντίδραση στη θέση ένεσης, οίδημα στη θέση ένεσης, εξαγγείωση στη θέση ένεσης, φλεγμονή στη θέση ένεσης (σε περίπτωση εξαγγείωσης), νέκρωση στη θέση ένεσης (σε περίπτωση εξαγγείωσης), επιπολής φλεβίτιδα</w:t>
            </w:r>
          </w:p>
        </w:tc>
      </w:tr>
      <w:tr w:rsidR="00C964C3" w:rsidRPr="00F9031B" w:rsidTr="004E3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9"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Παρακλινικές εξετάσεις</w:t>
            </w:r>
          </w:p>
        </w:tc>
        <w:tc>
          <w:tcPr>
            <w:tcW w:w="5572"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Πολύ σπάνιες: μειωμένος κορεσμός οξυγόνου</w:t>
            </w:r>
          </w:p>
        </w:tc>
      </w:tr>
    </w:tbl>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ΟΙ ακόλουθες ανεπιθύμητες ενέργειες αναφέρθηκαν με άλλους ενδοφλέβιους σκιαγραφικούς παράγοντες για MRI:</w:t>
      </w:r>
    </w:p>
    <w:tbl>
      <w:tblPr>
        <w:tblW w:w="0" w:type="auto"/>
        <w:tblInd w:w="1008" w:type="dxa"/>
        <w:tblLayout w:type="fixed"/>
        <w:tblCellMar>
          <w:left w:w="0" w:type="dxa"/>
          <w:right w:w="0" w:type="dxa"/>
        </w:tblCellMar>
        <w:tblLook w:val="01E0" w:firstRow="1" w:lastRow="1" w:firstColumn="1" w:lastColumn="1" w:noHBand="0" w:noVBand="0"/>
      </w:tblPr>
      <w:tblGrid>
        <w:gridCol w:w="3575"/>
        <w:gridCol w:w="4206"/>
      </w:tblGrid>
      <w:tr w:rsidR="00C964C3" w:rsidRPr="004E36D7"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CA4556">
            <w:pPr>
              <w:spacing w:before="60" w:after="60" w:line="240" w:lineRule="auto"/>
              <w:ind w:left="57" w:right="57"/>
              <w:jc w:val="both"/>
              <w:rPr>
                <w:rFonts w:ascii="Times New Roman" w:eastAsia="Times New Roman" w:hAnsi="Times New Roman" w:cs="Times New Roman"/>
                <w:b/>
                <w:szCs w:val="20"/>
              </w:rPr>
            </w:pPr>
            <w:r>
              <w:rPr>
                <w:rFonts w:ascii="Times New Roman" w:hAnsi="Times New Roman"/>
                <w:b/>
              </w:rPr>
              <w:t>Κατηγορία οργ</w:t>
            </w:r>
            <w:r w:rsidR="00CA4556">
              <w:rPr>
                <w:rFonts w:ascii="Times New Roman" w:hAnsi="Times New Roman"/>
                <w:b/>
              </w:rPr>
              <w:t>ά</w:t>
            </w:r>
            <w:r>
              <w:rPr>
                <w:rFonts w:ascii="Times New Roman" w:hAnsi="Times New Roman"/>
                <w:b/>
              </w:rPr>
              <w:t>ν</w:t>
            </w:r>
            <w:r w:rsidR="00CA4556">
              <w:rPr>
                <w:rFonts w:ascii="Times New Roman" w:hAnsi="Times New Roman"/>
                <w:b/>
              </w:rPr>
              <w:t>ου</w:t>
            </w:r>
            <w:r>
              <w:rPr>
                <w:rFonts w:ascii="Times New Roman" w:hAnsi="Times New Roman"/>
                <w:b/>
              </w:rPr>
              <w:t xml:space="preserve"> συστήματος</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60" w:after="60" w:line="240" w:lineRule="auto"/>
              <w:ind w:left="57" w:right="57"/>
              <w:jc w:val="both"/>
              <w:rPr>
                <w:rFonts w:ascii="Times New Roman" w:eastAsia="Times New Roman" w:hAnsi="Times New Roman" w:cs="Times New Roman"/>
                <w:b/>
                <w:szCs w:val="20"/>
              </w:rPr>
            </w:pPr>
            <w:r>
              <w:rPr>
                <w:rFonts w:ascii="Times New Roman" w:hAnsi="Times New Roman"/>
                <w:b/>
              </w:rPr>
              <w:t>Ανεπιθύμητες ενέργειες</w:t>
            </w:r>
          </w:p>
        </w:tc>
      </w:tr>
      <w:tr w:rsidR="00C964C3" w:rsidRPr="004E36D7"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αιμοποιητικού και του λεμφικού συστήματος</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Αιμόλυση</w:t>
            </w:r>
          </w:p>
        </w:tc>
      </w:tr>
      <w:tr w:rsidR="00C964C3" w:rsidRPr="004E36D7"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Ψυχιατρικές διαταραχές</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Σύγχυση</w:t>
            </w:r>
          </w:p>
        </w:tc>
      </w:tr>
      <w:tr w:rsidR="00C964C3" w:rsidRPr="004E36D7"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Οφθαλμικές διαταραχές</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Παροδική τύφλωση, οφθαλμικό άλγος</w:t>
            </w:r>
          </w:p>
        </w:tc>
      </w:tr>
      <w:tr w:rsidR="00C964C3" w:rsidRPr="004E36D7"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ωτός και του λαβυρίνθου</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Ίλιγγος, ωτικό άλγος</w:t>
            </w:r>
          </w:p>
        </w:tc>
      </w:tr>
      <w:tr w:rsidR="00C964C3" w:rsidRPr="004E36D7"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αναπνευστικού συστήματος, του θώρακα και του μεσοθωράκιου</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Άσθμα</w:t>
            </w:r>
          </w:p>
        </w:tc>
      </w:tr>
      <w:tr w:rsidR="00C964C3" w:rsidRPr="004E36D7"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γαστρεντερικού συστήματος</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CA4556">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Ξηρ</w:t>
            </w:r>
            <w:r w:rsidR="00CA4556">
              <w:rPr>
                <w:rFonts w:ascii="Times New Roman" w:hAnsi="Times New Roman"/>
              </w:rPr>
              <w:t>οστομία</w:t>
            </w:r>
          </w:p>
        </w:tc>
      </w:tr>
      <w:tr w:rsidR="00C964C3" w:rsidRPr="004E36D7"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του δέρματος και του υποδόριου ιστού</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Πομφολυγώδης δερματίτιδα</w:t>
            </w:r>
          </w:p>
        </w:tc>
      </w:tr>
      <w:tr w:rsidR="00C964C3" w:rsidRPr="00F9031B"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Διαταραχές των νεφρών και των ουροφόρων οδών</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Ακράτεια ούρων, σωληναριακή νέκρωση, οξεία νεφρική ανεπάρκεια</w:t>
            </w:r>
          </w:p>
        </w:tc>
      </w:tr>
      <w:tr w:rsidR="00C964C3" w:rsidRPr="00F9031B" w:rsidTr="004E36D7">
        <w:tc>
          <w:tcPr>
            <w:tcW w:w="3575"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Παρακλινικές εξετάσεις</w:t>
            </w:r>
          </w:p>
        </w:tc>
        <w:tc>
          <w:tcPr>
            <w:tcW w:w="4206" w:type="dxa"/>
            <w:tcBorders>
              <w:top w:val="single" w:sz="6" w:space="0" w:color="000000"/>
              <w:left w:val="single" w:sz="6" w:space="0" w:color="000000"/>
              <w:bottom w:val="single" w:sz="6" w:space="0" w:color="000000"/>
              <w:right w:val="single" w:sz="6" w:space="0" w:color="000000"/>
            </w:tcBorders>
          </w:tcPr>
          <w:p w:rsidR="00C964C3" w:rsidRPr="004E36D7" w:rsidRDefault="00EB0298" w:rsidP="005F361C">
            <w:pPr>
              <w:spacing w:before="40" w:after="40" w:line="240" w:lineRule="auto"/>
              <w:ind w:left="57" w:right="57"/>
              <w:jc w:val="both"/>
              <w:rPr>
                <w:rFonts w:ascii="Times New Roman" w:eastAsia="Times New Roman" w:hAnsi="Times New Roman" w:cs="Times New Roman"/>
                <w:szCs w:val="20"/>
              </w:rPr>
            </w:pPr>
            <w:r>
              <w:rPr>
                <w:rFonts w:ascii="Times New Roman" w:hAnsi="Times New Roman"/>
              </w:rPr>
              <w:t>Παράταση του διαστήματος PR του ηλεκτροκαρδιογραφήματος, αυξημένος σίδηρος αίματος, αυξημένη χολερυθρίνη αίματος, αυξημένη φερριτίνη ορού, παθολογική δοκιμή ηπατικής λειτουργίας</w:t>
            </w:r>
          </w:p>
        </w:tc>
      </w:tr>
    </w:tbl>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spacing w:before="2" w:after="0" w:line="241" w:lineRule="auto"/>
        <w:ind w:right="102"/>
        <w:jc w:val="both"/>
        <w:rPr>
          <w:rFonts w:ascii="Times New Roman" w:eastAsia="Times New Roman" w:hAnsi="Times New Roman" w:cs="Times New Roman"/>
          <w:b/>
          <w:szCs w:val="20"/>
        </w:rPr>
      </w:pPr>
      <w:r>
        <w:rPr>
          <w:rFonts w:ascii="Times New Roman" w:hAnsi="Times New Roman"/>
          <w:b/>
        </w:rPr>
        <w:t>Ανεπιθύμητες ενέργειες στα παιδιά</w:t>
      </w:r>
    </w:p>
    <w:p w:rsidR="00C964C3" w:rsidRPr="004E36D7" w:rsidRDefault="00284E61"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Τα </w:t>
      </w:r>
      <w:r w:rsidR="00EB0298">
        <w:rPr>
          <w:rFonts w:ascii="Times New Roman" w:hAnsi="Times New Roman"/>
        </w:rPr>
        <w:t>ανεπιθύμητ</w:t>
      </w:r>
      <w:r>
        <w:rPr>
          <w:rFonts w:ascii="Times New Roman" w:hAnsi="Times New Roman"/>
        </w:rPr>
        <w:t>α</w:t>
      </w:r>
      <w:r w:rsidR="00EB0298">
        <w:rPr>
          <w:rFonts w:ascii="Times New Roman" w:hAnsi="Times New Roman"/>
        </w:rPr>
        <w:t xml:space="preserve"> </w:t>
      </w:r>
      <w:r>
        <w:rPr>
          <w:rFonts w:ascii="Times New Roman" w:hAnsi="Times New Roman"/>
        </w:rPr>
        <w:t>συμβάντα</w:t>
      </w:r>
      <w:r w:rsidR="00EB0298">
        <w:rPr>
          <w:rFonts w:ascii="Times New Roman" w:hAnsi="Times New Roman"/>
        </w:rPr>
        <w:t xml:space="preserve"> που σχετίζονται με το γαδοτερικό οξύ είναι «όχι συχν</w:t>
      </w:r>
      <w:r>
        <w:rPr>
          <w:rFonts w:ascii="Times New Roman" w:hAnsi="Times New Roman"/>
        </w:rPr>
        <w:t>ά</w:t>
      </w:r>
      <w:r w:rsidR="00EB0298">
        <w:rPr>
          <w:rFonts w:ascii="Times New Roman" w:hAnsi="Times New Roman"/>
        </w:rPr>
        <w:t>» στα παιδιά. H αναμενόμενη συχνότητα εμφάνισης αυτών των ανεπιθύμητων συμβάντων είναι ίδια με εκείνη που αναφέρεται γ</w:t>
      </w:r>
      <w:r w:rsidR="00C80C33">
        <w:rPr>
          <w:rFonts w:ascii="Times New Roman" w:hAnsi="Times New Roman"/>
        </w:rPr>
        <w:t>ια τους ενήλικες (βλ. παράγραφο </w:t>
      </w:r>
      <w:r w:rsidR="00EB0298">
        <w:rPr>
          <w:rFonts w:ascii="Times New Roman" w:hAnsi="Times New Roman"/>
        </w:rPr>
        <w:t>4.2 και 4.4).</w:t>
      </w:r>
    </w:p>
    <w:p w:rsidR="00C964C3" w:rsidRDefault="00C964C3" w:rsidP="004E36D7">
      <w:pPr>
        <w:spacing w:before="2" w:after="0" w:line="241" w:lineRule="auto"/>
        <w:ind w:right="102"/>
        <w:jc w:val="both"/>
        <w:rPr>
          <w:rFonts w:ascii="Times New Roman" w:eastAsia="Times New Roman" w:hAnsi="Times New Roman" w:cs="Times New Roman"/>
          <w:szCs w:val="20"/>
        </w:rPr>
      </w:pPr>
    </w:p>
    <w:p w:rsidR="00C16F4B" w:rsidRPr="002F3F75" w:rsidRDefault="00C16F4B" w:rsidP="005F361C">
      <w:pPr>
        <w:spacing w:before="2" w:after="0" w:line="241" w:lineRule="auto"/>
        <w:ind w:right="102"/>
        <w:jc w:val="both"/>
        <w:rPr>
          <w:rFonts w:ascii="Times New Roman" w:eastAsia="Times New Roman" w:hAnsi="Times New Roman" w:cs="Times New Roman"/>
          <w:szCs w:val="20"/>
          <w:u w:val="single"/>
        </w:rPr>
      </w:pPr>
      <w:r w:rsidRPr="002F3F75">
        <w:rPr>
          <w:rFonts w:ascii="Times New Roman" w:hAnsi="Times New Roman"/>
          <w:u w:val="single"/>
        </w:rPr>
        <w:t>Αναφορά πιθανολογούμενων ανεπιθύμητων ενεργειών</w:t>
      </w:r>
    </w:p>
    <w:p w:rsidR="006E302F" w:rsidRPr="002F3F75" w:rsidRDefault="006E302F" w:rsidP="006E302F">
      <w:pPr>
        <w:spacing w:line="240" w:lineRule="auto"/>
        <w:contextualSpacing/>
        <w:jc w:val="both"/>
        <w:rPr>
          <w:rFonts w:ascii="Times New Roman" w:hAnsi="Times New Roman" w:cs="Times New Roman"/>
        </w:rPr>
      </w:pPr>
      <w:r w:rsidRPr="002F3F75">
        <w:rPr>
          <w:rFonts w:ascii="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των εθνικών συστημάτων αναφοράς που αναγράφονται παρακάτω:</w:t>
      </w:r>
    </w:p>
    <w:p w:rsidR="006E302F" w:rsidRPr="002F3F75" w:rsidRDefault="006E302F" w:rsidP="006E302F">
      <w:pPr>
        <w:spacing w:line="240" w:lineRule="auto"/>
        <w:contextualSpacing/>
        <w:jc w:val="both"/>
        <w:rPr>
          <w:rFonts w:ascii="Times New Roman" w:hAnsi="Times New Roman" w:cs="Times New Roman"/>
        </w:rPr>
      </w:pPr>
    </w:p>
    <w:p w:rsidR="006E302F" w:rsidRPr="002F3F75" w:rsidRDefault="006E302F" w:rsidP="006E302F">
      <w:pPr>
        <w:spacing w:line="240" w:lineRule="auto"/>
        <w:contextualSpacing/>
        <w:jc w:val="both"/>
        <w:rPr>
          <w:rFonts w:ascii="Times New Roman" w:hAnsi="Times New Roman" w:cs="Times New Roman"/>
        </w:rPr>
      </w:pPr>
      <w:r w:rsidRPr="002F3F75">
        <w:rPr>
          <w:rFonts w:ascii="Times New Roman" w:hAnsi="Times New Roman" w:cs="Times New Roman"/>
        </w:rPr>
        <w:t>Ελλάδα</w:t>
      </w:r>
    </w:p>
    <w:p w:rsidR="006E302F" w:rsidRPr="002F3F75" w:rsidRDefault="006E302F" w:rsidP="006E302F">
      <w:pPr>
        <w:spacing w:line="240" w:lineRule="auto"/>
        <w:contextualSpacing/>
        <w:jc w:val="both"/>
        <w:rPr>
          <w:rFonts w:ascii="Times New Roman" w:hAnsi="Times New Roman" w:cs="Times New Roman"/>
        </w:rPr>
      </w:pPr>
      <w:r w:rsidRPr="002F3F75">
        <w:rPr>
          <w:rFonts w:ascii="Times New Roman" w:hAnsi="Times New Roman" w:cs="Times New Roman"/>
        </w:rPr>
        <w:t xml:space="preserve">Εθνικός Οργανισμός Φαρμάκων, </w:t>
      </w:r>
    </w:p>
    <w:p w:rsidR="006E302F" w:rsidRPr="002F3F75" w:rsidRDefault="006E302F" w:rsidP="006E302F">
      <w:pPr>
        <w:spacing w:line="240" w:lineRule="auto"/>
        <w:contextualSpacing/>
        <w:jc w:val="both"/>
        <w:rPr>
          <w:rFonts w:ascii="Times New Roman" w:hAnsi="Times New Roman" w:cs="Times New Roman"/>
        </w:rPr>
      </w:pPr>
      <w:r w:rsidRPr="002F3F75">
        <w:rPr>
          <w:rFonts w:ascii="Times New Roman" w:hAnsi="Times New Roman" w:cs="Times New Roman"/>
        </w:rPr>
        <w:t xml:space="preserve">Μεσογείων 284 GR-15562 Χολαργός, Αθήνα </w:t>
      </w:r>
    </w:p>
    <w:p w:rsidR="006E302F" w:rsidRPr="002F3F75" w:rsidRDefault="006E302F" w:rsidP="006E302F">
      <w:pPr>
        <w:spacing w:line="240" w:lineRule="auto"/>
        <w:contextualSpacing/>
        <w:jc w:val="both"/>
        <w:rPr>
          <w:rFonts w:ascii="Times New Roman" w:hAnsi="Times New Roman" w:cs="Times New Roman"/>
        </w:rPr>
      </w:pPr>
      <w:r w:rsidRPr="002F3F75">
        <w:rPr>
          <w:rFonts w:ascii="Times New Roman" w:hAnsi="Times New Roman" w:cs="Times New Roman"/>
        </w:rPr>
        <w:t xml:space="preserve">Τηλ.: + 30 21 32040380/337, </w:t>
      </w:r>
    </w:p>
    <w:p w:rsidR="006E302F" w:rsidRPr="002F3F75" w:rsidRDefault="006E302F" w:rsidP="006E302F">
      <w:pPr>
        <w:spacing w:line="240" w:lineRule="auto"/>
        <w:contextualSpacing/>
        <w:jc w:val="both"/>
        <w:rPr>
          <w:rFonts w:ascii="Times New Roman" w:hAnsi="Times New Roman" w:cs="Times New Roman"/>
        </w:rPr>
      </w:pPr>
      <w:r w:rsidRPr="002F3F75">
        <w:rPr>
          <w:rFonts w:ascii="Times New Roman" w:hAnsi="Times New Roman" w:cs="Times New Roman"/>
        </w:rPr>
        <w:t xml:space="preserve">Φαξ: + 30 21 06549585, </w:t>
      </w:r>
    </w:p>
    <w:p w:rsidR="006E302F" w:rsidRPr="002F3F75" w:rsidRDefault="006E302F" w:rsidP="006E302F">
      <w:pPr>
        <w:spacing w:line="240" w:lineRule="auto"/>
        <w:contextualSpacing/>
        <w:jc w:val="both"/>
        <w:rPr>
          <w:rFonts w:ascii="Times New Roman" w:hAnsi="Times New Roman" w:cs="Times New Roman"/>
        </w:rPr>
      </w:pPr>
      <w:r w:rsidRPr="002F3F75">
        <w:rPr>
          <w:rFonts w:ascii="Times New Roman" w:hAnsi="Times New Roman" w:cs="Times New Roman"/>
        </w:rPr>
        <w:t xml:space="preserve">Ιστότοπος: </w:t>
      </w:r>
      <w:hyperlink r:id="rId9" w:history="1">
        <w:r w:rsidRPr="002F3F75">
          <w:rPr>
            <w:rFonts w:ascii="Times New Roman" w:hAnsi="Times New Roman" w:cs="Times New Roman"/>
          </w:rPr>
          <w:t>http://www.eof.gr</w:t>
        </w:r>
      </w:hyperlink>
    </w:p>
    <w:p w:rsidR="00C16F4B" w:rsidRPr="005F361C" w:rsidRDefault="00C16F4B" w:rsidP="005F361C">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widowControl/>
        <w:spacing w:after="0" w:line="240" w:lineRule="auto"/>
        <w:ind w:left="567" w:hanging="567"/>
        <w:outlineLvl w:val="0"/>
        <w:rPr>
          <w:rFonts w:ascii="Times New Roman" w:eastAsia="Times New Roman" w:hAnsi="Times New Roman" w:cs="Times New Roman"/>
          <w:b/>
          <w:szCs w:val="20"/>
        </w:rPr>
      </w:pPr>
      <w:r>
        <w:rPr>
          <w:rFonts w:ascii="Times New Roman" w:hAnsi="Times New Roman"/>
          <w:b/>
        </w:rPr>
        <w:t>4.9</w:t>
      </w:r>
      <w:r>
        <w:tab/>
      </w:r>
      <w:r>
        <w:tab/>
      </w:r>
      <w:r>
        <w:rPr>
          <w:rFonts w:ascii="Times New Roman" w:hAnsi="Times New Roman"/>
          <w:b/>
        </w:rPr>
        <w:t>Υπερδοσολογία</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Το γαδοτερικό οξύ μπορεί να απομακρυνθεί μέσω αιμο</w:t>
      </w:r>
      <w:r w:rsidR="00052122">
        <w:rPr>
          <w:rFonts w:ascii="Times New Roman" w:hAnsi="Times New Roman"/>
        </w:rPr>
        <w:t>κάθαρ</w:t>
      </w:r>
      <w:r>
        <w:rPr>
          <w:rFonts w:ascii="Times New Roman" w:hAnsi="Times New Roman"/>
        </w:rPr>
        <w:t>σης. Ωστόσο, δεν υπάρχουν στοιχεία που να δείχνουν ότι η αιμο</w:t>
      </w:r>
      <w:r w:rsidR="00052122">
        <w:rPr>
          <w:rFonts w:ascii="Times New Roman" w:hAnsi="Times New Roman"/>
        </w:rPr>
        <w:t>κάθαρ</w:t>
      </w:r>
      <w:r>
        <w:rPr>
          <w:rFonts w:ascii="Times New Roman" w:hAnsi="Times New Roman"/>
        </w:rPr>
        <w:t>ση είναι κατάλληλη για την πρόληψη της νεφρογενούς συστημικής ίνωσης (ΝΣΙ).</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widowControl/>
        <w:spacing w:after="0" w:line="240" w:lineRule="auto"/>
        <w:rPr>
          <w:rFonts w:ascii="Times New Roman" w:eastAsia="Times New Roman" w:hAnsi="Times New Roman" w:cs="Times New Roman"/>
          <w:b/>
          <w:szCs w:val="20"/>
        </w:rPr>
      </w:pPr>
      <w:r>
        <w:rPr>
          <w:rFonts w:ascii="Times New Roman" w:hAnsi="Times New Roman"/>
          <w:b/>
        </w:rPr>
        <w:t>5.</w:t>
      </w:r>
      <w:r>
        <w:tab/>
      </w:r>
      <w:r>
        <w:rPr>
          <w:rFonts w:ascii="Times New Roman" w:hAnsi="Times New Roman"/>
          <w:b/>
        </w:rPr>
        <w:t>ΦΑΡΜΑΚΟΛΟΓΙΚΕΣ ΙΔΙΟΤΗΤΕΣ</w:t>
      </w:r>
    </w:p>
    <w:p w:rsidR="00C964C3" w:rsidRPr="00B963AF" w:rsidRDefault="00C964C3">
      <w:pPr>
        <w:spacing w:before="17" w:after="0" w:line="240" w:lineRule="exact"/>
        <w:rPr>
          <w:rFonts w:ascii="Times New Roman" w:hAnsi="Times New Roman" w:cs="Times New Roman"/>
          <w:sz w:val="24"/>
          <w:szCs w:val="24"/>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rPr>
      </w:pPr>
      <w:r>
        <w:rPr>
          <w:rFonts w:ascii="Times New Roman" w:hAnsi="Times New Roman"/>
          <w:b/>
        </w:rPr>
        <w:t>5.1</w:t>
      </w:r>
      <w:r>
        <w:tab/>
      </w:r>
      <w:r>
        <w:rPr>
          <w:rFonts w:ascii="Times New Roman" w:hAnsi="Times New Roman"/>
          <w:b/>
        </w:rPr>
        <w:t>Φαρμακοδυναμικές ιδιότητες</w:t>
      </w:r>
    </w:p>
    <w:p w:rsidR="004E36D7" w:rsidRPr="004E36D7" w:rsidRDefault="004E36D7"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Φαρμακοθεραπευτική κατηγορία: Παραμαγνητικά σκιαγραφικά</w:t>
      </w: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Κωδικός ATC: V08CA02 (γαδοτερικό οξύ).</w:t>
      </w:r>
    </w:p>
    <w:p w:rsidR="00B2487C" w:rsidRPr="00B963AF" w:rsidRDefault="00B2487C" w:rsidP="004E36D7">
      <w:pPr>
        <w:spacing w:before="2" w:after="0" w:line="241" w:lineRule="auto"/>
        <w:ind w:right="102"/>
        <w:jc w:val="both"/>
        <w:rPr>
          <w:rFonts w:ascii="Times New Roman" w:hAnsi="Times New Roman"/>
        </w:rPr>
      </w:pPr>
      <w:r>
        <w:rPr>
          <w:rFonts w:ascii="Times New Roman" w:hAnsi="Times New Roman"/>
        </w:rPr>
        <w:t>Το προϊόν αυτό δεν έχει ειδική φαρμακοδυναμική δράση και είναι βιολογικά αδρανές.</w:t>
      </w:r>
    </w:p>
    <w:p w:rsidR="00C964C3" w:rsidRPr="004E36D7" w:rsidRDefault="00435B0E"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Το Cyclolux είναι ένας παραμαγνητικός σκιαγραφικός παράγοντας για μαγνητική τομογραφία. Το αποτέλεσμα αύξησης της αντίθεσης οφείλεται στο γαδοτερικό οξύ, το οποίο είναι ένα ιονικό σύμπλοκο του γαδολινίου που αποτελείται από οξεί</w:t>
      </w:r>
      <w:r w:rsidR="00C80C33">
        <w:rPr>
          <w:rFonts w:ascii="Times New Roman" w:hAnsi="Times New Roman"/>
        </w:rPr>
        <w:t>διο του γαδολινίου και 1,4,7,10-τετρααζακυκλοδωδεκάνο-</w:t>
      </w:r>
      <w:r>
        <w:rPr>
          <w:rFonts w:ascii="Times New Roman" w:hAnsi="Times New Roman"/>
        </w:rPr>
        <w:t xml:space="preserve">N,N',N'',N''' </w:t>
      </w:r>
      <w:r w:rsidR="009626FF">
        <w:rPr>
          <w:rFonts w:ascii="Times New Roman" w:hAnsi="Times New Roman"/>
        </w:rPr>
        <w:t xml:space="preserve">τετραοξικό οξύ </w:t>
      </w:r>
      <w:r>
        <w:rPr>
          <w:rFonts w:ascii="Times New Roman" w:hAnsi="Times New Roman"/>
        </w:rPr>
        <w:t>(Dota), ως άλας μεγλουμίνη</w:t>
      </w:r>
      <w:r w:rsidR="009626FF">
        <w:rPr>
          <w:rFonts w:ascii="Times New Roman" w:hAnsi="Times New Roman"/>
        </w:rPr>
        <w:t>ς</w:t>
      </w:r>
      <w:r>
        <w:rPr>
          <w:rFonts w:ascii="Times New Roman" w:hAnsi="Times New Roman"/>
        </w:rPr>
        <w:t>.</w:t>
      </w:r>
    </w:p>
    <w:p w:rsidR="00C964C3" w:rsidRPr="004E36D7" w:rsidRDefault="00163E5E"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Το</w:t>
      </w:r>
      <w:r w:rsidR="00EB0298">
        <w:rPr>
          <w:rFonts w:ascii="Times New Roman" w:hAnsi="Times New Roman"/>
        </w:rPr>
        <w:t xml:space="preserve"> παραμαγνητικ</w:t>
      </w:r>
      <w:r>
        <w:rPr>
          <w:rFonts w:ascii="Times New Roman" w:hAnsi="Times New Roman"/>
        </w:rPr>
        <w:t>ό</w:t>
      </w:r>
      <w:r w:rsidR="00EB0298">
        <w:rPr>
          <w:rFonts w:ascii="Times New Roman" w:hAnsi="Times New Roman"/>
        </w:rPr>
        <w:t xml:space="preserve"> </w:t>
      </w:r>
      <w:r>
        <w:rPr>
          <w:rFonts w:ascii="Times New Roman" w:hAnsi="Times New Roman"/>
        </w:rPr>
        <w:t>φαινόμενο</w:t>
      </w:r>
      <w:r w:rsidR="003C373E">
        <w:rPr>
          <w:rFonts w:ascii="Times New Roman" w:hAnsi="Times New Roman"/>
        </w:rPr>
        <w:t xml:space="preserve"> </w:t>
      </w:r>
      <w:r w:rsidR="00EB0298">
        <w:rPr>
          <w:rFonts w:ascii="Times New Roman" w:hAnsi="Times New Roman"/>
        </w:rPr>
        <w:t xml:space="preserve">(relaxivity) καθορίζεται από την επίδραση </w:t>
      </w:r>
      <w:r>
        <w:rPr>
          <w:rFonts w:ascii="Times New Roman" w:hAnsi="Times New Roman"/>
        </w:rPr>
        <w:t>του</w:t>
      </w:r>
      <w:r w:rsidR="00EB0298">
        <w:rPr>
          <w:rFonts w:ascii="Times New Roman" w:hAnsi="Times New Roman"/>
        </w:rPr>
        <w:t xml:space="preserve"> σπιν</w:t>
      </w:r>
      <w:r w:rsidR="000F2A74" w:rsidRPr="000F2A74">
        <w:rPr>
          <w:rFonts w:ascii="Times New Roman" w:hAnsi="Times New Roman"/>
        </w:rPr>
        <w:t xml:space="preserve"> </w:t>
      </w:r>
      <w:r>
        <w:rPr>
          <w:rFonts w:ascii="Times New Roman" w:hAnsi="Times New Roman"/>
        </w:rPr>
        <w:t xml:space="preserve">στην </w:t>
      </w:r>
      <w:r w:rsidR="00EB0298">
        <w:rPr>
          <w:rFonts w:ascii="Times New Roman" w:hAnsi="Times New Roman"/>
        </w:rPr>
        <w:t>T1</w:t>
      </w:r>
      <w:r w:rsidR="000F2A74" w:rsidRPr="000F2A74">
        <w:rPr>
          <w:rFonts w:ascii="Times New Roman" w:hAnsi="Times New Roman"/>
        </w:rPr>
        <w:t xml:space="preserve"> </w:t>
      </w:r>
      <w:r>
        <w:rPr>
          <w:rFonts w:ascii="Times New Roman" w:hAnsi="Times New Roman"/>
        </w:rPr>
        <w:t>εικόνα</w:t>
      </w:r>
      <w:r w:rsidR="00EB0298">
        <w:rPr>
          <w:rFonts w:ascii="Times New Roman" w:hAnsi="Times New Roman"/>
        </w:rPr>
        <w:t xml:space="preserve"> περίπου 3,4 mmol</w:t>
      </w:r>
      <w:r w:rsidR="00EB0298">
        <w:rPr>
          <w:rFonts w:ascii="Times New Roman" w:hAnsi="Times New Roman"/>
          <w:vertAlign w:val="superscript"/>
        </w:rPr>
        <w:t>-1</w:t>
      </w:r>
      <w:r w:rsidR="00AB72A7">
        <w:rPr>
          <w:rFonts w:ascii="Times New Roman" w:hAnsi="Times New Roman"/>
          <w:lang w:val="en-US"/>
        </w:rPr>
        <w:t>L</w:t>
      </w:r>
      <w:r w:rsidR="00EB0298">
        <w:rPr>
          <w:rFonts w:ascii="Times New Roman" w:hAnsi="Times New Roman"/>
        </w:rPr>
        <w:t>sec</w:t>
      </w:r>
      <w:r w:rsidR="00EB0298">
        <w:rPr>
          <w:rFonts w:ascii="Times New Roman" w:hAnsi="Times New Roman"/>
          <w:vertAlign w:val="superscript"/>
        </w:rPr>
        <w:t>-1</w:t>
      </w:r>
      <w:r w:rsidR="00EB0298">
        <w:rPr>
          <w:rFonts w:ascii="Times New Roman" w:hAnsi="Times New Roman"/>
        </w:rPr>
        <w:t xml:space="preserve"> και στον χρόνο </w:t>
      </w:r>
      <w:r>
        <w:rPr>
          <w:rFonts w:ascii="Times New Roman" w:hAnsi="Times New Roman"/>
        </w:rPr>
        <w:t>χαλάρωσης</w:t>
      </w:r>
      <w:r w:rsidR="00EB0298">
        <w:rPr>
          <w:rFonts w:ascii="Times New Roman" w:hAnsi="Times New Roman"/>
        </w:rPr>
        <w:t xml:space="preserve"> </w:t>
      </w:r>
      <w:r>
        <w:rPr>
          <w:rFonts w:ascii="Times New Roman" w:hAnsi="Times New Roman"/>
        </w:rPr>
        <w:t xml:space="preserve">του σπιν </w:t>
      </w:r>
      <w:r w:rsidR="00EB0298">
        <w:rPr>
          <w:rFonts w:ascii="Times New Roman" w:hAnsi="Times New Roman"/>
        </w:rPr>
        <w:t>(T2) περίπου 4,27 mmol</w:t>
      </w:r>
      <w:r w:rsidR="00EB0298">
        <w:rPr>
          <w:rFonts w:ascii="Times New Roman" w:hAnsi="Times New Roman"/>
          <w:vertAlign w:val="superscript"/>
        </w:rPr>
        <w:t>-1</w:t>
      </w:r>
      <w:r w:rsidR="00AB72A7">
        <w:rPr>
          <w:rFonts w:ascii="Times New Roman" w:hAnsi="Times New Roman"/>
          <w:lang w:val="en-US"/>
        </w:rPr>
        <w:t>L</w:t>
      </w:r>
      <w:r w:rsidR="00EB0298">
        <w:rPr>
          <w:rFonts w:ascii="Times New Roman" w:hAnsi="Times New Roman"/>
        </w:rPr>
        <w:t>sec</w:t>
      </w:r>
      <w:r w:rsidR="00EB0298">
        <w:rPr>
          <w:rFonts w:ascii="Times New Roman" w:hAnsi="Times New Roman"/>
          <w:vertAlign w:val="superscript"/>
        </w:rPr>
        <w:t>-1</w:t>
      </w:r>
      <w:r w:rsidR="00EB0298">
        <w:rPr>
          <w:rFonts w:ascii="Times New Roman" w:hAnsi="Times New Roman"/>
        </w:rPr>
        <w:t>.</w:t>
      </w: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Το γαδοτερικό οξύ δεν διαπερνά τον άθικτο αιματοεγκεφαλικό φραγμό και συνεπώς δεν συσσωρεύεται στον υγιή εγκεφαλικό ιστό ή σε βλάβες </w:t>
      </w:r>
      <w:r w:rsidR="00AB72A7">
        <w:rPr>
          <w:rFonts w:ascii="Times New Roman" w:hAnsi="Times New Roman"/>
        </w:rPr>
        <w:t>με</w:t>
      </w:r>
      <w:r>
        <w:rPr>
          <w:rFonts w:ascii="Times New Roman" w:hAnsi="Times New Roman"/>
        </w:rPr>
        <w:t xml:space="preserve"> άθικτο </w:t>
      </w:r>
      <w:r w:rsidR="00AB72A7">
        <w:rPr>
          <w:rFonts w:ascii="Times New Roman" w:hAnsi="Times New Roman"/>
        </w:rPr>
        <w:t xml:space="preserve">τον </w:t>
      </w:r>
      <w:r>
        <w:rPr>
          <w:rFonts w:ascii="Times New Roman" w:hAnsi="Times New Roman"/>
        </w:rPr>
        <w:t>αιματοεγκεφαλικό φραγμό.</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rPr>
      </w:pPr>
      <w:r>
        <w:rPr>
          <w:rFonts w:ascii="Times New Roman" w:hAnsi="Times New Roman"/>
          <w:b/>
          <w:spacing w:val="7"/>
        </w:rPr>
        <w:t>5.2</w:t>
      </w:r>
      <w:r>
        <w:tab/>
      </w:r>
      <w:r>
        <w:tab/>
      </w:r>
      <w:r>
        <w:rPr>
          <w:rFonts w:ascii="Times New Roman" w:hAnsi="Times New Roman"/>
          <w:b/>
          <w:spacing w:val="-2"/>
        </w:rPr>
        <w:t>Φαρμακοκινητικές ιδιότητες</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Μετά από ενδοφλέβια χορήγηση, το γαδοτερικό οξύ κατανέμεται ταχέως στ</w:t>
      </w:r>
      <w:r w:rsidR="00AB72A7">
        <w:rPr>
          <w:rFonts w:ascii="Times New Roman" w:hAnsi="Times New Roman"/>
        </w:rPr>
        <w:t>α</w:t>
      </w:r>
      <w:r>
        <w:rPr>
          <w:rFonts w:ascii="Times New Roman" w:hAnsi="Times New Roman"/>
        </w:rPr>
        <w:t xml:space="preserve"> εξωκυττάρι</w:t>
      </w:r>
      <w:r w:rsidR="00AB72A7">
        <w:rPr>
          <w:rFonts w:ascii="Times New Roman" w:hAnsi="Times New Roman"/>
        </w:rPr>
        <w:t>α</w:t>
      </w:r>
      <w:r>
        <w:rPr>
          <w:rFonts w:ascii="Times New Roman" w:hAnsi="Times New Roman"/>
        </w:rPr>
        <w:t xml:space="preserve"> υγρ</w:t>
      </w:r>
      <w:r w:rsidR="00AB72A7">
        <w:rPr>
          <w:rFonts w:ascii="Times New Roman" w:hAnsi="Times New Roman"/>
        </w:rPr>
        <w:t>ά</w:t>
      </w:r>
      <w:r>
        <w:rPr>
          <w:rFonts w:ascii="Times New Roman" w:hAnsi="Times New Roman"/>
        </w:rPr>
        <w:t>. Ο όγκος κατανομής ήταν περίπου 18 l, ο οποίο</w:t>
      </w:r>
      <w:r w:rsidR="00AB72A7">
        <w:rPr>
          <w:rFonts w:ascii="Times New Roman" w:hAnsi="Times New Roman"/>
        </w:rPr>
        <w:t>ς</w:t>
      </w:r>
      <w:r>
        <w:rPr>
          <w:rFonts w:ascii="Times New Roman" w:hAnsi="Times New Roman"/>
        </w:rPr>
        <w:t xml:space="preserve"> είναι περίπου ίσο</w:t>
      </w:r>
      <w:r w:rsidR="00AB72A7">
        <w:rPr>
          <w:rFonts w:ascii="Times New Roman" w:hAnsi="Times New Roman"/>
        </w:rPr>
        <w:t>ς</w:t>
      </w:r>
      <w:r>
        <w:rPr>
          <w:rFonts w:ascii="Times New Roman" w:hAnsi="Times New Roman"/>
        </w:rPr>
        <w:t xml:space="preserve"> με τον όγκο του εξωκυττάριου υγρού. Το γαδοτερικό οξύ δεν </w:t>
      </w:r>
      <w:r w:rsidR="00AB72A7">
        <w:rPr>
          <w:rFonts w:ascii="Times New Roman" w:hAnsi="Times New Roman"/>
        </w:rPr>
        <w:t>συνδέ</w:t>
      </w:r>
      <w:r>
        <w:rPr>
          <w:rFonts w:ascii="Times New Roman" w:hAnsi="Times New Roman"/>
        </w:rPr>
        <w:t xml:space="preserve">εται </w:t>
      </w:r>
      <w:r w:rsidR="00AB72A7">
        <w:rPr>
          <w:rFonts w:ascii="Times New Roman" w:hAnsi="Times New Roman"/>
        </w:rPr>
        <w:t>μ</w:t>
      </w:r>
      <w:r>
        <w:rPr>
          <w:rFonts w:ascii="Times New Roman" w:hAnsi="Times New Roman"/>
        </w:rPr>
        <w:t xml:space="preserve">ε πρωτεΐνες, όπως η λευκωματίνη </w:t>
      </w:r>
      <w:r w:rsidR="00C57FDE">
        <w:rPr>
          <w:rFonts w:ascii="Times New Roman" w:hAnsi="Times New Roman"/>
        </w:rPr>
        <w:t>του πλάσματος.</w:t>
      </w:r>
    </w:p>
    <w:p w:rsidR="00C964C3" w:rsidRPr="004E36D7" w:rsidRDefault="00EB0298" w:rsidP="00C80C33">
      <w:pPr>
        <w:spacing w:before="2" w:after="0" w:line="241" w:lineRule="auto"/>
        <w:ind w:right="17"/>
        <w:jc w:val="both"/>
        <w:rPr>
          <w:rFonts w:ascii="Times New Roman" w:eastAsia="Times New Roman" w:hAnsi="Times New Roman" w:cs="Times New Roman"/>
          <w:szCs w:val="20"/>
        </w:rPr>
      </w:pPr>
      <w:r>
        <w:rPr>
          <w:rFonts w:ascii="Times New Roman" w:hAnsi="Times New Roman"/>
        </w:rPr>
        <w:t>Το γαδοτερικό οξύ αποβάλλεται ταχέως (89% μετά από 6 ώρες, 95% μετά από 24 ώρες) σε αμετάβλητη μορφή δια τη</w:t>
      </w:r>
      <w:r w:rsidR="00AB72A7">
        <w:rPr>
          <w:rFonts w:ascii="Times New Roman" w:hAnsi="Times New Roman"/>
        </w:rPr>
        <w:t>ς</w:t>
      </w:r>
      <w:r>
        <w:rPr>
          <w:rFonts w:ascii="Times New Roman" w:hAnsi="Times New Roman"/>
        </w:rPr>
        <w:t xml:space="preserve"> νεφρικής οδού, μέσω σπειραματικής διήθησης. Η απέκκριση </w:t>
      </w:r>
      <w:r w:rsidR="00AB72A7">
        <w:rPr>
          <w:rFonts w:ascii="Times New Roman" w:hAnsi="Times New Roman"/>
        </w:rPr>
        <w:t>δια</w:t>
      </w:r>
      <w:r>
        <w:rPr>
          <w:rFonts w:ascii="Times New Roman" w:hAnsi="Times New Roman"/>
        </w:rPr>
        <w:t xml:space="preserve"> </w:t>
      </w:r>
      <w:r w:rsidR="00AB72A7">
        <w:rPr>
          <w:rFonts w:ascii="Times New Roman" w:hAnsi="Times New Roman"/>
        </w:rPr>
        <w:t xml:space="preserve">των </w:t>
      </w:r>
      <w:r>
        <w:rPr>
          <w:rFonts w:ascii="Times New Roman" w:hAnsi="Times New Roman"/>
        </w:rPr>
        <w:t>κ</w:t>
      </w:r>
      <w:r w:rsidR="00AB72A7">
        <w:rPr>
          <w:rFonts w:ascii="Times New Roman" w:hAnsi="Times New Roman"/>
        </w:rPr>
        <w:t>ο</w:t>
      </w:r>
      <w:r>
        <w:rPr>
          <w:rFonts w:ascii="Times New Roman" w:hAnsi="Times New Roman"/>
        </w:rPr>
        <w:t>πρ</w:t>
      </w:r>
      <w:r w:rsidR="00AB72A7">
        <w:rPr>
          <w:rFonts w:ascii="Times New Roman" w:hAnsi="Times New Roman"/>
        </w:rPr>
        <w:t>ά</w:t>
      </w:r>
      <w:r>
        <w:rPr>
          <w:rFonts w:ascii="Times New Roman" w:hAnsi="Times New Roman"/>
        </w:rPr>
        <w:t>ν</w:t>
      </w:r>
      <w:r w:rsidR="00AB72A7">
        <w:rPr>
          <w:rFonts w:ascii="Times New Roman" w:hAnsi="Times New Roman"/>
        </w:rPr>
        <w:t>ων</w:t>
      </w:r>
      <w:r>
        <w:rPr>
          <w:rFonts w:ascii="Times New Roman" w:hAnsi="Times New Roman"/>
        </w:rPr>
        <w:t xml:space="preserve"> είναι αμελητέα. Δεν ανιχνεύτηκαν μεταβολίτες. Ο χρόνος ημίσειας ζωής αποβολή</w:t>
      </w:r>
      <w:r w:rsidR="00AB72A7">
        <w:rPr>
          <w:rFonts w:ascii="Times New Roman" w:hAnsi="Times New Roman"/>
        </w:rPr>
        <w:t>ς</w:t>
      </w:r>
      <w:r>
        <w:rPr>
          <w:rFonts w:ascii="Times New Roman" w:hAnsi="Times New Roman"/>
        </w:rPr>
        <w:t xml:space="preserve"> είναι περίπου 1,6 ώρες σε ασθενείς με φυσιολογική νεφρική λειτουργία. Σε ασθενείς με νεφρική δυσλειτουργία, ο χρόνος ημίσειας ζωής αποβολή</w:t>
      </w:r>
      <w:r w:rsidR="00AB72A7">
        <w:rPr>
          <w:rFonts w:ascii="Times New Roman" w:hAnsi="Times New Roman"/>
        </w:rPr>
        <w:t>ς</w:t>
      </w:r>
      <w:r>
        <w:rPr>
          <w:rFonts w:ascii="Times New Roman" w:hAnsi="Times New Roman"/>
        </w:rPr>
        <w:t xml:space="preserve"> ήταν αυξημένος σε περίπου 5 ώρες για κάθαρση κρεατινίνης μεταξύ 30 και 60 ml/min και περίπου 14 ώρες για κάθαρση κρεατινίνης μεταξύ 10 και 30 ml/min.</w:t>
      </w:r>
    </w:p>
    <w:p w:rsidR="00C964C3" w:rsidRPr="004E36D7" w:rsidRDefault="00EB0298" w:rsidP="00C80C33">
      <w:pPr>
        <w:spacing w:before="2" w:after="0" w:line="241" w:lineRule="auto"/>
        <w:ind w:right="102"/>
        <w:jc w:val="both"/>
        <w:rPr>
          <w:rFonts w:ascii="Times New Roman" w:eastAsia="Times New Roman" w:hAnsi="Times New Roman" w:cs="Times New Roman"/>
          <w:szCs w:val="20"/>
        </w:rPr>
      </w:pPr>
      <w:r>
        <w:rPr>
          <w:rFonts w:ascii="Times New Roman" w:hAnsi="Times New Roman"/>
        </w:rPr>
        <w:t>Σε πειράματα σε ζώα, έχει καταδειχθεί ότι το γαδοτερικό οξύ μπορεί να απομακρυνθεί με αιμο</w:t>
      </w:r>
      <w:r w:rsidR="00AB72A7">
        <w:rPr>
          <w:rFonts w:ascii="Times New Roman" w:hAnsi="Times New Roman"/>
        </w:rPr>
        <w:t>κάθαρ</w:t>
      </w:r>
      <w:r>
        <w:rPr>
          <w:rFonts w:ascii="Times New Roman" w:hAnsi="Times New Roman"/>
        </w:rPr>
        <w:t>ση.</w:t>
      </w:r>
    </w:p>
    <w:p w:rsidR="004F3743" w:rsidRPr="00B963AF" w:rsidRDefault="004F3743" w:rsidP="00C80C33">
      <w:pPr>
        <w:spacing w:before="80" w:after="80" w:line="240" w:lineRule="auto"/>
        <w:jc w:val="both"/>
        <w:outlineLvl w:val="0"/>
        <w:rPr>
          <w:rFonts w:ascii="Times New Roman" w:eastAsia="Times New Roman" w:hAnsi="Times New Roman" w:cs="Times New Roman"/>
          <w:szCs w:val="20"/>
        </w:rPr>
      </w:pPr>
      <w:r>
        <w:rPr>
          <w:rFonts w:ascii="Times New Roman" w:hAnsi="Times New Roman"/>
        </w:rPr>
        <w:t xml:space="preserve">Σε ασθενείς με φυσιολογική νεφρική λειτουργία, ο χρόνος ημίσειας ζωής στο πλάσμα είναι περίπου 90 λεπτά. </w:t>
      </w:r>
      <w:r w:rsidR="00D83D85">
        <w:rPr>
          <w:rFonts w:ascii="Times New Roman" w:hAnsi="Times New Roman"/>
          <w:lang w:val="de-DE"/>
        </w:rPr>
        <w:t>A</w:t>
      </w:r>
      <w:r w:rsidR="00D83D85">
        <w:rPr>
          <w:rFonts w:ascii="Times New Roman" w:hAnsi="Times New Roman"/>
        </w:rPr>
        <w:t>ποβάλλεται μέσω σπειραματικής διήθησης σε αμετάβλητη μορφή.</w:t>
      </w:r>
    </w:p>
    <w:p w:rsidR="004F3743" w:rsidRPr="00B963AF" w:rsidRDefault="004F3743" w:rsidP="00C80C33">
      <w:pPr>
        <w:spacing w:before="80" w:after="80" w:line="240" w:lineRule="auto"/>
        <w:jc w:val="both"/>
        <w:outlineLvl w:val="0"/>
        <w:rPr>
          <w:rFonts w:ascii="Times New Roman" w:eastAsia="Times New Roman" w:hAnsi="Times New Roman" w:cs="Times New Roman"/>
          <w:szCs w:val="20"/>
        </w:rPr>
      </w:pPr>
      <w:r>
        <w:rPr>
          <w:rFonts w:ascii="Times New Roman" w:hAnsi="Times New Roman"/>
        </w:rPr>
        <w:t>Η κάθαρση από το πλάσμα είναι μειωμένη σε περίπτωση νεφρικής δυσλειτουργίας.</w:t>
      </w:r>
    </w:p>
    <w:p w:rsidR="004F3743" w:rsidRDefault="004F3743" w:rsidP="00C80C33">
      <w:pPr>
        <w:spacing w:before="2" w:after="0" w:line="241" w:lineRule="auto"/>
        <w:ind w:right="102"/>
        <w:jc w:val="both"/>
        <w:rPr>
          <w:rFonts w:ascii="Times New Roman" w:eastAsia="Times New Roman" w:hAnsi="Times New Roman" w:cs="Times New Roman"/>
          <w:szCs w:val="20"/>
        </w:rPr>
      </w:pPr>
      <w:r>
        <w:rPr>
          <w:rFonts w:ascii="Times New Roman" w:hAnsi="Times New Roman"/>
        </w:rPr>
        <w:t>Το γαδοτερικό οξύ απεκκρίν</w:t>
      </w:r>
      <w:r w:rsidR="0058470D">
        <w:rPr>
          <w:rFonts w:ascii="Times New Roman" w:hAnsi="Times New Roman"/>
        </w:rPr>
        <w:t>ετ</w:t>
      </w:r>
      <w:r>
        <w:rPr>
          <w:rFonts w:ascii="Times New Roman" w:hAnsi="Times New Roman"/>
        </w:rPr>
        <w:t>αι σε μικρό βαθμό στο γάλα και διαπερνά αργά τον πλακούντιο φραγμό.</w:t>
      </w:r>
    </w:p>
    <w:p w:rsidR="004F3743" w:rsidRPr="004E36D7" w:rsidRDefault="004F3743" w:rsidP="004E36D7">
      <w:pPr>
        <w:spacing w:before="2" w:after="0" w:line="241" w:lineRule="auto"/>
        <w:ind w:right="102"/>
        <w:jc w:val="both"/>
        <w:rPr>
          <w:rFonts w:ascii="Times New Roman" w:eastAsia="Times New Roman" w:hAnsi="Times New Roman" w:cs="Times New Roman"/>
          <w:szCs w:val="20"/>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b/>
          <w:bCs/>
          <w:spacing w:val="7"/>
        </w:rPr>
      </w:pPr>
      <w:r>
        <w:rPr>
          <w:rFonts w:ascii="Times New Roman" w:hAnsi="Times New Roman"/>
          <w:b/>
          <w:spacing w:val="7"/>
        </w:rPr>
        <w:t>5.3</w:t>
      </w:r>
      <w:r>
        <w:tab/>
      </w:r>
      <w:r>
        <w:tab/>
      </w:r>
      <w:r>
        <w:rPr>
          <w:rFonts w:ascii="Times New Roman" w:hAnsi="Times New Roman"/>
          <w:b/>
          <w:spacing w:val="7"/>
        </w:rPr>
        <w:t>Προκλινικά δεδομένα για την ασφάλεια</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 xml:space="preserve">Τα μη κλινικά δεδομένα δεν αποκαλύπτουν ιδιαίτερο κίνδυνο για τον άνθρωπο με βάση συμβατικές μελέτες φαρμακολογικής ασφάλειας, τοξικότητας επαναλαμβανόμενων δόσεων, γονοτοξικότητας και τοξικότητας </w:t>
      </w:r>
      <w:r w:rsidR="0058470D">
        <w:rPr>
          <w:rFonts w:ascii="Times New Roman" w:hAnsi="Times New Roman"/>
        </w:rPr>
        <w:t>κατά</w:t>
      </w:r>
      <w:r>
        <w:rPr>
          <w:rFonts w:ascii="Times New Roman" w:hAnsi="Times New Roman"/>
        </w:rPr>
        <w:t xml:space="preserve"> την αναπαραγωγή.</w:t>
      </w: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Μελέτες σε ζώα έδειξαν ασήμαντη (μικρότερη του 1% της χορηγούμενης δόσης) απέκκριση του γαδοτερικού οξέος στο μητρικό γάλα.</w:t>
      </w:r>
    </w:p>
    <w:p w:rsidR="00C964C3" w:rsidRPr="00B963AF" w:rsidRDefault="00C964C3">
      <w:pPr>
        <w:spacing w:after="0" w:line="200" w:lineRule="exact"/>
        <w:rPr>
          <w:rFonts w:ascii="Times New Roman" w:hAnsi="Times New Roman" w:cs="Times New Roman"/>
          <w:sz w:val="20"/>
          <w:szCs w:val="20"/>
        </w:rPr>
      </w:pPr>
    </w:p>
    <w:p w:rsidR="00C964C3" w:rsidRPr="004E36D7" w:rsidRDefault="00EB0298" w:rsidP="004E36D7">
      <w:pPr>
        <w:widowControl/>
        <w:spacing w:after="0" w:line="240" w:lineRule="auto"/>
        <w:rPr>
          <w:rFonts w:ascii="Times New Roman" w:eastAsia="Times New Roman" w:hAnsi="Times New Roman" w:cs="Times New Roman"/>
          <w:b/>
          <w:szCs w:val="20"/>
        </w:rPr>
      </w:pPr>
      <w:r>
        <w:rPr>
          <w:rFonts w:ascii="Times New Roman" w:hAnsi="Times New Roman"/>
          <w:b/>
        </w:rPr>
        <w:t>6.</w:t>
      </w:r>
      <w:r>
        <w:tab/>
      </w:r>
      <w:r>
        <w:rPr>
          <w:rFonts w:ascii="Times New Roman" w:hAnsi="Times New Roman"/>
          <w:b/>
        </w:rPr>
        <w:t>ΦΑΡΜΑΚΕΥΤΙΚΕΣ ΠΛΗΡΟΦΟΡΙΕΣ</w:t>
      </w:r>
    </w:p>
    <w:p w:rsidR="00C964C3" w:rsidRPr="004E36D7" w:rsidRDefault="00C964C3">
      <w:pPr>
        <w:spacing w:before="18" w:after="0" w:line="240" w:lineRule="exact"/>
        <w:rPr>
          <w:rFonts w:ascii="Times New Roman" w:hAnsi="Times New Roman" w:cs="Times New Roman"/>
          <w:sz w:val="24"/>
          <w:szCs w:val="24"/>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b/>
          <w:bCs/>
          <w:spacing w:val="7"/>
        </w:rPr>
      </w:pPr>
      <w:r>
        <w:rPr>
          <w:rFonts w:ascii="Times New Roman" w:hAnsi="Times New Roman"/>
          <w:b/>
          <w:spacing w:val="7"/>
        </w:rPr>
        <w:t>6.1</w:t>
      </w:r>
      <w:r>
        <w:tab/>
      </w:r>
      <w:r>
        <w:tab/>
      </w:r>
      <w:r>
        <w:rPr>
          <w:rFonts w:ascii="Times New Roman" w:hAnsi="Times New Roman"/>
          <w:b/>
          <w:spacing w:val="7"/>
        </w:rPr>
        <w:t>Κατάλογος εκδόχων</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Μεγλουμίνη</w:t>
      </w:r>
    </w:p>
    <w:p w:rsidR="00435B0E" w:rsidRPr="004E36D7" w:rsidRDefault="00435B0E"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DOTA</w:t>
      </w: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Ύδωρ για ενέσιμα</w:t>
      </w:r>
    </w:p>
    <w:p w:rsidR="004E36D7" w:rsidRPr="00B963AF" w:rsidRDefault="004E36D7" w:rsidP="004E36D7">
      <w:pPr>
        <w:widowControl/>
        <w:spacing w:after="0" w:line="240" w:lineRule="auto"/>
        <w:ind w:left="567" w:hanging="567"/>
        <w:outlineLvl w:val="0"/>
        <w:rPr>
          <w:rFonts w:ascii="Times New Roman" w:eastAsia="Times New Roman" w:hAnsi="Times New Roman" w:cs="Times New Roman"/>
          <w:b/>
          <w:bCs/>
          <w:spacing w:val="7"/>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b/>
          <w:bCs/>
          <w:spacing w:val="7"/>
        </w:rPr>
      </w:pPr>
      <w:r>
        <w:rPr>
          <w:rFonts w:ascii="Times New Roman" w:hAnsi="Times New Roman"/>
          <w:b/>
          <w:spacing w:val="7"/>
        </w:rPr>
        <w:t>6.2</w:t>
      </w:r>
      <w:r>
        <w:tab/>
      </w:r>
      <w:r>
        <w:tab/>
      </w:r>
      <w:r>
        <w:rPr>
          <w:rFonts w:ascii="Times New Roman" w:hAnsi="Times New Roman"/>
          <w:b/>
          <w:spacing w:val="7"/>
        </w:rPr>
        <w:t>Ασυμβατότητες</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lastRenderedPageBreak/>
        <w:t>Ελλείψει μελετών σχετικά με τη συμβατότητα, το παρόν φαρμακευτικό προϊόν δεν πρέπει να αναμειγνύεται με άλλα φαρμακευτικά προϊόντα.</w:t>
      </w:r>
    </w:p>
    <w:p w:rsidR="004E36D7" w:rsidRPr="004E36D7" w:rsidRDefault="004E36D7" w:rsidP="004E36D7">
      <w:pPr>
        <w:spacing w:before="2" w:after="0" w:line="241" w:lineRule="auto"/>
        <w:ind w:right="102"/>
        <w:jc w:val="both"/>
        <w:rPr>
          <w:rFonts w:ascii="Times New Roman" w:eastAsia="Times New Roman" w:hAnsi="Times New Roman" w:cs="Times New Roman"/>
          <w:szCs w:val="20"/>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b/>
          <w:bCs/>
          <w:spacing w:val="7"/>
        </w:rPr>
      </w:pPr>
      <w:r>
        <w:rPr>
          <w:rFonts w:ascii="Times New Roman" w:hAnsi="Times New Roman"/>
          <w:b/>
          <w:spacing w:val="7"/>
        </w:rPr>
        <w:t>6.3</w:t>
      </w:r>
      <w:r>
        <w:tab/>
      </w:r>
      <w:r>
        <w:tab/>
      </w:r>
      <w:r>
        <w:rPr>
          <w:rFonts w:ascii="Times New Roman" w:hAnsi="Times New Roman"/>
          <w:b/>
          <w:spacing w:val="7"/>
        </w:rPr>
        <w:t>Διάρκεια ζωής</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C8377E"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3 χρόνια.</w:t>
      </w:r>
    </w:p>
    <w:p w:rsidR="00C964C3" w:rsidRDefault="00C964C3" w:rsidP="004E36D7">
      <w:pPr>
        <w:spacing w:before="2" w:after="0" w:line="241" w:lineRule="auto"/>
        <w:ind w:right="102"/>
        <w:jc w:val="both"/>
        <w:rPr>
          <w:rFonts w:ascii="Times New Roman" w:eastAsia="Times New Roman" w:hAnsi="Times New Roman" w:cs="Times New Roman"/>
          <w:szCs w:val="20"/>
        </w:rPr>
      </w:pPr>
    </w:p>
    <w:p w:rsidR="004E36D7" w:rsidRDefault="0026584A"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Η χημική και φυσική σταθερότητα κατά τη χρήση έχει δειχθεί για 72 ώρες σε θερμοκρασία δωματίου. Από μικροβιολογικής άποψης, το προϊόν πρέπει να χρησιμοποιηθεί αμέσως. Εάν δεν χρησιμοποιηθεί αμέσως, οι χρόνοι και συνθήκες αποθήκευσης πριν τη χρήση αποτελούν ευθύνη του χρήστη και κανονικά δεν πρέπει να υπερβαίνουν τις 24 ώρες σε θερμοκρασία 2 έως 8°C, εκτός εάν το άνοιγμα πραγματοποιήθηκε σε ελεγχόμενες και αξιόπιστα άσηπτες συνθήκες.</w:t>
      </w:r>
    </w:p>
    <w:p w:rsidR="0026584A" w:rsidRPr="004E36D7" w:rsidRDefault="0026584A" w:rsidP="004E36D7">
      <w:pPr>
        <w:spacing w:before="2" w:after="0" w:line="241" w:lineRule="auto"/>
        <w:ind w:right="102"/>
        <w:jc w:val="both"/>
        <w:rPr>
          <w:rFonts w:ascii="Times New Roman" w:eastAsia="Times New Roman" w:hAnsi="Times New Roman" w:cs="Times New Roman"/>
          <w:szCs w:val="20"/>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b/>
          <w:bCs/>
          <w:spacing w:val="7"/>
        </w:rPr>
      </w:pPr>
      <w:r>
        <w:rPr>
          <w:rFonts w:ascii="Times New Roman" w:hAnsi="Times New Roman"/>
          <w:b/>
          <w:spacing w:val="7"/>
        </w:rPr>
        <w:t>6.4</w:t>
      </w:r>
      <w:r>
        <w:tab/>
      </w:r>
      <w:r>
        <w:tab/>
      </w:r>
      <w:r>
        <w:rPr>
          <w:rFonts w:ascii="Times New Roman" w:hAnsi="Times New Roman"/>
          <w:b/>
          <w:spacing w:val="7"/>
        </w:rPr>
        <w:t>Ιδιαίτερες προφυλάξεις κατά τη φύλαξη του προϊόντος</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Default="009A30E1"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Το φαρμακευτικό αυτό προϊόν δεν απαιτεί ιδιαίτερες συνθήκες για τη φύλαξή του.</w:t>
      </w:r>
    </w:p>
    <w:p w:rsidR="00EC11A3" w:rsidRPr="004E36D7" w:rsidRDefault="00EC11A3" w:rsidP="004E36D7">
      <w:pPr>
        <w:spacing w:before="2" w:after="0" w:line="241" w:lineRule="auto"/>
        <w:ind w:right="102"/>
        <w:jc w:val="both"/>
        <w:rPr>
          <w:rFonts w:ascii="Times New Roman" w:eastAsia="Times New Roman" w:hAnsi="Times New Roman" w:cs="Times New Roman"/>
          <w:szCs w:val="20"/>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b/>
          <w:bCs/>
          <w:spacing w:val="7"/>
        </w:rPr>
      </w:pPr>
      <w:r>
        <w:rPr>
          <w:rFonts w:ascii="Times New Roman" w:hAnsi="Times New Roman"/>
          <w:b/>
          <w:spacing w:val="7"/>
        </w:rPr>
        <w:t>6.5</w:t>
      </w:r>
      <w:r>
        <w:tab/>
      </w:r>
      <w:r>
        <w:tab/>
      </w:r>
      <w:r>
        <w:rPr>
          <w:rFonts w:ascii="Times New Roman" w:hAnsi="Times New Roman"/>
          <w:b/>
          <w:spacing w:val="7"/>
        </w:rPr>
        <w:t>Φύση και συστατικά του περιέκτη</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Default="00146C58" w:rsidP="00B963AF">
      <w:pPr>
        <w:spacing w:after="0" w:line="240" w:lineRule="auto"/>
        <w:ind w:right="102"/>
        <w:jc w:val="both"/>
        <w:rPr>
          <w:rFonts w:ascii="Times New Roman" w:eastAsia="Times New Roman" w:hAnsi="Times New Roman" w:cs="Times New Roman"/>
          <w:szCs w:val="20"/>
        </w:rPr>
      </w:pPr>
      <w:r>
        <w:rPr>
          <w:rFonts w:ascii="Times New Roman" w:hAnsi="Times New Roman"/>
        </w:rPr>
        <w:t xml:space="preserve">1 και 10 φιαλίδια των 10 ml και 20 ml (που περιέχουν </w:t>
      </w:r>
      <w:r w:rsidR="009C626D">
        <w:rPr>
          <w:rFonts w:ascii="Times New Roman" w:hAnsi="Times New Roman"/>
        </w:rPr>
        <w:t xml:space="preserve">είτε </w:t>
      </w:r>
      <w:r>
        <w:rPr>
          <w:rFonts w:ascii="Times New Roman" w:hAnsi="Times New Roman"/>
        </w:rPr>
        <w:t xml:space="preserve">15 </w:t>
      </w:r>
      <w:r w:rsidR="009C626D">
        <w:rPr>
          <w:rFonts w:ascii="Times New Roman" w:hAnsi="Times New Roman"/>
          <w:lang w:val="en-US"/>
        </w:rPr>
        <w:t>ml</w:t>
      </w:r>
      <w:r w:rsidR="009C626D" w:rsidRPr="00A83911">
        <w:rPr>
          <w:rFonts w:ascii="Times New Roman" w:hAnsi="Times New Roman"/>
        </w:rPr>
        <w:t xml:space="preserve"> </w:t>
      </w:r>
      <w:r w:rsidR="009C626D">
        <w:rPr>
          <w:rFonts w:ascii="Times New Roman" w:hAnsi="Times New Roman"/>
        </w:rPr>
        <w:t>είτε</w:t>
      </w:r>
      <w:r>
        <w:rPr>
          <w:rFonts w:ascii="Times New Roman" w:hAnsi="Times New Roman"/>
        </w:rPr>
        <w:t xml:space="preserve"> 20 ml) από άχρωμο γυαλί τύπου ΙΙ μίας χρήσης, σφραγισμένα με </w:t>
      </w:r>
      <w:r w:rsidR="009C626D">
        <w:rPr>
          <w:rFonts w:ascii="Times New Roman" w:hAnsi="Times New Roman"/>
        </w:rPr>
        <w:t xml:space="preserve">ελαστικό </w:t>
      </w:r>
      <w:r>
        <w:rPr>
          <w:rFonts w:ascii="Times New Roman" w:hAnsi="Times New Roman"/>
        </w:rPr>
        <w:t xml:space="preserve">πώμα </w:t>
      </w:r>
      <w:r w:rsidR="009C626D">
        <w:rPr>
          <w:rFonts w:ascii="Times New Roman" w:hAnsi="Times New Roman"/>
        </w:rPr>
        <w:t xml:space="preserve">από βρωμοβουτύλιο </w:t>
      </w:r>
      <w:r>
        <w:rPr>
          <w:rFonts w:ascii="Times New Roman" w:hAnsi="Times New Roman"/>
        </w:rPr>
        <w:t>και συσκευασμένα σε χάρτινο κουτί μίας μονάδας.</w:t>
      </w:r>
    </w:p>
    <w:p w:rsidR="00C964C3" w:rsidRPr="004E36D7" w:rsidRDefault="00EB0298" w:rsidP="00B963AF">
      <w:pPr>
        <w:spacing w:after="0" w:line="240" w:lineRule="auto"/>
        <w:ind w:right="102"/>
        <w:jc w:val="both"/>
        <w:rPr>
          <w:rFonts w:ascii="Times New Roman" w:eastAsia="Times New Roman" w:hAnsi="Times New Roman" w:cs="Times New Roman"/>
          <w:szCs w:val="20"/>
        </w:rPr>
      </w:pPr>
      <w:r>
        <w:rPr>
          <w:rFonts w:ascii="Times New Roman" w:hAnsi="Times New Roman"/>
        </w:rPr>
        <w:t>Μπορεί να μην κυκλοφορούν όλες οι συσκευασίες.</w:t>
      </w:r>
    </w:p>
    <w:p w:rsidR="00EC11A3" w:rsidRPr="004E36D7" w:rsidRDefault="00EC11A3" w:rsidP="004E36D7">
      <w:pPr>
        <w:spacing w:before="2" w:after="0" w:line="241" w:lineRule="auto"/>
        <w:ind w:right="102"/>
        <w:jc w:val="both"/>
        <w:rPr>
          <w:rFonts w:ascii="Times New Roman" w:eastAsia="Times New Roman" w:hAnsi="Times New Roman" w:cs="Times New Roman"/>
          <w:szCs w:val="20"/>
        </w:rPr>
      </w:pPr>
    </w:p>
    <w:p w:rsidR="00C964C3" w:rsidRPr="00B963AF" w:rsidRDefault="00EB0298" w:rsidP="004E36D7">
      <w:pPr>
        <w:widowControl/>
        <w:spacing w:after="0" w:line="240" w:lineRule="auto"/>
        <w:ind w:left="567" w:hanging="567"/>
        <w:outlineLvl w:val="0"/>
        <w:rPr>
          <w:rFonts w:ascii="Times New Roman" w:eastAsia="Times New Roman" w:hAnsi="Times New Roman" w:cs="Times New Roman"/>
          <w:b/>
          <w:bCs/>
          <w:spacing w:val="7"/>
        </w:rPr>
      </w:pPr>
      <w:r>
        <w:rPr>
          <w:rFonts w:ascii="Times New Roman" w:hAnsi="Times New Roman"/>
          <w:b/>
          <w:spacing w:val="7"/>
        </w:rPr>
        <w:t>6.6</w:t>
      </w:r>
      <w:r>
        <w:tab/>
      </w:r>
      <w:r>
        <w:tab/>
      </w:r>
      <w:r>
        <w:rPr>
          <w:rFonts w:ascii="Times New Roman" w:hAnsi="Times New Roman"/>
          <w:b/>
          <w:spacing w:val="7"/>
        </w:rPr>
        <w:t>Ιδιαίτερες προφυλάξεις απόρριψης και άλλος χειρισμός</w:t>
      </w:r>
    </w:p>
    <w:p w:rsidR="00C964C3" w:rsidRPr="00B963AF" w:rsidRDefault="00C964C3" w:rsidP="004E36D7">
      <w:pPr>
        <w:spacing w:before="2" w:after="0" w:line="241" w:lineRule="auto"/>
        <w:ind w:right="102"/>
        <w:jc w:val="both"/>
        <w:rPr>
          <w:rFonts w:ascii="Times New Roman" w:eastAsia="Times New Roman" w:hAnsi="Times New Roman" w:cs="Times New Roman"/>
          <w:szCs w:val="20"/>
        </w:rPr>
      </w:pPr>
    </w:p>
    <w:p w:rsidR="00EC11A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Η αποκολλούμενη επισήμανση ιχνηλασιμότητας στα φιαλίδια θα πρέπει να επικολληθεί στον φάκελο του ασθενή, προκειμένου να είναι δυνατή η ακριβής καταγραφή του σκιαγραφικού παράγοντα γαδολινίου που χρησιμοποιήθηκε. Η χρησιμοποιηθείσα δόση θα πρέπει επίσης να καταγραφεί. Εάν χρησιμοποιούνται ηλεκτρονικοί φάκελοι ασθενών, θα πρέπει στον φάκελο του ασθενή να καταχωρηθεί το όνομα του προϊόντος, ο αριθμός παρτίδας και η δόση.</w:t>
      </w:r>
    </w:p>
    <w:p w:rsidR="00C964C3" w:rsidRPr="004E36D7" w:rsidRDefault="00EB0298" w:rsidP="004E36D7">
      <w:pPr>
        <w:spacing w:before="2" w:after="0" w:line="241" w:lineRule="auto"/>
        <w:ind w:right="102"/>
        <w:jc w:val="both"/>
        <w:rPr>
          <w:rFonts w:ascii="Times New Roman" w:eastAsia="Times New Roman" w:hAnsi="Times New Roman" w:cs="Times New Roman"/>
          <w:szCs w:val="20"/>
        </w:rPr>
      </w:pPr>
      <w:r>
        <w:rPr>
          <w:rFonts w:ascii="Times New Roman" w:hAnsi="Times New Roman"/>
        </w:rPr>
        <w:t>Κάθε αχρησιμοποίητο φαρμακευτικό προϊόν ή υπόλειμμα πρέπει να απορρίπτεται σύμφωνα με τις κατά τόπους ισχύουσες σχετικές διατάξεις.</w:t>
      </w:r>
    </w:p>
    <w:p w:rsidR="00EC11A3" w:rsidRPr="004E36D7" w:rsidRDefault="00EC11A3" w:rsidP="004E36D7">
      <w:pPr>
        <w:spacing w:before="2" w:after="0" w:line="241" w:lineRule="auto"/>
        <w:ind w:right="102"/>
        <w:jc w:val="both"/>
        <w:rPr>
          <w:rFonts w:ascii="Times New Roman" w:eastAsia="Times New Roman" w:hAnsi="Times New Roman" w:cs="Times New Roman"/>
          <w:szCs w:val="20"/>
        </w:rPr>
      </w:pPr>
    </w:p>
    <w:p w:rsidR="00C964C3" w:rsidRPr="005F361C" w:rsidRDefault="00EB0298" w:rsidP="004E36D7">
      <w:pPr>
        <w:widowControl/>
        <w:spacing w:after="0" w:line="240" w:lineRule="auto"/>
        <w:rPr>
          <w:rFonts w:ascii="Times New Roman" w:eastAsia="Times New Roman" w:hAnsi="Times New Roman" w:cs="Times New Roman"/>
          <w:b/>
          <w:szCs w:val="20"/>
        </w:rPr>
      </w:pPr>
      <w:r>
        <w:rPr>
          <w:rFonts w:ascii="Times New Roman" w:hAnsi="Times New Roman"/>
          <w:b/>
        </w:rPr>
        <w:t>7.</w:t>
      </w:r>
      <w:r>
        <w:tab/>
      </w:r>
      <w:r>
        <w:rPr>
          <w:rFonts w:ascii="Times New Roman" w:hAnsi="Times New Roman"/>
          <w:b/>
        </w:rPr>
        <w:t>ΚΑΤΟΧΟΣ ΤΗΣ ΑΔΕΙΑΣ ΚΥΚΛΟΦΟΡΙΑΣ</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C964C3" w:rsidRPr="004E2770" w:rsidRDefault="00435B0E" w:rsidP="004E36D7">
      <w:pPr>
        <w:spacing w:before="2" w:after="0" w:line="241" w:lineRule="auto"/>
        <w:ind w:right="102"/>
        <w:jc w:val="both"/>
        <w:rPr>
          <w:rFonts w:ascii="Times New Roman" w:eastAsia="Times New Roman" w:hAnsi="Times New Roman" w:cs="Times New Roman"/>
          <w:szCs w:val="20"/>
        </w:rPr>
      </w:pPr>
      <w:r w:rsidRPr="003633FB">
        <w:rPr>
          <w:rFonts w:ascii="Times New Roman" w:hAnsi="Times New Roman"/>
          <w:lang w:val="en-US"/>
        </w:rPr>
        <w:t>Sanochemia</w:t>
      </w:r>
      <w:r w:rsidRPr="004E2770">
        <w:rPr>
          <w:rFonts w:ascii="Times New Roman" w:hAnsi="Times New Roman"/>
        </w:rPr>
        <w:t xml:space="preserve"> </w:t>
      </w:r>
      <w:r w:rsidRPr="003633FB">
        <w:rPr>
          <w:rFonts w:ascii="Times New Roman" w:hAnsi="Times New Roman"/>
          <w:lang w:val="en-US"/>
        </w:rPr>
        <w:t>Pharmazeutika</w:t>
      </w:r>
      <w:r w:rsidRPr="004E2770">
        <w:rPr>
          <w:rFonts w:ascii="Times New Roman" w:hAnsi="Times New Roman"/>
        </w:rPr>
        <w:t xml:space="preserve"> </w:t>
      </w:r>
      <w:r w:rsidRPr="003633FB">
        <w:rPr>
          <w:rFonts w:ascii="Times New Roman" w:hAnsi="Times New Roman"/>
          <w:lang w:val="en-US"/>
        </w:rPr>
        <w:t>AG</w:t>
      </w:r>
    </w:p>
    <w:p w:rsidR="00435B0E" w:rsidRPr="004E2770" w:rsidRDefault="00435B0E" w:rsidP="004E36D7">
      <w:pPr>
        <w:spacing w:before="2" w:after="0" w:line="241" w:lineRule="auto"/>
        <w:ind w:right="102"/>
        <w:jc w:val="both"/>
        <w:rPr>
          <w:rFonts w:ascii="Times New Roman" w:eastAsia="Times New Roman" w:hAnsi="Times New Roman" w:cs="Times New Roman"/>
          <w:szCs w:val="20"/>
        </w:rPr>
      </w:pPr>
      <w:r w:rsidRPr="003633FB">
        <w:rPr>
          <w:rFonts w:ascii="Times New Roman" w:hAnsi="Times New Roman"/>
          <w:lang w:val="en-US"/>
        </w:rPr>
        <w:t>Boltzmanngasse</w:t>
      </w:r>
      <w:r w:rsidRPr="004E2770">
        <w:rPr>
          <w:rFonts w:ascii="Times New Roman" w:hAnsi="Times New Roman"/>
        </w:rPr>
        <w:t xml:space="preserve"> 11</w:t>
      </w:r>
    </w:p>
    <w:p w:rsidR="00435B0E" w:rsidRPr="004E2770" w:rsidRDefault="00435B0E" w:rsidP="004E36D7">
      <w:pPr>
        <w:spacing w:before="2" w:after="0" w:line="241" w:lineRule="auto"/>
        <w:ind w:right="102"/>
        <w:jc w:val="both"/>
        <w:rPr>
          <w:rFonts w:ascii="Times New Roman" w:eastAsia="Times New Roman" w:hAnsi="Times New Roman" w:cs="Times New Roman"/>
          <w:szCs w:val="20"/>
        </w:rPr>
      </w:pPr>
      <w:r w:rsidRPr="004E2770">
        <w:rPr>
          <w:rFonts w:ascii="Times New Roman" w:hAnsi="Times New Roman"/>
        </w:rPr>
        <w:t xml:space="preserve">1090 </w:t>
      </w:r>
      <w:r w:rsidRPr="003633FB">
        <w:rPr>
          <w:rFonts w:ascii="Times New Roman" w:hAnsi="Times New Roman"/>
          <w:lang w:val="en-US"/>
        </w:rPr>
        <w:t>Vienna</w:t>
      </w:r>
      <w:r w:rsidRPr="004E2770">
        <w:rPr>
          <w:rFonts w:ascii="Times New Roman" w:hAnsi="Times New Roman"/>
        </w:rPr>
        <w:t xml:space="preserve">, </w:t>
      </w:r>
      <w:r>
        <w:rPr>
          <w:rFonts w:ascii="Times New Roman" w:hAnsi="Times New Roman"/>
        </w:rPr>
        <w:t>Αυστρία</w:t>
      </w:r>
    </w:p>
    <w:p w:rsidR="00C964C3" w:rsidRPr="004E2770" w:rsidRDefault="00C964C3" w:rsidP="004E36D7">
      <w:pPr>
        <w:spacing w:before="2" w:after="0" w:line="241" w:lineRule="auto"/>
        <w:ind w:right="102"/>
        <w:jc w:val="both"/>
        <w:rPr>
          <w:rFonts w:ascii="Times New Roman" w:eastAsia="Times New Roman" w:hAnsi="Times New Roman" w:cs="Times New Roman"/>
          <w:szCs w:val="20"/>
        </w:rPr>
      </w:pPr>
    </w:p>
    <w:p w:rsidR="00C964C3" w:rsidRPr="004E36D7" w:rsidRDefault="00EB0298" w:rsidP="004E36D7">
      <w:pPr>
        <w:widowControl/>
        <w:spacing w:after="0" w:line="240" w:lineRule="auto"/>
        <w:rPr>
          <w:rFonts w:ascii="Times New Roman" w:eastAsia="Times New Roman" w:hAnsi="Times New Roman" w:cs="Times New Roman"/>
          <w:b/>
          <w:szCs w:val="20"/>
        </w:rPr>
      </w:pPr>
      <w:r>
        <w:rPr>
          <w:rFonts w:ascii="Times New Roman" w:hAnsi="Times New Roman"/>
          <w:b/>
        </w:rPr>
        <w:t>8.</w:t>
      </w:r>
      <w:r>
        <w:tab/>
      </w:r>
      <w:r w:rsidR="004E2770">
        <w:rPr>
          <w:rFonts w:ascii="Times New Roman" w:hAnsi="Times New Roman"/>
          <w:b/>
        </w:rPr>
        <w:t>ΑΡΙΘΜΟΣ</w:t>
      </w:r>
      <w:r>
        <w:rPr>
          <w:rFonts w:ascii="Times New Roman" w:hAnsi="Times New Roman"/>
          <w:b/>
        </w:rPr>
        <w:t xml:space="preserve"> ΑΔΕΙΑΣ ΚΥΚΛΟΦΟΡΙΑΣ</w:t>
      </w:r>
    </w:p>
    <w:p w:rsidR="00C964C3" w:rsidRPr="004E36D7" w:rsidRDefault="00C964C3" w:rsidP="004E36D7">
      <w:pPr>
        <w:spacing w:before="2" w:after="0" w:line="241" w:lineRule="auto"/>
        <w:ind w:right="102"/>
        <w:jc w:val="both"/>
        <w:rPr>
          <w:rFonts w:ascii="Times New Roman" w:eastAsia="Times New Roman" w:hAnsi="Times New Roman" w:cs="Times New Roman"/>
          <w:szCs w:val="20"/>
        </w:rPr>
      </w:pPr>
    </w:p>
    <w:p w:rsidR="003633FB" w:rsidRPr="003633FB" w:rsidRDefault="003633FB" w:rsidP="003633FB">
      <w:pPr>
        <w:spacing w:before="2" w:after="0" w:line="241" w:lineRule="auto"/>
        <w:ind w:right="102"/>
        <w:jc w:val="both"/>
        <w:rPr>
          <w:rFonts w:ascii="Times New Roman" w:eastAsia="Times New Roman" w:hAnsi="Times New Roman" w:cs="Times New Roman"/>
          <w:szCs w:val="20"/>
        </w:rPr>
      </w:pPr>
      <w:r w:rsidRPr="003633FB">
        <w:rPr>
          <w:rFonts w:ascii="Times New Roman" w:eastAsia="Times New Roman" w:hAnsi="Times New Roman" w:cs="Times New Roman"/>
          <w:szCs w:val="20"/>
        </w:rPr>
        <w:t>36497/27-4-2016</w:t>
      </w:r>
    </w:p>
    <w:p w:rsidR="003633FB" w:rsidRPr="003633FB" w:rsidRDefault="003633FB" w:rsidP="003633FB">
      <w:pPr>
        <w:spacing w:before="2" w:after="0" w:line="241" w:lineRule="auto"/>
        <w:ind w:right="102"/>
        <w:jc w:val="both"/>
        <w:rPr>
          <w:rFonts w:ascii="Times New Roman" w:eastAsia="Times New Roman" w:hAnsi="Times New Roman" w:cs="Times New Roman"/>
          <w:szCs w:val="20"/>
        </w:rPr>
      </w:pPr>
    </w:p>
    <w:p w:rsidR="003633FB" w:rsidRPr="004E36D7" w:rsidRDefault="003633FB" w:rsidP="003633FB">
      <w:pPr>
        <w:widowControl/>
        <w:spacing w:after="0" w:line="240" w:lineRule="auto"/>
        <w:rPr>
          <w:rFonts w:ascii="Times New Roman" w:eastAsia="Times New Roman" w:hAnsi="Times New Roman" w:cs="Times New Roman"/>
          <w:b/>
          <w:szCs w:val="20"/>
        </w:rPr>
      </w:pPr>
      <w:r>
        <w:rPr>
          <w:rFonts w:ascii="Times New Roman" w:hAnsi="Times New Roman"/>
          <w:b/>
        </w:rPr>
        <w:t>9.</w:t>
      </w:r>
      <w:r>
        <w:tab/>
      </w:r>
      <w:r>
        <w:rPr>
          <w:rFonts w:ascii="Times New Roman" w:hAnsi="Times New Roman"/>
          <w:b/>
        </w:rPr>
        <w:t>ΗΜΕΡΟΜΗΝΙΑ ΠΡΩΤΗΣ ΕΓΚΡΙΣΗΣ/ΑΝΑΝΕΩΣΗΣ ΤΗΣ ΑΔΕΙΑΣ</w:t>
      </w:r>
    </w:p>
    <w:p w:rsidR="003633FB" w:rsidRPr="004E36D7" w:rsidRDefault="003633FB" w:rsidP="003633FB">
      <w:pPr>
        <w:spacing w:before="2" w:after="0" w:line="241" w:lineRule="auto"/>
        <w:ind w:right="102"/>
        <w:jc w:val="both"/>
        <w:rPr>
          <w:rFonts w:ascii="Times New Roman" w:eastAsia="Times New Roman" w:hAnsi="Times New Roman" w:cs="Times New Roman"/>
          <w:szCs w:val="20"/>
        </w:rPr>
      </w:pPr>
    </w:p>
    <w:p w:rsidR="003633FB" w:rsidRPr="00206F3D" w:rsidRDefault="003633FB" w:rsidP="003633FB">
      <w:pPr>
        <w:spacing w:before="2" w:after="0" w:line="241" w:lineRule="auto"/>
        <w:ind w:right="102"/>
        <w:jc w:val="both"/>
        <w:rPr>
          <w:rFonts w:ascii="Times New Roman" w:hAnsi="Times New Roman"/>
        </w:rPr>
      </w:pPr>
      <w:r>
        <w:rPr>
          <w:rFonts w:ascii="Times New Roman" w:hAnsi="Times New Roman"/>
        </w:rPr>
        <w:t xml:space="preserve">Ημερομηνία πρώτης έγκρισης: </w:t>
      </w:r>
      <w:r w:rsidRPr="00206F3D">
        <w:rPr>
          <w:rFonts w:ascii="Times New Roman" w:hAnsi="Times New Roman"/>
        </w:rPr>
        <w:t>27-4-2016</w:t>
      </w:r>
    </w:p>
    <w:p w:rsidR="003633FB" w:rsidRPr="004E36D7" w:rsidRDefault="003633FB" w:rsidP="003633FB">
      <w:pPr>
        <w:spacing w:before="2" w:after="0" w:line="241" w:lineRule="auto"/>
        <w:ind w:right="102"/>
        <w:jc w:val="both"/>
        <w:rPr>
          <w:rFonts w:ascii="Times New Roman" w:eastAsia="Times New Roman" w:hAnsi="Times New Roman" w:cs="Times New Roman"/>
          <w:szCs w:val="20"/>
        </w:rPr>
      </w:pPr>
    </w:p>
    <w:p w:rsidR="003633FB" w:rsidRPr="004E36D7" w:rsidRDefault="003633FB" w:rsidP="003633FB">
      <w:pPr>
        <w:widowControl/>
        <w:spacing w:after="0" w:line="240" w:lineRule="auto"/>
        <w:rPr>
          <w:rFonts w:ascii="Times New Roman" w:eastAsia="Times New Roman" w:hAnsi="Times New Roman" w:cs="Times New Roman"/>
          <w:b/>
          <w:szCs w:val="20"/>
        </w:rPr>
      </w:pPr>
      <w:r>
        <w:rPr>
          <w:rFonts w:ascii="Times New Roman" w:hAnsi="Times New Roman"/>
          <w:b/>
        </w:rPr>
        <w:t>10.</w:t>
      </w:r>
      <w:r>
        <w:tab/>
      </w:r>
      <w:r>
        <w:rPr>
          <w:rFonts w:ascii="Times New Roman" w:hAnsi="Times New Roman"/>
          <w:b/>
        </w:rPr>
        <w:t>ΗΜΕΡΟΜΗΝΙΑ ΑΝΑΘΕΩΡΗΣΗΣ ΤΟΥ ΚΕΙΜΕΝΟΥ</w:t>
      </w:r>
    </w:p>
    <w:p w:rsidR="00C964C3" w:rsidRPr="004E36D7" w:rsidRDefault="00C964C3" w:rsidP="003633FB">
      <w:pPr>
        <w:spacing w:before="2" w:after="0" w:line="241" w:lineRule="auto"/>
        <w:ind w:right="102"/>
        <w:jc w:val="both"/>
        <w:rPr>
          <w:rFonts w:ascii="Times New Roman" w:eastAsia="Times New Roman" w:hAnsi="Times New Roman" w:cs="Times New Roman"/>
          <w:szCs w:val="20"/>
        </w:rPr>
      </w:pPr>
    </w:p>
    <w:sectPr w:rsidR="00C964C3" w:rsidRPr="004E36D7" w:rsidSect="00DE6EBE">
      <w:footerReference w:type="default" r:id="rId10"/>
      <w:pgSz w:w="11920" w:h="16860"/>
      <w:pgMar w:top="1060" w:right="940" w:bottom="880" w:left="104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BE" w:rsidRDefault="006670BE">
      <w:pPr>
        <w:spacing w:after="0" w:line="240" w:lineRule="auto"/>
      </w:pPr>
      <w:r>
        <w:separator/>
      </w:r>
    </w:p>
  </w:endnote>
  <w:endnote w:type="continuationSeparator" w:id="0">
    <w:p w:rsidR="006670BE" w:rsidRDefault="0066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A7" w:rsidRDefault="00AB72A7" w:rsidP="00EC11A3">
    <w:pPr>
      <w:pStyle w:val="a5"/>
      <w:tabs>
        <w:tab w:val="right" w:pos="8931"/>
      </w:tabs>
      <w:ind w:right="96"/>
      <w:jc w:val="center"/>
    </w:pPr>
    <w:r>
      <w:fldChar w:fldCharType="begin"/>
    </w:r>
    <w:r>
      <w:instrText xml:space="preserve"> EQ </w:instrText>
    </w:r>
    <w:r>
      <w:fldChar w:fldCharType="end"/>
    </w:r>
    <w:r>
      <w:rPr>
        <w:rStyle w:val="a6"/>
      </w:rPr>
      <w:fldChar w:fldCharType="begin"/>
    </w:r>
    <w:r>
      <w:rPr>
        <w:rStyle w:val="a6"/>
      </w:rPr>
      <w:instrText xml:space="preserve">PAGE  </w:instrText>
    </w:r>
    <w:r>
      <w:rPr>
        <w:rStyle w:val="a6"/>
      </w:rPr>
      <w:fldChar w:fldCharType="separate"/>
    </w:r>
    <w:r w:rsidR="008D41F5">
      <w:rPr>
        <w:rStyle w:val="a6"/>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BE" w:rsidRDefault="006670BE">
      <w:pPr>
        <w:spacing w:after="0" w:line="240" w:lineRule="auto"/>
      </w:pPr>
      <w:r>
        <w:separator/>
      </w:r>
    </w:p>
  </w:footnote>
  <w:footnote w:type="continuationSeparator" w:id="0">
    <w:p w:rsidR="006670BE" w:rsidRDefault="00667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EAB"/>
    <w:multiLevelType w:val="hybridMultilevel"/>
    <w:tmpl w:val="7870BB6A"/>
    <w:lvl w:ilvl="0" w:tplc="5A7809F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A381E30"/>
    <w:multiLevelType w:val="hybridMultilevel"/>
    <w:tmpl w:val="87B6C9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B8B4EFE"/>
    <w:multiLevelType w:val="hybridMultilevel"/>
    <w:tmpl w:val="62FE0E96"/>
    <w:lvl w:ilvl="0" w:tplc="0636969C">
      <w:start w:val="1"/>
      <w:numFmt w:val="decimal"/>
      <w:lvlText w:val="%1."/>
      <w:lvlJc w:val="left"/>
      <w:pPr>
        <w:ind w:left="462" w:hanging="360"/>
      </w:pPr>
      <w:rPr>
        <w:rFonts w:hint="default"/>
      </w:rPr>
    </w:lvl>
    <w:lvl w:ilvl="1" w:tplc="0C070019" w:tentative="1">
      <w:start w:val="1"/>
      <w:numFmt w:val="lowerLetter"/>
      <w:lvlText w:val="%2."/>
      <w:lvlJc w:val="left"/>
      <w:pPr>
        <w:ind w:left="1182" w:hanging="360"/>
      </w:pPr>
    </w:lvl>
    <w:lvl w:ilvl="2" w:tplc="0C07001B" w:tentative="1">
      <w:start w:val="1"/>
      <w:numFmt w:val="lowerRoman"/>
      <w:lvlText w:val="%3."/>
      <w:lvlJc w:val="right"/>
      <w:pPr>
        <w:ind w:left="1902" w:hanging="180"/>
      </w:pPr>
    </w:lvl>
    <w:lvl w:ilvl="3" w:tplc="0C07000F" w:tentative="1">
      <w:start w:val="1"/>
      <w:numFmt w:val="decimal"/>
      <w:lvlText w:val="%4."/>
      <w:lvlJc w:val="left"/>
      <w:pPr>
        <w:ind w:left="2622" w:hanging="360"/>
      </w:pPr>
    </w:lvl>
    <w:lvl w:ilvl="4" w:tplc="0C070019" w:tentative="1">
      <w:start w:val="1"/>
      <w:numFmt w:val="lowerLetter"/>
      <w:lvlText w:val="%5."/>
      <w:lvlJc w:val="left"/>
      <w:pPr>
        <w:ind w:left="3342" w:hanging="360"/>
      </w:pPr>
    </w:lvl>
    <w:lvl w:ilvl="5" w:tplc="0C07001B" w:tentative="1">
      <w:start w:val="1"/>
      <w:numFmt w:val="lowerRoman"/>
      <w:lvlText w:val="%6."/>
      <w:lvlJc w:val="right"/>
      <w:pPr>
        <w:ind w:left="4062" w:hanging="180"/>
      </w:pPr>
    </w:lvl>
    <w:lvl w:ilvl="6" w:tplc="0C07000F" w:tentative="1">
      <w:start w:val="1"/>
      <w:numFmt w:val="decimal"/>
      <w:lvlText w:val="%7."/>
      <w:lvlJc w:val="left"/>
      <w:pPr>
        <w:ind w:left="4782" w:hanging="360"/>
      </w:pPr>
    </w:lvl>
    <w:lvl w:ilvl="7" w:tplc="0C070019" w:tentative="1">
      <w:start w:val="1"/>
      <w:numFmt w:val="lowerLetter"/>
      <w:lvlText w:val="%8."/>
      <w:lvlJc w:val="left"/>
      <w:pPr>
        <w:ind w:left="5502" w:hanging="360"/>
      </w:pPr>
    </w:lvl>
    <w:lvl w:ilvl="8" w:tplc="0C07001B" w:tentative="1">
      <w:start w:val="1"/>
      <w:numFmt w:val="lowerRoman"/>
      <w:lvlText w:val="%9."/>
      <w:lvlJc w:val="right"/>
      <w:pPr>
        <w:ind w:left="6222" w:hanging="180"/>
      </w:pPr>
    </w:lvl>
  </w:abstractNum>
  <w:abstractNum w:abstractNumId="3">
    <w:nsid w:val="6F6413AA"/>
    <w:multiLevelType w:val="hybridMultilevel"/>
    <w:tmpl w:val="CE869D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63D5BCE"/>
    <w:multiLevelType w:val="hybridMultilevel"/>
    <w:tmpl w:val="6DEC7E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B3C7DAF"/>
    <w:multiLevelType w:val="hybridMultilevel"/>
    <w:tmpl w:val="803E55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C3"/>
    <w:rsid w:val="0000759F"/>
    <w:rsid w:val="000166EF"/>
    <w:rsid w:val="0003704B"/>
    <w:rsid w:val="00052122"/>
    <w:rsid w:val="00067881"/>
    <w:rsid w:val="000D0F0D"/>
    <w:rsid w:val="000F2A74"/>
    <w:rsid w:val="00102F52"/>
    <w:rsid w:val="00126E8E"/>
    <w:rsid w:val="00146C58"/>
    <w:rsid w:val="00163E5E"/>
    <w:rsid w:val="00163F57"/>
    <w:rsid w:val="00236472"/>
    <w:rsid w:val="0026584A"/>
    <w:rsid w:val="00284E61"/>
    <w:rsid w:val="002F3F75"/>
    <w:rsid w:val="003110F1"/>
    <w:rsid w:val="003633FB"/>
    <w:rsid w:val="00375DCE"/>
    <w:rsid w:val="003A6398"/>
    <w:rsid w:val="003C373E"/>
    <w:rsid w:val="003F0721"/>
    <w:rsid w:val="00435B0E"/>
    <w:rsid w:val="00442BD3"/>
    <w:rsid w:val="0045059B"/>
    <w:rsid w:val="00451A3D"/>
    <w:rsid w:val="004609CE"/>
    <w:rsid w:val="0048085C"/>
    <w:rsid w:val="004A5CBA"/>
    <w:rsid w:val="004E2770"/>
    <w:rsid w:val="004E36D7"/>
    <w:rsid w:val="004F3743"/>
    <w:rsid w:val="004F3C55"/>
    <w:rsid w:val="00527677"/>
    <w:rsid w:val="005804B5"/>
    <w:rsid w:val="0058470D"/>
    <w:rsid w:val="005F361C"/>
    <w:rsid w:val="00661ED5"/>
    <w:rsid w:val="006670BE"/>
    <w:rsid w:val="006C4BC2"/>
    <w:rsid w:val="006E302F"/>
    <w:rsid w:val="006F0AF1"/>
    <w:rsid w:val="00744883"/>
    <w:rsid w:val="007F5B28"/>
    <w:rsid w:val="008120F3"/>
    <w:rsid w:val="00890E49"/>
    <w:rsid w:val="00891D33"/>
    <w:rsid w:val="00893016"/>
    <w:rsid w:val="008D340B"/>
    <w:rsid w:val="008D41F5"/>
    <w:rsid w:val="00946C11"/>
    <w:rsid w:val="009626FF"/>
    <w:rsid w:val="009A30E1"/>
    <w:rsid w:val="009C626D"/>
    <w:rsid w:val="00A11767"/>
    <w:rsid w:val="00A12AC7"/>
    <w:rsid w:val="00A15A9D"/>
    <w:rsid w:val="00A46290"/>
    <w:rsid w:val="00A5789F"/>
    <w:rsid w:val="00A83911"/>
    <w:rsid w:val="00AB72A7"/>
    <w:rsid w:val="00AC00C7"/>
    <w:rsid w:val="00B2487C"/>
    <w:rsid w:val="00B94745"/>
    <w:rsid w:val="00B963AF"/>
    <w:rsid w:val="00BC786E"/>
    <w:rsid w:val="00BE3F07"/>
    <w:rsid w:val="00BF3290"/>
    <w:rsid w:val="00C15B20"/>
    <w:rsid w:val="00C16F4B"/>
    <w:rsid w:val="00C23449"/>
    <w:rsid w:val="00C57FDE"/>
    <w:rsid w:val="00C670D8"/>
    <w:rsid w:val="00C80C33"/>
    <w:rsid w:val="00C8377E"/>
    <w:rsid w:val="00C83CFB"/>
    <w:rsid w:val="00C964C3"/>
    <w:rsid w:val="00CA4556"/>
    <w:rsid w:val="00CD0F87"/>
    <w:rsid w:val="00D57E8E"/>
    <w:rsid w:val="00D83D85"/>
    <w:rsid w:val="00DE1B4E"/>
    <w:rsid w:val="00DE4E76"/>
    <w:rsid w:val="00DE6EBE"/>
    <w:rsid w:val="00E66FB0"/>
    <w:rsid w:val="00EB0298"/>
    <w:rsid w:val="00EC11A3"/>
    <w:rsid w:val="00EE7142"/>
    <w:rsid w:val="00F31C96"/>
    <w:rsid w:val="00F84DCC"/>
    <w:rsid w:val="00F9031B"/>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745"/>
    <w:pPr>
      <w:ind w:left="720"/>
      <w:contextualSpacing/>
    </w:pPr>
  </w:style>
  <w:style w:type="paragraph" w:styleId="a4">
    <w:name w:val="header"/>
    <w:basedOn w:val="a"/>
    <w:link w:val="Char"/>
    <w:uiPriority w:val="99"/>
    <w:unhideWhenUsed/>
    <w:rsid w:val="00EC11A3"/>
    <w:pPr>
      <w:tabs>
        <w:tab w:val="center" w:pos="4513"/>
        <w:tab w:val="right" w:pos="9026"/>
      </w:tabs>
      <w:spacing w:after="0" w:line="240" w:lineRule="auto"/>
    </w:pPr>
  </w:style>
  <w:style w:type="character" w:customStyle="1" w:styleId="Char">
    <w:name w:val="Κεφαλίδα Char"/>
    <w:basedOn w:val="a0"/>
    <w:link w:val="a4"/>
    <w:uiPriority w:val="99"/>
    <w:rsid w:val="00EC11A3"/>
  </w:style>
  <w:style w:type="paragraph" w:styleId="a5">
    <w:name w:val="footer"/>
    <w:basedOn w:val="a"/>
    <w:link w:val="Char0"/>
    <w:unhideWhenUsed/>
    <w:rsid w:val="00EC11A3"/>
    <w:pPr>
      <w:tabs>
        <w:tab w:val="center" w:pos="4513"/>
        <w:tab w:val="right" w:pos="9026"/>
      </w:tabs>
      <w:spacing w:after="0" w:line="240" w:lineRule="auto"/>
    </w:pPr>
  </w:style>
  <w:style w:type="character" w:customStyle="1" w:styleId="Char0">
    <w:name w:val="Υποσέλιδο Char"/>
    <w:basedOn w:val="a0"/>
    <w:link w:val="a5"/>
    <w:uiPriority w:val="99"/>
    <w:rsid w:val="00EC11A3"/>
  </w:style>
  <w:style w:type="character" w:styleId="a6">
    <w:name w:val="page number"/>
    <w:basedOn w:val="a0"/>
    <w:rsid w:val="00EC11A3"/>
  </w:style>
  <w:style w:type="paragraph" w:styleId="a7">
    <w:name w:val="Balloon Text"/>
    <w:basedOn w:val="a"/>
    <w:link w:val="Char1"/>
    <w:uiPriority w:val="99"/>
    <w:semiHidden/>
    <w:unhideWhenUsed/>
    <w:rsid w:val="00435B0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35B0E"/>
    <w:rPr>
      <w:rFonts w:ascii="Tahoma" w:hAnsi="Tahoma" w:cs="Tahoma"/>
      <w:sz w:val="16"/>
      <w:szCs w:val="16"/>
    </w:rPr>
  </w:style>
  <w:style w:type="character" w:styleId="a8">
    <w:name w:val="annotation reference"/>
    <w:basedOn w:val="a0"/>
    <w:uiPriority w:val="99"/>
    <w:semiHidden/>
    <w:unhideWhenUsed/>
    <w:rsid w:val="00435B0E"/>
    <w:rPr>
      <w:sz w:val="16"/>
      <w:szCs w:val="16"/>
    </w:rPr>
  </w:style>
  <w:style w:type="paragraph" w:styleId="a9">
    <w:name w:val="annotation text"/>
    <w:basedOn w:val="a"/>
    <w:link w:val="Char2"/>
    <w:uiPriority w:val="99"/>
    <w:semiHidden/>
    <w:unhideWhenUsed/>
    <w:rsid w:val="00435B0E"/>
    <w:pPr>
      <w:spacing w:line="240" w:lineRule="auto"/>
    </w:pPr>
    <w:rPr>
      <w:sz w:val="20"/>
      <w:szCs w:val="20"/>
    </w:rPr>
  </w:style>
  <w:style w:type="character" w:customStyle="1" w:styleId="Char2">
    <w:name w:val="Κείμενο σχολίου Char"/>
    <w:basedOn w:val="a0"/>
    <w:link w:val="a9"/>
    <w:uiPriority w:val="99"/>
    <w:semiHidden/>
    <w:rsid w:val="00435B0E"/>
    <w:rPr>
      <w:sz w:val="20"/>
      <w:szCs w:val="20"/>
    </w:rPr>
  </w:style>
  <w:style w:type="paragraph" w:styleId="aa">
    <w:name w:val="annotation subject"/>
    <w:basedOn w:val="a9"/>
    <w:next w:val="a9"/>
    <w:link w:val="Char3"/>
    <w:uiPriority w:val="99"/>
    <w:semiHidden/>
    <w:unhideWhenUsed/>
    <w:rsid w:val="00435B0E"/>
    <w:rPr>
      <w:b/>
      <w:bCs/>
    </w:rPr>
  </w:style>
  <w:style w:type="character" w:customStyle="1" w:styleId="Char3">
    <w:name w:val="Θέμα σχολίου Char"/>
    <w:basedOn w:val="Char2"/>
    <w:link w:val="aa"/>
    <w:uiPriority w:val="99"/>
    <w:semiHidden/>
    <w:rsid w:val="00435B0E"/>
    <w:rPr>
      <w:b/>
      <w:bCs/>
      <w:sz w:val="20"/>
      <w:szCs w:val="20"/>
    </w:rPr>
  </w:style>
  <w:style w:type="character" w:styleId="-">
    <w:name w:val="Hyperlink"/>
    <w:rsid w:val="00C16F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745"/>
    <w:pPr>
      <w:ind w:left="720"/>
      <w:contextualSpacing/>
    </w:pPr>
  </w:style>
  <w:style w:type="paragraph" w:styleId="a4">
    <w:name w:val="header"/>
    <w:basedOn w:val="a"/>
    <w:link w:val="Char"/>
    <w:uiPriority w:val="99"/>
    <w:unhideWhenUsed/>
    <w:rsid w:val="00EC11A3"/>
    <w:pPr>
      <w:tabs>
        <w:tab w:val="center" w:pos="4513"/>
        <w:tab w:val="right" w:pos="9026"/>
      </w:tabs>
      <w:spacing w:after="0" w:line="240" w:lineRule="auto"/>
    </w:pPr>
  </w:style>
  <w:style w:type="character" w:customStyle="1" w:styleId="Char">
    <w:name w:val="Κεφαλίδα Char"/>
    <w:basedOn w:val="a0"/>
    <w:link w:val="a4"/>
    <w:uiPriority w:val="99"/>
    <w:rsid w:val="00EC11A3"/>
  </w:style>
  <w:style w:type="paragraph" w:styleId="a5">
    <w:name w:val="footer"/>
    <w:basedOn w:val="a"/>
    <w:link w:val="Char0"/>
    <w:unhideWhenUsed/>
    <w:rsid w:val="00EC11A3"/>
    <w:pPr>
      <w:tabs>
        <w:tab w:val="center" w:pos="4513"/>
        <w:tab w:val="right" w:pos="9026"/>
      </w:tabs>
      <w:spacing w:after="0" w:line="240" w:lineRule="auto"/>
    </w:pPr>
  </w:style>
  <w:style w:type="character" w:customStyle="1" w:styleId="Char0">
    <w:name w:val="Υποσέλιδο Char"/>
    <w:basedOn w:val="a0"/>
    <w:link w:val="a5"/>
    <w:uiPriority w:val="99"/>
    <w:rsid w:val="00EC11A3"/>
  </w:style>
  <w:style w:type="character" w:styleId="a6">
    <w:name w:val="page number"/>
    <w:basedOn w:val="a0"/>
    <w:rsid w:val="00EC11A3"/>
  </w:style>
  <w:style w:type="paragraph" w:styleId="a7">
    <w:name w:val="Balloon Text"/>
    <w:basedOn w:val="a"/>
    <w:link w:val="Char1"/>
    <w:uiPriority w:val="99"/>
    <w:semiHidden/>
    <w:unhideWhenUsed/>
    <w:rsid w:val="00435B0E"/>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35B0E"/>
    <w:rPr>
      <w:rFonts w:ascii="Tahoma" w:hAnsi="Tahoma" w:cs="Tahoma"/>
      <w:sz w:val="16"/>
      <w:szCs w:val="16"/>
    </w:rPr>
  </w:style>
  <w:style w:type="character" w:styleId="a8">
    <w:name w:val="annotation reference"/>
    <w:basedOn w:val="a0"/>
    <w:uiPriority w:val="99"/>
    <w:semiHidden/>
    <w:unhideWhenUsed/>
    <w:rsid w:val="00435B0E"/>
    <w:rPr>
      <w:sz w:val="16"/>
      <w:szCs w:val="16"/>
    </w:rPr>
  </w:style>
  <w:style w:type="paragraph" w:styleId="a9">
    <w:name w:val="annotation text"/>
    <w:basedOn w:val="a"/>
    <w:link w:val="Char2"/>
    <w:uiPriority w:val="99"/>
    <w:semiHidden/>
    <w:unhideWhenUsed/>
    <w:rsid w:val="00435B0E"/>
    <w:pPr>
      <w:spacing w:line="240" w:lineRule="auto"/>
    </w:pPr>
    <w:rPr>
      <w:sz w:val="20"/>
      <w:szCs w:val="20"/>
    </w:rPr>
  </w:style>
  <w:style w:type="character" w:customStyle="1" w:styleId="Char2">
    <w:name w:val="Κείμενο σχολίου Char"/>
    <w:basedOn w:val="a0"/>
    <w:link w:val="a9"/>
    <w:uiPriority w:val="99"/>
    <w:semiHidden/>
    <w:rsid w:val="00435B0E"/>
    <w:rPr>
      <w:sz w:val="20"/>
      <w:szCs w:val="20"/>
    </w:rPr>
  </w:style>
  <w:style w:type="paragraph" w:styleId="aa">
    <w:name w:val="annotation subject"/>
    <w:basedOn w:val="a9"/>
    <w:next w:val="a9"/>
    <w:link w:val="Char3"/>
    <w:uiPriority w:val="99"/>
    <w:semiHidden/>
    <w:unhideWhenUsed/>
    <w:rsid w:val="00435B0E"/>
    <w:rPr>
      <w:b/>
      <w:bCs/>
    </w:rPr>
  </w:style>
  <w:style w:type="character" w:customStyle="1" w:styleId="Char3">
    <w:name w:val="Θέμα σχολίου Char"/>
    <w:basedOn w:val="Char2"/>
    <w:link w:val="aa"/>
    <w:uiPriority w:val="99"/>
    <w:semiHidden/>
    <w:rsid w:val="00435B0E"/>
    <w:rPr>
      <w:b/>
      <w:bCs/>
      <w:sz w:val="20"/>
      <w:szCs w:val="20"/>
    </w:rPr>
  </w:style>
  <w:style w:type="character" w:styleId="-">
    <w:name w:val="Hyperlink"/>
    <w:rsid w:val="00C16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C0783-4291-4809-B294-B5F5F9F0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3638</Words>
  <Characters>19648</Characters>
  <Application>Microsoft Office Word</Application>
  <DocSecurity>0</DocSecurity>
  <Lines>163</Lines>
  <Paragraphs>46</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Version 1</vt:lpstr>
      <vt:lpstr>Version 1</vt:lpstr>
      <vt:lpstr>Version 1</vt:lpstr>
    </vt:vector>
  </TitlesOfParts>
  <Company>Sanochemia Pharmazeutika AG</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subject>General-EMEA/279390/2007</dc:subject>
  <dc:creator>SYSTEM</dc:creator>
  <cp:lastModifiedBy>ΜΑΥΡΗΣ ΚΩΝΣΤΑΝΤΙΝΟΣ</cp:lastModifiedBy>
  <cp:revision>2</cp:revision>
  <cp:lastPrinted>2018-06-14T07:37:00Z</cp:lastPrinted>
  <dcterms:created xsi:type="dcterms:W3CDTF">2018-06-14T07:38:00Z</dcterms:created>
  <dcterms:modified xsi:type="dcterms:W3CDTF">2018-06-14T07:38:00Z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2012-06-29T00:00:00Z</vt:filetime>
  </property>
  <property fmtid="{D5CDD505-2E9C-101B-9397-08002B2CF9AE}" pid="3" name="LastSaved">
    <vt:filetime>2013-06-11T00:00:00Z</vt:filetime>
  </property>
</Properties>
</file>