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F0" w:rsidRPr="00096EA3" w:rsidRDefault="00987EF0" w:rsidP="00200345">
      <w:pPr>
        <w:jc w:val="center"/>
        <w:rPr>
          <w:noProof/>
          <w:lang w:val="el-GR"/>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200345">
      <w:pPr>
        <w:jc w:val="center"/>
        <w:rPr>
          <w:noProof/>
        </w:rPr>
      </w:pPr>
    </w:p>
    <w:p w:rsidR="00987EF0" w:rsidRPr="006B572A" w:rsidRDefault="00987EF0" w:rsidP="00571124">
      <w:pPr>
        <w:pStyle w:val="Title"/>
      </w:pPr>
      <w:r>
        <w:t>ΠΕΡΙΛΗΨΗ ΤΩΝ ΧΑΡΑΚΤΗΡΙΣΤΙΚΩΝ ΤΟΥ ΠΡΟΪΟΝΤΟΣ</w:t>
      </w:r>
    </w:p>
    <w:p w:rsidR="00AB4AA1" w:rsidRDefault="00AB4AA1">
      <w:pPr>
        <w:spacing w:before="0" w:after="0"/>
      </w:pPr>
    </w:p>
    <w:p w:rsidR="00AB4AA1" w:rsidRPr="00AB4AA1" w:rsidRDefault="00AB4AA1" w:rsidP="00AB4AA1"/>
    <w:p w:rsidR="00AB4AA1" w:rsidRPr="00AB4AA1" w:rsidRDefault="00AB4AA1" w:rsidP="00AB4AA1"/>
    <w:p w:rsidR="00AB4AA1" w:rsidRPr="00AB4AA1" w:rsidRDefault="00AB4AA1" w:rsidP="00AB4AA1"/>
    <w:p w:rsidR="00AB4AA1" w:rsidRDefault="00AB4AA1">
      <w:pPr>
        <w:spacing w:before="0" w:after="0"/>
      </w:pPr>
    </w:p>
    <w:p w:rsidR="00AB4AA1" w:rsidRDefault="00AB4AA1">
      <w:pPr>
        <w:spacing w:before="0" w:after="0"/>
      </w:pPr>
    </w:p>
    <w:p w:rsidR="00AB4AA1" w:rsidRDefault="00AB4AA1" w:rsidP="00AB4AA1">
      <w:pPr>
        <w:tabs>
          <w:tab w:val="left" w:pos="5235"/>
        </w:tabs>
        <w:spacing w:before="0" w:after="0"/>
      </w:pPr>
      <w:r>
        <w:tab/>
      </w:r>
    </w:p>
    <w:p w:rsidR="008F00E2" w:rsidRDefault="00987EF0" w:rsidP="006068DE">
      <w:pPr>
        <w:pStyle w:val="Heading1"/>
        <w:numPr>
          <w:ilvl w:val="0"/>
          <w:numId w:val="0"/>
        </w:numPr>
        <w:rPr>
          <w:b w:val="0"/>
          <w:caps w:val="0"/>
          <w:lang w:eastAsia="de-DE"/>
        </w:rPr>
      </w:pPr>
      <w:r>
        <w:br w:type="page"/>
      </w:r>
      <w:r>
        <w:rPr>
          <w:b w:val="0"/>
          <w:caps w:val="0"/>
        </w:rPr>
        <w:lastRenderedPageBreak/>
        <w:t>▼ Το φάρμακο αυτό τελεί υπό συμπληρωματική παρακολούθηση. Αυτό θα επιτρέψει τον ταχύ προσδιορισμό νέων πληροφοριών ασφάλειας. Ζητείται από τους επαγγελματίες του τομέα της υγειονομικής περίθαλψης να αναφέρουν οποιεσδήποτε πιθανολογούμενες ανεπιθύμητες ενέργειες. Βλ. παράγραφο 4.8 για τον τρόπο αναφοράς ανεπιθύμητων ενεργειών.</w:t>
      </w:r>
    </w:p>
    <w:p w:rsidR="008F00E2" w:rsidRPr="008F00E2" w:rsidRDefault="008F00E2" w:rsidP="008F00E2">
      <w:pPr>
        <w:rPr>
          <w:lang w:eastAsia="de-DE"/>
        </w:rPr>
      </w:pPr>
    </w:p>
    <w:p w:rsidR="00B919B0" w:rsidRPr="00B919B0" w:rsidRDefault="006068DE" w:rsidP="006068DE">
      <w:pPr>
        <w:pStyle w:val="Heading1"/>
        <w:numPr>
          <w:ilvl w:val="0"/>
          <w:numId w:val="0"/>
        </w:numPr>
        <w:rPr>
          <w:lang w:eastAsia="de-DE"/>
        </w:rPr>
      </w:pPr>
      <w:r>
        <w:t>1.</w:t>
      </w:r>
      <w:r>
        <w:tab/>
        <w:t>ΟΝΟΜΑΣΙΑ ΤΟΥ ΦΑΡΜΑΚΕΥΤΙΚΟΥ ΠΡΟΪΟΝΤΟΣ</w:t>
      </w:r>
    </w:p>
    <w:p w:rsidR="00B919B0" w:rsidRPr="00B919B0" w:rsidRDefault="00B919B0" w:rsidP="00B919B0">
      <w:pPr>
        <w:spacing w:before="0" w:after="0"/>
        <w:ind w:left="720"/>
        <w:rPr>
          <w:lang w:eastAsia="de-DE"/>
        </w:rPr>
      </w:pPr>
    </w:p>
    <w:p w:rsidR="00B919B0" w:rsidRPr="00B919B0" w:rsidRDefault="00D5467B" w:rsidP="00B919B0">
      <w:pPr>
        <w:spacing w:before="0" w:after="0" w:line="240" w:lineRule="atLeast"/>
        <w:ind w:right="-1"/>
        <w:jc w:val="both"/>
        <w:rPr>
          <w:b/>
          <w:bCs/>
          <w:lang w:eastAsia="de-DE"/>
        </w:rPr>
      </w:pPr>
      <w:r w:rsidRPr="00D5467B">
        <w:rPr>
          <w:b/>
          <w:bCs/>
        </w:rPr>
        <w:t>Meriofert</w:t>
      </w:r>
      <w:r w:rsidR="00B919B0">
        <w:rPr>
          <w:b/>
          <w:bCs/>
        </w:rPr>
        <w:t xml:space="preserve"> 75 IU</w:t>
      </w:r>
    </w:p>
    <w:p w:rsidR="00B919B0" w:rsidRPr="00B919B0" w:rsidRDefault="00D5467B" w:rsidP="00B919B0">
      <w:pPr>
        <w:spacing w:before="0" w:after="0" w:line="240" w:lineRule="atLeast"/>
        <w:ind w:right="-1"/>
        <w:jc w:val="both"/>
        <w:rPr>
          <w:b/>
          <w:bCs/>
          <w:lang w:eastAsia="de-DE"/>
        </w:rPr>
      </w:pPr>
      <w:r w:rsidRPr="00D5467B">
        <w:rPr>
          <w:b/>
          <w:bCs/>
        </w:rPr>
        <w:t>Meriofert</w:t>
      </w:r>
      <w:r w:rsidR="00B919B0">
        <w:rPr>
          <w:b/>
          <w:bCs/>
        </w:rPr>
        <w:t xml:space="preserve"> 150 IU</w:t>
      </w:r>
    </w:p>
    <w:p w:rsidR="00B919B0" w:rsidRPr="00B919B0" w:rsidRDefault="00B919B0" w:rsidP="00B919B0">
      <w:pPr>
        <w:spacing w:before="0" w:after="0" w:line="240" w:lineRule="atLeast"/>
        <w:ind w:right="-1"/>
        <w:jc w:val="both"/>
        <w:rPr>
          <w:b/>
          <w:bCs/>
          <w:lang w:eastAsia="de-DE"/>
        </w:rPr>
      </w:pPr>
    </w:p>
    <w:p w:rsidR="00B919B0" w:rsidRPr="00B919B0" w:rsidRDefault="00B919B0" w:rsidP="00B919B0">
      <w:pPr>
        <w:spacing w:before="0" w:after="0" w:line="240" w:lineRule="atLeast"/>
        <w:ind w:right="-1"/>
        <w:jc w:val="both"/>
        <w:rPr>
          <w:b/>
          <w:bCs/>
          <w:lang w:eastAsia="de-DE"/>
        </w:rPr>
      </w:pPr>
    </w:p>
    <w:p w:rsidR="00B919B0" w:rsidRPr="00B919B0" w:rsidRDefault="006068DE" w:rsidP="006068DE">
      <w:pPr>
        <w:pStyle w:val="Heading1"/>
        <w:numPr>
          <w:ilvl w:val="0"/>
          <w:numId w:val="0"/>
        </w:numPr>
        <w:rPr>
          <w:lang w:val="de-DE" w:eastAsia="de-DE"/>
        </w:rPr>
      </w:pPr>
      <w:r>
        <w:t>2.</w:t>
      </w:r>
      <w:r>
        <w:tab/>
        <w:t>ΠΟΙΟΤΙΚΗ ΚΑΙ ΠΟΣΟΤΙΚΗ ΣΥΝΘΕΣΗ</w:t>
      </w:r>
    </w:p>
    <w:p w:rsidR="00B919B0" w:rsidRPr="00B919B0" w:rsidRDefault="00B919B0" w:rsidP="00571124">
      <w:pPr>
        <w:spacing w:before="0" w:after="0" w:line="240" w:lineRule="atLeast"/>
        <w:ind w:right="-1"/>
        <w:rPr>
          <w:bCs/>
          <w:strike/>
          <w:lang w:eastAsia="de-DE"/>
        </w:rPr>
      </w:pPr>
    </w:p>
    <w:p w:rsidR="00B919B0" w:rsidRPr="00B919B0" w:rsidRDefault="00B919B0" w:rsidP="00571124">
      <w:pPr>
        <w:shd w:val="clear" w:color="auto" w:fill="FFFFFF"/>
        <w:spacing w:before="0" w:after="0"/>
        <w:rPr>
          <w:bCs/>
          <w:lang w:eastAsia="de-DE"/>
        </w:rPr>
      </w:pPr>
      <w:r>
        <w:rPr>
          <w:bCs/>
        </w:rPr>
        <w:t xml:space="preserve">Κάθε φιαλίδιο λυοφιλοποιημένης κόνεως περιέχει 75 IU ανθρώπινης ωοθυλακιοτρόπου ορμόνης (FSH) και 75 IU ανθρώπινης ωχρινοτρόπου ορμόνης (LH). </w:t>
      </w:r>
    </w:p>
    <w:p w:rsidR="00B919B0" w:rsidRPr="00B919B0" w:rsidRDefault="00B919B0" w:rsidP="00571124">
      <w:pPr>
        <w:shd w:val="clear" w:color="auto" w:fill="FFFFFF"/>
        <w:spacing w:before="0" w:after="0"/>
        <w:rPr>
          <w:bCs/>
          <w:lang w:eastAsia="de-DE"/>
        </w:rPr>
      </w:pPr>
      <w:r>
        <w:rPr>
          <w:bCs/>
        </w:rPr>
        <w:t>Έχει προστεθεί ανθρώπινη χοριακή γοναδοτροπίνη (hCG), μια ορμόνη που απαντάται φυσιολογικά στα ούρα των εγκύων, για την ενίσχυση της συνολικής δραστηριότητας της LH.</w:t>
      </w:r>
    </w:p>
    <w:p w:rsidR="00B919B0" w:rsidRPr="00B919B0" w:rsidRDefault="00B919B0" w:rsidP="00571124">
      <w:pPr>
        <w:spacing w:before="0" w:after="0" w:line="240" w:lineRule="atLeast"/>
        <w:ind w:right="-1"/>
        <w:rPr>
          <w:bCs/>
          <w:strike/>
          <w:lang w:eastAsia="de-DE"/>
        </w:rPr>
      </w:pPr>
    </w:p>
    <w:p w:rsidR="00B919B0" w:rsidRPr="00B919B0" w:rsidRDefault="00B919B0" w:rsidP="00571124">
      <w:pPr>
        <w:shd w:val="clear" w:color="auto" w:fill="FFFFFF"/>
        <w:spacing w:before="0" w:after="0"/>
        <w:rPr>
          <w:bCs/>
          <w:lang w:eastAsia="de-DE"/>
        </w:rPr>
      </w:pPr>
      <w:r>
        <w:rPr>
          <w:bCs/>
        </w:rPr>
        <w:t xml:space="preserve">Κάθε φιαλίδιο λυοφιλοποιημένης κόνεως περιέχει 150 IU ανθρώπινης ωοθυλακιοτρόπου ορμόνης (FSH) και 150 IU ανθρώπινης ωχρινοτρόπου ορμόνης (LH). </w:t>
      </w:r>
    </w:p>
    <w:p w:rsidR="00B919B0" w:rsidRPr="00B919B0" w:rsidRDefault="00B919B0" w:rsidP="00571124">
      <w:pPr>
        <w:spacing w:before="0" w:after="0" w:line="240" w:lineRule="atLeast"/>
        <w:ind w:right="-1"/>
        <w:rPr>
          <w:bCs/>
          <w:lang w:eastAsia="de-DE"/>
        </w:rPr>
      </w:pPr>
      <w:r>
        <w:rPr>
          <w:bCs/>
        </w:rPr>
        <w:t>Έχει προστεθεί ανθρώπινη χοριακή γοναδοτροπίνη (hCG), μια ορμόνη που απαντάται φυσιολογικά στα ούρα των εγκύων, για την ενίσχυση της συνολικής δραστηριότητας της LH.</w:t>
      </w:r>
    </w:p>
    <w:p w:rsidR="00B919B0" w:rsidRPr="00B919B0" w:rsidRDefault="00B919B0" w:rsidP="00571124">
      <w:pPr>
        <w:spacing w:before="0" w:after="0" w:line="240" w:lineRule="atLeast"/>
        <w:ind w:right="-1"/>
        <w:rPr>
          <w:bCs/>
          <w:lang w:eastAsia="de-DE"/>
        </w:rPr>
      </w:pPr>
    </w:p>
    <w:p w:rsidR="00B919B0" w:rsidRPr="00B919B0" w:rsidRDefault="00B919B0" w:rsidP="00571124">
      <w:pPr>
        <w:spacing w:before="0" w:after="0" w:line="240" w:lineRule="atLeast"/>
        <w:ind w:right="-1"/>
        <w:rPr>
          <w:bCs/>
          <w:lang w:eastAsia="de-DE"/>
        </w:rPr>
      </w:pPr>
      <w:r>
        <w:rPr>
          <w:bCs/>
        </w:rPr>
        <w:t>Για τον πλήρη κατάλογο των εκδόχων, βλ. παράγραφο 6.1.</w:t>
      </w:r>
    </w:p>
    <w:p w:rsidR="00B919B0" w:rsidRPr="00B919B0" w:rsidRDefault="00B919B0" w:rsidP="00B919B0">
      <w:pPr>
        <w:spacing w:before="0" w:after="0" w:line="240" w:lineRule="atLeast"/>
        <w:ind w:right="-1"/>
        <w:jc w:val="both"/>
        <w:rPr>
          <w:bCs/>
          <w:lang w:eastAsia="de-DE"/>
        </w:rPr>
      </w:pPr>
    </w:p>
    <w:p w:rsidR="00BB0637" w:rsidRPr="00BB0637" w:rsidRDefault="006068DE" w:rsidP="006068DE">
      <w:pPr>
        <w:pStyle w:val="Heading1"/>
        <w:numPr>
          <w:ilvl w:val="0"/>
          <w:numId w:val="0"/>
        </w:numPr>
      </w:pPr>
      <w:r>
        <w:t>3.</w:t>
      </w:r>
      <w:r>
        <w:tab/>
        <w:t>ΦΑΡΜΑΚΟΤΕΧΝΙΚΗ ΜΟΡΦΗ</w:t>
      </w:r>
    </w:p>
    <w:p w:rsidR="00B919B0" w:rsidRPr="00B919B0" w:rsidRDefault="00B919B0" w:rsidP="00571124">
      <w:pPr>
        <w:spacing w:before="0" w:after="0" w:line="240" w:lineRule="atLeast"/>
        <w:ind w:right="-1"/>
        <w:rPr>
          <w:bCs/>
          <w:lang w:eastAsia="de-DE"/>
        </w:rPr>
      </w:pPr>
      <w:r>
        <w:rPr>
          <w:bCs/>
        </w:rPr>
        <w:t>Κόνις και διαλύτης για ενέσιμο διάλυμα.</w:t>
      </w:r>
    </w:p>
    <w:p w:rsidR="00B919B0" w:rsidRPr="00B919B0" w:rsidRDefault="00B919B0" w:rsidP="00571124">
      <w:pPr>
        <w:spacing w:before="0" w:after="0" w:line="240" w:lineRule="atLeast"/>
        <w:ind w:right="-1"/>
        <w:rPr>
          <w:bCs/>
          <w:strike/>
          <w:lang w:eastAsia="de-DE"/>
        </w:rPr>
      </w:pPr>
    </w:p>
    <w:p w:rsidR="00B919B0" w:rsidRPr="00B919B0" w:rsidRDefault="00B919B0" w:rsidP="00571124">
      <w:pPr>
        <w:spacing w:before="0" w:after="0" w:line="240" w:lineRule="atLeast"/>
        <w:ind w:right="-1"/>
        <w:rPr>
          <w:bCs/>
          <w:lang w:eastAsia="de-DE"/>
        </w:rPr>
      </w:pPr>
      <w:r>
        <w:rPr>
          <w:bCs/>
        </w:rPr>
        <w:t>Κόνις: λευκή ή υπόλευκη λυοφιλοποιημένη κόνις</w:t>
      </w:r>
    </w:p>
    <w:p w:rsidR="00B919B0" w:rsidRPr="00B919B0" w:rsidRDefault="00B919B0" w:rsidP="00571124">
      <w:pPr>
        <w:spacing w:before="0" w:after="0" w:line="240" w:lineRule="atLeast"/>
        <w:ind w:right="-1"/>
        <w:rPr>
          <w:bCs/>
          <w:lang w:eastAsia="de-DE"/>
        </w:rPr>
      </w:pPr>
      <w:r>
        <w:rPr>
          <w:bCs/>
        </w:rPr>
        <w:t>Διαλύτης: διαυγές και άχρωμο διάλυμα.</w:t>
      </w:r>
      <w:r>
        <w:rPr>
          <w:bCs/>
        </w:rPr>
        <w:br/>
      </w:r>
    </w:p>
    <w:p w:rsidR="00B919B0" w:rsidRPr="00B919B0" w:rsidRDefault="00B919B0" w:rsidP="00571124">
      <w:pPr>
        <w:spacing w:before="0" w:after="0" w:line="240" w:lineRule="atLeast"/>
        <w:ind w:right="-1"/>
        <w:rPr>
          <w:bCs/>
          <w:lang w:eastAsia="de-DE"/>
        </w:rPr>
      </w:pPr>
    </w:p>
    <w:p w:rsidR="00B919B0" w:rsidRPr="00B919B0" w:rsidRDefault="00571124" w:rsidP="00571124">
      <w:pPr>
        <w:pStyle w:val="Heading1"/>
        <w:numPr>
          <w:ilvl w:val="0"/>
          <w:numId w:val="0"/>
        </w:numPr>
        <w:ind w:left="709" w:hanging="709"/>
        <w:rPr>
          <w:lang w:eastAsia="de-DE"/>
        </w:rPr>
      </w:pPr>
      <w:r>
        <w:t>4.</w:t>
      </w:r>
      <w:r>
        <w:tab/>
        <w:t>ΚΛΙΝΙΚΕΣ ΠΛΗΡΟΦΟΡΙΕΣ</w:t>
      </w:r>
    </w:p>
    <w:p w:rsidR="00B919B0" w:rsidRPr="00B919B0" w:rsidRDefault="00571124" w:rsidP="00571124">
      <w:pPr>
        <w:pStyle w:val="Heading2"/>
        <w:numPr>
          <w:ilvl w:val="0"/>
          <w:numId w:val="0"/>
        </w:numPr>
        <w:ind w:left="709" w:hanging="709"/>
      </w:pPr>
      <w:r>
        <w:t>4.1</w:t>
      </w:r>
      <w:r>
        <w:tab/>
        <w:t xml:space="preserve">Θεραπευτικές ενδείξεις </w:t>
      </w:r>
    </w:p>
    <w:p w:rsidR="00B919B0" w:rsidRPr="00B919B0" w:rsidRDefault="00B919B0" w:rsidP="00571124">
      <w:pPr>
        <w:rPr>
          <w:b/>
          <w:bCs/>
          <w:strike/>
        </w:rPr>
      </w:pPr>
      <w:r>
        <w:rPr>
          <w:b/>
          <w:bCs/>
        </w:rPr>
        <w:t xml:space="preserve">Επαγωγή ωορρηξίας: </w:t>
      </w:r>
      <w:r>
        <w:rPr>
          <w:bCs/>
        </w:rPr>
        <w:t xml:space="preserve">για την επαγωγή ωορρηξίας σε αμηνορροϊκές ή ανωορρηκτικές γυναίκες που δεν ανταποκρίνονται σε αγωγή με κιτρική κλομιφαίνη. </w:t>
      </w:r>
    </w:p>
    <w:p w:rsidR="00B919B0" w:rsidRPr="00B919B0" w:rsidRDefault="00B919B0" w:rsidP="00B919B0">
      <w:pPr>
        <w:rPr>
          <w:b/>
          <w:bCs/>
        </w:rPr>
      </w:pPr>
      <w:r>
        <w:rPr>
          <w:b/>
          <w:bCs/>
        </w:rPr>
        <w:lastRenderedPageBreak/>
        <w:t xml:space="preserve">Ελεγχόμενη υπερδιέγερση των ωοθηκών (COH) </w:t>
      </w:r>
      <w:r>
        <w:rPr>
          <w:bCs/>
        </w:rPr>
        <w:t>σε τεχνικές ιατρικώς υποβοηθούμενης αναπαραγωγής (ART):</w:t>
      </w:r>
      <w:r>
        <w:rPr>
          <w:b/>
          <w:bCs/>
        </w:rPr>
        <w:t xml:space="preserve"> </w:t>
      </w:r>
      <w:r>
        <w:rPr>
          <w:bCs/>
        </w:rPr>
        <w:t>επαγωγή ανάπτυξης πολλαπλών ωοθυλακίων σε γυναίκες που υποβάλλονται σε τεχνικές υποβοηθούμενης αναπαραγωγής, όπως εξωσωματική γονιμοποίηση (IVF).</w:t>
      </w:r>
      <w:r>
        <w:rPr>
          <w:b/>
          <w:bCs/>
        </w:rPr>
        <w:t xml:space="preserve"> </w:t>
      </w:r>
    </w:p>
    <w:p w:rsidR="00B919B0" w:rsidRPr="00B919B0" w:rsidRDefault="00B919B0" w:rsidP="00B919B0">
      <w:pPr>
        <w:spacing w:before="0" w:after="0" w:line="240" w:lineRule="atLeast"/>
        <w:ind w:right="-1"/>
        <w:jc w:val="both"/>
        <w:rPr>
          <w:bCs/>
          <w:lang w:eastAsia="de-DE"/>
        </w:rPr>
      </w:pPr>
    </w:p>
    <w:p w:rsidR="00B919B0" w:rsidRPr="00B919B0" w:rsidRDefault="00571124" w:rsidP="00571124">
      <w:pPr>
        <w:pStyle w:val="Heading2"/>
        <w:numPr>
          <w:ilvl w:val="0"/>
          <w:numId w:val="0"/>
        </w:numPr>
        <w:ind w:left="709" w:hanging="709"/>
      </w:pPr>
      <w:r>
        <w:t>4.2</w:t>
      </w:r>
      <w:r>
        <w:tab/>
        <w:t xml:space="preserve">Δοσολογία και τρόπος χορήγησης </w:t>
      </w:r>
    </w:p>
    <w:p w:rsidR="00B919B0" w:rsidRPr="00B919B0" w:rsidRDefault="00B919B0" w:rsidP="00B919B0">
      <w:pPr>
        <w:jc w:val="both"/>
        <w:rPr>
          <w:bCs/>
          <w:u w:val="single"/>
        </w:rPr>
      </w:pPr>
      <w:r>
        <w:rPr>
          <w:bCs/>
          <w:u w:val="single"/>
        </w:rPr>
        <w:t xml:space="preserve">Δοσολογία </w:t>
      </w:r>
    </w:p>
    <w:p w:rsidR="00B919B0" w:rsidRPr="00B919B0" w:rsidRDefault="00B919B0" w:rsidP="00571124">
      <w:pPr>
        <w:rPr>
          <w:bCs/>
        </w:rPr>
      </w:pPr>
      <w:r>
        <w:rPr>
          <w:bCs/>
        </w:rPr>
        <w:t xml:space="preserve">Η θεραπεία με το </w:t>
      </w:r>
      <w:r w:rsidR="00D5467B" w:rsidRPr="00D5467B">
        <w:rPr>
          <w:bCs/>
        </w:rPr>
        <w:t>Meriofert</w:t>
      </w:r>
      <w:r w:rsidR="00D5467B">
        <w:rPr>
          <w:bCs/>
        </w:rPr>
        <w:t xml:space="preserve"> </w:t>
      </w:r>
      <w:r>
        <w:rPr>
          <w:bCs/>
        </w:rPr>
        <w:t xml:space="preserve">θα πρέπει να ξεκινά υπό την επίβλεψη ιατρού με εμπειρία στην αντιμετώπιση προβλημάτων υπογονιμότητας. </w:t>
      </w:r>
    </w:p>
    <w:p w:rsidR="00B919B0" w:rsidRPr="00B919B0" w:rsidRDefault="00B919B0" w:rsidP="00571124">
      <w:pPr>
        <w:rPr>
          <w:lang w:val="de-DE" w:eastAsia="de-DE"/>
        </w:rPr>
      </w:pPr>
      <w:r>
        <w:rPr>
          <w:bCs/>
        </w:rPr>
        <w:t>Η ανταπόκριση των ωοθηκών στις εξωγενείς γοναδοτροπίνες παρουσιάζει μεγάλη μεταβλητότητα, τόσο μεταξύ διαφορετικών ατόμων όσο και στο ίδιο άτομο. Ως εκ τούτου, είναι αδύνατον να καθοριστεί ένα κοινό δοσολογικό σχήμα. Η δοσολογία θα πρέπει συνεπώς να ρυθμίζεται σε ατομική βάση, ανάλογα με την ανταπόκριση των ωοθηκών. Για να γίνει αυτό χρειάζονται υπερηχογραφικές εξετάσεις και ενδεχομένως παρακολούθηση των επιπέδων οιστραδιόλης.</w:t>
      </w:r>
      <w:r>
        <w:t xml:space="preserve"> </w:t>
      </w:r>
    </w:p>
    <w:p w:rsidR="00B919B0" w:rsidRPr="00B919B0" w:rsidRDefault="00B919B0" w:rsidP="00571124">
      <w:pPr>
        <w:rPr>
          <w:b/>
          <w:strike/>
          <w:lang w:val="de-DE" w:eastAsia="de-DE"/>
        </w:rPr>
      </w:pPr>
      <w:r>
        <w:rPr>
          <w:b/>
          <w:bCs/>
        </w:rPr>
        <w:t>Ανωορρηκτικές γυναίκες:</w:t>
      </w:r>
    </w:p>
    <w:p w:rsidR="00B919B0" w:rsidRPr="00B919B0" w:rsidRDefault="00B919B0" w:rsidP="00571124">
      <w:pPr>
        <w:rPr>
          <w:bCs/>
        </w:rPr>
      </w:pPr>
      <w:r>
        <w:rPr>
          <w:bCs/>
        </w:rPr>
        <w:t xml:space="preserve">Στόχος της θεραπείας με </w:t>
      </w:r>
      <w:r w:rsidR="00D5467B" w:rsidRPr="00D5467B">
        <w:rPr>
          <w:bCs/>
        </w:rPr>
        <w:t>Meriofert</w:t>
      </w:r>
      <w:r>
        <w:rPr>
          <w:bCs/>
        </w:rPr>
        <w:t xml:space="preserve"> είναι η ανάπτυξη ενός μοναδικού ώριμου γραφιανού ωοθυλακίου, από το οποίο θα ελευθερωθεί ένα ωάριο μετά τη χορήγηση ανθρώπινης χοριακής γοναδοτροπίνης (hCG).</w:t>
      </w:r>
    </w:p>
    <w:p w:rsidR="00B919B0" w:rsidRPr="00B919B0" w:rsidRDefault="00B919B0" w:rsidP="00571124">
      <w:pPr>
        <w:rPr>
          <w:bCs/>
        </w:rPr>
      </w:pPr>
      <w:r>
        <w:rPr>
          <w:bCs/>
        </w:rPr>
        <w:t xml:space="preserve">Το </w:t>
      </w:r>
      <w:r w:rsidR="00D5467B" w:rsidRPr="00D5467B">
        <w:rPr>
          <w:bCs/>
        </w:rPr>
        <w:t>Meriofert</w:t>
      </w:r>
      <w:r>
        <w:rPr>
          <w:bCs/>
        </w:rPr>
        <w:t xml:space="preserve"> μπορεί να χορηγηθεί με ημερήσια ένεση. Σε ασθενείς με έμμηνο ρύση, η θεραπεία θα πρέπει να ξεκινήσει εντός των πρώτων 7 ημερών του έμμηνου κύκλου.</w:t>
      </w:r>
    </w:p>
    <w:p w:rsidR="00B919B0" w:rsidRPr="00B919B0" w:rsidRDefault="00B919B0" w:rsidP="00571124">
      <w:pPr>
        <w:rPr>
          <w:bCs/>
        </w:rPr>
      </w:pPr>
      <w:r>
        <w:rPr>
          <w:bCs/>
        </w:rPr>
        <w:t>Ένα ευρέως χρησιμοποιούμενο σχήμα ξεκινά με 75 έως 150 IU FSH ημερησίως και η δόση αυξάνεται, εάν χρειάζεται, κατά 37,5 IU (μέχρι τις 75 IU) ανά 7 ή 14 ημέρες κατά προτίμηση, ούτως ώστε να επιτευχθεί επαρκής αλλά όχι υπερβολική ανταπόκριση.</w:t>
      </w:r>
    </w:p>
    <w:p w:rsidR="00B919B0" w:rsidRPr="00B919B0" w:rsidRDefault="00B919B0" w:rsidP="00571124">
      <w:pPr>
        <w:rPr>
          <w:bCs/>
        </w:rPr>
      </w:pPr>
      <w:r>
        <w:rPr>
          <w:bCs/>
        </w:rPr>
        <w:t xml:space="preserve">Η μέγιστη ημερήσια δοσολογία HMG </w:t>
      </w:r>
      <w:r w:rsidR="00D5467B" w:rsidRPr="00D5467B">
        <w:rPr>
          <w:bCs/>
        </w:rPr>
        <w:t>Meriofert</w:t>
      </w:r>
      <w:r>
        <w:rPr>
          <w:bCs/>
        </w:rPr>
        <w:t xml:space="preserve"> δεν θα πρέπει κατά κανόνα να υπερβαίνει τις 225 IU. </w:t>
      </w:r>
    </w:p>
    <w:p w:rsidR="00B919B0" w:rsidRPr="00B919B0" w:rsidRDefault="00B919B0" w:rsidP="00571124">
      <w:pPr>
        <w:rPr>
          <w:bCs/>
        </w:rPr>
      </w:pPr>
      <w:r>
        <w:rPr>
          <w:bCs/>
        </w:rPr>
        <w:t xml:space="preserve">Η αγωγή θα πρέπει να προσαρμόζεται στην ανταπόκριση της εκάστοτε ασθενούς, όπως αυτή προσδιορίζεται με μέτρηση του μεγέθους των ωοθυλακίων μέσω υπερηχογραφίας ή/και των επιπέδων των οιστρογόνων. </w:t>
      </w:r>
    </w:p>
    <w:p w:rsidR="00B919B0" w:rsidRPr="00B919B0" w:rsidRDefault="00B919B0" w:rsidP="00571124">
      <w:pPr>
        <w:rPr>
          <w:bCs/>
        </w:rPr>
      </w:pPr>
      <w:r>
        <w:rPr>
          <w:bCs/>
        </w:rPr>
        <w:t xml:space="preserve">Κατόπιν, η ημερήσια δόση διατηρείται σταθερή μέχρι να επιτευχθούν συνθήκες προ-ωορρηξίας. Συνήθως αρκούν 7 έως 14 ημέρες αγωγής για να επιτευχθεί η κατάσταση αυτή. </w:t>
      </w:r>
    </w:p>
    <w:p w:rsidR="00B919B0" w:rsidRPr="00B919B0" w:rsidRDefault="00B919B0" w:rsidP="00571124">
      <w:pPr>
        <w:rPr>
          <w:bCs/>
        </w:rPr>
      </w:pPr>
      <w:r>
        <w:rPr>
          <w:bCs/>
        </w:rPr>
        <w:t xml:space="preserve">Τότε, η χορήγηση του </w:t>
      </w:r>
      <w:r w:rsidR="00D5467B" w:rsidRPr="00D5467B">
        <w:rPr>
          <w:bCs/>
        </w:rPr>
        <w:t>Meriofert</w:t>
      </w:r>
      <w:r>
        <w:rPr>
          <w:bCs/>
        </w:rPr>
        <w:t xml:space="preserve"> διακόπτεται και επάγεται ωορρηξία με χορήγηση ανθρώπινης χοριακής γοναδοτροπίνης (hCG). </w:t>
      </w:r>
    </w:p>
    <w:p w:rsidR="00B919B0" w:rsidRPr="00B919B0" w:rsidRDefault="00B919B0" w:rsidP="00571124">
      <w:pPr>
        <w:rPr>
          <w:bCs/>
        </w:rPr>
      </w:pPr>
      <w:r>
        <w:rPr>
          <w:bCs/>
        </w:rPr>
        <w:t xml:space="preserve">Εάν ο αριθμός των ανταποκρινόμενων ωοθυλακίων είναι υπερβολικός ή τα επίπεδα οιστραδιόλης αυξάνονται πολύ γρήγορα (η οιστραδιόλη υπερδιπλασιάζεται κάθε ημέρα επί δύο ή τρεις διαδοχικές ημέρες), τότε η ημερήσια δόση θα πρέπει να μειωθεί. Εφόσον τα ωοθυλάκια με μέγεθος άνω των 14 mm μπορούν να οδηγήσουν σε εγκυμοσύνη, η παρουσία πολυάριθμων προωοθυλακιορρηκτικών ωοθυλακίων που υπερβαίνουν τα 14 mm συνεπάγεται κίνδυνο πολύδυμης κύησης. Σε αυτή την περίπτωση δεν θα πρέπει να χορηγηθεί hCG και θα πρέπει να αποφευχθεί η εγκυμοσύνη προκειμένου να αποτραπεί η πολύδυμη </w:t>
      </w:r>
      <w:r>
        <w:rPr>
          <w:bCs/>
        </w:rPr>
        <w:lastRenderedPageBreak/>
        <w:t xml:space="preserve">κύηση. Η ασθενής θα πρέπει να χρησιμοποιεί μια αντισυλληπτική μέθοδο φραγμού ή να απέχει από τη συνουσία μέχρι να ξεκινήσει η επόμενη έμμηνος ρύση (βλ. παράγραφο 4.4). Ο επόμενος κύκλος θεραπείας θα πρέπει να ξεκινήσει με χαμηλότερη δόση από τον προηγούμενο. </w:t>
      </w:r>
    </w:p>
    <w:p w:rsidR="00B919B0" w:rsidRPr="00B919B0" w:rsidRDefault="00B919B0" w:rsidP="00571124">
      <w:pPr>
        <w:rPr>
          <w:bCs/>
        </w:rPr>
      </w:pPr>
      <w:r>
        <w:rPr>
          <w:bCs/>
        </w:rPr>
        <w:t xml:space="preserve">Εάν μια ασθενής δεν ανταποκριθεί ικανοποιητικά μετά από 4 εβδομάδες αγωγής, ο κύκλος θα πρέπει να τερματιστεί και η ασθενής θα πρέπει να ξεκινήσει εκ νέου θεραπεία με υψηλότερη αρχική δόση απ' ό,τι στον προηγούμενο κύκλο. </w:t>
      </w:r>
    </w:p>
    <w:p w:rsidR="00B919B0" w:rsidRPr="00B919B0" w:rsidRDefault="00B919B0" w:rsidP="00571124">
      <w:pPr>
        <w:rPr>
          <w:bCs/>
        </w:rPr>
      </w:pPr>
      <w:r>
        <w:rPr>
          <w:bCs/>
        </w:rPr>
        <w:t>Αφού επιτευχθεί η βέλτιστη ανταπόκριση, θα πρέπει να χορηγηθεί εφάπαξ ένεση με 5</w:t>
      </w:r>
      <w:r w:rsidR="00084366">
        <w:rPr>
          <w:bCs/>
        </w:rPr>
        <w:t>.</w:t>
      </w:r>
      <w:r>
        <w:rPr>
          <w:bCs/>
        </w:rPr>
        <w:t xml:space="preserve">000 IU έως 10.000 IU hCG 24 έως 48 ώρες μετά την τελευταία ένεση του </w:t>
      </w:r>
      <w:r w:rsidR="00D5467B" w:rsidRPr="00D5467B">
        <w:rPr>
          <w:bCs/>
        </w:rPr>
        <w:t>Meriofert</w:t>
      </w:r>
      <w:r>
        <w:rPr>
          <w:bCs/>
        </w:rPr>
        <w:t xml:space="preserve">. </w:t>
      </w:r>
    </w:p>
    <w:p w:rsidR="00B919B0" w:rsidRPr="00B919B0" w:rsidRDefault="00B919B0" w:rsidP="00571124">
      <w:pPr>
        <w:rPr>
          <w:bCs/>
        </w:rPr>
      </w:pPr>
      <w:r>
        <w:rPr>
          <w:bCs/>
        </w:rPr>
        <w:t xml:space="preserve">Συνιστάται στην ασθενή θα έλθει σε συνουσία την ημέρα της ένεσης hCG και την επόμενη ημέρα. </w:t>
      </w:r>
    </w:p>
    <w:p w:rsidR="00B919B0" w:rsidRPr="00B919B0" w:rsidRDefault="00B919B0" w:rsidP="00571124">
      <w:pPr>
        <w:rPr>
          <w:bCs/>
        </w:rPr>
      </w:pPr>
      <w:r>
        <w:rPr>
          <w:bCs/>
        </w:rPr>
        <w:t>Εναλλακτικά, μπορεί να πραγματοποιηθεί ενδομήτρια σπερματέγχυση.</w:t>
      </w:r>
    </w:p>
    <w:p w:rsidR="00B919B0" w:rsidRPr="00B919B0" w:rsidRDefault="00B919B0" w:rsidP="00B919B0">
      <w:pPr>
        <w:jc w:val="both"/>
        <w:rPr>
          <w:b/>
          <w:bCs/>
        </w:rPr>
      </w:pPr>
    </w:p>
    <w:p w:rsidR="00B919B0" w:rsidRPr="00B919B0" w:rsidRDefault="00B919B0" w:rsidP="00571124">
      <w:pPr>
        <w:rPr>
          <w:b/>
          <w:bCs/>
        </w:rPr>
      </w:pPr>
      <w:r>
        <w:rPr>
          <w:b/>
          <w:bCs/>
        </w:rPr>
        <w:t>Γυναίκες που ακολουθούν αγωγή διέγερσης ωοθηκών με στόχο την επαγωγή της ανάπτυξης πολλαπλών ωοθυλακίων στο πλαίσιο των τεχνικών υποβοηθούμενης αναπαραγωγής:</w:t>
      </w:r>
    </w:p>
    <w:p w:rsidR="00B919B0" w:rsidRPr="00B919B0" w:rsidRDefault="00B919B0" w:rsidP="00571124">
      <w:pPr>
        <w:rPr>
          <w:bCs/>
        </w:rPr>
      </w:pPr>
      <w:r>
        <w:rPr>
          <w:bCs/>
        </w:rPr>
        <w:t xml:space="preserve">Η κατασταλτική ρύθμιση της υπόφυσης με σκοπό την καταστολή της εκκριτικής αιχμής της ενδογενούς LH και τον έλεγχο των βασικών επιπέδων της LH επί του παρόντος επιτυγχάνεται κατά κανόνα με τη χορήγηση αγωνιστή της εκλυτικής ορμόνης των γοναδοτροπινών (αγωνιστής GnRH) ή ανταγωνιστή της εκλυτικής ορμόνης των γοναδοτροπινών (ανταγωνιστής GnRH). </w:t>
      </w:r>
    </w:p>
    <w:p w:rsidR="00B919B0" w:rsidRPr="00B919B0" w:rsidRDefault="00B919B0" w:rsidP="00571124">
      <w:pPr>
        <w:rPr>
          <w:bCs/>
        </w:rPr>
      </w:pPr>
      <w:r>
        <w:rPr>
          <w:bCs/>
        </w:rPr>
        <w:t xml:space="preserve">Σύμφωνα με ένα ευρέως χρησιμοποιούμενο πρωτόκολλο, η χορήγηση του </w:t>
      </w:r>
      <w:r w:rsidR="00D5467B" w:rsidRPr="00D5467B">
        <w:rPr>
          <w:bCs/>
        </w:rPr>
        <w:t>Meriofert</w:t>
      </w:r>
      <w:r>
        <w:rPr>
          <w:bCs/>
        </w:rPr>
        <w:t xml:space="preserve"> ξεκινά περίπου δύο εβδομάδες μετά την έναρξη της αγωγής με αγωνιστή και αμφότερες οι αγωγές συνεχίζονται μέχρι να επιτευχθεί επαρκής ανάπτυξη ωοθυλακίων. Για παράδειγμα, μετά από δύο εβδομάδες κατασταλτικής ρύθμισης της υπόφυσης με τον αγωνιστή, χορηγούνται 150 έως 225 IU </w:t>
      </w:r>
      <w:r w:rsidR="00D5467B" w:rsidRPr="00D5467B">
        <w:rPr>
          <w:bCs/>
        </w:rPr>
        <w:t>Meriofert</w:t>
      </w:r>
      <w:r>
        <w:rPr>
          <w:bCs/>
        </w:rPr>
        <w:t xml:space="preserve"> για τις πρώτες πέντε έως επτά ημέρες. Στη συνέχεια, η δοσολογία ρυθμίζεται ανάλογα με την ανταπόκριση των ωοθηκών της ασθενούς. </w:t>
      </w:r>
    </w:p>
    <w:p w:rsidR="00B919B0" w:rsidRPr="00B919B0" w:rsidRDefault="00B919B0" w:rsidP="00571124">
      <w:pPr>
        <w:rPr>
          <w:bCs/>
        </w:rPr>
      </w:pPr>
      <w:r>
        <w:rPr>
          <w:bCs/>
        </w:rPr>
        <w:t xml:space="preserve">Ένα εναλλακτικό πρωτόκολλο ελεγχόμενης υπερδιέγερσης των ωοθηκών περιλαμβάνει τη χορήγηση 150 έως 225 IU </w:t>
      </w:r>
      <w:r w:rsidR="00D5467B" w:rsidRPr="00D5467B">
        <w:rPr>
          <w:bCs/>
        </w:rPr>
        <w:t>Meriofert</w:t>
      </w:r>
      <w:r>
        <w:rPr>
          <w:bCs/>
        </w:rPr>
        <w:t xml:space="preserve"> ημερησίως, ξεκινώντας από τη 2η ή την 3η ημέρα του κύκλου. Η θεραπεία συνεχίζεται μέχρι να επιτευχθεί επαρκής ωοθυλακική ανάπτυξη (αξιολογείται βάσει της παρακολούθησης των συγκεντρώσεων οιστρογόνων στον ορό ή/και βάσει υπερηχογραφικής εξέτασης), ενώ η δόση ρυθμίζεται ανάλογα με την ανταπόκριση της ασθενούς (συνήθως όχι υψηλότερη από 450 IU ημερησίως). Επαρκής ωοθυλακική ανάπτυξη επιτυγχάνεται συνήθως προς τη 10η ημέρα της αγωγής κατά μέσο όρο (5 έως 20 ημέρες). </w:t>
      </w:r>
    </w:p>
    <w:p w:rsidR="00B919B0" w:rsidRPr="00B919B0" w:rsidRDefault="00B919B0" w:rsidP="00571124">
      <w:pPr>
        <w:rPr>
          <w:bCs/>
        </w:rPr>
      </w:pPr>
      <w:r>
        <w:rPr>
          <w:bCs/>
        </w:rPr>
        <w:t>Αφού επιτευχθεί η βέλτιστη ανταπόκριση, θα πρέπει να χορηγηθεί εφάπαξ ένεση με 5</w:t>
      </w:r>
      <w:r w:rsidR="00084366">
        <w:rPr>
          <w:bCs/>
        </w:rPr>
        <w:t>.</w:t>
      </w:r>
      <w:r>
        <w:rPr>
          <w:bCs/>
        </w:rPr>
        <w:t xml:space="preserve">000 IU έως 10.000 IU hCG 24 έως 48 ώρες μετά την τελευταία ένεση του </w:t>
      </w:r>
      <w:r w:rsidR="00D5467B" w:rsidRPr="00D5467B">
        <w:rPr>
          <w:bCs/>
        </w:rPr>
        <w:t>Meriofert</w:t>
      </w:r>
      <w:r>
        <w:rPr>
          <w:bCs/>
        </w:rPr>
        <w:t xml:space="preserve"> για την επαγωγή της τελικής ωρίμασης των ωοθυλακίων. </w:t>
      </w:r>
    </w:p>
    <w:p w:rsidR="00B919B0" w:rsidRPr="00B919B0" w:rsidRDefault="00B919B0" w:rsidP="00571124">
      <w:pPr>
        <w:rPr>
          <w:bCs/>
        </w:rPr>
      </w:pPr>
      <w:r>
        <w:rPr>
          <w:bCs/>
        </w:rPr>
        <w:t xml:space="preserve">Η συλλογή των ωοκυττάρων πραγματοποιείται 34-35 ώρες αργότερα. </w:t>
      </w:r>
    </w:p>
    <w:p w:rsidR="00B919B0" w:rsidRPr="00B919B0" w:rsidRDefault="00B919B0" w:rsidP="00571124">
      <w:pPr>
        <w:rPr>
          <w:bCs/>
        </w:rPr>
      </w:pPr>
    </w:p>
    <w:p w:rsidR="00B919B0" w:rsidRPr="00B919B0" w:rsidRDefault="00F57A0B" w:rsidP="00571124">
      <w:pPr>
        <w:spacing w:line="360" w:lineRule="auto"/>
        <w:rPr>
          <w:bCs/>
          <w:u w:val="single"/>
        </w:rPr>
      </w:pPr>
      <w:r>
        <w:rPr>
          <w:bCs/>
          <w:u w:val="single"/>
        </w:rPr>
        <w:t>Παιδιατρικός πληθυσμός</w:t>
      </w:r>
    </w:p>
    <w:p w:rsidR="00B919B0" w:rsidRPr="00B919B0" w:rsidRDefault="00B919B0" w:rsidP="00571124">
      <w:pPr>
        <w:rPr>
          <w:bCs/>
        </w:rPr>
      </w:pPr>
      <w:r>
        <w:rPr>
          <w:bCs/>
        </w:rPr>
        <w:t>Το προϊόν αυτό δεν προορίζεται για παιδιατρική χρήση.</w:t>
      </w:r>
    </w:p>
    <w:p w:rsidR="00B919B0" w:rsidRPr="00B919B0" w:rsidRDefault="00B919B0" w:rsidP="00571124">
      <w:pPr>
        <w:rPr>
          <w:bCs/>
          <w:strike/>
        </w:rPr>
      </w:pPr>
    </w:p>
    <w:p w:rsidR="00B919B0" w:rsidRPr="00B919B0" w:rsidRDefault="00B919B0" w:rsidP="00571124">
      <w:pPr>
        <w:rPr>
          <w:bCs/>
          <w:u w:val="single"/>
        </w:rPr>
      </w:pPr>
      <w:r>
        <w:rPr>
          <w:bCs/>
          <w:u w:val="single"/>
        </w:rPr>
        <w:t xml:space="preserve">Τρόπος χορήγησης </w:t>
      </w:r>
    </w:p>
    <w:p w:rsidR="00B919B0" w:rsidRPr="00B919B0" w:rsidRDefault="00B919B0" w:rsidP="00571124">
      <w:pPr>
        <w:rPr>
          <w:bCs/>
        </w:rPr>
      </w:pPr>
      <w:r>
        <w:rPr>
          <w:bCs/>
        </w:rPr>
        <w:t xml:space="preserve">Το </w:t>
      </w:r>
      <w:r w:rsidR="00D5467B" w:rsidRPr="00D5467B">
        <w:rPr>
          <w:bCs/>
        </w:rPr>
        <w:t>Meriofert</w:t>
      </w:r>
      <w:r>
        <w:rPr>
          <w:bCs/>
        </w:rPr>
        <w:t xml:space="preserve"> προορίζεται για υποδόρια και ενδομυϊκή χορήγηση.</w:t>
      </w:r>
    </w:p>
    <w:p w:rsidR="00B919B0" w:rsidRPr="00B919B0" w:rsidRDefault="00B919B0" w:rsidP="00571124">
      <w:pPr>
        <w:rPr>
          <w:bCs/>
        </w:rPr>
      </w:pPr>
      <w:r>
        <w:rPr>
          <w:bCs/>
        </w:rPr>
        <w:t xml:space="preserve">Η κόνις θα πρέπει να ανασυσταθεί με τον παρεχόμενο διαλύτη ακριβώς πριν από τη χρήση. </w:t>
      </w:r>
    </w:p>
    <w:p w:rsidR="00B919B0" w:rsidRPr="00B919B0" w:rsidRDefault="00B919B0" w:rsidP="00571124">
      <w:pPr>
        <w:rPr>
          <w:bCs/>
        </w:rPr>
      </w:pPr>
      <w:r>
        <w:rPr>
          <w:bCs/>
        </w:rPr>
        <w:t xml:space="preserve">Προκειμένου να γίνει ανώδυνα η ένεση και να περιοριστεί η διαφυγή υγρού από τη θέση της ένεσης, το </w:t>
      </w:r>
      <w:r w:rsidR="00D5467B" w:rsidRPr="00D5467B">
        <w:rPr>
          <w:bCs/>
        </w:rPr>
        <w:t>Meriofert</w:t>
      </w:r>
      <w:r>
        <w:rPr>
          <w:bCs/>
        </w:rPr>
        <w:t xml:space="preserve"> θα πρέπει να χορηγείται υποδορίως με αργό ρυθμό. Οι θέσεις υποδόριας ένεσης θα πρέπει να εναλλάσσονται προκειμένου να αποφευχθεί η εμφάνιση λιποατροφίας. Κάθε αχρησιμοποίητο διάλυμα πρέπει να απορρίπτεται. </w:t>
      </w:r>
    </w:p>
    <w:p w:rsidR="00B919B0" w:rsidRPr="00B919B0" w:rsidRDefault="00B919B0" w:rsidP="00571124">
      <w:pPr>
        <w:spacing w:before="0" w:after="0" w:line="240" w:lineRule="atLeast"/>
        <w:ind w:right="-1"/>
        <w:rPr>
          <w:bCs/>
          <w:lang w:eastAsia="de-DE"/>
        </w:rPr>
      </w:pPr>
      <w:r>
        <w:rPr>
          <w:bCs/>
        </w:rPr>
        <w:t>Οι υποδόριες ενέσεις μπορούν να πραγματοποιηθούν από την ίδια την ασθενή, εφόσον τηρούνται αυστηρά οι οδηγίες και οι συστάσεις του ιατρού.</w:t>
      </w:r>
    </w:p>
    <w:p w:rsidR="00B919B0" w:rsidRPr="00B919B0" w:rsidRDefault="00B919B0" w:rsidP="00571124">
      <w:pPr>
        <w:spacing w:before="0" w:after="0" w:line="240" w:lineRule="atLeast"/>
        <w:ind w:right="-1"/>
        <w:rPr>
          <w:b/>
          <w:bCs/>
          <w:lang w:eastAsia="de-DE"/>
        </w:rPr>
      </w:pPr>
    </w:p>
    <w:p w:rsidR="00B919B0" w:rsidRPr="00B919B0" w:rsidRDefault="00571124" w:rsidP="006068DE">
      <w:pPr>
        <w:pStyle w:val="Heading2"/>
        <w:numPr>
          <w:ilvl w:val="0"/>
          <w:numId w:val="0"/>
        </w:numPr>
        <w:ind w:left="720" w:hanging="720"/>
      </w:pPr>
      <w:r>
        <w:t>4.3</w:t>
      </w:r>
      <w:r>
        <w:tab/>
        <w:t xml:space="preserve">Αντενδείξεις </w:t>
      </w:r>
    </w:p>
    <w:p w:rsidR="00B919B0" w:rsidRPr="00B919B0" w:rsidRDefault="00B919B0" w:rsidP="00571124">
      <w:pPr>
        <w:numPr>
          <w:ilvl w:val="0"/>
          <w:numId w:val="17"/>
        </w:numPr>
        <w:spacing w:before="0" w:after="0"/>
        <w:ind w:left="284" w:hanging="284"/>
        <w:rPr>
          <w:bCs/>
        </w:rPr>
      </w:pPr>
      <w:r>
        <w:rPr>
          <w:bCs/>
        </w:rPr>
        <w:t xml:space="preserve">Υπερευαισθησία στην εμμηνοτροπίνη ή σε κάποιο από τα έκδοχα </w:t>
      </w:r>
    </w:p>
    <w:p w:rsidR="00B919B0" w:rsidRPr="00B919B0" w:rsidRDefault="00B919B0" w:rsidP="00571124">
      <w:pPr>
        <w:numPr>
          <w:ilvl w:val="0"/>
          <w:numId w:val="17"/>
        </w:numPr>
        <w:spacing w:before="0" w:after="0"/>
        <w:ind w:left="284" w:hanging="284"/>
        <w:rPr>
          <w:bCs/>
        </w:rPr>
      </w:pPr>
      <w:r>
        <w:rPr>
          <w:bCs/>
        </w:rPr>
        <w:t xml:space="preserve">Διόγκωση ή κύστεις ωοθήκης που δεν οφείλονται σε σύνδρομο πολυκυστικών ωοθηκών </w:t>
      </w:r>
    </w:p>
    <w:p w:rsidR="00B919B0" w:rsidRPr="00B919B0" w:rsidRDefault="00B919B0" w:rsidP="00571124">
      <w:pPr>
        <w:numPr>
          <w:ilvl w:val="0"/>
          <w:numId w:val="17"/>
        </w:numPr>
        <w:spacing w:before="0" w:after="0"/>
        <w:ind w:left="284" w:hanging="284"/>
        <w:rPr>
          <w:bCs/>
        </w:rPr>
      </w:pPr>
      <w:r>
        <w:rPr>
          <w:bCs/>
        </w:rPr>
        <w:t xml:space="preserve">Γυναικολογική αιμορραγία άγνωστης αιτιολογίας </w:t>
      </w:r>
    </w:p>
    <w:p w:rsidR="00B919B0" w:rsidRPr="00B919B0" w:rsidRDefault="00B919B0" w:rsidP="00571124">
      <w:pPr>
        <w:numPr>
          <w:ilvl w:val="0"/>
          <w:numId w:val="17"/>
        </w:numPr>
        <w:spacing w:before="0" w:after="0"/>
        <w:ind w:left="284" w:hanging="284"/>
        <w:rPr>
          <w:bCs/>
        </w:rPr>
      </w:pPr>
      <w:r>
        <w:rPr>
          <w:bCs/>
        </w:rPr>
        <w:t xml:space="preserve">Καρκίνωμα ωοθηκών, μήτρας ή μαστού </w:t>
      </w:r>
    </w:p>
    <w:p w:rsidR="00B919B0" w:rsidRPr="00B919B0" w:rsidRDefault="00B919B0" w:rsidP="00571124">
      <w:pPr>
        <w:numPr>
          <w:ilvl w:val="0"/>
          <w:numId w:val="17"/>
        </w:numPr>
        <w:spacing w:before="0" w:after="0"/>
        <w:ind w:left="284" w:hanging="284"/>
        <w:rPr>
          <w:bCs/>
        </w:rPr>
      </w:pPr>
      <w:r>
        <w:rPr>
          <w:bCs/>
        </w:rPr>
        <w:t xml:space="preserve">Όγκοι του υποθαλάμου ή της υπόφυσης </w:t>
      </w:r>
    </w:p>
    <w:p w:rsidR="00B919B0" w:rsidRPr="00B919B0" w:rsidRDefault="00B919B0" w:rsidP="00571124">
      <w:pPr>
        <w:rPr>
          <w:bCs/>
        </w:rPr>
      </w:pPr>
      <w:r>
        <w:rPr>
          <w:bCs/>
        </w:rPr>
        <w:t xml:space="preserve">Το </w:t>
      </w:r>
      <w:r w:rsidR="00D5467B" w:rsidRPr="00D5467B">
        <w:rPr>
          <w:bCs/>
        </w:rPr>
        <w:t>Meriofert</w:t>
      </w:r>
      <w:r>
        <w:rPr>
          <w:bCs/>
        </w:rPr>
        <w:t xml:space="preserve"> αντενδείκνυται στις περιπτώσεις όπου δεν είναι δυνατόν να επιτευχθεί αποτελεσματική ανταπόκριση, όπως, π.χ.: </w:t>
      </w:r>
    </w:p>
    <w:p w:rsidR="00B919B0" w:rsidRPr="00B919B0" w:rsidRDefault="00B919B0" w:rsidP="00571124">
      <w:pPr>
        <w:numPr>
          <w:ilvl w:val="0"/>
          <w:numId w:val="17"/>
        </w:numPr>
        <w:spacing w:before="0" w:after="0"/>
        <w:ind w:left="284" w:hanging="284"/>
        <w:rPr>
          <w:bCs/>
        </w:rPr>
      </w:pPr>
      <w:r>
        <w:rPr>
          <w:bCs/>
        </w:rPr>
        <w:t xml:space="preserve">Πρωτοπαθής ανεπάρκεια ωοθηκών </w:t>
      </w:r>
    </w:p>
    <w:p w:rsidR="00B919B0" w:rsidRPr="00B919B0" w:rsidRDefault="00B919B0" w:rsidP="00571124">
      <w:pPr>
        <w:numPr>
          <w:ilvl w:val="0"/>
          <w:numId w:val="17"/>
        </w:numPr>
        <w:spacing w:before="0" w:after="0"/>
        <w:ind w:left="284" w:hanging="284"/>
        <w:rPr>
          <w:bCs/>
        </w:rPr>
      </w:pPr>
      <w:r>
        <w:rPr>
          <w:bCs/>
        </w:rPr>
        <w:t xml:space="preserve">Δυσπλασίες των γεννητικών οργάνων ασύμβατες με κύηση </w:t>
      </w:r>
    </w:p>
    <w:p w:rsidR="00B919B0" w:rsidRPr="00B919B0" w:rsidRDefault="00B919B0" w:rsidP="00571124">
      <w:pPr>
        <w:numPr>
          <w:ilvl w:val="0"/>
          <w:numId w:val="17"/>
        </w:numPr>
        <w:spacing w:before="0" w:after="0"/>
        <w:ind w:left="284" w:hanging="284"/>
        <w:rPr>
          <w:bCs/>
        </w:rPr>
      </w:pPr>
      <w:r>
        <w:rPr>
          <w:bCs/>
        </w:rPr>
        <w:t xml:space="preserve">Ινωματώδεις όγκοι της μήτρας ασύμβατοι με κύηση </w:t>
      </w:r>
    </w:p>
    <w:p w:rsidR="00B919B0" w:rsidRPr="00B919B0" w:rsidRDefault="00B919B0" w:rsidP="00571124">
      <w:pPr>
        <w:rPr>
          <w:b/>
          <w:bCs/>
        </w:rPr>
      </w:pPr>
    </w:p>
    <w:p w:rsidR="00B919B0" w:rsidRPr="00B919B0" w:rsidRDefault="00571124" w:rsidP="006068DE">
      <w:pPr>
        <w:pStyle w:val="Heading2"/>
        <w:numPr>
          <w:ilvl w:val="0"/>
          <w:numId w:val="0"/>
        </w:numPr>
        <w:ind w:left="720" w:hanging="720"/>
      </w:pPr>
      <w:r>
        <w:t>4.4</w:t>
      </w:r>
      <w:r>
        <w:tab/>
        <w:t xml:space="preserve">Ειδικές προειδοποιήσεις και προφυλάξεις κατά τη χρήση </w:t>
      </w:r>
    </w:p>
    <w:p w:rsidR="00B919B0" w:rsidRPr="00B919B0" w:rsidRDefault="00B919B0" w:rsidP="00571124">
      <w:pPr>
        <w:rPr>
          <w:bCs/>
        </w:rPr>
      </w:pPr>
      <w:r>
        <w:rPr>
          <w:bCs/>
        </w:rPr>
        <w:t xml:space="preserve">Ενδέχεται να προκύψουν αναφυλακτικές αντιδράσεις, ιδίως σε ασθενείς με γνωστή υπερευαισθησία στις γοναδοτροπίνες. Η πρώτη ένεση του </w:t>
      </w:r>
      <w:r w:rsidR="00D5467B" w:rsidRPr="00D5467B">
        <w:rPr>
          <w:bCs/>
        </w:rPr>
        <w:t>Meriofert</w:t>
      </w:r>
      <w:r>
        <w:rPr>
          <w:bCs/>
        </w:rPr>
        <w:t xml:space="preserve"> πρέπει πάντοτε να γίνεται υπό την άμεση επίβλεψη ιατρού και σε περιβάλλον με διαθέσιμο εξοπλισμό καρδιοπνευμονικής αναζωογόνησης.</w:t>
      </w:r>
    </w:p>
    <w:p w:rsidR="00B919B0" w:rsidRPr="00B919B0" w:rsidRDefault="00B919B0" w:rsidP="00571124">
      <w:pPr>
        <w:rPr>
          <w:bCs/>
        </w:rPr>
      </w:pPr>
      <w:r>
        <w:rPr>
          <w:bCs/>
        </w:rPr>
        <w:t xml:space="preserve">Η πρώτη ένεση του </w:t>
      </w:r>
      <w:r w:rsidR="00D5467B" w:rsidRPr="00D5467B">
        <w:rPr>
          <w:bCs/>
        </w:rPr>
        <w:t>Meriofert</w:t>
      </w:r>
      <w:r>
        <w:rPr>
          <w:bCs/>
        </w:rPr>
        <w:t xml:space="preserve"> θα πρέπει να γίνει υπό την άμεση επίβλεψη ιατρού.</w:t>
      </w:r>
    </w:p>
    <w:p w:rsidR="00B919B0" w:rsidRPr="00B919B0" w:rsidRDefault="00B919B0" w:rsidP="00571124">
      <w:pPr>
        <w:rPr>
          <w:bCs/>
        </w:rPr>
      </w:pPr>
      <w:r>
        <w:rPr>
          <w:bCs/>
        </w:rPr>
        <w:t xml:space="preserve">Αυτοχορήγηση του </w:t>
      </w:r>
      <w:r w:rsidR="00D5467B" w:rsidRPr="00D5467B">
        <w:rPr>
          <w:bCs/>
        </w:rPr>
        <w:t>Meriofert</w:t>
      </w:r>
      <w:r>
        <w:rPr>
          <w:bCs/>
        </w:rPr>
        <w:t xml:space="preserve"> πρέπει να γίνεται μόνον εφόσον η ασθενής είναι πρόθυμη, εκπαιδευμένη και πλήρως ενημερωμένη. Πριν από την αυτοχορήγηση, θα πρέπει να επιδειχθεί στην ασθενή η τεχνική της υποδόριας ένεσης και να υποδειχθούν οι κατάλληλες θέσεις ένεσης και ο τρόπος παρασκευής του ενέσιμου διαλύματος.</w:t>
      </w:r>
    </w:p>
    <w:p w:rsidR="00B919B0" w:rsidRPr="00B919B0" w:rsidRDefault="00B919B0" w:rsidP="00571124">
      <w:pPr>
        <w:rPr>
          <w:bCs/>
        </w:rPr>
      </w:pPr>
      <w:r>
        <w:rPr>
          <w:bCs/>
        </w:rPr>
        <w:t>Προτού ξεκινήσει η αγωγή, θα πρέπει να αξιολογηθεί κατάλληλα η υπογονιμότητα του ζευγαριού και να εκτιμηθούν οι πιθανές αντενδείξεις για κύηση. Ειδικότερα, οι ασθενείς θα πρέπει να εξεταστούν για τυχόν υποθυρεοειδισμό, φλοιοεπινεφριδιακή ανεπάρκεια, υπερπρολακτιναιμία και όγκους της υπόφυσης ή του</w:t>
      </w:r>
      <w:r>
        <w:rPr>
          <w:sz w:val="16"/>
          <w:szCs w:val="16"/>
        </w:rPr>
        <w:t xml:space="preserve"> </w:t>
      </w:r>
      <w:r>
        <w:rPr>
          <w:bCs/>
        </w:rPr>
        <w:t>υποθαλάμου, για τα οποία χορηγείται κατάλληλη ειδική θεραπεία.</w:t>
      </w:r>
    </w:p>
    <w:p w:rsidR="00B919B0" w:rsidRPr="00B919B0" w:rsidRDefault="00B919B0" w:rsidP="00571124">
      <w:pPr>
        <w:autoSpaceDE w:val="0"/>
        <w:autoSpaceDN w:val="0"/>
        <w:adjustRightInd w:val="0"/>
        <w:spacing w:before="0" w:after="0"/>
        <w:rPr>
          <w:b/>
          <w:i/>
          <w:color w:val="000000"/>
          <w:sz w:val="22"/>
          <w:szCs w:val="22"/>
          <w:lang w:val="de-DE"/>
        </w:rPr>
      </w:pPr>
    </w:p>
    <w:p w:rsidR="00B919B0" w:rsidRPr="00B919B0" w:rsidRDefault="00B919B0" w:rsidP="00571124">
      <w:pPr>
        <w:autoSpaceDE w:val="0"/>
        <w:autoSpaceDN w:val="0"/>
        <w:adjustRightInd w:val="0"/>
        <w:spacing w:before="0" w:after="0"/>
        <w:rPr>
          <w:b/>
          <w:bCs/>
          <w:u w:val="single"/>
        </w:rPr>
      </w:pPr>
      <w:r>
        <w:rPr>
          <w:b/>
          <w:sz w:val="22"/>
          <w:szCs w:val="22"/>
        </w:rPr>
        <w:t>Σύνδρομο υπερδιέγερσης των ωοθηκών (OHSS)</w:t>
      </w:r>
    </w:p>
    <w:p w:rsidR="00B919B0" w:rsidRPr="00B919B0" w:rsidRDefault="00F57A0B" w:rsidP="00571124">
      <w:pPr>
        <w:spacing w:before="0" w:after="0"/>
        <w:rPr>
          <w:bCs/>
          <w:color w:val="000000"/>
        </w:rPr>
      </w:pPr>
      <w:r>
        <w:rPr>
          <w:bCs/>
          <w:color w:val="000000"/>
        </w:rPr>
        <w:t xml:space="preserve">Θα πρέπει να διενεργείται υπερηχογραφική εξέταση της ωοθυλακικής ανάπτυξης και προσδιορισμός των επιπέδων οιστραδιόλης πριν από την αγωγή, τα οποία θα πρέπει να παρακολουθούνται σε τακτική βάση κατά τη διάρκεια της αγωγής. Αυτό είναι ιδιαίτερα σημαντικό κατά την έναρξη της διέγερσης (βλ. παρακάτω). </w:t>
      </w:r>
    </w:p>
    <w:p w:rsidR="00B919B0" w:rsidRPr="008B2E04" w:rsidRDefault="00B919B0" w:rsidP="00571124">
      <w:pPr>
        <w:autoSpaceDE w:val="0"/>
        <w:autoSpaceDN w:val="0"/>
        <w:adjustRightInd w:val="0"/>
        <w:spacing w:before="0" w:after="0"/>
        <w:rPr>
          <w:color w:val="000000"/>
          <w:sz w:val="16"/>
          <w:szCs w:val="16"/>
          <w:lang w:val="el-GR"/>
        </w:rPr>
      </w:pPr>
      <w:r>
        <w:rPr>
          <w:bCs/>
          <w:color w:val="000000"/>
        </w:rPr>
        <w:t xml:space="preserve">Εκτός από την ανάπτυξη μεγάλου αριθμού ωοθυλακίων, τα επίπεδα της οιστραδιόλης ενδέχεται να αυξηθούν πολύ γρήγορα (π.χ. να υπερδιπλασιάζονται καθημερινά επί δύο ή τρεις διαδοχικές ημέρες) και μπορεί να φθάσουν σε υπερβολικά υψηλές τιμές. Η διάγνωση της υπερδιέγερσης των ωοθηκών μπορεί να επιβεβαιωθεί με υπερηχογραφική εξέταση. Εάν παρατηρηθεί τέτοια ανεπιθύμητη υπερδιέγερση των ωοθηκών (όχι στο πλαίσιο ελεγχόμενης υπερδιέγερσης σε προγράμματα ιατρικώς υποβοηθούμενης αναπαραγωγής), η χορήγηση του </w:t>
      </w:r>
      <w:r w:rsidR="00D5467B" w:rsidRPr="00D5467B">
        <w:rPr>
          <w:bCs/>
          <w:color w:val="000000"/>
        </w:rPr>
        <w:t>Meriofert</w:t>
      </w:r>
      <w:r>
        <w:rPr>
          <w:bCs/>
          <w:color w:val="000000"/>
        </w:rPr>
        <w:t xml:space="preserve"> θα πρέπει να διακοπεί. Σε αυτή την περίπτωση θα πρέπει να αποφευχθεί η εγκυμοσύνη και δεν θα πρέπει να χορηγηθεί hCG, καθώς, εκτός από την πολλαπλή ωορρηξία, ενδέχεται να προκληθεί και σύνδρομο υπερδιέγερσης των ωοθηκών</w:t>
      </w:r>
      <w:r>
        <w:rPr>
          <w:color w:val="000000"/>
          <w:sz w:val="16"/>
          <w:szCs w:val="16"/>
        </w:rPr>
        <w:t xml:space="preserve"> (OHSS). </w:t>
      </w:r>
      <w:r>
        <w:rPr>
          <w:bCs/>
          <w:color w:val="000000"/>
        </w:rPr>
        <w:t>Τα κλινικά συμπτώματα και τα σημεία του ήπιου συνδρόμου υπερδιέγερσης των ωοθηκών είναι κοιλιακό άλγος, ναυτία, διάρροια και ήπια ή μέτρια διόγκωση των ωοθηκών και των ωοθηκικών κύστεων. Σε σπάνιες περιπτώσεις μπορεί να εκδηλωθεί βαριάς μορφής σύνδρομο υπερδιέγερσης των ωοθηκών, το οποίο ίσως να είναι απειλητικό για τη ζωή. Αυτό χαρακτηρίζεται από μεγάλες ωοθηκικές κύστεις (που διαρρηγνύονται εύκολα), ασκίτη, υδροθώρακα σε πολλές περιπτώσεις και αύξηση του σωματικού βάρους. Σε σπάνιες περιπτώσεις, μπορεί να εκδηλωθεί φλεβική ή αρτηριακή θρομβοεμβολή σε συνδυασμό με το OHSS (βλ. παράγραφο 4.8).</w:t>
      </w:r>
      <w:r>
        <w:rPr>
          <w:color w:val="000000"/>
          <w:sz w:val="16"/>
          <w:szCs w:val="16"/>
        </w:rPr>
        <w:t xml:space="preserve"> </w:t>
      </w:r>
    </w:p>
    <w:p w:rsidR="00B919B0" w:rsidRPr="00B919B0" w:rsidRDefault="00B919B0" w:rsidP="00B919B0">
      <w:pPr>
        <w:autoSpaceDE w:val="0"/>
        <w:autoSpaceDN w:val="0"/>
        <w:adjustRightInd w:val="0"/>
        <w:spacing w:before="0" w:after="0"/>
        <w:rPr>
          <w:bCs/>
          <w:u w:val="single"/>
        </w:rPr>
      </w:pPr>
    </w:p>
    <w:p w:rsidR="00B919B0" w:rsidRPr="00B919B0" w:rsidRDefault="00B919B0" w:rsidP="00571124">
      <w:pPr>
        <w:autoSpaceDE w:val="0"/>
        <w:autoSpaceDN w:val="0"/>
        <w:adjustRightInd w:val="0"/>
        <w:spacing w:before="0" w:after="0"/>
        <w:rPr>
          <w:bCs/>
          <w:u w:val="single"/>
        </w:rPr>
      </w:pPr>
      <w:r>
        <w:rPr>
          <w:bCs/>
          <w:u w:val="single"/>
        </w:rPr>
        <w:t xml:space="preserve">Πολύδυμες κυήσεις </w:t>
      </w:r>
    </w:p>
    <w:p w:rsidR="00B919B0" w:rsidRPr="00B919B0" w:rsidRDefault="00B919B0" w:rsidP="00571124">
      <w:pPr>
        <w:autoSpaceDE w:val="0"/>
        <w:autoSpaceDN w:val="0"/>
        <w:adjustRightInd w:val="0"/>
        <w:spacing w:before="0" w:after="0"/>
        <w:rPr>
          <w:bCs/>
        </w:rPr>
      </w:pPr>
      <w:r>
        <w:rPr>
          <w:bCs/>
        </w:rPr>
        <w:t xml:space="preserve">Στις ασθενείς που υποβάλλονται σε διαδικασίες ART, ο κίνδυνος πολύδυμης κύησης συνδέεται κατά κύριο λόγο με τον αριθμό των μεταφερόμενων εμβρύων. Στις ασθενείς που ακολουθούν αγωγή για την επαγωγή ωορρηξίας, η επίπτωση πολύδυμων κυήσεων και γεννήσεων είναι αυξημένη σε σύγκριση με τη σύλληψη με φυσικό τρόπο. Οι περισσότερες από τις πολλαπλές συλλήψεις αφορούν σε δίδυμα. Προκειμένου να περιοριστεί ο κίνδυνος πολύδυμης κύησης, συνιστάται η προσεκτική παρακολούθηση της ανταπόκρισης των ωοθηκών. </w:t>
      </w:r>
    </w:p>
    <w:p w:rsidR="00B919B0" w:rsidRPr="00B919B0" w:rsidRDefault="00B919B0" w:rsidP="00571124">
      <w:pPr>
        <w:autoSpaceDE w:val="0"/>
        <w:autoSpaceDN w:val="0"/>
        <w:adjustRightInd w:val="0"/>
        <w:spacing w:before="0" w:after="0"/>
        <w:rPr>
          <w:bCs/>
          <w:color w:val="000000"/>
          <w:u w:val="single"/>
        </w:rPr>
      </w:pPr>
    </w:p>
    <w:p w:rsidR="00B919B0" w:rsidRPr="00B919B0" w:rsidRDefault="00B919B0" w:rsidP="00571124">
      <w:pPr>
        <w:autoSpaceDE w:val="0"/>
        <w:autoSpaceDN w:val="0"/>
        <w:adjustRightInd w:val="0"/>
        <w:spacing w:before="0" w:after="0"/>
        <w:rPr>
          <w:bCs/>
          <w:color w:val="000000"/>
          <w:u w:val="single"/>
        </w:rPr>
      </w:pPr>
      <w:r>
        <w:rPr>
          <w:bCs/>
          <w:color w:val="000000"/>
          <w:u w:val="single"/>
        </w:rPr>
        <w:t xml:space="preserve">Απώλεια κύησης </w:t>
      </w:r>
    </w:p>
    <w:p w:rsidR="00B919B0" w:rsidRPr="00B919B0" w:rsidRDefault="00B919B0" w:rsidP="00571124">
      <w:pPr>
        <w:autoSpaceDE w:val="0"/>
        <w:autoSpaceDN w:val="0"/>
        <w:adjustRightInd w:val="0"/>
        <w:spacing w:before="0" w:after="0"/>
        <w:rPr>
          <w:bCs/>
          <w:color w:val="000000"/>
        </w:rPr>
      </w:pPr>
      <w:r>
        <w:rPr>
          <w:bCs/>
          <w:color w:val="000000"/>
        </w:rPr>
        <w:t xml:space="preserve">Η επίπτωση της αυτόματης αποβολής είναι υψηλότερη στις ασθενείς που λαμβάνουν θεραπεία με FSH απ' ό,τι στον γενικό πληθυσμό, αλλά είναι συγκρίσιμη με την επίπτωση που παρατηρείται σε γυναίκες με άλλες διαταραχές της γονιμότητας. </w:t>
      </w:r>
    </w:p>
    <w:p w:rsidR="00B919B0" w:rsidRPr="00B919B0" w:rsidRDefault="00B919B0" w:rsidP="00571124">
      <w:pPr>
        <w:autoSpaceDE w:val="0"/>
        <w:autoSpaceDN w:val="0"/>
        <w:adjustRightInd w:val="0"/>
        <w:spacing w:before="0" w:after="0"/>
        <w:rPr>
          <w:bCs/>
          <w:color w:val="000000"/>
          <w:u w:val="single"/>
        </w:rPr>
      </w:pPr>
      <w:r>
        <w:rPr>
          <w:bCs/>
          <w:color w:val="000000"/>
          <w:u w:val="single"/>
        </w:rPr>
        <w:t xml:space="preserve">Εξωμήτρια κύηση </w:t>
      </w:r>
    </w:p>
    <w:p w:rsidR="00B919B0" w:rsidRPr="00B919B0" w:rsidRDefault="00B919B0" w:rsidP="00571124">
      <w:pPr>
        <w:autoSpaceDE w:val="0"/>
        <w:autoSpaceDN w:val="0"/>
        <w:adjustRightInd w:val="0"/>
        <w:spacing w:before="0" w:after="0"/>
        <w:rPr>
          <w:bCs/>
          <w:color w:val="000000"/>
        </w:rPr>
      </w:pPr>
      <w:r>
        <w:rPr>
          <w:bCs/>
          <w:color w:val="000000"/>
        </w:rPr>
        <w:t xml:space="preserve">Εφόσον οι υπογόνιμες γυναίκες που ακολουθούν προγράμματα υποβοηθούμενης αναπαραγωγής (ιδίως IVF) συχνά παρουσιάζουν σαλπιγγικές ανωμαλίες, η επίπτωση εξωμήτριας κύησης πιθανόν να είναι αυξημένη. Ως εκ τούτου, είναι σημαντικό να επιβεβαιωθεί εγκαίρως μέσω υπερηχογραφίας ότι η κύηση είναι ενδομήτρια. </w:t>
      </w:r>
    </w:p>
    <w:p w:rsidR="00B919B0" w:rsidRPr="00B919B0" w:rsidRDefault="00B919B0" w:rsidP="00571124">
      <w:pPr>
        <w:autoSpaceDE w:val="0"/>
        <w:autoSpaceDN w:val="0"/>
        <w:adjustRightInd w:val="0"/>
        <w:spacing w:before="0" w:after="0"/>
        <w:rPr>
          <w:bCs/>
          <w:color w:val="000000"/>
          <w:u w:val="single"/>
        </w:rPr>
      </w:pPr>
      <w:r>
        <w:rPr>
          <w:bCs/>
          <w:color w:val="000000"/>
          <w:u w:val="single"/>
        </w:rPr>
        <w:t xml:space="preserve">Νεοπλασίες του αναπαραγωγικού συστήματος </w:t>
      </w:r>
    </w:p>
    <w:p w:rsidR="00B919B0" w:rsidRPr="00B919B0" w:rsidRDefault="00B919B0" w:rsidP="00571124">
      <w:pPr>
        <w:autoSpaceDE w:val="0"/>
        <w:autoSpaceDN w:val="0"/>
        <w:adjustRightInd w:val="0"/>
        <w:spacing w:before="0" w:after="0"/>
        <w:rPr>
          <w:bCs/>
          <w:color w:val="000000"/>
        </w:rPr>
      </w:pPr>
      <w:r>
        <w:rPr>
          <w:bCs/>
          <w:color w:val="000000"/>
        </w:rPr>
        <w:t xml:space="preserve">Έχουν αναφερθεί περιπτώσεις νεοπλασίας των ωοθηκών και άλλων νεοπλασιών του αναπαραγωγικού συστήματος, καλοήθων και κακοήθων, σε γυναίκες που έχουν ακολουθήσει πολλαπλά φαρμακευτικά σχήματα για την αντιμετώπιση της υπογονιμότητας. Δεν έχει εξακριβωθεί ακόμη εάν η αγωγή με γοναδοτροπίνες αυξάνει το βασικό κίνδυνο εκδήλωσης τέτοιων όγκων σε υπογόνιμες γυναίκες. </w:t>
      </w:r>
    </w:p>
    <w:p w:rsidR="00B919B0" w:rsidRPr="00B919B0" w:rsidRDefault="00B919B0" w:rsidP="00571124">
      <w:pPr>
        <w:autoSpaceDE w:val="0"/>
        <w:autoSpaceDN w:val="0"/>
        <w:adjustRightInd w:val="0"/>
        <w:spacing w:before="0" w:after="0"/>
        <w:rPr>
          <w:bCs/>
          <w:color w:val="000000"/>
          <w:u w:val="single"/>
        </w:rPr>
      </w:pPr>
      <w:r>
        <w:rPr>
          <w:bCs/>
          <w:color w:val="000000"/>
          <w:u w:val="single"/>
        </w:rPr>
        <w:t xml:space="preserve">Συγγενείς διαμαρτίες </w:t>
      </w:r>
    </w:p>
    <w:p w:rsidR="00B919B0" w:rsidRPr="00B919B0" w:rsidRDefault="00B919B0" w:rsidP="00571124">
      <w:pPr>
        <w:autoSpaceDE w:val="0"/>
        <w:autoSpaceDN w:val="0"/>
        <w:adjustRightInd w:val="0"/>
        <w:spacing w:before="0" w:after="0"/>
        <w:rPr>
          <w:bCs/>
          <w:color w:val="000000"/>
        </w:rPr>
      </w:pPr>
      <w:r>
        <w:rPr>
          <w:bCs/>
          <w:color w:val="000000"/>
        </w:rPr>
        <w:t xml:space="preserve">Ο επιπολασμός συγγενών διαμαρτιών μετά από τεχνικές ART ενδέχεται να είναι ελαφρώς αυξημένος σε σύγκριση με την αυτόματη σύλληψη. Πιστεύεται ότι αυτό οφείλεται σε διαφορές στα γονικά χαρακτηριστικά (π.χ. ηλικία μητέρας, χαρακτηριστικά του σπέρματος) και σε πολύδυμες κυήσεις. </w:t>
      </w:r>
    </w:p>
    <w:p w:rsidR="00B919B0" w:rsidRPr="00B919B0" w:rsidRDefault="00B919B0" w:rsidP="00571124">
      <w:pPr>
        <w:autoSpaceDE w:val="0"/>
        <w:autoSpaceDN w:val="0"/>
        <w:adjustRightInd w:val="0"/>
        <w:spacing w:before="0" w:after="0"/>
        <w:rPr>
          <w:bCs/>
          <w:color w:val="000000"/>
          <w:u w:val="single"/>
        </w:rPr>
      </w:pPr>
      <w:r>
        <w:rPr>
          <w:bCs/>
          <w:color w:val="000000"/>
          <w:u w:val="single"/>
        </w:rPr>
        <w:t xml:space="preserve">Θρομβοεμβολικά συμβάντα </w:t>
      </w:r>
    </w:p>
    <w:p w:rsidR="00B919B0" w:rsidRDefault="00B919B0" w:rsidP="00571124">
      <w:pPr>
        <w:autoSpaceDE w:val="0"/>
        <w:autoSpaceDN w:val="0"/>
        <w:adjustRightInd w:val="0"/>
        <w:spacing w:before="0" w:after="0"/>
        <w:rPr>
          <w:bCs/>
          <w:color w:val="000000"/>
        </w:rPr>
      </w:pPr>
      <w:r>
        <w:rPr>
          <w:bCs/>
          <w:color w:val="000000"/>
        </w:rPr>
        <w:t xml:space="preserve">Οι γυναίκες με ευρέως αναγνωρισμένους παράγοντες κινδύνου για θρομβοεμβολικά συμβάντα, όπως ατομικό ή οικογενειακό ιστορικό, σοβαρή παχυσαρκία (δείκτης μάζας σώματος &gt; 30 kg/m2) ή θρομβοφιλία, πιθανόν να διατρέχουν αυξημένο κίνδυνο εμφάνισης φλεβικών ή αρτηριακών θρομβοεμβολικών συμβάντων κατά τη διάρκεια της αγωγής με γοναδοτροπίνες ή μετά από αυτή. Σε αυτές τις γυναίκες, τα οφέλη από τη χορήγηση των γοναδοτροπινών πρέπει να σταθμίζονται έναντι των κινδύνων (βλ. παράγραφο 4.8). </w:t>
      </w:r>
    </w:p>
    <w:p w:rsidR="00571124" w:rsidRDefault="00571124" w:rsidP="00571124">
      <w:pPr>
        <w:autoSpaceDE w:val="0"/>
        <w:autoSpaceDN w:val="0"/>
        <w:adjustRightInd w:val="0"/>
        <w:spacing w:before="0" w:after="0"/>
        <w:rPr>
          <w:bCs/>
          <w:color w:val="000000"/>
        </w:rPr>
      </w:pPr>
    </w:p>
    <w:p w:rsidR="00571124" w:rsidRPr="00571124" w:rsidRDefault="006068DE" w:rsidP="006068DE">
      <w:pPr>
        <w:pStyle w:val="Heading2"/>
        <w:numPr>
          <w:ilvl w:val="0"/>
          <w:numId w:val="0"/>
        </w:numPr>
        <w:ind w:left="720" w:hanging="720"/>
        <w:rPr>
          <w:b w:val="0"/>
        </w:rPr>
      </w:pPr>
      <w:r>
        <w:rPr>
          <w:bCs w:val="0"/>
        </w:rPr>
        <w:t>4.</w:t>
      </w:r>
      <w:r>
        <w:rPr>
          <w:rStyle w:val="Heading2Char"/>
          <w:b/>
        </w:rPr>
        <w:t>5</w:t>
      </w:r>
      <w:r>
        <w:rPr>
          <w:rStyle w:val="Heading2Char"/>
          <w:b/>
        </w:rPr>
        <w:tab/>
        <w:t>Αλληλεπιδράσεις με άλλα φαρμακευτικά προϊόντα και άλλες μορφές αλληλεπίδρασης</w:t>
      </w:r>
      <w:r>
        <w:rPr>
          <w:b w:val="0"/>
        </w:rPr>
        <w:t xml:space="preserve"> </w:t>
      </w:r>
    </w:p>
    <w:p w:rsidR="00571124" w:rsidRDefault="00571124" w:rsidP="00571124">
      <w:pPr>
        <w:autoSpaceDE w:val="0"/>
        <w:autoSpaceDN w:val="0"/>
        <w:adjustRightInd w:val="0"/>
        <w:spacing w:before="0" w:after="0"/>
        <w:rPr>
          <w:bCs/>
          <w:color w:val="000000"/>
        </w:rPr>
      </w:pPr>
      <w:r>
        <w:rPr>
          <w:bCs/>
          <w:color w:val="000000"/>
        </w:rPr>
        <w:t xml:space="preserve">Δεν έχουν πραγματοποιηθεί μελέτες αλληλεπιδράσεων με το </w:t>
      </w:r>
      <w:r w:rsidR="00D5467B" w:rsidRPr="00D5467B">
        <w:rPr>
          <w:bCs/>
          <w:color w:val="000000"/>
        </w:rPr>
        <w:t>Meriofert</w:t>
      </w:r>
      <w:r>
        <w:rPr>
          <w:bCs/>
          <w:color w:val="000000"/>
        </w:rPr>
        <w:t xml:space="preserve"> στον άνθρωπο. Παρότι δεν υπάρχει κλινική εμπειρία, αναμένεται ότι η ταυτόχρονη χρήση του </w:t>
      </w:r>
      <w:r w:rsidR="00D5467B" w:rsidRPr="00D5467B">
        <w:rPr>
          <w:bCs/>
          <w:color w:val="000000"/>
        </w:rPr>
        <w:t>Meriofert</w:t>
      </w:r>
      <w:r>
        <w:rPr>
          <w:bCs/>
          <w:color w:val="000000"/>
        </w:rPr>
        <w:t xml:space="preserve"> 75-150 IU με κιτρική κλομιφαίνη μπορεί να ενισχύσει την ωοθυλακική ανταπόκριση. Όταν χρησιμοποιείται αγωνιστής GnRH για απευαισθητοποίηση της υπόφυσης, πιθανόν να χρειαστεί υψηλότερη δόση </w:t>
      </w:r>
      <w:r w:rsidR="00D5467B" w:rsidRPr="00D5467B">
        <w:rPr>
          <w:bCs/>
          <w:color w:val="000000"/>
        </w:rPr>
        <w:t>Meriofert</w:t>
      </w:r>
      <w:r>
        <w:rPr>
          <w:bCs/>
          <w:color w:val="000000"/>
        </w:rPr>
        <w:t xml:space="preserve"> 75-150 IU προκειμένου να επιτευχθεί επαρκής ωοθυλακική ανταπόκριση.</w:t>
      </w:r>
    </w:p>
    <w:p w:rsidR="00571124" w:rsidRDefault="00571124" w:rsidP="00571124">
      <w:pPr>
        <w:autoSpaceDE w:val="0"/>
        <w:autoSpaceDN w:val="0"/>
        <w:adjustRightInd w:val="0"/>
        <w:spacing w:before="0" w:after="0"/>
        <w:rPr>
          <w:bCs/>
          <w:color w:val="000000"/>
        </w:rPr>
      </w:pPr>
    </w:p>
    <w:p w:rsidR="00571124" w:rsidRPr="00B919B0" w:rsidRDefault="00571124" w:rsidP="006068DE">
      <w:pPr>
        <w:pStyle w:val="Heading2"/>
        <w:numPr>
          <w:ilvl w:val="0"/>
          <w:numId w:val="0"/>
        </w:numPr>
        <w:ind w:left="720" w:hanging="720"/>
      </w:pPr>
      <w:r>
        <w:t>4.6</w:t>
      </w:r>
      <w:r>
        <w:tab/>
        <w:t xml:space="preserve">Γονιμότητα, κύηση και γαλουχία </w:t>
      </w:r>
    </w:p>
    <w:p w:rsidR="00571124" w:rsidRPr="00B919B0" w:rsidRDefault="00571124" w:rsidP="00571124">
      <w:pPr>
        <w:autoSpaceDE w:val="0"/>
        <w:autoSpaceDN w:val="0"/>
        <w:adjustRightInd w:val="0"/>
        <w:spacing w:before="0" w:after="0"/>
        <w:rPr>
          <w:b/>
          <w:bCs/>
        </w:rPr>
      </w:pPr>
    </w:p>
    <w:p w:rsidR="00571124" w:rsidRPr="00B919B0" w:rsidRDefault="00571124" w:rsidP="00571124">
      <w:pPr>
        <w:autoSpaceDE w:val="0"/>
        <w:autoSpaceDN w:val="0"/>
        <w:adjustRightInd w:val="0"/>
        <w:spacing w:before="0" w:after="0"/>
        <w:rPr>
          <w:bCs/>
          <w:color w:val="000000"/>
          <w:u w:val="single"/>
        </w:rPr>
      </w:pPr>
      <w:r>
        <w:rPr>
          <w:bCs/>
          <w:color w:val="000000"/>
          <w:u w:val="single"/>
        </w:rPr>
        <w:t xml:space="preserve">Εγκυμοσύνη </w:t>
      </w:r>
    </w:p>
    <w:p w:rsidR="00571124" w:rsidRPr="00B919B0" w:rsidRDefault="00571124" w:rsidP="00571124">
      <w:pPr>
        <w:autoSpaceDE w:val="0"/>
        <w:autoSpaceDN w:val="0"/>
        <w:adjustRightInd w:val="0"/>
        <w:spacing w:before="0" w:after="0"/>
        <w:rPr>
          <w:bCs/>
          <w:color w:val="000000"/>
        </w:rPr>
      </w:pPr>
      <w:r>
        <w:rPr>
          <w:bCs/>
          <w:color w:val="000000"/>
        </w:rPr>
        <w:t xml:space="preserve">Το </w:t>
      </w:r>
      <w:r w:rsidR="00D5467B" w:rsidRPr="00D5467B">
        <w:rPr>
          <w:bCs/>
          <w:color w:val="000000"/>
        </w:rPr>
        <w:t>Meriofert</w:t>
      </w:r>
      <w:r>
        <w:rPr>
          <w:bCs/>
          <w:color w:val="000000"/>
        </w:rPr>
        <w:t xml:space="preserve"> δεν πρέπει να χρησιμοποιείται κατά τη διάρκεια της εγκυμοσύνης.</w:t>
      </w:r>
    </w:p>
    <w:p w:rsidR="00571124" w:rsidRPr="00B919B0" w:rsidRDefault="00571124" w:rsidP="00571124">
      <w:pPr>
        <w:autoSpaceDE w:val="0"/>
        <w:autoSpaceDN w:val="0"/>
        <w:adjustRightInd w:val="0"/>
        <w:spacing w:before="0" w:after="0"/>
        <w:rPr>
          <w:bCs/>
          <w:color w:val="000000"/>
        </w:rPr>
      </w:pPr>
      <w:r>
        <w:rPr>
          <w:bCs/>
          <w:color w:val="000000"/>
        </w:rPr>
        <w:t xml:space="preserve">Δεν έχει αναφερθεί κίνδυνος τερατογένεσης μετά από ελεγχόμενη διέγερση των ωοθηκών με γοναδοτροπίνες ούρων στην κλινική πράξη. Μέχρι σήμερα, δεν διατίθενται άλλα σχετικά επιδημιολογικά δεδομένα. </w:t>
      </w:r>
    </w:p>
    <w:p w:rsidR="00571124" w:rsidRPr="00B919B0" w:rsidRDefault="00571124" w:rsidP="00571124">
      <w:pPr>
        <w:autoSpaceDE w:val="0"/>
        <w:autoSpaceDN w:val="0"/>
        <w:adjustRightInd w:val="0"/>
        <w:spacing w:before="0" w:after="0"/>
        <w:rPr>
          <w:bCs/>
          <w:color w:val="000000"/>
        </w:rPr>
      </w:pPr>
      <w:r>
        <w:rPr>
          <w:bCs/>
          <w:color w:val="000000"/>
        </w:rPr>
        <w:t xml:space="preserve">Μελέτες σε ζώα δεν κατέδειξαν τερατογόνο δράση. </w:t>
      </w:r>
    </w:p>
    <w:p w:rsidR="00571124" w:rsidRPr="00B919B0" w:rsidRDefault="00571124" w:rsidP="00571124">
      <w:pPr>
        <w:autoSpaceDE w:val="0"/>
        <w:autoSpaceDN w:val="0"/>
        <w:adjustRightInd w:val="0"/>
        <w:spacing w:before="0" w:after="0"/>
        <w:rPr>
          <w:bCs/>
          <w:color w:val="000000"/>
          <w:u w:val="single"/>
        </w:rPr>
      </w:pPr>
    </w:p>
    <w:p w:rsidR="00571124" w:rsidRPr="00B919B0" w:rsidRDefault="00571124" w:rsidP="00571124">
      <w:pPr>
        <w:autoSpaceDE w:val="0"/>
        <w:autoSpaceDN w:val="0"/>
        <w:adjustRightInd w:val="0"/>
        <w:spacing w:before="0" w:after="0"/>
        <w:rPr>
          <w:bCs/>
          <w:color w:val="000000"/>
          <w:u w:val="single"/>
        </w:rPr>
      </w:pPr>
      <w:r>
        <w:rPr>
          <w:bCs/>
          <w:color w:val="000000"/>
          <w:u w:val="single"/>
        </w:rPr>
        <w:t xml:space="preserve">Θηλασμός </w:t>
      </w:r>
    </w:p>
    <w:p w:rsidR="00571124" w:rsidRPr="00B919B0" w:rsidRDefault="00571124" w:rsidP="00571124">
      <w:pPr>
        <w:autoSpaceDE w:val="0"/>
        <w:autoSpaceDN w:val="0"/>
        <w:adjustRightInd w:val="0"/>
        <w:spacing w:before="0" w:after="0"/>
        <w:rPr>
          <w:bCs/>
          <w:color w:val="000000"/>
        </w:rPr>
      </w:pPr>
      <w:r>
        <w:rPr>
          <w:bCs/>
          <w:color w:val="000000"/>
        </w:rPr>
        <w:t xml:space="preserve">Το </w:t>
      </w:r>
      <w:r w:rsidR="00D5467B" w:rsidRPr="00D5467B">
        <w:rPr>
          <w:bCs/>
          <w:color w:val="000000"/>
        </w:rPr>
        <w:t>Meriofert</w:t>
      </w:r>
      <w:r>
        <w:rPr>
          <w:bCs/>
          <w:color w:val="000000"/>
        </w:rPr>
        <w:t xml:space="preserve"> δεν πρέπει να χρησιμοποιείται κατά τη διάρκεια της γαλουχίας.</w:t>
      </w:r>
    </w:p>
    <w:p w:rsidR="00571124" w:rsidRPr="00B919B0" w:rsidRDefault="00571124" w:rsidP="00571124">
      <w:pPr>
        <w:autoSpaceDE w:val="0"/>
        <w:autoSpaceDN w:val="0"/>
        <w:adjustRightInd w:val="0"/>
        <w:spacing w:before="0" w:after="0"/>
        <w:rPr>
          <w:bCs/>
          <w:color w:val="000000"/>
        </w:rPr>
      </w:pPr>
      <w:r>
        <w:rPr>
          <w:bCs/>
          <w:color w:val="000000"/>
        </w:rPr>
        <w:t>Κατά τη διάρκεια της γαλουχίας, η έκκριση προλακτίνης μπορεί να οδηγήσει σε μειωμένη ανταπόκριση στη διέγερση των ωοθηκών.</w:t>
      </w:r>
    </w:p>
    <w:p w:rsidR="00B919B0" w:rsidRPr="00B919B0" w:rsidRDefault="00B919B0" w:rsidP="00B919B0">
      <w:pPr>
        <w:spacing w:before="0" w:after="0" w:line="240" w:lineRule="atLeast"/>
        <w:ind w:left="360" w:right="-1"/>
        <w:rPr>
          <w:b/>
          <w:sz w:val="22"/>
          <w:szCs w:val="22"/>
          <w:lang w:val="de-DE" w:eastAsia="de-DE"/>
        </w:rPr>
      </w:pPr>
    </w:p>
    <w:p w:rsidR="00B919B0" w:rsidRPr="00B919B0" w:rsidRDefault="00571124" w:rsidP="006068DE">
      <w:pPr>
        <w:pStyle w:val="Heading2"/>
        <w:numPr>
          <w:ilvl w:val="0"/>
          <w:numId w:val="0"/>
        </w:numPr>
        <w:ind w:left="720" w:hanging="720"/>
      </w:pPr>
      <w:r>
        <w:t>4.7</w:t>
      </w:r>
      <w:r>
        <w:tab/>
        <w:t xml:space="preserve">Επιδράσεις στην ικανότητα οδήγησης και χειρισμού μηχανών </w:t>
      </w:r>
    </w:p>
    <w:p w:rsidR="00B919B0" w:rsidRPr="00B919B0" w:rsidRDefault="00B919B0" w:rsidP="00571124">
      <w:pPr>
        <w:autoSpaceDE w:val="0"/>
        <w:autoSpaceDN w:val="0"/>
        <w:adjustRightInd w:val="0"/>
        <w:spacing w:before="0" w:after="0"/>
        <w:rPr>
          <w:bCs/>
        </w:rPr>
      </w:pPr>
      <w:r>
        <w:rPr>
          <w:bCs/>
        </w:rPr>
        <w:t>Δεν έχουν διεξαχθεί μελέτες αναφορικά με τις επιδράσεις στην ικανότητα οδήγησης και χειρισμού μηχανών.</w:t>
      </w:r>
    </w:p>
    <w:p w:rsidR="00B919B0" w:rsidRPr="00B919B0" w:rsidRDefault="00B919B0" w:rsidP="00571124">
      <w:pPr>
        <w:spacing w:before="0" w:after="0"/>
        <w:rPr>
          <w:bCs/>
        </w:rPr>
      </w:pPr>
      <w:r>
        <w:rPr>
          <w:bCs/>
        </w:rPr>
        <w:t xml:space="preserve">Ωστόσο, το </w:t>
      </w:r>
      <w:r w:rsidR="00D5467B" w:rsidRPr="00D5467B">
        <w:rPr>
          <w:bCs/>
        </w:rPr>
        <w:t>Meriofert</w:t>
      </w:r>
      <w:r>
        <w:rPr>
          <w:bCs/>
        </w:rPr>
        <w:t xml:space="preserve"> δεν αναμένεται να επηρεάσει την ικανότητα της ασθενούς να οδηγεί και να χειρίζεται μηχανές.</w:t>
      </w:r>
    </w:p>
    <w:p w:rsidR="00B919B0" w:rsidRPr="00B919B0" w:rsidRDefault="00B919B0" w:rsidP="00571124">
      <w:pPr>
        <w:spacing w:before="0" w:after="0"/>
        <w:rPr>
          <w:bCs/>
        </w:rPr>
      </w:pPr>
    </w:p>
    <w:p w:rsidR="00B919B0" w:rsidRPr="00B919B0" w:rsidRDefault="00571124" w:rsidP="006068DE">
      <w:pPr>
        <w:pStyle w:val="Heading2"/>
        <w:numPr>
          <w:ilvl w:val="0"/>
          <w:numId w:val="0"/>
        </w:numPr>
        <w:ind w:left="720" w:hanging="720"/>
      </w:pPr>
      <w:r>
        <w:t>4.8</w:t>
      </w:r>
      <w:r>
        <w:tab/>
        <w:t>Ανεπιθύμητες ενέργειες</w:t>
      </w:r>
    </w:p>
    <w:p w:rsidR="00B919B0" w:rsidRPr="00B919B0" w:rsidRDefault="00B919B0" w:rsidP="00571124">
      <w:pPr>
        <w:autoSpaceDE w:val="0"/>
        <w:autoSpaceDN w:val="0"/>
        <w:adjustRightInd w:val="0"/>
      </w:pPr>
      <w:r>
        <w:t xml:space="preserve">Η πιο σημαντική ανεπιθύμητη ενέργεια φαρμάκου που σημειώθηκε στις κλινικές μελέτες με το </w:t>
      </w:r>
      <w:r w:rsidR="00D5467B" w:rsidRPr="00D5467B">
        <w:t>Meriofert</w:t>
      </w:r>
      <w:r>
        <w:t xml:space="preserve"> είναι η (δοσοεξαρτώμενη) υπερδιέγερση των ωοθηκών (σύνδρομο OHSS), κατά κανόνα ήπιας βαρύτητας με μικρή διόγκωση των ωοθηκών, κοιλιακές ενοχλήσεις ή άλγος. Μόνον ένα περιστατικό OHSS ήταν σοβαρό. </w:t>
      </w:r>
    </w:p>
    <w:p w:rsidR="00B919B0" w:rsidRPr="00B919B0" w:rsidRDefault="00B919B0" w:rsidP="00571124">
      <w:pPr>
        <w:autoSpaceDE w:val="0"/>
        <w:autoSpaceDN w:val="0"/>
        <w:adjustRightInd w:val="0"/>
      </w:pPr>
      <w:r>
        <w:t xml:space="preserve">Οι πιο συχνές ανεπιθύμητες ενέργειες με το </w:t>
      </w:r>
      <w:r w:rsidR="00D5467B" w:rsidRPr="00D5467B">
        <w:t>Meriofert</w:t>
      </w:r>
      <w:r>
        <w:t xml:space="preserve"> ήταν κεφαλαλγία και κοιλιακή διάταση, καθώς και ναυτία, κόπωση, ζάλη και πόνος στη θέση της ένεσης.</w:t>
      </w:r>
    </w:p>
    <w:p w:rsidR="00B919B0" w:rsidRPr="00B919B0" w:rsidRDefault="00B919B0" w:rsidP="00571124">
      <w:pPr>
        <w:autoSpaceDE w:val="0"/>
        <w:autoSpaceDN w:val="0"/>
        <w:adjustRightInd w:val="0"/>
      </w:pPr>
      <w:r>
        <w:t xml:space="preserve">Ο πίνακας που ακολουθεί παραθέτει τις κυριότερες ανεπιθύμητες ενέργειες φαρμάκου (&gt;1%) στις γυναίκες που έλαβαν </w:t>
      </w:r>
      <w:r w:rsidR="00D5467B" w:rsidRPr="00D5467B">
        <w:t>Meriofert</w:t>
      </w:r>
      <w:r>
        <w:t xml:space="preserve"> στο πλαίσιο κλινικών μελετών, ανά οργανικό σύστημα και συχνότητα.</w:t>
      </w:r>
      <w:r>
        <w:rPr>
          <w:b/>
          <w:bCs/>
          <w:i/>
          <w:color w:val="0000FF"/>
        </w:rPr>
        <w:t xml:space="preserve"> </w:t>
      </w:r>
      <w:r>
        <w:t xml:space="preserve">Σε κάθε ομάδα συχνότητας, οι ανεπιθύμητες ενέργειες παρατίθενται κατά φθίνουσα σοβαρότητα. </w:t>
      </w:r>
    </w:p>
    <w:p w:rsidR="00B919B0" w:rsidRPr="00B919B0" w:rsidRDefault="00B919B0" w:rsidP="00571124">
      <w:pPr>
        <w:autoSpaceDE w:val="0"/>
        <w:autoSpaceDN w:val="0"/>
        <w:adjustRightInd w:val="0"/>
      </w:pPr>
      <w:r>
        <w:t>Σε κάθε κατηγορία/οργανικό σύστημα, οι ανεπιθύμητες ενέργειες ταξινομούνται ανά ομάδα συχνότητας και οι συχνότερες ανεπιθύμητες ενέργειες εμφανίζονται πρώτες, σύμφωνα με την ακόλουθη συνθήκη:</w:t>
      </w:r>
    </w:p>
    <w:p w:rsidR="00B919B0" w:rsidRPr="00B919B0" w:rsidRDefault="00B919B0" w:rsidP="00571124">
      <w:pPr>
        <w:autoSpaceDE w:val="0"/>
        <w:autoSpaceDN w:val="0"/>
        <w:adjustRightInd w:val="0"/>
      </w:pPr>
      <w:r>
        <w:t>Πολύ συχνές (</w:t>
      </w:r>
      <w:r>
        <w:rPr>
          <w:rFonts w:ascii="Symbol" w:hAnsi="Symbol" w:cs="Symbol"/>
        </w:rPr>
        <w:t></w:t>
      </w:r>
      <w:r>
        <w:t>1/10), συχνές (</w:t>
      </w:r>
      <w:r>
        <w:rPr>
          <w:rFonts w:ascii="Symbol" w:hAnsi="Symbol" w:cs="Symbol"/>
        </w:rPr>
        <w:t></w:t>
      </w:r>
      <w:r>
        <w:t xml:space="preserve">1/100 έως </w:t>
      </w:r>
      <w:r>
        <w:rPr>
          <w:rFonts w:ascii="Symbol" w:hAnsi="Symbol" w:cs="Symbol"/>
        </w:rPr>
        <w:t></w:t>
      </w:r>
      <w:r>
        <w:t>1/10), όχι συχνές (</w:t>
      </w:r>
      <w:r>
        <w:rPr>
          <w:rFonts w:ascii="Symbol" w:hAnsi="Symbol" w:cs="Symbol"/>
        </w:rPr>
        <w:t></w:t>
      </w:r>
      <w:r>
        <w:t xml:space="preserve">1/1.000 έως </w:t>
      </w:r>
      <w:r>
        <w:rPr>
          <w:rFonts w:ascii="Symbol" w:hAnsi="Symbol" w:cs="Symbol"/>
        </w:rPr>
        <w:t></w:t>
      </w:r>
      <w:r>
        <w:t>1/100), σπάνιες (</w:t>
      </w:r>
      <w:r>
        <w:rPr>
          <w:rFonts w:ascii="Symbol" w:hAnsi="Symbol" w:cs="Symbol"/>
        </w:rPr>
        <w:t></w:t>
      </w:r>
      <w:r>
        <w:t xml:space="preserve">1/10.000 έως </w:t>
      </w:r>
      <w:r>
        <w:rPr>
          <w:rFonts w:ascii="Symbol" w:hAnsi="Symbol" w:cs="Symbol"/>
        </w:rPr>
        <w:t></w:t>
      </w:r>
      <w:r>
        <w:t>1/1.000), πολύ σπάνιες (</w:t>
      </w:r>
      <w:r>
        <w:rPr>
          <w:rFonts w:ascii="Symbol" w:hAnsi="Symbol" w:cs="Symbol"/>
        </w:rPr>
        <w:t></w:t>
      </w:r>
      <w:r>
        <w:t>1/10.000), μη γνωστές (δεν μπορούν να εκτιμηθούν με βάση τα διαθέσιμα δεδομένα).</w:t>
      </w:r>
    </w:p>
    <w:p w:rsidR="00B919B0" w:rsidRPr="00B919B0" w:rsidRDefault="00B919B0" w:rsidP="00571124">
      <w:pPr>
        <w:autoSpaceDE w:val="0"/>
        <w:autoSpaceDN w:val="0"/>
        <w:adjustRightInd w:val="0"/>
      </w:pPr>
    </w:p>
    <w:p w:rsidR="00B919B0" w:rsidRPr="00B919B0" w:rsidRDefault="00B919B0" w:rsidP="00B919B0">
      <w:pPr>
        <w:autoSpaceDE w:val="0"/>
        <w:autoSpaceDN w:val="0"/>
        <w:adjustRightInd w:val="0"/>
        <w:jc w:val="both"/>
      </w:pPr>
    </w:p>
    <w:tbl>
      <w:tblPr>
        <w:tblW w:w="4968"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963"/>
        <w:gridCol w:w="2066"/>
        <w:gridCol w:w="3898"/>
      </w:tblGrid>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rPr>
                <w:b/>
              </w:rPr>
            </w:pPr>
            <w:r>
              <w:rPr>
                <w:b/>
              </w:rPr>
              <w:t>Οργανικό σύστημα*</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rPr>
                <w:b/>
              </w:rPr>
            </w:pPr>
            <w:r>
              <w:rPr>
                <w:b/>
              </w:rPr>
              <w:t>Συχνότητα</w:t>
            </w: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rPr>
                <w:b/>
              </w:rPr>
            </w:pPr>
            <w:r>
              <w:rPr>
                <w:b/>
              </w:rPr>
              <w:t>Ανεπιθύμητη ενέργεια φαρμάκου</w:t>
            </w:r>
          </w:p>
        </w:tc>
      </w:tr>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Διαταραχές του νευρικού συστήματος</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Πολύ συχνές</w:t>
            </w:r>
          </w:p>
          <w:p w:rsidR="00B919B0" w:rsidRPr="00B919B0" w:rsidRDefault="00B919B0" w:rsidP="00B919B0">
            <w:pPr>
              <w:spacing w:before="100" w:beforeAutospacing="1" w:after="100" w:afterAutospacing="1"/>
            </w:pPr>
            <w:r>
              <w:t xml:space="preserve">Συχνές </w:t>
            </w:r>
          </w:p>
          <w:p w:rsidR="00B919B0" w:rsidRPr="00B919B0" w:rsidRDefault="00B919B0" w:rsidP="00B919B0">
            <w:pPr>
              <w:spacing w:before="100" w:beforeAutospacing="1" w:after="100" w:afterAutospacing="1"/>
            </w:pP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Κεφαλαλγία</w:t>
            </w:r>
          </w:p>
          <w:p w:rsidR="00B919B0" w:rsidRPr="00B919B0" w:rsidRDefault="00B919B0" w:rsidP="00B919B0">
            <w:pPr>
              <w:spacing w:before="100" w:beforeAutospacing="1" w:after="100" w:afterAutospacing="1"/>
            </w:pPr>
            <w:r>
              <w:t>Ζάλη</w:t>
            </w:r>
          </w:p>
        </w:tc>
      </w:tr>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Διαταραχές του γαστρεντερικού</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Πολύ συχνές</w:t>
            </w:r>
          </w:p>
          <w:p w:rsidR="00B919B0" w:rsidRPr="00B919B0" w:rsidRDefault="00B919B0" w:rsidP="00B919B0">
            <w:pPr>
              <w:spacing w:before="100" w:beforeAutospacing="1" w:after="100" w:afterAutospacing="1"/>
            </w:pPr>
            <w:r>
              <w:t xml:space="preserve">Συχνές </w:t>
            </w:r>
          </w:p>
          <w:p w:rsidR="00B919B0" w:rsidRPr="00B919B0" w:rsidRDefault="00B919B0" w:rsidP="00B919B0">
            <w:pPr>
              <w:spacing w:before="100" w:beforeAutospacing="1" w:after="100" w:afterAutospacing="1"/>
            </w:pP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 xml:space="preserve">Διάταση της κοιλίας </w:t>
            </w:r>
          </w:p>
          <w:p w:rsidR="00B919B0" w:rsidRPr="00B919B0" w:rsidRDefault="00B919B0" w:rsidP="00B919B0">
            <w:pPr>
              <w:spacing w:before="100" w:beforeAutospacing="1" w:after="100" w:afterAutospacing="1"/>
            </w:pPr>
            <w:r>
              <w:t xml:space="preserve">Κοιλιακή δυσφορία, κοιλιακό άλγος, ναυτία </w:t>
            </w:r>
          </w:p>
        </w:tc>
      </w:tr>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Διαταραχές του μυοσκελετικού συστήματος και του συνδετικού ιστού</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Συχνές</w:t>
            </w: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Οσφυαλγία, αίσθημα βάρους</w:t>
            </w:r>
          </w:p>
        </w:tc>
      </w:tr>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Διαταραχές του αναπαραγωγικού συστήματος και του μαστού</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Συχνές</w:t>
            </w:r>
          </w:p>
          <w:p w:rsidR="00B919B0" w:rsidRPr="00B919B0" w:rsidRDefault="00B919B0" w:rsidP="00B919B0">
            <w:pPr>
              <w:spacing w:before="100" w:beforeAutospacing="1" w:after="100" w:afterAutospacing="1"/>
            </w:pP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Σύνδρομο υπερδιέγερσης των ωοθηκών, πυελικό άλγος, ευαισθησία μαστού</w:t>
            </w:r>
          </w:p>
        </w:tc>
      </w:tr>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Γενικές διαταραχές και καταστάσεις της οδού χορήγησης</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 xml:space="preserve">Συχνές </w:t>
            </w:r>
          </w:p>
          <w:p w:rsidR="00B919B0" w:rsidRPr="00B919B0" w:rsidRDefault="00B919B0" w:rsidP="00B919B0">
            <w:pPr>
              <w:spacing w:before="100" w:beforeAutospacing="1" w:after="100" w:afterAutospacing="1"/>
            </w:pP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Άλγος στη θέσης ένεσης, αντίδραση στη θέσης ένεσης, κόπωση, αίσθημα κακουχίας, δίψα</w:t>
            </w:r>
          </w:p>
        </w:tc>
      </w:tr>
      <w:tr w:rsidR="00B919B0" w:rsidRPr="00B919B0" w:rsidTr="009B1734">
        <w:trPr>
          <w:tblCellSpacing w:w="0" w:type="dxa"/>
        </w:trPr>
        <w:tc>
          <w:tcPr>
            <w:tcW w:w="1660"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Αγγειακές διαταραχές</w:t>
            </w:r>
          </w:p>
        </w:tc>
        <w:tc>
          <w:tcPr>
            <w:tcW w:w="1157"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Συχνές</w:t>
            </w:r>
          </w:p>
        </w:tc>
        <w:tc>
          <w:tcPr>
            <w:tcW w:w="2183" w:type="pct"/>
            <w:tcBorders>
              <w:top w:val="outset" w:sz="6" w:space="0" w:color="auto"/>
              <w:left w:val="outset" w:sz="6" w:space="0" w:color="auto"/>
              <w:bottom w:val="outset" w:sz="6" w:space="0" w:color="auto"/>
              <w:right w:val="outset" w:sz="6" w:space="0" w:color="auto"/>
            </w:tcBorders>
          </w:tcPr>
          <w:p w:rsidR="00B919B0" w:rsidRPr="00B919B0" w:rsidRDefault="00B919B0" w:rsidP="00B919B0">
            <w:pPr>
              <w:spacing w:before="100" w:beforeAutospacing="1" w:after="100" w:afterAutospacing="1"/>
            </w:pPr>
            <w:r>
              <w:t>Εξάψεις</w:t>
            </w:r>
          </w:p>
        </w:tc>
      </w:tr>
    </w:tbl>
    <w:p w:rsidR="00B919B0" w:rsidRPr="00B919B0" w:rsidRDefault="00B919B0" w:rsidP="00571124">
      <w:pPr>
        <w:spacing w:before="0" w:after="0"/>
        <w:rPr>
          <w:sz w:val="20"/>
          <w:szCs w:val="20"/>
          <w:vertAlign w:val="superscript"/>
        </w:rPr>
      </w:pPr>
      <w:r>
        <w:rPr>
          <w:sz w:val="20"/>
          <w:szCs w:val="20"/>
        </w:rPr>
        <w:t>* Για την περιγραφή μιας ορισμένης ανεπιθύμητης ενέργειας παρατίθεται ο καταλληλότερος όρος MedDRA. Δεν παρατίθενται συνώνυμα ή συναφείς παθήσεις αλλά θα πρέπει επίσης να λαμβάνονται υπόψη.</w:t>
      </w:r>
    </w:p>
    <w:p w:rsidR="00B919B0" w:rsidRPr="00B919B0" w:rsidRDefault="00B919B0" w:rsidP="00571124">
      <w:pPr>
        <w:autoSpaceDE w:val="0"/>
        <w:autoSpaceDN w:val="0"/>
        <w:adjustRightInd w:val="0"/>
      </w:pPr>
    </w:p>
    <w:p w:rsidR="00B919B0" w:rsidRPr="00B919B0" w:rsidRDefault="00B919B0" w:rsidP="00571124">
      <w:pPr>
        <w:autoSpaceDE w:val="0"/>
        <w:autoSpaceDN w:val="0"/>
        <w:adjustRightInd w:val="0"/>
      </w:pPr>
      <w:r>
        <w:t xml:space="preserve">Με βάση τις δημοσιευμένες μελέτες, οι παρακάτω ανεπιθύμητες ενέργειες έχουν παρατηρηθεί σε ασθενείς που έλαβαν θεραπεία με ανθρώπινες εμμηνοπαυσιακές γοναδοτροπίνες. </w:t>
      </w:r>
    </w:p>
    <w:p w:rsidR="00B919B0" w:rsidRPr="00B919B0" w:rsidRDefault="00B919B0" w:rsidP="00571124">
      <w:pPr>
        <w:autoSpaceDE w:val="0"/>
        <w:autoSpaceDN w:val="0"/>
        <w:adjustRightInd w:val="0"/>
      </w:pPr>
      <w:r>
        <w:t xml:space="preserve">* Βαριάς μορφής υπερδιέγερση των ωοθηκών (OHSS) με έκδηλη διόγκωση και σχηματισμό κύστεων των ωοθηκών, οξύ κοιλιακό άλγος, ασκίτης, υπεζωκοτική συλλογή, υπογκαιμία, καταπληξία και θρομβοεμβολικές διαταραχές. (Βλ. επίσης παράγραφο 4.4) </w:t>
      </w:r>
    </w:p>
    <w:p w:rsidR="00B919B0" w:rsidRPr="00B919B0" w:rsidRDefault="00B919B0" w:rsidP="00571124">
      <w:pPr>
        <w:autoSpaceDE w:val="0"/>
        <w:autoSpaceDN w:val="0"/>
        <w:adjustRightInd w:val="0"/>
      </w:pPr>
      <w:r>
        <w:t xml:space="preserve">* Συστροφή ωοθήκης, συνήθως σε συνδυασμό με βαριές μορφές OHSS </w:t>
      </w:r>
    </w:p>
    <w:p w:rsidR="00B919B0" w:rsidRPr="00B919B0" w:rsidRDefault="00B919B0" w:rsidP="00571124">
      <w:pPr>
        <w:autoSpaceDE w:val="0"/>
        <w:autoSpaceDN w:val="0"/>
        <w:adjustRightInd w:val="0"/>
      </w:pPr>
      <w:r>
        <w:t xml:space="preserve">* Ρήξη ωοθηκικών κύστεων με ενδοπεριτοναϊκή αιμορραγία, έχουν αναφερθεί περιπτώσεις ρήξης κύστης με μοιραία έκβαση. </w:t>
      </w:r>
    </w:p>
    <w:p w:rsidR="00B919B0" w:rsidRPr="00B919B0" w:rsidRDefault="00B919B0" w:rsidP="00571124">
      <w:pPr>
        <w:spacing w:before="0" w:after="0"/>
      </w:pPr>
      <w:r>
        <w:t>* Αλλεργικές αντιδράσεις, ακόμα και με γενικευμένα συμπτώματα, έχουν αναφερθεί μετά από αγωγή με προϊόντα που περιέχουν γοναδοτροπίνες. (Βλ. επίσης παράγραφο 4.4)</w:t>
      </w:r>
    </w:p>
    <w:p w:rsidR="00B919B0" w:rsidRPr="00B919B0" w:rsidRDefault="00B919B0" w:rsidP="00571124">
      <w:pPr>
        <w:rPr>
          <w:strike/>
        </w:rPr>
      </w:pPr>
      <w:r>
        <w:t>Οι τοπικές αντιδράσεις στη θέση ένεσης, όπως άλγος, ερυθρότητα, μώλωπες, οίδημα ή/και ερεθισμός, συνιστούν αναμενόμενες ανεπιθύμητες ενέργειες μετά από χορήγηση γοναδοτροπινών.</w:t>
      </w:r>
      <w:r>
        <w:rPr>
          <w:strike/>
        </w:rPr>
        <w:t xml:space="preserve"> </w:t>
      </w:r>
    </w:p>
    <w:p w:rsidR="00B919B0" w:rsidRPr="00B919B0" w:rsidRDefault="00B919B0" w:rsidP="00571124">
      <w:r>
        <w:t>Αναμένεται υψηλότερη συχνότητα τέτοιων συμβάντων μετά από ενδομυϊκή απ' ό,τι μετά από υποδόρια χορήγηση.</w:t>
      </w:r>
    </w:p>
    <w:p w:rsidR="00B919B0" w:rsidRPr="00B919B0" w:rsidRDefault="00B919B0" w:rsidP="00571124"/>
    <w:p w:rsidR="00B919B0" w:rsidRPr="00B919B0" w:rsidRDefault="00B919B0" w:rsidP="00571124">
      <w:pPr>
        <w:rPr>
          <w:u w:val="single"/>
        </w:rPr>
      </w:pPr>
      <w:r>
        <w:rPr>
          <w:u w:val="single"/>
        </w:rPr>
        <w:t>Αναφορά πιθανολογούμενων ανεπιθύμητων ενεργειών</w:t>
      </w:r>
    </w:p>
    <w:p w:rsidR="00B919B0" w:rsidRPr="00B919B0" w:rsidRDefault="00B919B0" w:rsidP="00571124">
      <w:pPr>
        <w:spacing w:before="0" w:after="0"/>
      </w:pPr>
      <w: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w:t>
      </w:r>
      <w:r w:rsidR="00096EA3" w:rsidRPr="00096EA3">
        <w:t>[να συμπληρωθεί σε εθνικό επίπεδο].</w:t>
      </w:r>
    </w:p>
    <w:p w:rsidR="00B919B0" w:rsidRPr="006068DE" w:rsidRDefault="00571124" w:rsidP="006068DE">
      <w:pPr>
        <w:pStyle w:val="Heading2"/>
        <w:numPr>
          <w:ilvl w:val="0"/>
          <w:numId w:val="0"/>
        </w:numPr>
        <w:ind w:left="720" w:hanging="720"/>
      </w:pPr>
      <w:r>
        <w:t>4.9</w:t>
      </w:r>
      <w:r>
        <w:tab/>
        <w:t xml:space="preserve">Υπερδοσολογία </w:t>
      </w:r>
    </w:p>
    <w:p w:rsidR="00B919B0" w:rsidRPr="00B919B0" w:rsidRDefault="00B919B0" w:rsidP="00571124">
      <w:pPr>
        <w:spacing w:before="0" w:after="0"/>
        <w:rPr>
          <w:lang w:val="de-DE" w:eastAsia="de-DE"/>
        </w:rPr>
      </w:pPr>
      <w:r>
        <w:t>Δεν υπάρχουν δεδομένα για την οξεία τοξικότητα της εμμηνοτροπίνης στον άνθρωπο, αλλά μελέτες σε ζώα έδειξαν ότι η οξεία τοξικότητα των παρασκευασμάτων γοναδοτροπινών ούρων είναι πολύ χαμηλή. Η υπερβολική δοσολογία εμμηνοτροπίνης μπορεί να οδηγήσει σε υπερδιέγερση των ωοθηκών (βλ. παράγραφο 4.4).</w:t>
      </w:r>
    </w:p>
    <w:p w:rsidR="00B919B0" w:rsidRPr="00B919B0" w:rsidRDefault="00B919B0" w:rsidP="00571124">
      <w:pPr>
        <w:spacing w:before="0" w:after="0"/>
        <w:rPr>
          <w:b/>
          <w:lang w:val="de-DE" w:eastAsia="de-DE"/>
        </w:rPr>
      </w:pPr>
    </w:p>
    <w:p w:rsidR="00B919B0" w:rsidRPr="006068DE" w:rsidRDefault="006068DE" w:rsidP="006068DE">
      <w:pPr>
        <w:pStyle w:val="Heading2"/>
        <w:numPr>
          <w:ilvl w:val="0"/>
          <w:numId w:val="0"/>
        </w:numPr>
        <w:ind w:left="720" w:hanging="720"/>
      </w:pPr>
      <w:r>
        <w:t>5.</w:t>
      </w:r>
      <w:r>
        <w:tab/>
        <w:t>ΦΑΡΜΑΚΟΛΟΓΙΚΕΣ ΙΔΙΟΤΗΤΕΣ</w:t>
      </w:r>
    </w:p>
    <w:p w:rsidR="00B919B0" w:rsidRPr="00B919B0" w:rsidRDefault="00571124" w:rsidP="006068DE">
      <w:pPr>
        <w:pStyle w:val="Heading2"/>
        <w:numPr>
          <w:ilvl w:val="0"/>
          <w:numId w:val="0"/>
        </w:numPr>
        <w:ind w:left="720" w:hanging="720"/>
      </w:pPr>
      <w:r>
        <w:t>5.1</w:t>
      </w:r>
      <w:r>
        <w:tab/>
        <w:t>Φαρμακοδυναμικές ιδιότητες</w:t>
      </w:r>
    </w:p>
    <w:p w:rsidR="00B919B0" w:rsidRPr="00B919B0" w:rsidRDefault="00B919B0" w:rsidP="00571124">
      <w:pPr>
        <w:autoSpaceDE w:val="0"/>
        <w:autoSpaceDN w:val="0"/>
        <w:adjustRightInd w:val="0"/>
        <w:spacing w:before="0" w:after="0"/>
        <w:rPr>
          <w:bCs/>
        </w:rPr>
      </w:pPr>
      <w:r>
        <w:rPr>
          <w:bCs/>
        </w:rPr>
        <w:t>Φαρμακοθεραπευτική κατηγορία: Γοναδοτροπίνες.</w:t>
      </w:r>
    </w:p>
    <w:p w:rsidR="00B919B0" w:rsidRPr="00B919B0" w:rsidRDefault="00B919B0" w:rsidP="00571124">
      <w:pPr>
        <w:autoSpaceDE w:val="0"/>
        <w:autoSpaceDN w:val="0"/>
        <w:adjustRightInd w:val="0"/>
        <w:spacing w:before="0" w:after="0"/>
        <w:rPr>
          <w:bCs/>
        </w:rPr>
      </w:pPr>
      <w:r>
        <w:rPr>
          <w:bCs/>
        </w:rPr>
        <w:t>Κωδικός ATC: G03GA02</w:t>
      </w:r>
    </w:p>
    <w:p w:rsidR="00B919B0" w:rsidRPr="00B919B0" w:rsidRDefault="00B919B0" w:rsidP="00571124">
      <w:pPr>
        <w:autoSpaceDE w:val="0"/>
        <w:autoSpaceDN w:val="0"/>
        <w:adjustRightInd w:val="0"/>
        <w:spacing w:before="0" w:after="0"/>
        <w:rPr>
          <w:bCs/>
        </w:rPr>
      </w:pPr>
      <w:r>
        <w:rPr>
          <w:bCs/>
        </w:rPr>
        <w:t xml:space="preserve">Η δραστική ουσία του </w:t>
      </w:r>
      <w:r w:rsidR="00D5467B" w:rsidRPr="00D5467B">
        <w:rPr>
          <w:bCs/>
        </w:rPr>
        <w:t>Meriofert</w:t>
      </w:r>
      <w:r>
        <w:rPr>
          <w:bCs/>
        </w:rPr>
        <w:t xml:space="preserve"> είναι μια ανθρώπινη εμμηνοπαυσιακή γοναδοτροπίνη υψηλής καθαρότητας.</w:t>
      </w:r>
    </w:p>
    <w:p w:rsidR="00B919B0" w:rsidRPr="00B919B0" w:rsidRDefault="00B919B0" w:rsidP="00571124">
      <w:pPr>
        <w:spacing w:before="0" w:after="0"/>
        <w:rPr>
          <w:bCs/>
        </w:rPr>
      </w:pPr>
      <w:r>
        <w:rPr>
          <w:bCs/>
        </w:rPr>
        <w:t xml:space="preserve">Η FSH στο </w:t>
      </w:r>
      <w:r w:rsidR="00D5467B" w:rsidRPr="00D5467B">
        <w:rPr>
          <w:bCs/>
        </w:rPr>
        <w:t>Meriofert</w:t>
      </w:r>
      <w:r>
        <w:rPr>
          <w:bCs/>
        </w:rPr>
        <w:t xml:space="preserve"> λαμβάνεται από τα ούρα μετεμμηνοπαυσιακών γυναικών ενώ η LH λαμβάνεται από τα ούρα μετεμμηνοπαυσιακών και εγκύων γυναικών. Το παρασκεύασμα τυποποιείται έτσι ώστε να επιτυγχάνεται λόγος δραστηριότητας FSH/LH περίπου ίσος με 1.</w:t>
      </w:r>
    </w:p>
    <w:p w:rsidR="00B919B0" w:rsidRPr="00B919B0" w:rsidRDefault="00B919B0" w:rsidP="00571124">
      <w:pPr>
        <w:adjustRightInd w:val="0"/>
        <w:spacing w:before="0" w:after="0"/>
        <w:rPr>
          <w:bCs/>
        </w:rPr>
      </w:pPr>
    </w:p>
    <w:p w:rsidR="00B919B0" w:rsidRPr="00B919B0" w:rsidRDefault="00B919B0" w:rsidP="00571124">
      <w:pPr>
        <w:spacing w:before="0" w:after="0"/>
        <w:rPr>
          <w:bCs/>
        </w:rPr>
      </w:pPr>
      <w:r>
        <w:rPr>
          <w:bCs/>
        </w:rPr>
        <w:t>Στις ωοθήκες, το συστατικό FSH της HMG επάγει αύξηση του αριθμού των αναπτυσσόμενων ωοθυλακίων και διεγείρει την ανάπτυξή τους. Η FSH αυξάνει την παραγωγή οιστραδιόλης στα κοκκώδη κύτταρα μέσω της αρωματοποίησης ανδρογόνων που προέρχονται από τα κύτταρα της θήκης υπό την επίδραση του συστατικού LH. </w:t>
      </w:r>
    </w:p>
    <w:p w:rsidR="00B919B0" w:rsidRPr="00B919B0" w:rsidRDefault="00B919B0" w:rsidP="00571124">
      <w:pPr>
        <w:spacing w:before="0" w:after="0"/>
        <w:rPr>
          <w:b/>
          <w:lang w:val="de-DE" w:eastAsia="de-DE"/>
        </w:rPr>
      </w:pPr>
    </w:p>
    <w:p w:rsidR="00B919B0" w:rsidRPr="00B919B0" w:rsidRDefault="00571124" w:rsidP="006068DE">
      <w:pPr>
        <w:pStyle w:val="Heading2"/>
        <w:numPr>
          <w:ilvl w:val="0"/>
          <w:numId w:val="0"/>
        </w:numPr>
        <w:ind w:left="720" w:hanging="720"/>
      </w:pPr>
      <w:r>
        <w:t>5.2</w:t>
      </w:r>
      <w:r>
        <w:tab/>
        <w:t>Φαρμακοκινητικές ιδιότητες</w:t>
      </w:r>
    </w:p>
    <w:p w:rsidR="00B919B0" w:rsidRPr="00B919B0" w:rsidRDefault="00B919B0" w:rsidP="00571124">
      <w:pPr>
        <w:spacing w:before="0" w:after="0"/>
        <w:rPr>
          <w:bCs/>
        </w:rPr>
      </w:pPr>
      <w:r>
        <w:rPr>
          <w:bCs/>
        </w:rPr>
        <w:t xml:space="preserve">Η βιολογική αποτελεσματικότητα της εμμηνοτροπίνης οφείλεται κυρίως στην περιεχόμενη FSH. Η φαρμακοκινητική της εμμηνοτροπίνης μετά από ενδομυϊκή ή υποδόρια χορήγηση παρουσιάζει μεγάλη μεταβλητότητα από άτομο σε άτομο. Σύμφωνα με τα δεδομένα που συλλέχθηκαν από τις μελέτες που διεξήχθησαν με εμμηνοτροπίνη, έπειτα από εφάπαξ ένεση 300 IU, το ανώτατο επίπεδο της FSH στον ορό επιτεύχθηκε περίπου 19 ώρες μετά από την ενδομυϊκή ένεση και 22 ώρες μετά από την υποδόρια ένεση. Η μέγιστη συγκέντρωση FSH έφτασε τις 6,5 ± 2,1 IU/L με AUC0-t ίσο με 438,0 ± 124,0 IUxh/L έπειτα από ενδομυϊκή χορήγηση. Έπειτα από υποδόρια χορήγηση, η Cmax έφτασε τις 7,5 ± 2,8 IU/L με AUC0-t ίσο με 485,0 ± 93,5 IUxh/L. </w:t>
      </w:r>
    </w:p>
    <w:p w:rsidR="00B919B0" w:rsidRPr="00B919B0" w:rsidRDefault="00B919B0" w:rsidP="00571124">
      <w:pPr>
        <w:spacing w:before="0" w:after="0"/>
        <w:rPr>
          <w:bCs/>
        </w:rPr>
      </w:pPr>
      <w:r>
        <w:rPr>
          <w:bCs/>
        </w:rPr>
        <w:t>Τα επίπεδα AUC και Cmax για την LH αποδείχθηκαν σημαντικά χαμηλότερα στην ομάδα υποδόριας χορήγησης συγκριτικά με την ομάδα ενδομυϊκής χορήγησης. Αυτό το αποτέλεσμα μπορεί να οφείλεται στα πολύ χαμηλά επίπεδα που ανιχνεύθηκαν (κοντά ή κάτω από τα όρια ανίχνευσης) και στις δύο ομάδες, καθώς και στη μεγάλη μεταβλητότητα τόσο στο ίδιο άτομο όσο και μεταξύ διαφορετικών ατόμων.</w:t>
      </w:r>
    </w:p>
    <w:p w:rsidR="00B919B0" w:rsidRPr="00B919B0" w:rsidRDefault="00B919B0" w:rsidP="00571124">
      <w:pPr>
        <w:autoSpaceDE w:val="0"/>
        <w:autoSpaceDN w:val="0"/>
        <w:adjustRightInd w:val="0"/>
        <w:spacing w:before="0" w:after="0"/>
        <w:rPr>
          <w:bCs/>
        </w:rPr>
      </w:pPr>
      <w:r>
        <w:rPr>
          <w:bCs/>
        </w:rPr>
        <w:t xml:space="preserve">Έπειτα από αυτό, το επίπεδο στον ορό μειώνεται και ο χρόνος ημιζωής είναι περίπου 45 ώρες ύστερα από ενδομυϊκή χορήγηση και 40 ώρες ύστερα από υποδόρια χορήγηση. </w:t>
      </w:r>
    </w:p>
    <w:p w:rsidR="00B919B0" w:rsidRPr="00B919B0" w:rsidRDefault="00B919B0" w:rsidP="00571124">
      <w:pPr>
        <w:autoSpaceDE w:val="0"/>
        <w:autoSpaceDN w:val="0"/>
        <w:adjustRightInd w:val="0"/>
        <w:spacing w:before="0" w:after="0"/>
        <w:rPr>
          <w:bCs/>
        </w:rPr>
      </w:pPr>
      <w:r>
        <w:rPr>
          <w:bCs/>
        </w:rPr>
        <w:t>Η απέκκριση της εμμηνοτροπίνης μετά από τη χορήγησή της γίνεται κυρίως μέσω της νεφρικής οδού.</w:t>
      </w:r>
    </w:p>
    <w:p w:rsidR="00B919B0" w:rsidRPr="00B919B0" w:rsidRDefault="00B919B0" w:rsidP="00571124">
      <w:pPr>
        <w:autoSpaceDE w:val="0"/>
        <w:autoSpaceDN w:val="0"/>
        <w:adjustRightInd w:val="0"/>
        <w:spacing w:before="0" w:after="0"/>
        <w:rPr>
          <w:bCs/>
        </w:rPr>
      </w:pPr>
    </w:p>
    <w:p w:rsidR="00B919B0" w:rsidRPr="00B919B0" w:rsidRDefault="00B919B0" w:rsidP="00571124">
      <w:pPr>
        <w:spacing w:before="0" w:after="0"/>
        <w:rPr>
          <w:bCs/>
        </w:rPr>
      </w:pPr>
      <w:r>
        <w:rPr>
          <w:bCs/>
        </w:rPr>
        <w:t>Δεν έχουν πραγματοποιηθεί φαρμακοκινητικές μελέτες σε ασθενείς με ηπατική ή νεφρική δυσλειτουργία.</w:t>
      </w:r>
    </w:p>
    <w:p w:rsidR="00B919B0" w:rsidRPr="00B919B0" w:rsidRDefault="00B919B0" w:rsidP="00571124">
      <w:pPr>
        <w:autoSpaceDE w:val="0"/>
        <w:autoSpaceDN w:val="0"/>
        <w:adjustRightInd w:val="0"/>
        <w:spacing w:before="0" w:after="0"/>
        <w:rPr>
          <w:b/>
          <w:bCs/>
          <w:i/>
          <w:color w:val="0000FF"/>
        </w:rPr>
      </w:pPr>
    </w:p>
    <w:p w:rsidR="00B919B0" w:rsidRPr="00B919B0" w:rsidRDefault="00571124" w:rsidP="006068DE">
      <w:pPr>
        <w:pStyle w:val="Heading2"/>
        <w:numPr>
          <w:ilvl w:val="0"/>
          <w:numId w:val="0"/>
        </w:numPr>
        <w:ind w:left="720" w:hanging="720"/>
      </w:pPr>
      <w:r>
        <w:t>5.3</w:t>
      </w:r>
      <w:r>
        <w:tab/>
        <w:t>Προκλινικά δεδομένα για την ασφάλεια</w:t>
      </w:r>
    </w:p>
    <w:p w:rsidR="00B919B0" w:rsidRPr="00B919B0" w:rsidRDefault="00B919B0" w:rsidP="00571124">
      <w:pPr>
        <w:spacing w:before="0" w:after="0"/>
        <w:rPr>
          <w:bCs/>
        </w:rPr>
      </w:pPr>
      <w:r>
        <w:rPr>
          <w:bCs/>
        </w:rPr>
        <w:t xml:space="preserve">Δεν έχουν διενεργηθεί μη κλινικές μελέτες με το </w:t>
      </w:r>
      <w:r w:rsidR="00D5467B" w:rsidRPr="00D5467B">
        <w:rPr>
          <w:bCs/>
        </w:rPr>
        <w:t>Meriofert</w:t>
      </w:r>
      <w:r>
        <w:rPr>
          <w:bCs/>
        </w:rPr>
        <w:t>.</w:t>
      </w:r>
    </w:p>
    <w:p w:rsidR="00B919B0" w:rsidRPr="00B919B0" w:rsidRDefault="00B919B0" w:rsidP="00571124">
      <w:pPr>
        <w:spacing w:before="0" w:after="0"/>
        <w:rPr>
          <w:b/>
          <w:bCs/>
          <w:i/>
          <w:color w:val="0000FF"/>
        </w:rPr>
      </w:pPr>
    </w:p>
    <w:p w:rsidR="00B919B0" w:rsidRPr="00B919B0" w:rsidRDefault="006068DE" w:rsidP="006068DE">
      <w:pPr>
        <w:pStyle w:val="Heading1"/>
        <w:numPr>
          <w:ilvl w:val="0"/>
          <w:numId w:val="0"/>
        </w:numPr>
        <w:rPr>
          <w:lang w:val="de-DE" w:eastAsia="de-DE"/>
        </w:rPr>
      </w:pPr>
      <w:r>
        <w:t>6.</w:t>
      </w:r>
      <w:r>
        <w:tab/>
        <w:t xml:space="preserve">ΦΑΡΜΑΚΕΥΤΙΚΕΣ ΠΛΗΡΟΦΟΡΙΕΣ </w:t>
      </w:r>
    </w:p>
    <w:p w:rsidR="00B919B0" w:rsidRPr="00B919B0" w:rsidRDefault="00B919B0" w:rsidP="00571124">
      <w:pPr>
        <w:spacing w:before="0" w:after="0"/>
        <w:rPr>
          <w:b/>
          <w:lang w:val="de-DE" w:eastAsia="de-DE"/>
        </w:rPr>
      </w:pPr>
    </w:p>
    <w:p w:rsidR="00B919B0" w:rsidRPr="006068DE" w:rsidRDefault="00945CF0" w:rsidP="006068DE">
      <w:pPr>
        <w:pStyle w:val="Heading2"/>
        <w:numPr>
          <w:ilvl w:val="0"/>
          <w:numId w:val="0"/>
        </w:numPr>
        <w:ind w:left="720" w:hanging="720"/>
      </w:pPr>
      <w:r>
        <w:t>6.1</w:t>
      </w:r>
      <w:r>
        <w:tab/>
        <w:t xml:space="preserve">Κατάλογος εκδόχων </w:t>
      </w:r>
    </w:p>
    <w:p w:rsidR="00B919B0" w:rsidRPr="00B919B0" w:rsidRDefault="00B919B0" w:rsidP="00945CF0">
      <w:pPr>
        <w:spacing w:before="0" w:after="0"/>
        <w:rPr>
          <w:lang w:val="de-DE" w:eastAsia="de-DE"/>
        </w:rPr>
      </w:pPr>
      <w:r>
        <w:t xml:space="preserve">Κόνις: λακτόζη μονοϋδρική </w:t>
      </w:r>
    </w:p>
    <w:p w:rsidR="00B919B0" w:rsidRPr="00B919B0" w:rsidRDefault="00B919B0" w:rsidP="00945CF0">
      <w:pPr>
        <w:spacing w:before="0" w:after="0"/>
        <w:rPr>
          <w:lang w:val="de-DE" w:eastAsia="de-DE"/>
        </w:rPr>
      </w:pPr>
      <w:r>
        <w:t>Διαλύτης: διάλυμα χλωριούχου νατρίου 0,9%</w:t>
      </w:r>
    </w:p>
    <w:p w:rsidR="00B919B0" w:rsidRPr="00B919B0" w:rsidRDefault="00B919B0" w:rsidP="00945CF0">
      <w:pPr>
        <w:spacing w:before="0" w:after="0"/>
        <w:rPr>
          <w:lang w:val="de-DE" w:eastAsia="de-DE"/>
        </w:rPr>
      </w:pPr>
    </w:p>
    <w:p w:rsidR="00B919B0" w:rsidRPr="006068DE" w:rsidRDefault="00B919B0" w:rsidP="006068DE">
      <w:pPr>
        <w:pStyle w:val="Heading2"/>
        <w:numPr>
          <w:ilvl w:val="0"/>
          <w:numId w:val="0"/>
        </w:numPr>
        <w:ind w:left="720" w:hanging="720"/>
      </w:pPr>
      <w:r>
        <w:t>6.2</w:t>
      </w:r>
      <w:r>
        <w:tab/>
        <w:t>Ασυμβατότητες</w:t>
      </w:r>
    </w:p>
    <w:p w:rsidR="00B919B0" w:rsidRPr="00B919B0" w:rsidRDefault="00B919B0" w:rsidP="00945CF0">
      <w:pPr>
        <w:spacing w:before="0" w:after="0"/>
        <w:rPr>
          <w:lang w:val="de-DE" w:eastAsia="de-DE"/>
        </w:rPr>
      </w:pPr>
      <w:r>
        <w:t>Ελλείψει μελετών σχετικά με τη συμβατότητα, το παρόν φαρμακευτικό προϊόν δεν πρέπει να αναμειγνύεται με άλλα φαρμακευτικά προϊόντα.</w:t>
      </w:r>
    </w:p>
    <w:p w:rsidR="00B919B0" w:rsidRPr="00B919B0" w:rsidRDefault="00B919B0" w:rsidP="00945CF0">
      <w:pPr>
        <w:spacing w:before="0" w:after="0"/>
      </w:pPr>
    </w:p>
    <w:p w:rsidR="00B919B0" w:rsidRPr="006068DE" w:rsidRDefault="00B919B0" w:rsidP="006068DE">
      <w:pPr>
        <w:pStyle w:val="Heading2"/>
        <w:numPr>
          <w:ilvl w:val="0"/>
          <w:numId w:val="0"/>
        </w:numPr>
        <w:ind w:left="720" w:hanging="720"/>
      </w:pPr>
      <w:r>
        <w:t>6.3</w:t>
      </w:r>
      <w:r>
        <w:tab/>
        <w:t>Διάρκεια ζωής</w:t>
      </w:r>
    </w:p>
    <w:p w:rsidR="00B919B0" w:rsidRPr="00B919B0" w:rsidRDefault="00B919B0" w:rsidP="00945CF0">
      <w:pPr>
        <w:spacing w:before="0" w:after="0"/>
        <w:rPr>
          <w:lang w:val="de-DE" w:eastAsia="de-DE"/>
        </w:rPr>
      </w:pPr>
      <w:r>
        <w:t>2 χρόνια.</w:t>
      </w:r>
    </w:p>
    <w:p w:rsidR="00B919B0" w:rsidRPr="00B919B0" w:rsidRDefault="00B919B0" w:rsidP="00945CF0">
      <w:pPr>
        <w:spacing w:before="0" w:after="0"/>
        <w:rPr>
          <w:lang w:val="de-DE" w:eastAsia="de-DE"/>
        </w:rPr>
      </w:pPr>
      <w:r>
        <w:t>Μετά την ανασύσταση, συνιστάται να χρησιμοποιηθεί αμέσως.</w:t>
      </w:r>
    </w:p>
    <w:p w:rsidR="00B919B0" w:rsidRPr="00B919B0" w:rsidRDefault="00B919B0" w:rsidP="00945CF0">
      <w:pPr>
        <w:spacing w:before="0" w:after="0"/>
        <w:rPr>
          <w:b/>
          <w:lang w:val="de-DE" w:eastAsia="de-DE"/>
        </w:rPr>
      </w:pPr>
    </w:p>
    <w:p w:rsidR="00B919B0" w:rsidRPr="006068DE" w:rsidRDefault="00B919B0" w:rsidP="006068DE">
      <w:pPr>
        <w:pStyle w:val="Heading2"/>
        <w:numPr>
          <w:ilvl w:val="0"/>
          <w:numId w:val="0"/>
        </w:numPr>
        <w:ind w:left="720" w:hanging="720"/>
      </w:pPr>
      <w:r>
        <w:t>6</w:t>
      </w:r>
      <w:r>
        <w:rPr>
          <w:bCs w:val="0"/>
        </w:rPr>
        <w:t>.4</w:t>
      </w:r>
      <w:r>
        <w:rPr>
          <w:bCs w:val="0"/>
        </w:rPr>
        <w:tab/>
        <w:t>Ιδιαίτερες προφυλάξεις κατά την φύλαξη του προϊόντος</w:t>
      </w:r>
    </w:p>
    <w:p w:rsidR="00B919B0" w:rsidRPr="00B919B0" w:rsidRDefault="00B919B0" w:rsidP="00945CF0">
      <w:pPr>
        <w:spacing w:before="0" w:after="0"/>
        <w:rPr>
          <w:lang w:val="de-DE" w:eastAsia="de-DE"/>
        </w:rPr>
      </w:pPr>
      <w:r>
        <w:t>Μη φυλάσσετε σε θερμοκρασία μεγαλύτερη των 25°C. Φυλάσσετε το φιαλίδιο και την προγεμισμένη σύριγγα διαλύτη στο εξωτερικό κουτί για να προστατεύονται από το φως.</w:t>
      </w:r>
    </w:p>
    <w:p w:rsidR="00B919B0" w:rsidRPr="00B919B0" w:rsidRDefault="00B919B0" w:rsidP="00945CF0">
      <w:pPr>
        <w:spacing w:before="0" w:after="0"/>
        <w:rPr>
          <w:b/>
          <w:lang w:val="de-DE" w:eastAsia="de-DE"/>
        </w:rPr>
      </w:pPr>
    </w:p>
    <w:p w:rsidR="00B919B0" w:rsidRPr="006068DE" w:rsidRDefault="00B919B0" w:rsidP="006068DE">
      <w:pPr>
        <w:pStyle w:val="Heading2"/>
        <w:numPr>
          <w:ilvl w:val="0"/>
          <w:numId w:val="0"/>
        </w:numPr>
        <w:ind w:left="720" w:hanging="720"/>
      </w:pPr>
      <w:r>
        <w:t>6.5</w:t>
      </w:r>
      <w:r>
        <w:tab/>
        <w:t>Φύση και συστατικά του περιέκτη</w:t>
      </w:r>
    </w:p>
    <w:p w:rsidR="00B919B0" w:rsidRPr="00B919B0" w:rsidRDefault="00B919B0" w:rsidP="00945CF0">
      <w:pPr>
        <w:spacing w:before="0" w:after="0"/>
        <w:rPr>
          <w:lang w:val="de-DE" w:eastAsia="de-DE"/>
        </w:rPr>
      </w:pPr>
      <w:r>
        <w:t xml:space="preserve">1 σετ περιέχει: Κόνις σε φιαλίδιο (από ύαλο τύπου Ι), σφραγισμένο με πώμα από καουτσούκ που συγκρατείται στη θέση του με αποσπώμενο κάλυμμα (από αλουμίνιο και έγχρωμο πλαστικό: 75 IU ανοικτό πράσινο, 150 IU σκούρο πράσινο) + 1 ml διαλύτη σε </w:t>
      </w:r>
      <w:r w:rsidR="00BC0C6A">
        <w:rPr>
          <w:lang w:val="el-GR"/>
        </w:rPr>
        <w:t>αμπούλα (</w:t>
      </w:r>
      <w:r w:rsidR="00BC0C6A">
        <w:t>από ύαλο τύπου Ι</w:t>
      </w:r>
      <w:r w:rsidR="00BC0C6A">
        <w:t xml:space="preserve"> </w:t>
      </w:r>
      <w:r w:rsidR="00BC0C6A">
        <w:rPr>
          <w:lang w:val="el-GR"/>
        </w:rPr>
        <w:t xml:space="preserve">).   </w:t>
      </w:r>
      <w:r w:rsidR="00BC0C6A">
        <w:t>Μ</w:t>
      </w:r>
      <w:r>
        <w:t>εγέθη συσκευασίας: 1, 5 και 10 σετ.</w:t>
      </w:r>
    </w:p>
    <w:p w:rsidR="00B919B0" w:rsidRPr="00B919B0" w:rsidRDefault="00B919B0" w:rsidP="00945CF0">
      <w:pPr>
        <w:spacing w:before="0" w:after="0"/>
        <w:rPr>
          <w:lang w:val="de-DE" w:eastAsia="de-DE"/>
        </w:rPr>
      </w:pPr>
      <w:r>
        <w:t>Μπορεί να μη κυκλοφορούν όλες οι συσκευασίες.</w:t>
      </w:r>
    </w:p>
    <w:p w:rsidR="00B919B0" w:rsidRPr="00B919B0" w:rsidRDefault="00B919B0" w:rsidP="00B919B0">
      <w:pPr>
        <w:spacing w:before="0" w:after="0"/>
        <w:rPr>
          <w:lang w:val="de-DE" w:eastAsia="de-DE"/>
        </w:rPr>
      </w:pPr>
    </w:p>
    <w:p w:rsidR="00B919B0" w:rsidRPr="006068DE" w:rsidRDefault="00B919B0" w:rsidP="006068DE">
      <w:pPr>
        <w:pStyle w:val="Heading2"/>
        <w:numPr>
          <w:ilvl w:val="0"/>
          <w:numId w:val="0"/>
        </w:numPr>
        <w:ind w:left="720" w:hanging="720"/>
      </w:pPr>
      <w:r>
        <w:t>6.6</w:t>
      </w:r>
      <w:r>
        <w:tab/>
        <w:t>Ιδιαίτερες προφυλάξεις απόρριψης και άλλος χειρισμός</w:t>
      </w:r>
    </w:p>
    <w:p w:rsidR="00B919B0" w:rsidRPr="00B919B0" w:rsidRDefault="00B919B0" w:rsidP="00B919B0">
      <w:r>
        <w:t>Το διάλυμα πρέπει να παρασκευαστεί ακριβώς πριν από την ένεση.</w:t>
      </w:r>
    </w:p>
    <w:p w:rsidR="00B919B0" w:rsidRPr="00B919B0" w:rsidRDefault="00B919B0" w:rsidP="00B919B0">
      <w:pPr>
        <w:rPr>
          <w:u w:val="single"/>
        </w:rPr>
      </w:pPr>
      <w:r>
        <w:t>Κάθε φιαλίδιο προορίζεται για μία μόνο χρήση. Το φαρμακευτικό προϊόν πρέπει να ανασυσταθεί υπό άσηπτες συνθήκες.</w:t>
      </w:r>
    </w:p>
    <w:p w:rsidR="00B919B0" w:rsidRPr="00B919B0" w:rsidRDefault="00B919B0" w:rsidP="00B919B0">
      <w:pPr>
        <w:rPr>
          <w:strike/>
        </w:rPr>
      </w:pPr>
      <w:r>
        <w:t xml:space="preserve">Το </w:t>
      </w:r>
      <w:r w:rsidR="00D5467B" w:rsidRPr="00D5467B">
        <w:t>Meriofert</w:t>
      </w:r>
      <w:r>
        <w:t xml:space="preserve"> πρέπει να ανασυσταθεί αποκλειστικά και μόνο με τον διαλύτη που περιέχεται στη συσκευασία.</w:t>
      </w:r>
    </w:p>
    <w:p w:rsidR="00B919B0" w:rsidRPr="00B919B0" w:rsidRDefault="00B919B0" w:rsidP="00B919B0">
      <w:r>
        <w:t>Ετοιμάστε έναν καθαρό χώρο προετοιμασίας και πλύνετε τα χέρια σας πριν από την ανασύσταση του διαλύματος.</w:t>
      </w:r>
    </w:p>
    <w:p w:rsidR="00B919B0" w:rsidRPr="00B919B0" w:rsidRDefault="00B919B0" w:rsidP="00B919B0">
      <w:pPr>
        <w:spacing w:before="0" w:after="0"/>
      </w:pPr>
      <w:r>
        <w:t>Τακτοποιήστε τα παρακάτω είδη πάνω στην καθαρή επιφάνεια:</w:t>
      </w:r>
    </w:p>
    <w:p w:rsidR="00B919B0" w:rsidRPr="00B919B0" w:rsidRDefault="00B919B0" w:rsidP="00B919B0">
      <w:pPr>
        <w:numPr>
          <w:ilvl w:val="0"/>
          <w:numId w:val="16"/>
        </w:numPr>
        <w:tabs>
          <w:tab w:val="num" w:pos="1068"/>
          <w:tab w:val="num" w:pos="1211"/>
        </w:tabs>
        <w:spacing w:before="0" w:after="0"/>
        <w:ind w:left="426" w:hanging="426"/>
        <w:jc w:val="both"/>
      </w:pPr>
      <w:r>
        <w:t>δύο τολύπια βαμβακιού, εμποτισμένα με αλκοόλη (δεν παρέχονται)</w:t>
      </w:r>
    </w:p>
    <w:p w:rsidR="00B919B0" w:rsidRPr="00B919B0" w:rsidRDefault="00B919B0" w:rsidP="00D5467B">
      <w:pPr>
        <w:numPr>
          <w:ilvl w:val="0"/>
          <w:numId w:val="16"/>
        </w:numPr>
        <w:tabs>
          <w:tab w:val="num" w:pos="1068"/>
          <w:tab w:val="num" w:pos="1211"/>
        </w:tabs>
        <w:spacing w:before="0" w:after="0"/>
        <w:jc w:val="both"/>
      </w:pPr>
      <w:r>
        <w:t xml:space="preserve">ένα φιαλίδιο που περιέχει την κόνιν </w:t>
      </w:r>
      <w:r w:rsidR="00D5467B" w:rsidRPr="00D5467B">
        <w:t>Meriofert</w:t>
      </w:r>
    </w:p>
    <w:p w:rsidR="00B919B0" w:rsidRDefault="00B919B0" w:rsidP="00B919B0">
      <w:pPr>
        <w:numPr>
          <w:ilvl w:val="0"/>
          <w:numId w:val="16"/>
        </w:numPr>
        <w:tabs>
          <w:tab w:val="num" w:pos="1068"/>
          <w:tab w:val="num" w:pos="1211"/>
        </w:tabs>
        <w:spacing w:before="0" w:after="0"/>
        <w:ind w:left="426" w:hanging="426"/>
        <w:jc w:val="both"/>
      </w:pPr>
      <w:r>
        <w:t xml:space="preserve">μία </w:t>
      </w:r>
      <w:r w:rsidR="00625E64">
        <w:rPr>
          <w:lang w:val="el-GR"/>
        </w:rPr>
        <w:t>αμπούλα</w:t>
      </w:r>
      <w:r>
        <w:t xml:space="preserve"> με το</w:t>
      </w:r>
      <w:r w:rsidR="000E5140">
        <w:rPr>
          <w:lang w:val="el-GR"/>
        </w:rPr>
        <w:t>ν</w:t>
      </w:r>
      <w:r>
        <w:t xml:space="preserve"> διαλύτη</w:t>
      </w:r>
    </w:p>
    <w:p w:rsidR="00625E64" w:rsidRPr="00B919B0" w:rsidRDefault="00625E64" w:rsidP="00B919B0">
      <w:pPr>
        <w:numPr>
          <w:ilvl w:val="0"/>
          <w:numId w:val="16"/>
        </w:numPr>
        <w:tabs>
          <w:tab w:val="num" w:pos="1068"/>
          <w:tab w:val="num" w:pos="1211"/>
        </w:tabs>
        <w:spacing w:before="0" w:after="0"/>
        <w:ind w:left="426" w:hanging="426"/>
        <w:jc w:val="both"/>
      </w:pPr>
      <w:r>
        <w:rPr>
          <w:lang w:val="el-GR"/>
        </w:rPr>
        <w:t>μία σύριγγα (δεν παρέχεται)</w:t>
      </w:r>
    </w:p>
    <w:p w:rsidR="00B919B0" w:rsidRPr="00B919B0" w:rsidRDefault="00625E64" w:rsidP="00B919B0">
      <w:pPr>
        <w:numPr>
          <w:ilvl w:val="0"/>
          <w:numId w:val="16"/>
        </w:numPr>
        <w:tabs>
          <w:tab w:val="num" w:pos="1068"/>
          <w:tab w:val="num" w:pos="1211"/>
        </w:tabs>
        <w:spacing w:before="0" w:after="0"/>
        <w:ind w:left="426" w:hanging="426"/>
        <w:jc w:val="both"/>
      </w:pPr>
      <w:r>
        <w:t>μία βελόνη</w:t>
      </w:r>
      <w:r>
        <w:rPr>
          <w:lang w:val="el-GR"/>
        </w:rPr>
        <w:t xml:space="preserve"> </w:t>
      </w:r>
      <w:r w:rsidR="00B919B0">
        <w:t xml:space="preserve">για την παρασκευή της ένεσης </w:t>
      </w:r>
      <w:r>
        <w:rPr>
          <w:lang w:val="el-GR"/>
        </w:rPr>
        <w:t>(δεν παρέχεται)</w:t>
      </w:r>
    </w:p>
    <w:p w:rsidR="00B919B0" w:rsidRPr="00B919B0" w:rsidRDefault="00B919B0" w:rsidP="00B919B0">
      <w:pPr>
        <w:numPr>
          <w:ilvl w:val="0"/>
          <w:numId w:val="16"/>
        </w:numPr>
        <w:tabs>
          <w:tab w:val="num" w:pos="1068"/>
          <w:tab w:val="num" w:pos="1211"/>
        </w:tabs>
        <w:spacing w:before="0" w:after="0"/>
        <w:ind w:left="426" w:hanging="426"/>
        <w:jc w:val="both"/>
      </w:pPr>
      <w:r>
        <w:t xml:space="preserve">μία λεπτή βελόνη για την υποδόρια ένεση </w:t>
      </w:r>
      <w:r w:rsidR="00625E64">
        <w:rPr>
          <w:lang w:val="el-GR"/>
        </w:rPr>
        <w:t>(δεν παρέχεται)</w:t>
      </w:r>
    </w:p>
    <w:p w:rsidR="00B919B0" w:rsidRDefault="00B919B0" w:rsidP="00B919B0">
      <w:pPr>
        <w:tabs>
          <w:tab w:val="num" w:pos="0"/>
        </w:tabs>
        <w:rPr>
          <w:u w:val="single"/>
        </w:rPr>
      </w:pPr>
      <w:r>
        <w:rPr>
          <w:u w:val="single"/>
        </w:rPr>
        <w:t>Ανασύσταση του ενέσιμου διαλύματος</w:t>
      </w:r>
    </w:p>
    <w:p w:rsidR="00625E64" w:rsidRPr="00BF7462" w:rsidRDefault="00625E64" w:rsidP="00625E64">
      <w:pPr>
        <w:tabs>
          <w:tab w:val="num" w:pos="0"/>
        </w:tabs>
      </w:pPr>
      <w:r w:rsidRPr="00BF7462">
        <w:t>Ανοίξτε τη</w:t>
      </w:r>
      <w:r w:rsidR="00BF7462" w:rsidRPr="00BF7462">
        <w:rPr>
          <w:lang w:val="el-GR"/>
        </w:rPr>
        <w:t>ν</w:t>
      </w:r>
      <w:r w:rsidRPr="00BF7462">
        <w:t xml:space="preserve"> </w:t>
      </w:r>
      <w:r w:rsidR="00BF7462" w:rsidRPr="00BF7462">
        <w:rPr>
          <w:lang w:val="el-GR"/>
        </w:rPr>
        <w:t>αμπούλα</w:t>
      </w:r>
      <w:r w:rsidRPr="00BF7462">
        <w:t xml:space="preserve"> του διαλύτη που περιέχει το διαυγές υγρό.</w:t>
      </w:r>
    </w:p>
    <w:p w:rsidR="00625E64" w:rsidRPr="00BF7462" w:rsidRDefault="00625E64" w:rsidP="00625E64">
      <w:pPr>
        <w:tabs>
          <w:tab w:val="num" w:pos="0"/>
        </w:tabs>
      </w:pPr>
      <w:r w:rsidRPr="00BF7462">
        <w:t xml:space="preserve">Ένα έγχρωμο σήμα αναγράφεται στο άκρο της </w:t>
      </w:r>
      <w:r w:rsidR="00BF7462" w:rsidRPr="00BF7462">
        <w:rPr>
          <w:lang w:val="el-GR"/>
        </w:rPr>
        <w:t>αμπούλας</w:t>
      </w:r>
      <w:r w:rsidRPr="00BF7462">
        <w:t xml:space="preserve"> του διαλύτη:</w:t>
      </w:r>
    </w:p>
    <w:p w:rsidR="00625E64" w:rsidRPr="00BF7462" w:rsidRDefault="00625E64" w:rsidP="00625E64">
      <w:pPr>
        <w:tabs>
          <w:tab w:val="num" w:pos="0"/>
        </w:tabs>
      </w:pPr>
      <w:r w:rsidRPr="00BF7462">
        <w:t xml:space="preserve">Σε αυτό το σημείο </w:t>
      </w:r>
      <w:r w:rsidR="00BF7462" w:rsidRPr="00BF7462">
        <w:rPr>
          <w:lang w:val="el-GR"/>
        </w:rPr>
        <w:t>ο λαιμός της</w:t>
      </w:r>
      <w:r w:rsidRPr="00BF7462">
        <w:t xml:space="preserve"> αμπούλα</w:t>
      </w:r>
      <w:r w:rsidR="00BF7462" w:rsidRPr="00BF7462">
        <w:rPr>
          <w:lang w:val="el-GR"/>
        </w:rPr>
        <w:t>ς</w:t>
      </w:r>
      <w:r w:rsidRPr="00BF7462">
        <w:t xml:space="preserve"> είναι ειδικά σχεδιασμένο</w:t>
      </w:r>
      <w:r w:rsidR="00BF7462" w:rsidRPr="00BF7462">
        <w:rPr>
          <w:lang w:val="el-GR"/>
        </w:rPr>
        <w:t>ς</w:t>
      </w:r>
      <w:r w:rsidR="00BF7462" w:rsidRPr="00BF7462">
        <w:t xml:space="preserve"> για να σπάει</w:t>
      </w:r>
      <w:r w:rsidRPr="00BF7462">
        <w:t xml:space="preserve"> πιο εύκολα. Κτυπήστε ελαφρά το πάνω μέρος της αμπούλας για να αποσπάσει οποιοδήποτ</w:t>
      </w:r>
      <w:r w:rsidR="00BF7462">
        <w:t>ε υγρό που μπορεί να παραμείνει</w:t>
      </w:r>
      <w:r w:rsidRPr="00BF7462">
        <w:t xml:space="preserve"> στην κορυφή. Πιέστε σταθερά</w:t>
      </w:r>
      <w:r w:rsidRPr="00625E64">
        <w:rPr>
          <w:u w:val="single"/>
        </w:rPr>
        <w:t xml:space="preserve"> </w:t>
      </w:r>
      <w:r w:rsidRPr="00BF7462">
        <w:t xml:space="preserve">την </w:t>
      </w:r>
      <w:r w:rsidR="00BF7462">
        <w:rPr>
          <w:lang w:val="el-GR"/>
        </w:rPr>
        <w:t>αμπούλα</w:t>
      </w:r>
      <w:r w:rsidRPr="00BF7462">
        <w:t xml:space="preserve"> πάνω από το λαιμό </w:t>
      </w:r>
      <w:r w:rsidR="00BF7462">
        <w:rPr>
          <w:lang w:val="el-GR"/>
        </w:rPr>
        <w:t>για να</w:t>
      </w:r>
      <w:r w:rsidRPr="00BF7462">
        <w:t xml:space="preserve"> </w:t>
      </w:r>
      <w:r w:rsidR="00BF7462">
        <w:t xml:space="preserve">σπάσει </w:t>
      </w:r>
      <w:r w:rsidRPr="00BF7462">
        <w:t xml:space="preserve">επάνω στο χρωματιστό σημάδι. Τοποθετήστε προσεκτικά την ανοιγμένη </w:t>
      </w:r>
      <w:r w:rsidR="00BF7462">
        <w:rPr>
          <w:lang w:val="el-GR"/>
        </w:rPr>
        <w:t>αμπούλα</w:t>
      </w:r>
      <w:r w:rsidRPr="00BF7462">
        <w:t xml:space="preserve"> στο χώρο προετοιμασίας.</w:t>
      </w:r>
    </w:p>
    <w:p w:rsidR="00625E64" w:rsidRPr="00625E64" w:rsidRDefault="00625E64" w:rsidP="00625E64">
      <w:pPr>
        <w:tabs>
          <w:tab w:val="num" w:pos="0"/>
        </w:tabs>
        <w:rPr>
          <w:u w:val="single"/>
        </w:rPr>
      </w:pPr>
    </w:p>
    <w:p w:rsidR="00625E64" w:rsidRPr="00BF7462" w:rsidRDefault="00625E64" w:rsidP="00625E64">
      <w:pPr>
        <w:tabs>
          <w:tab w:val="num" w:pos="0"/>
        </w:tabs>
      </w:pPr>
      <w:r w:rsidRPr="00BF7462">
        <w:t>Αποσύρετε το διαλύτη:</w:t>
      </w:r>
    </w:p>
    <w:p w:rsidR="00625E64" w:rsidRPr="00BF7462" w:rsidRDefault="00625E64" w:rsidP="00625E64">
      <w:pPr>
        <w:tabs>
          <w:tab w:val="num" w:pos="0"/>
        </w:tabs>
      </w:pPr>
      <w:r w:rsidRPr="00BF7462">
        <w:t xml:space="preserve">Προσαρμόστε τη βελόνα ανασύστασης (μεγάλη βελόνα) στη σύριγγα. Με τη σύριγγα στο ένα χέρι, κρατήστε </w:t>
      </w:r>
      <w:r w:rsidR="00BF7462" w:rsidRPr="00BF7462">
        <w:rPr>
          <w:lang w:val="el-GR"/>
        </w:rPr>
        <w:t>την</w:t>
      </w:r>
      <w:r w:rsidRPr="00BF7462">
        <w:t xml:space="preserve"> ανοιγμένη </w:t>
      </w:r>
      <w:r w:rsidR="00BF7462" w:rsidRPr="00BF7462">
        <w:rPr>
          <w:lang w:val="el-GR"/>
        </w:rPr>
        <w:t>αμπούλα</w:t>
      </w:r>
      <w:r w:rsidRPr="00BF7462">
        <w:t xml:space="preserve"> διαλύτ</w:t>
      </w:r>
      <w:r w:rsidR="00BF7462" w:rsidRPr="00BF7462">
        <w:t>η, τοποθετήστε τη βελόνα σε αυτ</w:t>
      </w:r>
      <w:r w:rsidR="00BF7462" w:rsidRPr="00BF7462">
        <w:rPr>
          <w:lang w:val="el-GR"/>
        </w:rPr>
        <w:t>ή</w:t>
      </w:r>
      <w:r w:rsidR="00BF7462" w:rsidRPr="00BF7462">
        <w:t xml:space="preserve"> και </w:t>
      </w:r>
      <w:r w:rsidRPr="00BF7462">
        <w:t xml:space="preserve"> αποσύρε</w:t>
      </w:r>
      <w:r w:rsidR="00BF7462" w:rsidRPr="00BF7462">
        <w:rPr>
          <w:lang w:val="el-GR"/>
        </w:rPr>
        <w:t>τε</w:t>
      </w:r>
      <w:r w:rsidRPr="00BF7462">
        <w:t xml:space="preserve"> όλο το διαλύτη.</w:t>
      </w:r>
    </w:p>
    <w:p w:rsidR="00625E64" w:rsidRPr="000145D4" w:rsidRDefault="00625E64" w:rsidP="00625E64">
      <w:pPr>
        <w:tabs>
          <w:tab w:val="num" w:pos="0"/>
        </w:tabs>
      </w:pPr>
      <w:r w:rsidRPr="000145D4">
        <w:t>Τοποθετήστε τη σύρ</w:t>
      </w:r>
      <w:r w:rsidR="000145D4" w:rsidRPr="000145D4">
        <w:t>ιγγα πολύ προσεκτικά σ</w:t>
      </w:r>
      <w:r w:rsidRPr="000145D4">
        <w:t>το χώρο προετοιμασίας και αποφεύγετε να αγγίζετε τη βελόνα.</w:t>
      </w:r>
    </w:p>
    <w:p w:rsidR="00625E64" w:rsidRDefault="00625E64" w:rsidP="00B919B0">
      <w:pPr>
        <w:tabs>
          <w:tab w:val="num" w:pos="0"/>
        </w:tabs>
        <w:rPr>
          <w:u w:val="single"/>
        </w:rPr>
      </w:pPr>
      <w:bookmarkStart w:id="0" w:name="_GoBack"/>
      <w:bookmarkEnd w:id="0"/>
    </w:p>
    <w:p w:rsidR="00B919B0" w:rsidRPr="00B919B0" w:rsidRDefault="00B919B0" w:rsidP="00B919B0">
      <w:pPr>
        <w:tabs>
          <w:tab w:val="num" w:pos="0"/>
        </w:tabs>
        <w:jc w:val="both"/>
      </w:pPr>
      <w:r w:rsidRPr="00625E64">
        <w:rPr>
          <w:u w:val="single"/>
        </w:rPr>
        <w:t>Παρασκευάστε το ενέσιμο διάλυμα</w:t>
      </w:r>
      <w:r>
        <w:t>:</w:t>
      </w:r>
    </w:p>
    <w:p w:rsidR="00B919B0" w:rsidRPr="00B919B0" w:rsidRDefault="00B919B0" w:rsidP="00D5467B">
      <w:pPr>
        <w:numPr>
          <w:ilvl w:val="0"/>
          <w:numId w:val="21"/>
        </w:numPr>
        <w:spacing w:before="0" w:after="0"/>
        <w:contextualSpacing/>
        <w:jc w:val="both"/>
      </w:pPr>
      <w:r>
        <w:t xml:space="preserve">Αφαιρέστε το κάλυμμα αλουμινίου από το φιαλίδιο που περιέχει την κόνιν </w:t>
      </w:r>
      <w:r w:rsidR="00D5467B" w:rsidRPr="00D5467B">
        <w:t>Meriofert</w:t>
      </w:r>
      <w:r>
        <w:t xml:space="preserve"> και απολυμάνετε το ελαστικό τμήμα του πώματος με ένα τολύπιο βαμβακιού εμποτισμένο με αλκοόλη</w:t>
      </w:r>
    </w:p>
    <w:p w:rsidR="00B919B0" w:rsidRPr="00B919B0" w:rsidRDefault="00B919B0" w:rsidP="00453EC2">
      <w:pPr>
        <w:numPr>
          <w:ilvl w:val="0"/>
          <w:numId w:val="21"/>
        </w:numPr>
        <w:spacing w:before="0" w:after="0"/>
        <w:contextualSpacing/>
        <w:jc w:val="both"/>
      </w:pPr>
      <w:r>
        <w:t>Πάρτε τη σύριγγα και εγχύστε αργά το διαλύτη μέσα στο φιαλίδιο της κόνεως διαμέσου του πώματος από καουτσούκ.</w:t>
      </w:r>
    </w:p>
    <w:p w:rsidR="00B919B0" w:rsidRPr="00B919B0" w:rsidRDefault="00B919B0" w:rsidP="00453EC2">
      <w:pPr>
        <w:numPr>
          <w:ilvl w:val="0"/>
          <w:numId w:val="21"/>
        </w:numPr>
        <w:spacing w:before="0" w:after="0"/>
        <w:contextualSpacing/>
        <w:jc w:val="both"/>
      </w:pPr>
      <w:r>
        <w:t>Κυλήστε αργά το φιαλίδιο ανάμεσα στα χέρια σας μέχρι να διαλυθεί εντελώς η κόνις, φροντίζοντας ώστε να μη σχηματιστεί αφρός.</w:t>
      </w:r>
    </w:p>
    <w:p w:rsidR="00B919B0" w:rsidRPr="00B919B0" w:rsidRDefault="00B919B0" w:rsidP="00453EC2">
      <w:pPr>
        <w:numPr>
          <w:ilvl w:val="0"/>
          <w:numId w:val="21"/>
        </w:numPr>
        <w:spacing w:before="0" w:after="0"/>
        <w:contextualSpacing/>
        <w:jc w:val="both"/>
      </w:pPr>
      <w:r>
        <w:t>Αφού διαλυθεί η κόνις (κάτι που κατά κανόνα συμβαίνει αμέσως), αναρροφήστε αργά το διάλυμα στη σύριγγα.</w:t>
      </w:r>
    </w:p>
    <w:p w:rsidR="00B919B0" w:rsidRPr="008B2E04" w:rsidRDefault="00B919B0" w:rsidP="00B919B0">
      <w:pPr>
        <w:tabs>
          <w:tab w:val="num" w:pos="0"/>
        </w:tabs>
        <w:jc w:val="both"/>
        <w:rPr>
          <w:lang w:val="el-GR"/>
        </w:rPr>
      </w:pPr>
      <w:r>
        <w:t xml:space="preserve">Εάν πραγματοποιείτε ανασύσταση περισσότερων του ενός φιαλιδίων </w:t>
      </w:r>
      <w:r w:rsidR="00D5467B" w:rsidRPr="00D5467B">
        <w:t>Meriofert</w:t>
      </w:r>
      <w:r>
        <w:t>, αναρροφήστε ξανά το ανασυσταθέν περιεχόμενο του πρώτου φιαλιδίου μέσα στη σύριγγα και εγχύστε το αργά σε ένα δεύτερο φιαλίδιο, αφού επαναλάβετε τα βήματα 1 έως 4.</w:t>
      </w:r>
    </w:p>
    <w:p w:rsidR="00B919B0" w:rsidRPr="00B919B0" w:rsidRDefault="00B919B0" w:rsidP="00B919B0">
      <w:pPr>
        <w:tabs>
          <w:tab w:val="num" w:pos="0"/>
        </w:tabs>
        <w:jc w:val="both"/>
        <w:rPr>
          <w:bCs/>
        </w:rPr>
      </w:pPr>
      <w:r>
        <w:rPr>
          <w:bCs/>
        </w:rPr>
        <w:t>Εάν χρησιμοποιηθούν πολλαπλά φιαλίδια κόνεως, η ποσότητα εμμηνοτροπίνης</w:t>
      </w:r>
      <w:r>
        <w:rPr>
          <w:b/>
          <w:bCs/>
          <w:i/>
          <w:color w:val="0000FF"/>
        </w:rPr>
        <w:t xml:space="preserve"> </w:t>
      </w:r>
      <w:r>
        <w:rPr>
          <w:bCs/>
        </w:rPr>
        <w:t>που θα περιέχεται σε 1 ml ανασυσταθέντος διαλύματος θα είναι η εξής:</w:t>
      </w:r>
    </w:p>
    <w:p w:rsidR="00B919B0" w:rsidRPr="00B919B0" w:rsidRDefault="00B919B0" w:rsidP="00B919B0">
      <w:pPr>
        <w:tabs>
          <w:tab w:val="num" w:pos="0"/>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B919B0" w:rsidRPr="00B919B0" w:rsidTr="00C978ED">
        <w:tc>
          <w:tcPr>
            <w:tcW w:w="4390" w:type="dxa"/>
            <w:gridSpan w:val="2"/>
            <w:shd w:val="clear" w:color="auto" w:fill="auto"/>
          </w:tcPr>
          <w:p w:rsidR="00B919B0" w:rsidRPr="00B919B0" w:rsidRDefault="00B919B0" w:rsidP="00BB0637">
            <w:pPr>
              <w:tabs>
                <w:tab w:val="num" w:pos="0"/>
              </w:tabs>
              <w:spacing w:before="0" w:after="0"/>
              <w:rPr>
                <w:b/>
                <w:bCs/>
              </w:rPr>
            </w:pPr>
            <w:r>
              <w:rPr>
                <w:bCs/>
              </w:rPr>
              <w:br w:type="page"/>
            </w:r>
            <w:r w:rsidR="00D5467B" w:rsidRPr="00D5467B">
              <w:rPr>
                <w:b/>
              </w:rPr>
              <w:t>Meriofert</w:t>
            </w:r>
            <w:r>
              <w:rPr>
                <w:b/>
                <w:bCs/>
              </w:rPr>
              <w:t xml:space="preserve"> 75 IU κόνις και διαλύτης για ενέσιμο διάλυμα </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Αριθμός χρησιμοποιούμενων φιαλιδίων</w:t>
            </w:r>
          </w:p>
        </w:tc>
        <w:tc>
          <w:tcPr>
            <w:tcW w:w="2977" w:type="dxa"/>
            <w:shd w:val="clear" w:color="auto" w:fill="auto"/>
          </w:tcPr>
          <w:p w:rsidR="00B919B0" w:rsidRPr="00B919B0" w:rsidRDefault="00B919B0" w:rsidP="00456DAB">
            <w:pPr>
              <w:tabs>
                <w:tab w:val="num" w:pos="0"/>
              </w:tabs>
              <w:spacing w:before="0" w:after="0"/>
              <w:rPr>
                <w:bCs/>
              </w:rPr>
            </w:pPr>
            <w:r>
              <w:rPr>
                <w:bCs/>
              </w:rPr>
              <w:t>Συνολική ποσότητα εμμηνοτροπίνης σε 1 ml διαλύματος</w:t>
            </w:r>
          </w:p>
        </w:tc>
      </w:tr>
      <w:tr w:rsidR="00B919B0" w:rsidRPr="00B919B0" w:rsidTr="00C978ED">
        <w:trPr>
          <w:trHeight w:val="302"/>
        </w:trPr>
        <w:tc>
          <w:tcPr>
            <w:tcW w:w="1413" w:type="dxa"/>
            <w:shd w:val="clear" w:color="auto" w:fill="auto"/>
          </w:tcPr>
          <w:p w:rsidR="00B919B0" w:rsidRPr="00B919B0" w:rsidRDefault="00B919B0" w:rsidP="00B919B0">
            <w:pPr>
              <w:tabs>
                <w:tab w:val="num" w:pos="0"/>
              </w:tabs>
              <w:spacing w:before="0" w:after="0"/>
              <w:rPr>
                <w:bCs/>
              </w:rPr>
            </w:pPr>
            <w:r>
              <w:rPr>
                <w:bCs/>
              </w:rPr>
              <w:t>1</w:t>
            </w:r>
          </w:p>
        </w:tc>
        <w:tc>
          <w:tcPr>
            <w:tcW w:w="2977" w:type="dxa"/>
            <w:shd w:val="clear" w:color="auto" w:fill="auto"/>
          </w:tcPr>
          <w:p w:rsidR="00B919B0" w:rsidRPr="00B919B0" w:rsidRDefault="00B919B0" w:rsidP="00B919B0">
            <w:pPr>
              <w:tabs>
                <w:tab w:val="num" w:pos="0"/>
              </w:tabs>
              <w:spacing w:before="0" w:after="0"/>
              <w:rPr>
                <w:bCs/>
              </w:rPr>
            </w:pPr>
            <w:r>
              <w:rPr>
                <w:bCs/>
              </w:rPr>
              <w:t>75 IU</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2</w:t>
            </w:r>
          </w:p>
        </w:tc>
        <w:tc>
          <w:tcPr>
            <w:tcW w:w="2977" w:type="dxa"/>
            <w:shd w:val="clear" w:color="auto" w:fill="auto"/>
          </w:tcPr>
          <w:p w:rsidR="00B919B0" w:rsidRPr="00B919B0" w:rsidRDefault="00B919B0" w:rsidP="00B919B0">
            <w:pPr>
              <w:tabs>
                <w:tab w:val="num" w:pos="0"/>
              </w:tabs>
              <w:spacing w:before="0" w:after="0"/>
              <w:rPr>
                <w:bCs/>
              </w:rPr>
            </w:pPr>
            <w:r>
              <w:rPr>
                <w:bCs/>
              </w:rPr>
              <w:t>150 IU</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3</w:t>
            </w:r>
          </w:p>
        </w:tc>
        <w:tc>
          <w:tcPr>
            <w:tcW w:w="2977" w:type="dxa"/>
            <w:shd w:val="clear" w:color="auto" w:fill="auto"/>
          </w:tcPr>
          <w:p w:rsidR="00B919B0" w:rsidRPr="00B919B0" w:rsidRDefault="00B919B0" w:rsidP="00B919B0">
            <w:pPr>
              <w:tabs>
                <w:tab w:val="num" w:pos="0"/>
              </w:tabs>
              <w:spacing w:before="0" w:after="0"/>
              <w:rPr>
                <w:bCs/>
              </w:rPr>
            </w:pPr>
            <w:r>
              <w:rPr>
                <w:bCs/>
              </w:rPr>
              <w:t>225 IU</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4</w:t>
            </w:r>
          </w:p>
        </w:tc>
        <w:tc>
          <w:tcPr>
            <w:tcW w:w="2977" w:type="dxa"/>
            <w:shd w:val="clear" w:color="auto" w:fill="auto"/>
          </w:tcPr>
          <w:p w:rsidR="00B919B0" w:rsidRPr="00B919B0" w:rsidRDefault="00B919B0" w:rsidP="00B919B0">
            <w:pPr>
              <w:tabs>
                <w:tab w:val="num" w:pos="0"/>
              </w:tabs>
              <w:spacing w:before="0" w:after="0"/>
              <w:rPr>
                <w:bCs/>
              </w:rPr>
            </w:pPr>
            <w:r>
              <w:rPr>
                <w:bCs/>
              </w:rPr>
              <w:t>300 IU</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5</w:t>
            </w:r>
          </w:p>
        </w:tc>
        <w:tc>
          <w:tcPr>
            <w:tcW w:w="2977" w:type="dxa"/>
            <w:shd w:val="clear" w:color="auto" w:fill="auto"/>
          </w:tcPr>
          <w:p w:rsidR="00B919B0" w:rsidRPr="00B919B0" w:rsidRDefault="00B919B0" w:rsidP="00B919B0">
            <w:pPr>
              <w:tabs>
                <w:tab w:val="num" w:pos="0"/>
              </w:tabs>
              <w:spacing w:before="0" w:after="0"/>
              <w:rPr>
                <w:bCs/>
              </w:rPr>
            </w:pPr>
            <w:r>
              <w:rPr>
                <w:bCs/>
              </w:rPr>
              <w:t>375 IU</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6</w:t>
            </w:r>
          </w:p>
        </w:tc>
        <w:tc>
          <w:tcPr>
            <w:tcW w:w="2977" w:type="dxa"/>
            <w:shd w:val="clear" w:color="auto" w:fill="auto"/>
          </w:tcPr>
          <w:p w:rsidR="00B919B0" w:rsidRPr="00B919B0" w:rsidRDefault="00B919B0" w:rsidP="00B919B0">
            <w:pPr>
              <w:tabs>
                <w:tab w:val="num" w:pos="0"/>
              </w:tabs>
              <w:spacing w:before="0" w:after="0"/>
              <w:rPr>
                <w:bCs/>
              </w:rPr>
            </w:pPr>
            <w:r>
              <w:rPr>
                <w:bCs/>
              </w:rPr>
              <w:t>450 IU</w:t>
            </w:r>
          </w:p>
        </w:tc>
      </w:tr>
    </w:tbl>
    <w:p w:rsidR="00B919B0" w:rsidRPr="00B919B0" w:rsidRDefault="00B919B0" w:rsidP="00B919B0">
      <w:pPr>
        <w:tabs>
          <w:tab w:val="num" w:pos="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B919B0" w:rsidRPr="00B919B0" w:rsidTr="00C978ED">
        <w:tc>
          <w:tcPr>
            <w:tcW w:w="4390" w:type="dxa"/>
            <w:gridSpan w:val="2"/>
            <w:shd w:val="clear" w:color="auto" w:fill="auto"/>
          </w:tcPr>
          <w:p w:rsidR="00B919B0" w:rsidRPr="00B919B0" w:rsidRDefault="00D5467B" w:rsidP="00BB0637">
            <w:pPr>
              <w:tabs>
                <w:tab w:val="num" w:pos="0"/>
              </w:tabs>
              <w:spacing w:before="0" w:after="0"/>
              <w:rPr>
                <w:b/>
                <w:bCs/>
              </w:rPr>
            </w:pPr>
            <w:r w:rsidRPr="00D5467B">
              <w:rPr>
                <w:b/>
              </w:rPr>
              <w:t>Meriofert</w:t>
            </w:r>
            <w:r w:rsidR="00B919B0">
              <w:rPr>
                <w:b/>
                <w:bCs/>
              </w:rPr>
              <w:t xml:space="preserve"> 150 IU κόνις και διαλύτης για ενέσιμο διάλυμα </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Αριθμός χρησιμοποιούμενων φιαλιδίων</w:t>
            </w:r>
          </w:p>
        </w:tc>
        <w:tc>
          <w:tcPr>
            <w:tcW w:w="2977" w:type="dxa"/>
            <w:shd w:val="clear" w:color="auto" w:fill="auto"/>
          </w:tcPr>
          <w:p w:rsidR="00B919B0" w:rsidRPr="00B919B0" w:rsidRDefault="00B919B0" w:rsidP="00456DAB">
            <w:pPr>
              <w:tabs>
                <w:tab w:val="num" w:pos="0"/>
              </w:tabs>
              <w:spacing w:before="0" w:after="0"/>
              <w:rPr>
                <w:bCs/>
              </w:rPr>
            </w:pPr>
            <w:r>
              <w:rPr>
                <w:bCs/>
              </w:rPr>
              <w:t>Συνολική ποσότητα εμμηνοτροπίνης σε 1 ml διαλύματος</w:t>
            </w:r>
          </w:p>
        </w:tc>
      </w:tr>
      <w:tr w:rsidR="00B919B0" w:rsidRPr="00B919B0" w:rsidTr="00C978ED">
        <w:trPr>
          <w:trHeight w:val="302"/>
        </w:trPr>
        <w:tc>
          <w:tcPr>
            <w:tcW w:w="1413" w:type="dxa"/>
            <w:shd w:val="clear" w:color="auto" w:fill="auto"/>
          </w:tcPr>
          <w:p w:rsidR="00B919B0" w:rsidRPr="00B919B0" w:rsidRDefault="00B919B0" w:rsidP="00B919B0">
            <w:pPr>
              <w:tabs>
                <w:tab w:val="num" w:pos="0"/>
              </w:tabs>
              <w:spacing w:before="0" w:after="0"/>
              <w:rPr>
                <w:bCs/>
              </w:rPr>
            </w:pPr>
            <w:r>
              <w:rPr>
                <w:bCs/>
              </w:rPr>
              <w:t>1</w:t>
            </w:r>
          </w:p>
        </w:tc>
        <w:tc>
          <w:tcPr>
            <w:tcW w:w="2977" w:type="dxa"/>
            <w:shd w:val="clear" w:color="auto" w:fill="auto"/>
          </w:tcPr>
          <w:p w:rsidR="00B919B0" w:rsidRPr="00B919B0" w:rsidRDefault="00B919B0" w:rsidP="00B919B0">
            <w:pPr>
              <w:tabs>
                <w:tab w:val="num" w:pos="0"/>
              </w:tabs>
              <w:spacing w:before="0" w:after="0"/>
              <w:rPr>
                <w:bCs/>
              </w:rPr>
            </w:pPr>
            <w:r>
              <w:rPr>
                <w:bCs/>
              </w:rPr>
              <w:t>150 IU</w:t>
            </w:r>
          </w:p>
        </w:tc>
      </w:tr>
      <w:tr w:rsidR="00B919B0" w:rsidRPr="00B919B0" w:rsidTr="00C978ED">
        <w:tc>
          <w:tcPr>
            <w:tcW w:w="1413" w:type="dxa"/>
            <w:shd w:val="clear" w:color="auto" w:fill="auto"/>
          </w:tcPr>
          <w:p w:rsidR="00B919B0" w:rsidRPr="00B919B0" w:rsidRDefault="00B919B0" w:rsidP="00B919B0">
            <w:pPr>
              <w:tabs>
                <w:tab w:val="num" w:pos="0"/>
              </w:tabs>
              <w:spacing w:before="0" w:after="0"/>
              <w:rPr>
                <w:bCs/>
              </w:rPr>
            </w:pPr>
            <w:r>
              <w:rPr>
                <w:bCs/>
              </w:rPr>
              <w:t>2</w:t>
            </w:r>
          </w:p>
        </w:tc>
        <w:tc>
          <w:tcPr>
            <w:tcW w:w="2977" w:type="dxa"/>
            <w:shd w:val="clear" w:color="auto" w:fill="auto"/>
          </w:tcPr>
          <w:p w:rsidR="00B919B0" w:rsidRPr="00B919B0" w:rsidRDefault="00B919B0" w:rsidP="00B919B0">
            <w:pPr>
              <w:tabs>
                <w:tab w:val="num" w:pos="0"/>
              </w:tabs>
              <w:spacing w:before="0" w:after="0"/>
              <w:rPr>
                <w:bCs/>
              </w:rPr>
            </w:pPr>
            <w:r>
              <w:rPr>
                <w:bCs/>
              </w:rPr>
              <w:t>300 IU</w:t>
            </w:r>
          </w:p>
        </w:tc>
      </w:tr>
      <w:tr w:rsidR="00B919B0" w:rsidRPr="00B919B0" w:rsidTr="00C978ED">
        <w:tc>
          <w:tcPr>
            <w:tcW w:w="1413" w:type="dxa"/>
            <w:tcBorders>
              <w:bottom w:val="single" w:sz="4" w:space="0" w:color="auto"/>
            </w:tcBorders>
            <w:shd w:val="clear" w:color="auto" w:fill="auto"/>
          </w:tcPr>
          <w:p w:rsidR="00B919B0" w:rsidRPr="00B919B0" w:rsidRDefault="00B919B0" w:rsidP="00B919B0">
            <w:pPr>
              <w:tabs>
                <w:tab w:val="num" w:pos="0"/>
              </w:tabs>
              <w:spacing w:before="0" w:after="0"/>
              <w:rPr>
                <w:bCs/>
              </w:rPr>
            </w:pPr>
            <w:r>
              <w:rPr>
                <w:bCs/>
              </w:rPr>
              <w:t>3</w:t>
            </w:r>
          </w:p>
        </w:tc>
        <w:tc>
          <w:tcPr>
            <w:tcW w:w="2977" w:type="dxa"/>
            <w:tcBorders>
              <w:bottom w:val="single" w:sz="4" w:space="0" w:color="auto"/>
            </w:tcBorders>
            <w:shd w:val="clear" w:color="auto" w:fill="auto"/>
          </w:tcPr>
          <w:p w:rsidR="00B919B0" w:rsidRPr="00B919B0" w:rsidRDefault="00B919B0" w:rsidP="00B919B0">
            <w:pPr>
              <w:tabs>
                <w:tab w:val="num" w:pos="0"/>
              </w:tabs>
              <w:spacing w:before="0" w:after="0"/>
              <w:rPr>
                <w:bCs/>
              </w:rPr>
            </w:pPr>
            <w:r>
              <w:rPr>
                <w:bCs/>
              </w:rPr>
              <w:t>450 IU</w:t>
            </w:r>
          </w:p>
        </w:tc>
      </w:tr>
    </w:tbl>
    <w:p w:rsidR="00B919B0" w:rsidRPr="00B919B0" w:rsidRDefault="00B919B0" w:rsidP="00B919B0">
      <w:pPr>
        <w:tabs>
          <w:tab w:val="num" w:pos="0"/>
        </w:tabs>
        <w:jc w:val="both"/>
        <w:rPr>
          <w:bCs/>
        </w:rPr>
      </w:pPr>
    </w:p>
    <w:p w:rsidR="00B919B0" w:rsidRPr="00B919B0" w:rsidRDefault="00B919B0" w:rsidP="00B919B0">
      <w:pPr>
        <w:tabs>
          <w:tab w:val="num" w:pos="0"/>
        </w:tabs>
        <w:jc w:val="both"/>
        <w:rPr>
          <w:bCs/>
        </w:rPr>
      </w:pPr>
      <w:r>
        <w:rPr>
          <w:bCs/>
        </w:rPr>
        <w:t>Το διάλυμα πρέπει να είναι διαυγές και άχρωμο.</w:t>
      </w:r>
    </w:p>
    <w:p w:rsidR="00B919B0" w:rsidRPr="00B919B0" w:rsidRDefault="00B919B0" w:rsidP="00B919B0">
      <w:pPr>
        <w:tabs>
          <w:tab w:val="num" w:pos="0"/>
        </w:tabs>
        <w:jc w:val="both"/>
      </w:pPr>
      <w:r>
        <w:t>Απορρίψτε όλα τα χρησιμοποιηθέντα είδη:</w:t>
      </w:r>
    </w:p>
    <w:p w:rsidR="00B919B0" w:rsidRPr="00B919B0" w:rsidRDefault="00B919B0" w:rsidP="00B919B0">
      <w:pPr>
        <w:spacing w:before="0" w:after="0"/>
        <w:jc w:val="both"/>
      </w:pPr>
      <w:r>
        <w:t>Κάθε αχρησιμοποίητο προϊόν ή άχρηστο υλικό πρέπει να απορρίπτεται σύμφωνα με τις κατά τόπους απαιτήσεις (αφού ολοκληρωθεί η ένεση, όλες οι βελόνες και οι κενές σύριγγες θα πρέπει να απορριφθούν μέσα σε κατάλληλο δοχείο).</w:t>
      </w:r>
    </w:p>
    <w:p w:rsidR="00B919B0" w:rsidRPr="00B919B0" w:rsidRDefault="00B919B0" w:rsidP="00B919B0">
      <w:pPr>
        <w:spacing w:before="0" w:after="0"/>
      </w:pPr>
    </w:p>
    <w:p w:rsidR="00B919B0" w:rsidRPr="00B919B0" w:rsidRDefault="00B919B0" w:rsidP="00B919B0">
      <w:pPr>
        <w:spacing w:before="0" w:after="0"/>
      </w:pPr>
    </w:p>
    <w:p w:rsidR="00B919B0" w:rsidRPr="00B919B0" w:rsidRDefault="00B919B0" w:rsidP="006068DE">
      <w:pPr>
        <w:pStyle w:val="Heading1"/>
        <w:numPr>
          <w:ilvl w:val="0"/>
          <w:numId w:val="0"/>
        </w:numPr>
        <w:ind w:left="720" w:hanging="720"/>
      </w:pPr>
      <w:r>
        <w:t>7.</w:t>
      </w:r>
      <w:r>
        <w:tab/>
        <w:t>ΚΑΤΟΧΟΣ ΤΗΣ ΑΔΕΙΑΣ ΚΥΚΛΟΦΟΡΙΑΣ</w:t>
      </w:r>
    </w:p>
    <w:p w:rsidR="00B919B0" w:rsidRPr="008B2E04" w:rsidRDefault="00B919B0" w:rsidP="00B919B0">
      <w:pPr>
        <w:spacing w:before="0" w:after="0"/>
        <w:rPr>
          <w:noProof/>
          <w:lang w:val="el-GR"/>
        </w:rPr>
      </w:pPr>
      <w:r>
        <w:t>&lt;[Να συμπληρωθεί σε εθνικό επίπεδο]&gt;</w:t>
      </w:r>
    </w:p>
    <w:p w:rsidR="00B919B0" w:rsidRPr="00B919B0" w:rsidRDefault="00B919B0" w:rsidP="00B919B0">
      <w:pPr>
        <w:spacing w:before="0" w:after="0"/>
      </w:pPr>
    </w:p>
    <w:p w:rsidR="00B919B0" w:rsidRPr="00B919B0" w:rsidRDefault="00B919B0" w:rsidP="006068DE">
      <w:pPr>
        <w:pStyle w:val="Heading1"/>
        <w:numPr>
          <w:ilvl w:val="0"/>
          <w:numId w:val="0"/>
        </w:numPr>
        <w:ind w:left="720" w:hanging="720"/>
      </w:pPr>
      <w:r>
        <w:t>8.</w:t>
      </w:r>
      <w:r>
        <w:tab/>
        <w:t xml:space="preserve">ΑΡΙΘΜΟΣ(ΟΙ) ΑΔΕΙΑΣ ΚΥΚΛΟΦΟΡΙΑΣ </w:t>
      </w:r>
    </w:p>
    <w:p w:rsidR="00B919B0" w:rsidRPr="00B919B0" w:rsidRDefault="00B919B0" w:rsidP="00B919B0">
      <w:pPr>
        <w:spacing w:before="0" w:after="0"/>
      </w:pPr>
      <w:r>
        <w:t>&lt;[Να συμπληρωθεί σε εθνικό επίπεδο]&gt;</w:t>
      </w:r>
    </w:p>
    <w:p w:rsidR="00B919B0" w:rsidRPr="00B919B0" w:rsidRDefault="00B919B0" w:rsidP="00B919B0">
      <w:pPr>
        <w:spacing w:before="0" w:after="0"/>
      </w:pPr>
    </w:p>
    <w:p w:rsidR="00B919B0" w:rsidRPr="00B919B0" w:rsidRDefault="00B919B0" w:rsidP="006068DE">
      <w:pPr>
        <w:pStyle w:val="Heading1"/>
        <w:numPr>
          <w:ilvl w:val="0"/>
          <w:numId w:val="0"/>
        </w:numPr>
        <w:ind w:left="720" w:hanging="720"/>
      </w:pPr>
      <w:r>
        <w:t>9.</w:t>
      </w:r>
      <w:r>
        <w:tab/>
        <w:t>ΗΜΕΡΟΜΗΝΙΑ ΠΡΩΤΗΣ ΕΓΚΡΙΣΗΣ / ΑΝΑΝΕΩΣΗΣ ΤΗΣ ΑΔΕΙΑΣ</w:t>
      </w:r>
    </w:p>
    <w:p w:rsidR="00B919B0" w:rsidRPr="00B919B0" w:rsidRDefault="00B919B0" w:rsidP="00B919B0">
      <w:pPr>
        <w:spacing w:before="0" w:after="0"/>
      </w:pPr>
      <w:r>
        <w:t>&lt;[Να συμπληρωθεί σε εθνικό επίπεδο]&gt;</w:t>
      </w:r>
    </w:p>
    <w:p w:rsidR="00B919B0" w:rsidRPr="008B2E04" w:rsidRDefault="00B919B0" w:rsidP="00B919B0">
      <w:pPr>
        <w:spacing w:before="0" w:after="0"/>
        <w:rPr>
          <w:noProof/>
          <w:lang w:val="el-GR"/>
        </w:rPr>
      </w:pPr>
    </w:p>
    <w:p w:rsidR="00B919B0" w:rsidRPr="00B919B0" w:rsidRDefault="00B919B0" w:rsidP="006068DE">
      <w:pPr>
        <w:pStyle w:val="Heading1"/>
        <w:numPr>
          <w:ilvl w:val="0"/>
          <w:numId w:val="0"/>
        </w:numPr>
        <w:ind w:left="720" w:hanging="720"/>
      </w:pPr>
      <w:r>
        <w:t>10.</w:t>
      </w:r>
      <w:r>
        <w:tab/>
        <w:t>ΗΜΕΡΟΜΗΝΙΑ ΑΝΑΘΕΩΡΗΣΗΣ ΤΟΥ ΚΕΙΜΕΝΟΥ</w:t>
      </w:r>
    </w:p>
    <w:p w:rsidR="00987EF0" w:rsidRPr="006B572A" w:rsidRDefault="00987EF0" w:rsidP="00B919B0">
      <w:pPr>
        <w:spacing w:before="0" w:after="0"/>
      </w:pPr>
    </w:p>
    <w:sectPr w:rsidR="00987EF0" w:rsidRPr="006B572A" w:rsidSect="00571124">
      <w:headerReference w:type="default" r:id="rId10"/>
      <w:footerReference w:type="default" r:id="rId11"/>
      <w:pgSz w:w="11909" w:h="16840" w:code="9"/>
      <w:pgMar w:top="1945" w:right="1298" w:bottom="1928" w:left="1610" w:header="1225" w:footer="1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06" w:rsidRDefault="007D5D06">
      <w:r>
        <w:separator/>
      </w:r>
    </w:p>
  </w:endnote>
  <w:endnote w:type="continuationSeparator" w:id="0">
    <w:p w:rsidR="007D5D06" w:rsidRDefault="007D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24" w:rsidRDefault="00571124" w:rsidP="00571124">
    <w:pPr>
      <w:pStyle w:val="Footer"/>
      <w:pBdr>
        <w:top w:val="single" w:sz="4" w:space="1" w:color="auto"/>
      </w:pBdr>
    </w:pPr>
    <w:r>
      <w:t xml:space="preserve">Έκδ. </w:t>
    </w:r>
    <w:r>
      <w:t>2014-001</w:t>
    </w:r>
    <w:r>
      <w:tab/>
    </w:r>
    <w:r>
      <w:tab/>
    </w:r>
    <w:r w:rsidR="00F904D1">
      <w:fldChar w:fldCharType="begin"/>
    </w:r>
    <w:r>
      <w:instrText xml:space="preserve"> PAGE   \* MERGEFORMAT </w:instrText>
    </w:r>
    <w:r w:rsidR="00F904D1">
      <w:fldChar w:fldCharType="separate"/>
    </w:r>
    <w:r w:rsidR="00C978ED">
      <w:rPr>
        <w:noProof/>
      </w:rPr>
      <w:t>14</w:t>
    </w:r>
    <w:r w:rsidR="00F904D1">
      <w:fldChar w:fldCharType="end"/>
    </w:r>
  </w:p>
  <w:p w:rsidR="00571124" w:rsidRPr="00571124" w:rsidRDefault="00571124" w:rsidP="0057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06" w:rsidRDefault="007D5D06">
      <w:r>
        <w:separator/>
      </w:r>
    </w:p>
  </w:footnote>
  <w:footnote w:type="continuationSeparator" w:id="0">
    <w:p w:rsidR="007D5D06" w:rsidRDefault="007D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24" w:rsidRDefault="00D5467B" w:rsidP="00571124">
    <w:pPr>
      <w:pStyle w:val="Header"/>
      <w:pBdr>
        <w:bottom w:val="single" w:sz="4" w:space="1" w:color="auto"/>
      </w:pBdr>
    </w:pPr>
    <w:r w:rsidRPr="00D5467B">
      <w:t>Meriofert</w:t>
    </w:r>
    <w:r>
      <w:t xml:space="preserve"> </w:t>
    </w:r>
    <w:r w:rsidR="0061189C">
      <w:t>75</w:t>
    </w:r>
    <w:r w:rsidR="00571124">
      <w:t>-150</w:t>
    </w:r>
    <w:r>
      <w:t xml:space="preserve"> </w:t>
    </w:r>
    <w:r w:rsidR="00571124">
      <w:t xml:space="preserve">IU </w:t>
    </w:r>
  </w:p>
  <w:p w:rsidR="00571124" w:rsidRPr="00AF3EBC" w:rsidRDefault="00571124" w:rsidP="00571124">
    <w:pPr>
      <w:pStyle w:val="Header"/>
      <w:pBdr>
        <w:bottom w:val="single" w:sz="4" w:space="1" w:color="auto"/>
      </w:pBdr>
      <w:tabs>
        <w:tab w:val="clear" w:pos="9000"/>
        <w:tab w:val="right" w:pos="9001"/>
      </w:tabs>
    </w:pPr>
    <w:r>
      <w:t xml:space="preserve">Κόνις και διαλύτης για ενέσιμο διάλυμα </w:t>
    </w:r>
    <w:r>
      <w:tab/>
      <w:t>1.3.1</w:t>
    </w:r>
  </w:p>
  <w:p w:rsidR="00571124" w:rsidRPr="00AF4C3F" w:rsidRDefault="00571124" w:rsidP="00F919F2">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49CC6A6"/>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5950DC0A"/>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E668C6CE"/>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84E6D90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CDE1D8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44203D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EEC6308"/>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D00B9AE"/>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B75A720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D4540AC"/>
    <w:multiLevelType w:val="multilevel"/>
    <w:tmpl w:val="04090023"/>
    <w:styleLink w:val="ArticleSection1"/>
    <w:lvl w:ilvl="0">
      <w:start w:val="1"/>
      <w:numFmt w:val="upperRoman"/>
      <w:lvlText w:val="Article %1."/>
      <w:lvlJc w:val="left"/>
      <w:pPr>
        <w:tabs>
          <w:tab w:val="num" w:pos="1440"/>
        </w:tabs>
      </w:pPr>
      <w:rPr>
        <w:rFonts w:ascii="Times New Roman" w:hAnsi="Times New Roman"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1AEF6C49"/>
    <w:multiLevelType w:val="hybridMultilevel"/>
    <w:tmpl w:val="AC28307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6844859"/>
    <w:multiLevelType w:val="hybridMultilevel"/>
    <w:tmpl w:val="A34AECE6"/>
    <w:lvl w:ilvl="0" w:tplc="00B0C984">
      <w:start w:val="1"/>
      <w:numFmt w:val="decimal"/>
      <w:lvlRestart w:val="0"/>
      <w:pStyle w:val="Appendix"/>
      <w:lvlText w:val="Appendix %1"/>
      <w:lvlJc w:val="left"/>
      <w:pPr>
        <w:tabs>
          <w:tab w:val="num" w:pos="1152"/>
        </w:tabs>
      </w:pPr>
      <w:rPr>
        <w:rFonts w:ascii="TimesNewRoman" w:hAnsi="TimesNewRoman" w:cs="TimesNewRoman" w:hint="default"/>
        <w:b/>
        <w:bCs/>
        <w:i w:val="0"/>
        <w:iCs w:val="0"/>
        <w:caps w:val="0"/>
        <w:strike w:val="0"/>
        <w:dstrike w:val="0"/>
        <w:vanish w:val="0"/>
        <w:color w:val="000000"/>
        <w:sz w:val="24"/>
        <w:szCs w:val="24"/>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D3327AB"/>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F6445D0"/>
    <w:multiLevelType w:val="multilevel"/>
    <w:tmpl w:val="96F4BD86"/>
    <w:lvl w:ilvl="0">
      <w:start w:val="1"/>
      <w:numFmt w:val="decimal"/>
      <w:lvlRestart w:val="0"/>
      <w:pStyle w:val="Heading1"/>
      <w:lvlText w:val="1.3.%1"/>
      <w:lvlJc w:val="left"/>
      <w:pPr>
        <w:tabs>
          <w:tab w:val="num" w:pos="1584"/>
        </w:tabs>
        <w:ind w:left="1584" w:hanging="1584"/>
      </w:pPr>
      <w:rPr>
        <w:rFonts w:ascii="Times New Roman" w:hAnsi="Times New Roman" w:cs="Times New Roman" w:hint="default"/>
        <w:b/>
        <w:bCs/>
        <w:i w:val="0"/>
        <w:iCs w:val="0"/>
        <w:caps/>
        <w:smallCaps w:val="0"/>
        <w:strike w:val="0"/>
        <w:dstrike w:val="0"/>
        <w:vanish w:val="0"/>
        <w:color w:val="auto"/>
        <w:sz w:val="24"/>
        <w:szCs w:val="24"/>
        <w:u w:val="none"/>
        <w:vertAlign w:val="baseline"/>
      </w:rPr>
    </w:lvl>
    <w:lvl w:ilvl="1">
      <w:start w:val="1"/>
      <w:numFmt w:val="decimal"/>
      <w:pStyle w:val="Heading2"/>
      <w:lvlText w:val="1.3.%1.%2"/>
      <w:lvlJc w:val="left"/>
      <w:pPr>
        <w:tabs>
          <w:tab w:val="num" w:pos="1584"/>
        </w:tabs>
        <w:ind w:left="1584" w:hanging="1584"/>
      </w:pPr>
      <w:rPr>
        <w:rFonts w:ascii="Times New Roman" w:hAnsi="Times New Roman" w:cs="Times New Roman" w:hint="default"/>
        <w:b/>
        <w:bCs/>
        <w:i w:val="0"/>
        <w:iCs w:val="0"/>
        <w:caps/>
        <w:smallCaps w:val="0"/>
        <w:strike w:val="0"/>
        <w:dstrike w:val="0"/>
        <w:vanish w:val="0"/>
        <w:color w:val="auto"/>
        <w:sz w:val="24"/>
        <w:szCs w:val="24"/>
        <w:u w:val="none"/>
        <w:vertAlign w:val="baseline"/>
      </w:rPr>
    </w:lvl>
    <w:lvl w:ilvl="2">
      <w:start w:val="1"/>
      <w:numFmt w:val="decimal"/>
      <w:pStyle w:val="Heading3"/>
      <w:lvlText w:val="1.3.%1.%2.%3"/>
      <w:lvlJc w:val="left"/>
      <w:pPr>
        <w:tabs>
          <w:tab w:val="num" w:pos="1584"/>
        </w:tabs>
        <w:ind w:left="1584" w:hanging="1584"/>
      </w:pPr>
      <w:rPr>
        <w:rFonts w:ascii="Times New Roman" w:hAnsi="Times New Roman" w:cs="Times New Roman" w:hint="default"/>
        <w:b/>
        <w:bCs/>
        <w:i w:val="0"/>
        <w:iCs w:val="0"/>
        <w:caps w:val="0"/>
        <w:strike w:val="0"/>
        <w:dstrike w:val="0"/>
        <w:vanish w:val="0"/>
        <w:color w:val="auto"/>
        <w:sz w:val="24"/>
        <w:szCs w:val="24"/>
        <w:u w:val="none"/>
        <w:vertAlign w:val="baseline"/>
      </w:rPr>
    </w:lvl>
    <w:lvl w:ilvl="3">
      <w:start w:val="1"/>
      <w:numFmt w:val="decimal"/>
      <w:pStyle w:val="Heading4"/>
      <w:lvlText w:val="1.3.%1.%2.%3.%4"/>
      <w:lvlJc w:val="left"/>
      <w:pPr>
        <w:tabs>
          <w:tab w:val="num" w:pos="1584"/>
        </w:tabs>
        <w:ind w:left="1584" w:hanging="1584"/>
      </w:pPr>
      <w:rPr>
        <w:rFonts w:ascii="Times New Roman" w:hAnsi="Times New Roman" w:cs="Times New Roman" w:hint="default"/>
        <w:b/>
        <w:bCs/>
        <w:i/>
        <w:iCs/>
        <w:caps w:val="0"/>
        <w:strike w:val="0"/>
        <w:dstrike w:val="0"/>
        <w:vanish w:val="0"/>
        <w:color w:val="auto"/>
        <w:sz w:val="24"/>
        <w:szCs w:val="24"/>
        <w:u w:val="none"/>
        <w:vertAlign w:val="baseline"/>
      </w:rPr>
    </w:lvl>
    <w:lvl w:ilvl="4">
      <w:start w:val="1"/>
      <w:numFmt w:val="decimal"/>
      <w:pStyle w:val="Heading5"/>
      <w:lvlText w:val="1.3.%1.%2.%3.%4.%5"/>
      <w:lvlJc w:val="left"/>
      <w:pPr>
        <w:tabs>
          <w:tab w:val="num" w:pos="1584"/>
        </w:tabs>
        <w:ind w:left="1584" w:hanging="1584"/>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pStyle w:val="List1"/>
      <w:lvlText w:val="%6."/>
      <w:lvlJc w:val="left"/>
      <w:pPr>
        <w:tabs>
          <w:tab w:val="num" w:pos="1008"/>
        </w:tabs>
        <w:ind w:left="1008" w:hanging="504"/>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6">
      <w:start w:val="1"/>
      <w:numFmt w:val="lowerLetter"/>
      <w:pStyle w:val="List2"/>
      <w:lvlText w:val="%7."/>
      <w:lvlJc w:val="left"/>
      <w:pPr>
        <w:tabs>
          <w:tab w:val="num" w:pos="1512"/>
        </w:tabs>
        <w:ind w:left="1512" w:hanging="504"/>
      </w:pPr>
      <w:rPr>
        <w:rFonts w:ascii="Times New Roman" w:hAnsi="Times New Roman" w:cs="Times New Roman" w:hint="default"/>
        <w:caps w:val="0"/>
        <w:strike w:val="0"/>
        <w:dstrike w:val="0"/>
        <w:vanish w:val="0"/>
        <w:color w:val="auto"/>
        <w:u w:val="none"/>
        <w:vertAlign w:val="baseline"/>
      </w:rPr>
    </w:lvl>
    <w:lvl w:ilvl="7">
      <w:start w:val="1"/>
      <w:numFmt w:val="bullet"/>
      <w:pStyle w:val="List3"/>
      <w:lvlText w:val="●"/>
      <w:lvlJc w:val="left"/>
      <w:pPr>
        <w:tabs>
          <w:tab w:val="num" w:pos="2016"/>
        </w:tabs>
        <w:ind w:left="2016" w:hanging="504"/>
      </w:pPr>
      <w:rPr>
        <w:rFonts w:ascii="Times New Roman" w:hAnsi="Times New Roman" w:hint="default"/>
        <w:caps w:val="0"/>
        <w:strike w:val="0"/>
        <w:dstrike w:val="0"/>
        <w:vanish w:val="0"/>
        <w:color w:val="auto"/>
        <w:u w:val="none"/>
        <w:vertAlign w:val="baseline"/>
      </w:rPr>
    </w:lvl>
    <w:lvl w:ilvl="8">
      <w:start w:val="1"/>
      <w:numFmt w:val="lowerRoman"/>
      <w:lvlRestart w:val="0"/>
      <w:pStyle w:val="List4"/>
      <w:lvlText w:val="%9."/>
      <w:lvlJc w:val="left"/>
      <w:pPr>
        <w:tabs>
          <w:tab w:val="num" w:pos="2520"/>
        </w:tabs>
        <w:ind w:left="2520" w:hanging="504"/>
      </w:pPr>
      <w:rPr>
        <w:rFonts w:ascii="Times New Roman" w:hAnsi="Times New Roman" w:cs="Times New Roman" w:hint="default"/>
        <w:caps w:val="0"/>
        <w:strike w:val="0"/>
        <w:dstrike w:val="0"/>
        <w:vanish w:val="0"/>
        <w:color w:val="auto"/>
        <w:u w:val="none"/>
        <w:vertAlign w:val="baseline"/>
      </w:rPr>
    </w:lvl>
  </w:abstractNum>
  <w:abstractNum w:abstractNumId="14" w15:restartNumberingAfterBreak="0">
    <w:nsid w:val="3DDE385B"/>
    <w:multiLevelType w:val="hybridMultilevel"/>
    <w:tmpl w:val="A78641D4"/>
    <w:lvl w:ilvl="0" w:tplc="38F80212">
      <w:start w:val="1"/>
      <w:numFmt w:val="decimal"/>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5" w15:restartNumberingAfterBreak="0">
    <w:nsid w:val="43B125B7"/>
    <w:multiLevelType w:val="hybridMultilevel"/>
    <w:tmpl w:val="6DE8F7B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F460377"/>
    <w:multiLevelType w:val="hybridMultilevel"/>
    <w:tmpl w:val="22AA3416"/>
    <w:lvl w:ilvl="0" w:tplc="F1748F76">
      <w:numFmt w:val="bullet"/>
      <w:lvlText w:val="-"/>
      <w:lvlJc w:val="left"/>
      <w:pPr>
        <w:tabs>
          <w:tab w:val="num" w:pos="786"/>
        </w:tabs>
        <w:ind w:left="786" w:hanging="360"/>
      </w:pPr>
      <w:rPr>
        <w:rFonts w:ascii="Arial" w:eastAsia="Times New Roman" w:hAnsi="Arial" w:hint="default"/>
      </w:rPr>
    </w:lvl>
    <w:lvl w:ilvl="1" w:tplc="040C0003">
      <w:start w:val="1"/>
      <w:numFmt w:val="bullet"/>
      <w:lvlText w:val="o"/>
      <w:lvlJc w:val="left"/>
      <w:pPr>
        <w:tabs>
          <w:tab w:val="num" w:pos="1506"/>
        </w:tabs>
        <w:ind w:left="1506" w:hanging="360"/>
      </w:pPr>
      <w:rPr>
        <w:rFonts w:ascii="Courier New" w:hAnsi="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start w:val="1"/>
      <w:numFmt w:val="bullet"/>
      <w:lvlText w:val=""/>
      <w:lvlJc w:val="left"/>
      <w:pPr>
        <w:tabs>
          <w:tab w:val="num" w:pos="2946"/>
        </w:tabs>
        <w:ind w:left="2946" w:hanging="360"/>
      </w:pPr>
      <w:rPr>
        <w:rFonts w:ascii="Symbol" w:hAnsi="Symbol" w:hint="default"/>
      </w:rPr>
    </w:lvl>
    <w:lvl w:ilvl="4" w:tplc="040C0003">
      <w:start w:val="1"/>
      <w:numFmt w:val="bullet"/>
      <w:lvlText w:val="o"/>
      <w:lvlJc w:val="left"/>
      <w:pPr>
        <w:tabs>
          <w:tab w:val="num" w:pos="3666"/>
        </w:tabs>
        <w:ind w:left="3666" w:hanging="360"/>
      </w:pPr>
      <w:rPr>
        <w:rFonts w:ascii="Courier New" w:hAnsi="Courier New" w:hint="default"/>
      </w:rPr>
    </w:lvl>
    <w:lvl w:ilvl="5" w:tplc="040C0005">
      <w:start w:val="1"/>
      <w:numFmt w:val="bullet"/>
      <w:lvlText w:val=""/>
      <w:lvlJc w:val="left"/>
      <w:pPr>
        <w:tabs>
          <w:tab w:val="num" w:pos="4386"/>
        </w:tabs>
        <w:ind w:left="4386" w:hanging="360"/>
      </w:pPr>
      <w:rPr>
        <w:rFonts w:ascii="Wingdings" w:hAnsi="Wingdings" w:hint="default"/>
      </w:rPr>
    </w:lvl>
    <w:lvl w:ilvl="6" w:tplc="040C0001">
      <w:start w:val="1"/>
      <w:numFmt w:val="bullet"/>
      <w:lvlText w:val=""/>
      <w:lvlJc w:val="left"/>
      <w:pPr>
        <w:tabs>
          <w:tab w:val="num" w:pos="5106"/>
        </w:tabs>
        <w:ind w:left="5106" w:hanging="360"/>
      </w:pPr>
      <w:rPr>
        <w:rFonts w:ascii="Symbol" w:hAnsi="Symbol" w:hint="default"/>
      </w:rPr>
    </w:lvl>
    <w:lvl w:ilvl="7" w:tplc="040C0003">
      <w:start w:val="1"/>
      <w:numFmt w:val="bullet"/>
      <w:lvlText w:val="o"/>
      <w:lvlJc w:val="left"/>
      <w:pPr>
        <w:tabs>
          <w:tab w:val="num" w:pos="5826"/>
        </w:tabs>
        <w:ind w:left="5826" w:hanging="360"/>
      </w:pPr>
      <w:rPr>
        <w:rFonts w:ascii="Courier New" w:hAnsi="Courier New" w:hint="default"/>
      </w:rPr>
    </w:lvl>
    <w:lvl w:ilvl="8" w:tplc="040C0005">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3DA2A7A"/>
    <w:multiLevelType w:val="hybridMultilevel"/>
    <w:tmpl w:val="8B3C0DD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B2C7A97"/>
    <w:multiLevelType w:val="hybridMultilevel"/>
    <w:tmpl w:val="74CEA71C"/>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607528BC"/>
    <w:multiLevelType w:val="hybridMultilevel"/>
    <w:tmpl w:val="A088F0F6"/>
    <w:lvl w:ilvl="0" w:tplc="ABFA4B48">
      <w:start w:val="1"/>
      <w:numFmt w:val="decimal"/>
      <w:lvlText w:val="%1."/>
      <w:lvlJc w:val="left"/>
      <w:pPr>
        <w:ind w:left="1944" w:hanging="360"/>
      </w:pPr>
      <w:rPr>
        <w:rFonts w:hint="default"/>
      </w:rPr>
    </w:lvl>
    <w:lvl w:ilvl="1" w:tplc="08100019" w:tentative="1">
      <w:start w:val="1"/>
      <w:numFmt w:val="lowerLetter"/>
      <w:lvlText w:val="%2."/>
      <w:lvlJc w:val="left"/>
      <w:pPr>
        <w:ind w:left="2664" w:hanging="360"/>
      </w:pPr>
    </w:lvl>
    <w:lvl w:ilvl="2" w:tplc="0810001B" w:tentative="1">
      <w:start w:val="1"/>
      <w:numFmt w:val="lowerRoman"/>
      <w:lvlText w:val="%3."/>
      <w:lvlJc w:val="right"/>
      <w:pPr>
        <w:ind w:left="3384" w:hanging="180"/>
      </w:pPr>
    </w:lvl>
    <w:lvl w:ilvl="3" w:tplc="0810000F" w:tentative="1">
      <w:start w:val="1"/>
      <w:numFmt w:val="decimal"/>
      <w:lvlText w:val="%4."/>
      <w:lvlJc w:val="left"/>
      <w:pPr>
        <w:ind w:left="4104" w:hanging="360"/>
      </w:pPr>
    </w:lvl>
    <w:lvl w:ilvl="4" w:tplc="08100019" w:tentative="1">
      <w:start w:val="1"/>
      <w:numFmt w:val="lowerLetter"/>
      <w:lvlText w:val="%5."/>
      <w:lvlJc w:val="left"/>
      <w:pPr>
        <w:ind w:left="4824" w:hanging="360"/>
      </w:pPr>
    </w:lvl>
    <w:lvl w:ilvl="5" w:tplc="0810001B" w:tentative="1">
      <w:start w:val="1"/>
      <w:numFmt w:val="lowerRoman"/>
      <w:lvlText w:val="%6."/>
      <w:lvlJc w:val="right"/>
      <w:pPr>
        <w:ind w:left="5544" w:hanging="180"/>
      </w:pPr>
    </w:lvl>
    <w:lvl w:ilvl="6" w:tplc="0810000F" w:tentative="1">
      <w:start w:val="1"/>
      <w:numFmt w:val="decimal"/>
      <w:lvlText w:val="%7."/>
      <w:lvlJc w:val="left"/>
      <w:pPr>
        <w:ind w:left="6264" w:hanging="360"/>
      </w:pPr>
    </w:lvl>
    <w:lvl w:ilvl="7" w:tplc="08100019" w:tentative="1">
      <w:start w:val="1"/>
      <w:numFmt w:val="lowerLetter"/>
      <w:lvlText w:val="%8."/>
      <w:lvlJc w:val="left"/>
      <w:pPr>
        <w:ind w:left="6984" w:hanging="360"/>
      </w:pPr>
    </w:lvl>
    <w:lvl w:ilvl="8" w:tplc="0810001B" w:tentative="1">
      <w:start w:val="1"/>
      <w:numFmt w:val="lowerRoman"/>
      <w:lvlText w:val="%9."/>
      <w:lvlJc w:val="right"/>
      <w:pPr>
        <w:ind w:left="7704" w:hanging="180"/>
      </w:pPr>
    </w:lvl>
  </w:abstractNum>
  <w:abstractNum w:abstractNumId="20" w15:restartNumberingAfterBreak="0">
    <w:nsid w:val="66552167"/>
    <w:multiLevelType w:val="hybridMultilevel"/>
    <w:tmpl w:val="1DF8342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671A1B68"/>
    <w:multiLevelType w:val="multilevel"/>
    <w:tmpl w:val="2212863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B14606"/>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FBE6EBE"/>
    <w:multiLevelType w:val="hybridMultilevel"/>
    <w:tmpl w:val="ABF8BEAE"/>
    <w:lvl w:ilvl="0" w:tplc="F00CA140">
      <w:start w:val="1"/>
      <w:numFmt w:val="decimal"/>
      <w:lvlRestart w:val="0"/>
      <w:pStyle w:val="ListNumber5"/>
      <w:lvlText w:val="Table %1."/>
      <w:lvlJc w:val="left"/>
      <w:pPr>
        <w:tabs>
          <w:tab w:val="num" w:pos="1008"/>
        </w:tabs>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8"/>
  </w:num>
  <w:num w:numId="10">
    <w:abstractNumId w:val="11"/>
  </w:num>
  <w:num w:numId="11">
    <w:abstractNumId w:val="23"/>
  </w:num>
  <w:num w:numId="12">
    <w:abstractNumId w:val="13"/>
  </w:num>
  <w:num w:numId="13">
    <w:abstractNumId w:val="12"/>
  </w:num>
  <w:num w:numId="14">
    <w:abstractNumId w:val="22"/>
  </w:num>
  <w:num w:numId="15">
    <w:abstractNumId w:val="9"/>
  </w:num>
  <w:num w:numId="16">
    <w:abstractNumId w:val="16"/>
  </w:num>
  <w:num w:numId="17">
    <w:abstractNumId w:val="17"/>
  </w:num>
  <w:num w:numId="18">
    <w:abstractNumId w:val="21"/>
  </w:num>
  <w:num w:numId="19">
    <w:abstractNumId w:val="10"/>
  </w:num>
  <w:num w:numId="20">
    <w:abstractNumId w:val="15"/>
  </w:num>
  <w:num w:numId="21">
    <w:abstractNumId w:val="14"/>
  </w:num>
  <w:num w:numId="22">
    <w:abstractNumId w:val="19"/>
  </w:num>
  <w:num w:numId="23">
    <w:abstractNumId w:val="20"/>
  </w:num>
  <w:num w:numId="24">
    <w:abstractNumId w:val="18"/>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87"/>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DPrefix" w:val="1.3"/>
    <w:docVar w:name="CTDPrefixHead" w:val="2"/>
    <w:docVar w:name="CTDPrefixHeading" w:val="Heading 1"/>
    <w:docVar w:name="CTDPrefixTandF" w:val="2"/>
    <w:docVar w:name="CTDPrefixTandFH1" w:val="False"/>
    <w:docVar w:name="CTDPrefixTandFH2" w:val="False"/>
    <w:docVar w:name="CTDPrefixTandFH3" w:val="False"/>
    <w:docVar w:name="CurrentVersion" w:val="2.0"/>
    <w:docVar w:name="FigurePrefix" w:val="Figure 1.3.1-"/>
    <w:docVar w:name="Head1Start" w:val="1"/>
    <w:docVar w:name="Head2Start" w:val="1"/>
    <w:docVar w:name="Head3Start" w:val="1"/>
    <w:docVar w:name="Head4Start" w:val="1"/>
    <w:docVar w:name="Head5Start" w:val="1"/>
    <w:docVar w:name="InitialVersion" w:val="1.0"/>
    <w:docVar w:name="PageSize" w:val="Letter"/>
    <w:docVar w:name="ParaNo1No" w:val="0"/>
    <w:docVar w:name="ParaNo1Text" w:val="Number"/>
    <w:docVar w:name="ParaNo2No" w:val="1"/>
    <w:docVar w:name="ParaNo2Text" w:val="Alpha"/>
    <w:docVar w:name="ParaNo3No" w:val="2"/>
    <w:docVar w:name="ParaNo3Text" w:val="Bullet"/>
    <w:docVar w:name="ParaNo4No" w:val="3"/>
    <w:docVar w:name="ParaNo4Text" w:val="Roman"/>
    <w:docVar w:name="TablePrefix" w:val="Table 1.3.1-"/>
  </w:docVars>
  <w:rsids>
    <w:rsidRoot w:val="00781261"/>
    <w:rsid w:val="00000F4B"/>
    <w:rsid w:val="00002090"/>
    <w:rsid w:val="00010544"/>
    <w:rsid w:val="000145D4"/>
    <w:rsid w:val="00020CDB"/>
    <w:rsid w:val="0002218B"/>
    <w:rsid w:val="00025485"/>
    <w:rsid w:val="00032E18"/>
    <w:rsid w:val="00033501"/>
    <w:rsid w:val="0003465C"/>
    <w:rsid w:val="000346A0"/>
    <w:rsid w:val="000348B2"/>
    <w:rsid w:val="00034A88"/>
    <w:rsid w:val="0003658C"/>
    <w:rsid w:val="00041F49"/>
    <w:rsid w:val="00052B8E"/>
    <w:rsid w:val="000550AA"/>
    <w:rsid w:val="000623F8"/>
    <w:rsid w:val="000627FC"/>
    <w:rsid w:val="0006519C"/>
    <w:rsid w:val="00066B38"/>
    <w:rsid w:val="00067166"/>
    <w:rsid w:val="00071197"/>
    <w:rsid w:val="00071F11"/>
    <w:rsid w:val="00077CC8"/>
    <w:rsid w:val="00082D4B"/>
    <w:rsid w:val="00084366"/>
    <w:rsid w:val="00084D5C"/>
    <w:rsid w:val="0008673E"/>
    <w:rsid w:val="000958E5"/>
    <w:rsid w:val="00096EA3"/>
    <w:rsid w:val="000A0D06"/>
    <w:rsid w:val="000A186F"/>
    <w:rsid w:val="000A5493"/>
    <w:rsid w:val="000B0D0F"/>
    <w:rsid w:val="000C0ED8"/>
    <w:rsid w:val="000C22BE"/>
    <w:rsid w:val="000C6D8A"/>
    <w:rsid w:val="000D4B40"/>
    <w:rsid w:val="000D61F1"/>
    <w:rsid w:val="000D7322"/>
    <w:rsid w:val="000E4116"/>
    <w:rsid w:val="000E5140"/>
    <w:rsid w:val="000E5F62"/>
    <w:rsid w:val="000E7272"/>
    <w:rsid w:val="000F0C46"/>
    <w:rsid w:val="000F1A96"/>
    <w:rsid w:val="000F43C6"/>
    <w:rsid w:val="000F4EE3"/>
    <w:rsid w:val="000F637C"/>
    <w:rsid w:val="000F68B1"/>
    <w:rsid w:val="00105410"/>
    <w:rsid w:val="00105C08"/>
    <w:rsid w:val="001070EC"/>
    <w:rsid w:val="00110EB9"/>
    <w:rsid w:val="0011347D"/>
    <w:rsid w:val="001141C2"/>
    <w:rsid w:val="001152B1"/>
    <w:rsid w:val="00117C50"/>
    <w:rsid w:val="00120756"/>
    <w:rsid w:val="001219F0"/>
    <w:rsid w:val="00124E62"/>
    <w:rsid w:val="00130C36"/>
    <w:rsid w:val="00146751"/>
    <w:rsid w:val="00147B48"/>
    <w:rsid w:val="00153701"/>
    <w:rsid w:val="0015793E"/>
    <w:rsid w:val="00160289"/>
    <w:rsid w:val="00165391"/>
    <w:rsid w:val="0017167F"/>
    <w:rsid w:val="00173708"/>
    <w:rsid w:val="00174992"/>
    <w:rsid w:val="0017508C"/>
    <w:rsid w:val="001807AB"/>
    <w:rsid w:val="001813C7"/>
    <w:rsid w:val="0018265B"/>
    <w:rsid w:val="001856D4"/>
    <w:rsid w:val="0018573F"/>
    <w:rsid w:val="00187820"/>
    <w:rsid w:val="00187DEB"/>
    <w:rsid w:val="0019039E"/>
    <w:rsid w:val="00192665"/>
    <w:rsid w:val="00193551"/>
    <w:rsid w:val="00196AB5"/>
    <w:rsid w:val="001973AE"/>
    <w:rsid w:val="001A1616"/>
    <w:rsid w:val="001A42EA"/>
    <w:rsid w:val="001A48B9"/>
    <w:rsid w:val="001A5DAF"/>
    <w:rsid w:val="001B11F3"/>
    <w:rsid w:val="001B28EE"/>
    <w:rsid w:val="001B5D94"/>
    <w:rsid w:val="001B6E89"/>
    <w:rsid w:val="001B728D"/>
    <w:rsid w:val="001C53CF"/>
    <w:rsid w:val="001C5C08"/>
    <w:rsid w:val="001D2577"/>
    <w:rsid w:val="001D2A98"/>
    <w:rsid w:val="001D2B36"/>
    <w:rsid w:val="001D52D6"/>
    <w:rsid w:val="001D560E"/>
    <w:rsid w:val="001D64D5"/>
    <w:rsid w:val="001E3349"/>
    <w:rsid w:val="001E49F8"/>
    <w:rsid w:val="001E6D22"/>
    <w:rsid w:val="001F674F"/>
    <w:rsid w:val="00200345"/>
    <w:rsid w:val="00220246"/>
    <w:rsid w:val="00220DC6"/>
    <w:rsid w:val="0022275A"/>
    <w:rsid w:val="00227302"/>
    <w:rsid w:val="0023099A"/>
    <w:rsid w:val="002321E8"/>
    <w:rsid w:val="00234719"/>
    <w:rsid w:val="00235EF3"/>
    <w:rsid w:val="00236453"/>
    <w:rsid w:val="00236DAE"/>
    <w:rsid w:val="00242A04"/>
    <w:rsid w:val="002442F2"/>
    <w:rsid w:val="002451CE"/>
    <w:rsid w:val="002459B9"/>
    <w:rsid w:val="0025056C"/>
    <w:rsid w:val="002557D2"/>
    <w:rsid w:val="00255D5D"/>
    <w:rsid w:val="00263DDC"/>
    <w:rsid w:val="00267AD6"/>
    <w:rsid w:val="00270447"/>
    <w:rsid w:val="00277FC8"/>
    <w:rsid w:val="00282921"/>
    <w:rsid w:val="00284425"/>
    <w:rsid w:val="00284B99"/>
    <w:rsid w:val="002862E4"/>
    <w:rsid w:val="00297F69"/>
    <w:rsid w:val="002A01AC"/>
    <w:rsid w:val="002A3C73"/>
    <w:rsid w:val="002A4047"/>
    <w:rsid w:val="002A6B1F"/>
    <w:rsid w:val="002B1D8E"/>
    <w:rsid w:val="002B3C1A"/>
    <w:rsid w:val="002B4137"/>
    <w:rsid w:val="002C0D74"/>
    <w:rsid w:val="002C35AD"/>
    <w:rsid w:val="002C3D12"/>
    <w:rsid w:val="002C7363"/>
    <w:rsid w:val="002D07FC"/>
    <w:rsid w:val="002D2340"/>
    <w:rsid w:val="002D42ED"/>
    <w:rsid w:val="002E71B3"/>
    <w:rsid w:val="002F153E"/>
    <w:rsid w:val="002F209B"/>
    <w:rsid w:val="002F7098"/>
    <w:rsid w:val="002F709E"/>
    <w:rsid w:val="002F7235"/>
    <w:rsid w:val="00302615"/>
    <w:rsid w:val="00302720"/>
    <w:rsid w:val="00304520"/>
    <w:rsid w:val="00307344"/>
    <w:rsid w:val="00310292"/>
    <w:rsid w:val="00314228"/>
    <w:rsid w:val="00314F4A"/>
    <w:rsid w:val="00320358"/>
    <w:rsid w:val="003207DD"/>
    <w:rsid w:val="003209AE"/>
    <w:rsid w:val="00322976"/>
    <w:rsid w:val="00323A2A"/>
    <w:rsid w:val="00324C8B"/>
    <w:rsid w:val="003264C9"/>
    <w:rsid w:val="00327389"/>
    <w:rsid w:val="00332087"/>
    <w:rsid w:val="00337BC2"/>
    <w:rsid w:val="00340193"/>
    <w:rsid w:val="00341B00"/>
    <w:rsid w:val="00345D5F"/>
    <w:rsid w:val="00346BE6"/>
    <w:rsid w:val="00356E1C"/>
    <w:rsid w:val="00367353"/>
    <w:rsid w:val="00375939"/>
    <w:rsid w:val="003818EB"/>
    <w:rsid w:val="00381A7B"/>
    <w:rsid w:val="00381D5C"/>
    <w:rsid w:val="00383B02"/>
    <w:rsid w:val="0038503A"/>
    <w:rsid w:val="003869D8"/>
    <w:rsid w:val="00391846"/>
    <w:rsid w:val="003B50C8"/>
    <w:rsid w:val="003B56F7"/>
    <w:rsid w:val="003B5D38"/>
    <w:rsid w:val="003C0B14"/>
    <w:rsid w:val="003C2DB2"/>
    <w:rsid w:val="003C2EA4"/>
    <w:rsid w:val="003C4C78"/>
    <w:rsid w:val="003C5D8B"/>
    <w:rsid w:val="003C6819"/>
    <w:rsid w:val="003D0408"/>
    <w:rsid w:val="003D12FC"/>
    <w:rsid w:val="003E0362"/>
    <w:rsid w:val="003E38A3"/>
    <w:rsid w:val="003E47A7"/>
    <w:rsid w:val="003F0173"/>
    <w:rsid w:val="003F086E"/>
    <w:rsid w:val="003F09A7"/>
    <w:rsid w:val="00402B2F"/>
    <w:rsid w:val="00403E18"/>
    <w:rsid w:val="004061A3"/>
    <w:rsid w:val="00414860"/>
    <w:rsid w:val="004148CE"/>
    <w:rsid w:val="00414C0A"/>
    <w:rsid w:val="00415586"/>
    <w:rsid w:val="00416114"/>
    <w:rsid w:val="00423C29"/>
    <w:rsid w:val="00426916"/>
    <w:rsid w:val="004308E6"/>
    <w:rsid w:val="00430C22"/>
    <w:rsid w:val="00431D81"/>
    <w:rsid w:val="004320F5"/>
    <w:rsid w:val="00435A92"/>
    <w:rsid w:val="0044399A"/>
    <w:rsid w:val="00444D99"/>
    <w:rsid w:val="004463B1"/>
    <w:rsid w:val="00446BC5"/>
    <w:rsid w:val="00452DF3"/>
    <w:rsid w:val="0045332E"/>
    <w:rsid w:val="00453EC2"/>
    <w:rsid w:val="00454FF0"/>
    <w:rsid w:val="00456DAB"/>
    <w:rsid w:val="00461A66"/>
    <w:rsid w:val="00464C07"/>
    <w:rsid w:val="0047024A"/>
    <w:rsid w:val="00476324"/>
    <w:rsid w:val="004824D4"/>
    <w:rsid w:val="00483CDD"/>
    <w:rsid w:val="00491745"/>
    <w:rsid w:val="00495A8E"/>
    <w:rsid w:val="004B2EA2"/>
    <w:rsid w:val="004B3B51"/>
    <w:rsid w:val="004B3C9F"/>
    <w:rsid w:val="004B502C"/>
    <w:rsid w:val="004B7F71"/>
    <w:rsid w:val="004C0F9A"/>
    <w:rsid w:val="004C26EC"/>
    <w:rsid w:val="004C59A9"/>
    <w:rsid w:val="004C67C7"/>
    <w:rsid w:val="004D2028"/>
    <w:rsid w:val="004D342E"/>
    <w:rsid w:val="004D6895"/>
    <w:rsid w:val="004D7050"/>
    <w:rsid w:val="004E1435"/>
    <w:rsid w:val="004E16B0"/>
    <w:rsid w:val="004E2772"/>
    <w:rsid w:val="004E34A3"/>
    <w:rsid w:val="004E3CE2"/>
    <w:rsid w:val="004E4CD2"/>
    <w:rsid w:val="004F0F1D"/>
    <w:rsid w:val="004F5159"/>
    <w:rsid w:val="004F7AB6"/>
    <w:rsid w:val="00500DE6"/>
    <w:rsid w:val="00503336"/>
    <w:rsid w:val="0050697D"/>
    <w:rsid w:val="00506D7D"/>
    <w:rsid w:val="00511170"/>
    <w:rsid w:val="00512A11"/>
    <w:rsid w:val="00513A3B"/>
    <w:rsid w:val="00514A42"/>
    <w:rsid w:val="00514C2B"/>
    <w:rsid w:val="00516C2D"/>
    <w:rsid w:val="0052700F"/>
    <w:rsid w:val="00527706"/>
    <w:rsid w:val="0053398A"/>
    <w:rsid w:val="00540111"/>
    <w:rsid w:val="005403F3"/>
    <w:rsid w:val="00541DC1"/>
    <w:rsid w:val="0054222F"/>
    <w:rsid w:val="00552BF5"/>
    <w:rsid w:val="00553AAB"/>
    <w:rsid w:val="005559D5"/>
    <w:rsid w:val="00562B16"/>
    <w:rsid w:val="005632BA"/>
    <w:rsid w:val="00566145"/>
    <w:rsid w:val="00566DB1"/>
    <w:rsid w:val="0057088F"/>
    <w:rsid w:val="00571124"/>
    <w:rsid w:val="0057219D"/>
    <w:rsid w:val="0057459D"/>
    <w:rsid w:val="00575661"/>
    <w:rsid w:val="0057680B"/>
    <w:rsid w:val="00580C1C"/>
    <w:rsid w:val="00581909"/>
    <w:rsid w:val="00582E1A"/>
    <w:rsid w:val="005865C1"/>
    <w:rsid w:val="005867E2"/>
    <w:rsid w:val="00587194"/>
    <w:rsid w:val="005931EE"/>
    <w:rsid w:val="005A05E2"/>
    <w:rsid w:val="005A0BB8"/>
    <w:rsid w:val="005A2A8A"/>
    <w:rsid w:val="005A4DAC"/>
    <w:rsid w:val="005A5430"/>
    <w:rsid w:val="005A6C66"/>
    <w:rsid w:val="005A7524"/>
    <w:rsid w:val="005C367C"/>
    <w:rsid w:val="005C4337"/>
    <w:rsid w:val="005C7799"/>
    <w:rsid w:val="005C7D6E"/>
    <w:rsid w:val="005D021A"/>
    <w:rsid w:val="005D6BF9"/>
    <w:rsid w:val="005E3224"/>
    <w:rsid w:val="005E51A5"/>
    <w:rsid w:val="005E7B1B"/>
    <w:rsid w:val="005F2EE9"/>
    <w:rsid w:val="005F582E"/>
    <w:rsid w:val="0060066A"/>
    <w:rsid w:val="0060678A"/>
    <w:rsid w:val="006068DE"/>
    <w:rsid w:val="00610378"/>
    <w:rsid w:val="0061189C"/>
    <w:rsid w:val="006121B5"/>
    <w:rsid w:val="00613CCF"/>
    <w:rsid w:val="00620900"/>
    <w:rsid w:val="00623BBD"/>
    <w:rsid w:val="00624628"/>
    <w:rsid w:val="00625DD3"/>
    <w:rsid w:val="00625E64"/>
    <w:rsid w:val="00626478"/>
    <w:rsid w:val="00627D4B"/>
    <w:rsid w:val="0063582B"/>
    <w:rsid w:val="00636C89"/>
    <w:rsid w:val="00641B16"/>
    <w:rsid w:val="006441B6"/>
    <w:rsid w:val="00647D16"/>
    <w:rsid w:val="006505C5"/>
    <w:rsid w:val="00654348"/>
    <w:rsid w:val="00665F47"/>
    <w:rsid w:val="0066758A"/>
    <w:rsid w:val="006758A0"/>
    <w:rsid w:val="00677174"/>
    <w:rsid w:val="00681195"/>
    <w:rsid w:val="00681581"/>
    <w:rsid w:val="00681EA8"/>
    <w:rsid w:val="00687387"/>
    <w:rsid w:val="00695C50"/>
    <w:rsid w:val="006969CF"/>
    <w:rsid w:val="006A02B3"/>
    <w:rsid w:val="006B28A1"/>
    <w:rsid w:val="006B4594"/>
    <w:rsid w:val="006B5116"/>
    <w:rsid w:val="006B572A"/>
    <w:rsid w:val="006C0322"/>
    <w:rsid w:val="006C2BE1"/>
    <w:rsid w:val="006C4DD1"/>
    <w:rsid w:val="006D010B"/>
    <w:rsid w:val="006D563A"/>
    <w:rsid w:val="006E0800"/>
    <w:rsid w:val="006F47EB"/>
    <w:rsid w:val="006F4BA6"/>
    <w:rsid w:val="006F4DF0"/>
    <w:rsid w:val="00705E91"/>
    <w:rsid w:val="007071F8"/>
    <w:rsid w:val="007145ED"/>
    <w:rsid w:val="00721064"/>
    <w:rsid w:val="00724662"/>
    <w:rsid w:val="00731894"/>
    <w:rsid w:val="00732245"/>
    <w:rsid w:val="00733828"/>
    <w:rsid w:val="007341DC"/>
    <w:rsid w:val="0073493F"/>
    <w:rsid w:val="00735E55"/>
    <w:rsid w:val="00735ED5"/>
    <w:rsid w:val="00740628"/>
    <w:rsid w:val="00744693"/>
    <w:rsid w:val="00746A78"/>
    <w:rsid w:val="007523CA"/>
    <w:rsid w:val="00757C78"/>
    <w:rsid w:val="0076557F"/>
    <w:rsid w:val="007723DD"/>
    <w:rsid w:val="00772EFB"/>
    <w:rsid w:val="0077382D"/>
    <w:rsid w:val="00774B2B"/>
    <w:rsid w:val="00775CEF"/>
    <w:rsid w:val="00777E79"/>
    <w:rsid w:val="0078098B"/>
    <w:rsid w:val="00781261"/>
    <w:rsid w:val="0078528C"/>
    <w:rsid w:val="00796321"/>
    <w:rsid w:val="007A309B"/>
    <w:rsid w:val="007B2509"/>
    <w:rsid w:val="007B3177"/>
    <w:rsid w:val="007B495E"/>
    <w:rsid w:val="007B70D2"/>
    <w:rsid w:val="007C3779"/>
    <w:rsid w:val="007C4A3E"/>
    <w:rsid w:val="007C52D3"/>
    <w:rsid w:val="007D5D06"/>
    <w:rsid w:val="007D6DE9"/>
    <w:rsid w:val="007E0093"/>
    <w:rsid w:val="007E4877"/>
    <w:rsid w:val="007E6B43"/>
    <w:rsid w:val="007F7C5A"/>
    <w:rsid w:val="00801A6F"/>
    <w:rsid w:val="00801C56"/>
    <w:rsid w:val="008036AC"/>
    <w:rsid w:val="0080554A"/>
    <w:rsid w:val="008055AF"/>
    <w:rsid w:val="00807F75"/>
    <w:rsid w:val="0081345B"/>
    <w:rsid w:val="00813BC5"/>
    <w:rsid w:val="00814ED7"/>
    <w:rsid w:val="00820CBE"/>
    <w:rsid w:val="00821DEA"/>
    <w:rsid w:val="00822767"/>
    <w:rsid w:val="00827276"/>
    <w:rsid w:val="00827D17"/>
    <w:rsid w:val="00830FBB"/>
    <w:rsid w:val="00834AFF"/>
    <w:rsid w:val="00835631"/>
    <w:rsid w:val="00840DD6"/>
    <w:rsid w:val="008415FC"/>
    <w:rsid w:val="00841E41"/>
    <w:rsid w:val="00846296"/>
    <w:rsid w:val="00855175"/>
    <w:rsid w:val="00855797"/>
    <w:rsid w:val="008663E6"/>
    <w:rsid w:val="008701B1"/>
    <w:rsid w:val="00870294"/>
    <w:rsid w:val="008714CC"/>
    <w:rsid w:val="00871D19"/>
    <w:rsid w:val="00883934"/>
    <w:rsid w:val="0088691E"/>
    <w:rsid w:val="008928D0"/>
    <w:rsid w:val="008938B3"/>
    <w:rsid w:val="00897D2A"/>
    <w:rsid w:val="008A0060"/>
    <w:rsid w:val="008A2DD7"/>
    <w:rsid w:val="008A37E5"/>
    <w:rsid w:val="008A5505"/>
    <w:rsid w:val="008B1F78"/>
    <w:rsid w:val="008B2E04"/>
    <w:rsid w:val="008B3F76"/>
    <w:rsid w:val="008B6690"/>
    <w:rsid w:val="008B779B"/>
    <w:rsid w:val="008C095E"/>
    <w:rsid w:val="008C22CF"/>
    <w:rsid w:val="008C76C8"/>
    <w:rsid w:val="008D10A8"/>
    <w:rsid w:val="008D4541"/>
    <w:rsid w:val="008E1A2C"/>
    <w:rsid w:val="008E3AC4"/>
    <w:rsid w:val="008E4672"/>
    <w:rsid w:val="008F00E2"/>
    <w:rsid w:val="008F3B1B"/>
    <w:rsid w:val="008F51CC"/>
    <w:rsid w:val="009072EE"/>
    <w:rsid w:val="00910B78"/>
    <w:rsid w:val="0091459D"/>
    <w:rsid w:val="00916608"/>
    <w:rsid w:val="00921768"/>
    <w:rsid w:val="00921DDB"/>
    <w:rsid w:val="009230E8"/>
    <w:rsid w:val="00923475"/>
    <w:rsid w:val="00923CDC"/>
    <w:rsid w:val="00924DCD"/>
    <w:rsid w:val="00927489"/>
    <w:rsid w:val="0093317C"/>
    <w:rsid w:val="009336EA"/>
    <w:rsid w:val="009343DF"/>
    <w:rsid w:val="00937DAD"/>
    <w:rsid w:val="00945CF0"/>
    <w:rsid w:val="00947945"/>
    <w:rsid w:val="009522F3"/>
    <w:rsid w:val="00955F5D"/>
    <w:rsid w:val="00957B31"/>
    <w:rsid w:val="00961CD4"/>
    <w:rsid w:val="0096273C"/>
    <w:rsid w:val="00963D4E"/>
    <w:rsid w:val="009670E2"/>
    <w:rsid w:val="0097250F"/>
    <w:rsid w:val="00975926"/>
    <w:rsid w:val="009761FD"/>
    <w:rsid w:val="0098222B"/>
    <w:rsid w:val="0098470C"/>
    <w:rsid w:val="00986721"/>
    <w:rsid w:val="00987EF0"/>
    <w:rsid w:val="00990C0A"/>
    <w:rsid w:val="00990C7A"/>
    <w:rsid w:val="009939F3"/>
    <w:rsid w:val="00993D25"/>
    <w:rsid w:val="00996C78"/>
    <w:rsid w:val="009A40CF"/>
    <w:rsid w:val="009A5A3C"/>
    <w:rsid w:val="009B01F1"/>
    <w:rsid w:val="009B1268"/>
    <w:rsid w:val="009B1734"/>
    <w:rsid w:val="009B1956"/>
    <w:rsid w:val="009B27AF"/>
    <w:rsid w:val="009B2ECD"/>
    <w:rsid w:val="009B3DB6"/>
    <w:rsid w:val="009C43A7"/>
    <w:rsid w:val="009C4655"/>
    <w:rsid w:val="009C47D5"/>
    <w:rsid w:val="009C7760"/>
    <w:rsid w:val="009D0D96"/>
    <w:rsid w:val="009D5EF0"/>
    <w:rsid w:val="009D69B0"/>
    <w:rsid w:val="009D7DE3"/>
    <w:rsid w:val="009E218C"/>
    <w:rsid w:val="009E3AEE"/>
    <w:rsid w:val="009E7C69"/>
    <w:rsid w:val="009F2729"/>
    <w:rsid w:val="00A01694"/>
    <w:rsid w:val="00A021D1"/>
    <w:rsid w:val="00A06A24"/>
    <w:rsid w:val="00A0767E"/>
    <w:rsid w:val="00A12E06"/>
    <w:rsid w:val="00A16D6C"/>
    <w:rsid w:val="00A16E1E"/>
    <w:rsid w:val="00A22B6C"/>
    <w:rsid w:val="00A25B3D"/>
    <w:rsid w:val="00A30DCA"/>
    <w:rsid w:val="00A3247F"/>
    <w:rsid w:val="00A337CC"/>
    <w:rsid w:val="00A425A3"/>
    <w:rsid w:val="00A45A39"/>
    <w:rsid w:val="00A47B7C"/>
    <w:rsid w:val="00A52208"/>
    <w:rsid w:val="00A54F32"/>
    <w:rsid w:val="00A56E3B"/>
    <w:rsid w:val="00A6115E"/>
    <w:rsid w:val="00A614B1"/>
    <w:rsid w:val="00A618C3"/>
    <w:rsid w:val="00A61912"/>
    <w:rsid w:val="00A649D0"/>
    <w:rsid w:val="00A74457"/>
    <w:rsid w:val="00A77DDD"/>
    <w:rsid w:val="00A80004"/>
    <w:rsid w:val="00A81369"/>
    <w:rsid w:val="00A81A66"/>
    <w:rsid w:val="00A835C4"/>
    <w:rsid w:val="00A8406F"/>
    <w:rsid w:val="00A90A08"/>
    <w:rsid w:val="00A9284E"/>
    <w:rsid w:val="00A9331B"/>
    <w:rsid w:val="00A94673"/>
    <w:rsid w:val="00A9687F"/>
    <w:rsid w:val="00AA489D"/>
    <w:rsid w:val="00AA5EE6"/>
    <w:rsid w:val="00AB0891"/>
    <w:rsid w:val="00AB2138"/>
    <w:rsid w:val="00AB3D52"/>
    <w:rsid w:val="00AB4AA1"/>
    <w:rsid w:val="00AC0C62"/>
    <w:rsid w:val="00AC169B"/>
    <w:rsid w:val="00AC35E7"/>
    <w:rsid w:val="00AC5569"/>
    <w:rsid w:val="00AC6A32"/>
    <w:rsid w:val="00AC743B"/>
    <w:rsid w:val="00AD3633"/>
    <w:rsid w:val="00AD617C"/>
    <w:rsid w:val="00AD6364"/>
    <w:rsid w:val="00AD68EC"/>
    <w:rsid w:val="00AD75E1"/>
    <w:rsid w:val="00AE1FC1"/>
    <w:rsid w:val="00AE6E68"/>
    <w:rsid w:val="00AF0FE5"/>
    <w:rsid w:val="00AF4C3F"/>
    <w:rsid w:val="00AF54BC"/>
    <w:rsid w:val="00AF55A3"/>
    <w:rsid w:val="00AF58A8"/>
    <w:rsid w:val="00B02B26"/>
    <w:rsid w:val="00B032B5"/>
    <w:rsid w:val="00B064B0"/>
    <w:rsid w:val="00B07637"/>
    <w:rsid w:val="00B12D09"/>
    <w:rsid w:val="00B13A28"/>
    <w:rsid w:val="00B152E4"/>
    <w:rsid w:val="00B20860"/>
    <w:rsid w:val="00B2086B"/>
    <w:rsid w:val="00B214F3"/>
    <w:rsid w:val="00B21C04"/>
    <w:rsid w:val="00B24C14"/>
    <w:rsid w:val="00B3289C"/>
    <w:rsid w:val="00B35E34"/>
    <w:rsid w:val="00B36978"/>
    <w:rsid w:val="00B40FBA"/>
    <w:rsid w:val="00B41021"/>
    <w:rsid w:val="00B418AD"/>
    <w:rsid w:val="00B47B56"/>
    <w:rsid w:val="00B51B27"/>
    <w:rsid w:val="00B543D2"/>
    <w:rsid w:val="00B55B43"/>
    <w:rsid w:val="00B616C6"/>
    <w:rsid w:val="00B63F35"/>
    <w:rsid w:val="00B64181"/>
    <w:rsid w:val="00B655E0"/>
    <w:rsid w:val="00B668F4"/>
    <w:rsid w:val="00B67688"/>
    <w:rsid w:val="00B6793F"/>
    <w:rsid w:val="00B6798C"/>
    <w:rsid w:val="00B74C09"/>
    <w:rsid w:val="00B75C30"/>
    <w:rsid w:val="00B75FB8"/>
    <w:rsid w:val="00B76C66"/>
    <w:rsid w:val="00B919B0"/>
    <w:rsid w:val="00B93801"/>
    <w:rsid w:val="00B94DD3"/>
    <w:rsid w:val="00BA094F"/>
    <w:rsid w:val="00BA0C7F"/>
    <w:rsid w:val="00BA0CC3"/>
    <w:rsid w:val="00BA4D73"/>
    <w:rsid w:val="00BB0637"/>
    <w:rsid w:val="00BB163C"/>
    <w:rsid w:val="00BC0C6A"/>
    <w:rsid w:val="00BC30D1"/>
    <w:rsid w:val="00BC3BCB"/>
    <w:rsid w:val="00BC539D"/>
    <w:rsid w:val="00BD2498"/>
    <w:rsid w:val="00BD3D67"/>
    <w:rsid w:val="00BD59AF"/>
    <w:rsid w:val="00BE17D4"/>
    <w:rsid w:val="00BE1CA4"/>
    <w:rsid w:val="00BF7462"/>
    <w:rsid w:val="00C00570"/>
    <w:rsid w:val="00C07858"/>
    <w:rsid w:val="00C11100"/>
    <w:rsid w:val="00C125A7"/>
    <w:rsid w:val="00C1508B"/>
    <w:rsid w:val="00C15403"/>
    <w:rsid w:val="00C338AA"/>
    <w:rsid w:val="00C36AA7"/>
    <w:rsid w:val="00C37425"/>
    <w:rsid w:val="00C40669"/>
    <w:rsid w:val="00C4443A"/>
    <w:rsid w:val="00C44E8D"/>
    <w:rsid w:val="00C45C6A"/>
    <w:rsid w:val="00C50A40"/>
    <w:rsid w:val="00C5481E"/>
    <w:rsid w:val="00C57D34"/>
    <w:rsid w:val="00C724A1"/>
    <w:rsid w:val="00C7515B"/>
    <w:rsid w:val="00C77E86"/>
    <w:rsid w:val="00C879EF"/>
    <w:rsid w:val="00C92C95"/>
    <w:rsid w:val="00C94365"/>
    <w:rsid w:val="00C9692C"/>
    <w:rsid w:val="00C97885"/>
    <w:rsid w:val="00C978ED"/>
    <w:rsid w:val="00C97CBA"/>
    <w:rsid w:val="00CA16BA"/>
    <w:rsid w:val="00CA3100"/>
    <w:rsid w:val="00CA4A8D"/>
    <w:rsid w:val="00CA51CA"/>
    <w:rsid w:val="00CA6D9D"/>
    <w:rsid w:val="00CB0799"/>
    <w:rsid w:val="00CD0511"/>
    <w:rsid w:val="00CD1F82"/>
    <w:rsid w:val="00CD2DCF"/>
    <w:rsid w:val="00CD3401"/>
    <w:rsid w:val="00CD377C"/>
    <w:rsid w:val="00CD41EB"/>
    <w:rsid w:val="00CE0ABC"/>
    <w:rsid w:val="00CE2B67"/>
    <w:rsid w:val="00CE5C5D"/>
    <w:rsid w:val="00CE5EDE"/>
    <w:rsid w:val="00CF53C9"/>
    <w:rsid w:val="00CF6A0D"/>
    <w:rsid w:val="00CF7342"/>
    <w:rsid w:val="00D06771"/>
    <w:rsid w:val="00D079E2"/>
    <w:rsid w:val="00D07AE1"/>
    <w:rsid w:val="00D12E1B"/>
    <w:rsid w:val="00D15A3E"/>
    <w:rsid w:val="00D22400"/>
    <w:rsid w:val="00D23878"/>
    <w:rsid w:val="00D23B2C"/>
    <w:rsid w:val="00D24A5E"/>
    <w:rsid w:val="00D30884"/>
    <w:rsid w:val="00D31979"/>
    <w:rsid w:val="00D32BE7"/>
    <w:rsid w:val="00D427B9"/>
    <w:rsid w:val="00D43822"/>
    <w:rsid w:val="00D47DB3"/>
    <w:rsid w:val="00D52EC3"/>
    <w:rsid w:val="00D53E42"/>
    <w:rsid w:val="00D5467B"/>
    <w:rsid w:val="00D70621"/>
    <w:rsid w:val="00D759AD"/>
    <w:rsid w:val="00D76862"/>
    <w:rsid w:val="00D770C9"/>
    <w:rsid w:val="00D77AEA"/>
    <w:rsid w:val="00D8327F"/>
    <w:rsid w:val="00D83910"/>
    <w:rsid w:val="00D83B10"/>
    <w:rsid w:val="00D91483"/>
    <w:rsid w:val="00D961E0"/>
    <w:rsid w:val="00DA33D4"/>
    <w:rsid w:val="00DA6331"/>
    <w:rsid w:val="00DB148C"/>
    <w:rsid w:val="00DB22F1"/>
    <w:rsid w:val="00DB27E5"/>
    <w:rsid w:val="00DB2A1B"/>
    <w:rsid w:val="00DB49AB"/>
    <w:rsid w:val="00DB49D8"/>
    <w:rsid w:val="00DB6465"/>
    <w:rsid w:val="00DB6CF4"/>
    <w:rsid w:val="00DC135F"/>
    <w:rsid w:val="00DC6083"/>
    <w:rsid w:val="00DC7060"/>
    <w:rsid w:val="00DD23CF"/>
    <w:rsid w:val="00DD2AB0"/>
    <w:rsid w:val="00DD4A33"/>
    <w:rsid w:val="00DD57D6"/>
    <w:rsid w:val="00DD5AC9"/>
    <w:rsid w:val="00DD6410"/>
    <w:rsid w:val="00DE056F"/>
    <w:rsid w:val="00DE2488"/>
    <w:rsid w:val="00DE4768"/>
    <w:rsid w:val="00DE776C"/>
    <w:rsid w:val="00DF12DF"/>
    <w:rsid w:val="00DF1C42"/>
    <w:rsid w:val="00DF5683"/>
    <w:rsid w:val="00DF77DC"/>
    <w:rsid w:val="00E02FE4"/>
    <w:rsid w:val="00E0301D"/>
    <w:rsid w:val="00E12906"/>
    <w:rsid w:val="00E13802"/>
    <w:rsid w:val="00E16FED"/>
    <w:rsid w:val="00E2128A"/>
    <w:rsid w:val="00E24165"/>
    <w:rsid w:val="00E26340"/>
    <w:rsid w:val="00E26700"/>
    <w:rsid w:val="00E2724E"/>
    <w:rsid w:val="00E279BB"/>
    <w:rsid w:val="00E30CB2"/>
    <w:rsid w:val="00E34A0B"/>
    <w:rsid w:val="00E439F8"/>
    <w:rsid w:val="00E443D4"/>
    <w:rsid w:val="00E50F56"/>
    <w:rsid w:val="00E5238A"/>
    <w:rsid w:val="00E56300"/>
    <w:rsid w:val="00E5756B"/>
    <w:rsid w:val="00E6039C"/>
    <w:rsid w:val="00E616EA"/>
    <w:rsid w:val="00E61CF3"/>
    <w:rsid w:val="00E71840"/>
    <w:rsid w:val="00E74065"/>
    <w:rsid w:val="00E7518F"/>
    <w:rsid w:val="00E766CF"/>
    <w:rsid w:val="00E8172C"/>
    <w:rsid w:val="00E86C81"/>
    <w:rsid w:val="00E92276"/>
    <w:rsid w:val="00E95503"/>
    <w:rsid w:val="00E9556E"/>
    <w:rsid w:val="00E96C11"/>
    <w:rsid w:val="00EA6755"/>
    <w:rsid w:val="00EA71EA"/>
    <w:rsid w:val="00EB1EA1"/>
    <w:rsid w:val="00EB284B"/>
    <w:rsid w:val="00EB68B3"/>
    <w:rsid w:val="00EC0216"/>
    <w:rsid w:val="00EC1908"/>
    <w:rsid w:val="00EC2F7C"/>
    <w:rsid w:val="00ED3315"/>
    <w:rsid w:val="00ED4E49"/>
    <w:rsid w:val="00EE49CC"/>
    <w:rsid w:val="00EF2F77"/>
    <w:rsid w:val="00EF70FE"/>
    <w:rsid w:val="00F010E2"/>
    <w:rsid w:val="00F0488B"/>
    <w:rsid w:val="00F1137E"/>
    <w:rsid w:val="00F13260"/>
    <w:rsid w:val="00F13FE2"/>
    <w:rsid w:val="00F17F1C"/>
    <w:rsid w:val="00F22C2A"/>
    <w:rsid w:val="00F269DA"/>
    <w:rsid w:val="00F30FDE"/>
    <w:rsid w:val="00F34A50"/>
    <w:rsid w:val="00F356F5"/>
    <w:rsid w:val="00F37264"/>
    <w:rsid w:val="00F40A7B"/>
    <w:rsid w:val="00F54AEB"/>
    <w:rsid w:val="00F570FF"/>
    <w:rsid w:val="00F57A0B"/>
    <w:rsid w:val="00F65155"/>
    <w:rsid w:val="00F74586"/>
    <w:rsid w:val="00F75275"/>
    <w:rsid w:val="00F82A55"/>
    <w:rsid w:val="00F82F64"/>
    <w:rsid w:val="00F84B27"/>
    <w:rsid w:val="00F87010"/>
    <w:rsid w:val="00F87A73"/>
    <w:rsid w:val="00F904D1"/>
    <w:rsid w:val="00F919F2"/>
    <w:rsid w:val="00F942AD"/>
    <w:rsid w:val="00F94D6D"/>
    <w:rsid w:val="00F9593C"/>
    <w:rsid w:val="00FA2B9E"/>
    <w:rsid w:val="00FA44E2"/>
    <w:rsid w:val="00FA6B3A"/>
    <w:rsid w:val="00FA6E26"/>
    <w:rsid w:val="00FA748A"/>
    <w:rsid w:val="00FB1E11"/>
    <w:rsid w:val="00FB4849"/>
    <w:rsid w:val="00FB7D8F"/>
    <w:rsid w:val="00FC2B51"/>
    <w:rsid w:val="00FC3A9D"/>
    <w:rsid w:val="00FD17F3"/>
    <w:rsid w:val="00FD5CCE"/>
    <w:rsid w:val="00FE3053"/>
    <w:rsid w:val="00FE35AD"/>
    <w:rsid w:val="00FE416D"/>
    <w:rsid w:val="00FE47BB"/>
    <w:rsid w:val="00FE6804"/>
    <w:rsid w:val="00FF1FE4"/>
    <w:rsid w:val="00FF445A"/>
    <w:rsid w:val="00FF72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BFAC416-4D80-41F2-B3C0-4FF9A140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47"/>
    <w:pPr>
      <w:spacing w:before="120" w:after="120"/>
    </w:pPr>
    <w:rPr>
      <w:sz w:val="24"/>
      <w:szCs w:val="24"/>
    </w:rPr>
  </w:style>
  <w:style w:type="paragraph" w:styleId="Heading1">
    <w:name w:val="heading 1"/>
    <w:basedOn w:val="Normal"/>
    <w:next w:val="Normal"/>
    <w:link w:val="Heading1Char"/>
    <w:qFormat/>
    <w:rsid w:val="002A4047"/>
    <w:pPr>
      <w:keepNext/>
      <w:numPr>
        <w:numId w:val="12"/>
      </w:numPr>
      <w:spacing w:before="240"/>
      <w:outlineLvl w:val="0"/>
    </w:pPr>
    <w:rPr>
      <w:b/>
      <w:bCs/>
      <w:caps/>
    </w:rPr>
  </w:style>
  <w:style w:type="paragraph" w:styleId="Heading2">
    <w:name w:val="heading 2"/>
    <w:basedOn w:val="Normal"/>
    <w:next w:val="Normal"/>
    <w:link w:val="Heading2Char"/>
    <w:qFormat/>
    <w:rsid w:val="002A4047"/>
    <w:pPr>
      <w:keepNext/>
      <w:numPr>
        <w:ilvl w:val="1"/>
        <w:numId w:val="12"/>
      </w:numPr>
      <w:spacing w:before="240"/>
      <w:outlineLvl w:val="1"/>
    </w:pPr>
    <w:rPr>
      <w:b/>
      <w:bCs/>
    </w:rPr>
  </w:style>
  <w:style w:type="paragraph" w:styleId="Heading3">
    <w:name w:val="heading 3"/>
    <w:basedOn w:val="Normal"/>
    <w:next w:val="Normal"/>
    <w:link w:val="Heading3Char1"/>
    <w:qFormat/>
    <w:rsid w:val="002A4047"/>
    <w:pPr>
      <w:keepNext/>
      <w:numPr>
        <w:ilvl w:val="2"/>
        <w:numId w:val="12"/>
      </w:numPr>
      <w:spacing w:before="240"/>
      <w:outlineLvl w:val="2"/>
    </w:pPr>
    <w:rPr>
      <w:b/>
      <w:bCs/>
    </w:rPr>
  </w:style>
  <w:style w:type="paragraph" w:styleId="Heading4">
    <w:name w:val="heading 4"/>
    <w:basedOn w:val="Normal"/>
    <w:next w:val="Normal"/>
    <w:link w:val="Heading4Char"/>
    <w:qFormat/>
    <w:rsid w:val="002A4047"/>
    <w:pPr>
      <w:keepNext/>
      <w:numPr>
        <w:ilvl w:val="3"/>
        <w:numId w:val="12"/>
      </w:numPr>
      <w:spacing w:before="240"/>
      <w:outlineLvl w:val="3"/>
    </w:pPr>
    <w:rPr>
      <w:b/>
      <w:bCs/>
      <w:i/>
      <w:iCs/>
    </w:rPr>
  </w:style>
  <w:style w:type="paragraph" w:styleId="Heading5">
    <w:name w:val="heading 5"/>
    <w:basedOn w:val="Normal"/>
    <w:next w:val="Normal"/>
    <w:link w:val="Heading5Char"/>
    <w:qFormat/>
    <w:rsid w:val="002A4047"/>
    <w:pPr>
      <w:keepNext/>
      <w:numPr>
        <w:ilvl w:val="4"/>
        <w:numId w:val="12"/>
      </w:numPr>
      <w:spacing w:before="240"/>
      <w:outlineLvl w:val="4"/>
    </w:pPr>
    <w:rPr>
      <w:i/>
      <w:iCs/>
    </w:rPr>
  </w:style>
  <w:style w:type="paragraph" w:styleId="Heading6">
    <w:name w:val="heading 6"/>
    <w:basedOn w:val="Normal"/>
    <w:next w:val="Normal"/>
    <w:link w:val="Heading6Char"/>
    <w:qFormat/>
    <w:rsid w:val="002A4047"/>
    <w:pPr>
      <w:keepNext/>
      <w:spacing w:before="240"/>
      <w:outlineLvl w:val="5"/>
    </w:pPr>
  </w:style>
  <w:style w:type="paragraph" w:styleId="Heading7">
    <w:name w:val="heading 7"/>
    <w:basedOn w:val="Normal"/>
    <w:next w:val="Normal"/>
    <w:link w:val="Heading7Char"/>
    <w:qFormat/>
    <w:rsid w:val="002A4047"/>
    <w:pPr>
      <w:spacing w:before="240" w:after="60"/>
      <w:outlineLvl w:val="6"/>
    </w:pPr>
  </w:style>
  <w:style w:type="paragraph" w:styleId="Heading8">
    <w:name w:val="heading 8"/>
    <w:basedOn w:val="Normal"/>
    <w:next w:val="Normal"/>
    <w:link w:val="Heading8Char"/>
    <w:qFormat/>
    <w:rsid w:val="002A4047"/>
    <w:pPr>
      <w:spacing w:before="240" w:after="60"/>
      <w:outlineLvl w:val="7"/>
    </w:pPr>
    <w:rPr>
      <w:i/>
      <w:iCs/>
    </w:rPr>
  </w:style>
  <w:style w:type="paragraph" w:styleId="Heading9">
    <w:name w:val="heading 9"/>
    <w:basedOn w:val="Normal"/>
    <w:next w:val="Normal"/>
    <w:link w:val="Heading9Char"/>
    <w:qFormat/>
    <w:rsid w:val="002A404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B0D0F"/>
    <w:rPr>
      <w:b/>
      <w:bCs/>
      <w:caps/>
      <w:sz w:val="24"/>
      <w:szCs w:val="24"/>
    </w:rPr>
  </w:style>
  <w:style w:type="character" w:customStyle="1" w:styleId="Heading2Char">
    <w:name w:val="Heading 2 Char"/>
    <w:link w:val="Heading2"/>
    <w:locked/>
    <w:rsid w:val="000B0D0F"/>
    <w:rPr>
      <w:b/>
      <w:bCs/>
      <w:sz w:val="24"/>
      <w:szCs w:val="24"/>
    </w:rPr>
  </w:style>
  <w:style w:type="character" w:customStyle="1" w:styleId="Heading3Char">
    <w:name w:val="Heading 3 Char"/>
    <w:locked/>
    <w:rsid w:val="00516C2D"/>
    <w:rPr>
      <w:rFonts w:ascii="Times New Roman Bold" w:hAnsi="Times New Roman Bold" w:cs="Times New Roman Bold"/>
      <w:b/>
      <w:bCs/>
      <w:sz w:val="26"/>
      <w:szCs w:val="26"/>
    </w:rPr>
  </w:style>
  <w:style w:type="character" w:customStyle="1" w:styleId="Heading4Char">
    <w:name w:val="Heading 4 Char"/>
    <w:link w:val="Heading4"/>
    <w:locked/>
    <w:rsid w:val="000B0D0F"/>
    <w:rPr>
      <w:b/>
      <w:bCs/>
      <w:i/>
      <w:iCs/>
      <w:sz w:val="24"/>
      <w:szCs w:val="24"/>
    </w:rPr>
  </w:style>
  <w:style w:type="character" w:customStyle="1" w:styleId="Heading5Char">
    <w:name w:val="Heading 5 Char"/>
    <w:link w:val="Heading5"/>
    <w:locked/>
    <w:rsid w:val="000B0D0F"/>
    <w:rPr>
      <w:i/>
      <w:iCs/>
      <w:sz w:val="24"/>
      <w:szCs w:val="24"/>
    </w:rPr>
  </w:style>
  <w:style w:type="character" w:customStyle="1" w:styleId="Heading6Char">
    <w:name w:val="Heading 6 Char"/>
    <w:link w:val="Heading6"/>
    <w:semiHidden/>
    <w:locked/>
    <w:rsid w:val="000B0D0F"/>
    <w:rPr>
      <w:rFonts w:ascii="Calibri" w:hAnsi="Calibri" w:cs="Times New Roman"/>
      <w:b/>
      <w:bCs/>
    </w:rPr>
  </w:style>
  <w:style w:type="character" w:customStyle="1" w:styleId="Heading7Char">
    <w:name w:val="Heading 7 Char"/>
    <w:link w:val="Heading7"/>
    <w:semiHidden/>
    <w:locked/>
    <w:rsid w:val="000B0D0F"/>
    <w:rPr>
      <w:rFonts w:ascii="Calibri" w:hAnsi="Calibri" w:cs="Times New Roman"/>
      <w:sz w:val="24"/>
      <w:szCs w:val="24"/>
    </w:rPr>
  </w:style>
  <w:style w:type="character" w:customStyle="1" w:styleId="Heading8Char">
    <w:name w:val="Heading 8 Char"/>
    <w:link w:val="Heading8"/>
    <w:semiHidden/>
    <w:locked/>
    <w:rsid w:val="000B0D0F"/>
    <w:rPr>
      <w:rFonts w:ascii="Calibri" w:hAnsi="Calibri" w:cs="Times New Roman"/>
      <w:i/>
      <w:iCs/>
      <w:sz w:val="24"/>
      <w:szCs w:val="24"/>
    </w:rPr>
  </w:style>
  <w:style w:type="character" w:customStyle="1" w:styleId="Heading9Char">
    <w:name w:val="Heading 9 Char"/>
    <w:link w:val="Heading9"/>
    <w:semiHidden/>
    <w:locked/>
    <w:rsid w:val="000B0D0F"/>
    <w:rPr>
      <w:rFonts w:ascii="Cambria" w:hAnsi="Cambria" w:cs="Times New Roman"/>
    </w:rPr>
  </w:style>
  <w:style w:type="paragraph" w:styleId="Header">
    <w:name w:val="header"/>
    <w:basedOn w:val="Normal"/>
    <w:link w:val="HeaderChar"/>
    <w:rsid w:val="002A4047"/>
    <w:pPr>
      <w:tabs>
        <w:tab w:val="right" w:pos="9000"/>
      </w:tabs>
      <w:spacing w:before="0" w:after="0"/>
    </w:pPr>
    <w:rPr>
      <w:b/>
      <w:bCs/>
      <w:sz w:val="20"/>
      <w:szCs w:val="20"/>
    </w:rPr>
  </w:style>
  <w:style w:type="character" w:customStyle="1" w:styleId="HeaderChar">
    <w:name w:val="Header Char"/>
    <w:link w:val="Header"/>
    <w:semiHidden/>
    <w:locked/>
    <w:rsid w:val="000B0D0F"/>
    <w:rPr>
      <w:rFonts w:cs="Times New Roman"/>
      <w:sz w:val="24"/>
      <w:szCs w:val="24"/>
    </w:rPr>
  </w:style>
  <w:style w:type="paragraph" w:styleId="Footer">
    <w:name w:val="footer"/>
    <w:basedOn w:val="Normal"/>
    <w:link w:val="FooterChar"/>
    <w:rsid w:val="002A4047"/>
    <w:pPr>
      <w:tabs>
        <w:tab w:val="center" w:pos="4500"/>
        <w:tab w:val="right" w:pos="9000"/>
      </w:tabs>
      <w:spacing w:before="0" w:after="0"/>
    </w:pPr>
    <w:rPr>
      <w:b/>
      <w:bCs/>
      <w:sz w:val="20"/>
      <w:szCs w:val="20"/>
    </w:rPr>
  </w:style>
  <w:style w:type="character" w:customStyle="1" w:styleId="FooterChar">
    <w:name w:val="Footer Char"/>
    <w:link w:val="Footer"/>
    <w:semiHidden/>
    <w:locked/>
    <w:rsid w:val="000B0D0F"/>
    <w:rPr>
      <w:rFonts w:cs="Times New Roman"/>
      <w:sz w:val="24"/>
      <w:szCs w:val="24"/>
    </w:rPr>
  </w:style>
  <w:style w:type="paragraph" w:customStyle="1" w:styleId="Appendix">
    <w:name w:val="Appendix"/>
    <w:basedOn w:val="Normal"/>
    <w:next w:val="Normal"/>
    <w:rsid w:val="002A4047"/>
    <w:pPr>
      <w:keepNext/>
      <w:pageBreakBefore/>
      <w:numPr>
        <w:numId w:val="10"/>
      </w:numPr>
      <w:tabs>
        <w:tab w:val="clear" w:pos="1152"/>
        <w:tab w:val="left" w:pos="1584"/>
      </w:tabs>
      <w:spacing w:before="240"/>
    </w:pPr>
    <w:rPr>
      <w:b/>
      <w:bCs/>
    </w:rPr>
  </w:style>
  <w:style w:type="paragraph" w:customStyle="1" w:styleId="Table">
    <w:name w:val="Table"/>
    <w:basedOn w:val="Normal"/>
    <w:next w:val="Normal"/>
    <w:semiHidden/>
    <w:rsid w:val="002A4047"/>
    <w:pPr>
      <w:tabs>
        <w:tab w:val="left" w:pos="1584"/>
      </w:tabs>
      <w:spacing w:before="0"/>
      <w:jc w:val="center"/>
    </w:pPr>
    <w:rPr>
      <w:b/>
      <w:bCs/>
    </w:rPr>
  </w:style>
  <w:style w:type="paragraph" w:customStyle="1" w:styleId="Guidance">
    <w:name w:val="Guidance"/>
    <w:basedOn w:val="Normal"/>
    <w:next w:val="Normal"/>
    <w:link w:val="GuidanceChar"/>
    <w:rsid w:val="002A4047"/>
    <w:rPr>
      <w:color w:val="008000"/>
    </w:rPr>
  </w:style>
  <w:style w:type="paragraph" w:customStyle="1" w:styleId="TitlePDetails">
    <w:name w:val="TitlePDetails"/>
    <w:basedOn w:val="Normal"/>
    <w:semiHidden/>
    <w:rsid w:val="002A4047"/>
    <w:pPr>
      <w:spacing w:before="0" w:after="240" w:line="360" w:lineRule="auto"/>
      <w:ind w:left="2160" w:hanging="2160"/>
    </w:pPr>
  </w:style>
  <w:style w:type="table" w:styleId="TableGrid">
    <w:name w:val="Table Grid"/>
    <w:basedOn w:val="TableNormal"/>
    <w:semiHidden/>
    <w:rsid w:val="002A404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0">
    <w:name w:val="TableText10"/>
    <w:basedOn w:val="Normal"/>
    <w:rsid w:val="002A4047"/>
    <w:pPr>
      <w:spacing w:before="0" w:after="0"/>
    </w:pPr>
    <w:rPr>
      <w:sz w:val="20"/>
      <w:szCs w:val="20"/>
    </w:rPr>
  </w:style>
  <w:style w:type="paragraph" w:customStyle="1" w:styleId="TableHeader10">
    <w:name w:val="TableHeader10"/>
    <w:basedOn w:val="TableText10"/>
    <w:rsid w:val="002A4047"/>
    <w:pPr>
      <w:jc w:val="center"/>
    </w:pPr>
    <w:rPr>
      <w:b/>
      <w:bCs/>
    </w:rPr>
  </w:style>
  <w:style w:type="paragraph" w:customStyle="1" w:styleId="TableSource10">
    <w:name w:val="TableSource10"/>
    <w:basedOn w:val="TableText10"/>
    <w:next w:val="Normal"/>
    <w:rsid w:val="002A4047"/>
    <w:pPr>
      <w:spacing w:before="120" w:after="120"/>
    </w:pPr>
  </w:style>
  <w:style w:type="paragraph" w:customStyle="1" w:styleId="Heading1NoNumb">
    <w:name w:val="Heading 1NoNumb"/>
    <w:basedOn w:val="Heading1"/>
    <w:next w:val="Normal"/>
    <w:rsid w:val="002A4047"/>
    <w:pPr>
      <w:numPr>
        <w:numId w:val="0"/>
      </w:numPr>
      <w:tabs>
        <w:tab w:val="left" w:pos="504"/>
      </w:tabs>
    </w:pPr>
  </w:style>
  <w:style w:type="paragraph" w:customStyle="1" w:styleId="Heading2NoNumb">
    <w:name w:val="Heading 2NoNumb"/>
    <w:basedOn w:val="Heading2"/>
    <w:next w:val="Normal"/>
    <w:rsid w:val="002A4047"/>
    <w:pPr>
      <w:numPr>
        <w:ilvl w:val="0"/>
        <w:numId w:val="0"/>
      </w:numPr>
      <w:tabs>
        <w:tab w:val="left" w:pos="504"/>
      </w:tabs>
    </w:pPr>
  </w:style>
  <w:style w:type="paragraph" w:customStyle="1" w:styleId="Heading3NoNumb">
    <w:name w:val="Heading 3NoNumb"/>
    <w:basedOn w:val="Heading3"/>
    <w:next w:val="Normal"/>
    <w:rsid w:val="002A4047"/>
    <w:pPr>
      <w:numPr>
        <w:ilvl w:val="0"/>
        <w:numId w:val="0"/>
      </w:numPr>
      <w:tabs>
        <w:tab w:val="left" w:pos="504"/>
      </w:tabs>
    </w:pPr>
  </w:style>
  <w:style w:type="paragraph" w:customStyle="1" w:styleId="Heading4NoNumb">
    <w:name w:val="Heading 4NoNumb"/>
    <w:basedOn w:val="Heading4"/>
    <w:next w:val="Normal"/>
    <w:rsid w:val="002A4047"/>
    <w:pPr>
      <w:numPr>
        <w:ilvl w:val="0"/>
        <w:numId w:val="0"/>
      </w:numPr>
      <w:tabs>
        <w:tab w:val="left" w:pos="504"/>
      </w:tabs>
    </w:pPr>
  </w:style>
  <w:style w:type="paragraph" w:customStyle="1" w:styleId="Heading5NoNumb">
    <w:name w:val="Heading 5NoNumb"/>
    <w:basedOn w:val="Heading5"/>
    <w:next w:val="Normal"/>
    <w:rsid w:val="002A4047"/>
    <w:pPr>
      <w:numPr>
        <w:ilvl w:val="0"/>
        <w:numId w:val="0"/>
      </w:numPr>
      <w:tabs>
        <w:tab w:val="left" w:pos="504"/>
      </w:tabs>
    </w:pPr>
  </w:style>
  <w:style w:type="paragraph" w:customStyle="1" w:styleId="HeaderLand">
    <w:name w:val="HeaderLand"/>
    <w:basedOn w:val="Header"/>
    <w:rsid w:val="002A4047"/>
    <w:pPr>
      <w:tabs>
        <w:tab w:val="clear" w:pos="9000"/>
        <w:tab w:val="right" w:pos="12960"/>
      </w:tabs>
    </w:pPr>
  </w:style>
  <w:style w:type="paragraph" w:customStyle="1" w:styleId="FooterLand">
    <w:name w:val="FooterLand"/>
    <w:basedOn w:val="Footer"/>
    <w:rsid w:val="002A4047"/>
    <w:pPr>
      <w:tabs>
        <w:tab w:val="clear" w:pos="4500"/>
        <w:tab w:val="clear" w:pos="9000"/>
        <w:tab w:val="center" w:pos="6480"/>
        <w:tab w:val="right" w:pos="12960"/>
      </w:tabs>
    </w:pPr>
  </w:style>
  <w:style w:type="paragraph" w:customStyle="1" w:styleId="NormalSingleNoSpace">
    <w:name w:val="NormalSingleNoSpace"/>
    <w:basedOn w:val="Normal"/>
    <w:semiHidden/>
    <w:rsid w:val="002A4047"/>
    <w:pPr>
      <w:spacing w:before="0" w:after="0"/>
    </w:pPr>
  </w:style>
  <w:style w:type="paragraph" w:customStyle="1" w:styleId="Figure">
    <w:name w:val="Figure"/>
    <w:basedOn w:val="Normal"/>
    <w:next w:val="Normal"/>
    <w:rsid w:val="002A4047"/>
    <w:pPr>
      <w:tabs>
        <w:tab w:val="left" w:pos="1728"/>
      </w:tabs>
      <w:spacing w:before="0"/>
      <w:jc w:val="center"/>
    </w:pPr>
    <w:rPr>
      <w:b/>
      <w:bCs/>
    </w:rPr>
  </w:style>
  <w:style w:type="paragraph" w:customStyle="1" w:styleId="TableText9">
    <w:name w:val="TableText9"/>
    <w:basedOn w:val="TableText10"/>
    <w:rsid w:val="002A4047"/>
    <w:rPr>
      <w:sz w:val="18"/>
      <w:szCs w:val="18"/>
    </w:rPr>
  </w:style>
  <w:style w:type="paragraph" w:customStyle="1" w:styleId="TableHeader9">
    <w:name w:val="TableHeader9"/>
    <w:basedOn w:val="TableText9"/>
    <w:rsid w:val="002A4047"/>
    <w:pPr>
      <w:jc w:val="center"/>
    </w:pPr>
    <w:rPr>
      <w:b/>
      <w:bCs/>
    </w:rPr>
  </w:style>
  <w:style w:type="paragraph" w:customStyle="1" w:styleId="List1">
    <w:name w:val="List1"/>
    <w:basedOn w:val="Normal"/>
    <w:rsid w:val="002A4047"/>
    <w:pPr>
      <w:numPr>
        <w:ilvl w:val="5"/>
        <w:numId w:val="12"/>
      </w:numPr>
    </w:pPr>
  </w:style>
  <w:style w:type="paragraph" w:customStyle="1" w:styleId="List2">
    <w:name w:val="List2"/>
    <w:basedOn w:val="Normal"/>
    <w:rsid w:val="002A4047"/>
    <w:pPr>
      <w:numPr>
        <w:ilvl w:val="6"/>
        <w:numId w:val="12"/>
      </w:numPr>
    </w:pPr>
  </w:style>
  <w:style w:type="paragraph" w:styleId="TOC1">
    <w:name w:val="toc 1"/>
    <w:basedOn w:val="Normal"/>
    <w:next w:val="Normal"/>
    <w:autoRedefine/>
    <w:semiHidden/>
    <w:rsid w:val="002A4047"/>
    <w:pPr>
      <w:tabs>
        <w:tab w:val="left" w:pos="1584"/>
        <w:tab w:val="right" w:leader="dot" w:pos="9000"/>
      </w:tabs>
      <w:spacing w:after="0"/>
      <w:ind w:left="1584" w:right="432" w:hanging="1584"/>
    </w:pPr>
    <w:rPr>
      <w:b/>
      <w:bCs/>
      <w:caps/>
      <w:noProof/>
      <w:color w:val="000000"/>
    </w:rPr>
  </w:style>
  <w:style w:type="paragraph" w:styleId="TOC2">
    <w:name w:val="toc 2"/>
    <w:basedOn w:val="Normal"/>
    <w:next w:val="Normal"/>
    <w:autoRedefine/>
    <w:semiHidden/>
    <w:rsid w:val="002A4047"/>
    <w:pPr>
      <w:tabs>
        <w:tab w:val="left" w:pos="1584"/>
        <w:tab w:val="right" w:leader="dot" w:pos="9000"/>
      </w:tabs>
      <w:spacing w:before="0" w:after="0"/>
      <w:ind w:left="1584" w:right="432" w:hanging="1584"/>
    </w:pPr>
    <w:rPr>
      <w:b/>
      <w:bCs/>
      <w:noProof/>
      <w:color w:val="000000"/>
    </w:rPr>
  </w:style>
  <w:style w:type="paragraph" w:styleId="TOC3">
    <w:name w:val="toc 3"/>
    <w:basedOn w:val="Normal"/>
    <w:next w:val="Normal"/>
    <w:autoRedefine/>
    <w:semiHidden/>
    <w:rsid w:val="002A4047"/>
    <w:pPr>
      <w:tabs>
        <w:tab w:val="left" w:pos="1584"/>
        <w:tab w:val="right" w:leader="dot" w:pos="9000"/>
      </w:tabs>
      <w:spacing w:before="0" w:after="0"/>
      <w:ind w:left="1584" w:right="432" w:hanging="1584"/>
    </w:pPr>
    <w:rPr>
      <w:b/>
      <w:bCs/>
      <w:noProof/>
      <w:color w:val="000000"/>
    </w:rPr>
  </w:style>
  <w:style w:type="paragraph" w:styleId="TOC4">
    <w:name w:val="toc 4"/>
    <w:basedOn w:val="Normal"/>
    <w:next w:val="Normal"/>
    <w:autoRedefine/>
    <w:semiHidden/>
    <w:rsid w:val="002A4047"/>
    <w:pPr>
      <w:tabs>
        <w:tab w:val="left" w:pos="1584"/>
        <w:tab w:val="right" w:leader="dot" w:pos="9000"/>
      </w:tabs>
      <w:spacing w:before="0" w:after="0"/>
      <w:ind w:left="1584" w:right="432" w:hanging="1584"/>
    </w:pPr>
    <w:rPr>
      <w:b/>
      <w:bCs/>
      <w:i/>
      <w:iCs/>
      <w:noProof/>
      <w:color w:val="000000"/>
    </w:rPr>
  </w:style>
  <w:style w:type="character" w:styleId="Hyperlink">
    <w:name w:val="Hyperlink"/>
    <w:rsid w:val="002A4047"/>
    <w:rPr>
      <w:rFonts w:cs="Times New Roman"/>
      <w:color w:val="0000FF"/>
      <w:u w:val="none"/>
      <w:vertAlign w:val="baseline"/>
    </w:rPr>
  </w:style>
  <w:style w:type="paragraph" w:styleId="TOC7">
    <w:name w:val="toc 7"/>
    <w:basedOn w:val="Normal"/>
    <w:next w:val="Normal"/>
    <w:autoRedefine/>
    <w:semiHidden/>
    <w:rsid w:val="002A4047"/>
    <w:pPr>
      <w:tabs>
        <w:tab w:val="left" w:pos="1008"/>
        <w:tab w:val="right" w:leader="dot" w:pos="9000"/>
      </w:tabs>
      <w:spacing w:before="0" w:after="0"/>
      <w:ind w:left="1008" w:right="432" w:hanging="1008"/>
    </w:pPr>
    <w:rPr>
      <w:b/>
      <w:bCs/>
    </w:rPr>
  </w:style>
  <w:style w:type="paragraph" w:styleId="TOC8">
    <w:name w:val="toc 8"/>
    <w:basedOn w:val="Normal"/>
    <w:next w:val="Normal"/>
    <w:autoRedefine/>
    <w:semiHidden/>
    <w:rsid w:val="002A4047"/>
    <w:pPr>
      <w:tabs>
        <w:tab w:val="left" w:pos="1152"/>
        <w:tab w:val="right" w:leader="dot" w:pos="9000"/>
      </w:tabs>
      <w:spacing w:before="0" w:after="0"/>
      <w:ind w:left="1152" w:right="432" w:hanging="1152"/>
    </w:pPr>
    <w:rPr>
      <w:b/>
      <w:bCs/>
      <w:noProof/>
    </w:rPr>
  </w:style>
  <w:style w:type="paragraph" w:styleId="TOC9">
    <w:name w:val="toc 9"/>
    <w:basedOn w:val="Normal"/>
    <w:next w:val="Normal"/>
    <w:autoRedefine/>
    <w:semiHidden/>
    <w:rsid w:val="002A4047"/>
    <w:pPr>
      <w:tabs>
        <w:tab w:val="left" w:pos="1584"/>
        <w:tab w:val="right" w:leader="dot" w:pos="9000"/>
      </w:tabs>
      <w:spacing w:before="0" w:after="0"/>
      <w:ind w:left="1584" w:right="432" w:hanging="1584"/>
    </w:pPr>
    <w:rPr>
      <w:b/>
      <w:bCs/>
      <w:noProof/>
      <w:color w:val="000000"/>
    </w:rPr>
  </w:style>
  <w:style w:type="paragraph" w:customStyle="1" w:styleId="TableNotes9">
    <w:name w:val="TableNotes9"/>
    <w:basedOn w:val="TableText10"/>
    <w:next w:val="Normal"/>
    <w:rsid w:val="002A4047"/>
    <w:pPr>
      <w:spacing w:before="120" w:after="120"/>
      <w:ind w:left="576" w:hanging="576"/>
    </w:pPr>
    <w:rPr>
      <w:sz w:val="18"/>
      <w:szCs w:val="18"/>
    </w:rPr>
  </w:style>
  <w:style w:type="paragraph" w:customStyle="1" w:styleId="TableText8">
    <w:name w:val="TableText8"/>
    <w:basedOn w:val="Normal"/>
    <w:rsid w:val="002A4047"/>
    <w:pPr>
      <w:spacing w:before="0" w:after="0"/>
    </w:pPr>
    <w:rPr>
      <w:sz w:val="16"/>
      <w:szCs w:val="16"/>
    </w:rPr>
  </w:style>
  <w:style w:type="paragraph" w:customStyle="1" w:styleId="TableHeader8">
    <w:name w:val="TableHeader8"/>
    <w:basedOn w:val="TableText8"/>
    <w:rsid w:val="002A4047"/>
    <w:pPr>
      <w:jc w:val="center"/>
    </w:pPr>
    <w:rPr>
      <w:b/>
      <w:bCs/>
    </w:rPr>
  </w:style>
  <w:style w:type="paragraph" w:customStyle="1" w:styleId="TableSource9">
    <w:name w:val="TableSource9"/>
    <w:basedOn w:val="TableText9"/>
    <w:next w:val="Normal"/>
    <w:rsid w:val="002A4047"/>
    <w:pPr>
      <w:spacing w:before="120" w:after="120"/>
    </w:pPr>
  </w:style>
  <w:style w:type="paragraph" w:customStyle="1" w:styleId="TableSource8">
    <w:name w:val="TableSource8"/>
    <w:basedOn w:val="TableText8"/>
    <w:next w:val="Normal"/>
    <w:rsid w:val="002A4047"/>
    <w:pPr>
      <w:spacing w:before="120" w:after="120"/>
    </w:pPr>
  </w:style>
  <w:style w:type="paragraph" w:customStyle="1" w:styleId="TableCont">
    <w:name w:val="TableCont"/>
    <w:basedOn w:val="Table"/>
    <w:next w:val="Normal"/>
    <w:rsid w:val="002A4047"/>
    <w:rPr>
      <w:noProof/>
    </w:rPr>
  </w:style>
  <w:style w:type="character" w:styleId="FollowedHyperlink">
    <w:name w:val="FollowedHyperlink"/>
    <w:semiHidden/>
    <w:rsid w:val="002A4047"/>
    <w:rPr>
      <w:rFonts w:cs="Times New Roman"/>
      <w:color w:val="800080"/>
      <w:u w:val="single"/>
    </w:rPr>
  </w:style>
  <w:style w:type="paragraph" w:customStyle="1" w:styleId="DocTitle">
    <w:name w:val="DocTitle"/>
    <w:basedOn w:val="Normal"/>
    <w:semiHidden/>
    <w:rsid w:val="002A4047"/>
    <w:pPr>
      <w:spacing w:before="240" w:after="240"/>
      <w:jc w:val="center"/>
    </w:pPr>
    <w:rPr>
      <w:b/>
      <w:bCs/>
      <w:sz w:val="28"/>
      <w:szCs w:val="28"/>
    </w:rPr>
  </w:style>
  <w:style w:type="paragraph" w:customStyle="1" w:styleId="Instructions">
    <w:name w:val="Instructions"/>
    <w:basedOn w:val="Normal"/>
    <w:next w:val="Normal"/>
    <w:link w:val="InstructionsChar"/>
    <w:rsid w:val="002A4047"/>
    <w:rPr>
      <w:color w:val="FF0000"/>
    </w:rPr>
  </w:style>
  <w:style w:type="paragraph" w:customStyle="1" w:styleId="DocTitleText">
    <w:name w:val="DocTitleText"/>
    <w:basedOn w:val="DocTitle"/>
    <w:semiHidden/>
    <w:rsid w:val="002A4047"/>
    <w:rPr>
      <w:sz w:val="24"/>
      <w:szCs w:val="24"/>
    </w:rPr>
  </w:style>
  <w:style w:type="paragraph" w:customStyle="1" w:styleId="NormalNoSpace">
    <w:name w:val="NormalNoSpace"/>
    <w:basedOn w:val="Normal"/>
    <w:rsid w:val="002A4047"/>
    <w:pPr>
      <w:spacing w:before="0" w:after="0"/>
    </w:pPr>
  </w:style>
  <w:style w:type="paragraph" w:styleId="Title">
    <w:name w:val="Title"/>
    <w:basedOn w:val="Heading1NoNumb"/>
    <w:next w:val="Normal"/>
    <w:link w:val="TitleChar"/>
    <w:qFormat/>
    <w:rsid w:val="002A4047"/>
    <w:pPr>
      <w:jc w:val="center"/>
      <w:outlineLvl w:val="9"/>
    </w:pPr>
  </w:style>
  <w:style w:type="character" w:customStyle="1" w:styleId="TitleChar">
    <w:name w:val="Title Char"/>
    <w:link w:val="Title"/>
    <w:locked/>
    <w:rsid w:val="000B0D0F"/>
    <w:rPr>
      <w:rFonts w:ascii="Cambria" w:hAnsi="Cambria" w:cs="Times New Roman"/>
      <w:b/>
      <w:bCs/>
      <w:kern w:val="28"/>
      <w:sz w:val="32"/>
      <w:szCs w:val="32"/>
    </w:rPr>
  </w:style>
  <w:style w:type="paragraph" w:customStyle="1" w:styleId="TableNotes8">
    <w:name w:val="TableNotes8"/>
    <w:basedOn w:val="TableText9"/>
    <w:next w:val="Normal"/>
    <w:rsid w:val="002A4047"/>
    <w:pPr>
      <w:spacing w:before="120" w:after="120"/>
      <w:ind w:left="576" w:hanging="576"/>
    </w:pPr>
    <w:rPr>
      <w:sz w:val="16"/>
      <w:szCs w:val="16"/>
    </w:rPr>
  </w:style>
  <w:style w:type="paragraph" w:customStyle="1" w:styleId="FigureSource">
    <w:name w:val="FigureSource"/>
    <w:basedOn w:val="Normal"/>
    <w:next w:val="Normal"/>
    <w:rsid w:val="002A4047"/>
    <w:pPr>
      <w:spacing w:before="0" w:after="0"/>
    </w:pPr>
    <w:rPr>
      <w:sz w:val="20"/>
      <w:szCs w:val="20"/>
    </w:rPr>
  </w:style>
  <w:style w:type="paragraph" w:customStyle="1" w:styleId="Bullet">
    <w:name w:val="Bullet"/>
    <w:basedOn w:val="Normal"/>
    <w:semiHidden/>
    <w:rsid w:val="002A4047"/>
  </w:style>
  <w:style w:type="paragraph" w:customStyle="1" w:styleId="List4">
    <w:name w:val="List4"/>
    <w:basedOn w:val="Normal"/>
    <w:rsid w:val="002A4047"/>
    <w:pPr>
      <w:numPr>
        <w:ilvl w:val="8"/>
        <w:numId w:val="12"/>
      </w:numPr>
    </w:pPr>
  </w:style>
  <w:style w:type="paragraph" w:customStyle="1" w:styleId="List3">
    <w:name w:val="List3"/>
    <w:basedOn w:val="Normal"/>
    <w:rsid w:val="002A4047"/>
    <w:pPr>
      <w:numPr>
        <w:ilvl w:val="7"/>
        <w:numId w:val="12"/>
      </w:numPr>
    </w:pPr>
  </w:style>
  <w:style w:type="paragraph" w:styleId="Caption">
    <w:name w:val="caption"/>
    <w:basedOn w:val="Normal"/>
    <w:next w:val="Normal"/>
    <w:qFormat/>
    <w:rsid w:val="002A4047"/>
    <w:rPr>
      <w:b/>
      <w:bCs/>
      <w:sz w:val="20"/>
      <w:szCs w:val="20"/>
    </w:rPr>
  </w:style>
  <w:style w:type="paragraph" w:styleId="TableofFigures">
    <w:name w:val="table of figures"/>
    <w:basedOn w:val="Normal"/>
    <w:next w:val="Normal"/>
    <w:semiHidden/>
    <w:rsid w:val="002A4047"/>
    <w:pPr>
      <w:tabs>
        <w:tab w:val="left" w:pos="1728"/>
        <w:tab w:val="right" w:leader="dot" w:pos="9000"/>
      </w:tabs>
      <w:spacing w:before="0" w:after="0"/>
      <w:ind w:left="1728" w:hanging="1728"/>
    </w:pPr>
    <w:rPr>
      <w:b/>
      <w:bCs/>
      <w:color w:val="000000"/>
    </w:rPr>
  </w:style>
  <w:style w:type="paragraph" w:styleId="BlockText">
    <w:name w:val="Block Text"/>
    <w:basedOn w:val="Normal"/>
    <w:semiHidden/>
    <w:rsid w:val="002A4047"/>
    <w:pPr>
      <w:ind w:left="1440" w:right="1440"/>
    </w:pPr>
  </w:style>
  <w:style w:type="paragraph" w:styleId="BodyText">
    <w:name w:val="Body Text"/>
    <w:basedOn w:val="Normal"/>
    <w:link w:val="BodyTextChar"/>
    <w:semiHidden/>
    <w:rsid w:val="002A4047"/>
  </w:style>
  <w:style w:type="character" w:customStyle="1" w:styleId="BodyTextChar">
    <w:name w:val="Body Text Char"/>
    <w:link w:val="BodyText"/>
    <w:semiHidden/>
    <w:locked/>
    <w:rsid w:val="000B0D0F"/>
    <w:rPr>
      <w:rFonts w:cs="Times New Roman"/>
      <w:sz w:val="24"/>
      <w:szCs w:val="24"/>
    </w:rPr>
  </w:style>
  <w:style w:type="paragraph" w:styleId="BodyText2">
    <w:name w:val="Body Text 2"/>
    <w:basedOn w:val="Normal"/>
    <w:link w:val="BodyText2Char"/>
    <w:semiHidden/>
    <w:rsid w:val="002A4047"/>
    <w:pPr>
      <w:spacing w:line="480" w:lineRule="auto"/>
    </w:pPr>
  </w:style>
  <w:style w:type="character" w:customStyle="1" w:styleId="BodyText2Char">
    <w:name w:val="Body Text 2 Char"/>
    <w:link w:val="BodyText2"/>
    <w:semiHidden/>
    <w:locked/>
    <w:rsid w:val="000B0D0F"/>
    <w:rPr>
      <w:rFonts w:cs="Times New Roman"/>
      <w:sz w:val="24"/>
      <w:szCs w:val="24"/>
    </w:rPr>
  </w:style>
  <w:style w:type="paragraph" w:styleId="BodyText3">
    <w:name w:val="Body Text 3"/>
    <w:basedOn w:val="Normal"/>
    <w:link w:val="BodyText3Char"/>
    <w:semiHidden/>
    <w:rsid w:val="002A4047"/>
    <w:rPr>
      <w:sz w:val="16"/>
      <w:szCs w:val="16"/>
    </w:rPr>
  </w:style>
  <w:style w:type="character" w:customStyle="1" w:styleId="BodyText3Char">
    <w:name w:val="Body Text 3 Char"/>
    <w:link w:val="BodyText3"/>
    <w:semiHidden/>
    <w:locked/>
    <w:rsid w:val="000B0D0F"/>
    <w:rPr>
      <w:rFonts w:cs="Times New Roman"/>
      <w:sz w:val="16"/>
      <w:szCs w:val="16"/>
    </w:rPr>
  </w:style>
  <w:style w:type="paragraph" w:styleId="BodyTextFirstIndent">
    <w:name w:val="Body Text First Indent"/>
    <w:basedOn w:val="BodyText"/>
    <w:link w:val="BodyTextFirstIndentChar"/>
    <w:semiHidden/>
    <w:rsid w:val="002A4047"/>
    <w:pPr>
      <w:ind w:firstLine="210"/>
    </w:pPr>
  </w:style>
  <w:style w:type="character" w:customStyle="1" w:styleId="BodyTextFirstIndentChar">
    <w:name w:val="Body Text First Indent Char"/>
    <w:basedOn w:val="BodyTextChar"/>
    <w:link w:val="BodyTextFirstIndent"/>
    <w:semiHidden/>
    <w:locked/>
    <w:rsid w:val="000B0D0F"/>
    <w:rPr>
      <w:rFonts w:cs="Times New Roman"/>
      <w:sz w:val="24"/>
      <w:szCs w:val="24"/>
    </w:rPr>
  </w:style>
  <w:style w:type="paragraph" w:styleId="BodyTextIndent">
    <w:name w:val="Body Text Indent"/>
    <w:basedOn w:val="Normal"/>
    <w:link w:val="BodyTextIndentChar"/>
    <w:semiHidden/>
    <w:rsid w:val="002A4047"/>
    <w:pPr>
      <w:ind w:left="283"/>
    </w:pPr>
  </w:style>
  <w:style w:type="character" w:customStyle="1" w:styleId="BodyTextIndentChar">
    <w:name w:val="Body Text Indent Char"/>
    <w:link w:val="BodyTextIndent"/>
    <w:semiHidden/>
    <w:locked/>
    <w:rsid w:val="000B0D0F"/>
    <w:rPr>
      <w:rFonts w:cs="Times New Roman"/>
      <w:sz w:val="24"/>
      <w:szCs w:val="24"/>
    </w:rPr>
  </w:style>
  <w:style w:type="paragraph" w:styleId="BodyTextFirstIndent2">
    <w:name w:val="Body Text First Indent 2"/>
    <w:basedOn w:val="BodyTextIndent"/>
    <w:link w:val="BodyTextFirstIndent2Char"/>
    <w:semiHidden/>
    <w:rsid w:val="002A4047"/>
    <w:pPr>
      <w:ind w:firstLine="210"/>
    </w:pPr>
  </w:style>
  <w:style w:type="character" w:customStyle="1" w:styleId="BodyTextFirstIndent2Char">
    <w:name w:val="Body Text First Indent 2 Char"/>
    <w:basedOn w:val="BodyTextIndentChar"/>
    <w:link w:val="BodyTextFirstIndent2"/>
    <w:semiHidden/>
    <w:locked/>
    <w:rsid w:val="000B0D0F"/>
    <w:rPr>
      <w:rFonts w:cs="Times New Roman"/>
      <w:sz w:val="24"/>
      <w:szCs w:val="24"/>
    </w:rPr>
  </w:style>
  <w:style w:type="paragraph" w:styleId="BodyTextIndent2">
    <w:name w:val="Body Text Indent 2"/>
    <w:basedOn w:val="Normal"/>
    <w:link w:val="BodyTextIndent2Char"/>
    <w:semiHidden/>
    <w:rsid w:val="002A4047"/>
    <w:pPr>
      <w:spacing w:line="480" w:lineRule="auto"/>
      <w:ind w:left="283"/>
    </w:pPr>
  </w:style>
  <w:style w:type="character" w:customStyle="1" w:styleId="BodyTextIndent2Char">
    <w:name w:val="Body Text Indent 2 Char"/>
    <w:link w:val="BodyTextIndent2"/>
    <w:semiHidden/>
    <w:locked/>
    <w:rsid w:val="000B0D0F"/>
    <w:rPr>
      <w:rFonts w:cs="Times New Roman"/>
      <w:sz w:val="24"/>
      <w:szCs w:val="24"/>
    </w:rPr>
  </w:style>
  <w:style w:type="paragraph" w:styleId="BodyTextIndent3">
    <w:name w:val="Body Text Indent 3"/>
    <w:basedOn w:val="Normal"/>
    <w:link w:val="BodyTextIndent3Char"/>
    <w:semiHidden/>
    <w:rsid w:val="002A4047"/>
    <w:pPr>
      <w:ind w:left="283"/>
    </w:pPr>
    <w:rPr>
      <w:sz w:val="16"/>
      <w:szCs w:val="16"/>
    </w:rPr>
  </w:style>
  <w:style w:type="character" w:customStyle="1" w:styleId="BodyTextIndent3Char">
    <w:name w:val="Body Text Indent 3 Char"/>
    <w:link w:val="BodyTextIndent3"/>
    <w:semiHidden/>
    <w:locked/>
    <w:rsid w:val="000B0D0F"/>
    <w:rPr>
      <w:rFonts w:cs="Times New Roman"/>
      <w:sz w:val="16"/>
      <w:szCs w:val="16"/>
    </w:rPr>
  </w:style>
  <w:style w:type="paragraph" w:styleId="Closing">
    <w:name w:val="Closing"/>
    <w:basedOn w:val="Normal"/>
    <w:link w:val="ClosingChar"/>
    <w:semiHidden/>
    <w:rsid w:val="002A4047"/>
    <w:pPr>
      <w:ind w:left="4252"/>
    </w:pPr>
  </w:style>
  <w:style w:type="character" w:customStyle="1" w:styleId="ClosingChar">
    <w:name w:val="Closing Char"/>
    <w:link w:val="Closing"/>
    <w:semiHidden/>
    <w:locked/>
    <w:rsid w:val="000B0D0F"/>
    <w:rPr>
      <w:rFonts w:cs="Times New Roman"/>
      <w:sz w:val="24"/>
      <w:szCs w:val="24"/>
    </w:rPr>
  </w:style>
  <w:style w:type="paragraph" w:styleId="Date">
    <w:name w:val="Date"/>
    <w:basedOn w:val="Normal"/>
    <w:next w:val="Normal"/>
    <w:link w:val="DateChar"/>
    <w:semiHidden/>
    <w:rsid w:val="002A4047"/>
  </w:style>
  <w:style w:type="character" w:customStyle="1" w:styleId="DateChar">
    <w:name w:val="Date Char"/>
    <w:link w:val="Date"/>
    <w:semiHidden/>
    <w:locked/>
    <w:rsid w:val="000B0D0F"/>
    <w:rPr>
      <w:rFonts w:cs="Times New Roman"/>
      <w:sz w:val="24"/>
      <w:szCs w:val="24"/>
    </w:rPr>
  </w:style>
  <w:style w:type="paragraph" w:styleId="E-mailSignature">
    <w:name w:val="E-mail Signature"/>
    <w:basedOn w:val="Normal"/>
    <w:link w:val="E-mailSignatureChar"/>
    <w:semiHidden/>
    <w:rsid w:val="002A4047"/>
  </w:style>
  <w:style w:type="character" w:customStyle="1" w:styleId="E-mailSignatureChar">
    <w:name w:val="E-mail Signature Char"/>
    <w:link w:val="E-mailSignature"/>
    <w:semiHidden/>
    <w:locked/>
    <w:rsid w:val="000B0D0F"/>
    <w:rPr>
      <w:rFonts w:cs="Times New Roman"/>
      <w:sz w:val="24"/>
      <w:szCs w:val="24"/>
    </w:rPr>
  </w:style>
  <w:style w:type="character" w:styleId="Emphasis">
    <w:name w:val="Emphasis"/>
    <w:qFormat/>
    <w:rsid w:val="002A4047"/>
    <w:rPr>
      <w:rFonts w:cs="Times New Roman"/>
      <w:i/>
      <w:iCs/>
    </w:rPr>
  </w:style>
  <w:style w:type="paragraph" w:styleId="EnvelopeAddress">
    <w:name w:val="envelope address"/>
    <w:basedOn w:val="Normal"/>
    <w:semiHidden/>
    <w:rsid w:val="002A4047"/>
    <w:pPr>
      <w:framePr w:w="7920" w:h="1980" w:hRule="exact" w:hSpace="180" w:wrap="auto" w:hAnchor="page" w:xAlign="center" w:yAlign="bottom"/>
      <w:ind w:left="2880"/>
    </w:pPr>
  </w:style>
  <w:style w:type="paragraph" w:styleId="EnvelopeReturn">
    <w:name w:val="envelope return"/>
    <w:basedOn w:val="Normal"/>
    <w:semiHidden/>
    <w:rsid w:val="002A4047"/>
    <w:rPr>
      <w:sz w:val="20"/>
      <w:szCs w:val="20"/>
    </w:rPr>
  </w:style>
  <w:style w:type="character" w:styleId="HTMLAcronym">
    <w:name w:val="HTML Acronym"/>
    <w:semiHidden/>
    <w:rsid w:val="002A4047"/>
    <w:rPr>
      <w:rFonts w:cs="Times New Roman"/>
    </w:rPr>
  </w:style>
  <w:style w:type="paragraph" w:styleId="HTMLAddress">
    <w:name w:val="HTML Address"/>
    <w:basedOn w:val="Normal"/>
    <w:link w:val="HTMLAddressChar"/>
    <w:semiHidden/>
    <w:rsid w:val="002A4047"/>
    <w:rPr>
      <w:i/>
      <w:iCs/>
    </w:rPr>
  </w:style>
  <w:style w:type="character" w:customStyle="1" w:styleId="HTMLAddressChar">
    <w:name w:val="HTML Address Char"/>
    <w:link w:val="HTMLAddress"/>
    <w:semiHidden/>
    <w:locked/>
    <w:rsid w:val="000B0D0F"/>
    <w:rPr>
      <w:rFonts w:cs="Times New Roman"/>
      <w:i/>
      <w:iCs/>
      <w:sz w:val="24"/>
      <w:szCs w:val="24"/>
    </w:rPr>
  </w:style>
  <w:style w:type="character" w:styleId="HTMLCite">
    <w:name w:val="HTML Cite"/>
    <w:semiHidden/>
    <w:rsid w:val="002A4047"/>
    <w:rPr>
      <w:rFonts w:cs="Times New Roman"/>
      <w:i/>
      <w:iCs/>
    </w:rPr>
  </w:style>
  <w:style w:type="character" w:styleId="HTMLCode">
    <w:name w:val="HTML Code"/>
    <w:semiHidden/>
    <w:rsid w:val="002A4047"/>
    <w:rPr>
      <w:rFonts w:ascii="Courier New" w:hAnsi="Courier New" w:cs="Courier New"/>
      <w:sz w:val="20"/>
      <w:szCs w:val="20"/>
    </w:rPr>
  </w:style>
  <w:style w:type="character" w:styleId="HTMLDefinition">
    <w:name w:val="HTML Definition"/>
    <w:semiHidden/>
    <w:rsid w:val="002A4047"/>
    <w:rPr>
      <w:rFonts w:cs="Times New Roman"/>
      <w:i/>
      <w:iCs/>
    </w:rPr>
  </w:style>
  <w:style w:type="character" w:styleId="HTMLKeyboard">
    <w:name w:val="HTML Keyboard"/>
    <w:semiHidden/>
    <w:rsid w:val="002A4047"/>
    <w:rPr>
      <w:rFonts w:ascii="Courier New" w:hAnsi="Courier New" w:cs="Courier New"/>
      <w:sz w:val="20"/>
      <w:szCs w:val="20"/>
    </w:rPr>
  </w:style>
  <w:style w:type="paragraph" w:styleId="HTMLPreformatted">
    <w:name w:val="HTML Preformatted"/>
    <w:basedOn w:val="Normal"/>
    <w:link w:val="HTMLPreformattedChar"/>
    <w:semiHidden/>
    <w:rsid w:val="002A4047"/>
    <w:rPr>
      <w:rFonts w:ascii="Courier New" w:hAnsi="Courier New" w:cs="Courier New"/>
      <w:sz w:val="20"/>
      <w:szCs w:val="20"/>
    </w:rPr>
  </w:style>
  <w:style w:type="character" w:customStyle="1" w:styleId="HTMLPreformattedChar">
    <w:name w:val="HTML Preformatted Char"/>
    <w:link w:val="HTMLPreformatted"/>
    <w:semiHidden/>
    <w:locked/>
    <w:rsid w:val="000B0D0F"/>
    <w:rPr>
      <w:rFonts w:ascii="Courier New" w:hAnsi="Courier New" w:cs="Courier New"/>
      <w:sz w:val="20"/>
      <w:szCs w:val="20"/>
    </w:rPr>
  </w:style>
  <w:style w:type="character" w:styleId="HTMLSample">
    <w:name w:val="HTML Sample"/>
    <w:semiHidden/>
    <w:rsid w:val="002A4047"/>
    <w:rPr>
      <w:rFonts w:ascii="Courier New" w:hAnsi="Courier New" w:cs="Courier New"/>
    </w:rPr>
  </w:style>
  <w:style w:type="character" w:styleId="HTMLTypewriter">
    <w:name w:val="HTML Typewriter"/>
    <w:semiHidden/>
    <w:rsid w:val="002A4047"/>
    <w:rPr>
      <w:rFonts w:ascii="Courier New" w:hAnsi="Courier New" w:cs="Courier New"/>
      <w:sz w:val="20"/>
      <w:szCs w:val="20"/>
    </w:rPr>
  </w:style>
  <w:style w:type="character" w:styleId="HTMLVariable">
    <w:name w:val="HTML Variable"/>
    <w:semiHidden/>
    <w:rsid w:val="002A4047"/>
    <w:rPr>
      <w:rFonts w:cs="Times New Roman"/>
      <w:i/>
      <w:iCs/>
    </w:rPr>
  </w:style>
  <w:style w:type="character" w:styleId="LineNumber">
    <w:name w:val="line number"/>
    <w:semiHidden/>
    <w:rsid w:val="002A4047"/>
    <w:rPr>
      <w:rFonts w:cs="Times New Roman"/>
    </w:rPr>
  </w:style>
  <w:style w:type="paragraph" w:styleId="List">
    <w:name w:val="List"/>
    <w:basedOn w:val="Normal"/>
    <w:semiHidden/>
    <w:rsid w:val="002A4047"/>
    <w:pPr>
      <w:ind w:left="283" w:hanging="283"/>
    </w:pPr>
  </w:style>
  <w:style w:type="paragraph" w:styleId="List20">
    <w:name w:val="List 2"/>
    <w:basedOn w:val="Normal"/>
    <w:semiHidden/>
    <w:rsid w:val="002A4047"/>
    <w:pPr>
      <w:ind w:left="566" w:hanging="283"/>
    </w:pPr>
  </w:style>
  <w:style w:type="paragraph" w:styleId="List30">
    <w:name w:val="List 3"/>
    <w:basedOn w:val="Normal"/>
    <w:semiHidden/>
    <w:rsid w:val="002A4047"/>
    <w:pPr>
      <w:ind w:left="849" w:hanging="283"/>
    </w:pPr>
  </w:style>
  <w:style w:type="paragraph" w:styleId="List40">
    <w:name w:val="List 4"/>
    <w:basedOn w:val="Normal"/>
    <w:semiHidden/>
    <w:rsid w:val="002A4047"/>
    <w:pPr>
      <w:ind w:left="1132" w:hanging="283"/>
    </w:pPr>
  </w:style>
  <w:style w:type="paragraph" w:styleId="List5">
    <w:name w:val="List 5"/>
    <w:basedOn w:val="Normal"/>
    <w:semiHidden/>
    <w:rsid w:val="002A4047"/>
    <w:pPr>
      <w:ind w:left="1415" w:hanging="283"/>
    </w:pPr>
  </w:style>
  <w:style w:type="paragraph" w:styleId="ListBullet">
    <w:name w:val="List Bullet"/>
    <w:basedOn w:val="Normal"/>
    <w:semiHidden/>
    <w:rsid w:val="002A4047"/>
    <w:pPr>
      <w:numPr>
        <w:numId w:val="9"/>
      </w:numPr>
      <w:tabs>
        <w:tab w:val="clear" w:pos="360"/>
        <w:tab w:val="num" w:pos="643"/>
      </w:tabs>
      <w:ind w:left="643"/>
    </w:pPr>
  </w:style>
  <w:style w:type="paragraph" w:styleId="ListBullet2">
    <w:name w:val="List Bullet 2"/>
    <w:basedOn w:val="Normal"/>
    <w:semiHidden/>
    <w:rsid w:val="002A4047"/>
    <w:pPr>
      <w:numPr>
        <w:numId w:val="1"/>
      </w:numPr>
      <w:tabs>
        <w:tab w:val="clear" w:pos="643"/>
        <w:tab w:val="num" w:pos="926"/>
      </w:tabs>
      <w:ind w:left="926"/>
    </w:pPr>
  </w:style>
  <w:style w:type="paragraph" w:styleId="ListBullet3">
    <w:name w:val="List Bullet 3"/>
    <w:basedOn w:val="Normal"/>
    <w:semiHidden/>
    <w:rsid w:val="002A4047"/>
    <w:pPr>
      <w:numPr>
        <w:numId w:val="2"/>
      </w:numPr>
      <w:tabs>
        <w:tab w:val="clear" w:pos="926"/>
        <w:tab w:val="num" w:pos="1209"/>
      </w:tabs>
      <w:ind w:left="1209"/>
    </w:pPr>
  </w:style>
  <w:style w:type="paragraph" w:styleId="ListBullet4">
    <w:name w:val="List Bullet 4"/>
    <w:basedOn w:val="Normal"/>
    <w:semiHidden/>
    <w:rsid w:val="002A4047"/>
    <w:pPr>
      <w:numPr>
        <w:numId w:val="3"/>
      </w:numPr>
      <w:tabs>
        <w:tab w:val="clear" w:pos="1209"/>
        <w:tab w:val="num" w:pos="1492"/>
      </w:tabs>
      <w:ind w:left="1492"/>
    </w:pPr>
  </w:style>
  <w:style w:type="paragraph" w:styleId="ListBullet5">
    <w:name w:val="List Bullet 5"/>
    <w:basedOn w:val="Normal"/>
    <w:semiHidden/>
    <w:rsid w:val="002A4047"/>
    <w:pPr>
      <w:numPr>
        <w:numId w:val="4"/>
      </w:numPr>
      <w:tabs>
        <w:tab w:val="clear" w:pos="1492"/>
        <w:tab w:val="num" w:pos="360"/>
      </w:tabs>
      <w:ind w:left="360"/>
    </w:pPr>
  </w:style>
  <w:style w:type="paragraph" w:styleId="ListContinue">
    <w:name w:val="List Continue"/>
    <w:basedOn w:val="Normal"/>
    <w:semiHidden/>
    <w:rsid w:val="002A4047"/>
    <w:pPr>
      <w:ind w:left="283"/>
    </w:pPr>
  </w:style>
  <w:style w:type="paragraph" w:styleId="ListContinue2">
    <w:name w:val="List Continue 2"/>
    <w:basedOn w:val="Normal"/>
    <w:semiHidden/>
    <w:rsid w:val="002A4047"/>
    <w:pPr>
      <w:ind w:left="566"/>
    </w:pPr>
  </w:style>
  <w:style w:type="paragraph" w:styleId="ListContinue3">
    <w:name w:val="List Continue 3"/>
    <w:basedOn w:val="Normal"/>
    <w:semiHidden/>
    <w:rsid w:val="002A4047"/>
    <w:pPr>
      <w:ind w:left="849"/>
    </w:pPr>
  </w:style>
  <w:style w:type="paragraph" w:styleId="ListContinue4">
    <w:name w:val="List Continue 4"/>
    <w:basedOn w:val="Normal"/>
    <w:semiHidden/>
    <w:rsid w:val="002A4047"/>
    <w:pPr>
      <w:ind w:left="1132"/>
    </w:pPr>
  </w:style>
  <w:style w:type="paragraph" w:styleId="ListContinue5">
    <w:name w:val="List Continue 5"/>
    <w:basedOn w:val="Normal"/>
    <w:semiHidden/>
    <w:rsid w:val="002A4047"/>
    <w:pPr>
      <w:ind w:left="1415"/>
    </w:pPr>
  </w:style>
  <w:style w:type="paragraph" w:styleId="ListNumber">
    <w:name w:val="List Number"/>
    <w:basedOn w:val="Normal"/>
    <w:semiHidden/>
    <w:rsid w:val="002A4047"/>
    <w:pPr>
      <w:numPr>
        <w:numId w:val="5"/>
      </w:numPr>
      <w:tabs>
        <w:tab w:val="clear" w:pos="360"/>
        <w:tab w:val="num" w:pos="643"/>
      </w:tabs>
      <w:ind w:left="643"/>
    </w:pPr>
  </w:style>
  <w:style w:type="paragraph" w:styleId="ListNumber2">
    <w:name w:val="List Number 2"/>
    <w:basedOn w:val="Normal"/>
    <w:semiHidden/>
    <w:rsid w:val="002A4047"/>
    <w:pPr>
      <w:numPr>
        <w:numId w:val="6"/>
      </w:numPr>
      <w:tabs>
        <w:tab w:val="clear" w:pos="643"/>
        <w:tab w:val="num" w:pos="926"/>
      </w:tabs>
      <w:ind w:left="926"/>
    </w:pPr>
  </w:style>
  <w:style w:type="paragraph" w:styleId="ListNumber3">
    <w:name w:val="List Number 3"/>
    <w:basedOn w:val="Normal"/>
    <w:semiHidden/>
    <w:rsid w:val="002A4047"/>
    <w:pPr>
      <w:numPr>
        <w:numId w:val="7"/>
      </w:numPr>
      <w:tabs>
        <w:tab w:val="clear" w:pos="926"/>
        <w:tab w:val="num" w:pos="1209"/>
      </w:tabs>
      <w:ind w:left="1209"/>
    </w:pPr>
  </w:style>
  <w:style w:type="paragraph" w:styleId="ListNumber4">
    <w:name w:val="List Number 4"/>
    <w:basedOn w:val="Normal"/>
    <w:semiHidden/>
    <w:rsid w:val="002A4047"/>
    <w:pPr>
      <w:numPr>
        <w:numId w:val="8"/>
      </w:numPr>
      <w:tabs>
        <w:tab w:val="clear" w:pos="1209"/>
        <w:tab w:val="num" w:pos="1492"/>
      </w:tabs>
      <w:ind w:left="1492"/>
    </w:pPr>
  </w:style>
  <w:style w:type="paragraph" w:styleId="ListNumber5">
    <w:name w:val="List Number 5"/>
    <w:basedOn w:val="Normal"/>
    <w:semiHidden/>
    <w:rsid w:val="002A4047"/>
    <w:pPr>
      <w:numPr>
        <w:numId w:val="11"/>
      </w:numPr>
    </w:pPr>
  </w:style>
  <w:style w:type="paragraph" w:styleId="MessageHeader">
    <w:name w:val="Message Header"/>
    <w:basedOn w:val="Normal"/>
    <w:link w:val="MessageHeaderChar"/>
    <w:semiHidden/>
    <w:rsid w:val="002A404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semiHidden/>
    <w:locked/>
    <w:rsid w:val="000B0D0F"/>
    <w:rPr>
      <w:rFonts w:ascii="Cambria" w:hAnsi="Cambria" w:cs="Times New Roman"/>
      <w:sz w:val="24"/>
      <w:szCs w:val="24"/>
      <w:shd w:val="pct20" w:color="auto" w:fill="auto"/>
    </w:rPr>
  </w:style>
  <w:style w:type="paragraph" w:styleId="NormalWeb">
    <w:name w:val="Normal (Web)"/>
    <w:basedOn w:val="Normal"/>
    <w:semiHidden/>
    <w:rsid w:val="002A4047"/>
  </w:style>
  <w:style w:type="paragraph" w:styleId="NormalIndent">
    <w:name w:val="Normal Indent"/>
    <w:basedOn w:val="Normal"/>
    <w:semiHidden/>
    <w:rsid w:val="002A4047"/>
    <w:pPr>
      <w:ind w:left="720"/>
    </w:pPr>
  </w:style>
  <w:style w:type="paragraph" w:styleId="NoteHeading">
    <w:name w:val="Note Heading"/>
    <w:basedOn w:val="Normal"/>
    <w:next w:val="Normal"/>
    <w:link w:val="NoteHeadingChar"/>
    <w:semiHidden/>
    <w:rsid w:val="002A4047"/>
  </w:style>
  <w:style w:type="character" w:customStyle="1" w:styleId="NoteHeadingChar">
    <w:name w:val="Note Heading Char"/>
    <w:link w:val="NoteHeading"/>
    <w:semiHidden/>
    <w:locked/>
    <w:rsid w:val="000B0D0F"/>
    <w:rPr>
      <w:rFonts w:cs="Times New Roman"/>
      <w:sz w:val="24"/>
      <w:szCs w:val="24"/>
    </w:rPr>
  </w:style>
  <w:style w:type="character" w:styleId="PageNumber">
    <w:name w:val="page number"/>
    <w:semiHidden/>
    <w:rsid w:val="002A4047"/>
    <w:rPr>
      <w:rFonts w:cs="Times New Roman"/>
    </w:rPr>
  </w:style>
  <w:style w:type="paragraph" w:styleId="PlainText">
    <w:name w:val="Plain Text"/>
    <w:basedOn w:val="Normal"/>
    <w:link w:val="PlainTextChar"/>
    <w:semiHidden/>
    <w:rsid w:val="002A4047"/>
    <w:rPr>
      <w:rFonts w:ascii="Courier New" w:hAnsi="Courier New" w:cs="Courier New"/>
      <w:sz w:val="20"/>
      <w:szCs w:val="20"/>
    </w:rPr>
  </w:style>
  <w:style w:type="character" w:customStyle="1" w:styleId="PlainTextChar">
    <w:name w:val="Plain Text Char"/>
    <w:link w:val="PlainText"/>
    <w:semiHidden/>
    <w:locked/>
    <w:rsid w:val="000B0D0F"/>
    <w:rPr>
      <w:rFonts w:ascii="Courier New" w:hAnsi="Courier New" w:cs="Courier New"/>
      <w:sz w:val="20"/>
      <w:szCs w:val="20"/>
    </w:rPr>
  </w:style>
  <w:style w:type="paragraph" w:styleId="Salutation">
    <w:name w:val="Salutation"/>
    <w:basedOn w:val="Normal"/>
    <w:next w:val="Normal"/>
    <w:link w:val="SalutationChar"/>
    <w:semiHidden/>
    <w:rsid w:val="002A4047"/>
  </w:style>
  <w:style w:type="character" w:customStyle="1" w:styleId="SalutationChar">
    <w:name w:val="Salutation Char"/>
    <w:link w:val="Salutation"/>
    <w:semiHidden/>
    <w:locked/>
    <w:rsid w:val="000B0D0F"/>
    <w:rPr>
      <w:rFonts w:cs="Times New Roman"/>
      <w:sz w:val="24"/>
      <w:szCs w:val="24"/>
    </w:rPr>
  </w:style>
  <w:style w:type="paragraph" w:styleId="Signature">
    <w:name w:val="Signature"/>
    <w:basedOn w:val="Normal"/>
    <w:link w:val="SignatureChar"/>
    <w:semiHidden/>
    <w:rsid w:val="002A4047"/>
    <w:pPr>
      <w:ind w:left="4252"/>
    </w:pPr>
  </w:style>
  <w:style w:type="character" w:customStyle="1" w:styleId="SignatureChar">
    <w:name w:val="Signature Char"/>
    <w:link w:val="Signature"/>
    <w:semiHidden/>
    <w:locked/>
    <w:rsid w:val="000B0D0F"/>
    <w:rPr>
      <w:rFonts w:cs="Times New Roman"/>
      <w:sz w:val="24"/>
      <w:szCs w:val="24"/>
    </w:rPr>
  </w:style>
  <w:style w:type="character" w:styleId="Strong">
    <w:name w:val="Strong"/>
    <w:qFormat/>
    <w:rsid w:val="002A4047"/>
    <w:rPr>
      <w:rFonts w:cs="Times New Roman"/>
      <w:b/>
      <w:bCs/>
    </w:rPr>
  </w:style>
  <w:style w:type="paragraph" w:styleId="Subtitle">
    <w:name w:val="Subtitle"/>
    <w:basedOn w:val="Normal"/>
    <w:link w:val="SubtitleChar"/>
    <w:qFormat/>
    <w:rsid w:val="002A4047"/>
    <w:pPr>
      <w:spacing w:after="60"/>
      <w:jc w:val="center"/>
      <w:outlineLvl w:val="1"/>
    </w:pPr>
  </w:style>
  <w:style w:type="character" w:customStyle="1" w:styleId="SubtitleChar">
    <w:name w:val="Subtitle Char"/>
    <w:link w:val="Subtitle"/>
    <w:locked/>
    <w:rsid w:val="000B0D0F"/>
    <w:rPr>
      <w:rFonts w:ascii="Cambria" w:hAnsi="Cambria" w:cs="Times New Roman"/>
      <w:sz w:val="24"/>
      <w:szCs w:val="24"/>
    </w:rPr>
  </w:style>
  <w:style w:type="table" w:styleId="Table3Deffects1">
    <w:name w:val="Table 3D effects 1"/>
    <w:basedOn w:val="TableNormal"/>
    <w:semiHidden/>
    <w:rsid w:val="002A4047"/>
    <w:pPr>
      <w:spacing w:before="120" w:after="12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4047"/>
    <w:pPr>
      <w:spacing w:before="120" w:after="12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A4047"/>
    <w:pPr>
      <w:spacing w:before="120" w:after="12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A4047"/>
    <w:pPr>
      <w:spacing w:before="120" w:after="12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A4047"/>
    <w:pPr>
      <w:spacing w:before="120" w:after="12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4047"/>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4047"/>
    <w:pPr>
      <w:spacing w:before="120" w:after="12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4047"/>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4047"/>
    <w:pPr>
      <w:spacing w:before="120" w:after="12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4047"/>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4047"/>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A4047"/>
    <w:pPr>
      <w:spacing w:before="120" w:after="12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A4047"/>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A4047"/>
    <w:pPr>
      <w:spacing w:before="120" w:after="12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A4047"/>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A4047"/>
    <w:pPr>
      <w:spacing w:before="120" w:after="12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4047"/>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A4047"/>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A4047"/>
    <w:pPr>
      <w:spacing w:before="120" w:after="12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A4047"/>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A4047"/>
    <w:pPr>
      <w:spacing w:before="120" w:after="12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4047"/>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A4047"/>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A4047"/>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A4047"/>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4047"/>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A4047"/>
    <w:pPr>
      <w:spacing w:before="120" w:after="12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A4047"/>
    <w:pPr>
      <w:spacing w:before="120" w:after="12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4047"/>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4047"/>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A4047"/>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4047"/>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4047"/>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4047"/>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4047"/>
    <w:pPr>
      <w:spacing w:before="120" w:after="12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4047"/>
    <w:pPr>
      <w:spacing w:before="120" w:after="12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4047"/>
    <w:pPr>
      <w:spacing w:before="120" w:after="12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4047"/>
    <w:pPr>
      <w:spacing w:before="120" w:after="12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A4047"/>
    <w:pPr>
      <w:spacing w:before="120" w:after="12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A404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4047"/>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A4047"/>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A4047"/>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NormalSingleNoSpaceCentered">
    <w:name w:val="Style NormalSingleNoSpace + Centered"/>
    <w:basedOn w:val="NormalSingleNoSpace"/>
    <w:rsid w:val="002A4047"/>
    <w:pPr>
      <w:jc w:val="center"/>
    </w:pPr>
  </w:style>
  <w:style w:type="character" w:customStyle="1" w:styleId="GuidanceChar">
    <w:name w:val="Guidance Char"/>
    <w:link w:val="Guidance"/>
    <w:locked/>
    <w:rsid w:val="008928D0"/>
    <w:rPr>
      <w:rFonts w:cs="Times New Roman"/>
      <w:color w:val="008000"/>
      <w:sz w:val="24"/>
      <w:szCs w:val="24"/>
    </w:rPr>
  </w:style>
  <w:style w:type="character" w:customStyle="1" w:styleId="InstructionsChar">
    <w:name w:val="Instructions Char"/>
    <w:link w:val="Instructions"/>
    <w:locked/>
    <w:rsid w:val="008928D0"/>
    <w:rPr>
      <w:rFonts w:cs="Times New Roman"/>
      <w:color w:val="FF0000"/>
      <w:sz w:val="24"/>
      <w:szCs w:val="24"/>
    </w:rPr>
  </w:style>
  <w:style w:type="paragraph" w:styleId="TOC5">
    <w:name w:val="toc 5"/>
    <w:basedOn w:val="Normal"/>
    <w:next w:val="Normal"/>
    <w:autoRedefine/>
    <w:semiHidden/>
    <w:rsid w:val="002A4047"/>
    <w:pPr>
      <w:tabs>
        <w:tab w:val="left" w:pos="1584"/>
        <w:tab w:val="right" w:leader="dot" w:pos="9000"/>
      </w:tabs>
      <w:ind w:left="1584" w:right="432" w:hanging="1584"/>
    </w:pPr>
    <w:rPr>
      <w:i/>
      <w:iCs/>
      <w:color w:val="000000"/>
    </w:rPr>
  </w:style>
  <w:style w:type="paragraph" w:styleId="TOC6">
    <w:name w:val="toc 6"/>
    <w:basedOn w:val="Normal"/>
    <w:next w:val="Normal"/>
    <w:autoRedefine/>
    <w:semiHidden/>
    <w:rsid w:val="002A4047"/>
    <w:pPr>
      <w:ind w:left="1200"/>
    </w:pPr>
  </w:style>
  <w:style w:type="character" w:customStyle="1" w:styleId="Heading3Char1">
    <w:name w:val="Heading 3 Char1"/>
    <w:link w:val="Heading3"/>
    <w:locked/>
    <w:rsid w:val="002A4047"/>
    <w:rPr>
      <w:b/>
      <w:bCs/>
      <w:sz w:val="24"/>
      <w:szCs w:val="24"/>
    </w:rPr>
  </w:style>
  <w:style w:type="paragraph" w:styleId="BalloonText">
    <w:name w:val="Balloon Text"/>
    <w:basedOn w:val="Normal"/>
    <w:link w:val="BalloonTextChar"/>
    <w:semiHidden/>
    <w:rsid w:val="002A4047"/>
    <w:rPr>
      <w:rFonts w:ascii="Tahoma" w:hAnsi="Tahoma" w:cs="Tahoma"/>
      <w:sz w:val="16"/>
      <w:szCs w:val="16"/>
    </w:rPr>
  </w:style>
  <w:style w:type="character" w:customStyle="1" w:styleId="BalloonTextChar">
    <w:name w:val="Balloon Text Char"/>
    <w:link w:val="BalloonText"/>
    <w:semiHidden/>
    <w:locked/>
    <w:rsid w:val="000B0D0F"/>
    <w:rPr>
      <w:rFonts w:cs="Times New Roman"/>
      <w:sz w:val="2"/>
    </w:rPr>
  </w:style>
  <w:style w:type="character" w:styleId="CommentReference">
    <w:name w:val="annotation reference"/>
    <w:semiHidden/>
    <w:rsid w:val="002A4047"/>
    <w:rPr>
      <w:rFonts w:cs="Times New Roman"/>
      <w:sz w:val="16"/>
      <w:szCs w:val="16"/>
    </w:rPr>
  </w:style>
  <w:style w:type="paragraph" w:styleId="CommentText">
    <w:name w:val="annotation text"/>
    <w:basedOn w:val="Normal"/>
    <w:link w:val="CommentTextChar"/>
    <w:semiHidden/>
    <w:rsid w:val="002A4047"/>
    <w:rPr>
      <w:sz w:val="20"/>
      <w:szCs w:val="20"/>
    </w:rPr>
  </w:style>
  <w:style w:type="character" w:customStyle="1" w:styleId="CommentTextChar">
    <w:name w:val="Comment Text Char"/>
    <w:link w:val="CommentText"/>
    <w:semiHidden/>
    <w:locked/>
    <w:rsid w:val="000B0D0F"/>
    <w:rPr>
      <w:rFonts w:cs="Times New Roman"/>
      <w:sz w:val="20"/>
      <w:szCs w:val="20"/>
    </w:rPr>
  </w:style>
  <w:style w:type="paragraph" w:styleId="CommentSubject">
    <w:name w:val="annotation subject"/>
    <w:basedOn w:val="CommentText"/>
    <w:next w:val="CommentText"/>
    <w:link w:val="CommentSubjectChar"/>
    <w:semiHidden/>
    <w:rsid w:val="002A4047"/>
    <w:rPr>
      <w:b/>
      <w:bCs/>
    </w:rPr>
  </w:style>
  <w:style w:type="character" w:customStyle="1" w:styleId="CommentSubjectChar">
    <w:name w:val="Comment Subject Char"/>
    <w:link w:val="CommentSubject"/>
    <w:semiHidden/>
    <w:locked/>
    <w:rsid w:val="000B0D0F"/>
    <w:rPr>
      <w:rFonts w:cs="Times New Roman"/>
      <w:b/>
      <w:bCs/>
      <w:sz w:val="20"/>
      <w:szCs w:val="20"/>
    </w:rPr>
  </w:style>
  <w:style w:type="paragraph" w:styleId="DocumentMap">
    <w:name w:val="Document Map"/>
    <w:basedOn w:val="Normal"/>
    <w:link w:val="DocumentMapChar"/>
    <w:semiHidden/>
    <w:rsid w:val="002A4047"/>
    <w:pPr>
      <w:shd w:val="clear" w:color="auto" w:fill="000080"/>
    </w:pPr>
    <w:rPr>
      <w:rFonts w:ascii="Tahoma" w:hAnsi="Tahoma" w:cs="Tahoma"/>
      <w:sz w:val="20"/>
      <w:szCs w:val="20"/>
    </w:rPr>
  </w:style>
  <w:style w:type="character" w:customStyle="1" w:styleId="DocumentMapChar">
    <w:name w:val="Document Map Char"/>
    <w:link w:val="DocumentMap"/>
    <w:semiHidden/>
    <w:locked/>
    <w:rsid w:val="000B0D0F"/>
    <w:rPr>
      <w:rFonts w:cs="Times New Roman"/>
      <w:sz w:val="2"/>
    </w:rPr>
  </w:style>
  <w:style w:type="character" w:styleId="EndnoteReference">
    <w:name w:val="endnote reference"/>
    <w:semiHidden/>
    <w:rsid w:val="002A4047"/>
    <w:rPr>
      <w:rFonts w:cs="Times New Roman"/>
      <w:vertAlign w:val="superscript"/>
    </w:rPr>
  </w:style>
  <w:style w:type="paragraph" w:styleId="EndnoteText">
    <w:name w:val="endnote text"/>
    <w:basedOn w:val="Normal"/>
    <w:link w:val="EndnoteTextChar"/>
    <w:semiHidden/>
    <w:rsid w:val="002A4047"/>
    <w:rPr>
      <w:sz w:val="20"/>
      <w:szCs w:val="20"/>
    </w:rPr>
  </w:style>
  <w:style w:type="character" w:customStyle="1" w:styleId="EndnoteTextChar">
    <w:name w:val="Endnote Text Char"/>
    <w:link w:val="EndnoteText"/>
    <w:semiHidden/>
    <w:locked/>
    <w:rsid w:val="000B0D0F"/>
    <w:rPr>
      <w:rFonts w:cs="Times New Roman"/>
      <w:sz w:val="20"/>
      <w:szCs w:val="20"/>
    </w:rPr>
  </w:style>
  <w:style w:type="character" w:styleId="FootnoteReference">
    <w:name w:val="footnote reference"/>
    <w:semiHidden/>
    <w:rsid w:val="002A4047"/>
    <w:rPr>
      <w:rFonts w:cs="Times New Roman"/>
      <w:vertAlign w:val="superscript"/>
    </w:rPr>
  </w:style>
  <w:style w:type="paragraph" w:styleId="FootnoteText">
    <w:name w:val="footnote text"/>
    <w:basedOn w:val="Normal"/>
    <w:link w:val="FootnoteTextChar"/>
    <w:semiHidden/>
    <w:rsid w:val="002A4047"/>
    <w:rPr>
      <w:sz w:val="20"/>
      <w:szCs w:val="20"/>
    </w:rPr>
  </w:style>
  <w:style w:type="character" w:customStyle="1" w:styleId="FootnoteTextChar">
    <w:name w:val="Footnote Text Char"/>
    <w:link w:val="FootnoteText"/>
    <w:semiHidden/>
    <w:locked/>
    <w:rsid w:val="000B0D0F"/>
    <w:rPr>
      <w:rFonts w:cs="Times New Roman"/>
      <w:sz w:val="20"/>
      <w:szCs w:val="20"/>
    </w:rPr>
  </w:style>
  <w:style w:type="paragraph" w:styleId="Index1">
    <w:name w:val="index 1"/>
    <w:basedOn w:val="Normal"/>
    <w:next w:val="Normal"/>
    <w:autoRedefine/>
    <w:semiHidden/>
    <w:rsid w:val="002A4047"/>
    <w:pPr>
      <w:ind w:left="240" w:hanging="240"/>
    </w:pPr>
  </w:style>
  <w:style w:type="paragraph" w:styleId="Index2">
    <w:name w:val="index 2"/>
    <w:basedOn w:val="Normal"/>
    <w:next w:val="Normal"/>
    <w:autoRedefine/>
    <w:semiHidden/>
    <w:rsid w:val="002A4047"/>
    <w:pPr>
      <w:ind w:left="480" w:hanging="240"/>
    </w:pPr>
  </w:style>
  <w:style w:type="paragraph" w:styleId="Index3">
    <w:name w:val="index 3"/>
    <w:basedOn w:val="Normal"/>
    <w:next w:val="Normal"/>
    <w:autoRedefine/>
    <w:semiHidden/>
    <w:rsid w:val="002A4047"/>
    <w:pPr>
      <w:ind w:left="720" w:hanging="240"/>
    </w:pPr>
  </w:style>
  <w:style w:type="paragraph" w:styleId="Index4">
    <w:name w:val="index 4"/>
    <w:basedOn w:val="Normal"/>
    <w:next w:val="Normal"/>
    <w:autoRedefine/>
    <w:semiHidden/>
    <w:rsid w:val="002A4047"/>
    <w:pPr>
      <w:ind w:left="960" w:hanging="240"/>
    </w:pPr>
  </w:style>
  <w:style w:type="paragraph" w:styleId="Index5">
    <w:name w:val="index 5"/>
    <w:basedOn w:val="Normal"/>
    <w:next w:val="Normal"/>
    <w:autoRedefine/>
    <w:semiHidden/>
    <w:rsid w:val="002A4047"/>
    <w:pPr>
      <w:ind w:left="1200" w:hanging="240"/>
    </w:pPr>
  </w:style>
  <w:style w:type="paragraph" w:styleId="Index6">
    <w:name w:val="index 6"/>
    <w:basedOn w:val="Normal"/>
    <w:next w:val="Normal"/>
    <w:autoRedefine/>
    <w:semiHidden/>
    <w:rsid w:val="002A4047"/>
    <w:pPr>
      <w:ind w:left="1440" w:hanging="240"/>
    </w:pPr>
  </w:style>
  <w:style w:type="paragraph" w:styleId="Index7">
    <w:name w:val="index 7"/>
    <w:basedOn w:val="Normal"/>
    <w:next w:val="Normal"/>
    <w:autoRedefine/>
    <w:semiHidden/>
    <w:rsid w:val="002A4047"/>
    <w:pPr>
      <w:ind w:left="1680" w:hanging="240"/>
    </w:pPr>
  </w:style>
  <w:style w:type="paragraph" w:styleId="Index8">
    <w:name w:val="index 8"/>
    <w:basedOn w:val="Normal"/>
    <w:next w:val="Normal"/>
    <w:autoRedefine/>
    <w:semiHidden/>
    <w:rsid w:val="002A4047"/>
    <w:pPr>
      <w:ind w:left="1920" w:hanging="240"/>
    </w:pPr>
  </w:style>
  <w:style w:type="paragraph" w:styleId="Index9">
    <w:name w:val="index 9"/>
    <w:basedOn w:val="Normal"/>
    <w:next w:val="Normal"/>
    <w:autoRedefine/>
    <w:semiHidden/>
    <w:rsid w:val="002A4047"/>
    <w:pPr>
      <w:ind w:left="2160" w:hanging="240"/>
    </w:pPr>
  </w:style>
  <w:style w:type="paragraph" w:styleId="IndexHeading">
    <w:name w:val="index heading"/>
    <w:basedOn w:val="Normal"/>
    <w:next w:val="Index1"/>
    <w:semiHidden/>
    <w:rsid w:val="002A4047"/>
    <w:rPr>
      <w:b/>
      <w:bCs/>
    </w:rPr>
  </w:style>
  <w:style w:type="paragraph" w:styleId="MacroText">
    <w:name w:val="macro"/>
    <w:link w:val="MacroTextChar"/>
    <w:semiHidden/>
    <w:rsid w:val="002A404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character" w:customStyle="1" w:styleId="MacroTextChar">
    <w:name w:val="Macro Text Char"/>
    <w:link w:val="MacroText"/>
    <w:semiHidden/>
    <w:locked/>
    <w:rsid w:val="000B0D0F"/>
    <w:rPr>
      <w:rFonts w:ascii="Courier New" w:hAnsi="Courier New" w:cs="Courier New"/>
    </w:rPr>
  </w:style>
  <w:style w:type="paragraph" w:styleId="TableofAuthorities">
    <w:name w:val="table of authorities"/>
    <w:basedOn w:val="Normal"/>
    <w:next w:val="Normal"/>
    <w:semiHidden/>
    <w:rsid w:val="002A4047"/>
    <w:pPr>
      <w:ind w:left="240" w:hanging="240"/>
    </w:pPr>
  </w:style>
  <w:style w:type="paragraph" w:styleId="TOAHeading">
    <w:name w:val="toa heading"/>
    <w:basedOn w:val="Normal"/>
    <w:next w:val="Normal"/>
    <w:semiHidden/>
    <w:rsid w:val="002A4047"/>
    <w:rPr>
      <w:b/>
      <w:bCs/>
    </w:rPr>
  </w:style>
  <w:style w:type="paragraph" w:customStyle="1" w:styleId="EMEAEnBodyText">
    <w:name w:val="EMEA En Body Text"/>
    <w:basedOn w:val="Normal"/>
    <w:rsid w:val="00464C07"/>
    <w:pPr>
      <w:jc w:val="both"/>
    </w:pPr>
    <w:rPr>
      <w:sz w:val="22"/>
      <w:szCs w:val="22"/>
    </w:rPr>
  </w:style>
  <w:style w:type="paragraph" w:customStyle="1" w:styleId="TAB2">
    <w:name w:val="TAB2"/>
    <w:basedOn w:val="Normal"/>
    <w:rsid w:val="00464C07"/>
    <w:pPr>
      <w:spacing w:before="0" w:after="0"/>
      <w:jc w:val="both"/>
    </w:pPr>
    <w:rPr>
      <w:b/>
      <w:bCs/>
    </w:rPr>
  </w:style>
  <w:style w:type="paragraph" w:customStyle="1" w:styleId="texte">
    <w:name w:val="texte"/>
    <w:basedOn w:val="Normal"/>
    <w:rsid w:val="001A42EA"/>
    <w:pPr>
      <w:overflowPunct w:val="0"/>
      <w:autoSpaceDE w:val="0"/>
      <w:autoSpaceDN w:val="0"/>
      <w:adjustRightInd w:val="0"/>
      <w:ind w:left="426"/>
      <w:jc w:val="both"/>
      <w:textAlignment w:val="baseline"/>
    </w:pPr>
  </w:style>
  <w:style w:type="paragraph" w:customStyle="1" w:styleId="Testo2">
    <w:name w:val="Testo2"/>
    <w:basedOn w:val="Normal"/>
    <w:rsid w:val="001A42EA"/>
    <w:pPr>
      <w:spacing w:after="0" w:line="360" w:lineRule="atLeast"/>
      <w:jc w:val="both"/>
    </w:pPr>
    <w:rPr>
      <w:rFonts w:ascii="CG Times" w:hAnsi="CG Times" w:cs="CG Times"/>
    </w:rPr>
  </w:style>
  <w:style w:type="paragraph" w:customStyle="1" w:styleId="1DIGIT">
    <w:name w:val="1DIGIT"/>
    <w:basedOn w:val="Normal"/>
    <w:rsid w:val="001A42EA"/>
    <w:pPr>
      <w:spacing w:before="0" w:after="0"/>
    </w:pPr>
    <w:rPr>
      <w:b/>
      <w:bCs/>
    </w:rPr>
  </w:style>
  <w:style w:type="paragraph" w:customStyle="1" w:styleId="1DIGIT0">
    <w:name w:val="1 DIGIT"/>
    <w:basedOn w:val="Normal"/>
    <w:rsid w:val="00514C2B"/>
    <w:pPr>
      <w:tabs>
        <w:tab w:val="left" w:pos="426"/>
      </w:tabs>
      <w:overflowPunct w:val="0"/>
      <w:autoSpaceDE w:val="0"/>
      <w:autoSpaceDN w:val="0"/>
      <w:adjustRightInd w:val="0"/>
      <w:spacing w:before="360"/>
      <w:textAlignment w:val="baseline"/>
    </w:pPr>
    <w:rPr>
      <w:b/>
      <w:bCs/>
      <w:u w:val="single"/>
    </w:rPr>
  </w:style>
  <w:style w:type="paragraph" w:customStyle="1" w:styleId="A-Single">
    <w:name w:val="A-Single"/>
    <w:rsid w:val="00923475"/>
    <w:rPr>
      <w:sz w:val="24"/>
      <w:szCs w:val="24"/>
    </w:rPr>
  </w:style>
  <w:style w:type="paragraph" w:customStyle="1" w:styleId="Text">
    <w:name w:val="Text"/>
    <w:basedOn w:val="Normal"/>
    <w:rsid w:val="00A618C3"/>
    <w:pPr>
      <w:spacing w:before="0" w:after="240" w:line="312" w:lineRule="atLeast"/>
    </w:pPr>
  </w:style>
  <w:style w:type="paragraph" w:customStyle="1" w:styleId="titrecentre">
    <w:name w:val="titre centre"/>
    <w:basedOn w:val="texte"/>
    <w:rsid w:val="00A618C3"/>
    <w:pPr>
      <w:jc w:val="center"/>
    </w:pPr>
    <w:rPr>
      <w:b/>
      <w:bCs/>
      <w:sz w:val="28"/>
      <w:szCs w:val="28"/>
    </w:rPr>
  </w:style>
  <w:style w:type="paragraph" w:styleId="ListParagraph">
    <w:name w:val="List Paragraph"/>
    <w:basedOn w:val="Normal"/>
    <w:qFormat/>
    <w:rsid w:val="00C77E86"/>
    <w:pPr>
      <w:ind w:left="720"/>
      <w:contextualSpacing/>
    </w:pPr>
  </w:style>
  <w:style w:type="numbering" w:customStyle="1" w:styleId="ArticleSection1">
    <w:name w:val="Article / Section1"/>
    <w:rsid w:val="007371D4"/>
    <w:pPr>
      <w:numPr>
        <w:numId w:val="15"/>
      </w:numPr>
    </w:pPr>
  </w:style>
  <w:style w:type="numbering" w:styleId="111111">
    <w:name w:val="Outline List 2"/>
    <w:basedOn w:val="NoList"/>
    <w:rsid w:val="007371D4"/>
    <w:pPr>
      <w:numPr>
        <w:numId w:val="13"/>
      </w:numPr>
    </w:pPr>
  </w:style>
  <w:style w:type="numbering" w:styleId="1ai">
    <w:name w:val="Outline List 1"/>
    <w:basedOn w:val="NoList"/>
    <w:rsid w:val="007371D4"/>
    <w:pPr>
      <w:numPr>
        <w:numId w:val="14"/>
      </w:numPr>
    </w:pPr>
  </w:style>
  <w:style w:type="paragraph" w:customStyle="1" w:styleId="Testo1">
    <w:name w:val="Testo 1"/>
    <w:basedOn w:val="PlainText"/>
    <w:rsid w:val="00CA16BA"/>
    <w:pPr>
      <w:widowControl w:val="0"/>
      <w:spacing w:after="0" w:line="320" w:lineRule="exact"/>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B9351EAE0DF43B1C4890212DD73BB" ma:contentTypeVersion="2" ma:contentTypeDescription="Creare un nuovo documento." ma:contentTypeScope="" ma:versionID="614cbf6a548930ab087333b425960298">
  <xsd:schema xmlns:xsd="http://www.w3.org/2001/XMLSchema" xmlns:xs="http://www.w3.org/2001/XMLSchema" xmlns:p="http://schemas.microsoft.com/office/2006/metadata/properties" targetNamespace="http://schemas.microsoft.com/office/2006/metadata/properties" ma:root="true" ma:fieldsID="80d47d7008e569e0e103c4374542d3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12E67-883A-4AE0-8DC0-EE48C512E899}"/>
</file>

<file path=customXml/itemProps2.xml><?xml version="1.0" encoding="utf-8"?>
<ds:datastoreItem xmlns:ds="http://schemas.openxmlformats.org/officeDocument/2006/customXml" ds:itemID="{32B7F2FA-980B-47D3-A897-F5833D202FEA}"/>
</file>

<file path=customXml/itemProps3.xml><?xml version="1.0" encoding="utf-8"?>
<ds:datastoreItem xmlns:ds="http://schemas.openxmlformats.org/officeDocument/2006/customXml" ds:itemID="{267036B3-8CA6-486B-B64B-718E11C0C62E}"/>
</file>

<file path=docProps/app.xml><?xml version="1.0" encoding="utf-8"?>
<Properties xmlns="http://schemas.openxmlformats.org/officeDocument/2006/extended-properties" xmlns:vt="http://schemas.openxmlformats.org/officeDocument/2006/docPropsVTypes">
  <Template>Normal</Template>
  <TotalTime>34</TotalTime>
  <Pages>14</Pages>
  <Words>3535</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1.3.1 Summary of Product Characteristics</vt:lpstr>
      <vt:lpstr>1.3.1 Summary of Product Characteristics</vt:lpstr>
    </vt:vector>
  </TitlesOfParts>
  <Company>Afssaps</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 Summary of Product Characteristics</dc:title>
  <dc:creator>Administrateur</dc:creator>
  <cp:lastModifiedBy>Eirini Leivadarou</cp:lastModifiedBy>
  <cp:revision>6</cp:revision>
  <cp:lastPrinted>2014-12-05T15:56:00Z</cp:lastPrinted>
  <dcterms:created xsi:type="dcterms:W3CDTF">2015-12-01T08:14:00Z</dcterms:created>
  <dcterms:modified xsi:type="dcterms:W3CDTF">2015-12-01T08:49:00Z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CompanyName</vt:lpwstr>
  </property>
  <property fmtid="{D5CDD505-2E9C-101B-9397-08002B2CF9AE}" pid="3" name="DosageForm">
    <vt:lpwstr>DosageForm</vt:lpwstr>
  </property>
  <property fmtid="{D5CDD505-2E9C-101B-9397-08002B2CF9AE}" pid="4" name="ProductName">
    <vt:lpwstr>ProductName</vt:lpwstr>
  </property>
  <property fmtid="{D5CDD505-2E9C-101B-9397-08002B2CF9AE}" pid="5" name="DosageStrength">
    <vt:lpwstr>DosageStrength</vt:lpwstr>
  </property>
  <property fmtid="{D5CDD505-2E9C-101B-9397-08002B2CF9AE}" pid="6" name="ContentTypeId">
    <vt:lpwstr>0x0101007CFB9351EAE0DF43B1C4890212DD73BB</vt:lpwstr>
  </property>
</Properties>
</file>