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235" w:rsidRPr="008B2AE9" w:rsidRDefault="00E72235" w:rsidP="0060458E">
      <w:pPr>
        <w:jc w:val="both"/>
        <w:rPr>
          <w:rFonts w:ascii="Times New Roman" w:hAnsi="Times New Roman"/>
          <w:b/>
          <w:sz w:val="22"/>
          <w:szCs w:val="22"/>
          <w:lang w:val="el-GR"/>
        </w:rPr>
      </w:pPr>
      <w:r w:rsidRPr="008B2AE9">
        <w:rPr>
          <w:rFonts w:ascii="Times New Roman" w:hAnsi="Times New Roman"/>
          <w:b/>
          <w:sz w:val="22"/>
          <w:szCs w:val="22"/>
          <w:lang w:val="el-GR"/>
        </w:rPr>
        <w:t xml:space="preserve">1. </w:t>
      </w:r>
      <w:r w:rsidR="00C6366A" w:rsidRPr="008B2AE9">
        <w:rPr>
          <w:rFonts w:ascii="Times New Roman" w:hAnsi="Times New Roman"/>
          <w:b/>
          <w:sz w:val="22"/>
          <w:szCs w:val="22"/>
          <w:lang w:val="el-GR"/>
        </w:rPr>
        <w:t>ΟΝΟΜΑΣΙΑ ΤΟΥ ΦΑΡΜΑΚΕΥΤΙΚΟΥ ΠΡΟΪΟΝΤΟΣ</w:t>
      </w:r>
    </w:p>
    <w:p w:rsidR="003D0864" w:rsidRPr="008B2AE9" w:rsidRDefault="003D0864" w:rsidP="0060458E">
      <w:pPr>
        <w:rPr>
          <w:rFonts w:ascii="Times New Roman" w:hAnsi="Times New Roman"/>
          <w:sz w:val="22"/>
          <w:szCs w:val="22"/>
          <w:lang w:val="sv-SE"/>
        </w:rPr>
      </w:pPr>
    </w:p>
    <w:p w:rsidR="00E72235" w:rsidRPr="008B2AE9" w:rsidRDefault="001E2F15" w:rsidP="0060458E">
      <w:pPr>
        <w:rPr>
          <w:rFonts w:ascii="Times New Roman" w:hAnsi="Times New Roman"/>
          <w:position w:val="6"/>
          <w:sz w:val="22"/>
          <w:szCs w:val="22"/>
          <w:lang w:val="el-GR"/>
        </w:rPr>
      </w:pPr>
      <w:r w:rsidRPr="008B2AE9">
        <w:rPr>
          <w:rFonts w:ascii="Times New Roman" w:hAnsi="Times New Roman"/>
          <w:sz w:val="22"/>
          <w:szCs w:val="22"/>
          <w:lang w:val="sv-SE"/>
        </w:rPr>
        <w:t>DEMOLOX 40 mg Κόνις για ενέσιμο διάλυμα και διάλυμα προς έγχυση</w:t>
      </w:r>
    </w:p>
    <w:p w:rsidR="0060458E" w:rsidRPr="008B2AE9" w:rsidRDefault="0060458E" w:rsidP="0060458E">
      <w:pPr>
        <w:jc w:val="both"/>
        <w:rPr>
          <w:rFonts w:ascii="Times New Roman" w:hAnsi="Times New Roman"/>
          <w:b/>
          <w:sz w:val="22"/>
          <w:szCs w:val="22"/>
          <w:lang w:val="el-GR"/>
        </w:rPr>
      </w:pPr>
    </w:p>
    <w:p w:rsidR="0060458E" w:rsidRPr="008B2AE9" w:rsidRDefault="0060458E" w:rsidP="0060458E">
      <w:pPr>
        <w:jc w:val="both"/>
        <w:rPr>
          <w:rFonts w:ascii="Times New Roman" w:hAnsi="Times New Roman"/>
          <w:b/>
          <w:sz w:val="22"/>
          <w:szCs w:val="22"/>
          <w:lang w:val="el-GR"/>
        </w:rPr>
      </w:pPr>
    </w:p>
    <w:p w:rsidR="00E72235" w:rsidRPr="008B2AE9" w:rsidRDefault="00E72235" w:rsidP="0060458E">
      <w:pPr>
        <w:jc w:val="both"/>
        <w:rPr>
          <w:rFonts w:ascii="Times New Roman" w:hAnsi="Times New Roman"/>
          <w:sz w:val="22"/>
          <w:szCs w:val="22"/>
          <w:lang w:val="el-GR"/>
        </w:rPr>
      </w:pPr>
      <w:r w:rsidRPr="008B2AE9">
        <w:rPr>
          <w:rFonts w:ascii="Times New Roman" w:hAnsi="Times New Roman"/>
          <w:b/>
          <w:sz w:val="22"/>
          <w:szCs w:val="22"/>
          <w:lang w:val="el-GR"/>
        </w:rPr>
        <w:t xml:space="preserve">2. ΠΟΙΟΤΙΚΗ &amp; ΠΟΣΟΤΙΚΗ ΣΥΝΘΕΣΗ </w:t>
      </w:r>
    </w:p>
    <w:p w:rsidR="003D0864" w:rsidRPr="008B2AE9" w:rsidRDefault="003D0864" w:rsidP="0060458E">
      <w:pPr>
        <w:jc w:val="both"/>
        <w:rPr>
          <w:rFonts w:ascii="Times New Roman" w:hAnsi="Times New Roman"/>
          <w:sz w:val="22"/>
          <w:szCs w:val="22"/>
          <w:lang w:val="en-US"/>
        </w:rPr>
      </w:pPr>
    </w:p>
    <w:p w:rsidR="00E72235" w:rsidRPr="008B2AE9" w:rsidRDefault="00E72235" w:rsidP="0060458E">
      <w:pPr>
        <w:jc w:val="both"/>
        <w:rPr>
          <w:rFonts w:ascii="Times New Roman" w:hAnsi="Times New Roman"/>
          <w:sz w:val="22"/>
          <w:szCs w:val="22"/>
          <w:lang w:val="el-GR"/>
        </w:rPr>
      </w:pPr>
      <w:r w:rsidRPr="008B2AE9">
        <w:rPr>
          <w:rFonts w:ascii="Times New Roman" w:hAnsi="Times New Roman"/>
          <w:sz w:val="22"/>
          <w:szCs w:val="22"/>
          <w:lang w:val="el-GR"/>
        </w:rPr>
        <w:t xml:space="preserve">Κάθε φιαλίδιο περιέχει </w:t>
      </w:r>
      <w:r w:rsidR="004C2CB1" w:rsidRPr="008B2AE9">
        <w:rPr>
          <w:rFonts w:ascii="Times New Roman" w:hAnsi="Times New Roman"/>
          <w:sz w:val="22"/>
          <w:szCs w:val="22"/>
          <w:lang w:val="el-GR"/>
        </w:rPr>
        <w:t xml:space="preserve">40 mg </w:t>
      </w:r>
      <w:r w:rsidR="006808DE" w:rsidRPr="008B2AE9">
        <w:rPr>
          <w:rFonts w:ascii="Times New Roman" w:hAnsi="Times New Roman"/>
          <w:sz w:val="22"/>
          <w:szCs w:val="22"/>
          <w:lang w:val="el-GR"/>
        </w:rPr>
        <w:t>εσομεπραζόλη</w:t>
      </w:r>
      <w:r w:rsidR="004C2CB1" w:rsidRPr="008B2AE9">
        <w:rPr>
          <w:rFonts w:ascii="Times New Roman" w:hAnsi="Times New Roman"/>
          <w:sz w:val="22"/>
          <w:szCs w:val="22"/>
          <w:lang w:val="el-GR"/>
        </w:rPr>
        <w:t>ς</w:t>
      </w:r>
      <w:r w:rsidR="002C1FD7" w:rsidRPr="008B2AE9">
        <w:rPr>
          <w:rFonts w:ascii="Times New Roman" w:hAnsi="Times New Roman"/>
          <w:sz w:val="22"/>
          <w:szCs w:val="22"/>
          <w:lang w:val="el-GR"/>
        </w:rPr>
        <w:t xml:space="preserve"> </w:t>
      </w:r>
      <w:r w:rsidRPr="008B2AE9">
        <w:rPr>
          <w:rFonts w:ascii="Times New Roman" w:hAnsi="Times New Roman"/>
          <w:sz w:val="22"/>
          <w:szCs w:val="22"/>
          <w:lang w:val="el-GR"/>
        </w:rPr>
        <w:t>(ως άλας νατρίου).</w:t>
      </w:r>
    </w:p>
    <w:p w:rsidR="00395CB4" w:rsidRPr="008B2AE9" w:rsidRDefault="00395CB4" w:rsidP="0060458E">
      <w:pPr>
        <w:jc w:val="both"/>
        <w:rPr>
          <w:rFonts w:ascii="Times New Roman" w:hAnsi="Times New Roman"/>
          <w:sz w:val="22"/>
          <w:szCs w:val="22"/>
          <w:lang w:val="el-GR"/>
        </w:rPr>
      </w:pPr>
      <w:r w:rsidRPr="008B2AE9">
        <w:rPr>
          <w:rFonts w:ascii="Times New Roman" w:hAnsi="Times New Roman"/>
          <w:sz w:val="22"/>
          <w:szCs w:val="22"/>
          <w:lang w:val="el-GR"/>
        </w:rPr>
        <w:t>Έκδοχα με γνωστές δράσεις:</w:t>
      </w:r>
    </w:p>
    <w:p w:rsidR="00186702" w:rsidRPr="008B2AE9" w:rsidRDefault="00186702" w:rsidP="0060458E">
      <w:pPr>
        <w:jc w:val="both"/>
        <w:rPr>
          <w:rFonts w:ascii="Times New Roman" w:hAnsi="Times New Roman"/>
          <w:sz w:val="22"/>
          <w:szCs w:val="22"/>
          <w:lang w:val="el-GR"/>
        </w:rPr>
      </w:pPr>
      <w:r w:rsidRPr="008B2AE9">
        <w:rPr>
          <w:rFonts w:ascii="Times New Roman" w:hAnsi="Times New Roman"/>
          <w:sz w:val="22"/>
          <w:szCs w:val="22"/>
          <w:lang w:val="el-GR"/>
        </w:rPr>
        <w:t xml:space="preserve">Κάθε φιαλίδιο περιέχει &lt;1 </w:t>
      </w:r>
      <w:r w:rsidRPr="008B2AE9">
        <w:rPr>
          <w:rFonts w:ascii="Times New Roman" w:hAnsi="Times New Roman"/>
          <w:sz w:val="22"/>
          <w:szCs w:val="22"/>
          <w:lang w:val="en-US"/>
        </w:rPr>
        <w:t>mmol</w:t>
      </w:r>
      <w:r w:rsidRPr="008B2AE9">
        <w:rPr>
          <w:rFonts w:ascii="Times New Roman" w:hAnsi="Times New Roman"/>
          <w:sz w:val="22"/>
          <w:szCs w:val="22"/>
          <w:lang w:val="el-GR"/>
        </w:rPr>
        <w:t xml:space="preserve"> νάτριο.</w:t>
      </w:r>
    </w:p>
    <w:p w:rsidR="002C1FD7" w:rsidRPr="008B2AE9" w:rsidRDefault="002C1FD7" w:rsidP="0060458E">
      <w:pPr>
        <w:jc w:val="both"/>
        <w:rPr>
          <w:rFonts w:ascii="Times New Roman" w:hAnsi="Times New Roman"/>
          <w:sz w:val="22"/>
          <w:szCs w:val="22"/>
          <w:lang w:val="el-GR"/>
        </w:rPr>
      </w:pPr>
    </w:p>
    <w:p w:rsidR="00E72235" w:rsidRPr="008B2AE9" w:rsidRDefault="00BB5B68" w:rsidP="0060458E">
      <w:pPr>
        <w:jc w:val="both"/>
        <w:rPr>
          <w:rFonts w:ascii="Times New Roman" w:hAnsi="Times New Roman"/>
          <w:sz w:val="22"/>
          <w:szCs w:val="22"/>
          <w:lang w:val="en-US"/>
        </w:rPr>
      </w:pPr>
      <w:r w:rsidRPr="008B2AE9">
        <w:rPr>
          <w:rFonts w:ascii="Times New Roman" w:hAnsi="Times New Roman"/>
          <w:sz w:val="22"/>
          <w:szCs w:val="22"/>
          <w:lang w:val="el-GR"/>
        </w:rPr>
        <w:t>Για τον πλήρη κατάλογο των εκδόχων, βλ. παράγραφο 6.1.</w:t>
      </w:r>
    </w:p>
    <w:p w:rsidR="00BB5B68" w:rsidRPr="008B2AE9" w:rsidRDefault="00BB5B68" w:rsidP="0060458E">
      <w:pPr>
        <w:jc w:val="both"/>
        <w:rPr>
          <w:rFonts w:ascii="Times New Roman" w:hAnsi="Times New Roman"/>
          <w:b/>
          <w:sz w:val="22"/>
          <w:szCs w:val="22"/>
          <w:lang w:val="en-US"/>
        </w:rPr>
      </w:pPr>
    </w:p>
    <w:p w:rsidR="0060458E" w:rsidRPr="008B2AE9" w:rsidRDefault="0060458E" w:rsidP="0060458E">
      <w:pPr>
        <w:jc w:val="both"/>
        <w:rPr>
          <w:rFonts w:ascii="Times New Roman" w:hAnsi="Times New Roman"/>
          <w:b/>
          <w:sz w:val="22"/>
          <w:szCs w:val="22"/>
          <w:lang w:val="el-GR"/>
        </w:rPr>
      </w:pPr>
    </w:p>
    <w:p w:rsidR="00E72235" w:rsidRPr="008B2AE9" w:rsidRDefault="00E72235" w:rsidP="0060458E">
      <w:pPr>
        <w:jc w:val="both"/>
        <w:rPr>
          <w:rFonts w:ascii="Times New Roman" w:hAnsi="Times New Roman"/>
          <w:b/>
          <w:sz w:val="22"/>
          <w:szCs w:val="22"/>
          <w:lang w:val="el-GR"/>
        </w:rPr>
      </w:pPr>
      <w:r w:rsidRPr="008B2AE9">
        <w:rPr>
          <w:rFonts w:ascii="Times New Roman" w:hAnsi="Times New Roman"/>
          <w:b/>
          <w:sz w:val="22"/>
          <w:szCs w:val="22"/>
          <w:lang w:val="el-GR"/>
        </w:rPr>
        <w:t>3. ΦΑΡΜΑΚΟΤΕΧΝΙΚΗ ΜΟΡΦΗ</w:t>
      </w:r>
      <w:r w:rsidR="006C424F" w:rsidRPr="008B2AE9">
        <w:rPr>
          <w:rFonts w:ascii="Times New Roman" w:hAnsi="Times New Roman"/>
          <w:b/>
          <w:sz w:val="22"/>
          <w:szCs w:val="22"/>
          <w:lang w:val="el-GR"/>
        </w:rPr>
        <w:t xml:space="preserve"> </w:t>
      </w:r>
    </w:p>
    <w:p w:rsidR="00BB5B68" w:rsidRPr="008B2AE9" w:rsidRDefault="00BB5B68" w:rsidP="0060458E">
      <w:pPr>
        <w:jc w:val="both"/>
        <w:rPr>
          <w:rFonts w:ascii="Times New Roman" w:hAnsi="Times New Roman"/>
          <w:bCs/>
          <w:sz w:val="22"/>
          <w:szCs w:val="22"/>
          <w:lang w:val="en-US"/>
        </w:rPr>
      </w:pPr>
    </w:p>
    <w:p w:rsidR="000A3D66" w:rsidRPr="008B2AE9" w:rsidRDefault="000A3D66" w:rsidP="0060458E">
      <w:pPr>
        <w:jc w:val="both"/>
        <w:rPr>
          <w:rFonts w:ascii="Times New Roman" w:hAnsi="Times New Roman"/>
          <w:bCs/>
          <w:sz w:val="22"/>
          <w:szCs w:val="22"/>
          <w:lang w:val="el-GR"/>
        </w:rPr>
      </w:pPr>
      <w:r w:rsidRPr="008B2AE9">
        <w:rPr>
          <w:rFonts w:ascii="Times New Roman" w:hAnsi="Times New Roman"/>
          <w:bCs/>
          <w:sz w:val="22"/>
          <w:szCs w:val="22"/>
          <w:lang w:val="el-GR"/>
        </w:rPr>
        <w:t>Κόνις για ενέσιμο διάλυμα και διάλυμα προς έγχυση .</w:t>
      </w:r>
    </w:p>
    <w:p w:rsidR="000A3D66" w:rsidRPr="008B2AE9" w:rsidRDefault="000A3D66" w:rsidP="0060458E">
      <w:pPr>
        <w:jc w:val="both"/>
        <w:rPr>
          <w:rFonts w:ascii="Times New Roman" w:hAnsi="Times New Roman"/>
          <w:bCs/>
          <w:sz w:val="22"/>
          <w:szCs w:val="22"/>
          <w:lang w:val="el-GR"/>
        </w:rPr>
      </w:pPr>
    </w:p>
    <w:p w:rsidR="00E72235" w:rsidRPr="008B2AE9" w:rsidRDefault="00E72235" w:rsidP="0060458E">
      <w:pPr>
        <w:jc w:val="both"/>
        <w:rPr>
          <w:rFonts w:ascii="Times New Roman" w:hAnsi="Times New Roman"/>
          <w:bCs/>
          <w:sz w:val="22"/>
          <w:szCs w:val="22"/>
          <w:lang w:val="el-GR"/>
        </w:rPr>
      </w:pPr>
      <w:r w:rsidRPr="008B2AE9">
        <w:rPr>
          <w:rFonts w:ascii="Times New Roman" w:hAnsi="Times New Roman"/>
          <w:bCs/>
          <w:sz w:val="22"/>
          <w:szCs w:val="22"/>
          <w:lang w:val="el-GR"/>
        </w:rPr>
        <w:t xml:space="preserve">Λευκή έως </w:t>
      </w:r>
      <w:r w:rsidR="00546E97" w:rsidRPr="008B2AE9">
        <w:rPr>
          <w:rFonts w:ascii="Times New Roman" w:hAnsi="Times New Roman"/>
          <w:bCs/>
          <w:sz w:val="22"/>
          <w:szCs w:val="22"/>
          <w:lang w:val="el-GR"/>
        </w:rPr>
        <w:t>υπόλευκη</w:t>
      </w:r>
      <w:r w:rsidRPr="008B2AE9">
        <w:rPr>
          <w:rFonts w:ascii="Times New Roman" w:hAnsi="Times New Roman"/>
          <w:bCs/>
          <w:sz w:val="22"/>
          <w:szCs w:val="22"/>
          <w:lang w:val="el-GR"/>
        </w:rPr>
        <w:t xml:space="preserve"> πορώδης μάζα ή κόνις</w:t>
      </w:r>
      <w:r w:rsidR="000A3D66" w:rsidRPr="008B2AE9">
        <w:rPr>
          <w:rFonts w:ascii="Times New Roman" w:hAnsi="Times New Roman"/>
          <w:bCs/>
          <w:sz w:val="22"/>
          <w:szCs w:val="22"/>
          <w:lang w:val="el-GR"/>
        </w:rPr>
        <w:t>.</w:t>
      </w:r>
    </w:p>
    <w:p w:rsidR="00E72235" w:rsidRPr="008B2AE9" w:rsidRDefault="00E72235" w:rsidP="004401D7">
      <w:pPr>
        <w:jc w:val="both"/>
        <w:rPr>
          <w:rFonts w:ascii="Times New Roman" w:hAnsi="Times New Roman"/>
          <w:bCs/>
          <w:sz w:val="22"/>
          <w:szCs w:val="22"/>
          <w:lang w:val="el-GR"/>
        </w:rPr>
      </w:pPr>
    </w:p>
    <w:p w:rsidR="004401D7" w:rsidRPr="008B2AE9" w:rsidRDefault="004401D7" w:rsidP="004401D7">
      <w:pPr>
        <w:jc w:val="both"/>
        <w:rPr>
          <w:rFonts w:ascii="Times New Roman" w:hAnsi="Times New Roman"/>
          <w:bCs/>
          <w:sz w:val="22"/>
          <w:szCs w:val="22"/>
          <w:lang w:val="el-GR"/>
        </w:rPr>
      </w:pPr>
    </w:p>
    <w:p w:rsidR="00EC39CB" w:rsidRPr="008B2AE9" w:rsidRDefault="00EC39CB" w:rsidP="00EC39CB">
      <w:pPr>
        <w:widowControl w:val="0"/>
        <w:rPr>
          <w:rFonts w:ascii="Times New Roman" w:hAnsi="Times New Roman"/>
          <w:sz w:val="22"/>
          <w:szCs w:val="22"/>
          <w:lang w:val="el-GR"/>
        </w:rPr>
      </w:pPr>
      <w:r w:rsidRPr="008B2AE9">
        <w:rPr>
          <w:rFonts w:ascii="Times New Roman" w:hAnsi="Times New Roman"/>
          <w:b/>
          <w:sz w:val="22"/>
          <w:szCs w:val="22"/>
          <w:lang w:val="el-GR"/>
        </w:rPr>
        <w:t>4.</w:t>
      </w:r>
      <w:r w:rsidRPr="008B2AE9">
        <w:rPr>
          <w:rFonts w:ascii="Times New Roman" w:hAnsi="Times New Roman"/>
          <w:b/>
          <w:sz w:val="22"/>
          <w:szCs w:val="22"/>
          <w:lang w:val="el-GR"/>
        </w:rPr>
        <w:tab/>
        <w:t>ΚΛΙΝΙΚΕΣ ΠΛΗΡΟΦΟΡΙΕΣ</w:t>
      </w:r>
    </w:p>
    <w:p w:rsidR="00EC39CB" w:rsidRPr="008B2AE9" w:rsidRDefault="00EC39CB" w:rsidP="00EC39CB">
      <w:pPr>
        <w:widowControl w:val="0"/>
        <w:rPr>
          <w:rFonts w:ascii="Times New Roman" w:hAnsi="Times New Roman"/>
          <w:sz w:val="22"/>
          <w:szCs w:val="22"/>
          <w:lang w:val="el-GR"/>
        </w:rPr>
      </w:pPr>
    </w:p>
    <w:p w:rsidR="00EC39CB" w:rsidRPr="008B2AE9" w:rsidRDefault="00EC39CB" w:rsidP="00EC39CB">
      <w:pPr>
        <w:widowControl w:val="0"/>
        <w:rPr>
          <w:rFonts w:ascii="Times New Roman" w:hAnsi="Times New Roman"/>
          <w:sz w:val="22"/>
          <w:szCs w:val="22"/>
          <w:lang w:val="el-GR"/>
        </w:rPr>
      </w:pPr>
      <w:r w:rsidRPr="008B2AE9">
        <w:rPr>
          <w:rFonts w:ascii="Times New Roman" w:hAnsi="Times New Roman"/>
          <w:b/>
          <w:sz w:val="22"/>
          <w:szCs w:val="22"/>
          <w:lang w:val="el-GR"/>
        </w:rPr>
        <w:t>4.1</w:t>
      </w:r>
      <w:r w:rsidRPr="008B2AE9">
        <w:rPr>
          <w:rFonts w:ascii="Times New Roman" w:hAnsi="Times New Roman"/>
          <w:b/>
          <w:sz w:val="22"/>
          <w:szCs w:val="22"/>
          <w:lang w:val="el-GR"/>
        </w:rPr>
        <w:tab/>
        <w:t>Θεραπευτικές ενδείξεις</w:t>
      </w:r>
    </w:p>
    <w:p w:rsidR="000D1B6C" w:rsidRPr="008B2AE9" w:rsidRDefault="000D1B6C" w:rsidP="00282792">
      <w:pPr>
        <w:pStyle w:val="a8"/>
        <w:spacing w:line="240" w:lineRule="auto"/>
        <w:rPr>
          <w:rFonts w:ascii="Times New Roman" w:hAnsi="Times New Roman"/>
          <w:sz w:val="22"/>
          <w:szCs w:val="22"/>
          <w:lang w:val="en-US"/>
        </w:rPr>
      </w:pPr>
    </w:p>
    <w:p w:rsidR="00E72235" w:rsidRPr="008B2AE9" w:rsidRDefault="00C67B11" w:rsidP="00282792">
      <w:pPr>
        <w:pStyle w:val="a8"/>
        <w:spacing w:line="240" w:lineRule="auto"/>
        <w:rPr>
          <w:rFonts w:ascii="Times New Roman" w:hAnsi="Times New Roman"/>
          <w:color w:val="0000FF"/>
          <w:sz w:val="22"/>
          <w:szCs w:val="22"/>
        </w:rPr>
      </w:pPr>
      <w:r w:rsidRPr="008B2AE9">
        <w:rPr>
          <w:rFonts w:ascii="Times New Roman" w:hAnsi="Times New Roman"/>
          <w:sz w:val="22"/>
          <w:szCs w:val="22"/>
        </w:rPr>
        <w:t>Το</w:t>
      </w:r>
      <w:r w:rsidR="00E72235" w:rsidRPr="008B2AE9">
        <w:rPr>
          <w:rFonts w:ascii="Times New Roman" w:hAnsi="Times New Roman"/>
          <w:sz w:val="22"/>
          <w:szCs w:val="22"/>
        </w:rPr>
        <w:t xml:space="preserve"> </w:t>
      </w:r>
      <w:r w:rsidR="000D1B6C" w:rsidRPr="008B2AE9">
        <w:rPr>
          <w:rFonts w:ascii="Times New Roman" w:hAnsi="Times New Roman"/>
          <w:sz w:val="22"/>
          <w:szCs w:val="22"/>
        </w:rPr>
        <w:t xml:space="preserve">DEMOLOX </w:t>
      </w:r>
      <w:r w:rsidR="00E72235" w:rsidRPr="008B2AE9">
        <w:rPr>
          <w:rFonts w:ascii="Times New Roman" w:hAnsi="Times New Roman"/>
          <w:sz w:val="22"/>
          <w:szCs w:val="22"/>
        </w:rPr>
        <w:t xml:space="preserve">ως ενέσιμο διάλυμα και διάλυμα για έγχυση ενδείκνυται </w:t>
      </w:r>
      <w:r w:rsidR="00D07868" w:rsidRPr="008B2AE9">
        <w:rPr>
          <w:rFonts w:ascii="Times New Roman" w:hAnsi="Times New Roman"/>
          <w:sz w:val="22"/>
          <w:szCs w:val="22"/>
        </w:rPr>
        <w:t xml:space="preserve">στους ενήλικες </w:t>
      </w:r>
      <w:r w:rsidR="00E72235" w:rsidRPr="008B2AE9">
        <w:rPr>
          <w:rFonts w:ascii="Times New Roman" w:hAnsi="Times New Roman"/>
          <w:sz w:val="22"/>
          <w:szCs w:val="22"/>
        </w:rPr>
        <w:t>ως</w:t>
      </w:r>
      <w:r w:rsidR="00E72235" w:rsidRPr="008B2AE9">
        <w:rPr>
          <w:rFonts w:ascii="Times New Roman" w:hAnsi="Times New Roman"/>
          <w:color w:val="0000FF"/>
          <w:sz w:val="22"/>
          <w:szCs w:val="22"/>
        </w:rPr>
        <w:t xml:space="preserve">:  </w:t>
      </w:r>
    </w:p>
    <w:p w:rsidR="00E72235" w:rsidRPr="008B2AE9" w:rsidRDefault="00BB0310" w:rsidP="00282792">
      <w:pPr>
        <w:numPr>
          <w:ilvl w:val="0"/>
          <w:numId w:val="5"/>
        </w:numPr>
        <w:jc w:val="both"/>
        <w:rPr>
          <w:rFonts w:ascii="Times New Roman" w:hAnsi="Times New Roman"/>
          <w:sz w:val="22"/>
          <w:szCs w:val="22"/>
          <w:lang w:val="el-GR"/>
        </w:rPr>
      </w:pPr>
      <w:r w:rsidRPr="008B2AE9">
        <w:rPr>
          <w:rFonts w:ascii="Times New Roman" w:hAnsi="Times New Roman"/>
          <w:sz w:val="22"/>
          <w:szCs w:val="22"/>
          <w:lang w:val="el-GR"/>
        </w:rPr>
        <w:t>Γ</w:t>
      </w:r>
      <w:r w:rsidR="000D5216" w:rsidRPr="008B2AE9">
        <w:rPr>
          <w:rFonts w:ascii="Times New Roman" w:hAnsi="Times New Roman"/>
          <w:sz w:val="22"/>
          <w:szCs w:val="22"/>
          <w:lang w:val="el-GR"/>
        </w:rPr>
        <w:t>αστρική αντιεκκριτική θεραπεία</w:t>
      </w:r>
      <w:r w:rsidR="00E72235" w:rsidRPr="008B2AE9">
        <w:rPr>
          <w:rFonts w:ascii="Times New Roman" w:hAnsi="Times New Roman"/>
          <w:sz w:val="22"/>
          <w:szCs w:val="22"/>
          <w:lang w:val="el-GR"/>
        </w:rPr>
        <w:t xml:space="preserve"> όταν η από του στόματος χορήγηση του φαρμάκου δεν είναι εφικτή</w:t>
      </w:r>
      <w:r w:rsidR="000D5216" w:rsidRPr="008B2AE9">
        <w:rPr>
          <w:rFonts w:ascii="Times New Roman" w:hAnsi="Times New Roman"/>
          <w:sz w:val="22"/>
          <w:szCs w:val="22"/>
          <w:lang w:val="el-GR"/>
        </w:rPr>
        <w:t>,</w:t>
      </w:r>
      <w:r w:rsidR="00E72235" w:rsidRPr="008B2AE9">
        <w:rPr>
          <w:rFonts w:ascii="Times New Roman" w:hAnsi="Times New Roman"/>
          <w:sz w:val="22"/>
          <w:szCs w:val="22"/>
          <w:lang w:val="el-GR"/>
        </w:rPr>
        <w:t xml:space="preserve"> όπως:</w:t>
      </w:r>
    </w:p>
    <w:p w:rsidR="00E72235" w:rsidRPr="008B2AE9" w:rsidRDefault="00E72235" w:rsidP="00282792">
      <w:pPr>
        <w:numPr>
          <w:ilvl w:val="0"/>
          <w:numId w:val="6"/>
        </w:numPr>
        <w:tabs>
          <w:tab w:val="clear" w:pos="360"/>
          <w:tab w:val="num" w:pos="709"/>
        </w:tabs>
        <w:ind w:left="709" w:hanging="425"/>
        <w:jc w:val="both"/>
        <w:rPr>
          <w:rFonts w:ascii="Times New Roman" w:hAnsi="Times New Roman"/>
          <w:sz w:val="22"/>
          <w:szCs w:val="22"/>
          <w:lang w:val="el-GR"/>
        </w:rPr>
      </w:pPr>
      <w:r w:rsidRPr="008B2AE9">
        <w:rPr>
          <w:rFonts w:ascii="Times New Roman" w:hAnsi="Times New Roman"/>
          <w:sz w:val="22"/>
          <w:szCs w:val="22"/>
          <w:lang w:val="el-GR"/>
        </w:rPr>
        <w:t>γαστροοισοφαγική παλινδρομική νόσος</w:t>
      </w:r>
      <w:r w:rsidR="006F2923" w:rsidRPr="008B2AE9">
        <w:rPr>
          <w:rFonts w:ascii="Times New Roman" w:hAnsi="Times New Roman"/>
          <w:sz w:val="22"/>
          <w:szCs w:val="22"/>
          <w:lang w:val="el-GR"/>
        </w:rPr>
        <w:t xml:space="preserve"> (ΓΟΠΝ)</w:t>
      </w:r>
      <w:r w:rsidRPr="008B2AE9">
        <w:rPr>
          <w:rFonts w:ascii="Times New Roman" w:hAnsi="Times New Roman"/>
          <w:bCs/>
          <w:color w:val="0000FF"/>
          <w:sz w:val="22"/>
          <w:szCs w:val="22"/>
          <w:lang w:val="el-GR"/>
        </w:rPr>
        <w:t xml:space="preserve"> </w:t>
      </w:r>
      <w:r w:rsidRPr="008B2AE9">
        <w:rPr>
          <w:rFonts w:ascii="Times New Roman" w:hAnsi="Times New Roman"/>
          <w:sz w:val="22"/>
          <w:szCs w:val="22"/>
          <w:lang w:val="el-GR"/>
        </w:rPr>
        <w:t>σε ασθενείς με οισοφαγίτιδα και/ή σοβαρά συμπτώματα παλινδρόμησης,</w:t>
      </w:r>
    </w:p>
    <w:p w:rsidR="00E72235" w:rsidRPr="008B2AE9" w:rsidRDefault="00E72235" w:rsidP="00282792">
      <w:pPr>
        <w:numPr>
          <w:ilvl w:val="0"/>
          <w:numId w:val="6"/>
        </w:numPr>
        <w:tabs>
          <w:tab w:val="clear" w:pos="360"/>
          <w:tab w:val="num" w:pos="709"/>
        </w:tabs>
        <w:ind w:left="709" w:hanging="425"/>
        <w:jc w:val="both"/>
        <w:rPr>
          <w:rFonts w:ascii="Times New Roman" w:hAnsi="Times New Roman"/>
          <w:sz w:val="22"/>
          <w:szCs w:val="22"/>
          <w:u w:val="single"/>
          <w:lang w:val="el-GR"/>
        </w:rPr>
      </w:pPr>
      <w:r w:rsidRPr="008B2AE9">
        <w:rPr>
          <w:rFonts w:ascii="Times New Roman" w:hAnsi="Times New Roman"/>
          <w:sz w:val="22"/>
          <w:szCs w:val="22"/>
          <w:lang w:val="el-GR"/>
        </w:rPr>
        <w:t xml:space="preserve">επούλωση γαστρικών ελκών που σχετίζονται με τη χρήση Μη Στεροειδών Αντιφλεγμονωδών Φαρμάκων. </w:t>
      </w:r>
    </w:p>
    <w:p w:rsidR="00E72235" w:rsidRPr="008B2AE9" w:rsidRDefault="00E72235" w:rsidP="00282792">
      <w:pPr>
        <w:pStyle w:val="a8"/>
        <w:numPr>
          <w:ilvl w:val="0"/>
          <w:numId w:val="6"/>
        </w:numPr>
        <w:tabs>
          <w:tab w:val="clear" w:pos="360"/>
          <w:tab w:val="num" w:pos="709"/>
        </w:tabs>
        <w:spacing w:line="240" w:lineRule="auto"/>
        <w:ind w:left="709" w:hanging="425"/>
        <w:rPr>
          <w:rFonts w:ascii="Times New Roman" w:hAnsi="Times New Roman"/>
          <w:sz w:val="22"/>
          <w:szCs w:val="22"/>
          <w:u w:val="single"/>
        </w:rPr>
      </w:pPr>
      <w:r w:rsidRPr="008B2AE9">
        <w:rPr>
          <w:rFonts w:ascii="Times New Roman" w:hAnsi="Times New Roman"/>
          <w:sz w:val="22"/>
          <w:szCs w:val="22"/>
        </w:rPr>
        <w:t xml:space="preserve">πρόληψη </w:t>
      </w:r>
      <w:bookmarkStart w:id="0" w:name="OLE_LINK2"/>
      <w:r w:rsidRPr="008B2AE9">
        <w:rPr>
          <w:rFonts w:ascii="Times New Roman" w:hAnsi="Times New Roman"/>
          <w:sz w:val="22"/>
          <w:szCs w:val="22"/>
        </w:rPr>
        <w:t xml:space="preserve">γαστρικών και </w:t>
      </w:r>
      <w:bookmarkStart w:id="1" w:name="OLE_LINK1"/>
      <w:r w:rsidRPr="008B2AE9">
        <w:rPr>
          <w:rFonts w:ascii="Times New Roman" w:hAnsi="Times New Roman"/>
          <w:sz w:val="22"/>
          <w:szCs w:val="22"/>
        </w:rPr>
        <w:t xml:space="preserve">δωδεκαδακτυλικών ελκών </w:t>
      </w:r>
      <w:bookmarkEnd w:id="0"/>
      <w:bookmarkEnd w:id="1"/>
      <w:r w:rsidRPr="008B2AE9">
        <w:rPr>
          <w:rFonts w:ascii="Times New Roman" w:hAnsi="Times New Roman"/>
          <w:sz w:val="22"/>
          <w:szCs w:val="22"/>
        </w:rPr>
        <w:t>που σχετίζονται με τη χρήση Μη Στεροειδών Αντιφλεγμονωδών Φαρμάκων</w:t>
      </w:r>
      <w:r w:rsidR="00970678" w:rsidRPr="008B2AE9">
        <w:rPr>
          <w:rFonts w:ascii="Times New Roman" w:hAnsi="Times New Roman"/>
          <w:sz w:val="22"/>
          <w:szCs w:val="22"/>
        </w:rPr>
        <w:t>,</w:t>
      </w:r>
      <w:r w:rsidRPr="008B2AE9">
        <w:rPr>
          <w:rFonts w:ascii="Times New Roman" w:hAnsi="Times New Roman"/>
          <w:sz w:val="22"/>
          <w:szCs w:val="22"/>
        </w:rPr>
        <w:t xml:space="preserve"> σε ασθενείς που βρίσκονται σε κίνδυνο.</w:t>
      </w:r>
    </w:p>
    <w:p w:rsidR="00970678" w:rsidRPr="008B2AE9" w:rsidRDefault="00970678" w:rsidP="00970678">
      <w:pPr>
        <w:pStyle w:val="a8"/>
        <w:spacing w:line="240" w:lineRule="auto"/>
        <w:ind w:left="709"/>
        <w:rPr>
          <w:rFonts w:ascii="Times New Roman" w:hAnsi="Times New Roman"/>
          <w:sz w:val="22"/>
          <w:szCs w:val="22"/>
          <w:u w:val="single"/>
        </w:rPr>
      </w:pPr>
    </w:p>
    <w:p w:rsidR="00E72235" w:rsidRPr="008B2AE9" w:rsidRDefault="00E72235" w:rsidP="00282792">
      <w:pPr>
        <w:pStyle w:val="a8"/>
        <w:numPr>
          <w:ilvl w:val="0"/>
          <w:numId w:val="4"/>
        </w:numPr>
        <w:spacing w:line="240" w:lineRule="auto"/>
        <w:ind w:left="357" w:hanging="357"/>
        <w:rPr>
          <w:rFonts w:ascii="Times New Roman" w:hAnsi="Times New Roman"/>
          <w:sz w:val="22"/>
          <w:szCs w:val="22"/>
        </w:rPr>
      </w:pPr>
      <w:r w:rsidRPr="008B2AE9">
        <w:rPr>
          <w:rFonts w:ascii="Times New Roman" w:hAnsi="Times New Roman"/>
          <w:sz w:val="22"/>
          <w:szCs w:val="22"/>
        </w:rPr>
        <w:t>Πρόληψη επαναιμορραγίας μετά από θεραπευτική ενδοσκόπηση για οξεία αιμορραγία γαστρικών ή δωδεκαδακτυλικών ελκών.</w:t>
      </w:r>
    </w:p>
    <w:p w:rsidR="00E72235" w:rsidRPr="008B2AE9" w:rsidRDefault="00E72235" w:rsidP="00282792">
      <w:pPr>
        <w:jc w:val="both"/>
        <w:rPr>
          <w:rFonts w:ascii="Times New Roman" w:hAnsi="Times New Roman"/>
          <w:sz w:val="22"/>
          <w:szCs w:val="22"/>
          <w:lang w:val="el-GR"/>
        </w:rPr>
      </w:pPr>
    </w:p>
    <w:p w:rsidR="006F2923" w:rsidRPr="008B2AE9" w:rsidRDefault="00B57B6D" w:rsidP="00282792">
      <w:pPr>
        <w:jc w:val="both"/>
        <w:rPr>
          <w:rFonts w:ascii="Times New Roman" w:hAnsi="Times New Roman"/>
          <w:sz w:val="22"/>
          <w:szCs w:val="22"/>
          <w:lang w:val="el-GR"/>
        </w:rPr>
      </w:pPr>
      <w:r w:rsidRPr="008B2AE9">
        <w:rPr>
          <w:rFonts w:ascii="Times New Roman" w:hAnsi="Times New Roman"/>
          <w:sz w:val="22"/>
          <w:szCs w:val="22"/>
          <w:lang w:val="el-GR"/>
        </w:rPr>
        <w:t>Το DEMOLOX ως ενέσιμο διάλυμα και διάλυμα για έγχυση ενδείκνυται σε</w:t>
      </w:r>
      <w:r w:rsidRPr="008B2AE9">
        <w:rPr>
          <w:rFonts w:ascii="Times New Roman" w:hAnsi="Times New Roman"/>
          <w:i/>
          <w:sz w:val="22"/>
          <w:szCs w:val="22"/>
          <w:lang w:val="el-GR"/>
        </w:rPr>
        <w:t xml:space="preserve"> </w:t>
      </w:r>
      <w:r w:rsidRPr="008B2AE9">
        <w:rPr>
          <w:rFonts w:ascii="Times New Roman" w:hAnsi="Times New Roman"/>
          <w:sz w:val="22"/>
          <w:szCs w:val="22"/>
          <w:lang w:val="el-GR"/>
        </w:rPr>
        <w:t>π</w:t>
      </w:r>
      <w:r w:rsidR="006F2923" w:rsidRPr="008B2AE9">
        <w:rPr>
          <w:rFonts w:ascii="Times New Roman" w:hAnsi="Times New Roman"/>
          <w:sz w:val="22"/>
          <w:szCs w:val="22"/>
          <w:lang w:val="el-GR"/>
        </w:rPr>
        <w:t xml:space="preserve">αιδιά και </w:t>
      </w:r>
      <w:r w:rsidR="00A67547" w:rsidRPr="008B2AE9">
        <w:rPr>
          <w:rFonts w:ascii="Times New Roman" w:hAnsi="Times New Roman"/>
          <w:sz w:val="22"/>
          <w:szCs w:val="22"/>
          <w:lang w:val="el-GR"/>
        </w:rPr>
        <w:t>ε</w:t>
      </w:r>
      <w:r w:rsidR="006F2923" w:rsidRPr="008B2AE9">
        <w:rPr>
          <w:rFonts w:ascii="Times New Roman" w:hAnsi="Times New Roman"/>
          <w:sz w:val="22"/>
          <w:szCs w:val="22"/>
          <w:lang w:val="el-GR"/>
        </w:rPr>
        <w:t>φ</w:t>
      </w:r>
      <w:r w:rsidR="00A67547" w:rsidRPr="008B2AE9">
        <w:rPr>
          <w:rFonts w:ascii="Times New Roman" w:hAnsi="Times New Roman"/>
          <w:sz w:val="22"/>
          <w:szCs w:val="22"/>
          <w:lang w:val="el-GR"/>
        </w:rPr>
        <w:t>ή</w:t>
      </w:r>
      <w:r w:rsidR="006F2923" w:rsidRPr="008B2AE9">
        <w:rPr>
          <w:rFonts w:ascii="Times New Roman" w:hAnsi="Times New Roman"/>
          <w:sz w:val="22"/>
          <w:szCs w:val="22"/>
          <w:lang w:val="el-GR"/>
        </w:rPr>
        <w:t>βο</w:t>
      </w:r>
      <w:r w:rsidRPr="008B2AE9">
        <w:rPr>
          <w:rFonts w:ascii="Times New Roman" w:hAnsi="Times New Roman"/>
          <w:sz w:val="22"/>
          <w:szCs w:val="22"/>
          <w:lang w:val="el-GR"/>
        </w:rPr>
        <w:t>υς</w:t>
      </w:r>
      <w:r w:rsidR="006F2923" w:rsidRPr="008B2AE9">
        <w:rPr>
          <w:rFonts w:ascii="Times New Roman" w:hAnsi="Times New Roman"/>
          <w:sz w:val="22"/>
          <w:szCs w:val="22"/>
          <w:lang w:val="el-GR"/>
        </w:rPr>
        <w:t xml:space="preserve"> ηλικίας 1-18 ετών</w:t>
      </w:r>
      <w:r w:rsidR="00D718AE" w:rsidRPr="008B2AE9">
        <w:rPr>
          <w:rFonts w:ascii="Times New Roman" w:hAnsi="Times New Roman"/>
          <w:sz w:val="22"/>
          <w:szCs w:val="22"/>
          <w:lang w:val="el-GR"/>
        </w:rPr>
        <w:t xml:space="preserve"> ως</w:t>
      </w:r>
      <w:r w:rsidRPr="008B2AE9">
        <w:rPr>
          <w:rFonts w:ascii="Times New Roman" w:hAnsi="Times New Roman"/>
          <w:sz w:val="22"/>
          <w:szCs w:val="22"/>
          <w:lang w:val="el-GR"/>
        </w:rPr>
        <w:t>:</w:t>
      </w:r>
    </w:p>
    <w:p w:rsidR="006F2923" w:rsidRPr="008B2AE9" w:rsidRDefault="00BB0310" w:rsidP="00282792">
      <w:pPr>
        <w:numPr>
          <w:ilvl w:val="0"/>
          <w:numId w:val="5"/>
        </w:numPr>
        <w:jc w:val="both"/>
        <w:rPr>
          <w:rFonts w:ascii="Times New Roman" w:hAnsi="Times New Roman"/>
          <w:sz w:val="22"/>
          <w:szCs w:val="22"/>
          <w:lang w:val="el-GR"/>
        </w:rPr>
      </w:pPr>
      <w:r w:rsidRPr="008B2AE9">
        <w:rPr>
          <w:rFonts w:ascii="Times New Roman" w:hAnsi="Times New Roman"/>
          <w:sz w:val="22"/>
          <w:szCs w:val="22"/>
          <w:lang w:val="el-GR"/>
        </w:rPr>
        <w:t>Γ</w:t>
      </w:r>
      <w:r w:rsidR="006F2923" w:rsidRPr="008B2AE9">
        <w:rPr>
          <w:rFonts w:ascii="Times New Roman" w:hAnsi="Times New Roman"/>
          <w:sz w:val="22"/>
          <w:szCs w:val="22"/>
          <w:lang w:val="el-GR"/>
        </w:rPr>
        <w:t>αστρική αντιεκκριτική θεραπεία όταν η από του στόματος χορήγηση του φαρμάκου δεν είναι εφικτή</w:t>
      </w:r>
      <w:r w:rsidR="00184385" w:rsidRPr="008B2AE9">
        <w:rPr>
          <w:rFonts w:ascii="Times New Roman" w:hAnsi="Times New Roman"/>
          <w:sz w:val="22"/>
          <w:szCs w:val="22"/>
          <w:lang w:val="el-GR"/>
        </w:rPr>
        <w:t>,</w:t>
      </w:r>
      <w:r w:rsidR="006F2923" w:rsidRPr="008B2AE9">
        <w:rPr>
          <w:rFonts w:ascii="Times New Roman" w:hAnsi="Times New Roman"/>
          <w:sz w:val="22"/>
          <w:szCs w:val="22"/>
          <w:lang w:val="el-GR"/>
        </w:rPr>
        <w:t xml:space="preserve"> όπως:</w:t>
      </w:r>
    </w:p>
    <w:p w:rsidR="006F2923" w:rsidRPr="008B2AE9" w:rsidRDefault="006F2923" w:rsidP="00282792">
      <w:pPr>
        <w:numPr>
          <w:ilvl w:val="0"/>
          <w:numId w:val="6"/>
        </w:numPr>
        <w:tabs>
          <w:tab w:val="clear" w:pos="360"/>
          <w:tab w:val="num" w:pos="709"/>
        </w:tabs>
        <w:ind w:left="709" w:hanging="425"/>
        <w:jc w:val="both"/>
        <w:rPr>
          <w:rFonts w:ascii="Times New Roman" w:hAnsi="Times New Roman"/>
          <w:sz w:val="22"/>
          <w:szCs w:val="22"/>
          <w:lang w:val="el-GR"/>
        </w:rPr>
      </w:pPr>
      <w:r w:rsidRPr="008B2AE9">
        <w:rPr>
          <w:rFonts w:ascii="Times New Roman" w:hAnsi="Times New Roman"/>
          <w:sz w:val="22"/>
          <w:szCs w:val="22"/>
          <w:lang w:val="el-GR"/>
        </w:rPr>
        <w:t>γαστροοισοφαγική παλινδρομική νόσος (ΓΟΠΝ)</w:t>
      </w:r>
      <w:r w:rsidRPr="008B2AE9">
        <w:rPr>
          <w:rFonts w:ascii="Times New Roman" w:hAnsi="Times New Roman"/>
          <w:bCs/>
          <w:color w:val="0000FF"/>
          <w:sz w:val="22"/>
          <w:szCs w:val="22"/>
          <w:lang w:val="el-GR"/>
        </w:rPr>
        <w:t xml:space="preserve"> </w:t>
      </w:r>
      <w:r w:rsidRPr="008B2AE9">
        <w:rPr>
          <w:rFonts w:ascii="Times New Roman" w:hAnsi="Times New Roman"/>
          <w:sz w:val="22"/>
          <w:szCs w:val="22"/>
          <w:lang w:val="el-GR"/>
        </w:rPr>
        <w:t xml:space="preserve">σε ασθενείς με </w:t>
      </w:r>
      <w:r w:rsidR="00905548" w:rsidRPr="008B2AE9">
        <w:rPr>
          <w:rFonts w:ascii="Times New Roman" w:hAnsi="Times New Roman"/>
          <w:sz w:val="22"/>
          <w:szCs w:val="22"/>
          <w:lang w:val="el-GR"/>
        </w:rPr>
        <w:t xml:space="preserve">διαβρωτική </w:t>
      </w:r>
      <w:r w:rsidR="00C4559E" w:rsidRPr="008B2AE9">
        <w:rPr>
          <w:rFonts w:ascii="Times New Roman" w:hAnsi="Times New Roman"/>
          <w:sz w:val="22"/>
          <w:szCs w:val="22"/>
          <w:lang w:val="el-GR"/>
        </w:rPr>
        <w:t>οισοφαγίτιδα από</w:t>
      </w:r>
      <w:r w:rsidR="0045017A" w:rsidRPr="008B2AE9">
        <w:rPr>
          <w:rFonts w:ascii="Times New Roman" w:hAnsi="Times New Roman"/>
          <w:sz w:val="22"/>
          <w:szCs w:val="22"/>
          <w:lang w:val="el-GR"/>
        </w:rPr>
        <w:t xml:space="preserve"> παλινδρόμηση</w:t>
      </w:r>
      <w:r w:rsidRPr="008B2AE9">
        <w:rPr>
          <w:rFonts w:ascii="Times New Roman" w:hAnsi="Times New Roman"/>
          <w:sz w:val="22"/>
          <w:szCs w:val="22"/>
          <w:lang w:val="el-GR"/>
        </w:rPr>
        <w:t xml:space="preserve"> και/ή σοβαρά συμπτώματα παλινδρόμησης.</w:t>
      </w:r>
    </w:p>
    <w:p w:rsidR="006F2923" w:rsidRPr="008B2AE9" w:rsidRDefault="006F2923" w:rsidP="00282792">
      <w:pPr>
        <w:jc w:val="both"/>
        <w:rPr>
          <w:rFonts w:ascii="Times New Roman" w:hAnsi="Times New Roman"/>
          <w:sz w:val="22"/>
          <w:szCs w:val="22"/>
          <w:lang w:val="el-GR"/>
        </w:rPr>
      </w:pPr>
    </w:p>
    <w:p w:rsidR="00E72235" w:rsidRPr="008B2AE9" w:rsidRDefault="00E72235" w:rsidP="00C20EB5">
      <w:pPr>
        <w:rPr>
          <w:rFonts w:ascii="Times New Roman" w:hAnsi="Times New Roman"/>
          <w:b/>
          <w:sz w:val="22"/>
          <w:szCs w:val="22"/>
          <w:lang w:val="el-GR"/>
        </w:rPr>
      </w:pPr>
      <w:r w:rsidRPr="008B2AE9">
        <w:rPr>
          <w:rFonts w:ascii="Times New Roman" w:hAnsi="Times New Roman"/>
          <w:b/>
          <w:sz w:val="22"/>
          <w:szCs w:val="22"/>
          <w:lang w:val="el-GR"/>
        </w:rPr>
        <w:t>4.2</w:t>
      </w:r>
      <w:r w:rsidRPr="008B2AE9">
        <w:rPr>
          <w:rFonts w:ascii="Times New Roman" w:hAnsi="Times New Roman"/>
          <w:b/>
          <w:sz w:val="22"/>
          <w:szCs w:val="22"/>
          <w:lang w:val="el-GR"/>
        </w:rPr>
        <w:tab/>
        <w:t xml:space="preserve"> Δοσολογία και τρόπος χορήγησης </w:t>
      </w:r>
    </w:p>
    <w:p w:rsidR="00B825DE" w:rsidRPr="008B2AE9" w:rsidRDefault="00B825DE" w:rsidP="00C20EB5">
      <w:pPr>
        <w:jc w:val="both"/>
        <w:rPr>
          <w:rFonts w:ascii="Times New Roman" w:hAnsi="Times New Roman"/>
          <w:i/>
          <w:iCs/>
          <w:sz w:val="22"/>
          <w:szCs w:val="22"/>
          <w:u w:val="single"/>
          <w:lang w:val="en-US"/>
        </w:rPr>
      </w:pPr>
    </w:p>
    <w:p w:rsidR="006F2923" w:rsidRPr="008B2AE9" w:rsidRDefault="006F2923" w:rsidP="00C20EB5">
      <w:pPr>
        <w:jc w:val="both"/>
        <w:rPr>
          <w:rFonts w:ascii="Times New Roman" w:hAnsi="Times New Roman"/>
          <w:iCs/>
          <w:sz w:val="22"/>
          <w:szCs w:val="22"/>
          <w:u w:val="single"/>
          <w:lang w:val="el-GR"/>
        </w:rPr>
      </w:pPr>
      <w:r w:rsidRPr="008B2AE9">
        <w:rPr>
          <w:rFonts w:ascii="Times New Roman" w:hAnsi="Times New Roman"/>
          <w:iCs/>
          <w:sz w:val="22"/>
          <w:szCs w:val="22"/>
          <w:u w:val="single"/>
          <w:lang w:val="el-GR"/>
        </w:rPr>
        <w:t>Δοσολογία</w:t>
      </w:r>
    </w:p>
    <w:p w:rsidR="00C20EB5" w:rsidRPr="008B2AE9" w:rsidRDefault="00C20EB5" w:rsidP="00C20EB5">
      <w:pPr>
        <w:jc w:val="both"/>
        <w:rPr>
          <w:rFonts w:ascii="Times New Roman" w:hAnsi="Times New Roman"/>
          <w:iCs/>
          <w:sz w:val="22"/>
          <w:szCs w:val="22"/>
          <w:u w:val="single"/>
          <w:lang w:val="el-GR"/>
        </w:rPr>
      </w:pPr>
    </w:p>
    <w:p w:rsidR="006F2923" w:rsidRPr="008B2AE9" w:rsidRDefault="006F2923" w:rsidP="00C20EB5">
      <w:pPr>
        <w:jc w:val="both"/>
        <w:rPr>
          <w:rFonts w:ascii="Times New Roman" w:hAnsi="Times New Roman"/>
          <w:iCs/>
          <w:sz w:val="22"/>
          <w:szCs w:val="22"/>
          <w:u w:val="single"/>
          <w:lang w:val="el-GR"/>
        </w:rPr>
      </w:pPr>
      <w:r w:rsidRPr="008B2AE9">
        <w:rPr>
          <w:rFonts w:ascii="Times New Roman" w:hAnsi="Times New Roman"/>
          <w:iCs/>
          <w:sz w:val="22"/>
          <w:szCs w:val="22"/>
          <w:u w:val="single"/>
          <w:lang w:val="el-GR"/>
        </w:rPr>
        <w:t>Ενήλικες</w:t>
      </w:r>
    </w:p>
    <w:p w:rsidR="00C20EB5" w:rsidRPr="008B2AE9" w:rsidRDefault="00C20EB5" w:rsidP="00C20EB5">
      <w:pPr>
        <w:jc w:val="both"/>
        <w:rPr>
          <w:rFonts w:ascii="Times New Roman" w:hAnsi="Times New Roman"/>
          <w:i/>
          <w:iCs/>
          <w:sz w:val="22"/>
          <w:szCs w:val="22"/>
          <w:lang w:val="el-GR"/>
        </w:rPr>
      </w:pPr>
    </w:p>
    <w:p w:rsidR="00E72235" w:rsidRPr="008B2AE9" w:rsidRDefault="00E72235" w:rsidP="00C20EB5">
      <w:pPr>
        <w:jc w:val="both"/>
        <w:rPr>
          <w:rFonts w:ascii="Times New Roman" w:hAnsi="Times New Roman"/>
          <w:i/>
          <w:iCs/>
          <w:sz w:val="22"/>
          <w:szCs w:val="22"/>
          <w:lang w:val="el-GR"/>
        </w:rPr>
      </w:pPr>
      <w:r w:rsidRPr="008B2AE9">
        <w:rPr>
          <w:rFonts w:ascii="Times New Roman" w:hAnsi="Times New Roman"/>
          <w:i/>
          <w:iCs/>
          <w:sz w:val="22"/>
          <w:szCs w:val="22"/>
          <w:lang w:val="el-GR"/>
        </w:rPr>
        <w:t>Γαστρική αντιεκκριτική θεραπεία όταν δεν είναι εφικτή η από του στόματος χορήγηση</w:t>
      </w:r>
    </w:p>
    <w:p w:rsidR="006F2923" w:rsidRPr="008B2AE9" w:rsidRDefault="00E72235" w:rsidP="00C20EB5">
      <w:pPr>
        <w:jc w:val="both"/>
        <w:rPr>
          <w:rFonts w:ascii="Times New Roman" w:hAnsi="Times New Roman"/>
          <w:sz w:val="22"/>
          <w:szCs w:val="22"/>
          <w:lang w:val="el-GR"/>
        </w:rPr>
      </w:pPr>
      <w:r w:rsidRPr="008B2AE9">
        <w:rPr>
          <w:rFonts w:ascii="Times New Roman" w:hAnsi="Times New Roman"/>
          <w:sz w:val="22"/>
          <w:szCs w:val="22"/>
          <w:lang w:val="el-GR"/>
        </w:rPr>
        <w:t xml:space="preserve">Σε ασθενείς στους οποίους δεν είναι εφικτή η από του στόματος χορήγηση του φαρμάκου μπορεί να χορηγηθεί παρεντερικά σε δόση 20 - 40 mg μία φορά την ημέρα. Σε ασθενείς με οισοφαγίτιδα από παλινδρόμηση πρέπει να χορηγούνται 40 mg μία φορά την ημέρα. Σε </w:t>
      </w:r>
      <w:r w:rsidRPr="008B2AE9">
        <w:rPr>
          <w:rFonts w:ascii="Times New Roman" w:hAnsi="Times New Roman"/>
          <w:sz w:val="22"/>
          <w:szCs w:val="22"/>
          <w:lang w:val="el-GR"/>
        </w:rPr>
        <w:lastRenderedPageBreak/>
        <w:t>ασθενείς που αντιμετωπίζονται συμπτωματικά για παλινδρόμηση</w:t>
      </w:r>
      <w:r w:rsidR="006C424F" w:rsidRPr="008B2AE9">
        <w:rPr>
          <w:rFonts w:ascii="Times New Roman" w:hAnsi="Times New Roman"/>
          <w:sz w:val="22"/>
          <w:szCs w:val="22"/>
          <w:lang w:val="el-GR"/>
        </w:rPr>
        <w:t xml:space="preserve"> </w:t>
      </w:r>
      <w:r w:rsidRPr="008B2AE9">
        <w:rPr>
          <w:rFonts w:ascii="Times New Roman" w:hAnsi="Times New Roman"/>
          <w:sz w:val="22"/>
          <w:szCs w:val="22"/>
          <w:lang w:val="el-GR"/>
        </w:rPr>
        <w:t xml:space="preserve">πρέπει να χορηγούνται 20 mg μία φορά την ημέρα. </w:t>
      </w:r>
    </w:p>
    <w:p w:rsidR="006F2923" w:rsidRPr="008B2AE9" w:rsidRDefault="006F2923" w:rsidP="00634843">
      <w:pPr>
        <w:jc w:val="both"/>
        <w:rPr>
          <w:rFonts w:ascii="Times New Roman" w:hAnsi="Times New Roman"/>
          <w:sz w:val="22"/>
          <w:szCs w:val="22"/>
          <w:lang w:val="el-GR"/>
        </w:rPr>
      </w:pPr>
    </w:p>
    <w:p w:rsidR="00E72235" w:rsidRPr="008B2AE9" w:rsidRDefault="00E72235" w:rsidP="00634843">
      <w:pPr>
        <w:jc w:val="both"/>
        <w:rPr>
          <w:rFonts w:ascii="Times New Roman" w:hAnsi="Times New Roman"/>
          <w:sz w:val="22"/>
          <w:szCs w:val="22"/>
          <w:lang w:val="el-GR"/>
        </w:rPr>
      </w:pPr>
      <w:r w:rsidRPr="008B2AE9">
        <w:rPr>
          <w:rFonts w:ascii="Times New Roman" w:hAnsi="Times New Roman"/>
          <w:sz w:val="22"/>
          <w:szCs w:val="22"/>
          <w:lang w:val="el-GR"/>
        </w:rPr>
        <w:t xml:space="preserve">Για την επούλωση των γαστρικών ελκών που σχετίζονται με τη χρήση Μη Στεροειδών Αντιφλεγμονωδών Φαρμάκων η δόση είναι 20 </w:t>
      </w:r>
      <w:r w:rsidRPr="008B2AE9">
        <w:rPr>
          <w:rFonts w:ascii="Times New Roman" w:hAnsi="Times New Roman"/>
          <w:sz w:val="22"/>
          <w:szCs w:val="22"/>
          <w:lang w:val="en-US"/>
        </w:rPr>
        <w:t>mg</w:t>
      </w:r>
      <w:r w:rsidRPr="008B2AE9">
        <w:rPr>
          <w:rFonts w:ascii="Times New Roman" w:hAnsi="Times New Roman"/>
          <w:sz w:val="22"/>
          <w:szCs w:val="22"/>
          <w:lang w:val="el-GR"/>
        </w:rPr>
        <w:t xml:space="preserve"> μία φορά την ημέρα.</w:t>
      </w:r>
      <w:r w:rsidR="006C424F" w:rsidRPr="008B2AE9">
        <w:rPr>
          <w:rFonts w:ascii="Times New Roman" w:hAnsi="Times New Roman"/>
          <w:sz w:val="22"/>
          <w:szCs w:val="22"/>
          <w:lang w:val="el-GR"/>
        </w:rPr>
        <w:t xml:space="preserve"> </w:t>
      </w:r>
      <w:r w:rsidRPr="008B2AE9">
        <w:rPr>
          <w:rFonts w:ascii="Times New Roman" w:hAnsi="Times New Roman"/>
          <w:sz w:val="22"/>
          <w:szCs w:val="22"/>
          <w:lang w:val="el-GR"/>
        </w:rPr>
        <w:t xml:space="preserve">Για την πρόληψη γαστρικών και δωδεκαδακτυλικών ελκών που σχετίζονται με τη χρήση Μη Στεροειδών Αντιφλεγμονωδών Φαρμάκων, οι ασθενείς που βρίσκονται σε κίνδυνο πρέπει να λαμβάνουν 20 </w:t>
      </w:r>
      <w:r w:rsidRPr="008B2AE9">
        <w:rPr>
          <w:rFonts w:ascii="Times New Roman" w:hAnsi="Times New Roman"/>
          <w:sz w:val="22"/>
          <w:szCs w:val="22"/>
          <w:lang w:val="en-US"/>
        </w:rPr>
        <w:t>mg</w:t>
      </w:r>
      <w:r w:rsidRPr="008B2AE9">
        <w:rPr>
          <w:rFonts w:ascii="Times New Roman" w:hAnsi="Times New Roman"/>
          <w:sz w:val="22"/>
          <w:szCs w:val="22"/>
          <w:lang w:val="el-GR"/>
        </w:rPr>
        <w:t xml:space="preserve"> μία φορά την ημέρα. </w:t>
      </w:r>
    </w:p>
    <w:p w:rsidR="006F2923" w:rsidRPr="008B2AE9" w:rsidRDefault="006F2923" w:rsidP="00634843">
      <w:pPr>
        <w:jc w:val="both"/>
        <w:rPr>
          <w:rFonts w:ascii="Times New Roman" w:hAnsi="Times New Roman"/>
          <w:sz w:val="22"/>
          <w:szCs w:val="22"/>
          <w:lang w:val="el-GR"/>
        </w:rPr>
      </w:pPr>
    </w:p>
    <w:p w:rsidR="00E72235" w:rsidRPr="008B2AE9" w:rsidRDefault="00E72235" w:rsidP="00634843">
      <w:pPr>
        <w:jc w:val="both"/>
        <w:rPr>
          <w:rFonts w:ascii="Times New Roman" w:hAnsi="Times New Roman"/>
          <w:sz w:val="22"/>
          <w:szCs w:val="22"/>
          <w:lang w:val="el-GR"/>
        </w:rPr>
      </w:pPr>
      <w:r w:rsidRPr="008B2AE9">
        <w:rPr>
          <w:rFonts w:ascii="Times New Roman" w:hAnsi="Times New Roman"/>
          <w:sz w:val="22"/>
          <w:szCs w:val="22"/>
          <w:lang w:val="el-GR"/>
        </w:rPr>
        <w:t>Συνήθως η διάρκεια της ενδοφλέβιας θεραπείας είναι μικρή και η μετάβαση στην από του στόματος χορήγηση πρέπει να γίνεται το συντομότερο δυνατόν.</w:t>
      </w:r>
    </w:p>
    <w:p w:rsidR="00E72235" w:rsidRPr="008B2AE9" w:rsidRDefault="00E72235" w:rsidP="00634843">
      <w:pPr>
        <w:jc w:val="both"/>
        <w:rPr>
          <w:rFonts w:ascii="Times New Roman" w:hAnsi="Times New Roman"/>
          <w:sz w:val="22"/>
          <w:szCs w:val="22"/>
          <w:lang w:val="el-GR"/>
        </w:rPr>
      </w:pPr>
    </w:p>
    <w:p w:rsidR="00E72235" w:rsidRPr="008B2AE9" w:rsidRDefault="00E72235" w:rsidP="00634843">
      <w:pPr>
        <w:jc w:val="both"/>
        <w:rPr>
          <w:rFonts w:ascii="Times New Roman" w:hAnsi="Times New Roman"/>
          <w:i/>
          <w:iCs/>
          <w:sz w:val="22"/>
          <w:szCs w:val="22"/>
          <w:lang w:val="el-GR"/>
        </w:rPr>
      </w:pPr>
      <w:r w:rsidRPr="008B2AE9">
        <w:rPr>
          <w:rFonts w:ascii="Times New Roman" w:hAnsi="Times New Roman"/>
          <w:i/>
          <w:iCs/>
          <w:sz w:val="22"/>
          <w:szCs w:val="22"/>
          <w:lang w:val="el-GR"/>
        </w:rPr>
        <w:t>Πρόληψη επαναιμορραγίας γαστρικών και δωδεκαδακτυλικών ελκών</w:t>
      </w:r>
    </w:p>
    <w:p w:rsidR="006F2923" w:rsidRPr="008B2AE9" w:rsidRDefault="00E72235" w:rsidP="00634843">
      <w:pPr>
        <w:pStyle w:val="7"/>
        <w:spacing w:line="240" w:lineRule="auto"/>
        <w:rPr>
          <w:rFonts w:ascii="Times New Roman" w:hAnsi="Times New Roman"/>
          <w:color w:val="auto"/>
          <w:sz w:val="22"/>
          <w:szCs w:val="22"/>
        </w:rPr>
      </w:pPr>
      <w:r w:rsidRPr="008B2AE9">
        <w:rPr>
          <w:rFonts w:ascii="Times New Roman" w:hAnsi="Times New Roman"/>
          <w:color w:val="auto"/>
          <w:sz w:val="22"/>
          <w:szCs w:val="22"/>
        </w:rPr>
        <w:t xml:space="preserve">Μετά από θεραπευτική ενδοσκόπηση για οξεία αιμορραγία γαστρικών ή δωδεκαδακτυλικών ελκών, πρέπει να χορηγούνται 80 </w:t>
      </w:r>
      <w:r w:rsidRPr="008B2AE9">
        <w:rPr>
          <w:rFonts w:ascii="Times New Roman" w:hAnsi="Times New Roman"/>
          <w:color w:val="auto"/>
          <w:sz w:val="22"/>
          <w:szCs w:val="22"/>
          <w:lang w:val="en-US"/>
        </w:rPr>
        <w:t>mg</w:t>
      </w:r>
      <w:r w:rsidRPr="008B2AE9">
        <w:rPr>
          <w:rFonts w:ascii="Times New Roman" w:hAnsi="Times New Roman"/>
          <w:color w:val="auto"/>
          <w:sz w:val="22"/>
          <w:szCs w:val="22"/>
        </w:rPr>
        <w:t xml:space="preserve"> ως δόση εφόδου σε 30 λεπτά έγχυσης,</w:t>
      </w:r>
      <w:r w:rsidR="006C424F" w:rsidRPr="008B2AE9">
        <w:rPr>
          <w:rFonts w:ascii="Times New Roman" w:hAnsi="Times New Roman"/>
          <w:color w:val="auto"/>
          <w:sz w:val="22"/>
          <w:szCs w:val="22"/>
        </w:rPr>
        <w:t xml:space="preserve"> </w:t>
      </w:r>
      <w:r w:rsidRPr="008B2AE9">
        <w:rPr>
          <w:rFonts w:ascii="Times New Roman" w:hAnsi="Times New Roman"/>
          <w:color w:val="auto"/>
          <w:sz w:val="22"/>
          <w:szCs w:val="22"/>
        </w:rPr>
        <w:t xml:space="preserve">ακολουθούμενη από συνεχή ενδοφλέβια έγχυση 8 </w:t>
      </w:r>
      <w:r w:rsidRPr="008B2AE9">
        <w:rPr>
          <w:rFonts w:ascii="Times New Roman" w:hAnsi="Times New Roman"/>
          <w:color w:val="auto"/>
          <w:sz w:val="22"/>
          <w:szCs w:val="22"/>
          <w:lang w:val="en-US"/>
        </w:rPr>
        <w:t>mg</w:t>
      </w:r>
      <w:r w:rsidRPr="008B2AE9">
        <w:rPr>
          <w:rFonts w:ascii="Times New Roman" w:hAnsi="Times New Roman"/>
          <w:color w:val="auto"/>
          <w:sz w:val="22"/>
          <w:szCs w:val="22"/>
        </w:rPr>
        <w:t>/</w:t>
      </w:r>
      <w:r w:rsidRPr="008B2AE9">
        <w:rPr>
          <w:rFonts w:ascii="Times New Roman" w:hAnsi="Times New Roman"/>
          <w:color w:val="auto"/>
          <w:sz w:val="22"/>
          <w:szCs w:val="22"/>
          <w:lang w:val="en-US"/>
        </w:rPr>
        <w:t>h</w:t>
      </w:r>
      <w:r w:rsidRPr="008B2AE9">
        <w:rPr>
          <w:rFonts w:ascii="Times New Roman" w:hAnsi="Times New Roman"/>
          <w:color w:val="auto"/>
          <w:sz w:val="22"/>
          <w:szCs w:val="22"/>
        </w:rPr>
        <w:t xml:space="preserve"> για 3 ημέρες (72 ώρες). </w:t>
      </w:r>
    </w:p>
    <w:p w:rsidR="006F2923" w:rsidRPr="008B2AE9" w:rsidRDefault="006F2923" w:rsidP="00634843">
      <w:pPr>
        <w:pStyle w:val="7"/>
        <w:spacing w:line="240" w:lineRule="auto"/>
        <w:rPr>
          <w:rFonts w:ascii="Times New Roman" w:hAnsi="Times New Roman"/>
          <w:color w:val="auto"/>
          <w:sz w:val="22"/>
          <w:szCs w:val="22"/>
        </w:rPr>
      </w:pPr>
    </w:p>
    <w:p w:rsidR="00E72235" w:rsidRPr="008B2AE9" w:rsidRDefault="00E72235" w:rsidP="00634843">
      <w:pPr>
        <w:pStyle w:val="7"/>
        <w:spacing w:line="240" w:lineRule="auto"/>
        <w:rPr>
          <w:rFonts w:ascii="Times New Roman" w:hAnsi="Times New Roman"/>
          <w:color w:val="auto"/>
          <w:sz w:val="22"/>
          <w:szCs w:val="22"/>
        </w:rPr>
      </w:pPr>
      <w:r w:rsidRPr="008B2AE9">
        <w:rPr>
          <w:rFonts w:ascii="Times New Roman" w:hAnsi="Times New Roman"/>
          <w:color w:val="auto"/>
          <w:sz w:val="22"/>
          <w:szCs w:val="22"/>
        </w:rPr>
        <w:t>Η περίοδος της παρεντερικής θεραπείας πρέπει να ακολουθείται με από του στόματος θεραπεία για καταστολή του οξέος.</w:t>
      </w:r>
    </w:p>
    <w:p w:rsidR="00E72235" w:rsidRPr="008B2AE9" w:rsidRDefault="00E72235" w:rsidP="00634843">
      <w:pPr>
        <w:jc w:val="both"/>
        <w:rPr>
          <w:rFonts w:ascii="Times New Roman" w:hAnsi="Times New Roman"/>
          <w:sz w:val="22"/>
          <w:szCs w:val="22"/>
          <w:lang w:val="el-GR"/>
        </w:rPr>
      </w:pPr>
    </w:p>
    <w:p w:rsidR="00E72235" w:rsidRPr="008B2AE9" w:rsidRDefault="00E72235" w:rsidP="00634843">
      <w:pPr>
        <w:jc w:val="both"/>
        <w:rPr>
          <w:rFonts w:ascii="Times New Roman" w:hAnsi="Times New Roman"/>
          <w:bCs/>
          <w:sz w:val="22"/>
          <w:szCs w:val="22"/>
          <w:u w:val="single"/>
          <w:lang w:val="el-GR"/>
        </w:rPr>
      </w:pPr>
      <w:r w:rsidRPr="008B2AE9">
        <w:rPr>
          <w:rFonts w:ascii="Times New Roman" w:hAnsi="Times New Roman"/>
          <w:bCs/>
          <w:sz w:val="22"/>
          <w:szCs w:val="22"/>
          <w:u w:val="single"/>
          <w:lang w:val="el-GR"/>
        </w:rPr>
        <w:t>Μέθοδος χορήγησης</w:t>
      </w:r>
    </w:p>
    <w:p w:rsidR="006F2923" w:rsidRPr="008B2AE9" w:rsidRDefault="006F2923" w:rsidP="00634843">
      <w:pPr>
        <w:jc w:val="both"/>
        <w:rPr>
          <w:rFonts w:ascii="Times New Roman" w:hAnsi="Times New Roman"/>
          <w:bCs/>
          <w:sz w:val="22"/>
          <w:szCs w:val="22"/>
          <w:lang w:val="el-GR"/>
        </w:rPr>
      </w:pPr>
      <w:r w:rsidRPr="008B2AE9">
        <w:rPr>
          <w:rFonts w:ascii="Times New Roman" w:hAnsi="Times New Roman"/>
          <w:bCs/>
          <w:sz w:val="22"/>
          <w:szCs w:val="22"/>
          <w:lang w:val="el-GR"/>
        </w:rPr>
        <w:t xml:space="preserve">Για την προετοιμασία του ανασυσταθέντος διαλύματος, βλέπε </w:t>
      </w:r>
      <w:r w:rsidR="004D349B" w:rsidRPr="008B2AE9">
        <w:rPr>
          <w:rFonts w:ascii="Times New Roman" w:hAnsi="Times New Roman"/>
          <w:bCs/>
          <w:sz w:val="22"/>
          <w:szCs w:val="22"/>
          <w:lang w:val="el-GR"/>
        </w:rPr>
        <w:t>παράγραφο</w:t>
      </w:r>
      <w:r w:rsidRPr="008B2AE9">
        <w:rPr>
          <w:rFonts w:ascii="Times New Roman" w:hAnsi="Times New Roman"/>
          <w:bCs/>
          <w:sz w:val="22"/>
          <w:szCs w:val="22"/>
          <w:lang w:val="el-GR"/>
        </w:rPr>
        <w:t xml:space="preserve"> 6.6.</w:t>
      </w:r>
    </w:p>
    <w:p w:rsidR="006F2923" w:rsidRPr="008B2AE9" w:rsidRDefault="006F2923" w:rsidP="00634843">
      <w:pPr>
        <w:pStyle w:val="5"/>
        <w:spacing w:line="240" w:lineRule="auto"/>
        <w:rPr>
          <w:rFonts w:ascii="Times New Roman" w:hAnsi="Times New Roman"/>
          <w:iCs/>
          <w:sz w:val="22"/>
          <w:szCs w:val="22"/>
        </w:rPr>
      </w:pPr>
    </w:p>
    <w:p w:rsidR="00E72235" w:rsidRPr="008B2AE9" w:rsidRDefault="00E72235" w:rsidP="00634843">
      <w:pPr>
        <w:pStyle w:val="5"/>
        <w:spacing w:line="240" w:lineRule="auto"/>
        <w:rPr>
          <w:rFonts w:ascii="Times New Roman" w:hAnsi="Times New Roman"/>
          <w:i w:val="0"/>
          <w:iCs/>
          <w:sz w:val="22"/>
          <w:szCs w:val="22"/>
          <w:u w:val="none"/>
        </w:rPr>
      </w:pPr>
      <w:r w:rsidRPr="008B2AE9">
        <w:rPr>
          <w:rFonts w:ascii="Times New Roman" w:hAnsi="Times New Roman"/>
          <w:i w:val="0"/>
          <w:iCs/>
          <w:sz w:val="22"/>
          <w:szCs w:val="22"/>
          <w:u w:val="none"/>
        </w:rPr>
        <w:t>Ένεση</w:t>
      </w:r>
    </w:p>
    <w:p w:rsidR="00E72235" w:rsidRPr="008B2AE9" w:rsidRDefault="00E72235" w:rsidP="00634843">
      <w:pPr>
        <w:jc w:val="both"/>
        <w:rPr>
          <w:rFonts w:ascii="Times New Roman" w:hAnsi="Times New Roman"/>
          <w:iCs/>
          <w:sz w:val="22"/>
          <w:szCs w:val="22"/>
          <w:u w:val="single"/>
          <w:lang w:val="el-GR"/>
        </w:rPr>
      </w:pPr>
      <w:r w:rsidRPr="008B2AE9">
        <w:rPr>
          <w:rFonts w:ascii="Times New Roman" w:hAnsi="Times New Roman"/>
          <w:iCs/>
          <w:sz w:val="22"/>
          <w:szCs w:val="22"/>
          <w:u w:val="single"/>
          <w:lang w:val="el-GR"/>
        </w:rPr>
        <w:t xml:space="preserve">Δόση 40 </w:t>
      </w:r>
      <w:r w:rsidRPr="008B2AE9">
        <w:rPr>
          <w:rFonts w:ascii="Times New Roman" w:hAnsi="Times New Roman"/>
          <w:iCs/>
          <w:sz w:val="22"/>
          <w:szCs w:val="22"/>
          <w:u w:val="single"/>
          <w:lang w:val="en-US"/>
        </w:rPr>
        <w:t>mg</w:t>
      </w:r>
    </w:p>
    <w:p w:rsidR="00E72235" w:rsidRPr="008B2AE9" w:rsidRDefault="006F2923" w:rsidP="00634843">
      <w:pPr>
        <w:jc w:val="both"/>
        <w:rPr>
          <w:rFonts w:ascii="Times New Roman" w:hAnsi="Times New Roman"/>
          <w:sz w:val="22"/>
          <w:szCs w:val="22"/>
          <w:lang w:val="el-GR"/>
        </w:rPr>
      </w:pPr>
      <w:r w:rsidRPr="008B2AE9">
        <w:rPr>
          <w:rFonts w:ascii="Times New Roman" w:hAnsi="Times New Roman"/>
          <w:sz w:val="22"/>
          <w:szCs w:val="22"/>
          <w:lang w:val="el-GR"/>
        </w:rPr>
        <w:t xml:space="preserve">Τα 5 </w:t>
      </w:r>
      <w:r w:rsidRPr="008B2AE9">
        <w:rPr>
          <w:rFonts w:ascii="Times New Roman" w:hAnsi="Times New Roman"/>
          <w:sz w:val="22"/>
          <w:szCs w:val="22"/>
          <w:lang w:val="en-US"/>
        </w:rPr>
        <w:t>ml</w:t>
      </w:r>
      <w:r w:rsidRPr="008B2AE9">
        <w:rPr>
          <w:rFonts w:ascii="Times New Roman" w:hAnsi="Times New Roman"/>
          <w:sz w:val="22"/>
          <w:szCs w:val="22"/>
          <w:lang w:val="el-GR"/>
        </w:rPr>
        <w:t xml:space="preserve"> του ανασυσταθέντος διαλύματος (8 mg/ml)</w:t>
      </w:r>
      <w:r w:rsidR="00E72235" w:rsidRPr="008B2AE9">
        <w:rPr>
          <w:rFonts w:ascii="Times New Roman" w:hAnsi="Times New Roman"/>
          <w:sz w:val="22"/>
          <w:szCs w:val="22"/>
          <w:lang w:val="el-GR"/>
        </w:rPr>
        <w:t xml:space="preserve"> πρέπει να </w:t>
      </w:r>
      <w:r w:rsidRPr="008B2AE9">
        <w:rPr>
          <w:rFonts w:ascii="Times New Roman" w:hAnsi="Times New Roman"/>
          <w:sz w:val="22"/>
          <w:szCs w:val="22"/>
          <w:lang w:val="el-GR"/>
        </w:rPr>
        <w:t>χορηγούνται</w:t>
      </w:r>
      <w:r w:rsidR="00E72235" w:rsidRPr="008B2AE9">
        <w:rPr>
          <w:rFonts w:ascii="Times New Roman" w:hAnsi="Times New Roman"/>
          <w:sz w:val="22"/>
          <w:szCs w:val="22"/>
          <w:lang w:val="el-GR"/>
        </w:rPr>
        <w:t xml:space="preserve"> με ενδοφλέβια ένεση σε τουλάχιστον 3 λεπτά. </w:t>
      </w:r>
    </w:p>
    <w:p w:rsidR="00E72235" w:rsidRPr="008B2AE9" w:rsidRDefault="00E72235" w:rsidP="00634843">
      <w:pPr>
        <w:jc w:val="both"/>
        <w:rPr>
          <w:rFonts w:ascii="Times New Roman" w:hAnsi="Times New Roman"/>
          <w:sz w:val="22"/>
          <w:szCs w:val="22"/>
          <w:lang w:val="el-GR"/>
        </w:rPr>
      </w:pPr>
    </w:p>
    <w:p w:rsidR="00E72235" w:rsidRPr="008B2AE9" w:rsidRDefault="00E72235" w:rsidP="00634843">
      <w:pPr>
        <w:jc w:val="both"/>
        <w:rPr>
          <w:rFonts w:ascii="Times New Roman" w:hAnsi="Times New Roman"/>
          <w:iCs/>
          <w:sz w:val="22"/>
          <w:szCs w:val="22"/>
          <w:u w:val="single"/>
          <w:lang w:val="el-GR"/>
        </w:rPr>
      </w:pPr>
      <w:r w:rsidRPr="008B2AE9">
        <w:rPr>
          <w:rFonts w:ascii="Times New Roman" w:hAnsi="Times New Roman"/>
          <w:iCs/>
          <w:sz w:val="22"/>
          <w:szCs w:val="22"/>
          <w:u w:val="single"/>
          <w:lang w:val="el-GR"/>
        </w:rPr>
        <w:t xml:space="preserve">Δόση 20 </w:t>
      </w:r>
      <w:r w:rsidRPr="008B2AE9">
        <w:rPr>
          <w:rFonts w:ascii="Times New Roman" w:hAnsi="Times New Roman"/>
          <w:iCs/>
          <w:sz w:val="22"/>
          <w:szCs w:val="22"/>
          <w:u w:val="single"/>
          <w:lang w:val="en-US"/>
        </w:rPr>
        <w:t>mg</w:t>
      </w:r>
    </w:p>
    <w:p w:rsidR="00E72235" w:rsidRPr="008B2AE9" w:rsidRDefault="006F2923" w:rsidP="00634843">
      <w:pPr>
        <w:jc w:val="both"/>
        <w:rPr>
          <w:rFonts w:ascii="Times New Roman" w:hAnsi="Times New Roman"/>
          <w:sz w:val="22"/>
          <w:szCs w:val="22"/>
          <w:lang w:val="el-GR"/>
        </w:rPr>
      </w:pPr>
      <w:r w:rsidRPr="008B2AE9">
        <w:rPr>
          <w:rFonts w:ascii="Times New Roman" w:hAnsi="Times New Roman"/>
          <w:sz w:val="22"/>
          <w:szCs w:val="22"/>
          <w:lang w:val="el-GR"/>
        </w:rPr>
        <w:t xml:space="preserve">Τα 2,5 </w:t>
      </w:r>
      <w:r w:rsidRPr="008B2AE9">
        <w:rPr>
          <w:rFonts w:ascii="Times New Roman" w:hAnsi="Times New Roman"/>
          <w:sz w:val="22"/>
          <w:szCs w:val="22"/>
          <w:lang w:val="en-US"/>
        </w:rPr>
        <w:t>ml</w:t>
      </w:r>
      <w:r w:rsidRPr="008B2AE9">
        <w:rPr>
          <w:rFonts w:ascii="Times New Roman" w:hAnsi="Times New Roman"/>
          <w:sz w:val="22"/>
          <w:szCs w:val="22"/>
          <w:lang w:val="el-GR"/>
        </w:rPr>
        <w:t xml:space="preserve"> </w:t>
      </w:r>
      <w:r w:rsidR="00546E97" w:rsidRPr="008B2AE9">
        <w:rPr>
          <w:rFonts w:ascii="Times New Roman" w:hAnsi="Times New Roman"/>
          <w:sz w:val="22"/>
          <w:szCs w:val="22"/>
          <w:lang w:val="el-GR"/>
        </w:rPr>
        <w:t>ή το ήμισυ</w:t>
      </w:r>
      <w:r w:rsidR="00E72235" w:rsidRPr="008B2AE9">
        <w:rPr>
          <w:rFonts w:ascii="Times New Roman" w:hAnsi="Times New Roman"/>
          <w:sz w:val="22"/>
          <w:szCs w:val="22"/>
          <w:lang w:val="el-GR"/>
        </w:rPr>
        <w:t xml:space="preserve"> του ανασυσταθέντος διαλύματος </w:t>
      </w:r>
      <w:r w:rsidRPr="008B2AE9">
        <w:rPr>
          <w:rFonts w:ascii="Times New Roman" w:hAnsi="Times New Roman"/>
          <w:sz w:val="22"/>
          <w:szCs w:val="22"/>
          <w:lang w:val="el-GR"/>
        </w:rPr>
        <w:t xml:space="preserve">(8 mg/ml) </w:t>
      </w:r>
      <w:r w:rsidR="00E72235" w:rsidRPr="008B2AE9">
        <w:rPr>
          <w:rFonts w:ascii="Times New Roman" w:hAnsi="Times New Roman"/>
          <w:sz w:val="22"/>
          <w:szCs w:val="22"/>
          <w:lang w:val="el-GR"/>
        </w:rPr>
        <w:t xml:space="preserve">πρέπει να </w:t>
      </w:r>
      <w:r w:rsidRPr="008B2AE9">
        <w:rPr>
          <w:rFonts w:ascii="Times New Roman" w:hAnsi="Times New Roman"/>
          <w:sz w:val="22"/>
          <w:szCs w:val="22"/>
          <w:lang w:val="el-GR"/>
        </w:rPr>
        <w:t>χορηγούνται</w:t>
      </w:r>
      <w:r w:rsidR="00E72235" w:rsidRPr="008B2AE9">
        <w:rPr>
          <w:rFonts w:ascii="Times New Roman" w:hAnsi="Times New Roman"/>
          <w:sz w:val="22"/>
          <w:szCs w:val="22"/>
          <w:lang w:val="el-GR"/>
        </w:rPr>
        <w:t xml:space="preserve"> με ενδοφλέβια ένεση σε τουλάχιστον 3 λεπτά. Το διάλυμα που δεν έχει χρησιμοποιηθεί πρέπει να απορρίπτεται. </w:t>
      </w:r>
    </w:p>
    <w:p w:rsidR="00E72235" w:rsidRPr="008B2AE9" w:rsidRDefault="00E72235" w:rsidP="00634843">
      <w:pPr>
        <w:jc w:val="both"/>
        <w:rPr>
          <w:rFonts w:ascii="Times New Roman" w:hAnsi="Times New Roman"/>
          <w:sz w:val="22"/>
          <w:szCs w:val="22"/>
          <w:lang w:val="el-GR"/>
        </w:rPr>
      </w:pPr>
    </w:p>
    <w:p w:rsidR="00E72235" w:rsidRPr="008B2AE9" w:rsidRDefault="00E72235" w:rsidP="00634843">
      <w:pPr>
        <w:pStyle w:val="5"/>
        <w:spacing w:line="240" w:lineRule="auto"/>
        <w:rPr>
          <w:rFonts w:ascii="Times New Roman" w:hAnsi="Times New Roman"/>
          <w:i w:val="0"/>
          <w:iCs/>
          <w:sz w:val="22"/>
          <w:szCs w:val="22"/>
          <w:u w:val="none"/>
        </w:rPr>
      </w:pPr>
      <w:r w:rsidRPr="008B2AE9">
        <w:rPr>
          <w:rFonts w:ascii="Times New Roman" w:hAnsi="Times New Roman"/>
          <w:i w:val="0"/>
          <w:iCs/>
          <w:sz w:val="22"/>
          <w:szCs w:val="22"/>
          <w:u w:val="none"/>
        </w:rPr>
        <w:t>Έγχυση</w:t>
      </w:r>
    </w:p>
    <w:p w:rsidR="00E72235" w:rsidRPr="008B2AE9" w:rsidRDefault="00E72235" w:rsidP="00634843">
      <w:pPr>
        <w:jc w:val="both"/>
        <w:rPr>
          <w:rFonts w:ascii="Times New Roman" w:hAnsi="Times New Roman"/>
          <w:iCs/>
          <w:sz w:val="22"/>
          <w:szCs w:val="22"/>
          <w:u w:val="single"/>
          <w:lang w:val="el-GR"/>
        </w:rPr>
      </w:pPr>
      <w:r w:rsidRPr="008B2AE9">
        <w:rPr>
          <w:rFonts w:ascii="Times New Roman" w:hAnsi="Times New Roman"/>
          <w:iCs/>
          <w:sz w:val="22"/>
          <w:szCs w:val="22"/>
          <w:u w:val="single"/>
          <w:lang w:val="el-GR"/>
        </w:rPr>
        <w:t xml:space="preserve">Δόση 40 </w:t>
      </w:r>
      <w:r w:rsidRPr="008B2AE9">
        <w:rPr>
          <w:rFonts w:ascii="Times New Roman" w:hAnsi="Times New Roman"/>
          <w:iCs/>
          <w:sz w:val="22"/>
          <w:szCs w:val="22"/>
          <w:u w:val="single"/>
          <w:lang w:val="en-US"/>
        </w:rPr>
        <w:t>mg</w:t>
      </w:r>
    </w:p>
    <w:p w:rsidR="00E72235" w:rsidRPr="008B2AE9" w:rsidRDefault="00E72235" w:rsidP="00634843">
      <w:pPr>
        <w:jc w:val="both"/>
        <w:rPr>
          <w:rFonts w:ascii="Times New Roman" w:hAnsi="Times New Roman"/>
          <w:sz w:val="22"/>
          <w:szCs w:val="22"/>
          <w:lang w:val="el-GR"/>
        </w:rPr>
      </w:pPr>
      <w:r w:rsidRPr="008B2AE9">
        <w:rPr>
          <w:rFonts w:ascii="Times New Roman" w:hAnsi="Times New Roman"/>
          <w:sz w:val="22"/>
          <w:szCs w:val="22"/>
          <w:lang w:val="el-GR"/>
        </w:rPr>
        <w:t xml:space="preserve">Το ανασυσταθέν διάλυμα πρέπει να χορηγείται με ενδοφλέβια έγχυση μεταξύ 10 </w:t>
      </w:r>
      <w:r w:rsidR="00536309" w:rsidRPr="008B2AE9">
        <w:rPr>
          <w:rFonts w:ascii="Times New Roman" w:hAnsi="Times New Roman"/>
          <w:sz w:val="22"/>
          <w:szCs w:val="22"/>
          <w:lang w:val="el-GR"/>
        </w:rPr>
        <w:t xml:space="preserve">και </w:t>
      </w:r>
      <w:r w:rsidRPr="008B2AE9">
        <w:rPr>
          <w:rFonts w:ascii="Times New Roman" w:hAnsi="Times New Roman"/>
          <w:sz w:val="22"/>
          <w:szCs w:val="22"/>
          <w:lang w:val="el-GR"/>
        </w:rPr>
        <w:t xml:space="preserve">30 λεπτών. </w:t>
      </w:r>
    </w:p>
    <w:p w:rsidR="00E72235" w:rsidRPr="008B2AE9" w:rsidRDefault="00E72235" w:rsidP="00634843">
      <w:pPr>
        <w:jc w:val="both"/>
        <w:rPr>
          <w:rFonts w:ascii="Times New Roman" w:hAnsi="Times New Roman"/>
          <w:sz w:val="22"/>
          <w:szCs w:val="22"/>
          <w:lang w:val="el-GR"/>
        </w:rPr>
      </w:pPr>
    </w:p>
    <w:p w:rsidR="00E72235" w:rsidRPr="008B2AE9" w:rsidRDefault="00E72235" w:rsidP="00634843">
      <w:pPr>
        <w:jc w:val="both"/>
        <w:rPr>
          <w:rFonts w:ascii="Times New Roman" w:hAnsi="Times New Roman"/>
          <w:iCs/>
          <w:sz w:val="22"/>
          <w:szCs w:val="22"/>
          <w:u w:val="single"/>
          <w:lang w:val="el-GR"/>
        </w:rPr>
      </w:pPr>
      <w:r w:rsidRPr="008B2AE9">
        <w:rPr>
          <w:rFonts w:ascii="Times New Roman" w:hAnsi="Times New Roman"/>
          <w:iCs/>
          <w:sz w:val="22"/>
          <w:szCs w:val="22"/>
          <w:u w:val="single"/>
          <w:lang w:val="el-GR"/>
        </w:rPr>
        <w:t xml:space="preserve">Δόση 20 </w:t>
      </w:r>
      <w:r w:rsidRPr="008B2AE9">
        <w:rPr>
          <w:rFonts w:ascii="Times New Roman" w:hAnsi="Times New Roman"/>
          <w:iCs/>
          <w:sz w:val="22"/>
          <w:szCs w:val="22"/>
          <w:u w:val="single"/>
          <w:lang w:val="en-US"/>
        </w:rPr>
        <w:t>mg</w:t>
      </w:r>
    </w:p>
    <w:p w:rsidR="00E72235" w:rsidRPr="008B2AE9" w:rsidRDefault="00E72235" w:rsidP="00634843">
      <w:pPr>
        <w:jc w:val="both"/>
        <w:rPr>
          <w:rFonts w:ascii="Times New Roman" w:hAnsi="Times New Roman"/>
          <w:sz w:val="22"/>
          <w:szCs w:val="22"/>
          <w:lang w:val="el-GR"/>
        </w:rPr>
      </w:pPr>
      <w:r w:rsidRPr="008B2AE9">
        <w:rPr>
          <w:rFonts w:ascii="Times New Roman" w:hAnsi="Times New Roman"/>
          <w:sz w:val="22"/>
          <w:szCs w:val="22"/>
          <w:lang w:val="el-GR"/>
        </w:rPr>
        <w:t>Το ήμισυ του ανασυσταθέντος διαλύματος πρέπει να χορηγείται με ενδοφλέβια έγχυση μεταξύ 10 και 30 λεπτών. Το διάλυμα που δεν έχει χρησιμοποιηθεί πρέπει να απορρίπτεται.</w:t>
      </w:r>
    </w:p>
    <w:p w:rsidR="00E72235" w:rsidRPr="008B2AE9" w:rsidRDefault="00E72235" w:rsidP="00634843">
      <w:pPr>
        <w:jc w:val="both"/>
        <w:rPr>
          <w:rFonts w:ascii="Times New Roman" w:hAnsi="Times New Roman"/>
          <w:sz w:val="22"/>
          <w:szCs w:val="22"/>
          <w:lang w:val="el-GR"/>
        </w:rPr>
      </w:pPr>
    </w:p>
    <w:p w:rsidR="00E72235" w:rsidRPr="008B2AE9" w:rsidRDefault="00E72235" w:rsidP="00634843">
      <w:pPr>
        <w:jc w:val="both"/>
        <w:rPr>
          <w:rFonts w:ascii="Times New Roman" w:hAnsi="Times New Roman"/>
          <w:iCs/>
          <w:sz w:val="22"/>
          <w:szCs w:val="22"/>
          <w:u w:val="single"/>
          <w:lang w:val="el-GR"/>
        </w:rPr>
      </w:pPr>
      <w:r w:rsidRPr="008B2AE9">
        <w:rPr>
          <w:rFonts w:ascii="Times New Roman" w:hAnsi="Times New Roman"/>
          <w:iCs/>
          <w:sz w:val="22"/>
          <w:szCs w:val="22"/>
          <w:u w:val="single"/>
          <w:lang w:val="el-GR"/>
        </w:rPr>
        <w:t xml:space="preserve">Δόση εφόδου 80 </w:t>
      </w:r>
      <w:r w:rsidRPr="008B2AE9">
        <w:rPr>
          <w:rFonts w:ascii="Times New Roman" w:hAnsi="Times New Roman"/>
          <w:iCs/>
          <w:sz w:val="22"/>
          <w:szCs w:val="22"/>
          <w:u w:val="single"/>
          <w:lang w:val="en-US"/>
        </w:rPr>
        <w:t>mg</w:t>
      </w:r>
      <w:r w:rsidRPr="008B2AE9">
        <w:rPr>
          <w:rFonts w:ascii="Times New Roman" w:hAnsi="Times New Roman"/>
          <w:iCs/>
          <w:sz w:val="22"/>
          <w:szCs w:val="22"/>
          <w:u w:val="single"/>
          <w:lang w:val="el-GR"/>
        </w:rPr>
        <w:t xml:space="preserve"> </w:t>
      </w:r>
    </w:p>
    <w:p w:rsidR="00E72235" w:rsidRPr="008B2AE9" w:rsidRDefault="00E72235" w:rsidP="00634843">
      <w:pPr>
        <w:pStyle w:val="a8"/>
        <w:spacing w:line="240" w:lineRule="auto"/>
        <w:rPr>
          <w:rFonts w:ascii="Times New Roman" w:hAnsi="Times New Roman"/>
          <w:sz w:val="22"/>
          <w:szCs w:val="22"/>
        </w:rPr>
      </w:pPr>
      <w:r w:rsidRPr="008B2AE9">
        <w:rPr>
          <w:rFonts w:ascii="Times New Roman" w:hAnsi="Times New Roman"/>
          <w:sz w:val="22"/>
          <w:szCs w:val="22"/>
        </w:rPr>
        <w:t>Το ανασυσταθέν διάλυμα πρέπει να χορηγείται ως συνεχής ενδοφλέβια έγχυση σε 30 λεπτά.</w:t>
      </w:r>
    </w:p>
    <w:p w:rsidR="00E72235" w:rsidRPr="008B2AE9" w:rsidRDefault="00E72235" w:rsidP="00634843">
      <w:pPr>
        <w:jc w:val="both"/>
        <w:rPr>
          <w:rFonts w:ascii="Times New Roman" w:hAnsi="Times New Roman"/>
          <w:sz w:val="22"/>
          <w:szCs w:val="22"/>
          <w:lang w:val="el-GR"/>
        </w:rPr>
      </w:pPr>
    </w:p>
    <w:p w:rsidR="00E72235" w:rsidRPr="008B2AE9" w:rsidRDefault="00E72235" w:rsidP="00634843">
      <w:pPr>
        <w:jc w:val="both"/>
        <w:rPr>
          <w:rFonts w:ascii="Times New Roman" w:hAnsi="Times New Roman"/>
          <w:iCs/>
          <w:sz w:val="22"/>
          <w:szCs w:val="22"/>
          <w:u w:val="single"/>
          <w:lang w:val="el-GR"/>
        </w:rPr>
      </w:pPr>
      <w:r w:rsidRPr="008B2AE9">
        <w:rPr>
          <w:rFonts w:ascii="Times New Roman" w:hAnsi="Times New Roman"/>
          <w:iCs/>
          <w:sz w:val="22"/>
          <w:szCs w:val="22"/>
          <w:u w:val="single"/>
          <w:lang w:val="el-GR"/>
        </w:rPr>
        <w:t xml:space="preserve">Δόση 8 </w:t>
      </w:r>
      <w:r w:rsidRPr="008B2AE9">
        <w:rPr>
          <w:rFonts w:ascii="Times New Roman" w:hAnsi="Times New Roman"/>
          <w:iCs/>
          <w:sz w:val="22"/>
          <w:szCs w:val="22"/>
          <w:u w:val="single"/>
          <w:lang w:val="en-US"/>
        </w:rPr>
        <w:t>mg</w:t>
      </w:r>
      <w:r w:rsidRPr="008B2AE9">
        <w:rPr>
          <w:rFonts w:ascii="Times New Roman" w:hAnsi="Times New Roman"/>
          <w:iCs/>
          <w:sz w:val="22"/>
          <w:szCs w:val="22"/>
          <w:u w:val="single"/>
          <w:lang w:val="el-GR"/>
        </w:rPr>
        <w:t>/</w:t>
      </w:r>
      <w:r w:rsidRPr="008B2AE9">
        <w:rPr>
          <w:rFonts w:ascii="Times New Roman" w:hAnsi="Times New Roman"/>
          <w:iCs/>
          <w:sz w:val="22"/>
          <w:szCs w:val="22"/>
          <w:u w:val="single"/>
          <w:lang w:val="en-US"/>
        </w:rPr>
        <w:t>h</w:t>
      </w:r>
    </w:p>
    <w:p w:rsidR="00634843" w:rsidRPr="008B2AE9" w:rsidRDefault="00E72235" w:rsidP="00634843">
      <w:pPr>
        <w:jc w:val="both"/>
        <w:rPr>
          <w:rFonts w:ascii="Times New Roman" w:hAnsi="Times New Roman"/>
          <w:sz w:val="22"/>
          <w:szCs w:val="22"/>
          <w:lang w:val="el-GR"/>
        </w:rPr>
      </w:pPr>
      <w:r w:rsidRPr="008B2AE9">
        <w:rPr>
          <w:rFonts w:ascii="Times New Roman" w:hAnsi="Times New Roman"/>
          <w:sz w:val="22"/>
          <w:szCs w:val="22"/>
          <w:lang w:val="el-GR"/>
        </w:rPr>
        <w:t xml:space="preserve">Το ανασυσταθέν διάλυμα πρέπει να χορηγείται ως συνεχής ενδοφλέβια έγχυση σε 71,5 ώρες (υπολογιζόμενος ρυθμός έγχυσης 8 mg/h. Βλέπε </w:t>
      </w:r>
      <w:r w:rsidR="004D349B" w:rsidRPr="008B2AE9">
        <w:rPr>
          <w:rFonts w:ascii="Times New Roman" w:hAnsi="Times New Roman"/>
          <w:sz w:val="22"/>
          <w:szCs w:val="22"/>
          <w:lang w:val="el-GR"/>
        </w:rPr>
        <w:t>παράγραφο</w:t>
      </w:r>
      <w:r w:rsidRPr="008B2AE9">
        <w:rPr>
          <w:rFonts w:ascii="Times New Roman" w:hAnsi="Times New Roman"/>
          <w:sz w:val="22"/>
          <w:szCs w:val="22"/>
          <w:lang w:val="el-GR"/>
        </w:rPr>
        <w:t xml:space="preserve"> 6.3 για</w:t>
      </w:r>
      <w:r w:rsidR="006C424F" w:rsidRPr="008B2AE9">
        <w:rPr>
          <w:rFonts w:ascii="Times New Roman" w:hAnsi="Times New Roman"/>
          <w:sz w:val="22"/>
          <w:szCs w:val="22"/>
          <w:lang w:val="el-GR"/>
        </w:rPr>
        <w:t xml:space="preserve"> </w:t>
      </w:r>
      <w:r w:rsidRPr="008B2AE9">
        <w:rPr>
          <w:rFonts w:ascii="Times New Roman" w:hAnsi="Times New Roman"/>
          <w:sz w:val="22"/>
          <w:szCs w:val="22"/>
          <w:lang w:val="el-GR"/>
        </w:rPr>
        <w:t>διάρκεια ζωής του ανασυσταθέντος διαλύματος).</w:t>
      </w:r>
    </w:p>
    <w:p w:rsidR="00634843" w:rsidRPr="008B2AE9" w:rsidRDefault="00634843" w:rsidP="00634843">
      <w:pPr>
        <w:jc w:val="both"/>
        <w:rPr>
          <w:rFonts w:ascii="Times New Roman" w:hAnsi="Times New Roman"/>
          <w:sz w:val="22"/>
          <w:szCs w:val="22"/>
          <w:lang w:val="el-GR"/>
        </w:rPr>
      </w:pPr>
    </w:p>
    <w:p w:rsidR="009F1CC5" w:rsidRPr="008B2AE9" w:rsidRDefault="009F1CC5" w:rsidP="00634843">
      <w:pPr>
        <w:jc w:val="both"/>
        <w:rPr>
          <w:rFonts w:ascii="Times New Roman" w:hAnsi="Times New Roman"/>
          <w:sz w:val="22"/>
          <w:szCs w:val="22"/>
          <w:u w:val="single"/>
          <w:lang w:val="el-GR"/>
        </w:rPr>
      </w:pPr>
      <w:r w:rsidRPr="008B2AE9">
        <w:rPr>
          <w:rFonts w:ascii="Times New Roman" w:hAnsi="Times New Roman"/>
          <w:sz w:val="22"/>
          <w:szCs w:val="22"/>
          <w:u w:val="single"/>
          <w:lang w:val="el-GR"/>
        </w:rPr>
        <w:t>Ειδικοί Πληθυσμοί</w:t>
      </w:r>
    </w:p>
    <w:p w:rsidR="009F1CC5" w:rsidRPr="008B2AE9" w:rsidRDefault="009F1CC5" w:rsidP="00634843">
      <w:pPr>
        <w:jc w:val="both"/>
        <w:rPr>
          <w:rFonts w:ascii="Times New Roman" w:hAnsi="Times New Roman"/>
          <w:sz w:val="22"/>
          <w:szCs w:val="22"/>
          <w:lang w:val="el-GR"/>
        </w:rPr>
      </w:pPr>
    </w:p>
    <w:p w:rsidR="00E72235" w:rsidRPr="008B2AE9" w:rsidRDefault="002B1F35" w:rsidP="00634843">
      <w:pPr>
        <w:jc w:val="both"/>
        <w:rPr>
          <w:rFonts w:ascii="Times New Roman" w:hAnsi="Times New Roman"/>
          <w:i/>
          <w:sz w:val="22"/>
          <w:szCs w:val="22"/>
          <w:lang w:val="el-GR"/>
        </w:rPr>
      </w:pPr>
      <w:r w:rsidRPr="008B2AE9">
        <w:rPr>
          <w:rFonts w:ascii="Times New Roman" w:hAnsi="Times New Roman"/>
          <w:i/>
          <w:sz w:val="22"/>
          <w:szCs w:val="22"/>
          <w:lang w:val="el-GR"/>
        </w:rPr>
        <w:t>Ασθενείς</w:t>
      </w:r>
      <w:r w:rsidR="00E72235" w:rsidRPr="008B2AE9">
        <w:rPr>
          <w:rFonts w:ascii="Times New Roman" w:hAnsi="Times New Roman"/>
          <w:i/>
          <w:sz w:val="22"/>
          <w:szCs w:val="22"/>
          <w:lang w:val="el-GR"/>
        </w:rPr>
        <w:t xml:space="preserve"> </w:t>
      </w:r>
      <w:r w:rsidRPr="008B2AE9">
        <w:rPr>
          <w:rFonts w:ascii="Times New Roman" w:hAnsi="Times New Roman"/>
          <w:i/>
          <w:sz w:val="22"/>
          <w:szCs w:val="22"/>
          <w:lang w:val="el-GR"/>
        </w:rPr>
        <w:t>μ</w:t>
      </w:r>
      <w:r w:rsidR="00E72235" w:rsidRPr="008B2AE9">
        <w:rPr>
          <w:rFonts w:ascii="Times New Roman" w:hAnsi="Times New Roman"/>
          <w:i/>
          <w:sz w:val="22"/>
          <w:szCs w:val="22"/>
          <w:lang w:val="el-GR"/>
        </w:rPr>
        <w:t xml:space="preserve">ε </w:t>
      </w:r>
      <w:r w:rsidR="00E121C8" w:rsidRPr="008B2AE9">
        <w:rPr>
          <w:rFonts w:ascii="Times New Roman" w:hAnsi="Times New Roman"/>
          <w:i/>
          <w:sz w:val="22"/>
          <w:szCs w:val="22"/>
          <w:lang w:val="el-GR"/>
        </w:rPr>
        <w:t>μειωμένη νεφρική λειτουργία</w:t>
      </w:r>
    </w:p>
    <w:p w:rsidR="00E72235" w:rsidRPr="008B2AE9" w:rsidRDefault="00E72235" w:rsidP="00634843">
      <w:pPr>
        <w:pStyle w:val="9"/>
        <w:spacing w:line="240" w:lineRule="auto"/>
        <w:jc w:val="both"/>
        <w:rPr>
          <w:rFonts w:ascii="Times New Roman" w:hAnsi="Times New Roman"/>
          <w:i w:val="0"/>
          <w:sz w:val="22"/>
          <w:szCs w:val="22"/>
          <w:u w:val="none"/>
        </w:rPr>
      </w:pPr>
      <w:r w:rsidRPr="008B2AE9">
        <w:rPr>
          <w:rFonts w:ascii="Times New Roman" w:hAnsi="Times New Roman"/>
          <w:i w:val="0"/>
          <w:sz w:val="22"/>
          <w:szCs w:val="22"/>
          <w:u w:val="none"/>
        </w:rPr>
        <w:t xml:space="preserve">Σε ασθενείς με νεφρική </w:t>
      </w:r>
      <w:r w:rsidR="00171230" w:rsidRPr="008B2AE9">
        <w:rPr>
          <w:rFonts w:ascii="Times New Roman" w:hAnsi="Times New Roman"/>
          <w:i w:val="0"/>
          <w:sz w:val="22"/>
          <w:szCs w:val="22"/>
          <w:u w:val="none"/>
        </w:rPr>
        <w:t xml:space="preserve">δυσλειτουργία </w:t>
      </w:r>
      <w:r w:rsidRPr="008B2AE9">
        <w:rPr>
          <w:rFonts w:ascii="Times New Roman" w:hAnsi="Times New Roman"/>
          <w:i w:val="0"/>
          <w:sz w:val="22"/>
          <w:szCs w:val="22"/>
          <w:u w:val="none"/>
        </w:rPr>
        <w:t xml:space="preserve">δεν χρειάζεται προσαρμογή της δοσολογίας. Συνιστάται προσοχή σε ασθενείς με σοβαρή νεφρική ανεπάρκεια καθώς υπάρχει περιορισμένη εμπειρία (βλέπε </w:t>
      </w:r>
      <w:r w:rsidR="004D349B" w:rsidRPr="008B2AE9">
        <w:rPr>
          <w:rFonts w:ascii="Times New Roman" w:hAnsi="Times New Roman"/>
          <w:i w:val="0"/>
          <w:sz w:val="22"/>
          <w:szCs w:val="22"/>
          <w:u w:val="none"/>
        </w:rPr>
        <w:t>παράγραφο</w:t>
      </w:r>
      <w:r w:rsidRPr="008B2AE9">
        <w:rPr>
          <w:rFonts w:ascii="Times New Roman" w:hAnsi="Times New Roman"/>
          <w:i w:val="0"/>
          <w:sz w:val="22"/>
          <w:szCs w:val="22"/>
          <w:u w:val="none"/>
        </w:rPr>
        <w:t xml:space="preserve"> 5.2).</w:t>
      </w:r>
    </w:p>
    <w:p w:rsidR="00E72235" w:rsidRPr="008B2AE9" w:rsidRDefault="00E72235" w:rsidP="00634843">
      <w:pPr>
        <w:jc w:val="both"/>
        <w:rPr>
          <w:rFonts w:ascii="Times New Roman" w:hAnsi="Times New Roman"/>
          <w:i/>
          <w:sz w:val="22"/>
          <w:szCs w:val="22"/>
          <w:lang w:val="el-GR"/>
        </w:rPr>
      </w:pPr>
    </w:p>
    <w:p w:rsidR="00E72235" w:rsidRPr="008B2AE9" w:rsidRDefault="002B1F35" w:rsidP="00634843">
      <w:pPr>
        <w:pStyle w:val="5"/>
        <w:spacing w:line="240" w:lineRule="auto"/>
        <w:rPr>
          <w:rFonts w:ascii="Times New Roman" w:hAnsi="Times New Roman"/>
          <w:sz w:val="22"/>
          <w:szCs w:val="22"/>
          <w:u w:val="none"/>
        </w:rPr>
      </w:pPr>
      <w:r w:rsidRPr="008B2AE9">
        <w:rPr>
          <w:rFonts w:ascii="Times New Roman" w:hAnsi="Times New Roman"/>
          <w:sz w:val="22"/>
          <w:szCs w:val="22"/>
          <w:u w:val="none"/>
        </w:rPr>
        <w:lastRenderedPageBreak/>
        <w:t xml:space="preserve">Ασθενείς με </w:t>
      </w:r>
      <w:r w:rsidR="00E121C8" w:rsidRPr="008B2AE9">
        <w:rPr>
          <w:rFonts w:ascii="Times New Roman" w:hAnsi="Times New Roman"/>
          <w:sz w:val="22"/>
          <w:szCs w:val="22"/>
          <w:u w:val="none"/>
        </w:rPr>
        <w:t xml:space="preserve">μειωμένη ηπατική λειτουργία </w:t>
      </w:r>
    </w:p>
    <w:p w:rsidR="00E72235" w:rsidRPr="008B2AE9" w:rsidRDefault="00E72235" w:rsidP="00634843">
      <w:pPr>
        <w:pStyle w:val="a8"/>
        <w:spacing w:line="240" w:lineRule="auto"/>
        <w:rPr>
          <w:rFonts w:ascii="Times New Roman" w:hAnsi="Times New Roman"/>
          <w:sz w:val="22"/>
          <w:szCs w:val="22"/>
        </w:rPr>
      </w:pPr>
      <w:r w:rsidRPr="008B2AE9">
        <w:rPr>
          <w:rFonts w:ascii="Times New Roman" w:hAnsi="Times New Roman"/>
          <w:sz w:val="22"/>
          <w:szCs w:val="22"/>
        </w:rPr>
        <w:t xml:space="preserve">ΓΟΠΝ: Σε ασθενείς με ήπια έως μέτρια ηπατική </w:t>
      </w:r>
      <w:r w:rsidR="00CE0AC1" w:rsidRPr="008B2AE9">
        <w:rPr>
          <w:rFonts w:ascii="Times New Roman" w:hAnsi="Times New Roman"/>
          <w:sz w:val="22"/>
          <w:szCs w:val="22"/>
        </w:rPr>
        <w:t xml:space="preserve">δυσλειτουργία </w:t>
      </w:r>
      <w:r w:rsidRPr="008B2AE9">
        <w:rPr>
          <w:rFonts w:ascii="Times New Roman" w:hAnsi="Times New Roman"/>
          <w:sz w:val="22"/>
          <w:szCs w:val="22"/>
        </w:rPr>
        <w:t xml:space="preserve">δεν χρειάζεται προσαρμογή της δοσολογίας. Σε ασθενείς με σοβαρή ηπατική </w:t>
      </w:r>
      <w:r w:rsidR="00435014" w:rsidRPr="008B2AE9">
        <w:rPr>
          <w:rFonts w:ascii="Times New Roman" w:hAnsi="Times New Roman"/>
          <w:sz w:val="22"/>
          <w:szCs w:val="22"/>
        </w:rPr>
        <w:t>δυσλειτουργία</w:t>
      </w:r>
      <w:r w:rsidR="00AD655B" w:rsidRPr="008B2AE9">
        <w:rPr>
          <w:rFonts w:ascii="Times New Roman" w:hAnsi="Times New Roman"/>
          <w:sz w:val="22"/>
          <w:szCs w:val="22"/>
        </w:rPr>
        <w:t>,</w:t>
      </w:r>
      <w:r w:rsidRPr="008B2AE9">
        <w:rPr>
          <w:rFonts w:ascii="Times New Roman" w:hAnsi="Times New Roman"/>
          <w:sz w:val="22"/>
          <w:szCs w:val="22"/>
        </w:rPr>
        <w:t xml:space="preserve"> η μέγιστη ημερήσια δοσολογία δεν πρέπει να ξεπερνά τα 20 mg </w:t>
      </w:r>
      <w:r w:rsidR="004B2AEC" w:rsidRPr="008B2AE9">
        <w:rPr>
          <w:rFonts w:ascii="Times New Roman" w:hAnsi="Times New Roman"/>
          <w:sz w:val="22"/>
          <w:szCs w:val="22"/>
          <w:lang w:val="en-US"/>
        </w:rPr>
        <w:t>DEMOLOX</w:t>
      </w:r>
      <w:r w:rsidRPr="008B2AE9">
        <w:rPr>
          <w:rFonts w:ascii="Times New Roman" w:hAnsi="Times New Roman"/>
          <w:sz w:val="22"/>
          <w:szCs w:val="22"/>
        </w:rPr>
        <w:t xml:space="preserve"> (βλέπε </w:t>
      </w:r>
      <w:r w:rsidR="004D349B" w:rsidRPr="008B2AE9">
        <w:rPr>
          <w:rFonts w:ascii="Times New Roman" w:hAnsi="Times New Roman"/>
          <w:sz w:val="22"/>
          <w:szCs w:val="22"/>
        </w:rPr>
        <w:t>παράγραφο</w:t>
      </w:r>
      <w:r w:rsidRPr="008B2AE9">
        <w:rPr>
          <w:rFonts w:ascii="Times New Roman" w:hAnsi="Times New Roman"/>
          <w:sz w:val="22"/>
          <w:szCs w:val="22"/>
        </w:rPr>
        <w:t xml:space="preserve"> 5.2).</w:t>
      </w:r>
    </w:p>
    <w:p w:rsidR="00E72235" w:rsidRPr="008B2AE9" w:rsidRDefault="00E72235" w:rsidP="00634843">
      <w:pPr>
        <w:pStyle w:val="a8"/>
        <w:spacing w:line="240" w:lineRule="auto"/>
        <w:rPr>
          <w:rFonts w:ascii="Times New Roman" w:hAnsi="Times New Roman"/>
          <w:sz w:val="22"/>
          <w:szCs w:val="22"/>
        </w:rPr>
      </w:pPr>
    </w:p>
    <w:p w:rsidR="00E72235" w:rsidRPr="008B2AE9" w:rsidRDefault="00E72235" w:rsidP="00634843">
      <w:pPr>
        <w:pStyle w:val="a8"/>
        <w:spacing w:line="240" w:lineRule="auto"/>
        <w:rPr>
          <w:rFonts w:ascii="Times New Roman" w:hAnsi="Times New Roman"/>
          <w:sz w:val="22"/>
          <w:szCs w:val="22"/>
        </w:rPr>
      </w:pPr>
      <w:r w:rsidRPr="008B2AE9">
        <w:rPr>
          <w:rFonts w:ascii="Times New Roman" w:hAnsi="Times New Roman"/>
          <w:sz w:val="22"/>
          <w:szCs w:val="22"/>
        </w:rPr>
        <w:t xml:space="preserve">Αιμορραγικά έλκη: Σε ασθενείς με ήπια έως μέτρια ηπατική </w:t>
      </w:r>
      <w:r w:rsidR="007B3EE3" w:rsidRPr="008B2AE9">
        <w:rPr>
          <w:rFonts w:ascii="Times New Roman" w:hAnsi="Times New Roman"/>
          <w:sz w:val="22"/>
          <w:szCs w:val="22"/>
        </w:rPr>
        <w:t xml:space="preserve">δυσλειτουργία </w:t>
      </w:r>
      <w:r w:rsidRPr="008B2AE9">
        <w:rPr>
          <w:rFonts w:ascii="Times New Roman" w:hAnsi="Times New Roman"/>
          <w:sz w:val="22"/>
          <w:szCs w:val="22"/>
        </w:rPr>
        <w:t xml:space="preserve">δεν χρειάζεται προσαρμογή της δοσολογίας. Σε ασθενείς με σοβαρή ηπατική </w:t>
      </w:r>
      <w:r w:rsidR="007B3EE3" w:rsidRPr="008B2AE9">
        <w:rPr>
          <w:rFonts w:ascii="Times New Roman" w:hAnsi="Times New Roman"/>
          <w:sz w:val="22"/>
          <w:szCs w:val="22"/>
        </w:rPr>
        <w:t>δυσλειτουργία</w:t>
      </w:r>
      <w:r w:rsidRPr="008B2AE9">
        <w:rPr>
          <w:rFonts w:ascii="Times New Roman" w:hAnsi="Times New Roman"/>
          <w:sz w:val="22"/>
          <w:szCs w:val="22"/>
        </w:rPr>
        <w:t>, μετά</w:t>
      </w:r>
      <w:r w:rsidR="006C424F" w:rsidRPr="008B2AE9">
        <w:rPr>
          <w:rFonts w:ascii="Times New Roman" w:hAnsi="Times New Roman"/>
          <w:sz w:val="22"/>
          <w:szCs w:val="22"/>
        </w:rPr>
        <w:t xml:space="preserve"> </w:t>
      </w:r>
      <w:r w:rsidRPr="008B2AE9">
        <w:rPr>
          <w:rFonts w:ascii="Times New Roman" w:hAnsi="Times New Roman"/>
          <w:sz w:val="22"/>
          <w:szCs w:val="22"/>
        </w:rPr>
        <w:t>την αρχική</w:t>
      </w:r>
      <w:r w:rsidR="006C424F" w:rsidRPr="008B2AE9">
        <w:rPr>
          <w:rFonts w:ascii="Times New Roman" w:hAnsi="Times New Roman"/>
          <w:sz w:val="22"/>
          <w:szCs w:val="22"/>
        </w:rPr>
        <w:t xml:space="preserve"> </w:t>
      </w:r>
      <w:r w:rsidRPr="008B2AE9">
        <w:rPr>
          <w:rFonts w:ascii="Times New Roman" w:hAnsi="Times New Roman"/>
          <w:sz w:val="22"/>
          <w:szCs w:val="22"/>
        </w:rPr>
        <w:t xml:space="preserve">δόση εφόδου 80 </w:t>
      </w:r>
      <w:r w:rsidRPr="008B2AE9">
        <w:rPr>
          <w:rFonts w:ascii="Times New Roman" w:hAnsi="Times New Roman"/>
          <w:sz w:val="22"/>
          <w:szCs w:val="22"/>
          <w:lang w:val="en-US"/>
        </w:rPr>
        <w:t>mg</w:t>
      </w:r>
      <w:r w:rsidR="00971B9A" w:rsidRPr="008B2AE9">
        <w:rPr>
          <w:rFonts w:ascii="Times New Roman" w:hAnsi="Times New Roman"/>
          <w:sz w:val="22"/>
          <w:szCs w:val="22"/>
        </w:rPr>
        <w:t xml:space="preserve"> </w:t>
      </w:r>
      <w:r w:rsidR="00475A28" w:rsidRPr="008B2AE9">
        <w:rPr>
          <w:rFonts w:ascii="Times New Roman" w:hAnsi="Times New Roman"/>
          <w:sz w:val="22"/>
          <w:szCs w:val="22"/>
          <w:lang w:val="en-US"/>
        </w:rPr>
        <w:t>DEMOLOX</w:t>
      </w:r>
      <w:r w:rsidR="00475A28" w:rsidRPr="008B2AE9">
        <w:rPr>
          <w:rFonts w:ascii="Times New Roman" w:hAnsi="Times New Roman"/>
          <w:sz w:val="22"/>
          <w:szCs w:val="22"/>
        </w:rPr>
        <w:t xml:space="preserve"> </w:t>
      </w:r>
      <w:r w:rsidRPr="008B2AE9">
        <w:rPr>
          <w:rFonts w:ascii="Times New Roman" w:hAnsi="Times New Roman"/>
          <w:sz w:val="22"/>
          <w:szCs w:val="22"/>
        </w:rPr>
        <w:t>για έγχυση, μπορεί να είναι επαρκή</w:t>
      </w:r>
      <w:r w:rsidR="00971B9A" w:rsidRPr="008B2AE9">
        <w:rPr>
          <w:rFonts w:ascii="Times New Roman" w:hAnsi="Times New Roman"/>
          <w:sz w:val="22"/>
          <w:szCs w:val="22"/>
        </w:rPr>
        <w:t>ς</w:t>
      </w:r>
      <w:r w:rsidRPr="008B2AE9">
        <w:rPr>
          <w:rFonts w:ascii="Times New Roman" w:hAnsi="Times New Roman"/>
          <w:sz w:val="22"/>
          <w:szCs w:val="22"/>
        </w:rPr>
        <w:t xml:space="preserve"> η συ</w:t>
      </w:r>
      <w:r w:rsidR="00971B9A" w:rsidRPr="008B2AE9">
        <w:rPr>
          <w:rFonts w:ascii="Times New Roman" w:hAnsi="Times New Roman"/>
          <w:sz w:val="22"/>
          <w:szCs w:val="22"/>
        </w:rPr>
        <w:t xml:space="preserve">νεχής ενδοφλέβια έγχυση 4 mg/h </w:t>
      </w:r>
      <w:r w:rsidRPr="008B2AE9">
        <w:rPr>
          <w:rFonts w:ascii="Times New Roman" w:hAnsi="Times New Roman"/>
          <w:sz w:val="22"/>
          <w:szCs w:val="22"/>
        </w:rPr>
        <w:t xml:space="preserve">για 71,5 ώρες (βλέπε </w:t>
      </w:r>
      <w:r w:rsidR="004D349B" w:rsidRPr="008B2AE9">
        <w:rPr>
          <w:rFonts w:ascii="Times New Roman" w:hAnsi="Times New Roman"/>
          <w:sz w:val="22"/>
          <w:szCs w:val="22"/>
        </w:rPr>
        <w:t xml:space="preserve">παράγραφο </w:t>
      </w:r>
      <w:r w:rsidRPr="008B2AE9">
        <w:rPr>
          <w:rFonts w:ascii="Times New Roman" w:hAnsi="Times New Roman"/>
          <w:sz w:val="22"/>
          <w:szCs w:val="22"/>
        </w:rPr>
        <w:t>5.2).</w:t>
      </w:r>
    </w:p>
    <w:p w:rsidR="00971B9A" w:rsidRPr="008B2AE9" w:rsidRDefault="00971B9A" w:rsidP="00634843">
      <w:pPr>
        <w:pStyle w:val="9"/>
        <w:spacing w:line="240" w:lineRule="auto"/>
        <w:rPr>
          <w:rFonts w:ascii="Times New Roman" w:hAnsi="Times New Roman"/>
          <w:sz w:val="22"/>
          <w:szCs w:val="22"/>
        </w:rPr>
      </w:pPr>
    </w:p>
    <w:p w:rsidR="00E72235" w:rsidRPr="008B2AE9" w:rsidRDefault="00E72235" w:rsidP="00634843">
      <w:pPr>
        <w:pStyle w:val="9"/>
        <w:spacing w:line="240" w:lineRule="auto"/>
        <w:rPr>
          <w:rFonts w:ascii="Times New Roman" w:hAnsi="Times New Roman"/>
          <w:sz w:val="22"/>
          <w:szCs w:val="22"/>
          <w:u w:val="none"/>
        </w:rPr>
      </w:pPr>
      <w:r w:rsidRPr="008B2AE9">
        <w:rPr>
          <w:rFonts w:ascii="Times New Roman" w:hAnsi="Times New Roman"/>
          <w:sz w:val="22"/>
          <w:szCs w:val="22"/>
          <w:u w:val="none"/>
        </w:rPr>
        <w:t>Ηλικιωμένοι</w:t>
      </w:r>
    </w:p>
    <w:p w:rsidR="00E72235" w:rsidRPr="008B2AE9" w:rsidRDefault="00E72235" w:rsidP="00634843">
      <w:pPr>
        <w:pStyle w:val="20"/>
        <w:rPr>
          <w:rFonts w:ascii="Times New Roman" w:hAnsi="Times New Roman"/>
          <w:sz w:val="22"/>
          <w:szCs w:val="22"/>
        </w:rPr>
      </w:pPr>
      <w:r w:rsidRPr="008B2AE9">
        <w:rPr>
          <w:rFonts w:ascii="Times New Roman" w:hAnsi="Times New Roman"/>
          <w:sz w:val="22"/>
          <w:szCs w:val="22"/>
        </w:rPr>
        <w:t>Στους ηλικιωμένους δεν χρειάζεται προσαρμογή της δοσολογίας.</w:t>
      </w:r>
    </w:p>
    <w:p w:rsidR="00E72235" w:rsidRPr="008B2AE9" w:rsidRDefault="00E72235" w:rsidP="00634843">
      <w:pPr>
        <w:rPr>
          <w:rFonts w:ascii="Times New Roman" w:hAnsi="Times New Roman"/>
          <w:i/>
          <w:sz w:val="22"/>
          <w:szCs w:val="22"/>
          <w:u w:val="single"/>
          <w:lang w:val="el-GR"/>
        </w:rPr>
      </w:pPr>
    </w:p>
    <w:p w:rsidR="00905548" w:rsidRPr="008B2AE9" w:rsidRDefault="00905548" w:rsidP="00634843">
      <w:pPr>
        <w:rPr>
          <w:rFonts w:ascii="Times New Roman" w:hAnsi="Times New Roman"/>
          <w:i/>
          <w:sz w:val="22"/>
          <w:szCs w:val="22"/>
          <w:lang w:val="el-GR"/>
        </w:rPr>
      </w:pPr>
      <w:r w:rsidRPr="008B2AE9">
        <w:rPr>
          <w:rFonts w:ascii="Times New Roman" w:hAnsi="Times New Roman"/>
          <w:i/>
          <w:sz w:val="22"/>
          <w:szCs w:val="22"/>
          <w:lang w:val="el-GR"/>
        </w:rPr>
        <w:t>Παιδιατρικός πληθυσμός</w:t>
      </w:r>
    </w:p>
    <w:p w:rsidR="003B70B5" w:rsidRPr="008B2AE9" w:rsidRDefault="003B70B5" w:rsidP="00634843">
      <w:pPr>
        <w:rPr>
          <w:rFonts w:ascii="Times New Roman" w:hAnsi="Times New Roman"/>
          <w:sz w:val="22"/>
          <w:szCs w:val="22"/>
          <w:u w:val="single"/>
          <w:lang w:val="en-US"/>
        </w:rPr>
      </w:pPr>
    </w:p>
    <w:p w:rsidR="00905548" w:rsidRPr="008B2AE9" w:rsidRDefault="00905548" w:rsidP="00634843">
      <w:pPr>
        <w:rPr>
          <w:rFonts w:ascii="Times New Roman" w:hAnsi="Times New Roman"/>
          <w:sz w:val="22"/>
          <w:szCs w:val="22"/>
          <w:u w:val="single"/>
          <w:lang w:val="el-GR"/>
        </w:rPr>
      </w:pPr>
      <w:r w:rsidRPr="008B2AE9">
        <w:rPr>
          <w:rFonts w:ascii="Times New Roman" w:hAnsi="Times New Roman"/>
          <w:sz w:val="22"/>
          <w:szCs w:val="22"/>
          <w:u w:val="single"/>
          <w:lang w:val="el-GR"/>
        </w:rPr>
        <w:t>Δοσολογία</w:t>
      </w:r>
    </w:p>
    <w:p w:rsidR="003B70B5" w:rsidRPr="008B2AE9" w:rsidRDefault="003B70B5" w:rsidP="00634843">
      <w:pPr>
        <w:rPr>
          <w:rFonts w:ascii="Times New Roman" w:hAnsi="Times New Roman"/>
          <w:i/>
          <w:sz w:val="22"/>
          <w:szCs w:val="22"/>
          <w:u w:val="single"/>
          <w:lang w:val="en-US"/>
        </w:rPr>
      </w:pPr>
    </w:p>
    <w:p w:rsidR="00905548" w:rsidRPr="008B2AE9" w:rsidRDefault="00905548" w:rsidP="00634843">
      <w:pPr>
        <w:rPr>
          <w:rFonts w:ascii="Times New Roman" w:hAnsi="Times New Roman"/>
          <w:i/>
          <w:sz w:val="22"/>
          <w:szCs w:val="22"/>
          <w:u w:val="single"/>
          <w:lang w:val="el-GR"/>
        </w:rPr>
      </w:pPr>
      <w:r w:rsidRPr="008B2AE9">
        <w:rPr>
          <w:rFonts w:ascii="Times New Roman" w:hAnsi="Times New Roman"/>
          <w:i/>
          <w:sz w:val="22"/>
          <w:szCs w:val="22"/>
          <w:u w:val="single"/>
          <w:lang w:val="el-GR"/>
        </w:rPr>
        <w:t>Παιδιά και έφηβοι ηλικίας 1-18 ετών</w:t>
      </w:r>
    </w:p>
    <w:p w:rsidR="003B70B5" w:rsidRPr="008B2AE9" w:rsidRDefault="003B70B5" w:rsidP="00634843">
      <w:pPr>
        <w:jc w:val="both"/>
        <w:rPr>
          <w:rFonts w:ascii="Times New Roman" w:hAnsi="Times New Roman"/>
          <w:i/>
          <w:iCs/>
          <w:sz w:val="22"/>
          <w:szCs w:val="22"/>
          <w:lang w:val="en-US"/>
        </w:rPr>
      </w:pPr>
    </w:p>
    <w:p w:rsidR="00905548" w:rsidRPr="008B2AE9" w:rsidRDefault="00905548" w:rsidP="00634843">
      <w:pPr>
        <w:jc w:val="both"/>
        <w:rPr>
          <w:rFonts w:ascii="Times New Roman" w:hAnsi="Times New Roman"/>
          <w:i/>
          <w:iCs/>
          <w:sz w:val="22"/>
          <w:szCs w:val="22"/>
          <w:lang w:val="el-GR"/>
        </w:rPr>
      </w:pPr>
      <w:r w:rsidRPr="008B2AE9">
        <w:rPr>
          <w:rFonts w:ascii="Times New Roman" w:hAnsi="Times New Roman"/>
          <w:i/>
          <w:iCs/>
          <w:sz w:val="22"/>
          <w:szCs w:val="22"/>
          <w:lang w:val="el-GR"/>
        </w:rPr>
        <w:t>Γαστρική αντιεκκριτική θεραπεία όταν δεν είναι εφικτή η από του στόματος χορήγηση</w:t>
      </w:r>
    </w:p>
    <w:p w:rsidR="003B70B5" w:rsidRPr="008B2AE9" w:rsidRDefault="003B70B5" w:rsidP="00634843">
      <w:pPr>
        <w:jc w:val="both"/>
        <w:rPr>
          <w:rFonts w:ascii="Times New Roman" w:hAnsi="Times New Roman"/>
          <w:sz w:val="22"/>
          <w:szCs w:val="22"/>
          <w:lang w:val="en-US"/>
        </w:rPr>
      </w:pPr>
    </w:p>
    <w:p w:rsidR="00905548" w:rsidRPr="008B2AE9" w:rsidRDefault="00905548" w:rsidP="00634843">
      <w:pPr>
        <w:jc w:val="both"/>
        <w:rPr>
          <w:rFonts w:ascii="Times New Roman" w:hAnsi="Times New Roman"/>
          <w:sz w:val="22"/>
          <w:szCs w:val="22"/>
          <w:lang w:val="el-GR"/>
        </w:rPr>
      </w:pPr>
      <w:r w:rsidRPr="008B2AE9">
        <w:rPr>
          <w:rFonts w:ascii="Times New Roman" w:hAnsi="Times New Roman"/>
          <w:sz w:val="22"/>
          <w:szCs w:val="22"/>
          <w:lang w:val="el-GR"/>
        </w:rPr>
        <w:t>Σε ασθενείς στους οποίους δεν είναι εφικτή η από του στόματος χορήγηση του φαρμάκου μπορεί να χορηγηθεί παρεντερικά μία φορά την ημέρα, ως μέρος της πλήρους θε</w:t>
      </w:r>
      <w:r w:rsidR="00694BD7" w:rsidRPr="008B2AE9">
        <w:rPr>
          <w:rFonts w:ascii="Times New Roman" w:hAnsi="Times New Roman"/>
          <w:sz w:val="22"/>
          <w:szCs w:val="22"/>
          <w:lang w:val="el-GR"/>
        </w:rPr>
        <w:t>ρ</w:t>
      </w:r>
      <w:r w:rsidRPr="008B2AE9">
        <w:rPr>
          <w:rFonts w:ascii="Times New Roman" w:hAnsi="Times New Roman"/>
          <w:sz w:val="22"/>
          <w:szCs w:val="22"/>
          <w:lang w:val="el-GR"/>
        </w:rPr>
        <w:t xml:space="preserve">απευτικής περιόδου για ΓΟΠΝ (βλέπε δόσεις στον πίνακα παρακάτω). </w:t>
      </w:r>
    </w:p>
    <w:p w:rsidR="00905548" w:rsidRPr="008B2AE9" w:rsidRDefault="00905548" w:rsidP="00634843">
      <w:pPr>
        <w:jc w:val="both"/>
        <w:rPr>
          <w:rFonts w:ascii="Times New Roman" w:hAnsi="Times New Roman"/>
          <w:sz w:val="22"/>
          <w:szCs w:val="22"/>
          <w:lang w:val="el-GR"/>
        </w:rPr>
      </w:pPr>
    </w:p>
    <w:p w:rsidR="00905548" w:rsidRPr="008B2AE9" w:rsidRDefault="00905548" w:rsidP="00634843">
      <w:pPr>
        <w:jc w:val="both"/>
        <w:rPr>
          <w:rFonts w:ascii="Times New Roman" w:hAnsi="Times New Roman"/>
          <w:sz w:val="22"/>
          <w:szCs w:val="22"/>
          <w:lang w:val="el-GR"/>
        </w:rPr>
      </w:pPr>
      <w:r w:rsidRPr="008B2AE9">
        <w:rPr>
          <w:rFonts w:ascii="Times New Roman" w:hAnsi="Times New Roman"/>
          <w:sz w:val="22"/>
          <w:szCs w:val="22"/>
          <w:lang w:val="el-GR"/>
        </w:rPr>
        <w:t>Συνήθως η διάρκεια της ενδοφλέβιας θεραπείας είναι μικρή και η μετάβαση στην από του στόματος χορήγηση πρέπει να γίνεται το συντομότερο δυνατόν.</w:t>
      </w:r>
    </w:p>
    <w:p w:rsidR="00905548" w:rsidRPr="008B2AE9" w:rsidRDefault="00905548" w:rsidP="00634843">
      <w:pPr>
        <w:jc w:val="both"/>
        <w:rPr>
          <w:rFonts w:ascii="Times New Roman" w:hAnsi="Times New Roman"/>
          <w:sz w:val="22"/>
          <w:szCs w:val="22"/>
          <w:lang w:val="el-GR"/>
        </w:rPr>
      </w:pPr>
    </w:p>
    <w:p w:rsidR="00905548" w:rsidRPr="008B2AE9" w:rsidRDefault="00905548" w:rsidP="00634843">
      <w:pPr>
        <w:jc w:val="both"/>
        <w:rPr>
          <w:rFonts w:ascii="Times New Roman" w:hAnsi="Times New Roman"/>
          <w:b/>
          <w:sz w:val="22"/>
          <w:szCs w:val="22"/>
          <w:lang w:val="el-GR"/>
        </w:rPr>
      </w:pPr>
      <w:r w:rsidRPr="008B2AE9">
        <w:rPr>
          <w:rFonts w:ascii="Times New Roman" w:hAnsi="Times New Roman"/>
          <w:b/>
          <w:sz w:val="22"/>
          <w:szCs w:val="22"/>
          <w:lang w:val="el-GR"/>
        </w:rPr>
        <w:t>Σ</w:t>
      </w:r>
      <w:r w:rsidR="00484271" w:rsidRPr="008B2AE9">
        <w:rPr>
          <w:rFonts w:ascii="Times New Roman" w:hAnsi="Times New Roman"/>
          <w:b/>
          <w:sz w:val="22"/>
          <w:szCs w:val="22"/>
          <w:lang w:val="el-GR"/>
        </w:rPr>
        <w:t xml:space="preserve">υνιστώμενες ενδοφλέβιες δόσεις </w:t>
      </w:r>
      <w:r w:rsidRPr="008B2AE9">
        <w:rPr>
          <w:rFonts w:ascii="Times New Roman" w:hAnsi="Times New Roman"/>
          <w:b/>
          <w:sz w:val="22"/>
          <w:szCs w:val="22"/>
          <w:lang w:val="el-GR"/>
        </w:rPr>
        <w:t>τη</w:t>
      </w:r>
      <w:r w:rsidR="00DF0A15" w:rsidRPr="008B2AE9">
        <w:rPr>
          <w:rFonts w:ascii="Times New Roman" w:hAnsi="Times New Roman"/>
          <w:b/>
          <w:sz w:val="22"/>
          <w:szCs w:val="22"/>
          <w:lang w:val="el-GR"/>
        </w:rPr>
        <w:t>ς</w:t>
      </w:r>
      <w:r w:rsidRPr="008B2AE9">
        <w:rPr>
          <w:rFonts w:ascii="Times New Roman" w:hAnsi="Times New Roman"/>
          <w:b/>
          <w:sz w:val="22"/>
          <w:szCs w:val="22"/>
          <w:lang w:val="el-GR"/>
        </w:rPr>
        <w:t xml:space="preserve"> εσομεπραζόλη</w:t>
      </w:r>
      <w:r w:rsidR="003D2347" w:rsidRPr="008B2AE9">
        <w:rPr>
          <w:rFonts w:ascii="Times New Roman" w:hAnsi="Times New Roman"/>
          <w:b/>
          <w:sz w:val="22"/>
          <w:szCs w:val="22"/>
          <w:lang w:val="el-GR"/>
        </w:rPr>
        <w:t>ς</w:t>
      </w:r>
    </w:p>
    <w:p w:rsidR="00484271" w:rsidRPr="008B2AE9" w:rsidRDefault="00484271" w:rsidP="00634843">
      <w:pPr>
        <w:jc w:val="both"/>
        <w:rPr>
          <w:rFonts w:ascii="Times New Roman" w:hAnsi="Times New Roman"/>
          <w:b/>
          <w:sz w:val="22"/>
          <w:szCs w:val="22"/>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8"/>
        <w:gridCol w:w="3644"/>
        <w:gridCol w:w="2716"/>
      </w:tblGrid>
      <w:tr w:rsidR="00905548" w:rsidRPr="008B2AE9" w:rsidTr="00E3742B">
        <w:tblPrEx>
          <w:tblCellMar>
            <w:top w:w="0" w:type="dxa"/>
            <w:bottom w:w="0" w:type="dxa"/>
          </w:tblCellMar>
        </w:tblPrEx>
        <w:tc>
          <w:tcPr>
            <w:tcW w:w="1788" w:type="dxa"/>
          </w:tcPr>
          <w:p w:rsidR="00905548" w:rsidRPr="008B2AE9" w:rsidRDefault="00905548" w:rsidP="00905548">
            <w:pPr>
              <w:keepNext/>
              <w:keepLines/>
              <w:spacing w:before="60" w:after="120"/>
              <w:rPr>
                <w:rFonts w:ascii="Times New Roman" w:hAnsi="Times New Roman"/>
                <w:b/>
                <w:bCs/>
                <w:sz w:val="22"/>
                <w:szCs w:val="22"/>
              </w:rPr>
            </w:pPr>
            <w:r w:rsidRPr="008B2AE9">
              <w:rPr>
                <w:rFonts w:ascii="Times New Roman" w:hAnsi="Times New Roman"/>
                <w:b/>
                <w:bCs/>
                <w:sz w:val="22"/>
                <w:szCs w:val="22"/>
                <w:lang w:val="el-GR"/>
              </w:rPr>
              <w:t>Ηλικιακή ομάδα</w:t>
            </w:r>
            <w:r w:rsidRPr="008B2AE9">
              <w:rPr>
                <w:rFonts w:ascii="Times New Roman" w:hAnsi="Times New Roman"/>
                <w:b/>
                <w:bCs/>
                <w:sz w:val="22"/>
                <w:szCs w:val="22"/>
              </w:rPr>
              <w:t xml:space="preserve"> </w:t>
            </w:r>
          </w:p>
        </w:tc>
        <w:tc>
          <w:tcPr>
            <w:tcW w:w="3644" w:type="dxa"/>
          </w:tcPr>
          <w:p w:rsidR="00905548" w:rsidRPr="008B2AE9" w:rsidRDefault="00E3742B" w:rsidP="00E3742B">
            <w:pPr>
              <w:pStyle w:val="5"/>
              <w:keepLines/>
              <w:spacing w:before="60" w:line="280" w:lineRule="atLeast"/>
              <w:ind w:left="55"/>
              <w:jc w:val="left"/>
              <w:rPr>
                <w:rFonts w:ascii="Times New Roman" w:hAnsi="Times New Roman"/>
                <w:b/>
                <w:i w:val="0"/>
                <w:sz w:val="22"/>
                <w:szCs w:val="22"/>
                <w:u w:val="none"/>
              </w:rPr>
            </w:pPr>
            <w:r w:rsidRPr="008B2AE9">
              <w:rPr>
                <w:rFonts w:ascii="Times New Roman" w:hAnsi="Times New Roman"/>
                <w:b/>
                <w:i w:val="0"/>
                <w:sz w:val="22"/>
                <w:szCs w:val="22"/>
                <w:u w:val="none"/>
              </w:rPr>
              <w:t>Θεραπεία Διαβρωτικής οισοφαγίτιδας από παλινδρόμηση</w:t>
            </w:r>
          </w:p>
        </w:tc>
        <w:tc>
          <w:tcPr>
            <w:tcW w:w="2716" w:type="dxa"/>
          </w:tcPr>
          <w:p w:rsidR="00905548" w:rsidRPr="008B2AE9" w:rsidRDefault="0045017A" w:rsidP="00E3742B">
            <w:pPr>
              <w:pStyle w:val="A-Unassigned"/>
              <w:keepLines/>
              <w:spacing w:before="60"/>
              <w:rPr>
                <w:sz w:val="22"/>
                <w:szCs w:val="22"/>
                <w:lang w:val="en-US"/>
              </w:rPr>
            </w:pPr>
            <w:r w:rsidRPr="008B2AE9">
              <w:rPr>
                <w:sz w:val="22"/>
                <w:szCs w:val="22"/>
                <w:lang w:val="el-GR"/>
              </w:rPr>
              <w:t>Συμπτωματική θεραπεία της ΓΟΠΝ</w:t>
            </w:r>
          </w:p>
        </w:tc>
      </w:tr>
      <w:tr w:rsidR="00905548" w:rsidRPr="008B2AE9" w:rsidTr="00E3742B">
        <w:tblPrEx>
          <w:tblCellMar>
            <w:top w:w="0" w:type="dxa"/>
            <w:bottom w:w="0" w:type="dxa"/>
          </w:tblCellMar>
        </w:tblPrEx>
        <w:tc>
          <w:tcPr>
            <w:tcW w:w="1788" w:type="dxa"/>
          </w:tcPr>
          <w:p w:rsidR="00905548" w:rsidRPr="008B2AE9" w:rsidRDefault="00905548" w:rsidP="0045017A">
            <w:pPr>
              <w:keepNext/>
              <w:keepLines/>
              <w:spacing w:before="60" w:after="120"/>
              <w:rPr>
                <w:rFonts w:ascii="Times New Roman" w:hAnsi="Times New Roman"/>
                <w:sz w:val="22"/>
                <w:szCs w:val="22"/>
                <w:lang w:val="el-GR"/>
              </w:rPr>
            </w:pPr>
            <w:r w:rsidRPr="008B2AE9">
              <w:rPr>
                <w:rFonts w:ascii="Times New Roman" w:hAnsi="Times New Roman"/>
                <w:sz w:val="22"/>
                <w:szCs w:val="22"/>
              </w:rPr>
              <w:t xml:space="preserve">1-11 </w:t>
            </w:r>
            <w:r w:rsidR="0045017A" w:rsidRPr="008B2AE9">
              <w:rPr>
                <w:rFonts w:ascii="Times New Roman" w:hAnsi="Times New Roman"/>
                <w:sz w:val="22"/>
                <w:szCs w:val="22"/>
                <w:lang w:val="el-GR"/>
              </w:rPr>
              <w:t>Ετών</w:t>
            </w:r>
          </w:p>
        </w:tc>
        <w:tc>
          <w:tcPr>
            <w:tcW w:w="3644" w:type="dxa"/>
          </w:tcPr>
          <w:p w:rsidR="00905548" w:rsidRPr="008B2AE9" w:rsidRDefault="0045017A" w:rsidP="00905548">
            <w:pPr>
              <w:keepNext/>
              <w:keepLines/>
              <w:spacing w:before="60"/>
              <w:rPr>
                <w:rFonts w:ascii="Times New Roman" w:hAnsi="Times New Roman"/>
                <w:sz w:val="22"/>
                <w:szCs w:val="22"/>
                <w:lang w:val="el-GR"/>
              </w:rPr>
            </w:pPr>
            <w:r w:rsidRPr="008B2AE9">
              <w:rPr>
                <w:rFonts w:ascii="Times New Roman" w:hAnsi="Times New Roman"/>
                <w:sz w:val="22"/>
                <w:szCs w:val="22"/>
                <w:lang w:val="el-GR"/>
              </w:rPr>
              <w:t>Βάρος</w:t>
            </w:r>
            <w:r w:rsidR="00905548" w:rsidRPr="008B2AE9">
              <w:rPr>
                <w:rFonts w:ascii="Times New Roman" w:hAnsi="Times New Roman"/>
                <w:sz w:val="22"/>
                <w:szCs w:val="22"/>
                <w:lang w:val="el-GR"/>
              </w:rPr>
              <w:t xml:space="preserve"> &lt;20 </w:t>
            </w:r>
            <w:r w:rsidR="00905548" w:rsidRPr="008B2AE9">
              <w:rPr>
                <w:rFonts w:ascii="Times New Roman" w:hAnsi="Times New Roman"/>
                <w:sz w:val="22"/>
                <w:szCs w:val="22"/>
                <w:lang w:val="en-US"/>
              </w:rPr>
              <w:t>kg</w:t>
            </w:r>
            <w:r w:rsidR="00905548" w:rsidRPr="008B2AE9">
              <w:rPr>
                <w:rFonts w:ascii="Times New Roman" w:hAnsi="Times New Roman"/>
                <w:sz w:val="22"/>
                <w:szCs w:val="22"/>
                <w:lang w:val="el-GR"/>
              </w:rPr>
              <w:t xml:space="preserve">: 10 </w:t>
            </w:r>
            <w:r w:rsidR="00905548" w:rsidRPr="008B2AE9">
              <w:rPr>
                <w:rFonts w:ascii="Times New Roman" w:hAnsi="Times New Roman"/>
                <w:sz w:val="22"/>
                <w:szCs w:val="22"/>
                <w:lang w:val="en-US"/>
              </w:rPr>
              <w:t>mg</w:t>
            </w:r>
            <w:r w:rsidR="00905548" w:rsidRPr="008B2AE9">
              <w:rPr>
                <w:rFonts w:ascii="Times New Roman" w:hAnsi="Times New Roman"/>
                <w:sz w:val="22"/>
                <w:szCs w:val="22"/>
                <w:lang w:val="el-GR"/>
              </w:rPr>
              <w:t xml:space="preserve"> </w:t>
            </w:r>
            <w:r w:rsidRPr="008B2AE9">
              <w:rPr>
                <w:rFonts w:ascii="Times New Roman" w:hAnsi="Times New Roman"/>
                <w:sz w:val="22"/>
                <w:szCs w:val="22"/>
                <w:lang w:val="el-GR"/>
              </w:rPr>
              <w:t>μία φορά την ημέρα</w:t>
            </w:r>
          </w:p>
          <w:p w:rsidR="00905548" w:rsidRPr="008B2AE9" w:rsidRDefault="0045017A" w:rsidP="003D2347">
            <w:pPr>
              <w:keepNext/>
              <w:keepLines/>
              <w:spacing w:before="60"/>
              <w:rPr>
                <w:rFonts w:ascii="Times New Roman" w:hAnsi="Times New Roman"/>
                <w:sz w:val="22"/>
                <w:szCs w:val="22"/>
                <w:lang w:val="el-GR"/>
              </w:rPr>
            </w:pPr>
            <w:r w:rsidRPr="008B2AE9">
              <w:rPr>
                <w:rFonts w:ascii="Times New Roman" w:hAnsi="Times New Roman"/>
                <w:sz w:val="22"/>
                <w:szCs w:val="22"/>
                <w:lang w:val="el-GR"/>
              </w:rPr>
              <w:t>Βάρος</w:t>
            </w:r>
            <w:r w:rsidR="00905548" w:rsidRPr="008B2AE9">
              <w:rPr>
                <w:rFonts w:ascii="Times New Roman" w:hAnsi="Times New Roman"/>
                <w:sz w:val="22"/>
                <w:szCs w:val="22"/>
                <w:lang w:val="el-GR"/>
              </w:rPr>
              <w:t xml:space="preserve"> ≥20 </w:t>
            </w:r>
            <w:r w:rsidR="00905548" w:rsidRPr="008B2AE9">
              <w:rPr>
                <w:rFonts w:ascii="Times New Roman" w:hAnsi="Times New Roman"/>
                <w:sz w:val="22"/>
                <w:szCs w:val="22"/>
                <w:lang w:val="en-US"/>
              </w:rPr>
              <w:t>kg</w:t>
            </w:r>
            <w:r w:rsidR="00905548" w:rsidRPr="008B2AE9">
              <w:rPr>
                <w:rFonts w:ascii="Times New Roman" w:hAnsi="Times New Roman"/>
                <w:sz w:val="22"/>
                <w:szCs w:val="22"/>
                <w:lang w:val="el-GR"/>
              </w:rPr>
              <w:t xml:space="preserve">: 10 </w:t>
            </w:r>
            <w:r w:rsidR="00905548" w:rsidRPr="008B2AE9">
              <w:rPr>
                <w:rFonts w:ascii="Times New Roman" w:hAnsi="Times New Roman"/>
                <w:sz w:val="22"/>
                <w:szCs w:val="22"/>
                <w:lang w:val="en-US"/>
              </w:rPr>
              <w:t>mg</w:t>
            </w:r>
            <w:r w:rsidR="00905548" w:rsidRPr="008B2AE9">
              <w:rPr>
                <w:rFonts w:ascii="Times New Roman" w:hAnsi="Times New Roman"/>
                <w:sz w:val="22"/>
                <w:szCs w:val="22"/>
                <w:lang w:val="el-GR"/>
              </w:rPr>
              <w:t xml:space="preserve"> </w:t>
            </w:r>
            <w:r w:rsidRPr="008B2AE9">
              <w:rPr>
                <w:rFonts w:ascii="Times New Roman" w:hAnsi="Times New Roman"/>
                <w:sz w:val="22"/>
                <w:szCs w:val="22"/>
                <w:lang w:val="el-GR"/>
              </w:rPr>
              <w:t>ή</w:t>
            </w:r>
            <w:r w:rsidR="00905548" w:rsidRPr="008B2AE9">
              <w:rPr>
                <w:rFonts w:ascii="Times New Roman" w:hAnsi="Times New Roman"/>
                <w:sz w:val="22"/>
                <w:szCs w:val="22"/>
                <w:lang w:val="el-GR"/>
              </w:rPr>
              <w:t xml:space="preserve"> 20 </w:t>
            </w:r>
            <w:r w:rsidR="00905548" w:rsidRPr="008B2AE9">
              <w:rPr>
                <w:rFonts w:ascii="Times New Roman" w:hAnsi="Times New Roman"/>
                <w:sz w:val="22"/>
                <w:szCs w:val="22"/>
                <w:lang w:val="en-US"/>
              </w:rPr>
              <w:t>mg</w:t>
            </w:r>
            <w:r w:rsidR="00905548" w:rsidRPr="008B2AE9">
              <w:rPr>
                <w:rFonts w:ascii="Times New Roman" w:hAnsi="Times New Roman"/>
                <w:sz w:val="22"/>
                <w:szCs w:val="22"/>
                <w:lang w:val="el-GR"/>
              </w:rPr>
              <w:t xml:space="preserve"> </w:t>
            </w:r>
            <w:r w:rsidRPr="008B2AE9">
              <w:rPr>
                <w:rFonts w:ascii="Times New Roman" w:hAnsi="Times New Roman"/>
                <w:sz w:val="22"/>
                <w:szCs w:val="22"/>
                <w:lang w:val="el-GR"/>
              </w:rPr>
              <w:t>μία φορά την ημέρα</w:t>
            </w:r>
          </w:p>
        </w:tc>
        <w:tc>
          <w:tcPr>
            <w:tcW w:w="2716" w:type="dxa"/>
          </w:tcPr>
          <w:p w:rsidR="0045017A" w:rsidRPr="008B2AE9" w:rsidRDefault="00905548" w:rsidP="0045017A">
            <w:pPr>
              <w:keepNext/>
              <w:keepLines/>
              <w:spacing w:before="60"/>
              <w:rPr>
                <w:rFonts w:ascii="Times New Roman" w:hAnsi="Times New Roman"/>
                <w:sz w:val="22"/>
                <w:szCs w:val="22"/>
                <w:lang w:val="el-GR"/>
              </w:rPr>
            </w:pPr>
            <w:r w:rsidRPr="008B2AE9">
              <w:rPr>
                <w:rFonts w:ascii="Times New Roman" w:hAnsi="Times New Roman"/>
                <w:sz w:val="22"/>
                <w:szCs w:val="22"/>
                <w:lang w:val="en-US"/>
              </w:rPr>
              <w:t xml:space="preserve">10 mg </w:t>
            </w:r>
            <w:r w:rsidR="0045017A" w:rsidRPr="008B2AE9">
              <w:rPr>
                <w:rFonts w:ascii="Times New Roman" w:hAnsi="Times New Roman"/>
                <w:sz w:val="22"/>
                <w:szCs w:val="22"/>
                <w:lang w:val="el-GR"/>
              </w:rPr>
              <w:t>μία φορά την ημέρα</w:t>
            </w:r>
          </w:p>
          <w:p w:rsidR="00905548" w:rsidRPr="008B2AE9" w:rsidRDefault="00905548" w:rsidP="00905548">
            <w:pPr>
              <w:keepNext/>
              <w:keepLines/>
              <w:spacing w:before="60"/>
              <w:rPr>
                <w:rFonts w:ascii="Times New Roman" w:hAnsi="Times New Roman"/>
                <w:sz w:val="22"/>
                <w:szCs w:val="22"/>
                <w:lang w:val="en-US"/>
              </w:rPr>
            </w:pPr>
          </w:p>
          <w:p w:rsidR="00905548" w:rsidRPr="008B2AE9" w:rsidRDefault="00905548" w:rsidP="00905548">
            <w:pPr>
              <w:pStyle w:val="A-Single"/>
              <w:keepNext/>
              <w:keepLines/>
              <w:spacing w:before="60" w:after="120" w:line="280" w:lineRule="atLeast"/>
              <w:rPr>
                <w:sz w:val="22"/>
                <w:szCs w:val="22"/>
              </w:rPr>
            </w:pPr>
          </w:p>
        </w:tc>
      </w:tr>
      <w:tr w:rsidR="00905548" w:rsidRPr="008B2AE9" w:rsidTr="00E3742B">
        <w:tblPrEx>
          <w:tblCellMar>
            <w:top w:w="0" w:type="dxa"/>
            <w:bottom w:w="0" w:type="dxa"/>
          </w:tblCellMar>
        </w:tblPrEx>
        <w:tc>
          <w:tcPr>
            <w:tcW w:w="1788" w:type="dxa"/>
          </w:tcPr>
          <w:p w:rsidR="00905548" w:rsidRPr="008B2AE9" w:rsidRDefault="00905548" w:rsidP="0045017A">
            <w:pPr>
              <w:keepNext/>
              <w:keepLines/>
              <w:spacing w:before="60" w:after="120"/>
              <w:rPr>
                <w:rFonts w:ascii="Times New Roman" w:hAnsi="Times New Roman"/>
                <w:sz w:val="22"/>
                <w:szCs w:val="22"/>
                <w:lang w:val="el-GR"/>
              </w:rPr>
            </w:pPr>
            <w:r w:rsidRPr="008B2AE9">
              <w:rPr>
                <w:rFonts w:ascii="Times New Roman" w:hAnsi="Times New Roman"/>
                <w:sz w:val="22"/>
                <w:szCs w:val="22"/>
              </w:rPr>
              <w:t xml:space="preserve">12-18 </w:t>
            </w:r>
            <w:r w:rsidR="0045017A" w:rsidRPr="008B2AE9">
              <w:rPr>
                <w:rFonts w:ascii="Times New Roman" w:hAnsi="Times New Roman"/>
                <w:sz w:val="22"/>
                <w:szCs w:val="22"/>
                <w:lang w:val="el-GR"/>
              </w:rPr>
              <w:t>Ετών</w:t>
            </w:r>
          </w:p>
        </w:tc>
        <w:tc>
          <w:tcPr>
            <w:tcW w:w="3644" w:type="dxa"/>
          </w:tcPr>
          <w:p w:rsidR="00905548" w:rsidRPr="008B2AE9" w:rsidRDefault="00905548" w:rsidP="00FB51F6">
            <w:pPr>
              <w:keepNext/>
              <w:keepLines/>
              <w:spacing w:before="60"/>
              <w:rPr>
                <w:rFonts w:ascii="Times New Roman" w:hAnsi="Times New Roman"/>
                <w:sz w:val="22"/>
                <w:szCs w:val="22"/>
              </w:rPr>
            </w:pPr>
            <w:r w:rsidRPr="008B2AE9">
              <w:rPr>
                <w:rFonts w:ascii="Times New Roman" w:hAnsi="Times New Roman"/>
                <w:sz w:val="22"/>
                <w:szCs w:val="22"/>
                <w:lang w:val="en-US"/>
              </w:rPr>
              <w:t xml:space="preserve">40 mg </w:t>
            </w:r>
            <w:r w:rsidR="0045017A" w:rsidRPr="008B2AE9">
              <w:rPr>
                <w:rFonts w:ascii="Times New Roman" w:hAnsi="Times New Roman"/>
                <w:sz w:val="22"/>
                <w:szCs w:val="22"/>
                <w:lang w:val="el-GR"/>
              </w:rPr>
              <w:t>μία φορά την ημέρα</w:t>
            </w:r>
          </w:p>
        </w:tc>
        <w:tc>
          <w:tcPr>
            <w:tcW w:w="2716" w:type="dxa"/>
          </w:tcPr>
          <w:p w:rsidR="00905548" w:rsidRPr="008B2AE9" w:rsidRDefault="00905548" w:rsidP="003D2347">
            <w:pPr>
              <w:keepNext/>
              <w:keepLines/>
              <w:spacing w:before="60"/>
              <w:rPr>
                <w:rFonts w:ascii="Times New Roman" w:hAnsi="Times New Roman"/>
                <w:sz w:val="22"/>
                <w:szCs w:val="22"/>
                <w:lang w:val="el-GR"/>
              </w:rPr>
            </w:pPr>
            <w:r w:rsidRPr="008B2AE9">
              <w:rPr>
                <w:rFonts w:ascii="Times New Roman" w:hAnsi="Times New Roman"/>
                <w:sz w:val="22"/>
                <w:szCs w:val="22"/>
                <w:lang w:val="el-GR"/>
              </w:rPr>
              <w:t xml:space="preserve">20 </w:t>
            </w:r>
            <w:r w:rsidRPr="008B2AE9">
              <w:rPr>
                <w:rFonts w:ascii="Times New Roman" w:hAnsi="Times New Roman"/>
                <w:sz w:val="22"/>
                <w:szCs w:val="22"/>
                <w:lang w:val="en-US"/>
              </w:rPr>
              <w:t>mg</w:t>
            </w:r>
            <w:r w:rsidRPr="008B2AE9">
              <w:rPr>
                <w:rFonts w:ascii="Times New Roman" w:hAnsi="Times New Roman"/>
                <w:sz w:val="22"/>
                <w:szCs w:val="22"/>
                <w:lang w:val="el-GR"/>
              </w:rPr>
              <w:t xml:space="preserve"> </w:t>
            </w:r>
            <w:r w:rsidR="0045017A" w:rsidRPr="008B2AE9">
              <w:rPr>
                <w:rFonts w:ascii="Times New Roman" w:hAnsi="Times New Roman"/>
                <w:sz w:val="22"/>
                <w:szCs w:val="22"/>
                <w:lang w:val="el-GR"/>
              </w:rPr>
              <w:t>μία φορά την ημέρα</w:t>
            </w:r>
          </w:p>
        </w:tc>
      </w:tr>
    </w:tbl>
    <w:p w:rsidR="00905548" w:rsidRPr="008B2AE9" w:rsidRDefault="00905548" w:rsidP="00BD4D40">
      <w:pPr>
        <w:jc w:val="both"/>
        <w:rPr>
          <w:rFonts w:ascii="Times New Roman" w:hAnsi="Times New Roman"/>
          <w:sz w:val="22"/>
          <w:szCs w:val="22"/>
          <w:lang w:val="el-GR"/>
        </w:rPr>
      </w:pPr>
    </w:p>
    <w:p w:rsidR="00905548" w:rsidRPr="008B2AE9" w:rsidRDefault="00905548" w:rsidP="00BD4D40">
      <w:pPr>
        <w:jc w:val="both"/>
        <w:rPr>
          <w:rFonts w:ascii="Times New Roman" w:hAnsi="Times New Roman"/>
          <w:bCs/>
          <w:sz w:val="22"/>
          <w:szCs w:val="22"/>
          <w:u w:val="single"/>
          <w:lang w:val="el-GR"/>
        </w:rPr>
      </w:pPr>
      <w:r w:rsidRPr="008B2AE9">
        <w:rPr>
          <w:rFonts w:ascii="Times New Roman" w:hAnsi="Times New Roman"/>
          <w:bCs/>
          <w:sz w:val="22"/>
          <w:szCs w:val="22"/>
          <w:u w:val="single"/>
          <w:lang w:val="el-GR"/>
        </w:rPr>
        <w:t>Μέθοδος χορήγησης</w:t>
      </w:r>
    </w:p>
    <w:p w:rsidR="00464EF0" w:rsidRPr="008B2AE9" w:rsidRDefault="00464EF0" w:rsidP="00BD4D40">
      <w:pPr>
        <w:jc w:val="both"/>
        <w:rPr>
          <w:rFonts w:ascii="Times New Roman" w:hAnsi="Times New Roman"/>
          <w:bCs/>
          <w:sz w:val="22"/>
          <w:szCs w:val="22"/>
          <w:u w:val="single"/>
          <w:lang w:val="el-GR"/>
        </w:rPr>
      </w:pPr>
    </w:p>
    <w:p w:rsidR="00905548" w:rsidRPr="008B2AE9" w:rsidRDefault="00905548" w:rsidP="00BD4D40">
      <w:pPr>
        <w:jc w:val="both"/>
        <w:rPr>
          <w:rFonts w:ascii="Times New Roman" w:hAnsi="Times New Roman"/>
          <w:bCs/>
          <w:sz w:val="22"/>
          <w:szCs w:val="22"/>
          <w:lang w:val="el-GR"/>
        </w:rPr>
      </w:pPr>
      <w:r w:rsidRPr="008B2AE9">
        <w:rPr>
          <w:rFonts w:ascii="Times New Roman" w:hAnsi="Times New Roman"/>
          <w:bCs/>
          <w:sz w:val="22"/>
          <w:szCs w:val="22"/>
          <w:lang w:val="el-GR"/>
        </w:rPr>
        <w:t xml:space="preserve">Για την προετοιμασία του ανασυσταθέντος διαλύματος, βλέπε </w:t>
      </w:r>
      <w:r w:rsidR="004D349B" w:rsidRPr="008B2AE9">
        <w:rPr>
          <w:rFonts w:ascii="Times New Roman" w:hAnsi="Times New Roman"/>
          <w:bCs/>
          <w:sz w:val="22"/>
          <w:szCs w:val="22"/>
          <w:lang w:val="el-GR"/>
        </w:rPr>
        <w:t xml:space="preserve">παράγραφο </w:t>
      </w:r>
      <w:r w:rsidRPr="008B2AE9">
        <w:rPr>
          <w:rFonts w:ascii="Times New Roman" w:hAnsi="Times New Roman"/>
          <w:bCs/>
          <w:sz w:val="22"/>
          <w:szCs w:val="22"/>
          <w:lang w:val="el-GR"/>
        </w:rPr>
        <w:t>6.6.</w:t>
      </w:r>
    </w:p>
    <w:p w:rsidR="00905548" w:rsidRPr="008B2AE9" w:rsidRDefault="00905548" w:rsidP="00BD4D40">
      <w:pPr>
        <w:pStyle w:val="5"/>
        <w:spacing w:line="240" w:lineRule="auto"/>
        <w:rPr>
          <w:rFonts w:ascii="Times New Roman" w:hAnsi="Times New Roman"/>
          <w:iCs/>
          <w:sz w:val="22"/>
          <w:szCs w:val="22"/>
          <w:highlight w:val="yellow"/>
        </w:rPr>
      </w:pPr>
    </w:p>
    <w:p w:rsidR="00905548" w:rsidRPr="008B2AE9" w:rsidRDefault="00905548" w:rsidP="00BD4D40">
      <w:pPr>
        <w:pStyle w:val="5"/>
        <w:spacing w:line="240" w:lineRule="auto"/>
        <w:rPr>
          <w:rFonts w:ascii="Times New Roman" w:hAnsi="Times New Roman"/>
          <w:b/>
          <w:i w:val="0"/>
          <w:iCs/>
          <w:sz w:val="22"/>
          <w:szCs w:val="22"/>
          <w:u w:val="none"/>
        </w:rPr>
      </w:pPr>
      <w:r w:rsidRPr="008B2AE9">
        <w:rPr>
          <w:rFonts w:ascii="Times New Roman" w:hAnsi="Times New Roman"/>
          <w:b/>
          <w:i w:val="0"/>
          <w:iCs/>
          <w:sz w:val="22"/>
          <w:szCs w:val="22"/>
          <w:u w:val="none"/>
        </w:rPr>
        <w:t>Ένεση</w:t>
      </w:r>
    </w:p>
    <w:p w:rsidR="00E9754F" w:rsidRPr="008B2AE9" w:rsidRDefault="00E9754F" w:rsidP="00E9754F">
      <w:pPr>
        <w:rPr>
          <w:rFonts w:ascii="Times New Roman" w:hAnsi="Times New Roman"/>
          <w:sz w:val="22"/>
          <w:szCs w:val="22"/>
          <w:lang w:val="el-GR"/>
        </w:rPr>
      </w:pPr>
    </w:p>
    <w:p w:rsidR="00905548" w:rsidRPr="008B2AE9" w:rsidRDefault="00905548" w:rsidP="00BD4D40">
      <w:pPr>
        <w:jc w:val="both"/>
        <w:rPr>
          <w:rFonts w:ascii="Times New Roman" w:hAnsi="Times New Roman"/>
          <w:iCs/>
          <w:sz w:val="22"/>
          <w:szCs w:val="22"/>
          <w:u w:val="single"/>
          <w:lang w:val="el-GR"/>
        </w:rPr>
      </w:pPr>
      <w:r w:rsidRPr="008B2AE9">
        <w:rPr>
          <w:rFonts w:ascii="Times New Roman" w:hAnsi="Times New Roman"/>
          <w:iCs/>
          <w:sz w:val="22"/>
          <w:szCs w:val="22"/>
          <w:u w:val="single"/>
          <w:lang w:val="el-GR"/>
        </w:rPr>
        <w:t xml:space="preserve">Δόση 40 </w:t>
      </w:r>
      <w:r w:rsidRPr="008B2AE9">
        <w:rPr>
          <w:rFonts w:ascii="Times New Roman" w:hAnsi="Times New Roman"/>
          <w:iCs/>
          <w:sz w:val="22"/>
          <w:szCs w:val="22"/>
          <w:u w:val="single"/>
          <w:lang w:val="en-US"/>
        </w:rPr>
        <w:t>mg</w:t>
      </w:r>
    </w:p>
    <w:p w:rsidR="00905548" w:rsidRPr="008B2AE9" w:rsidRDefault="00905548" w:rsidP="00BD4D40">
      <w:pPr>
        <w:jc w:val="both"/>
        <w:rPr>
          <w:rFonts w:ascii="Times New Roman" w:hAnsi="Times New Roman"/>
          <w:sz w:val="22"/>
          <w:szCs w:val="22"/>
          <w:lang w:val="el-GR"/>
        </w:rPr>
      </w:pPr>
      <w:r w:rsidRPr="008B2AE9">
        <w:rPr>
          <w:rFonts w:ascii="Times New Roman" w:hAnsi="Times New Roman"/>
          <w:sz w:val="22"/>
          <w:szCs w:val="22"/>
          <w:lang w:val="el-GR"/>
        </w:rPr>
        <w:t xml:space="preserve">Τα 5 </w:t>
      </w:r>
      <w:r w:rsidRPr="008B2AE9">
        <w:rPr>
          <w:rFonts w:ascii="Times New Roman" w:hAnsi="Times New Roman"/>
          <w:sz w:val="22"/>
          <w:szCs w:val="22"/>
          <w:lang w:val="en-US"/>
        </w:rPr>
        <w:t>ml</w:t>
      </w:r>
      <w:r w:rsidRPr="008B2AE9">
        <w:rPr>
          <w:rFonts w:ascii="Times New Roman" w:hAnsi="Times New Roman"/>
          <w:sz w:val="22"/>
          <w:szCs w:val="22"/>
          <w:lang w:val="el-GR"/>
        </w:rPr>
        <w:t xml:space="preserve"> του ανασυσταθέντος διαλύματος (8 mg/ml) πρέπει να χορηγούνται με ενδοφλέβια ένεση σε τουλάχιστον 3 λεπτά. </w:t>
      </w:r>
    </w:p>
    <w:p w:rsidR="00905548" w:rsidRPr="008B2AE9" w:rsidRDefault="00905548" w:rsidP="00BD4D40">
      <w:pPr>
        <w:jc w:val="both"/>
        <w:rPr>
          <w:rFonts w:ascii="Times New Roman" w:hAnsi="Times New Roman"/>
          <w:sz w:val="22"/>
          <w:szCs w:val="22"/>
          <w:lang w:val="el-GR"/>
        </w:rPr>
      </w:pPr>
    </w:p>
    <w:p w:rsidR="00905548" w:rsidRPr="008B2AE9" w:rsidRDefault="00905548" w:rsidP="00BD4D40">
      <w:pPr>
        <w:jc w:val="both"/>
        <w:rPr>
          <w:rFonts w:ascii="Times New Roman" w:hAnsi="Times New Roman"/>
          <w:iCs/>
          <w:sz w:val="22"/>
          <w:szCs w:val="22"/>
          <w:u w:val="single"/>
          <w:lang w:val="el-GR"/>
        </w:rPr>
      </w:pPr>
      <w:r w:rsidRPr="008B2AE9">
        <w:rPr>
          <w:rFonts w:ascii="Times New Roman" w:hAnsi="Times New Roman"/>
          <w:iCs/>
          <w:sz w:val="22"/>
          <w:szCs w:val="22"/>
          <w:u w:val="single"/>
          <w:lang w:val="el-GR"/>
        </w:rPr>
        <w:t xml:space="preserve">Δόση 20 </w:t>
      </w:r>
      <w:r w:rsidRPr="008B2AE9">
        <w:rPr>
          <w:rFonts w:ascii="Times New Roman" w:hAnsi="Times New Roman"/>
          <w:iCs/>
          <w:sz w:val="22"/>
          <w:szCs w:val="22"/>
          <w:u w:val="single"/>
          <w:lang w:val="en-US"/>
        </w:rPr>
        <w:t>mg</w:t>
      </w:r>
    </w:p>
    <w:p w:rsidR="00905548" w:rsidRPr="008B2AE9" w:rsidRDefault="00905548" w:rsidP="00BD4D40">
      <w:pPr>
        <w:jc w:val="both"/>
        <w:rPr>
          <w:rFonts w:ascii="Times New Roman" w:hAnsi="Times New Roman"/>
          <w:sz w:val="22"/>
          <w:szCs w:val="22"/>
          <w:lang w:val="el-GR"/>
        </w:rPr>
      </w:pPr>
      <w:r w:rsidRPr="008B2AE9">
        <w:rPr>
          <w:rFonts w:ascii="Times New Roman" w:hAnsi="Times New Roman"/>
          <w:sz w:val="22"/>
          <w:szCs w:val="22"/>
          <w:lang w:val="el-GR"/>
        </w:rPr>
        <w:lastRenderedPageBreak/>
        <w:t xml:space="preserve">Τα 2,5 </w:t>
      </w:r>
      <w:r w:rsidRPr="008B2AE9">
        <w:rPr>
          <w:rFonts w:ascii="Times New Roman" w:hAnsi="Times New Roman"/>
          <w:sz w:val="22"/>
          <w:szCs w:val="22"/>
          <w:lang w:val="en-US"/>
        </w:rPr>
        <w:t>ml</w:t>
      </w:r>
      <w:r w:rsidRPr="008B2AE9">
        <w:rPr>
          <w:rFonts w:ascii="Times New Roman" w:hAnsi="Times New Roman"/>
          <w:sz w:val="22"/>
          <w:szCs w:val="22"/>
          <w:lang w:val="el-GR"/>
        </w:rPr>
        <w:t xml:space="preserve"> </w:t>
      </w:r>
      <w:r w:rsidR="006E61B3" w:rsidRPr="008B2AE9">
        <w:rPr>
          <w:rFonts w:ascii="Times New Roman" w:hAnsi="Times New Roman"/>
          <w:sz w:val="22"/>
          <w:szCs w:val="22"/>
          <w:lang w:val="el-GR"/>
        </w:rPr>
        <w:t>ή το ήμισυ</w:t>
      </w:r>
      <w:r w:rsidRPr="008B2AE9">
        <w:rPr>
          <w:rFonts w:ascii="Times New Roman" w:hAnsi="Times New Roman"/>
          <w:sz w:val="22"/>
          <w:szCs w:val="22"/>
          <w:lang w:val="el-GR"/>
        </w:rPr>
        <w:t xml:space="preserve"> του ανασυσταθέντος διαλύματος (8 mg/ml) πρέπει να χορηγούνται με ενδοφλέβια ένεση σε τουλάχιστον 3 λεπτά. Το διάλυμα που δεν έχει χρησιμοποιηθεί πρέπει να απορρίπτεται. </w:t>
      </w:r>
    </w:p>
    <w:p w:rsidR="0045017A" w:rsidRPr="008B2AE9" w:rsidRDefault="0045017A" w:rsidP="00BD4D40">
      <w:pPr>
        <w:jc w:val="both"/>
        <w:rPr>
          <w:rFonts w:ascii="Times New Roman" w:hAnsi="Times New Roman"/>
          <w:sz w:val="22"/>
          <w:szCs w:val="22"/>
          <w:lang w:val="el-GR"/>
        </w:rPr>
      </w:pPr>
    </w:p>
    <w:p w:rsidR="0045017A" w:rsidRPr="008B2AE9" w:rsidRDefault="0045017A" w:rsidP="00BD4D40">
      <w:pPr>
        <w:jc w:val="both"/>
        <w:rPr>
          <w:rFonts w:ascii="Times New Roman" w:hAnsi="Times New Roman"/>
          <w:iCs/>
          <w:sz w:val="22"/>
          <w:szCs w:val="22"/>
          <w:u w:val="single"/>
          <w:lang w:val="el-GR"/>
        </w:rPr>
      </w:pPr>
      <w:r w:rsidRPr="008B2AE9">
        <w:rPr>
          <w:rFonts w:ascii="Times New Roman" w:hAnsi="Times New Roman"/>
          <w:iCs/>
          <w:sz w:val="22"/>
          <w:szCs w:val="22"/>
          <w:u w:val="single"/>
          <w:lang w:val="el-GR"/>
        </w:rPr>
        <w:t xml:space="preserve">Δόση 10 </w:t>
      </w:r>
      <w:r w:rsidRPr="008B2AE9">
        <w:rPr>
          <w:rFonts w:ascii="Times New Roman" w:hAnsi="Times New Roman"/>
          <w:iCs/>
          <w:sz w:val="22"/>
          <w:szCs w:val="22"/>
          <w:u w:val="single"/>
          <w:lang w:val="en-US"/>
        </w:rPr>
        <w:t>mg</w:t>
      </w:r>
    </w:p>
    <w:p w:rsidR="00AA14D7" w:rsidRPr="008B2AE9" w:rsidRDefault="00AA14D7" w:rsidP="00BD4D40">
      <w:pPr>
        <w:jc w:val="both"/>
        <w:rPr>
          <w:rFonts w:ascii="Times New Roman" w:hAnsi="Times New Roman"/>
          <w:sz w:val="22"/>
          <w:szCs w:val="22"/>
          <w:lang w:val="el-GR"/>
        </w:rPr>
      </w:pPr>
    </w:p>
    <w:p w:rsidR="0045017A" w:rsidRPr="008B2AE9" w:rsidRDefault="0045017A" w:rsidP="00BD4D40">
      <w:pPr>
        <w:jc w:val="both"/>
        <w:rPr>
          <w:rFonts w:ascii="Times New Roman" w:hAnsi="Times New Roman"/>
          <w:sz w:val="22"/>
          <w:szCs w:val="22"/>
          <w:lang w:val="el-GR"/>
        </w:rPr>
      </w:pPr>
      <w:r w:rsidRPr="008B2AE9">
        <w:rPr>
          <w:rFonts w:ascii="Times New Roman" w:hAnsi="Times New Roman"/>
          <w:sz w:val="22"/>
          <w:szCs w:val="22"/>
          <w:lang w:val="el-GR"/>
        </w:rPr>
        <w:t xml:space="preserve">Τα 1,25 </w:t>
      </w:r>
      <w:r w:rsidRPr="008B2AE9">
        <w:rPr>
          <w:rFonts w:ascii="Times New Roman" w:hAnsi="Times New Roman"/>
          <w:sz w:val="22"/>
          <w:szCs w:val="22"/>
          <w:lang w:val="en-US"/>
        </w:rPr>
        <w:t>ml</w:t>
      </w:r>
      <w:r w:rsidRPr="008B2AE9">
        <w:rPr>
          <w:rFonts w:ascii="Times New Roman" w:hAnsi="Times New Roman"/>
          <w:sz w:val="22"/>
          <w:szCs w:val="22"/>
          <w:lang w:val="el-GR"/>
        </w:rPr>
        <w:t xml:space="preserve">  του ανασυσταθέντος διαλύματος (8 mg/ml) πρέπει να χορηγούνται με ενδοφλέβια ένεση σε τουλάχιστον 3 λεπτά. Το διάλυμα που δεν έχει χρησιμοποιηθεί πρέπει να απορρίπτεται. </w:t>
      </w:r>
    </w:p>
    <w:p w:rsidR="00905548" w:rsidRPr="008B2AE9" w:rsidRDefault="00905548" w:rsidP="00BD4D40">
      <w:pPr>
        <w:jc w:val="both"/>
        <w:rPr>
          <w:rFonts w:ascii="Times New Roman" w:hAnsi="Times New Roman"/>
          <w:sz w:val="22"/>
          <w:szCs w:val="22"/>
          <w:lang w:val="el-GR"/>
        </w:rPr>
      </w:pPr>
    </w:p>
    <w:p w:rsidR="00905548" w:rsidRPr="008B2AE9" w:rsidRDefault="00905548" w:rsidP="00BD4D40">
      <w:pPr>
        <w:pStyle w:val="5"/>
        <w:spacing w:line="240" w:lineRule="auto"/>
        <w:rPr>
          <w:rFonts w:ascii="Times New Roman" w:hAnsi="Times New Roman"/>
          <w:b/>
          <w:i w:val="0"/>
          <w:iCs/>
          <w:sz w:val="22"/>
          <w:szCs w:val="22"/>
          <w:u w:val="none"/>
        </w:rPr>
      </w:pPr>
      <w:r w:rsidRPr="008B2AE9">
        <w:rPr>
          <w:rFonts w:ascii="Times New Roman" w:hAnsi="Times New Roman"/>
          <w:b/>
          <w:i w:val="0"/>
          <w:iCs/>
          <w:sz w:val="22"/>
          <w:szCs w:val="22"/>
          <w:u w:val="none"/>
        </w:rPr>
        <w:t>Έγχυση</w:t>
      </w:r>
    </w:p>
    <w:p w:rsidR="002F6B53" w:rsidRPr="008B2AE9" w:rsidRDefault="002F6B53" w:rsidP="002F6B53">
      <w:pPr>
        <w:rPr>
          <w:rFonts w:ascii="Times New Roman" w:hAnsi="Times New Roman"/>
          <w:sz w:val="22"/>
          <w:szCs w:val="22"/>
          <w:lang w:val="el-GR"/>
        </w:rPr>
      </w:pPr>
    </w:p>
    <w:p w:rsidR="00905548" w:rsidRPr="008B2AE9" w:rsidRDefault="00905548" w:rsidP="00BD4D40">
      <w:pPr>
        <w:jc w:val="both"/>
        <w:rPr>
          <w:rFonts w:ascii="Times New Roman" w:hAnsi="Times New Roman"/>
          <w:iCs/>
          <w:sz w:val="22"/>
          <w:szCs w:val="22"/>
          <w:u w:val="single"/>
          <w:lang w:val="el-GR"/>
        </w:rPr>
      </w:pPr>
      <w:r w:rsidRPr="008B2AE9">
        <w:rPr>
          <w:rFonts w:ascii="Times New Roman" w:hAnsi="Times New Roman"/>
          <w:iCs/>
          <w:sz w:val="22"/>
          <w:szCs w:val="22"/>
          <w:u w:val="single"/>
          <w:lang w:val="el-GR"/>
        </w:rPr>
        <w:t xml:space="preserve">Δόση 40 </w:t>
      </w:r>
      <w:r w:rsidRPr="008B2AE9">
        <w:rPr>
          <w:rFonts w:ascii="Times New Roman" w:hAnsi="Times New Roman"/>
          <w:iCs/>
          <w:sz w:val="22"/>
          <w:szCs w:val="22"/>
          <w:u w:val="single"/>
          <w:lang w:val="en-US"/>
        </w:rPr>
        <w:t>mg</w:t>
      </w:r>
    </w:p>
    <w:p w:rsidR="002F6B53" w:rsidRPr="008B2AE9" w:rsidRDefault="002F6B53" w:rsidP="00BD4D40">
      <w:pPr>
        <w:jc w:val="both"/>
        <w:rPr>
          <w:rFonts w:ascii="Times New Roman" w:hAnsi="Times New Roman"/>
          <w:sz w:val="22"/>
          <w:szCs w:val="22"/>
          <w:lang w:val="el-GR"/>
        </w:rPr>
      </w:pPr>
    </w:p>
    <w:p w:rsidR="00905548" w:rsidRPr="008B2AE9" w:rsidRDefault="00905548" w:rsidP="00BD4D40">
      <w:pPr>
        <w:jc w:val="both"/>
        <w:rPr>
          <w:rFonts w:ascii="Times New Roman" w:hAnsi="Times New Roman"/>
          <w:sz w:val="22"/>
          <w:szCs w:val="22"/>
          <w:lang w:val="el-GR"/>
        </w:rPr>
      </w:pPr>
      <w:r w:rsidRPr="008B2AE9">
        <w:rPr>
          <w:rFonts w:ascii="Times New Roman" w:hAnsi="Times New Roman"/>
          <w:sz w:val="22"/>
          <w:szCs w:val="22"/>
          <w:lang w:val="el-GR"/>
        </w:rPr>
        <w:t xml:space="preserve">Το ανασυσταθέν διάλυμα πρέπει να χορηγείται με ενδοφλέβια έγχυση μεταξύ 10 και 30 λεπτών. </w:t>
      </w:r>
    </w:p>
    <w:p w:rsidR="00905548" w:rsidRPr="008B2AE9" w:rsidRDefault="00905548" w:rsidP="00BD4D40">
      <w:pPr>
        <w:jc w:val="both"/>
        <w:rPr>
          <w:rFonts w:ascii="Times New Roman" w:hAnsi="Times New Roman"/>
          <w:sz w:val="22"/>
          <w:szCs w:val="22"/>
          <w:lang w:val="el-GR"/>
        </w:rPr>
      </w:pPr>
    </w:p>
    <w:p w:rsidR="00905548" w:rsidRPr="008B2AE9" w:rsidRDefault="00905548" w:rsidP="00BD4D40">
      <w:pPr>
        <w:jc w:val="both"/>
        <w:rPr>
          <w:rFonts w:ascii="Times New Roman" w:hAnsi="Times New Roman"/>
          <w:iCs/>
          <w:sz w:val="22"/>
          <w:szCs w:val="22"/>
          <w:u w:val="single"/>
          <w:lang w:val="el-GR"/>
        </w:rPr>
      </w:pPr>
      <w:r w:rsidRPr="008B2AE9">
        <w:rPr>
          <w:rFonts w:ascii="Times New Roman" w:hAnsi="Times New Roman"/>
          <w:iCs/>
          <w:sz w:val="22"/>
          <w:szCs w:val="22"/>
          <w:u w:val="single"/>
          <w:lang w:val="el-GR"/>
        </w:rPr>
        <w:t xml:space="preserve">Δόση 20 </w:t>
      </w:r>
      <w:r w:rsidRPr="008B2AE9">
        <w:rPr>
          <w:rFonts w:ascii="Times New Roman" w:hAnsi="Times New Roman"/>
          <w:iCs/>
          <w:sz w:val="22"/>
          <w:szCs w:val="22"/>
          <w:u w:val="single"/>
          <w:lang w:val="en-US"/>
        </w:rPr>
        <w:t>mg</w:t>
      </w:r>
    </w:p>
    <w:p w:rsidR="008C3558" w:rsidRPr="008B2AE9" w:rsidRDefault="008C3558" w:rsidP="00BD4D40">
      <w:pPr>
        <w:jc w:val="both"/>
        <w:rPr>
          <w:rFonts w:ascii="Times New Roman" w:hAnsi="Times New Roman"/>
          <w:sz w:val="22"/>
          <w:szCs w:val="22"/>
          <w:lang w:val="el-GR"/>
        </w:rPr>
      </w:pPr>
    </w:p>
    <w:p w:rsidR="00905548" w:rsidRPr="008B2AE9" w:rsidRDefault="00905548" w:rsidP="00BD4D40">
      <w:pPr>
        <w:jc w:val="both"/>
        <w:rPr>
          <w:rFonts w:ascii="Times New Roman" w:hAnsi="Times New Roman"/>
          <w:sz w:val="22"/>
          <w:szCs w:val="22"/>
          <w:lang w:val="el-GR"/>
        </w:rPr>
      </w:pPr>
      <w:r w:rsidRPr="008B2AE9">
        <w:rPr>
          <w:rFonts w:ascii="Times New Roman" w:hAnsi="Times New Roman"/>
          <w:sz w:val="22"/>
          <w:szCs w:val="22"/>
          <w:lang w:val="el-GR"/>
        </w:rPr>
        <w:t>Το ήμισυ του ανασυσταθέντος διαλύματος πρέπει να χορηγείται με ενδοφλέβια έγχυση μεταξύ 10 και 30 λεπτών. Το διάλυμα που δεν έχει χρησιμοποιηθεί πρέπει να απορρίπτεται.</w:t>
      </w:r>
    </w:p>
    <w:p w:rsidR="0045017A" w:rsidRPr="008B2AE9" w:rsidRDefault="0045017A" w:rsidP="00BD4D40">
      <w:pPr>
        <w:jc w:val="both"/>
        <w:rPr>
          <w:rFonts w:ascii="Times New Roman" w:hAnsi="Times New Roman"/>
          <w:sz w:val="22"/>
          <w:szCs w:val="22"/>
          <w:lang w:val="el-GR"/>
        </w:rPr>
      </w:pPr>
    </w:p>
    <w:p w:rsidR="0045017A" w:rsidRPr="008B2AE9" w:rsidRDefault="0045017A" w:rsidP="00BD4D40">
      <w:pPr>
        <w:jc w:val="both"/>
        <w:rPr>
          <w:rFonts w:ascii="Times New Roman" w:hAnsi="Times New Roman"/>
          <w:iCs/>
          <w:sz w:val="22"/>
          <w:szCs w:val="22"/>
          <w:u w:val="single"/>
          <w:lang w:val="el-GR"/>
        </w:rPr>
      </w:pPr>
      <w:r w:rsidRPr="008B2AE9">
        <w:rPr>
          <w:rFonts w:ascii="Times New Roman" w:hAnsi="Times New Roman"/>
          <w:iCs/>
          <w:sz w:val="22"/>
          <w:szCs w:val="22"/>
          <w:u w:val="single"/>
          <w:lang w:val="el-GR"/>
        </w:rPr>
        <w:t xml:space="preserve">Δόση 10 </w:t>
      </w:r>
      <w:r w:rsidRPr="008B2AE9">
        <w:rPr>
          <w:rFonts w:ascii="Times New Roman" w:hAnsi="Times New Roman"/>
          <w:iCs/>
          <w:sz w:val="22"/>
          <w:szCs w:val="22"/>
          <w:u w:val="single"/>
          <w:lang w:val="en-US"/>
        </w:rPr>
        <w:t>mg</w:t>
      </w:r>
    </w:p>
    <w:p w:rsidR="008C3558" w:rsidRPr="008B2AE9" w:rsidRDefault="008C3558" w:rsidP="00BD4D40">
      <w:pPr>
        <w:jc w:val="both"/>
        <w:rPr>
          <w:rFonts w:ascii="Times New Roman" w:hAnsi="Times New Roman"/>
          <w:sz w:val="22"/>
          <w:szCs w:val="22"/>
          <w:lang w:val="el-GR"/>
        </w:rPr>
      </w:pPr>
    </w:p>
    <w:p w:rsidR="0045017A" w:rsidRPr="008B2AE9" w:rsidRDefault="0045017A" w:rsidP="00BD4D40">
      <w:pPr>
        <w:jc w:val="both"/>
        <w:rPr>
          <w:rFonts w:ascii="Times New Roman" w:hAnsi="Times New Roman"/>
          <w:sz w:val="22"/>
          <w:szCs w:val="22"/>
          <w:lang w:val="el-GR"/>
        </w:rPr>
      </w:pPr>
      <w:r w:rsidRPr="008B2AE9">
        <w:rPr>
          <w:rFonts w:ascii="Times New Roman" w:hAnsi="Times New Roman"/>
          <w:sz w:val="22"/>
          <w:szCs w:val="22"/>
          <w:lang w:val="el-GR"/>
        </w:rPr>
        <w:t>Το ένα τέταρτο του ανασυσταθέντος διαλύματος πρέπει να χορηγείται με ενδοφλέβια έγχυση μεταξύ 10 και 30 λεπτών. Το διάλυμα που δεν έχει χρησιμοποιηθεί πρέπει να απορρίπτεται.</w:t>
      </w:r>
    </w:p>
    <w:p w:rsidR="00905548" w:rsidRPr="008B2AE9" w:rsidRDefault="00905548" w:rsidP="00BD4D40">
      <w:pPr>
        <w:rPr>
          <w:rFonts w:ascii="Times New Roman" w:hAnsi="Times New Roman"/>
          <w:i/>
          <w:sz w:val="22"/>
          <w:szCs w:val="22"/>
          <w:u w:val="single"/>
          <w:lang w:val="el-GR"/>
        </w:rPr>
      </w:pPr>
    </w:p>
    <w:p w:rsidR="00E72235" w:rsidRPr="008B2AE9" w:rsidRDefault="00E72235" w:rsidP="00BD4D40">
      <w:pPr>
        <w:rPr>
          <w:rFonts w:ascii="Times New Roman" w:hAnsi="Times New Roman"/>
          <w:b/>
          <w:sz w:val="22"/>
          <w:szCs w:val="22"/>
          <w:lang w:val="el-GR"/>
        </w:rPr>
      </w:pPr>
      <w:r w:rsidRPr="008B2AE9">
        <w:rPr>
          <w:rFonts w:ascii="Times New Roman" w:hAnsi="Times New Roman"/>
          <w:b/>
          <w:sz w:val="22"/>
          <w:szCs w:val="22"/>
          <w:lang w:val="el-GR"/>
        </w:rPr>
        <w:t xml:space="preserve">4.3 </w:t>
      </w:r>
      <w:r w:rsidRPr="008B2AE9">
        <w:rPr>
          <w:rFonts w:ascii="Times New Roman" w:hAnsi="Times New Roman"/>
          <w:b/>
          <w:sz w:val="22"/>
          <w:szCs w:val="22"/>
          <w:lang w:val="el-GR"/>
        </w:rPr>
        <w:tab/>
        <w:t>Αντενδείξεις</w:t>
      </w:r>
    </w:p>
    <w:p w:rsidR="00BD4D40" w:rsidRPr="008B2AE9" w:rsidRDefault="00BD4D40" w:rsidP="00BD4D40">
      <w:pPr>
        <w:ind w:right="-426"/>
        <w:rPr>
          <w:rFonts w:ascii="Times New Roman" w:hAnsi="Times New Roman"/>
          <w:sz w:val="22"/>
          <w:szCs w:val="22"/>
          <w:lang w:val="el-GR"/>
        </w:rPr>
      </w:pPr>
    </w:p>
    <w:p w:rsidR="00E72235" w:rsidRPr="008B2AE9" w:rsidRDefault="00444788" w:rsidP="00BD4D40">
      <w:pPr>
        <w:ind w:right="-426"/>
        <w:rPr>
          <w:rFonts w:ascii="Times New Roman" w:hAnsi="Times New Roman"/>
          <w:sz w:val="22"/>
          <w:szCs w:val="22"/>
          <w:lang w:val="el-GR"/>
        </w:rPr>
      </w:pPr>
      <w:r w:rsidRPr="008B2AE9">
        <w:rPr>
          <w:rFonts w:ascii="Times New Roman" w:hAnsi="Times New Roman"/>
          <w:sz w:val="22"/>
          <w:szCs w:val="22"/>
          <w:lang w:val="el-GR"/>
        </w:rPr>
        <w:t>Υπερευαισθησία στη</w:t>
      </w:r>
      <w:r w:rsidR="00E72235" w:rsidRPr="008B2AE9">
        <w:rPr>
          <w:rFonts w:ascii="Times New Roman" w:hAnsi="Times New Roman"/>
          <w:sz w:val="22"/>
          <w:szCs w:val="22"/>
          <w:lang w:val="el-GR"/>
        </w:rPr>
        <w:t xml:space="preserve"> δραστική ουσία </w:t>
      </w:r>
      <w:r w:rsidRPr="008B2AE9">
        <w:rPr>
          <w:rFonts w:ascii="Times New Roman" w:hAnsi="Times New Roman"/>
          <w:sz w:val="22"/>
          <w:szCs w:val="22"/>
          <w:lang w:val="el-GR"/>
        </w:rPr>
        <w:t xml:space="preserve">, </w:t>
      </w:r>
      <w:r w:rsidR="00E72235" w:rsidRPr="008B2AE9">
        <w:rPr>
          <w:rFonts w:ascii="Times New Roman" w:hAnsi="Times New Roman"/>
          <w:sz w:val="22"/>
          <w:szCs w:val="22"/>
          <w:lang w:val="el-GR"/>
        </w:rPr>
        <w:t xml:space="preserve">σε άλλες υποκατεστημένες βενζιμιδαζόλες </w:t>
      </w:r>
      <w:r w:rsidR="00947986" w:rsidRPr="008B2AE9">
        <w:rPr>
          <w:rFonts w:ascii="Times New Roman" w:hAnsi="Times New Roman"/>
          <w:sz w:val="22"/>
          <w:szCs w:val="22"/>
          <w:lang w:val="el-GR"/>
        </w:rPr>
        <w:t>ή σε κάποιο από τα έκδοχα που αναφέρονται στην παράγραφο 6.1</w:t>
      </w:r>
      <w:r w:rsidR="00E72235" w:rsidRPr="008B2AE9">
        <w:rPr>
          <w:rFonts w:ascii="Times New Roman" w:hAnsi="Times New Roman"/>
          <w:sz w:val="22"/>
          <w:szCs w:val="22"/>
          <w:lang w:val="el-GR"/>
        </w:rPr>
        <w:t>.</w:t>
      </w:r>
    </w:p>
    <w:p w:rsidR="00E72235" w:rsidRPr="008B2AE9" w:rsidRDefault="00E72235" w:rsidP="00BD4D40">
      <w:pPr>
        <w:jc w:val="both"/>
        <w:rPr>
          <w:rFonts w:ascii="Times New Roman" w:hAnsi="Times New Roman"/>
          <w:sz w:val="22"/>
          <w:szCs w:val="22"/>
          <w:lang w:val="el-GR"/>
        </w:rPr>
      </w:pPr>
      <w:r w:rsidRPr="008B2AE9">
        <w:rPr>
          <w:rFonts w:ascii="Times New Roman" w:hAnsi="Times New Roman"/>
          <w:sz w:val="22"/>
          <w:szCs w:val="22"/>
          <w:lang w:val="el-GR"/>
        </w:rPr>
        <w:t>Η εσομεπραζόλη δεν πρέπει να συγχορηγείται με</w:t>
      </w:r>
      <w:r w:rsidR="006C424F" w:rsidRPr="008B2AE9">
        <w:rPr>
          <w:rFonts w:ascii="Times New Roman" w:hAnsi="Times New Roman"/>
          <w:sz w:val="22"/>
          <w:szCs w:val="22"/>
          <w:lang w:val="el-GR"/>
        </w:rPr>
        <w:t xml:space="preserve"> </w:t>
      </w:r>
      <w:r w:rsidRPr="008B2AE9">
        <w:rPr>
          <w:rFonts w:ascii="Times New Roman" w:hAnsi="Times New Roman"/>
          <w:sz w:val="22"/>
          <w:szCs w:val="22"/>
          <w:lang w:val="el-GR"/>
        </w:rPr>
        <w:t xml:space="preserve">νελφιναβίρη (βλέπε </w:t>
      </w:r>
      <w:r w:rsidR="004D349B" w:rsidRPr="008B2AE9">
        <w:rPr>
          <w:rFonts w:ascii="Times New Roman" w:hAnsi="Times New Roman"/>
          <w:sz w:val="22"/>
          <w:szCs w:val="22"/>
          <w:lang w:val="el-GR"/>
        </w:rPr>
        <w:t xml:space="preserve">παράγραφο </w:t>
      </w:r>
      <w:r w:rsidRPr="008B2AE9">
        <w:rPr>
          <w:rFonts w:ascii="Times New Roman" w:hAnsi="Times New Roman"/>
          <w:sz w:val="22"/>
          <w:szCs w:val="22"/>
          <w:lang w:val="el-GR"/>
        </w:rPr>
        <w:t xml:space="preserve">4.5). </w:t>
      </w:r>
    </w:p>
    <w:p w:rsidR="00E72235" w:rsidRPr="008B2AE9" w:rsidRDefault="00E72235" w:rsidP="00BD4D40">
      <w:pPr>
        <w:ind w:right="-426"/>
        <w:rPr>
          <w:rFonts w:ascii="Times New Roman" w:hAnsi="Times New Roman"/>
          <w:b/>
          <w:sz w:val="22"/>
          <w:szCs w:val="22"/>
          <w:lang w:val="el-GR"/>
        </w:rPr>
      </w:pPr>
    </w:p>
    <w:p w:rsidR="00EC39CB" w:rsidRPr="008B2AE9" w:rsidRDefault="00EC39CB" w:rsidP="00EC39CB">
      <w:pPr>
        <w:widowControl w:val="0"/>
        <w:rPr>
          <w:rFonts w:ascii="Times New Roman" w:hAnsi="Times New Roman"/>
          <w:sz w:val="22"/>
          <w:szCs w:val="22"/>
          <w:lang w:val="el-GR"/>
        </w:rPr>
      </w:pPr>
      <w:r w:rsidRPr="008B2AE9">
        <w:rPr>
          <w:rFonts w:ascii="Times New Roman" w:hAnsi="Times New Roman"/>
          <w:b/>
          <w:sz w:val="22"/>
          <w:szCs w:val="22"/>
          <w:lang w:val="el-GR"/>
        </w:rPr>
        <w:t>4.4</w:t>
      </w:r>
      <w:r w:rsidRPr="008B2AE9">
        <w:rPr>
          <w:rFonts w:ascii="Times New Roman" w:hAnsi="Times New Roman"/>
          <w:b/>
          <w:sz w:val="22"/>
          <w:szCs w:val="22"/>
          <w:lang w:val="el-GR"/>
        </w:rPr>
        <w:tab/>
        <w:t>Ειδικές προειδοποιήσεις και προφυλάξεις κατά τη χρήση</w:t>
      </w:r>
    </w:p>
    <w:p w:rsidR="00BD4D40" w:rsidRPr="008B2AE9" w:rsidRDefault="00BD4D40" w:rsidP="00BD4D40">
      <w:pPr>
        <w:jc w:val="both"/>
        <w:rPr>
          <w:rFonts w:ascii="Times New Roman" w:hAnsi="Times New Roman"/>
          <w:sz w:val="22"/>
          <w:szCs w:val="22"/>
          <w:lang w:val="el-GR"/>
        </w:rPr>
      </w:pPr>
    </w:p>
    <w:p w:rsidR="00E72235" w:rsidRPr="008B2AE9" w:rsidRDefault="00E72235" w:rsidP="00BD4D40">
      <w:pPr>
        <w:jc w:val="both"/>
        <w:rPr>
          <w:rFonts w:ascii="Times New Roman" w:hAnsi="Times New Roman"/>
          <w:sz w:val="22"/>
          <w:szCs w:val="22"/>
          <w:lang w:val="el-GR"/>
        </w:rPr>
      </w:pPr>
      <w:r w:rsidRPr="008B2AE9">
        <w:rPr>
          <w:rFonts w:ascii="Times New Roman" w:hAnsi="Times New Roman"/>
          <w:sz w:val="22"/>
          <w:szCs w:val="22"/>
          <w:lang w:val="el-GR"/>
        </w:rPr>
        <w:t>Επί παρουσίας ανησυχητικών συμπτωμάτων (π.χ. σημαντική, μη επιδιωκόμενη</w:t>
      </w:r>
      <w:r w:rsidR="006C424F" w:rsidRPr="008B2AE9">
        <w:rPr>
          <w:rFonts w:ascii="Times New Roman" w:hAnsi="Times New Roman"/>
          <w:sz w:val="22"/>
          <w:szCs w:val="22"/>
          <w:lang w:val="el-GR"/>
        </w:rPr>
        <w:t xml:space="preserve"> </w:t>
      </w:r>
      <w:r w:rsidRPr="008B2AE9">
        <w:rPr>
          <w:rFonts w:ascii="Times New Roman" w:hAnsi="Times New Roman"/>
          <w:sz w:val="22"/>
          <w:szCs w:val="22"/>
          <w:lang w:val="el-GR"/>
        </w:rPr>
        <w:t>απώλεια βάρους, επαναλαμβανόμενοι έμετοι, δυσφαγία, αιματέμεση ή μέλαινα)</w:t>
      </w:r>
      <w:r w:rsidR="006C424F" w:rsidRPr="008B2AE9">
        <w:rPr>
          <w:rFonts w:ascii="Times New Roman" w:hAnsi="Times New Roman"/>
          <w:sz w:val="22"/>
          <w:szCs w:val="22"/>
          <w:lang w:val="el-GR"/>
        </w:rPr>
        <w:t xml:space="preserve"> </w:t>
      </w:r>
      <w:r w:rsidRPr="008B2AE9">
        <w:rPr>
          <w:rFonts w:ascii="Times New Roman" w:hAnsi="Times New Roman"/>
          <w:sz w:val="22"/>
          <w:szCs w:val="22"/>
          <w:lang w:val="el-GR"/>
        </w:rPr>
        <w:t xml:space="preserve">και όταν πιθανολογείται ή έχει διαγνωσθεί γαστρικό έλκος, θα πρέπει να αποκλείεται η ύπαρξη κακοήθειας, αφού η θεραπεία με </w:t>
      </w:r>
      <w:r w:rsidR="00C81685" w:rsidRPr="008B2AE9">
        <w:rPr>
          <w:rFonts w:ascii="Times New Roman" w:hAnsi="Times New Roman"/>
          <w:sz w:val="22"/>
          <w:szCs w:val="22"/>
          <w:lang w:val="en-US"/>
        </w:rPr>
        <w:t>DEMOLOX</w:t>
      </w:r>
      <w:r w:rsidRPr="008B2AE9">
        <w:rPr>
          <w:rFonts w:ascii="Times New Roman" w:hAnsi="Times New Roman"/>
          <w:b/>
          <w:bCs/>
          <w:sz w:val="22"/>
          <w:szCs w:val="22"/>
          <w:lang w:val="el-GR"/>
        </w:rPr>
        <w:t xml:space="preserve"> </w:t>
      </w:r>
      <w:r w:rsidRPr="008B2AE9">
        <w:rPr>
          <w:rFonts w:ascii="Times New Roman" w:hAnsi="Times New Roman"/>
          <w:sz w:val="22"/>
          <w:szCs w:val="22"/>
          <w:lang w:val="el-GR"/>
        </w:rPr>
        <w:t>μπορεί να ανακουφίσει από τα συμπτώματα, καθυστερώντας έτσι την διάγνωση.</w:t>
      </w:r>
    </w:p>
    <w:p w:rsidR="00E72235" w:rsidRPr="008B2AE9" w:rsidRDefault="00E72235" w:rsidP="00773CDA">
      <w:pPr>
        <w:jc w:val="both"/>
        <w:rPr>
          <w:rFonts w:ascii="Times New Roman" w:hAnsi="Times New Roman"/>
          <w:sz w:val="22"/>
          <w:szCs w:val="22"/>
          <w:lang w:val="el-GR"/>
        </w:rPr>
      </w:pPr>
    </w:p>
    <w:p w:rsidR="0074711A" w:rsidRPr="008B2AE9" w:rsidRDefault="0074711A" w:rsidP="00773CDA">
      <w:pPr>
        <w:pStyle w:val="2"/>
        <w:spacing w:line="240" w:lineRule="auto"/>
        <w:jc w:val="both"/>
        <w:rPr>
          <w:rFonts w:ascii="Times New Roman" w:hAnsi="Times New Roman"/>
          <w:i w:val="0"/>
          <w:iCs/>
          <w:sz w:val="22"/>
          <w:szCs w:val="22"/>
          <w:u w:val="single"/>
        </w:rPr>
      </w:pPr>
      <w:r w:rsidRPr="008B2AE9">
        <w:rPr>
          <w:rFonts w:ascii="Times New Roman" w:hAnsi="Times New Roman"/>
          <w:i w:val="0"/>
          <w:iCs/>
          <w:sz w:val="22"/>
          <w:szCs w:val="22"/>
          <w:u w:val="single"/>
        </w:rPr>
        <w:t>Γαστρ</w:t>
      </w:r>
      <w:r w:rsidR="00E80BE5" w:rsidRPr="008B2AE9">
        <w:rPr>
          <w:rFonts w:ascii="Times New Roman" w:hAnsi="Times New Roman"/>
          <w:i w:val="0"/>
          <w:iCs/>
          <w:sz w:val="22"/>
          <w:szCs w:val="22"/>
          <w:u w:val="single"/>
        </w:rPr>
        <w:t>εντερικές</w:t>
      </w:r>
      <w:r w:rsidRPr="008B2AE9">
        <w:rPr>
          <w:rFonts w:ascii="Times New Roman" w:hAnsi="Times New Roman"/>
          <w:i w:val="0"/>
          <w:iCs/>
          <w:sz w:val="22"/>
          <w:szCs w:val="22"/>
          <w:u w:val="single"/>
        </w:rPr>
        <w:t xml:space="preserve"> λοιμώξεις</w:t>
      </w:r>
    </w:p>
    <w:p w:rsidR="00E72235" w:rsidRPr="008B2AE9" w:rsidRDefault="00E72235" w:rsidP="00773CDA">
      <w:pPr>
        <w:pStyle w:val="2"/>
        <w:spacing w:line="240" w:lineRule="auto"/>
        <w:jc w:val="both"/>
        <w:rPr>
          <w:rFonts w:ascii="Times New Roman" w:hAnsi="Times New Roman"/>
          <w:i w:val="0"/>
          <w:iCs/>
          <w:sz w:val="22"/>
          <w:szCs w:val="22"/>
        </w:rPr>
      </w:pPr>
      <w:r w:rsidRPr="008B2AE9">
        <w:rPr>
          <w:rFonts w:ascii="Times New Roman" w:hAnsi="Times New Roman"/>
          <w:i w:val="0"/>
          <w:iCs/>
          <w:sz w:val="22"/>
          <w:szCs w:val="22"/>
        </w:rPr>
        <w:t xml:space="preserve">Η θεραπεία με αναστολείς της αντλίας πρωτονίων μπορεί να οδηγήσει σε μικρή αύξηση του κινδύνου γαστρεντερικών λοιμώξεων όπως από </w:t>
      </w:r>
      <w:r w:rsidRPr="008B2AE9">
        <w:rPr>
          <w:rFonts w:ascii="Times New Roman" w:hAnsi="Times New Roman"/>
          <w:sz w:val="22"/>
          <w:szCs w:val="22"/>
          <w:lang w:val="en-US"/>
        </w:rPr>
        <w:t>Salmonella</w:t>
      </w:r>
      <w:r w:rsidRPr="008B2AE9">
        <w:rPr>
          <w:rFonts w:ascii="Times New Roman" w:hAnsi="Times New Roman"/>
          <w:i w:val="0"/>
          <w:iCs/>
          <w:sz w:val="22"/>
          <w:szCs w:val="22"/>
        </w:rPr>
        <w:t xml:space="preserve"> και </w:t>
      </w:r>
      <w:r w:rsidRPr="008B2AE9">
        <w:rPr>
          <w:rFonts w:ascii="Times New Roman" w:hAnsi="Times New Roman"/>
          <w:sz w:val="22"/>
          <w:szCs w:val="22"/>
          <w:lang w:val="en-US"/>
        </w:rPr>
        <w:t>Campylobacter</w:t>
      </w:r>
      <w:r w:rsidRPr="008B2AE9">
        <w:rPr>
          <w:rFonts w:ascii="Times New Roman" w:hAnsi="Times New Roman"/>
          <w:i w:val="0"/>
          <w:iCs/>
          <w:sz w:val="22"/>
          <w:szCs w:val="22"/>
        </w:rPr>
        <w:t>.</w:t>
      </w:r>
    </w:p>
    <w:p w:rsidR="00B26978" w:rsidRPr="008B2AE9" w:rsidRDefault="00B26978" w:rsidP="00773CDA">
      <w:pPr>
        <w:rPr>
          <w:rFonts w:ascii="Times New Roman" w:hAnsi="Times New Roman"/>
          <w:sz w:val="22"/>
          <w:szCs w:val="22"/>
          <w:lang w:val="el-GR"/>
        </w:rPr>
      </w:pPr>
    </w:p>
    <w:p w:rsidR="00C5132A" w:rsidRPr="008B2AE9" w:rsidRDefault="00C5132A" w:rsidP="00FA40AD">
      <w:pPr>
        <w:ind w:right="-142"/>
        <w:jc w:val="both"/>
        <w:rPr>
          <w:rFonts w:ascii="Times New Roman" w:hAnsi="Times New Roman"/>
          <w:iCs/>
          <w:sz w:val="22"/>
          <w:szCs w:val="22"/>
          <w:u w:val="single"/>
          <w:lang w:val="el-GR"/>
        </w:rPr>
      </w:pPr>
      <w:r w:rsidRPr="008B2AE9">
        <w:rPr>
          <w:rFonts w:ascii="Times New Roman" w:hAnsi="Times New Roman"/>
          <w:iCs/>
          <w:sz w:val="22"/>
          <w:szCs w:val="22"/>
          <w:u w:val="single"/>
          <w:lang w:val="el-GR"/>
        </w:rPr>
        <w:t>Απορρόφηση βιταμίνης Β12</w:t>
      </w:r>
    </w:p>
    <w:p w:rsidR="00FA40AD" w:rsidRPr="008B2AE9" w:rsidRDefault="00FA40AD" w:rsidP="00FA40AD">
      <w:pPr>
        <w:ind w:right="-142"/>
        <w:jc w:val="both"/>
        <w:rPr>
          <w:rFonts w:ascii="Times New Roman" w:hAnsi="Times New Roman"/>
          <w:bCs/>
          <w:sz w:val="22"/>
          <w:szCs w:val="22"/>
          <w:lang w:val="el-GR"/>
        </w:rPr>
      </w:pPr>
      <w:r w:rsidRPr="008B2AE9">
        <w:rPr>
          <w:rFonts w:ascii="Times New Roman" w:hAnsi="Times New Roman"/>
          <w:iCs/>
          <w:sz w:val="22"/>
          <w:szCs w:val="22"/>
          <w:lang w:val="el-GR"/>
        </w:rPr>
        <w:t xml:space="preserve">Η εσομεπραζόλη, όπως όλα τα φάρμακα που καταστέλλουν την παραγωγή οξέων, μπορούν να μειώσουν την απορρόφηση της βιταμίνης Β12 (κυανοκοβαλαμίνης) λόγω της </w:t>
      </w:r>
      <w:r w:rsidR="008D1F86" w:rsidRPr="008B2AE9">
        <w:rPr>
          <w:rFonts w:ascii="Times New Roman" w:hAnsi="Times New Roman"/>
          <w:iCs/>
          <w:sz w:val="22"/>
          <w:szCs w:val="22"/>
          <w:lang w:val="el-GR"/>
        </w:rPr>
        <w:t>υπο</w:t>
      </w:r>
      <w:r w:rsidRPr="008B2AE9">
        <w:rPr>
          <w:rFonts w:ascii="Times New Roman" w:hAnsi="Times New Roman"/>
          <w:iCs/>
          <w:sz w:val="22"/>
          <w:szCs w:val="22"/>
          <w:lang w:val="el-GR"/>
        </w:rPr>
        <w:t xml:space="preserve">-ή αχλωρυδρίας. Αυτό θα πρέπει να εξετάζεται σε ασθενείς </w:t>
      </w:r>
      <w:r w:rsidR="008D1F86" w:rsidRPr="008B2AE9">
        <w:rPr>
          <w:rFonts w:ascii="Times New Roman" w:hAnsi="Times New Roman"/>
          <w:iCs/>
          <w:sz w:val="22"/>
          <w:szCs w:val="22"/>
          <w:lang w:val="el-GR"/>
        </w:rPr>
        <w:t>υπό</w:t>
      </w:r>
      <w:r w:rsidRPr="008B2AE9">
        <w:rPr>
          <w:rFonts w:ascii="Times New Roman" w:hAnsi="Times New Roman"/>
          <w:iCs/>
          <w:sz w:val="22"/>
          <w:szCs w:val="22"/>
          <w:lang w:val="el-GR"/>
        </w:rPr>
        <w:t xml:space="preserve"> μακροχρόνια θεραπεία με μειωμένες αποθήκες του οργανισμού ή παράγοντες κινδύνου για μειωμένη απορρόφηση βιταμίνης Β12</w:t>
      </w:r>
      <w:r w:rsidRPr="008B2AE9">
        <w:rPr>
          <w:rFonts w:ascii="Times New Roman" w:hAnsi="Times New Roman"/>
          <w:bCs/>
          <w:sz w:val="22"/>
          <w:szCs w:val="22"/>
          <w:lang w:val="el-GR"/>
        </w:rPr>
        <w:t>.</w:t>
      </w:r>
    </w:p>
    <w:p w:rsidR="00FA40AD" w:rsidRPr="008B2AE9" w:rsidRDefault="00FA40AD" w:rsidP="00773CDA">
      <w:pPr>
        <w:pStyle w:val="2"/>
        <w:spacing w:line="240" w:lineRule="auto"/>
        <w:jc w:val="both"/>
        <w:rPr>
          <w:rFonts w:ascii="Times New Roman" w:hAnsi="Times New Roman"/>
          <w:i w:val="0"/>
          <w:iCs/>
          <w:sz w:val="22"/>
          <w:szCs w:val="22"/>
        </w:rPr>
      </w:pPr>
    </w:p>
    <w:p w:rsidR="00FF13A2" w:rsidRPr="008B2AE9" w:rsidRDefault="00FF13A2" w:rsidP="00D97291">
      <w:pPr>
        <w:pStyle w:val="2"/>
        <w:spacing w:line="240" w:lineRule="auto"/>
        <w:jc w:val="both"/>
        <w:rPr>
          <w:rFonts w:ascii="Times New Roman" w:hAnsi="Times New Roman"/>
          <w:i w:val="0"/>
          <w:iCs/>
          <w:sz w:val="22"/>
          <w:szCs w:val="22"/>
          <w:u w:val="single"/>
        </w:rPr>
      </w:pPr>
      <w:r w:rsidRPr="008B2AE9">
        <w:rPr>
          <w:rFonts w:ascii="Times New Roman" w:hAnsi="Times New Roman"/>
          <w:i w:val="0"/>
          <w:iCs/>
          <w:sz w:val="22"/>
          <w:szCs w:val="22"/>
          <w:u w:val="single"/>
        </w:rPr>
        <w:t>Υπομαγνησιαιμία</w:t>
      </w:r>
    </w:p>
    <w:p w:rsidR="00D97291" w:rsidRPr="008B2AE9" w:rsidRDefault="00D97291" w:rsidP="00D97291">
      <w:pPr>
        <w:pStyle w:val="2"/>
        <w:spacing w:line="240" w:lineRule="auto"/>
        <w:jc w:val="both"/>
        <w:rPr>
          <w:rFonts w:ascii="Times New Roman" w:hAnsi="Times New Roman"/>
          <w:i w:val="0"/>
          <w:iCs/>
          <w:sz w:val="22"/>
          <w:szCs w:val="22"/>
        </w:rPr>
      </w:pPr>
      <w:r w:rsidRPr="008B2AE9">
        <w:rPr>
          <w:rFonts w:ascii="Times New Roman" w:hAnsi="Times New Roman"/>
          <w:i w:val="0"/>
          <w:iCs/>
          <w:sz w:val="22"/>
          <w:szCs w:val="22"/>
        </w:rPr>
        <w:t>Σοβαρή υπομαγνησιαιμία έχει αναφερθεί σε ασθενείς που έλαβαν θεραπεία με αναστολείς της αντλίας πρωτονίων (PPIs), όπως εσ</w:t>
      </w:r>
      <w:r w:rsidR="00066BEC" w:rsidRPr="008B2AE9">
        <w:rPr>
          <w:rFonts w:ascii="Times New Roman" w:hAnsi="Times New Roman"/>
          <w:i w:val="0"/>
          <w:iCs/>
          <w:sz w:val="22"/>
          <w:szCs w:val="22"/>
        </w:rPr>
        <w:t>ο</w:t>
      </w:r>
      <w:r w:rsidRPr="008B2AE9">
        <w:rPr>
          <w:rFonts w:ascii="Times New Roman" w:hAnsi="Times New Roman"/>
          <w:i w:val="0"/>
          <w:iCs/>
          <w:sz w:val="22"/>
          <w:szCs w:val="22"/>
        </w:rPr>
        <w:t xml:space="preserve">μεπραζόλη για τουλάχιστον τρεις μήνες, και στις </w:t>
      </w:r>
      <w:r w:rsidRPr="008B2AE9">
        <w:rPr>
          <w:rFonts w:ascii="Times New Roman" w:hAnsi="Times New Roman"/>
          <w:i w:val="0"/>
          <w:iCs/>
          <w:sz w:val="22"/>
          <w:szCs w:val="22"/>
        </w:rPr>
        <w:lastRenderedPageBreak/>
        <w:t>περισσότερες περιπτώσεις, για ένα χρόνο. Σοβαρές εκδηλώσεις υπομαγνησιαιμία</w:t>
      </w:r>
      <w:r w:rsidR="00066BEC" w:rsidRPr="008B2AE9">
        <w:rPr>
          <w:rFonts w:ascii="Times New Roman" w:hAnsi="Times New Roman"/>
          <w:i w:val="0"/>
          <w:iCs/>
          <w:sz w:val="22"/>
          <w:szCs w:val="22"/>
        </w:rPr>
        <w:t>ς</w:t>
      </w:r>
      <w:r w:rsidRPr="008B2AE9">
        <w:rPr>
          <w:rFonts w:ascii="Times New Roman" w:hAnsi="Times New Roman"/>
          <w:i w:val="0"/>
          <w:iCs/>
          <w:sz w:val="22"/>
          <w:szCs w:val="22"/>
        </w:rPr>
        <w:t xml:space="preserve"> όπως η κόπωση, τέτανο</w:t>
      </w:r>
      <w:r w:rsidR="00C139C5" w:rsidRPr="008B2AE9">
        <w:rPr>
          <w:rFonts w:ascii="Times New Roman" w:hAnsi="Times New Roman"/>
          <w:i w:val="0"/>
          <w:iCs/>
          <w:sz w:val="22"/>
          <w:szCs w:val="22"/>
        </w:rPr>
        <w:t>ς</w:t>
      </w:r>
      <w:r w:rsidRPr="008B2AE9">
        <w:rPr>
          <w:rFonts w:ascii="Times New Roman" w:hAnsi="Times New Roman"/>
          <w:i w:val="0"/>
          <w:iCs/>
          <w:sz w:val="22"/>
          <w:szCs w:val="22"/>
        </w:rPr>
        <w:t xml:space="preserve">, παραλήρημα, σπασμοί, ζάλη και κοιλιακή αρρυθμία μπορεί να </w:t>
      </w:r>
      <w:r w:rsidR="00C139C5" w:rsidRPr="008B2AE9">
        <w:rPr>
          <w:rFonts w:ascii="Times New Roman" w:hAnsi="Times New Roman"/>
          <w:i w:val="0"/>
          <w:iCs/>
          <w:sz w:val="22"/>
          <w:szCs w:val="22"/>
        </w:rPr>
        <w:t>συμβούν</w:t>
      </w:r>
      <w:r w:rsidRPr="008B2AE9">
        <w:rPr>
          <w:rFonts w:ascii="Times New Roman" w:hAnsi="Times New Roman"/>
          <w:i w:val="0"/>
          <w:iCs/>
          <w:sz w:val="22"/>
          <w:szCs w:val="22"/>
        </w:rPr>
        <w:t xml:space="preserve"> αλλά μπορεί να αρχίσ</w:t>
      </w:r>
      <w:r w:rsidR="00C139C5" w:rsidRPr="008B2AE9">
        <w:rPr>
          <w:rFonts w:ascii="Times New Roman" w:hAnsi="Times New Roman"/>
          <w:i w:val="0"/>
          <w:iCs/>
          <w:sz w:val="22"/>
          <w:szCs w:val="22"/>
        </w:rPr>
        <w:t>ουν</w:t>
      </w:r>
      <w:r w:rsidRPr="008B2AE9">
        <w:rPr>
          <w:rFonts w:ascii="Times New Roman" w:hAnsi="Times New Roman"/>
          <w:i w:val="0"/>
          <w:iCs/>
          <w:sz w:val="22"/>
          <w:szCs w:val="22"/>
        </w:rPr>
        <w:t xml:space="preserve"> ύπουλα και να αγνοηθ</w:t>
      </w:r>
      <w:r w:rsidR="00C139C5" w:rsidRPr="008B2AE9">
        <w:rPr>
          <w:rFonts w:ascii="Times New Roman" w:hAnsi="Times New Roman"/>
          <w:i w:val="0"/>
          <w:iCs/>
          <w:sz w:val="22"/>
          <w:szCs w:val="22"/>
        </w:rPr>
        <w:t>ούν</w:t>
      </w:r>
      <w:r w:rsidRPr="008B2AE9">
        <w:rPr>
          <w:rFonts w:ascii="Times New Roman" w:hAnsi="Times New Roman"/>
          <w:i w:val="0"/>
          <w:iCs/>
          <w:sz w:val="22"/>
          <w:szCs w:val="22"/>
        </w:rPr>
        <w:t xml:space="preserve">. </w:t>
      </w:r>
      <w:r w:rsidR="004418FC" w:rsidRPr="008B2AE9">
        <w:rPr>
          <w:rFonts w:ascii="Times New Roman" w:hAnsi="Times New Roman"/>
          <w:i w:val="0"/>
          <w:iCs/>
          <w:sz w:val="22"/>
          <w:szCs w:val="22"/>
        </w:rPr>
        <w:t xml:space="preserve">Στους </w:t>
      </w:r>
      <w:r w:rsidR="007B34E3" w:rsidRPr="008B2AE9">
        <w:rPr>
          <w:rFonts w:ascii="Times New Roman" w:hAnsi="Times New Roman"/>
          <w:i w:val="0"/>
          <w:iCs/>
          <w:sz w:val="22"/>
          <w:szCs w:val="22"/>
        </w:rPr>
        <w:t>ασθενείς που έχουν</w:t>
      </w:r>
      <w:r w:rsidR="004418FC" w:rsidRPr="008B2AE9">
        <w:rPr>
          <w:rFonts w:ascii="Times New Roman" w:hAnsi="Times New Roman"/>
          <w:i w:val="0"/>
          <w:iCs/>
          <w:sz w:val="22"/>
          <w:szCs w:val="22"/>
        </w:rPr>
        <w:t xml:space="preserve"> επηρεασ</w:t>
      </w:r>
      <w:r w:rsidR="007B34E3" w:rsidRPr="008B2AE9">
        <w:rPr>
          <w:rFonts w:ascii="Times New Roman" w:hAnsi="Times New Roman"/>
          <w:i w:val="0"/>
          <w:iCs/>
          <w:sz w:val="22"/>
          <w:szCs w:val="22"/>
        </w:rPr>
        <w:t>θεί περισσότερο,</w:t>
      </w:r>
      <w:r w:rsidRPr="008B2AE9">
        <w:rPr>
          <w:rFonts w:ascii="Times New Roman" w:hAnsi="Times New Roman"/>
          <w:i w:val="0"/>
          <w:iCs/>
          <w:sz w:val="22"/>
          <w:szCs w:val="22"/>
        </w:rPr>
        <w:t xml:space="preserve"> </w:t>
      </w:r>
      <w:r w:rsidR="002C3981" w:rsidRPr="008B2AE9">
        <w:rPr>
          <w:rFonts w:ascii="Times New Roman" w:hAnsi="Times New Roman"/>
          <w:i w:val="0"/>
          <w:iCs/>
          <w:sz w:val="22"/>
          <w:szCs w:val="22"/>
        </w:rPr>
        <w:t xml:space="preserve">η </w:t>
      </w:r>
      <w:r w:rsidRPr="008B2AE9">
        <w:rPr>
          <w:rFonts w:ascii="Times New Roman" w:hAnsi="Times New Roman"/>
          <w:i w:val="0"/>
          <w:iCs/>
          <w:sz w:val="22"/>
          <w:szCs w:val="22"/>
        </w:rPr>
        <w:t>υπομαγνησιαιμία βελτιώθηκε μετά την αντικατάσταση του μαγνησίου και διακοπή τ</w:t>
      </w:r>
      <w:r w:rsidR="008877F3" w:rsidRPr="008B2AE9">
        <w:rPr>
          <w:rFonts w:ascii="Times New Roman" w:hAnsi="Times New Roman"/>
          <w:i w:val="0"/>
          <w:iCs/>
          <w:sz w:val="22"/>
          <w:szCs w:val="22"/>
        </w:rPr>
        <w:t>ων</w:t>
      </w:r>
      <w:r w:rsidRPr="008B2AE9">
        <w:rPr>
          <w:rFonts w:ascii="Times New Roman" w:hAnsi="Times New Roman"/>
          <w:i w:val="0"/>
          <w:iCs/>
          <w:sz w:val="22"/>
          <w:szCs w:val="22"/>
        </w:rPr>
        <w:t xml:space="preserve"> </w:t>
      </w:r>
      <w:r w:rsidR="008877F3" w:rsidRPr="008B2AE9">
        <w:rPr>
          <w:rFonts w:ascii="Times New Roman" w:hAnsi="Times New Roman"/>
          <w:i w:val="0"/>
          <w:iCs/>
          <w:sz w:val="22"/>
          <w:szCs w:val="22"/>
        </w:rPr>
        <w:t>αναστολέων αντλίας πρωτονίων (PPIs)</w:t>
      </w:r>
      <w:r w:rsidRPr="008B2AE9">
        <w:rPr>
          <w:rFonts w:ascii="Times New Roman" w:hAnsi="Times New Roman"/>
          <w:i w:val="0"/>
          <w:iCs/>
          <w:sz w:val="22"/>
          <w:szCs w:val="22"/>
        </w:rPr>
        <w:t>.</w:t>
      </w:r>
    </w:p>
    <w:p w:rsidR="00FF13A2" w:rsidRPr="008B2AE9" w:rsidRDefault="00D97291" w:rsidP="00D97291">
      <w:pPr>
        <w:pStyle w:val="2"/>
        <w:spacing w:line="240" w:lineRule="auto"/>
        <w:jc w:val="both"/>
        <w:rPr>
          <w:rFonts w:ascii="Times New Roman" w:hAnsi="Times New Roman"/>
          <w:i w:val="0"/>
          <w:iCs/>
          <w:sz w:val="22"/>
          <w:szCs w:val="22"/>
        </w:rPr>
      </w:pPr>
      <w:r w:rsidRPr="008B2AE9">
        <w:rPr>
          <w:rFonts w:ascii="Times New Roman" w:hAnsi="Times New Roman"/>
          <w:i w:val="0"/>
          <w:iCs/>
          <w:sz w:val="22"/>
          <w:szCs w:val="22"/>
        </w:rPr>
        <w:t>Για τους ασθενείς που αναμένεται να είναι σε παρατεταμένη θεραπεία ή που λαμβάνουν PPIs με διγοξίνη ή φαρμακευτικά προϊόντα που μπορεί να προκαλέσ</w:t>
      </w:r>
      <w:r w:rsidR="00B97F91" w:rsidRPr="008B2AE9">
        <w:rPr>
          <w:rFonts w:ascii="Times New Roman" w:hAnsi="Times New Roman"/>
          <w:i w:val="0"/>
          <w:iCs/>
          <w:sz w:val="22"/>
          <w:szCs w:val="22"/>
        </w:rPr>
        <w:t>ουν</w:t>
      </w:r>
      <w:r w:rsidRPr="008B2AE9">
        <w:rPr>
          <w:rFonts w:ascii="Times New Roman" w:hAnsi="Times New Roman"/>
          <w:i w:val="0"/>
          <w:iCs/>
          <w:sz w:val="22"/>
          <w:szCs w:val="22"/>
        </w:rPr>
        <w:t xml:space="preserve"> υπομαγνησιαιμία (π.χ. διουρητικά), οι επαγγελματίες υγείας θα πρέπει να εξετάσ</w:t>
      </w:r>
      <w:r w:rsidR="00B97F91" w:rsidRPr="008B2AE9">
        <w:rPr>
          <w:rFonts w:ascii="Times New Roman" w:hAnsi="Times New Roman"/>
          <w:i w:val="0"/>
          <w:iCs/>
          <w:sz w:val="22"/>
          <w:szCs w:val="22"/>
        </w:rPr>
        <w:t>ουν</w:t>
      </w:r>
      <w:r w:rsidRPr="008B2AE9">
        <w:rPr>
          <w:rFonts w:ascii="Times New Roman" w:hAnsi="Times New Roman"/>
          <w:i w:val="0"/>
          <w:iCs/>
          <w:sz w:val="22"/>
          <w:szCs w:val="22"/>
        </w:rPr>
        <w:t xml:space="preserve"> τη μέτρηση των επιπέδων μαγνησίου πριν την έναρξη της θεραπείας </w:t>
      </w:r>
      <w:r w:rsidR="00B97F91" w:rsidRPr="008B2AE9">
        <w:rPr>
          <w:rFonts w:ascii="Times New Roman" w:hAnsi="Times New Roman"/>
          <w:i w:val="0"/>
          <w:iCs/>
          <w:sz w:val="22"/>
          <w:szCs w:val="22"/>
        </w:rPr>
        <w:t>με PPIs</w:t>
      </w:r>
      <w:r w:rsidRPr="008B2AE9">
        <w:rPr>
          <w:rFonts w:ascii="Times New Roman" w:hAnsi="Times New Roman"/>
          <w:i w:val="0"/>
          <w:iCs/>
          <w:sz w:val="22"/>
          <w:szCs w:val="22"/>
        </w:rPr>
        <w:t xml:space="preserve"> και περιοδικά κατά τη διάρκεια της θεραπείας.</w:t>
      </w:r>
    </w:p>
    <w:p w:rsidR="00FF13A2" w:rsidRPr="008B2AE9" w:rsidRDefault="00FF13A2" w:rsidP="00E27C25">
      <w:pPr>
        <w:pStyle w:val="2"/>
        <w:spacing w:line="240" w:lineRule="auto"/>
        <w:jc w:val="both"/>
        <w:rPr>
          <w:rFonts w:ascii="Times New Roman" w:hAnsi="Times New Roman"/>
          <w:i w:val="0"/>
          <w:iCs/>
          <w:sz w:val="22"/>
          <w:szCs w:val="22"/>
        </w:rPr>
      </w:pPr>
    </w:p>
    <w:p w:rsidR="00E27C25" w:rsidRPr="008B2AE9" w:rsidRDefault="00E27C25" w:rsidP="00E27C25">
      <w:pPr>
        <w:pStyle w:val="2"/>
        <w:spacing w:line="240" w:lineRule="auto"/>
        <w:jc w:val="both"/>
        <w:rPr>
          <w:rFonts w:ascii="Times New Roman" w:hAnsi="Times New Roman"/>
          <w:i w:val="0"/>
          <w:iCs/>
          <w:sz w:val="22"/>
          <w:szCs w:val="22"/>
          <w:u w:val="single"/>
        </w:rPr>
      </w:pPr>
      <w:r w:rsidRPr="008B2AE9">
        <w:rPr>
          <w:rFonts w:ascii="Times New Roman" w:hAnsi="Times New Roman"/>
          <w:i w:val="0"/>
          <w:iCs/>
          <w:sz w:val="22"/>
          <w:szCs w:val="22"/>
          <w:u w:val="single"/>
        </w:rPr>
        <w:t>Κίνδυνος κατάγματος</w:t>
      </w:r>
    </w:p>
    <w:p w:rsidR="00E27C25" w:rsidRPr="008B2AE9" w:rsidRDefault="00E27C25" w:rsidP="00E27C25">
      <w:pPr>
        <w:pStyle w:val="2"/>
        <w:spacing w:line="240" w:lineRule="auto"/>
        <w:jc w:val="both"/>
        <w:rPr>
          <w:rFonts w:ascii="Times New Roman" w:hAnsi="Times New Roman"/>
          <w:i w:val="0"/>
          <w:iCs/>
          <w:sz w:val="22"/>
          <w:szCs w:val="22"/>
        </w:rPr>
      </w:pPr>
      <w:r w:rsidRPr="008B2AE9">
        <w:rPr>
          <w:rFonts w:ascii="Times New Roman" w:hAnsi="Times New Roman"/>
          <w:i w:val="0"/>
          <w:iCs/>
          <w:sz w:val="22"/>
          <w:szCs w:val="22"/>
        </w:rPr>
        <w:t>Αναστολείς αντλίας πρωτονίων, ειδικά αν χρησιμοποιηθ</w:t>
      </w:r>
      <w:r w:rsidR="00D27EF1" w:rsidRPr="008B2AE9">
        <w:rPr>
          <w:rFonts w:ascii="Times New Roman" w:hAnsi="Times New Roman"/>
          <w:i w:val="0"/>
          <w:iCs/>
          <w:sz w:val="22"/>
          <w:szCs w:val="22"/>
        </w:rPr>
        <w:t>ούν</w:t>
      </w:r>
      <w:r w:rsidRPr="008B2AE9">
        <w:rPr>
          <w:rFonts w:ascii="Times New Roman" w:hAnsi="Times New Roman"/>
          <w:i w:val="0"/>
          <w:iCs/>
          <w:sz w:val="22"/>
          <w:szCs w:val="22"/>
        </w:rPr>
        <w:t xml:space="preserve"> σε υψηλές δόσεις και σε μεγάλες διάρκειες (&gt; 1 έτος), μπορεί </w:t>
      </w:r>
      <w:r w:rsidR="00D27EF1" w:rsidRPr="008B2AE9">
        <w:rPr>
          <w:rFonts w:ascii="Times New Roman" w:hAnsi="Times New Roman"/>
          <w:i w:val="0"/>
          <w:iCs/>
          <w:sz w:val="22"/>
          <w:szCs w:val="22"/>
        </w:rPr>
        <w:t xml:space="preserve">να </w:t>
      </w:r>
      <w:r w:rsidRPr="008B2AE9">
        <w:rPr>
          <w:rFonts w:ascii="Times New Roman" w:hAnsi="Times New Roman"/>
          <w:i w:val="0"/>
          <w:iCs/>
          <w:sz w:val="22"/>
          <w:szCs w:val="22"/>
        </w:rPr>
        <w:t>αυξ</w:t>
      </w:r>
      <w:r w:rsidR="00D27EF1" w:rsidRPr="008B2AE9">
        <w:rPr>
          <w:rFonts w:ascii="Times New Roman" w:hAnsi="Times New Roman"/>
          <w:i w:val="0"/>
          <w:iCs/>
          <w:sz w:val="22"/>
          <w:szCs w:val="22"/>
        </w:rPr>
        <w:t>ήσουν</w:t>
      </w:r>
      <w:r w:rsidRPr="008B2AE9">
        <w:rPr>
          <w:rFonts w:ascii="Times New Roman" w:hAnsi="Times New Roman"/>
          <w:i w:val="0"/>
          <w:iCs/>
          <w:sz w:val="22"/>
          <w:szCs w:val="22"/>
        </w:rPr>
        <w:t xml:space="preserve"> τον κίνδυνο του ισχίου, του καρπού και </w:t>
      </w:r>
      <w:r w:rsidR="00BC41D8" w:rsidRPr="008B2AE9">
        <w:rPr>
          <w:rFonts w:ascii="Times New Roman" w:hAnsi="Times New Roman"/>
          <w:i w:val="0"/>
          <w:iCs/>
          <w:sz w:val="22"/>
          <w:szCs w:val="22"/>
        </w:rPr>
        <w:t xml:space="preserve">του </w:t>
      </w:r>
      <w:r w:rsidRPr="008B2AE9">
        <w:rPr>
          <w:rFonts w:ascii="Times New Roman" w:hAnsi="Times New Roman"/>
          <w:i w:val="0"/>
          <w:iCs/>
          <w:sz w:val="22"/>
          <w:szCs w:val="22"/>
        </w:rPr>
        <w:t>κ</w:t>
      </w:r>
      <w:r w:rsidR="006965CA" w:rsidRPr="008B2AE9">
        <w:rPr>
          <w:rFonts w:ascii="Times New Roman" w:hAnsi="Times New Roman"/>
          <w:i w:val="0"/>
          <w:iCs/>
          <w:sz w:val="22"/>
          <w:szCs w:val="22"/>
        </w:rPr>
        <w:t>α</w:t>
      </w:r>
      <w:r w:rsidRPr="008B2AE9">
        <w:rPr>
          <w:rFonts w:ascii="Times New Roman" w:hAnsi="Times New Roman"/>
          <w:i w:val="0"/>
          <w:iCs/>
          <w:sz w:val="22"/>
          <w:szCs w:val="22"/>
        </w:rPr>
        <w:t>τ</w:t>
      </w:r>
      <w:r w:rsidR="006965CA" w:rsidRPr="008B2AE9">
        <w:rPr>
          <w:rFonts w:ascii="Times New Roman" w:hAnsi="Times New Roman"/>
          <w:i w:val="0"/>
          <w:iCs/>
          <w:sz w:val="22"/>
          <w:szCs w:val="22"/>
        </w:rPr>
        <w:t>ά</w:t>
      </w:r>
      <w:r w:rsidRPr="008B2AE9">
        <w:rPr>
          <w:rFonts w:ascii="Times New Roman" w:hAnsi="Times New Roman"/>
          <w:i w:val="0"/>
          <w:iCs/>
          <w:sz w:val="22"/>
          <w:szCs w:val="22"/>
        </w:rPr>
        <w:t>γμα</w:t>
      </w:r>
      <w:r w:rsidR="006965CA" w:rsidRPr="008B2AE9">
        <w:rPr>
          <w:rFonts w:ascii="Times New Roman" w:hAnsi="Times New Roman"/>
          <w:i w:val="0"/>
          <w:iCs/>
          <w:sz w:val="22"/>
          <w:szCs w:val="22"/>
        </w:rPr>
        <w:t>τος</w:t>
      </w:r>
      <w:r w:rsidRPr="008B2AE9">
        <w:rPr>
          <w:rFonts w:ascii="Times New Roman" w:hAnsi="Times New Roman"/>
          <w:i w:val="0"/>
          <w:iCs/>
          <w:sz w:val="22"/>
          <w:szCs w:val="22"/>
        </w:rPr>
        <w:t xml:space="preserve"> της σπονδυλικής στήλης, κυρίως σε ηλικιωμένους ή παρουσία άλλων αναγνωρισμένων παραγόντων κινδύνου. </w:t>
      </w:r>
      <w:r w:rsidR="00B223BD" w:rsidRPr="008B2AE9">
        <w:rPr>
          <w:rFonts w:ascii="Times New Roman" w:hAnsi="Times New Roman"/>
          <w:i w:val="0"/>
          <w:iCs/>
          <w:sz w:val="22"/>
          <w:szCs w:val="22"/>
        </w:rPr>
        <w:t>Μ</w:t>
      </w:r>
      <w:r w:rsidRPr="008B2AE9">
        <w:rPr>
          <w:rFonts w:ascii="Times New Roman" w:hAnsi="Times New Roman"/>
          <w:i w:val="0"/>
          <w:iCs/>
          <w:sz w:val="22"/>
          <w:szCs w:val="22"/>
        </w:rPr>
        <w:t>ελέτες παρατήρησης</w:t>
      </w:r>
      <w:r w:rsidR="007B34E3" w:rsidRPr="008B2AE9">
        <w:rPr>
          <w:rFonts w:ascii="Times New Roman" w:hAnsi="Times New Roman"/>
          <w:i w:val="0"/>
          <w:iCs/>
          <w:sz w:val="22"/>
          <w:szCs w:val="22"/>
        </w:rPr>
        <w:t xml:space="preserve"> </w:t>
      </w:r>
      <w:r w:rsidRPr="008B2AE9">
        <w:rPr>
          <w:rFonts w:ascii="Times New Roman" w:hAnsi="Times New Roman"/>
          <w:i w:val="0"/>
          <w:iCs/>
          <w:sz w:val="22"/>
          <w:szCs w:val="22"/>
        </w:rPr>
        <w:t>υποδηλώνουν ότι οι αναστολείς της αντλίας πρωτονίων μπορεί να αυξήσ</w:t>
      </w:r>
      <w:r w:rsidR="0087399E" w:rsidRPr="008B2AE9">
        <w:rPr>
          <w:rFonts w:ascii="Times New Roman" w:hAnsi="Times New Roman"/>
          <w:i w:val="0"/>
          <w:iCs/>
          <w:sz w:val="22"/>
          <w:szCs w:val="22"/>
        </w:rPr>
        <w:t>ουν</w:t>
      </w:r>
      <w:r w:rsidRPr="008B2AE9">
        <w:rPr>
          <w:rFonts w:ascii="Times New Roman" w:hAnsi="Times New Roman"/>
          <w:i w:val="0"/>
          <w:iCs/>
          <w:sz w:val="22"/>
          <w:szCs w:val="22"/>
        </w:rPr>
        <w:t xml:space="preserve"> τον συνολικό κίνδυνο κατάγματος κατά 10-40%. Ένα μέρος αυτής της αύξησης μπορεί να οφείλεται σε άλλους παράγοντες κινδύνου. Ασθενείς σε κίνδυνο οστεοπόρωσης πρέπει να λαμβάνουν φροντίδα σύμφωνα με τις </w:t>
      </w:r>
      <w:r w:rsidR="002F5806" w:rsidRPr="008B2AE9">
        <w:rPr>
          <w:rFonts w:ascii="Times New Roman" w:hAnsi="Times New Roman"/>
          <w:i w:val="0"/>
          <w:iCs/>
          <w:sz w:val="22"/>
          <w:szCs w:val="22"/>
        </w:rPr>
        <w:t xml:space="preserve">τρέχουσες </w:t>
      </w:r>
      <w:r w:rsidRPr="008B2AE9">
        <w:rPr>
          <w:rFonts w:ascii="Times New Roman" w:hAnsi="Times New Roman"/>
          <w:i w:val="0"/>
          <w:iCs/>
          <w:sz w:val="22"/>
          <w:szCs w:val="22"/>
        </w:rPr>
        <w:t>κλινικές κατευθυντήριες γραμμές και θα πρέπει να έχουν επαρκή πρόσληψη βιταμίνης D και ασβεστίου.</w:t>
      </w:r>
    </w:p>
    <w:p w:rsidR="00E27C25" w:rsidRPr="008B2AE9" w:rsidRDefault="00E27C25" w:rsidP="00E27C25">
      <w:pPr>
        <w:pStyle w:val="2"/>
        <w:spacing w:line="240" w:lineRule="auto"/>
        <w:jc w:val="both"/>
        <w:rPr>
          <w:rFonts w:ascii="Times New Roman" w:hAnsi="Times New Roman"/>
          <w:i w:val="0"/>
          <w:iCs/>
          <w:sz w:val="22"/>
          <w:szCs w:val="22"/>
        </w:rPr>
      </w:pPr>
    </w:p>
    <w:p w:rsidR="00ED7B45" w:rsidRPr="008B2AE9" w:rsidRDefault="00ED7B45" w:rsidP="00E27C25">
      <w:pPr>
        <w:pStyle w:val="2"/>
        <w:spacing w:line="240" w:lineRule="auto"/>
        <w:jc w:val="both"/>
        <w:rPr>
          <w:rFonts w:ascii="Times New Roman" w:hAnsi="Times New Roman"/>
          <w:i w:val="0"/>
          <w:iCs/>
          <w:sz w:val="22"/>
          <w:szCs w:val="22"/>
          <w:u w:val="single"/>
        </w:rPr>
      </w:pPr>
      <w:r w:rsidRPr="008B2AE9">
        <w:rPr>
          <w:rFonts w:ascii="Times New Roman" w:hAnsi="Times New Roman"/>
          <w:i w:val="0"/>
          <w:iCs/>
          <w:sz w:val="22"/>
          <w:szCs w:val="22"/>
          <w:u w:val="single"/>
        </w:rPr>
        <w:t>Συνδυασμός με άλλα φάρμακα</w:t>
      </w:r>
    </w:p>
    <w:p w:rsidR="00E72235" w:rsidRPr="008B2AE9" w:rsidRDefault="00E72235" w:rsidP="00E27C25">
      <w:pPr>
        <w:pStyle w:val="2"/>
        <w:spacing w:line="240" w:lineRule="auto"/>
        <w:jc w:val="both"/>
        <w:rPr>
          <w:rFonts w:ascii="Times New Roman" w:hAnsi="Times New Roman"/>
          <w:i w:val="0"/>
          <w:iCs/>
          <w:sz w:val="22"/>
          <w:szCs w:val="22"/>
        </w:rPr>
      </w:pPr>
      <w:r w:rsidRPr="008B2AE9">
        <w:rPr>
          <w:rFonts w:ascii="Times New Roman" w:hAnsi="Times New Roman"/>
          <w:i w:val="0"/>
          <w:iCs/>
          <w:sz w:val="22"/>
          <w:szCs w:val="22"/>
        </w:rPr>
        <w:t xml:space="preserve">Δεν συνιστάται συγχορήγηση εσομεπραζόλης με αταζαναβίρη (βλέπε </w:t>
      </w:r>
      <w:r w:rsidR="004D349B" w:rsidRPr="008B2AE9">
        <w:rPr>
          <w:rFonts w:ascii="Times New Roman" w:hAnsi="Times New Roman"/>
          <w:i w:val="0"/>
          <w:iCs/>
          <w:sz w:val="22"/>
          <w:szCs w:val="22"/>
        </w:rPr>
        <w:t xml:space="preserve">παράγραφο </w:t>
      </w:r>
      <w:r w:rsidRPr="008B2AE9">
        <w:rPr>
          <w:rFonts w:ascii="Times New Roman" w:hAnsi="Times New Roman"/>
          <w:i w:val="0"/>
          <w:iCs/>
          <w:sz w:val="22"/>
          <w:szCs w:val="22"/>
        </w:rPr>
        <w:t>4.5). Εάν ο συνδυασμός αταζαναβίρης με αναστολέα της αντλίας πρωτονίων κρίνεται αναπόφευκτος, συνιστάται προσεκτικός κλινικός έλεγχος σε συνδυασμό με μία αύξηση της δόσης της αταζαναβίρης στα 400 mg με 100 mg ριτοναβίρη, εσομεπραζόλη 20 mg δεν πρέπει να υπερβαίνεται.</w:t>
      </w:r>
    </w:p>
    <w:p w:rsidR="00DF3A45" w:rsidRPr="008B2AE9" w:rsidRDefault="00DF3A45" w:rsidP="00773CDA">
      <w:pPr>
        <w:rPr>
          <w:rFonts w:ascii="Times New Roman" w:hAnsi="Times New Roman"/>
          <w:sz w:val="22"/>
          <w:szCs w:val="22"/>
          <w:lang w:val="el-GR"/>
        </w:rPr>
      </w:pPr>
    </w:p>
    <w:p w:rsidR="00FE3A88" w:rsidRPr="008B2AE9" w:rsidRDefault="00FE3A88" w:rsidP="00773CDA">
      <w:pPr>
        <w:jc w:val="both"/>
        <w:rPr>
          <w:rFonts w:ascii="Times New Roman" w:hAnsi="Times New Roman"/>
          <w:iCs/>
          <w:sz w:val="22"/>
          <w:szCs w:val="22"/>
          <w:lang w:val="el-GR"/>
        </w:rPr>
      </w:pPr>
      <w:r w:rsidRPr="008B2AE9">
        <w:rPr>
          <w:rFonts w:ascii="Times New Roman" w:hAnsi="Times New Roman"/>
          <w:iCs/>
          <w:sz w:val="22"/>
          <w:szCs w:val="22"/>
          <w:lang w:val="el-GR"/>
        </w:rPr>
        <w:t xml:space="preserve">Η εσομεπραζόλη είναι αναστολέας του CYP2C19. Κατά την έναρξη ή τη διακοπή της θεραπείας με εσομεπραζόλη, πρέπει να λαμβάνεται υπόψη η πιθανότητα αλληλεπίδρασης με </w:t>
      </w:r>
      <w:r w:rsidR="00C512FE" w:rsidRPr="008B2AE9">
        <w:rPr>
          <w:rFonts w:ascii="Times New Roman" w:hAnsi="Times New Roman"/>
          <w:iCs/>
          <w:sz w:val="22"/>
          <w:szCs w:val="22"/>
          <w:lang w:val="el-GR"/>
        </w:rPr>
        <w:t xml:space="preserve">φαρμακευτικά προϊόντα </w:t>
      </w:r>
      <w:r w:rsidRPr="008B2AE9">
        <w:rPr>
          <w:rFonts w:ascii="Times New Roman" w:hAnsi="Times New Roman"/>
          <w:iCs/>
          <w:sz w:val="22"/>
          <w:szCs w:val="22"/>
          <w:lang w:val="el-GR"/>
        </w:rPr>
        <w:t xml:space="preserve">που μεταβολίζονται μέσω του CYP2C19. Αλληλεπίδραση παρατηρείται μεταξύ κλοπιδογρέλης και ομεπραζόλης (βλέπε </w:t>
      </w:r>
      <w:r w:rsidR="004D349B" w:rsidRPr="008B2AE9">
        <w:rPr>
          <w:rFonts w:ascii="Times New Roman" w:hAnsi="Times New Roman"/>
          <w:iCs/>
          <w:sz w:val="22"/>
          <w:szCs w:val="22"/>
          <w:lang w:val="el-GR"/>
        </w:rPr>
        <w:t xml:space="preserve">παράγραφο </w:t>
      </w:r>
      <w:r w:rsidRPr="008B2AE9">
        <w:rPr>
          <w:rFonts w:ascii="Times New Roman" w:hAnsi="Times New Roman"/>
          <w:iCs/>
          <w:sz w:val="22"/>
          <w:szCs w:val="22"/>
          <w:lang w:val="el-GR"/>
        </w:rPr>
        <w:t>4.5). Η κλινική σημασία αυτής της αλληλεπίδρασης είναι αμφίβολη. Προληπτικά, η ταυτόχρονη χρήση εσομεπραζόλης και κλοπιδογρέλης πρέπει να αποθαρρύνεται.</w:t>
      </w:r>
    </w:p>
    <w:p w:rsidR="00773CDA" w:rsidRPr="008B2AE9" w:rsidRDefault="00773CDA" w:rsidP="00773CDA">
      <w:pPr>
        <w:jc w:val="both"/>
        <w:rPr>
          <w:rFonts w:ascii="Times New Roman" w:hAnsi="Times New Roman"/>
          <w:bCs/>
          <w:sz w:val="22"/>
          <w:szCs w:val="22"/>
          <w:lang w:val="el-GR"/>
        </w:rPr>
      </w:pPr>
    </w:p>
    <w:p w:rsidR="008B4261" w:rsidRPr="008B2AE9" w:rsidRDefault="008B4261" w:rsidP="00773CDA">
      <w:pPr>
        <w:jc w:val="both"/>
        <w:rPr>
          <w:rFonts w:ascii="Times New Roman" w:hAnsi="Times New Roman"/>
          <w:bCs/>
          <w:sz w:val="22"/>
          <w:szCs w:val="22"/>
          <w:u w:val="single"/>
          <w:lang w:val="el-GR"/>
        </w:rPr>
      </w:pPr>
      <w:r w:rsidRPr="008B2AE9">
        <w:rPr>
          <w:rFonts w:ascii="Times New Roman" w:hAnsi="Times New Roman"/>
          <w:bCs/>
          <w:sz w:val="22"/>
          <w:szCs w:val="22"/>
          <w:u w:val="single"/>
          <w:lang w:val="el-GR"/>
        </w:rPr>
        <w:t xml:space="preserve">Επίδραση στις εργαστηριακές εξετάσεις </w:t>
      </w:r>
    </w:p>
    <w:p w:rsidR="008B4261" w:rsidRPr="008B2AE9" w:rsidRDefault="008B4261" w:rsidP="00773CDA">
      <w:pPr>
        <w:jc w:val="both"/>
        <w:rPr>
          <w:rFonts w:ascii="Times New Roman" w:hAnsi="Times New Roman"/>
          <w:bCs/>
          <w:sz w:val="22"/>
          <w:szCs w:val="22"/>
          <w:lang w:val="el-GR"/>
        </w:rPr>
      </w:pPr>
      <w:r w:rsidRPr="008B2AE9">
        <w:rPr>
          <w:rFonts w:ascii="Times New Roman" w:hAnsi="Times New Roman"/>
          <w:bCs/>
          <w:sz w:val="22"/>
          <w:szCs w:val="22"/>
          <w:lang w:val="el-GR"/>
        </w:rPr>
        <w:t>Το αυξημένο επίπεδο C</w:t>
      </w:r>
      <w:r w:rsidRPr="008B2AE9">
        <w:rPr>
          <w:rFonts w:ascii="Times New Roman" w:hAnsi="Times New Roman"/>
          <w:bCs/>
          <w:sz w:val="22"/>
          <w:szCs w:val="22"/>
          <w:lang w:val="en-US"/>
        </w:rPr>
        <w:t>g</w:t>
      </w:r>
      <w:r w:rsidRPr="008B2AE9">
        <w:rPr>
          <w:rFonts w:ascii="Times New Roman" w:hAnsi="Times New Roman"/>
          <w:bCs/>
          <w:sz w:val="22"/>
          <w:szCs w:val="22"/>
          <w:lang w:val="el-GR"/>
        </w:rPr>
        <w:t>A μπορεί να επηρεάσει τις εξετάσεις για νευροενδοκρινικούς όγκους. Για να αποφε</w:t>
      </w:r>
      <w:r w:rsidR="00C26728" w:rsidRPr="008B2AE9">
        <w:rPr>
          <w:rFonts w:ascii="Times New Roman" w:hAnsi="Times New Roman"/>
          <w:bCs/>
          <w:sz w:val="22"/>
          <w:szCs w:val="22"/>
          <w:lang w:val="el-GR"/>
        </w:rPr>
        <w:t>υχθεί αυτή η επιρροή, θα πρέπει</w:t>
      </w:r>
      <w:r w:rsidRPr="008B2AE9">
        <w:rPr>
          <w:rFonts w:ascii="Times New Roman" w:hAnsi="Times New Roman"/>
          <w:bCs/>
          <w:sz w:val="22"/>
          <w:szCs w:val="22"/>
          <w:lang w:val="el-GR"/>
        </w:rPr>
        <w:t xml:space="preserve"> η θεραπεία με εσομεπραζόλη, να σταματά </w:t>
      </w:r>
      <w:r w:rsidR="00684A92" w:rsidRPr="008B2AE9">
        <w:rPr>
          <w:rFonts w:ascii="Times New Roman" w:hAnsi="Times New Roman"/>
          <w:bCs/>
          <w:sz w:val="22"/>
          <w:szCs w:val="22"/>
          <w:lang w:val="el-GR"/>
        </w:rPr>
        <w:t xml:space="preserve">για </w:t>
      </w:r>
      <w:r w:rsidRPr="008B2AE9">
        <w:rPr>
          <w:rFonts w:ascii="Times New Roman" w:hAnsi="Times New Roman"/>
          <w:bCs/>
          <w:sz w:val="22"/>
          <w:szCs w:val="22"/>
          <w:lang w:val="el-GR"/>
        </w:rPr>
        <w:t>τουλάχιστον πέντε ημέρες πριν από τις C</w:t>
      </w:r>
      <w:r w:rsidRPr="008B2AE9">
        <w:rPr>
          <w:rFonts w:ascii="Times New Roman" w:hAnsi="Times New Roman"/>
          <w:bCs/>
          <w:sz w:val="22"/>
          <w:szCs w:val="22"/>
          <w:lang w:val="en-US"/>
        </w:rPr>
        <w:t>g</w:t>
      </w:r>
      <w:r w:rsidRPr="008B2AE9">
        <w:rPr>
          <w:rFonts w:ascii="Times New Roman" w:hAnsi="Times New Roman"/>
          <w:bCs/>
          <w:sz w:val="22"/>
          <w:szCs w:val="22"/>
          <w:lang w:val="el-GR"/>
        </w:rPr>
        <w:t>A μετρήσεις</w:t>
      </w:r>
      <w:r w:rsidR="00684A92" w:rsidRPr="008B2AE9">
        <w:rPr>
          <w:rFonts w:ascii="Times New Roman" w:hAnsi="Times New Roman"/>
          <w:bCs/>
          <w:sz w:val="22"/>
          <w:szCs w:val="22"/>
          <w:lang w:val="el-GR"/>
        </w:rPr>
        <w:t xml:space="preserve"> (βλέπε </w:t>
      </w:r>
      <w:r w:rsidR="004D349B" w:rsidRPr="008B2AE9">
        <w:rPr>
          <w:rFonts w:ascii="Times New Roman" w:hAnsi="Times New Roman"/>
          <w:bCs/>
          <w:sz w:val="22"/>
          <w:szCs w:val="22"/>
          <w:lang w:val="el-GR"/>
        </w:rPr>
        <w:t xml:space="preserve">παράγραφο </w:t>
      </w:r>
      <w:r w:rsidR="00684A92" w:rsidRPr="008B2AE9">
        <w:rPr>
          <w:rFonts w:ascii="Times New Roman" w:hAnsi="Times New Roman"/>
          <w:bCs/>
          <w:sz w:val="22"/>
          <w:szCs w:val="22"/>
          <w:lang w:val="el-GR"/>
        </w:rPr>
        <w:t>5.1)</w:t>
      </w:r>
      <w:r w:rsidRPr="008B2AE9">
        <w:rPr>
          <w:rFonts w:ascii="Times New Roman" w:hAnsi="Times New Roman"/>
          <w:bCs/>
          <w:sz w:val="22"/>
          <w:szCs w:val="22"/>
          <w:lang w:val="el-GR"/>
        </w:rPr>
        <w:t xml:space="preserve">. </w:t>
      </w:r>
    </w:p>
    <w:p w:rsidR="00E72235" w:rsidRPr="008B2AE9" w:rsidRDefault="00E72235" w:rsidP="00773CDA">
      <w:pPr>
        <w:jc w:val="both"/>
        <w:rPr>
          <w:rFonts w:ascii="Times New Roman" w:hAnsi="Times New Roman"/>
          <w:sz w:val="22"/>
          <w:szCs w:val="22"/>
          <w:lang w:val="el-GR"/>
        </w:rPr>
      </w:pPr>
    </w:p>
    <w:p w:rsidR="00A278B1" w:rsidRPr="00A278B1" w:rsidRDefault="00A278B1" w:rsidP="00773CDA">
      <w:pPr>
        <w:jc w:val="both"/>
        <w:rPr>
          <w:rFonts w:ascii="Times New Roman" w:hAnsi="Times New Roman"/>
          <w:sz w:val="22"/>
          <w:szCs w:val="22"/>
          <w:u w:val="single"/>
          <w:lang w:val="el-GR"/>
        </w:rPr>
      </w:pPr>
      <w:r w:rsidRPr="00A278B1">
        <w:rPr>
          <w:rFonts w:ascii="Times New Roman" w:hAnsi="Times New Roman"/>
          <w:sz w:val="22"/>
          <w:szCs w:val="22"/>
          <w:u w:val="single"/>
          <w:lang w:val="el-GR"/>
        </w:rPr>
        <w:t>Υποξύς δερματικός ερυθηματώδης λύκος (ΥΔΕΛ)</w:t>
      </w:r>
    </w:p>
    <w:p w:rsidR="00A278B1" w:rsidRDefault="00E0513D" w:rsidP="00773CDA">
      <w:pPr>
        <w:jc w:val="both"/>
        <w:rPr>
          <w:rFonts w:ascii="Times New Roman" w:hAnsi="Times New Roman"/>
          <w:sz w:val="22"/>
          <w:szCs w:val="22"/>
          <w:lang w:val="el-GR"/>
        </w:rPr>
      </w:pPr>
      <w:r>
        <w:rPr>
          <w:rFonts w:ascii="Times New Roman" w:hAnsi="Times New Roman"/>
          <w:sz w:val="22"/>
          <w:szCs w:val="22"/>
          <w:lang w:val="el-GR"/>
        </w:rPr>
        <w:t xml:space="preserve">Οι αποκλειστές αντλίας πρωτονίων σχετίζονται με σπάνια περιστατικά υποξέως δερματικού ερυθηματώδους λύκου. Εάν παρατηρηθούν βλάβες, ιδίως σε περιοχές του δέρματος που εκτίθενται στον ήλιο, συνοδευόμενες από αρθραλγία, ο ασθενής πρέπει να αναζητήσει άμεσα ιατρική βοήθεια και οι επαγγελματίες του τομέα της υγείας πρέπει να εξετάσουν το ενδεχόμενο διακοπής της χορήγησης </w:t>
      </w:r>
      <w:r w:rsidRPr="00E0513D">
        <w:rPr>
          <w:rFonts w:ascii="Times New Roman" w:hAnsi="Times New Roman"/>
          <w:sz w:val="22"/>
          <w:szCs w:val="22"/>
          <w:lang w:val="el-GR"/>
        </w:rPr>
        <w:t>DEMOLOX</w:t>
      </w:r>
      <w:r>
        <w:rPr>
          <w:rFonts w:ascii="Times New Roman" w:hAnsi="Times New Roman"/>
          <w:sz w:val="22"/>
          <w:szCs w:val="22"/>
          <w:lang w:val="el-GR"/>
        </w:rPr>
        <w:t>.</w:t>
      </w:r>
      <w:r w:rsidR="00754CA8">
        <w:rPr>
          <w:rFonts w:ascii="Times New Roman" w:hAnsi="Times New Roman"/>
          <w:sz w:val="22"/>
          <w:szCs w:val="22"/>
          <w:lang w:val="el-GR"/>
        </w:rPr>
        <w:t xml:space="preserve"> Η εμφάνιση οξέος δερματικού ερυθηματώδους λύκου μετά από τη χορήγηση αποκλειστή αντλίας πρωτονίου ενδέχεται να αυξάνει τον κίνδυνο οξέος δερματικού ερυθηματώδους λύκου με άλλους αποκλειστές αντλίας πρωτονίου.</w:t>
      </w:r>
    </w:p>
    <w:p w:rsidR="00A278B1" w:rsidRPr="00A278B1" w:rsidRDefault="00A278B1" w:rsidP="00773CDA">
      <w:pPr>
        <w:jc w:val="both"/>
        <w:rPr>
          <w:rFonts w:ascii="Times New Roman" w:hAnsi="Times New Roman"/>
          <w:sz w:val="22"/>
          <w:szCs w:val="22"/>
          <w:lang w:val="el-GR"/>
        </w:rPr>
      </w:pPr>
    </w:p>
    <w:p w:rsidR="005E27CB" w:rsidRPr="008B2AE9" w:rsidRDefault="005E27CB" w:rsidP="00773CDA">
      <w:pPr>
        <w:jc w:val="both"/>
        <w:rPr>
          <w:rFonts w:ascii="Times New Roman" w:hAnsi="Times New Roman"/>
          <w:sz w:val="22"/>
          <w:szCs w:val="22"/>
          <w:lang w:val="el-GR"/>
        </w:rPr>
      </w:pPr>
      <w:r w:rsidRPr="008B2AE9">
        <w:rPr>
          <w:rFonts w:ascii="Times New Roman" w:hAnsi="Times New Roman"/>
          <w:sz w:val="22"/>
          <w:szCs w:val="22"/>
          <w:lang w:val="el-GR"/>
        </w:rPr>
        <w:t>Αυτό το φαρμακευτικό προϊόν περιέχει λιγότερο από 1</w:t>
      </w:r>
      <w:r w:rsidRPr="008B2AE9">
        <w:rPr>
          <w:rFonts w:ascii="Times New Roman" w:hAnsi="Times New Roman"/>
          <w:sz w:val="22"/>
          <w:szCs w:val="22"/>
          <w:lang w:val="en-US"/>
        </w:rPr>
        <w:t>mmol</w:t>
      </w:r>
      <w:r w:rsidRPr="008B2AE9">
        <w:rPr>
          <w:rFonts w:ascii="Times New Roman" w:hAnsi="Times New Roman"/>
          <w:sz w:val="22"/>
          <w:szCs w:val="22"/>
          <w:lang w:val="el-GR"/>
        </w:rPr>
        <w:t xml:space="preserve"> νατρίου (23</w:t>
      </w:r>
      <w:r w:rsidRPr="008B2AE9">
        <w:rPr>
          <w:rFonts w:ascii="Times New Roman" w:hAnsi="Times New Roman"/>
          <w:sz w:val="22"/>
          <w:szCs w:val="22"/>
          <w:lang w:val="en-US"/>
        </w:rPr>
        <w:t>mg</w:t>
      </w:r>
      <w:r w:rsidRPr="008B2AE9">
        <w:rPr>
          <w:rFonts w:ascii="Times New Roman" w:hAnsi="Times New Roman"/>
          <w:sz w:val="22"/>
          <w:szCs w:val="22"/>
          <w:lang w:val="el-GR"/>
        </w:rPr>
        <w:t>) ανά φιαλίδιο</w:t>
      </w:r>
      <w:r w:rsidR="007F04C9" w:rsidRPr="008B2AE9">
        <w:rPr>
          <w:rFonts w:ascii="Times New Roman" w:hAnsi="Times New Roman"/>
          <w:sz w:val="22"/>
          <w:szCs w:val="22"/>
          <w:lang w:val="el-GR"/>
        </w:rPr>
        <w:t xml:space="preserve">, </w:t>
      </w:r>
      <w:r w:rsidR="00474CA6" w:rsidRPr="008B2AE9">
        <w:rPr>
          <w:rFonts w:ascii="Times New Roman" w:hAnsi="Times New Roman"/>
          <w:sz w:val="22"/>
          <w:szCs w:val="22"/>
          <w:lang w:val="el-GR"/>
        </w:rPr>
        <w:t xml:space="preserve">δηλαδή </w:t>
      </w:r>
      <w:r w:rsidR="00CE7F8C" w:rsidRPr="008B2AE9">
        <w:rPr>
          <w:rFonts w:ascii="Times New Roman" w:hAnsi="Times New Roman"/>
          <w:noProof/>
          <w:sz w:val="22"/>
          <w:szCs w:val="22"/>
          <w:lang w:val="el-GR"/>
        </w:rPr>
        <w:t xml:space="preserve">ουσιαστικά είναι </w:t>
      </w:r>
      <w:r w:rsidR="00474CA6" w:rsidRPr="008B2AE9">
        <w:rPr>
          <w:rFonts w:ascii="Times New Roman" w:hAnsi="Times New Roman"/>
          <w:sz w:val="22"/>
          <w:szCs w:val="22"/>
          <w:lang w:val="el-GR"/>
        </w:rPr>
        <w:t>«ελεύθερο νατρίου»</w:t>
      </w:r>
      <w:r w:rsidR="007F04C9" w:rsidRPr="008B2AE9">
        <w:rPr>
          <w:rFonts w:ascii="Times New Roman" w:hAnsi="Times New Roman"/>
          <w:sz w:val="22"/>
          <w:szCs w:val="22"/>
          <w:lang w:val="el-GR"/>
        </w:rPr>
        <w:t>.</w:t>
      </w:r>
    </w:p>
    <w:p w:rsidR="007F04C9" w:rsidRPr="008B2AE9" w:rsidRDefault="007F04C9" w:rsidP="00773CDA">
      <w:pPr>
        <w:jc w:val="both"/>
        <w:rPr>
          <w:rFonts w:ascii="Times New Roman" w:hAnsi="Times New Roman"/>
          <w:sz w:val="22"/>
          <w:szCs w:val="22"/>
          <w:lang w:val="el-GR"/>
        </w:rPr>
      </w:pPr>
    </w:p>
    <w:p w:rsidR="00E72235" w:rsidRPr="008B2AE9" w:rsidRDefault="00E72235" w:rsidP="00773CDA">
      <w:pPr>
        <w:pStyle w:val="30"/>
        <w:spacing w:line="240" w:lineRule="auto"/>
        <w:ind w:right="-709"/>
        <w:rPr>
          <w:rFonts w:ascii="Times New Roman" w:hAnsi="Times New Roman"/>
          <w:sz w:val="22"/>
          <w:szCs w:val="22"/>
        </w:rPr>
      </w:pPr>
      <w:r w:rsidRPr="008B2AE9">
        <w:rPr>
          <w:rFonts w:ascii="Times New Roman" w:hAnsi="Times New Roman"/>
          <w:sz w:val="22"/>
          <w:szCs w:val="22"/>
        </w:rPr>
        <w:t xml:space="preserve">4.5 </w:t>
      </w:r>
      <w:r w:rsidRPr="008B2AE9">
        <w:rPr>
          <w:rFonts w:ascii="Times New Roman" w:hAnsi="Times New Roman"/>
          <w:sz w:val="22"/>
          <w:szCs w:val="22"/>
        </w:rPr>
        <w:tab/>
        <w:t xml:space="preserve">Αλληλεπιδράσεις με άλλα </w:t>
      </w:r>
      <w:r w:rsidR="00F14249" w:rsidRPr="008B2AE9">
        <w:rPr>
          <w:rFonts w:ascii="Times New Roman" w:hAnsi="Times New Roman"/>
          <w:sz w:val="22"/>
          <w:szCs w:val="22"/>
        </w:rPr>
        <w:t xml:space="preserve">φαρμακευτικά προϊόντα </w:t>
      </w:r>
      <w:r w:rsidRPr="008B2AE9">
        <w:rPr>
          <w:rFonts w:ascii="Times New Roman" w:hAnsi="Times New Roman"/>
          <w:sz w:val="22"/>
          <w:szCs w:val="22"/>
        </w:rPr>
        <w:t>και άλλες μορφές αλληλεπίδρασης</w:t>
      </w:r>
    </w:p>
    <w:p w:rsidR="00E8208C" w:rsidRPr="008B2AE9" w:rsidRDefault="00E8208C" w:rsidP="00773CDA">
      <w:pPr>
        <w:pStyle w:val="30"/>
        <w:spacing w:line="240" w:lineRule="auto"/>
        <w:ind w:right="-142"/>
        <w:rPr>
          <w:rFonts w:ascii="Times New Roman" w:hAnsi="Times New Roman"/>
          <w:b w:val="0"/>
          <w:bCs/>
          <w:i/>
          <w:sz w:val="22"/>
          <w:szCs w:val="22"/>
        </w:rPr>
      </w:pPr>
    </w:p>
    <w:p w:rsidR="00E8208C" w:rsidRPr="008B2AE9" w:rsidRDefault="00E8208C" w:rsidP="00773CDA">
      <w:pPr>
        <w:pStyle w:val="30"/>
        <w:spacing w:line="240" w:lineRule="auto"/>
        <w:ind w:right="-142"/>
        <w:rPr>
          <w:rFonts w:ascii="Times New Roman" w:hAnsi="Times New Roman"/>
          <w:bCs/>
          <w:sz w:val="22"/>
          <w:szCs w:val="22"/>
        </w:rPr>
      </w:pPr>
      <w:r w:rsidRPr="008B2AE9">
        <w:rPr>
          <w:rFonts w:ascii="Times New Roman" w:hAnsi="Times New Roman"/>
          <w:bCs/>
          <w:sz w:val="22"/>
          <w:szCs w:val="22"/>
        </w:rPr>
        <w:lastRenderedPageBreak/>
        <w:t xml:space="preserve">Επίδραση της εσομεπραζόλης στη φαρμακοκινητική άλλων </w:t>
      </w:r>
      <w:r w:rsidR="005F5571" w:rsidRPr="008B2AE9">
        <w:rPr>
          <w:rFonts w:ascii="Times New Roman" w:hAnsi="Times New Roman"/>
          <w:bCs/>
          <w:sz w:val="22"/>
          <w:szCs w:val="22"/>
        </w:rPr>
        <w:t>φαρμακευτικών προϊόντων</w:t>
      </w:r>
    </w:p>
    <w:p w:rsidR="00773CDA" w:rsidRPr="008B2AE9" w:rsidRDefault="00773CDA" w:rsidP="00773CDA">
      <w:pPr>
        <w:pStyle w:val="30"/>
        <w:spacing w:line="240" w:lineRule="auto"/>
        <w:ind w:right="-142"/>
        <w:jc w:val="both"/>
        <w:rPr>
          <w:rFonts w:ascii="Times New Roman" w:hAnsi="Times New Roman"/>
          <w:b w:val="0"/>
          <w:bCs/>
          <w:sz w:val="22"/>
          <w:szCs w:val="22"/>
        </w:rPr>
      </w:pPr>
    </w:p>
    <w:p w:rsidR="00C5200A" w:rsidRPr="008B2AE9" w:rsidRDefault="00C5200A" w:rsidP="005B1825">
      <w:pPr>
        <w:jc w:val="both"/>
        <w:rPr>
          <w:rFonts w:ascii="Times New Roman" w:hAnsi="Times New Roman"/>
          <w:bCs/>
          <w:sz w:val="22"/>
          <w:szCs w:val="22"/>
          <w:u w:val="single"/>
          <w:lang w:val="el-GR"/>
        </w:rPr>
      </w:pPr>
      <w:r w:rsidRPr="008B2AE9">
        <w:rPr>
          <w:rFonts w:ascii="Times New Roman" w:hAnsi="Times New Roman"/>
          <w:bCs/>
          <w:sz w:val="22"/>
          <w:szCs w:val="22"/>
          <w:u w:val="single"/>
          <w:lang w:val="el-GR"/>
        </w:rPr>
        <w:t>Αναστολείς της πρωτεάσης</w:t>
      </w:r>
    </w:p>
    <w:p w:rsidR="005B1825" w:rsidRPr="008B2AE9" w:rsidRDefault="005B1825" w:rsidP="005B1825">
      <w:pPr>
        <w:jc w:val="both"/>
        <w:rPr>
          <w:rFonts w:ascii="Times New Roman" w:hAnsi="Times New Roman"/>
          <w:sz w:val="22"/>
          <w:szCs w:val="22"/>
          <w:lang w:val="el-GR"/>
        </w:rPr>
      </w:pPr>
      <w:r w:rsidRPr="008B2AE9">
        <w:rPr>
          <w:rFonts w:ascii="Times New Roman" w:hAnsi="Times New Roman"/>
          <w:sz w:val="22"/>
          <w:szCs w:val="22"/>
          <w:lang w:val="el-GR"/>
        </w:rPr>
        <w:t xml:space="preserve">Έχει αναφερθεί ότι η ομεπραζόλη αλληλεπιδρά με κάποιους αναστολείς της πρωτεάσης. Η κλινική σημασία και οι μηχανισμοί πίσω από αυτές τις αναφερθείσες αλληλεπιδράσεις δεν είναι πάντα γνωστά. Αυξημένο γαστρικό </w:t>
      </w:r>
      <w:r w:rsidR="00730141" w:rsidRPr="008B2AE9">
        <w:rPr>
          <w:rFonts w:ascii="Times New Roman" w:hAnsi="Times New Roman"/>
          <w:sz w:val="22"/>
          <w:szCs w:val="22"/>
          <w:lang w:val="en-US"/>
        </w:rPr>
        <w:t>p</w:t>
      </w:r>
      <w:r w:rsidRPr="008B2AE9">
        <w:rPr>
          <w:rFonts w:ascii="Times New Roman" w:hAnsi="Times New Roman"/>
          <w:sz w:val="22"/>
          <w:szCs w:val="22"/>
          <w:lang w:val="el-GR"/>
        </w:rPr>
        <w:t xml:space="preserve">Η κατά τη διάρκεια θεραπείας με ομεπραζόλη μπορεί να μεταβάλλει την απορρόφηση των αναστολέων της πρωτεάσης. Άλλοι πιθανοί μηχανισμοί αλληλεπίδρασης είναι μέσω του </w:t>
      </w:r>
      <w:r w:rsidRPr="008B2AE9">
        <w:rPr>
          <w:rFonts w:ascii="Times New Roman" w:hAnsi="Times New Roman"/>
          <w:sz w:val="22"/>
          <w:szCs w:val="22"/>
        </w:rPr>
        <w:t>CYP</w:t>
      </w:r>
      <w:r w:rsidRPr="008B2AE9">
        <w:rPr>
          <w:rFonts w:ascii="Times New Roman" w:hAnsi="Times New Roman"/>
          <w:sz w:val="22"/>
          <w:szCs w:val="22"/>
          <w:lang w:val="el-GR"/>
        </w:rPr>
        <w:t xml:space="preserve"> 2</w:t>
      </w:r>
      <w:r w:rsidRPr="008B2AE9">
        <w:rPr>
          <w:rFonts w:ascii="Times New Roman" w:hAnsi="Times New Roman"/>
          <w:sz w:val="22"/>
          <w:szCs w:val="22"/>
        </w:rPr>
        <w:t>C</w:t>
      </w:r>
      <w:r w:rsidRPr="008B2AE9">
        <w:rPr>
          <w:rFonts w:ascii="Times New Roman" w:hAnsi="Times New Roman"/>
          <w:sz w:val="22"/>
          <w:szCs w:val="22"/>
          <w:lang w:val="el-GR"/>
        </w:rPr>
        <w:t>19.</w:t>
      </w:r>
    </w:p>
    <w:p w:rsidR="005B1825" w:rsidRPr="008B2AE9" w:rsidRDefault="005B1825" w:rsidP="005B1825">
      <w:pPr>
        <w:jc w:val="both"/>
        <w:rPr>
          <w:rFonts w:ascii="Times New Roman" w:hAnsi="Times New Roman"/>
          <w:sz w:val="22"/>
          <w:szCs w:val="22"/>
          <w:lang w:val="el-GR"/>
        </w:rPr>
      </w:pPr>
    </w:p>
    <w:p w:rsidR="00BD2579" w:rsidRPr="008B2AE9" w:rsidRDefault="005B1825" w:rsidP="005B1825">
      <w:pPr>
        <w:jc w:val="both"/>
        <w:rPr>
          <w:rFonts w:ascii="Times New Roman" w:hAnsi="Times New Roman"/>
          <w:sz w:val="22"/>
          <w:szCs w:val="22"/>
          <w:lang w:val="el-GR"/>
        </w:rPr>
      </w:pPr>
      <w:r w:rsidRPr="008B2AE9">
        <w:rPr>
          <w:rFonts w:ascii="Times New Roman" w:hAnsi="Times New Roman"/>
          <w:sz w:val="22"/>
          <w:szCs w:val="22"/>
          <w:lang w:val="el-GR"/>
        </w:rPr>
        <w:t>Για την αταζαναβίρη και την νελφιναβίρη</w:t>
      </w:r>
      <w:r w:rsidR="000C0E76" w:rsidRPr="008B2AE9">
        <w:rPr>
          <w:rFonts w:ascii="Times New Roman" w:hAnsi="Times New Roman"/>
          <w:sz w:val="22"/>
          <w:szCs w:val="22"/>
          <w:lang w:val="el-GR"/>
        </w:rPr>
        <w:t>,</w:t>
      </w:r>
      <w:r w:rsidRPr="008B2AE9">
        <w:rPr>
          <w:rFonts w:ascii="Times New Roman" w:hAnsi="Times New Roman"/>
          <w:sz w:val="22"/>
          <w:szCs w:val="22"/>
          <w:lang w:val="el-GR"/>
        </w:rPr>
        <w:t xml:space="preserve"> έχουν αναφερθεί μειωμένα επίπεδα στον ορό όταν χορηγούνται μαζί με την ομεπραζόλη και έτσι δεν συνιστάται η συγχορήγηση. Η συγχορήγηση ομεπραζόλης (40 </w:t>
      </w:r>
      <w:r w:rsidRPr="008B2AE9">
        <w:rPr>
          <w:rFonts w:ascii="Times New Roman" w:hAnsi="Times New Roman"/>
          <w:sz w:val="22"/>
          <w:szCs w:val="22"/>
          <w:lang w:val="en-US"/>
        </w:rPr>
        <w:t>mg</w:t>
      </w:r>
      <w:r w:rsidRPr="008B2AE9">
        <w:rPr>
          <w:rFonts w:ascii="Times New Roman" w:hAnsi="Times New Roman"/>
          <w:sz w:val="22"/>
          <w:szCs w:val="22"/>
          <w:lang w:val="el-GR"/>
        </w:rPr>
        <w:t xml:space="preserve"> εφάπαξ ημερησίως) με αταζαναβίρη 300 </w:t>
      </w:r>
      <w:r w:rsidRPr="008B2AE9">
        <w:rPr>
          <w:rFonts w:ascii="Times New Roman" w:hAnsi="Times New Roman"/>
          <w:sz w:val="22"/>
          <w:szCs w:val="22"/>
          <w:lang w:val="en-US"/>
        </w:rPr>
        <w:t>mg</w:t>
      </w:r>
      <w:r w:rsidRPr="008B2AE9">
        <w:rPr>
          <w:rFonts w:ascii="Times New Roman" w:hAnsi="Times New Roman"/>
          <w:sz w:val="22"/>
          <w:szCs w:val="22"/>
          <w:lang w:val="el-GR"/>
        </w:rPr>
        <w:t xml:space="preserve">/ριτοναβίρη 100 </w:t>
      </w:r>
      <w:r w:rsidRPr="008B2AE9">
        <w:rPr>
          <w:rFonts w:ascii="Times New Roman" w:hAnsi="Times New Roman"/>
          <w:sz w:val="22"/>
          <w:szCs w:val="22"/>
          <w:lang w:val="en-US"/>
        </w:rPr>
        <w:t>mg</w:t>
      </w:r>
      <w:r w:rsidRPr="008B2AE9">
        <w:rPr>
          <w:rFonts w:ascii="Times New Roman" w:hAnsi="Times New Roman"/>
          <w:sz w:val="22"/>
          <w:szCs w:val="22"/>
          <w:lang w:val="el-GR"/>
        </w:rPr>
        <w:t xml:space="preserve"> σε υγιείς εθελοντές είχε σαν αποτέλεσμα σημαντική μείωση της έκθεσης στην αταζαναβίρη (περίπου 75% μείωση της </w:t>
      </w:r>
      <w:r w:rsidRPr="008B2AE9">
        <w:rPr>
          <w:rFonts w:ascii="Times New Roman" w:hAnsi="Times New Roman"/>
          <w:sz w:val="22"/>
          <w:szCs w:val="22"/>
          <w:lang w:val="en-US"/>
        </w:rPr>
        <w:t>AUC</w:t>
      </w:r>
      <w:r w:rsidRPr="008B2AE9">
        <w:rPr>
          <w:rFonts w:ascii="Times New Roman" w:hAnsi="Times New Roman"/>
          <w:sz w:val="22"/>
          <w:szCs w:val="22"/>
          <w:lang w:val="el-GR"/>
        </w:rPr>
        <w:t xml:space="preserve">, </w:t>
      </w:r>
      <w:r w:rsidRPr="008B2AE9">
        <w:rPr>
          <w:rFonts w:ascii="Times New Roman" w:hAnsi="Times New Roman"/>
          <w:sz w:val="22"/>
          <w:szCs w:val="22"/>
          <w:lang w:val="en-US"/>
        </w:rPr>
        <w:t>C</w:t>
      </w:r>
      <w:r w:rsidRPr="008B2AE9">
        <w:rPr>
          <w:rFonts w:ascii="Times New Roman" w:hAnsi="Times New Roman"/>
          <w:sz w:val="22"/>
          <w:szCs w:val="22"/>
          <w:vertAlign w:val="subscript"/>
          <w:lang w:val="en-US"/>
        </w:rPr>
        <w:t>max</w:t>
      </w:r>
      <w:r w:rsidRPr="008B2AE9">
        <w:rPr>
          <w:rFonts w:ascii="Times New Roman" w:hAnsi="Times New Roman"/>
          <w:sz w:val="22"/>
          <w:szCs w:val="22"/>
          <w:lang w:val="el-GR"/>
        </w:rPr>
        <w:t xml:space="preserve"> και </w:t>
      </w:r>
      <w:r w:rsidRPr="008B2AE9">
        <w:rPr>
          <w:rFonts w:ascii="Times New Roman" w:hAnsi="Times New Roman"/>
          <w:sz w:val="22"/>
          <w:szCs w:val="22"/>
          <w:lang w:val="en-US"/>
        </w:rPr>
        <w:t>C</w:t>
      </w:r>
      <w:r w:rsidRPr="008B2AE9">
        <w:rPr>
          <w:rFonts w:ascii="Times New Roman" w:hAnsi="Times New Roman"/>
          <w:sz w:val="22"/>
          <w:szCs w:val="22"/>
          <w:vertAlign w:val="subscript"/>
          <w:lang w:val="en-US"/>
        </w:rPr>
        <w:t>min</w:t>
      </w:r>
      <w:r w:rsidRPr="008B2AE9">
        <w:rPr>
          <w:rFonts w:ascii="Times New Roman" w:hAnsi="Times New Roman"/>
          <w:sz w:val="22"/>
          <w:szCs w:val="22"/>
          <w:lang w:val="el-GR"/>
        </w:rPr>
        <w:t xml:space="preserve">). Αύξηση της δόσης της αταζαναβίρης σε 400 </w:t>
      </w:r>
      <w:r w:rsidRPr="008B2AE9">
        <w:rPr>
          <w:rFonts w:ascii="Times New Roman" w:hAnsi="Times New Roman"/>
          <w:sz w:val="22"/>
          <w:szCs w:val="22"/>
          <w:lang w:val="en-US"/>
        </w:rPr>
        <w:t>mg</w:t>
      </w:r>
      <w:r w:rsidRPr="008B2AE9">
        <w:rPr>
          <w:rFonts w:ascii="Times New Roman" w:hAnsi="Times New Roman"/>
          <w:sz w:val="22"/>
          <w:szCs w:val="22"/>
          <w:lang w:val="el-GR"/>
        </w:rPr>
        <w:t xml:space="preserve"> δεν αντιστάθμισε την επίπτωση της ομεπραζόλης στην έκθεση στην αταζαναβίρη. Η συγχορήγηση ομεπραζόλης (20 </w:t>
      </w:r>
      <w:r w:rsidRPr="008B2AE9">
        <w:rPr>
          <w:rFonts w:ascii="Times New Roman" w:hAnsi="Times New Roman"/>
          <w:sz w:val="22"/>
          <w:szCs w:val="22"/>
          <w:lang w:val="en-US"/>
        </w:rPr>
        <w:t>mg</w:t>
      </w:r>
      <w:r w:rsidRPr="008B2AE9">
        <w:rPr>
          <w:rFonts w:ascii="Times New Roman" w:hAnsi="Times New Roman"/>
          <w:sz w:val="22"/>
          <w:szCs w:val="22"/>
          <w:lang w:val="el-GR"/>
        </w:rPr>
        <w:t xml:space="preserve"> </w:t>
      </w:r>
      <w:r w:rsidR="00D76FC6" w:rsidRPr="008B2AE9">
        <w:rPr>
          <w:rFonts w:ascii="Times New Roman" w:hAnsi="Times New Roman"/>
          <w:sz w:val="22"/>
          <w:szCs w:val="22"/>
          <w:lang w:val="el-GR"/>
        </w:rPr>
        <w:t>μία φορά την ημέρα</w:t>
      </w:r>
      <w:r w:rsidRPr="008B2AE9">
        <w:rPr>
          <w:rFonts w:ascii="Times New Roman" w:hAnsi="Times New Roman"/>
          <w:sz w:val="22"/>
          <w:szCs w:val="22"/>
          <w:lang w:val="el-GR"/>
        </w:rPr>
        <w:t xml:space="preserve">) με αταζαναβίρη 400 </w:t>
      </w:r>
      <w:r w:rsidRPr="008B2AE9">
        <w:rPr>
          <w:rFonts w:ascii="Times New Roman" w:hAnsi="Times New Roman"/>
          <w:sz w:val="22"/>
          <w:szCs w:val="22"/>
          <w:lang w:val="en-US"/>
        </w:rPr>
        <w:t>mg</w:t>
      </w:r>
      <w:r w:rsidRPr="008B2AE9">
        <w:rPr>
          <w:rFonts w:ascii="Times New Roman" w:hAnsi="Times New Roman"/>
          <w:sz w:val="22"/>
          <w:szCs w:val="22"/>
          <w:lang w:val="el-GR"/>
        </w:rPr>
        <w:t xml:space="preserve">/ριτοναβίρη 100 </w:t>
      </w:r>
      <w:r w:rsidRPr="008B2AE9">
        <w:rPr>
          <w:rFonts w:ascii="Times New Roman" w:hAnsi="Times New Roman"/>
          <w:sz w:val="22"/>
          <w:szCs w:val="22"/>
          <w:lang w:val="en-US"/>
        </w:rPr>
        <w:t>mg</w:t>
      </w:r>
      <w:r w:rsidRPr="008B2AE9">
        <w:rPr>
          <w:rFonts w:ascii="Times New Roman" w:hAnsi="Times New Roman"/>
          <w:sz w:val="22"/>
          <w:szCs w:val="22"/>
          <w:lang w:val="el-GR"/>
        </w:rPr>
        <w:t xml:space="preserve"> σε υγιείς εθελοντές είχε σαν αποτέλεσμα μία μείωση περίπου 30% της έκθεσης της αταζαναβίρης σε σύγκριση με την έκθεση που παρατηρήθηκε με αταζαναβίρη 300 </w:t>
      </w:r>
      <w:r w:rsidRPr="008B2AE9">
        <w:rPr>
          <w:rFonts w:ascii="Times New Roman" w:hAnsi="Times New Roman"/>
          <w:sz w:val="22"/>
          <w:szCs w:val="22"/>
          <w:lang w:val="en-US"/>
        </w:rPr>
        <w:t>mg</w:t>
      </w:r>
      <w:r w:rsidRPr="008B2AE9">
        <w:rPr>
          <w:rFonts w:ascii="Times New Roman" w:hAnsi="Times New Roman"/>
          <w:sz w:val="22"/>
          <w:szCs w:val="22"/>
          <w:lang w:val="el-GR"/>
        </w:rPr>
        <w:t xml:space="preserve">/ριτοναβίρη 100 </w:t>
      </w:r>
      <w:r w:rsidRPr="008B2AE9">
        <w:rPr>
          <w:rFonts w:ascii="Times New Roman" w:hAnsi="Times New Roman"/>
          <w:sz w:val="22"/>
          <w:szCs w:val="22"/>
          <w:lang w:val="en-US"/>
        </w:rPr>
        <w:t>mg</w:t>
      </w:r>
      <w:r w:rsidRPr="008B2AE9">
        <w:rPr>
          <w:rFonts w:ascii="Times New Roman" w:hAnsi="Times New Roman"/>
          <w:sz w:val="22"/>
          <w:szCs w:val="22"/>
          <w:lang w:val="el-GR"/>
        </w:rPr>
        <w:t xml:space="preserve"> </w:t>
      </w:r>
      <w:r w:rsidR="00A3747F" w:rsidRPr="008B2AE9">
        <w:rPr>
          <w:rFonts w:ascii="Times New Roman" w:hAnsi="Times New Roman"/>
          <w:sz w:val="22"/>
          <w:szCs w:val="22"/>
          <w:lang w:val="el-GR"/>
        </w:rPr>
        <w:t>μία φορά την ημέρα</w:t>
      </w:r>
      <w:r w:rsidRPr="008B2AE9">
        <w:rPr>
          <w:rFonts w:ascii="Times New Roman" w:hAnsi="Times New Roman"/>
          <w:sz w:val="22"/>
          <w:szCs w:val="22"/>
          <w:lang w:val="el-GR"/>
        </w:rPr>
        <w:t xml:space="preserve"> χωρίς ομεπραζόλη 20 </w:t>
      </w:r>
      <w:r w:rsidRPr="008B2AE9">
        <w:rPr>
          <w:rFonts w:ascii="Times New Roman" w:hAnsi="Times New Roman"/>
          <w:sz w:val="22"/>
          <w:szCs w:val="22"/>
          <w:lang w:val="en-US"/>
        </w:rPr>
        <w:t>mg</w:t>
      </w:r>
      <w:r w:rsidRPr="008B2AE9">
        <w:rPr>
          <w:rFonts w:ascii="Times New Roman" w:hAnsi="Times New Roman"/>
          <w:sz w:val="22"/>
          <w:szCs w:val="22"/>
          <w:lang w:val="el-GR"/>
        </w:rPr>
        <w:t xml:space="preserve"> </w:t>
      </w:r>
      <w:r w:rsidR="00D76FC6" w:rsidRPr="008B2AE9">
        <w:rPr>
          <w:rFonts w:ascii="Times New Roman" w:hAnsi="Times New Roman"/>
          <w:sz w:val="22"/>
          <w:szCs w:val="22"/>
          <w:lang w:val="el-GR"/>
        </w:rPr>
        <w:t>μία φορά την ημέρα</w:t>
      </w:r>
      <w:r w:rsidRPr="008B2AE9">
        <w:rPr>
          <w:rFonts w:ascii="Times New Roman" w:hAnsi="Times New Roman"/>
          <w:sz w:val="22"/>
          <w:szCs w:val="22"/>
          <w:lang w:val="el-GR"/>
        </w:rPr>
        <w:t xml:space="preserve">. Η συγχορήγηση ομεπραζόλης (40 </w:t>
      </w:r>
      <w:r w:rsidRPr="008B2AE9">
        <w:rPr>
          <w:rFonts w:ascii="Times New Roman" w:hAnsi="Times New Roman"/>
          <w:sz w:val="22"/>
          <w:szCs w:val="22"/>
          <w:lang w:val="en-US"/>
        </w:rPr>
        <w:t>mg</w:t>
      </w:r>
      <w:r w:rsidRPr="008B2AE9">
        <w:rPr>
          <w:rFonts w:ascii="Times New Roman" w:hAnsi="Times New Roman"/>
          <w:sz w:val="22"/>
          <w:szCs w:val="22"/>
          <w:lang w:val="el-GR"/>
        </w:rPr>
        <w:t xml:space="preserve"> </w:t>
      </w:r>
      <w:r w:rsidR="00A3747F" w:rsidRPr="008B2AE9">
        <w:rPr>
          <w:rFonts w:ascii="Times New Roman" w:hAnsi="Times New Roman"/>
          <w:sz w:val="22"/>
          <w:szCs w:val="22"/>
          <w:lang w:val="el-GR"/>
        </w:rPr>
        <w:t>μία φορά την ημέρα</w:t>
      </w:r>
      <w:r w:rsidRPr="008B2AE9">
        <w:rPr>
          <w:rFonts w:ascii="Times New Roman" w:hAnsi="Times New Roman"/>
          <w:sz w:val="22"/>
          <w:szCs w:val="22"/>
          <w:lang w:val="el-GR"/>
        </w:rPr>
        <w:t xml:space="preserve">) με νελφιναβίρη μείωσε τη μέση </w:t>
      </w:r>
      <w:r w:rsidRPr="008B2AE9">
        <w:rPr>
          <w:rFonts w:ascii="Times New Roman" w:hAnsi="Times New Roman"/>
          <w:sz w:val="22"/>
          <w:szCs w:val="22"/>
          <w:lang w:val="en-US"/>
        </w:rPr>
        <w:t>AUC</w:t>
      </w:r>
      <w:r w:rsidRPr="008B2AE9">
        <w:rPr>
          <w:rFonts w:ascii="Times New Roman" w:hAnsi="Times New Roman"/>
          <w:sz w:val="22"/>
          <w:szCs w:val="22"/>
          <w:lang w:val="el-GR"/>
        </w:rPr>
        <w:t xml:space="preserve">, </w:t>
      </w:r>
      <w:r w:rsidRPr="008B2AE9">
        <w:rPr>
          <w:rFonts w:ascii="Times New Roman" w:hAnsi="Times New Roman"/>
          <w:sz w:val="22"/>
          <w:szCs w:val="22"/>
          <w:lang w:val="en-US"/>
        </w:rPr>
        <w:t>C</w:t>
      </w:r>
      <w:r w:rsidRPr="008B2AE9">
        <w:rPr>
          <w:rFonts w:ascii="Times New Roman" w:hAnsi="Times New Roman"/>
          <w:sz w:val="22"/>
          <w:szCs w:val="22"/>
          <w:vertAlign w:val="subscript"/>
          <w:lang w:val="en-US"/>
        </w:rPr>
        <w:t>max</w:t>
      </w:r>
      <w:r w:rsidRPr="008B2AE9">
        <w:rPr>
          <w:rFonts w:ascii="Times New Roman" w:hAnsi="Times New Roman"/>
          <w:sz w:val="22"/>
          <w:szCs w:val="22"/>
          <w:lang w:val="el-GR"/>
        </w:rPr>
        <w:t xml:space="preserve"> και </w:t>
      </w:r>
      <w:r w:rsidRPr="008B2AE9">
        <w:rPr>
          <w:rFonts w:ascii="Times New Roman" w:hAnsi="Times New Roman"/>
          <w:sz w:val="22"/>
          <w:szCs w:val="22"/>
          <w:lang w:val="en-US"/>
        </w:rPr>
        <w:t>C</w:t>
      </w:r>
      <w:r w:rsidRPr="008B2AE9">
        <w:rPr>
          <w:rFonts w:ascii="Times New Roman" w:hAnsi="Times New Roman"/>
          <w:sz w:val="22"/>
          <w:szCs w:val="22"/>
          <w:vertAlign w:val="subscript"/>
          <w:lang w:val="en-US"/>
        </w:rPr>
        <w:t>min</w:t>
      </w:r>
      <w:r w:rsidRPr="008B2AE9">
        <w:rPr>
          <w:rFonts w:ascii="Times New Roman" w:hAnsi="Times New Roman"/>
          <w:sz w:val="22"/>
          <w:szCs w:val="22"/>
          <w:lang w:val="el-GR"/>
        </w:rPr>
        <w:t xml:space="preserve"> της νελφιναβίρης κατά 36-39% και η μέση </w:t>
      </w:r>
      <w:r w:rsidRPr="008B2AE9">
        <w:rPr>
          <w:rFonts w:ascii="Times New Roman" w:hAnsi="Times New Roman"/>
          <w:sz w:val="22"/>
          <w:szCs w:val="22"/>
          <w:lang w:val="en-US"/>
        </w:rPr>
        <w:t>AUC</w:t>
      </w:r>
      <w:r w:rsidRPr="008B2AE9">
        <w:rPr>
          <w:rFonts w:ascii="Times New Roman" w:hAnsi="Times New Roman"/>
          <w:sz w:val="22"/>
          <w:szCs w:val="22"/>
          <w:lang w:val="el-GR"/>
        </w:rPr>
        <w:t xml:space="preserve">, </w:t>
      </w:r>
      <w:r w:rsidRPr="008B2AE9">
        <w:rPr>
          <w:rFonts w:ascii="Times New Roman" w:hAnsi="Times New Roman"/>
          <w:sz w:val="22"/>
          <w:szCs w:val="22"/>
          <w:lang w:val="en-US"/>
        </w:rPr>
        <w:t>C</w:t>
      </w:r>
      <w:r w:rsidRPr="008B2AE9">
        <w:rPr>
          <w:rFonts w:ascii="Times New Roman" w:hAnsi="Times New Roman"/>
          <w:sz w:val="22"/>
          <w:szCs w:val="22"/>
          <w:vertAlign w:val="subscript"/>
          <w:lang w:val="en-US"/>
        </w:rPr>
        <w:t>max</w:t>
      </w:r>
      <w:r w:rsidRPr="008B2AE9">
        <w:rPr>
          <w:rFonts w:ascii="Times New Roman" w:hAnsi="Times New Roman"/>
          <w:sz w:val="22"/>
          <w:szCs w:val="22"/>
          <w:lang w:val="el-GR"/>
        </w:rPr>
        <w:t xml:space="preserve"> και </w:t>
      </w:r>
      <w:r w:rsidRPr="008B2AE9">
        <w:rPr>
          <w:rFonts w:ascii="Times New Roman" w:hAnsi="Times New Roman"/>
          <w:sz w:val="22"/>
          <w:szCs w:val="22"/>
          <w:lang w:val="en-US"/>
        </w:rPr>
        <w:t>C</w:t>
      </w:r>
      <w:r w:rsidRPr="008B2AE9">
        <w:rPr>
          <w:rFonts w:ascii="Times New Roman" w:hAnsi="Times New Roman"/>
          <w:sz w:val="22"/>
          <w:szCs w:val="22"/>
          <w:vertAlign w:val="subscript"/>
          <w:lang w:val="en-US"/>
        </w:rPr>
        <w:t>min</w:t>
      </w:r>
      <w:r w:rsidRPr="008B2AE9">
        <w:rPr>
          <w:rFonts w:ascii="Times New Roman" w:hAnsi="Times New Roman"/>
          <w:sz w:val="22"/>
          <w:szCs w:val="22"/>
          <w:lang w:val="el-GR"/>
        </w:rPr>
        <w:t xml:space="preserve"> του φαρμακολογικά δραστικού μεταβολίτη Μ8 μειώθηκε κατά 75-92%. </w:t>
      </w:r>
      <w:r w:rsidR="00BD2579" w:rsidRPr="008B2AE9">
        <w:rPr>
          <w:rFonts w:ascii="Times New Roman" w:hAnsi="Times New Roman"/>
          <w:sz w:val="22"/>
          <w:szCs w:val="22"/>
          <w:lang w:val="el-GR"/>
        </w:rPr>
        <w:t>Λόγω των παρόμοιων φαρμακοδυναμικών δράσεων και φαρμακοκινητικών ιδιοτήτων της</w:t>
      </w:r>
      <w:r w:rsidR="00BD2579" w:rsidRPr="008B2AE9">
        <w:rPr>
          <w:rFonts w:ascii="Times New Roman" w:hAnsi="Times New Roman"/>
          <w:color w:val="0000FF"/>
          <w:sz w:val="22"/>
          <w:szCs w:val="22"/>
          <w:lang w:val="el-GR"/>
        </w:rPr>
        <w:t xml:space="preserve"> </w:t>
      </w:r>
      <w:r w:rsidR="00BD2579" w:rsidRPr="008B2AE9">
        <w:rPr>
          <w:rFonts w:ascii="Times New Roman" w:hAnsi="Times New Roman"/>
          <w:sz w:val="22"/>
          <w:szCs w:val="22"/>
          <w:lang w:val="el-GR"/>
        </w:rPr>
        <w:t>ομεπραζόλης και της εσομεπραζόλης</w:t>
      </w:r>
      <w:r w:rsidR="00D21CDC" w:rsidRPr="008B2AE9">
        <w:rPr>
          <w:rFonts w:ascii="Times New Roman" w:hAnsi="Times New Roman"/>
          <w:sz w:val="22"/>
          <w:szCs w:val="22"/>
          <w:lang w:val="el-GR"/>
        </w:rPr>
        <w:t>,</w:t>
      </w:r>
      <w:r w:rsidR="00BD2579" w:rsidRPr="008B2AE9">
        <w:rPr>
          <w:rFonts w:ascii="Times New Roman" w:hAnsi="Times New Roman"/>
          <w:sz w:val="22"/>
          <w:szCs w:val="22"/>
          <w:lang w:val="el-GR"/>
        </w:rPr>
        <w:t xml:space="preserve"> η συγχορήγηση εσομεπραζόλης με αταζαναβίρη δεν συνιστάται </w:t>
      </w:r>
      <w:r w:rsidR="00D21CDC" w:rsidRPr="008B2AE9">
        <w:rPr>
          <w:rFonts w:ascii="Times New Roman" w:hAnsi="Times New Roman"/>
          <w:sz w:val="22"/>
          <w:szCs w:val="22"/>
          <w:lang w:val="el-GR"/>
        </w:rPr>
        <w:t xml:space="preserve">(βλέπε </w:t>
      </w:r>
      <w:r w:rsidR="004D349B" w:rsidRPr="008B2AE9">
        <w:rPr>
          <w:rFonts w:ascii="Times New Roman" w:hAnsi="Times New Roman"/>
          <w:sz w:val="22"/>
          <w:szCs w:val="22"/>
          <w:lang w:val="el-GR"/>
        </w:rPr>
        <w:t xml:space="preserve">παράγραφο </w:t>
      </w:r>
      <w:r w:rsidR="00D21CDC" w:rsidRPr="008B2AE9">
        <w:rPr>
          <w:rFonts w:ascii="Times New Roman" w:hAnsi="Times New Roman"/>
          <w:sz w:val="22"/>
          <w:szCs w:val="22"/>
          <w:lang w:val="el-GR"/>
        </w:rPr>
        <w:t xml:space="preserve">4.4) </w:t>
      </w:r>
      <w:r w:rsidR="00BD2579" w:rsidRPr="008B2AE9">
        <w:rPr>
          <w:rFonts w:ascii="Times New Roman" w:hAnsi="Times New Roman"/>
          <w:sz w:val="22"/>
          <w:szCs w:val="22"/>
          <w:lang w:val="el-GR"/>
        </w:rPr>
        <w:t>και η συγχορήγηση εσομεπραζόλης με νελφιναβίρη αντενδείκνυται</w:t>
      </w:r>
      <w:r w:rsidR="00D21CDC" w:rsidRPr="008B2AE9">
        <w:rPr>
          <w:rFonts w:ascii="Times New Roman" w:hAnsi="Times New Roman"/>
          <w:sz w:val="22"/>
          <w:szCs w:val="22"/>
          <w:lang w:val="el-GR"/>
        </w:rPr>
        <w:t xml:space="preserve"> (βλέπε </w:t>
      </w:r>
      <w:r w:rsidR="004D349B" w:rsidRPr="008B2AE9">
        <w:rPr>
          <w:rFonts w:ascii="Times New Roman" w:hAnsi="Times New Roman"/>
          <w:sz w:val="22"/>
          <w:szCs w:val="22"/>
          <w:lang w:val="el-GR"/>
        </w:rPr>
        <w:t xml:space="preserve">παράγραφο </w:t>
      </w:r>
      <w:r w:rsidR="00D21CDC" w:rsidRPr="008B2AE9">
        <w:rPr>
          <w:rFonts w:ascii="Times New Roman" w:hAnsi="Times New Roman"/>
          <w:sz w:val="22"/>
          <w:szCs w:val="22"/>
          <w:lang w:val="el-GR"/>
        </w:rPr>
        <w:t>4.3)</w:t>
      </w:r>
      <w:r w:rsidR="00BD2579" w:rsidRPr="008B2AE9">
        <w:rPr>
          <w:rFonts w:ascii="Times New Roman" w:hAnsi="Times New Roman"/>
          <w:sz w:val="22"/>
          <w:szCs w:val="22"/>
          <w:lang w:val="el-GR"/>
        </w:rPr>
        <w:t>.</w:t>
      </w:r>
    </w:p>
    <w:p w:rsidR="00BD2579" w:rsidRPr="008B2AE9" w:rsidRDefault="00BD2579" w:rsidP="005B1825">
      <w:pPr>
        <w:jc w:val="both"/>
        <w:rPr>
          <w:rFonts w:ascii="Times New Roman" w:hAnsi="Times New Roman"/>
          <w:sz w:val="22"/>
          <w:szCs w:val="22"/>
          <w:lang w:val="el-GR"/>
        </w:rPr>
      </w:pPr>
    </w:p>
    <w:p w:rsidR="005B1825" w:rsidRPr="008B2AE9" w:rsidRDefault="005B1825" w:rsidP="005B1825">
      <w:pPr>
        <w:jc w:val="both"/>
        <w:rPr>
          <w:rFonts w:ascii="Times New Roman" w:hAnsi="Times New Roman"/>
          <w:b/>
          <w:bCs/>
          <w:sz w:val="22"/>
          <w:szCs w:val="22"/>
          <w:lang w:val="el-GR"/>
        </w:rPr>
      </w:pPr>
      <w:r w:rsidRPr="008B2AE9">
        <w:rPr>
          <w:rFonts w:ascii="Times New Roman" w:hAnsi="Times New Roman"/>
          <w:sz w:val="22"/>
          <w:szCs w:val="22"/>
          <w:lang w:val="el-GR"/>
        </w:rPr>
        <w:t>Για τη σακουιναβίρη (ταυτόχρονα με ριτοναβίρη) αναφέρθηκε αύξηση των επιπέδων ορού (80-100%) κατά τη διάρκεια συγχορήγησης με θεραπεία ομεπραζόλης (40</w:t>
      </w:r>
      <w:r w:rsidRPr="008B2AE9">
        <w:rPr>
          <w:rFonts w:ascii="Times New Roman" w:hAnsi="Times New Roman"/>
          <w:color w:val="0000FF"/>
          <w:sz w:val="22"/>
          <w:szCs w:val="22"/>
          <w:lang w:val="el-GR"/>
        </w:rPr>
        <w:t xml:space="preserve"> </w:t>
      </w:r>
      <w:r w:rsidRPr="008B2AE9">
        <w:rPr>
          <w:rFonts w:ascii="Times New Roman" w:hAnsi="Times New Roman"/>
          <w:sz w:val="22"/>
          <w:szCs w:val="22"/>
          <w:lang w:val="en-US"/>
        </w:rPr>
        <w:t>mg</w:t>
      </w:r>
      <w:r w:rsidRPr="008B2AE9">
        <w:rPr>
          <w:rFonts w:ascii="Times New Roman" w:hAnsi="Times New Roman"/>
          <w:sz w:val="22"/>
          <w:szCs w:val="22"/>
          <w:lang w:val="el-GR"/>
        </w:rPr>
        <w:t xml:space="preserve"> </w:t>
      </w:r>
      <w:r w:rsidR="00A3747F" w:rsidRPr="008B2AE9">
        <w:rPr>
          <w:rFonts w:ascii="Times New Roman" w:hAnsi="Times New Roman"/>
          <w:sz w:val="22"/>
          <w:szCs w:val="22"/>
          <w:lang w:val="el-GR"/>
        </w:rPr>
        <w:t>μία φορά την ημέρα</w:t>
      </w:r>
      <w:r w:rsidRPr="008B2AE9">
        <w:rPr>
          <w:rFonts w:ascii="Times New Roman" w:hAnsi="Times New Roman"/>
          <w:sz w:val="22"/>
          <w:szCs w:val="22"/>
          <w:lang w:val="el-GR"/>
        </w:rPr>
        <w:t xml:space="preserve">). Η θεραπεία με ομεπραζόλη 20 </w:t>
      </w:r>
      <w:r w:rsidRPr="008B2AE9">
        <w:rPr>
          <w:rFonts w:ascii="Times New Roman" w:hAnsi="Times New Roman"/>
          <w:sz w:val="22"/>
          <w:szCs w:val="22"/>
          <w:lang w:val="en-US"/>
        </w:rPr>
        <w:t>mg</w:t>
      </w:r>
      <w:r w:rsidRPr="008B2AE9">
        <w:rPr>
          <w:rFonts w:ascii="Times New Roman" w:hAnsi="Times New Roman"/>
          <w:sz w:val="22"/>
          <w:szCs w:val="22"/>
          <w:lang w:val="el-GR"/>
        </w:rPr>
        <w:t xml:space="preserve"> </w:t>
      </w:r>
      <w:r w:rsidR="009F196B" w:rsidRPr="008B2AE9">
        <w:rPr>
          <w:rFonts w:ascii="Times New Roman" w:hAnsi="Times New Roman"/>
          <w:sz w:val="22"/>
          <w:szCs w:val="22"/>
          <w:lang w:val="el-GR"/>
        </w:rPr>
        <w:t>μία φορά την ημέρα</w:t>
      </w:r>
      <w:r w:rsidRPr="008B2AE9">
        <w:rPr>
          <w:rFonts w:ascii="Times New Roman" w:hAnsi="Times New Roman"/>
          <w:sz w:val="22"/>
          <w:szCs w:val="22"/>
          <w:lang w:val="el-GR"/>
        </w:rPr>
        <w:t xml:space="preserve"> δεν είχε </w:t>
      </w:r>
      <w:r w:rsidR="00191510" w:rsidRPr="008B2AE9">
        <w:rPr>
          <w:rFonts w:ascii="Times New Roman" w:hAnsi="Times New Roman"/>
          <w:sz w:val="22"/>
          <w:szCs w:val="22"/>
          <w:lang w:val="el-GR"/>
        </w:rPr>
        <w:t>καμία</w:t>
      </w:r>
      <w:r w:rsidRPr="008B2AE9">
        <w:rPr>
          <w:rFonts w:ascii="Times New Roman" w:hAnsi="Times New Roman"/>
          <w:sz w:val="22"/>
          <w:szCs w:val="22"/>
          <w:lang w:val="el-GR"/>
        </w:rPr>
        <w:t xml:space="preserve"> επίδραση στην έκθεση της νταρουναβίρης (ταυτόχρονα με ριτοναβίρη) και της αμπρεναβίρης (ταυτόχρονα με ριτοναβίρη). Η θεραπεία με εσομεπραζόλη 20 </w:t>
      </w:r>
      <w:r w:rsidRPr="008B2AE9">
        <w:rPr>
          <w:rFonts w:ascii="Times New Roman" w:hAnsi="Times New Roman"/>
          <w:sz w:val="22"/>
          <w:szCs w:val="22"/>
          <w:lang w:val="en-US"/>
        </w:rPr>
        <w:t>mg</w:t>
      </w:r>
      <w:r w:rsidRPr="008B2AE9">
        <w:rPr>
          <w:rFonts w:ascii="Times New Roman" w:hAnsi="Times New Roman"/>
          <w:sz w:val="22"/>
          <w:szCs w:val="22"/>
          <w:lang w:val="el-GR"/>
        </w:rPr>
        <w:t xml:space="preserve"> </w:t>
      </w:r>
      <w:r w:rsidR="00A3747F" w:rsidRPr="008B2AE9">
        <w:rPr>
          <w:rFonts w:ascii="Times New Roman" w:hAnsi="Times New Roman"/>
          <w:sz w:val="22"/>
          <w:szCs w:val="22"/>
          <w:lang w:val="el-GR"/>
        </w:rPr>
        <w:t>μία φορά την ημέρα</w:t>
      </w:r>
      <w:r w:rsidRPr="008B2AE9">
        <w:rPr>
          <w:rFonts w:ascii="Times New Roman" w:hAnsi="Times New Roman"/>
          <w:sz w:val="22"/>
          <w:szCs w:val="22"/>
          <w:lang w:val="el-GR"/>
        </w:rPr>
        <w:t xml:space="preserve"> δεν </w:t>
      </w:r>
      <w:r w:rsidRPr="00F62CA5">
        <w:rPr>
          <w:rFonts w:ascii="Times New Roman" w:hAnsi="Times New Roman"/>
          <w:sz w:val="22"/>
          <w:szCs w:val="22"/>
          <w:lang w:val="el-GR"/>
        </w:rPr>
        <w:t>είχε καμία</w:t>
      </w:r>
      <w:r w:rsidRPr="008B2AE9">
        <w:rPr>
          <w:rFonts w:ascii="Times New Roman" w:hAnsi="Times New Roman"/>
          <w:sz w:val="22"/>
          <w:szCs w:val="22"/>
          <w:lang w:val="el-GR"/>
        </w:rPr>
        <w:t xml:space="preserve"> επίδραση στην έκθεση της αμπρεναβίρης (με ή χωρίς ριτοναβίρη). Η θεραπεία με ομεπραζόλη 40 </w:t>
      </w:r>
      <w:r w:rsidRPr="008B2AE9">
        <w:rPr>
          <w:rFonts w:ascii="Times New Roman" w:hAnsi="Times New Roman"/>
          <w:sz w:val="22"/>
          <w:szCs w:val="22"/>
          <w:lang w:val="en-US"/>
        </w:rPr>
        <w:t>mg</w:t>
      </w:r>
      <w:r w:rsidRPr="008B2AE9">
        <w:rPr>
          <w:rFonts w:ascii="Times New Roman" w:hAnsi="Times New Roman"/>
          <w:sz w:val="22"/>
          <w:szCs w:val="22"/>
          <w:lang w:val="el-GR"/>
        </w:rPr>
        <w:t xml:space="preserve"> </w:t>
      </w:r>
      <w:r w:rsidR="00A3747F" w:rsidRPr="008B2AE9">
        <w:rPr>
          <w:rFonts w:ascii="Times New Roman" w:hAnsi="Times New Roman"/>
          <w:sz w:val="22"/>
          <w:szCs w:val="22"/>
          <w:lang w:val="el-GR"/>
        </w:rPr>
        <w:t>μία φορά την ημέρα</w:t>
      </w:r>
      <w:r w:rsidRPr="008B2AE9">
        <w:rPr>
          <w:rFonts w:ascii="Times New Roman" w:hAnsi="Times New Roman"/>
          <w:sz w:val="22"/>
          <w:szCs w:val="22"/>
          <w:lang w:val="el-GR"/>
        </w:rPr>
        <w:t xml:space="preserve"> δεν είχε </w:t>
      </w:r>
      <w:r w:rsidR="009B0D6D" w:rsidRPr="008B2AE9">
        <w:rPr>
          <w:rFonts w:ascii="Times New Roman" w:hAnsi="Times New Roman"/>
          <w:sz w:val="22"/>
          <w:szCs w:val="22"/>
          <w:lang w:val="el-GR"/>
        </w:rPr>
        <w:t>κα</w:t>
      </w:r>
      <w:r w:rsidRPr="008B2AE9">
        <w:rPr>
          <w:rFonts w:ascii="Times New Roman" w:hAnsi="Times New Roman"/>
          <w:sz w:val="22"/>
          <w:szCs w:val="22"/>
          <w:lang w:val="el-GR"/>
        </w:rPr>
        <w:t xml:space="preserve">μία επίδραση στην έκθεση της λοπιναβίρης (ταυτόχρονα με ριτοναβίρη). </w:t>
      </w:r>
    </w:p>
    <w:p w:rsidR="005B1825" w:rsidRPr="008B2AE9" w:rsidRDefault="005B1825" w:rsidP="00773CDA">
      <w:pPr>
        <w:pStyle w:val="30"/>
        <w:spacing w:line="240" w:lineRule="auto"/>
        <w:ind w:right="-142"/>
        <w:jc w:val="both"/>
        <w:rPr>
          <w:rFonts w:ascii="Times New Roman" w:hAnsi="Times New Roman"/>
          <w:b w:val="0"/>
          <w:bCs/>
          <w:sz w:val="22"/>
          <w:szCs w:val="22"/>
        </w:rPr>
      </w:pPr>
    </w:p>
    <w:p w:rsidR="006774AA" w:rsidRPr="008B2AE9" w:rsidRDefault="006774AA" w:rsidP="006774AA">
      <w:pPr>
        <w:jc w:val="both"/>
        <w:rPr>
          <w:rFonts w:ascii="Times New Roman" w:hAnsi="Times New Roman"/>
          <w:sz w:val="22"/>
          <w:szCs w:val="22"/>
          <w:u w:val="single"/>
          <w:lang w:val="el-GR"/>
        </w:rPr>
      </w:pPr>
      <w:r w:rsidRPr="008B2AE9">
        <w:rPr>
          <w:rFonts w:ascii="Times New Roman" w:hAnsi="Times New Roman"/>
          <w:sz w:val="22"/>
          <w:szCs w:val="22"/>
          <w:u w:val="single"/>
          <w:lang w:val="el-GR"/>
        </w:rPr>
        <w:t>Μεθοτρεξάτη</w:t>
      </w:r>
    </w:p>
    <w:p w:rsidR="006774AA" w:rsidRPr="008B2AE9" w:rsidRDefault="006774AA" w:rsidP="006774AA">
      <w:pPr>
        <w:jc w:val="both"/>
        <w:rPr>
          <w:rFonts w:ascii="Times New Roman" w:hAnsi="Times New Roman"/>
          <w:sz w:val="22"/>
          <w:szCs w:val="22"/>
          <w:lang w:val="el-GR"/>
        </w:rPr>
      </w:pPr>
      <w:r w:rsidRPr="008B2AE9">
        <w:rPr>
          <w:rFonts w:ascii="Times New Roman" w:hAnsi="Times New Roman"/>
          <w:sz w:val="22"/>
          <w:szCs w:val="22"/>
          <w:lang w:val="el-GR"/>
        </w:rPr>
        <w:t>Σε ορισμένους ασθενείς έχει αναφερθεί αύξηση των επιπέδων της μεθοτρεξάτης όταν συγχορηγείται μαζί με αναστολείς της αντλίας πρωτονίων. Σε χορήγηση υψηλών δόσεων μεθοτρεξάτης μπορεί να χρε</w:t>
      </w:r>
      <w:r w:rsidR="00D67627" w:rsidRPr="008B2AE9">
        <w:rPr>
          <w:rFonts w:ascii="Times New Roman" w:hAnsi="Times New Roman"/>
          <w:sz w:val="22"/>
          <w:szCs w:val="22"/>
          <w:lang w:val="el-GR"/>
        </w:rPr>
        <w:t xml:space="preserve">ιαστεί να εξεταστεί μια </w:t>
      </w:r>
      <w:r w:rsidRPr="008B2AE9">
        <w:rPr>
          <w:rFonts w:ascii="Times New Roman" w:hAnsi="Times New Roman"/>
          <w:sz w:val="22"/>
          <w:szCs w:val="22"/>
          <w:lang w:val="el-GR"/>
        </w:rPr>
        <w:t xml:space="preserve">παροδική διακοπή της εσομεπραζόλης. </w:t>
      </w:r>
    </w:p>
    <w:p w:rsidR="006774AA" w:rsidRPr="008B2AE9" w:rsidRDefault="006774AA" w:rsidP="00773CDA">
      <w:pPr>
        <w:pStyle w:val="30"/>
        <w:spacing w:line="240" w:lineRule="auto"/>
        <w:ind w:right="-142"/>
        <w:jc w:val="both"/>
        <w:rPr>
          <w:rFonts w:ascii="Times New Roman" w:hAnsi="Times New Roman"/>
          <w:b w:val="0"/>
          <w:bCs/>
          <w:i/>
          <w:sz w:val="22"/>
          <w:szCs w:val="22"/>
          <w:u w:val="single"/>
        </w:rPr>
      </w:pPr>
    </w:p>
    <w:p w:rsidR="00270C3B" w:rsidRPr="008B2AE9" w:rsidRDefault="00CD7DDF" w:rsidP="00270C3B">
      <w:pPr>
        <w:pStyle w:val="30"/>
        <w:ind w:right="-142"/>
        <w:jc w:val="both"/>
        <w:rPr>
          <w:rFonts w:ascii="Times New Roman" w:hAnsi="Times New Roman"/>
          <w:b w:val="0"/>
          <w:bCs/>
          <w:sz w:val="22"/>
          <w:szCs w:val="22"/>
          <w:u w:val="single"/>
        </w:rPr>
      </w:pPr>
      <w:r w:rsidRPr="008B2AE9">
        <w:rPr>
          <w:rFonts w:ascii="Times New Roman" w:hAnsi="Times New Roman"/>
          <w:b w:val="0"/>
          <w:bCs/>
          <w:sz w:val="22"/>
          <w:szCs w:val="22"/>
          <w:u w:val="single"/>
        </w:rPr>
        <w:t>Τακρόλιμους</w:t>
      </w:r>
    </w:p>
    <w:p w:rsidR="00270C3B" w:rsidRPr="008B2AE9" w:rsidRDefault="00270C3B" w:rsidP="00270C3B">
      <w:pPr>
        <w:pStyle w:val="30"/>
        <w:spacing w:line="240" w:lineRule="auto"/>
        <w:ind w:right="-142"/>
        <w:jc w:val="both"/>
        <w:rPr>
          <w:rFonts w:ascii="Times New Roman" w:hAnsi="Times New Roman"/>
          <w:b w:val="0"/>
          <w:bCs/>
          <w:sz w:val="22"/>
          <w:szCs w:val="22"/>
        </w:rPr>
      </w:pPr>
      <w:r w:rsidRPr="008B2AE9">
        <w:rPr>
          <w:rFonts w:ascii="Times New Roman" w:hAnsi="Times New Roman"/>
          <w:b w:val="0"/>
          <w:bCs/>
          <w:sz w:val="22"/>
          <w:szCs w:val="22"/>
        </w:rPr>
        <w:t>Η ταυτόχρονη χορήγηση της εσομεπραζόλης έχει αναφερθεί ότι αυξάνει τα επίπεδα της τακρόλιμους στον ορό. Μια ενισχυμένη παρακολούθηση τ</w:t>
      </w:r>
      <w:r w:rsidR="00CC3277" w:rsidRPr="008B2AE9">
        <w:rPr>
          <w:rFonts w:ascii="Times New Roman" w:hAnsi="Times New Roman"/>
          <w:b w:val="0"/>
          <w:bCs/>
          <w:sz w:val="22"/>
          <w:szCs w:val="22"/>
        </w:rPr>
        <w:t>ων</w:t>
      </w:r>
      <w:r w:rsidRPr="008B2AE9">
        <w:rPr>
          <w:rFonts w:ascii="Times New Roman" w:hAnsi="Times New Roman"/>
          <w:b w:val="0"/>
          <w:bCs/>
          <w:sz w:val="22"/>
          <w:szCs w:val="22"/>
        </w:rPr>
        <w:t xml:space="preserve"> συγκ</w:t>
      </w:r>
      <w:r w:rsidR="00CC3277" w:rsidRPr="008B2AE9">
        <w:rPr>
          <w:rFonts w:ascii="Times New Roman" w:hAnsi="Times New Roman"/>
          <w:b w:val="0"/>
          <w:bCs/>
          <w:sz w:val="22"/>
          <w:szCs w:val="22"/>
        </w:rPr>
        <w:t>ε</w:t>
      </w:r>
      <w:r w:rsidRPr="008B2AE9">
        <w:rPr>
          <w:rFonts w:ascii="Times New Roman" w:hAnsi="Times New Roman"/>
          <w:b w:val="0"/>
          <w:bCs/>
          <w:sz w:val="22"/>
          <w:szCs w:val="22"/>
        </w:rPr>
        <w:t>ντρ</w:t>
      </w:r>
      <w:r w:rsidR="00CC3277" w:rsidRPr="008B2AE9">
        <w:rPr>
          <w:rFonts w:ascii="Times New Roman" w:hAnsi="Times New Roman"/>
          <w:b w:val="0"/>
          <w:bCs/>
          <w:sz w:val="22"/>
          <w:szCs w:val="22"/>
        </w:rPr>
        <w:t>ώ</w:t>
      </w:r>
      <w:r w:rsidRPr="008B2AE9">
        <w:rPr>
          <w:rFonts w:ascii="Times New Roman" w:hAnsi="Times New Roman"/>
          <w:b w:val="0"/>
          <w:bCs/>
          <w:sz w:val="22"/>
          <w:szCs w:val="22"/>
        </w:rPr>
        <w:t>σ</w:t>
      </w:r>
      <w:r w:rsidR="00CC3277" w:rsidRPr="008B2AE9">
        <w:rPr>
          <w:rFonts w:ascii="Times New Roman" w:hAnsi="Times New Roman"/>
          <w:b w:val="0"/>
          <w:bCs/>
          <w:sz w:val="22"/>
          <w:szCs w:val="22"/>
        </w:rPr>
        <w:t>εων της</w:t>
      </w:r>
      <w:r w:rsidRPr="008B2AE9">
        <w:rPr>
          <w:rFonts w:ascii="Times New Roman" w:hAnsi="Times New Roman"/>
          <w:b w:val="0"/>
          <w:bCs/>
          <w:sz w:val="22"/>
          <w:szCs w:val="22"/>
        </w:rPr>
        <w:t xml:space="preserve"> τακρόλιμους καθώς και της νεφρικής λειτουργίας (κάθαρση κρεατινίνης) πρέπει να εκτελούνται, καθώς και η </w:t>
      </w:r>
      <w:r w:rsidR="00333BC5" w:rsidRPr="008B2AE9">
        <w:rPr>
          <w:rFonts w:ascii="Times New Roman" w:hAnsi="Times New Roman"/>
          <w:b w:val="0"/>
          <w:bCs/>
          <w:sz w:val="22"/>
          <w:szCs w:val="22"/>
        </w:rPr>
        <w:t xml:space="preserve">προσαρμογή της </w:t>
      </w:r>
      <w:r w:rsidRPr="008B2AE9">
        <w:rPr>
          <w:rFonts w:ascii="Times New Roman" w:hAnsi="Times New Roman"/>
          <w:b w:val="0"/>
          <w:bCs/>
          <w:sz w:val="22"/>
          <w:szCs w:val="22"/>
        </w:rPr>
        <w:t>δόση της τακρόλιμους εάν χρειάζεται.</w:t>
      </w:r>
    </w:p>
    <w:p w:rsidR="00270C3B" w:rsidRPr="008B2AE9" w:rsidRDefault="00270C3B" w:rsidP="00270C3B">
      <w:pPr>
        <w:pStyle w:val="30"/>
        <w:spacing w:line="240" w:lineRule="auto"/>
        <w:ind w:right="-142"/>
        <w:jc w:val="both"/>
        <w:rPr>
          <w:rFonts w:ascii="Times New Roman" w:hAnsi="Times New Roman"/>
          <w:b w:val="0"/>
          <w:bCs/>
          <w:i/>
          <w:sz w:val="22"/>
          <w:szCs w:val="22"/>
          <w:u w:val="single"/>
        </w:rPr>
      </w:pPr>
    </w:p>
    <w:p w:rsidR="00E72235" w:rsidRPr="008B2AE9" w:rsidRDefault="00E72235" w:rsidP="00270C3B">
      <w:pPr>
        <w:pStyle w:val="30"/>
        <w:spacing w:line="240" w:lineRule="auto"/>
        <w:ind w:right="-142"/>
        <w:jc w:val="both"/>
        <w:rPr>
          <w:rFonts w:ascii="Times New Roman" w:hAnsi="Times New Roman"/>
          <w:b w:val="0"/>
          <w:bCs/>
          <w:sz w:val="22"/>
          <w:szCs w:val="22"/>
          <w:u w:val="single"/>
        </w:rPr>
      </w:pPr>
      <w:r w:rsidRPr="008B2AE9">
        <w:rPr>
          <w:rFonts w:ascii="Times New Roman" w:hAnsi="Times New Roman"/>
          <w:b w:val="0"/>
          <w:bCs/>
          <w:sz w:val="22"/>
          <w:szCs w:val="22"/>
          <w:u w:val="single"/>
        </w:rPr>
        <w:t>Φαρμακευτικά προϊόντα των οποίων η</w:t>
      </w:r>
      <w:r w:rsidR="006C424F" w:rsidRPr="008B2AE9">
        <w:rPr>
          <w:rFonts w:ascii="Times New Roman" w:hAnsi="Times New Roman"/>
          <w:b w:val="0"/>
          <w:bCs/>
          <w:sz w:val="22"/>
          <w:szCs w:val="22"/>
          <w:u w:val="single"/>
        </w:rPr>
        <w:t xml:space="preserve"> </w:t>
      </w:r>
      <w:r w:rsidRPr="008B2AE9">
        <w:rPr>
          <w:rFonts w:ascii="Times New Roman" w:hAnsi="Times New Roman"/>
          <w:b w:val="0"/>
          <w:bCs/>
          <w:sz w:val="22"/>
          <w:szCs w:val="22"/>
          <w:u w:val="single"/>
        </w:rPr>
        <w:t xml:space="preserve">απορρόφηση εξαρτάται από το pH </w:t>
      </w:r>
    </w:p>
    <w:p w:rsidR="00E72235" w:rsidRPr="008B2AE9" w:rsidRDefault="00E72235" w:rsidP="00773CDA">
      <w:pPr>
        <w:pStyle w:val="30"/>
        <w:spacing w:line="240" w:lineRule="auto"/>
        <w:jc w:val="both"/>
        <w:rPr>
          <w:rFonts w:ascii="Times New Roman" w:hAnsi="Times New Roman"/>
          <w:b w:val="0"/>
          <w:bCs/>
          <w:sz w:val="22"/>
          <w:szCs w:val="22"/>
        </w:rPr>
      </w:pPr>
      <w:r w:rsidRPr="008B2AE9">
        <w:rPr>
          <w:rFonts w:ascii="Times New Roman" w:hAnsi="Times New Roman"/>
          <w:b w:val="0"/>
          <w:bCs/>
          <w:sz w:val="22"/>
          <w:szCs w:val="22"/>
        </w:rPr>
        <w:t xml:space="preserve">Η </w:t>
      </w:r>
      <w:r w:rsidR="003F4DD8" w:rsidRPr="008B2AE9">
        <w:rPr>
          <w:rFonts w:ascii="Times New Roman" w:hAnsi="Times New Roman"/>
          <w:b w:val="0"/>
          <w:sz w:val="22"/>
          <w:szCs w:val="22"/>
        </w:rPr>
        <w:t>καταστολή της γαστρικής οξύτητας</w:t>
      </w:r>
      <w:r w:rsidR="003F4DD8" w:rsidRPr="008B2AE9">
        <w:rPr>
          <w:rFonts w:ascii="Times New Roman" w:hAnsi="Times New Roman"/>
          <w:sz w:val="22"/>
          <w:szCs w:val="22"/>
        </w:rPr>
        <w:t xml:space="preserve"> </w:t>
      </w:r>
      <w:r w:rsidRPr="008B2AE9">
        <w:rPr>
          <w:rFonts w:ascii="Times New Roman" w:hAnsi="Times New Roman"/>
          <w:b w:val="0"/>
          <w:bCs/>
          <w:sz w:val="22"/>
          <w:szCs w:val="22"/>
        </w:rPr>
        <w:t xml:space="preserve">κατά τη διάρκεια θεραπείας με εσομεπραζόλη </w:t>
      </w:r>
      <w:r w:rsidR="00DB3F90" w:rsidRPr="008B2AE9">
        <w:rPr>
          <w:rFonts w:ascii="Times New Roman" w:hAnsi="Times New Roman"/>
          <w:b w:val="0"/>
          <w:sz w:val="22"/>
          <w:szCs w:val="22"/>
        </w:rPr>
        <w:t>και</w:t>
      </w:r>
      <w:r w:rsidR="003F4DD8" w:rsidRPr="008B2AE9">
        <w:rPr>
          <w:rFonts w:ascii="Times New Roman" w:hAnsi="Times New Roman"/>
          <w:b w:val="0"/>
          <w:sz w:val="22"/>
          <w:szCs w:val="22"/>
        </w:rPr>
        <w:t xml:space="preserve"> άλλους αναστολείς της αντλίας πρωτονίων</w:t>
      </w:r>
      <w:r w:rsidR="003F4DD8" w:rsidRPr="008B2AE9">
        <w:rPr>
          <w:rFonts w:ascii="Times New Roman" w:hAnsi="Times New Roman"/>
          <w:b w:val="0"/>
          <w:bCs/>
          <w:sz w:val="22"/>
          <w:szCs w:val="22"/>
        </w:rPr>
        <w:t xml:space="preserve"> </w:t>
      </w:r>
      <w:r w:rsidRPr="008B2AE9">
        <w:rPr>
          <w:rFonts w:ascii="Times New Roman" w:hAnsi="Times New Roman"/>
          <w:b w:val="0"/>
          <w:bCs/>
          <w:sz w:val="22"/>
          <w:szCs w:val="22"/>
        </w:rPr>
        <w:t xml:space="preserve">μπορεί να μειώσει </w:t>
      </w:r>
      <w:r w:rsidR="003F4DD8" w:rsidRPr="008B2AE9">
        <w:rPr>
          <w:rFonts w:ascii="Times New Roman" w:hAnsi="Times New Roman"/>
          <w:b w:val="0"/>
          <w:bCs/>
          <w:sz w:val="22"/>
          <w:szCs w:val="22"/>
        </w:rPr>
        <w:t xml:space="preserve">ή να αυξήσει </w:t>
      </w:r>
      <w:r w:rsidRPr="008B2AE9">
        <w:rPr>
          <w:rFonts w:ascii="Times New Roman" w:hAnsi="Times New Roman"/>
          <w:b w:val="0"/>
          <w:bCs/>
          <w:sz w:val="22"/>
          <w:szCs w:val="22"/>
        </w:rPr>
        <w:t xml:space="preserve">την απορρόφηση κάποιων </w:t>
      </w:r>
      <w:r w:rsidR="003F4DD8" w:rsidRPr="008B2AE9">
        <w:rPr>
          <w:rFonts w:ascii="Times New Roman" w:hAnsi="Times New Roman"/>
          <w:b w:val="0"/>
          <w:sz w:val="22"/>
          <w:szCs w:val="22"/>
        </w:rPr>
        <w:t>φαρμακευτικών προϊόντων των οποίων η απορρόφηση εξαρτάται από το γαστρικό pH</w:t>
      </w:r>
      <w:r w:rsidRPr="008B2AE9">
        <w:rPr>
          <w:rFonts w:ascii="Times New Roman" w:hAnsi="Times New Roman"/>
          <w:b w:val="0"/>
          <w:bCs/>
          <w:sz w:val="22"/>
          <w:szCs w:val="22"/>
        </w:rPr>
        <w:t>. Όπως συμβαίνει</w:t>
      </w:r>
      <w:r w:rsidR="003F4DD8" w:rsidRPr="008B2AE9">
        <w:rPr>
          <w:rFonts w:ascii="Times New Roman" w:hAnsi="Times New Roman"/>
          <w:b w:val="0"/>
          <w:sz w:val="22"/>
          <w:szCs w:val="22"/>
        </w:rPr>
        <w:t xml:space="preserve"> με άλλα φαρμακευτικά προϊόντα τα οποία μειώνουν την ενδογαστρική οξύτητα</w:t>
      </w:r>
      <w:r w:rsidRPr="008B2AE9">
        <w:rPr>
          <w:rFonts w:ascii="Times New Roman" w:hAnsi="Times New Roman"/>
          <w:b w:val="0"/>
          <w:bCs/>
          <w:sz w:val="22"/>
          <w:szCs w:val="22"/>
        </w:rPr>
        <w:t xml:space="preserve">, η απορρόφηση </w:t>
      </w:r>
      <w:r w:rsidR="003F4DD8" w:rsidRPr="008B2AE9">
        <w:rPr>
          <w:rFonts w:ascii="Times New Roman" w:hAnsi="Times New Roman"/>
          <w:b w:val="0"/>
          <w:sz w:val="22"/>
          <w:szCs w:val="22"/>
        </w:rPr>
        <w:t>φαρμακευτικών προϊόντων όπως η</w:t>
      </w:r>
      <w:r w:rsidRPr="008B2AE9">
        <w:rPr>
          <w:rFonts w:ascii="Times New Roman" w:hAnsi="Times New Roman"/>
          <w:b w:val="0"/>
          <w:bCs/>
          <w:sz w:val="22"/>
          <w:szCs w:val="22"/>
        </w:rPr>
        <w:t xml:space="preserve"> κετοκοναζόλη</w:t>
      </w:r>
      <w:r w:rsidR="00585B9B" w:rsidRPr="008B2AE9">
        <w:rPr>
          <w:rFonts w:ascii="Times New Roman" w:hAnsi="Times New Roman"/>
          <w:b w:val="0"/>
          <w:bCs/>
          <w:sz w:val="22"/>
          <w:szCs w:val="22"/>
        </w:rPr>
        <w:t>,</w:t>
      </w:r>
      <w:r w:rsidRPr="008B2AE9">
        <w:rPr>
          <w:rFonts w:ascii="Times New Roman" w:hAnsi="Times New Roman"/>
          <w:b w:val="0"/>
          <w:bCs/>
          <w:sz w:val="22"/>
          <w:szCs w:val="22"/>
        </w:rPr>
        <w:t xml:space="preserve"> </w:t>
      </w:r>
      <w:r w:rsidR="00585B9B" w:rsidRPr="008B2AE9">
        <w:rPr>
          <w:rFonts w:ascii="Times New Roman" w:hAnsi="Times New Roman"/>
          <w:b w:val="0"/>
          <w:bCs/>
          <w:sz w:val="22"/>
          <w:szCs w:val="22"/>
        </w:rPr>
        <w:t>η</w:t>
      </w:r>
      <w:r w:rsidRPr="008B2AE9">
        <w:rPr>
          <w:rFonts w:ascii="Times New Roman" w:hAnsi="Times New Roman"/>
          <w:b w:val="0"/>
          <w:bCs/>
          <w:sz w:val="22"/>
          <w:szCs w:val="22"/>
        </w:rPr>
        <w:t xml:space="preserve"> ιτρακοναζόλη </w:t>
      </w:r>
      <w:r w:rsidR="003F4DD8" w:rsidRPr="008B2AE9">
        <w:rPr>
          <w:rFonts w:ascii="Times New Roman" w:hAnsi="Times New Roman"/>
          <w:b w:val="0"/>
          <w:sz w:val="22"/>
          <w:szCs w:val="22"/>
        </w:rPr>
        <w:t>και η ερλοτινίμπη</w:t>
      </w:r>
      <w:r w:rsidR="003F4DD8" w:rsidRPr="008B2AE9">
        <w:rPr>
          <w:rFonts w:ascii="Times New Roman" w:hAnsi="Times New Roman"/>
          <w:sz w:val="22"/>
          <w:szCs w:val="22"/>
        </w:rPr>
        <w:t xml:space="preserve"> </w:t>
      </w:r>
      <w:r w:rsidRPr="008B2AE9">
        <w:rPr>
          <w:rFonts w:ascii="Times New Roman" w:hAnsi="Times New Roman"/>
          <w:b w:val="0"/>
          <w:bCs/>
          <w:sz w:val="22"/>
          <w:szCs w:val="22"/>
        </w:rPr>
        <w:t xml:space="preserve">μπορεί να μειωθεί </w:t>
      </w:r>
      <w:r w:rsidR="008B4261" w:rsidRPr="008B2AE9">
        <w:rPr>
          <w:rFonts w:ascii="Times New Roman" w:hAnsi="Times New Roman"/>
          <w:b w:val="0"/>
          <w:sz w:val="22"/>
          <w:szCs w:val="22"/>
        </w:rPr>
        <w:t xml:space="preserve">και η απορρόφηση της διγοξίνης μπορεί να αυξηθεί κατά τη διάρκεια της θεραπείας με εσομεπραζόλη. Ταυτόχρονη θεραπεία με ομεπραζόλη (20 mg την </w:t>
      </w:r>
      <w:r w:rsidR="008B4261" w:rsidRPr="008B2AE9">
        <w:rPr>
          <w:rFonts w:ascii="Times New Roman" w:hAnsi="Times New Roman"/>
          <w:b w:val="0"/>
          <w:sz w:val="22"/>
          <w:szCs w:val="22"/>
        </w:rPr>
        <w:lastRenderedPageBreak/>
        <w:t>ημέρα) και δ</w:t>
      </w:r>
      <w:r w:rsidR="005F5571" w:rsidRPr="008B2AE9">
        <w:rPr>
          <w:rFonts w:ascii="Times New Roman" w:hAnsi="Times New Roman"/>
          <w:b w:val="0"/>
          <w:sz w:val="22"/>
          <w:szCs w:val="22"/>
        </w:rPr>
        <w:t>ιγοξίνη σε υγιή άτομα αύξησε τη</w:t>
      </w:r>
      <w:r w:rsidR="008B4261" w:rsidRPr="008B2AE9">
        <w:rPr>
          <w:rFonts w:ascii="Times New Roman" w:hAnsi="Times New Roman"/>
          <w:b w:val="0"/>
          <w:sz w:val="22"/>
          <w:szCs w:val="22"/>
        </w:rPr>
        <w:t xml:space="preserve"> βιοδιαθεσιμότητα της διγοξίνης κατά 10% (μέχρι 30% σε δύο από τα δέκα άτομα). Σπάνια έχει αναφερθεί τοξικότητα διγοξίνης. Εντούτοις, συνιστάται προσοχή όταν χορηγείται εσομεπραζόλη σε υψηλές δόσεις σε ηλικιωμένους ασθενείς. Στην περίπτωση αυτή, πρέπει να ενισχύεται η θεραπευτική παρακολούθηση της διγοξίνης. </w:t>
      </w:r>
    </w:p>
    <w:p w:rsidR="005B1825" w:rsidRPr="008B2AE9" w:rsidRDefault="005B1825" w:rsidP="00773CDA">
      <w:pPr>
        <w:jc w:val="both"/>
        <w:rPr>
          <w:rFonts w:ascii="Times New Roman" w:hAnsi="Times New Roman"/>
          <w:sz w:val="22"/>
          <w:szCs w:val="22"/>
          <w:lang w:val="el-GR"/>
        </w:rPr>
      </w:pPr>
    </w:p>
    <w:p w:rsidR="00E72235" w:rsidRPr="008B2AE9" w:rsidRDefault="005F5571" w:rsidP="00773CDA">
      <w:pPr>
        <w:jc w:val="both"/>
        <w:rPr>
          <w:rFonts w:ascii="Times New Roman" w:hAnsi="Times New Roman"/>
          <w:bCs/>
          <w:sz w:val="22"/>
          <w:szCs w:val="22"/>
          <w:lang w:val="el-GR"/>
        </w:rPr>
      </w:pPr>
      <w:r w:rsidRPr="008B2AE9">
        <w:rPr>
          <w:rFonts w:ascii="Times New Roman" w:hAnsi="Times New Roman"/>
          <w:bCs/>
          <w:sz w:val="22"/>
          <w:szCs w:val="22"/>
          <w:u w:val="single"/>
          <w:lang w:val="el-GR"/>
        </w:rPr>
        <w:t>Φαρμακευτικά προϊόντα</w:t>
      </w:r>
      <w:r w:rsidR="00E72235" w:rsidRPr="008B2AE9">
        <w:rPr>
          <w:rFonts w:ascii="Times New Roman" w:hAnsi="Times New Roman"/>
          <w:bCs/>
          <w:sz w:val="22"/>
          <w:szCs w:val="22"/>
          <w:u w:val="single"/>
          <w:lang w:val="el-GR"/>
        </w:rPr>
        <w:t xml:space="preserve"> τα οποία μεταβολίζονται από το CYP2C19 </w:t>
      </w:r>
    </w:p>
    <w:p w:rsidR="00FB7194" w:rsidRPr="008B2AE9" w:rsidRDefault="00E72235" w:rsidP="00773CDA">
      <w:pPr>
        <w:jc w:val="both"/>
        <w:rPr>
          <w:rFonts w:ascii="Times New Roman" w:hAnsi="Times New Roman"/>
          <w:sz w:val="22"/>
          <w:szCs w:val="22"/>
          <w:lang w:val="el-GR"/>
        </w:rPr>
      </w:pPr>
      <w:r w:rsidRPr="008B2AE9">
        <w:rPr>
          <w:rFonts w:ascii="Times New Roman" w:hAnsi="Times New Roman"/>
          <w:sz w:val="22"/>
          <w:szCs w:val="22"/>
          <w:lang w:val="el-GR"/>
        </w:rPr>
        <w:t xml:space="preserve">Η εσομεπραζόλη αναστέλλει το CYP2C19, το κύριο ένζυμο που μεταβολίζει την εσομεπραζόλη. Έτσι, στις περιπτώσεις που η εσομεπραζόλη συνδυάζεται με </w:t>
      </w:r>
      <w:r w:rsidR="00662B64" w:rsidRPr="008B2AE9">
        <w:rPr>
          <w:rFonts w:ascii="Times New Roman" w:hAnsi="Times New Roman"/>
          <w:sz w:val="22"/>
          <w:szCs w:val="22"/>
          <w:lang w:val="el-GR"/>
        </w:rPr>
        <w:t>φαρμακευτικά προϊόντα</w:t>
      </w:r>
      <w:r w:rsidRPr="008B2AE9">
        <w:rPr>
          <w:rFonts w:ascii="Times New Roman" w:hAnsi="Times New Roman"/>
          <w:sz w:val="22"/>
          <w:szCs w:val="22"/>
          <w:lang w:val="el-GR"/>
        </w:rPr>
        <w:t xml:space="preserve"> που μεταβολίζονται από το CYP2C19, όπως η διαζεπάμη, σιταλοπράμη, ιμιπραμίνη, κλομιπραμίνη, φαινυτοΐνη κ.λ.π., μπορεί να αυξηθ</w:t>
      </w:r>
      <w:r w:rsidR="00EA4F2E" w:rsidRPr="008B2AE9">
        <w:rPr>
          <w:rFonts w:ascii="Times New Roman" w:hAnsi="Times New Roman"/>
          <w:sz w:val="22"/>
          <w:szCs w:val="22"/>
          <w:lang w:val="el-GR"/>
        </w:rPr>
        <w:t>ούν</w:t>
      </w:r>
      <w:r w:rsidRPr="008B2AE9">
        <w:rPr>
          <w:rFonts w:ascii="Times New Roman" w:hAnsi="Times New Roman"/>
          <w:sz w:val="22"/>
          <w:szCs w:val="22"/>
          <w:lang w:val="el-GR"/>
        </w:rPr>
        <w:t xml:space="preserve"> </w:t>
      </w:r>
      <w:r w:rsidR="00EA4F2E" w:rsidRPr="008B2AE9">
        <w:rPr>
          <w:rFonts w:ascii="Times New Roman" w:hAnsi="Times New Roman"/>
          <w:sz w:val="22"/>
          <w:szCs w:val="22"/>
          <w:lang w:val="el-GR"/>
        </w:rPr>
        <w:t>οι</w:t>
      </w:r>
      <w:r w:rsidRPr="008B2AE9">
        <w:rPr>
          <w:rFonts w:ascii="Times New Roman" w:hAnsi="Times New Roman"/>
          <w:sz w:val="22"/>
          <w:szCs w:val="22"/>
          <w:lang w:val="el-GR"/>
        </w:rPr>
        <w:t xml:space="preserve"> συγκ</w:t>
      </w:r>
      <w:r w:rsidR="00EA4F2E" w:rsidRPr="008B2AE9">
        <w:rPr>
          <w:rFonts w:ascii="Times New Roman" w:hAnsi="Times New Roman"/>
          <w:sz w:val="22"/>
          <w:szCs w:val="22"/>
          <w:lang w:val="el-GR"/>
        </w:rPr>
        <w:t>εντρώσεις</w:t>
      </w:r>
      <w:r w:rsidRPr="008B2AE9">
        <w:rPr>
          <w:rFonts w:ascii="Times New Roman" w:hAnsi="Times New Roman"/>
          <w:sz w:val="22"/>
          <w:szCs w:val="22"/>
          <w:lang w:val="el-GR"/>
        </w:rPr>
        <w:t xml:space="preserve"> αυτών των </w:t>
      </w:r>
      <w:r w:rsidR="0051333C" w:rsidRPr="008B2AE9">
        <w:rPr>
          <w:rFonts w:ascii="Times New Roman" w:hAnsi="Times New Roman"/>
          <w:sz w:val="22"/>
          <w:szCs w:val="22"/>
          <w:lang w:val="el-GR"/>
        </w:rPr>
        <w:t>φαρμακευτικών προϊόντων</w:t>
      </w:r>
      <w:r w:rsidRPr="008B2AE9">
        <w:rPr>
          <w:rFonts w:ascii="Times New Roman" w:hAnsi="Times New Roman"/>
          <w:sz w:val="22"/>
          <w:szCs w:val="22"/>
          <w:lang w:val="el-GR"/>
        </w:rPr>
        <w:t xml:space="preserve"> στο πλάσμα και να χρειαστεί μείωση της δόσης τους. </w:t>
      </w:r>
    </w:p>
    <w:p w:rsidR="00BC7860" w:rsidRPr="008B2AE9" w:rsidRDefault="003D7CA7" w:rsidP="00BC7860">
      <w:pPr>
        <w:jc w:val="both"/>
        <w:rPr>
          <w:rFonts w:ascii="Times New Roman" w:hAnsi="Times New Roman"/>
          <w:sz w:val="22"/>
          <w:szCs w:val="22"/>
          <w:lang w:val="el-GR"/>
        </w:rPr>
      </w:pPr>
      <w:r w:rsidRPr="008B2AE9">
        <w:rPr>
          <w:rFonts w:ascii="Times New Roman" w:hAnsi="Times New Roman"/>
          <w:sz w:val="22"/>
          <w:szCs w:val="22"/>
          <w:lang w:val="el-GR"/>
        </w:rPr>
        <w:t xml:space="preserve">Δεν έχουν </w:t>
      </w:r>
      <w:r w:rsidR="000C3784" w:rsidRPr="008B2AE9">
        <w:rPr>
          <w:rFonts w:ascii="Times New Roman" w:hAnsi="Times New Roman"/>
          <w:sz w:val="22"/>
          <w:szCs w:val="22"/>
          <w:lang w:val="el-GR"/>
        </w:rPr>
        <w:t xml:space="preserve">διεξαχθεί </w:t>
      </w:r>
      <w:r w:rsidRPr="008B2AE9">
        <w:rPr>
          <w:rFonts w:ascii="Times New Roman" w:hAnsi="Times New Roman"/>
          <w:sz w:val="22"/>
          <w:szCs w:val="22"/>
        </w:rPr>
        <w:t>in</w:t>
      </w:r>
      <w:r w:rsidRPr="008B2AE9">
        <w:rPr>
          <w:rFonts w:ascii="Times New Roman" w:hAnsi="Times New Roman"/>
          <w:sz w:val="22"/>
          <w:szCs w:val="22"/>
          <w:lang w:val="el-GR"/>
        </w:rPr>
        <w:t xml:space="preserve"> </w:t>
      </w:r>
      <w:r w:rsidRPr="008B2AE9">
        <w:rPr>
          <w:rFonts w:ascii="Times New Roman" w:hAnsi="Times New Roman"/>
          <w:sz w:val="22"/>
          <w:szCs w:val="22"/>
        </w:rPr>
        <w:t>vivo</w:t>
      </w:r>
      <w:r w:rsidRPr="008B2AE9">
        <w:rPr>
          <w:rFonts w:ascii="Times New Roman" w:hAnsi="Times New Roman"/>
          <w:sz w:val="22"/>
          <w:szCs w:val="22"/>
          <w:lang w:val="el-GR"/>
        </w:rPr>
        <w:t xml:space="preserve"> μελέτες αλληλεπίδρασης </w:t>
      </w:r>
      <w:r w:rsidR="00BC7860" w:rsidRPr="008B2AE9">
        <w:rPr>
          <w:rFonts w:ascii="Times New Roman" w:hAnsi="Times New Roman"/>
          <w:sz w:val="22"/>
          <w:szCs w:val="22"/>
          <w:lang w:val="el-GR"/>
        </w:rPr>
        <w:t xml:space="preserve">με το υψηλό ενδοφλέβιο δοσολογικό σχήμα (80mg+8mg/h). </w:t>
      </w:r>
      <w:r w:rsidRPr="008B2AE9">
        <w:rPr>
          <w:rFonts w:ascii="Times New Roman" w:hAnsi="Times New Roman"/>
          <w:sz w:val="22"/>
          <w:szCs w:val="22"/>
          <w:lang w:val="el-GR"/>
        </w:rPr>
        <w:t xml:space="preserve">Η επίδραση της εσομεπραζόλης στα φαρμακευτικά προϊόντα που μεταβολίζονται από το </w:t>
      </w:r>
      <w:r w:rsidRPr="008B2AE9">
        <w:rPr>
          <w:rFonts w:ascii="Times New Roman" w:hAnsi="Times New Roman"/>
          <w:sz w:val="22"/>
          <w:szCs w:val="22"/>
        </w:rPr>
        <w:t>CYP</w:t>
      </w:r>
      <w:r w:rsidRPr="008B2AE9">
        <w:rPr>
          <w:rFonts w:ascii="Times New Roman" w:hAnsi="Times New Roman"/>
          <w:sz w:val="22"/>
          <w:szCs w:val="22"/>
          <w:lang w:val="el-GR"/>
        </w:rPr>
        <w:t>2</w:t>
      </w:r>
      <w:r w:rsidRPr="008B2AE9">
        <w:rPr>
          <w:rFonts w:ascii="Times New Roman" w:hAnsi="Times New Roman"/>
          <w:sz w:val="22"/>
          <w:szCs w:val="22"/>
        </w:rPr>
        <w:t>C</w:t>
      </w:r>
      <w:r w:rsidRPr="008B2AE9">
        <w:rPr>
          <w:rFonts w:ascii="Times New Roman" w:hAnsi="Times New Roman"/>
          <w:sz w:val="22"/>
          <w:szCs w:val="22"/>
          <w:lang w:val="el-GR"/>
        </w:rPr>
        <w:t xml:space="preserve">19 μπορεί να είναι πιο έντονη κατά τη διάρκεια </w:t>
      </w:r>
      <w:r w:rsidR="00BC7860" w:rsidRPr="008B2AE9">
        <w:rPr>
          <w:rFonts w:ascii="Times New Roman" w:hAnsi="Times New Roman"/>
          <w:sz w:val="22"/>
          <w:szCs w:val="22"/>
          <w:lang w:val="el-GR"/>
        </w:rPr>
        <w:t xml:space="preserve">αυτού του σχήματος και οι ασθενείς πρέπει να ελέγχονται προσεκτικά για ανεπιθύμητες ενέργειες κατά τη διάρκεια της 3ήμερης ενδοφλέβιας θεραπείας. </w:t>
      </w:r>
    </w:p>
    <w:p w:rsidR="003D7CA7" w:rsidRPr="008B2AE9" w:rsidRDefault="003D7CA7" w:rsidP="00773CDA">
      <w:pPr>
        <w:jc w:val="both"/>
        <w:rPr>
          <w:rFonts w:ascii="Times New Roman" w:hAnsi="Times New Roman"/>
          <w:sz w:val="22"/>
          <w:szCs w:val="22"/>
          <w:lang w:val="el-GR"/>
        </w:rPr>
      </w:pPr>
    </w:p>
    <w:p w:rsidR="00DE5483" w:rsidRPr="008B2AE9" w:rsidRDefault="00DE5483" w:rsidP="00773CDA">
      <w:pPr>
        <w:jc w:val="both"/>
        <w:rPr>
          <w:rFonts w:ascii="Times New Roman" w:hAnsi="Times New Roman"/>
          <w:sz w:val="22"/>
          <w:szCs w:val="22"/>
          <w:u w:val="single"/>
          <w:lang w:val="el-GR"/>
        </w:rPr>
      </w:pPr>
      <w:r w:rsidRPr="008B2AE9">
        <w:rPr>
          <w:rFonts w:ascii="Times New Roman" w:hAnsi="Times New Roman"/>
          <w:sz w:val="22"/>
          <w:szCs w:val="22"/>
          <w:u w:val="single"/>
          <w:lang w:val="el-GR"/>
        </w:rPr>
        <w:t>Διαζεπάμη</w:t>
      </w:r>
    </w:p>
    <w:p w:rsidR="00DE5483" w:rsidRPr="008B2AE9" w:rsidRDefault="00E72235" w:rsidP="00773CDA">
      <w:pPr>
        <w:jc w:val="both"/>
        <w:rPr>
          <w:rFonts w:ascii="Times New Roman" w:hAnsi="Times New Roman"/>
          <w:sz w:val="22"/>
          <w:szCs w:val="22"/>
          <w:lang w:val="el-GR"/>
        </w:rPr>
      </w:pPr>
      <w:r w:rsidRPr="008B2AE9">
        <w:rPr>
          <w:rFonts w:ascii="Times New Roman" w:hAnsi="Times New Roman"/>
          <w:sz w:val="22"/>
          <w:szCs w:val="22"/>
          <w:lang w:val="el-GR"/>
        </w:rPr>
        <w:t xml:space="preserve">Η ταυτόχρονη από του στόματος χορήγηση 30 mg εσομεπραζόλης είχε σαν αποτέλεσμα την κατά 45% μείωση της κάθαρσης της διαζεπάμης που είναι υπόστρωμα του CYP2C19. </w:t>
      </w:r>
    </w:p>
    <w:p w:rsidR="00DE5483" w:rsidRPr="008B2AE9" w:rsidRDefault="00DE5483" w:rsidP="00773CDA">
      <w:pPr>
        <w:jc w:val="both"/>
        <w:rPr>
          <w:rFonts w:ascii="Times New Roman" w:hAnsi="Times New Roman"/>
          <w:sz w:val="22"/>
          <w:szCs w:val="22"/>
          <w:lang w:val="el-GR"/>
        </w:rPr>
      </w:pPr>
    </w:p>
    <w:p w:rsidR="00F556DC" w:rsidRPr="008B2AE9" w:rsidRDefault="00F556DC" w:rsidP="00773CDA">
      <w:pPr>
        <w:jc w:val="both"/>
        <w:rPr>
          <w:rFonts w:ascii="Times New Roman" w:hAnsi="Times New Roman"/>
          <w:sz w:val="22"/>
          <w:szCs w:val="22"/>
          <w:u w:val="single"/>
          <w:lang w:val="el-GR"/>
        </w:rPr>
      </w:pPr>
      <w:r w:rsidRPr="008B2AE9">
        <w:rPr>
          <w:rFonts w:ascii="Times New Roman" w:hAnsi="Times New Roman"/>
          <w:sz w:val="22"/>
          <w:szCs w:val="22"/>
          <w:u w:val="single"/>
          <w:lang w:val="el-GR"/>
        </w:rPr>
        <w:t>Φαινυτοΐνη</w:t>
      </w:r>
    </w:p>
    <w:p w:rsidR="00CA700A" w:rsidRPr="008B2AE9" w:rsidRDefault="00E72235" w:rsidP="00773CDA">
      <w:pPr>
        <w:jc w:val="both"/>
        <w:rPr>
          <w:rFonts w:ascii="Times New Roman" w:hAnsi="Times New Roman"/>
          <w:sz w:val="22"/>
          <w:szCs w:val="22"/>
          <w:lang w:val="el-GR"/>
        </w:rPr>
      </w:pPr>
      <w:r w:rsidRPr="008B2AE9">
        <w:rPr>
          <w:rFonts w:ascii="Times New Roman" w:hAnsi="Times New Roman"/>
          <w:sz w:val="22"/>
          <w:szCs w:val="22"/>
          <w:lang w:val="el-GR"/>
        </w:rPr>
        <w:t xml:space="preserve">Η ταυτόχρονη από του στόματος χορήγηση 40 mg εσομεπραζόλης και φαινυτοΐνης σε επιληπτικούς ασθενείς είχε σαν αποτέλεσμα την κατά 13% αύξηση των </w:t>
      </w:r>
      <w:r w:rsidR="00CF6BED" w:rsidRPr="008B2AE9">
        <w:rPr>
          <w:rFonts w:ascii="Times New Roman" w:hAnsi="Times New Roman"/>
          <w:sz w:val="22"/>
          <w:szCs w:val="22"/>
          <w:lang w:val="el-GR"/>
        </w:rPr>
        <w:t>κατώτερων</w:t>
      </w:r>
      <w:r w:rsidRPr="008B2AE9">
        <w:rPr>
          <w:rFonts w:ascii="Times New Roman" w:hAnsi="Times New Roman"/>
          <w:sz w:val="22"/>
          <w:szCs w:val="22"/>
          <w:lang w:val="el-GR"/>
        </w:rPr>
        <w:t xml:space="preserve"> επιπέδων της φαινυτοΐνης στο πλάσμα. Συνιστάται ο έλεγχος των συγκεντρώσεων της φαινυτοΐνης στο πλάσμα όταν αρχίζει ή σταματά η θεραπεία με εσομεπραζόλη. </w:t>
      </w:r>
    </w:p>
    <w:p w:rsidR="00CA700A" w:rsidRPr="008B2AE9" w:rsidRDefault="00CA700A" w:rsidP="00773CDA">
      <w:pPr>
        <w:jc w:val="both"/>
        <w:rPr>
          <w:rFonts w:ascii="Times New Roman" w:hAnsi="Times New Roman"/>
          <w:sz w:val="22"/>
          <w:szCs w:val="22"/>
          <w:lang w:val="el-GR"/>
        </w:rPr>
      </w:pPr>
    </w:p>
    <w:p w:rsidR="00CA700A" w:rsidRPr="008B2AE9" w:rsidRDefault="00CA700A" w:rsidP="00773CDA">
      <w:pPr>
        <w:jc w:val="both"/>
        <w:rPr>
          <w:rFonts w:ascii="Times New Roman" w:hAnsi="Times New Roman"/>
          <w:sz w:val="22"/>
          <w:szCs w:val="22"/>
          <w:u w:val="single"/>
          <w:lang w:val="el-GR"/>
        </w:rPr>
      </w:pPr>
      <w:r w:rsidRPr="008B2AE9">
        <w:rPr>
          <w:rFonts w:ascii="Times New Roman" w:hAnsi="Times New Roman"/>
          <w:sz w:val="22"/>
          <w:szCs w:val="22"/>
          <w:u w:val="single"/>
          <w:lang w:val="el-GR"/>
        </w:rPr>
        <w:t>Βορικοναζόλη</w:t>
      </w:r>
    </w:p>
    <w:p w:rsidR="00E72235" w:rsidRPr="008B2AE9" w:rsidRDefault="00E72235" w:rsidP="00773CDA">
      <w:pPr>
        <w:jc w:val="both"/>
        <w:rPr>
          <w:rFonts w:ascii="Times New Roman" w:hAnsi="Times New Roman"/>
          <w:b/>
          <w:bCs/>
          <w:sz w:val="22"/>
          <w:szCs w:val="22"/>
          <w:lang w:val="el-GR"/>
        </w:rPr>
      </w:pPr>
      <w:r w:rsidRPr="008B2AE9">
        <w:rPr>
          <w:rFonts w:ascii="Times New Roman" w:hAnsi="Times New Roman"/>
          <w:sz w:val="22"/>
          <w:szCs w:val="22"/>
          <w:lang w:val="el-GR"/>
        </w:rPr>
        <w:t xml:space="preserve">Η ομεπραζόλη (40 </w:t>
      </w:r>
      <w:r w:rsidRPr="008B2AE9">
        <w:rPr>
          <w:rFonts w:ascii="Times New Roman" w:hAnsi="Times New Roman"/>
          <w:sz w:val="22"/>
          <w:szCs w:val="22"/>
          <w:lang w:val="en-US"/>
        </w:rPr>
        <w:t>mg</w:t>
      </w:r>
      <w:r w:rsidRPr="008B2AE9">
        <w:rPr>
          <w:rFonts w:ascii="Times New Roman" w:hAnsi="Times New Roman"/>
          <w:sz w:val="22"/>
          <w:szCs w:val="22"/>
          <w:lang w:val="el-GR"/>
        </w:rPr>
        <w:t xml:space="preserve"> εφάπαξ ημερησίως) </w:t>
      </w:r>
      <w:r w:rsidR="002824EE" w:rsidRPr="008B2AE9">
        <w:rPr>
          <w:rFonts w:ascii="Times New Roman" w:hAnsi="Times New Roman"/>
          <w:sz w:val="22"/>
          <w:szCs w:val="22"/>
          <w:lang w:val="el-GR"/>
        </w:rPr>
        <w:t xml:space="preserve">αύξησε </w:t>
      </w:r>
      <w:r w:rsidRPr="008B2AE9">
        <w:rPr>
          <w:rFonts w:ascii="Times New Roman" w:hAnsi="Times New Roman"/>
          <w:sz w:val="22"/>
          <w:szCs w:val="22"/>
          <w:lang w:val="el-GR"/>
        </w:rPr>
        <w:t xml:space="preserve">την </w:t>
      </w:r>
      <w:r w:rsidRPr="008B2AE9">
        <w:rPr>
          <w:rFonts w:ascii="Times New Roman" w:hAnsi="Times New Roman"/>
          <w:sz w:val="22"/>
          <w:szCs w:val="22"/>
          <w:lang w:val="en-US"/>
        </w:rPr>
        <w:t>C</w:t>
      </w:r>
      <w:r w:rsidRPr="008B2AE9">
        <w:rPr>
          <w:rFonts w:ascii="Times New Roman" w:hAnsi="Times New Roman"/>
          <w:sz w:val="22"/>
          <w:szCs w:val="22"/>
          <w:vertAlign w:val="subscript"/>
          <w:lang w:val="en-US"/>
        </w:rPr>
        <w:t>max</w:t>
      </w:r>
      <w:r w:rsidRPr="008B2AE9">
        <w:rPr>
          <w:rFonts w:ascii="Times New Roman" w:hAnsi="Times New Roman"/>
          <w:sz w:val="22"/>
          <w:szCs w:val="22"/>
          <w:lang w:val="el-GR"/>
        </w:rPr>
        <w:t xml:space="preserve"> και την </w:t>
      </w:r>
      <w:r w:rsidRPr="008B2AE9">
        <w:rPr>
          <w:rFonts w:ascii="Times New Roman" w:hAnsi="Times New Roman"/>
          <w:sz w:val="22"/>
          <w:szCs w:val="22"/>
          <w:lang w:val="en-US"/>
        </w:rPr>
        <w:t>AUC</w:t>
      </w:r>
      <w:r w:rsidRPr="008B2AE9">
        <w:rPr>
          <w:rFonts w:ascii="Times New Roman" w:hAnsi="Times New Roman"/>
          <w:sz w:val="22"/>
          <w:szCs w:val="22"/>
          <w:vertAlign w:val="subscript"/>
          <w:lang w:val="el-GR"/>
        </w:rPr>
        <w:t>τ</w:t>
      </w:r>
      <w:r w:rsidRPr="008B2AE9">
        <w:rPr>
          <w:rFonts w:ascii="Times New Roman" w:hAnsi="Times New Roman"/>
          <w:sz w:val="22"/>
          <w:szCs w:val="22"/>
          <w:lang w:val="el-GR"/>
        </w:rPr>
        <w:t xml:space="preserve"> της βορικοναζόλης (υπόστρωμα του CYP2C19) κατά 15% και 41% αντίστοιχα.</w:t>
      </w:r>
    </w:p>
    <w:p w:rsidR="00E72235" w:rsidRPr="008B2AE9" w:rsidRDefault="00E72235" w:rsidP="00773CDA">
      <w:pPr>
        <w:jc w:val="both"/>
        <w:rPr>
          <w:rFonts w:ascii="Times New Roman" w:hAnsi="Times New Roman"/>
          <w:sz w:val="22"/>
          <w:szCs w:val="22"/>
          <w:lang w:val="el-GR"/>
        </w:rPr>
      </w:pPr>
    </w:p>
    <w:p w:rsidR="00334ED4" w:rsidRPr="008B2AE9" w:rsidRDefault="00334ED4" w:rsidP="00334ED4">
      <w:pPr>
        <w:jc w:val="both"/>
        <w:rPr>
          <w:rFonts w:ascii="Times New Roman" w:hAnsi="Times New Roman"/>
          <w:sz w:val="22"/>
          <w:szCs w:val="22"/>
          <w:u w:val="single"/>
          <w:lang w:val="el-GR"/>
        </w:rPr>
      </w:pPr>
      <w:r w:rsidRPr="008B2AE9">
        <w:rPr>
          <w:rFonts w:ascii="Times New Roman" w:hAnsi="Times New Roman"/>
          <w:sz w:val="22"/>
          <w:szCs w:val="22"/>
          <w:u w:val="single"/>
          <w:lang w:val="el-GR"/>
        </w:rPr>
        <w:t>Σιλοσταζόλη</w:t>
      </w:r>
    </w:p>
    <w:p w:rsidR="00334ED4" w:rsidRPr="008B2AE9" w:rsidRDefault="00334ED4" w:rsidP="00334ED4">
      <w:pPr>
        <w:jc w:val="both"/>
        <w:rPr>
          <w:rFonts w:ascii="Times New Roman" w:hAnsi="Times New Roman"/>
          <w:sz w:val="22"/>
          <w:szCs w:val="22"/>
          <w:lang w:val="el-GR"/>
        </w:rPr>
      </w:pPr>
      <w:r w:rsidRPr="008B2AE9">
        <w:rPr>
          <w:rFonts w:ascii="Times New Roman" w:hAnsi="Times New Roman"/>
          <w:sz w:val="22"/>
          <w:szCs w:val="22"/>
          <w:lang w:val="el-GR"/>
        </w:rPr>
        <w:t>Η</w:t>
      </w:r>
      <w:r w:rsidR="00F15C82" w:rsidRPr="008B2AE9">
        <w:rPr>
          <w:rFonts w:ascii="Times New Roman" w:hAnsi="Times New Roman"/>
          <w:sz w:val="22"/>
          <w:szCs w:val="22"/>
          <w:lang w:val="el-GR"/>
        </w:rPr>
        <w:t xml:space="preserve"> </w:t>
      </w:r>
      <w:r w:rsidRPr="008B2AE9">
        <w:rPr>
          <w:rFonts w:ascii="Times New Roman" w:hAnsi="Times New Roman"/>
          <w:sz w:val="22"/>
          <w:szCs w:val="22"/>
          <w:lang w:val="el-GR"/>
        </w:rPr>
        <w:t>ομεπραζόλη όπως η εσομεπραζόλη δρουν ως αναστολείς του CYP2C19. Σε μια διασταυρούμενη μελέτη η ομεπραζόλη χορηγούμενη σε υγι</w:t>
      </w:r>
      <w:r w:rsidR="004A3F1C" w:rsidRPr="008B2AE9">
        <w:rPr>
          <w:rFonts w:ascii="Times New Roman" w:hAnsi="Times New Roman"/>
          <w:sz w:val="22"/>
          <w:szCs w:val="22"/>
          <w:lang w:val="el-GR"/>
        </w:rPr>
        <w:t>ή</w:t>
      </w:r>
      <w:r w:rsidRPr="008B2AE9">
        <w:rPr>
          <w:rFonts w:ascii="Times New Roman" w:hAnsi="Times New Roman"/>
          <w:sz w:val="22"/>
          <w:szCs w:val="22"/>
          <w:lang w:val="el-GR"/>
        </w:rPr>
        <w:t xml:space="preserve"> </w:t>
      </w:r>
      <w:r w:rsidR="004A3F1C" w:rsidRPr="008B2AE9">
        <w:rPr>
          <w:rFonts w:ascii="Times New Roman" w:hAnsi="Times New Roman"/>
          <w:sz w:val="22"/>
          <w:szCs w:val="22"/>
          <w:lang w:val="el-GR"/>
        </w:rPr>
        <w:t>άτομα</w:t>
      </w:r>
      <w:r w:rsidRPr="008B2AE9">
        <w:rPr>
          <w:rFonts w:ascii="Times New Roman" w:hAnsi="Times New Roman"/>
          <w:sz w:val="22"/>
          <w:szCs w:val="22"/>
          <w:lang w:val="el-GR"/>
        </w:rPr>
        <w:t xml:space="preserve"> σε δόσεις των 40 mg</w:t>
      </w:r>
      <w:r w:rsidR="00D26AED" w:rsidRPr="008B2AE9">
        <w:rPr>
          <w:rFonts w:ascii="Times New Roman" w:hAnsi="Times New Roman"/>
          <w:sz w:val="22"/>
          <w:szCs w:val="22"/>
          <w:lang w:val="el-GR"/>
        </w:rPr>
        <w:t>,</w:t>
      </w:r>
      <w:r w:rsidRPr="008B2AE9">
        <w:rPr>
          <w:rFonts w:ascii="Times New Roman" w:hAnsi="Times New Roman"/>
          <w:sz w:val="22"/>
          <w:szCs w:val="22"/>
          <w:lang w:val="el-GR"/>
        </w:rPr>
        <w:t xml:space="preserve"> αύξησε την  Cmax και το AUC της σιλοσταζόλης κατά 18% και 26% αντίστοιχα και ενός από τους δραστικούς μεταβολίτες της κατά 29% και 69% αντίστοιχα.</w:t>
      </w:r>
    </w:p>
    <w:p w:rsidR="00334ED4" w:rsidRPr="008B2AE9" w:rsidRDefault="00334ED4" w:rsidP="00773CDA">
      <w:pPr>
        <w:pStyle w:val="a8"/>
        <w:spacing w:line="240" w:lineRule="auto"/>
        <w:rPr>
          <w:rFonts w:ascii="Times New Roman" w:hAnsi="Times New Roman"/>
          <w:sz w:val="22"/>
          <w:szCs w:val="22"/>
        </w:rPr>
      </w:pPr>
    </w:p>
    <w:p w:rsidR="00065CC6" w:rsidRPr="008B2AE9" w:rsidRDefault="00065CC6" w:rsidP="00065CC6">
      <w:pPr>
        <w:jc w:val="both"/>
        <w:rPr>
          <w:rFonts w:ascii="Times New Roman" w:hAnsi="Times New Roman"/>
          <w:sz w:val="22"/>
          <w:szCs w:val="22"/>
          <w:u w:val="single"/>
          <w:lang w:val="el-GR"/>
        </w:rPr>
      </w:pPr>
      <w:r w:rsidRPr="008B2AE9">
        <w:rPr>
          <w:rFonts w:ascii="Times New Roman" w:hAnsi="Times New Roman"/>
          <w:sz w:val="22"/>
          <w:szCs w:val="22"/>
          <w:u w:val="single"/>
          <w:lang w:val="el-GR"/>
        </w:rPr>
        <w:t>Σι</w:t>
      </w:r>
      <w:r w:rsidR="001E08E2" w:rsidRPr="008B2AE9">
        <w:rPr>
          <w:rFonts w:ascii="Times New Roman" w:hAnsi="Times New Roman"/>
          <w:sz w:val="22"/>
          <w:szCs w:val="22"/>
          <w:u w:val="single"/>
          <w:lang w:val="el-GR"/>
        </w:rPr>
        <w:t>σ</w:t>
      </w:r>
      <w:r w:rsidRPr="008B2AE9">
        <w:rPr>
          <w:rFonts w:ascii="Times New Roman" w:hAnsi="Times New Roman"/>
          <w:sz w:val="22"/>
          <w:szCs w:val="22"/>
          <w:u w:val="single"/>
          <w:lang w:val="el-GR"/>
        </w:rPr>
        <w:t>απρίδη</w:t>
      </w:r>
    </w:p>
    <w:p w:rsidR="00065CC6" w:rsidRPr="008B2AE9" w:rsidRDefault="00065CC6" w:rsidP="00065CC6">
      <w:pPr>
        <w:jc w:val="both"/>
        <w:rPr>
          <w:rFonts w:ascii="Times New Roman" w:hAnsi="Times New Roman"/>
          <w:sz w:val="22"/>
          <w:szCs w:val="22"/>
          <w:lang w:val="el-GR"/>
        </w:rPr>
      </w:pPr>
      <w:r w:rsidRPr="008B2AE9">
        <w:rPr>
          <w:rFonts w:ascii="Times New Roman" w:hAnsi="Times New Roman"/>
          <w:sz w:val="22"/>
          <w:szCs w:val="22"/>
          <w:lang w:val="el-GR"/>
        </w:rPr>
        <w:t>Η ταυτόχρονη από του στόματος χορήγηση 40 mg εσομεπραζόλης και σι</w:t>
      </w:r>
      <w:r w:rsidR="001E08E2" w:rsidRPr="008B2AE9">
        <w:rPr>
          <w:rFonts w:ascii="Times New Roman" w:hAnsi="Times New Roman"/>
          <w:sz w:val="22"/>
          <w:szCs w:val="22"/>
          <w:lang w:val="el-GR"/>
        </w:rPr>
        <w:t>σ</w:t>
      </w:r>
      <w:r w:rsidRPr="008B2AE9">
        <w:rPr>
          <w:rFonts w:ascii="Times New Roman" w:hAnsi="Times New Roman"/>
          <w:sz w:val="22"/>
          <w:szCs w:val="22"/>
          <w:lang w:val="el-GR"/>
        </w:rPr>
        <w:t>απρίδης σε υγιείς εθελοντές είχε σαν αποτέλεσμα την κατά 32% αύξηση της επιφάνειας κάτω από την καμπύλη της συγκέντρωσης στο πλάσμα ως προς τον χρόνο (AUC) και την κατά 31% παράταση του χρόνου ημιζωής (</w:t>
      </w:r>
      <w:r w:rsidRPr="008B2AE9">
        <w:rPr>
          <w:rFonts w:ascii="Times New Roman" w:hAnsi="Times New Roman"/>
          <w:sz w:val="22"/>
          <w:szCs w:val="22"/>
          <w:lang w:val="en-US"/>
        </w:rPr>
        <w:t>t</w:t>
      </w:r>
      <w:r w:rsidRPr="008B2AE9">
        <w:rPr>
          <w:rFonts w:ascii="Times New Roman" w:hAnsi="Times New Roman"/>
          <w:sz w:val="22"/>
          <w:szCs w:val="22"/>
          <w:vertAlign w:val="subscript"/>
          <w:lang w:val="el-GR"/>
        </w:rPr>
        <w:t>1/2</w:t>
      </w:r>
      <w:r w:rsidRPr="008B2AE9">
        <w:rPr>
          <w:rFonts w:ascii="Times New Roman" w:hAnsi="Times New Roman"/>
          <w:sz w:val="22"/>
          <w:szCs w:val="22"/>
          <w:lang w:val="el-GR"/>
        </w:rPr>
        <w:t>) της σι</w:t>
      </w:r>
      <w:r w:rsidR="001E08E2" w:rsidRPr="008B2AE9">
        <w:rPr>
          <w:rFonts w:ascii="Times New Roman" w:hAnsi="Times New Roman"/>
          <w:sz w:val="22"/>
          <w:szCs w:val="22"/>
          <w:lang w:val="el-GR"/>
        </w:rPr>
        <w:t>σ</w:t>
      </w:r>
      <w:r w:rsidRPr="008B2AE9">
        <w:rPr>
          <w:rFonts w:ascii="Times New Roman" w:hAnsi="Times New Roman"/>
          <w:sz w:val="22"/>
          <w:szCs w:val="22"/>
          <w:lang w:val="el-GR"/>
        </w:rPr>
        <w:t>απρίδης, αλλά δεν αύξησε σημαντικά τα υψηλότερα επίπεδα της σι</w:t>
      </w:r>
      <w:r w:rsidR="001E08E2" w:rsidRPr="008B2AE9">
        <w:rPr>
          <w:rFonts w:ascii="Times New Roman" w:hAnsi="Times New Roman"/>
          <w:sz w:val="22"/>
          <w:szCs w:val="22"/>
          <w:lang w:val="el-GR"/>
        </w:rPr>
        <w:t>σ</w:t>
      </w:r>
      <w:r w:rsidRPr="008B2AE9">
        <w:rPr>
          <w:rFonts w:ascii="Times New Roman" w:hAnsi="Times New Roman"/>
          <w:sz w:val="22"/>
          <w:szCs w:val="22"/>
          <w:lang w:val="el-GR"/>
        </w:rPr>
        <w:t>απρίδης στο πλάσμα. Το ελαφρά παρατεταμένο διάστημα QTc που παρατηρείται μετά τη χορήγηση της σι</w:t>
      </w:r>
      <w:r w:rsidR="001E08E2" w:rsidRPr="008B2AE9">
        <w:rPr>
          <w:rFonts w:ascii="Times New Roman" w:hAnsi="Times New Roman"/>
          <w:sz w:val="22"/>
          <w:szCs w:val="22"/>
          <w:lang w:val="el-GR"/>
        </w:rPr>
        <w:t>σ</w:t>
      </w:r>
      <w:r w:rsidRPr="008B2AE9">
        <w:rPr>
          <w:rFonts w:ascii="Times New Roman" w:hAnsi="Times New Roman"/>
          <w:sz w:val="22"/>
          <w:szCs w:val="22"/>
          <w:lang w:val="el-GR"/>
        </w:rPr>
        <w:t>απρίδης ως μονοθεραπεία, δεν παρουσίασε περαιτέρω παράταση όταν η σι</w:t>
      </w:r>
      <w:r w:rsidR="001E08E2" w:rsidRPr="008B2AE9">
        <w:rPr>
          <w:rFonts w:ascii="Times New Roman" w:hAnsi="Times New Roman"/>
          <w:sz w:val="22"/>
          <w:szCs w:val="22"/>
          <w:lang w:val="el-GR"/>
        </w:rPr>
        <w:t>σ</w:t>
      </w:r>
      <w:r w:rsidRPr="008B2AE9">
        <w:rPr>
          <w:rFonts w:ascii="Times New Roman" w:hAnsi="Times New Roman"/>
          <w:sz w:val="22"/>
          <w:szCs w:val="22"/>
          <w:lang w:val="el-GR"/>
        </w:rPr>
        <w:t xml:space="preserve">απρίδη χορηγήθηκε σε συνδυασμό με εσομεπραζόλη. </w:t>
      </w:r>
    </w:p>
    <w:p w:rsidR="00065CC6" w:rsidRPr="008B2AE9" w:rsidRDefault="00065CC6" w:rsidP="00773CDA">
      <w:pPr>
        <w:pStyle w:val="a8"/>
        <w:spacing w:line="240" w:lineRule="auto"/>
        <w:rPr>
          <w:rFonts w:ascii="Times New Roman" w:hAnsi="Times New Roman"/>
          <w:sz w:val="22"/>
          <w:szCs w:val="22"/>
        </w:rPr>
      </w:pPr>
    </w:p>
    <w:p w:rsidR="00E20FCE" w:rsidRPr="008B2AE9" w:rsidRDefault="00E20FCE" w:rsidP="00773CDA">
      <w:pPr>
        <w:pStyle w:val="a8"/>
        <w:spacing w:line="240" w:lineRule="auto"/>
        <w:rPr>
          <w:rFonts w:ascii="Times New Roman" w:hAnsi="Times New Roman"/>
          <w:sz w:val="22"/>
          <w:szCs w:val="22"/>
          <w:u w:val="single"/>
        </w:rPr>
      </w:pPr>
      <w:r w:rsidRPr="008B2AE9">
        <w:rPr>
          <w:rFonts w:ascii="Times New Roman" w:hAnsi="Times New Roman"/>
          <w:sz w:val="22"/>
          <w:szCs w:val="22"/>
          <w:u w:val="single"/>
        </w:rPr>
        <w:t>Βαρφαρίνη</w:t>
      </w:r>
    </w:p>
    <w:p w:rsidR="00E72235" w:rsidRPr="008B2AE9" w:rsidRDefault="00E72235" w:rsidP="00773CDA">
      <w:pPr>
        <w:pStyle w:val="a8"/>
        <w:spacing w:line="240" w:lineRule="auto"/>
        <w:rPr>
          <w:rFonts w:ascii="Times New Roman" w:hAnsi="Times New Roman"/>
          <w:sz w:val="22"/>
          <w:szCs w:val="22"/>
        </w:rPr>
      </w:pPr>
      <w:r w:rsidRPr="008B2AE9">
        <w:rPr>
          <w:rFonts w:ascii="Times New Roman" w:hAnsi="Times New Roman"/>
          <w:sz w:val="22"/>
          <w:szCs w:val="22"/>
        </w:rPr>
        <w:t xml:space="preserve">Σε μία κλινική μελέτη η ταυτόχρονη από του στόματος χορήγηση 40 mg εσομεπραζόλης σε ασθενείς που ελάμβαναν βαρφαρίνη έδειξε ότι ο χρόνος πήξεως ήταν μέσα στα αποδεκτά όρια. Εντούτοις, μετά την κυκλοφορία </w:t>
      </w:r>
      <w:r w:rsidR="00767108" w:rsidRPr="008B2AE9">
        <w:rPr>
          <w:rFonts w:ascii="Times New Roman" w:hAnsi="Times New Roman"/>
          <w:sz w:val="22"/>
          <w:szCs w:val="22"/>
        </w:rPr>
        <w:t>της από του στόματος εσομεπραζόλης</w:t>
      </w:r>
      <w:r w:rsidRPr="008B2AE9">
        <w:rPr>
          <w:rFonts w:ascii="Times New Roman" w:hAnsi="Times New Roman"/>
          <w:sz w:val="22"/>
          <w:szCs w:val="22"/>
        </w:rPr>
        <w:t>, κατά τη διάρκεια ταυτόχρονης χορήγησης αναφέρθηκαν μεμονωμένες περιπτώσεις αύξησης του INR, κλινικά σημαντικές. Συνιστάται επομένως έλεγχος κατά την έναρξη και τη λήξη της συγχορήγησης εσομεπραζόλης κατά τη διάρκεια θεραπείας με βαρφαρίνη ή άλλα παράγωγα κουμαρίνης.</w:t>
      </w:r>
    </w:p>
    <w:p w:rsidR="00E72235" w:rsidRPr="008B2AE9" w:rsidRDefault="00E72235" w:rsidP="00773CDA">
      <w:pPr>
        <w:jc w:val="both"/>
        <w:rPr>
          <w:rFonts w:ascii="Times New Roman" w:hAnsi="Times New Roman"/>
          <w:sz w:val="22"/>
          <w:szCs w:val="22"/>
          <w:lang w:val="el-GR"/>
        </w:rPr>
      </w:pPr>
    </w:p>
    <w:p w:rsidR="006C666C" w:rsidRPr="008B2AE9" w:rsidRDefault="006C666C" w:rsidP="00BC7860">
      <w:pPr>
        <w:jc w:val="both"/>
        <w:rPr>
          <w:rFonts w:ascii="Times New Roman" w:hAnsi="Times New Roman"/>
          <w:sz w:val="22"/>
          <w:szCs w:val="22"/>
          <w:u w:val="single"/>
          <w:lang w:val="el-GR"/>
        </w:rPr>
      </w:pPr>
      <w:r w:rsidRPr="008B2AE9">
        <w:rPr>
          <w:rFonts w:ascii="Times New Roman" w:hAnsi="Times New Roman"/>
          <w:sz w:val="22"/>
          <w:szCs w:val="22"/>
          <w:u w:val="single"/>
          <w:lang w:val="el-GR"/>
        </w:rPr>
        <w:lastRenderedPageBreak/>
        <w:t>Κλοπιδογρέλη</w:t>
      </w:r>
    </w:p>
    <w:p w:rsidR="00CC2C85" w:rsidRPr="008B2AE9" w:rsidRDefault="00CC2C85" w:rsidP="00BC7860">
      <w:pPr>
        <w:jc w:val="both"/>
        <w:rPr>
          <w:rFonts w:ascii="Times New Roman" w:hAnsi="Times New Roman"/>
          <w:sz w:val="22"/>
          <w:szCs w:val="22"/>
          <w:lang w:val="el-GR"/>
        </w:rPr>
      </w:pPr>
      <w:r w:rsidRPr="008B2AE9">
        <w:rPr>
          <w:rFonts w:ascii="Times New Roman" w:hAnsi="Times New Roman"/>
          <w:sz w:val="22"/>
          <w:szCs w:val="22"/>
          <w:lang w:val="el-GR"/>
        </w:rPr>
        <w:t xml:space="preserve">Τα αποτελέσματα από μελέτες σε υγιή </w:t>
      </w:r>
      <w:r w:rsidR="00295DF4" w:rsidRPr="008B2AE9">
        <w:rPr>
          <w:rFonts w:ascii="Times New Roman" w:hAnsi="Times New Roman"/>
          <w:sz w:val="22"/>
          <w:szCs w:val="22"/>
          <w:lang w:val="el-GR"/>
        </w:rPr>
        <w:t>άτομα</w:t>
      </w:r>
      <w:r w:rsidRPr="008B2AE9">
        <w:rPr>
          <w:rFonts w:ascii="Times New Roman" w:hAnsi="Times New Roman"/>
          <w:sz w:val="22"/>
          <w:szCs w:val="22"/>
          <w:lang w:val="el-GR"/>
        </w:rPr>
        <w:t xml:space="preserve"> έχουν δείξει μια φαρμακοκινητική (ΡΚ) / φαρμακοδυναμικ</w:t>
      </w:r>
      <w:r w:rsidR="00B601E5" w:rsidRPr="008B2AE9">
        <w:rPr>
          <w:rFonts w:ascii="Times New Roman" w:hAnsi="Times New Roman"/>
          <w:sz w:val="22"/>
          <w:szCs w:val="22"/>
          <w:lang w:val="el-GR"/>
        </w:rPr>
        <w:t>ή</w:t>
      </w:r>
      <w:r w:rsidRPr="008B2AE9">
        <w:rPr>
          <w:rFonts w:ascii="Times New Roman" w:hAnsi="Times New Roman"/>
          <w:sz w:val="22"/>
          <w:szCs w:val="22"/>
          <w:lang w:val="el-GR"/>
        </w:rPr>
        <w:t xml:space="preserve"> (PD) αλληλεπίδραση μεταξύ κλοπιδογρέλης (300 mg δόση φόρτισης / 75 mg ημερήσιας δόσης συντήρησης) και εσομεπραζόλη</w:t>
      </w:r>
      <w:r w:rsidR="00B601E5" w:rsidRPr="008B2AE9">
        <w:rPr>
          <w:rFonts w:ascii="Times New Roman" w:hAnsi="Times New Roman"/>
          <w:sz w:val="22"/>
          <w:szCs w:val="22"/>
          <w:lang w:val="el-GR"/>
        </w:rPr>
        <w:t>ς</w:t>
      </w:r>
      <w:r w:rsidRPr="008B2AE9">
        <w:rPr>
          <w:rFonts w:ascii="Times New Roman" w:hAnsi="Times New Roman"/>
          <w:sz w:val="22"/>
          <w:szCs w:val="22"/>
          <w:lang w:val="el-GR"/>
        </w:rPr>
        <w:t xml:space="preserve"> (40 mg </w:t>
      </w:r>
      <w:r w:rsidR="00B601E5" w:rsidRPr="008B2AE9">
        <w:rPr>
          <w:rFonts w:ascii="Times New Roman" w:hAnsi="Times New Roman"/>
          <w:sz w:val="22"/>
          <w:szCs w:val="22"/>
          <w:lang w:val="el-GR"/>
        </w:rPr>
        <w:t>από του στόματος ημερησίως</w:t>
      </w:r>
      <w:r w:rsidRPr="008B2AE9">
        <w:rPr>
          <w:rFonts w:ascii="Times New Roman" w:hAnsi="Times New Roman"/>
          <w:sz w:val="22"/>
          <w:szCs w:val="22"/>
          <w:lang w:val="el-GR"/>
        </w:rPr>
        <w:t>) καταλήγοντας σε μειωμένη έκθεση στο δραστικό μεταβολίτη τ</w:t>
      </w:r>
      <w:r w:rsidR="003578AC" w:rsidRPr="008B2AE9">
        <w:rPr>
          <w:rFonts w:ascii="Times New Roman" w:hAnsi="Times New Roman"/>
          <w:sz w:val="22"/>
          <w:szCs w:val="22"/>
          <w:lang w:val="el-GR"/>
        </w:rPr>
        <w:t>ης</w:t>
      </w:r>
      <w:r w:rsidRPr="008B2AE9">
        <w:rPr>
          <w:rFonts w:ascii="Times New Roman" w:hAnsi="Times New Roman"/>
          <w:sz w:val="22"/>
          <w:szCs w:val="22"/>
          <w:lang w:val="el-GR"/>
        </w:rPr>
        <w:t xml:space="preserve"> κλοπιδογρέλη</w:t>
      </w:r>
      <w:r w:rsidR="003578AC" w:rsidRPr="008B2AE9">
        <w:rPr>
          <w:rFonts w:ascii="Times New Roman" w:hAnsi="Times New Roman"/>
          <w:sz w:val="22"/>
          <w:szCs w:val="22"/>
          <w:lang w:val="el-GR"/>
        </w:rPr>
        <w:t>ς</w:t>
      </w:r>
      <w:r w:rsidRPr="008B2AE9">
        <w:rPr>
          <w:rFonts w:ascii="Times New Roman" w:hAnsi="Times New Roman"/>
          <w:sz w:val="22"/>
          <w:szCs w:val="22"/>
          <w:lang w:val="el-GR"/>
        </w:rPr>
        <w:t xml:space="preserve"> κατά μέσο όρο </w:t>
      </w:r>
      <w:r w:rsidR="00C52D72" w:rsidRPr="008B2AE9">
        <w:rPr>
          <w:rFonts w:ascii="Times New Roman" w:hAnsi="Times New Roman"/>
          <w:sz w:val="22"/>
          <w:szCs w:val="22"/>
          <w:lang w:val="el-GR"/>
        </w:rPr>
        <w:t xml:space="preserve">κατά </w:t>
      </w:r>
      <w:r w:rsidRPr="008B2AE9">
        <w:rPr>
          <w:rFonts w:ascii="Times New Roman" w:hAnsi="Times New Roman"/>
          <w:sz w:val="22"/>
          <w:szCs w:val="22"/>
          <w:lang w:val="el-GR"/>
        </w:rPr>
        <w:t xml:space="preserve">40% και </w:t>
      </w:r>
      <w:r w:rsidR="00A73C5F" w:rsidRPr="008B2AE9">
        <w:rPr>
          <w:rFonts w:ascii="Times New Roman" w:hAnsi="Times New Roman"/>
          <w:sz w:val="22"/>
          <w:szCs w:val="22"/>
          <w:lang w:val="el-GR"/>
        </w:rPr>
        <w:t xml:space="preserve">καταλήγοντας σε </w:t>
      </w:r>
      <w:r w:rsidRPr="008B2AE9">
        <w:rPr>
          <w:rFonts w:ascii="Times New Roman" w:hAnsi="Times New Roman"/>
          <w:sz w:val="22"/>
          <w:szCs w:val="22"/>
          <w:lang w:val="el-GR"/>
        </w:rPr>
        <w:t>μειωμένη μέγιστη αναστολή (</w:t>
      </w:r>
      <w:r w:rsidR="00EF6920" w:rsidRPr="008B2AE9">
        <w:rPr>
          <w:rFonts w:ascii="Times New Roman" w:hAnsi="Times New Roman"/>
          <w:sz w:val="22"/>
          <w:szCs w:val="22"/>
          <w:lang w:val="el-GR"/>
        </w:rPr>
        <w:t xml:space="preserve">προκαλούμενη από </w:t>
      </w:r>
      <w:r w:rsidR="003D4BF7" w:rsidRPr="008B2AE9">
        <w:rPr>
          <w:rFonts w:ascii="Times New Roman" w:hAnsi="Times New Roman"/>
          <w:sz w:val="22"/>
          <w:szCs w:val="22"/>
          <w:lang w:val="el-GR"/>
        </w:rPr>
        <w:t>τη διφοσφωνική αδενοσίνη (</w:t>
      </w:r>
      <w:r w:rsidRPr="008B2AE9">
        <w:rPr>
          <w:rFonts w:ascii="Times New Roman" w:hAnsi="Times New Roman"/>
          <w:sz w:val="22"/>
          <w:szCs w:val="22"/>
          <w:lang w:val="el-GR"/>
        </w:rPr>
        <w:t>ADP)</w:t>
      </w:r>
      <w:r w:rsidR="003D4BF7" w:rsidRPr="008B2AE9">
        <w:rPr>
          <w:rFonts w:ascii="Times New Roman" w:hAnsi="Times New Roman"/>
          <w:sz w:val="22"/>
          <w:szCs w:val="22"/>
          <w:lang w:val="el-GR"/>
        </w:rPr>
        <w:t>)</w:t>
      </w:r>
      <w:r w:rsidRPr="008B2AE9">
        <w:rPr>
          <w:rFonts w:ascii="Times New Roman" w:hAnsi="Times New Roman"/>
          <w:sz w:val="22"/>
          <w:szCs w:val="22"/>
          <w:lang w:val="el-GR"/>
        </w:rPr>
        <w:t xml:space="preserve"> </w:t>
      </w:r>
      <w:r w:rsidR="00A73C5F" w:rsidRPr="008B2AE9">
        <w:rPr>
          <w:rFonts w:ascii="Times New Roman" w:hAnsi="Times New Roman"/>
          <w:sz w:val="22"/>
          <w:szCs w:val="22"/>
          <w:lang w:val="el-GR"/>
        </w:rPr>
        <w:t xml:space="preserve">της </w:t>
      </w:r>
      <w:r w:rsidRPr="008B2AE9">
        <w:rPr>
          <w:rFonts w:ascii="Times New Roman" w:hAnsi="Times New Roman"/>
          <w:sz w:val="22"/>
          <w:szCs w:val="22"/>
          <w:lang w:val="el-GR"/>
        </w:rPr>
        <w:t>συσσωμάτωση</w:t>
      </w:r>
      <w:r w:rsidR="00A73C5F" w:rsidRPr="008B2AE9">
        <w:rPr>
          <w:rFonts w:ascii="Times New Roman" w:hAnsi="Times New Roman"/>
          <w:sz w:val="22"/>
          <w:szCs w:val="22"/>
          <w:lang w:val="el-GR"/>
        </w:rPr>
        <w:t>ς</w:t>
      </w:r>
      <w:r w:rsidRPr="008B2AE9">
        <w:rPr>
          <w:rFonts w:ascii="Times New Roman" w:hAnsi="Times New Roman"/>
          <w:sz w:val="22"/>
          <w:szCs w:val="22"/>
          <w:lang w:val="el-GR"/>
        </w:rPr>
        <w:t xml:space="preserve"> αιμοπεταλίων κατά μέσο όρο </w:t>
      </w:r>
      <w:r w:rsidR="00E34C76" w:rsidRPr="008B2AE9">
        <w:rPr>
          <w:rFonts w:ascii="Times New Roman" w:hAnsi="Times New Roman"/>
          <w:sz w:val="22"/>
          <w:szCs w:val="22"/>
          <w:lang w:val="el-GR"/>
        </w:rPr>
        <w:t xml:space="preserve">κατά </w:t>
      </w:r>
      <w:r w:rsidRPr="008B2AE9">
        <w:rPr>
          <w:rFonts w:ascii="Times New Roman" w:hAnsi="Times New Roman"/>
          <w:sz w:val="22"/>
          <w:szCs w:val="22"/>
          <w:lang w:val="el-GR"/>
        </w:rPr>
        <w:t>14%.</w:t>
      </w:r>
    </w:p>
    <w:p w:rsidR="00CC2C85" w:rsidRPr="008B2AE9" w:rsidRDefault="00CC2C85" w:rsidP="00BC7860">
      <w:pPr>
        <w:jc w:val="both"/>
        <w:rPr>
          <w:rFonts w:ascii="Times New Roman" w:hAnsi="Times New Roman"/>
          <w:sz w:val="22"/>
          <w:szCs w:val="22"/>
          <w:lang w:val="el-GR"/>
        </w:rPr>
      </w:pPr>
    </w:p>
    <w:p w:rsidR="0089429B" w:rsidRPr="008B2AE9" w:rsidRDefault="000B522E" w:rsidP="00BC7860">
      <w:pPr>
        <w:jc w:val="both"/>
        <w:rPr>
          <w:rFonts w:ascii="Times New Roman" w:hAnsi="Times New Roman"/>
          <w:sz w:val="22"/>
          <w:szCs w:val="22"/>
          <w:lang w:val="el-GR"/>
        </w:rPr>
      </w:pPr>
      <w:r w:rsidRPr="008B2AE9">
        <w:rPr>
          <w:rFonts w:ascii="Times New Roman" w:hAnsi="Times New Roman"/>
          <w:sz w:val="22"/>
          <w:szCs w:val="22"/>
          <w:lang w:val="el-GR"/>
        </w:rPr>
        <w:t xml:space="preserve">Όταν η κλοπιδογρέλη χορηγήθηκε μαζί με ένα συνδυασμό σταθερής δόσης </w:t>
      </w:r>
      <w:r w:rsidR="009F1C49" w:rsidRPr="008B2AE9">
        <w:rPr>
          <w:rFonts w:ascii="Times New Roman" w:hAnsi="Times New Roman"/>
          <w:sz w:val="22"/>
          <w:szCs w:val="22"/>
          <w:lang w:val="el-GR"/>
        </w:rPr>
        <w:t xml:space="preserve">εσομεπραζόλης </w:t>
      </w:r>
    </w:p>
    <w:p w:rsidR="000B522E" w:rsidRPr="008B2AE9" w:rsidRDefault="0089429B" w:rsidP="00BC7860">
      <w:pPr>
        <w:jc w:val="both"/>
        <w:rPr>
          <w:rFonts w:ascii="Times New Roman" w:hAnsi="Times New Roman"/>
          <w:sz w:val="22"/>
          <w:szCs w:val="22"/>
          <w:lang w:val="el-GR"/>
        </w:rPr>
      </w:pPr>
      <w:r w:rsidRPr="008B2AE9">
        <w:rPr>
          <w:rFonts w:ascii="Times New Roman" w:hAnsi="Times New Roman"/>
          <w:sz w:val="22"/>
          <w:szCs w:val="22"/>
          <w:lang w:val="el-GR"/>
        </w:rPr>
        <w:t>20</w:t>
      </w:r>
      <w:r w:rsidR="000B522E" w:rsidRPr="008B2AE9">
        <w:rPr>
          <w:rFonts w:ascii="Times New Roman" w:hAnsi="Times New Roman"/>
          <w:sz w:val="22"/>
          <w:szCs w:val="22"/>
          <w:lang w:val="el-GR"/>
        </w:rPr>
        <w:t xml:space="preserve">mg + </w:t>
      </w:r>
      <w:r w:rsidR="009F1C49" w:rsidRPr="008B2AE9">
        <w:rPr>
          <w:rFonts w:ascii="Times New Roman" w:hAnsi="Times New Roman"/>
          <w:sz w:val="22"/>
          <w:szCs w:val="22"/>
          <w:lang w:val="el-GR"/>
        </w:rPr>
        <w:t>ακετυλοσαλικυλικού</w:t>
      </w:r>
      <w:r w:rsidR="00EA7302" w:rsidRPr="008B2AE9">
        <w:rPr>
          <w:rFonts w:ascii="Times New Roman" w:hAnsi="Times New Roman"/>
          <w:sz w:val="22"/>
          <w:szCs w:val="22"/>
          <w:lang w:val="el-GR"/>
        </w:rPr>
        <w:t xml:space="preserve"> οξ</w:t>
      </w:r>
      <w:r w:rsidR="009F1C49" w:rsidRPr="008B2AE9">
        <w:rPr>
          <w:rFonts w:ascii="Times New Roman" w:hAnsi="Times New Roman"/>
          <w:sz w:val="22"/>
          <w:szCs w:val="22"/>
          <w:lang w:val="el-GR"/>
        </w:rPr>
        <w:t>έος</w:t>
      </w:r>
      <w:r w:rsidR="00EA7302" w:rsidRPr="008B2AE9">
        <w:rPr>
          <w:rFonts w:ascii="Times New Roman" w:hAnsi="Times New Roman"/>
          <w:sz w:val="22"/>
          <w:szCs w:val="22"/>
          <w:lang w:val="el-GR"/>
        </w:rPr>
        <w:t xml:space="preserve"> </w:t>
      </w:r>
      <w:r w:rsidR="008D166E" w:rsidRPr="008B2AE9">
        <w:rPr>
          <w:rFonts w:ascii="Times New Roman" w:hAnsi="Times New Roman"/>
          <w:sz w:val="22"/>
          <w:szCs w:val="22"/>
          <w:lang w:val="el-GR"/>
        </w:rPr>
        <w:t>(ΑΣΟ)</w:t>
      </w:r>
      <w:r w:rsidRPr="008B2AE9">
        <w:rPr>
          <w:rFonts w:ascii="Times New Roman" w:hAnsi="Times New Roman"/>
          <w:sz w:val="22"/>
          <w:szCs w:val="22"/>
          <w:lang w:val="el-GR"/>
        </w:rPr>
        <w:t xml:space="preserve"> 81</w:t>
      </w:r>
      <w:r w:rsidR="000B522E" w:rsidRPr="008B2AE9">
        <w:rPr>
          <w:rFonts w:ascii="Times New Roman" w:hAnsi="Times New Roman"/>
          <w:sz w:val="22"/>
          <w:szCs w:val="22"/>
          <w:lang w:val="el-GR"/>
        </w:rPr>
        <w:t xml:space="preserve">mg σε σύγκριση με τη μονοθεραπεία κλοπιδογρέλης σε μια μελέτη </w:t>
      </w:r>
      <w:r w:rsidR="004800A5" w:rsidRPr="008B2AE9">
        <w:rPr>
          <w:rFonts w:ascii="Times New Roman" w:hAnsi="Times New Roman"/>
          <w:sz w:val="22"/>
          <w:szCs w:val="22"/>
          <w:lang w:val="el-GR"/>
        </w:rPr>
        <w:t>με</w:t>
      </w:r>
      <w:r w:rsidR="000B522E" w:rsidRPr="008B2AE9">
        <w:rPr>
          <w:rFonts w:ascii="Times New Roman" w:hAnsi="Times New Roman"/>
          <w:sz w:val="22"/>
          <w:szCs w:val="22"/>
          <w:lang w:val="el-GR"/>
        </w:rPr>
        <w:t xml:space="preserve"> υγι</w:t>
      </w:r>
      <w:r w:rsidR="004D464F" w:rsidRPr="008B2AE9">
        <w:rPr>
          <w:rFonts w:ascii="Times New Roman" w:hAnsi="Times New Roman"/>
          <w:sz w:val="22"/>
          <w:szCs w:val="22"/>
          <w:lang w:val="el-GR"/>
        </w:rPr>
        <w:t>ή</w:t>
      </w:r>
      <w:r w:rsidR="000B522E" w:rsidRPr="008B2AE9">
        <w:rPr>
          <w:rFonts w:ascii="Times New Roman" w:hAnsi="Times New Roman"/>
          <w:sz w:val="22"/>
          <w:szCs w:val="22"/>
          <w:lang w:val="el-GR"/>
        </w:rPr>
        <w:t xml:space="preserve"> </w:t>
      </w:r>
      <w:r w:rsidR="004D464F" w:rsidRPr="008B2AE9">
        <w:rPr>
          <w:rFonts w:ascii="Times New Roman" w:hAnsi="Times New Roman"/>
          <w:sz w:val="22"/>
          <w:szCs w:val="22"/>
          <w:lang w:val="el-GR"/>
        </w:rPr>
        <w:t>άτομα</w:t>
      </w:r>
      <w:r w:rsidR="003173E6" w:rsidRPr="008B2AE9">
        <w:rPr>
          <w:rFonts w:ascii="Times New Roman" w:hAnsi="Times New Roman"/>
          <w:sz w:val="22"/>
          <w:szCs w:val="22"/>
          <w:lang w:val="el-GR"/>
        </w:rPr>
        <w:t>,</w:t>
      </w:r>
      <w:r w:rsidR="000B522E" w:rsidRPr="008B2AE9">
        <w:rPr>
          <w:rFonts w:ascii="Times New Roman" w:hAnsi="Times New Roman"/>
          <w:sz w:val="22"/>
          <w:szCs w:val="22"/>
          <w:lang w:val="el-GR"/>
        </w:rPr>
        <w:t xml:space="preserve"> υπήρχε μια μειωμένη έκθεση σχεδόν 40% του ενεργού μεταβολίτη της κλοπιδογρέλης. Ωστόσο, τα ανώτατα επίπεδα αναστολής </w:t>
      </w:r>
      <w:r w:rsidR="00542495" w:rsidRPr="008B2AE9">
        <w:rPr>
          <w:rFonts w:ascii="Times New Roman" w:hAnsi="Times New Roman"/>
          <w:sz w:val="22"/>
          <w:szCs w:val="22"/>
          <w:lang w:val="el-GR"/>
        </w:rPr>
        <w:t>(προκαλούμεν</w:t>
      </w:r>
      <w:r w:rsidR="00FF6EFB" w:rsidRPr="008B2AE9">
        <w:rPr>
          <w:rFonts w:ascii="Times New Roman" w:hAnsi="Times New Roman"/>
          <w:sz w:val="22"/>
          <w:szCs w:val="22"/>
          <w:lang w:val="el-GR"/>
        </w:rPr>
        <w:t>α</w:t>
      </w:r>
      <w:r w:rsidR="00542495" w:rsidRPr="008B2AE9">
        <w:rPr>
          <w:rFonts w:ascii="Times New Roman" w:hAnsi="Times New Roman"/>
          <w:sz w:val="22"/>
          <w:szCs w:val="22"/>
          <w:lang w:val="el-GR"/>
        </w:rPr>
        <w:t xml:space="preserve"> από τη διφοσφωνική αδενοσίνη (ADP)) </w:t>
      </w:r>
      <w:r w:rsidR="000B522E" w:rsidRPr="008B2AE9">
        <w:rPr>
          <w:rFonts w:ascii="Times New Roman" w:hAnsi="Times New Roman"/>
          <w:sz w:val="22"/>
          <w:szCs w:val="22"/>
          <w:lang w:val="el-GR"/>
        </w:rPr>
        <w:t>τη</w:t>
      </w:r>
      <w:r w:rsidR="00542495" w:rsidRPr="008B2AE9">
        <w:rPr>
          <w:rFonts w:ascii="Times New Roman" w:hAnsi="Times New Roman"/>
          <w:sz w:val="22"/>
          <w:szCs w:val="22"/>
          <w:lang w:val="el-GR"/>
        </w:rPr>
        <w:t>ς</w:t>
      </w:r>
      <w:r w:rsidR="000B522E" w:rsidRPr="008B2AE9">
        <w:rPr>
          <w:rFonts w:ascii="Times New Roman" w:hAnsi="Times New Roman"/>
          <w:sz w:val="22"/>
          <w:szCs w:val="22"/>
          <w:lang w:val="el-GR"/>
        </w:rPr>
        <w:t xml:space="preserve"> συσσώρευση</w:t>
      </w:r>
      <w:r w:rsidR="00542495" w:rsidRPr="008B2AE9">
        <w:rPr>
          <w:rFonts w:ascii="Times New Roman" w:hAnsi="Times New Roman"/>
          <w:sz w:val="22"/>
          <w:szCs w:val="22"/>
          <w:lang w:val="el-GR"/>
        </w:rPr>
        <w:t>ς</w:t>
      </w:r>
      <w:r w:rsidR="000B522E" w:rsidRPr="008B2AE9">
        <w:rPr>
          <w:rFonts w:ascii="Times New Roman" w:hAnsi="Times New Roman"/>
          <w:sz w:val="22"/>
          <w:szCs w:val="22"/>
          <w:lang w:val="el-GR"/>
        </w:rPr>
        <w:t xml:space="preserve"> των αιμοπεταλίων σε αυτ</w:t>
      </w:r>
      <w:r w:rsidR="004D464F" w:rsidRPr="008B2AE9">
        <w:rPr>
          <w:rFonts w:ascii="Times New Roman" w:hAnsi="Times New Roman"/>
          <w:sz w:val="22"/>
          <w:szCs w:val="22"/>
          <w:lang w:val="el-GR"/>
        </w:rPr>
        <w:t>ά</w:t>
      </w:r>
      <w:r w:rsidR="000B522E" w:rsidRPr="008B2AE9">
        <w:rPr>
          <w:rFonts w:ascii="Times New Roman" w:hAnsi="Times New Roman"/>
          <w:sz w:val="22"/>
          <w:szCs w:val="22"/>
          <w:lang w:val="el-GR"/>
        </w:rPr>
        <w:t xml:space="preserve"> </w:t>
      </w:r>
      <w:r w:rsidR="00936E34" w:rsidRPr="008B2AE9">
        <w:rPr>
          <w:rFonts w:ascii="Times New Roman" w:hAnsi="Times New Roman"/>
          <w:sz w:val="22"/>
          <w:szCs w:val="22"/>
          <w:lang w:val="el-GR"/>
        </w:rPr>
        <w:t>τ</w:t>
      </w:r>
      <w:r w:rsidR="004D464F" w:rsidRPr="008B2AE9">
        <w:rPr>
          <w:rFonts w:ascii="Times New Roman" w:hAnsi="Times New Roman"/>
          <w:sz w:val="22"/>
          <w:szCs w:val="22"/>
          <w:lang w:val="el-GR"/>
        </w:rPr>
        <w:t>α</w:t>
      </w:r>
      <w:r w:rsidR="00936E34" w:rsidRPr="008B2AE9">
        <w:rPr>
          <w:rFonts w:ascii="Times New Roman" w:hAnsi="Times New Roman"/>
          <w:sz w:val="22"/>
          <w:szCs w:val="22"/>
          <w:lang w:val="el-GR"/>
        </w:rPr>
        <w:t xml:space="preserve"> </w:t>
      </w:r>
      <w:r w:rsidR="004D464F" w:rsidRPr="008B2AE9">
        <w:rPr>
          <w:rFonts w:ascii="Times New Roman" w:hAnsi="Times New Roman"/>
          <w:sz w:val="22"/>
          <w:szCs w:val="22"/>
          <w:lang w:val="el-GR"/>
        </w:rPr>
        <w:t>άτομα</w:t>
      </w:r>
      <w:r w:rsidR="000B522E" w:rsidRPr="008B2AE9">
        <w:rPr>
          <w:rFonts w:ascii="Times New Roman" w:hAnsi="Times New Roman"/>
          <w:sz w:val="22"/>
          <w:szCs w:val="22"/>
          <w:lang w:val="el-GR"/>
        </w:rPr>
        <w:t xml:space="preserve"> ήταν ίδια στ</w:t>
      </w:r>
      <w:r w:rsidR="002B507F" w:rsidRPr="008B2AE9">
        <w:rPr>
          <w:rFonts w:ascii="Times New Roman" w:hAnsi="Times New Roman"/>
          <w:sz w:val="22"/>
          <w:szCs w:val="22"/>
          <w:lang w:val="el-GR"/>
        </w:rPr>
        <w:t>ις</w:t>
      </w:r>
      <w:r w:rsidR="000B522E" w:rsidRPr="008B2AE9">
        <w:rPr>
          <w:rFonts w:ascii="Times New Roman" w:hAnsi="Times New Roman"/>
          <w:sz w:val="22"/>
          <w:szCs w:val="22"/>
          <w:lang w:val="el-GR"/>
        </w:rPr>
        <w:t xml:space="preserve"> </w:t>
      </w:r>
      <w:r w:rsidR="002B507F" w:rsidRPr="008B2AE9">
        <w:rPr>
          <w:rFonts w:ascii="Times New Roman" w:hAnsi="Times New Roman"/>
          <w:sz w:val="22"/>
          <w:szCs w:val="22"/>
          <w:lang w:val="el-GR"/>
        </w:rPr>
        <w:t xml:space="preserve">ομάδες προϊόντων </w:t>
      </w:r>
      <w:r w:rsidR="000B522E" w:rsidRPr="008B2AE9">
        <w:rPr>
          <w:rFonts w:ascii="Times New Roman" w:hAnsi="Times New Roman"/>
          <w:sz w:val="22"/>
          <w:szCs w:val="22"/>
          <w:lang w:val="el-GR"/>
        </w:rPr>
        <w:t xml:space="preserve">κλοπιδογρέλης και κλοπιδογρέλης </w:t>
      </w:r>
      <w:r w:rsidR="0027621B" w:rsidRPr="008B2AE9">
        <w:rPr>
          <w:rFonts w:ascii="Times New Roman" w:hAnsi="Times New Roman"/>
          <w:sz w:val="22"/>
          <w:szCs w:val="22"/>
          <w:lang w:val="el-GR"/>
        </w:rPr>
        <w:t>με</w:t>
      </w:r>
      <w:r w:rsidR="000B522E" w:rsidRPr="008B2AE9">
        <w:rPr>
          <w:rFonts w:ascii="Times New Roman" w:hAnsi="Times New Roman"/>
          <w:sz w:val="22"/>
          <w:szCs w:val="22"/>
          <w:lang w:val="el-GR"/>
        </w:rPr>
        <w:t xml:space="preserve"> συνδυασμ</w:t>
      </w:r>
      <w:r w:rsidR="0027621B" w:rsidRPr="008B2AE9">
        <w:rPr>
          <w:rFonts w:ascii="Times New Roman" w:hAnsi="Times New Roman"/>
          <w:sz w:val="22"/>
          <w:szCs w:val="22"/>
          <w:lang w:val="el-GR"/>
        </w:rPr>
        <w:t>ό</w:t>
      </w:r>
      <w:r w:rsidR="000B522E" w:rsidRPr="008B2AE9">
        <w:rPr>
          <w:rFonts w:ascii="Times New Roman" w:hAnsi="Times New Roman"/>
          <w:sz w:val="22"/>
          <w:szCs w:val="22"/>
          <w:lang w:val="el-GR"/>
        </w:rPr>
        <w:t xml:space="preserve"> (εσομεπραζόλη + </w:t>
      </w:r>
      <w:r w:rsidR="008D166E" w:rsidRPr="008B2AE9">
        <w:rPr>
          <w:rFonts w:ascii="Times New Roman" w:hAnsi="Times New Roman"/>
          <w:sz w:val="22"/>
          <w:szCs w:val="22"/>
          <w:lang w:val="el-GR"/>
        </w:rPr>
        <w:t>ΑΣΟ</w:t>
      </w:r>
      <w:r w:rsidR="000B522E" w:rsidRPr="008B2AE9">
        <w:rPr>
          <w:rFonts w:ascii="Times New Roman" w:hAnsi="Times New Roman"/>
          <w:sz w:val="22"/>
          <w:szCs w:val="22"/>
          <w:lang w:val="el-GR"/>
        </w:rPr>
        <w:t>).</w:t>
      </w:r>
    </w:p>
    <w:p w:rsidR="000B522E" w:rsidRPr="008B2AE9" w:rsidRDefault="000B522E" w:rsidP="00BC7860">
      <w:pPr>
        <w:jc w:val="both"/>
        <w:rPr>
          <w:rFonts w:ascii="Times New Roman" w:hAnsi="Times New Roman"/>
          <w:sz w:val="22"/>
          <w:szCs w:val="22"/>
          <w:lang w:val="el-GR"/>
        </w:rPr>
      </w:pPr>
    </w:p>
    <w:p w:rsidR="00E37246" w:rsidRPr="008B2AE9" w:rsidRDefault="00BC7860" w:rsidP="00E37246">
      <w:pPr>
        <w:jc w:val="both"/>
        <w:rPr>
          <w:rFonts w:ascii="Times New Roman" w:hAnsi="Times New Roman"/>
          <w:sz w:val="22"/>
          <w:szCs w:val="22"/>
          <w:lang w:val="el-GR"/>
        </w:rPr>
      </w:pPr>
      <w:r w:rsidRPr="008B2AE9">
        <w:rPr>
          <w:rFonts w:ascii="Times New Roman" w:hAnsi="Times New Roman"/>
          <w:sz w:val="22"/>
          <w:szCs w:val="22"/>
          <w:lang w:val="el-GR"/>
        </w:rPr>
        <w:t xml:space="preserve">Αντιφατικά δεδομένα έχουν αναφερθεί από μελέτες παρατήρησης και κλινικές μελέτες ως προς τις κλινικές επιπλοκές αυτής της Φαρμακοκινητικής/Φαρμακοδυναμικής αλληλεπίδρασης </w:t>
      </w:r>
      <w:r w:rsidR="00AF64C2" w:rsidRPr="008B2AE9">
        <w:rPr>
          <w:rFonts w:ascii="Times New Roman" w:hAnsi="Times New Roman"/>
          <w:sz w:val="22"/>
          <w:szCs w:val="22"/>
          <w:lang w:val="el-GR"/>
        </w:rPr>
        <w:t xml:space="preserve">εσομεπραζόλης </w:t>
      </w:r>
      <w:r w:rsidRPr="008B2AE9">
        <w:rPr>
          <w:rFonts w:ascii="Times New Roman" w:hAnsi="Times New Roman"/>
          <w:sz w:val="22"/>
          <w:szCs w:val="22"/>
          <w:lang w:val="el-GR"/>
        </w:rPr>
        <w:t>αναφορικά με τα μείζονα καρδιαγγειακά συμβάματα.</w:t>
      </w:r>
      <w:r w:rsidR="00E37246" w:rsidRPr="008B2AE9">
        <w:rPr>
          <w:rFonts w:ascii="Times New Roman" w:hAnsi="Times New Roman"/>
          <w:sz w:val="22"/>
          <w:szCs w:val="22"/>
          <w:lang w:val="el-GR"/>
        </w:rPr>
        <w:t xml:space="preserve"> </w:t>
      </w:r>
      <w:r w:rsidR="00905690" w:rsidRPr="008B2AE9">
        <w:rPr>
          <w:rFonts w:ascii="Times New Roman" w:hAnsi="Times New Roman"/>
          <w:sz w:val="22"/>
          <w:szCs w:val="22"/>
          <w:lang w:val="el-GR"/>
        </w:rPr>
        <w:t>Προληπτικά</w:t>
      </w:r>
      <w:r w:rsidR="003173E6" w:rsidRPr="008B2AE9">
        <w:rPr>
          <w:rFonts w:ascii="Times New Roman" w:hAnsi="Times New Roman"/>
          <w:sz w:val="22"/>
          <w:szCs w:val="22"/>
          <w:lang w:val="el-GR"/>
        </w:rPr>
        <w:t>,</w:t>
      </w:r>
      <w:r w:rsidR="00905690" w:rsidRPr="008B2AE9">
        <w:rPr>
          <w:rFonts w:ascii="Times New Roman" w:hAnsi="Times New Roman"/>
          <w:sz w:val="22"/>
          <w:szCs w:val="22"/>
          <w:lang w:val="el-GR"/>
        </w:rPr>
        <w:t xml:space="preserve"> </w:t>
      </w:r>
      <w:r w:rsidR="00E37246" w:rsidRPr="008B2AE9">
        <w:rPr>
          <w:rFonts w:ascii="Times New Roman" w:hAnsi="Times New Roman"/>
          <w:sz w:val="22"/>
          <w:szCs w:val="22"/>
          <w:lang w:val="el-GR"/>
        </w:rPr>
        <w:t>θα πρέπει να αποθαρρύνεται η ταυτόχρονη χρήση της κλοπιδογρέλης.</w:t>
      </w:r>
    </w:p>
    <w:p w:rsidR="00BC7860" w:rsidRPr="008B2AE9" w:rsidRDefault="00BC7860" w:rsidP="00773CDA">
      <w:pPr>
        <w:jc w:val="both"/>
        <w:rPr>
          <w:rFonts w:ascii="Times New Roman" w:hAnsi="Times New Roman"/>
          <w:sz w:val="22"/>
          <w:szCs w:val="22"/>
          <w:lang w:val="el-GR"/>
        </w:rPr>
      </w:pPr>
    </w:p>
    <w:p w:rsidR="00AF5062" w:rsidRPr="008B2AE9" w:rsidRDefault="00190A8E" w:rsidP="00773CDA">
      <w:pPr>
        <w:jc w:val="both"/>
        <w:rPr>
          <w:rFonts w:ascii="Times New Roman" w:hAnsi="Times New Roman"/>
          <w:sz w:val="22"/>
          <w:szCs w:val="22"/>
          <w:u w:val="single"/>
          <w:lang w:val="el-GR"/>
        </w:rPr>
      </w:pPr>
      <w:r w:rsidRPr="008B2AE9">
        <w:rPr>
          <w:rFonts w:ascii="Times New Roman" w:hAnsi="Times New Roman"/>
          <w:sz w:val="22"/>
          <w:szCs w:val="22"/>
          <w:u w:val="single"/>
          <w:lang w:val="el-GR"/>
        </w:rPr>
        <w:t xml:space="preserve">Φαρμακευτικά </w:t>
      </w:r>
      <w:r w:rsidR="00AF5062" w:rsidRPr="008B2AE9">
        <w:rPr>
          <w:rFonts w:ascii="Times New Roman" w:hAnsi="Times New Roman"/>
          <w:sz w:val="22"/>
          <w:szCs w:val="22"/>
          <w:u w:val="single"/>
          <w:lang w:val="el-GR"/>
        </w:rPr>
        <w:t>προϊόντα</w:t>
      </w:r>
      <w:r w:rsidRPr="008B2AE9">
        <w:rPr>
          <w:rFonts w:ascii="Times New Roman" w:hAnsi="Times New Roman"/>
          <w:sz w:val="22"/>
          <w:szCs w:val="22"/>
          <w:u w:val="single"/>
          <w:lang w:val="el-GR"/>
        </w:rPr>
        <w:t xml:space="preserve"> που έχουν διερευνηθεί,</w:t>
      </w:r>
      <w:r w:rsidR="00AF5062" w:rsidRPr="008B2AE9">
        <w:rPr>
          <w:rFonts w:ascii="Times New Roman" w:hAnsi="Times New Roman"/>
          <w:sz w:val="22"/>
          <w:szCs w:val="22"/>
          <w:u w:val="single"/>
          <w:lang w:val="el-GR"/>
        </w:rPr>
        <w:t xml:space="preserve"> χωρίς </w:t>
      </w:r>
      <w:r w:rsidR="00F5644E" w:rsidRPr="008B2AE9">
        <w:rPr>
          <w:rFonts w:ascii="Times New Roman" w:hAnsi="Times New Roman"/>
          <w:sz w:val="22"/>
          <w:szCs w:val="22"/>
          <w:u w:val="single"/>
          <w:lang w:val="el-GR"/>
        </w:rPr>
        <w:t xml:space="preserve">κλινικά </w:t>
      </w:r>
      <w:r w:rsidR="00576F2F" w:rsidRPr="008B2AE9">
        <w:rPr>
          <w:rFonts w:ascii="Times New Roman" w:hAnsi="Times New Roman"/>
          <w:sz w:val="22"/>
          <w:szCs w:val="22"/>
          <w:u w:val="single"/>
          <w:lang w:val="el-GR"/>
        </w:rPr>
        <w:t xml:space="preserve">σημαντική </w:t>
      </w:r>
      <w:r w:rsidR="00AF5062" w:rsidRPr="008B2AE9">
        <w:rPr>
          <w:rFonts w:ascii="Times New Roman" w:hAnsi="Times New Roman"/>
          <w:sz w:val="22"/>
          <w:szCs w:val="22"/>
          <w:u w:val="single"/>
          <w:lang w:val="el-GR"/>
        </w:rPr>
        <w:t>αλληλεπίδραση</w:t>
      </w:r>
    </w:p>
    <w:p w:rsidR="00AF5062" w:rsidRPr="008B2AE9" w:rsidRDefault="004010CD" w:rsidP="00773CDA">
      <w:pPr>
        <w:jc w:val="both"/>
        <w:rPr>
          <w:rFonts w:ascii="Times New Roman" w:hAnsi="Times New Roman"/>
          <w:i/>
          <w:sz w:val="22"/>
          <w:szCs w:val="22"/>
          <w:u w:val="single"/>
          <w:lang w:val="el-GR"/>
        </w:rPr>
      </w:pPr>
      <w:r w:rsidRPr="008B2AE9">
        <w:rPr>
          <w:rFonts w:ascii="Times New Roman" w:hAnsi="Times New Roman"/>
          <w:i/>
          <w:sz w:val="22"/>
          <w:szCs w:val="22"/>
          <w:u w:val="single"/>
          <w:lang w:val="el-GR"/>
        </w:rPr>
        <w:t>Αμοξικιλλίνη ή κινιδίνη</w:t>
      </w:r>
    </w:p>
    <w:p w:rsidR="00E72235" w:rsidRPr="008B2AE9" w:rsidRDefault="00E72235" w:rsidP="00773CDA">
      <w:pPr>
        <w:jc w:val="both"/>
        <w:rPr>
          <w:rFonts w:ascii="Times New Roman" w:hAnsi="Times New Roman"/>
          <w:sz w:val="22"/>
          <w:szCs w:val="22"/>
          <w:lang w:val="el-GR"/>
        </w:rPr>
      </w:pPr>
      <w:r w:rsidRPr="008B2AE9">
        <w:rPr>
          <w:rFonts w:ascii="Times New Roman" w:hAnsi="Times New Roman"/>
          <w:sz w:val="22"/>
          <w:szCs w:val="22"/>
          <w:lang w:val="el-GR"/>
        </w:rPr>
        <w:t>Έχει αποδειχθεί ότι η εσομεπραζόλη δεν έχει κλινικά σημαντική επίδραση στην φαρμακοκινητική της αμοξικιλλίνης ή της κινιδίνης.</w:t>
      </w:r>
    </w:p>
    <w:p w:rsidR="00E72235" w:rsidRPr="008B2AE9" w:rsidRDefault="00E72235" w:rsidP="00773CDA">
      <w:pPr>
        <w:jc w:val="both"/>
        <w:rPr>
          <w:rFonts w:ascii="Times New Roman" w:hAnsi="Times New Roman"/>
          <w:sz w:val="22"/>
          <w:szCs w:val="22"/>
          <w:lang w:val="el-GR"/>
        </w:rPr>
      </w:pPr>
    </w:p>
    <w:p w:rsidR="00350F5A" w:rsidRPr="008B2AE9" w:rsidRDefault="00350F5A" w:rsidP="00AF36BE">
      <w:pPr>
        <w:pStyle w:val="5"/>
        <w:spacing w:line="240" w:lineRule="auto"/>
        <w:rPr>
          <w:rFonts w:ascii="Times New Roman" w:hAnsi="Times New Roman"/>
          <w:sz w:val="22"/>
          <w:szCs w:val="22"/>
        </w:rPr>
      </w:pPr>
      <w:r w:rsidRPr="008B2AE9">
        <w:rPr>
          <w:rFonts w:ascii="Times New Roman" w:hAnsi="Times New Roman"/>
          <w:sz w:val="22"/>
          <w:szCs w:val="22"/>
        </w:rPr>
        <w:t>Ναπροξένη ή ροφεκο</w:t>
      </w:r>
      <w:r w:rsidR="0008583A" w:rsidRPr="008B2AE9">
        <w:rPr>
          <w:rFonts w:ascii="Times New Roman" w:hAnsi="Times New Roman"/>
          <w:sz w:val="22"/>
          <w:szCs w:val="22"/>
        </w:rPr>
        <w:t>ξ</w:t>
      </w:r>
      <w:r w:rsidRPr="008B2AE9">
        <w:rPr>
          <w:rFonts w:ascii="Times New Roman" w:hAnsi="Times New Roman"/>
          <w:sz w:val="22"/>
          <w:szCs w:val="22"/>
        </w:rPr>
        <w:t>ίμπη</w:t>
      </w:r>
    </w:p>
    <w:p w:rsidR="00350F5A" w:rsidRPr="008B2AE9" w:rsidRDefault="0008583A" w:rsidP="0008583A">
      <w:pPr>
        <w:pStyle w:val="5"/>
        <w:spacing w:line="240" w:lineRule="auto"/>
        <w:rPr>
          <w:rFonts w:ascii="Times New Roman" w:hAnsi="Times New Roman"/>
          <w:i w:val="0"/>
          <w:sz w:val="22"/>
          <w:szCs w:val="22"/>
          <w:u w:val="none"/>
        </w:rPr>
      </w:pPr>
      <w:r w:rsidRPr="008B2AE9">
        <w:rPr>
          <w:rFonts w:ascii="Times New Roman" w:hAnsi="Times New Roman"/>
          <w:i w:val="0"/>
          <w:sz w:val="22"/>
          <w:szCs w:val="22"/>
          <w:u w:val="none"/>
        </w:rPr>
        <w:t>Μελέτες αξιολόγησης συγχορήγηση</w:t>
      </w:r>
      <w:r w:rsidR="00DA1850" w:rsidRPr="008B2AE9">
        <w:rPr>
          <w:rFonts w:ascii="Times New Roman" w:hAnsi="Times New Roman"/>
          <w:i w:val="0"/>
          <w:sz w:val="22"/>
          <w:szCs w:val="22"/>
          <w:u w:val="none"/>
        </w:rPr>
        <w:t>ς</w:t>
      </w:r>
      <w:r w:rsidRPr="008B2AE9">
        <w:rPr>
          <w:rFonts w:ascii="Times New Roman" w:hAnsi="Times New Roman"/>
          <w:i w:val="0"/>
          <w:sz w:val="22"/>
          <w:szCs w:val="22"/>
          <w:u w:val="none"/>
        </w:rPr>
        <w:t xml:space="preserve"> εσομεπραζόλης </w:t>
      </w:r>
      <w:r w:rsidR="00DA1850" w:rsidRPr="008B2AE9">
        <w:rPr>
          <w:rFonts w:ascii="Times New Roman" w:hAnsi="Times New Roman"/>
          <w:i w:val="0"/>
          <w:sz w:val="22"/>
          <w:szCs w:val="22"/>
          <w:u w:val="none"/>
        </w:rPr>
        <w:t xml:space="preserve">είτε με </w:t>
      </w:r>
      <w:r w:rsidRPr="008B2AE9">
        <w:rPr>
          <w:rFonts w:ascii="Times New Roman" w:hAnsi="Times New Roman"/>
          <w:i w:val="0"/>
          <w:sz w:val="22"/>
          <w:szCs w:val="22"/>
          <w:u w:val="none"/>
        </w:rPr>
        <w:t>ναπροξένη ή ροφεκοξίμπη δεν εντόπισ</w:t>
      </w:r>
      <w:r w:rsidR="00DA1850" w:rsidRPr="008B2AE9">
        <w:rPr>
          <w:rFonts w:ascii="Times New Roman" w:hAnsi="Times New Roman"/>
          <w:i w:val="0"/>
          <w:sz w:val="22"/>
          <w:szCs w:val="22"/>
          <w:u w:val="none"/>
        </w:rPr>
        <w:t>αν</w:t>
      </w:r>
      <w:r w:rsidRPr="008B2AE9">
        <w:rPr>
          <w:rFonts w:ascii="Times New Roman" w:hAnsi="Times New Roman"/>
          <w:i w:val="0"/>
          <w:sz w:val="22"/>
          <w:szCs w:val="22"/>
          <w:u w:val="none"/>
        </w:rPr>
        <w:t xml:space="preserve"> κλινικά σημαντικές φαρμακοκινητικές αλληλεπιδράσεις κατά τη διάρκεια βραχυχρόνι</w:t>
      </w:r>
      <w:r w:rsidR="00DA1850" w:rsidRPr="008B2AE9">
        <w:rPr>
          <w:rFonts w:ascii="Times New Roman" w:hAnsi="Times New Roman"/>
          <w:i w:val="0"/>
          <w:sz w:val="22"/>
          <w:szCs w:val="22"/>
          <w:u w:val="none"/>
        </w:rPr>
        <w:t>ων</w:t>
      </w:r>
      <w:r w:rsidRPr="008B2AE9">
        <w:rPr>
          <w:rFonts w:ascii="Times New Roman" w:hAnsi="Times New Roman"/>
          <w:i w:val="0"/>
          <w:sz w:val="22"/>
          <w:szCs w:val="22"/>
          <w:u w:val="none"/>
        </w:rPr>
        <w:t xml:space="preserve"> μελ</w:t>
      </w:r>
      <w:r w:rsidR="00DA1850" w:rsidRPr="008B2AE9">
        <w:rPr>
          <w:rFonts w:ascii="Times New Roman" w:hAnsi="Times New Roman"/>
          <w:i w:val="0"/>
          <w:sz w:val="22"/>
          <w:szCs w:val="22"/>
          <w:u w:val="none"/>
        </w:rPr>
        <w:t>ε</w:t>
      </w:r>
      <w:r w:rsidRPr="008B2AE9">
        <w:rPr>
          <w:rFonts w:ascii="Times New Roman" w:hAnsi="Times New Roman"/>
          <w:i w:val="0"/>
          <w:sz w:val="22"/>
          <w:szCs w:val="22"/>
          <w:u w:val="none"/>
        </w:rPr>
        <w:t>τ</w:t>
      </w:r>
      <w:r w:rsidR="00DA1850" w:rsidRPr="008B2AE9">
        <w:rPr>
          <w:rFonts w:ascii="Times New Roman" w:hAnsi="Times New Roman"/>
          <w:i w:val="0"/>
          <w:sz w:val="22"/>
          <w:szCs w:val="22"/>
          <w:u w:val="none"/>
        </w:rPr>
        <w:t>ών</w:t>
      </w:r>
      <w:r w:rsidRPr="008B2AE9">
        <w:rPr>
          <w:rFonts w:ascii="Times New Roman" w:hAnsi="Times New Roman"/>
          <w:i w:val="0"/>
          <w:sz w:val="22"/>
          <w:szCs w:val="22"/>
          <w:u w:val="none"/>
        </w:rPr>
        <w:t>.</w:t>
      </w:r>
    </w:p>
    <w:p w:rsidR="0008583A" w:rsidRPr="008B2AE9" w:rsidRDefault="0008583A" w:rsidP="0008583A">
      <w:pPr>
        <w:rPr>
          <w:rFonts w:ascii="Times New Roman" w:hAnsi="Times New Roman"/>
          <w:sz w:val="22"/>
          <w:szCs w:val="22"/>
          <w:lang w:val="el-GR"/>
        </w:rPr>
      </w:pPr>
    </w:p>
    <w:p w:rsidR="00E72235" w:rsidRPr="008B2AE9" w:rsidRDefault="00E72235" w:rsidP="00AF36BE">
      <w:pPr>
        <w:pStyle w:val="5"/>
        <w:spacing w:line="240" w:lineRule="auto"/>
        <w:rPr>
          <w:rFonts w:ascii="Times New Roman" w:hAnsi="Times New Roman"/>
          <w:i w:val="0"/>
          <w:sz w:val="22"/>
          <w:szCs w:val="22"/>
        </w:rPr>
      </w:pPr>
      <w:r w:rsidRPr="008B2AE9">
        <w:rPr>
          <w:rFonts w:ascii="Times New Roman" w:hAnsi="Times New Roman"/>
          <w:i w:val="0"/>
          <w:sz w:val="22"/>
          <w:szCs w:val="22"/>
        </w:rPr>
        <w:t>Επίδραση άλλων φαρμ</w:t>
      </w:r>
      <w:r w:rsidR="00F373E8" w:rsidRPr="008B2AE9">
        <w:rPr>
          <w:rFonts w:ascii="Times New Roman" w:hAnsi="Times New Roman"/>
          <w:i w:val="0"/>
          <w:sz w:val="22"/>
          <w:szCs w:val="22"/>
        </w:rPr>
        <w:t>α</w:t>
      </w:r>
      <w:r w:rsidRPr="008B2AE9">
        <w:rPr>
          <w:rFonts w:ascii="Times New Roman" w:hAnsi="Times New Roman"/>
          <w:i w:val="0"/>
          <w:sz w:val="22"/>
          <w:szCs w:val="22"/>
        </w:rPr>
        <w:t>κ</w:t>
      </w:r>
      <w:r w:rsidR="00F373E8" w:rsidRPr="008B2AE9">
        <w:rPr>
          <w:rFonts w:ascii="Times New Roman" w:hAnsi="Times New Roman"/>
          <w:i w:val="0"/>
          <w:sz w:val="22"/>
          <w:szCs w:val="22"/>
        </w:rPr>
        <w:t>ευτικώ</w:t>
      </w:r>
      <w:r w:rsidRPr="008B2AE9">
        <w:rPr>
          <w:rFonts w:ascii="Times New Roman" w:hAnsi="Times New Roman"/>
          <w:i w:val="0"/>
          <w:sz w:val="22"/>
          <w:szCs w:val="22"/>
        </w:rPr>
        <w:t xml:space="preserve">ν </w:t>
      </w:r>
      <w:r w:rsidR="00F373E8" w:rsidRPr="008B2AE9">
        <w:rPr>
          <w:rFonts w:ascii="Times New Roman" w:hAnsi="Times New Roman"/>
          <w:i w:val="0"/>
          <w:sz w:val="22"/>
          <w:szCs w:val="22"/>
        </w:rPr>
        <w:t xml:space="preserve">προϊόντων </w:t>
      </w:r>
      <w:r w:rsidRPr="008B2AE9">
        <w:rPr>
          <w:rFonts w:ascii="Times New Roman" w:hAnsi="Times New Roman"/>
          <w:i w:val="0"/>
          <w:sz w:val="22"/>
          <w:szCs w:val="22"/>
        </w:rPr>
        <w:t>στη φαρμακοκινητική της εσομεπραζόλης</w:t>
      </w:r>
    </w:p>
    <w:p w:rsidR="008530BF" w:rsidRPr="008B2AE9" w:rsidRDefault="008530BF" w:rsidP="00AF36BE">
      <w:pPr>
        <w:jc w:val="both"/>
        <w:rPr>
          <w:rFonts w:ascii="Times New Roman" w:hAnsi="Times New Roman"/>
          <w:i/>
          <w:sz w:val="22"/>
          <w:szCs w:val="22"/>
          <w:lang w:val="el-GR"/>
        </w:rPr>
      </w:pPr>
      <w:r w:rsidRPr="008B2AE9">
        <w:rPr>
          <w:rFonts w:ascii="Times New Roman" w:hAnsi="Times New Roman"/>
          <w:i/>
          <w:sz w:val="22"/>
          <w:szCs w:val="22"/>
          <w:lang w:val="el-GR"/>
        </w:rPr>
        <w:t>Φαρμακευτικά προϊόντα που αναστέλλουν το CYP2C19 και/ή CYP3A4</w:t>
      </w:r>
    </w:p>
    <w:p w:rsidR="008A7973" w:rsidRPr="008B2AE9" w:rsidRDefault="00E72235" w:rsidP="00AF36BE">
      <w:pPr>
        <w:jc w:val="both"/>
        <w:rPr>
          <w:rFonts w:ascii="Times New Roman" w:hAnsi="Times New Roman"/>
          <w:sz w:val="22"/>
          <w:szCs w:val="22"/>
          <w:lang w:val="el-GR"/>
        </w:rPr>
      </w:pPr>
      <w:r w:rsidRPr="008B2AE9">
        <w:rPr>
          <w:rFonts w:ascii="Times New Roman" w:hAnsi="Times New Roman"/>
          <w:sz w:val="22"/>
          <w:szCs w:val="22"/>
          <w:lang w:val="el-GR"/>
        </w:rPr>
        <w:t>Η εσομεπραζόλη μεταβολίζεται από το CYP2C19 και το CYP3A4. Η ταυτόχρονη από του στόματος χορήγηση της εσομεπραζόλης με έναν αναστολέα του CYP3A4, την κλαριθρομυκίνη (500 mg δύο φορές την ημέρα), είχε σαν αποτέλεσμα την έκθεση σε διπλάσια ποσότητα (AUC)</w:t>
      </w:r>
      <w:r w:rsidR="006C424F" w:rsidRPr="008B2AE9">
        <w:rPr>
          <w:rFonts w:ascii="Times New Roman" w:hAnsi="Times New Roman"/>
          <w:sz w:val="22"/>
          <w:szCs w:val="22"/>
          <w:lang w:val="el-GR"/>
        </w:rPr>
        <w:t xml:space="preserve"> </w:t>
      </w:r>
      <w:r w:rsidRPr="008B2AE9">
        <w:rPr>
          <w:rFonts w:ascii="Times New Roman" w:hAnsi="Times New Roman"/>
          <w:sz w:val="22"/>
          <w:szCs w:val="22"/>
          <w:lang w:val="el-GR"/>
        </w:rPr>
        <w:t>εσομεπραζόλης. Η ταυτόχρονη χορήγηση</w:t>
      </w:r>
      <w:r w:rsidR="006C424F" w:rsidRPr="008B2AE9">
        <w:rPr>
          <w:rFonts w:ascii="Times New Roman" w:hAnsi="Times New Roman"/>
          <w:sz w:val="22"/>
          <w:szCs w:val="22"/>
          <w:lang w:val="el-GR"/>
        </w:rPr>
        <w:t xml:space="preserve"> </w:t>
      </w:r>
      <w:r w:rsidRPr="008B2AE9">
        <w:rPr>
          <w:rFonts w:ascii="Times New Roman" w:hAnsi="Times New Roman"/>
          <w:sz w:val="22"/>
          <w:szCs w:val="22"/>
          <w:lang w:val="el-GR"/>
        </w:rPr>
        <w:t xml:space="preserve">εσομεπραζόλης και ενός αναστολέα τόσο του CYP2C19 όσο και του CYP3A4, μπορεί να έχει ως αποτέλεσμα τον διπλασιασμό και πλέον των συγκεντρώσεων της εσομεπραζόλης. Η βορικοναζόλη, αναστολέας των CYP2C19 και CYP3A4 </w:t>
      </w:r>
      <w:r w:rsidR="001F6DC0" w:rsidRPr="008B2AE9">
        <w:rPr>
          <w:rFonts w:ascii="Times New Roman" w:hAnsi="Times New Roman"/>
          <w:sz w:val="22"/>
          <w:szCs w:val="22"/>
          <w:lang w:val="el-GR"/>
        </w:rPr>
        <w:t>αύξησε</w:t>
      </w:r>
      <w:r w:rsidRPr="008B2AE9">
        <w:rPr>
          <w:rFonts w:ascii="Times New Roman" w:hAnsi="Times New Roman"/>
          <w:sz w:val="22"/>
          <w:szCs w:val="22"/>
          <w:lang w:val="el-GR"/>
        </w:rPr>
        <w:t xml:space="preserve"> την </w:t>
      </w:r>
      <w:r w:rsidRPr="008B2AE9">
        <w:rPr>
          <w:rFonts w:ascii="Times New Roman" w:hAnsi="Times New Roman"/>
          <w:sz w:val="22"/>
          <w:szCs w:val="22"/>
          <w:lang w:val="en-US"/>
        </w:rPr>
        <w:t>AUC</w:t>
      </w:r>
      <w:r w:rsidRPr="008B2AE9">
        <w:rPr>
          <w:rFonts w:ascii="Times New Roman" w:hAnsi="Times New Roman"/>
          <w:sz w:val="22"/>
          <w:szCs w:val="22"/>
          <w:vertAlign w:val="subscript"/>
          <w:lang w:val="el-GR"/>
        </w:rPr>
        <w:t>τ</w:t>
      </w:r>
      <w:r w:rsidRPr="008B2AE9">
        <w:rPr>
          <w:rFonts w:ascii="Times New Roman" w:hAnsi="Times New Roman"/>
          <w:sz w:val="22"/>
          <w:szCs w:val="22"/>
          <w:lang w:val="el-GR"/>
        </w:rPr>
        <w:t xml:space="preserve"> της εσομεπραζόλης κατά 280%. Κανονικά δεν απαιτείται προσαρμογή της δοσολογίας της εσομεπραζόλης</w:t>
      </w:r>
      <w:r w:rsidR="006C424F" w:rsidRPr="008B2AE9">
        <w:rPr>
          <w:rFonts w:ascii="Times New Roman" w:hAnsi="Times New Roman"/>
          <w:sz w:val="22"/>
          <w:szCs w:val="22"/>
          <w:lang w:val="el-GR"/>
        </w:rPr>
        <w:t xml:space="preserve"> </w:t>
      </w:r>
      <w:r w:rsidRPr="008B2AE9">
        <w:rPr>
          <w:rFonts w:ascii="Times New Roman" w:hAnsi="Times New Roman"/>
          <w:sz w:val="22"/>
          <w:szCs w:val="22"/>
          <w:lang w:val="el-GR"/>
        </w:rPr>
        <w:t>σε καμία από αυτές τις καταστάσεις.</w:t>
      </w:r>
      <w:r w:rsidR="006C424F" w:rsidRPr="008B2AE9">
        <w:rPr>
          <w:rFonts w:ascii="Times New Roman" w:hAnsi="Times New Roman"/>
          <w:sz w:val="22"/>
          <w:szCs w:val="22"/>
          <w:lang w:val="el-GR"/>
        </w:rPr>
        <w:t xml:space="preserve"> </w:t>
      </w:r>
      <w:r w:rsidRPr="008B2AE9">
        <w:rPr>
          <w:rFonts w:ascii="Times New Roman" w:hAnsi="Times New Roman"/>
          <w:sz w:val="22"/>
          <w:szCs w:val="22"/>
          <w:lang w:val="el-GR"/>
        </w:rPr>
        <w:t xml:space="preserve"> Ωστόσο, προσαρμογή της δοσολογίας</w:t>
      </w:r>
      <w:r w:rsidR="006C424F" w:rsidRPr="008B2AE9">
        <w:rPr>
          <w:rFonts w:ascii="Times New Roman" w:hAnsi="Times New Roman"/>
          <w:sz w:val="22"/>
          <w:szCs w:val="22"/>
          <w:lang w:val="el-GR"/>
        </w:rPr>
        <w:t xml:space="preserve"> </w:t>
      </w:r>
      <w:r w:rsidRPr="008B2AE9">
        <w:rPr>
          <w:rFonts w:ascii="Times New Roman" w:hAnsi="Times New Roman"/>
          <w:sz w:val="22"/>
          <w:szCs w:val="22"/>
          <w:lang w:val="el-GR"/>
        </w:rPr>
        <w:t xml:space="preserve">πρέπει να εξετάζεται σε ασθενείς με σοβαρή ηπατική </w:t>
      </w:r>
      <w:r w:rsidR="005E1EF6" w:rsidRPr="008B2AE9">
        <w:rPr>
          <w:rFonts w:ascii="Times New Roman" w:hAnsi="Times New Roman"/>
          <w:sz w:val="22"/>
          <w:szCs w:val="22"/>
          <w:lang w:val="el-GR"/>
        </w:rPr>
        <w:t xml:space="preserve">δυσλειτουργία </w:t>
      </w:r>
      <w:r w:rsidRPr="008B2AE9">
        <w:rPr>
          <w:rFonts w:ascii="Times New Roman" w:hAnsi="Times New Roman"/>
          <w:sz w:val="22"/>
          <w:szCs w:val="22"/>
          <w:lang w:val="el-GR"/>
        </w:rPr>
        <w:t>και όπου απαιτείται μακρόχρονη θεραπεία.</w:t>
      </w:r>
    </w:p>
    <w:p w:rsidR="008A7973" w:rsidRPr="008B2AE9" w:rsidRDefault="008A7973" w:rsidP="00AF36BE">
      <w:pPr>
        <w:jc w:val="both"/>
        <w:rPr>
          <w:rFonts w:ascii="Times New Roman" w:hAnsi="Times New Roman"/>
          <w:sz w:val="22"/>
          <w:szCs w:val="22"/>
          <w:lang w:val="el-GR"/>
        </w:rPr>
      </w:pPr>
    </w:p>
    <w:p w:rsidR="007B31EB" w:rsidRPr="008B2AE9" w:rsidRDefault="007B31EB" w:rsidP="007B31EB">
      <w:pPr>
        <w:jc w:val="both"/>
        <w:rPr>
          <w:rFonts w:ascii="Times New Roman" w:hAnsi="Times New Roman"/>
          <w:i/>
          <w:sz w:val="22"/>
          <w:szCs w:val="22"/>
          <w:lang w:val="el-GR"/>
        </w:rPr>
      </w:pPr>
      <w:r w:rsidRPr="008B2AE9">
        <w:rPr>
          <w:rFonts w:ascii="Times New Roman" w:hAnsi="Times New Roman"/>
          <w:i/>
          <w:sz w:val="22"/>
          <w:szCs w:val="22"/>
          <w:lang w:val="el-GR"/>
        </w:rPr>
        <w:t xml:space="preserve">Φαρμακευτικά προϊόντα που </w:t>
      </w:r>
      <w:r w:rsidR="001048E9" w:rsidRPr="008B2AE9">
        <w:rPr>
          <w:rFonts w:ascii="Times New Roman" w:hAnsi="Times New Roman"/>
          <w:i/>
          <w:sz w:val="22"/>
          <w:szCs w:val="22"/>
          <w:lang w:val="el-GR"/>
        </w:rPr>
        <w:t>επάγουν</w:t>
      </w:r>
      <w:r w:rsidRPr="008B2AE9">
        <w:rPr>
          <w:rFonts w:ascii="Times New Roman" w:hAnsi="Times New Roman"/>
          <w:i/>
          <w:sz w:val="22"/>
          <w:szCs w:val="22"/>
          <w:lang w:val="el-GR"/>
        </w:rPr>
        <w:t xml:space="preserve"> το CYP2C19 και/ή CYP3A4</w:t>
      </w:r>
    </w:p>
    <w:p w:rsidR="00E72235" w:rsidRPr="008B2AE9" w:rsidRDefault="00830685" w:rsidP="00AF36BE">
      <w:pPr>
        <w:jc w:val="both"/>
        <w:rPr>
          <w:rFonts w:ascii="Times New Roman" w:hAnsi="Times New Roman"/>
          <w:sz w:val="22"/>
          <w:szCs w:val="22"/>
          <w:lang w:val="el-GR"/>
        </w:rPr>
      </w:pPr>
      <w:r w:rsidRPr="008B2AE9">
        <w:rPr>
          <w:rFonts w:ascii="Times New Roman" w:hAnsi="Times New Roman"/>
          <w:sz w:val="22"/>
          <w:szCs w:val="22"/>
          <w:lang w:val="el-GR"/>
        </w:rPr>
        <w:t xml:space="preserve">Φαρμακευτικά προϊόντα </w:t>
      </w:r>
      <w:r w:rsidR="008A7973" w:rsidRPr="008B2AE9">
        <w:rPr>
          <w:rFonts w:ascii="Times New Roman" w:hAnsi="Times New Roman"/>
          <w:sz w:val="22"/>
          <w:szCs w:val="22"/>
          <w:lang w:val="el-GR"/>
        </w:rPr>
        <w:t xml:space="preserve">που είναι γνωστό ότι </w:t>
      </w:r>
      <w:r w:rsidRPr="008B2AE9">
        <w:rPr>
          <w:rFonts w:ascii="Times New Roman" w:hAnsi="Times New Roman"/>
          <w:sz w:val="22"/>
          <w:szCs w:val="22"/>
          <w:lang w:val="el-GR"/>
        </w:rPr>
        <w:t xml:space="preserve">επάγουν </w:t>
      </w:r>
      <w:r w:rsidR="008A7973" w:rsidRPr="008B2AE9">
        <w:rPr>
          <w:rFonts w:ascii="Times New Roman" w:hAnsi="Times New Roman"/>
          <w:sz w:val="22"/>
          <w:szCs w:val="22"/>
          <w:lang w:val="el-GR"/>
        </w:rPr>
        <w:t>το CYP2C19 ή το CYP3A4 ή και τα δύο (όπως η ριφαμπικίνη και το St John’s wort) μπορεί να οδηγήσουν σε μειωμένα επίπεδα εσομεπραζόλης στον ορό αυξάνοντας το ρυθμό μεταβολισμού της εσομεπραζόλης.</w:t>
      </w:r>
      <w:r w:rsidR="00E72235" w:rsidRPr="008B2AE9">
        <w:rPr>
          <w:rFonts w:ascii="Times New Roman" w:hAnsi="Times New Roman"/>
          <w:b/>
          <w:bCs/>
          <w:sz w:val="22"/>
          <w:szCs w:val="22"/>
          <w:lang w:val="el-GR"/>
        </w:rPr>
        <w:t xml:space="preserve"> </w:t>
      </w:r>
    </w:p>
    <w:p w:rsidR="00E72235" w:rsidRPr="008B2AE9" w:rsidRDefault="00E72235" w:rsidP="00AF36BE">
      <w:pPr>
        <w:rPr>
          <w:rFonts w:ascii="Times New Roman" w:hAnsi="Times New Roman"/>
          <w:b/>
          <w:strike/>
          <w:sz w:val="22"/>
          <w:szCs w:val="22"/>
          <w:lang w:val="el-GR"/>
        </w:rPr>
      </w:pPr>
    </w:p>
    <w:p w:rsidR="00217099" w:rsidRPr="008B2AE9" w:rsidRDefault="00217099" w:rsidP="00AF36BE">
      <w:pPr>
        <w:rPr>
          <w:rFonts w:ascii="Times New Roman" w:hAnsi="Times New Roman"/>
          <w:sz w:val="22"/>
          <w:szCs w:val="22"/>
          <w:u w:val="single"/>
          <w:lang w:val="el-GR"/>
        </w:rPr>
      </w:pPr>
      <w:r w:rsidRPr="008B2AE9">
        <w:rPr>
          <w:rFonts w:ascii="Times New Roman" w:hAnsi="Times New Roman"/>
          <w:sz w:val="22"/>
          <w:szCs w:val="22"/>
          <w:u w:val="single"/>
          <w:lang w:val="el-GR"/>
        </w:rPr>
        <w:t>Παιδιατρικός πληθυσμός</w:t>
      </w:r>
    </w:p>
    <w:p w:rsidR="00217099" w:rsidRPr="008B2AE9" w:rsidRDefault="00217099" w:rsidP="00AF36BE">
      <w:pPr>
        <w:rPr>
          <w:rFonts w:ascii="Times New Roman" w:hAnsi="Times New Roman"/>
          <w:b/>
          <w:sz w:val="22"/>
          <w:szCs w:val="22"/>
          <w:lang w:val="el-GR"/>
        </w:rPr>
      </w:pPr>
      <w:r w:rsidRPr="008B2AE9">
        <w:rPr>
          <w:rFonts w:ascii="Times New Roman" w:hAnsi="Times New Roman"/>
          <w:sz w:val="22"/>
          <w:szCs w:val="22"/>
          <w:lang w:val="el-GR"/>
        </w:rPr>
        <w:t>Μελέτες αλληλεπίδρασης έχουν διεξαχθεί μόνο σε ενήλικες.</w:t>
      </w:r>
    </w:p>
    <w:p w:rsidR="00217099" w:rsidRPr="008B2AE9" w:rsidRDefault="00217099" w:rsidP="00AF36BE">
      <w:pPr>
        <w:rPr>
          <w:rFonts w:ascii="Times New Roman" w:hAnsi="Times New Roman"/>
          <w:b/>
          <w:sz w:val="22"/>
          <w:szCs w:val="22"/>
          <w:lang w:val="el-GR"/>
        </w:rPr>
      </w:pPr>
    </w:p>
    <w:p w:rsidR="00EC39CB" w:rsidRPr="008B2AE9" w:rsidRDefault="00EC39CB" w:rsidP="00EC39CB">
      <w:pPr>
        <w:widowControl w:val="0"/>
        <w:rPr>
          <w:rFonts w:ascii="Times New Roman" w:hAnsi="Times New Roman"/>
          <w:sz w:val="22"/>
          <w:szCs w:val="22"/>
          <w:lang w:val="el-GR"/>
        </w:rPr>
      </w:pPr>
      <w:r w:rsidRPr="008B2AE9">
        <w:rPr>
          <w:rFonts w:ascii="Times New Roman" w:hAnsi="Times New Roman"/>
          <w:b/>
          <w:sz w:val="22"/>
          <w:szCs w:val="22"/>
          <w:lang w:val="el-GR"/>
        </w:rPr>
        <w:t>4.6</w:t>
      </w:r>
      <w:r w:rsidRPr="008B2AE9">
        <w:rPr>
          <w:rFonts w:ascii="Times New Roman" w:hAnsi="Times New Roman"/>
          <w:b/>
          <w:sz w:val="22"/>
          <w:szCs w:val="22"/>
          <w:lang w:val="el-GR"/>
        </w:rPr>
        <w:tab/>
      </w:r>
      <w:r w:rsidR="008568A1" w:rsidRPr="008B2AE9">
        <w:rPr>
          <w:rFonts w:ascii="Times New Roman" w:hAnsi="Times New Roman"/>
          <w:b/>
          <w:noProof/>
          <w:sz w:val="22"/>
          <w:szCs w:val="22"/>
          <w:lang w:val="el-GR"/>
        </w:rPr>
        <w:t xml:space="preserve">Γονιμότητα, </w:t>
      </w:r>
      <w:r w:rsidR="008568A1" w:rsidRPr="008B2AE9">
        <w:rPr>
          <w:rFonts w:ascii="Times New Roman" w:hAnsi="Times New Roman"/>
          <w:b/>
          <w:sz w:val="22"/>
          <w:szCs w:val="22"/>
          <w:lang w:val="el-GR"/>
        </w:rPr>
        <w:t>κύηση</w:t>
      </w:r>
      <w:r w:rsidRPr="008B2AE9">
        <w:rPr>
          <w:rFonts w:ascii="Times New Roman" w:hAnsi="Times New Roman"/>
          <w:b/>
          <w:sz w:val="22"/>
          <w:szCs w:val="22"/>
          <w:lang w:val="el-GR"/>
        </w:rPr>
        <w:t xml:space="preserve"> και γαλουχία</w:t>
      </w:r>
    </w:p>
    <w:p w:rsidR="00AF36BE" w:rsidRPr="008B2AE9" w:rsidRDefault="00AF36BE" w:rsidP="00AF36BE">
      <w:pPr>
        <w:pStyle w:val="a8"/>
        <w:spacing w:line="240" w:lineRule="auto"/>
        <w:rPr>
          <w:rFonts w:ascii="Times New Roman" w:hAnsi="Times New Roman"/>
          <w:sz w:val="22"/>
          <w:szCs w:val="22"/>
        </w:rPr>
      </w:pPr>
    </w:p>
    <w:p w:rsidR="004D2DF0" w:rsidRPr="008B2AE9" w:rsidRDefault="004D2DF0" w:rsidP="00AF36BE">
      <w:pPr>
        <w:pStyle w:val="a8"/>
        <w:spacing w:line="240" w:lineRule="auto"/>
        <w:rPr>
          <w:rFonts w:ascii="Times New Roman" w:hAnsi="Times New Roman"/>
          <w:sz w:val="22"/>
          <w:szCs w:val="22"/>
          <w:u w:val="single"/>
        </w:rPr>
      </w:pPr>
      <w:r w:rsidRPr="008B2AE9">
        <w:rPr>
          <w:rFonts w:ascii="Times New Roman" w:hAnsi="Times New Roman"/>
          <w:sz w:val="22"/>
          <w:szCs w:val="22"/>
          <w:u w:val="single"/>
        </w:rPr>
        <w:t>Κύηση</w:t>
      </w:r>
    </w:p>
    <w:p w:rsidR="009F64DE" w:rsidRPr="008B2AE9" w:rsidRDefault="009F64DE" w:rsidP="00AF36BE">
      <w:pPr>
        <w:pStyle w:val="a8"/>
        <w:spacing w:line="240" w:lineRule="auto"/>
        <w:rPr>
          <w:rFonts w:ascii="Times New Roman" w:hAnsi="Times New Roman"/>
          <w:sz w:val="22"/>
          <w:szCs w:val="22"/>
        </w:rPr>
      </w:pPr>
      <w:r w:rsidRPr="008B2AE9">
        <w:rPr>
          <w:rFonts w:ascii="Times New Roman" w:hAnsi="Times New Roman"/>
          <w:b/>
          <w:sz w:val="22"/>
          <w:szCs w:val="22"/>
          <w:u w:val="single"/>
        </w:rPr>
        <w:lastRenderedPageBreak/>
        <w:t xml:space="preserve">Μια μέτρια ποσότητα δεδομένων από έγκυες γυναίκες (μεταξύ 300-1000 </w:t>
      </w:r>
      <w:r w:rsidR="00B7544F" w:rsidRPr="008B2AE9">
        <w:rPr>
          <w:rFonts w:ascii="Times New Roman" w:hAnsi="Times New Roman"/>
          <w:b/>
          <w:sz w:val="22"/>
          <w:szCs w:val="22"/>
          <w:u w:val="single"/>
        </w:rPr>
        <w:t>αποτελ</w:t>
      </w:r>
      <w:r w:rsidR="006329ED" w:rsidRPr="008B2AE9">
        <w:rPr>
          <w:rFonts w:ascii="Times New Roman" w:hAnsi="Times New Roman"/>
          <w:b/>
          <w:sz w:val="22"/>
          <w:szCs w:val="22"/>
          <w:u w:val="single"/>
        </w:rPr>
        <w:t>ε</w:t>
      </w:r>
      <w:r w:rsidR="00B7544F" w:rsidRPr="008B2AE9">
        <w:rPr>
          <w:rFonts w:ascii="Times New Roman" w:hAnsi="Times New Roman"/>
          <w:b/>
          <w:sz w:val="22"/>
          <w:szCs w:val="22"/>
          <w:u w:val="single"/>
        </w:rPr>
        <w:t>σμ</w:t>
      </w:r>
      <w:r w:rsidR="006329ED" w:rsidRPr="008B2AE9">
        <w:rPr>
          <w:rFonts w:ascii="Times New Roman" w:hAnsi="Times New Roman"/>
          <w:b/>
          <w:sz w:val="22"/>
          <w:szCs w:val="22"/>
          <w:u w:val="single"/>
        </w:rPr>
        <w:t>ά</w:t>
      </w:r>
      <w:r w:rsidR="00B7544F" w:rsidRPr="008B2AE9">
        <w:rPr>
          <w:rFonts w:ascii="Times New Roman" w:hAnsi="Times New Roman"/>
          <w:b/>
          <w:sz w:val="22"/>
          <w:szCs w:val="22"/>
          <w:u w:val="single"/>
        </w:rPr>
        <w:t>τ</w:t>
      </w:r>
      <w:r w:rsidR="006329ED" w:rsidRPr="008B2AE9">
        <w:rPr>
          <w:rFonts w:ascii="Times New Roman" w:hAnsi="Times New Roman"/>
          <w:b/>
          <w:sz w:val="22"/>
          <w:szCs w:val="22"/>
          <w:u w:val="single"/>
        </w:rPr>
        <w:t>ων</w:t>
      </w:r>
      <w:r w:rsidRPr="008B2AE9">
        <w:rPr>
          <w:rFonts w:ascii="Times New Roman" w:hAnsi="Times New Roman"/>
          <w:b/>
          <w:sz w:val="22"/>
          <w:szCs w:val="22"/>
          <w:u w:val="single"/>
        </w:rPr>
        <w:t xml:space="preserve"> εγκυμοσύνης) δείχνει ότι δεν υπάρχει δυσπλασία ή εμβρυική / νεογνική τοξικότητα τ</w:t>
      </w:r>
      <w:r w:rsidR="006B15C0" w:rsidRPr="008B2AE9">
        <w:rPr>
          <w:rFonts w:ascii="Times New Roman" w:hAnsi="Times New Roman"/>
          <w:b/>
          <w:sz w:val="22"/>
          <w:szCs w:val="22"/>
          <w:u w:val="single"/>
        </w:rPr>
        <w:t>ης</w:t>
      </w:r>
      <w:r w:rsidRPr="008B2AE9">
        <w:rPr>
          <w:rFonts w:ascii="Times New Roman" w:hAnsi="Times New Roman"/>
          <w:b/>
          <w:sz w:val="22"/>
          <w:szCs w:val="22"/>
          <w:u w:val="single"/>
        </w:rPr>
        <w:t xml:space="preserve"> εσ</w:t>
      </w:r>
      <w:r w:rsidR="006B15C0" w:rsidRPr="008B2AE9">
        <w:rPr>
          <w:rFonts w:ascii="Times New Roman" w:hAnsi="Times New Roman"/>
          <w:b/>
          <w:sz w:val="22"/>
          <w:szCs w:val="22"/>
          <w:u w:val="single"/>
        </w:rPr>
        <w:t>ο</w:t>
      </w:r>
      <w:r w:rsidRPr="008B2AE9">
        <w:rPr>
          <w:rFonts w:ascii="Times New Roman" w:hAnsi="Times New Roman"/>
          <w:b/>
          <w:sz w:val="22"/>
          <w:szCs w:val="22"/>
          <w:u w:val="single"/>
        </w:rPr>
        <w:t>μεπραζόλης.</w:t>
      </w:r>
      <w:r w:rsidR="00A234BD" w:rsidRPr="008B2AE9">
        <w:rPr>
          <w:rFonts w:ascii="Times New Roman" w:hAnsi="Times New Roman"/>
          <w:sz w:val="22"/>
          <w:szCs w:val="22"/>
        </w:rPr>
        <w:t xml:space="preserve"> Με το ρακεμικό μίγμα, </w:t>
      </w:r>
      <w:r w:rsidR="001614D8" w:rsidRPr="008B2AE9">
        <w:rPr>
          <w:rFonts w:ascii="Times New Roman" w:hAnsi="Times New Roman"/>
          <w:sz w:val="22"/>
          <w:szCs w:val="22"/>
        </w:rPr>
        <w:t xml:space="preserve">τα </w:t>
      </w:r>
      <w:r w:rsidR="00A234BD" w:rsidRPr="008B2AE9">
        <w:rPr>
          <w:rFonts w:ascii="Times New Roman" w:hAnsi="Times New Roman"/>
          <w:sz w:val="22"/>
          <w:szCs w:val="22"/>
        </w:rPr>
        <w:t xml:space="preserve">στοιχεία </w:t>
      </w:r>
      <w:r w:rsidR="001614D8" w:rsidRPr="008B2AE9">
        <w:rPr>
          <w:rFonts w:ascii="Times New Roman" w:hAnsi="Times New Roman"/>
          <w:sz w:val="22"/>
          <w:szCs w:val="22"/>
        </w:rPr>
        <w:t xml:space="preserve">της ομεπραζόλης </w:t>
      </w:r>
      <w:r w:rsidR="00A234BD" w:rsidRPr="008B2AE9">
        <w:rPr>
          <w:rFonts w:ascii="Times New Roman" w:hAnsi="Times New Roman"/>
          <w:sz w:val="22"/>
          <w:szCs w:val="22"/>
        </w:rPr>
        <w:t xml:space="preserve">σε μεγαλύτερο αριθμό κυήσεων από επιδημιολογικές μελέτες δεν υποδεικνύουν </w:t>
      </w:r>
      <w:r w:rsidR="00262CEB" w:rsidRPr="008B2AE9">
        <w:rPr>
          <w:rFonts w:ascii="Times New Roman" w:hAnsi="Times New Roman"/>
          <w:sz w:val="22"/>
          <w:szCs w:val="22"/>
        </w:rPr>
        <w:t xml:space="preserve">ούτε </w:t>
      </w:r>
      <w:r w:rsidR="00A234BD" w:rsidRPr="008B2AE9">
        <w:rPr>
          <w:rFonts w:ascii="Times New Roman" w:hAnsi="Times New Roman"/>
          <w:sz w:val="22"/>
          <w:szCs w:val="22"/>
        </w:rPr>
        <w:t>δυσμορφική ούτε εμβρυοτοξική δράση.</w:t>
      </w:r>
    </w:p>
    <w:p w:rsidR="00E72235" w:rsidRPr="008B2AE9" w:rsidRDefault="00E72235" w:rsidP="00AF36BE">
      <w:pPr>
        <w:pStyle w:val="a8"/>
        <w:spacing w:line="240" w:lineRule="auto"/>
        <w:rPr>
          <w:rFonts w:ascii="Times New Roman" w:hAnsi="Times New Roman"/>
          <w:sz w:val="22"/>
          <w:szCs w:val="22"/>
        </w:rPr>
      </w:pPr>
      <w:r w:rsidRPr="008B2AE9">
        <w:rPr>
          <w:rFonts w:ascii="Times New Roman" w:hAnsi="Times New Roman"/>
          <w:sz w:val="22"/>
          <w:szCs w:val="22"/>
        </w:rPr>
        <w:t>Οι μελέτες σε ζώα με την εσομεπραζόλη δεν έχουν δείξει άμεσ</w:t>
      </w:r>
      <w:r w:rsidR="00405855" w:rsidRPr="008B2AE9">
        <w:rPr>
          <w:rFonts w:ascii="Times New Roman" w:hAnsi="Times New Roman"/>
          <w:sz w:val="22"/>
          <w:szCs w:val="22"/>
        </w:rPr>
        <w:t>ες ή έμμεσες</w:t>
      </w:r>
      <w:r w:rsidRPr="008B2AE9">
        <w:rPr>
          <w:rFonts w:ascii="Times New Roman" w:hAnsi="Times New Roman"/>
          <w:sz w:val="22"/>
          <w:szCs w:val="22"/>
        </w:rPr>
        <w:t xml:space="preserve"> βλαπτικ</w:t>
      </w:r>
      <w:r w:rsidR="00405855" w:rsidRPr="008B2AE9">
        <w:rPr>
          <w:rFonts w:ascii="Times New Roman" w:hAnsi="Times New Roman"/>
          <w:sz w:val="22"/>
          <w:szCs w:val="22"/>
        </w:rPr>
        <w:t>ές</w:t>
      </w:r>
      <w:r w:rsidRPr="008B2AE9">
        <w:rPr>
          <w:rFonts w:ascii="Times New Roman" w:hAnsi="Times New Roman"/>
          <w:color w:val="FF0000"/>
          <w:sz w:val="22"/>
          <w:szCs w:val="22"/>
        </w:rPr>
        <w:t xml:space="preserve"> </w:t>
      </w:r>
      <w:r w:rsidRPr="008B2AE9">
        <w:rPr>
          <w:rFonts w:ascii="Times New Roman" w:hAnsi="Times New Roman"/>
          <w:sz w:val="22"/>
          <w:szCs w:val="22"/>
        </w:rPr>
        <w:t>επ</w:t>
      </w:r>
      <w:r w:rsidR="00405855" w:rsidRPr="008B2AE9">
        <w:rPr>
          <w:rFonts w:ascii="Times New Roman" w:hAnsi="Times New Roman"/>
          <w:sz w:val="22"/>
          <w:szCs w:val="22"/>
        </w:rPr>
        <w:t>ι</w:t>
      </w:r>
      <w:r w:rsidRPr="008B2AE9">
        <w:rPr>
          <w:rFonts w:ascii="Times New Roman" w:hAnsi="Times New Roman"/>
          <w:sz w:val="22"/>
          <w:szCs w:val="22"/>
        </w:rPr>
        <w:t>δρ</w:t>
      </w:r>
      <w:r w:rsidR="00405855" w:rsidRPr="008B2AE9">
        <w:rPr>
          <w:rFonts w:ascii="Times New Roman" w:hAnsi="Times New Roman"/>
          <w:sz w:val="22"/>
          <w:szCs w:val="22"/>
        </w:rPr>
        <w:t>ά</w:t>
      </w:r>
      <w:r w:rsidRPr="008B2AE9">
        <w:rPr>
          <w:rFonts w:ascii="Times New Roman" w:hAnsi="Times New Roman"/>
          <w:sz w:val="22"/>
          <w:szCs w:val="22"/>
        </w:rPr>
        <w:t>σ</w:t>
      </w:r>
      <w:r w:rsidR="00405855" w:rsidRPr="008B2AE9">
        <w:rPr>
          <w:rFonts w:ascii="Times New Roman" w:hAnsi="Times New Roman"/>
          <w:sz w:val="22"/>
          <w:szCs w:val="22"/>
        </w:rPr>
        <w:t>εις</w:t>
      </w:r>
      <w:r w:rsidRPr="008B2AE9">
        <w:rPr>
          <w:rFonts w:ascii="Times New Roman" w:hAnsi="Times New Roman"/>
          <w:sz w:val="22"/>
          <w:szCs w:val="22"/>
        </w:rPr>
        <w:t xml:space="preserve"> στην ανάπτυξη του εμβρύου. Μελέτες σε ζώα με το ρακεμικό μίγμα δεν έδειξαν άμεσ</w:t>
      </w:r>
      <w:r w:rsidR="00C646B0" w:rsidRPr="008B2AE9">
        <w:rPr>
          <w:rFonts w:ascii="Times New Roman" w:hAnsi="Times New Roman"/>
          <w:sz w:val="22"/>
          <w:szCs w:val="22"/>
        </w:rPr>
        <w:t>ες</w:t>
      </w:r>
      <w:r w:rsidRPr="008B2AE9">
        <w:rPr>
          <w:rFonts w:ascii="Times New Roman" w:hAnsi="Times New Roman"/>
          <w:sz w:val="22"/>
          <w:szCs w:val="22"/>
        </w:rPr>
        <w:t xml:space="preserve"> ή έμμεσ</w:t>
      </w:r>
      <w:r w:rsidR="00C646B0" w:rsidRPr="008B2AE9">
        <w:rPr>
          <w:rFonts w:ascii="Times New Roman" w:hAnsi="Times New Roman"/>
          <w:sz w:val="22"/>
          <w:szCs w:val="22"/>
        </w:rPr>
        <w:t>ες</w:t>
      </w:r>
      <w:r w:rsidRPr="008B2AE9">
        <w:rPr>
          <w:rFonts w:ascii="Times New Roman" w:hAnsi="Times New Roman"/>
          <w:sz w:val="22"/>
          <w:szCs w:val="22"/>
        </w:rPr>
        <w:t xml:space="preserve"> βλαπτικ</w:t>
      </w:r>
      <w:r w:rsidR="00C646B0" w:rsidRPr="008B2AE9">
        <w:rPr>
          <w:rFonts w:ascii="Times New Roman" w:hAnsi="Times New Roman"/>
          <w:sz w:val="22"/>
          <w:szCs w:val="22"/>
        </w:rPr>
        <w:t>ές</w:t>
      </w:r>
      <w:r w:rsidRPr="008B2AE9">
        <w:rPr>
          <w:rFonts w:ascii="Times New Roman" w:hAnsi="Times New Roman"/>
          <w:sz w:val="22"/>
          <w:szCs w:val="22"/>
        </w:rPr>
        <w:t xml:space="preserve"> επ</w:t>
      </w:r>
      <w:r w:rsidR="00C646B0" w:rsidRPr="008B2AE9">
        <w:rPr>
          <w:rFonts w:ascii="Times New Roman" w:hAnsi="Times New Roman"/>
          <w:sz w:val="22"/>
          <w:szCs w:val="22"/>
        </w:rPr>
        <w:t>ι</w:t>
      </w:r>
      <w:r w:rsidRPr="008B2AE9">
        <w:rPr>
          <w:rFonts w:ascii="Times New Roman" w:hAnsi="Times New Roman"/>
          <w:sz w:val="22"/>
          <w:szCs w:val="22"/>
        </w:rPr>
        <w:t>δρ</w:t>
      </w:r>
      <w:r w:rsidR="00C646B0" w:rsidRPr="008B2AE9">
        <w:rPr>
          <w:rFonts w:ascii="Times New Roman" w:hAnsi="Times New Roman"/>
          <w:sz w:val="22"/>
          <w:szCs w:val="22"/>
        </w:rPr>
        <w:t>ά</w:t>
      </w:r>
      <w:r w:rsidRPr="008B2AE9">
        <w:rPr>
          <w:rFonts w:ascii="Times New Roman" w:hAnsi="Times New Roman"/>
          <w:sz w:val="22"/>
          <w:szCs w:val="22"/>
        </w:rPr>
        <w:t>σ</w:t>
      </w:r>
      <w:r w:rsidR="00C646B0" w:rsidRPr="008B2AE9">
        <w:rPr>
          <w:rFonts w:ascii="Times New Roman" w:hAnsi="Times New Roman"/>
          <w:sz w:val="22"/>
          <w:szCs w:val="22"/>
        </w:rPr>
        <w:t>εις</w:t>
      </w:r>
      <w:r w:rsidRPr="008B2AE9">
        <w:rPr>
          <w:rFonts w:ascii="Times New Roman" w:hAnsi="Times New Roman"/>
          <w:sz w:val="22"/>
          <w:szCs w:val="22"/>
        </w:rPr>
        <w:t xml:space="preserve"> όσον αφορά την κύηση, τον τοκετό ή την ανάπτυξη του νεογνού. Συνιστάται προσοχή όταν συνταγογραφείται </w:t>
      </w:r>
      <w:r w:rsidR="00127218" w:rsidRPr="008B2AE9">
        <w:rPr>
          <w:rFonts w:ascii="Times New Roman" w:hAnsi="Times New Roman"/>
          <w:sz w:val="22"/>
          <w:szCs w:val="22"/>
          <w:lang w:val="en-US"/>
        </w:rPr>
        <w:t>DEMOLOX</w:t>
      </w:r>
      <w:r w:rsidRPr="008B2AE9">
        <w:rPr>
          <w:rFonts w:ascii="Times New Roman" w:hAnsi="Times New Roman"/>
          <w:sz w:val="22"/>
          <w:szCs w:val="22"/>
        </w:rPr>
        <w:t xml:space="preserve"> σε εγκύους.</w:t>
      </w:r>
    </w:p>
    <w:p w:rsidR="00E72235" w:rsidRPr="008B2AE9" w:rsidRDefault="00E72235" w:rsidP="00A4679E">
      <w:pPr>
        <w:pStyle w:val="a8"/>
        <w:spacing w:line="240" w:lineRule="auto"/>
        <w:rPr>
          <w:rFonts w:ascii="Times New Roman" w:hAnsi="Times New Roman"/>
          <w:sz w:val="22"/>
          <w:szCs w:val="22"/>
        </w:rPr>
      </w:pPr>
    </w:p>
    <w:p w:rsidR="00122FEB" w:rsidRPr="008B2AE9" w:rsidRDefault="00122FEB" w:rsidP="00A4679E">
      <w:pPr>
        <w:pStyle w:val="a8"/>
        <w:spacing w:line="240" w:lineRule="auto"/>
        <w:rPr>
          <w:rFonts w:ascii="Times New Roman" w:hAnsi="Times New Roman"/>
          <w:sz w:val="22"/>
          <w:szCs w:val="22"/>
          <w:u w:val="single"/>
        </w:rPr>
      </w:pPr>
      <w:r w:rsidRPr="008B2AE9">
        <w:rPr>
          <w:rFonts w:ascii="Times New Roman" w:hAnsi="Times New Roman"/>
          <w:sz w:val="22"/>
          <w:szCs w:val="22"/>
          <w:u w:val="single"/>
        </w:rPr>
        <w:t>Γαλουχία</w:t>
      </w:r>
    </w:p>
    <w:p w:rsidR="00A4679E" w:rsidRPr="008B2AE9" w:rsidRDefault="00E72235" w:rsidP="00A4679E">
      <w:pPr>
        <w:pStyle w:val="a8"/>
        <w:spacing w:line="240" w:lineRule="auto"/>
        <w:rPr>
          <w:rFonts w:ascii="Times New Roman" w:hAnsi="Times New Roman"/>
          <w:sz w:val="22"/>
          <w:szCs w:val="22"/>
        </w:rPr>
      </w:pPr>
      <w:r w:rsidRPr="008B2AE9">
        <w:rPr>
          <w:rFonts w:ascii="Times New Roman" w:hAnsi="Times New Roman"/>
          <w:sz w:val="22"/>
          <w:szCs w:val="22"/>
        </w:rPr>
        <w:t xml:space="preserve">Δεν είναι γνωστό αν η εσομεπραζόλη απεκκρίνεται στο μητρικό γάλα. Δεν </w:t>
      </w:r>
      <w:r w:rsidR="00C307B9" w:rsidRPr="008B2AE9">
        <w:rPr>
          <w:rFonts w:ascii="Times New Roman" w:hAnsi="Times New Roman"/>
          <w:sz w:val="22"/>
          <w:szCs w:val="22"/>
        </w:rPr>
        <w:t xml:space="preserve">υπάρχουν επαρκή στοιχεία στις </w:t>
      </w:r>
      <w:r w:rsidR="00593423" w:rsidRPr="008B2AE9">
        <w:rPr>
          <w:rFonts w:ascii="Times New Roman" w:hAnsi="Times New Roman"/>
          <w:sz w:val="22"/>
          <w:szCs w:val="22"/>
        </w:rPr>
        <w:t xml:space="preserve">επιπτώσεις </w:t>
      </w:r>
      <w:r w:rsidR="00C307B9" w:rsidRPr="008B2AE9">
        <w:rPr>
          <w:rFonts w:ascii="Times New Roman" w:hAnsi="Times New Roman"/>
          <w:sz w:val="22"/>
          <w:szCs w:val="22"/>
        </w:rPr>
        <w:t xml:space="preserve">της εσομεπραζόλης σε </w:t>
      </w:r>
      <w:r w:rsidR="00593423" w:rsidRPr="008B2AE9">
        <w:rPr>
          <w:rFonts w:ascii="Times New Roman" w:hAnsi="Times New Roman"/>
          <w:sz w:val="22"/>
          <w:szCs w:val="22"/>
        </w:rPr>
        <w:t xml:space="preserve">νεογέννητα </w:t>
      </w:r>
      <w:r w:rsidR="00C307B9" w:rsidRPr="008B2AE9">
        <w:rPr>
          <w:rFonts w:ascii="Times New Roman" w:hAnsi="Times New Roman"/>
          <w:sz w:val="22"/>
          <w:szCs w:val="22"/>
        </w:rPr>
        <w:t>/βρέφη</w:t>
      </w:r>
      <w:r w:rsidRPr="008B2AE9">
        <w:rPr>
          <w:rFonts w:ascii="Times New Roman" w:hAnsi="Times New Roman"/>
          <w:sz w:val="22"/>
          <w:szCs w:val="22"/>
        </w:rPr>
        <w:t xml:space="preserve">. </w:t>
      </w:r>
    </w:p>
    <w:p w:rsidR="00E72235" w:rsidRPr="008B2AE9" w:rsidRDefault="008B5CA0" w:rsidP="00A4679E">
      <w:pPr>
        <w:pStyle w:val="a8"/>
        <w:spacing w:line="240" w:lineRule="auto"/>
        <w:rPr>
          <w:rFonts w:ascii="Times New Roman" w:hAnsi="Times New Roman"/>
          <w:sz w:val="22"/>
          <w:szCs w:val="22"/>
        </w:rPr>
      </w:pPr>
      <w:r w:rsidRPr="008B2AE9">
        <w:rPr>
          <w:rFonts w:ascii="Times New Roman" w:hAnsi="Times New Roman"/>
          <w:sz w:val="22"/>
          <w:szCs w:val="22"/>
        </w:rPr>
        <w:t>Η εσομεπραζόλη</w:t>
      </w:r>
      <w:r w:rsidR="000B5AED" w:rsidRPr="008B2AE9">
        <w:rPr>
          <w:rFonts w:ascii="Times New Roman" w:hAnsi="Times New Roman"/>
          <w:sz w:val="22"/>
          <w:szCs w:val="22"/>
        </w:rPr>
        <w:t xml:space="preserve"> </w:t>
      </w:r>
      <w:r w:rsidR="00E72235" w:rsidRPr="008B2AE9">
        <w:rPr>
          <w:rFonts w:ascii="Times New Roman" w:hAnsi="Times New Roman"/>
          <w:sz w:val="22"/>
          <w:szCs w:val="22"/>
        </w:rPr>
        <w:t>δεν πρέπει να χρησιμοποιείται κατά τη διάρκεια της γαλουχίας.</w:t>
      </w:r>
    </w:p>
    <w:p w:rsidR="00593423" w:rsidRPr="008B2AE9" w:rsidRDefault="00593423" w:rsidP="00A4679E">
      <w:pPr>
        <w:jc w:val="both"/>
        <w:rPr>
          <w:rFonts w:ascii="Times New Roman" w:hAnsi="Times New Roman"/>
          <w:b/>
          <w:sz w:val="22"/>
          <w:szCs w:val="22"/>
          <w:lang w:val="el-GR"/>
        </w:rPr>
      </w:pPr>
    </w:p>
    <w:p w:rsidR="00E72235" w:rsidRPr="008B2AE9" w:rsidRDefault="00002C22" w:rsidP="00A4679E">
      <w:pPr>
        <w:jc w:val="both"/>
        <w:rPr>
          <w:rFonts w:ascii="Times New Roman" w:hAnsi="Times New Roman"/>
          <w:sz w:val="22"/>
          <w:szCs w:val="22"/>
          <w:u w:val="single"/>
          <w:lang w:val="el-GR"/>
        </w:rPr>
      </w:pPr>
      <w:r w:rsidRPr="008B2AE9">
        <w:rPr>
          <w:rFonts w:ascii="Times New Roman" w:hAnsi="Times New Roman"/>
          <w:sz w:val="22"/>
          <w:szCs w:val="22"/>
          <w:u w:val="single"/>
          <w:lang w:val="el-GR"/>
        </w:rPr>
        <w:t>Γονιμότητα</w:t>
      </w:r>
    </w:p>
    <w:p w:rsidR="00002C22" w:rsidRPr="008B2AE9" w:rsidRDefault="00367FE3" w:rsidP="00A4679E">
      <w:pPr>
        <w:jc w:val="both"/>
        <w:rPr>
          <w:rFonts w:ascii="Times New Roman" w:hAnsi="Times New Roman"/>
          <w:sz w:val="22"/>
          <w:szCs w:val="22"/>
          <w:lang w:val="el-GR"/>
        </w:rPr>
      </w:pPr>
      <w:r w:rsidRPr="008B2AE9">
        <w:rPr>
          <w:rFonts w:ascii="Times New Roman" w:hAnsi="Times New Roman"/>
          <w:sz w:val="22"/>
          <w:szCs w:val="22"/>
          <w:lang w:val="el-GR"/>
        </w:rPr>
        <w:t xml:space="preserve">Μελέτες σε ζώα με το ρακεμικό μείγμα ομεπραζόλης, </w:t>
      </w:r>
      <w:r w:rsidR="00BC2352" w:rsidRPr="008B2AE9">
        <w:rPr>
          <w:rFonts w:ascii="Times New Roman" w:hAnsi="Times New Roman"/>
          <w:sz w:val="22"/>
          <w:szCs w:val="22"/>
          <w:lang w:val="el-GR"/>
        </w:rPr>
        <w:t>χορηγούμενη</w:t>
      </w:r>
      <w:r w:rsidRPr="008B2AE9">
        <w:rPr>
          <w:rFonts w:ascii="Times New Roman" w:hAnsi="Times New Roman"/>
          <w:sz w:val="22"/>
          <w:szCs w:val="22"/>
          <w:lang w:val="el-GR"/>
        </w:rPr>
        <w:t xml:space="preserve"> από του στόματος, δεν δείχνουν επιδράσεις όσον αφορά τη γονιμότητα.</w:t>
      </w:r>
    </w:p>
    <w:p w:rsidR="00002C22" w:rsidRPr="008B2AE9" w:rsidRDefault="00002C22" w:rsidP="00A4679E">
      <w:pPr>
        <w:jc w:val="both"/>
        <w:rPr>
          <w:rFonts w:ascii="Times New Roman" w:hAnsi="Times New Roman"/>
          <w:b/>
          <w:sz w:val="22"/>
          <w:szCs w:val="22"/>
          <w:lang w:val="el-GR"/>
        </w:rPr>
      </w:pPr>
    </w:p>
    <w:p w:rsidR="00F854B0" w:rsidRPr="008B2AE9" w:rsidRDefault="00F854B0" w:rsidP="00F854B0">
      <w:pPr>
        <w:widowControl w:val="0"/>
        <w:rPr>
          <w:rFonts w:ascii="Times New Roman" w:hAnsi="Times New Roman"/>
          <w:sz w:val="22"/>
          <w:szCs w:val="22"/>
          <w:lang w:val="el-GR"/>
        </w:rPr>
      </w:pPr>
      <w:r w:rsidRPr="008B2AE9">
        <w:rPr>
          <w:rFonts w:ascii="Times New Roman" w:hAnsi="Times New Roman"/>
          <w:b/>
          <w:sz w:val="22"/>
          <w:szCs w:val="22"/>
          <w:lang w:val="el-GR"/>
        </w:rPr>
        <w:t>4.7</w:t>
      </w:r>
      <w:r w:rsidRPr="008B2AE9">
        <w:rPr>
          <w:rFonts w:ascii="Times New Roman" w:hAnsi="Times New Roman"/>
          <w:b/>
          <w:sz w:val="22"/>
          <w:szCs w:val="22"/>
          <w:lang w:val="el-GR"/>
        </w:rPr>
        <w:tab/>
        <w:t>Επιδράσεις στην ικανότητα οδήγησης και χειρισμού μηχανών</w:t>
      </w:r>
    </w:p>
    <w:p w:rsidR="00AF36BE" w:rsidRPr="008B2AE9" w:rsidRDefault="00AF36BE" w:rsidP="00AF36BE">
      <w:pPr>
        <w:pStyle w:val="a8"/>
        <w:spacing w:line="240" w:lineRule="auto"/>
        <w:rPr>
          <w:rFonts w:ascii="Times New Roman" w:hAnsi="Times New Roman"/>
          <w:sz w:val="22"/>
          <w:szCs w:val="22"/>
        </w:rPr>
      </w:pPr>
    </w:p>
    <w:p w:rsidR="00E72235" w:rsidRPr="008B2AE9" w:rsidRDefault="00CB1F90" w:rsidP="00AF36BE">
      <w:pPr>
        <w:rPr>
          <w:rFonts w:ascii="Times New Roman" w:hAnsi="Times New Roman"/>
          <w:sz w:val="22"/>
          <w:szCs w:val="22"/>
          <w:lang w:val="el-GR"/>
        </w:rPr>
      </w:pPr>
      <w:r w:rsidRPr="008B2AE9">
        <w:rPr>
          <w:rFonts w:ascii="Times New Roman" w:hAnsi="Times New Roman"/>
          <w:sz w:val="22"/>
          <w:szCs w:val="22"/>
          <w:lang w:val="el-GR"/>
        </w:rPr>
        <w:t>Η ε</w:t>
      </w:r>
      <w:r w:rsidR="00440EA5" w:rsidRPr="008B2AE9">
        <w:rPr>
          <w:rFonts w:ascii="Times New Roman" w:hAnsi="Times New Roman"/>
          <w:sz w:val="22"/>
          <w:szCs w:val="22"/>
          <w:lang w:val="el-GR"/>
        </w:rPr>
        <w:t>σομεπραζόλη έχει μικρή επίδραση στην ικανότητα ο</w:t>
      </w:r>
      <w:r w:rsidR="00525518" w:rsidRPr="008B2AE9">
        <w:rPr>
          <w:rFonts w:ascii="Times New Roman" w:hAnsi="Times New Roman"/>
          <w:sz w:val="22"/>
          <w:szCs w:val="22"/>
          <w:lang w:val="el-GR"/>
        </w:rPr>
        <w:t>δήγησης ή χειρισμού μηχανών. Α</w:t>
      </w:r>
      <w:r w:rsidR="00440EA5" w:rsidRPr="008B2AE9">
        <w:rPr>
          <w:rFonts w:ascii="Times New Roman" w:hAnsi="Times New Roman"/>
          <w:sz w:val="22"/>
          <w:szCs w:val="22"/>
          <w:lang w:val="el-GR"/>
        </w:rPr>
        <w:t xml:space="preserve">νεπιθύμητες ενέργειες </w:t>
      </w:r>
      <w:r w:rsidR="00525518" w:rsidRPr="008B2AE9">
        <w:rPr>
          <w:rFonts w:ascii="Times New Roman" w:hAnsi="Times New Roman"/>
          <w:sz w:val="22"/>
          <w:szCs w:val="22"/>
          <w:lang w:val="el-GR"/>
        </w:rPr>
        <w:t xml:space="preserve">όπως </w:t>
      </w:r>
      <w:r w:rsidR="00440EA5" w:rsidRPr="008B2AE9">
        <w:rPr>
          <w:rFonts w:ascii="Times New Roman" w:hAnsi="Times New Roman"/>
          <w:sz w:val="22"/>
          <w:szCs w:val="22"/>
          <w:lang w:val="el-GR"/>
        </w:rPr>
        <w:t>ζάλη (</w:t>
      </w:r>
      <w:r w:rsidR="00197AF7" w:rsidRPr="008B2AE9">
        <w:rPr>
          <w:rFonts w:ascii="Times New Roman" w:hAnsi="Times New Roman"/>
          <w:sz w:val="22"/>
          <w:szCs w:val="22"/>
          <w:lang w:val="el-GR"/>
        </w:rPr>
        <w:t xml:space="preserve">όχι </w:t>
      </w:r>
      <w:r w:rsidR="00440EA5" w:rsidRPr="008B2AE9">
        <w:rPr>
          <w:rFonts w:ascii="Times New Roman" w:hAnsi="Times New Roman"/>
          <w:sz w:val="22"/>
          <w:szCs w:val="22"/>
          <w:lang w:val="el-GR"/>
        </w:rPr>
        <w:t>συχνή) και θολή όραση (όχι συχν</w:t>
      </w:r>
      <w:r w:rsidR="00197AF7" w:rsidRPr="008B2AE9">
        <w:rPr>
          <w:rFonts w:ascii="Times New Roman" w:hAnsi="Times New Roman"/>
          <w:sz w:val="22"/>
          <w:szCs w:val="22"/>
          <w:lang w:val="el-GR"/>
        </w:rPr>
        <w:t>ή</w:t>
      </w:r>
      <w:r w:rsidR="00440EA5" w:rsidRPr="008B2AE9">
        <w:rPr>
          <w:rFonts w:ascii="Times New Roman" w:hAnsi="Times New Roman"/>
          <w:sz w:val="22"/>
          <w:szCs w:val="22"/>
          <w:lang w:val="el-GR"/>
        </w:rPr>
        <w:t xml:space="preserve">) έχουν αναφερθεί (βλέπε </w:t>
      </w:r>
      <w:r w:rsidR="004D349B" w:rsidRPr="008B2AE9">
        <w:rPr>
          <w:rFonts w:ascii="Times New Roman" w:hAnsi="Times New Roman"/>
          <w:sz w:val="22"/>
          <w:szCs w:val="22"/>
          <w:lang w:val="el-GR"/>
        </w:rPr>
        <w:t xml:space="preserve">παράγραφο </w:t>
      </w:r>
      <w:r w:rsidR="00440EA5" w:rsidRPr="008B2AE9">
        <w:rPr>
          <w:rFonts w:ascii="Times New Roman" w:hAnsi="Times New Roman"/>
          <w:sz w:val="22"/>
          <w:szCs w:val="22"/>
          <w:lang w:val="el-GR"/>
        </w:rPr>
        <w:t>4.8). Εάν οι ασθενείς επηρεάζονται</w:t>
      </w:r>
      <w:r w:rsidR="00021163" w:rsidRPr="008B2AE9">
        <w:rPr>
          <w:rFonts w:ascii="Times New Roman" w:hAnsi="Times New Roman"/>
          <w:sz w:val="22"/>
          <w:szCs w:val="22"/>
          <w:lang w:val="el-GR"/>
        </w:rPr>
        <w:t>,</w:t>
      </w:r>
      <w:r w:rsidR="00440EA5" w:rsidRPr="008B2AE9">
        <w:rPr>
          <w:rFonts w:ascii="Times New Roman" w:hAnsi="Times New Roman"/>
          <w:sz w:val="22"/>
          <w:szCs w:val="22"/>
          <w:lang w:val="el-GR"/>
        </w:rPr>
        <w:t xml:space="preserve"> δεν πρέπει να οδηγούν ή να χειρίζονται μηχανήματα.</w:t>
      </w:r>
    </w:p>
    <w:p w:rsidR="001C3CD7" w:rsidRPr="008B2AE9" w:rsidRDefault="001C3CD7" w:rsidP="00AF36BE">
      <w:pPr>
        <w:rPr>
          <w:rFonts w:ascii="Times New Roman" w:hAnsi="Times New Roman"/>
          <w:sz w:val="22"/>
          <w:szCs w:val="22"/>
          <w:lang w:val="el-GR"/>
        </w:rPr>
      </w:pPr>
    </w:p>
    <w:p w:rsidR="00E72235" w:rsidRPr="008B2AE9" w:rsidRDefault="00E72235" w:rsidP="00AF36BE">
      <w:pPr>
        <w:rPr>
          <w:rFonts w:ascii="Times New Roman" w:hAnsi="Times New Roman"/>
          <w:b/>
          <w:sz w:val="22"/>
          <w:szCs w:val="22"/>
          <w:lang w:val="el-GR"/>
        </w:rPr>
      </w:pPr>
      <w:r w:rsidRPr="008B2AE9">
        <w:rPr>
          <w:rFonts w:ascii="Times New Roman" w:hAnsi="Times New Roman"/>
          <w:b/>
          <w:sz w:val="22"/>
          <w:szCs w:val="22"/>
          <w:lang w:val="el-GR"/>
        </w:rPr>
        <w:t xml:space="preserve">4.8 </w:t>
      </w:r>
      <w:r w:rsidRPr="008B2AE9">
        <w:rPr>
          <w:rFonts w:ascii="Times New Roman" w:hAnsi="Times New Roman"/>
          <w:b/>
          <w:sz w:val="22"/>
          <w:szCs w:val="22"/>
          <w:lang w:val="el-GR"/>
        </w:rPr>
        <w:tab/>
        <w:t xml:space="preserve">Ανεπιθύμητες ενέργειες </w:t>
      </w:r>
    </w:p>
    <w:p w:rsidR="00AF36BE" w:rsidRPr="008B2AE9" w:rsidRDefault="00AF36BE" w:rsidP="00AF36BE">
      <w:pPr>
        <w:pStyle w:val="a8"/>
        <w:spacing w:line="240" w:lineRule="auto"/>
        <w:rPr>
          <w:rFonts w:ascii="Times New Roman" w:hAnsi="Times New Roman"/>
          <w:sz w:val="22"/>
          <w:szCs w:val="22"/>
        </w:rPr>
      </w:pPr>
    </w:p>
    <w:p w:rsidR="000C287B" w:rsidRPr="008B2AE9" w:rsidRDefault="000C287B" w:rsidP="000C287B">
      <w:pPr>
        <w:pStyle w:val="a8"/>
        <w:rPr>
          <w:rFonts w:ascii="Times New Roman" w:hAnsi="Times New Roman"/>
          <w:sz w:val="22"/>
          <w:szCs w:val="22"/>
          <w:u w:val="single"/>
        </w:rPr>
      </w:pPr>
      <w:r w:rsidRPr="008B2AE9">
        <w:rPr>
          <w:rFonts w:ascii="Times New Roman" w:hAnsi="Times New Roman"/>
          <w:sz w:val="22"/>
          <w:szCs w:val="22"/>
          <w:u w:val="single"/>
        </w:rPr>
        <w:t>Περίληψη του προφίλ ασφ</w:t>
      </w:r>
      <w:r w:rsidR="00397168" w:rsidRPr="008B2AE9">
        <w:rPr>
          <w:rFonts w:ascii="Times New Roman" w:hAnsi="Times New Roman"/>
          <w:sz w:val="22"/>
          <w:szCs w:val="22"/>
          <w:u w:val="single"/>
        </w:rPr>
        <w:t>α</w:t>
      </w:r>
      <w:r w:rsidRPr="008B2AE9">
        <w:rPr>
          <w:rFonts w:ascii="Times New Roman" w:hAnsi="Times New Roman"/>
          <w:sz w:val="22"/>
          <w:szCs w:val="22"/>
          <w:u w:val="single"/>
        </w:rPr>
        <w:t>λε</w:t>
      </w:r>
      <w:r w:rsidR="00397168" w:rsidRPr="008B2AE9">
        <w:rPr>
          <w:rFonts w:ascii="Times New Roman" w:hAnsi="Times New Roman"/>
          <w:sz w:val="22"/>
          <w:szCs w:val="22"/>
          <w:u w:val="single"/>
        </w:rPr>
        <w:t>ί</w:t>
      </w:r>
      <w:r w:rsidRPr="008B2AE9">
        <w:rPr>
          <w:rFonts w:ascii="Times New Roman" w:hAnsi="Times New Roman"/>
          <w:sz w:val="22"/>
          <w:szCs w:val="22"/>
          <w:u w:val="single"/>
        </w:rPr>
        <w:t>ας</w:t>
      </w:r>
    </w:p>
    <w:p w:rsidR="000C287B" w:rsidRPr="008B2AE9" w:rsidRDefault="000C287B" w:rsidP="00CC14A4">
      <w:pPr>
        <w:pStyle w:val="a8"/>
        <w:spacing w:line="240" w:lineRule="auto"/>
        <w:jc w:val="left"/>
        <w:rPr>
          <w:rFonts w:ascii="Times New Roman" w:hAnsi="Times New Roman"/>
          <w:sz w:val="22"/>
          <w:szCs w:val="22"/>
        </w:rPr>
      </w:pPr>
      <w:r w:rsidRPr="008B2AE9">
        <w:rPr>
          <w:rFonts w:ascii="Times New Roman" w:hAnsi="Times New Roman"/>
          <w:sz w:val="22"/>
          <w:szCs w:val="22"/>
        </w:rPr>
        <w:t>Κεφαλαλγία, κοιλιακό άλγος, διάρροια και ναυτία είναι μεταξύ εκείνων</w:t>
      </w:r>
      <w:r w:rsidR="003F1598" w:rsidRPr="008B2AE9">
        <w:rPr>
          <w:rFonts w:ascii="Times New Roman" w:hAnsi="Times New Roman"/>
          <w:sz w:val="22"/>
          <w:szCs w:val="22"/>
        </w:rPr>
        <w:t xml:space="preserve"> των</w:t>
      </w:r>
      <w:r w:rsidRPr="008B2AE9">
        <w:rPr>
          <w:rFonts w:ascii="Times New Roman" w:hAnsi="Times New Roman"/>
          <w:sz w:val="22"/>
          <w:szCs w:val="22"/>
        </w:rPr>
        <w:t xml:space="preserve"> ανεπιθύμητ</w:t>
      </w:r>
      <w:r w:rsidR="003F1598" w:rsidRPr="008B2AE9">
        <w:rPr>
          <w:rFonts w:ascii="Times New Roman" w:hAnsi="Times New Roman"/>
          <w:sz w:val="22"/>
          <w:szCs w:val="22"/>
        </w:rPr>
        <w:t>ων</w:t>
      </w:r>
      <w:r w:rsidRPr="008B2AE9">
        <w:rPr>
          <w:rFonts w:ascii="Times New Roman" w:hAnsi="Times New Roman"/>
          <w:sz w:val="22"/>
          <w:szCs w:val="22"/>
        </w:rPr>
        <w:t xml:space="preserve"> εν</w:t>
      </w:r>
      <w:r w:rsidR="003F1598" w:rsidRPr="008B2AE9">
        <w:rPr>
          <w:rFonts w:ascii="Times New Roman" w:hAnsi="Times New Roman"/>
          <w:sz w:val="22"/>
          <w:szCs w:val="22"/>
        </w:rPr>
        <w:t>ε</w:t>
      </w:r>
      <w:r w:rsidRPr="008B2AE9">
        <w:rPr>
          <w:rFonts w:ascii="Times New Roman" w:hAnsi="Times New Roman"/>
          <w:sz w:val="22"/>
          <w:szCs w:val="22"/>
        </w:rPr>
        <w:t>ργει</w:t>
      </w:r>
      <w:r w:rsidR="003F1598" w:rsidRPr="008B2AE9">
        <w:rPr>
          <w:rFonts w:ascii="Times New Roman" w:hAnsi="Times New Roman"/>
          <w:sz w:val="22"/>
          <w:szCs w:val="22"/>
        </w:rPr>
        <w:t>ών</w:t>
      </w:r>
      <w:r w:rsidRPr="008B2AE9">
        <w:rPr>
          <w:rFonts w:ascii="Times New Roman" w:hAnsi="Times New Roman"/>
          <w:sz w:val="22"/>
          <w:szCs w:val="22"/>
        </w:rPr>
        <w:t xml:space="preserve"> που έχουν αναφερθεί πιο συχνά σε κλινικές δοκιμές (και επίσης από τη χρήση μετά την</w:t>
      </w:r>
      <w:r w:rsidR="003F1598" w:rsidRPr="008B2AE9">
        <w:rPr>
          <w:rFonts w:ascii="Times New Roman" w:hAnsi="Times New Roman"/>
          <w:sz w:val="22"/>
          <w:szCs w:val="22"/>
        </w:rPr>
        <w:t xml:space="preserve"> </w:t>
      </w:r>
      <w:r w:rsidRPr="008B2AE9">
        <w:rPr>
          <w:rFonts w:ascii="Times New Roman" w:hAnsi="Times New Roman"/>
          <w:sz w:val="22"/>
          <w:szCs w:val="22"/>
        </w:rPr>
        <w:t>κυκλοφορία). Επιπλέον, το προφίλ ασφ</w:t>
      </w:r>
      <w:r w:rsidR="00457214" w:rsidRPr="008B2AE9">
        <w:rPr>
          <w:rFonts w:ascii="Times New Roman" w:hAnsi="Times New Roman"/>
          <w:sz w:val="22"/>
          <w:szCs w:val="22"/>
        </w:rPr>
        <w:t>α</w:t>
      </w:r>
      <w:r w:rsidRPr="008B2AE9">
        <w:rPr>
          <w:rFonts w:ascii="Times New Roman" w:hAnsi="Times New Roman"/>
          <w:sz w:val="22"/>
          <w:szCs w:val="22"/>
        </w:rPr>
        <w:t>λε</w:t>
      </w:r>
      <w:r w:rsidR="00457214" w:rsidRPr="008B2AE9">
        <w:rPr>
          <w:rFonts w:ascii="Times New Roman" w:hAnsi="Times New Roman"/>
          <w:sz w:val="22"/>
          <w:szCs w:val="22"/>
        </w:rPr>
        <w:t>ί</w:t>
      </w:r>
      <w:r w:rsidRPr="008B2AE9">
        <w:rPr>
          <w:rFonts w:ascii="Times New Roman" w:hAnsi="Times New Roman"/>
          <w:sz w:val="22"/>
          <w:szCs w:val="22"/>
        </w:rPr>
        <w:t xml:space="preserve">ας είναι παρόμοιο για διαφορετικές φαρμακοτεχνικές μορφές, ενδείξεις θεραπείας, ηλικιακές ομάδες και πληθυσμούς ασθενών. Δεν </w:t>
      </w:r>
      <w:r w:rsidR="008D59D5" w:rsidRPr="008B2AE9">
        <w:rPr>
          <w:rFonts w:ascii="Times New Roman" w:hAnsi="Times New Roman"/>
          <w:sz w:val="22"/>
          <w:szCs w:val="22"/>
        </w:rPr>
        <w:t xml:space="preserve">έχουν διαπιστωθεί </w:t>
      </w:r>
      <w:r w:rsidRPr="008B2AE9">
        <w:rPr>
          <w:rFonts w:ascii="Times New Roman" w:hAnsi="Times New Roman"/>
          <w:sz w:val="22"/>
          <w:szCs w:val="22"/>
        </w:rPr>
        <w:t>δοσοεξαρτώμενες ανεπιθύμητες ενέργειες.</w:t>
      </w:r>
    </w:p>
    <w:p w:rsidR="000C287B" w:rsidRPr="008B2AE9" w:rsidRDefault="000C287B" w:rsidP="000C287B">
      <w:pPr>
        <w:pStyle w:val="a8"/>
        <w:spacing w:line="240" w:lineRule="auto"/>
        <w:rPr>
          <w:rFonts w:ascii="Times New Roman" w:hAnsi="Times New Roman"/>
          <w:sz w:val="22"/>
          <w:szCs w:val="22"/>
        </w:rPr>
      </w:pPr>
    </w:p>
    <w:p w:rsidR="0004629A" w:rsidRPr="008B2AE9" w:rsidRDefault="0004629A" w:rsidP="000C287B">
      <w:pPr>
        <w:pStyle w:val="a8"/>
        <w:spacing w:line="240" w:lineRule="auto"/>
        <w:rPr>
          <w:rFonts w:ascii="Times New Roman" w:hAnsi="Times New Roman"/>
          <w:sz w:val="22"/>
          <w:szCs w:val="22"/>
          <w:u w:val="single"/>
        </w:rPr>
      </w:pPr>
      <w:r w:rsidRPr="008B2AE9">
        <w:rPr>
          <w:rFonts w:ascii="Times New Roman" w:hAnsi="Times New Roman"/>
          <w:sz w:val="22"/>
          <w:szCs w:val="22"/>
          <w:u w:val="single"/>
        </w:rPr>
        <w:t>Πίνακας ανεπιθύμητων ενεργειών</w:t>
      </w:r>
    </w:p>
    <w:p w:rsidR="00E72235" w:rsidRPr="008B2AE9" w:rsidRDefault="00E72235" w:rsidP="000C287B">
      <w:pPr>
        <w:pStyle w:val="a8"/>
        <w:spacing w:line="240" w:lineRule="auto"/>
        <w:rPr>
          <w:rFonts w:ascii="Times New Roman" w:hAnsi="Times New Roman"/>
          <w:sz w:val="22"/>
          <w:szCs w:val="22"/>
        </w:rPr>
      </w:pPr>
      <w:r w:rsidRPr="008B2AE9">
        <w:rPr>
          <w:rFonts w:ascii="Times New Roman" w:hAnsi="Times New Roman"/>
          <w:sz w:val="22"/>
          <w:szCs w:val="22"/>
        </w:rPr>
        <w:t>Από τις κλινικές μελέτες χορήγησης της εσομεπραζόλης από το στόμα ή ενδοφλέβια καθώς και μετά την κυκλοφορία της εσομεπραζόλης, χορηγούμενης από το στόμα, διαπιστώθηκαν ή συσχετίσθηκαν με την εσομεπραζόλη οι ακόλουθες ανεπιθύμητες ενέργειες.</w:t>
      </w:r>
    </w:p>
    <w:p w:rsidR="00190A8E" w:rsidRPr="008B2AE9" w:rsidRDefault="00190A8E" w:rsidP="000C287B">
      <w:pPr>
        <w:pStyle w:val="a8"/>
        <w:spacing w:line="240" w:lineRule="auto"/>
        <w:rPr>
          <w:rFonts w:ascii="Times New Roman" w:hAnsi="Times New Roman"/>
          <w:sz w:val="22"/>
          <w:szCs w:val="22"/>
        </w:rPr>
      </w:pPr>
    </w:p>
    <w:p w:rsidR="00FE3A88" w:rsidRPr="008B2AE9" w:rsidRDefault="00E72235" w:rsidP="00AF36BE">
      <w:pPr>
        <w:jc w:val="both"/>
        <w:rPr>
          <w:rFonts w:ascii="Times New Roman" w:hAnsi="Times New Roman"/>
          <w:sz w:val="22"/>
          <w:szCs w:val="22"/>
          <w:lang w:val="el-GR"/>
        </w:rPr>
      </w:pPr>
      <w:r w:rsidRPr="008B2AE9">
        <w:rPr>
          <w:rFonts w:ascii="Times New Roman" w:hAnsi="Times New Roman"/>
          <w:sz w:val="22"/>
          <w:szCs w:val="22"/>
          <w:lang w:val="el-GR"/>
        </w:rPr>
        <w:t>Οι ανεπιθύμητες ενέργειες κατατάσσονται σύμφωνα με την συχνότητα</w:t>
      </w:r>
      <w:r w:rsidR="00FE3A88" w:rsidRPr="008B2AE9">
        <w:rPr>
          <w:rFonts w:ascii="Times New Roman" w:hAnsi="Times New Roman"/>
          <w:sz w:val="22"/>
          <w:szCs w:val="22"/>
          <w:lang w:val="el-GR"/>
        </w:rPr>
        <w:t>: πολύ συχνές ≥1/10, συχνές ≥1/100</w:t>
      </w:r>
      <w:r w:rsidR="007D7FC9" w:rsidRPr="008B2AE9">
        <w:rPr>
          <w:rFonts w:ascii="Times New Roman" w:hAnsi="Times New Roman"/>
          <w:sz w:val="22"/>
          <w:szCs w:val="22"/>
          <w:lang w:val="el-GR"/>
        </w:rPr>
        <w:t xml:space="preserve"> έως</w:t>
      </w:r>
      <w:r w:rsidR="00FE3A88" w:rsidRPr="008B2AE9">
        <w:rPr>
          <w:rFonts w:ascii="Times New Roman" w:hAnsi="Times New Roman"/>
          <w:sz w:val="22"/>
          <w:szCs w:val="22"/>
          <w:lang w:val="el-GR"/>
        </w:rPr>
        <w:t xml:space="preserve"> &lt;1/10, </w:t>
      </w:r>
      <w:r w:rsidR="007D7FC9" w:rsidRPr="008B2AE9">
        <w:rPr>
          <w:rFonts w:ascii="Times New Roman" w:hAnsi="Times New Roman"/>
          <w:sz w:val="22"/>
          <w:szCs w:val="22"/>
          <w:lang w:val="el-GR"/>
        </w:rPr>
        <w:t>όχι συχνές</w:t>
      </w:r>
      <w:r w:rsidR="00FE3A88" w:rsidRPr="008B2AE9">
        <w:rPr>
          <w:rFonts w:ascii="Times New Roman" w:hAnsi="Times New Roman"/>
          <w:sz w:val="22"/>
          <w:szCs w:val="22"/>
          <w:lang w:val="el-GR"/>
        </w:rPr>
        <w:t xml:space="preserve"> ≥1/1.000</w:t>
      </w:r>
      <w:r w:rsidR="007D7FC9" w:rsidRPr="008B2AE9">
        <w:rPr>
          <w:rFonts w:ascii="Times New Roman" w:hAnsi="Times New Roman"/>
          <w:sz w:val="22"/>
          <w:szCs w:val="22"/>
          <w:lang w:val="el-GR"/>
        </w:rPr>
        <w:t xml:space="preserve"> έως</w:t>
      </w:r>
      <w:r w:rsidR="00FE3A88" w:rsidRPr="008B2AE9">
        <w:rPr>
          <w:rFonts w:ascii="Times New Roman" w:hAnsi="Times New Roman"/>
          <w:sz w:val="22"/>
          <w:szCs w:val="22"/>
          <w:lang w:val="el-GR"/>
        </w:rPr>
        <w:t xml:space="preserve"> &lt;1/100, σπάνιες (≥1/10.000</w:t>
      </w:r>
      <w:r w:rsidR="007D7FC9" w:rsidRPr="008B2AE9">
        <w:rPr>
          <w:rFonts w:ascii="Times New Roman" w:hAnsi="Times New Roman"/>
          <w:sz w:val="22"/>
          <w:szCs w:val="22"/>
          <w:lang w:val="el-GR"/>
        </w:rPr>
        <w:t xml:space="preserve"> έως</w:t>
      </w:r>
      <w:r w:rsidR="00FE3A88" w:rsidRPr="008B2AE9">
        <w:rPr>
          <w:rFonts w:ascii="Times New Roman" w:hAnsi="Times New Roman"/>
          <w:sz w:val="22"/>
          <w:szCs w:val="22"/>
          <w:lang w:val="el-GR"/>
        </w:rPr>
        <w:t xml:space="preserve"> &lt;1/1.000), πολύ σπάνιες &lt;1/10.000, μη γνωστές (δεν μπορούν να εκτιμηθούν </w:t>
      </w:r>
      <w:r w:rsidR="00847EDD" w:rsidRPr="008B2AE9">
        <w:rPr>
          <w:rFonts w:ascii="Times New Roman" w:hAnsi="Times New Roman"/>
          <w:sz w:val="22"/>
          <w:szCs w:val="22"/>
          <w:lang w:val="el-GR"/>
        </w:rPr>
        <w:t>με βάση τα διαθέσιμα δεδομένα).</w:t>
      </w:r>
    </w:p>
    <w:p w:rsidR="00AF36BE" w:rsidRPr="008B2AE9" w:rsidRDefault="00AF36BE" w:rsidP="00AF36BE">
      <w:pPr>
        <w:pStyle w:val="1"/>
        <w:spacing w:line="240" w:lineRule="auto"/>
        <w:rPr>
          <w:rFonts w:ascii="Times New Roman" w:hAnsi="Times New Roman"/>
          <w:b/>
          <w:bCs/>
          <w:iCs/>
          <w:sz w:val="22"/>
          <w:szCs w:val="22"/>
        </w:rPr>
      </w:pP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40"/>
        <w:gridCol w:w="1440"/>
        <w:gridCol w:w="4392"/>
      </w:tblGrid>
      <w:tr w:rsidR="0094198C" w:rsidRPr="008B2AE9" w:rsidTr="00C74122">
        <w:trPr>
          <w:tblHeader/>
        </w:trPr>
        <w:tc>
          <w:tcPr>
            <w:tcW w:w="3240" w:type="dxa"/>
            <w:tcBorders>
              <w:top w:val="single" w:sz="4" w:space="0" w:color="auto"/>
              <w:left w:val="single" w:sz="4" w:space="0" w:color="auto"/>
              <w:bottom w:val="single" w:sz="4" w:space="0" w:color="auto"/>
              <w:right w:val="single" w:sz="4" w:space="0" w:color="auto"/>
            </w:tcBorders>
          </w:tcPr>
          <w:p w:rsidR="0094198C" w:rsidRPr="008B2AE9" w:rsidRDefault="00D363F8" w:rsidP="0094198C">
            <w:pPr>
              <w:rPr>
                <w:rFonts w:ascii="Times New Roman" w:hAnsi="Times New Roman"/>
                <w:b/>
                <w:bCs/>
                <w:sz w:val="22"/>
                <w:szCs w:val="22"/>
                <w:lang w:val="el-GR" w:eastAsia="sv-SE"/>
              </w:rPr>
            </w:pPr>
            <w:r w:rsidRPr="008B2AE9">
              <w:rPr>
                <w:rFonts w:ascii="Times New Roman" w:hAnsi="Times New Roman"/>
                <w:b/>
                <w:bCs/>
                <w:sz w:val="22"/>
                <w:szCs w:val="22"/>
                <w:lang w:val="el-GR" w:eastAsia="sv-SE"/>
              </w:rPr>
              <w:t>Κατηγορία οργανικού συστήματος</w:t>
            </w:r>
          </w:p>
        </w:tc>
        <w:tc>
          <w:tcPr>
            <w:tcW w:w="1440" w:type="dxa"/>
            <w:tcBorders>
              <w:top w:val="single" w:sz="4" w:space="0" w:color="auto"/>
              <w:left w:val="single" w:sz="4" w:space="0" w:color="auto"/>
              <w:bottom w:val="single" w:sz="4" w:space="0" w:color="auto"/>
              <w:right w:val="single" w:sz="4" w:space="0" w:color="auto"/>
            </w:tcBorders>
          </w:tcPr>
          <w:p w:rsidR="0094198C" w:rsidRPr="008B2AE9" w:rsidRDefault="00EB3F4A" w:rsidP="0094198C">
            <w:pPr>
              <w:rPr>
                <w:rFonts w:ascii="Times New Roman" w:hAnsi="Times New Roman"/>
                <w:b/>
                <w:bCs/>
                <w:sz w:val="22"/>
                <w:szCs w:val="22"/>
                <w:lang w:val="el-GR" w:eastAsia="sv-SE"/>
              </w:rPr>
            </w:pPr>
            <w:r w:rsidRPr="008B2AE9">
              <w:rPr>
                <w:rFonts w:ascii="Times New Roman" w:hAnsi="Times New Roman"/>
                <w:b/>
                <w:bCs/>
                <w:sz w:val="22"/>
                <w:szCs w:val="22"/>
                <w:lang w:val="el-GR" w:eastAsia="sv-SE"/>
              </w:rPr>
              <w:t xml:space="preserve">Συχνότητα </w:t>
            </w:r>
          </w:p>
        </w:tc>
        <w:tc>
          <w:tcPr>
            <w:tcW w:w="4392" w:type="dxa"/>
            <w:tcBorders>
              <w:top w:val="single" w:sz="4" w:space="0" w:color="auto"/>
              <w:left w:val="single" w:sz="4" w:space="0" w:color="auto"/>
              <w:bottom w:val="single" w:sz="4" w:space="0" w:color="auto"/>
              <w:right w:val="single" w:sz="4" w:space="0" w:color="auto"/>
            </w:tcBorders>
          </w:tcPr>
          <w:p w:rsidR="0094198C" w:rsidRPr="008B2AE9" w:rsidRDefault="00EB3F4A" w:rsidP="0094198C">
            <w:pPr>
              <w:rPr>
                <w:rFonts w:ascii="Times New Roman" w:hAnsi="Times New Roman"/>
                <w:b/>
                <w:bCs/>
                <w:sz w:val="22"/>
                <w:szCs w:val="22"/>
                <w:lang w:val="el-GR" w:eastAsia="sv-SE"/>
              </w:rPr>
            </w:pPr>
            <w:r w:rsidRPr="008B2AE9">
              <w:rPr>
                <w:rFonts w:ascii="Times New Roman" w:hAnsi="Times New Roman"/>
                <w:b/>
                <w:bCs/>
                <w:sz w:val="22"/>
                <w:szCs w:val="22"/>
                <w:lang w:val="el-GR" w:eastAsia="sv-SE"/>
              </w:rPr>
              <w:t>Ανεπιθύμητες ενέργειες</w:t>
            </w:r>
          </w:p>
        </w:tc>
      </w:tr>
      <w:tr w:rsidR="0094198C" w:rsidRPr="008B2AE9" w:rsidTr="00C74122">
        <w:trPr>
          <w:cantSplit/>
        </w:trPr>
        <w:tc>
          <w:tcPr>
            <w:tcW w:w="3240" w:type="dxa"/>
            <w:vMerge w:val="restart"/>
            <w:tcBorders>
              <w:top w:val="single" w:sz="4" w:space="0" w:color="auto"/>
              <w:left w:val="single" w:sz="4" w:space="0" w:color="auto"/>
              <w:right w:val="single" w:sz="4" w:space="0" w:color="auto"/>
            </w:tcBorders>
          </w:tcPr>
          <w:p w:rsidR="00C21638" w:rsidRPr="008B2AE9" w:rsidRDefault="00C21638" w:rsidP="00C21638">
            <w:pPr>
              <w:pStyle w:val="1"/>
              <w:spacing w:line="240" w:lineRule="auto"/>
              <w:rPr>
                <w:rFonts w:ascii="Times New Roman" w:hAnsi="Times New Roman"/>
                <w:bCs/>
                <w:iCs/>
                <w:sz w:val="22"/>
                <w:szCs w:val="22"/>
              </w:rPr>
            </w:pPr>
            <w:r w:rsidRPr="008B2AE9">
              <w:rPr>
                <w:rFonts w:ascii="Times New Roman" w:hAnsi="Times New Roman"/>
                <w:bCs/>
                <w:iCs/>
                <w:sz w:val="22"/>
                <w:szCs w:val="22"/>
              </w:rPr>
              <w:t>Διαταραχές αιμοποιητικού και λεμφικού συστήματος</w:t>
            </w:r>
          </w:p>
          <w:p w:rsidR="0094198C" w:rsidRPr="008B2AE9" w:rsidRDefault="0094198C" w:rsidP="00C21638">
            <w:pPr>
              <w:rPr>
                <w:rFonts w:ascii="Times New Roman" w:hAnsi="Times New Roman"/>
                <w:sz w:val="22"/>
                <w:szCs w:val="22"/>
                <w:lang w:val="en-US" w:eastAsia="sv-SE"/>
              </w:rPr>
            </w:pPr>
          </w:p>
        </w:tc>
        <w:tc>
          <w:tcPr>
            <w:tcW w:w="1440" w:type="dxa"/>
            <w:tcBorders>
              <w:top w:val="single" w:sz="4" w:space="0" w:color="auto"/>
              <w:left w:val="single" w:sz="4" w:space="0" w:color="auto"/>
              <w:bottom w:val="single" w:sz="4" w:space="0" w:color="auto"/>
              <w:right w:val="single" w:sz="4" w:space="0" w:color="auto"/>
            </w:tcBorders>
          </w:tcPr>
          <w:p w:rsidR="0094198C" w:rsidRPr="008B2AE9" w:rsidRDefault="00C21638" w:rsidP="00C21638">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rFonts w:ascii="Times New Roman" w:hAnsi="Times New Roman"/>
                <w:sz w:val="22"/>
                <w:szCs w:val="22"/>
                <w:lang w:val="en-US" w:eastAsia="sv-SE"/>
              </w:rPr>
            </w:pPr>
            <w:r w:rsidRPr="008B2AE9">
              <w:rPr>
                <w:rFonts w:ascii="Times New Roman" w:hAnsi="Times New Roman"/>
                <w:iCs/>
                <w:sz w:val="22"/>
                <w:szCs w:val="22"/>
                <w:lang w:val="el-GR"/>
              </w:rPr>
              <w:t xml:space="preserve">Σπάνιες </w:t>
            </w:r>
          </w:p>
        </w:tc>
        <w:tc>
          <w:tcPr>
            <w:tcW w:w="4392" w:type="dxa"/>
            <w:tcBorders>
              <w:top w:val="single" w:sz="4" w:space="0" w:color="auto"/>
              <w:left w:val="single" w:sz="4" w:space="0" w:color="auto"/>
              <w:bottom w:val="single" w:sz="4" w:space="0" w:color="auto"/>
              <w:right w:val="single" w:sz="4" w:space="0" w:color="auto"/>
            </w:tcBorders>
          </w:tcPr>
          <w:p w:rsidR="0094198C" w:rsidRPr="008B2AE9" w:rsidRDefault="00C21638" w:rsidP="00C21638">
            <w:pPr>
              <w:rPr>
                <w:rFonts w:ascii="Times New Roman" w:hAnsi="Times New Roman"/>
                <w:sz w:val="22"/>
                <w:szCs w:val="22"/>
                <w:lang w:val="en-US" w:eastAsia="sv-SE"/>
              </w:rPr>
            </w:pPr>
            <w:r w:rsidRPr="008B2AE9">
              <w:rPr>
                <w:rFonts w:ascii="Times New Roman" w:hAnsi="Times New Roman"/>
                <w:sz w:val="22"/>
                <w:szCs w:val="22"/>
                <w:lang w:val="el-GR"/>
              </w:rPr>
              <w:t>Λευκοπενία, θρομβοπενία</w:t>
            </w:r>
            <w:r w:rsidRPr="008B2AE9">
              <w:rPr>
                <w:rFonts w:ascii="Times New Roman" w:hAnsi="Times New Roman"/>
                <w:sz w:val="22"/>
                <w:szCs w:val="22"/>
                <w:lang w:val="en-US" w:eastAsia="sv-SE"/>
              </w:rPr>
              <w:t xml:space="preserve"> </w:t>
            </w:r>
          </w:p>
        </w:tc>
      </w:tr>
      <w:tr w:rsidR="0094198C" w:rsidRPr="008B2AE9" w:rsidTr="00C74122">
        <w:trPr>
          <w:cantSplit/>
        </w:trPr>
        <w:tc>
          <w:tcPr>
            <w:tcW w:w="3240" w:type="dxa"/>
            <w:vMerge/>
            <w:tcBorders>
              <w:left w:val="single" w:sz="4" w:space="0" w:color="auto"/>
              <w:bottom w:val="single" w:sz="4" w:space="0" w:color="auto"/>
              <w:right w:val="single" w:sz="4" w:space="0" w:color="auto"/>
            </w:tcBorders>
          </w:tcPr>
          <w:p w:rsidR="0094198C" w:rsidRPr="008B2AE9" w:rsidRDefault="0094198C" w:rsidP="0094198C">
            <w:pPr>
              <w:rPr>
                <w:rFonts w:ascii="Times New Roman" w:hAnsi="Times New Roman"/>
                <w:sz w:val="22"/>
                <w:szCs w:val="22"/>
                <w:lang w:val="en-US" w:eastAsia="sv-SE"/>
              </w:rPr>
            </w:pPr>
          </w:p>
        </w:tc>
        <w:tc>
          <w:tcPr>
            <w:tcW w:w="1440" w:type="dxa"/>
            <w:tcBorders>
              <w:top w:val="single" w:sz="4" w:space="0" w:color="auto"/>
              <w:left w:val="single" w:sz="4" w:space="0" w:color="auto"/>
              <w:bottom w:val="single" w:sz="4" w:space="0" w:color="auto"/>
              <w:right w:val="single" w:sz="4" w:space="0" w:color="auto"/>
            </w:tcBorders>
          </w:tcPr>
          <w:p w:rsidR="0094198C" w:rsidRPr="008B2AE9" w:rsidRDefault="00C21638" w:rsidP="00C21638">
            <w:pPr>
              <w:rPr>
                <w:rFonts w:ascii="Times New Roman" w:hAnsi="Times New Roman"/>
                <w:sz w:val="22"/>
                <w:szCs w:val="22"/>
                <w:lang w:val="el-GR" w:eastAsia="sv-SE"/>
              </w:rPr>
            </w:pPr>
            <w:r w:rsidRPr="008B2AE9">
              <w:rPr>
                <w:rFonts w:ascii="Times New Roman" w:hAnsi="Times New Roman"/>
                <w:iCs/>
                <w:sz w:val="22"/>
                <w:szCs w:val="22"/>
                <w:lang w:val="el-GR"/>
              </w:rPr>
              <w:t>Πολύ σπάνιες</w:t>
            </w:r>
            <w:r w:rsidRPr="008B2AE9">
              <w:rPr>
                <w:rFonts w:ascii="Times New Roman" w:hAnsi="Times New Roman"/>
                <w:i/>
                <w:iCs/>
                <w:sz w:val="22"/>
                <w:szCs w:val="22"/>
                <w:lang w:val="el-GR"/>
              </w:rPr>
              <w:t xml:space="preserve"> </w:t>
            </w:r>
          </w:p>
        </w:tc>
        <w:tc>
          <w:tcPr>
            <w:tcW w:w="4392" w:type="dxa"/>
            <w:tcBorders>
              <w:top w:val="single" w:sz="4" w:space="0" w:color="auto"/>
              <w:left w:val="single" w:sz="4" w:space="0" w:color="auto"/>
              <w:bottom w:val="single" w:sz="4" w:space="0" w:color="auto"/>
              <w:right w:val="single" w:sz="4" w:space="0" w:color="auto"/>
            </w:tcBorders>
          </w:tcPr>
          <w:p w:rsidR="0094198C" w:rsidRPr="008B2AE9" w:rsidRDefault="00C21638" w:rsidP="00C21638">
            <w:pPr>
              <w:rPr>
                <w:rFonts w:ascii="Times New Roman" w:hAnsi="Times New Roman"/>
                <w:sz w:val="22"/>
                <w:szCs w:val="22"/>
                <w:lang w:val="en-US" w:eastAsia="sv-SE"/>
              </w:rPr>
            </w:pPr>
            <w:r w:rsidRPr="008B2AE9">
              <w:rPr>
                <w:rFonts w:ascii="Times New Roman" w:hAnsi="Times New Roman"/>
                <w:sz w:val="22"/>
                <w:szCs w:val="22"/>
                <w:lang w:val="el-GR"/>
              </w:rPr>
              <w:t>Ακοκκιοκυτταραιμία, πανκυτταροπενία</w:t>
            </w:r>
            <w:r w:rsidRPr="008B2AE9">
              <w:rPr>
                <w:rFonts w:ascii="Times New Roman" w:hAnsi="Times New Roman"/>
                <w:sz w:val="22"/>
                <w:szCs w:val="22"/>
                <w:lang w:val="en-US" w:eastAsia="sv-SE"/>
              </w:rPr>
              <w:t xml:space="preserve"> </w:t>
            </w:r>
          </w:p>
        </w:tc>
      </w:tr>
      <w:tr w:rsidR="0094198C" w:rsidRPr="008B2AE9" w:rsidTr="00C74122">
        <w:trPr>
          <w:cantSplit/>
        </w:trPr>
        <w:tc>
          <w:tcPr>
            <w:tcW w:w="3240" w:type="dxa"/>
            <w:tcBorders>
              <w:top w:val="single" w:sz="4" w:space="0" w:color="auto"/>
              <w:left w:val="single" w:sz="4" w:space="0" w:color="auto"/>
              <w:bottom w:val="single" w:sz="4" w:space="0" w:color="auto"/>
              <w:right w:val="single" w:sz="4" w:space="0" w:color="auto"/>
            </w:tcBorders>
          </w:tcPr>
          <w:p w:rsidR="00815849" w:rsidRPr="008B2AE9" w:rsidRDefault="00815849" w:rsidP="00815849">
            <w:pPr>
              <w:pStyle w:val="1"/>
              <w:spacing w:line="240" w:lineRule="auto"/>
              <w:rPr>
                <w:rFonts w:ascii="Times New Roman" w:hAnsi="Times New Roman"/>
                <w:bCs/>
                <w:iCs/>
                <w:sz w:val="22"/>
                <w:szCs w:val="22"/>
              </w:rPr>
            </w:pPr>
            <w:r w:rsidRPr="008B2AE9">
              <w:rPr>
                <w:rFonts w:ascii="Times New Roman" w:hAnsi="Times New Roman"/>
                <w:bCs/>
                <w:iCs/>
                <w:sz w:val="22"/>
                <w:szCs w:val="22"/>
              </w:rPr>
              <w:lastRenderedPageBreak/>
              <w:t>Διαταραχές ανοσοποιητικού συστήματος</w:t>
            </w:r>
          </w:p>
          <w:p w:rsidR="0094198C" w:rsidRPr="008B2AE9" w:rsidRDefault="0094198C" w:rsidP="00815849">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rFonts w:ascii="Times New Roman" w:hAnsi="Times New Roman"/>
                <w:sz w:val="22"/>
                <w:szCs w:val="22"/>
                <w:lang w:val="el-GR" w:eastAsia="sv-SE"/>
              </w:rPr>
            </w:pPr>
          </w:p>
        </w:tc>
        <w:tc>
          <w:tcPr>
            <w:tcW w:w="1440" w:type="dxa"/>
            <w:tcBorders>
              <w:top w:val="single" w:sz="4" w:space="0" w:color="auto"/>
              <w:left w:val="single" w:sz="4" w:space="0" w:color="auto"/>
              <w:bottom w:val="single" w:sz="4" w:space="0" w:color="auto"/>
              <w:right w:val="single" w:sz="4" w:space="0" w:color="auto"/>
            </w:tcBorders>
          </w:tcPr>
          <w:p w:rsidR="0094198C" w:rsidRPr="008B2AE9" w:rsidRDefault="00336552" w:rsidP="0094198C">
            <w:pPr>
              <w:rPr>
                <w:rFonts w:ascii="Times New Roman" w:hAnsi="Times New Roman"/>
                <w:sz w:val="22"/>
                <w:szCs w:val="22"/>
                <w:lang w:val="en-US" w:eastAsia="sv-SE"/>
              </w:rPr>
            </w:pPr>
            <w:r w:rsidRPr="008B2AE9">
              <w:rPr>
                <w:rFonts w:ascii="Times New Roman" w:hAnsi="Times New Roman"/>
                <w:iCs/>
                <w:sz w:val="22"/>
                <w:szCs w:val="22"/>
                <w:lang w:val="el-GR"/>
              </w:rPr>
              <w:t>Σπάνιες</w:t>
            </w:r>
          </w:p>
        </w:tc>
        <w:tc>
          <w:tcPr>
            <w:tcW w:w="4392" w:type="dxa"/>
            <w:tcBorders>
              <w:top w:val="single" w:sz="4" w:space="0" w:color="auto"/>
              <w:left w:val="single" w:sz="4" w:space="0" w:color="auto"/>
              <w:bottom w:val="single" w:sz="4" w:space="0" w:color="auto"/>
              <w:right w:val="single" w:sz="4" w:space="0" w:color="auto"/>
            </w:tcBorders>
          </w:tcPr>
          <w:p w:rsidR="00815849" w:rsidRPr="008B2AE9" w:rsidRDefault="00815849" w:rsidP="00815849">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rPr>
                <w:rFonts w:ascii="Times New Roman" w:hAnsi="Times New Roman"/>
                <w:sz w:val="22"/>
                <w:szCs w:val="22"/>
                <w:lang w:val="el-GR"/>
              </w:rPr>
            </w:pPr>
            <w:r w:rsidRPr="008B2AE9">
              <w:rPr>
                <w:rFonts w:ascii="Times New Roman" w:hAnsi="Times New Roman"/>
                <w:sz w:val="22"/>
                <w:szCs w:val="22"/>
                <w:lang w:val="el-GR"/>
              </w:rPr>
              <w:t>Αντιδράσεις υπερευαισθησίας π.χ. πυρετός, αγγειοοίδημα και αναφυλακτικές αντιδράσεις/καταπληξία (</w:t>
            </w:r>
            <w:r w:rsidRPr="008B2AE9">
              <w:rPr>
                <w:rFonts w:ascii="Times New Roman" w:hAnsi="Times New Roman"/>
                <w:sz w:val="22"/>
                <w:szCs w:val="22"/>
                <w:lang w:val="en-US"/>
              </w:rPr>
              <w:t>shock</w:t>
            </w:r>
            <w:r w:rsidRPr="008B2AE9">
              <w:rPr>
                <w:rFonts w:ascii="Times New Roman" w:hAnsi="Times New Roman"/>
                <w:sz w:val="22"/>
                <w:szCs w:val="22"/>
                <w:lang w:val="el-GR"/>
              </w:rPr>
              <w:t>)</w:t>
            </w:r>
          </w:p>
          <w:p w:rsidR="0094198C" w:rsidRPr="008B2AE9" w:rsidRDefault="0094198C" w:rsidP="0094198C">
            <w:pPr>
              <w:rPr>
                <w:rFonts w:ascii="Times New Roman" w:hAnsi="Times New Roman"/>
                <w:sz w:val="22"/>
                <w:szCs w:val="22"/>
                <w:lang w:val="en-US" w:eastAsia="sv-SE"/>
              </w:rPr>
            </w:pPr>
          </w:p>
        </w:tc>
      </w:tr>
      <w:tr w:rsidR="0094198C" w:rsidRPr="008B2AE9" w:rsidTr="00C74122">
        <w:trPr>
          <w:cantSplit/>
        </w:trPr>
        <w:tc>
          <w:tcPr>
            <w:tcW w:w="3240" w:type="dxa"/>
            <w:vMerge w:val="restart"/>
            <w:tcBorders>
              <w:top w:val="single" w:sz="4" w:space="0" w:color="auto"/>
              <w:left w:val="single" w:sz="4" w:space="0" w:color="auto"/>
              <w:right w:val="single" w:sz="4" w:space="0" w:color="auto"/>
            </w:tcBorders>
          </w:tcPr>
          <w:p w:rsidR="000B0F13" w:rsidRPr="008B2AE9" w:rsidRDefault="000B0F13" w:rsidP="000B0F13">
            <w:pPr>
              <w:pStyle w:val="1"/>
              <w:spacing w:line="240" w:lineRule="auto"/>
              <w:rPr>
                <w:rFonts w:ascii="Times New Roman" w:hAnsi="Times New Roman"/>
                <w:bCs/>
                <w:iCs/>
                <w:sz w:val="22"/>
                <w:szCs w:val="22"/>
              </w:rPr>
            </w:pPr>
            <w:r w:rsidRPr="008B2AE9">
              <w:rPr>
                <w:rFonts w:ascii="Times New Roman" w:hAnsi="Times New Roman"/>
                <w:bCs/>
                <w:iCs/>
                <w:sz w:val="22"/>
                <w:szCs w:val="22"/>
              </w:rPr>
              <w:t>Μεταβολικές διαταραχές και διαταραχές θρέψης</w:t>
            </w:r>
          </w:p>
          <w:p w:rsidR="000B0F13" w:rsidRPr="008B2AE9" w:rsidRDefault="000B0F13" w:rsidP="000B0F13">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rFonts w:ascii="Times New Roman" w:hAnsi="Times New Roman"/>
                <w:sz w:val="22"/>
                <w:szCs w:val="22"/>
                <w:vertAlign w:val="superscript"/>
                <w:lang w:val="el-GR"/>
              </w:rPr>
            </w:pPr>
          </w:p>
          <w:p w:rsidR="0094198C" w:rsidRPr="008B2AE9" w:rsidRDefault="0094198C" w:rsidP="0094198C">
            <w:pPr>
              <w:rPr>
                <w:rFonts w:ascii="Times New Roman" w:hAnsi="Times New Roman"/>
                <w:sz w:val="22"/>
                <w:szCs w:val="22"/>
                <w:lang w:val="el-GR" w:eastAsia="sv-SE"/>
              </w:rPr>
            </w:pPr>
          </w:p>
        </w:tc>
        <w:tc>
          <w:tcPr>
            <w:tcW w:w="1440" w:type="dxa"/>
            <w:tcBorders>
              <w:top w:val="single" w:sz="4" w:space="0" w:color="auto"/>
              <w:left w:val="single" w:sz="4" w:space="0" w:color="auto"/>
              <w:bottom w:val="single" w:sz="4" w:space="0" w:color="auto"/>
              <w:right w:val="single" w:sz="4" w:space="0" w:color="auto"/>
            </w:tcBorders>
          </w:tcPr>
          <w:p w:rsidR="0094198C" w:rsidRPr="008B2AE9" w:rsidRDefault="000B0F13" w:rsidP="00010BBD">
            <w:pPr>
              <w:rPr>
                <w:rFonts w:ascii="Times New Roman" w:hAnsi="Times New Roman"/>
                <w:sz w:val="22"/>
                <w:szCs w:val="22"/>
                <w:lang w:val="el-GR" w:eastAsia="sv-SE"/>
              </w:rPr>
            </w:pPr>
            <w:r w:rsidRPr="008B2AE9">
              <w:rPr>
                <w:rFonts w:ascii="Times New Roman" w:hAnsi="Times New Roman"/>
                <w:iCs/>
                <w:sz w:val="22"/>
                <w:szCs w:val="22"/>
                <w:lang w:val="el-GR"/>
              </w:rPr>
              <w:t>Όχι συχνές</w:t>
            </w:r>
            <w:r w:rsidRPr="008B2AE9">
              <w:rPr>
                <w:rFonts w:ascii="Times New Roman" w:hAnsi="Times New Roman"/>
                <w:sz w:val="22"/>
                <w:szCs w:val="22"/>
                <w:lang w:val="el-GR"/>
              </w:rPr>
              <w:t xml:space="preserve"> </w:t>
            </w:r>
          </w:p>
        </w:tc>
        <w:tc>
          <w:tcPr>
            <w:tcW w:w="4392" w:type="dxa"/>
            <w:tcBorders>
              <w:top w:val="single" w:sz="4" w:space="0" w:color="auto"/>
              <w:left w:val="single" w:sz="4" w:space="0" w:color="auto"/>
              <w:bottom w:val="single" w:sz="4" w:space="0" w:color="auto"/>
              <w:right w:val="single" w:sz="4" w:space="0" w:color="auto"/>
            </w:tcBorders>
          </w:tcPr>
          <w:p w:rsidR="0094198C" w:rsidRPr="008B2AE9" w:rsidRDefault="00010BBD" w:rsidP="00010BBD">
            <w:pPr>
              <w:rPr>
                <w:rFonts w:ascii="Times New Roman" w:hAnsi="Times New Roman"/>
                <w:sz w:val="22"/>
                <w:szCs w:val="22"/>
                <w:lang w:val="en-US" w:eastAsia="sv-SE"/>
              </w:rPr>
            </w:pPr>
            <w:r w:rsidRPr="008B2AE9">
              <w:rPr>
                <w:rFonts w:ascii="Times New Roman" w:hAnsi="Times New Roman"/>
                <w:sz w:val="22"/>
                <w:szCs w:val="22"/>
                <w:lang w:val="el-GR"/>
              </w:rPr>
              <w:t xml:space="preserve">Περιφερικό οίδημα </w:t>
            </w:r>
          </w:p>
        </w:tc>
      </w:tr>
      <w:tr w:rsidR="0094198C" w:rsidRPr="008B2AE9" w:rsidTr="00C74122">
        <w:trPr>
          <w:cantSplit/>
        </w:trPr>
        <w:tc>
          <w:tcPr>
            <w:tcW w:w="3240" w:type="dxa"/>
            <w:vMerge/>
            <w:tcBorders>
              <w:left w:val="single" w:sz="4" w:space="0" w:color="auto"/>
              <w:right w:val="single" w:sz="4" w:space="0" w:color="auto"/>
            </w:tcBorders>
          </w:tcPr>
          <w:p w:rsidR="0094198C" w:rsidRPr="008B2AE9" w:rsidRDefault="0094198C" w:rsidP="0094198C">
            <w:pPr>
              <w:rPr>
                <w:rFonts w:ascii="Times New Roman" w:hAnsi="Times New Roman"/>
                <w:sz w:val="22"/>
                <w:szCs w:val="22"/>
                <w:lang w:val="en-US" w:eastAsia="sv-SE"/>
              </w:rPr>
            </w:pPr>
          </w:p>
        </w:tc>
        <w:tc>
          <w:tcPr>
            <w:tcW w:w="1440" w:type="dxa"/>
            <w:tcBorders>
              <w:top w:val="single" w:sz="4" w:space="0" w:color="auto"/>
              <w:left w:val="single" w:sz="4" w:space="0" w:color="auto"/>
              <w:bottom w:val="single" w:sz="4" w:space="0" w:color="auto"/>
              <w:right w:val="single" w:sz="4" w:space="0" w:color="auto"/>
            </w:tcBorders>
          </w:tcPr>
          <w:p w:rsidR="0094198C" w:rsidRPr="008B2AE9" w:rsidRDefault="00010BBD" w:rsidP="00010BBD">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rFonts w:ascii="Times New Roman" w:hAnsi="Times New Roman"/>
                <w:sz w:val="22"/>
                <w:szCs w:val="22"/>
                <w:lang w:val="el-GR" w:eastAsia="sv-SE"/>
              </w:rPr>
            </w:pPr>
            <w:r w:rsidRPr="008B2AE9">
              <w:rPr>
                <w:rFonts w:ascii="Times New Roman" w:hAnsi="Times New Roman"/>
                <w:iCs/>
                <w:sz w:val="22"/>
                <w:szCs w:val="22"/>
                <w:lang w:val="el-GR"/>
              </w:rPr>
              <w:t>Σπάνιες</w:t>
            </w:r>
          </w:p>
        </w:tc>
        <w:tc>
          <w:tcPr>
            <w:tcW w:w="4392" w:type="dxa"/>
            <w:tcBorders>
              <w:top w:val="single" w:sz="4" w:space="0" w:color="auto"/>
              <w:left w:val="single" w:sz="4" w:space="0" w:color="auto"/>
              <w:bottom w:val="single" w:sz="4" w:space="0" w:color="auto"/>
              <w:right w:val="single" w:sz="4" w:space="0" w:color="auto"/>
            </w:tcBorders>
          </w:tcPr>
          <w:p w:rsidR="0094198C" w:rsidRPr="008B2AE9" w:rsidRDefault="00010BBD" w:rsidP="00010BBD">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rFonts w:ascii="Times New Roman" w:hAnsi="Times New Roman"/>
                <w:sz w:val="22"/>
                <w:szCs w:val="22"/>
                <w:lang w:val="en-US" w:eastAsia="sv-SE"/>
              </w:rPr>
            </w:pPr>
            <w:r w:rsidRPr="008B2AE9">
              <w:rPr>
                <w:rFonts w:ascii="Times New Roman" w:hAnsi="Times New Roman"/>
                <w:sz w:val="22"/>
                <w:szCs w:val="22"/>
                <w:lang w:val="el-GR"/>
              </w:rPr>
              <w:t>Υπονατριαιμία</w:t>
            </w:r>
          </w:p>
        </w:tc>
      </w:tr>
      <w:tr w:rsidR="0094198C" w:rsidRPr="008B2AE9" w:rsidTr="00C74122">
        <w:trPr>
          <w:cantSplit/>
        </w:trPr>
        <w:tc>
          <w:tcPr>
            <w:tcW w:w="3240" w:type="dxa"/>
            <w:vMerge/>
            <w:tcBorders>
              <w:left w:val="single" w:sz="4" w:space="0" w:color="auto"/>
              <w:bottom w:val="single" w:sz="4" w:space="0" w:color="auto"/>
              <w:right w:val="single" w:sz="4" w:space="0" w:color="auto"/>
            </w:tcBorders>
          </w:tcPr>
          <w:p w:rsidR="0094198C" w:rsidRPr="008B2AE9" w:rsidRDefault="0094198C" w:rsidP="0094198C">
            <w:pPr>
              <w:rPr>
                <w:rFonts w:ascii="Times New Roman" w:hAnsi="Times New Roman"/>
                <w:sz w:val="22"/>
                <w:szCs w:val="22"/>
                <w:lang w:val="en-US" w:eastAsia="sv-SE"/>
              </w:rPr>
            </w:pPr>
          </w:p>
        </w:tc>
        <w:tc>
          <w:tcPr>
            <w:tcW w:w="1440" w:type="dxa"/>
            <w:tcBorders>
              <w:top w:val="single" w:sz="4" w:space="0" w:color="auto"/>
              <w:left w:val="single" w:sz="4" w:space="0" w:color="auto"/>
              <w:bottom w:val="single" w:sz="4" w:space="0" w:color="auto"/>
              <w:right w:val="single" w:sz="4" w:space="0" w:color="auto"/>
            </w:tcBorders>
          </w:tcPr>
          <w:p w:rsidR="00010BBD" w:rsidRPr="008B2AE9" w:rsidRDefault="00940135" w:rsidP="000B0F13">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rPr>
                <w:rFonts w:ascii="Times New Roman" w:hAnsi="Times New Roman"/>
                <w:iCs/>
                <w:sz w:val="22"/>
                <w:szCs w:val="22"/>
                <w:lang w:val="el-GR"/>
              </w:rPr>
            </w:pPr>
            <w:r w:rsidRPr="008B2AE9">
              <w:rPr>
                <w:rFonts w:ascii="Times New Roman" w:hAnsi="Times New Roman"/>
                <w:iCs/>
                <w:sz w:val="22"/>
                <w:szCs w:val="22"/>
                <w:lang w:val="el-GR"/>
              </w:rPr>
              <w:t xml:space="preserve">Μη </w:t>
            </w:r>
            <w:r w:rsidR="00010BBD" w:rsidRPr="008B2AE9">
              <w:rPr>
                <w:rFonts w:ascii="Times New Roman" w:hAnsi="Times New Roman"/>
                <w:iCs/>
                <w:sz w:val="22"/>
                <w:szCs w:val="22"/>
                <w:lang w:val="el-GR"/>
              </w:rPr>
              <w:t>γνωστ</w:t>
            </w:r>
            <w:r w:rsidRPr="008B2AE9">
              <w:rPr>
                <w:rFonts w:ascii="Times New Roman" w:hAnsi="Times New Roman"/>
                <w:iCs/>
                <w:sz w:val="22"/>
                <w:szCs w:val="22"/>
                <w:lang w:val="el-GR"/>
              </w:rPr>
              <w:t>έ</w:t>
            </w:r>
            <w:r w:rsidR="00010BBD" w:rsidRPr="008B2AE9">
              <w:rPr>
                <w:rFonts w:ascii="Times New Roman" w:hAnsi="Times New Roman"/>
                <w:iCs/>
                <w:sz w:val="22"/>
                <w:szCs w:val="22"/>
                <w:lang w:val="el-GR"/>
              </w:rPr>
              <w:t xml:space="preserve">ς </w:t>
            </w:r>
          </w:p>
          <w:p w:rsidR="0094198C" w:rsidRPr="008B2AE9" w:rsidRDefault="0094198C" w:rsidP="00010BBD">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rPr>
                <w:rFonts w:ascii="Times New Roman" w:hAnsi="Times New Roman"/>
                <w:sz w:val="22"/>
                <w:szCs w:val="22"/>
                <w:lang w:val="el-GR" w:eastAsia="sv-SE"/>
              </w:rPr>
            </w:pPr>
          </w:p>
        </w:tc>
        <w:tc>
          <w:tcPr>
            <w:tcW w:w="4392" w:type="dxa"/>
            <w:tcBorders>
              <w:top w:val="single" w:sz="4" w:space="0" w:color="auto"/>
              <w:left w:val="single" w:sz="4" w:space="0" w:color="auto"/>
              <w:bottom w:val="single" w:sz="4" w:space="0" w:color="auto"/>
              <w:right w:val="single" w:sz="4" w:space="0" w:color="auto"/>
            </w:tcBorders>
          </w:tcPr>
          <w:p w:rsidR="00010BBD" w:rsidRPr="008B2AE9" w:rsidRDefault="00010BBD" w:rsidP="00010BBD">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rPr>
                <w:rFonts w:ascii="Times New Roman" w:hAnsi="Times New Roman"/>
                <w:iCs/>
                <w:sz w:val="22"/>
                <w:szCs w:val="22"/>
                <w:lang w:val="el-GR"/>
              </w:rPr>
            </w:pPr>
            <w:r w:rsidRPr="008B2AE9">
              <w:rPr>
                <w:rFonts w:ascii="Times New Roman" w:hAnsi="Times New Roman"/>
                <w:iCs/>
                <w:sz w:val="22"/>
                <w:szCs w:val="22"/>
                <w:lang w:val="el-GR"/>
              </w:rPr>
              <w:t>Υπομαγνησιαιμία</w:t>
            </w:r>
            <w:r w:rsidR="003E316C" w:rsidRPr="008B2AE9">
              <w:rPr>
                <w:rFonts w:ascii="Times New Roman" w:hAnsi="Times New Roman"/>
                <w:iCs/>
                <w:sz w:val="22"/>
                <w:szCs w:val="22"/>
                <w:lang w:val="el-GR"/>
              </w:rPr>
              <w:t xml:space="preserve"> (βλέπε </w:t>
            </w:r>
            <w:r w:rsidR="004D349B" w:rsidRPr="008B2AE9">
              <w:rPr>
                <w:rFonts w:ascii="Times New Roman" w:hAnsi="Times New Roman"/>
                <w:iCs/>
                <w:sz w:val="22"/>
                <w:szCs w:val="22"/>
                <w:lang w:val="el-GR"/>
              </w:rPr>
              <w:t xml:space="preserve">παράγραφο </w:t>
            </w:r>
            <w:r w:rsidR="003E316C" w:rsidRPr="008B2AE9">
              <w:rPr>
                <w:rFonts w:ascii="Times New Roman" w:hAnsi="Times New Roman"/>
                <w:iCs/>
                <w:sz w:val="22"/>
                <w:szCs w:val="22"/>
                <w:lang w:val="el-GR"/>
              </w:rPr>
              <w:t>4.4)</w:t>
            </w:r>
            <w:r w:rsidRPr="008B2AE9">
              <w:rPr>
                <w:rFonts w:ascii="Times New Roman" w:hAnsi="Times New Roman"/>
                <w:iCs/>
                <w:sz w:val="22"/>
                <w:szCs w:val="22"/>
                <w:lang w:val="el-GR"/>
              </w:rPr>
              <w:t>, σοβαρή υπομαγνησιαιμία μπορεί να συσχετιστεί με υπασβαιστιαιμία.</w:t>
            </w:r>
          </w:p>
          <w:p w:rsidR="0094198C" w:rsidRPr="008B2AE9" w:rsidRDefault="003E316C" w:rsidP="00D10D6E">
            <w:pPr>
              <w:rPr>
                <w:rFonts w:ascii="Times New Roman" w:hAnsi="Times New Roman"/>
                <w:b/>
                <w:color w:val="FF0000"/>
                <w:sz w:val="22"/>
                <w:szCs w:val="22"/>
                <w:lang w:val="el-GR" w:eastAsia="sv-SE"/>
              </w:rPr>
            </w:pPr>
            <w:r w:rsidRPr="008B2AE9">
              <w:rPr>
                <w:rFonts w:ascii="Times New Roman" w:hAnsi="Times New Roman"/>
                <w:sz w:val="22"/>
                <w:szCs w:val="22"/>
                <w:lang w:val="el-GR" w:eastAsia="sv-SE"/>
              </w:rPr>
              <w:t xml:space="preserve">Η υπομαγνησιαιμία μπορεί </w:t>
            </w:r>
            <w:r w:rsidR="00D10D6E" w:rsidRPr="008B2AE9">
              <w:rPr>
                <w:rFonts w:ascii="Times New Roman" w:hAnsi="Times New Roman"/>
                <w:sz w:val="22"/>
                <w:szCs w:val="22"/>
                <w:lang w:val="el-GR" w:eastAsia="sv-SE"/>
              </w:rPr>
              <w:t xml:space="preserve">επίσης </w:t>
            </w:r>
            <w:r w:rsidRPr="008B2AE9">
              <w:rPr>
                <w:rFonts w:ascii="Times New Roman" w:hAnsi="Times New Roman"/>
                <w:sz w:val="22"/>
                <w:szCs w:val="22"/>
                <w:lang w:val="el-GR" w:eastAsia="sv-SE"/>
              </w:rPr>
              <w:t>να συσχετιστεί με υποκαλιαιμία</w:t>
            </w:r>
            <w:r w:rsidR="0094198C" w:rsidRPr="008B2AE9">
              <w:rPr>
                <w:rFonts w:ascii="Times New Roman" w:hAnsi="Times New Roman"/>
                <w:sz w:val="22"/>
                <w:szCs w:val="22"/>
                <w:lang w:val="el-GR" w:eastAsia="sv-SE"/>
              </w:rPr>
              <w:t>.</w:t>
            </w:r>
          </w:p>
        </w:tc>
      </w:tr>
      <w:tr w:rsidR="0094198C" w:rsidRPr="008B2AE9" w:rsidTr="00C74122">
        <w:trPr>
          <w:cantSplit/>
        </w:trPr>
        <w:tc>
          <w:tcPr>
            <w:tcW w:w="3240" w:type="dxa"/>
            <w:vMerge w:val="restart"/>
            <w:tcBorders>
              <w:top w:val="single" w:sz="4" w:space="0" w:color="auto"/>
              <w:left w:val="single" w:sz="4" w:space="0" w:color="auto"/>
              <w:right w:val="single" w:sz="4" w:space="0" w:color="auto"/>
            </w:tcBorders>
          </w:tcPr>
          <w:p w:rsidR="00DC41E8" w:rsidRPr="008B2AE9" w:rsidRDefault="00DC41E8" w:rsidP="00DC41E8">
            <w:pPr>
              <w:pStyle w:val="1"/>
              <w:spacing w:line="240" w:lineRule="auto"/>
              <w:rPr>
                <w:rFonts w:ascii="Times New Roman" w:hAnsi="Times New Roman"/>
                <w:bCs/>
                <w:iCs/>
                <w:sz w:val="22"/>
                <w:szCs w:val="22"/>
              </w:rPr>
            </w:pPr>
            <w:r w:rsidRPr="008B2AE9">
              <w:rPr>
                <w:rFonts w:ascii="Times New Roman" w:hAnsi="Times New Roman"/>
                <w:bCs/>
                <w:iCs/>
                <w:sz w:val="22"/>
                <w:szCs w:val="22"/>
              </w:rPr>
              <w:t>Ψυχιατρικές διαταραχές</w:t>
            </w:r>
          </w:p>
          <w:p w:rsidR="00DC41E8" w:rsidRPr="008B2AE9" w:rsidRDefault="00DC41E8" w:rsidP="00DC41E8">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rFonts w:ascii="Times New Roman" w:hAnsi="Times New Roman"/>
                <w:sz w:val="22"/>
                <w:szCs w:val="22"/>
                <w:vertAlign w:val="superscript"/>
                <w:lang w:val="el-GR"/>
              </w:rPr>
            </w:pPr>
          </w:p>
          <w:p w:rsidR="0094198C" w:rsidRPr="008B2AE9" w:rsidRDefault="0094198C" w:rsidP="0094198C">
            <w:pPr>
              <w:rPr>
                <w:rFonts w:ascii="Times New Roman" w:hAnsi="Times New Roman"/>
                <w:sz w:val="22"/>
                <w:szCs w:val="22"/>
                <w:lang w:val="el-GR" w:eastAsia="sv-SE"/>
              </w:rPr>
            </w:pPr>
          </w:p>
        </w:tc>
        <w:tc>
          <w:tcPr>
            <w:tcW w:w="1440" w:type="dxa"/>
            <w:tcBorders>
              <w:top w:val="single" w:sz="4" w:space="0" w:color="auto"/>
              <w:left w:val="single" w:sz="4" w:space="0" w:color="auto"/>
              <w:bottom w:val="single" w:sz="4" w:space="0" w:color="auto"/>
              <w:right w:val="single" w:sz="4" w:space="0" w:color="auto"/>
            </w:tcBorders>
          </w:tcPr>
          <w:p w:rsidR="00DC41E8" w:rsidRPr="008B2AE9" w:rsidRDefault="00DC41E8" w:rsidP="00DC41E8">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rFonts w:ascii="Times New Roman" w:hAnsi="Times New Roman"/>
                <w:sz w:val="22"/>
                <w:szCs w:val="22"/>
                <w:lang w:val="el-GR"/>
              </w:rPr>
            </w:pPr>
            <w:r w:rsidRPr="008B2AE9">
              <w:rPr>
                <w:rFonts w:ascii="Times New Roman" w:hAnsi="Times New Roman"/>
                <w:iCs/>
                <w:sz w:val="22"/>
                <w:szCs w:val="22"/>
                <w:lang w:val="el-GR"/>
              </w:rPr>
              <w:t>Όχι συχνές</w:t>
            </w:r>
          </w:p>
          <w:p w:rsidR="0094198C" w:rsidRPr="008B2AE9" w:rsidRDefault="0094198C" w:rsidP="00DC41E8">
            <w:pPr>
              <w:rPr>
                <w:rFonts w:ascii="Times New Roman" w:hAnsi="Times New Roman"/>
                <w:sz w:val="22"/>
                <w:szCs w:val="22"/>
                <w:lang w:val="el-GR" w:eastAsia="sv-SE"/>
              </w:rPr>
            </w:pPr>
          </w:p>
        </w:tc>
        <w:tc>
          <w:tcPr>
            <w:tcW w:w="4392" w:type="dxa"/>
            <w:tcBorders>
              <w:top w:val="single" w:sz="4" w:space="0" w:color="auto"/>
              <w:left w:val="single" w:sz="4" w:space="0" w:color="auto"/>
              <w:bottom w:val="single" w:sz="4" w:space="0" w:color="auto"/>
              <w:right w:val="single" w:sz="4" w:space="0" w:color="auto"/>
            </w:tcBorders>
          </w:tcPr>
          <w:p w:rsidR="0094198C" w:rsidRPr="008B2AE9" w:rsidRDefault="00DC41E8" w:rsidP="00DC41E8">
            <w:pPr>
              <w:rPr>
                <w:rFonts w:ascii="Times New Roman" w:hAnsi="Times New Roman"/>
                <w:sz w:val="22"/>
                <w:szCs w:val="22"/>
                <w:lang w:val="el-GR" w:eastAsia="sv-SE"/>
              </w:rPr>
            </w:pPr>
            <w:r w:rsidRPr="008B2AE9">
              <w:rPr>
                <w:rFonts w:ascii="Times New Roman" w:hAnsi="Times New Roman"/>
                <w:sz w:val="22"/>
                <w:szCs w:val="22"/>
                <w:lang w:val="el-GR"/>
              </w:rPr>
              <w:t xml:space="preserve">Αϋπνία </w:t>
            </w:r>
          </w:p>
        </w:tc>
      </w:tr>
      <w:tr w:rsidR="0094198C" w:rsidRPr="008B2AE9" w:rsidTr="00C74122">
        <w:trPr>
          <w:cantSplit/>
        </w:trPr>
        <w:tc>
          <w:tcPr>
            <w:tcW w:w="3240" w:type="dxa"/>
            <w:vMerge/>
            <w:tcBorders>
              <w:left w:val="single" w:sz="4" w:space="0" w:color="auto"/>
              <w:right w:val="single" w:sz="4" w:space="0" w:color="auto"/>
            </w:tcBorders>
          </w:tcPr>
          <w:p w:rsidR="0094198C" w:rsidRPr="008B2AE9" w:rsidRDefault="0094198C" w:rsidP="0094198C">
            <w:pPr>
              <w:rPr>
                <w:rFonts w:ascii="Times New Roman" w:hAnsi="Times New Roman"/>
                <w:sz w:val="22"/>
                <w:szCs w:val="22"/>
                <w:lang w:val="el-GR" w:eastAsia="sv-SE"/>
              </w:rPr>
            </w:pPr>
          </w:p>
        </w:tc>
        <w:tc>
          <w:tcPr>
            <w:tcW w:w="1440" w:type="dxa"/>
            <w:tcBorders>
              <w:top w:val="single" w:sz="4" w:space="0" w:color="auto"/>
              <w:left w:val="single" w:sz="4" w:space="0" w:color="auto"/>
              <w:bottom w:val="single" w:sz="4" w:space="0" w:color="auto"/>
              <w:right w:val="single" w:sz="4" w:space="0" w:color="auto"/>
            </w:tcBorders>
          </w:tcPr>
          <w:p w:rsidR="0094198C" w:rsidRPr="008B2AE9" w:rsidRDefault="00DC41E8" w:rsidP="00DC41E8">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rFonts w:ascii="Times New Roman" w:hAnsi="Times New Roman"/>
                <w:sz w:val="22"/>
                <w:szCs w:val="22"/>
                <w:lang w:val="el-GR" w:eastAsia="sv-SE"/>
              </w:rPr>
            </w:pPr>
            <w:r w:rsidRPr="008B2AE9">
              <w:rPr>
                <w:rFonts w:ascii="Times New Roman" w:hAnsi="Times New Roman"/>
                <w:iCs/>
                <w:sz w:val="22"/>
                <w:szCs w:val="22"/>
                <w:lang w:val="el-GR"/>
              </w:rPr>
              <w:t>Σπάνιες</w:t>
            </w:r>
          </w:p>
        </w:tc>
        <w:tc>
          <w:tcPr>
            <w:tcW w:w="4392" w:type="dxa"/>
            <w:tcBorders>
              <w:top w:val="single" w:sz="4" w:space="0" w:color="auto"/>
              <w:left w:val="single" w:sz="4" w:space="0" w:color="auto"/>
              <w:bottom w:val="single" w:sz="4" w:space="0" w:color="auto"/>
              <w:right w:val="single" w:sz="4" w:space="0" w:color="auto"/>
            </w:tcBorders>
          </w:tcPr>
          <w:p w:rsidR="0094198C" w:rsidRPr="008B2AE9" w:rsidRDefault="00DC41E8" w:rsidP="00DC41E8">
            <w:pPr>
              <w:rPr>
                <w:rFonts w:ascii="Times New Roman" w:hAnsi="Times New Roman"/>
                <w:sz w:val="22"/>
                <w:szCs w:val="22"/>
                <w:lang w:val="en-US" w:eastAsia="sv-SE"/>
              </w:rPr>
            </w:pPr>
            <w:r w:rsidRPr="008B2AE9">
              <w:rPr>
                <w:rFonts w:ascii="Times New Roman" w:hAnsi="Times New Roman"/>
                <w:sz w:val="22"/>
                <w:szCs w:val="22"/>
                <w:lang w:val="el-GR"/>
              </w:rPr>
              <w:t>Διέγερση</w:t>
            </w:r>
            <w:r w:rsidRPr="008B2AE9">
              <w:rPr>
                <w:rFonts w:ascii="Times New Roman" w:hAnsi="Times New Roman"/>
                <w:sz w:val="22"/>
                <w:szCs w:val="22"/>
                <w:lang w:val="en-US"/>
              </w:rPr>
              <w:t xml:space="preserve">, </w:t>
            </w:r>
            <w:r w:rsidRPr="008B2AE9">
              <w:rPr>
                <w:rFonts w:ascii="Times New Roman" w:hAnsi="Times New Roman"/>
                <w:sz w:val="22"/>
                <w:szCs w:val="22"/>
                <w:lang w:val="el-GR"/>
              </w:rPr>
              <w:t>σύγχυση</w:t>
            </w:r>
            <w:r w:rsidRPr="008B2AE9">
              <w:rPr>
                <w:rFonts w:ascii="Times New Roman" w:hAnsi="Times New Roman"/>
                <w:sz w:val="22"/>
                <w:szCs w:val="22"/>
                <w:lang w:val="en-US"/>
              </w:rPr>
              <w:t xml:space="preserve">, </w:t>
            </w:r>
            <w:r w:rsidRPr="008B2AE9">
              <w:rPr>
                <w:rFonts w:ascii="Times New Roman" w:hAnsi="Times New Roman"/>
                <w:sz w:val="22"/>
                <w:szCs w:val="22"/>
                <w:lang w:val="el-GR"/>
              </w:rPr>
              <w:t>κατάθλιψη</w:t>
            </w:r>
            <w:r w:rsidRPr="008B2AE9">
              <w:rPr>
                <w:rFonts w:ascii="Times New Roman" w:hAnsi="Times New Roman"/>
                <w:sz w:val="22"/>
                <w:szCs w:val="22"/>
                <w:lang w:eastAsia="sv-SE"/>
              </w:rPr>
              <w:t xml:space="preserve"> </w:t>
            </w:r>
          </w:p>
        </w:tc>
      </w:tr>
      <w:tr w:rsidR="0094198C" w:rsidRPr="008B2AE9" w:rsidTr="00C74122">
        <w:trPr>
          <w:cantSplit/>
        </w:trPr>
        <w:tc>
          <w:tcPr>
            <w:tcW w:w="3240" w:type="dxa"/>
            <w:vMerge/>
            <w:tcBorders>
              <w:left w:val="single" w:sz="4" w:space="0" w:color="auto"/>
              <w:bottom w:val="single" w:sz="4" w:space="0" w:color="auto"/>
              <w:right w:val="single" w:sz="4" w:space="0" w:color="auto"/>
            </w:tcBorders>
          </w:tcPr>
          <w:p w:rsidR="0094198C" w:rsidRPr="008B2AE9" w:rsidRDefault="0094198C" w:rsidP="0094198C">
            <w:pPr>
              <w:rPr>
                <w:rFonts w:ascii="Times New Roman" w:hAnsi="Times New Roman"/>
                <w:sz w:val="22"/>
                <w:szCs w:val="22"/>
                <w:lang w:val="en-US" w:eastAsia="sv-SE"/>
              </w:rPr>
            </w:pPr>
          </w:p>
        </w:tc>
        <w:tc>
          <w:tcPr>
            <w:tcW w:w="1440" w:type="dxa"/>
            <w:tcBorders>
              <w:top w:val="single" w:sz="4" w:space="0" w:color="auto"/>
              <w:left w:val="single" w:sz="4" w:space="0" w:color="auto"/>
              <w:bottom w:val="single" w:sz="4" w:space="0" w:color="auto"/>
              <w:right w:val="single" w:sz="4" w:space="0" w:color="auto"/>
            </w:tcBorders>
          </w:tcPr>
          <w:p w:rsidR="0094198C" w:rsidRPr="008B2AE9" w:rsidRDefault="00DC41E8" w:rsidP="00DC41E8">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rPr>
                <w:rFonts w:ascii="Times New Roman" w:hAnsi="Times New Roman"/>
                <w:sz w:val="22"/>
                <w:szCs w:val="22"/>
                <w:lang w:val="el-GR" w:eastAsia="sv-SE"/>
              </w:rPr>
            </w:pPr>
            <w:r w:rsidRPr="008B2AE9">
              <w:rPr>
                <w:rFonts w:ascii="Times New Roman" w:hAnsi="Times New Roman"/>
                <w:iCs/>
                <w:sz w:val="22"/>
                <w:szCs w:val="22"/>
                <w:lang w:val="el-GR"/>
              </w:rPr>
              <w:t>Πολύ σπάνιες</w:t>
            </w:r>
          </w:p>
        </w:tc>
        <w:tc>
          <w:tcPr>
            <w:tcW w:w="4392" w:type="dxa"/>
            <w:tcBorders>
              <w:top w:val="single" w:sz="4" w:space="0" w:color="auto"/>
              <w:left w:val="single" w:sz="4" w:space="0" w:color="auto"/>
              <w:bottom w:val="single" w:sz="4" w:space="0" w:color="auto"/>
              <w:right w:val="single" w:sz="4" w:space="0" w:color="auto"/>
            </w:tcBorders>
          </w:tcPr>
          <w:p w:rsidR="00DC41E8" w:rsidRPr="008B2AE9" w:rsidRDefault="00DC41E8" w:rsidP="00DC41E8">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rFonts w:ascii="Times New Roman" w:hAnsi="Times New Roman"/>
                <w:sz w:val="22"/>
                <w:szCs w:val="22"/>
                <w:lang w:val="el-GR"/>
              </w:rPr>
            </w:pPr>
            <w:r w:rsidRPr="008B2AE9">
              <w:rPr>
                <w:rFonts w:ascii="Times New Roman" w:hAnsi="Times New Roman"/>
                <w:sz w:val="22"/>
                <w:szCs w:val="22"/>
                <w:lang w:val="el-GR"/>
              </w:rPr>
              <w:t>Επιθετικότητα, ψευδαισθήσεις</w:t>
            </w:r>
          </w:p>
          <w:p w:rsidR="0094198C" w:rsidRPr="008B2AE9" w:rsidRDefault="0094198C" w:rsidP="0094198C">
            <w:pPr>
              <w:rPr>
                <w:rFonts w:ascii="Times New Roman" w:hAnsi="Times New Roman"/>
                <w:sz w:val="22"/>
                <w:szCs w:val="22"/>
                <w:lang w:val="sv-SE" w:eastAsia="sv-SE"/>
              </w:rPr>
            </w:pPr>
          </w:p>
        </w:tc>
      </w:tr>
      <w:tr w:rsidR="0094198C" w:rsidRPr="008B2AE9" w:rsidTr="00C74122">
        <w:trPr>
          <w:cantSplit/>
        </w:trPr>
        <w:tc>
          <w:tcPr>
            <w:tcW w:w="3240" w:type="dxa"/>
            <w:vMerge w:val="restart"/>
            <w:tcBorders>
              <w:top w:val="single" w:sz="4" w:space="0" w:color="auto"/>
              <w:left w:val="single" w:sz="4" w:space="0" w:color="auto"/>
              <w:right w:val="single" w:sz="4" w:space="0" w:color="auto"/>
            </w:tcBorders>
          </w:tcPr>
          <w:p w:rsidR="00C17093" w:rsidRPr="008B2AE9" w:rsidRDefault="00C17093" w:rsidP="00C17093">
            <w:pPr>
              <w:pStyle w:val="1"/>
              <w:spacing w:line="240" w:lineRule="auto"/>
              <w:rPr>
                <w:rFonts w:ascii="Times New Roman" w:hAnsi="Times New Roman"/>
                <w:bCs/>
                <w:iCs/>
                <w:sz w:val="22"/>
                <w:szCs w:val="22"/>
              </w:rPr>
            </w:pPr>
            <w:r w:rsidRPr="008B2AE9">
              <w:rPr>
                <w:rFonts w:ascii="Times New Roman" w:hAnsi="Times New Roman"/>
                <w:bCs/>
                <w:iCs/>
                <w:sz w:val="22"/>
                <w:szCs w:val="22"/>
              </w:rPr>
              <w:t>Διαταραχές νευρικού συστήματος</w:t>
            </w:r>
          </w:p>
          <w:p w:rsidR="0094198C" w:rsidRPr="008B2AE9" w:rsidRDefault="0094198C" w:rsidP="00C17093">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rFonts w:ascii="Times New Roman" w:hAnsi="Times New Roman"/>
                <w:sz w:val="22"/>
                <w:szCs w:val="22"/>
                <w:lang w:val="sv-SE" w:eastAsia="sv-SE"/>
              </w:rPr>
            </w:pPr>
          </w:p>
        </w:tc>
        <w:tc>
          <w:tcPr>
            <w:tcW w:w="1440" w:type="dxa"/>
            <w:tcBorders>
              <w:top w:val="single" w:sz="4" w:space="0" w:color="auto"/>
              <w:left w:val="single" w:sz="4" w:space="0" w:color="auto"/>
              <w:bottom w:val="single" w:sz="4" w:space="0" w:color="auto"/>
              <w:right w:val="single" w:sz="4" w:space="0" w:color="auto"/>
            </w:tcBorders>
          </w:tcPr>
          <w:p w:rsidR="00C17093" w:rsidRPr="008B2AE9" w:rsidRDefault="00C17093" w:rsidP="00C17093">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rFonts w:ascii="Times New Roman" w:hAnsi="Times New Roman"/>
                <w:sz w:val="22"/>
                <w:szCs w:val="22"/>
                <w:lang w:val="el-GR"/>
              </w:rPr>
            </w:pPr>
            <w:r w:rsidRPr="008B2AE9">
              <w:rPr>
                <w:rFonts w:ascii="Times New Roman" w:hAnsi="Times New Roman"/>
                <w:iCs/>
                <w:sz w:val="22"/>
                <w:szCs w:val="22"/>
                <w:lang w:val="el-GR"/>
              </w:rPr>
              <w:t xml:space="preserve">Συνήθεις </w:t>
            </w:r>
          </w:p>
          <w:p w:rsidR="0094198C" w:rsidRPr="008B2AE9" w:rsidRDefault="0094198C" w:rsidP="00C17093">
            <w:pPr>
              <w:rPr>
                <w:rFonts w:ascii="Times New Roman" w:hAnsi="Times New Roman"/>
                <w:sz w:val="22"/>
                <w:szCs w:val="22"/>
                <w:lang w:val="el-GR" w:eastAsia="sv-SE"/>
              </w:rPr>
            </w:pPr>
          </w:p>
        </w:tc>
        <w:tc>
          <w:tcPr>
            <w:tcW w:w="4392" w:type="dxa"/>
            <w:tcBorders>
              <w:top w:val="single" w:sz="4" w:space="0" w:color="auto"/>
              <w:left w:val="single" w:sz="4" w:space="0" w:color="auto"/>
              <w:bottom w:val="single" w:sz="4" w:space="0" w:color="auto"/>
              <w:right w:val="single" w:sz="4" w:space="0" w:color="auto"/>
            </w:tcBorders>
          </w:tcPr>
          <w:p w:rsidR="0094198C" w:rsidRPr="008B2AE9" w:rsidRDefault="00C17093" w:rsidP="0094198C">
            <w:pPr>
              <w:rPr>
                <w:rFonts w:ascii="Times New Roman" w:hAnsi="Times New Roman"/>
                <w:sz w:val="22"/>
                <w:szCs w:val="22"/>
                <w:lang w:val="el-GR" w:eastAsia="sv-SE"/>
              </w:rPr>
            </w:pPr>
            <w:r w:rsidRPr="008B2AE9">
              <w:rPr>
                <w:rFonts w:ascii="Times New Roman" w:hAnsi="Times New Roman"/>
                <w:sz w:val="22"/>
                <w:szCs w:val="22"/>
                <w:lang w:val="el-GR"/>
              </w:rPr>
              <w:t>Κεφαλαλγία</w:t>
            </w:r>
          </w:p>
        </w:tc>
      </w:tr>
      <w:tr w:rsidR="0094198C" w:rsidRPr="008B2AE9" w:rsidTr="00C74122">
        <w:trPr>
          <w:cantSplit/>
        </w:trPr>
        <w:tc>
          <w:tcPr>
            <w:tcW w:w="3240" w:type="dxa"/>
            <w:vMerge/>
            <w:tcBorders>
              <w:left w:val="single" w:sz="4" w:space="0" w:color="auto"/>
              <w:right w:val="single" w:sz="4" w:space="0" w:color="auto"/>
            </w:tcBorders>
          </w:tcPr>
          <w:p w:rsidR="0094198C" w:rsidRPr="008B2AE9" w:rsidRDefault="0094198C" w:rsidP="0094198C">
            <w:pPr>
              <w:rPr>
                <w:rFonts w:ascii="Times New Roman" w:hAnsi="Times New Roman"/>
                <w:sz w:val="22"/>
                <w:szCs w:val="22"/>
                <w:lang w:val="en-US" w:eastAsia="sv-SE"/>
              </w:rPr>
            </w:pPr>
          </w:p>
        </w:tc>
        <w:tc>
          <w:tcPr>
            <w:tcW w:w="1440" w:type="dxa"/>
            <w:tcBorders>
              <w:top w:val="single" w:sz="4" w:space="0" w:color="auto"/>
              <w:left w:val="single" w:sz="4" w:space="0" w:color="auto"/>
              <w:bottom w:val="single" w:sz="4" w:space="0" w:color="auto"/>
              <w:right w:val="single" w:sz="4" w:space="0" w:color="auto"/>
            </w:tcBorders>
          </w:tcPr>
          <w:p w:rsidR="0094198C" w:rsidRPr="008B2AE9" w:rsidRDefault="00C17093" w:rsidP="00C17093">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rFonts w:ascii="Times New Roman" w:hAnsi="Times New Roman"/>
                <w:sz w:val="22"/>
                <w:szCs w:val="22"/>
                <w:lang w:val="en-US" w:eastAsia="sv-SE"/>
              </w:rPr>
            </w:pPr>
            <w:r w:rsidRPr="008B2AE9">
              <w:rPr>
                <w:rFonts w:ascii="Times New Roman" w:hAnsi="Times New Roman"/>
                <w:iCs/>
                <w:sz w:val="22"/>
                <w:szCs w:val="22"/>
                <w:lang w:val="el-GR"/>
              </w:rPr>
              <w:t>Όχι συχνές</w:t>
            </w:r>
            <w:r w:rsidRPr="008B2AE9">
              <w:rPr>
                <w:rFonts w:ascii="Times New Roman" w:hAnsi="Times New Roman"/>
                <w:sz w:val="22"/>
                <w:szCs w:val="22"/>
                <w:lang w:val="el-GR"/>
              </w:rPr>
              <w:t xml:space="preserve"> </w:t>
            </w:r>
          </w:p>
        </w:tc>
        <w:tc>
          <w:tcPr>
            <w:tcW w:w="4392" w:type="dxa"/>
            <w:tcBorders>
              <w:top w:val="single" w:sz="4" w:space="0" w:color="auto"/>
              <w:left w:val="single" w:sz="4" w:space="0" w:color="auto"/>
              <w:bottom w:val="single" w:sz="4" w:space="0" w:color="auto"/>
              <w:right w:val="single" w:sz="4" w:space="0" w:color="auto"/>
            </w:tcBorders>
          </w:tcPr>
          <w:p w:rsidR="0094198C" w:rsidRPr="008B2AE9" w:rsidRDefault="00C17093" w:rsidP="00C17093">
            <w:pPr>
              <w:rPr>
                <w:rFonts w:ascii="Times New Roman" w:hAnsi="Times New Roman"/>
                <w:sz w:val="22"/>
                <w:szCs w:val="22"/>
                <w:lang w:val="en-US" w:eastAsia="sv-SE"/>
              </w:rPr>
            </w:pPr>
            <w:r w:rsidRPr="008B2AE9">
              <w:rPr>
                <w:rFonts w:ascii="Times New Roman" w:hAnsi="Times New Roman"/>
                <w:sz w:val="22"/>
                <w:szCs w:val="22"/>
                <w:lang w:val="el-GR"/>
              </w:rPr>
              <w:t>Ζάλη</w:t>
            </w:r>
            <w:r w:rsidRPr="008B2AE9">
              <w:rPr>
                <w:rFonts w:ascii="Times New Roman" w:hAnsi="Times New Roman"/>
                <w:sz w:val="22"/>
                <w:szCs w:val="22"/>
                <w:lang w:val="en-US"/>
              </w:rPr>
              <w:t xml:space="preserve">, </w:t>
            </w:r>
            <w:r w:rsidRPr="008B2AE9">
              <w:rPr>
                <w:rFonts w:ascii="Times New Roman" w:hAnsi="Times New Roman"/>
                <w:sz w:val="22"/>
                <w:szCs w:val="22"/>
                <w:lang w:val="el-GR"/>
              </w:rPr>
              <w:t>παραισθησίες</w:t>
            </w:r>
            <w:r w:rsidRPr="008B2AE9">
              <w:rPr>
                <w:rFonts w:ascii="Times New Roman" w:hAnsi="Times New Roman"/>
                <w:sz w:val="22"/>
                <w:szCs w:val="22"/>
                <w:lang w:val="en-US"/>
              </w:rPr>
              <w:t xml:space="preserve">, </w:t>
            </w:r>
            <w:r w:rsidRPr="008B2AE9">
              <w:rPr>
                <w:rFonts w:ascii="Times New Roman" w:hAnsi="Times New Roman"/>
                <w:sz w:val="22"/>
                <w:szCs w:val="22"/>
                <w:lang w:val="el-GR"/>
              </w:rPr>
              <w:t>υπνηλία</w:t>
            </w:r>
            <w:r w:rsidRPr="008B2AE9">
              <w:rPr>
                <w:rFonts w:ascii="Times New Roman" w:hAnsi="Times New Roman"/>
                <w:sz w:val="22"/>
                <w:szCs w:val="22"/>
                <w:lang w:eastAsia="sv-SE"/>
              </w:rPr>
              <w:t xml:space="preserve"> </w:t>
            </w:r>
          </w:p>
        </w:tc>
      </w:tr>
      <w:tr w:rsidR="0094198C" w:rsidRPr="008B2AE9" w:rsidTr="00C74122">
        <w:trPr>
          <w:cantSplit/>
        </w:trPr>
        <w:tc>
          <w:tcPr>
            <w:tcW w:w="3240" w:type="dxa"/>
            <w:vMerge/>
            <w:tcBorders>
              <w:left w:val="single" w:sz="4" w:space="0" w:color="auto"/>
              <w:bottom w:val="single" w:sz="4" w:space="0" w:color="auto"/>
              <w:right w:val="single" w:sz="4" w:space="0" w:color="auto"/>
            </w:tcBorders>
          </w:tcPr>
          <w:p w:rsidR="0094198C" w:rsidRPr="008B2AE9" w:rsidRDefault="0094198C" w:rsidP="0094198C">
            <w:pPr>
              <w:rPr>
                <w:rFonts w:ascii="Times New Roman" w:hAnsi="Times New Roman"/>
                <w:sz w:val="22"/>
                <w:szCs w:val="22"/>
                <w:lang w:val="en-US" w:eastAsia="sv-SE"/>
              </w:rPr>
            </w:pPr>
          </w:p>
        </w:tc>
        <w:tc>
          <w:tcPr>
            <w:tcW w:w="1440" w:type="dxa"/>
            <w:tcBorders>
              <w:top w:val="single" w:sz="4" w:space="0" w:color="auto"/>
              <w:left w:val="single" w:sz="4" w:space="0" w:color="auto"/>
              <w:bottom w:val="single" w:sz="4" w:space="0" w:color="auto"/>
              <w:right w:val="single" w:sz="4" w:space="0" w:color="auto"/>
            </w:tcBorders>
          </w:tcPr>
          <w:p w:rsidR="0094198C" w:rsidRPr="008B2AE9" w:rsidRDefault="00C17093" w:rsidP="00C17093">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rFonts w:ascii="Times New Roman" w:hAnsi="Times New Roman"/>
                <w:iCs/>
                <w:sz w:val="22"/>
                <w:szCs w:val="22"/>
                <w:lang w:val="el-GR"/>
              </w:rPr>
            </w:pPr>
            <w:r w:rsidRPr="008B2AE9">
              <w:rPr>
                <w:rFonts w:ascii="Times New Roman" w:hAnsi="Times New Roman"/>
                <w:iCs/>
                <w:sz w:val="22"/>
                <w:szCs w:val="22"/>
                <w:lang w:val="el-GR"/>
              </w:rPr>
              <w:t>Σπάνιες</w:t>
            </w:r>
          </w:p>
        </w:tc>
        <w:tc>
          <w:tcPr>
            <w:tcW w:w="4392" w:type="dxa"/>
            <w:tcBorders>
              <w:top w:val="single" w:sz="4" w:space="0" w:color="auto"/>
              <w:left w:val="single" w:sz="4" w:space="0" w:color="auto"/>
              <w:bottom w:val="single" w:sz="4" w:space="0" w:color="auto"/>
              <w:right w:val="single" w:sz="4" w:space="0" w:color="auto"/>
            </w:tcBorders>
          </w:tcPr>
          <w:p w:rsidR="0094198C" w:rsidRPr="008B2AE9" w:rsidRDefault="00C17093" w:rsidP="00C17093">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rFonts w:ascii="Times New Roman" w:hAnsi="Times New Roman"/>
                <w:sz w:val="22"/>
                <w:szCs w:val="22"/>
                <w:lang w:val="el-GR"/>
              </w:rPr>
            </w:pPr>
            <w:r w:rsidRPr="008B2AE9">
              <w:rPr>
                <w:rFonts w:ascii="Times New Roman" w:hAnsi="Times New Roman"/>
                <w:sz w:val="22"/>
                <w:szCs w:val="22"/>
                <w:lang w:val="el-GR"/>
              </w:rPr>
              <w:t>Διαταραχές της γεύσης</w:t>
            </w:r>
          </w:p>
        </w:tc>
      </w:tr>
      <w:tr w:rsidR="0094198C" w:rsidRPr="008B2AE9" w:rsidTr="00C74122">
        <w:trPr>
          <w:cantSplit/>
        </w:trPr>
        <w:tc>
          <w:tcPr>
            <w:tcW w:w="3240" w:type="dxa"/>
            <w:tcBorders>
              <w:top w:val="single" w:sz="4" w:space="0" w:color="auto"/>
              <w:left w:val="single" w:sz="4" w:space="0" w:color="auto"/>
              <w:bottom w:val="single" w:sz="4" w:space="0" w:color="auto"/>
              <w:right w:val="single" w:sz="4" w:space="0" w:color="auto"/>
            </w:tcBorders>
          </w:tcPr>
          <w:p w:rsidR="0094198C" w:rsidRPr="008B2AE9" w:rsidRDefault="00BD329E" w:rsidP="00BD329E">
            <w:pPr>
              <w:rPr>
                <w:rFonts w:ascii="Times New Roman" w:hAnsi="Times New Roman"/>
                <w:sz w:val="22"/>
                <w:szCs w:val="22"/>
                <w:lang w:val="en-US" w:eastAsia="sv-SE"/>
              </w:rPr>
            </w:pPr>
            <w:r w:rsidRPr="008B2AE9">
              <w:rPr>
                <w:rFonts w:ascii="Times New Roman" w:hAnsi="Times New Roman"/>
                <w:sz w:val="22"/>
                <w:szCs w:val="22"/>
                <w:lang w:eastAsia="sv-SE"/>
              </w:rPr>
              <w:t>Διαταραχές των οφθαλμών</w:t>
            </w:r>
          </w:p>
        </w:tc>
        <w:tc>
          <w:tcPr>
            <w:tcW w:w="1440" w:type="dxa"/>
            <w:tcBorders>
              <w:top w:val="single" w:sz="4" w:space="0" w:color="auto"/>
              <w:left w:val="single" w:sz="4" w:space="0" w:color="auto"/>
              <w:bottom w:val="single" w:sz="4" w:space="0" w:color="auto"/>
              <w:right w:val="single" w:sz="4" w:space="0" w:color="auto"/>
            </w:tcBorders>
          </w:tcPr>
          <w:p w:rsidR="0094198C" w:rsidRPr="008B2AE9" w:rsidRDefault="00BD329E" w:rsidP="0094198C">
            <w:pPr>
              <w:rPr>
                <w:rFonts w:ascii="Times New Roman" w:hAnsi="Times New Roman"/>
                <w:sz w:val="22"/>
                <w:szCs w:val="22"/>
                <w:lang w:val="en-US" w:eastAsia="sv-SE"/>
              </w:rPr>
            </w:pPr>
            <w:r w:rsidRPr="008B2AE9">
              <w:rPr>
                <w:rFonts w:ascii="Times New Roman" w:hAnsi="Times New Roman"/>
                <w:sz w:val="22"/>
                <w:szCs w:val="22"/>
                <w:lang w:eastAsia="sv-SE"/>
              </w:rPr>
              <w:t>Όχι συχνές</w:t>
            </w:r>
          </w:p>
        </w:tc>
        <w:tc>
          <w:tcPr>
            <w:tcW w:w="4392" w:type="dxa"/>
            <w:tcBorders>
              <w:top w:val="single" w:sz="4" w:space="0" w:color="auto"/>
              <w:left w:val="single" w:sz="4" w:space="0" w:color="auto"/>
              <w:bottom w:val="single" w:sz="4" w:space="0" w:color="auto"/>
              <w:right w:val="single" w:sz="4" w:space="0" w:color="auto"/>
            </w:tcBorders>
          </w:tcPr>
          <w:p w:rsidR="0094198C" w:rsidRPr="008B2AE9" w:rsidRDefault="00BD329E" w:rsidP="00BD329E">
            <w:pPr>
              <w:rPr>
                <w:rFonts w:ascii="Times New Roman" w:hAnsi="Times New Roman"/>
                <w:sz w:val="22"/>
                <w:szCs w:val="22"/>
                <w:lang w:val="en-US" w:eastAsia="sv-SE"/>
              </w:rPr>
            </w:pPr>
            <w:r w:rsidRPr="008B2AE9">
              <w:rPr>
                <w:rFonts w:ascii="Times New Roman" w:hAnsi="Times New Roman"/>
                <w:sz w:val="22"/>
                <w:szCs w:val="22"/>
                <w:lang w:eastAsia="sv-SE"/>
              </w:rPr>
              <w:t xml:space="preserve">Θάμβος οράσεως </w:t>
            </w:r>
          </w:p>
        </w:tc>
      </w:tr>
      <w:tr w:rsidR="0094198C" w:rsidRPr="008B2AE9" w:rsidTr="00C74122">
        <w:trPr>
          <w:cantSplit/>
        </w:trPr>
        <w:tc>
          <w:tcPr>
            <w:tcW w:w="3240" w:type="dxa"/>
            <w:tcBorders>
              <w:top w:val="single" w:sz="4" w:space="0" w:color="auto"/>
              <w:left w:val="single" w:sz="4" w:space="0" w:color="auto"/>
              <w:bottom w:val="single" w:sz="4" w:space="0" w:color="auto"/>
              <w:right w:val="single" w:sz="4" w:space="0" w:color="auto"/>
            </w:tcBorders>
          </w:tcPr>
          <w:p w:rsidR="0094198C" w:rsidRPr="008B2AE9" w:rsidRDefault="00BF4EC8" w:rsidP="00BF4EC8">
            <w:pPr>
              <w:rPr>
                <w:rFonts w:ascii="Times New Roman" w:hAnsi="Times New Roman"/>
                <w:sz w:val="22"/>
                <w:szCs w:val="22"/>
                <w:lang w:val="en-US" w:eastAsia="sv-SE"/>
              </w:rPr>
            </w:pPr>
            <w:r w:rsidRPr="008B2AE9">
              <w:rPr>
                <w:rFonts w:ascii="Times New Roman" w:hAnsi="Times New Roman"/>
                <w:sz w:val="22"/>
                <w:szCs w:val="22"/>
                <w:lang w:val="el-GR" w:eastAsia="sv-SE"/>
              </w:rPr>
              <w:t>Διαταραχές του ωτός και του λαβυρίνθου</w:t>
            </w:r>
          </w:p>
        </w:tc>
        <w:tc>
          <w:tcPr>
            <w:tcW w:w="1440" w:type="dxa"/>
            <w:tcBorders>
              <w:top w:val="single" w:sz="4" w:space="0" w:color="auto"/>
              <w:left w:val="single" w:sz="4" w:space="0" w:color="auto"/>
              <w:bottom w:val="single" w:sz="4" w:space="0" w:color="auto"/>
              <w:right w:val="single" w:sz="4" w:space="0" w:color="auto"/>
            </w:tcBorders>
          </w:tcPr>
          <w:p w:rsidR="0094198C" w:rsidRPr="008B2AE9" w:rsidRDefault="00BF4EC8" w:rsidP="00BF4EC8">
            <w:pPr>
              <w:rPr>
                <w:rFonts w:ascii="Times New Roman" w:hAnsi="Times New Roman"/>
                <w:sz w:val="22"/>
                <w:szCs w:val="22"/>
                <w:lang w:val="en-US" w:eastAsia="sv-SE"/>
              </w:rPr>
            </w:pPr>
            <w:r w:rsidRPr="008B2AE9">
              <w:rPr>
                <w:rFonts w:ascii="Times New Roman" w:hAnsi="Times New Roman"/>
                <w:sz w:val="22"/>
                <w:szCs w:val="22"/>
                <w:lang w:eastAsia="sv-SE"/>
              </w:rPr>
              <w:t xml:space="preserve">Όχι συχνές </w:t>
            </w:r>
          </w:p>
        </w:tc>
        <w:tc>
          <w:tcPr>
            <w:tcW w:w="4392" w:type="dxa"/>
            <w:tcBorders>
              <w:top w:val="single" w:sz="4" w:space="0" w:color="auto"/>
              <w:left w:val="single" w:sz="4" w:space="0" w:color="auto"/>
              <w:bottom w:val="single" w:sz="4" w:space="0" w:color="auto"/>
              <w:right w:val="single" w:sz="4" w:space="0" w:color="auto"/>
            </w:tcBorders>
          </w:tcPr>
          <w:p w:rsidR="0094198C" w:rsidRPr="008B2AE9" w:rsidRDefault="00BF4EC8" w:rsidP="0094198C">
            <w:pPr>
              <w:rPr>
                <w:rFonts w:ascii="Times New Roman" w:hAnsi="Times New Roman"/>
                <w:sz w:val="22"/>
                <w:szCs w:val="22"/>
                <w:lang w:val="en-US" w:eastAsia="sv-SE"/>
              </w:rPr>
            </w:pPr>
            <w:r w:rsidRPr="008B2AE9">
              <w:rPr>
                <w:rFonts w:ascii="Times New Roman" w:hAnsi="Times New Roman"/>
                <w:sz w:val="22"/>
                <w:szCs w:val="22"/>
                <w:lang w:eastAsia="sv-SE"/>
              </w:rPr>
              <w:t>Ίλιγγος</w:t>
            </w:r>
          </w:p>
        </w:tc>
      </w:tr>
      <w:tr w:rsidR="0094198C" w:rsidRPr="008B2AE9" w:rsidTr="00C74122">
        <w:trPr>
          <w:cantSplit/>
        </w:trPr>
        <w:tc>
          <w:tcPr>
            <w:tcW w:w="3240" w:type="dxa"/>
            <w:tcBorders>
              <w:top w:val="single" w:sz="4" w:space="0" w:color="auto"/>
              <w:left w:val="single" w:sz="4" w:space="0" w:color="auto"/>
              <w:bottom w:val="single" w:sz="4" w:space="0" w:color="auto"/>
              <w:right w:val="single" w:sz="4" w:space="0" w:color="auto"/>
            </w:tcBorders>
          </w:tcPr>
          <w:p w:rsidR="0094198C" w:rsidRPr="008B2AE9" w:rsidRDefault="008B6211" w:rsidP="008D08E4">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rPr>
                <w:rFonts w:ascii="Times New Roman" w:hAnsi="Times New Roman"/>
                <w:sz w:val="22"/>
                <w:szCs w:val="22"/>
                <w:lang w:val="en-US" w:eastAsia="sv-SE"/>
              </w:rPr>
            </w:pPr>
            <w:r w:rsidRPr="008B2AE9">
              <w:rPr>
                <w:rFonts w:ascii="Times New Roman" w:hAnsi="Times New Roman"/>
                <w:iCs/>
                <w:sz w:val="22"/>
                <w:szCs w:val="22"/>
                <w:lang w:val="el-GR"/>
              </w:rPr>
              <w:t>Διαταραχές του αναπνευστικού συστήματος, του μεσοθωρακίου και της θωρακικής χώρας</w:t>
            </w:r>
          </w:p>
        </w:tc>
        <w:tc>
          <w:tcPr>
            <w:tcW w:w="1440" w:type="dxa"/>
            <w:tcBorders>
              <w:top w:val="single" w:sz="4" w:space="0" w:color="auto"/>
              <w:left w:val="single" w:sz="4" w:space="0" w:color="auto"/>
              <w:bottom w:val="single" w:sz="4" w:space="0" w:color="auto"/>
              <w:right w:val="single" w:sz="4" w:space="0" w:color="auto"/>
            </w:tcBorders>
          </w:tcPr>
          <w:p w:rsidR="008B6211" w:rsidRPr="008B2AE9" w:rsidRDefault="008B6211" w:rsidP="008B6211">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rFonts w:ascii="Times New Roman" w:hAnsi="Times New Roman"/>
                <w:sz w:val="22"/>
                <w:szCs w:val="22"/>
                <w:lang w:val="en-US"/>
              </w:rPr>
            </w:pPr>
            <w:r w:rsidRPr="008B2AE9">
              <w:rPr>
                <w:rFonts w:ascii="Times New Roman" w:hAnsi="Times New Roman"/>
                <w:iCs/>
                <w:sz w:val="22"/>
                <w:szCs w:val="22"/>
                <w:lang w:val="el-GR"/>
              </w:rPr>
              <w:t>Σπάνιες</w:t>
            </w:r>
            <w:r w:rsidRPr="008B2AE9">
              <w:rPr>
                <w:rFonts w:ascii="Times New Roman" w:hAnsi="Times New Roman"/>
                <w:sz w:val="22"/>
                <w:szCs w:val="22"/>
                <w:lang w:val="en-US"/>
              </w:rPr>
              <w:t xml:space="preserve"> </w:t>
            </w:r>
          </w:p>
          <w:p w:rsidR="0094198C" w:rsidRPr="008B2AE9" w:rsidRDefault="0094198C" w:rsidP="0094198C">
            <w:pPr>
              <w:rPr>
                <w:rFonts w:ascii="Times New Roman" w:hAnsi="Times New Roman"/>
                <w:sz w:val="22"/>
                <w:szCs w:val="22"/>
                <w:lang w:val="en-US" w:eastAsia="sv-SE"/>
              </w:rPr>
            </w:pPr>
          </w:p>
        </w:tc>
        <w:tc>
          <w:tcPr>
            <w:tcW w:w="4392" w:type="dxa"/>
            <w:tcBorders>
              <w:top w:val="single" w:sz="4" w:space="0" w:color="auto"/>
              <w:left w:val="single" w:sz="4" w:space="0" w:color="auto"/>
              <w:bottom w:val="single" w:sz="4" w:space="0" w:color="auto"/>
              <w:right w:val="single" w:sz="4" w:space="0" w:color="auto"/>
            </w:tcBorders>
          </w:tcPr>
          <w:p w:rsidR="0094198C" w:rsidRPr="008B2AE9" w:rsidRDefault="008B6211" w:rsidP="0094198C">
            <w:pPr>
              <w:rPr>
                <w:rFonts w:ascii="Times New Roman" w:hAnsi="Times New Roman"/>
                <w:sz w:val="22"/>
                <w:szCs w:val="22"/>
                <w:lang w:val="en-US" w:eastAsia="sv-SE"/>
              </w:rPr>
            </w:pPr>
            <w:r w:rsidRPr="008B2AE9">
              <w:rPr>
                <w:rFonts w:ascii="Times New Roman" w:hAnsi="Times New Roman"/>
                <w:sz w:val="22"/>
                <w:szCs w:val="22"/>
                <w:lang w:val="el-GR"/>
              </w:rPr>
              <w:t>Βρογχόσπασμος</w:t>
            </w:r>
          </w:p>
        </w:tc>
      </w:tr>
      <w:tr w:rsidR="0094198C" w:rsidRPr="008B2AE9" w:rsidTr="00C74122">
        <w:trPr>
          <w:cantSplit/>
        </w:trPr>
        <w:tc>
          <w:tcPr>
            <w:tcW w:w="3240" w:type="dxa"/>
            <w:vMerge w:val="restart"/>
            <w:tcBorders>
              <w:top w:val="single" w:sz="4" w:space="0" w:color="auto"/>
              <w:left w:val="single" w:sz="4" w:space="0" w:color="auto"/>
              <w:right w:val="single" w:sz="4" w:space="0" w:color="auto"/>
            </w:tcBorders>
          </w:tcPr>
          <w:p w:rsidR="00F90AF5" w:rsidRPr="008B2AE9" w:rsidRDefault="00F90AF5" w:rsidP="00F90AF5">
            <w:pPr>
              <w:rPr>
                <w:rFonts w:ascii="Times New Roman" w:hAnsi="Times New Roman"/>
                <w:sz w:val="22"/>
                <w:szCs w:val="22"/>
                <w:lang w:val="el-GR" w:eastAsia="sv-SE"/>
              </w:rPr>
            </w:pPr>
            <w:r w:rsidRPr="008B2AE9">
              <w:rPr>
                <w:rFonts w:ascii="Times New Roman" w:hAnsi="Times New Roman"/>
                <w:sz w:val="22"/>
                <w:szCs w:val="22"/>
                <w:lang w:val="el-GR" w:eastAsia="sv-SE"/>
              </w:rPr>
              <w:t>Γαστρεντερικές διαταραχές</w:t>
            </w:r>
          </w:p>
          <w:p w:rsidR="0094198C" w:rsidRPr="008B2AE9" w:rsidRDefault="0094198C" w:rsidP="00F90AF5">
            <w:pPr>
              <w:rPr>
                <w:rFonts w:ascii="Times New Roman" w:hAnsi="Times New Roman"/>
                <w:sz w:val="22"/>
                <w:szCs w:val="22"/>
                <w:lang w:val="en-US" w:eastAsia="sv-SE"/>
              </w:rPr>
            </w:pPr>
          </w:p>
        </w:tc>
        <w:tc>
          <w:tcPr>
            <w:tcW w:w="1440" w:type="dxa"/>
            <w:tcBorders>
              <w:top w:val="single" w:sz="4" w:space="0" w:color="auto"/>
              <w:left w:val="single" w:sz="4" w:space="0" w:color="auto"/>
              <w:bottom w:val="single" w:sz="4" w:space="0" w:color="auto"/>
              <w:right w:val="single" w:sz="4" w:space="0" w:color="auto"/>
            </w:tcBorders>
          </w:tcPr>
          <w:p w:rsidR="00F90AF5" w:rsidRPr="008B2AE9" w:rsidRDefault="00F90AF5" w:rsidP="00F90AF5">
            <w:pPr>
              <w:rPr>
                <w:rFonts w:ascii="Times New Roman" w:hAnsi="Times New Roman"/>
                <w:sz w:val="22"/>
                <w:szCs w:val="22"/>
                <w:lang w:val="el-GR" w:eastAsia="sv-SE"/>
              </w:rPr>
            </w:pPr>
            <w:r w:rsidRPr="008B2AE9">
              <w:rPr>
                <w:rFonts w:ascii="Times New Roman" w:hAnsi="Times New Roman"/>
                <w:sz w:val="22"/>
                <w:szCs w:val="22"/>
                <w:lang w:val="el-GR" w:eastAsia="sv-SE"/>
              </w:rPr>
              <w:t>Συνήθεις</w:t>
            </w:r>
          </w:p>
          <w:p w:rsidR="0094198C" w:rsidRPr="008B2AE9" w:rsidRDefault="0094198C" w:rsidP="00F90AF5">
            <w:pPr>
              <w:rPr>
                <w:rFonts w:ascii="Times New Roman" w:hAnsi="Times New Roman"/>
                <w:sz w:val="22"/>
                <w:szCs w:val="22"/>
                <w:lang w:val="el-GR" w:eastAsia="sv-SE"/>
              </w:rPr>
            </w:pPr>
          </w:p>
        </w:tc>
        <w:tc>
          <w:tcPr>
            <w:tcW w:w="4392" w:type="dxa"/>
            <w:tcBorders>
              <w:top w:val="single" w:sz="4" w:space="0" w:color="auto"/>
              <w:left w:val="single" w:sz="4" w:space="0" w:color="auto"/>
              <w:bottom w:val="single" w:sz="4" w:space="0" w:color="auto"/>
              <w:right w:val="single" w:sz="4" w:space="0" w:color="auto"/>
            </w:tcBorders>
          </w:tcPr>
          <w:p w:rsidR="0094198C" w:rsidRPr="008B2AE9" w:rsidRDefault="00F90AF5" w:rsidP="0094198C">
            <w:pPr>
              <w:rPr>
                <w:rFonts w:ascii="Times New Roman" w:hAnsi="Times New Roman"/>
                <w:sz w:val="22"/>
                <w:szCs w:val="22"/>
                <w:lang w:val="el-GR" w:eastAsia="sv-SE"/>
              </w:rPr>
            </w:pPr>
            <w:r w:rsidRPr="008B2AE9">
              <w:rPr>
                <w:rFonts w:ascii="Times New Roman" w:hAnsi="Times New Roman"/>
                <w:sz w:val="22"/>
                <w:szCs w:val="22"/>
                <w:lang w:val="el-GR" w:eastAsia="sv-SE"/>
              </w:rPr>
              <w:t>Κοιλιακό άλγος, δυσκοιλιότητα, διάρροια, μετεωρισμός, ναυτία/έμετος</w:t>
            </w:r>
          </w:p>
        </w:tc>
      </w:tr>
      <w:tr w:rsidR="0094198C" w:rsidRPr="008B2AE9" w:rsidTr="00C74122">
        <w:trPr>
          <w:cantSplit/>
        </w:trPr>
        <w:tc>
          <w:tcPr>
            <w:tcW w:w="3240" w:type="dxa"/>
            <w:vMerge/>
            <w:tcBorders>
              <w:left w:val="single" w:sz="4" w:space="0" w:color="auto"/>
              <w:right w:val="single" w:sz="4" w:space="0" w:color="auto"/>
            </w:tcBorders>
          </w:tcPr>
          <w:p w:rsidR="0094198C" w:rsidRPr="008B2AE9" w:rsidRDefault="0094198C" w:rsidP="0094198C">
            <w:pPr>
              <w:rPr>
                <w:rFonts w:ascii="Times New Roman" w:hAnsi="Times New Roman"/>
                <w:sz w:val="22"/>
                <w:szCs w:val="22"/>
                <w:lang w:val="el-GR" w:eastAsia="sv-SE"/>
              </w:rPr>
            </w:pPr>
          </w:p>
        </w:tc>
        <w:tc>
          <w:tcPr>
            <w:tcW w:w="1440" w:type="dxa"/>
            <w:tcBorders>
              <w:top w:val="single" w:sz="4" w:space="0" w:color="auto"/>
              <w:left w:val="single" w:sz="4" w:space="0" w:color="auto"/>
              <w:bottom w:val="single" w:sz="4" w:space="0" w:color="auto"/>
              <w:right w:val="single" w:sz="4" w:space="0" w:color="auto"/>
            </w:tcBorders>
          </w:tcPr>
          <w:p w:rsidR="00F90AF5" w:rsidRPr="008B2AE9" w:rsidRDefault="00F90AF5" w:rsidP="00F90AF5">
            <w:pPr>
              <w:rPr>
                <w:rFonts w:ascii="Times New Roman" w:hAnsi="Times New Roman"/>
                <w:sz w:val="22"/>
                <w:szCs w:val="22"/>
                <w:lang w:val="el-GR" w:eastAsia="sv-SE"/>
              </w:rPr>
            </w:pPr>
            <w:r w:rsidRPr="008B2AE9">
              <w:rPr>
                <w:rFonts w:ascii="Times New Roman" w:hAnsi="Times New Roman"/>
                <w:sz w:val="22"/>
                <w:szCs w:val="22"/>
                <w:lang w:val="el-GR" w:eastAsia="sv-SE"/>
              </w:rPr>
              <w:t xml:space="preserve">Όχι συχνές </w:t>
            </w:r>
          </w:p>
          <w:p w:rsidR="0094198C" w:rsidRPr="008B2AE9" w:rsidRDefault="0094198C" w:rsidP="0094198C">
            <w:pPr>
              <w:rPr>
                <w:rFonts w:ascii="Times New Roman" w:hAnsi="Times New Roman"/>
                <w:sz w:val="22"/>
                <w:szCs w:val="22"/>
                <w:lang w:val="en-US" w:eastAsia="sv-SE"/>
              </w:rPr>
            </w:pPr>
          </w:p>
        </w:tc>
        <w:tc>
          <w:tcPr>
            <w:tcW w:w="4392" w:type="dxa"/>
            <w:tcBorders>
              <w:top w:val="single" w:sz="4" w:space="0" w:color="auto"/>
              <w:left w:val="single" w:sz="4" w:space="0" w:color="auto"/>
              <w:bottom w:val="single" w:sz="4" w:space="0" w:color="auto"/>
              <w:right w:val="single" w:sz="4" w:space="0" w:color="auto"/>
            </w:tcBorders>
          </w:tcPr>
          <w:p w:rsidR="0094198C" w:rsidRPr="008B2AE9" w:rsidRDefault="009E4A81" w:rsidP="009E4A81">
            <w:pPr>
              <w:rPr>
                <w:rFonts w:ascii="Times New Roman" w:hAnsi="Times New Roman"/>
                <w:sz w:val="22"/>
                <w:szCs w:val="22"/>
                <w:lang w:val="en-US" w:eastAsia="sv-SE"/>
              </w:rPr>
            </w:pPr>
            <w:r w:rsidRPr="008B2AE9">
              <w:rPr>
                <w:rFonts w:ascii="Times New Roman" w:hAnsi="Times New Roman"/>
                <w:sz w:val="22"/>
                <w:szCs w:val="22"/>
                <w:lang w:val="el-GR" w:eastAsia="sv-SE"/>
              </w:rPr>
              <w:t>Ξηροστομία</w:t>
            </w:r>
            <w:r w:rsidRPr="008B2AE9">
              <w:rPr>
                <w:rFonts w:ascii="Times New Roman" w:hAnsi="Times New Roman"/>
                <w:sz w:val="22"/>
                <w:szCs w:val="22"/>
                <w:lang w:eastAsia="sv-SE"/>
              </w:rPr>
              <w:t xml:space="preserve"> </w:t>
            </w:r>
          </w:p>
        </w:tc>
      </w:tr>
      <w:tr w:rsidR="0094198C" w:rsidRPr="008B2AE9" w:rsidTr="00C74122">
        <w:trPr>
          <w:cantSplit/>
        </w:trPr>
        <w:tc>
          <w:tcPr>
            <w:tcW w:w="3240" w:type="dxa"/>
            <w:vMerge/>
            <w:tcBorders>
              <w:left w:val="single" w:sz="4" w:space="0" w:color="auto"/>
              <w:right w:val="single" w:sz="4" w:space="0" w:color="auto"/>
            </w:tcBorders>
          </w:tcPr>
          <w:p w:rsidR="0094198C" w:rsidRPr="008B2AE9" w:rsidRDefault="0094198C" w:rsidP="0094198C">
            <w:pPr>
              <w:rPr>
                <w:rFonts w:ascii="Times New Roman" w:hAnsi="Times New Roman"/>
                <w:sz w:val="22"/>
                <w:szCs w:val="22"/>
                <w:lang w:val="en-US" w:eastAsia="sv-SE"/>
              </w:rPr>
            </w:pPr>
          </w:p>
        </w:tc>
        <w:tc>
          <w:tcPr>
            <w:tcW w:w="1440" w:type="dxa"/>
            <w:tcBorders>
              <w:top w:val="single" w:sz="4" w:space="0" w:color="auto"/>
              <w:left w:val="single" w:sz="4" w:space="0" w:color="auto"/>
              <w:bottom w:val="single" w:sz="4" w:space="0" w:color="auto"/>
              <w:right w:val="single" w:sz="4" w:space="0" w:color="auto"/>
            </w:tcBorders>
          </w:tcPr>
          <w:p w:rsidR="0094198C" w:rsidRPr="008B2AE9" w:rsidRDefault="00F90AF5" w:rsidP="0094198C">
            <w:pPr>
              <w:rPr>
                <w:rFonts w:ascii="Times New Roman" w:hAnsi="Times New Roman"/>
                <w:sz w:val="22"/>
                <w:szCs w:val="22"/>
                <w:lang w:val="el-GR" w:eastAsia="sv-SE"/>
              </w:rPr>
            </w:pPr>
            <w:r w:rsidRPr="008B2AE9">
              <w:rPr>
                <w:rFonts w:ascii="Times New Roman" w:hAnsi="Times New Roman"/>
                <w:sz w:val="22"/>
                <w:szCs w:val="22"/>
                <w:lang w:val="el-GR" w:eastAsia="sv-SE"/>
              </w:rPr>
              <w:t xml:space="preserve">Σπάνιες </w:t>
            </w:r>
          </w:p>
        </w:tc>
        <w:tc>
          <w:tcPr>
            <w:tcW w:w="4392" w:type="dxa"/>
            <w:tcBorders>
              <w:top w:val="single" w:sz="4" w:space="0" w:color="auto"/>
              <w:left w:val="single" w:sz="4" w:space="0" w:color="auto"/>
              <w:bottom w:val="single" w:sz="4" w:space="0" w:color="auto"/>
              <w:right w:val="single" w:sz="4" w:space="0" w:color="auto"/>
            </w:tcBorders>
          </w:tcPr>
          <w:p w:rsidR="0094198C" w:rsidRPr="008B2AE9" w:rsidRDefault="007E692E" w:rsidP="007E692E">
            <w:pPr>
              <w:rPr>
                <w:rFonts w:ascii="Times New Roman" w:hAnsi="Times New Roman"/>
                <w:sz w:val="22"/>
                <w:szCs w:val="22"/>
                <w:lang w:val="el-GR" w:eastAsia="sv-SE"/>
              </w:rPr>
            </w:pPr>
            <w:r w:rsidRPr="008B2AE9">
              <w:rPr>
                <w:rFonts w:ascii="Times New Roman" w:hAnsi="Times New Roman"/>
                <w:sz w:val="22"/>
                <w:szCs w:val="22"/>
                <w:lang w:val="el-GR" w:eastAsia="sv-SE"/>
              </w:rPr>
              <w:t xml:space="preserve">Στοματίτιδα, γαστρεντερική καντιντίαση </w:t>
            </w:r>
          </w:p>
        </w:tc>
      </w:tr>
      <w:tr w:rsidR="0094198C" w:rsidRPr="008B2AE9" w:rsidTr="00C74122">
        <w:trPr>
          <w:cantSplit/>
        </w:trPr>
        <w:tc>
          <w:tcPr>
            <w:tcW w:w="3240" w:type="dxa"/>
            <w:vMerge/>
            <w:tcBorders>
              <w:left w:val="single" w:sz="4" w:space="0" w:color="auto"/>
              <w:bottom w:val="single" w:sz="4" w:space="0" w:color="auto"/>
              <w:right w:val="single" w:sz="4" w:space="0" w:color="auto"/>
            </w:tcBorders>
          </w:tcPr>
          <w:p w:rsidR="0094198C" w:rsidRPr="008B2AE9" w:rsidRDefault="0094198C" w:rsidP="0094198C">
            <w:pPr>
              <w:rPr>
                <w:rFonts w:ascii="Times New Roman" w:hAnsi="Times New Roman"/>
                <w:sz w:val="22"/>
                <w:szCs w:val="22"/>
                <w:lang w:val="el-GR" w:eastAsia="sv-SE"/>
              </w:rPr>
            </w:pPr>
          </w:p>
        </w:tc>
        <w:tc>
          <w:tcPr>
            <w:tcW w:w="1440" w:type="dxa"/>
            <w:tcBorders>
              <w:top w:val="single" w:sz="4" w:space="0" w:color="auto"/>
              <w:left w:val="single" w:sz="4" w:space="0" w:color="auto"/>
              <w:bottom w:val="single" w:sz="4" w:space="0" w:color="auto"/>
              <w:right w:val="single" w:sz="4" w:space="0" w:color="auto"/>
            </w:tcBorders>
          </w:tcPr>
          <w:p w:rsidR="0094198C" w:rsidRPr="008B2AE9" w:rsidRDefault="00F90AF5" w:rsidP="00961111">
            <w:pPr>
              <w:rPr>
                <w:rFonts w:ascii="Times New Roman" w:hAnsi="Times New Roman"/>
                <w:sz w:val="22"/>
                <w:szCs w:val="22"/>
                <w:lang w:val="el-GR" w:eastAsia="sv-SE"/>
              </w:rPr>
            </w:pPr>
            <w:r w:rsidRPr="008B2AE9">
              <w:rPr>
                <w:rFonts w:ascii="Times New Roman" w:hAnsi="Times New Roman"/>
                <w:sz w:val="22"/>
                <w:szCs w:val="22"/>
                <w:lang w:val="el-GR" w:eastAsia="sv-SE"/>
              </w:rPr>
              <w:t xml:space="preserve">Μη γνωστές </w:t>
            </w:r>
          </w:p>
        </w:tc>
        <w:tc>
          <w:tcPr>
            <w:tcW w:w="4392" w:type="dxa"/>
            <w:tcBorders>
              <w:top w:val="single" w:sz="4" w:space="0" w:color="auto"/>
              <w:left w:val="single" w:sz="4" w:space="0" w:color="auto"/>
              <w:bottom w:val="single" w:sz="4" w:space="0" w:color="auto"/>
              <w:right w:val="single" w:sz="4" w:space="0" w:color="auto"/>
            </w:tcBorders>
          </w:tcPr>
          <w:p w:rsidR="0094198C" w:rsidRPr="008B2AE9" w:rsidRDefault="00961111" w:rsidP="00961111">
            <w:pPr>
              <w:rPr>
                <w:rFonts w:ascii="Times New Roman" w:hAnsi="Times New Roman"/>
                <w:sz w:val="22"/>
                <w:szCs w:val="22"/>
                <w:lang w:val="en-US" w:eastAsia="sv-SE"/>
              </w:rPr>
            </w:pPr>
            <w:r w:rsidRPr="008B2AE9">
              <w:rPr>
                <w:rFonts w:ascii="Times New Roman" w:hAnsi="Times New Roman"/>
                <w:sz w:val="22"/>
                <w:szCs w:val="22"/>
                <w:lang w:val="el-GR" w:eastAsia="sv-SE"/>
              </w:rPr>
              <w:t>Μικροσκοπική κολίτιδα</w:t>
            </w:r>
            <w:r w:rsidRPr="008B2AE9">
              <w:rPr>
                <w:rFonts w:ascii="Times New Roman" w:hAnsi="Times New Roman"/>
                <w:sz w:val="22"/>
                <w:szCs w:val="22"/>
                <w:lang w:eastAsia="sv-SE"/>
              </w:rPr>
              <w:t xml:space="preserve"> </w:t>
            </w:r>
          </w:p>
        </w:tc>
      </w:tr>
      <w:tr w:rsidR="0094198C" w:rsidRPr="008B2AE9" w:rsidTr="00C74122">
        <w:trPr>
          <w:cantSplit/>
        </w:trPr>
        <w:tc>
          <w:tcPr>
            <w:tcW w:w="3240" w:type="dxa"/>
            <w:vMerge w:val="restart"/>
            <w:tcBorders>
              <w:top w:val="single" w:sz="4" w:space="0" w:color="auto"/>
              <w:left w:val="single" w:sz="4" w:space="0" w:color="auto"/>
              <w:right w:val="single" w:sz="4" w:space="0" w:color="auto"/>
            </w:tcBorders>
          </w:tcPr>
          <w:p w:rsidR="00D515CF" w:rsidRPr="008B2AE9" w:rsidRDefault="00D515CF" w:rsidP="00D515CF">
            <w:pPr>
              <w:pStyle w:val="3"/>
              <w:spacing w:line="240" w:lineRule="auto"/>
              <w:rPr>
                <w:rFonts w:ascii="Times New Roman" w:hAnsi="Times New Roman"/>
                <w:i w:val="0"/>
                <w:sz w:val="22"/>
                <w:szCs w:val="22"/>
              </w:rPr>
            </w:pPr>
            <w:r w:rsidRPr="008B2AE9">
              <w:rPr>
                <w:rFonts w:ascii="Times New Roman" w:hAnsi="Times New Roman"/>
                <w:i w:val="0"/>
                <w:sz w:val="22"/>
                <w:szCs w:val="22"/>
              </w:rPr>
              <w:t>Διαταραχές ήπατος-χοληφόρων</w:t>
            </w:r>
          </w:p>
          <w:p w:rsidR="0094198C" w:rsidRPr="008B2AE9" w:rsidRDefault="0094198C" w:rsidP="00D515CF">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rFonts w:ascii="Times New Roman" w:hAnsi="Times New Roman"/>
                <w:sz w:val="22"/>
                <w:szCs w:val="22"/>
                <w:lang w:val="el-GR" w:eastAsia="sv-SE"/>
              </w:rPr>
            </w:pPr>
          </w:p>
        </w:tc>
        <w:tc>
          <w:tcPr>
            <w:tcW w:w="1440" w:type="dxa"/>
            <w:tcBorders>
              <w:top w:val="single" w:sz="4" w:space="0" w:color="auto"/>
              <w:left w:val="single" w:sz="4" w:space="0" w:color="auto"/>
              <w:bottom w:val="single" w:sz="4" w:space="0" w:color="auto"/>
              <w:right w:val="single" w:sz="4" w:space="0" w:color="auto"/>
            </w:tcBorders>
          </w:tcPr>
          <w:p w:rsidR="0094198C" w:rsidRPr="008B2AE9" w:rsidRDefault="00D515CF" w:rsidP="00D515CF">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rFonts w:ascii="Times New Roman" w:hAnsi="Times New Roman"/>
                <w:sz w:val="22"/>
                <w:szCs w:val="22"/>
                <w:lang w:val="el-GR" w:eastAsia="sv-SE"/>
              </w:rPr>
            </w:pPr>
            <w:r w:rsidRPr="008B2AE9">
              <w:rPr>
                <w:rFonts w:ascii="Times New Roman" w:hAnsi="Times New Roman"/>
                <w:iCs/>
                <w:sz w:val="22"/>
                <w:szCs w:val="22"/>
                <w:lang w:val="el-GR"/>
              </w:rPr>
              <w:t>Όχι συχνές</w:t>
            </w:r>
          </w:p>
        </w:tc>
        <w:tc>
          <w:tcPr>
            <w:tcW w:w="4392" w:type="dxa"/>
            <w:tcBorders>
              <w:top w:val="single" w:sz="4" w:space="0" w:color="auto"/>
              <w:left w:val="single" w:sz="4" w:space="0" w:color="auto"/>
              <w:bottom w:val="single" w:sz="4" w:space="0" w:color="auto"/>
              <w:right w:val="single" w:sz="4" w:space="0" w:color="auto"/>
            </w:tcBorders>
          </w:tcPr>
          <w:p w:rsidR="0094198C" w:rsidRPr="008B2AE9" w:rsidRDefault="00D515CF" w:rsidP="00D515CF">
            <w:pPr>
              <w:rPr>
                <w:rFonts w:ascii="Times New Roman" w:hAnsi="Times New Roman"/>
                <w:sz w:val="22"/>
                <w:szCs w:val="22"/>
                <w:lang w:val="en-US" w:eastAsia="sv-SE"/>
              </w:rPr>
            </w:pPr>
            <w:r w:rsidRPr="008B2AE9">
              <w:rPr>
                <w:rFonts w:ascii="Times New Roman" w:hAnsi="Times New Roman"/>
                <w:sz w:val="22"/>
                <w:szCs w:val="22"/>
                <w:lang w:val="el-GR"/>
              </w:rPr>
              <w:t>Αύξηση των ηπατικών ενζύμων</w:t>
            </w:r>
            <w:r w:rsidRPr="008B2AE9">
              <w:rPr>
                <w:rFonts w:ascii="Times New Roman" w:hAnsi="Times New Roman"/>
                <w:sz w:val="22"/>
                <w:szCs w:val="22"/>
                <w:lang w:eastAsia="sv-SE"/>
              </w:rPr>
              <w:t xml:space="preserve"> </w:t>
            </w:r>
          </w:p>
        </w:tc>
      </w:tr>
      <w:tr w:rsidR="0094198C" w:rsidRPr="008B2AE9" w:rsidTr="00C74122">
        <w:trPr>
          <w:cantSplit/>
        </w:trPr>
        <w:tc>
          <w:tcPr>
            <w:tcW w:w="3240" w:type="dxa"/>
            <w:vMerge/>
            <w:tcBorders>
              <w:left w:val="single" w:sz="4" w:space="0" w:color="auto"/>
              <w:right w:val="single" w:sz="4" w:space="0" w:color="auto"/>
            </w:tcBorders>
          </w:tcPr>
          <w:p w:rsidR="0094198C" w:rsidRPr="008B2AE9" w:rsidRDefault="0094198C" w:rsidP="0094198C">
            <w:pPr>
              <w:rPr>
                <w:rFonts w:ascii="Times New Roman" w:hAnsi="Times New Roman"/>
                <w:sz w:val="22"/>
                <w:szCs w:val="22"/>
                <w:lang w:val="en-US" w:eastAsia="sv-SE"/>
              </w:rPr>
            </w:pPr>
          </w:p>
        </w:tc>
        <w:tc>
          <w:tcPr>
            <w:tcW w:w="1440" w:type="dxa"/>
            <w:tcBorders>
              <w:top w:val="single" w:sz="4" w:space="0" w:color="auto"/>
              <w:left w:val="single" w:sz="4" w:space="0" w:color="auto"/>
              <w:bottom w:val="single" w:sz="4" w:space="0" w:color="auto"/>
              <w:right w:val="single" w:sz="4" w:space="0" w:color="auto"/>
            </w:tcBorders>
          </w:tcPr>
          <w:p w:rsidR="0094198C" w:rsidRPr="008B2AE9" w:rsidRDefault="00D515CF" w:rsidP="00D515CF">
            <w:pPr>
              <w:pStyle w:val="21"/>
              <w:spacing w:line="240" w:lineRule="auto"/>
              <w:ind w:left="0"/>
              <w:rPr>
                <w:rFonts w:ascii="Times New Roman" w:hAnsi="Times New Roman"/>
                <w:i/>
                <w:iCs/>
                <w:sz w:val="22"/>
                <w:szCs w:val="22"/>
                <w:lang w:val="el-GR"/>
              </w:rPr>
            </w:pPr>
            <w:r w:rsidRPr="008B2AE9">
              <w:rPr>
                <w:rFonts w:ascii="Times New Roman" w:hAnsi="Times New Roman"/>
                <w:iCs/>
                <w:sz w:val="22"/>
                <w:szCs w:val="22"/>
                <w:lang w:val="el-GR"/>
              </w:rPr>
              <w:t>Σπάνιες</w:t>
            </w:r>
          </w:p>
        </w:tc>
        <w:tc>
          <w:tcPr>
            <w:tcW w:w="4392" w:type="dxa"/>
            <w:tcBorders>
              <w:top w:val="single" w:sz="4" w:space="0" w:color="auto"/>
              <w:left w:val="single" w:sz="4" w:space="0" w:color="auto"/>
              <w:bottom w:val="single" w:sz="4" w:space="0" w:color="auto"/>
              <w:right w:val="single" w:sz="4" w:space="0" w:color="auto"/>
            </w:tcBorders>
          </w:tcPr>
          <w:p w:rsidR="0094198C" w:rsidRPr="008B2AE9" w:rsidRDefault="00D515CF" w:rsidP="00D515CF">
            <w:pPr>
              <w:pStyle w:val="21"/>
              <w:spacing w:line="240" w:lineRule="auto"/>
              <w:ind w:left="0"/>
              <w:rPr>
                <w:rFonts w:ascii="Times New Roman" w:hAnsi="Times New Roman"/>
                <w:sz w:val="22"/>
                <w:szCs w:val="22"/>
                <w:lang w:val="el-GR"/>
              </w:rPr>
            </w:pPr>
            <w:r w:rsidRPr="008B2AE9">
              <w:rPr>
                <w:rFonts w:ascii="Times New Roman" w:hAnsi="Times New Roman"/>
                <w:sz w:val="22"/>
                <w:szCs w:val="22"/>
                <w:lang w:val="el-GR"/>
              </w:rPr>
              <w:t xml:space="preserve">Ηπατίτιδα με ή χωρίς ίκτερο </w:t>
            </w:r>
          </w:p>
        </w:tc>
      </w:tr>
      <w:tr w:rsidR="0094198C" w:rsidRPr="008B2AE9" w:rsidTr="00C74122">
        <w:trPr>
          <w:cantSplit/>
        </w:trPr>
        <w:tc>
          <w:tcPr>
            <w:tcW w:w="3240" w:type="dxa"/>
            <w:vMerge/>
            <w:tcBorders>
              <w:left w:val="single" w:sz="4" w:space="0" w:color="auto"/>
              <w:bottom w:val="single" w:sz="4" w:space="0" w:color="auto"/>
              <w:right w:val="single" w:sz="4" w:space="0" w:color="auto"/>
            </w:tcBorders>
          </w:tcPr>
          <w:p w:rsidR="0094198C" w:rsidRPr="008B2AE9" w:rsidRDefault="0094198C" w:rsidP="0094198C">
            <w:pPr>
              <w:rPr>
                <w:rFonts w:ascii="Times New Roman" w:hAnsi="Times New Roman"/>
                <w:sz w:val="22"/>
                <w:szCs w:val="22"/>
                <w:lang w:val="el-GR" w:eastAsia="sv-SE"/>
              </w:rPr>
            </w:pPr>
          </w:p>
        </w:tc>
        <w:tc>
          <w:tcPr>
            <w:tcW w:w="1440" w:type="dxa"/>
            <w:tcBorders>
              <w:top w:val="single" w:sz="4" w:space="0" w:color="auto"/>
              <w:left w:val="single" w:sz="4" w:space="0" w:color="auto"/>
              <w:bottom w:val="single" w:sz="4" w:space="0" w:color="auto"/>
              <w:right w:val="single" w:sz="4" w:space="0" w:color="auto"/>
            </w:tcBorders>
          </w:tcPr>
          <w:p w:rsidR="0094198C" w:rsidRPr="008B2AE9" w:rsidRDefault="00D515CF" w:rsidP="00D515CF">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rPr>
                <w:rFonts w:ascii="Times New Roman" w:hAnsi="Times New Roman"/>
                <w:sz w:val="22"/>
                <w:szCs w:val="22"/>
                <w:lang w:val="el-GR"/>
              </w:rPr>
            </w:pPr>
            <w:r w:rsidRPr="008B2AE9">
              <w:rPr>
                <w:rFonts w:ascii="Times New Roman" w:hAnsi="Times New Roman"/>
                <w:iCs/>
                <w:sz w:val="22"/>
                <w:szCs w:val="22"/>
                <w:lang w:val="el-GR"/>
              </w:rPr>
              <w:t>Πολύ σπάνιες</w:t>
            </w:r>
            <w:r w:rsidRPr="008B2AE9">
              <w:rPr>
                <w:rFonts w:ascii="Times New Roman" w:hAnsi="Times New Roman"/>
                <w:i/>
                <w:iCs/>
                <w:sz w:val="22"/>
                <w:szCs w:val="22"/>
                <w:lang w:val="el-GR"/>
              </w:rPr>
              <w:t xml:space="preserve"> </w:t>
            </w:r>
          </w:p>
        </w:tc>
        <w:tc>
          <w:tcPr>
            <w:tcW w:w="4392" w:type="dxa"/>
            <w:tcBorders>
              <w:top w:val="single" w:sz="4" w:space="0" w:color="auto"/>
              <w:left w:val="single" w:sz="4" w:space="0" w:color="auto"/>
              <w:bottom w:val="single" w:sz="4" w:space="0" w:color="auto"/>
              <w:right w:val="single" w:sz="4" w:space="0" w:color="auto"/>
            </w:tcBorders>
          </w:tcPr>
          <w:p w:rsidR="0094198C" w:rsidRPr="008B2AE9" w:rsidRDefault="00D515CF" w:rsidP="00D515CF">
            <w:pPr>
              <w:rPr>
                <w:rFonts w:ascii="Times New Roman" w:hAnsi="Times New Roman"/>
                <w:sz w:val="22"/>
                <w:szCs w:val="22"/>
                <w:lang w:val="el-GR" w:eastAsia="sv-SE"/>
              </w:rPr>
            </w:pPr>
            <w:r w:rsidRPr="008B2AE9">
              <w:rPr>
                <w:rFonts w:ascii="Times New Roman" w:hAnsi="Times New Roman"/>
                <w:sz w:val="22"/>
                <w:szCs w:val="22"/>
                <w:lang w:val="el-GR"/>
              </w:rPr>
              <w:t xml:space="preserve">Ηπατική ανεπάρκεια, εγκεφαλοπάθεια σε ασθενείς με προϋπάρχουσα ηπατική νόσο </w:t>
            </w:r>
          </w:p>
        </w:tc>
      </w:tr>
      <w:tr w:rsidR="00EC2DE3" w:rsidRPr="008B2AE9" w:rsidTr="00C74122">
        <w:trPr>
          <w:cantSplit/>
        </w:trPr>
        <w:tc>
          <w:tcPr>
            <w:tcW w:w="3240" w:type="dxa"/>
            <w:vMerge w:val="restart"/>
            <w:tcBorders>
              <w:top w:val="single" w:sz="4" w:space="0" w:color="auto"/>
              <w:left w:val="single" w:sz="4" w:space="0" w:color="auto"/>
              <w:right w:val="single" w:sz="4" w:space="0" w:color="auto"/>
            </w:tcBorders>
          </w:tcPr>
          <w:p w:rsidR="00EC2DE3" w:rsidRPr="008B2AE9" w:rsidRDefault="00EC2DE3" w:rsidP="00C03607">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jc w:val="both"/>
              <w:rPr>
                <w:rFonts w:ascii="Times New Roman" w:hAnsi="Times New Roman"/>
                <w:iCs/>
                <w:sz w:val="22"/>
                <w:szCs w:val="22"/>
                <w:lang w:val="el-GR"/>
              </w:rPr>
            </w:pPr>
            <w:r w:rsidRPr="008B2AE9">
              <w:rPr>
                <w:rFonts w:ascii="Times New Roman" w:hAnsi="Times New Roman"/>
                <w:iCs/>
                <w:sz w:val="22"/>
                <w:szCs w:val="22"/>
                <w:lang w:val="el-GR"/>
              </w:rPr>
              <w:t>Διαταραχές του δέρματος και του υποδορίου ιστού</w:t>
            </w:r>
          </w:p>
          <w:p w:rsidR="00EC2DE3" w:rsidRPr="008B2AE9" w:rsidRDefault="00EC2DE3" w:rsidP="00C03607">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rPr>
                <w:rFonts w:ascii="Times New Roman" w:hAnsi="Times New Roman"/>
                <w:sz w:val="22"/>
                <w:szCs w:val="22"/>
                <w:lang w:val="el-GR" w:eastAsia="sv-SE"/>
              </w:rPr>
            </w:pPr>
          </w:p>
        </w:tc>
        <w:tc>
          <w:tcPr>
            <w:tcW w:w="1440" w:type="dxa"/>
            <w:tcBorders>
              <w:top w:val="single" w:sz="4" w:space="0" w:color="auto"/>
              <w:left w:val="single" w:sz="4" w:space="0" w:color="auto"/>
              <w:bottom w:val="single" w:sz="4" w:space="0" w:color="auto"/>
              <w:right w:val="single" w:sz="4" w:space="0" w:color="auto"/>
            </w:tcBorders>
          </w:tcPr>
          <w:p w:rsidR="00EC2DE3" w:rsidRPr="008B2AE9" w:rsidRDefault="00EC2DE3" w:rsidP="00C03607">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rPr>
                <w:rFonts w:ascii="Times New Roman" w:hAnsi="Times New Roman"/>
                <w:sz w:val="22"/>
                <w:szCs w:val="22"/>
                <w:lang w:val="el-GR"/>
              </w:rPr>
            </w:pPr>
            <w:r w:rsidRPr="008B2AE9">
              <w:rPr>
                <w:rFonts w:ascii="Times New Roman" w:hAnsi="Times New Roman"/>
                <w:iCs/>
                <w:sz w:val="22"/>
                <w:szCs w:val="22"/>
                <w:lang w:val="el-GR"/>
              </w:rPr>
              <w:t xml:space="preserve">Συχνές </w:t>
            </w:r>
          </w:p>
        </w:tc>
        <w:tc>
          <w:tcPr>
            <w:tcW w:w="4392" w:type="dxa"/>
            <w:tcBorders>
              <w:top w:val="single" w:sz="4" w:space="0" w:color="auto"/>
              <w:left w:val="single" w:sz="4" w:space="0" w:color="auto"/>
              <w:bottom w:val="single" w:sz="4" w:space="0" w:color="auto"/>
              <w:right w:val="single" w:sz="4" w:space="0" w:color="auto"/>
            </w:tcBorders>
          </w:tcPr>
          <w:p w:rsidR="00EC2DE3" w:rsidRPr="008B2AE9" w:rsidRDefault="00EC2DE3" w:rsidP="00C03607">
            <w:pPr>
              <w:rPr>
                <w:rFonts w:ascii="Times New Roman" w:hAnsi="Times New Roman"/>
                <w:sz w:val="22"/>
                <w:szCs w:val="22"/>
                <w:vertAlign w:val="superscript"/>
                <w:lang w:val="en-US" w:eastAsia="sv-SE"/>
              </w:rPr>
            </w:pPr>
            <w:r w:rsidRPr="008B2AE9">
              <w:rPr>
                <w:rFonts w:ascii="Times New Roman" w:hAnsi="Times New Roman"/>
                <w:sz w:val="22"/>
                <w:szCs w:val="22"/>
                <w:lang w:val="el-GR"/>
              </w:rPr>
              <w:t xml:space="preserve">Αντιδράσεις στη θέση χορήγησης* </w:t>
            </w:r>
          </w:p>
        </w:tc>
      </w:tr>
      <w:tr w:rsidR="00EC2DE3" w:rsidRPr="008B2AE9" w:rsidTr="00C74122">
        <w:trPr>
          <w:cantSplit/>
        </w:trPr>
        <w:tc>
          <w:tcPr>
            <w:tcW w:w="3240" w:type="dxa"/>
            <w:vMerge/>
            <w:tcBorders>
              <w:left w:val="single" w:sz="4" w:space="0" w:color="auto"/>
              <w:right w:val="single" w:sz="4" w:space="0" w:color="auto"/>
            </w:tcBorders>
          </w:tcPr>
          <w:p w:rsidR="00EC2DE3" w:rsidRPr="008B2AE9" w:rsidRDefault="00EC2DE3" w:rsidP="0094198C">
            <w:pPr>
              <w:rPr>
                <w:rFonts w:ascii="Times New Roman" w:hAnsi="Times New Roman"/>
                <w:sz w:val="22"/>
                <w:szCs w:val="22"/>
                <w:lang w:val="en-US" w:eastAsia="sv-SE"/>
              </w:rPr>
            </w:pPr>
          </w:p>
        </w:tc>
        <w:tc>
          <w:tcPr>
            <w:tcW w:w="1440" w:type="dxa"/>
            <w:tcBorders>
              <w:top w:val="single" w:sz="4" w:space="0" w:color="auto"/>
              <w:left w:val="single" w:sz="4" w:space="0" w:color="auto"/>
              <w:bottom w:val="single" w:sz="4" w:space="0" w:color="auto"/>
              <w:right w:val="single" w:sz="4" w:space="0" w:color="auto"/>
            </w:tcBorders>
          </w:tcPr>
          <w:p w:rsidR="00EC2DE3" w:rsidRPr="008B2AE9" w:rsidRDefault="00EC2DE3" w:rsidP="00C03607">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rPr>
                <w:rFonts w:ascii="Times New Roman" w:hAnsi="Times New Roman"/>
                <w:sz w:val="22"/>
                <w:szCs w:val="22"/>
                <w:lang w:val="el-GR"/>
              </w:rPr>
            </w:pPr>
            <w:r w:rsidRPr="008B2AE9">
              <w:rPr>
                <w:rFonts w:ascii="Times New Roman" w:hAnsi="Times New Roman"/>
                <w:iCs/>
                <w:sz w:val="22"/>
                <w:szCs w:val="22"/>
                <w:lang w:val="el-GR"/>
              </w:rPr>
              <w:t>Όχι συχνές</w:t>
            </w:r>
            <w:r w:rsidRPr="008B2AE9">
              <w:rPr>
                <w:rFonts w:ascii="Times New Roman" w:hAnsi="Times New Roman"/>
                <w:sz w:val="22"/>
                <w:szCs w:val="22"/>
                <w:lang w:val="el-GR"/>
              </w:rPr>
              <w:t xml:space="preserve"> </w:t>
            </w:r>
          </w:p>
        </w:tc>
        <w:tc>
          <w:tcPr>
            <w:tcW w:w="4392" w:type="dxa"/>
            <w:tcBorders>
              <w:top w:val="single" w:sz="4" w:space="0" w:color="auto"/>
              <w:left w:val="single" w:sz="4" w:space="0" w:color="auto"/>
              <w:bottom w:val="single" w:sz="4" w:space="0" w:color="auto"/>
              <w:right w:val="single" w:sz="4" w:space="0" w:color="auto"/>
            </w:tcBorders>
          </w:tcPr>
          <w:p w:rsidR="00EC2DE3" w:rsidRPr="008B2AE9" w:rsidRDefault="00EC2DE3" w:rsidP="00C03607">
            <w:pPr>
              <w:rPr>
                <w:rFonts w:ascii="Times New Roman" w:hAnsi="Times New Roman"/>
                <w:sz w:val="22"/>
                <w:szCs w:val="22"/>
                <w:lang w:val="el-GR" w:eastAsia="sv-SE"/>
              </w:rPr>
            </w:pPr>
            <w:r w:rsidRPr="008B2AE9">
              <w:rPr>
                <w:rFonts w:ascii="Times New Roman" w:hAnsi="Times New Roman"/>
                <w:sz w:val="22"/>
                <w:szCs w:val="22"/>
                <w:lang w:val="el-GR"/>
              </w:rPr>
              <w:t>Δερματίτις, κνησμός, εξάνθημα, κνίδωση</w:t>
            </w:r>
            <w:r w:rsidRPr="008B2AE9">
              <w:rPr>
                <w:rFonts w:ascii="Times New Roman" w:hAnsi="Times New Roman"/>
                <w:sz w:val="22"/>
                <w:szCs w:val="22"/>
                <w:lang w:val="el-GR" w:eastAsia="sv-SE"/>
              </w:rPr>
              <w:t xml:space="preserve"> </w:t>
            </w:r>
          </w:p>
        </w:tc>
      </w:tr>
      <w:tr w:rsidR="00EC2DE3" w:rsidRPr="008B2AE9" w:rsidTr="00C74122">
        <w:trPr>
          <w:cantSplit/>
        </w:trPr>
        <w:tc>
          <w:tcPr>
            <w:tcW w:w="3240" w:type="dxa"/>
            <w:vMerge/>
            <w:tcBorders>
              <w:left w:val="single" w:sz="4" w:space="0" w:color="auto"/>
              <w:right w:val="single" w:sz="4" w:space="0" w:color="auto"/>
            </w:tcBorders>
          </w:tcPr>
          <w:p w:rsidR="00EC2DE3" w:rsidRPr="008B2AE9" w:rsidRDefault="00EC2DE3" w:rsidP="0094198C">
            <w:pPr>
              <w:rPr>
                <w:rFonts w:ascii="Times New Roman" w:hAnsi="Times New Roman"/>
                <w:sz w:val="22"/>
                <w:szCs w:val="22"/>
                <w:lang w:val="el-GR" w:eastAsia="sv-SE"/>
              </w:rPr>
            </w:pPr>
          </w:p>
        </w:tc>
        <w:tc>
          <w:tcPr>
            <w:tcW w:w="1440" w:type="dxa"/>
            <w:tcBorders>
              <w:top w:val="single" w:sz="4" w:space="0" w:color="auto"/>
              <w:left w:val="single" w:sz="4" w:space="0" w:color="auto"/>
              <w:bottom w:val="single" w:sz="4" w:space="0" w:color="auto"/>
              <w:right w:val="single" w:sz="4" w:space="0" w:color="auto"/>
            </w:tcBorders>
          </w:tcPr>
          <w:p w:rsidR="00EC2DE3" w:rsidRPr="008B2AE9" w:rsidRDefault="00EC2DE3" w:rsidP="00C03607">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rPr>
                <w:rFonts w:ascii="Times New Roman" w:hAnsi="Times New Roman"/>
                <w:sz w:val="22"/>
                <w:szCs w:val="22"/>
                <w:lang w:val="el-GR"/>
              </w:rPr>
            </w:pPr>
            <w:r w:rsidRPr="008B2AE9">
              <w:rPr>
                <w:rFonts w:ascii="Times New Roman" w:hAnsi="Times New Roman"/>
                <w:iCs/>
                <w:sz w:val="22"/>
                <w:szCs w:val="22"/>
                <w:lang w:val="el-GR"/>
              </w:rPr>
              <w:t>Σπάνιες</w:t>
            </w:r>
            <w:r w:rsidRPr="008B2AE9">
              <w:rPr>
                <w:rFonts w:ascii="Times New Roman" w:hAnsi="Times New Roman"/>
                <w:sz w:val="22"/>
                <w:szCs w:val="22"/>
                <w:lang w:val="el-GR"/>
              </w:rPr>
              <w:t xml:space="preserve"> </w:t>
            </w:r>
          </w:p>
        </w:tc>
        <w:tc>
          <w:tcPr>
            <w:tcW w:w="4392" w:type="dxa"/>
            <w:tcBorders>
              <w:top w:val="single" w:sz="4" w:space="0" w:color="auto"/>
              <w:left w:val="single" w:sz="4" w:space="0" w:color="auto"/>
              <w:bottom w:val="single" w:sz="4" w:space="0" w:color="auto"/>
              <w:right w:val="single" w:sz="4" w:space="0" w:color="auto"/>
            </w:tcBorders>
          </w:tcPr>
          <w:p w:rsidR="00EC2DE3" w:rsidRPr="008B2AE9" w:rsidRDefault="00EC2DE3" w:rsidP="00C03607">
            <w:pPr>
              <w:rPr>
                <w:rFonts w:ascii="Times New Roman" w:hAnsi="Times New Roman"/>
                <w:sz w:val="22"/>
                <w:szCs w:val="22"/>
                <w:lang w:val="en-US" w:eastAsia="sv-SE"/>
              </w:rPr>
            </w:pPr>
            <w:r w:rsidRPr="008B2AE9">
              <w:rPr>
                <w:rFonts w:ascii="Times New Roman" w:hAnsi="Times New Roman"/>
                <w:sz w:val="22"/>
                <w:szCs w:val="22"/>
                <w:lang w:val="el-GR"/>
              </w:rPr>
              <w:t>Αλωπεκία, φωτοευαισθησία</w:t>
            </w:r>
            <w:r w:rsidRPr="008B2AE9">
              <w:rPr>
                <w:rFonts w:ascii="Times New Roman" w:hAnsi="Times New Roman"/>
                <w:sz w:val="22"/>
                <w:szCs w:val="22"/>
                <w:lang w:eastAsia="sv-SE"/>
              </w:rPr>
              <w:t xml:space="preserve"> </w:t>
            </w:r>
          </w:p>
        </w:tc>
      </w:tr>
      <w:tr w:rsidR="00EC2DE3" w:rsidRPr="008B2AE9" w:rsidTr="00110810">
        <w:trPr>
          <w:cantSplit/>
        </w:trPr>
        <w:tc>
          <w:tcPr>
            <w:tcW w:w="3240" w:type="dxa"/>
            <w:vMerge/>
            <w:tcBorders>
              <w:left w:val="single" w:sz="4" w:space="0" w:color="auto"/>
              <w:right w:val="single" w:sz="4" w:space="0" w:color="auto"/>
            </w:tcBorders>
          </w:tcPr>
          <w:p w:rsidR="00EC2DE3" w:rsidRPr="008B2AE9" w:rsidRDefault="00EC2DE3" w:rsidP="0094198C">
            <w:pPr>
              <w:rPr>
                <w:rFonts w:ascii="Times New Roman" w:hAnsi="Times New Roman"/>
                <w:sz w:val="22"/>
                <w:szCs w:val="22"/>
                <w:lang w:val="en-US" w:eastAsia="sv-SE"/>
              </w:rPr>
            </w:pPr>
          </w:p>
        </w:tc>
        <w:tc>
          <w:tcPr>
            <w:tcW w:w="1440" w:type="dxa"/>
            <w:tcBorders>
              <w:top w:val="single" w:sz="4" w:space="0" w:color="auto"/>
              <w:left w:val="single" w:sz="4" w:space="0" w:color="auto"/>
              <w:bottom w:val="single" w:sz="4" w:space="0" w:color="auto"/>
              <w:right w:val="single" w:sz="4" w:space="0" w:color="auto"/>
            </w:tcBorders>
          </w:tcPr>
          <w:p w:rsidR="00EC2DE3" w:rsidRPr="008B2AE9" w:rsidRDefault="00EC2DE3" w:rsidP="00C03607">
            <w:pPr>
              <w:rPr>
                <w:rFonts w:ascii="Times New Roman" w:hAnsi="Times New Roman"/>
                <w:sz w:val="22"/>
                <w:szCs w:val="22"/>
                <w:lang w:val="el-GR" w:eastAsia="sv-SE"/>
              </w:rPr>
            </w:pPr>
            <w:r w:rsidRPr="008B2AE9">
              <w:rPr>
                <w:rFonts w:ascii="Times New Roman" w:hAnsi="Times New Roman"/>
                <w:sz w:val="22"/>
                <w:szCs w:val="22"/>
                <w:lang w:val="el-GR" w:eastAsia="sv-SE"/>
              </w:rPr>
              <w:t xml:space="preserve">Πολύ σπάνιες </w:t>
            </w:r>
          </w:p>
        </w:tc>
        <w:tc>
          <w:tcPr>
            <w:tcW w:w="4392" w:type="dxa"/>
            <w:tcBorders>
              <w:top w:val="single" w:sz="4" w:space="0" w:color="auto"/>
              <w:left w:val="single" w:sz="4" w:space="0" w:color="auto"/>
              <w:bottom w:val="single" w:sz="4" w:space="0" w:color="auto"/>
              <w:right w:val="single" w:sz="4" w:space="0" w:color="auto"/>
            </w:tcBorders>
          </w:tcPr>
          <w:p w:rsidR="00EC2DE3" w:rsidRPr="008B2AE9" w:rsidRDefault="00EC2DE3" w:rsidP="00C03607">
            <w:pPr>
              <w:rPr>
                <w:rFonts w:ascii="Times New Roman" w:hAnsi="Times New Roman"/>
                <w:sz w:val="22"/>
                <w:szCs w:val="22"/>
                <w:lang w:val="el-GR" w:eastAsia="sv-SE"/>
              </w:rPr>
            </w:pPr>
            <w:r w:rsidRPr="008B2AE9">
              <w:rPr>
                <w:rFonts w:ascii="Times New Roman" w:hAnsi="Times New Roman"/>
                <w:sz w:val="22"/>
                <w:szCs w:val="22"/>
                <w:lang w:val="el-GR" w:eastAsia="sv-SE"/>
              </w:rPr>
              <w:t xml:space="preserve">Πολύμορφο ερύθημα, σύνδρομο </w:t>
            </w:r>
            <w:r w:rsidRPr="008B2AE9">
              <w:rPr>
                <w:rFonts w:ascii="Times New Roman" w:hAnsi="Times New Roman"/>
                <w:sz w:val="22"/>
                <w:szCs w:val="22"/>
                <w:lang w:eastAsia="sv-SE"/>
              </w:rPr>
              <w:t>Stevens</w:t>
            </w:r>
            <w:r w:rsidRPr="008B2AE9">
              <w:rPr>
                <w:rFonts w:ascii="Times New Roman" w:hAnsi="Times New Roman"/>
                <w:sz w:val="22"/>
                <w:szCs w:val="22"/>
                <w:lang w:val="el-GR" w:eastAsia="sv-SE"/>
              </w:rPr>
              <w:t>-</w:t>
            </w:r>
            <w:r w:rsidRPr="008B2AE9">
              <w:rPr>
                <w:rFonts w:ascii="Times New Roman" w:hAnsi="Times New Roman"/>
                <w:sz w:val="22"/>
                <w:szCs w:val="22"/>
                <w:lang w:eastAsia="sv-SE"/>
              </w:rPr>
              <w:t>Johnson</w:t>
            </w:r>
            <w:r w:rsidRPr="008B2AE9">
              <w:rPr>
                <w:rFonts w:ascii="Times New Roman" w:hAnsi="Times New Roman"/>
                <w:sz w:val="22"/>
                <w:szCs w:val="22"/>
                <w:lang w:val="el-GR" w:eastAsia="sv-SE"/>
              </w:rPr>
              <w:t>, τοξική επιδερμική νεκρόλυση (ΤΕΝ)</w:t>
            </w:r>
          </w:p>
        </w:tc>
      </w:tr>
      <w:tr w:rsidR="00EC2DE3" w:rsidRPr="008B2AE9" w:rsidTr="00C74122">
        <w:trPr>
          <w:cantSplit/>
        </w:trPr>
        <w:tc>
          <w:tcPr>
            <w:tcW w:w="3240" w:type="dxa"/>
            <w:vMerge/>
            <w:tcBorders>
              <w:left w:val="single" w:sz="4" w:space="0" w:color="auto"/>
              <w:bottom w:val="single" w:sz="4" w:space="0" w:color="auto"/>
              <w:right w:val="single" w:sz="4" w:space="0" w:color="auto"/>
            </w:tcBorders>
          </w:tcPr>
          <w:p w:rsidR="00EC2DE3" w:rsidRPr="008B2AE9" w:rsidRDefault="00EC2DE3" w:rsidP="0094198C">
            <w:pPr>
              <w:rPr>
                <w:rFonts w:ascii="Times New Roman" w:hAnsi="Times New Roman"/>
                <w:sz w:val="22"/>
                <w:szCs w:val="22"/>
                <w:lang w:val="en-US" w:eastAsia="sv-SE"/>
              </w:rPr>
            </w:pPr>
          </w:p>
        </w:tc>
        <w:tc>
          <w:tcPr>
            <w:tcW w:w="1440" w:type="dxa"/>
            <w:tcBorders>
              <w:top w:val="single" w:sz="4" w:space="0" w:color="auto"/>
              <w:left w:val="single" w:sz="4" w:space="0" w:color="auto"/>
              <w:bottom w:val="single" w:sz="4" w:space="0" w:color="auto"/>
              <w:right w:val="single" w:sz="4" w:space="0" w:color="auto"/>
            </w:tcBorders>
          </w:tcPr>
          <w:p w:rsidR="00EC2DE3" w:rsidRPr="008B2AE9" w:rsidRDefault="00EC2DE3" w:rsidP="00C03607">
            <w:pPr>
              <w:rPr>
                <w:rFonts w:ascii="Times New Roman" w:hAnsi="Times New Roman"/>
                <w:sz w:val="22"/>
                <w:szCs w:val="22"/>
                <w:lang w:val="el-GR" w:eastAsia="sv-SE"/>
              </w:rPr>
            </w:pPr>
            <w:r w:rsidRPr="00773E69">
              <w:rPr>
                <w:rFonts w:ascii="Times New Roman" w:hAnsi="Times New Roman" w:hint="eastAsia"/>
                <w:sz w:val="22"/>
                <w:szCs w:val="22"/>
                <w:lang w:val="el-GR" w:eastAsia="sv-SE"/>
              </w:rPr>
              <w:t>Μη</w:t>
            </w:r>
            <w:r w:rsidRPr="00773E69">
              <w:rPr>
                <w:rFonts w:ascii="Times New Roman" w:hAnsi="Times New Roman"/>
                <w:sz w:val="22"/>
                <w:szCs w:val="22"/>
                <w:lang w:val="el-GR" w:eastAsia="sv-SE"/>
              </w:rPr>
              <w:t xml:space="preserve"> </w:t>
            </w:r>
            <w:r w:rsidRPr="00773E69">
              <w:rPr>
                <w:rFonts w:ascii="Times New Roman" w:hAnsi="Times New Roman" w:hint="eastAsia"/>
                <w:sz w:val="22"/>
                <w:szCs w:val="22"/>
                <w:lang w:val="el-GR" w:eastAsia="sv-SE"/>
              </w:rPr>
              <w:t>γνωστές</w:t>
            </w:r>
          </w:p>
        </w:tc>
        <w:tc>
          <w:tcPr>
            <w:tcW w:w="4392" w:type="dxa"/>
            <w:tcBorders>
              <w:top w:val="single" w:sz="4" w:space="0" w:color="auto"/>
              <w:left w:val="single" w:sz="4" w:space="0" w:color="auto"/>
              <w:bottom w:val="single" w:sz="4" w:space="0" w:color="auto"/>
              <w:right w:val="single" w:sz="4" w:space="0" w:color="auto"/>
            </w:tcBorders>
          </w:tcPr>
          <w:p w:rsidR="00EC2DE3" w:rsidRPr="008B2AE9" w:rsidRDefault="00EC2DE3" w:rsidP="00C03607">
            <w:pPr>
              <w:rPr>
                <w:rFonts w:ascii="Times New Roman" w:hAnsi="Times New Roman"/>
                <w:sz w:val="22"/>
                <w:szCs w:val="22"/>
                <w:lang w:val="el-GR" w:eastAsia="sv-SE"/>
              </w:rPr>
            </w:pPr>
            <w:r w:rsidRPr="00D26EC3">
              <w:rPr>
                <w:rFonts w:ascii="Times New Roman" w:hAnsi="Times New Roman" w:hint="eastAsia"/>
                <w:sz w:val="22"/>
                <w:szCs w:val="22"/>
                <w:lang w:val="el-GR" w:eastAsia="sv-SE"/>
              </w:rPr>
              <w:t>Υποξύς</w:t>
            </w:r>
            <w:r w:rsidRPr="00D26EC3">
              <w:rPr>
                <w:rFonts w:ascii="Times New Roman" w:hAnsi="Times New Roman"/>
                <w:sz w:val="22"/>
                <w:szCs w:val="22"/>
                <w:lang w:val="el-GR" w:eastAsia="sv-SE"/>
              </w:rPr>
              <w:t xml:space="preserve"> </w:t>
            </w:r>
            <w:r w:rsidRPr="00D26EC3">
              <w:rPr>
                <w:rFonts w:ascii="Times New Roman" w:hAnsi="Times New Roman" w:hint="eastAsia"/>
                <w:sz w:val="22"/>
                <w:szCs w:val="22"/>
                <w:lang w:val="el-GR" w:eastAsia="sv-SE"/>
              </w:rPr>
              <w:t>δερματικός</w:t>
            </w:r>
            <w:r w:rsidRPr="00D26EC3">
              <w:rPr>
                <w:rFonts w:ascii="Times New Roman" w:hAnsi="Times New Roman"/>
                <w:sz w:val="22"/>
                <w:szCs w:val="22"/>
                <w:lang w:val="el-GR" w:eastAsia="sv-SE"/>
              </w:rPr>
              <w:t xml:space="preserve"> </w:t>
            </w:r>
            <w:r w:rsidRPr="00D26EC3">
              <w:rPr>
                <w:rFonts w:ascii="Times New Roman" w:hAnsi="Times New Roman" w:hint="eastAsia"/>
                <w:sz w:val="22"/>
                <w:szCs w:val="22"/>
                <w:lang w:val="el-GR" w:eastAsia="sv-SE"/>
              </w:rPr>
              <w:t>ερυθηματώδης</w:t>
            </w:r>
            <w:r w:rsidRPr="00D26EC3">
              <w:rPr>
                <w:rFonts w:ascii="Times New Roman" w:hAnsi="Times New Roman"/>
                <w:sz w:val="22"/>
                <w:szCs w:val="22"/>
                <w:lang w:val="el-GR" w:eastAsia="sv-SE"/>
              </w:rPr>
              <w:t xml:space="preserve"> </w:t>
            </w:r>
            <w:r w:rsidRPr="00D26EC3">
              <w:rPr>
                <w:rFonts w:ascii="Times New Roman" w:hAnsi="Times New Roman" w:hint="eastAsia"/>
                <w:sz w:val="22"/>
                <w:szCs w:val="22"/>
                <w:lang w:val="el-GR" w:eastAsia="sv-SE"/>
              </w:rPr>
              <w:t>λύκος</w:t>
            </w:r>
            <w:r>
              <w:rPr>
                <w:rFonts w:ascii="Times New Roman" w:hAnsi="Times New Roman"/>
                <w:sz w:val="22"/>
                <w:szCs w:val="22"/>
                <w:lang w:val="el-GR" w:eastAsia="sv-SE"/>
              </w:rPr>
              <w:t xml:space="preserve"> (βλ. παράγραφο 4.4).</w:t>
            </w:r>
          </w:p>
        </w:tc>
      </w:tr>
      <w:tr w:rsidR="0094198C" w:rsidRPr="008B2AE9" w:rsidTr="00C74122">
        <w:trPr>
          <w:cantSplit/>
        </w:trPr>
        <w:tc>
          <w:tcPr>
            <w:tcW w:w="3240" w:type="dxa"/>
            <w:vMerge w:val="restart"/>
            <w:tcBorders>
              <w:top w:val="single" w:sz="4" w:space="0" w:color="auto"/>
              <w:left w:val="single" w:sz="4" w:space="0" w:color="auto"/>
              <w:right w:val="single" w:sz="4" w:space="0" w:color="auto"/>
            </w:tcBorders>
          </w:tcPr>
          <w:p w:rsidR="00722BA5" w:rsidRPr="008B2AE9" w:rsidRDefault="00722BA5" w:rsidP="00722BA5">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rPr>
                <w:rFonts w:ascii="Times New Roman" w:hAnsi="Times New Roman"/>
                <w:iCs/>
                <w:sz w:val="22"/>
                <w:szCs w:val="22"/>
                <w:lang w:val="el-GR"/>
              </w:rPr>
            </w:pPr>
            <w:r w:rsidRPr="008B2AE9">
              <w:rPr>
                <w:rFonts w:ascii="Times New Roman" w:hAnsi="Times New Roman"/>
                <w:iCs/>
                <w:sz w:val="22"/>
                <w:szCs w:val="22"/>
                <w:lang w:val="el-GR"/>
              </w:rPr>
              <w:t>Διαταραχές του μυοσκελετικού συστήματος, του συνδετικού ιστού και των οστών</w:t>
            </w:r>
          </w:p>
          <w:p w:rsidR="0094198C" w:rsidRPr="00773E69" w:rsidRDefault="0094198C" w:rsidP="00722BA5">
            <w:pPr>
              <w:rPr>
                <w:rFonts w:ascii="Times New Roman" w:hAnsi="Times New Roman"/>
                <w:sz w:val="22"/>
                <w:szCs w:val="22"/>
                <w:lang w:val="el-GR" w:eastAsia="sv-SE"/>
              </w:rPr>
            </w:pPr>
          </w:p>
        </w:tc>
        <w:tc>
          <w:tcPr>
            <w:tcW w:w="1440" w:type="dxa"/>
            <w:tcBorders>
              <w:top w:val="single" w:sz="4" w:space="0" w:color="auto"/>
              <w:left w:val="single" w:sz="4" w:space="0" w:color="auto"/>
              <w:bottom w:val="single" w:sz="4" w:space="0" w:color="auto"/>
              <w:right w:val="single" w:sz="4" w:space="0" w:color="auto"/>
            </w:tcBorders>
          </w:tcPr>
          <w:p w:rsidR="0094198C" w:rsidRPr="00D26EC3" w:rsidRDefault="009D5485" w:rsidP="0094198C">
            <w:pPr>
              <w:rPr>
                <w:rFonts w:ascii="Times New Roman" w:hAnsi="Times New Roman"/>
                <w:sz w:val="22"/>
                <w:szCs w:val="22"/>
                <w:highlight w:val="yellow"/>
                <w:lang w:val="el-GR" w:eastAsia="sv-SE"/>
              </w:rPr>
            </w:pPr>
            <w:r w:rsidRPr="00D26EC3">
              <w:rPr>
                <w:rFonts w:ascii="Times New Roman" w:hAnsi="Times New Roman"/>
                <w:sz w:val="22"/>
                <w:szCs w:val="22"/>
                <w:lang w:val="el-GR" w:eastAsia="sv-SE"/>
              </w:rPr>
              <w:t>Όχι συχνές</w:t>
            </w:r>
          </w:p>
        </w:tc>
        <w:tc>
          <w:tcPr>
            <w:tcW w:w="4392" w:type="dxa"/>
            <w:tcBorders>
              <w:top w:val="single" w:sz="4" w:space="0" w:color="auto"/>
              <w:left w:val="single" w:sz="4" w:space="0" w:color="auto"/>
              <w:bottom w:val="single" w:sz="4" w:space="0" w:color="auto"/>
              <w:right w:val="single" w:sz="4" w:space="0" w:color="auto"/>
            </w:tcBorders>
          </w:tcPr>
          <w:p w:rsidR="0094198C" w:rsidRPr="008B2AE9" w:rsidRDefault="00545CC6" w:rsidP="00545CC6">
            <w:pPr>
              <w:rPr>
                <w:rFonts w:ascii="Times New Roman" w:hAnsi="Times New Roman"/>
                <w:sz w:val="22"/>
                <w:szCs w:val="22"/>
                <w:highlight w:val="yellow"/>
                <w:lang w:val="el-GR" w:eastAsia="sv-SE"/>
              </w:rPr>
            </w:pPr>
            <w:r w:rsidRPr="008B2AE9">
              <w:rPr>
                <w:rFonts w:ascii="Times New Roman" w:hAnsi="Times New Roman"/>
                <w:sz w:val="22"/>
                <w:szCs w:val="22"/>
                <w:lang w:val="el-GR" w:eastAsia="sv-SE"/>
              </w:rPr>
              <w:t xml:space="preserve">Κάταγμα του ισχίου, του καρπού ή της σπονδυλικής στήλης (βλέπε </w:t>
            </w:r>
            <w:r w:rsidR="004D349B" w:rsidRPr="008B2AE9">
              <w:rPr>
                <w:rFonts w:ascii="Times New Roman" w:hAnsi="Times New Roman"/>
                <w:sz w:val="22"/>
                <w:szCs w:val="22"/>
                <w:lang w:val="el-GR" w:eastAsia="sv-SE"/>
              </w:rPr>
              <w:t xml:space="preserve">παράγραφο </w:t>
            </w:r>
            <w:r w:rsidRPr="008B2AE9">
              <w:rPr>
                <w:rFonts w:ascii="Times New Roman" w:hAnsi="Times New Roman"/>
                <w:sz w:val="22"/>
                <w:szCs w:val="22"/>
                <w:lang w:val="el-GR" w:eastAsia="sv-SE"/>
              </w:rPr>
              <w:t>4.4)</w:t>
            </w:r>
          </w:p>
        </w:tc>
      </w:tr>
      <w:tr w:rsidR="0094198C" w:rsidRPr="008B2AE9" w:rsidTr="00C74122">
        <w:trPr>
          <w:cantSplit/>
        </w:trPr>
        <w:tc>
          <w:tcPr>
            <w:tcW w:w="3240" w:type="dxa"/>
            <w:vMerge/>
            <w:tcBorders>
              <w:left w:val="single" w:sz="4" w:space="0" w:color="auto"/>
              <w:right w:val="single" w:sz="4" w:space="0" w:color="auto"/>
            </w:tcBorders>
          </w:tcPr>
          <w:p w:rsidR="0094198C" w:rsidRPr="008B2AE9" w:rsidRDefault="0094198C" w:rsidP="0094198C">
            <w:pPr>
              <w:rPr>
                <w:rFonts w:ascii="Times New Roman" w:hAnsi="Times New Roman"/>
                <w:sz w:val="22"/>
                <w:szCs w:val="22"/>
                <w:lang w:val="el-GR" w:eastAsia="sv-SE"/>
              </w:rPr>
            </w:pPr>
          </w:p>
        </w:tc>
        <w:tc>
          <w:tcPr>
            <w:tcW w:w="1440" w:type="dxa"/>
            <w:tcBorders>
              <w:top w:val="single" w:sz="4" w:space="0" w:color="auto"/>
              <w:left w:val="single" w:sz="4" w:space="0" w:color="auto"/>
              <w:bottom w:val="single" w:sz="4" w:space="0" w:color="auto"/>
              <w:right w:val="single" w:sz="4" w:space="0" w:color="auto"/>
            </w:tcBorders>
          </w:tcPr>
          <w:p w:rsidR="0094198C" w:rsidRPr="008B2AE9" w:rsidRDefault="00722BA5" w:rsidP="00722BA5">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rPr>
                <w:rFonts w:ascii="Times New Roman" w:hAnsi="Times New Roman"/>
                <w:sz w:val="22"/>
                <w:szCs w:val="22"/>
                <w:lang w:val="el-GR"/>
              </w:rPr>
            </w:pPr>
            <w:r w:rsidRPr="008B2AE9">
              <w:rPr>
                <w:rFonts w:ascii="Times New Roman" w:hAnsi="Times New Roman"/>
                <w:iCs/>
                <w:sz w:val="22"/>
                <w:szCs w:val="22"/>
                <w:lang w:val="el-GR"/>
              </w:rPr>
              <w:t>Σπάνιες</w:t>
            </w:r>
            <w:r w:rsidRPr="008B2AE9">
              <w:rPr>
                <w:rFonts w:ascii="Times New Roman" w:hAnsi="Times New Roman"/>
                <w:sz w:val="22"/>
                <w:szCs w:val="22"/>
                <w:lang w:val="el-GR"/>
              </w:rPr>
              <w:t xml:space="preserve"> </w:t>
            </w:r>
          </w:p>
        </w:tc>
        <w:tc>
          <w:tcPr>
            <w:tcW w:w="4392" w:type="dxa"/>
            <w:tcBorders>
              <w:top w:val="single" w:sz="4" w:space="0" w:color="auto"/>
              <w:left w:val="single" w:sz="4" w:space="0" w:color="auto"/>
              <w:bottom w:val="single" w:sz="4" w:space="0" w:color="auto"/>
              <w:right w:val="single" w:sz="4" w:space="0" w:color="auto"/>
            </w:tcBorders>
          </w:tcPr>
          <w:p w:rsidR="0094198C" w:rsidRPr="008B2AE9" w:rsidRDefault="00722BA5" w:rsidP="00722BA5">
            <w:pPr>
              <w:rPr>
                <w:rFonts w:ascii="Times New Roman" w:hAnsi="Times New Roman"/>
                <w:sz w:val="22"/>
                <w:szCs w:val="22"/>
                <w:lang w:val="en-US" w:eastAsia="sv-SE"/>
              </w:rPr>
            </w:pPr>
            <w:r w:rsidRPr="008B2AE9">
              <w:rPr>
                <w:rFonts w:ascii="Times New Roman" w:hAnsi="Times New Roman"/>
                <w:sz w:val="22"/>
                <w:szCs w:val="22"/>
                <w:lang w:val="el-GR"/>
              </w:rPr>
              <w:t>Αρθραλγίες, μυαλγίες</w:t>
            </w:r>
            <w:r w:rsidRPr="008B2AE9">
              <w:rPr>
                <w:rFonts w:ascii="Times New Roman" w:hAnsi="Times New Roman"/>
                <w:sz w:val="22"/>
                <w:szCs w:val="22"/>
                <w:lang w:eastAsia="sv-SE"/>
              </w:rPr>
              <w:t xml:space="preserve"> </w:t>
            </w:r>
          </w:p>
        </w:tc>
      </w:tr>
      <w:tr w:rsidR="0094198C" w:rsidRPr="008B2AE9" w:rsidTr="00C74122">
        <w:trPr>
          <w:cantSplit/>
        </w:trPr>
        <w:tc>
          <w:tcPr>
            <w:tcW w:w="3240" w:type="dxa"/>
            <w:vMerge/>
            <w:tcBorders>
              <w:left w:val="single" w:sz="4" w:space="0" w:color="auto"/>
              <w:bottom w:val="single" w:sz="4" w:space="0" w:color="auto"/>
              <w:right w:val="single" w:sz="4" w:space="0" w:color="auto"/>
            </w:tcBorders>
          </w:tcPr>
          <w:p w:rsidR="0094198C" w:rsidRPr="008B2AE9" w:rsidRDefault="0094198C" w:rsidP="0094198C">
            <w:pPr>
              <w:rPr>
                <w:rFonts w:ascii="Times New Roman" w:hAnsi="Times New Roman"/>
                <w:sz w:val="22"/>
                <w:szCs w:val="22"/>
                <w:lang w:val="en-US" w:eastAsia="sv-SE"/>
              </w:rPr>
            </w:pPr>
          </w:p>
        </w:tc>
        <w:tc>
          <w:tcPr>
            <w:tcW w:w="1440" w:type="dxa"/>
            <w:tcBorders>
              <w:top w:val="single" w:sz="4" w:space="0" w:color="auto"/>
              <w:left w:val="single" w:sz="4" w:space="0" w:color="auto"/>
              <w:bottom w:val="single" w:sz="4" w:space="0" w:color="auto"/>
              <w:right w:val="single" w:sz="4" w:space="0" w:color="auto"/>
            </w:tcBorders>
          </w:tcPr>
          <w:p w:rsidR="0094198C" w:rsidRPr="008B2AE9" w:rsidRDefault="00722BA5" w:rsidP="00087873">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rPr>
                <w:rFonts w:ascii="Times New Roman" w:hAnsi="Times New Roman"/>
                <w:sz w:val="22"/>
                <w:szCs w:val="22"/>
                <w:lang w:val="el-GR"/>
              </w:rPr>
            </w:pPr>
            <w:r w:rsidRPr="008B2AE9">
              <w:rPr>
                <w:rFonts w:ascii="Times New Roman" w:hAnsi="Times New Roman"/>
                <w:iCs/>
                <w:sz w:val="22"/>
                <w:szCs w:val="22"/>
                <w:lang w:val="el-GR"/>
              </w:rPr>
              <w:t>Πολύ σπάνιες</w:t>
            </w:r>
            <w:r w:rsidRPr="008B2AE9">
              <w:rPr>
                <w:rFonts w:ascii="Times New Roman" w:hAnsi="Times New Roman"/>
                <w:sz w:val="22"/>
                <w:szCs w:val="22"/>
                <w:lang w:val="el-GR"/>
              </w:rPr>
              <w:t xml:space="preserve"> </w:t>
            </w:r>
          </w:p>
        </w:tc>
        <w:tc>
          <w:tcPr>
            <w:tcW w:w="4392" w:type="dxa"/>
            <w:tcBorders>
              <w:top w:val="single" w:sz="4" w:space="0" w:color="auto"/>
              <w:left w:val="single" w:sz="4" w:space="0" w:color="auto"/>
              <w:bottom w:val="single" w:sz="4" w:space="0" w:color="auto"/>
              <w:right w:val="single" w:sz="4" w:space="0" w:color="auto"/>
            </w:tcBorders>
          </w:tcPr>
          <w:p w:rsidR="0094198C" w:rsidRPr="008B2AE9" w:rsidRDefault="00722BA5" w:rsidP="00722BA5">
            <w:pPr>
              <w:rPr>
                <w:rFonts w:ascii="Times New Roman" w:hAnsi="Times New Roman"/>
                <w:sz w:val="22"/>
                <w:szCs w:val="22"/>
                <w:lang w:val="en-US" w:eastAsia="sv-SE"/>
              </w:rPr>
            </w:pPr>
            <w:r w:rsidRPr="008B2AE9">
              <w:rPr>
                <w:rFonts w:ascii="Times New Roman" w:hAnsi="Times New Roman"/>
                <w:sz w:val="22"/>
                <w:szCs w:val="22"/>
                <w:lang w:val="el-GR"/>
              </w:rPr>
              <w:t>Μυϊκή αδυναμία</w:t>
            </w:r>
            <w:r w:rsidRPr="008B2AE9">
              <w:rPr>
                <w:rFonts w:ascii="Times New Roman" w:hAnsi="Times New Roman"/>
                <w:sz w:val="22"/>
                <w:szCs w:val="22"/>
                <w:lang w:eastAsia="sv-SE"/>
              </w:rPr>
              <w:t xml:space="preserve"> </w:t>
            </w:r>
          </w:p>
        </w:tc>
      </w:tr>
      <w:tr w:rsidR="0094198C" w:rsidRPr="008B2AE9" w:rsidTr="00C74122">
        <w:tc>
          <w:tcPr>
            <w:tcW w:w="3240" w:type="dxa"/>
            <w:tcBorders>
              <w:top w:val="single" w:sz="4" w:space="0" w:color="auto"/>
              <w:left w:val="single" w:sz="4" w:space="0" w:color="auto"/>
              <w:bottom w:val="single" w:sz="4" w:space="0" w:color="auto"/>
              <w:right w:val="single" w:sz="4" w:space="0" w:color="auto"/>
            </w:tcBorders>
          </w:tcPr>
          <w:p w:rsidR="00692C29" w:rsidRPr="008B2AE9" w:rsidRDefault="00692C29" w:rsidP="00692C29">
            <w:pPr>
              <w:rPr>
                <w:rFonts w:ascii="Times New Roman" w:hAnsi="Times New Roman"/>
                <w:sz w:val="22"/>
                <w:szCs w:val="22"/>
                <w:lang w:val="el-GR" w:eastAsia="sv-SE"/>
              </w:rPr>
            </w:pPr>
            <w:r w:rsidRPr="008B2AE9">
              <w:rPr>
                <w:rFonts w:ascii="Times New Roman" w:hAnsi="Times New Roman"/>
                <w:sz w:val="22"/>
                <w:szCs w:val="22"/>
                <w:lang w:val="el-GR" w:eastAsia="sv-SE"/>
              </w:rPr>
              <w:t>Διαταραχές των νεφρών και των ουροφόρων οδών</w:t>
            </w:r>
          </w:p>
          <w:p w:rsidR="0094198C" w:rsidRPr="008B2AE9" w:rsidRDefault="0094198C" w:rsidP="00692C29">
            <w:pPr>
              <w:rPr>
                <w:rFonts w:ascii="Times New Roman" w:hAnsi="Times New Roman"/>
                <w:sz w:val="22"/>
                <w:szCs w:val="22"/>
                <w:lang w:val="en-US" w:eastAsia="sv-SE"/>
              </w:rPr>
            </w:pPr>
          </w:p>
        </w:tc>
        <w:tc>
          <w:tcPr>
            <w:tcW w:w="1440" w:type="dxa"/>
            <w:tcBorders>
              <w:top w:val="single" w:sz="4" w:space="0" w:color="auto"/>
              <w:left w:val="single" w:sz="4" w:space="0" w:color="auto"/>
              <w:bottom w:val="single" w:sz="4" w:space="0" w:color="auto"/>
              <w:right w:val="single" w:sz="4" w:space="0" w:color="auto"/>
            </w:tcBorders>
          </w:tcPr>
          <w:p w:rsidR="0094198C" w:rsidRPr="008B2AE9" w:rsidRDefault="00692C29" w:rsidP="00692C29">
            <w:pPr>
              <w:rPr>
                <w:rFonts w:ascii="Times New Roman" w:hAnsi="Times New Roman"/>
                <w:sz w:val="22"/>
                <w:szCs w:val="22"/>
                <w:lang w:val="el-GR" w:eastAsia="sv-SE"/>
              </w:rPr>
            </w:pPr>
            <w:r w:rsidRPr="008B2AE9">
              <w:rPr>
                <w:rFonts w:ascii="Times New Roman" w:hAnsi="Times New Roman"/>
                <w:sz w:val="22"/>
                <w:szCs w:val="22"/>
                <w:lang w:val="el-GR" w:eastAsia="sv-SE"/>
              </w:rPr>
              <w:lastRenderedPageBreak/>
              <w:t>Πολύ σπάνιες</w:t>
            </w:r>
          </w:p>
        </w:tc>
        <w:tc>
          <w:tcPr>
            <w:tcW w:w="4392" w:type="dxa"/>
            <w:tcBorders>
              <w:top w:val="single" w:sz="4" w:space="0" w:color="auto"/>
              <w:left w:val="single" w:sz="4" w:space="0" w:color="auto"/>
              <w:bottom w:val="single" w:sz="4" w:space="0" w:color="auto"/>
              <w:right w:val="single" w:sz="4" w:space="0" w:color="auto"/>
            </w:tcBorders>
          </w:tcPr>
          <w:p w:rsidR="0094198C" w:rsidRPr="008B2AE9" w:rsidRDefault="003D2049" w:rsidP="00692C29">
            <w:pPr>
              <w:rPr>
                <w:rFonts w:ascii="Times New Roman" w:hAnsi="Times New Roman"/>
                <w:sz w:val="22"/>
                <w:szCs w:val="22"/>
                <w:lang w:val="el-GR" w:eastAsia="sv-SE"/>
              </w:rPr>
            </w:pPr>
            <w:r w:rsidRPr="008B2AE9">
              <w:rPr>
                <w:rFonts w:ascii="Times New Roman" w:hAnsi="Times New Roman"/>
                <w:sz w:val="22"/>
                <w:szCs w:val="22"/>
                <w:lang w:val="el-GR" w:eastAsia="sv-SE"/>
              </w:rPr>
              <w:t xml:space="preserve">Διάμεση νεφρίτιδα: σε μερικούς ασθενείς, η νεφρική ανεπάρκεια έχει αναφερθεί </w:t>
            </w:r>
            <w:r w:rsidRPr="008B2AE9">
              <w:rPr>
                <w:rFonts w:ascii="Times New Roman" w:hAnsi="Times New Roman"/>
                <w:sz w:val="22"/>
                <w:szCs w:val="22"/>
                <w:lang w:val="el-GR" w:eastAsia="sv-SE"/>
              </w:rPr>
              <w:lastRenderedPageBreak/>
              <w:t>ταυτόχρονα</w:t>
            </w:r>
          </w:p>
        </w:tc>
      </w:tr>
      <w:tr w:rsidR="0094198C" w:rsidRPr="008B2AE9" w:rsidTr="00C74122">
        <w:tc>
          <w:tcPr>
            <w:tcW w:w="3240" w:type="dxa"/>
            <w:tcBorders>
              <w:top w:val="single" w:sz="4" w:space="0" w:color="auto"/>
              <w:left w:val="single" w:sz="4" w:space="0" w:color="auto"/>
              <w:bottom w:val="single" w:sz="4" w:space="0" w:color="auto"/>
              <w:right w:val="single" w:sz="4" w:space="0" w:color="auto"/>
            </w:tcBorders>
          </w:tcPr>
          <w:p w:rsidR="0094198C" w:rsidRPr="008B2AE9" w:rsidRDefault="00A11FB2" w:rsidP="00A11FB2">
            <w:pPr>
              <w:rPr>
                <w:rFonts w:ascii="Times New Roman" w:hAnsi="Times New Roman"/>
                <w:sz w:val="22"/>
                <w:szCs w:val="22"/>
                <w:lang w:val="el-GR" w:eastAsia="sv-SE"/>
              </w:rPr>
            </w:pPr>
            <w:r w:rsidRPr="008B2AE9">
              <w:rPr>
                <w:rFonts w:ascii="Times New Roman" w:hAnsi="Times New Roman"/>
                <w:sz w:val="22"/>
                <w:szCs w:val="22"/>
                <w:lang w:val="el-GR" w:eastAsia="sv-SE"/>
              </w:rPr>
              <w:lastRenderedPageBreak/>
              <w:t>Διαταραχές του αναπαραγωγικού συστήματος και των μαστών</w:t>
            </w:r>
          </w:p>
        </w:tc>
        <w:tc>
          <w:tcPr>
            <w:tcW w:w="1440" w:type="dxa"/>
            <w:tcBorders>
              <w:top w:val="single" w:sz="4" w:space="0" w:color="auto"/>
              <w:left w:val="single" w:sz="4" w:space="0" w:color="auto"/>
              <w:bottom w:val="single" w:sz="4" w:space="0" w:color="auto"/>
              <w:right w:val="single" w:sz="4" w:space="0" w:color="auto"/>
            </w:tcBorders>
          </w:tcPr>
          <w:p w:rsidR="0094198C" w:rsidRPr="008B2AE9" w:rsidRDefault="00A11FB2" w:rsidP="0094198C">
            <w:pPr>
              <w:rPr>
                <w:rFonts w:ascii="Times New Roman" w:hAnsi="Times New Roman"/>
                <w:sz w:val="22"/>
                <w:szCs w:val="22"/>
                <w:lang w:val="en-US" w:eastAsia="sv-SE"/>
              </w:rPr>
            </w:pPr>
            <w:r w:rsidRPr="008B2AE9">
              <w:rPr>
                <w:rFonts w:ascii="Times New Roman" w:hAnsi="Times New Roman"/>
                <w:sz w:val="22"/>
                <w:szCs w:val="22"/>
                <w:lang w:eastAsia="sv-SE"/>
              </w:rPr>
              <w:t>Πολύ σπάνιες</w:t>
            </w:r>
          </w:p>
        </w:tc>
        <w:tc>
          <w:tcPr>
            <w:tcW w:w="4392" w:type="dxa"/>
            <w:tcBorders>
              <w:top w:val="single" w:sz="4" w:space="0" w:color="auto"/>
              <w:left w:val="single" w:sz="4" w:space="0" w:color="auto"/>
              <w:bottom w:val="single" w:sz="4" w:space="0" w:color="auto"/>
              <w:right w:val="single" w:sz="4" w:space="0" w:color="auto"/>
            </w:tcBorders>
          </w:tcPr>
          <w:p w:rsidR="0094198C" w:rsidRPr="008B2AE9" w:rsidRDefault="00A11FB2" w:rsidP="00A11FB2">
            <w:pPr>
              <w:rPr>
                <w:rFonts w:ascii="Times New Roman" w:hAnsi="Times New Roman"/>
                <w:sz w:val="22"/>
                <w:szCs w:val="22"/>
                <w:lang w:val="en-US" w:eastAsia="sv-SE"/>
              </w:rPr>
            </w:pPr>
            <w:r w:rsidRPr="008B2AE9">
              <w:rPr>
                <w:rFonts w:ascii="Times New Roman" w:hAnsi="Times New Roman"/>
                <w:sz w:val="22"/>
                <w:szCs w:val="22"/>
                <w:lang w:eastAsia="sv-SE"/>
              </w:rPr>
              <w:t xml:space="preserve">Γυναικομαστία </w:t>
            </w:r>
          </w:p>
        </w:tc>
      </w:tr>
      <w:tr w:rsidR="0094198C" w:rsidRPr="008B2AE9" w:rsidTr="00C74122">
        <w:tc>
          <w:tcPr>
            <w:tcW w:w="3240" w:type="dxa"/>
            <w:tcBorders>
              <w:top w:val="single" w:sz="4" w:space="0" w:color="auto"/>
              <w:left w:val="single" w:sz="4" w:space="0" w:color="auto"/>
              <w:bottom w:val="single" w:sz="4" w:space="0" w:color="auto"/>
              <w:right w:val="single" w:sz="4" w:space="0" w:color="auto"/>
            </w:tcBorders>
          </w:tcPr>
          <w:p w:rsidR="0094198C" w:rsidRPr="008B2AE9" w:rsidRDefault="00DF3C6C" w:rsidP="00DF3C6C">
            <w:pPr>
              <w:pStyle w:val="5"/>
              <w:spacing w:line="240" w:lineRule="auto"/>
              <w:jc w:val="left"/>
              <w:rPr>
                <w:rFonts w:ascii="Times New Roman" w:hAnsi="Times New Roman"/>
                <w:i w:val="0"/>
                <w:sz w:val="22"/>
                <w:szCs w:val="22"/>
                <w:u w:val="none"/>
              </w:rPr>
            </w:pPr>
            <w:r w:rsidRPr="008B2AE9">
              <w:rPr>
                <w:rFonts w:ascii="Times New Roman" w:hAnsi="Times New Roman"/>
                <w:i w:val="0"/>
                <w:sz w:val="22"/>
                <w:szCs w:val="22"/>
                <w:u w:val="none"/>
              </w:rPr>
              <w:t>Γενικές διαταραχές και καταστάσεις στη θέση χορήγησης</w:t>
            </w:r>
          </w:p>
        </w:tc>
        <w:tc>
          <w:tcPr>
            <w:tcW w:w="1440" w:type="dxa"/>
            <w:tcBorders>
              <w:top w:val="single" w:sz="4" w:space="0" w:color="auto"/>
              <w:left w:val="single" w:sz="4" w:space="0" w:color="auto"/>
              <w:bottom w:val="single" w:sz="4" w:space="0" w:color="auto"/>
              <w:right w:val="single" w:sz="4" w:space="0" w:color="auto"/>
            </w:tcBorders>
          </w:tcPr>
          <w:p w:rsidR="00DF3C6C" w:rsidRPr="008B2AE9" w:rsidRDefault="00DF3C6C" w:rsidP="00DF3C6C">
            <w:pPr>
              <w:tabs>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right="227"/>
              <w:rPr>
                <w:rFonts w:ascii="Times New Roman" w:hAnsi="Times New Roman"/>
                <w:sz w:val="22"/>
                <w:szCs w:val="22"/>
                <w:lang w:val="el-GR"/>
              </w:rPr>
            </w:pPr>
            <w:r w:rsidRPr="008B2AE9">
              <w:rPr>
                <w:rFonts w:ascii="Times New Roman" w:hAnsi="Times New Roman"/>
                <w:iCs/>
                <w:sz w:val="22"/>
                <w:szCs w:val="22"/>
                <w:lang w:val="el-GR"/>
              </w:rPr>
              <w:t>Σπάνιες</w:t>
            </w:r>
            <w:r w:rsidRPr="008B2AE9">
              <w:rPr>
                <w:rFonts w:ascii="Times New Roman" w:hAnsi="Times New Roman"/>
                <w:sz w:val="22"/>
                <w:szCs w:val="22"/>
                <w:lang w:val="el-GR"/>
              </w:rPr>
              <w:t xml:space="preserve"> </w:t>
            </w:r>
          </w:p>
          <w:p w:rsidR="0094198C" w:rsidRPr="008B2AE9" w:rsidRDefault="0094198C" w:rsidP="0094198C">
            <w:pPr>
              <w:rPr>
                <w:rFonts w:ascii="Times New Roman" w:hAnsi="Times New Roman"/>
                <w:sz w:val="22"/>
                <w:szCs w:val="22"/>
                <w:lang w:val="el-GR" w:eastAsia="sv-SE"/>
              </w:rPr>
            </w:pPr>
          </w:p>
        </w:tc>
        <w:tc>
          <w:tcPr>
            <w:tcW w:w="4392" w:type="dxa"/>
            <w:tcBorders>
              <w:top w:val="single" w:sz="4" w:space="0" w:color="auto"/>
              <w:left w:val="single" w:sz="4" w:space="0" w:color="auto"/>
              <w:bottom w:val="single" w:sz="4" w:space="0" w:color="auto"/>
              <w:right w:val="single" w:sz="4" w:space="0" w:color="auto"/>
            </w:tcBorders>
          </w:tcPr>
          <w:p w:rsidR="0094198C" w:rsidRPr="008B2AE9" w:rsidRDefault="00DF3C6C" w:rsidP="00DF3C6C">
            <w:pPr>
              <w:rPr>
                <w:rFonts w:ascii="Times New Roman" w:hAnsi="Times New Roman"/>
                <w:sz w:val="22"/>
                <w:szCs w:val="22"/>
                <w:lang w:val="el-GR" w:eastAsia="sv-SE"/>
              </w:rPr>
            </w:pPr>
            <w:r w:rsidRPr="008B2AE9">
              <w:rPr>
                <w:rFonts w:ascii="Times New Roman" w:hAnsi="Times New Roman"/>
                <w:sz w:val="22"/>
                <w:szCs w:val="22"/>
                <w:lang w:val="el-GR"/>
              </w:rPr>
              <w:t>Αίσθημα κακουχίας, αυξημένη εφίδρωση</w:t>
            </w:r>
            <w:r w:rsidRPr="008B2AE9">
              <w:rPr>
                <w:rFonts w:ascii="Times New Roman" w:hAnsi="Times New Roman"/>
                <w:sz w:val="22"/>
                <w:szCs w:val="22"/>
                <w:lang w:val="el-GR" w:eastAsia="sv-SE"/>
              </w:rPr>
              <w:t xml:space="preserve"> </w:t>
            </w:r>
          </w:p>
        </w:tc>
      </w:tr>
    </w:tbl>
    <w:p w:rsidR="00E72235" w:rsidRPr="008B2AE9" w:rsidRDefault="00E72235" w:rsidP="00AF36BE">
      <w:pPr>
        <w:pStyle w:val="a8"/>
        <w:spacing w:line="240" w:lineRule="auto"/>
        <w:rPr>
          <w:rFonts w:ascii="Times New Roman" w:hAnsi="Times New Roman"/>
          <w:sz w:val="22"/>
          <w:szCs w:val="22"/>
        </w:rPr>
      </w:pPr>
    </w:p>
    <w:p w:rsidR="00E72235" w:rsidRDefault="009278EE" w:rsidP="00AF36BE">
      <w:pPr>
        <w:pStyle w:val="a8"/>
        <w:spacing w:line="240" w:lineRule="auto"/>
        <w:rPr>
          <w:rFonts w:ascii="Times New Roman" w:hAnsi="Times New Roman"/>
          <w:sz w:val="22"/>
          <w:szCs w:val="22"/>
          <w:lang w:val="en-US"/>
        </w:rPr>
      </w:pPr>
      <w:r w:rsidRPr="00E74F15">
        <w:rPr>
          <w:rFonts w:ascii="Times New Roman" w:hAnsi="Times New Roman"/>
          <w:sz w:val="22"/>
          <w:szCs w:val="22"/>
        </w:rPr>
        <w:t>*</w:t>
      </w:r>
      <w:r w:rsidR="00E72235" w:rsidRPr="00E74F15">
        <w:rPr>
          <w:rFonts w:ascii="Times New Roman" w:hAnsi="Times New Roman"/>
          <w:sz w:val="22"/>
          <w:szCs w:val="22"/>
        </w:rPr>
        <w:t xml:space="preserve">Σε μια μελέτη με έκθεση σε υψηλή δοσολογία για 3 ημέρες (72 ώρες) παρατηρήθηκαν κυρίως αντιδράσεις στη θέση χορήγησης. Βλέπε </w:t>
      </w:r>
      <w:r w:rsidR="004D349B" w:rsidRPr="00E74F15">
        <w:rPr>
          <w:rFonts w:ascii="Times New Roman" w:hAnsi="Times New Roman"/>
          <w:sz w:val="22"/>
          <w:szCs w:val="22"/>
        </w:rPr>
        <w:t xml:space="preserve">παράγραφο </w:t>
      </w:r>
      <w:r w:rsidR="00E72235" w:rsidRPr="00E74F15">
        <w:rPr>
          <w:rFonts w:ascii="Times New Roman" w:hAnsi="Times New Roman"/>
          <w:sz w:val="22"/>
          <w:szCs w:val="22"/>
        </w:rPr>
        <w:t>5.3.</w:t>
      </w:r>
    </w:p>
    <w:p w:rsidR="00A07085" w:rsidRPr="00A07085" w:rsidRDefault="00A07085" w:rsidP="00AF36BE">
      <w:pPr>
        <w:pStyle w:val="a8"/>
        <w:spacing w:line="240" w:lineRule="auto"/>
        <w:rPr>
          <w:rFonts w:ascii="Times New Roman" w:hAnsi="Times New Roman"/>
          <w:sz w:val="22"/>
          <w:szCs w:val="22"/>
          <w:lang w:val="en-US"/>
        </w:rPr>
      </w:pPr>
    </w:p>
    <w:p w:rsidR="00E72235" w:rsidRPr="008B2AE9" w:rsidRDefault="00E72235" w:rsidP="00AF36BE">
      <w:pPr>
        <w:pStyle w:val="a8"/>
        <w:spacing w:line="240" w:lineRule="auto"/>
        <w:rPr>
          <w:rFonts w:ascii="Times New Roman" w:hAnsi="Times New Roman"/>
          <w:sz w:val="22"/>
          <w:szCs w:val="22"/>
        </w:rPr>
      </w:pPr>
      <w:r w:rsidRPr="008B2AE9">
        <w:rPr>
          <w:rFonts w:ascii="Times New Roman" w:hAnsi="Times New Roman"/>
          <w:color w:val="FF0000"/>
          <w:sz w:val="22"/>
          <w:szCs w:val="22"/>
        </w:rPr>
        <w:t xml:space="preserve">  </w:t>
      </w:r>
    </w:p>
    <w:p w:rsidR="00E72235" w:rsidRPr="008B2AE9" w:rsidRDefault="00E72235" w:rsidP="00AF36BE">
      <w:pPr>
        <w:pStyle w:val="a8"/>
        <w:spacing w:line="240" w:lineRule="auto"/>
        <w:rPr>
          <w:rFonts w:ascii="Times New Roman" w:hAnsi="Times New Roman"/>
          <w:sz w:val="22"/>
          <w:szCs w:val="22"/>
        </w:rPr>
      </w:pPr>
      <w:r w:rsidRPr="008B2AE9">
        <w:rPr>
          <w:rFonts w:ascii="Times New Roman" w:hAnsi="Times New Roman"/>
          <w:sz w:val="22"/>
          <w:szCs w:val="22"/>
        </w:rPr>
        <w:t>Μη αναστρέψιμη βλάβη της όρασης</w:t>
      </w:r>
      <w:r w:rsidR="00DD56A4" w:rsidRPr="008B2AE9">
        <w:rPr>
          <w:rFonts w:ascii="Times New Roman" w:hAnsi="Times New Roman"/>
          <w:sz w:val="22"/>
          <w:szCs w:val="22"/>
        </w:rPr>
        <w:t xml:space="preserve"> έχει αναφερθεί σε μεμονωμένες περιπτώσεις ασθενών ευρισκομένων σε κρίσιμη κατάσταση στους οποίους χορηγήθηκε ομεπραζόλη (ρακεμικό άλας) ενδοφλεβίως</w:t>
      </w:r>
      <w:r w:rsidRPr="008B2AE9">
        <w:rPr>
          <w:rFonts w:ascii="Times New Roman" w:hAnsi="Times New Roman"/>
          <w:sz w:val="22"/>
          <w:szCs w:val="22"/>
        </w:rPr>
        <w:t>, ειδικότερα σε υψηλές δόσεις</w:t>
      </w:r>
      <w:r w:rsidR="00DD56A4" w:rsidRPr="008B2AE9">
        <w:rPr>
          <w:rFonts w:ascii="Times New Roman" w:hAnsi="Times New Roman"/>
          <w:sz w:val="22"/>
          <w:szCs w:val="22"/>
        </w:rPr>
        <w:t>, χωρίς όμως να εξακριβωθεί αιτιολογική συσχέτιση</w:t>
      </w:r>
      <w:r w:rsidRPr="008B2AE9">
        <w:rPr>
          <w:rFonts w:ascii="Times New Roman" w:hAnsi="Times New Roman"/>
          <w:sz w:val="22"/>
          <w:szCs w:val="22"/>
        </w:rPr>
        <w:t>.</w:t>
      </w:r>
    </w:p>
    <w:p w:rsidR="0092321B" w:rsidRPr="008B2AE9" w:rsidRDefault="0092321B" w:rsidP="00AF36BE">
      <w:pPr>
        <w:pStyle w:val="a8"/>
        <w:spacing w:line="240" w:lineRule="auto"/>
        <w:rPr>
          <w:rFonts w:ascii="Times New Roman" w:hAnsi="Times New Roman"/>
          <w:sz w:val="22"/>
          <w:szCs w:val="22"/>
        </w:rPr>
      </w:pPr>
    </w:p>
    <w:p w:rsidR="0092321B" w:rsidRPr="008B2AE9" w:rsidRDefault="0092321B" w:rsidP="00AF36BE">
      <w:pPr>
        <w:pStyle w:val="a8"/>
        <w:spacing w:line="240" w:lineRule="auto"/>
        <w:rPr>
          <w:rFonts w:ascii="Times New Roman" w:hAnsi="Times New Roman"/>
          <w:i/>
          <w:sz w:val="22"/>
          <w:szCs w:val="22"/>
        </w:rPr>
      </w:pPr>
      <w:r w:rsidRPr="008B2AE9">
        <w:rPr>
          <w:rFonts w:ascii="Times New Roman" w:hAnsi="Times New Roman"/>
          <w:i/>
          <w:sz w:val="22"/>
          <w:szCs w:val="22"/>
        </w:rPr>
        <w:t>Παιδιατρικός πληθυσμός</w:t>
      </w:r>
    </w:p>
    <w:p w:rsidR="0092321B" w:rsidRPr="008B2AE9" w:rsidRDefault="004C27EC" w:rsidP="00AF36BE">
      <w:pPr>
        <w:pStyle w:val="a8"/>
        <w:spacing w:line="240" w:lineRule="auto"/>
        <w:rPr>
          <w:rFonts w:ascii="Times New Roman" w:hAnsi="Times New Roman"/>
          <w:sz w:val="22"/>
          <w:szCs w:val="22"/>
        </w:rPr>
      </w:pPr>
      <w:r w:rsidRPr="008B2AE9">
        <w:rPr>
          <w:rFonts w:ascii="Times New Roman" w:hAnsi="Times New Roman"/>
          <w:sz w:val="22"/>
          <w:szCs w:val="22"/>
        </w:rPr>
        <w:t>Σε</w:t>
      </w:r>
      <w:r w:rsidR="00E55B84" w:rsidRPr="008B2AE9">
        <w:rPr>
          <w:rFonts w:ascii="Times New Roman" w:hAnsi="Times New Roman"/>
          <w:sz w:val="22"/>
          <w:szCs w:val="22"/>
        </w:rPr>
        <w:t xml:space="preserve"> </w:t>
      </w:r>
      <w:r w:rsidR="00FA2132" w:rsidRPr="008B2AE9">
        <w:rPr>
          <w:rFonts w:ascii="Times New Roman" w:hAnsi="Times New Roman"/>
          <w:sz w:val="22"/>
          <w:szCs w:val="22"/>
        </w:rPr>
        <w:t>μ</w:t>
      </w:r>
      <w:r w:rsidR="0092321B" w:rsidRPr="008B2AE9">
        <w:rPr>
          <w:rFonts w:ascii="Times New Roman" w:hAnsi="Times New Roman"/>
          <w:sz w:val="22"/>
          <w:szCs w:val="22"/>
        </w:rPr>
        <w:t>ια τυχαιοποιημένη, ανοικτή</w:t>
      </w:r>
      <w:r w:rsidR="00FA2132" w:rsidRPr="008B2AE9">
        <w:rPr>
          <w:rFonts w:ascii="Times New Roman" w:hAnsi="Times New Roman"/>
          <w:sz w:val="22"/>
          <w:szCs w:val="22"/>
        </w:rPr>
        <w:t>,</w:t>
      </w:r>
      <w:r w:rsidR="0092321B" w:rsidRPr="008B2AE9">
        <w:rPr>
          <w:rFonts w:ascii="Times New Roman" w:hAnsi="Times New Roman"/>
          <w:sz w:val="22"/>
          <w:szCs w:val="22"/>
        </w:rPr>
        <w:t xml:space="preserve"> </w:t>
      </w:r>
      <w:r w:rsidR="00FA2132" w:rsidRPr="008B2AE9">
        <w:rPr>
          <w:rFonts w:ascii="Times New Roman" w:hAnsi="Times New Roman"/>
          <w:sz w:val="22"/>
          <w:szCs w:val="22"/>
        </w:rPr>
        <w:t>πολυεθνική μελέτη</w:t>
      </w:r>
      <w:r w:rsidR="00E55B84" w:rsidRPr="008B2AE9">
        <w:rPr>
          <w:rFonts w:ascii="Times New Roman" w:hAnsi="Times New Roman"/>
          <w:sz w:val="22"/>
          <w:szCs w:val="22"/>
        </w:rPr>
        <w:t xml:space="preserve"> </w:t>
      </w:r>
      <w:r w:rsidR="006C628C" w:rsidRPr="008B2AE9">
        <w:rPr>
          <w:rFonts w:ascii="Times New Roman" w:hAnsi="Times New Roman"/>
          <w:sz w:val="22"/>
          <w:szCs w:val="22"/>
        </w:rPr>
        <w:t>αξιολογήθηκε</w:t>
      </w:r>
      <w:r w:rsidR="00FA2132" w:rsidRPr="008B2AE9">
        <w:rPr>
          <w:rFonts w:ascii="Times New Roman" w:hAnsi="Times New Roman"/>
          <w:sz w:val="22"/>
          <w:szCs w:val="22"/>
        </w:rPr>
        <w:t xml:space="preserve"> </w:t>
      </w:r>
      <w:r w:rsidRPr="008B2AE9">
        <w:rPr>
          <w:rFonts w:ascii="Times New Roman" w:hAnsi="Times New Roman"/>
          <w:sz w:val="22"/>
          <w:szCs w:val="22"/>
        </w:rPr>
        <w:t>η</w:t>
      </w:r>
      <w:r w:rsidR="00FA2132" w:rsidRPr="008B2AE9">
        <w:rPr>
          <w:rFonts w:ascii="Times New Roman" w:hAnsi="Times New Roman"/>
          <w:sz w:val="22"/>
          <w:szCs w:val="22"/>
        </w:rPr>
        <w:t xml:space="preserve"> φαρμακοκινητικ</w:t>
      </w:r>
      <w:r w:rsidRPr="008B2AE9">
        <w:rPr>
          <w:rFonts w:ascii="Times New Roman" w:hAnsi="Times New Roman"/>
          <w:sz w:val="22"/>
          <w:szCs w:val="22"/>
        </w:rPr>
        <w:t>ή</w:t>
      </w:r>
      <w:r w:rsidR="00FA2132" w:rsidRPr="008B2AE9">
        <w:rPr>
          <w:rFonts w:ascii="Times New Roman" w:hAnsi="Times New Roman"/>
          <w:sz w:val="22"/>
          <w:szCs w:val="22"/>
        </w:rPr>
        <w:t xml:space="preserve"> επαναλαμβανόμενων ενδοφλέβιων δόσεων </w:t>
      </w:r>
      <w:r w:rsidR="00283B99" w:rsidRPr="008B2AE9">
        <w:rPr>
          <w:rFonts w:ascii="Times New Roman" w:hAnsi="Times New Roman"/>
          <w:sz w:val="22"/>
          <w:szCs w:val="22"/>
        </w:rPr>
        <w:t>εσομεπραζόλης μία φ</w:t>
      </w:r>
      <w:r w:rsidR="00AB38A0" w:rsidRPr="008B2AE9">
        <w:rPr>
          <w:rFonts w:ascii="Times New Roman" w:hAnsi="Times New Roman"/>
          <w:sz w:val="22"/>
          <w:szCs w:val="22"/>
        </w:rPr>
        <w:t xml:space="preserve">ορά την ημέρα </w:t>
      </w:r>
      <w:r w:rsidRPr="008B2AE9">
        <w:rPr>
          <w:rFonts w:ascii="Times New Roman" w:hAnsi="Times New Roman"/>
          <w:sz w:val="22"/>
          <w:szCs w:val="22"/>
        </w:rPr>
        <w:t xml:space="preserve">για 4 ημέρες </w:t>
      </w:r>
      <w:r w:rsidR="00AB38A0" w:rsidRPr="008B2AE9">
        <w:rPr>
          <w:rFonts w:ascii="Times New Roman" w:hAnsi="Times New Roman"/>
          <w:sz w:val="22"/>
          <w:szCs w:val="22"/>
        </w:rPr>
        <w:t>σε παιδ</w:t>
      </w:r>
      <w:r w:rsidR="00283B99" w:rsidRPr="008B2AE9">
        <w:rPr>
          <w:rFonts w:ascii="Times New Roman" w:hAnsi="Times New Roman"/>
          <w:sz w:val="22"/>
          <w:szCs w:val="22"/>
        </w:rPr>
        <w:t>ιατρικο</w:t>
      </w:r>
      <w:r w:rsidR="00900309" w:rsidRPr="008B2AE9">
        <w:rPr>
          <w:rFonts w:ascii="Times New Roman" w:hAnsi="Times New Roman"/>
          <w:sz w:val="22"/>
          <w:szCs w:val="22"/>
        </w:rPr>
        <w:t>ύς ασθενείς ηλικίας 0 έ</w:t>
      </w:r>
      <w:r w:rsidR="00283B99" w:rsidRPr="008B2AE9">
        <w:rPr>
          <w:rFonts w:ascii="Times New Roman" w:hAnsi="Times New Roman"/>
          <w:sz w:val="22"/>
          <w:szCs w:val="22"/>
        </w:rPr>
        <w:t xml:space="preserve">ως 18 ετών (βλέπε </w:t>
      </w:r>
      <w:r w:rsidR="004D349B" w:rsidRPr="008B2AE9">
        <w:rPr>
          <w:rFonts w:ascii="Times New Roman" w:hAnsi="Times New Roman"/>
          <w:sz w:val="22"/>
          <w:szCs w:val="22"/>
        </w:rPr>
        <w:t xml:space="preserve">παράγραφο </w:t>
      </w:r>
      <w:r w:rsidR="00283B99" w:rsidRPr="008B2AE9">
        <w:rPr>
          <w:rFonts w:ascii="Times New Roman" w:hAnsi="Times New Roman"/>
          <w:sz w:val="22"/>
          <w:szCs w:val="22"/>
        </w:rPr>
        <w:t>5.2).</w:t>
      </w:r>
      <w:r w:rsidR="002D5762" w:rsidRPr="008B2AE9">
        <w:rPr>
          <w:rFonts w:ascii="Times New Roman" w:hAnsi="Times New Roman"/>
          <w:sz w:val="22"/>
          <w:szCs w:val="22"/>
        </w:rPr>
        <w:t xml:space="preserve"> Συνολικά 57 ασθενείς (8 παιδιά </w:t>
      </w:r>
      <w:r w:rsidR="00900309" w:rsidRPr="008B2AE9">
        <w:rPr>
          <w:rFonts w:ascii="Times New Roman" w:hAnsi="Times New Roman"/>
          <w:sz w:val="22"/>
          <w:szCs w:val="22"/>
        </w:rPr>
        <w:t>με</w:t>
      </w:r>
      <w:r w:rsidR="002D5762" w:rsidRPr="008B2AE9">
        <w:rPr>
          <w:rFonts w:ascii="Times New Roman" w:hAnsi="Times New Roman"/>
          <w:sz w:val="22"/>
          <w:szCs w:val="22"/>
        </w:rPr>
        <w:t xml:space="preserve"> ηλικ</w:t>
      </w:r>
      <w:r w:rsidR="00900309" w:rsidRPr="008B2AE9">
        <w:rPr>
          <w:rFonts w:ascii="Times New Roman" w:hAnsi="Times New Roman"/>
          <w:sz w:val="22"/>
          <w:szCs w:val="22"/>
        </w:rPr>
        <w:t xml:space="preserve">ία </w:t>
      </w:r>
      <w:r w:rsidR="002D5762" w:rsidRPr="008B2AE9">
        <w:rPr>
          <w:rFonts w:ascii="Times New Roman" w:hAnsi="Times New Roman"/>
          <w:sz w:val="22"/>
          <w:szCs w:val="22"/>
        </w:rPr>
        <w:t>1</w:t>
      </w:r>
      <w:r w:rsidR="00900309" w:rsidRPr="008B2AE9">
        <w:rPr>
          <w:rFonts w:ascii="Times New Roman" w:hAnsi="Times New Roman"/>
          <w:sz w:val="22"/>
          <w:szCs w:val="22"/>
        </w:rPr>
        <w:t>-</w:t>
      </w:r>
      <w:r w:rsidR="002D5762" w:rsidRPr="008B2AE9">
        <w:rPr>
          <w:rFonts w:ascii="Times New Roman" w:hAnsi="Times New Roman"/>
          <w:sz w:val="22"/>
          <w:szCs w:val="22"/>
        </w:rPr>
        <w:t>5</w:t>
      </w:r>
      <w:r w:rsidR="00900309" w:rsidRPr="008B2AE9">
        <w:rPr>
          <w:rFonts w:ascii="Times New Roman" w:hAnsi="Times New Roman"/>
          <w:sz w:val="22"/>
          <w:szCs w:val="22"/>
        </w:rPr>
        <w:t xml:space="preserve"> ετών</w:t>
      </w:r>
      <w:r w:rsidR="002D5762" w:rsidRPr="008B2AE9">
        <w:rPr>
          <w:rFonts w:ascii="Times New Roman" w:hAnsi="Times New Roman"/>
          <w:sz w:val="22"/>
          <w:szCs w:val="22"/>
        </w:rPr>
        <w:t xml:space="preserve">) περιελήφθησαν για την αξιολόγηση της ασφάλειας. Τα αποτελέσματα </w:t>
      </w:r>
      <w:r w:rsidRPr="008B2AE9">
        <w:rPr>
          <w:rFonts w:ascii="Times New Roman" w:hAnsi="Times New Roman"/>
          <w:sz w:val="22"/>
          <w:szCs w:val="22"/>
        </w:rPr>
        <w:t>σχετικά με την</w:t>
      </w:r>
      <w:r w:rsidR="002D5762" w:rsidRPr="008B2AE9">
        <w:rPr>
          <w:rFonts w:ascii="Times New Roman" w:hAnsi="Times New Roman"/>
          <w:sz w:val="22"/>
          <w:szCs w:val="22"/>
        </w:rPr>
        <w:t xml:space="preserve"> ασφάλεια είναι σύμφων</w:t>
      </w:r>
      <w:r w:rsidR="00900309" w:rsidRPr="008B2AE9">
        <w:rPr>
          <w:rFonts w:ascii="Times New Roman" w:hAnsi="Times New Roman"/>
          <w:sz w:val="22"/>
          <w:szCs w:val="22"/>
        </w:rPr>
        <w:t>α</w:t>
      </w:r>
      <w:r w:rsidR="002D5762" w:rsidRPr="008B2AE9">
        <w:rPr>
          <w:rFonts w:ascii="Times New Roman" w:hAnsi="Times New Roman"/>
          <w:sz w:val="22"/>
          <w:szCs w:val="22"/>
        </w:rPr>
        <w:t xml:space="preserve"> με το γνωστό προφίλ ασφ</w:t>
      </w:r>
      <w:r w:rsidR="001C07C7" w:rsidRPr="008B2AE9">
        <w:rPr>
          <w:rFonts w:ascii="Times New Roman" w:hAnsi="Times New Roman"/>
          <w:sz w:val="22"/>
          <w:szCs w:val="22"/>
        </w:rPr>
        <w:t>α</w:t>
      </w:r>
      <w:r w:rsidR="002D5762" w:rsidRPr="008B2AE9">
        <w:rPr>
          <w:rFonts w:ascii="Times New Roman" w:hAnsi="Times New Roman"/>
          <w:sz w:val="22"/>
          <w:szCs w:val="22"/>
        </w:rPr>
        <w:t>λε</w:t>
      </w:r>
      <w:r w:rsidR="001C07C7" w:rsidRPr="008B2AE9">
        <w:rPr>
          <w:rFonts w:ascii="Times New Roman" w:hAnsi="Times New Roman"/>
          <w:sz w:val="22"/>
          <w:szCs w:val="22"/>
        </w:rPr>
        <w:t>ί</w:t>
      </w:r>
      <w:r w:rsidR="002D5762" w:rsidRPr="008B2AE9">
        <w:rPr>
          <w:rFonts w:ascii="Times New Roman" w:hAnsi="Times New Roman"/>
          <w:sz w:val="22"/>
          <w:szCs w:val="22"/>
        </w:rPr>
        <w:t>ας τ</w:t>
      </w:r>
      <w:r w:rsidR="00900309" w:rsidRPr="008B2AE9">
        <w:rPr>
          <w:rFonts w:ascii="Times New Roman" w:hAnsi="Times New Roman"/>
          <w:sz w:val="22"/>
          <w:szCs w:val="22"/>
        </w:rPr>
        <w:t>ης</w:t>
      </w:r>
      <w:r w:rsidR="002D5762" w:rsidRPr="008B2AE9">
        <w:rPr>
          <w:rFonts w:ascii="Times New Roman" w:hAnsi="Times New Roman"/>
          <w:sz w:val="22"/>
          <w:szCs w:val="22"/>
        </w:rPr>
        <w:t xml:space="preserve"> </w:t>
      </w:r>
      <w:r w:rsidR="00900309" w:rsidRPr="008B2AE9">
        <w:rPr>
          <w:rFonts w:ascii="Times New Roman" w:hAnsi="Times New Roman"/>
          <w:sz w:val="22"/>
          <w:szCs w:val="22"/>
        </w:rPr>
        <w:t>εσομεπραζόλης</w:t>
      </w:r>
      <w:r w:rsidR="002D5762" w:rsidRPr="008B2AE9">
        <w:rPr>
          <w:rFonts w:ascii="Times New Roman" w:hAnsi="Times New Roman"/>
          <w:sz w:val="22"/>
          <w:szCs w:val="22"/>
        </w:rPr>
        <w:t xml:space="preserve"> και δεν </w:t>
      </w:r>
      <w:r w:rsidR="00900309" w:rsidRPr="008B2AE9">
        <w:rPr>
          <w:rFonts w:ascii="Times New Roman" w:hAnsi="Times New Roman"/>
          <w:sz w:val="22"/>
          <w:szCs w:val="22"/>
        </w:rPr>
        <w:t>εντοπίστηκ</w:t>
      </w:r>
      <w:r w:rsidR="00284261" w:rsidRPr="008B2AE9">
        <w:rPr>
          <w:rFonts w:ascii="Times New Roman" w:hAnsi="Times New Roman"/>
          <w:sz w:val="22"/>
          <w:szCs w:val="22"/>
        </w:rPr>
        <w:t>αν</w:t>
      </w:r>
      <w:r w:rsidRPr="008B2AE9">
        <w:rPr>
          <w:rFonts w:ascii="Times New Roman" w:hAnsi="Times New Roman"/>
          <w:sz w:val="22"/>
          <w:szCs w:val="22"/>
        </w:rPr>
        <w:t xml:space="preserve"> </w:t>
      </w:r>
      <w:r w:rsidR="00900309" w:rsidRPr="008B2AE9">
        <w:rPr>
          <w:rFonts w:ascii="Times New Roman" w:hAnsi="Times New Roman"/>
          <w:sz w:val="22"/>
          <w:szCs w:val="22"/>
        </w:rPr>
        <w:t>νέ</w:t>
      </w:r>
      <w:r w:rsidR="00284261" w:rsidRPr="008B2AE9">
        <w:rPr>
          <w:rFonts w:ascii="Times New Roman" w:hAnsi="Times New Roman"/>
          <w:sz w:val="22"/>
          <w:szCs w:val="22"/>
        </w:rPr>
        <w:t>α</w:t>
      </w:r>
      <w:r w:rsidRPr="008B2AE9">
        <w:rPr>
          <w:rFonts w:ascii="Times New Roman" w:hAnsi="Times New Roman"/>
          <w:sz w:val="22"/>
          <w:szCs w:val="22"/>
        </w:rPr>
        <w:t xml:space="preserve"> θέμα</w:t>
      </w:r>
      <w:r w:rsidR="00284261" w:rsidRPr="008B2AE9">
        <w:rPr>
          <w:rFonts w:ascii="Times New Roman" w:hAnsi="Times New Roman"/>
          <w:sz w:val="22"/>
          <w:szCs w:val="22"/>
        </w:rPr>
        <w:t>τα</w:t>
      </w:r>
      <w:r w:rsidRPr="008B2AE9">
        <w:rPr>
          <w:rFonts w:ascii="Times New Roman" w:hAnsi="Times New Roman"/>
          <w:sz w:val="22"/>
          <w:szCs w:val="22"/>
        </w:rPr>
        <w:t xml:space="preserve"> </w:t>
      </w:r>
      <w:r w:rsidR="002D5762" w:rsidRPr="008B2AE9">
        <w:rPr>
          <w:rFonts w:ascii="Times New Roman" w:hAnsi="Times New Roman"/>
          <w:sz w:val="22"/>
          <w:szCs w:val="22"/>
        </w:rPr>
        <w:t>ασφάλεια</w:t>
      </w:r>
      <w:r w:rsidRPr="008B2AE9">
        <w:rPr>
          <w:rFonts w:ascii="Times New Roman" w:hAnsi="Times New Roman"/>
          <w:sz w:val="22"/>
          <w:szCs w:val="22"/>
        </w:rPr>
        <w:t>ς</w:t>
      </w:r>
      <w:r w:rsidR="002D5762" w:rsidRPr="008B2AE9">
        <w:rPr>
          <w:rFonts w:ascii="Times New Roman" w:hAnsi="Times New Roman"/>
          <w:sz w:val="22"/>
          <w:szCs w:val="22"/>
        </w:rPr>
        <w:t xml:space="preserve">. </w:t>
      </w:r>
    </w:p>
    <w:p w:rsidR="00E72235" w:rsidRPr="008B2AE9" w:rsidRDefault="00E72235" w:rsidP="00AF36BE">
      <w:pPr>
        <w:pStyle w:val="a8"/>
        <w:spacing w:line="240" w:lineRule="auto"/>
        <w:rPr>
          <w:rFonts w:ascii="Times New Roman" w:hAnsi="Times New Roman"/>
          <w:sz w:val="22"/>
          <w:szCs w:val="22"/>
        </w:rPr>
      </w:pPr>
    </w:p>
    <w:p w:rsidR="00267E10" w:rsidRPr="008B2AE9" w:rsidRDefault="00267E10" w:rsidP="00267E10">
      <w:pPr>
        <w:widowControl w:val="0"/>
        <w:autoSpaceDE w:val="0"/>
        <w:autoSpaceDN w:val="0"/>
        <w:adjustRightInd w:val="0"/>
        <w:jc w:val="both"/>
        <w:rPr>
          <w:rFonts w:ascii="Times New Roman" w:hAnsi="Times New Roman"/>
          <w:sz w:val="22"/>
          <w:szCs w:val="22"/>
          <w:u w:val="single"/>
          <w:lang w:val="el-GR"/>
        </w:rPr>
      </w:pPr>
      <w:r w:rsidRPr="008B2AE9">
        <w:rPr>
          <w:rFonts w:ascii="Times New Roman" w:hAnsi="Times New Roman"/>
          <w:noProof/>
          <w:sz w:val="22"/>
          <w:szCs w:val="22"/>
          <w:u w:val="single"/>
          <w:lang w:val="el-GR"/>
        </w:rPr>
        <w:t>Αναφορά πιθανολογούμενων ανεπιθύμητων ενεργειών</w:t>
      </w:r>
    </w:p>
    <w:p w:rsidR="00267E10" w:rsidRPr="00F234ED" w:rsidRDefault="00267E10" w:rsidP="00267E10">
      <w:pPr>
        <w:widowControl w:val="0"/>
        <w:autoSpaceDE w:val="0"/>
        <w:autoSpaceDN w:val="0"/>
        <w:adjustRightInd w:val="0"/>
        <w:jc w:val="both"/>
        <w:rPr>
          <w:rFonts w:ascii="Times New Roman" w:hAnsi="Times New Roman"/>
          <w:noProof/>
          <w:sz w:val="22"/>
          <w:szCs w:val="22"/>
          <w:lang w:val="el-GR"/>
        </w:rPr>
      </w:pPr>
      <w:r w:rsidRPr="008B2AE9">
        <w:rPr>
          <w:rFonts w:ascii="Times New Roman" w:hAnsi="Times New Roman"/>
          <w:sz w:val="22"/>
          <w:szCs w:val="22"/>
          <w:lang w:val="el-GR"/>
        </w:rPr>
        <w:t>Η αναφορά πιθανολογούμενων ανεπιθύμητων ενεργειών μετά από τη χορήγηση άδειας κυκλοφορίας του φαρμακευτικού προϊόντος είναι σημαντική</w:t>
      </w:r>
      <w:r w:rsidRPr="008B2AE9">
        <w:rPr>
          <w:rFonts w:ascii="Times New Roman" w:hAnsi="Times New Roman"/>
          <w:noProof/>
          <w:sz w:val="22"/>
          <w:szCs w:val="22"/>
          <w:lang w:val="el-GR"/>
        </w:rPr>
        <w:t>.</w:t>
      </w:r>
      <w:r w:rsidRPr="008B2AE9">
        <w:rPr>
          <w:rFonts w:ascii="Times New Roman" w:hAnsi="Times New Roman"/>
          <w:sz w:val="22"/>
          <w:szCs w:val="22"/>
          <w:lang w:val="el-GR"/>
        </w:rPr>
        <w:t xml:space="preserve"> Επιτρέπει τη συνεχή παρακολούθηση της σχέσης οφέλους-κινδύνου του φαρμακευτικού προϊόντος</w:t>
      </w:r>
      <w:r w:rsidRPr="008B2AE9">
        <w:rPr>
          <w:rFonts w:ascii="Times New Roman" w:hAnsi="Times New Roman"/>
          <w:noProof/>
          <w:sz w:val="22"/>
          <w:szCs w:val="22"/>
          <w:lang w:val="el-GR"/>
        </w:rPr>
        <w:t>.</w:t>
      </w:r>
      <w:r w:rsidRPr="008B2AE9">
        <w:rPr>
          <w:rFonts w:ascii="Times New Roman" w:hAnsi="Times New Roman"/>
          <w:sz w:val="22"/>
          <w:szCs w:val="22"/>
          <w:lang w:val="el-GR"/>
        </w:rPr>
        <w:t xml:space="preserve"> Ζητείται από τους επαγγελματίες του τομέα της υγειονομικής περίθαλψης να αναφέρουν οποιεσδήποτε </w:t>
      </w:r>
      <w:r w:rsidRPr="00F234ED">
        <w:rPr>
          <w:rFonts w:ascii="Times New Roman" w:hAnsi="Times New Roman"/>
          <w:sz w:val="22"/>
          <w:szCs w:val="22"/>
          <w:lang w:val="el-GR"/>
        </w:rPr>
        <w:t xml:space="preserve">πιθανολογούμενες ανεπιθύμητες ενέργειες </w:t>
      </w:r>
    </w:p>
    <w:p w:rsidR="00190A8E" w:rsidRPr="000D4BE4" w:rsidRDefault="00190A8E" w:rsidP="00190A8E">
      <w:pPr>
        <w:pStyle w:val="a8"/>
        <w:spacing w:line="240" w:lineRule="auto"/>
        <w:rPr>
          <w:rFonts w:ascii="Times New Roman" w:hAnsi="Times New Roman"/>
          <w:sz w:val="22"/>
          <w:szCs w:val="22"/>
        </w:rPr>
      </w:pPr>
      <w:r w:rsidRPr="00F234ED">
        <w:rPr>
          <w:rFonts w:ascii="Times New Roman" w:hAnsi="Times New Roman"/>
          <w:b/>
          <w:sz w:val="22"/>
          <w:szCs w:val="22"/>
        </w:rPr>
        <w:t>Για Ελλάδα:</w:t>
      </w:r>
      <w:r w:rsidRPr="00F234ED">
        <w:rPr>
          <w:rFonts w:ascii="Times New Roman" w:hAnsi="Times New Roman"/>
          <w:sz w:val="22"/>
          <w:szCs w:val="22"/>
        </w:rPr>
        <w:t xml:space="preserve"> μέσω του Εθνικού Οργανισμού Φαρμάκων, Μεσογείων 284 ΤΚ 15562 Χολαργός, Αθήνα, Τηλ: + 30 21 32040380/337, Φαξ: + 30 21 0654958</w:t>
      </w:r>
      <w:r w:rsidR="000D4BE4">
        <w:rPr>
          <w:rFonts w:ascii="Times New Roman" w:hAnsi="Times New Roman"/>
          <w:sz w:val="22"/>
          <w:szCs w:val="22"/>
        </w:rPr>
        <w:t xml:space="preserve">5, Ιστότοπος: </w:t>
      </w:r>
      <w:hyperlink r:id="rId8" w:history="1">
        <w:r w:rsidR="000D4BE4" w:rsidRPr="00245496">
          <w:rPr>
            <w:rStyle w:val="-"/>
            <w:rFonts w:ascii="Times New Roman" w:hAnsi="Times New Roman"/>
            <w:sz w:val="22"/>
            <w:szCs w:val="22"/>
          </w:rPr>
          <w:t>http://www.eof.gr</w:t>
        </w:r>
      </w:hyperlink>
      <w:r w:rsidR="000D4BE4" w:rsidRPr="000D4BE4">
        <w:rPr>
          <w:rFonts w:ascii="Times New Roman" w:hAnsi="Times New Roman"/>
          <w:sz w:val="22"/>
          <w:szCs w:val="22"/>
        </w:rPr>
        <w:t xml:space="preserve">, </w:t>
      </w:r>
    </w:p>
    <w:p w:rsidR="00267E10" w:rsidRPr="00DD1B30" w:rsidRDefault="00BD4E8C" w:rsidP="00AF36BE">
      <w:pPr>
        <w:pStyle w:val="a8"/>
        <w:spacing w:line="240" w:lineRule="auto"/>
        <w:rPr>
          <w:rFonts w:ascii="Times New Roman" w:hAnsi="Times New Roman"/>
          <w:sz w:val="22"/>
          <w:szCs w:val="22"/>
        </w:rPr>
      </w:pPr>
      <w:r w:rsidRPr="00F234ED">
        <w:rPr>
          <w:rFonts w:ascii="Times New Roman" w:hAnsi="Times New Roman"/>
          <w:b/>
          <w:sz w:val="22"/>
          <w:szCs w:val="22"/>
        </w:rPr>
        <w:t>Για Κύπρο:</w:t>
      </w:r>
      <w:r w:rsidR="0052128B" w:rsidRPr="00F234ED">
        <w:rPr>
          <w:rFonts w:ascii="Times New Roman" w:hAnsi="Times New Roman"/>
          <w:sz w:val="22"/>
          <w:szCs w:val="22"/>
        </w:rPr>
        <w:t xml:space="preserve"> </w:t>
      </w:r>
      <w:r w:rsidR="00D92CBE" w:rsidRPr="00F234ED">
        <w:rPr>
          <w:rFonts w:ascii="Times New Roman" w:hAnsi="Times New Roman"/>
          <w:sz w:val="22"/>
          <w:szCs w:val="22"/>
        </w:rPr>
        <w:t xml:space="preserve">μέσω </w:t>
      </w:r>
      <w:r w:rsidR="0052128B" w:rsidRPr="00F234ED">
        <w:rPr>
          <w:rFonts w:ascii="Times New Roman" w:hAnsi="Times New Roman"/>
          <w:sz w:val="22"/>
          <w:szCs w:val="22"/>
        </w:rPr>
        <w:t>του εθνικού συστήματος αναφοράς που αναγράφεται στις Φαρμακευτικές Υπηρεσίες, Υπουργείο Υγείας, CY-1475 Λευκωσία, Φαξ: + 357 22608649</w:t>
      </w:r>
      <w:r w:rsidR="00F234ED">
        <w:rPr>
          <w:rFonts w:ascii="Times New Roman" w:hAnsi="Times New Roman"/>
          <w:sz w:val="22"/>
          <w:szCs w:val="22"/>
        </w:rPr>
        <w:t xml:space="preserve">, Ιστότοπος: </w:t>
      </w:r>
      <w:hyperlink r:id="rId9" w:history="1">
        <w:r w:rsidR="00DD1B30" w:rsidRPr="00245496">
          <w:rPr>
            <w:rStyle w:val="-"/>
            <w:rFonts w:ascii="Times New Roman" w:hAnsi="Times New Roman"/>
            <w:sz w:val="22"/>
            <w:szCs w:val="22"/>
          </w:rPr>
          <w:t>www.moh.gov.cy/phs</w:t>
        </w:r>
      </w:hyperlink>
      <w:r w:rsidR="00F234ED" w:rsidRPr="00F234ED">
        <w:rPr>
          <w:rFonts w:ascii="Times New Roman" w:hAnsi="Times New Roman"/>
          <w:sz w:val="22"/>
          <w:szCs w:val="22"/>
        </w:rPr>
        <w:t>.</w:t>
      </w:r>
      <w:r w:rsidR="00DD1B30" w:rsidRPr="00DD1B30">
        <w:rPr>
          <w:rFonts w:ascii="Times New Roman" w:hAnsi="Times New Roman"/>
          <w:sz w:val="22"/>
          <w:szCs w:val="22"/>
        </w:rPr>
        <w:t xml:space="preserve"> </w:t>
      </w:r>
    </w:p>
    <w:p w:rsidR="00BD4E8C" w:rsidRPr="008B2AE9" w:rsidRDefault="00BD4E8C" w:rsidP="00AF36BE">
      <w:pPr>
        <w:pStyle w:val="a8"/>
        <w:spacing w:line="240" w:lineRule="auto"/>
        <w:rPr>
          <w:rFonts w:ascii="Times New Roman" w:hAnsi="Times New Roman"/>
          <w:sz w:val="22"/>
          <w:szCs w:val="22"/>
        </w:rPr>
      </w:pPr>
    </w:p>
    <w:p w:rsidR="00E72235" w:rsidRPr="008B2AE9" w:rsidRDefault="00E72235" w:rsidP="00AF36BE">
      <w:pPr>
        <w:rPr>
          <w:rFonts w:ascii="Times New Roman" w:hAnsi="Times New Roman"/>
          <w:b/>
          <w:sz w:val="22"/>
          <w:szCs w:val="22"/>
          <w:lang w:val="el-GR"/>
        </w:rPr>
      </w:pPr>
      <w:r w:rsidRPr="008B2AE9">
        <w:rPr>
          <w:rFonts w:ascii="Times New Roman" w:hAnsi="Times New Roman"/>
          <w:b/>
          <w:sz w:val="22"/>
          <w:szCs w:val="22"/>
          <w:lang w:val="el-GR"/>
        </w:rPr>
        <w:t>4.9</w:t>
      </w:r>
      <w:r w:rsidRPr="008B2AE9">
        <w:rPr>
          <w:rFonts w:ascii="Times New Roman" w:hAnsi="Times New Roman"/>
          <w:b/>
          <w:sz w:val="22"/>
          <w:szCs w:val="22"/>
          <w:lang w:val="el-GR"/>
        </w:rPr>
        <w:tab/>
        <w:t>Υπερδοσολογία</w:t>
      </w:r>
    </w:p>
    <w:p w:rsidR="00AF36BE" w:rsidRPr="008B2AE9" w:rsidRDefault="00AF36BE" w:rsidP="009C29A0">
      <w:pPr>
        <w:pStyle w:val="a8"/>
        <w:spacing w:line="240" w:lineRule="auto"/>
        <w:rPr>
          <w:rFonts w:ascii="Times New Roman" w:hAnsi="Times New Roman"/>
          <w:sz w:val="22"/>
          <w:szCs w:val="22"/>
        </w:rPr>
      </w:pPr>
    </w:p>
    <w:p w:rsidR="00FB4205" w:rsidRPr="008B2AE9" w:rsidRDefault="00E72235" w:rsidP="009C29A0">
      <w:pPr>
        <w:pStyle w:val="a8"/>
        <w:spacing w:line="240" w:lineRule="auto"/>
        <w:rPr>
          <w:rFonts w:ascii="Times New Roman" w:hAnsi="Times New Roman"/>
          <w:sz w:val="22"/>
          <w:szCs w:val="22"/>
        </w:rPr>
      </w:pPr>
      <w:r w:rsidRPr="008B2AE9">
        <w:rPr>
          <w:rFonts w:ascii="Times New Roman" w:hAnsi="Times New Roman"/>
          <w:sz w:val="22"/>
          <w:szCs w:val="22"/>
        </w:rPr>
        <w:t xml:space="preserve">Η μέχρι σήμερα εμπειρία από την σκόπιμη λήψη υπερβολικής δόσης είναι πολύ περιορισμένη. Μετά από του στόματος λήψη 280 mg αναφέρθησαν συμπτώματα από το γαστρεντερικό και αδυναμία. Εφάπαξ από του στόματος δόσεις 80 mg εσομεπραζόλης και ενδοφλέβιες δόσεις </w:t>
      </w:r>
    </w:p>
    <w:p w:rsidR="00E72235" w:rsidRPr="008B2AE9" w:rsidRDefault="00E72235" w:rsidP="009C29A0">
      <w:pPr>
        <w:pStyle w:val="a8"/>
        <w:spacing w:line="240" w:lineRule="auto"/>
        <w:rPr>
          <w:rFonts w:ascii="Times New Roman" w:hAnsi="Times New Roman"/>
          <w:sz w:val="22"/>
          <w:szCs w:val="22"/>
        </w:rPr>
      </w:pPr>
      <w:r w:rsidRPr="008B2AE9">
        <w:rPr>
          <w:rFonts w:ascii="Times New Roman" w:hAnsi="Times New Roman"/>
          <w:sz w:val="22"/>
          <w:szCs w:val="22"/>
        </w:rPr>
        <w:t>308</w:t>
      </w:r>
      <w:r w:rsidRPr="008B2AE9">
        <w:rPr>
          <w:rFonts w:ascii="Times New Roman" w:hAnsi="Times New Roman"/>
          <w:color w:val="FF0000"/>
          <w:sz w:val="22"/>
          <w:szCs w:val="22"/>
        </w:rPr>
        <w:t xml:space="preserve"> </w:t>
      </w:r>
      <w:r w:rsidRPr="008B2AE9">
        <w:rPr>
          <w:rFonts w:ascii="Times New Roman" w:hAnsi="Times New Roman"/>
          <w:sz w:val="22"/>
          <w:szCs w:val="22"/>
          <w:lang w:val="en-US"/>
        </w:rPr>
        <w:t>mg</w:t>
      </w:r>
      <w:r w:rsidRPr="008B2AE9">
        <w:rPr>
          <w:rFonts w:ascii="Times New Roman" w:hAnsi="Times New Roman"/>
          <w:sz w:val="22"/>
          <w:szCs w:val="22"/>
        </w:rPr>
        <w:t xml:space="preserve"> εσομεπραζόλης σε 24 ώρες δεν προκάλεσαν κανένα πρόβλημα. Δεν είναι γνωστό κάποιο ειδικό αντίδοτο για το φάρμακο. Η εσομεπραζόλη συνδέεται σε μεγάλο βαθμό με τις πρωτεΐνες και γι</w:t>
      </w:r>
      <w:r w:rsidR="00FB4205" w:rsidRPr="008B2AE9">
        <w:rPr>
          <w:rFonts w:ascii="Times New Roman" w:hAnsi="Times New Roman"/>
          <w:sz w:val="22"/>
          <w:szCs w:val="22"/>
        </w:rPr>
        <w:t xml:space="preserve">’ </w:t>
      </w:r>
      <w:r w:rsidRPr="008B2AE9">
        <w:rPr>
          <w:rFonts w:ascii="Times New Roman" w:hAnsi="Times New Roman"/>
          <w:sz w:val="22"/>
          <w:szCs w:val="22"/>
        </w:rPr>
        <w:t>αυτό δεν υπόκειται εύκολα σε αιμοδιύλιση. Όπως σε κάθε περίπτωση υπερδοσολογίας</w:t>
      </w:r>
      <w:r w:rsidR="00FB4205" w:rsidRPr="008B2AE9">
        <w:rPr>
          <w:rFonts w:ascii="Times New Roman" w:hAnsi="Times New Roman"/>
          <w:sz w:val="22"/>
          <w:szCs w:val="22"/>
        </w:rPr>
        <w:t>,</w:t>
      </w:r>
      <w:r w:rsidRPr="008B2AE9">
        <w:rPr>
          <w:rFonts w:ascii="Times New Roman" w:hAnsi="Times New Roman"/>
          <w:sz w:val="22"/>
          <w:szCs w:val="22"/>
        </w:rPr>
        <w:t xml:space="preserve"> η αγωγή πρέπει να είναι συμπτωματική και να χρησιμοποιούνται γενικά υποστηρικτικά μέτρα.</w:t>
      </w:r>
    </w:p>
    <w:p w:rsidR="00E72235" w:rsidRPr="008B2AE9" w:rsidRDefault="00E72235" w:rsidP="009C29A0">
      <w:pPr>
        <w:jc w:val="both"/>
        <w:rPr>
          <w:rFonts w:ascii="Times New Roman" w:hAnsi="Times New Roman"/>
          <w:b/>
          <w:sz w:val="22"/>
          <w:szCs w:val="22"/>
          <w:lang w:val="el-GR"/>
        </w:rPr>
      </w:pPr>
    </w:p>
    <w:p w:rsidR="009C29A0" w:rsidRPr="008B2AE9" w:rsidRDefault="009C29A0" w:rsidP="009C29A0">
      <w:pPr>
        <w:jc w:val="both"/>
        <w:rPr>
          <w:rFonts w:ascii="Times New Roman" w:hAnsi="Times New Roman"/>
          <w:b/>
          <w:sz w:val="22"/>
          <w:szCs w:val="22"/>
          <w:lang w:val="el-GR"/>
        </w:rPr>
      </w:pPr>
    </w:p>
    <w:p w:rsidR="00E72235" w:rsidRPr="008B2AE9" w:rsidRDefault="00E72235" w:rsidP="009C29A0">
      <w:pPr>
        <w:jc w:val="both"/>
        <w:rPr>
          <w:rFonts w:ascii="Times New Roman" w:hAnsi="Times New Roman"/>
          <w:b/>
          <w:sz w:val="22"/>
          <w:szCs w:val="22"/>
          <w:lang w:val="el-GR"/>
        </w:rPr>
      </w:pPr>
      <w:r w:rsidRPr="008B2AE9">
        <w:rPr>
          <w:rFonts w:ascii="Times New Roman" w:hAnsi="Times New Roman"/>
          <w:b/>
          <w:sz w:val="22"/>
          <w:szCs w:val="22"/>
          <w:lang w:val="el-GR"/>
        </w:rPr>
        <w:t>5. ΦΑΡΜΑΚΟΛΟΓΙΚΕΣ ΙΔΙΟΤΗΤΕΣ</w:t>
      </w:r>
    </w:p>
    <w:p w:rsidR="009C29A0" w:rsidRPr="008B2AE9" w:rsidRDefault="009C29A0" w:rsidP="009C29A0">
      <w:pPr>
        <w:jc w:val="both"/>
        <w:rPr>
          <w:rFonts w:ascii="Times New Roman" w:hAnsi="Times New Roman"/>
          <w:b/>
          <w:sz w:val="22"/>
          <w:szCs w:val="22"/>
          <w:lang w:val="el-GR"/>
        </w:rPr>
      </w:pPr>
    </w:p>
    <w:p w:rsidR="00E72235" w:rsidRPr="008B2AE9" w:rsidRDefault="00E72235" w:rsidP="009C29A0">
      <w:pPr>
        <w:jc w:val="both"/>
        <w:rPr>
          <w:rFonts w:ascii="Times New Roman" w:hAnsi="Times New Roman"/>
          <w:b/>
          <w:sz w:val="22"/>
          <w:szCs w:val="22"/>
          <w:lang w:val="el-GR"/>
        </w:rPr>
      </w:pPr>
      <w:r w:rsidRPr="008B2AE9">
        <w:rPr>
          <w:rFonts w:ascii="Times New Roman" w:hAnsi="Times New Roman"/>
          <w:b/>
          <w:sz w:val="22"/>
          <w:szCs w:val="22"/>
          <w:lang w:val="el-GR"/>
        </w:rPr>
        <w:t>5.1 Φαρμακοδυναμικές ιδιότητες</w:t>
      </w:r>
    </w:p>
    <w:p w:rsidR="009C29A0" w:rsidRPr="008B2AE9" w:rsidRDefault="009C29A0" w:rsidP="006F7A28">
      <w:pPr>
        <w:pStyle w:val="a8"/>
        <w:spacing w:line="240" w:lineRule="auto"/>
        <w:rPr>
          <w:rFonts w:ascii="Times New Roman" w:hAnsi="Times New Roman"/>
          <w:sz w:val="22"/>
          <w:szCs w:val="22"/>
        </w:rPr>
      </w:pPr>
    </w:p>
    <w:p w:rsidR="00E72235" w:rsidRPr="008B2AE9" w:rsidRDefault="00E72235" w:rsidP="000527CA">
      <w:pPr>
        <w:pStyle w:val="a8"/>
        <w:spacing w:line="240" w:lineRule="auto"/>
        <w:jc w:val="left"/>
        <w:rPr>
          <w:rFonts w:ascii="Times New Roman" w:hAnsi="Times New Roman"/>
          <w:sz w:val="22"/>
          <w:szCs w:val="22"/>
        </w:rPr>
      </w:pPr>
      <w:r w:rsidRPr="008B2AE9">
        <w:rPr>
          <w:rFonts w:ascii="Times New Roman" w:hAnsi="Times New Roman"/>
          <w:sz w:val="22"/>
          <w:szCs w:val="22"/>
        </w:rPr>
        <w:lastRenderedPageBreak/>
        <w:t xml:space="preserve">Φαρμακοθεραπευτική κατηγορία: </w:t>
      </w:r>
      <w:r w:rsidR="000527CA" w:rsidRPr="008B2AE9">
        <w:rPr>
          <w:rFonts w:ascii="Times New Roman" w:hAnsi="Times New Roman"/>
          <w:sz w:val="22"/>
          <w:szCs w:val="22"/>
        </w:rPr>
        <w:t xml:space="preserve">Φάρμακα για διαταραχές της γαστρικής έκκρισης, </w:t>
      </w:r>
      <w:r w:rsidR="005B2F33" w:rsidRPr="008B2AE9">
        <w:rPr>
          <w:rFonts w:ascii="Times New Roman" w:hAnsi="Times New Roman"/>
          <w:sz w:val="22"/>
          <w:szCs w:val="22"/>
        </w:rPr>
        <w:t>α</w:t>
      </w:r>
      <w:r w:rsidRPr="008B2AE9">
        <w:rPr>
          <w:rFonts w:ascii="Times New Roman" w:hAnsi="Times New Roman"/>
          <w:sz w:val="22"/>
          <w:szCs w:val="22"/>
        </w:rPr>
        <w:t>ναστολέας της αντλίας πρωτονίων</w:t>
      </w:r>
      <w:r w:rsidR="001029EF" w:rsidRPr="008B2AE9">
        <w:rPr>
          <w:rFonts w:ascii="Times New Roman" w:hAnsi="Times New Roman"/>
          <w:sz w:val="22"/>
          <w:szCs w:val="22"/>
        </w:rPr>
        <w:t>.</w:t>
      </w:r>
    </w:p>
    <w:p w:rsidR="00B85F4B" w:rsidRPr="008B2AE9" w:rsidRDefault="00B85F4B" w:rsidP="000527CA">
      <w:pPr>
        <w:pStyle w:val="a8"/>
        <w:spacing w:line="240" w:lineRule="auto"/>
        <w:jc w:val="left"/>
        <w:rPr>
          <w:rFonts w:ascii="Times New Roman" w:hAnsi="Times New Roman"/>
          <w:sz w:val="22"/>
          <w:szCs w:val="22"/>
        </w:rPr>
      </w:pPr>
    </w:p>
    <w:p w:rsidR="00E72235" w:rsidRPr="008B2AE9" w:rsidRDefault="00E72235" w:rsidP="006F7A28">
      <w:pPr>
        <w:pStyle w:val="a8"/>
        <w:spacing w:line="240" w:lineRule="auto"/>
        <w:rPr>
          <w:rFonts w:ascii="Times New Roman" w:hAnsi="Times New Roman"/>
          <w:sz w:val="22"/>
          <w:szCs w:val="22"/>
        </w:rPr>
      </w:pPr>
      <w:r w:rsidRPr="008B2AE9">
        <w:rPr>
          <w:rFonts w:ascii="Times New Roman" w:hAnsi="Times New Roman"/>
          <w:sz w:val="22"/>
          <w:szCs w:val="22"/>
          <w:lang w:val="en-US"/>
        </w:rPr>
        <w:t>ATC</w:t>
      </w:r>
      <w:r w:rsidRPr="008B2AE9">
        <w:rPr>
          <w:rFonts w:ascii="Times New Roman" w:hAnsi="Times New Roman"/>
          <w:sz w:val="22"/>
          <w:szCs w:val="22"/>
        </w:rPr>
        <w:t xml:space="preserve"> κατάταξη: Α02Β </w:t>
      </w:r>
      <w:r w:rsidRPr="008B2AE9">
        <w:rPr>
          <w:rFonts w:ascii="Times New Roman" w:hAnsi="Times New Roman"/>
          <w:sz w:val="22"/>
          <w:szCs w:val="22"/>
          <w:lang w:val="en-US"/>
        </w:rPr>
        <w:t>C</w:t>
      </w:r>
      <w:r w:rsidRPr="008B2AE9">
        <w:rPr>
          <w:rFonts w:ascii="Times New Roman" w:hAnsi="Times New Roman"/>
          <w:sz w:val="22"/>
          <w:szCs w:val="22"/>
        </w:rPr>
        <w:t>05</w:t>
      </w:r>
    </w:p>
    <w:p w:rsidR="006F7A28" w:rsidRPr="008B2AE9" w:rsidRDefault="006F7A28" w:rsidP="006F7A28">
      <w:pPr>
        <w:pStyle w:val="a8"/>
        <w:spacing w:line="240" w:lineRule="auto"/>
        <w:rPr>
          <w:rFonts w:ascii="Times New Roman" w:hAnsi="Times New Roman"/>
          <w:sz w:val="22"/>
          <w:szCs w:val="22"/>
        </w:rPr>
      </w:pPr>
    </w:p>
    <w:p w:rsidR="00E72235" w:rsidRPr="008B2AE9" w:rsidRDefault="00E72235" w:rsidP="006F7A28">
      <w:pPr>
        <w:pStyle w:val="a8"/>
        <w:spacing w:line="240" w:lineRule="auto"/>
        <w:rPr>
          <w:rFonts w:ascii="Times New Roman" w:hAnsi="Times New Roman"/>
          <w:sz w:val="22"/>
          <w:szCs w:val="22"/>
        </w:rPr>
      </w:pPr>
      <w:r w:rsidRPr="008B2AE9">
        <w:rPr>
          <w:rFonts w:ascii="Times New Roman" w:hAnsi="Times New Roman"/>
          <w:sz w:val="22"/>
          <w:szCs w:val="22"/>
        </w:rPr>
        <w:t xml:space="preserve">Η εσομεπραζόλη είναι το </w:t>
      </w:r>
      <w:r w:rsidRPr="008B2AE9">
        <w:rPr>
          <w:rFonts w:ascii="Times New Roman" w:hAnsi="Times New Roman"/>
          <w:sz w:val="22"/>
          <w:szCs w:val="22"/>
          <w:lang w:val="en-US"/>
        </w:rPr>
        <w:t>S</w:t>
      </w:r>
      <w:r w:rsidRPr="008B2AE9">
        <w:rPr>
          <w:rFonts w:ascii="Times New Roman" w:hAnsi="Times New Roman"/>
          <w:sz w:val="22"/>
          <w:szCs w:val="22"/>
        </w:rPr>
        <w:t xml:space="preserve">-ισομερές της ομεπραζόλης και ελαττώνει τη γαστρική έκκριση οξέος μέσω ενός συγκεκριμένου </w:t>
      </w:r>
      <w:r w:rsidR="00391240" w:rsidRPr="008B2AE9">
        <w:rPr>
          <w:rFonts w:ascii="Times New Roman" w:hAnsi="Times New Roman"/>
          <w:sz w:val="22"/>
          <w:szCs w:val="22"/>
        </w:rPr>
        <w:t xml:space="preserve">στοχευμένου </w:t>
      </w:r>
      <w:r w:rsidRPr="008B2AE9">
        <w:rPr>
          <w:rFonts w:ascii="Times New Roman" w:hAnsi="Times New Roman"/>
          <w:sz w:val="22"/>
          <w:szCs w:val="22"/>
        </w:rPr>
        <w:t>μηχανισμού δράσης</w:t>
      </w:r>
      <w:r w:rsidRPr="008B2AE9">
        <w:rPr>
          <w:rFonts w:ascii="Times New Roman" w:hAnsi="Times New Roman"/>
          <w:iCs/>
          <w:sz w:val="22"/>
          <w:szCs w:val="22"/>
        </w:rPr>
        <w:t>.</w:t>
      </w:r>
      <w:r w:rsidRPr="008B2AE9">
        <w:rPr>
          <w:rFonts w:ascii="Times New Roman" w:hAnsi="Times New Roman"/>
          <w:sz w:val="22"/>
          <w:szCs w:val="22"/>
        </w:rPr>
        <w:t xml:space="preserve"> Είναι ένας εκλεκτικός αναστολέας της αντλίας πρωτονίων στα τοιχωματικά κύτταρα. Το </w:t>
      </w:r>
      <w:r w:rsidRPr="008B2AE9">
        <w:rPr>
          <w:rFonts w:ascii="Times New Roman" w:hAnsi="Times New Roman"/>
          <w:sz w:val="22"/>
          <w:szCs w:val="22"/>
          <w:lang w:val="en-US"/>
        </w:rPr>
        <w:t>R</w:t>
      </w:r>
      <w:r w:rsidRPr="008B2AE9">
        <w:rPr>
          <w:rFonts w:ascii="Times New Roman" w:hAnsi="Times New Roman"/>
          <w:sz w:val="22"/>
          <w:szCs w:val="22"/>
        </w:rPr>
        <w:t xml:space="preserve">- και το </w:t>
      </w:r>
      <w:r w:rsidRPr="008B2AE9">
        <w:rPr>
          <w:rFonts w:ascii="Times New Roman" w:hAnsi="Times New Roman"/>
          <w:sz w:val="22"/>
          <w:szCs w:val="22"/>
          <w:lang w:val="en-US"/>
        </w:rPr>
        <w:t>S</w:t>
      </w:r>
      <w:r w:rsidRPr="008B2AE9">
        <w:rPr>
          <w:rFonts w:ascii="Times New Roman" w:hAnsi="Times New Roman"/>
          <w:sz w:val="22"/>
          <w:szCs w:val="22"/>
        </w:rPr>
        <w:t>-ισομερές της ομεπραζόλης έχουν παρόμοια φαρμακοδυναμική δράση.</w:t>
      </w:r>
    </w:p>
    <w:p w:rsidR="00E72235" w:rsidRPr="008B2AE9" w:rsidRDefault="00E72235" w:rsidP="006F7A28">
      <w:pPr>
        <w:pStyle w:val="a8"/>
        <w:spacing w:line="240" w:lineRule="auto"/>
        <w:rPr>
          <w:rFonts w:ascii="Times New Roman" w:hAnsi="Times New Roman"/>
          <w:sz w:val="22"/>
          <w:szCs w:val="22"/>
        </w:rPr>
      </w:pPr>
    </w:p>
    <w:p w:rsidR="00E72235" w:rsidRPr="008B2AE9" w:rsidRDefault="00167E45" w:rsidP="006F7A28">
      <w:pPr>
        <w:pStyle w:val="a8"/>
        <w:spacing w:line="240" w:lineRule="auto"/>
        <w:rPr>
          <w:rFonts w:ascii="Times New Roman" w:hAnsi="Times New Roman"/>
          <w:iCs/>
          <w:sz w:val="22"/>
          <w:szCs w:val="22"/>
          <w:u w:val="single"/>
        </w:rPr>
      </w:pPr>
      <w:r w:rsidRPr="008B2AE9">
        <w:rPr>
          <w:rFonts w:ascii="Times New Roman" w:hAnsi="Times New Roman"/>
          <w:iCs/>
          <w:sz w:val="22"/>
          <w:szCs w:val="22"/>
          <w:u w:val="single"/>
        </w:rPr>
        <w:t>Μ</w:t>
      </w:r>
      <w:r w:rsidR="00E72235" w:rsidRPr="008B2AE9">
        <w:rPr>
          <w:rFonts w:ascii="Times New Roman" w:hAnsi="Times New Roman"/>
          <w:iCs/>
          <w:sz w:val="22"/>
          <w:szCs w:val="22"/>
          <w:u w:val="single"/>
        </w:rPr>
        <w:t>ηχανισμός δράσης</w:t>
      </w:r>
    </w:p>
    <w:p w:rsidR="00E72235" w:rsidRPr="008B2AE9" w:rsidRDefault="00E72235" w:rsidP="006F7A28">
      <w:pPr>
        <w:pStyle w:val="a8"/>
        <w:spacing w:line="240" w:lineRule="auto"/>
        <w:rPr>
          <w:rFonts w:ascii="Times New Roman" w:hAnsi="Times New Roman"/>
          <w:sz w:val="22"/>
          <w:szCs w:val="22"/>
        </w:rPr>
      </w:pPr>
      <w:r w:rsidRPr="008B2AE9">
        <w:rPr>
          <w:rFonts w:ascii="Times New Roman" w:hAnsi="Times New Roman"/>
          <w:sz w:val="22"/>
          <w:szCs w:val="22"/>
        </w:rPr>
        <w:t>Η εσομεπραζόλη είναι μια ασθενής βάση που συγκεντρώνεται και μετατρέπεται σε δραστική μορφή στο</w:t>
      </w:r>
      <w:r w:rsidRPr="008B2AE9">
        <w:rPr>
          <w:rFonts w:ascii="Times New Roman" w:hAnsi="Times New Roman"/>
          <w:i/>
          <w:sz w:val="22"/>
          <w:szCs w:val="22"/>
        </w:rPr>
        <w:t xml:space="preserve"> </w:t>
      </w:r>
      <w:r w:rsidRPr="008B2AE9">
        <w:rPr>
          <w:rFonts w:ascii="Times New Roman" w:hAnsi="Times New Roman"/>
          <w:sz w:val="22"/>
          <w:szCs w:val="22"/>
        </w:rPr>
        <w:t>πολύ όξινο περιβάλλον των εκκριτικών σωληναρίων του τοιχωματικού κυττάρου, όπου και αναστέλλει το ένζυμο Η</w:t>
      </w:r>
      <w:r w:rsidRPr="008B2AE9">
        <w:rPr>
          <w:rFonts w:ascii="Times New Roman" w:hAnsi="Times New Roman"/>
          <w:sz w:val="22"/>
          <w:szCs w:val="22"/>
          <w:vertAlign w:val="superscript"/>
        </w:rPr>
        <w:t>+</w:t>
      </w:r>
      <w:r w:rsidRPr="008B2AE9">
        <w:rPr>
          <w:rFonts w:ascii="Times New Roman" w:hAnsi="Times New Roman"/>
          <w:sz w:val="22"/>
          <w:szCs w:val="22"/>
        </w:rPr>
        <w:t>, Κ</w:t>
      </w:r>
      <w:r w:rsidRPr="008B2AE9">
        <w:rPr>
          <w:rFonts w:ascii="Times New Roman" w:hAnsi="Times New Roman"/>
          <w:sz w:val="22"/>
          <w:szCs w:val="22"/>
          <w:vertAlign w:val="superscript"/>
        </w:rPr>
        <w:t>+</w:t>
      </w:r>
      <w:r w:rsidRPr="008B2AE9">
        <w:rPr>
          <w:rFonts w:ascii="Times New Roman" w:hAnsi="Times New Roman"/>
          <w:sz w:val="22"/>
          <w:szCs w:val="22"/>
        </w:rPr>
        <w:t xml:space="preserve">-ΑΤΡάση, δηλ. την αντλία πρωτονίων, με αποτέλεσμα την αναστολή τόσο της βασικής, όσο και της μετά από διέγερση έκκρισης οξέος. </w:t>
      </w:r>
    </w:p>
    <w:p w:rsidR="00E72235" w:rsidRPr="008B2AE9" w:rsidRDefault="00E72235" w:rsidP="006F7A28">
      <w:pPr>
        <w:pStyle w:val="a8"/>
        <w:spacing w:line="240" w:lineRule="auto"/>
        <w:rPr>
          <w:rFonts w:ascii="Times New Roman" w:hAnsi="Times New Roman"/>
          <w:sz w:val="22"/>
          <w:szCs w:val="22"/>
        </w:rPr>
      </w:pPr>
    </w:p>
    <w:p w:rsidR="00E72235" w:rsidRPr="008B2AE9" w:rsidRDefault="0097229D" w:rsidP="006F7A28">
      <w:pPr>
        <w:pStyle w:val="a8"/>
        <w:spacing w:line="240" w:lineRule="auto"/>
        <w:rPr>
          <w:rFonts w:ascii="Times New Roman" w:hAnsi="Times New Roman"/>
          <w:iCs/>
          <w:sz w:val="22"/>
          <w:szCs w:val="22"/>
          <w:u w:val="single"/>
        </w:rPr>
      </w:pPr>
      <w:r w:rsidRPr="008B2AE9">
        <w:rPr>
          <w:rFonts w:ascii="Times New Roman" w:hAnsi="Times New Roman"/>
          <w:iCs/>
          <w:sz w:val="22"/>
          <w:szCs w:val="22"/>
          <w:u w:val="single"/>
        </w:rPr>
        <w:t>Φαρμακοδυναμικές επιδράσεις</w:t>
      </w:r>
    </w:p>
    <w:p w:rsidR="00E72235" w:rsidRPr="008B2AE9" w:rsidRDefault="00E72235" w:rsidP="006F7A28">
      <w:pPr>
        <w:pStyle w:val="a8"/>
        <w:spacing w:line="240" w:lineRule="auto"/>
        <w:rPr>
          <w:rFonts w:ascii="Times New Roman" w:hAnsi="Times New Roman"/>
          <w:sz w:val="22"/>
          <w:szCs w:val="22"/>
        </w:rPr>
      </w:pPr>
      <w:r w:rsidRPr="008B2AE9">
        <w:rPr>
          <w:rFonts w:ascii="Times New Roman" w:hAnsi="Times New Roman"/>
          <w:sz w:val="22"/>
          <w:szCs w:val="22"/>
        </w:rPr>
        <w:t>Μετά από πέντε ημέρες από του στόματος χορήγηση δόσης 20 mg και 40 mg</w:t>
      </w:r>
      <w:r w:rsidRPr="008B2AE9">
        <w:rPr>
          <w:rFonts w:ascii="Times New Roman" w:hAnsi="Times New Roman"/>
          <w:b/>
          <w:sz w:val="22"/>
          <w:szCs w:val="22"/>
        </w:rPr>
        <w:t xml:space="preserve"> </w:t>
      </w:r>
      <w:r w:rsidRPr="008B2AE9">
        <w:rPr>
          <w:rFonts w:ascii="Times New Roman" w:hAnsi="Times New Roman"/>
          <w:sz w:val="22"/>
          <w:szCs w:val="22"/>
        </w:rPr>
        <w:t>εσομεπραζόλης σε ασθενείς με συμπτωματική γαστροοισοφαγική παλινδρόμηση, τιμές ενδογαστρικού pH μεγαλύτερες από 4 διατηρήθηκαν για</w:t>
      </w:r>
      <w:r w:rsidRPr="008B2AE9">
        <w:rPr>
          <w:rFonts w:ascii="Times New Roman" w:hAnsi="Times New Roman"/>
          <w:i/>
          <w:sz w:val="22"/>
          <w:szCs w:val="22"/>
        </w:rPr>
        <w:t xml:space="preserve"> </w:t>
      </w:r>
      <w:r w:rsidRPr="008B2AE9">
        <w:rPr>
          <w:rFonts w:ascii="Times New Roman" w:hAnsi="Times New Roman"/>
          <w:sz w:val="22"/>
          <w:szCs w:val="22"/>
        </w:rPr>
        <w:t>διάστημα 13 ωρών και 17 ωρών, κατά μέσο όρο, αντίστοιχα, στη διάρκεια του 24ώρου. Η δράση είναι παρόμοια ανεξάρτητα από το αν η εσομεπραζόλη χορηγείται από το στόμα ή ενδοφλέβια.</w:t>
      </w:r>
    </w:p>
    <w:p w:rsidR="00E72235" w:rsidRPr="008B2AE9" w:rsidRDefault="00E72235" w:rsidP="006F7A28">
      <w:pPr>
        <w:pStyle w:val="a8"/>
        <w:spacing w:line="240" w:lineRule="auto"/>
        <w:rPr>
          <w:rFonts w:ascii="Times New Roman" w:hAnsi="Times New Roman"/>
          <w:sz w:val="22"/>
          <w:szCs w:val="22"/>
        </w:rPr>
      </w:pPr>
    </w:p>
    <w:p w:rsidR="00E72235" w:rsidRPr="008B2AE9" w:rsidRDefault="00E72235" w:rsidP="006F7A28">
      <w:pPr>
        <w:pStyle w:val="a8"/>
        <w:spacing w:line="240" w:lineRule="auto"/>
        <w:rPr>
          <w:rFonts w:ascii="Times New Roman" w:hAnsi="Times New Roman"/>
          <w:sz w:val="22"/>
          <w:szCs w:val="22"/>
        </w:rPr>
      </w:pPr>
      <w:r w:rsidRPr="008B2AE9">
        <w:rPr>
          <w:rFonts w:ascii="Times New Roman" w:hAnsi="Times New Roman"/>
          <w:sz w:val="22"/>
          <w:szCs w:val="22"/>
        </w:rPr>
        <w:t xml:space="preserve">Χρησιμοποιώντας την </w:t>
      </w:r>
      <w:r w:rsidRPr="008B2AE9">
        <w:rPr>
          <w:rFonts w:ascii="Times New Roman" w:hAnsi="Times New Roman"/>
          <w:sz w:val="22"/>
          <w:szCs w:val="22"/>
          <w:lang w:val="en-US"/>
        </w:rPr>
        <w:t>AUC</w:t>
      </w:r>
      <w:r w:rsidRPr="008B2AE9">
        <w:rPr>
          <w:rFonts w:ascii="Times New Roman" w:hAnsi="Times New Roman"/>
          <w:sz w:val="22"/>
          <w:szCs w:val="22"/>
        </w:rPr>
        <w:t xml:space="preserve"> ως παράμετρο για την εκτίμηση της συγκέντρωσης του φαρμάκου στο πλάσμα, καταδεικνύεται μία σχέση μεταξύ της αναστολής της έκκρισης του γαστρικού οξέος και της έκθεσης στο φάρμακο μετά από </w:t>
      </w:r>
      <w:r w:rsidRPr="008B2AE9">
        <w:rPr>
          <w:rFonts w:ascii="Times New Roman" w:hAnsi="Times New Roman"/>
          <w:sz w:val="22"/>
          <w:szCs w:val="22"/>
          <w:lang w:val="en-US"/>
        </w:rPr>
        <w:t>per</w:t>
      </w:r>
      <w:r w:rsidRPr="008B2AE9">
        <w:rPr>
          <w:rFonts w:ascii="Times New Roman" w:hAnsi="Times New Roman"/>
          <w:sz w:val="22"/>
          <w:szCs w:val="22"/>
        </w:rPr>
        <w:t xml:space="preserve"> </w:t>
      </w:r>
      <w:r w:rsidRPr="008B2AE9">
        <w:rPr>
          <w:rFonts w:ascii="Times New Roman" w:hAnsi="Times New Roman"/>
          <w:sz w:val="22"/>
          <w:szCs w:val="22"/>
          <w:lang w:val="en-US"/>
        </w:rPr>
        <w:t>os</w:t>
      </w:r>
      <w:r w:rsidRPr="008B2AE9">
        <w:rPr>
          <w:rFonts w:ascii="Times New Roman" w:hAnsi="Times New Roman"/>
          <w:sz w:val="22"/>
          <w:szCs w:val="22"/>
        </w:rPr>
        <w:t xml:space="preserve"> χορήγηση της εσομεπραζόλης.</w:t>
      </w:r>
    </w:p>
    <w:p w:rsidR="00E72235" w:rsidRPr="008B2AE9" w:rsidRDefault="00E72235" w:rsidP="006F7A28">
      <w:pPr>
        <w:pStyle w:val="a8"/>
        <w:spacing w:line="240" w:lineRule="auto"/>
        <w:rPr>
          <w:rFonts w:ascii="Times New Roman" w:hAnsi="Times New Roman"/>
          <w:sz w:val="22"/>
          <w:szCs w:val="22"/>
        </w:rPr>
      </w:pPr>
    </w:p>
    <w:p w:rsidR="00E72235" w:rsidRPr="008B2AE9" w:rsidRDefault="00E72235" w:rsidP="006F7A28">
      <w:pPr>
        <w:pStyle w:val="a8"/>
        <w:spacing w:line="240" w:lineRule="auto"/>
        <w:rPr>
          <w:rFonts w:ascii="Times New Roman" w:hAnsi="Times New Roman"/>
          <w:sz w:val="22"/>
          <w:szCs w:val="22"/>
        </w:rPr>
      </w:pPr>
      <w:r w:rsidRPr="008B2AE9">
        <w:rPr>
          <w:rFonts w:ascii="Times New Roman" w:hAnsi="Times New Roman"/>
          <w:sz w:val="22"/>
          <w:szCs w:val="22"/>
        </w:rPr>
        <w:t xml:space="preserve">Κατά τη διάρκεια ενδοφλέβιας χορήγησης 80 mg εσομεπραζόλης </w:t>
      </w:r>
      <w:r w:rsidR="00696200" w:rsidRPr="008B2AE9">
        <w:rPr>
          <w:rFonts w:ascii="Times New Roman" w:hAnsi="Times New Roman"/>
          <w:sz w:val="22"/>
          <w:szCs w:val="22"/>
        </w:rPr>
        <w:t xml:space="preserve">ως δόση εφόδου </w:t>
      </w:r>
      <w:r w:rsidRPr="008B2AE9">
        <w:rPr>
          <w:rFonts w:ascii="Times New Roman" w:hAnsi="Times New Roman"/>
          <w:sz w:val="22"/>
          <w:szCs w:val="22"/>
        </w:rPr>
        <w:t xml:space="preserve">σε 30 λεπτά έγχυση ακολουθούμενη από συνεχή ενδοφλέβια έγχυση 8 mg/h για 23,5 ώρες, τιμές ενδογαστρικού pH μεγαλύτερες από 4 και pH μεγαλύτερες από 6 διατηρήθηκαν για διάστημα 21 ώρες και 11-13 ώρες, κατά μέσο όρο, αντίστοιχα για 24 ώρες σε υγιή άτομα. </w:t>
      </w:r>
    </w:p>
    <w:p w:rsidR="00E72235" w:rsidRPr="008B2AE9" w:rsidRDefault="00E72235" w:rsidP="006F7A28">
      <w:pPr>
        <w:pStyle w:val="a8"/>
        <w:spacing w:line="240" w:lineRule="auto"/>
        <w:rPr>
          <w:rFonts w:ascii="Times New Roman" w:hAnsi="Times New Roman"/>
          <w:sz w:val="22"/>
          <w:szCs w:val="22"/>
        </w:rPr>
      </w:pPr>
    </w:p>
    <w:p w:rsidR="00E72235" w:rsidRPr="008B2AE9" w:rsidRDefault="00E72235" w:rsidP="006F7A28">
      <w:pPr>
        <w:pStyle w:val="a8"/>
        <w:spacing w:line="240" w:lineRule="auto"/>
        <w:rPr>
          <w:rFonts w:ascii="Times New Roman" w:hAnsi="Times New Roman"/>
          <w:sz w:val="22"/>
          <w:szCs w:val="22"/>
        </w:rPr>
      </w:pPr>
      <w:r w:rsidRPr="008B2AE9">
        <w:rPr>
          <w:rFonts w:ascii="Times New Roman" w:hAnsi="Times New Roman"/>
          <w:sz w:val="22"/>
          <w:szCs w:val="22"/>
        </w:rPr>
        <w:t xml:space="preserve">Η επούλωση της οισοφαγίτιδας από γαστροοισοφαγική παλινδρόμηση με 40 </w:t>
      </w:r>
      <w:r w:rsidRPr="008B2AE9">
        <w:rPr>
          <w:rFonts w:ascii="Times New Roman" w:hAnsi="Times New Roman"/>
          <w:sz w:val="22"/>
          <w:szCs w:val="22"/>
          <w:lang w:val="en-US"/>
        </w:rPr>
        <w:t>mg</w:t>
      </w:r>
      <w:r w:rsidRPr="008B2AE9">
        <w:rPr>
          <w:rFonts w:ascii="Times New Roman" w:hAnsi="Times New Roman"/>
          <w:sz w:val="22"/>
          <w:szCs w:val="22"/>
        </w:rPr>
        <w:t xml:space="preserve"> εσομεπραζόλης επιτυγχάνεται στο 78% περίπου των ασθενών μετά από τέσσερις εβδομάδες και στο 93% μετά από οκτώ εβδομάδες θεραπείας</w:t>
      </w:r>
      <w:r w:rsidR="00FE1143" w:rsidRPr="008B2AE9">
        <w:rPr>
          <w:rFonts w:ascii="Times New Roman" w:hAnsi="Times New Roman"/>
          <w:sz w:val="22"/>
          <w:szCs w:val="22"/>
        </w:rPr>
        <w:t xml:space="preserve"> από του στόματος</w:t>
      </w:r>
      <w:r w:rsidRPr="008B2AE9">
        <w:rPr>
          <w:rFonts w:ascii="Times New Roman" w:hAnsi="Times New Roman"/>
          <w:sz w:val="22"/>
          <w:szCs w:val="22"/>
        </w:rPr>
        <w:t>.</w:t>
      </w:r>
    </w:p>
    <w:p w:rsidR="00E72235" w:rsidRPr="008B2AE9" w:rsidRDefault="00E72235" w:rsidP="006F7A28">
      <w:pPr>
        <w:pStyle w:val="a8"/>
        <w:spacing w:line="240" w:lineRule="auto"/>
        <w:rPr>
          <w:rFonts w:ascii="Times New Roman" w:hAnsi="Times New Roman"/>
          <w:sz w:val="22"/>
          <w:szCs w:val="22"/>
        </w:rPr>
      </w:pPr>
    </w:p>
    <w:p w:rsidR="00E72235" w:rsidRPr="008B2AE9" w:rsidRDefault="00E72235" w:rsidP="006F7A28">
      <w:pPr>
        <w:pStyle w:val="a8"/>
        <w:spacing w:line="240" w:lineRule="auto"/>
        <w:rPr>
          <w:rFonts w:ascii="Times New Roman" w:hAnsi="Times New Roman"/>
          <w:sz w:val="22"/>
          <w:szCs w:val="22"/>
        </w:rPr>
      </w:pPr>
      <w:r w:rsidRPr="008B2AE9">
        <w:rPr>
          <w:rFonts w:ascii="Times New Roman" w:hAnsi="Times New Roman"/>
          <w:sz w:val="22"/>
          <w:szCs w:val="22"/>
        </w:rPr>
        <w:t>Σε μία τυχαιοποιημένη, διπλά-τυφλή, ελεγχόμενη με εικονικό φάρμακο κλινική μελέτη, οι ασθενείς με αιμορραγία πεπτικού έλκους επιβεβαιωμένου ενδοσκοπικά και χαρακτηριζόμενο ως Forrest Ia, Ib,</w:t>
      </w:r>
      <w:r w:rsidR="00212910" w:rsidRPr="008B2AE9">
        <w:rPr>
          <w:rFonts w:ascii="Times New Roman" w:hAnsi="Times New Roman"/>
          <w:sz w:val="22"/>
          <w:szCs w:val="22"/>
        </w:rPr>
        <w:t xml:space="preserve"> IIa ή IIb (9%, 43%, 38% και 10</w:t>
      </w:r>
      <w:r w:rsidRPr="008B2AE9">
        <w:rPr>
          <w:rFonts w:ascii="Times New Roman" w:hAnsi="Times New Roman"/>
          <w:sz w:val="22"/>
          <w:szCs w:val="22"/>
        </w:rPr>
        <w:t xml:space="preserve">% αντίστοιχα) τυχαιοποιήθηκαν για να λάβουν </w:t>
      </w:r>
      <w:r w:rsidR="00D37588" w:rsidRPr="008B2AE9">
        <w:rPr>
          <w:rFonts w:ascii="Times New Roman" w:hAnsi="Times New Roman"/>
          <w:sz w:val="22"/>
          <w:szCs w:val="22"/>
        </w:rPr>
        <w:t>εσομεπραζόλη</w:t>
      </w:r>
      <w:r w:rsidRPr="008B2AE9">
        <w:rPr>
          <w:rFonts w:ascii="Times New Roman" w:hAnsi="Times New Roman"/>
          <w:sz w:val="22"/>
          <w:szCs w:val="22"/>
        </w:rPr>
        <w:t xml:space="preserve"> (n=375) ή εικονικό φάρμακο (n=389).</w:t>
      </w:r>
      <w:r w:rsidR="00733994" w:rsidRPr="008B2AE9">
        <w:rPr>
          <w:rFonts w:ascii="Times New Roman" w:hAnsi="Times New Roman"/>
          <w:sz w:val="22"/>
          <w:szCs w:val="22"/>
        </w:rPr>
        <w:t xml:space="preserve"> </w:t>
      </w:r>
      <w:r w:rsidRPr="008B2AE9">
        <w:rPr>
          <w:rFonts w:ascii="Times New Roman" w:hAnsi="Times New Roman"/>
          <w:sz w:val="22"/>
          <w:szCs w:val="22"/>
        </w:rPr>
        <w:t xml:space="preserve">Μετά από ενδοσκοπική αιμόσταση, οι ασθενείς έλαβαν είτε 80 mg εσομεπραζόλης ως ενδοφλέβια έγχυση για 30 λεπτά ακολουθούμενη από συνεχή έγχυση 8 mg ανά ώρα ή εικονικό φάρμακο για 72 ώρες. Μετά την αρχική περίοδο των 72 ωρών, όλοι οι ασθενείς έλαβαν από του στόματος 40 </w:t>
      </w:r>
      <w:r w:rsidRPr="008B2AE9">
        <w:rPr>
          <w:rFonts w:ascii="Times New Roman" w:hAnsi="Times New Roman"/>
          <w:sz w:val="22"/>
          <w:szCs w:val="22"/>
          <w:lang w:val="en-US"/>
        </w:rPr>
        <w:t>mg</w:t>
      </w:r>
      <w:r w:rsidRPr="008B2AE9">
        <w:rPr>
          <w:rFonts w:ascii="Times New Roman" w:hAnsi="Times New Roman"/>
          <w:sz w:val="22"/>
          <w:szCs w:val="22"/>
        </w:rPr>
        <w:t xml:space="preserve"> </w:t>
      </w:r>
      <w:r w:rsidR="00F033A8" w:rsidRPr="008B2AE9">
        <w:rPr>
          <w:rFonts w:ascii="Times New Roman" w:hAnsi="Times New Roman"/>
          <w:sz w:val="22"/>
          <w:szCs w:val="22"/>
        </w:rPr>
        <w:t>εσομεπραζόλη</w:t>
      </w:r>
      <w:r w:rsidRPr="008B2AE9">
        <w:rPr>
          <w:rFonts w:ascii="Times New Roman" w:hAnsi="Times New Roman"/>
          <w:sz w:val="22"/>
          <w:szCs w:val="22"/>
        </w:rPr>
        <w:t xml:space="preserve"> για 27 ημέρες για καταστολή του οξέος. </w:t>
      </w:r>
      <w:r w:rsidRPr="008B2AE9">
        <w:rPr>
          <w:rFonts w:ascii="Times New Roman" w:hAnsi="Times New Roman"/>
          <w:sz w:val="22"/>
          <w:szCs w:val="22"/>
          <w:lang w:val="en-US"/>
        </w:rPr>
        <w:t>H</w:t>
      </w:r>
      <w:r w:rsidRPr="008B2AE9">
        <w:rPr>
          <w:rFonts w:ascii="Times New Roman" w:hAnsi="Times New Roman"/>
          <w:sz w:val="22"/>
          <w:szCs w:val="22"/>
        </w:rPr>
        <w:t xml:space="preserve"> εμφάνιση επαναιμορραγίας μέσα σε 3 ημέρες ήταν 5,9% στην ομάδα που χορηγήθηκε </w:t>
      </w:r>
      <w:r w:rsidR="005F1DBD" w:rsidRPr="008B2AE9">
        <w:rPr>
          <w:rFonts w:ascii="Times New Roman" w:hAnsi="Times New Roman"/>
          <w:sz w:val="22"/>
          <w:szCs w:val="22"/>
        </w:rPr>
        <w:t>εσομεπραζόλη</w:t>
      </w:r>
      <w:r w:rsidRPr="008B2AE9">
        <w:rPr>
          <w:rFonts w:ascii="Times New Roman" w:hAnsi="Times New Roman"/>
          <w:sz w:val="22"/>
          <w:szCs w:val="22"/>
        </w:rPr>
        <w:t>,</w:t>
      </w:r>
      <w:r w:rsidR="006C424F" w:rsidRPr="008B2AE9">
        <w:rPr>
          <w:rFonts w:ascii="Times New Roman" w:hAnsi="Times New Roman"/>
          <w:sz w:val="22"/>
          <w:szCs w:val="22"/>
        </w:rPr>
        <w:t xml:space="preserve"> </w:t>
      </w:r>
      <w:r w:rsidRPr="008B2AE9">
        <w:rPr>
          <w:rFonts w:ascii="Times New Roman" w:hAnsi="Times New Roman"/>
          <w:sz w:val="22"/>
          <w:szCs w:val="22"/>
        </w:rPr>
        <w:t xml:space="preserve">σε σύγκριση με 10,3% στην ομάδα του εικονικού φαρμάκου. Στις 30 ημέρες μετά την θεραπεία, η εμφάνιση επαναιμορραγίας στην ομάδα που χορηγήθηκε </w:t>
      </w:r>
      <w:r w:rsidR="005F1DBD" w:rsidRPr="008B2AE9">
        <w:rPr>
          <w:rFonts w:ascii="Times New Roman" w:hAnsi="Times New Roman"/>
          <w:sz w:val="22"/>
          <w:szCs w:val="22"/>
        </w:rPr>
        <w:t xml:space="preserve">εσομεπραζόλη </w:t>
      </w:r>
      <w:r w:rsidRPr="008B2AE9">
        <w:rPr>
          <w:rFonts w:ascii="Times New Roman" w:hAnsi="Times New Roman"/>
          <w:sz w:val="22"/>
          <w:szCs w:val="22"/>
        </w:rPr>
        <w:t>έναντι της ομάδας του εικονικού φαρμάκου ήταν 7,7% έναντι 13,6%.</w:t>
      </w:r>
    </w:p>
    <w:p w:rsidR="00E72235" w:rsidRPr="008B2AE9" w:rsidRDefault="00E72235" w:rsidP="006F7A28">
      <w:pPr>
        <w:pStyle w:val="a8"/>
        <w:spacing w:line="240" w:lineRule="auto"/>
        <w:rPr>
          <w:rFonts w:ascii="Times New Roman" w:hAnsi="Times New Roman"/>
          <w:position w:val="4"/>
          <w:sz w:val="22"/>
          <w:szCs w:val="22"/>
        </w:rPr>
      </w:pPr>
    </w:p>
    <w:p w:rsidR="00E72235" w:rsidRPr="008B2AE9" w:rsidRDefault="00E72235" w:rsidP="006F7A28">
      <w:pPr>
        <w:jc w:val="both"/>
        <w:rPr>
          <w:rFonts w:ascii="Times New Roman" w:hAnsi="Times New Roman"/>
          <w:sz w:val="22"/>
          <w:szCs w:val="22"/>
          <w:lang w:val="el-GR"/>
        </w:rPr>
      </w:pPr>
      <w:r w:rsidRPr="008B2AE9">
        <w:rPr>
          <w:rFonts w:ascii="Times New Roman" w:hAnsi="Times New Roman"/>
          <w:sz w:val="22"/>
          <w:szCs w:val="22"/>
          <w:lang w:val="el-GR"/>
        </w:rPr>
        <w:t>Κατά τη διάρκεια της θεραπείας με αντιεκκριτικά φ</w:t>
      </w:r>
      <w:r w:rsidR="00D4706F" w:rsidRPr="008B2AE9">
        <w:rPr>
          <w:rFonts w:ascii="Times New Roman" w:hAnsi="Times New Roman"/>
          <w:sz w:val="22"/>
          <w:szCs w:val="22"/>
          <w:lang w:val="el-GR"/>
        </w:rPr>
        <w:t>αρμακευτικά προϊόντα</w:t>
      </w:r>
      <w:r w:rsidR="005F571C" w:rsidRPr="008B2AE9">
        <w:rPr>
          <w:rFonts w:ascii="Times New Roman" w:hAnsi="Times New Roman"/>
          <w:sz w:val="22"/>
          <w:szCs w:val="22"/>
          <w:lang w:val="el-GR"/>
        </w:rPr>
        <w:t>,</w:t>
      </w:r>
      <w:r w:rsidRPr="008B2AE9">
        <w:rPr>
          <w:rFonts w:ascii="Times New Roman" w:hAnsi="Times New Roman"/>
          <w:sz w:val="22"/>
          <w:szCs w:val="22"/>
          <w:lang w:val="el-GR"/>
        </w:rPr>
        <w:t xml:space="preserve"> τα επίπεδα της</w:t>
      </w:r>
      <w:r w:rsidR="006C424F" w:rsidRPr="008B2AE9">
        <w:rPr>
          <w:rFonts w:ascii="Times New Roman" w:hAnsi="Times New Roman"/>
          <w:sz w:val="22"/>
          <w:szCs w:val="22"/>
          <w:lang w:val="el-GR"/>
        </w:rPr>
        <w:t xml:space="preserve"> </w:t>
      </w:r>
      <w:r w:rsidRPr="008B2AE9">
        <w:rPr>
          <w:rFonts w:ascii="Times New Roman" w:hAnsi="Times New Roman"/>
          <w:sz w:val="22"/>
          <w:szCs w:val="22"/>
          <w:lang w:val="el-GR"/>
        </w:rPr>
        <w:t>γαστρίνης στον ορό αυξάνονται ως απάντηση στη μειωμένη έκκριση οξέος.</w:t>
      </w:r>
      <w:r w:rsidR="00326CC3" w:rsidRPr="008B2AE9">
        <w:rPr>
          <w:rFonts w:ascii="Times New Roman" w:hAnsi="Times New Roman"/>
          <w:sz w:val="22"/>
          <w:szCs w:val="22"/>
          <w:lang w:val="el-GR"/>
        </w:rPr>
        <w:t xml:space="preserve"> Η χρωμογρανίνη Α (CgA) αυξάνεται επίσης λόγω της μειωμένη γαστρικής οξύτητας.</w:t>
      </w:r>
      <w:r w:rsidR="002C1F1C" w:rsidRPr="008B2AE9">
        <w:rPr>
          <w:rFonts w:ascii="Times New Roman" w:hAnsi="Times New Roman"/>
          <w:sz w:val="22"/>
          <w:szCs w:val="22"/>
          <w:lang w:val="el-GR"/>
        </w:rPr>
        <w:t xml:space="preserve"> </w:t>
      </w:r>
      <w:r w:rsidR="00ED3CAB" w:rsidRPr="008B2AE9">
        <w:rPr>
          <w:rFonts w:ascii="Times New Roman" w:hAnsi="Times New Roman"/>
          <w:sz w:val="22"/>
          <w:szCs w:val="22"/>
          <w:lang w:val="el-GR"/>
        </w:rPr>
        <w:t xml:space="preserve">Αναφορές </w:t>
      </w:r>
      <w:r w:rsidR="002C1F1C" w:rsidRPr="008B2AE9">
        <w:rPr>
          <w:rFonts w:ascii="Times New Roman" w:hAnsi="Times New Roman"/>
          <w:sz w:val="22"/>
          <w:szCs w:val="22"/>
          <w:lang w:val="el-GR"/>
        </w:rPr>
        <w:t>βιβλιογραφία</w:t>
      </w:r>
      <w:r w:rsidR="00ED3CAB" w:rsidRPr="008B2AE9">
        <w:rPr>
          <w:rFonts w:ascii="Times New Roman" w:hAnsi="Times New Roman"/>
          <w:sz w:val="22"/>
          <w:szCs w:val="22"/>
          <w:lang w:val="el-GR"/>
        </w:rPr>
        <w:t>ς</w:t>
      </w:r>
      <w:r w:rsidR="002C1F1C" w:rsidRPr="008B2AE9">
        <w:rPr>
          <w:rFonts w:ascii="Times New Roman" w:hAnsi="Times New Roman"/>
          <w:sz w:val="22"/>
          <w:szCs w:val="22"/>
          <w:lang w:val="el-GR"/>
        </w:rPr>
        <w:t xml:space="preserve"> δείχνουν ότι η </w:t>
      </w:r>
      <w:r w:rsidR="00ED3CAB" w:rsidRPr="008B2AE9">
        <w:rPr>
          <w:rFonts w:ascii="Times New Roman" w:hAnsi="Times New Roman"/>
          <w:sz w:val="22"/>
          <w:szCs w:val="22"/>
          <w:lang w:val="el-GR"/>
        </w:rPr>
        <w:t xml:space="preserve">θεραπεία με αναστολείς </w:t>
      </w:r>
      <w:r w:rsidR="002C1F1C" w:rsidRPr="008B2AE9">
        <w:rPr>
          <w:rFonts w:ascii="Times New Roman" w:hAnsi="Times New Roman"/>
          <w:sz w:val="22"/>
          <w:szCs w:val="22"/>
          <w:lang w:val="el-GR"/>
        </w:rPr>
        <w:t xml:space="preserve">αντλίας πρωτονίων θα πρέπει να διακοπεί τουλάχιστον 5 ημέρες πριν την μέτρηση της CgA. Εάν </w:t>
      </w:r>
      <w:r w:rsidR="00ED3CAB" w:rsidRPr="008B2AE9">
        <w:rPr>
          <w:rFonts w:ascii="Times New Roman" w:hAnsi="Times New Roman"/>
          <w:sz w:val="22"/>
          <w:szCs w:val="22"/>
          <w:lang w:val="el-GR"/>
        </w:rPr>
        <w:t xml:space="preserve">η </w:t>
      </w:r>
      <w:r w:rsidR="002C1F1C" w:rsidRPr="008B2AE9">
        <w:rPr>
          <w:rFonts w:ascii="Times New Roman" w:hAnsi="Times New Roman"/>
          <w:sz w:val="22"/>
          <w:szCs w:val="22"/>
          <w:lang w:val="el-GR"/>
        </w:rPr>
        <w:t xml:space="preserve">CgA και τα επίπεδα γαστρίνης δεν έχουν </w:t>
      </w:r>
      <w:r w:rsidR="00ED3CAB" w:rsidRPr="008B2AE9">
        <w:rPr>
          <w:rFonts w:ascii="Times New Roman" w:hAnsi="Times New Roman"/>
          <w:sz w:val="22"/>
          <w:szCs w:val="22"/>
          <w:lang w:val="el-GR"/>
        </w:rPr>
        <w:t xml:space="preserve">έρθει σε </w:t>
      </w:r>
      <w:r w:rsidR="00ED3CAB" w:rsidRPr="008B2AE9">
        <w:rPr>
          <w:rFonts w:ascii="Times New Roman" w:hAnsi="Times New Roman"/>
          <w:sz w:val="22"/>
          <w:szCs w:val="22"/>
          <w:lang w:val="el-GR"/>
        </w:rPr>
        <w:lastRenderedPageBreak/>
        <w:t>φυσιολογικά επίπεδα</w:t>
      </w:r>
      <w:r w:rsidR="002C1F1C" w:rsidRPr="008B2AE9">
        <w:rPr>
          <w:rFonts w:ascii="Times New Roman" w:hAnsi="Times New Roman"/>
          <w:sz w:val="22"/>
          <w:szCs w:val="22"/>
          <w:lang w:val="el-GR"/>
        </w:rPr>
        <w:t xml:space="preserve"> μετά από 5 ημέρες, οι μετρήσεις θα πρέπει να </w:t>
      </w:r>
      <w:r w:rsidR="00565183" w:rsidRPr="008B2AE9">
        <w:rPr>
          <w:rFonts w:ascii="Times New Roman" w:hAnsi="Times New Roman"/>
          <w:sz w:val="22"/>
          <w:szCs w:val="22"/>
          <w:lang w:val="el-GR"/>
        </w:rPr>
        <w:t>επαναληφθούν</w:t>
      </w:r>
      <w:r w:rsidR="002C1F1C" w:rsidRPr="008B2AE9">
        <w:rPr>
          <w:rFonts w:ascii="Times New Roman" w:hAnsi="Times New Roman"/>
          <w:sz w:val="22"/>
          <w:szCs w:val="22"/>
          <w:lang w:val="el-GR"/>
        </w:rPr>
        <w:t xml:space="preserve"> σε 14 ημέρες μετά </w:t>
      </w:r>
      <w:r w:rsidR="00565183" w:rsidRPr="008B2AE9">
        <w:rPr>
          <w:rFonts w:ascii="Times New Roman" w:hAnsi="Times New Roman"/>
          <w:sz w:val="22"/>
          <w:szCs w:val="22"/>
          <w:lang w:val="el-GR"/>
        </w:rPr>
        <w:t>τη διακοπή</w:t>
      </w:r>
      <w:r w:rsidR="002C1F1C" w:rsidRPr="008B2AE9">
        <w:rPr>
          <w:rFonts w:ascii="Times New Roman" w:hAnsi="Times New Roman"/>
          <w:sz w:val="22"/>
          <w:szCs w:val="22"/>
          <w:lang w:val="el-GR"/>
        </w:rPr>
        <w:t xml:space="preserve"> της </w:t>
      </w:r>
      <w:r w:rsidR="00565183" w:rsidRPr="008B2AE9">
        <w:rPr>
          <w:rFonts w:ascii="Times New Roman" w:hAnsi="Times New Roman"/>
          <w:sz w:val="22"/>
          <w:szCs w:val="22"/>
          <w:lang w:val="el-GR"/>
        </w:rPr>
        <w:t xml:space="preserve">θεραπείας με </w:t>
      </w:r>
      <w:r w:rsidR="002C1F1C" w:rsidRPr="008B2AE9">
        <w:rPr>
          <w:rFonts w:ascii="Times New Roman" w:hAnsi="Times New Roman"/>
          <w:sz w:val="22"/>
          <w:szCs w:val="22"/>
          <w:lang w:val="el-GR"/>
        </w:rPr>
        <w:t>εσομεπραζόλη.</w:t>
      </w:r>
    </w:p>
    <w:p w:rsidR="002C1F1C" w:rsidRPr="008B2AE9" w:rsidRDefault="002C1F1C" w:rsidP="006F7A28">
      <w:pPr>
        <w:jc w:val="both"/>
        <w:rPr>
          <w:rFonts w:ascii="Times New Roman" w:hAnsi="Times New Roman"/>
          <w:sz w:val="22"/>
          <w:szCs w:val="22"/>
          <w:lang w:val="el-GR"/>
        </w:rPr>
      </w:pPr>
    </w:p>
    <w:p w:rsidR="00E72235" w:rsidRPr="008B2AE9" w:rsidRDefault="00E72235" w:rsidP="006F7A28">
      <w:pPr>
        <w:pStyle w:val="a8"/>
        <w:spacing w:line="240" w:lineRule="auto"/>
        <w:rPr>
          <w:rFonts w:ascii="Times New Roman" w:hAnsi="Times New Roman"/>
          <w:sz w:val="22"/>
          <w:szCs w:val="22"/>
        </w:rPr>
      </w:pPr>
      <w:r w:rsidRPr="008B2AE9">
        <w:rPr>
          <w:rFonts w:ascii="Times New Roman" w:hAnsi="Times New Roman"/>
          <w:sz w:val="22"/>
          <w:szCs w:val="22"/>
        </w:rPr>
        <w:t xml:space="preserve">Αύξηση στον αριθμό των ECL-κυττάρων που πιθανά σχετίζεται με την αύξηση των επιπέδων της γαστρίνης στον ορό έχει παρατηρηθεί </w:t>
      </w:r>
      <w:r w:rsidR="00A0669C" w:rsidRPr="008B2AE9">
        <w:rPr>
          <w:rFonts w:ascii="Times New Roman" w:hAnsi="Times New Roman"/>
          <w:sz w:val="22"/>
          <w:szCs w:val="22"/>
        </w:rPr>
        <w:t>τόσο σε παιδιά όσο και ενήλικες</w:t>
      </w:r>
      <w:r w:rsidRPr="008B2AE9">
        <w:rPr>
          <w:rFonts w:ascii="Times New Roman" w:hAnsi="Times New Roman"/>
          <w:sz w:val="22"/>
          <w:szCs w:val="22"/>
        </w:rPr>
        <w:t xml:space="preserve"> κατά τη διάρκεια μακροχρόνιας θεραπείας με εσομεπραζόλη.</w:t>
      </w:r>
    </w:p>
    <w:p w:rsidR="00E72235" w:rsidRPr="008B2AE9" w:rsidRDefault="00F24D08" w:rsidP="006F7A28">
      <w:pPr>
        <w:pStyle w:val="a8"/>
        <w:spacing w:line="240" w:lineRule="auto"/>
        <w:rPr>
          <w:rFonts w:ascii="Times New Roman" w:hAnsi="Times New Roman"/>
          <w:sz w:val="22"/>
          <w:szCs w:val="22"/>
        </w:rPr>
      </w:pPr>
      <w:r w:rsidRPr="008B2AE9">
        <w:rPr>
          <w:rFonts w:ascii="Times New Roman" w:hAnsi="Times New Roman"/>
          <w:sz w:val="22"/>
          <w:szCs w:val="22"/>
        </w:rPr>
        <w:t>Τα ευρήματα θεωρείται ότι δεν έχουν κλινική σημασία.</w:t>
      </w:r>
    </w:p>
    <w:p w:rsidR="00F24D08" w:rsidRPr="008B2AE9" w:rsidRDefault="00F24D08" w:rsidP="006F7A28">
      <w:pPr>
        <w:pStyle w:val="a8"/>
        <w:spacing w:line="240" w:lineRule="auto"/>
        <w:rPr>
          <w:rFonts w:ascii="Times New Roman" w:hAnsi="Times New Roman"/>
          <w:sz w:val="22"/>
          <w:szCs w:val="22"/>
        </w:rPr>
      </w:pPr>
    </w:p>
    <w:p w:rsidR="00E72235" w:rsidRPr="008B2AE9" w:rsidRDefault="00E72235" w:rsidP="006F7A28">
      <w:pPr>
        <w:pStyle w:val="a8"/>
        <w:spacing w:line="240" w:lineRule="auto"/>
        <w:rPr>
          <w:rFonts w:ascii="Times New Roman" w:hAnsi="Times New Roman"/>
          <w:sz w:val="22"/>
          <w:szCs w:val="22"/>
        </w:rPr>
      </w:pPr>
      <w:r w:rsidRPr="008B2AE9">
        <w:rPr>
          <w:rFonts w:ascii="Times New Roman" w:hAnsi="Times New Roman"/>
          <w:sz w:val="22"/>
          <w:szCs w:val="22"/>
        </w:rPr>
        <w:t>Κατά τη διάρκεια της μακροχρόνιας θεραπείας με αντιεκκριτικά φ</w:t>
      </w:r>
      <w:r w:rsidR="00647FDF" w:rsidRPr="008B2AE9">
        <w:rPr>
          <w:rFonts w:ascii="Times New Roman" w:hAnsi="Times New Roman"/>
          <w:sz w:val="22"/>
          <w:szCs w:val="22"/>
        </w:rPr>
        <w:t>αρμακευτικά προϊόντα</w:t>
      </w:r>
      <w:r w:rsidRPr="008B2AE9">
        <w:rPr>
          <w:rFonts w:ascii="Times New Roman" w:hAnsi="Times New Roman"/>
          <w:sz w:val="22"/>
          <w:szCs w:val="22"/>
        </w:rPr>
        <w:t xml:space="preserve"> έχει αναφερθεί η εμφάνιση κυστικής διάτασης των γαστρικών αδένων, με κάπως αυξημένη συχνότητα. Οι αλλαγές αυτές είναι ένα φυσιολογικό επακόλουθο της έντονης αναστολής της έκκρισης οξέος, είναι καλοήθεις και φαίνεται ότι είναι αναστρέψιμες.</w:t>
      </w:r>
    </w:p>
    <w:p w:rsidR="00E72235" w:rsidRPr="008B2AE9" w:rsidRDefault="00E72235" w:rsidP="006F7A28">
      <w:pPr>
        <w:pStyle w:val="a8"/>
        <w:spacing w:line="240" w:lineRule="auto"/>
        <w:rPr>
          <w:rFonts w:ascii="Times New Roman" w:hAnsi="Times New Roman"/>
          <w:b/>
          <w:i/>
          <w:sz w:val="22"/>
          <w:szCs w:val="22"/>
        </w:rPr>
      </w:pPr>
    </w:p>
    <w:p w:rsidR="00B3685B" w:rsidRPr="008B2AE9" w:rsidRDefault="00E72235" w:rsidP="006F7A28">
      <w:pPr>
        <w:pStyle w:val="2"/>
        <w:spacing w:line="240" w:lineRule="auto"/>
        <w:jc w:val="both"/>
        <w:rPr>
          <w:rFonts w:ascii="Times New Roman" w:hAnsi="Times New Roman"/>
          <w:b/>
          <w:iCs/>
          <w:sz w:val="22"/>
          <w:szCs w:val="22"/>
        </w:rPr>
      </w:pPr>
      <w:r w:rsidRPr="008B2AE9">
        <w:rPr>
          <w:rFonts w:ascii="Times New Roman" w:hAnsi="Times New Roman"/>
          <w:bCs/>
          <w:i w:val="0"/>
          <w:sz w:val="22"/>
          <w:szCs w:val="22"/>
        </w:rPr>
        <w:t>Μειωμένη γαστρική οξύτητα για κάθε λόγο συμπεριλαμβανομένων των αναστολέων της αντλίας πρωτονίων, αυξάνει τον αριθμό των γαστρικών βακτηρίων που φυσιολογικά υπάρχουν στον γαστρεντερικό σωλήνα. Η θεραπεία με αναστολείς της αντλίας πρωτονίων μπορεί να οδηγήσει σε μικρή αύξηση του κινδύνου γαστρεντερικών λοιμώξεων όπως</w:t>
      </w:r>
      <w:r w:rsidRPr="008B2AE9">
        <w:rPr>
          <w:rFonts w:ascii="Times New Roman" w:hAnsi="Times New Roman"/>
          <w:bCs/>
          <w:sz w:val="22"/>
          <w:szCs w:val="22"/>
        </w:rPr>
        <w:t xml:space="preserve"> </w:t>
      </w:r>
      <w:r w:rsidRPr="008B2AE9">
        <w:rPr>
          <w:rFonts w:ascii="Times New Roman" w:hAnsi="Times New Roman"/>
          <w:bCs/>
          <w:i w:val="0"/>
          <w:sz w:val="22"/>
          <w:szCs w:val="22"/>
        </w:rPr>
        <w:t xml:space="preserve">από </w:t>
      </w:r>
      <w:r w:rsidRPr="008B2AE9">
        <w:rPr>
          <w:rFonts w:ascii="Times New Roman" w:hAnsi="Times New Roman"/>
          <w:bCs/>
          <w:i w:val="0"/>
          <w:sz w:val="22"/>
          <w:szCs w:val="22"/>
          <w:lang w:val="en-US"/>
        </w:rPr>
        <w:t>Salmonella</w:t>
      </w:r>
      <w:r w:rsidRPr="008B2AE9">
        <w:rPr>
          <w:rFonts w:ascii="Times New Roman" w:hAnsi="Times New Roman"/>
          <w:bCs/>
          <w:i w:val="0"/>
          <w:sz w:val="22"/>
          <w:szCs w:val="22"/>
        </w:rPr>
        <w:t xml:space="preserve"> </w:t>
      </w:r>
      <w:r w:rsidRPr="008B2AE9">
        <w:rPr>
          <w:rFonts w:ascii="Times New Roman" w:hAnsi="Times New Roman"/>
          <w:bCs/>
          <w:i w:val="0"/>
          <w:iCs/>
          <w:sz w:val="22"/>
          <w:szCs w:val="22"/>
        </w:rPr>
        <w:t xml:space="preserve">και </w:t>
      </w:r>
      <w:r w:rsidRPr="008B2AE9">
        <w:rPr>
          <w:rFonts w:ascii="Times New Roman" w:hAnsi="Times New Roman"/>
          <w:bCs/>
          <w:i w:val="0"/>
          <w:sz w:val="22"/>
          <w:szCs w:val="22"/>
          <w:lang w:val="en-US"/>
        </w:rPr>
        <w:t>Campylobacter</w:t>
      </w:r>
      <w:r w:rsidR="00B3685B" w:rsidRPr="008B2AE9">
        <w:rPr>
          <w:rFonts w:ascii="Times New Roman" w:hAnsi="Times New Roman"/>
          <w:i w:val="0"/>
          <w:sz w:val="22"/>
          <w:szCs w:val="22"/>
        </w:rPr>
        <w:t xml:space="preserve"> και σε </w:t>
      </w:r>
      <w:r w:rsidR="00A025F2" w:rsidRPr="008B2AE9">
        <w:rPr>
          <w:rFonts w:ascii="Times New Roman" w:hAnsi="Times New Roman"/>
          <w:i w:val="0"/>
          <w:sz w:val="22"/>
          <w:szCs w:val="22"/>
        </w:rPr>
        <w:t>νοσηλευόμενους</w:t>
      </w:r>
      <w:r w:rsidR="00B3685B" w:rsidRPr="008B2AE9">
        <w:rPr>
          <w:rFonts w:ascii="Times New Roman" w:hAnsi="Times New Roman"/>
          <w:i w:val="0"/>
          <w:sz w:val="22"/>
          <w:szCs w:val="22"/>
        </w:rPr>
        <w:t xml:space="preserve"> ασθενείς πιθανώς επίσης από Clostridium difficile</w:t>
      </w:r>
      <w:r w:rsidR="00B3685B" w:rsidRPr="008B2AE9">
        <w:rPr>
          <w:rFonts w:ascii="Times New Roman" w:hAnsi="Times New Roman"/>
          <w:sz w:val="22"/>
          <w:szCs w:val="22"/>
        </w:rPr>
        <w:t>.</w:t>
      </w:r>
    </w:p>
    <w:p w:rsidR="00FA2132" w:rsidRPr="008B2AE9" w:rsidRDefault="00FA2132" w:rsidP="006F7A28">
      <w:pPr>
        <w:jc w:val="both"/>
        <w:rPr>
          <w:rFonts w:ascii="Times New Roman" w:hAnsi="Times New Roman"/>
          <w:sz w:val="22"/>
          <w:szCs w:val="22"/>
          <w:lang w:val="el-GR"/>
        </w:rPr>
      </w:pPr>
    </w:p>
    <w:p w:rsidR="00FA2132" w:rsidRPr="008B2AE9" w:rsidRDefault="00781EA6" w:rsidP="009755F5">
      <w:pPr>
        <w:jc w:val="both"/>
        <w:rPr>
          <w:rFonts w:ascii="Times New Roman" w:hAnsi="Times New Roman"/>
          <w:bCs/>
          <w:sz w:val="22"/>
          <w:szCs w:val="22"/>
          <w:u w:val="single"/>
          <w:lang w:val="el-GR"/>
        </w:rPr>
      </w:pPr>
      <w:r w:rsidRPr="008B2AE9">
        <w:rPr>
          <w:rFonts w:ascii="Times New Roman" w:hAnsi="Times New Roman"/>
          <w:bCs/>
          <w:sz w:val="22"/>
          <w:szCs w:val="22"/>
          <w:u w:val="single"/>
          <w:lang w:val="el-GR"/>
        </w:rPr>
        <w:t xml:space="preserve">Παιδιατρικός </w:t>
      </w:r>
      <w:r w:rsidR="003C6993" w:rsidRPr="008B2AE9">
        <w:rPr>
          <w:rFonts w:ascii="Times New Roman" w:hAnsi="Times New Roman"/>
          <w:bCs/>
          <w:sz w:val="22"/>
          <w:szCs w:val="22"/>
          <w:u w:val="single"/>
          <w:lang w:val="el-GR"/>
        </w:rPr>
        <w:t>π</w:t>
      </w:r>
      <w:r w:rsidRPr="008B2AE9">
        <w:rPr>
          <w:rFonts w:ascii="Times New Roman" w:hAnsi="Times New Roman"/>
          <w:bCs/>
          <w:sz w:val="22"/>
          <w:szCs w:val="22"/>
          <w:u w:val="single"/>
          <w:lang w:val="el-GR"/>
        </w:rPr>
        <w:t>ληθυσμός</w:t>
      </w:r>
    </w:p>
    <w:p w:rsidR="00646533" w:rsidRPr="008B2AE9" w:rsidRDefault="00781EA6" w:rsidP="009755F5">
      <w:pPr>
        <w:jc w:val="both"/>
        <w:textAlignment w:val="top"/>
        <w:rPr>
          <w:rFonts w:ascii="Times New Roman" w:hAnsi="Times New Roman"/>
          <w:color w:val="000000"/>
          <w:sz w:val="22"/>
          <w:szCs w:val="22"/>
          <w:lang w:val="el-GR" w:eastAsia="el-GR"/>
        </w:rPr>
      </w:pPr>
      <w:r w:rsidRPr="008B2AE9">
        <w:rPr>
          <w:rFonts w:ascii="Times New Roman" w:hAnsi="Times New Roman"/>
          <w:bCs/>
          <w:sz w:val="22"/>
          <w:szCs w:val="22"/>
          <w:lang w:val="el-GR"/>
        </w:rPr>
        <w:t xml:space="preserve">Σε μια ελεγχόμενη </w:t>
      </w:r>
      <w:r w:rsidR="00646533" w:rsidRPr="008B2AE9">
        <w:rPr>
          <w:rFonts w:ascii="Times New Roman" w:hAnsi="Times New Roman"/>
          <w:bCs/>
          <w:sz w:val="22"/>
          <w:szCs w:val="22"/>
          <w:lang w:val="el-GR"/>
        </w:rPr>
        <w:t xml:space="preserve">με εικονικό φάρμακο </w:t>
      </w:r>
      <w:r w:rsidRPr="008B2AE9">
        <w:rPr>
          <w:rFonts w:ascii="Times New Roman" w:hAnsi="Times New Roman"/>
          <w:bCs/>
          <w:sz w:val="22"/>
          <w:szCs w:val="22"/>
          <w:lang w:val="el-GR"/>
        </w:rPr>
        <w:t xml:space="preserve">μελέτη </w:t>
      </w:r>
      <w:r w:rsidR="00646533" w:rsidRPr="008B2AE9">
        <w:rPr>
          <w:rFonts w:ascii="Times New Roman" w:hAnsi="Times New Roman"/>
          <w:color w:val="000000"/>
          <w:sz w:val="22"/>
          <w:szCs w:val="22"/>
          <w:lang w:val="el-GR" w:eastAsia="el-GR"/>
        </w:rPr>
        <w:t xml:space="preserve">(98 ασθενείς ηλικίας 1-11 μηνών) </w:t>
      </w:r>
      <w:r w:rsidR="00D634F7" w:rsidRPr="008B2AE9">
        <w:rPr>
          <w:rFonts w:ascii="Times New Roman" w:hAnsi="Times New Roman"/>
          <w:color w:val="000000"/>
          <w:sz w:val="22"/>
          <w:szCs w:val="22"/>
          <w:lang w:val="el-GR" w:eastAsia="el-GR"/>
        </w:rPr>
        <w:t xml:space="preserve">αξιολογήθηκε </w:t>
      </w:r>
      <w:r w:rsidR="00646533" w:rsidRPr="008B2AE9">
        <w:rPr>
          <w:rFonts w:ascii="Times New Roman" w:hAnsi="Times New Roman"/>
          <w:color w:val="000000"/>
          <w:sz w:val="22"/>
          <w:szCs w:val="22"/>
          <w:lang w:val="el-GR" w:eastAsia="el-GR"/>
        </w:rPr>
        <w:t xml:space="preserve">η αποτελεσματικότητα και η ασφάλεια σε ασθενείς με σημεία και συμπτώματα ΓΟΠΝ. </w:t>
      </w:r>
      <w:r w:rsidR="00D634F7" w:rsidRPr="008B2AE9">
        <w:rPr>
          <w:rFonts w:ascii="Times New Roman" w:hAnsi="Times New Roman"/>
          <w:color w:val="000000"/>
          <w:sz w:val="22"/>
          <w:szCs w:val="22"/>
          <w:lang w:val="el-GR" w:eastAsia="el-GR"/>
        </w:rPr>
        <w:t xml:space="preserve">Χορηγήθηκε εσομεπραζόλη </w:t>
      </w:r>
      <w:r w:rsidR="00672EC4" w:rsidRPr="008B2AE9">
        <w:rPr>
          <w:rFonts w:ascii="Times New Roman" w:hAnsi="Times New Roman"/>
          <w:color w:val="000000"/>
          <w:sz w:val="22"/>
          <w:szCs w:val="22"/>
          <w:lang w:val="el-GR" w:eastAsia="el-GR"/>
        </w:rPr>
        <w:t xml:space="preserve">από του στόματος </w:t>
      </w:r>
      <w:r w:rsidR="00646533" w:rsidRPr="008B2AE9">
        <w:rPr>
          <w:rFonts w:ascii="Times New Roman" w:hAnsi="Times New Roman"/>
          <w:color w:val="000000"/>
          <w:sz w:val="22"/>
          <w:szCs w:val="22"/>
          <w:lang w:val="el-GR" w:eastAsia="el-GR"/>
        </w:rPr>
        <w:t xml:space="preserve">1 mg/kg μια φορά την ημέρα για 2 εβδομάδες (ανοικτή φάση) και 80 ασθενείς </w:t>
      </w:r>
      <w:r w:rsidR="00D634F7" w:rsidRPr="008B2AE9">
        <w:rPr>
          <w:rFonts w:ascii="Times New Roman" w:hAnsi="Times New Roman"/>
          <w:color w:val="000000"/>
          <w:sz w:val="22"/>
          <w:szCs w:val="22"/>
          <w:lang w:val="el-GR" w:eastAsia="el-GR"/>
        </w:rPr>
        <w:t>συμπεριελήφθησαν</w:t>
      </w:r>
      <w:r w:rsidR="00646533" w:rsidRPr="008B2AE9">
        <w:rPr>
          <w:rFonts w:ascii="Times New Roman" w:hAnsi="Times New Roman"/>
          <w:color w:val="000000"/>
          <w:sz w:val="22"/>
          <w:szCs w:val="22"/>
          <w:lang w:val="el-GR" w:eastAsia="el-GR"/>
        </w:rPr>
        <w:t xml:space="preserve"> για 4 επιπλέον εβδομάδες (</w:t>
      </w:r>
      <w:r w:rsidR="00D634F7" w:rsidRPr="008B2AE9">
        <w:rPr>
          <w:rFonts w:ascii="Times New Roman" w:hAnsi="Times New Roman"/>
          <w:color w:val="000000"/>
          <w:sz w:val="22"/>
          <w:szCs w:val="22"/>
          <w:lang w:val="el-GR" w:eastAsia="el-GR"/>
        </w:rPr>
        <w:t>διπλά τυφλή</w:t>
      </w:r>
      <w:r w:rsidR="00646533" w:rsidRPr="008B2AE9">
        <w:rPr>
          <w:rFonts w:ascii="Times New Roman" w:hAnsi="Times New Roman"/>
          <w:color w:val="000000"/>
          <w:sz w:val="22"/>
          <w:szCs w:val="22"/>
          <w:lang w:val="el-GR" w:eastAsia="el-GR"/>
        </w:rPr>
        <w:t xml:space="preserve">, </w:t>
      </w:r>
      <w:r w:rsidR="00D634F7" w:rsidRPr="008B2AE9">
        <w:rPr>
          <w:rFonts w:ascii="Times New Roman" w:hAnsi="Times New Roman"/>
          <w:color w:val="000000"/>
          <w:sz w:val="22"/>
          <w:szCs w:val="22"/>
          <w:lang w:val="el-GR" w:eastAsia="el-GR"/>
        </w:rPr>
        <w:t>θεραπεία-</w:t>
      </w:r>
      <w:r w:rsidR="00646533" w:rsidRPr="008B2AE9">
        <w:rPr>
          <w:rFonts w:ascii="Times New Roman" w:hAnsi="Times New Roman"/>
          <w:color w:val="000000"/>
          <w:sz w:val="22"/>
          <w:szCs w:val="22"/>
          <w:lang w:val="el-GR" w:eastAsia="el-GR"/>
        </w:rPr>
        <w:t xml:space="preserve">φάση απόσυρσης). Δεν υπήρξε σημαντική διαφορά μεταξύ </w:t>
      </w:r>
      <w:r w:rsidR="0018135B" w:rsidRPr="008B2AE9">
        <w:rPr>
          <w:rFonts w:ascii="Times New Roman" w:hAnsi="Times New Roman"/>
          <w:color w:val="000000"/>
          <w:sz w:val="22"/>
          <w:szCs w:val="22"/>
          <w:lang w:val="el-GR" w:eastAsia="el-GR"/>
        </w:rPr>
        <w:t>τη</w:t>
      </w:r>
      <w:r w:rsidR="00781733" w:rsidRPr="008B2AE9">
        <w:rPr>
          <w:rFonts w:ascii="Times New Roman" w:hAnsi="Times New Roman"/>
          <w:color w:val="000000"/>
          <w:sz w:val="22"/>
          <w:szCs w:val="22"/>
          <w:lang w:val="el-GR" w:eastAsia="el-GR"/>
        </w:rPr>
        <w:t>ς</w:t>
      </w:r>
      <w:r w:rsidR="0018135B" w:rsidRPr="008B2AE9">
        <w:rPr>
          <w:rFonts w:ascii="Times New Roman" w:hAnsi="Times New Roman"/>
          <w:color w:val="000000"/>
          <w:sz w:val="22"/>
          <w:szCs w:val="22"/>
          <w:lang w:val="el-GR" w:eastAsia="el-GR"/>
        </w:rPr>
        <w:t xml:space="preserve"> ομάδα</w:t>
      </w:r>
      <w:r w:rsidR="00781733" w:rsidRPr="008B2AE9">
        <w:rPr>
          <w:rFonts w:ascii="Times New Roman" w:hAnsi="Times New Roman"/>
          <w:color w:val="000000"/>
          <w:sz w:val="22"/>
          <w:szCs w:val="22"/>
          <w:lang w:val="el-GR" w:eastAsia="el-GR"/>
        </w:rPr>
        <w:t>ς</w:t>
      </w:r>
      <w:r w:rsidR="0018135B" w:rsidRPr="008B2AE9">
        <w:rPr>
          <w:rFonts w:ascii="Times New Roman" w:hAnsi="Times New Roman"/>
          <w:color w:val="000000"/>
          <w:sz w:val="22"/>
          <w:szCs w:val="22"/>
          <w:lang w:val="el-GR" w:eastAsia="el-GR"/>
        </w:rPr>
        <w:t xml:space="preserve"> της </w:t>
      </w:r>
      <w:r w:rsidR="00AC1212" w:rsidRPr="008B2AE9">
        <w:rPr>
          <w:rFonts w:ascii="Times New Roman" w:hAnsi="Times New Roman"/>
          <w:color w:val="000000"/>
          <w:sz w:val="22"/>
          <w:szCs w:val="22"/>
          <w:lang w:val="el-GR" w:eastAsia="el-GR"/>
        </w:rPr>
        <w:t>εσομεπραζόλης</w:t>
      </w:r>
      <w:r w:rsidR="00646533" w:rsidRPr="008B2AE9">
        <w:rPr>
          <w:rFonts w:ascii="Times New Roman" w:hAnsi="Times New Roman"/>
          <w:color w:val="000000"/>
          <w:sz w:val="22"/>
          <w:szCs w:val="22"/>
          <w:lang w:val="el-GR" w:eastAsia="el-GR"/>
        </w:rPr>
        <w:t xml:space="preserve"> και </w:t>
      </w:r>
      <w:r w:rsidR="0018135B" w:rsidRPr="008B2AE9">
        <w:rPr>
          <w:rFonts w:ascii="Times New Roman" w:hAnsi="Times New Roman"/>
          <w:color w:val="000000"/>
          <w:sz w:val="22"/>
          <w:szCs w:val="22"/>
          <w:lang w:val="el-GR" w:eastAsia="el-GR"/>
        </w:rPr>
        <w:t xml:space="preserve">του </w:t>
      </w:r>
      <w:r w:rsidR="00646533" w:rsidRPr="008B2AE9">
        <w:rPr>
          <w:rFonts w:ascii="Times New Roman" w:hAnsi="Times New Roman"/>
          <w:color w:val="000000"/>
          <w:sz w:val="22"/>
          <w:szCs w:val="22"/>
          <w:lang w:val="el-GR" w:eastAsia="el-GR"/>
        </w:rPr>
        <w:t xml:space="preserve">εικονικού φαρμάκου </w:t>
      </w:r>
      <w:r w:rsidR="00AC1212" w:rsidRPr="008B2AE9">
        <w:rPr>
          <w:rFonts w:ascii="Times New Roman" w:hAnsi="Times New Roman"/>
          <w:color w:val="000000"/>
          <w:sz w:val="22"/>
          <w:szCs w:val="22"/>
          <w:lang w:val="el-GR" w:eastAsia="el-GR"/>
        </w:rPr>
        <w:t>ως προς το</w:t>
      </w:r>
      <w:r w:rsidR="00646533" w:rsidRPr="008B2AE9">
        <w:rPr>
          <w:rFonts w:ascii="Times New Roman" w:hAnsi="Times New Roman"/>
          <w:color w:val="000000"/>
          <w:sz w:val="22"/>
          <w:szCs w:val="22"/>
          <w:lang w:val="el-GR" w:eastAsia="el-GR"/>
        </w:rPr>
        <w:t xml:space="preserve"> κύριο τελικό σημείο του χρόνου διακοπή</w:t>
      </w:r>
      <w:r w:rsidR="00AC1212" w:rsidRPr="008B2AE9">
        <w:rPr>
          <w:rFonts w:ascii="Times New Roman" w:hAnsi="Times New Roman"/>
          <w:color w:val="000000"/>
          <w:sz w:val="22"/>
          <w:szCs w:val="22"/>
          <w:lang w:val="el-GR" w:eastAsia="el-GR"/>
        </w:rPr>
        <w:t>ς</w:t>
      </w:r>
      <w:r w:rsidR="00646533" w:rsidRPr="008B2AE9">
        <w:rPr>
          <w:rFonts w:ascii="Times New Roman" w:hAnsi="Times New Roman"/>
          <w:color w:val="000000"/>
          <w:sz w:val="22"/>
          <w:szCs w:val="22"/>
          <w:lang w:val="el-GR" w:eastAsia="el-GR"/>
        </w:rPr>
        <w:t xml:space="preserve"> λόγω </w:t>
      </w:r>
      <w:r w:rsidR="00AC1212" w:rsidRPr="008B2AE9">
        <w:rPr>
          <w:rFonts w:ascii="Times New Roman" w:hAnsi="Times New Roman"/>
          <w:color w:val="000000"/>
          <w:sz w:val="22"/>
          <w:szCs w:val="22"/>
          <w:lang w:val="el-GR" w:eastAsia="el-GR"/>
        </w:rPr>
        <w:t>επιδείνωσης των συμπτωμάτων</w:t>
      </w:r>
      <w:r w:rsidR="00646533" w:rsidRPr="008B2AE9">
        <w:rPr>
          <w:rFonts w:ascii="Times New Roman" w:hAnsi="Times New Roman"/>
          <w:color w:val="000000"/>
          <w:sz w:val="22"/>
          <w:szCs w:val="22"/>
          <w:lang w:val="el-GR" w:eastAsia="el-GR"/>
        </w:rPr>
        <w:t>.</w:t>
      </w:r>
    </w:p>
    <w:p w:rsidR="006D3133" w:rsidRPr="008B2AE9" w:rsidRDefault="006D3133" w:rsidP="009755F5">
      <w:pPr>
        <w:jc w:val="both"/>
        <w:textAlignment w:val="top"/>
        <w:rPr>
          <w:rFonts w:ascii="Times New Roman" w:hAnsi="Times New Roman"/>
          <w:color w:val="000000"/>
          <w:sz w:val="22"/>
          <w:szCs w:val="22"/>
          <w:lang w:val="el-GR" w:eastAsia="el-GR"/>
        </w:rPr>
      </w:pPr>
    </w:p>
    <w:p w:rsidR="006D3133" w:rsidRPr="008B2AE9" w:rsidRDefault="006D3133" w:rsidP="009755F5">
      <w:pPr>
        <w:jc w:val="both"/>
        <w:textAlignment w:val="top"/>
        <w:rPr>
          <w:rFonts w:ascii="Times New Roman" w:hAnsi="Times New Roman"/>
          <w:color w:val="000000"/>
          <w:sz w:val="22"/>
          <w:szCs w:val="22"/>
          <w:lang w:val="el-GR" w:eastAsia="el-GR"/>
        </w:rPr>
      </w:pPr>
      <w:r w:rsidRPr="008B2AE9">
        <w:rPr>
          <w:rFonts w:ascii="Times New Roman" w:hAnsi="Times New Roman"/>
          <w:bCs/>
          <w:sz w:val="22"/>
          <w:szCs w:val="22"/>
          <w:lang w:val="el-GR"/>
        </w:rPr>
        <w:t xml:space="preserve">Σε μια ελεγχόμενη </w:t>
      </w:r>
      <w:r w:rsidR="0018135B" w:rsidRPr="008B2AE9">
        <w:rPr>
          <w:rFonts w:ascii="Times New Roman" w:hAnsi="Times New Roman"/>
          <w:bCs/>
          <w:sz w:val="22"/>
          <w:szCs w:val="22"/>
          <w:lang w:val="el-GR"/>
        </w:rPr>
        <w:t xml:space="preserve">μελέτη </w:t>
      </w:r>
      <w:r w:rsidRPr="008B2AE9">
        <w:rPr>
          <w:rFonts w:ascii="Times New Roman" w:hAnsi="Times New Roman"/>
          <w:bCs/>
          <w:sz w:val="22"/>
          <w:szCs w:val="22"/>
          <w:lang w:val="el-GR"/>
        </w:rPr>
        <w:t xml:space="preserve">με εικονικό φάρμακο </w:t>
      </w:r>
      <w:r w:rsidRPr="008B2AE9">
        <w:rPr>
          <w:rFonts w:ascii="Times New Roman" w:hAnsi="Times New Roman"/>
          <w:color w:val="000000"/>
          <w:sz w:val="22"/>
          <w:szCs w:val="22"/>
          <w:lang w:val="el-GR" w:eastAsia="el-GR"/>
        </w:rPr>
        <w:t xml:space="preserve">(52 ασθενείς ηλικίας&lt;1 μηνός) αξιολογήθηκε η αποτελεσματικότητα και η ασφάλεια σε ασθενείς με συμπτώματα ΓΟΠΝ. Χορηγήθηκε εσομεπραζόλη 0,5 mg/kg </w:t>
      </w:r>
      <w:r w:rsidR="0018135B" w:rsidRPr="008B2AE9">
        <w:rPr>
          <w:rFonts w:ascii="Times New Roman" w:hAnsi="Times New Roman"/>
          <w:color w:val="000000"/>
          <w:sz w:val="22"/>
          <w:szCs w:val="22"/>
          <w:lang w:val="el-GR" w:eastAsia="el-GR"/>
        </w:rPr>
        <w:t xml:space="preserve">από του στόματος </w:t>
      </w:r>
      <w:r w:rsidRPr="008B2AE9">
        <w:rPr>
          <w:rFonts w:ascii="Times New Roman" w:hAnsi="Times New Roman"/>
          <w:color w:val="000000"/>
          <w:sz w:val="22"/>
          <w:szCs w:val="22"/>
          <w:lang w:val="el-GR" w:eastAsia="el-GR"/>
        </w:rPr>
        <w:t xml:space="preserve">μια φορά την ημέρα το λιγότερο για 10 ημέρες. Δεν υπήρξε σημαντική διαφορά μεταξύ </w:t>
      </w:r>
      <w:r w:rsidR="0018135B" w:rsidRPr="008B2AE9">
        <w:rPr>
          <w:rFonts w:ascii="Times New Roman" w:hAnsi="Times New Roman"/>
          <w:color w:val="000000"/>
          <w:sz w:val="22"/>
          <w:szCs w:val="22"/>
          <w:lang w:val="el-GR" w:eastAsia="el-GR"/>
        </w:rPr>
        <w:t>τη</w:t>
      </w:r>
      <w:r w:rsidR="001F6FB7" w:rsidRPr="008B2AE9">
        <w:rPr>
          <w:rFonts w:ascii="Times New Roman" w:hAnsi="Times New Roman"/>
          <w:color w:val="000000"/>
          <w:sz w:val="22"/>
          <w:szCs w:val="22"/>
          <w:lang w:val="el-GR" w:eastAsia="el-GR"/>
        </w:rPr>
        <w:t>ς</w:t>
      </w:r>
      <w:r w:rsidR="0018135B" w:rsidRPr="008B2AE9">
        <w:rPr>
          <w:rFonts w:ascii="Times New Roman" w:hAnsi="Times New Roman"/>
          <w:color w:val="000000"/>
          <w:sz w:val="22"/>
          <w:szCs w:val="22"/>
          <w:lang w:val="el-GR" w:eastAsia="el-GR"/>
        </w:rPr>
        <w:t xml:space="preserve"> ομάδα</w:t>
      </w:r>
      <w:r w:rsidR="001F6FB7" w:rsidRPr="008B2AE9">
        <w:rPr>
          <w:rFonts w:ascii="Times New Roman" w:hAnsi="Times New Roman"/>
          <w:color w:val="000000"/>
          <w:sz w:val="22"/>
          <w:szCs w:val="22"/>
          <w:lang w:val="el-GR" w:eastAsia="el-GR"/>
        </w:rPr>
        <w:t>ς</w:t>
      </w:r>
      <w:r w:rsidR="0018135B" w:rsidRPr="008B2AE9">
        <w:rPr>
          <w:rFonts w:ascii="Times New Roman" w:hAnsi="Times New Roman"/>
          <w:color w:val="000000"/>
          <w:sz w:val="22"/>
          <w:szCs w:val="22"/>
          <w:lang w:val="el-GR" w:eastAsia="el-GR"/>
        </w:rPr>
        <w:t xml:space="preserve"> της </w:t>
      </w:r>
      <w:r w:rsidRPr="008B2AE9">
        <w:rPr>
          <w:rFonts w:ascii="Times New Roman" w:hAnsi="Times New Roman"/>
          <w:color w:val="000000"/>
          <w:sz w:val="22"/>
          <w:szCs w:val="22"/>
          <w:lang w:val="el-GR" w:eastAsia="el-GR"/>
        </w:rPr>
        <w:t xml:space="preserve">εσομεπραζόλης και </w:t>
      </w:r>
      <w:r w:rsidR="0018135B" w:rsidRPr="008B2AE9">
        <w:rPr>
          <w:rFonts w:ascii="Times New Roman" w:hAnsi="Times New Roman"/>
          <w:color w:val="000000"/>
          <w:sz w:val="22"/>
          <w:szCs w:val="22"/>
          <w:lang w:val="el-GR" w:eastAsia="el-GR"/>
        </w:rPr>
        <w:t xml:space="preserve">του </w:t>
      </w:r>
      <w:r w:rsidRPr="008B2AE9">
        <w:rPr>
          <w:rFonts w:ascii="Times New Roman" w:hAnsi="Times New Roman"/>
          <w:color w:val="000000"/>
          <w:sz w:val="22"/>
          <w:szCs w:val="22"/>
          <w:lang w:val="el-GR" w:eastAsia="el-GR"/>
        </w:rPr>
        <w:t>εικονικού φαρμάκου</w:t>
      </w:r>
      <w:r w:rsidR="00D679F2" w:rsidRPr="008B2AE9">
        <w:rPr>
          <w:rFonts w:ascii="Times New Roman" w:hAnsi="Times New Roman"/>
          <w:color w:val="000000"/>
          <w:sz w:val="22"/>
          <w:szCs w:val="22"/>
          <w:lang w:val="el-GR" w:eastAsia="el-GR"/>
        </w:rPr>
        <w:t xml:space="preserve"> ως προς το κύριο τελικό σημείο ή</w:t>
      </w:r>
      <w:r w:rsidRPr="008B2AE9">
        <w:rPr>
          <w:rFonts w:ascii="Times New Roman" w:hAnsi="Times New Roman"/>
          <w:color w:val="000000"/>
          <w:sz w:val="22"/>
          <w:szCs w:val="22"/>
          <w:lang w:val="el-GR" w:eastAsia="el-GR"/>
        </w:rPr>
        <w:t xml:space="preserve"> την αλλαγή από την αρχική τιμή του αριθμού των περιστατικών των συμπτωμάτων της ΓΟΠΝ.</w:t>
      </w:r>
    </w:p>
    <w:p w:rsidR="006D3133" w:rsidRPr="008B2AE9" w:rsidRDefault="006D3133" w:rsidP="009755F5">
      <w:pPr>
        <w:jc w:val="both"/>
        <w:textAlignment w:val="top"/>
        <w:rPr>
          <w:rFonts w:ascii="Times New Roman" w:hAnsi="Times New Roman"/>
          <w:color w:val="000000"/>
          <w:sz w:val="22"/>
          <w:szCs w:val="22"/>
          <w:lang w:val="el-GR" w:eastAsia="el-GR"/>
        </w:rPr>
      </w:pPr>
    </w:p>
    <w:p w:rsidR="006D3133" w:rsidRPr="008B2AE9" w:rsidRDefault="006D3133" w:rsidP="009755F5">
      <w:pPr>
        <w:jc w:val="both"/>
        <w:textAlignment w:val="top"/>
        <w:rPr>
          <w:rFonts w:ascii="Times New Roman" w:hAnsi="Times New Roman"/>
          <w:color w:val="000000"/>
          <w:sz w:val="22"/>
          <w:szCs w:val="22"/>
          <w:lang w:val="el-GR" w:eastAsia="el-GR"/>
        </w:rPr>
      </w:pPr>
      <w:r w:rsidRPr="008B2AE9">
        <w:rPr>
          <w:rFonts w:ascii="Times New Roman" w:hAnsi="Times New Roman"/>
          <w:color w:val="000000"/>
          <w:sz w:val="22"/>
          <w:szCs w:val="22"/>
          <w:lang w:val="el-GR" w:eastAsia="el-GR"/>
        </w:rPr>
        <w:t>Τα αποτελέσματα από τις παιδιατρικές μελέτες έδειξαν εξάλλου ότι 0,5 mg/kg και 1,0 mg/kg εσομεπραζόλης σε ηλικίες βρεφών &lt;1 μηνός και 1 έως 11 μηνών, αντίστοιχα, μείωσε το μέσο ποσοστό του χρόνου με ενδο-οισοφαγικό pH&lt;4.</w:t>
      </w:r>
    </w:p>
    <w:p w:rsidR="006D3133" w:rsidRPr="008B2AE9" w:rsidRDefault="006D3133" w:rsidP="009755F5">
      <w:pPr>
        <w:jc w:val="both"/>
        <w:textAlignment w:val="top"/>
        <w:rPr>
          <w:rFonts w:ascii="Times New Roman" w:hAnsi="Times New Roman"/>
          <w:color w:val="000000"/>
          <w:sz w:val="22"/>
          <w:szCs w:val="22"/>
          <w:lang w:val="el-GR" w:eastAsia="el-GR"/>
        </w:rPr>
      </w:pPr>
      <w:r w:rsidRPr="008B2AE9">
        <w:rPr>
          <w:rFonts w:ascii="Times New Roman" w:hAnsi="Times New Roman"/>
          <w:color w:val="000000"/>
          <w:sz w:val="22"/>
          <w:szCs w:val="22"/>
          <w:lang w:val="el-GR" w:eastAsia="el-GR"/>
        </w:rPr>
        <w:t>Το προφίλ ασφαλείας εμφανίστηκε να είναι παρόμοι</w:t>
      </w:r>
      <w:r w:rsidR="00C84CD2" w:rsidRPr="008B2AE9">
        <w:rPr>
          <w:rFonts w:ascii="Times New Roman" w:hAnsi="Times New Roman"/>
          <w:color w:val="000000"/>
          <w:sz w:val="22"/>
          <w:szCs w:val="22"/>
          <w:lang w:val="el-GR" w:eastAsia="el-GR"/>
        </w:rPr>
        <w:t>ο</w:t>
      </w:r>
      <w:r w:rsidRPr="008B2AE9">
        <w:rPr>
          <w:rFonts w:ascii="Times New Roman" w:hAnsi="Times New Roman"/>
          <w:color w:val="000000"/>
          <w:sz w:val="22"/>
          <w:szCs w:val="22"/>
          <w:lang w:val="el-GR" w:eastAsia="el-GR"/>
        </w:rPr>
        <w:t xml:space="preserve"> με αυτ</w:t>
      </w:r>
      <w:r w:rsidR="00C84CD2" w:rsidRPr="008B2AE9">
        <w:rPr>
          <w:rFonts w:ascii="Times New Roman" w:hAnsi="Times New Roman"/>
          <w:color w:val="000000"/>
          <w:sz w:val="22"/>
          <w:szCs w:val="22"/>
          <w:lang w:val="el-GR" w:eastAsia="el-GR"/>
        </w:rPr>
        <w:t>ό</w:t>
      </w:r>
      <w:r w:rsidRPr="008B2AE9">
        <w:rPr>
          <w:rFonts w:ascii="Times New Roman" w:hAnsi="Times New Roman"/>
          <w:color w:val="000000"/>
          <w:sz w:val="22"/>
          <w:szCs w:val="22"/>
          <w:lang w:val="el-GR" w:eastAsia="el-GR"/>
        </w:rPr>
        <w:t xml:space="preserve"> που παρατηρήθηκε στους ενήλικες.</w:t>
      </w:r>
    </w:p>
    <w:p w:rsidR="00CF669C" w:rsidRPr="008B2AE9" w:rsidRDefault="00CF669C" w:rsidP="009755F5">
      <w:pPr>
        <w:jc w:val="both"/>
        <w:rPr>
          <w:rFonts w:ascii="Times New Roman" w:hAnsi="Times New Roman"/>
          <w:sz w:val="22"/>
          <w:szCs w:val="22"/>
          <w:lang w:val="el-GR"/>
        </w:rPr>
      </w:pPr>
    </w:p>
    <w:p w:rsidR="00CF669C" w:rsidRPr="008B2AE9" w:rsidRDefault="00CF669C" w:rsidP="009755F5">
      <w:pPr>
        <w:jc w:val="both"/>
        <w:rPr>
          <w:rFonts w:ascii="Times New Roman" w:hAnsi="Times New Roman"/>
          <w:sz w:val="22"/>
          <w:szCs w:val="22"/>
          <w:lang w:val="el-GR"/>
        </w:rPr>
      </w:pPr>
      <w:r w:rsidRPr="008B2AE9">
        <w:rPr>
          <w:rFonts w:ascii="Times New Roman" w:hAnsi="Times New Roman"/>
          <w:sz w:val="22"/>
          <w:szCs w:val="22"/>
          <w:lang w:val="el-GR"/>
        </w:rPr>
        <w:t xml:space="preserve">Σε μια μελέτη σε παιδιατρικούς ασθενείς με γαστροοισοφαγική παλινδρομική νόσο (&lt;1 έως 17 ετών) που ελάμβαναν μακροχρόνια θεραπεία με αναστολείς της αντλίας πρωτονίων, το 61% των παιδιών ανέπτυξε μικρού βαθμού υπερπλασία των </w:t>
      </w:r>
      <w:r w:rsidRPr="008B2AE9">
        <w:rPr>
          <w:rFonts w:ascii="Times New Roman" w:hAnsi="Times New Roman"/>
          <w:sz w:val="22"/>
          <w:szCs w:val="22"/>
        </w:rPr>
        <w:t>ECL</w:t>
      </w:r>
      <w:r w:rsidRPr="008B2AE9">
        <w:rPr>
          <w:rFonts w:ascii="Times New Roman" w:hAnsi="Times New Roman"/>
          <w:sz w:val="22"/>
          <w:szCs w:val="22"/>
          <w:lang w:val="el-GR"/>
        </w:rPr>
        <w:t>-κυττάρων με άγνωστη κλινική σημασία και χωρίς ανάπτυξη ατροφικής γαστρίτιδας ή καρκινοειδών όγκων.</w:t>
      </w:r>
    </w:p>
    <w:p w:rsidR="00E72235" w:rsidRPr="008B2AE9" w:rsidRDefault="00E72235" w:rsidP="009755F5">
      <w:pPr>
        <w:pStyle w:val="a8"/>
        <w:spacing w:line="240" w:lineRule="auto"/>
        <w:rPr>
          <w:rFonts w:ascii="Times New Roman" w:hAnsi="Times New Roman"/>
          <w:b/>
          <w:i/>
          <w:sz w:val="22"/>
          <w:szCs w:val="22"/>
        </w:rPr>
      </w:pPr>
    </w:p>
    <w:p w:rsidR="00E72235" w:rsidRPr="008B2AE9" w:rsidRDefault="00E72235" w:rsidP="009755F5">
      <w:pPr>
        <w:pStyle w:val="a8"/>
        <w:spacing w:line="240" w:lineRule="auto"/>
        <w:rPr>
          <w:rFonts w:ascii="Times New Roman" w:hAnsi="Times New Roman"/>
          <w:b/>
          <w:sz w:val="22"/>
          <w:szCs w:val="22"/>
        </w:rPr>
      </w:pPr>
      <w:r w:rsidRPr="008B2AE9">
        <w:rPr>
          <w:rFonts w:ascii="Times New Roman" w:hAnsi="Times New Roman"/>
          <w:b/>
          <w:sz w:val="22"/>
          <w:szCs w:val="22"/>
        </w:rPr>
        <w:t>5.2</w:t>
      </w:r>
      <w:r w:rsidRPr="008B2AE9">
        <w:rPr>
          <w:rFonts w:ascii="Times New Roman" w:hAnsi="Times New Roman"/>
          <w:b/>
          <w:sz w:val="22"/>
          <w:szCs w:val="22"/>
        </w:rPr>
        <w:tab/>
        <w:t>Φαρμακοκινητικές ιδιότητες</w:t>
      </w:r>
    </w:p>
    <w:p w:rsidR="009755F5" w:rsidRPr="008B2AE9" w:rsidRDefault="009755F5" w:rsidP="009755F5">
      <w:pPr>
        <w:pStyle w:val="a8"/>
        <w:spacing w:line="240" w:lineRule="auto"/>
        <w:rPr>
          <w:rFonts w:ascii="Times New Roman" w:hAnsi="Times New Roman"/>
          <w:i/>
          <w:iCs/>
          <w:sz w:val="22"/>
          <w:szCs w:val="22"/>
        </w:rPr>
      </w:pPr>
    </w:p>
    <w:p w:rsidR="00E72235" w:rsidRPr="008B2AE9" w:rsidRDefault="00E72235" w:rsidP="009755F5">
      <w:pPr>
        <w:pStyle w:val="a8"/>
        <w:spacing w:line="240" w:lineRule="auto"/>
        <w:rPr>
          <w:rFonts w:ascii="Times New Roman" w:hAnsi="Times New Roman"/>
          <w:iCs/>
          <w:sz w:val="22"/>
          <w:szCs w:val="22"/>
          <w:u w:val="single"/>
        </w:rPr>
      </w:pPr>
      <w:r w:rsidRPr="008B2AE9">
        <w:rPr>
          <w:rFonts w:ascii="Times New Roman" w:hAnsi="Times New Roman"/>
          <w:iCs/>
          <w:sz w:val="22"/>
          <w:szCs w:val="22"/>
          <w:u w:val="single"/>
        </w:rPr>
        <w:t>Κατανομή</w:t>
      </w:r>
    </w:p>
    <w:p w:rsidR="00E72235" w:rsidRPr="008B2AE9" w:rsidRDefault="00E72235" w:rsidP="009755F5">
      <w:pPr>
        <w:pStyle w:val="a8"/>
        <w:spacing w:line="240" w:lineRule="auto"/>
        <w:rPr>
          <w:rFonts w:ascii="Times New Roman" w:hAnsi="Times New Roman"/>
          <w:sz w:val="22"/>
          <w:szCs w:val="22"/>
        </w:rPr>
      </w:pPr>
      <w:r w:rsidRPr="008B2AE9">
        <w:rPr>
          <w:rFonts w:ascii="Times New Roman" w:hAnsi="Times New Roman"/>
          <w:sz w:val="22"/>
          <w:szCs w:val="22"/>
        </w:rPr>
        <w:t xml:space="preserve">Ο φαινόμενος όγκος κατανομής στη σταθεροποιημένη κατάσταση σε υγιή άτομα είναι περίπου 0,22 </w:t>
      </w:r>
      <w:r w:rsidR="006D0F5C" w:rsidRPr="008B2AE9">
        <w:rPr>
          <w:rFonts w:ascii="Times New Roman" w:hAnsi="Times New Roman"/>
          <w:sz w:val="22"/>
          <w:szCs w:val="22"/>
          <w:lang w:val="en-US"/>
        </w:rPr>
        <w:t>l</w:t>
      </w:r>
      <w:r w:rsidRPr="008B2AE9">
        <w:rPr>
          <w:rFonts w:ascii="Times New Roman" w:hAnsi="Times New Roman"/>
          <w:sz w:val="22"/>
          <w:szCs w:val="22"/>
        </w:rPr>
        <w:t>/</w:t>
      </w:r>
      <w:r w:rsidR="00666441" w:rsidRPr="008B2AE9">
        <w:rPr>
          <w:rFonts w:ascii="Times New Roman" w:hAnsi="Times New Roman"/>
          <w:sz w:val="22"/>
          <w:szCs w:val="22"/>
        </w:rPr>
        <w:t>k</w:t>
      </w:r>
      <w:r w:rsidRPr="008B2AE9">
        <w:rPr>
          <w:rFonts w:ascii="Times New Roman" w:hAnsi="Times New Roman"/>
          <w:sz w:val="22"/>
          <w:szCs w:val="22"/>
        </w:rPr>
        <w:t xml:space="preserve">g βάρους σώματος. Η εσομεπραζόλη συνδέεται με τις πρωτεΐνες </w:t>
      </w:r>
      <w:r w:rsidR="004B278E" w:rsidRPr="008B2AE9">
        <w:rPr>
          <w:rFonts w:ascii="Times New Roman" w:hAnsi="Times New Roman"/>
          <w:sz w:val="22"/>
          <w:szCs w:val="22"/>
        </w:rPr>
        <w:t xml:space="preserve">του πλάσματος </w:t>
      </w:r>
      <w:r w:rsidRPr="008B2AE9">
        <w:rPr>
          <w:rFonts w:ascii="Times New Roman" w:hAnsi="Times New Roman"/>
          <w:sz w:val="22"/>
          <w:szCs w:val="22"/>
        </w:rPr>
        <w:t>σε ποσοστό 97%.</w:t>
      </w:r>
    </w:p>
    <w:p w:rsidR="00E72235" w:rsidRPr="008B2AE9" w:rsidRDefault="00E72235" w:rsidP="009755F5">
      <w:pPr>
        <w:pStyle w:val="a8"/>
        <w:spacing w:line="240" w:lineRule="auto"/>
        <w:rPr>
          <w:rFonts w:ascii="Times New Roman" w:hAnsi="Times New Roman"/>
          <w:i/>
          <w:sz w:val="22"/>
          <w:szCs w:val="22"/>
        </w:rPr>
      </w:pPr>
    </w:p>
    <w:p w:rsidR="00E72235" w:rsidRPr="008B2AE9" w:rsidRDefault="00E72235" w:rsidP="009755F5">
      <w:pPr>
        <w:pStyle w:val="a8"/>
        <w:spacing w:line="240" w:lineRule="auto"/>
        <w:rPr>
          <w:rFonts w:ascii="Times New Roman" w:hAnsi="Times New Roman"/>
          <w:sz w:val="22"/>
          <w:szCs w:val="22"/>
          <w:u w:val="single"/>
        </w:rPr>
      </w:pPr>
      <w:r w:rsidRPr="008B2AE9">
        <w:rPr>
          <w:rFonts w:ascii="Times New Roman" w:hAnsi="Times New Roman"/>
          <w:sz w:val="22"/>
          <w:szCs w:val="22"/>
          <w:u w:val="single"/>
        </w:rPr>
        <w:t>Μεταβολισμός</w:t>
      </w:r>
    </w:p>
    <w:p w:rsidR="00E72235" w:rsidRPr="008B2AE9" w:rsidRDefault="00E72235" w:rsidP="009755F5">
      <w:pPr>
        <w:pStyle w:val="a8"/>
        <w:spacing w:line="240" w:lineRule="auto"/>
        <w:rPr>
          <w:rFonts w:ascii="Times New Roman" w:hAnsi="Times New Roman"/>
          <w:sz w:val="22"/>
          <w:szCs w:val="22"/>
        </w:rPr>
      </w:pPr>
      <w:r w:rsidRPr="008B2AE9">
        <w:rPr>
          <w:rFonts w:ascii="Times New Roman" w:hAnsi="Times New Roman"/>
          <w:sz w:val="22"/>
          <w:szCs w:val="22"/>
        </w:rPr>
        <w:lastRenderedPageBreak/>
        <w:t>Η εσομεπραζόλη μεταβολίζεται εξ ολοκλήρου από το ενζυμικό σύστημα του κυτοχρώματος P450 (CYP). Ο μεταβολισμός της εσομεπραζόλης κατά το μεγαλύτερο μέρος εξαρτάται από το πολυμορφικό CYP2C19, που είναι υπεύθυνο για τον σχηματισμό των υδρόξυ- και δεσμεθυλ- μεταβολιτών της εσομεπραζόλης.</w:t>
      </w:r>
      <w:r w:rsidR="006C424F" w:rsidRPr="008B2AE9">
        <w:rPr>
          <w:rFonts w:ascii="Times New Roman" w:hAnsi="Times New Roman"/>
          <w:sz w:val="22"/>
          <w:szCs w:val="22"/>
        </w:rPr>
        <w:t xml:space="preserve"> </w:t>
      </w:r>
      <w:r w:rsidRPr="008B2AE9">
        <w:rPr>
          <w:rFonts w:ascii="Times New Roman" w:hAnsi="Times New Roman"/>
          <w:sz w:val="22"/>
          <w:szCs w:val="22"/>
        </w:rPr>
        <w:t>Το υπόλοιπο μέρος του μεταβολισμού εξαρτάται από μια άλλη ειδική ισομορφή, το CYP3C4, που είναι υπεύθυνη για το σχηματισμό της σουλφονικής εσομεπραζόλης, κυρίου μεταβολίτη στο πλάσμα.</w:t>
      </w:r>
    </w:p>
    <w:p w:rsidR="00E72235" w:rsidRPr="008B2AE9" w:rsidRDefault="00E72235" w:rsidP="009755F5">
      <w:pPr>
        <w:pStyle w:val="a8"/>
        <w:spacing w:line="240" w:lineRule="auto"/>
        <w:rPr>
          <w:rFonts w:ascii="Times New Roman" w:hAnsi="Times New Roman"/>
          <w:sz w:val="22"/>
          <w:szCs w:val="22"/>
        </w:rPr>
      </w:pPr>
    </w:p>
    <w:p w:rsidR="006713B2" w:rsidRPr="008B2AE9" w:rsidRDefault="006713B2" w:rsidP="009755F5">
      <w:pPr>
        <w:pStyle w:val="a8"/>
        <w:spacing w:line="240" w:lineRule="auto"/>
        <w:rPr>
          <w:rFonts w:ascii="Times New Roman" w:hAnsi="Times New Roman"/>
          <w:sz w:val="22"/>
          <w:szCs w:val="22"/>
          <w:u w:val="single"/>
        </w:rPr>
      </w:pPr>
      <w:r w:rsidRPr="008B2AE9">
        <w:rPr>
          <w:rFonts w:ascii="Times New Roman" w:hAnsi="Times New Roman"/>
          <w:sz w:val="22"/>
          <w:szCs w:val="22"/>
          <w:u w:val="single"/>
        </w:rPr>
        <w:t>Απέκκριση</w:t>
      </w:r>
    </w:p>
    <w:p w:rsidR="00E72235" w:rsidRPr="008B2AE9" w:rsidRDefault="00E72235" w:rsidP="009755F5">
      <w:pPr>
        <w:pStyle w:val="a8"/>
        <w:spacing w:line="240" w:lineRule="auto"/>
        <w:rPr>
          <w:rFonts w:ascii="Times New Roman" w:hAnsi="Times New Roman"/>
          <w:sz w:val="22"/>
          <w:szCs w:val="22"/>
        </w:rPr>
      </w:pPr>
      <w:r w:rsidRPr="008B2AE9">
        <w:rPr>
          <w:rFonts w:ascii="Times New Roman" w:hAnsi="Times New Roman"/>
          <w:sz w:val="22"/>
          <w:szCs w:val="22"/>
        </w:rPr>
        <w:t>Οι ακόλουθες παράμετροι απεικονίζουν κυρίως τη φαρμακοκινητική σε άτομα με λειτουργικό CYP2C19 ένζυμο, δηλαδή άτομα με δυνατότητα εκτεταμένου μεταβολισμού.</w:t>
      </w:r>
    </w:p>
    <w:p w:rsidR="00E72235" w:rsidRPr="008B2AE9" w:rsidRDefault="00E72235" w:rsidP="009755F5">
      <w:pPr>
        <w:pStyle w:val="a8"/>
        <w:spacing w:line="240" w:lineRule="auto"/>
        <w:rPr>
          <w:rFonts w:ascii="Times New Roman" w:hAnsi="Times New Roman"/>
          <w:sz w:val="22"/>
          <w:szCs w:val="22"/>
        </w:rPr>
      </w:pPr>
    </w:p>
    <w:p w:rsidR="006D0F5C" w:rsidRPr="003570E0" w:rsidRDefault="00E72235" w:rsidP="009755F5">
      <w:pPr>
        <w:pStyle w:val="a8"/>
        <w:spacing w:line="240" w:lineRule="auto"/>
        <w:rPr>
          <w:rFonts w:ascii="Times New Roman" w:hAnsi="Times New Roman"/>
          <w:sz w:val="22"/>
          <w:szCs w:val="22"/>
        </w:rPr>
      </w:pPr>
      <w:r w:rsidRPr="008B2AE9">
        <w:rPr>
          <w:rFonts w:ascii="Times New Roman" w:hAnsi="Times New Roman"/>
          <w:sz w:val="22"/>
          <w:szCs w:val="22"/>
        </w:rPr>
        <w:t xml:space="preserve">Η ολική κάθαρση πλάσματος είναι περίπου 17 </w:t>
      </w:r>
      <w:r w:rsidR="006D0F5C" w:rsidRPr="008B2AE9">
        <w:rPr>
          <w:rFonts w:ascii="Times New Roman" w:hAnsi="Times New Roman"/>
          <w:sz w:val="22"/>
          <w:szCs w:val="22"/>
          <w:lang w:val="en-US"/>
        </w:rPr>
        <w:t>l</w:t>
      </w:r>
      <w:r w:rsidRPr="008B2AE9">
        <w:rPr>
          <w:rFonts w:ascii="Times New Roman" w:hAnsi="Times New Roman"/>
          <w:sz w:val="22"/>
          <w:szCs w:val="22"/>
        </w:rPr>
        <w:t>/</w:t>
      </w:r>
      <w:r w:rsidRPr="008B2AE9">
        <w:rPr>
          <w:rFonts w:ascii="Times New Roman" w:hAnsi="Times New Roman"/>
          <w:sz w:val="22"/>
          <w:szCs w:val="22"/>
          <w:lang w:val="en-US"/>
        </w:rPr>
        <w:t>h</w:t>
      </w:r>
      <w:r w:rsidRPr="008B2AE9">
        <w:rPr>
          <w:rFonts w:ascii="Times New Roman" w:hAnsi="Times New Roman"/>
          <w:sz w:val="22"/>
          <w:szCs w:val="22"/>
        </w:rPr>
        <w:t xml:space="preserve"> μετά από μία εφάπαξ δόση και περίπου 9 </w:t>
      </w:r>
      <w:r w:rsidR="006D0F5C" w:rsidRPr="008B2AE9">
        <w:rPr>
          <w:rFonts w:ascii="Times New Roman" w:hAnsi="Times New Roman"/>
          <w:sz w:val="22"/>
          <w:szCs w:val="22"/>
          <w:lang w:val="en-US"/>
        </w:rPr>
        <w:t>l</w:t>
      </w:r>
      <w:r w:rsidRPr="008B2AE9">
        <w:rPr>
          <w:rFonts w:ascii="Times New Roman" w:hAnsi="Times New Roman"/>
          <w:sz w:val="22"/>
          <w:szCs w:val="22"/>
        </w:rPr>
        <w:t>/</w:t>
      </w:r>
      <w:r w:rsidRPr="008B2AE9">
        <w:rPr>
          <w:rFonts w:ascii="Times New Roman" w:hAnsi="Times New Roman"/>
          <w:sz w:val="22"/>
          <w:szCs w:val="22"/>
          <w:lang w:val="en-US"/>
        </w:rPr>
        <w:t>h</w:t>
      </w:r>
      <w:r w:rsidRPr="008B2AE9">
        <w:rPr>
          <w:rFonts w:ascii="Times New Roman" w:hAnsi="Times New Roman"/>
          <w:sz w:val="22"/>
          <w:szCs w:val="22"/>
        </w:rPr>
        <w:t xml:space="preserve"> μετά από επαναλαμβανόμενες χορηγήσεις. Ο χρόνος ημιζωής της εσομεπραζόλης </w:t>
      </w:r>
      <w:r w:rsidR="005A6FF6" w:rsidRPr="008B2AE9">
        <w:rPr>
          <w:rFonts w:ascii="Times New Roman" w:hAnsi="Times New Roman"/>
          <w:sz w:val="22"/>
          <w:szCs w:val="22"/>
        </w:rPr>
        <w:t xml:space="preserve">στο πλάσμα </w:t>
      </w:r>
      <w:r w:rsidRPr="008B2AE9">
        <w:rPr>
          <w:rFonts w:ascii="Times New Roman" w:hAnsi="Times New Roman"/>
          <w:sz w:val="22"/>
          <w:szCs w:val="22"/>
        </w:rPr>
        <w:t xml:space="preserve">είναι περίπου 1,3 ώρες μετά από επαναλαμβανόμενες εφάπαξ ημερησίως </w:t>
      </w:r>
      <w:r w:rsidR="00925A7F" w:rsidRPr="008B2AE9">
        <w:rPr>
          <w:rFonts w:ascii="Times New Roman" w:hAnsi="Times New Roman"/>
          <w:sz w:val="22"/>
          <w:szCs w:val="22"/>
        </w:rPr>
        <w:t>δόσεις</w:t>
      </w:r>
      <w:r w:rsidRPr="008B2AE9">
        <w:rPr>
          <w:rFonts w:ascii="Times New Roman" w:hAnsi="Times New Roman"/>
          <w:sz w:val="22"/>
          <w:szCs w:val="22"/>
        </w:rPr>
        <w:t xml:space="preserve">. </w:t>
      </w:r>
    </w:p>
    <w:p w:rsidR="006D0F5C" w:rsidRPr="008B2AE9" w:rsidRDefault="00E72235" w:rsidP="009755F5">
      <w:pPr>
        <w:pStyle w:val="a8"/>
        <w:spacing w:line="240" w:lineRule="auto"/>
        <w:rPr>
          <w:rFonts w:ascii="Times New Roman" w:hAnsi="Times New Roman"/>
          <w:sz w:val="22"/>
          <w:szCs w:val="22"/>
        </w:rPr>
      </w:pPr>
      <w:r w:rsidRPr="008B2AE9">
        <w:rPr>
          <w:rFonts w:ascii="Times New Roman" w:hAnsi="Times New Roman"/>
          <w:sz w:val="22"/>
          <w:szCs w:val="22"/>
        </w:rPr>
        <w:t xml:space="preserve">Η εσομεπραζόλη απομακρύνεται εξ ολοκλήρου από το πλάσμα μεταξύ των δόσεων, χωρίς να εμφανίζεται τάση συσσώρευσης σε εφάπαξ ημερήσια χορήγηση. </w:t>
      </w:r>
    </w:p>
    <w:p w:rsidR="00A22580" w:rsidRPr="008B2AE9" w:rsidRDefault="00A22580" w:rsidP="00A22580">
      <w:pPr>
        <w:pStyle w:val="a8"/>
        <w:spacing w:line="240" w:lineRule="auto"/>
        <w:rPr>
          <w:rFonts w:ascii="Times New Roman" w:hAnsi="Times New Roman"/>
          <w:sz w:val="22"/>
          <w:szCs w:val="22"/>
        </w:rPr>
      </w:pPr>
    </w:p>
    <w:p w:rsidR="002F6183" w:rsidRPr="008B2AE9" w:rsidRDefault="002F6183" w:rsidP="002F6183">
      <w:pPr>
        <w:pStyle w:val="a8"/>
        <w:spacing w:line="240" w:lineRule="auto"/>
        <w:rPr>
          <w:rFonts w:ascii="Times New Roman" w:hAnsi="Times New Roman"/>
          <w:sz w:val="22"/>
          <w:szCs w:val="22"/>
        </w:rPr>
      </w:pPr>
      <w:r w:rsidRPr="008B2AE9">
        <w:rPr>
          <w:rFonts w:ascii="Times New Roman" w:hAnsi="Times New Roman"/>
          <w:sz w:val="22"/>
          <w:szCs w:val="22"/>
        </w:rPr>
        <w:t xml:space="preserve">Οι κύριοι μεταβολίτες της εσομεπραζόλης δεν έχουν καμιά δράση στην έκκριση γαστρικού οξέος. Το 80% περίπου της από του στόματος χορηγούμενης δόσης της εσομεπραζόλης αποβάλλεται υπό τη μορφή μεταβολιτών στα ούρα και το υπόλοιπο στα κόπρανα. Λιγότερο από 1% της αρχικής ουσίας βρίσκεται στα ούρα. </w:t>
      </w:r>
    </w:p>
    <w:p w:rsidR="002F6183" w:rsidRPr="008B2AE9" w:rsidRDefault="002F6183" w:rsidP="00A22580">
      <w:pPr>
        <w:pStyle w:val="a8"/>
        <w:spacing w:line="240" w:lineRule="auto"/>
        <w:rPr>
          <w:rFonts w:ascii="Times New Roman" w:hAnsi="Times New Roman"/>
          <w:sz w:val="22"/>
          <w:szCs w:val="22"/>
        </w:rPr>
      </w:pPr>
    </w:p>
    <w:p w:rsidR="00C5752D" w:rsidRPr="008B2AE9" w:rsidRDefault="00C5752D" w:rsidP="00A22580">
      <w:pPr>
        <w:pStyle w:val="a8"/>
        <w:spacing w:line="240" w:lineRule="auto"/>
        <w:rPr>
          <w:rFonts w:ascii="Times New Roman" w:hAnsi="Times New Roman"/>
          <w:sz w:val="22"/>
          <w:szCs w:val="22"/>
          <w:u w:val="single"/>
        </w:rPr>
      </w:pPr>
      <w:r w:rsidRPr="008B2AE9">
        <w:rPr>
          <w:rFonts w:ascii="Times New Roman" w:hAnsi="Times New Roman"/>
          <w:sz w:val="22"/>
          <w:szCs w:val="22"/>
          <w:u w:val="single"/>
        </w:rPr>
        <w:t>Γραμμικότητα/μη-γραμμικότητα</w:t>
      </w:r>
    </w:p>
    <w:p w:rsidR="00A22580" w:rsidRPr="008B2AE9" w:rsidRDefault="00A22580" w:rsidP="00A22580">
      <w:pPr>
        <w:pStyle w:val="a8"/>
        <w:spacing w:line="240" w:lineRule="auto"/>
        <w:rPr>
          <w:rFonts w:ascii="Times New Roman" w:hAnsi="Times New Roman"/>
          <w:sz w:val="22"/>
          <w:szCs w:val="22"/>
        </w:rPr>
      </w:pPr>
      <w:r w:rsidRPr="008B2AE9">
        <w:rPr>
          <w:rFonts w:ascii="Times New Roman" w:hAnsi="Times New Roman"/>
          <w:sz w:val="22"/>
          <w:szCs w:val="22"/>
        </w:rPr>
        <w:t>Η ολική έκθεση (AUC) αυξάνει μετά από επαναλαμβανόμενες χορηγήσεις</w:t>
      </w:r>
      <w:r w:rsidR="003B7C7D" w:rsidRPr="008B2AE9">
        <w:rPr>
          <w:rFonts w:ascii="Times New Roman" w:hAnsi="Times New Roman"/>
          <w:sz w:val="22"/>
          <w:szCs w:val="22"/>
        </w:rPr>
        <w:t xml:space="preserve"> της εσομεπραζόλης</w:t>
      </w:r>
      <w:r w:rsidRPr="008B2AE9">
        <w:rPr>
          <w:rFonts w:ascii="Times New Roman" w:hAnsi="Times New Roman"/>
          <w:sz w:val="22"/>
          <w:szCs w:val="22"/>
        </w:rPr>
        <w:t>. Η αύξηση αυτή είναι δοσοεξαρτώμενη και έχει σαν αποτέλεσμα μία μη γραμμική σχέση δόσης-AUC μετά από επαναλαμβανόμενες χορηγήσεις. Αυτή η χρονο-</w:t>
      </w:r>
      <w:r w:rsidR="000A4B76" w:rsidRPr="008B2AE9">
        <w:rPr>
          <w:rFonts w:ascii="Times New Roman" w:hAnsi="Times New Roman"/>
          <w:sz w:val="22"/>
          <w:szCs w:val="22"/>
        </w:rPr>
        <w:t xml:space="preserve"> και </w:t>
      </w:r>
      <w:r w:rsidRPr="008B2AE9">
        <w:rPr>
          <w:rFonts w:ascii="Times New Roman" w:hAnsi="Times New Roman"/>
          <w:sz w:val="22"/>
          <w:szCs w:val="22"/>
        </w:rPr>
        <w:t xml:space="preserve">δοσο-εξάρτηση οφείλεται στη μείωση του μεταβολισμού πρώτης διόδου και της συστηματικής κάθαρσης που πιθανά προκαλείται από την αναστολή του ενζύμου CYP2C19 από την εσομεπραζόλη και/ή τον σουλφονικό μεταβολίτη της. </w:t>
      </w:r>
    </w:p>
    <w:p w:rsidR="006D0F5C" w:rsidRPr="008B2AE9" w:rsidRDefault="006D0F5C" w:rsidP="009755F5">
      <w:pPr>
        <w:pStyle w:val="a8"/>
        <w:spacing w:line="240" w:lineRule="auto"/>
        <w:rPr>
          <w:rFonts w:ascii="Times New Roman" w:hAnsi="Times New Roman"/>
          <w:sz w:val="22"/>
          <w:szCs w:val="22"/>
        </w:rPr>
      </w:pPr>
    </w:p>
    <w:p w:rsidR="00E72235" w:rsidRPr="008B2AE9" w:rsidRDefault="00E72235" w:rsidP="009755F5">
      <w:pPr>
        <w:pStyle w:val="a8"/>
        <w:spacing w:line="240" w:lineRule="auto"/>
        <w:rPr>
          <w:rFonts w:ascii="Times New Roman" w:hAnsi="Times New Roman"/>
          <w:sz w:val="22"/>
          <w:szCs w:val="22"/>
        </w:rPr>
      </w:pPr>
      <w:r w:rsidRPr="008B2AE9">
        <w:rPr>
          <w:rFonts w:ascii="Times New Roman" w:hAnsi="Times New Roman"/>
          <w:sz w:val="22"/>
          <w:szCs w:val="22"/>
        </w:rPr>
        <w:t xml:space="preserve">Μετά από επαναλαμβανόμενες δόσεις 40 </w:t>
      </w:r>
      <w:r w:rsidRPr="008B2AE9">
        <w:rPr>
          <w:rFonts w:ascii="Times New Roman" w:hAnsi="Times New Roman"/>
          <w:sz w:val="22"/>
          <w:szCs w:val="22"/>
          <w:lang w:val="en-US"/>
        </w:rPr>
        <w:t>mg</w:t>
      </w:r>
      <w:r w:rsidRPr="008B2AE9">
        <w:rPr>
          <w:rFonts w:ascii="Times New Roman" w:hAnsi="Times New Roman"/>
          <w:sz w:val="22"/>
          <w:szCs w:val="22"/>
        </w:rPr>
        <w:t xml:space="preserve"> χορηγούμενες με ενδοφλέβιες ενέσεις</w:t>
      </w:r>
      <w:r w:rsidR="00601440" w:rsidRPr="008B2AE9">
        <w:rPr>
          <w:rFonts w:ascii="Times New Roman" w:hAnsi="Times New Roman"/>
          <w:sz w:val="22"/>
          <w:szCs w:val="22"/>
        </w:rPr>
        <w:t>,</w:t>
      </w:r>
      <w:r w:rsidRPr="008B2AE9">
        <w:rPr>
          <w:rFonts w:ascii="Times New Roman" w:hAnsi="Times New Roman"/>
          <w:sz w:val="22"/>
          <w:szCs w:val="22"/>
        </w:rPr>
        <w:t xml:space="preserve"> η μέγιστη συγκέντρωση στο πλάσμα είναι</w:t>
      </w:r>
      <w:r w:rsidR="006C424F" w:rsidRPr="008B2AE9">
        <w:rPr>
          <w:rFonts w:ascii="Times New Roman" w:hAnsi="Times New Roman"/>
          <w:sz w:val="22"/>
          <w:szCs w:val="22"/>
        </w:rPr>
        <w:t xml:space="preserve"> </w:t>
      </w:r>
      <w:r w:rsidRPr="008B2AE9">
        <w:rPr>
          <w:rFonts w:ascii="Times New Roman" w:hAnsi="Times New Roman"/>
          <w:sz w:val="22"/>
          <w:szCs w:val="22"/>
        </w:rPr>
        <w:t xml:space="preserve">περίπου 13,6 </w:t>
      </w:r>
      <w:r w:rsidRPr="008B2AE9">
        <w:rPr>
          <w:rFonts w:ascii="Times New Roman" w:hAnsi="Times New Roman"/>
          <w:sz w:val="22"/>
          <w:szCs w:val="22"/>
          <w:lang w:val="en-US"/>
        </w:rPr>
        <w:t>micromol</w:t>
      </w:r>
      <w:r w:rsidRPr="008B2AE9">
        <w:rPr>
          <w:rFonts w:ascii="Times New Roman" w:hAnsi="Times New Roman"/>
          <w:sz w:val="22"/>
          <w:szCs w:val="22"/>
        </w:rPr>
        <w:t>/</w:t>
      </w:r>
      <w:r w:rsidR="006D0F5C" w:rsidRPr="008B2AE9">
        <w:rPr>
          <w:rFonts w:ascii="Times New Roman" w:hAnsi="Times New Roman"/>
          <w:sz w:val="22"/>
          <w:szCs w:val="22"/>
          <w:lang w:val="en-US"/>
        </w:rPr>
        <w:t>l</w:t>
      </w:r>
      <w:r w:rsidRPr="008B2AE9">
        <w:rPr>
          <w:rFonts w:ascii="Times New Roman" w:hAnsi="Times New Roman"/>
          <w:sz w:val="22"/>
          <w:szCs w:val="22"/>
        </w:rPr>
        <w:t xml:space="preserve">. Η </w:t>
      </w:r>
      <w:r w:rsidR="00BB1AAB" w:rsidRPr="008B2AE9">
        <w:rPr>
          <w:rFonts w:ascii="Times New Roman" w:hAnsi="Times New Roman"/>
          <w:sz w:val="22"/>
          <w:szCs w:val="22"/>
        </w:rPr>
        <w:t xml:space="preserve">μέση </w:t>
      </w:r>
      <w:r w:rsidRPr="008B2AE9">
        <w:rPr>
          <w:rFonts w:ascii="Times New Roman" w:hAnsi="Times New Roman"/>
          <w:sz w:val="22"/>
          <w:szCs w:val="22"/>
        </w:rPr>
        <w:t xml:space="preserve">μέγιστη συγκέντρωση στο πλάσμα μετά από αντίστοιχες από του στόματος δόσεις είναι περίπου 4,6 </w:t>
      </w:r>
      <w:r w:rsidRPr="008B2AE9">
        <w:rPr>
          <w:rFonts w:ascii="Times New Roman" w:hAnsi="Times New Roman"/>
          <w:sz w:val="22"/>
          <w:szCs w:val="22"/>
          <w:lang w:val="en-US"/>
        </w:rPr>
        <w:t>micromol</w:t>
      </w:r>
      <w:r w:rsidRPr="008B2AE9">
        <w:rPr>
          <w:rFonts w:ascii="Times New Roman" w:hAnsi="Times New Roman"/>
          <w:sz w:val="22"/>
          <w:szCs w:val="22"/>
        </w:rPr>
        <w:t>/</w:t>
      </w:r>
      <w:r w:rsidR="006D0F5C" w:rsidRPr="008B2AE9">
        <w:rPr>
          <w:rFonts w:ascii="Times New Roman" w:hAnsi="Times New Roman"/>
          <w:sz w:val="22"/>
          <w:szCs w:val="22"/>
          <w:lang w:val="en-US"/>
        </w:rPr>
        <w:t>l</w:t>
      </w:r>
      <w:r w:rsidRPr="008B2AE9">
        <w:rPr>
          <w:rFonts w:ascii="Times New Roman" w:hAnsi="Times New Roman"/>
          <w:sz w:val="22"/>
          <w:szCs w:val="22"/>
        </w:rPr>
        <w:t>. Μία μικρότερη αύξηση (περίπου 30%) της ολικ</w:t>
      </w:r>
      <w:r w:rsidR="00532C0C" w:rsidRPr="008B2AE9">
        <w:rPr>
          <w:rFonts w:ascii="Times New Roman" w:hAnsi="Times New Roman"/>
          <w:sz w:val="22"/>
          <w:szCs w:val="22"/>
        </w:rPr>
        <w:t>ής έκθεσης μπορεί να εμφανισθεί</w:t>
      </w:r>
      <w:r w:rsidRPr="008B2AE9">
        <w:rPr>
          <w:rFonts w:ascii="Times New Roman" w:hAnsi="Times New Roman"/>
          <w:sz w:val="22"/>
          <w:szCs w:val="22"/>
        </w:rPr>
        <w:t xml:space="preserve"> μετά από ενδοφλέβια χορήγηση συγκριτικά με </w:t>
      </w:r>
      <w:r w:rsidR="00532C0C" w:rsidRPr="008B2AE9">
        <w:rPr>
          <w:rFonts w:ascii="Times New Roman" w:hAnsi="Times New Roman"/>
          <w:sz w:val="22"/>
          <w:szCs w:val="22"/>
        </w:rPr>
        <w:t xml:space="preserve">την </w:t>
      </w:r>
      <w:r w:rsidRPr="008B2AE9">
        <w:rPr>
          <w:rFonts w:ascii="Times New Roman" w:hAnsi="Times New Roman"/>
          <w:sz w:val="22"/>
          <w:szCs w:val="22"/>
        </w:rPr>
        <w:t>από του στόματος χορήγηση.</w:t>
      </w:r>
    </w:p>
    <w:p w:rsidR="00E72235" w:rsidRPr="008B2AE9" w:rsidRDefault="00E72235" w:rsidP="009755F5">
      <w:pPr>
        <w:pStyle w:val="a8"/>
        <w:spacing w:line="240" w:lineRule="auto"/>
        <w:rPr>
          <w:rFonts w:ascii="Times New Roman" w:hAnsi="Times New Roman"/>
          <w:sz w:val="22"/>
          <w:szCs w:val="22"/>
        </w:rPr>
      </w:pPr>
      <w:r w:rsidRPr="008B2AE9">
        <w:rPr>
          <w:rFonts w:ascii="Times New Roman" w:hAnsi="Times New Roman"/>
          <w:sz w:val="22"/>
          <w:szCs w:val="22"/>
        </w:rPr>
        <w:t xml:space="preserve">Υπάρχει μία γραμμική αύξηση σε σχέση με τη δόση της ολικής έκθεσης μετά από ενδοφλέβια χορήγηση εσομεπραζόλης με έγχυση διάρκειας 30 λεπτών (40 </w:t>
      </w:r>
      <w:r w:rsidRPr="008B2AE9">
        <w:rPr>
          <w:rFonts w:ascii="Times New Roman" w:hAnsi="Times New Roman"/>
          <w:sz w:val="22"/>
          <w:szCs w:val="22"/>
          <w:lang w:val="en-US"/>
        </w:rPr>
        <w:t>mg</w:t>
      </w:r>
      <w:r w:rsidRPr="008B2AE9">
        <w:rPr>
          <w:rFonts w:ascii="Times New Roman" w:hAnsi="Times New Roman"/>
          <w:sz w:val="22"/>
          <w:szCs w:val="22"/>
        </w:rPr>
        <w:t xml:space="preserve">, 80 </w:t>
      </w:r>
      <w:r w:rsidRPr="008B2AE9">
        <w:rPr>
          <w:rFonts w:ascii="Times New Roman" w:hAnsi="Times New Roman"/>
          <w:sz w:val="22"/>
          <w:szCs w:val="22"/>
          <w:lang w:val="en-US"/>
        </w:rPr>
        <w:t>mg</w:t>
      </w:r>
      <w:r w:rsidRPr="008B2AE9">
        <w:rPr>
          <w:rFonts w:ascii="Times New Roman" w:hAnsi="Times New Roman"/>
          <w:sz w:val="22"/>
          <w:szCs w:val="22"/>
        </w:rPr>
        <w:t xml:space="preserve"> ή 120 </w:t>
      </w:r>
      <w:r w:rsidRPr="008B2AE9">
        <w:rPr>
          <w:rFonts w:ascii="Times New Roman" w:hAnsi="Times New Roman"/>
          <w:sz w:val="22"/>
          <w:szCs w:val="22"/>
          <w:lang w:val="en-US"/>
        </w:rPr>
        <w:t>mg</w:t>
      </w:r>
      <w:r w:rsidRPr="008B2AE9">
        <w:rPr>
          <w:rFonts w:ascii="Times New Roman" w:hAnsi="Times New Roman"/>
          <w:sz w:val="22"/>
          <w:szCs w:val="22"/>
        </w:rPr>
        <w:t xml:space="preserve">) ακολουθούμενη από μία συνεχή έγχυση (4 </w:t>
      </w:r>
      <w:r w:rsidRPr="008B2AE9">
        <w:rPr>
          <w:rFonts w:ascii="Times New Roman" w:hAnsi="Times New Roman"/>
          <w:sz w:val="22"/>
          <w:szCs w:val="22"/>
          <w:lang w:val="en-US"/>
        </w:rPr>
        <w:t>mg</w:t>
      </w:r>
      <w:r w:rsidRPr="008B2AE9">
        <w:rPr>
          <w:rFonts w:ascii="Times New Roman" w:hAnsi="Times New Roman"/>
          <w:sz w:val="22"/>
          <w:szCs w:val="22"/>
        </w:rPr>
        <w:t>/</w:t>
      </w:r>
      <w:r w:rsidRPr="008B2AE9">
        <w:rPr>
          <w:rFonts w:ascii="Times New Roman" w:hAnsi="Times New Roman"/>
          <w:sz w:val="22"/>
          <w:szCs w:val="22"/>
          <w:lang w:val="en-US"/>
        </w:rPr>
        <w:t>h</w:t>
      </w:r>
      <w:r w:rsidRPr="008B2AE9">
        <w:rPr>
          <w:rFonts w:ascii="Times New Roman" w:hAnsi="Times New Roman"/>
          <w:sz w:val="22"/>
          <w:szCs w:val="22"/>
        </w:rPr>
        <w:t xml:space="preserve"> ή 8 </w:t>
      </w:r>
      <w:r w:rsidRPr="008B2AE9">
        <w:rPr>
          <w:rFonts w:ascii="Times New Roman" w:hAnsi="Times New Roman"/>
          <w:sz w:val="22"/>
          <w:szCs w:val="22"/>
          <w:lang w:val="en-US"/>
        </w:rPr>
        <w:t>mg</w:t>
      </w:r>
      <w:r w:rsidRPr="008B2AE9">
        <w:rPr>
          <w:rFonts w:ascii="Times New Roman" w:hAnsi="Times New Roman"/>
          <w:sz w:val="22"/>
          <w:szCs w:val="22"/>
        </w:rPr>
        <w:t>/</w:t>
      </w:r>
      <w:r w:rsidRPr="008B2AE9">
        <w:rPr>
          <w:rFonts w:ascii="Times New Roman" w:hAnsi="Times New Roman"/>
          <w:sz w:val="22"/>
          <w:szCs w:val="22"/>
          <w:lang w:val="en-US"/>
        </w:rPr>
        <w:t>h</w:t>
      </w:r>
      <w:r w:rsidRPr="008B2AE9">
        <w:rPr>
          <w:rFonts w:ascii="Times New Roman" w:hAnsi="Times New Roman"/>
          <w:sz w:val="22"/>
          <w:szCs w:val="22"/>
        </w:rPr>
        <w:t>) για 23,5 ώρες.</w:t>
      </w:r>
    </w:p>
    <w:p w:rsidR="00E72235" w:rsidRPr="008B2AE9" w:rsidRDefault="00E72235" w:rsidP="001B7A99">
      <w:pPr>
        <w:pStyle w:val="a8"/>
        <w:spacing w:line="240" w:lineRule="auto"/>
        <w:rPr>
          <w:rFonts w:ascii="Times New Roman" w:hAnsi="Times New Roman"/>
          <w:sz w:val="22"/>
          <w:szCs w:val="22"/>
        </w:rPr>
      </w:pPr>
    </w:p>
    <w:p w:rsidR="00E72235" w:rsidRPr="008B2AE9" w:rsidRDefault="00E72235" w:rsidP="001B7A99">
      <w:pPr>
        <w:pStyle w:val="a8"/>
        <w:spacing w:line="240" w:lineRule="auto"/>
        <w:rPr>
          <w:rFonts w:ascii="Times New Roman" w:hAnsi="Times New Roman"/>
          <w:iCs/>
          <w:sz w:val="22"/>
          <w:szCs w:val="22"/>
          <w:u w:val="single"/>
        </w:rPr>
      </w:pPr>
      <w:r w:rsidRPr="008B2AE9">
        <w:rPr>
          <w:rFonts w:ascii="Times New Roman" w:hAnsi="Times New Roman"/>
          <w:iCs/>
          <w:sz w:val="22"/>
          <w:szCs w:val="22"/>
          <w:u w:val="single"/>
        </w:rPr>
        <w:t>Ειδικές ομάδες ασθενών</w:t>
      </w:r>
    </w:p>
    <w:p w:rsidR="00CB17D4" w:rsidRPr="008B2AE9" w:rsidRDefault="00CB17D4" w:rsidP="001B7A99">
      <w:pPr>
        <w:pStyle w:val="a8"/>
        <w:spacing w:line="240" w:lineRule="auto"/>
        <w:rPr>
          <w:rFonts w:ascii="Times New Roman" w:hAnsi="Times New Roman"/>
          <w:i/>
          <w:iCs/>
          <w:sz w:val="22"/>
          <w:szCs w:val="22"/>
          <w:u w:val="single"/>
        </w:rPr>
      </w:pPr>
      <w:r w:rsidRPr="008B2AE9">
        <w:rPr>
          <w:rFonts w:ascii="Times New Roman" w:hAnsi="Times New Roman"/>
          <w:i/>
          <w:iCs/>
          <w:sz w:val="22"/>
          <w:szCs w:val="22"/>
          <w:u w:val="single"/>
        </w:rPr>
        <w:t xml:space="preserve">Ατομα με μικρή δυνατότητα μεταβολισμού </w:t>
      </w:r>
    </w:p>
    <w:p w:rsidR="00E72235" w:rsidRPr="008B2AE9" w:rsidRDefault="00E72235" w:rsidP="001B7A99">
      <w:pPr>
        <w:pStyle w:val="a8"/>
        <w:spacing w:line="240" w:lineRule="auto"/>
        <w:rPr>
          <w:rFonts w:ascii="Times New Roman" w:hAnsi="Times New Roman"/>
          <w:sz w:val="22"/>
          <w:szCs w:val="22"/>
        </w:rPr>
      </w:pPr>
      <w:r w:rsidRPr="008B2AE9">
        <w:rPr>
          <w:rFonts w:ascii="Times New Roman" w:hAnsi="Times New Roman"/>
          <w:sz w:val="22"/>
          <w:szCs w:val="22"/>
        </w:rPr>
        <w:t>Περίπου 2,9</w:t>
      </w:r>
      <w:r w:rsidR="00537A21" w:rsidRPr="008B2AE9">
        <w:rPr>
          <w:rFonts w:ascii="Times New Roman" w:hAnsi="Times New Roman"/>
          <w:sz w:val="22"/>
          <w:szCs w:val="22"/>
        </w:rPr>
        <w:t xml:space="preserve"> </w:t>
      </w:r>
      <w:r w:rsidRPr="008B2AE9">
        <w:rPr>
          <w:rFonts w:ascii="Times New Roman" w:hAnsi="Times New Roman"/>
          <w:sz w:val="22"/>
          <w:szCs w:val="22"/>
        </w:rPr>
        <w:t>±</w:t>
      </w:r>
      <w:r w:rsidR="00537A21" w:rsidRPr="008B2AE9">
        <w:rPr>
          <w:rFonts w:ascii="Times New Roman" w:hAnsi="Times New Roman"/>
          <w:sz w:val="22"/>
          <w:szCs w:val="22"/>
        </w:rPr>
        <w:t xml:space="preserve"> </w:t>
      </w:r>
      <w:r w:rsidRPr="008B2AE9">
        <w:rPr>
          <w:rFonts w:ascii="Times New Roman" w:hAnsi="Times New Roman"/>
          <w:sz w:val="22"/>
          <w:szCs w:val="22"/>
        </w:rPr>
        <w:t>1,5%</w:t>
      </w:r>
      <w:r w:rsidRPr="008B2AE9">
        <w:rPr>
          <w:rFonts w:ascii="Times New Roman" w:hAnsi="Times New Roman"/>
          <w:b/>
          <w:bCs/>
          <w:sz w:val="22"/>
          <w:szCs w:val="22"/>
        </w:rPr>
        <w:t xml:space="preserve"> </w:t>
      </w:r>
      <w:r w:rsidRPr="008B2AE9">
        <w:rPr>
          <w:rFonts w:ascii="Times New Roman" w:hAnsi="Times New Roman"/>
          <w:sz w:val="22"/>
          <w:szCs w:val="22"/>
        </w:rPr>
        <w:t>του πληθυσμού παρουσιάζει έλλειψη λειτουργικού CYP2C19 ενζύμου είναι δηλαδή άτομα με μικρή δυνατότητα μεταβολισμού. Στα άτομα αυτά</w:t>
      </w:r>
      <w:r w:rsidR="000C6A73" w:rsidRPr="008B2AE9">
        <w:rPr>
          <w:rFonts w:ascii="Times New Roman" w:hAnsi="Times New Roman"/>
          <w:sz w:val="22"/>
          <w:szCs w:val="22"/>
        </w:rPr>
        <w:t>,</w:t>
      </w:r>
      <w:r w:rsidRPr="008B2AE9">
        <w:rPr>
          <w:rFonts w:ascii="Times New Roman" w:hAnsi="Times New Roman"/>
          <w:sz w:val="22"/>
          <w:szCs w:val="22"/>
        </w:rPr>
        <w:t xml:space="preserve"> πιθανώς η εσομεπραζόλη μεταβολίζεται κυρίως από το </w:t>
      </w:r>
      <w:r w:rsidRPr="008B2AE9">
        <w:rPr>
          <w:rFonts w:ascii="Times New Roman" w:hAnsi="Times New Roman"/>
          <w:sz w:val="22"/>
          <w:szCs w:val="22"/>
          <w:lang w:val="en-US"/>
        </w:rPr>
        <w:t>CYP</w:t>
      </w:r>
      <w:r w:rsidRPr="008B2AE9">
        <w:rPr>
          <w:rFonts w:ascii="Times New Roman" w:hAnsi="Times New Roman"/>
          <w:sz w:val="22"/>
          <w:szCs w:val="22"/>
        </w:rPr>
        <w:t>3</w:t>
      </w:r>
      <w:r w:rsidRPr="008B2AE9">
        <w:rPr>
          <w:rFonts w:ascii="Times New Roman" w:hAnsi="Times New Roman"/>
          <w:sz w:val="22"/>
          <w:szCs w:val="22"/>
          <w:lang w:val="en-US"/>
        </w:rPr>
        <w:t>A</w:t>
      </w:r>
      <w:r w:rsidRPr="008B2AE9">
        <w:rPr>
          <w:rFonts w:ascii="Times New Roman" w:hAnsi="Times New Roman"/>
          <w:sz w:val="22"/>
          <w:szCs w:val="22"/>
        </w:rPr>
        <w:t xml:space="preserve">4. Μετά από επαναλαμβανόμενες χορηγήσεις </w:t>
      </w:r>
      <w:r w:rsidR="00A7215D" w:rsidRPr="008B2AE9">
        <w:rPr>
          <w:rFonts w:ascii="Times New Roman" w:hAnsi="Times New Roman"/>
          <w:sz w:val="22"/>
          <w:szCs w:val="22"/>
        </w:rPr>
        <w:t xml:space="preserve">από του στόματος </w:t>
      </w:r>
      <w:r w:rsidRPr="008B2AE9">
        <w:rPr>
          <w:rFonts w:ascii="Times New Roman" w:hAnsi="Times New Roman"/>
          <w:sz w:val="22"/>
          <w:szCs w:val="22"/>
        </w:rPr>
        <w:t xml:space="preserve">40 </w:t>
      </w:r>
      <w:r w:rsidRPr="008B2AE9">
        <w:rPr>
          <w:rFonts w:ascii="Times New Roman" w:hAnsi="Times New Roman"/>
          <w:sz w:val="22"/>
          <w:szCs w:val="22"/>
          <w:lang w:val="en-US"/>
        </w:rPr>
        <w:t>mg</w:t>
      </w:r>
      <w:r w:rsidRPr="008B2AE9">
        <w:rPr>
          <w:rFonts w:ascii="Times New Roman" w:hAnsi="Times New Roman"/>
          <w:sz w:val="22"/>
          <w:szCs w:val="22"/>
        </w:rPr>
        <w:t xml:space="preserve"> εσομεπραζόλης εφάπαξ ημερησίως, η μέση ολική έκθεση ήταν περίπου 100% μεγαλύτερη σε άτομα με μικρή δυνατότητα μεταβολισμού από ότι σε άτομα που έχουν λειτουργικό CYP2C19 ένζυμο (άτομα με δυνατότητα εκτεταμένου μεταβολισμού). Η μέση τιμή των μέγιστων συγκεντρώσεων στο πλάσμα αυξήθηκε περίπου 60%. Παρόμοιες διαφορές έχουν παρατηρηθεί σε ενδοφλέβια χορήγηση εσομεπραζόλης. Τα ευρήματα αυτά δεν έχουν καμιά επίπτωση στη δοσολογία της εσομεπραζόλης.</w:t>
      </w:r>
    </w:p>
    <w:p w:rsidR="00E72235" w:rsidRPr="008B2AE9" w:rsidRDefault="00E72235" w:rsidP="001B7A99">
      <w:pPr>
        <w:pStyle w:val="a8"/>
        <w:spacing w:line="240" w:lineRule="auto"/>
        <w:rPr>
          <w:rFonts w:ascii="Times New Roman" w:hAnsi="Times New Roman"/>
          <w:sz w:val="22"/>
          <w:szCs w:val="22"/>
        </w:rPr>
      </w:pPr>
    </w:p>
    <w:p w:rsidR="0012487B" w:rsidRPr="008B2AE9" w:rsidRDefault="0012487B" w:rsidP="001B7A99">
      <w:pPr>
        <w:pStyle w:val="a8"/>
        <w:spacing w:line="240" w:lineRule="auto"/>
        <w:rPr>
          <w:rFonts w:ascii="Times New Roman" w:hAnsi="Times New Roman"/>
          <w:i/>
          <w:sz w:val="22"/>
          <w:szCs w:val="22"/>
          <w:u w:val="single"/>
        </w:rPr>
      </w:pPr>
      <w:r w:rsidRPr="008B2AE9">
        <w:rPr>
          <w:rFonts w:ascii="Times New Roman" w:hAnsi="Times New Roman"/>
          <w:i/>
          <w:sz w:val="22"/>
          <w:szCs w:val="22"/>
          <w:u w:val="single"/>
        </w:rPr>
        <w:t>Φύλο</w:t>
      </w:r>
    </w:p>
    <w:p w:rsidR="00E72235" w:rsidRPr="008B2AE9" w:rsidRDefault="00E72235" w:rsidP="001B7A99">
      <w:pPr>
        <w:pStyle w:val="a8"/>
        <w:spacing w:line="240" w:lineRule="auto"/>
        <w:rPr>
          <w:rFonts w:ascii="Times New Roman" w:hAnsi="Times New Roman"/>
          <w:sz w:val="22"/>
          <w:szCs w:val="22"/>
        </w:rPr>
      </w:pPr>
      <w:r w:rsidRPr="008B2AE9">
        <w:rPr>
          <w:rFonts w:ascii="Times New Roman" w:hAnsi="Times New Roman"/>
          <w:sz w:val="22"/>
          <w:szCs w:val="22"/>
        </w:rPr>
        <w:t xml:space="preserve">Μετά από μία εφάπαξ από του στόματος δόση 40 </w:t>
      </w:r>
      <w:r w:rsidRPr="008B2AE9">
        <w:rPr>
          <w:rFonts w:ascii="Times New Roman" w:hAnsi="Times New Roman"/>
          <w:sz w:val="22"/>
          <w:szCs w:val="22"/>
          <w:lang w:val="en-US"/>
        </w:rPr>
        <w:t>mg</w:t>
      </w:r>
      <w:r w:rsidRPr="008B2AE9">
        <w:rPr>
          <w:rFonts w:ascii="Times New Roman" w:hAnsi="Times New Roman"/>
          <w:sz w:val="22"/>
          <w:szCs w:val="22"/>
        </w:rPr>
        <w:t xml:space="preserve"> εσομεπραζόλης η μέση συνολική έκθεση είναι περίπου 30% μεγαλύτερη στις γυναίκες από τους άντρες. Δεν έχει παρατηρηθεί διαφορά μεταξύ των δύο φύλων μετά από επαναλαμβανόμενες </w:t>
      </w:r>
      <w:r w:rsidR="003F3AAE" w:rsidRPr="008B2AE9">
        <w:rPr>
          <w:rFonts w:ascii="Times New Roman" w:hAnsi="Times New Roman"/>
          <w:sz w:val="22"/>
          <w:szCs w:val="22"/>
        </w:rPr>
        <w:t xml:space="preserve">εφάπαξ </w:t>
      </w:r>
      <w:r w:rsidRPr="008B2AE9">
        <w:rPr>
          <w:rFonts w:ascii="Times New Roman" w:hAnsi="Times New Roman"/>
          <w:sz w:val="22"/>
          <w:szCs w:val="22"/>
        </w:rPr>
        <w:t xml:space="preserve">χορηγήσεις. Παρόμοιες διαφορές </w:t>
      </w:r>
      <w:r w:rsidRPr="008B2AE9">
        <w:rPr>
          <w:rFonts w:ascii="Times New Roman" w:hAnsi="Times New Roman"/>
          <w:sz w:val="22"/>
          <w:szCs w:val="22"/>
        </w:rPr>
        <w:lastRenderedPageBreak/>
        <w:t>έχουν παρατηρηθεί σε ενδοφλέβια χορήγηση εσομεπραζόλης. Τα ευρήματα αυτά δεν έχουν καμιά επίπτωση στη δοσολογία της εσομεπραζόλης.</w:t>
      </w:r>
    </w:p>
    <w:p w:rsidR="00E72235" w:rsidRPr="008B2AE9" w:rsidRDefault="00E72235" w:rsidP="001B7A99">
      <w:pPr>
        <w:pStyle w:val="a8"/>
        <w:spacing w:line="240" w:lineRule="auto"/>
        <w:rPr>
          <w:rFonts w:ascii="Times New Roman" w:hAnsi="Times New Roman"/>
          <w:sz w:val="22"/>
          <w:szCs w:val="22"/>
        </w:rPr>
      </w:pPr>
    </w:p>
    <w:p w:rsidR="00C142C3" w:rsidRPr="008B2AE9" w:rsidRDefault="00C142C3" w:rsidP="001B7A99">
      <w:pPr>
        <w:pStyle w:val="a8"/>
        <w:spacing w:line="240" w:lineRule="auto"/>
        <w:rPr>
          <w:rFonts w:ascii="Times New Roman" w:hAnsi="Times New Roman"/>
          <w:i/>
          <w:sz w:val="22"/>
          <w:szCs w:val="22"/>
          <w:u w:val="single"/>
        </w:rPr>
      </w:pPr>
      <w:r w:rsidRPr="008B2AE9">
        <w:rPr>
          <w:rFonts w:ascii="Times New Roman" w:hAnsi="Times New Roman"/>
          <w:i/>
          <w:sz w:val="22"/>
          <w:szCs w:val="22"/>
          <w:u w:val="single"/>
        </w:rPr>
        <w:t xml:space="preserve">Ηπατική </w:t>
      </w:r>
      <w:r w:rsidR="00506E50" w:rsidRPr="008B2AE9">
        <w:rPr>
          <w:rFonts w:ascii="Times New Roman" w:hAnsi="Times New Roman"/>
          <w:i/>
          <w:sz w:val="22"/>
          <w:szCs w:val="22"/>
          <w:u w:val="single"/>
        </w:rPr>
        <w:t>δυσλειτουργία</w:t>
      </w:r>
    </w:p>
    <w:p w:rsidR="00E72235" w:rsidRPr="008B2AE9" w:rsidRDefault="00E72235" w:rsidP="001B7A99">
      <w:pPr>
        <w:pStyle w:val="a8"/>
        <w:spacing w:line="240" w:lineRule="auto"/>
        <w:rPr>
          <w:rFonts w:ascii="Times New Roman" w:hAnsi="Times New Roman"/>
          <w:sz w:val="22"/>
          <w:szCs w:val="22"/>
        </w:rPr>
      </w:pPr>
      <w:r w:rsidRPr="008B2AE9">
        <w:rPr>
          <w:rFonts w:ascii="Times New Roman" w:hAnsi="Times New Roman"/>
          <w:sz w:val="22"/>
          <w:szCs w:val="22"/>
        </w:rPr>
        <w:t xml:space="preserve">Ο μεταβολισμός της εσομεπραζόλης μπορεί να επηρεαστεί σε ασθενείς με ήπια έως μέτρια ηπατική </w:t>
      </w:r>
      <w:r w:rsidR="00970BC2" w:rsidRPr="008B2AE9">
        <w:rPr>
          <w:rFonts w:ascii="Times New Roman" w:hAnsi="Times New Roman"/>
          <w:sz w:val="22"/>
          <w:szCs w:val="22"/>
        </w:rPr>
        <w:t>δυσλειτουργεία</w:t>
      </w:r>
      <w:r w:rsidRPr="008B2AE9">
        <w:rPr>
          <w:rFonts w:ascii="Times New Roman" w:hAnsi="Times New Roman"/>
          <w:sz w:val="22"/>
          <w:szCs w:val="22"/>
        </w:rPr>
        <w:t xml:space="preserve">. Ο ρυθμός μεταβολισμού μειώνεται σε ασθενείς με σοβαρή ηπατική </w:t>
      </w:r>
      <w:r w:rsidR="006359D2" w:rsidRPr="008B2AE9">
        <w:rPr>
          <w:rFonts w:ascii="Times New Roman" w:hAnsi="Times New Roman"/>
          <w:sz w:val="22"/>
          <w:szCs w:val="22"/>
        </w:rPr>
        <w:t>δυσλειτουργεία</w:t>
      </w:r>
      <w:r w:rsidR="00E9492C" w:rsidRPr="008B2AE9">
        <w:rPr>
          <w:rFonts w:ascii="Times New Roman" w:hAnsi="Times New Roman"/>
          <w:sz w:val="22"/>
          <w:szCs w:val="22"/>
        </w:rPr>
        <w:t xml:space="preserve"> </w:t>
      </w:r>
      <w:r w:rsidRPr="008B2AE9">
        <w:rPr>
          <w:rFonts w:ascii="Times New Roman" w:hAnsi="Times New Roman"/>
          <w:sz w:val="22"/>
          <w:szCs w:val="22"/>
        </w:rPr>
        <w:t xml:space="preserve">με αποτέλεσμα το διπλασιασμό της συνολικής έκθεσης στην εσομεπραζόλη. Για το λόγο αυτό, σε ασθενείς με σοβαρή </w:t>
      </w:r>
      <w:r w:rsidR="00DD41B3" w:rsidRPr="008B2AE9">
        <w:rPr>
          <w:rFonts w:ascii="Times New Roman" w:hAnsi="Times New Roman"/>
          <w:sz w:val="22"/>
          <w:szCs w:val="22"/>
        </w:rPr>
        <w:t>δυσλειτουργεία</w:t>
      </w:r>
      <w:r w:rsidR="00E9492C" w:rsidRPr="008B2AE9">
        <w:rPr>
          <w:rFonts w:ascii="Times New Roman" w:hAnsi="Times New Roman"/>
          <w:sz w:val="22"/>
          <w:szCs w:val="22"/>
        </w:rPr>
        <w:t xml:space="preserve"> </w:t>
      </w:r>
      <w:r w:rsidRPr="008B2AE9">
        <w:rPr>
          <w:rFonts w:ascii="Times New Roman" w:hAnsi="Times New Roman"/>
          <w:sz w:val="22"/>
          <w:szCs w:val="22"/>
        </w:rPr>
        <w:t xml:space="preserve">που πάσχουν από ΓΟΠΝ δεν πρέπει να χορηγείται δόση μεγαλύτερη από 20 </w:t>
      </w:r>
      <w:r w:rsidRPr="008B2AE9">
        <w:rPr>
          <w:rFonts w:ascii="Times New Roman" w:hAnsi="Times New Roman"/>
          <w:sz w:val="22"/>
          <w:szCs w:val="22"/>
          <w:lang w:val="en-US"/>
        </w:rPr>
        <w:t>mg</w:t>
      </w:r>
      <w:r w:rsidRPr="008B2AE9">
        <w:rPr>
          <w:rFonts w:ascii="Times New Roman" w:hAnsi="Times New Roman"/>
          <w:sz w:val="22"/>
          <w:szCs w:val="22"/>
        </w:rPr>
        <w:t xml:space="preserve">. Σε ασθενείς με αιμορραγία πεπτικού έλκους και σοβαρή ηπατική </w:t>
      </w:r>
      <w:r w:rsidR="00506E50" w:rsidRPr="008B2AE9">
        <w:rPr>
          <w:rFonts w:ascii="Times New Roman" w:hAnsi="Times New Roman"/>
          <w:sz w:val="22"/>
          <w:szCs w:val="22"/>
        </w:rPr>
        <w:t>δυσλειτουργία</w:t>
      </w:r>
      <w:r w:rsidRPr="008B2AE9">
        <w:rPr>
          <w:rFonts w:ascii="Times New Roman" w:hAnsi="Times New Roman"/>
          <w:sz w:val="22"/>
          <w:szCs w:val="22"/>
        </w:rPr>
        <w:t>, μετά από μία αρχική δόση</w:t>
      </w:r>
      <w:r w:rsidR="006C424F" w:rsidRPr="008B2AE9">
        <w:rPr>
          <w:rFonts w:ascii="Times New Roman" w:hAnsi="Times New Roman"/>
          <w:sz w:val="22"/>
          <w:szCs w:val="22"/>
        </w:rPr>
        <w:t xml:space="preserve"> </w:t>
      </w:r>
      <w:r w:rsidRPr="008B2AE9">
        <w:rPr>
          <w:rFonts w:ascii="Times New Roman" w:hAnsi="Times New Roman"/>
          <w:sz w:val="22"/>
          <w:szCs w:val="22"/>
        </w:rPr>
        <w:t xml:space="preserve">εφόδου 80 </w:t>
      </w:r>
      <w:r w:rsidRPr="008B2AE9">
        <w:rPr>
          <w:rFonts w:ascii="Times New Roman" w:hAnsi="Times New Roman"/>
          <w:sz w:val="22"/>
          <w:szCs w:val="22"/>
          <w:lang w:val="en-US"/>
        </w:rPr>
        <w:t>mg</w:t>
      </w:r>
      <w:r w:rsidRPr="008B2AE9">
        <w:rPr>
          <w:rFonts w:ascii="Times New Roman" w:hAnsi="Times New Roman"/>
          <w:sz w:val="22"/>
          <w:szCs w:val="22"/>
        </w:rPr>
        <w:t>, μπορεί να είναι επαρκής μία μέγιστη συνεχή</w:t>
      </w:r>
      <w:r w:rsidR="004B788A" w:rsidRPr="008B2AE9">
        <w:rPr>
          <w:rFonts w:ascii="Times New Roman" w:hAnsi="Times New Roman"/>
          <w:sz w:val="22"/>
          <w:szCs w:val="22"/>
        </w:rPr>
        <w:t>ς</w:t>
      </w:r>
      <w:r w:rsidRPr="008B2AE9">
        <w:rPr>
          <w:rFonts w:ascii="Times New Roman" w:hAnsi="Times New Roman"/>
          <w:sz w:val="22"/>
          <w:szCs w:val="22"/>
        </w:rPr>
        <w:t xml:space="preserve"> ενδοφλέβια </w:t>
      </w:r>
      <w:r w:rsidR="004B788A" w:rsidRPr="008B2AE9">
        <w:rPr>
          <w:rFonts w:ascii="Times New Roman" w:hAnsi="Times New Roman"/>
          <w:sz w:val="22"/>
          <w:szCs w:val="22"/>
        </w:rPr>
        <w:t xml:space="preserve">δόση </w:t>
      </w:r>
      <w:r w:rsidRPr="008B2AE9">
        <w:rPr>
          <w:rFonts w:ascii="Times New Roman" w:hAnsi="Times New Roman"/>
          <w:sz w:val="22"/>
          <w:szCs w:val="22"/>
        </w:rPr>
        <w:t>έγχυση</w:t>
      </w:r>
      <w:r w:rsidR="004B788A" w:rsidRPr="008B2AE9">
        <w:rPr>
          <w:rFonts w:ascii="Times New Roman" w:hAnsi="Times New Roman"/>
          <w:sz w:val="22"/>
          <w:szCs w:val="22"/>
        </w:rPr>
        <w:t>ς</w:t>
      </w:r>
      <w:r w:rsidRPr="008B2AE9">
        <w:rPr>
          <w:rFonts w:ascii="Times New Roman" w:hAnsi="Times New Roman"/>
          <w:sz w:val="22"/>
          <w:szCs w:val="22"/>
        </w:rPr>
        <w:t xml:space="preserve"> 4 </w:t>
      </w:r>
      <w:r w:rsidRPr="008B2AE9">
        <w:rPr>
          <w:rFonts w:ascii="Times New Roman" w:hAnsi="Times New Roman"/>
          <w:sz w:val="22"/>
          <w:szCs w:val="22"/>
          <w:lang w:val="en-US"/>
        </w:rPr>
        <w:t>mg</w:t>
      </w:r>
      <w:r w:rsidRPr="008B2AE9">
        <w:rPr>
          <w:rFonts w:ascii="Times New Roman" w:hAnsi="Times New Roman"/>
          <w:sz w:val="22"/>
          <w:szCs w:val="22"/>
        </w:rPr>
        <w:t>/</w:t>
      </w:r>
      <w:r w:rsidRPr="008B2AE9">
        <w:rPr>
          <w:rFonts w:ascii="Times New Roman" w:hAnsi="Times New Roman"/>
          <w:sz w:val="22"/>
          <w:szCs w:val="22"/>
          <w:lang w:val="en-US"/>
        </w:rPr>
        <w:t>h</w:t>
      </w:r>
      <w:r w:rsidRPr="008B2AE9">
        <w:rPr>
          <w:rFonts w:ascii="Times New Roman" w:hAnsi="Times New Roman"/>
          <w:sz w:val="22"/>
          <w:szCs w:val="22"/>
        </w:rPr>
        <w:t xml:space="preserve"> για 71,5 ώρες. Η εσομεπραζόλη ή οι κύριοι μ</w:t>
      </w:r>
      <w:r w:rsidR="00760C58" w:rsidRPr="008B2AE9">
        <w:rPr>
          <w:rFonts w:ascii="Times New Roman" w:hAnsi="Times New Roman"/>
          <w:sz w:val="22"/>
          <w:szCs w:val="22"/>
        </w:rPr>
        <w:t xml:space="preserve">εταβολίτες της δεν παρουσιάζουν </w:t>
      </w:r>
      <w:r w:rsidR="00913600" w:rsidRPr="008B2AE9">
        <w:rPr>
          <w:rFonts w:ascii="Times New Roman" w:hAnsi="Times New Roman"/>
          <w:sz w:val="22"/>
          <w:szCs w:val="22"/>
        </w:rPr>
        <w:t>τάση συσσώρευσης</w:t>
      </w:r>
      <w:r w:rsidRPr="008B2AE9">
        <w:rPr>
          <w:rFonts w:ascii="Times New Roman" w:hAnsi="Times New Roman"/>
          <w:sz w:val="22"/>
          <w:szCs w:val="22"/>
        </w:rPr>
        <w:t xml:space="preserve"> όταν χορηγούνται εφάπαξ ημερησίως</w:t>
      </w:r>
      <w:r w:rsidRPr="008B2AE9">
        <w:rPr>
          <w:rFonts w:ascii="Times New Roman" w:hAnsi="Times New Roman"/>
          <w:i/>
          <w:sz w:val="22"/>
          <w:szCs w:val="22"/>
        </w:rPr>
        <w:t>.</w:t>
      </w:r>
      <w:r w:rsidRPr="008B2AE9">
        <w:rPr>
          <w:rFonts w:ascii="Times New Roman" w:hAnsi="Times New Roman"/>
          <w:sz w:val="22"/>
          <w:szCs w:val="22"/>
        </w:rPr>
        <w:t xml:space="preserve"> </w:t>
      </w:r>
    </w:p>
    <w:p w:rsidR="00E72235" w:rsidRPr="008B2AE9" w:rsidRDefault="00E72235" w:rsidP="001B7A99">
      <w:pPr>
        <w:pStyle w:val="a8"/>
        <w:spacing w:line="240" w:lineRule="auto"/>
        <w:rPr>
          <w:rFonts w:ascii="Times New Roman" w:hAnsi="Times New Roman"/>
          <w:sz w:val="22"/>
          <w:szCs w:val="22"/>
        </w:rPr>
      </w:pPr>
    </w:p>
    <w:p w:rsidR="006E2CF1" w:rsidRPr="008B2AE9" w:rsidRDefault="006E2CF1" w:rsidP="001B7A99">
      <w:pPr>
        <w:pStyle w:val="a8"/>
        <w:spacing w:line="240" w:lineRule="auto"/>
        <w:rPr>
          <w:rFonts w:ascii="Times New Roman" w:hAnsi="Times New Roman"/>
          <w:i/>
          <w:sz w:val="22"/>
          <w:szCs w:val="22"/>
          <w:u w:val="single"/>
        </w:rPr>
      </w:pPr>
      <w:r w:rsidRPr="008B2AE9">
        <w:rPr>
          <w:rFonts w:ascii="Times New Roman" w:hAnsi="Times New Roman"/>
          <w:i/>
          <w:sz w:val="22"/>
          <w:szCs w:val="22"/>
          <w:u w:val="single"/>
        </w:rPr>
        <w:t xml:space="preserve">Νεφρική </w:t>
      </w:r>
      <w:r w:rsidR="00717364" w:rsidRPr="008B2AE9">
        <w:rPr>
          <w:rFonts w:ascii="Times New Roman" w:hAnsi="Times New Roman"/>
          <w:i/>
          <w:sz w:val="22"/>
          <w:szCs w:val="22"/>
          <w:u w:val="single"/>
        </w:rPr>
        <w:t>δυσλειτουργία</w:t>
      </w:r>
    </w:p>
    <w:p w:rsidR="00E72235" w:rsidRPr="008B2AE9" w:rsidRDefault="00E72235" w:rsidP="001B7A99">
      <w:pPr>
        <w:pStyle w:val="a8"/>
        <w:spacing w:line="240" w:lineRule="auto"/>
        <w:rPr>
          <w:rFonts w:ascii="Times New Roman" w:hAnsi="Times New Roman"/>
          <w:sz w:val="22"/>
          <w:szCs w:val="22"/>
          <w:lang w:val="en-US"/>
        </w:rPr>
      </w:pPr>
      <w:r w:rsidRPr="008B2AE9">
        <w:rPr>
          <w:rFonts w:ascii="Times New Roman" w:hAnsi="Times New Roman"/>
          <w:sz w:val="22"/>
          <w:szCs w:val="22"/>
        </w:rPr>
        <w:t xml:space="preserve">Δεν έχουν διεξαχθεί μελέτες σε ασθενείς με μειωμένη νεφρική λειτουργία. Καθώς οι νεφροί είναι υπεύθυνοι για την απέκκριση των μεταβολιτών της εσομεπραζόλης, αλλά όχι για την απομάκρυνση της αρχικής ουσίας, ο μεταβολισμός της εσομεπραζόλης δεν αναμένεται να αλλάξει σε ασθενείς με διαταραγμένη νεφρική λειτουργία. </w:t>
      </w:r>
    </w:p>
    <w:p w:rsidR="006D0F5C" w:rsidRPr="008B2AE9" w:rsidRDefault="006D0F5C" w:rsidP="001B7A99">
      <w:pPr>
        <w:pStyle w:val="a8"/>
        <w:spacing w:line="240" w:lineRule="auto"/>
        <w:rPr>
          <w:rFonts w:ascii="Times New Roman" w:hAnsi="Times New Roman"/>
          <w:sz w:val="22"/>
          <w:szCs w:val="22"/>
          <w:lang w:val="en-US"/>
        </w:rPr>
      </w:pPr>
    </w:p>
    <w:p w:rsidR="00825509" w:rsidRPr="008B2AE9" w:rsidRDefault="00825509" w:rsidP="00D56263">
      <w:pPr>
        <w:pStyle w:val="a8"/>
        <w:spacing w:line="240" w:lineRule="auto"/>
        <w:rPr>
          <w:rFonts w:ascii="Times New Roman" w:hAnsi="Times New Roman"/>
          <w:i/>
          <w:sz w:val="22"/>
          <w:szCs w:val="22"/>
          <w:u w:val="single"/>
        </w:rPr>
      </w:pPr>
      <w:r w:rsidRPr="008B2AE9">
        <w:rPr>
          <w:rFonts w:ascii="Times New Roman" w:hAnsi="Times New Roman"/>
          <w:i/>
          <w:sz w:val="22"/>
          <w:szCs w:val="22"/>
          <w:u w:val="single"/>
        </w:rPr>
        <w:t xml:space="preserve">Ηλικιωμένοι </w:t>
      </w:r>
    </w:p>
    <w:p w:rsidR="00D56263" w:rsidRPr="008B2AE9" w:rsidRDefault="00D56263" w:rsidP="00D56263">
      <w:pPr>
        <w:pStyle w:val="a8"/>
        <w:spacing w:line="240" w:lineRule="auto"/>
        <w:rPr>
          <w:rFonts w:ascii="Times New Roman" w:hAnsi="Times New Roman"/>
          <w:sz w:val="22"/>
          <w:szCs w:val="22"/>
        </w:rPr>
      </w:pPr>
      <w:r w:rsidRPr="008B2AE9">
        <w:rPr>
          <w:rFonts w:ascii="Times New Roman" w:hAnsi="Times New Roman"/>
          <w:sz w:val="22"/>
          <w:szCs w:val="22"/>
        </w:rPr>
        <w:t>Ο μεταβολισμός της εσομεπραζόλης δεν αλλάζει σημαντικά στους ηλικιωμένους (71-80 ετών).</w:t>
      </w:r>
    </w:p>
    <w:p w:rsidR="00D56263" w:rsidRPr="008B2AE9" w:rsidRDefault="00D56263" w:rsidP="00D56263">
      <w:pPr>
        <w:pStyle w:val="a8"/>
        <w:spacing w:line="240" w:lineRule="auto"/>
        <w:rPr>
          <w:rFonts w:ascii="Times New Roman" w:hAnsi="Times New Roman"/>
          <w:sz w:val="22"/>
          <w:szCs w:val="22"/>
        </w:rPr>
      </w:pPr>
    </w:p>
    <w:p w:rsidR="006D0F5C" w:rsidRPr="008B2AE9" w:rsidRDefault="00C61288" w:rsidP="001B7A99">
      <w:pPr>
        <w:pStyle w:val="a8"/>
        <w:spacing w:line="240" w:lineRule="auto"/>
        <w:rPr>
          <w:rFonts w:ascii="Times New Roman" w:hAnsi="Times New Roman"/>
          <w:i/>
          <w:sz w:val="22"/>
          <w:szCs w:val="22"/>
          <w:u w:val="single"/>
        </w:rPr>
      </w:pPr>
      <w:r w:rsidRPr="008B2AE9">
        <w:rPr>
          <w:rFonts w:ascii="Times New Roman" w:hAnsi="Times New Roman"/>
          <w:i/>
          <w:sz w:val="22"/>
          <w:szCs w:val="22"/>
          <w:u w:val="single"/>
        </w:rPr>
        <w:t>Παιδιατρικός πληθυσμός</w:t>
      </w:r>
    </w:p>
    <w:p w:rsidR="00C61288" w:rsidRPr="008B2AE9" w:rsidRDefault="00C61288" w:rsidP="001B7A99">
      <w:pPr>
        <w:pStyle w:val="a8"/>
        <w:spacing w:line="240" w:lineRule="auto"/>
        <w:rPr>
          <w:rFonts w:ascii="Times New Roman" w:hAnsi="Times New Roman"/>
          <w:sz w:val="22"/>
          <w:szCs w:val="22"/>
        </w:rPr>
      </w:pPr>
      <w:r w:rsidRPr="008B2AE9">
        <w:rPr>
          <w:rFonts w:ascii="Times New Roman" w:hAnsi="Times New Roman"/>
          <w:sz w:val="22"/>
          <w:szCs w:val="22"/>
        </w:rPr>
        <w:t>Σε μία τυχαιοποιημένη, ανοικτή, πολυεθνική, μελέτη με επαναλαμβανόμενες δόσεις, χορηγήθηκε εσομεπραζόλη εφάπαξ ημερησίως ως 3-λεπτη ένεση σε διάστημα τεσσάρων ημερών. Η μελέτη περι</w:t>
      </w:r>
      <w:r w:rsidR="003E6259" w:rsidRPr="008B2AE9">
        <w:rPr>
          <w:rFonts w:ascii="Times New Roman" w:hAnsi="Times New Roman"/>
          <w:sz w:val="22"/>
          <w:szCs w:val="22"/>
        </w:rPr>
        <w:t>ε</w:t>
      </w:r>
      <w:r w:rsidRPr="008B2AE9">
        <w:rPr>
          <w:rFonts w:ascii="Times New Roman" w:hAnsi="Times New Roman"/>
          <w:sz w:val="22"/>
          <w:szCs w:val="22"/>
        </w:rPr>
        <w:t>λάμβανε συνολικά 59 παιδιατρικούς ασθενείς ηλικίας 0 έως 18 ετών, εκ των οποίων οι 50 ασθενείς (7 παιδιά στην ηλικιακή ομάδα 1 έως 5 ετών) ολοκλήρωσαν τη μελέτη και αξιολογήθηκαν ως προς τη φαρμακοκινητική της εσομεπραζόλης.</w:t>
      </w:r>
    </w:p>
    <w:p w:rsidR="007C5E49" w:rsidRPr="008B2AE9" w:rsidRDefault="007C5E49" w:rsidP="001B7A99">
      <w:pPr>
        <w:pStyle w:val="a8"/>
        <w:spacing w:line="240" w:lineRule="auto"/>
        <w:rPr>
          <w:rFonts w:ascii="Times New Roman" w:hAnsi="Times New Roman"/>
          <w:sz w:val="22"/>
          <w:szCs w:val="22"/>
        </w:rPr>
      </w:pPr>
    </w:p>
    <w:p w:rsidR="007C5E49" w:rsidRPr="008B2AE9" w:rsidRDefault="007C5E49" w:rsidP="001B7A99">
      <w:pPr>
        <w:pStyle w:val="a8"/>
        <w:spacing w:line="240" w:lineRule="auto"/>
        <w:rPr>
          <w:rFonts w:ascii="Times New Roman" w:hAnsi="Times New Roman"/>
          <w:sz w:val="22"/>
          <w:szCs w:val="22"/>
        </w:rPr>
      </w:pPr>
      <w:r w:rsidRPr="008B2AE9">
        <w:rPr>
          <w:rFonts w:ascii="Times New Roman" w:hAnsi="Times New Roman"/>
          <w:sz w:val="22"/>
          <w:szCs w:val="22"/>
        </w:rPr>
        <w:t>Ο παρακάτω πίνακας περιγράφει τη συστηματική έκθεση στην εσομεπραζόλη μετά από ενδοφλέβια χορήγηση ως 3-λεπτη ένεση σε παιδιατρικούς ασθενείς και υγι</w:t>
      </w:r>
      <w:r w:rsidR="007B2D52" w:rsidRPr="008B2AE9">
        <w:rPr>
          <w:rFonts w:ascii="Times New Roman" w:hAnsi="Times New Roman"/>
          <w:sz w:val="22"/>
          <w:szCs w:val="22"/>
        </w:rPr>
        <w:t>ή</w:t>
      </w:r>
      <w:r w:rsidRPr="008B2AE9">
        <w:rPr>
          <w:rFonts w:ascii="Times New Roman" w:hAnsi="Times New Roman"/>
          <w:sz w:val="22"/>
          <w:szCs w:val="22"/>
        </w:rPr>
        <w:t xml:space="preserve"> ενήλικ</w:t>
      </w:r>
      <w:r w:rsidR="007B2D52" w:rsidRPr="008B2AE9">
        <w:rPr>
          <w:rFonts w:ascii="Times New Roman" w:hAnsi="Times New Roman"/>
          <w:sz w:val="22"/>
          <w:szCs w:val="22"/>
        </w:rPr>
        <w:t>α</w:t>
      </w:r>
      <w:r w:rsidRPr="008B2AE9">
        <w:rPr>
          <w:rFonts w:ascii="Times New Roman" w:hAnsi="Times New Roman"/>
          <w:sz w:val="22"/>
          <w:szCs w:val="22"/>
        </w:rPr>
        <w:t xml:space="preserve"> </w:t>
      </w:r>
      <w:r w:rsidR="007B2D52" w:rsidRPr="008B2AE9">
        <w:rPr>
          <w:rFonts w:ascii="Times New Roman" w:hAnsi="Times New Roman"/>
          <w:sz w:val="22"/>
          <w:szCs w:val="22"/>
        </w:rPr>
        <w:t>άτομα</w:t>
      </w:r>
      <w:r w:rsidRPr="008B2AE9">
        <w:rPr>
          <w:rFonts w:ascii="Times New Roman" w:hAnsi="Times New Roman"/>
          <w:sz w:val="22"/>
          <w:szCs w:val="22"/>
        </w:rPr>
        <w:t xml:space="preserve">. Οι τιμές στον πίνακα </w:t>
      </w:r>
      <w:r w:rsidR="001F6FB7" w:rsidRPr="008B2AE9">
        <w:rPr>
          <w:rFonts w:ascii="Times New Roman" w:hAnsi="Times New Roman"/>
          <w:sz w:val="22"/>
          <w:szCs w:val="22"/>
        </w:rPr>
        <w:t>αντιστοιχούν στους γεωμετρικούς μέσους</w:t>
      </w:r>
      <w:r w:rsidRPr="008B2AE9">
        <w:rPr>
          <w:rFonts w:ascii="Times New Roman" w:hAnsi="Times New Roman"/>
          <w:sz w:val="22"/>
          <w:szCs w:val="22"/>
        </w:rPr>
        <w:t xml:space="preserve"> (εύρος). Η δόση των 20 mg για ενήλικες χορηγήθηκε ως έγχυση 30 λεπτών. Το C</w:t>
      </w:r>
      <w:r w:rsidRPr="008B2AE9">
        <w:rPr>
          <w:rFonts w:ascii="Times New Roman" w:hAnsi="Times New Roman"/>
          <w:sz w:val="22"/>
          <w:szCs w:val="22"/>
          <w:vertAlign w:val="subscript"/>
        </w:rPr>
        <w:t>ss</w:t>
      </w:r>
      <w:r w:rsidRPr="008B2AE9">
        <w:rPr>
          <w:rFonts w:ascii="Times New Roman" w:hAnsi="Times New Roman"/>
          <w:sz w:val="22"/>
          <w:szCs w:val="22"/>
        </w:rPr>
        <w:t>,</w:t>
      </w:r>
      <w:r w:rsidRPr="008B2AE9">
        <w:rPr>
          <w:rFonts w:ascii="Times New Roman" w:hAnsi="Times New Roman"/>
          <w:sz w:val="22"/>
          <w:szCs w:val="22"/>
          <w:vertAlign w:val="subscript"/>
        </w:rPr>
        <w:t>max</w:t>
      </w:r>
      <w:r w:rsidRPr="008B2AE9">
        <w:rPr>
          <w:rFonts w:ascii="Times New Roman" w:hAnsi="Times New Roman"/>
          <w:sz w:val="22"/>
          <w:szCs w:val="22"/>
        </w:rPr>
        <w:t xml:space="preserve"> μετρήθηκε 5 λεπτά μετά τη δόση σε όλες τις παιδικές ομάδες και 7 λεπτά μετά τη δόση σε ενήλικες για τη δόση των 40 mg, και μετά τη διακοπή της έγχυσης σε ενήλικες για τη δόση 20 mg.</w:t>
      </w:r>
    </w:p>
    <w:p w:rsidR="00E72235" w:rsidRPr="008B2AE9" w:rsidRDefault="00E72235" w:rsidP="001B7A99">
      <w:pPr>
        <w:pStyle w:val="a8"/>
        <w:spacing w:line="240" w:lineRule="auto"/>
        <w:rPr>
          <w:rFonts w:ascii="Times New Roman" w:hAnsi="Times New Roman"/>
          <w:sz w:val="22"/>
          <w:szCs w:val="22"/>
        </w:rPr>
      </w:pPr>
    </w:p>
    <w:tbl>
      <w:tblPr>
        <w:tblW w:w="0" w:type="auto"/>
        <w:tblInd w:w="392" w:type="dxa"/>
        <w:tblCellMar>
          <w:left w:w="0" w:type="dxa"/>
          <w:right w:w="0" w:type="dxa"/>
        </w:tblCellMar>
        <w:tblLook w:val="0000"/>
      </w:tblPr>
      <w:tblGrid>
        <w:gridCol w:w="1843"/>
        <w:gridCol w:w="2268"/>
        <w:gridCol w:w="1984"/>
        <w:gridCol w:w="1701"/>
      </w:tblGrid>
      <w:tr w:rsidR="003F2B09" w:rsidRPr="008B2AE9" w:rsidTr="004B4B0B">
        <w:tc>
          <w:tcPr>
            <w:tcW w:w="18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F2B09" w:rsidRPr="008B2AE9" w:rsidRDefault="003F2B09" w:rsidP="001B7A99">
            <w:pPr>
              <w:jc w:val="center"/>
              <w:rPr>
                <w:rFonts w:ascii="Times New Roman" w:hAnsi="Times New Roman"/>
                <w:b/>
                <w:bCs/>
                <w:sz w:val="22"/>
                <w:szCs w:val="22"/>
                <w:lang w:val="en-US"/>
              </w:rPr>
            </w:pPr>
            <w:r w:rsidRPr="008B2AE9">
              <w:rPr>
                <w:rFonts w:ascii="Times New Roman" w:hAnsi="Times New Roman"/>
                <w:b/>
                <w:bCs/>
                <w:sz w:val="22"/>
                <w:szCs w:val="22"/>
                <w:lang w:val="el-GR"/>
              </w:rPr>
              <w:t>Ηλικιακή ομάδα</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F2B09" w:rsidRPr="008B2AE9" w:rsidRDefault="003F2B09" w:rsidP="001B7A99">
            <w:pPr>
              <w:jc w:val="center"/>
              <w:rPr>
                <w:rFonts w:ascii="Times New Roman" w:hAnsi="Times New Roman"/>
                <w:b/>
                <w:bCs/>
                <w:sz w:val="22"/>
                <w:szCs w:val="22"/>
                <w:lang w:val="el-GR"/>
              </w:rPr>
            </w:pPr>
            <w:r w:rsidRPr="008B2AE9">
              <w:rPr>
                <w:rFonts w:ascii="Times New Roman" w:hAnsi="Times New Roman"/>
                <w:b/>
                <w:bCs/>
                <w:sz w:val="22"/>
                <w:szCs w:val="22"/>
                <w:lang w:val="el-GR"/>
              </w:rPr>
              <w:t>Ομάδα δόσης</w:t>
            </w:r>
          </w:p>
        </w:tc>
        <w:tc>
          <w:tcPr>
            <w:tcW w:w="198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F2B09" w:rsidRPr="008B2AE9" w:rsidRDefault="003F2B09" w:rsidP="001B7A99">
            <w:pPr>
              <w:jc w:val="center"/>
              <w:rPr>
                <w:rFonts w:ascii="Times New Roman" w:hAnsi="Times New Roman"/>
                <w:b/>
                <w:bCs/>
                <w:sz w:val="22"/>
                <w:szCs w:val="22"/>
                <w:lang w:val="en-US"/>
              </w:rPr>
            </w:pPr>
            <w:r w:rsidRPr="008B2AE9">
              <w:rPr>
                <w:rFonts w:ascii="Times New Roman" w:hAnsi="Times New Roman"/>
                <w:b/>
                <w:bCs/>
                <w:sz w:val="22"/>
                <w:szCs w:val="22"/>
                <w:lang w:val="en-US"/>
              </w:rPr>
              <w:t>AUC (µmol*h/l)</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3F2B09" w:rsidRPr="008B2AE9" w:rsidRDefault="003F2B09" w:rsidP="001B7A99">
            <w:pPr>
              <w:jc w:val="center"/>
              <w:rPr>
                <w:rFonts w:ascii="Times New Roman" w:hAnsi="Times New Roman"/>
                <w:b/>
                <w:bCs/>
                <w:sz w:val="22"/>
                <w:szCs w:val="22"/>
                <w:lang w:val="en-US"/>
              </w:rPr>
            </w:pPr>
            <w:r w:rsidRPr="008B2AE9">
              <w:rPr>
                <w:rFonts w:ascii="Times New Roman" w:hAnsi="Times New Roman"/>
                <w:b/>
                <w:bCs/>
                <w:sz w:val="22"/>
                <w:szCs w:val="22"/>
                <w:lang w:val="en-US"/>
              </w:rPr>
              <w:t>C</w:t>
            </w:r>
            <w:r w:rsidRPr="008B2AE9">
              <w:rPr>
                <w:rFonts w:ascii="Times New Roman" w:hAnsi="Times New Roman"/>
                <w:b/>
                <w:bCs/>
                <w:sz w:val="22"/>
                <w:szCs w:val="22"/>
                <w:vertAlign w:val="subscript"/>
                <w:lang w:val="en-US"/>
              </w:rPr>
              <w:t>ss,max</w:t>
            </w:r>
            <w:r w:rsidRPr="008B2AE9">
              <w:rPr>
                <w:rFonts w:ascii="Times New Roman" w:hAnsi="Times New Roman"/>
                <w:b/>
                <w:bCs/>
                <w:sz w:val="22"/>
                <w:szCs w:val="22"/>
                <w:lang w:val="en-US"/>
              </w:rPr>
              <w:t xml:space="preserve"> (µmol/l)</w:t>
            </w:r>
          </w:p>
        </w:tc>
      </w:tr>
      <w:tr w:rsidR="003F2B09" w:rsidRPr="008B2AE9" w:rsidTr="004B4B0B">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F2B09" w:rsidRPr="008B2AE9" w:rsidRDefault="003F2B09" w:rsidP="001B7A99">
            <w:pPr>
              <w:jc w:val="center"/>
              <w:rPr>
                <w:rFonts w:ascii="Times New Roman" w:hAnsi="Times New Roman"/>
                <w:sz w:val="22"/>
                <w:szCs w:val="22"/>
                <w:lang w:val="en-US"/>
              </w:rPr>
            </w:pPr>
            <w:r w:rsidRPr="008B2AE9">
              <w:rPr>
                <w:rFonts w:ascii="Times New Roman" w:hAnsi="Times New Roman"/>
                <w:sz w:val="22"/>
                <w:szCs w:val="22"/>
                <w:lang w:val="en-US"/>
              </w:rPr>
              <w:t>0-1 </w:t>
            </w:r>
            <w:r w:rsidRPr="008B2AE9">
              <w:rPr>
                <w:rFonts w:ascii="Times New Roman" w:hAnsi="Times New Roman"/>
                <w:sz w:val="22"/>
                <w:szCs w:val="22"/>
                <w:lang w:val="el-GR"/>
              </w:rPr>
              <w:t>μηνών</w:t>
            </w:r>
            <w:r w:rsidRPr="008B2AE9">
              <w:rPr>
                <w:rFonts w:ascii="Times New Roman" w:hAnsi="Times New Roman"/>
                <w:sz w:val="22"/>
                <w:szCs w:val="22"/>
                <w:lang w:val="en-US"/>
              </w:rPr>
              <w:t>*</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3F2B09" w:rsidRPr="008B2AE9" w:rsidRDefault="003F2B09" w:rsidP="001B7A99">
            <w:pPr>
              <w:jc w:val="center"/>
              <w:rPr>
                <w:rFonts w:ascii="Times New Roman" w:hAnsi="Times New Roman"/>
                <w:sz w:val="22"/>
                <w:szCs w:val="22"/>
                <w:lang w:val="en-US"/>
              </w:rPr>
            </w:pPr>
            <w:r w:rsidRPr="008B2AE9">
              <w:rPr>
                <w:rFonts w:ascii="Times New Roman" w:hAnsi="Times New Roman"/>
                <w:sz w:val="22"/>
                <w:szCs w:val="22"/>
                <w:lang w:val="en-US"/>
              </w:rPr>
              <w:t>0,5 mg/kg (n=6)</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3F2B09" w:rsidRPr="008B2AE9" w:rsidRDefault="003F2B09" w:rsidP="001B7A99">
            <w:pPr>
              <w:jc w:val="center"/>
              <w:rPr>
                <w:rFonts w:ascii="Times New Roman" w:hAnsi="Times New Roman"/>
                <w:sz w:val="22"/>
                <w:szCs w:val="22"/>
                <w:lang w:val="en-US"/>
              </w:rPr>
            </w:pPr>
            <w:r w:rsidRPr="008B2AE9">
              <w:rPr>
                <w:rFonts w:ascii="Times New Roman" w:hAnsi="Times New Roman"/>
                <w:sz w:val="22"/>
                <w:szCs w:val="22"/>
                <w:lang w:val="en-US"/>
              </w:rPr>
              <w:t>7,5 (4,5-20,5)</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3F2B09" w:rsidRPr="008B2AE9" w:rsidRDefault="003F2B09" w:rsidP="001B7A99">
            <w:pPr>
              <w:jc w:val="center"/>
              <w:rPr>
                <w:rFonts w:ascii="Times New Roman" w:hAnsi="Times New Roman"/>
                <w:sz w:val="22"/>
                <w:szCs w:val="22"/>
                <w:lang w:val="en-US"/>
              </w:rPr>
            </w:pPr>
            <w:r w:rsidRPr="008B2AE9">
              <w:rPr>
                <w:rFonts w:ascii="Times New Roman" w:hAnsi="Times New Roman"/>
                <w:sz w:val="22"/>
                <w:szCs w:val="22"/>
                <w:lang w:val="en-US"/>
              </w:rPr>
              <w:t>3,7 (2,7-5,8)</w:t>
            </w:r>
          </w:p>
        </w:tc>
      </w:tr>
      <w:tr w:rsidR="003F2B09" w:rsidRPr="008B2AE9" w:rsidTr="004B4B0B">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F2B09" w:rsidRPr="008B2AE9" w:rsidRDefault="003F2B09" w:rsidP="001B7A99">
            <w:pPr>
              <w:jc w:val="center"/>
              <w:rPr>
                <w:rFonts w:ascii="Times New Roman" w:hAnsi="Times New Roman"/>
                <w:sz w:val="22"/>
                <w:szCs w:val="22"/>
                <w:lang w:val="en-US"/>
              </w:rPr>
            </w:pPr>
            <w:r w:rsidRPr="008B2AE9">
              <w:rPr>
                <w:rFonts w:ascii="Times New Roman" w:hAnsi="Times New Roman"/>
                <w:sz w:val="22"/>
                <w:szCs w:val="22"/>
                <w:lang w:val="en-US"/>
              </w:rPr>
              <w:t>1-11 </w:t>
            </w:r>
            <w:r w:rsidRPr="008B2AE9">
              <w:rPr>
                <w:rFonts w:ascii="Times New Roman" w:hAnsi="Times New Roman"/>
                <w:sz w:val="22"/>
                <w:szCs w:val="22"/>
                <w:lang w:val="el-GR"/>
              </w:rPr>
              <w:t>μηνών</w:t>
            </w:r>
            <w:r w:rsidRPr="008B2AE9">
              <w:rPr>
                <w:rFonts w:ascii="Times New Roman" w:hAnsi="Times New Roman"/>
                <w:sz w:val="22"/>
                <w:szCs w:val="22"/>
                <w:lang w:val="en-US"/>
              </w:rPr>
              <w:t xml:space="preserve"> *</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3F2B09" w:rsidRPr="008B2AE9" w:rsidRDefault="003F2B09" w:rsidP="001B7A99">
            <w:pPr>
              <w:jc w:val="center"/>
              <w:rPr>
                <w:rFonts w:ascii="Times New Roman" w:hAnsi="Times New Roman"/>
                <w:sz w:val="22"/>
                <w:szCs w:val="22"/>
                <w:lang w:val="en-US"/>
              </w:rPr>
            </w:pPr>
            <w:r w:rsidRPr="008B2AE9">
              <w:rPr>
                <w:rFonts w:ascii="Times New Roman" w:hAnsi="Times New Roman"/>
                <w:sz w:val="22"/>
                <w:szCs w:val="22"/>
                <w:lang w:val="en-US"/>
              </w:rPr>
              <w:t>1,0 mg/kg (n=6)</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3F2B09" w:rsidRPr="008B2AE9" w:rsidRDefault="003F2B09" w:rsidP="001B7A99">
            <w:pPr>
              <w:jc w:val="center"/>
              <w:rPr>
                <w:rFonts w:ascii="Times New Roman" w:hAnsi="Times New Roman"/>
                <w:sz w:val="22"/>
                <w:szCs w:val="22"/>
                <w:lang w:val="en-US"/>
              </w:rPr>
            </w:pPr>
            <w:r w:rsidRPr="008B2AE9">
              <w:rPr>
                <w:rFonts w:ascii="Times New Roman" w:hAnsi="Times New Roman"/>
                <w:sz w:val="22"/>
                <w:szCs w:val="22"/>
                <w:lang w:val="en-US"/>
              </w:rPr>
              <w:t>10,5 (4,5-22,2)</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3F2B09" w:rsidRPr="008B2AE9" w:rsidRDefault="003F2B09" w:rsidP="001B7A99">
            <w:pPr>
              <w:jc w:val="center"/>
              <w:rPr>
                <w:rFonts w:ascii="Times New Roman" w:hAnsi="Times New Roman"/>
                <w:sz w:val="22"/>
                <w:szCs w:val="22"/>
                <w:lang w:val="en-US"/>
              </w:rPr>
            </w:pPr>
            <w:r w:rsidRPr="008B2AE9">
              <w:rPr>
                <w:rFonts w:ascii="Times New Roman" w:hAnsi="Times New Roman"/>
                <w:sz w:val="22"/>
                <w:szCs w:val="22"/>
                <w:lang w:val="en-US"/>
              </w:rPr>
              <w:t>8,7 (4,5-14,0)</w:t>
            </w:r>
          </w:p>
        </w:tc>
      </w:tr>
      <w:tr w:rsidR="003F2B09" w:rsidRPr="008B2AE9" w:rsidTr="004B4B0B">
        <w:tc>
          <w:tcPr>
            <w:tcW w:w="184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F2B09" w:rsidRPr="008B2AE9" w:rsidRDefault="003F2B09" w:rsidP="001B7A99">
            <w:pPr>
              <w:jc w:val="center"/>
              <w:rPr>
                <w:rFonts w:ascii="Times New Roman" w:hAnsi="Times New Roman"/>
                <w:sz w:val="22"/>
                <w:szCs w:val="22"/>
                <w:lang w:val="en-US"/>
              </w:rPr>
            </w:pPr>
            <w:r w:rsidRPr="008B2AE9">
              <w:rPr>
                <w:rFonts w:ascii="Times New Roman" w:hAnsi="Times New Roman"/>
                <w:sz w:val="22"/>
                <w:szCs w:val="22"/>
                <w:lang w:val="en-US"/>
              </w:rPr>
              <w:t>1-5 </w:t>
            </w:r>
            <w:r w:rsidRPr="008B2AE9">
              <w:rPr>
                <w:rFonts w:ascii="Times New Roman" w:hAnsi="Times New Roman"/>
                <w:sz w:val="22"/>
                <w:szCs w:val="22"/>
                <w:lang w:val="el-GR"/>
              </w:rPr>
              <w:t>ετών</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3F2B09" w:rsidRPr="008B2AE9" w:rsidRDefault="003F2B09" w:rsidP="001B7A99">
            <w:pPr>
              <w:jc w:val="center"/>
              <w:rPr>
                <w:rFonts w:ascii="Times New Roman" w:hAnsi="Times New Roman"/>
                <w:sz w:val="22"/>
                <w:szCs w:val="22"/>
                <w:lang w:val="en-US"/>
              </w:rPr>
            </w:pPr>
            <w:r w:rsidRPr="008B2AE9">
              <w:rPr>
                <w:rFonts w:ascii="Times New Roman" w:hAnsi="Times New Roman"/>
                <w:sz w:val="22"/>
                <w:szCs w:val="22"/>
                <w:lang w:val="en-US"/>
              </w:rPr>
              <w:t>10 mg (n=7)</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3F2B09" w:rsidRPr="008B2AE9" w:rsidRDefault="003F2B09" w:rsidP="001B7A99">
            <w:pPr>
              <w:jc w:val="center"/>
              <w:rPr>
                <w:rFonts w:ascii="Times New Roman" w:hAnsi="Times New Roman"/>
                <w:sz w:val="22"/>
                <w:szCs w:val="22"/>
                <w:lang w:val="en-US"/>
              </w:rPr>
            </w:pPr>
            <w:r w:rsidRPr="008B2AE9">
              <w:rPr>
                <w:rFonts w:ascii="Times New Roman" w:hAnsi="Times New Roman"/>
                <w:sz w:val="22"/>
                <w:szCs w:val="22"/>
                <w:lang w:val="en-US"/>
              </w:rPr>
              <w:t>7,9 (2,9-16,6)</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3F2B09" w:rsidRPr="008B2AE9" w:rsidRDefault="003F2B09" w:rsidP="001B7A99">
            <w:pPr>
              <w:jc w:val="center"/>
              <w:rPr>
                <w:rFonts w:ascii="Times New Roman" w:hAnsi="Times New Roman"/>
                <w:sz w:val="22"/>
                <w:szCs w:val="22"/>
                <w:lang w:val="en-US"/>
              </w:rPr>
            </w:pPr>
            <w:r w:rsidRPr="008B2AE9">
              <w:rPr>
                <w:rFonts w:ascii="Times New Roman" w:hAnsi="Times New Roman"/>
                <w:sz w:val="22"/>
                <w:szCs w:val="22"/>
                <w:lang w:val="en-US"/>
              </w:rPr>
              <w:t>9,4 (4,4-17,2)</w:t>
            </w:r>
          </w:p>
        </w:tc>
      </w:tr>
      <w:tr w:rsidR="003F2B09" w:rsidRPr="008B2AE9" w:rsidTr="004B4B0B">
        <w:trPr>
          <w:cantSplit/>
        </w:trPr>
        <w:tc>
          <w:tcPr>
            <w:tcW w:w="1843"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F2B09" w:rsidRPr="008B2AE9" w:rsidRDefault="003F2B09" w:rsidP="001B7A99">
            <w:pPr>
              <w:jc w:val="center"/>
              <w:rPr>
                <w:rFonts w:ascii="Times New Roman" w:hAnsi="Times New Roman"/>
                <w:sz w:val="22"/>
                <w:szCs w:val="22"/>
                <w:lang w:val="en-US"/>
              </w:rPr>
            </w:pPr>
            <w:r w:rsidRPr="008B2AE9">
              <w:rPr>
                <w:rFonts w:ascii="Times New Roman" w:hAnsi="Times New Roman"/>
                <w:sz w:val="22"/>
                <w:szCs w:val="22"/>
                <w:lang w:val="en-US"/>
              </w:rPr>
              <w:br/>
              <w:t>6-11 </w:t>
            </w:r>
            <w:r w:rsidRPr="008B2AE9">
              <w:rPr>
                <w:rFonts w:ascii="Times New Roman" w:hAnsi="Times New Roman"/>
                <w:sz w:val="22"/>
                <w:szCs w:val="22"/>
                <w:lang w:val="el-GR"/>
              </w:rPr>
              <w:t>ετών</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3F2B09" w:rsidRPr="008B2AE9" w:rsidRDefault="003F2B09" w:rsidP="001B7A99">
            <w:pPr>
              <w:jc w:val="center"/>
              <w:rPr>
                <w:rFonts w:ascii="Times New Roman" w:hAnsi="Times New Roman"/>
                <w:sz w:val="22"/>
                <w:szCs w:val="22"/>
                <w:lang w:val="en-US"/>
              </w:rPr>
            </w:pPr>
            <w:r w:rsidRPr="008B2AE9">
              <w:rPr>
                <w:rFonts w:ascii="Times New Roman" w:hAnsi="Times New Roman"/>
                <w:sz w:val="22"/>
                <w:szCs w:val="22"/>
                <w:lang w:val="en-US"/>
              </w:rPr>
              <w:t>10 mg (n=8)</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3F2B09" w:rsidRPr="008B2AE9" w:rsidRDefault="003F2B09" w:rsidP="001B7A99">
            <w:pPr>
              <w:jc w:val="center"/>
              <w:rPr>
                <w:rFonts w:ascii="Times New Roman" w:hAnsi="Times New Roman"/>
                <w:sz w:val="22"/>
                <w:szCs w:val="22"/>
                <w:lang w:val="en-US"/>
              </w:rPr>
            </w:pPr>
            <w:r w:rsidRPr="008B2AE9">
              <w:rPr>
                <w:rFonts w:ascii="Times New Roman" w:hAnsi="Times New Roman"/>
                <w:sz w:val="22"/>
                <w:szCs w:val="22"/>
                <w:lang w:val="en-US"/>
              </w:rPr>
              <w:t>6,9 (3,5-10,9)</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3F2B09" w:rsidRPr="008B2AE9" w:rsidRDefault="003F2B09" w:rsidP="001B7A99">
            <w:pPr>
              <w:jc w:val="center"/>
              <w:rPr>
                <w:rFonts w:ascii="Times New Roman" w:hAnsi="Times New Roman"/>
                <w:sz w:val="22"/>
                <w:szCs w:val="22"/>
                <w:lang w:val="en-US"/>
              </w:rPr>
            </w:pPr>
            <w:r w:rsidRPr="008B2AE9">
              <w:rPr>
                <w:rFonts w:ascii="Times New Roman" w:hAnsi="Times New Roman"/>
                <w:sz w:val="22"/>
                <w:szCs w:val="22"/>
                <w:lang w:val="en-US"/>
              </w:rPr>
              <w:t>5,6 (3,1-13,2)</w:t>
            </w:r>
          </w:p>
        </w:tc>
      </w:tr>
      <w:tr w:rsidR="003F2B09" w:rsidRPr="008B2AE9" w:rsidTr="004B4B0B">
        <w:trPr>
          <w:cantSplit/>
        </w:trPr>
        <w:tc>
          <w:tcPr>
            <w:tcW w:w="1843" w:type="dxa"/>
            <w:vMerge/>
            <w:tcBorders>
              <w:top w:val="nil"/>
              <w:left w:val="single" w:sz="8" w:space="0" w:color="000000"/>
              <w:bottom w:val="single" w:sz="8" w:space="0" w:color="000000"/>
              <w:right w:val="single" w:sz="8" w:space="0" w:color="000000"/>
            </w:tcBorders>
            <w:vAlign w:val="center"/>
          </w:tcPr>
          <w:p w:rsidR="003F2B09" w:rsidRPr="008B2AE9" w:rsidRDefault="003F2B09" w:rsidP="001B7A99">
            <w:pPr>
              <w:jc w:val="center"/>
              <w:rPr>
                <w:rFonts w:ascii="Times New Roman" w:hAnsi="Times New Roman"/>
                <w:sz w:val="22"/>
                <w:szCs w:val="22"/>
                <w:lang w:val="en-US"/>
              </w:rPr>
            </w:pP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3F2B09" w:rsidRPr="008B2AE9" w:rsidRDefault="003F2B09" w:rsidP="001B7A99">
            <w:pPr>
              <w:jc w:val="center"/>
              <w:rPr>
                <w:rFonts w:ascii="Times New Roman" w:hAnsi="Times New Roman"/>
                <w:sz w:val="22"/>
                <w:szCs w:val="22"/>
                <w:lang w:val="en-US"/>
              </w:rPr>
            </w:pPr>
            <w:r w:rsidRPr="008B2AE9">
              <w:rPr>
                <w:rFonts w:ascii="Times New Roman" w:hAnsi="Times New Roman"/>
                <w:sz w:val="22"/>
                <w:szCs w:val="22"/>
                <w:lang w:val="en-US"/>
              </w:rPr>
              <w:t>20 mg (n=8)</w:t>
            </w:r>
          </w:p>
          <w:p w:rsidR="003F2B09" w:rsidRPr="008B2AE9" w:rsidRDefault="003F2B09" w:rsidP="001B7A99">
            <w:pPr>
              <w:jc w:val="center"/>
              <w:rPr>
                <w:rFonts w:ascii="Times New Roman" w:hAnsi="Times New Roman"/>
                <w:sz w:val="22"/>
                <w:szCs w:val="22"/>
                <w:lang w:val="en-US"/>
              </w:rPr>
            </w:pPr>
            <w:r w:rsidRPr="008B2AE9">
              <w:rPr>
                <w:rFonts w:ascii="Times New Roman" w:hAnsi="Times New Roman"/>
                <w:sz w:val="22"/>
                <w:szCs w:val="22"/>
                <w:lang w:val="en-US"/>
              </w:rPr>
              <w:t>20 mg (n=6)**</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3F2B09" w:rsidRPr="008B2AE9" w:rsidRDefault="003F2B09" w:rsidP="001B7A99">
            <w:pPr>
              <w:jc w:val="center"/>
              <w:rPr>
                <w:rFonts w:ascii="Times New Roman" w:hAnsi="Times New Roman"/>
                <w:sz w:val="22"/>
                <w:szCs w:val="22"/>
                <w:lang w:val="en-US"/>
              </w:rPr>
            </w:pPr>
            <w:r w:rsidRPr="008B2AE9">
              <w:rPr>
                <w:rFonts w:ascii="Times New Roman" w:hAnsi="Times New Roman"/>
                <w:sz w:val="22"/>
                <w:szCs w:val="22"/>
                <w:lang w:val="en-US"/>
              </w:rPr>
              <w:t>14,4 (7,2-42,3)</w:t>
            </w:r>
          </w:p>
          <w:p w:rsidR="003F2B09" w:rsidRPr="008B2AE9" w:rsidRDefault="003F2B09" w:rsidP="001B7A99">
            <w:pPr>
              <w:jc w:val="center"/>
              <w:rPr>
                <w:rFonts w:ascii="Times New Roman" w:hAnsi="Times New Roman"/>
                <w:sz w:val="22"/>
                <w:szCs w:val="22"/>
                <w:lang w:val="en-US"/>
              </w:rPr>
            </w:pPr>
            <w:r w:rsidRPr="008B2AE9">
              <w:rPr>
                <w:rFonts w:ascii="Times New Roman" w:hAnsi="Times New Roman"/>
                <w:sz w:val="22"/>
                <w:szCs w:val="22"/>
                <w:lang w:val="en-US"/>
              </w:rPr>
              <w:t>10,1 (7,2-13,7)</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3F2B09" w:rsidRPr="008B2AE9" w:rsidRDefault="003F2B09" w:rsidP="001B7A99">
            <w:pPr>
              <w:jc w:val="center"/>
              <w:rPr>
                <w:rFonts w:ascii="Times New Roman" w:hAnsi="Times New Roman"/>
                <w:sz w:val="22"/>
                <w:szCs w:val="22"/>
                <w:lang w:val="en-US"/>
              </w:rPr>
            </w:pPr>
            <w:r w:rsidRPr="008B2AE9">
              <w:rPr>
                <w:rFonts w:ascii="Times New Roman" w:hAnsi="Times New Roman"/>
                <w:sz w:val="22"/>
                <w:szCs w:val="22"/>
                <w:lang w:val="en-US"/>
              </w:rPr>
              <w:t>8,8 (3,4-29,4)</w:t>
            </w:r>
          </w:p>
          <w:p w:rsidR="003F2B09" w:rsidRPr="008B2AE9" w:rsidRDefault="003F2B09" w:rsidP="001B7A99">
            <w:pPr>
              <w:jc w:val="center"/>
              <w:rPr>
                <w:rFonts w:ascii="Times New Roman" w:hAnsi="Times New Roman"/>
                <w:sz w:val="22"/>
                <w:szCs w:val="22"/>
                <w:lang w:val="en-US"/>
              </w:rPr>
            </w:pPr>
            <w:r w:rsidRPr="008B2AE9">
              <w:rPr>
                <w:rFonts w:ascii="Times New Roman" w:hAnsi="Times New Roman"/>
                <w:sz w:val="22"/>
                <w:szCs w:val="22"/>
                <w:lang w:val="en-US"/>
              </w:rPr>
              <w:t>8,1 (3,4-29,4)</w:t>
            </w:r>
          </w:p>
        </w:tc>
      </w:tr>
      <w:tr w:rsidR="003F2B09" w:rsidRPr="008B2AE9" w:rsidTr="004B4B0B">
        <w:trPr>
          <w:cantSplit/>
        </w:trPr>
        <w:tc>
          <w:tcPr>
            <w:tcW w:w="1843"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F2B09" w:rsidRPr="008B2AE9" w:rsidRDefault="003F2B09" w:rsidP="001B7A99">
            <w:pPr>
              <w:jc w:val="center"/>
              <w:rPr>
                <w:rFonts w:ascii="Times New Roman" w:hAnsi="Times New Roman"/>
                <w:sz w:val="22"/>
                <w:szCs w:val="22"/>
                <w:lang w:val="en-US"/>
              </w:rPr>
            </w:pPr>
            <w:r w:rsidRPr="008B2AE9">
              <w:rPr>
                <w:rFonts w:ascii="Times New Roman" w:hAnsi="Times New Roman"/>
                <w:sz w:val="22"/>
                <w:szCs w:val="22"/>
                <w:lang w:val="en-US"/>
              </w:rPr>
              <w:br/>
              <w:t>12-17 </w:t>
            </w:r>
            <w:r w:rsidRPr="008B2AE9">
              <w:rPr>
                <w:rFonts w:ascii="Times New Roman" w:hAnsi="Times New Roman"/>
                <w:sz w:val="22"/>
                <w:szCs w:val="22"/>
                <w:lang w:val="el-GR"/>
              </w:rPr>
              <w:t>ετών</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3F2B09" w:rsidRPr="008B2AE9" w:rsidRDefault="003F2B09" w:rsidP="001B7A99">
            <w:pPr>
              <w:jc w:val="center"/>
              <w:rPr>
                <w:rFonts w:ascii="Times New Roman" w:hAnsi="Times New Roman"/>
                <w:sz w:val="22"/>
                <w:szCs w:val="22"/>
                <w:lang w:val="sv-SE"/>
              </w:rPr>
            </w:pPr>
            <w:r w:rsidRPr="008B2AE9">
              <w:rPr>
                <w:rFonts w:ascii="Times New Roman" w:hAnsi="Times New Roman"/>
                <w:sz w:val="22"/>
                <w:szCs w:val="22"/>
                <w:lang w:val="sv-SE"/>
              </w:rPr>
              <w:t>20 mg (n=6)</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3F2B09" w:rsidRPr="008B2AE9" w:rsidRDefault="003F2B09" w:rsidP="001B7A99">
            <w:pPr>
              <w:jc w:val="center"/>
              <w:rPr>
                <w:rFonts w:ascii="Times New Roman" w:hAnsi="Times New Roman"/>
                <w:sz w:val="22"/>
                <w:szCs w:val="22"/>
                <w:lang w:val="sv-SE"/>
              </w:rPr>
            </w:pPr>
            <w:r w:rsidRPr="008B2AE9">
              <w:rPr>
                <w:rFonts w:ascii="Times New Roman" w:hAnsi="Times New Roman"/>
                <w:sz w:val="22"/>
                <w:szCs w:val="22"/>
                <w:lang w:val="sv-SE"/>
              </w:rPr>
              <w:t>8,1 (4,7-15,9)</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3F2B09" w:rsidRPr="008B2AE9" w:rsidRDefault="003F2B09" w:rsidP="001B7A99">
            <w:pPr>
              <w:jc w:val="center"/>
              <w:rPr>
                <w:rFonts w:ascii="Times New Roman" w:hAnsi="Times New Roman"/>
                <w:sz w:val="22"/>
                <w:szCs w:val="22"/>
                <w:lang w:val="sv-SE"/>
              </w:rPr>
            </w:pPr>
            <w:r w:rsidRPr="008B2AE9">
              <w:rPr>
                <w:rFonts w:ascii="Times New Roman" w:hAnsi="Times New Roman"/>
                <w:sz w:val="22"/>
                <w:szCs w:val="22"/>
                <w:lang w:val="sv-SE"/>
              </w:rPr>
              <w:t>7,1 (4,8-9,0)</w:t>
            </w:r>
          </w:p>
        </w:tc>
      </w:tr>
      <w:tr w:rsidR="003F2B09" w:rsidRPr="008B2AE9" w:rsidTr="004B4B0B">
        <w:trPr>
          <w:cantSplit/>
        </w:trPr>
        <w:tc>
          <w:tcPr>
            <w:tcW w:w="1843" w:type="dxa"/>
            <w:vMerge/>
            <w:tcBorders>
              <w:top w:val="nil"/>
              <w:left w:val="single" w:sz="8" w:space="0" w:color="000000"/>
              <w:bottom w:val="single" w:sz="8" w:space="0" w:color="000000"/>
              <w:right w:val="single" w:sz="8" w:space="0" w:color="000000"/>
            </w:tcBorders>
            <w:vAlign w:val="center"/>
          </w:tcPr>
          <w:p w:rsidR="003F2B09" w:rsidRPr="008B2AE9" w:rsidRDefault="003F2B09" w:rsidP="001B7A99">
            <w:pPr>
              <w:jc w:val="center"/>
              <w:rPr>
                <w:rFonts w:ascii="Times New Roman" w:hAnsi="Times New Roman"/>
                <w:sz w:val="22"/>
                <w:szCs w:val="22"/>
                <w:lang w:val="sv-SE"/>
              </w:rPr>
            </w:pP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3F2B09" w:rsidRPr="008B2AE9" w:rsidRDefault="003F2B09" w:rsidP="001B7A99">
            <w:pPr>
              <w:jc w:val="center"/>
              <w:rPr>
                <w:rFonts w:ascii="Times New Roman" w:hAnsi="Times New Roman"/>
                <w:sz w:val="22"/>
                <w:szCs w:val="22"/>
                <w:lang w:val="sv-SE"/>
              </w:rPr>
            </w:pPr>
            <w:r w:rsidRPr="008B2AE9">
              <w:rPr>
                <w:rFonts w:ascii="Times New Roman" w:hAnsi="Times New Roman"/>
                <w:sz w:val="22"/>
                <w:szCs w:val="22"/>
                <w:lang w:val="sv-SE"/>
              </w:rPr>
              <w:t>40 mg (n=8)</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3F2B09" w:rsidRPr="008B2AE9" w:rsidRDefault="003F2B09" w:rsidP="001B7A99">
            <w:pPr>
              <w:jc w:val="center"/>
              <w:rPr>
                <w:rFonts w:ascii="Times New Roman" w:hAnsi="Times New Roman"/>
                <w:sz w:val="22"/>
                <w:szCs w:val="22"/>
                <w:lang w:val="en-US"/>
              </w:rPr>
            </w:pPr>
            <w:r w:rsidRPr="008B2AE9">
              <w:rPr>
                <w:rFonts w:ascii="Times New Roman" w:hAnsi="Times New Roman"/>
                <w:sz w:val="22"/>
                <w:szCs w:val="22"/>
                <w:lang w:val="en-US"/>
              </w:rPr>
              <w:t>17,6 (13,1-19,8)</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3F2B09" w:rsidRPr="008B2AE9" w:rsidRDefault="003F2B09" w:rsidP="001B7A99">
            <w:pPr>
              <w:jc w:val="center"/>
              <w:rPr>
                <w:rFonts w:ascii="Times New Roman" w:hAnsi="Times New Roman"/>
                <w:sz w:val="22"/>
                <w:szCs w:val="22"/>
                <w:lang w:val="en-US"/>
              </w:rPr>
            </w:pPr>
            <w:r w:rsidRPr="008B2AE9">
              <w:rPr>
                <w:rFonts w:ascii="Times New Roman" w:hAnsi="Times New Roman"/>
                <w:sz w:val="22"/>
                <w:szCs w:val="22"/>
                <w:lang w:val="en-US"/>
              </w:rPr>
              <w:t>10,5 (7,8-14,2)</w:t>
            </w:r>
          </w:p>
        </w:tc>
      </w:tr>
      <w:tr w:rsidR="003F2B09" w:rsidRPr="008B2AE9" w:rsidTr="004B4B0B">
        <w:trPr>
          <w:cantSplit/>
        </w:trPr>
        <w:tc>
          <w:tcPr>
            <w:tcW w:w="1843"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3F2B09" w:rsidRPr="008B2AE9" w:rsidRDefault="003F2B09" w:rsidP="001B7A99">
            <w:pPr>
              <w:jc w:val="center"/>
              <w:rPr>
                <w:rFonts w:ascii="Times New Roman" w:hAnsi="Times New Roman"/>
                <w:sz w:val="22"/>
                <w:szCs w:val="22"/>
                <w:lang w:val="en-US"/>
              </w:rPr>
            </w:pPr>
            <w:r w:rsidRPr="008B2AE9">
              <w:rPr>
                <w:rFonts w:ascii="Times New Roman" w:hAnsi="Times New Roman"/>
                <w:sz w:val="22"/>
                <w:szCs w:val="22"/>
                <w:lang w:val="en-US"/>
              </w:rPr>
              <w:br/>
            </w:r>
            <w:r w:rsidRPr="008B2AE9">
              <w:rPr>
                <w:rFonts w:ascii="Times New Roman" w:hAnsi="Times New Roman"/>
                <w:sz w:val="22"/>
                <w:szCs w:val="22"/>
                <w:lang w:val="el-GR"/>
              </w:rPr>
              <w:t>Ενήλικες</w:t>
            </w: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3F2B09" w:rsidRPr="008B2AE9" w:rsidRDefault="003F2B09" w:rsidP="001B7A99">
            <w:pPr>
              <w:jc w:val="center"/>
              <w:rPr>
                <w:rFonts w:ascii="Times New Roman" w:hAnsi="Times New Roman"/>
                <w:sz w:val="22"/>
                <w:szCs w:val="22"/>
                <w:lang w:val="en-US"/>
              </w:rPr>
            </w:pPr>
            <w:r w:rsidRPr="008B2AE9">
              <w:rPr>
                <w:rFonts w:ascii="Times New Roman" w:hAnsi="Times New Roman"/>
                <w:sz w:val="22"/>
                <w:szCs w:val="22"/>
                <w:lang w:val="en-US"/>
              </w:rPr>
              <w:t>20 mg (n=22)</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3F2B09" w:rsidRPr="008B2AE9" w:rsidRDefault="003F2B09" w:rsidP="001B7A99">
            <w:pPr>
              <w:jc w:val="center"/>
              <w:rPr>
                <w:rFonts w:ascii="Times New Roman" w:hAnsi="Times New Roman"/>
                <w:sz w:val="22"/>
                <w:szCs w:val="22"/>
                <w:lang w:val="en-US"/>
              </w:rPr>
            </w:pPr>
            <w:r w:rsidRPr="008B2AE9">
              <w:rPr>
                <w:rFonts w:ascii="Times New Roman" w:hAnsi="Times New Roman"/>
                <w:sz w:val="22"/>
                <w:szCs w:val="22"/>
                <w:lang w:val="en-US"/>
              </w:rPr>
              <w:t>5,1 (1,5-11,8)</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3F2B09" w:rsidRPr="008B2AE9" w:rsidRDefault="003F2B09" w:rsidP="001B7A99">
            <w:pPr>
              <w:jc w:val="center"/>
              <w:rPr>
                <w:rFonts w:ascii="Times New Roman" w:hAnsi="Times New Roman"/>
                <w:sz w:val="22"/>
                <w:szCs w:val="22"/>
                <w:lang w:val="en-US"/>
              </w:rPr>
            </w:pPr>
            <w:r w:rsidRPr="008B2AE9">
              <w:rPr>
                <w:rFonts w:ascii="Times New Roman" w:hAnsi="Times New Roman"/>
                <w:sz w:val="22"/>
                <w:szCs w:val="22"/>
                <w:lang w:val="en-US"/>
              </w:rPr>
              <w:t>3,9 (1,5-6,7)</w:t>
            </w:r>
          </w:p>
        </w:tc>
      </w:tr>
      <w:tr w:rsidR="003F2B09" w:rsidRPr="008B2AE9" w:rsidTr="004B4B0B">
        <w:trPr>
          <w:cantSplit/>
        </w:trPr>
        <w:tc>
          <w:tcPr>
            <w:tcW w:w="1843" w:type="dxa"/>
            <w:vMerge/>
            <w:tcBorders>
              <w:top w:val="nil"/>
              <w:left w:val="single" w:sz="8" w:space="0" w:color="000000"/>
              <w:bottom w:val="single" w:sz="8" w:space="0" w:color="000000"/>
              <w:right w:val="single" w:sz="8" w:space="0" w:color="000000"/>
            </w:tcBorders>
            <w:vAlign w:val="center"/>
          </w:tcPr>
          <w:p w:rsidR="003F2B09" w:rsidRPr="008B2AE9" w:rsidRDefault="003F2B09" w:rsidP="001B7A99">
            <w:pPr>
              <w:jc w:val="center"/>
              <w:rPr>
                <w:rFonts w:ascii="Times New Roman" w:hAnsi="Times New Roman"/>
                <w:sz w:val="22"/>
                <w:szCs w:val="22"/>
                <w:lang w:val="en-US"/>
              </w:rPr>
            </w:pPr>
          </w:p>
        </w:tc>
        <w:tc>
          <w:tcPr>
            <w:tcW w:w="2268" w:type="dxa"/>
            <w:tcBorders>
              <w:top w:val="nil"/>
              <w:left w:val="nil"/>
              <w:bottom w:val="single" w:sz="8" w:space="0" w:color="000000"/>
              <w:right w:val="single" w:sz="8" w:space="0" w:color="000000"/>
            </w:tcBorders>
            <w:tcMar>
              <w:top w:w="0" w:type="dxa"/>
              <w:left w:w="108" w:type="dxa"/>
              <w:bottom w:w="0" w:type="dxa"/>
              <w:right w:w="108" w:type="dxa"/>
            </w:tcMar>
          </w:tcPr>
          <w:p w:rsidR="003F2B09" w:rsidRPr="008B2AE9" w:rsidRDefault="003F2B09" w:rsidP="001B7A99">
            <w:pPr>
              <w:jc w:val="center"/>
              <w:rPr>
                <w:rFonts w:ascii="Times New Roman" w:hAnsi="Times New Roman"/>
                <w:sz w:val="22"/>
                <w:szCs w:val="22"/>
                <w:lang w:val="en-US"/>
              </w:rPr>
            </w:pPr>
            <w:r w:rsidRPr="008B2AE9">
              <w:rPr>
                <w:rFonts w:ascii="Times New Roman" w:hAnsi="Times New Roman"/>
                <w:sz w:val="22"/>
                <w:szCs w:val="22"/>
                <w:lang w:val="en-US"/>
              </w:rPr>
              <w:t>40 mg (n=41)</w:t>
            </w:r>
          </w:p>
        </w:tc>
        <w:tc>
          <w:tcPr>
            <w:tcW w:w="1984" w:type="dxa"/>
            <w:tcBorders>
              <w:top w:val="nil"/>
              <w:left w:val="nil"/>
              <w:bottom w:val="single" w:sz="8" w:space="0" w:color="000000"/>
              <w:right w:val="single" w:sz="8" w:space="0" w:color="000000"/>
            </w:tcBorders>
            <w:tcMar>
              <w:top w:w="0" w:type="dxa"/>
              <w:left w:w="108" w:type="dxa"/>
              <w:bottom w:w="0" w:type="dxa"/>
              <w:right w:w="108" w:type="dxa"/>
            </w:tcMar>
          </w:tcPr>
          <w:p w:rsidR="003F2B09" w:rsidRPr="008B2AE9" w:rsidRDefault="003F2B09" w:rsidP="001B7A99">
            <w:pPr>
              <w:jc w:val="center"/>
              <w:rPr>
                <w:rFonts w:ascii="Times New Roman" w:hAnsi="Times New Roman"/>
                <w:sz w:val="22"/>
                <w:szCs w:val="22"/>
                <w:lang w:val="en-US"/>
              </w:rPr>
            </w:pPr>
            <w:r w:rsidRPr="008B2AE9">
              <w:rPr>
                <w:rFonts w:ascii="Times New Roman" w:hAnsi="Times New Roman"/>
                <w:sz w:val="22"/>
                <w:szCs w:val="22"/>
                <w:lang w:val="en-US"/>
              </w:rPr>
              <w:t>12,6 (4,8-21,7)</w:t>
            </w:r>
          </w:p>
        </w:tc>
        <w:tc>
          <w:tcPr>
            <w:tcW w:w="1701" w:type="dxa"/>
            <w:tcBorders>
              <w:top w:val="nil"/>
              <w:left w:val="nil"/>
              <w:bottom w:val="single" w:sz="8" w:space="0" w:color="000000"/>
              <w:right w:val="single" w:sz="8" w:space="0" w:color="000000"/>
            </w:tcBorders>
            <w:tcMar>
              <w:top w:w="0" w:type="dxa"/>
              <w:left w:w="108" w:type="dxa"/>
              <w:bottom w:w="0" w:type="dxa"/>
              <w:right w:w="108" w:type="dxa"/>
            </w:tcMar>
          </w:tcPr>
          <w:p w:rsidR="003F2B09" w:rsidRPr="008B2AE9" w:rsidRDefault="003F2B09" w:rsidP="001B7A99">
            <w:pPr>
              <w:jc w:val="center"/>
              <w:rPr>
                <w:rFonts w:ascii="Times New Roman" w:hAnsi="Times New Roman"/>
                <w:sz w:val="22"/>
                <w:szCs w:val="22"/>
                <w:lang w:val="en-US"/>
              </w:rPr>
            </w:pPr>
            <w:r w:rsidRPr="008B2AE9">
              <w:rPr>
                <w:rFonts w:ascii="Times New Roman" w:hAnsi="Times New Roman"/>
                <w:sz w:val="22"/>
                <w:szCs w:val="22"/>
                <w:lang w:val="en-US"/>
              </w:rPr>
              <w:t>8,5 (5,4-17,9)</w:t>
            </w:r>
          </w:p>
        </w:tc>
      </w:tr>
    </w:tbl>
    <w:p w:rsidR="00482855" w:rsidRPr="008B2AE9" w:rsidRDefault="00482855" w:rsidP="001B7A99">
      <w:pPr>
        <w:pStyle w:val="a8"/>
        <w:spacing w:line="240" w:lineRule="auto"/>
        <w:rPr>
          <w:rFonts w:ascii="Times New Roman" w:hAnsi="Times New Roman"/>
          <w:sz w:val="22"/>
          <w:szCs w:val="22"/>
        </w:rPr>
      </w:pPr>
    </w:p>
    <w:p w:rsidR="003F2B09" w:rsidRPr="008B2AE9" w:rsidRDefault="003F2B09" w:rsidP="001B7A99">
      <w:pPr>
        <w:pStyle w:val="a8"/>
        <w:spacing w:line="240" w:lineRule="auto"/>
        <w:rPr>
          <w:rFonts w:ascii="Times New Roman" w:hAnsi="Times New Roman"/>
          <w:sz w:val="22"/>
          <w:szCs w:val="22"/>
          <w:lang w:val="en-US"/>
        </w:rPr>
      </w:pPr>
      <w:r w:rsidRPr="008B2AE9">
        <w:rPr>
          <w:rFonts w:ascii="Times New Roman" w:hAnsi="Times New Roman"/>
          <w:sz w:val="22"/>
          <w:szCs w:val="22"/>
        </w:rPr>
        <w:t>* Ένας ασθενής στην ηλικιακή ομάδα 0 έως 1 μηνός ορίστηκε ως ένα</w:t>
      </w:r>
      <w:r w:rsidR="001F6FB7" w:rsidRPr="008B2AE9">
        <w:rPr>
          <w:rFonts w:ascii="Times New Roman" w:hAnsi="Times New Roman"/>
          <w:sz w:val="22"/>
          <w:szCs w:val="22"/>
        </w:rPr>
        <w:t>ς</w:t>
      </w:r>
      <w:r w:rsidRPr="008B2AE9">
        <w:rPr>
          <w:rFonts w:ascii="Times New Roman" w:hAnsi="Times New Roman"/>
          <w:sz w:val="22"/>
          <w:szCs w:val="22"/>
        </w:rPr>
        <w:t xml:space="preserve"> ασθενής με διορθωμένη ηλικία ≥32 πλήρων εβδομάδων και &lt;44 πλήρων εβδομάδων, όπου διορθωμένη ηλικία ήταν το άθροισμα </w:t>
      </w:r>
      <w:r w:rsidR="00F06BBE" w:rsidRPr="008B2AE9">
        <w:rPr>
          <w:rFonts w:ascii="Times New Roman" w:hAnsi="Times New Roman"/>
          <w:sz w:val="22"/>
          <w:szCs w:val="22"/>
        </w:rPr>
        <w:t>της ηλικίας κύησης</w:t>
      </w:r>
      <w:r w:rsidR="00CB5938" w:rsidRPr="008B2AE9">
        <w:rPr>
          <w:rFonts w:ascii="Times New Roman" w:hAnsi="Times New Roman"/>
          <w:sz w:val="22"/>
          <w:szCs w:val="22"/>
        </w:rPr>
        <w:t xml:space="preserve"> </w:t>
      </w:r>
      <w:r w:rsidRPr="008B2AE9">
        <w:rPr>
          <w:rFonts w:ascii="Times New Roman" w:hAnsi="Times New Roman"/>
          <w:sz w:val="22"/>
          <w:szCs w:val="22"/>
        </w:rPr>
        <w:t>και της ηλικίας μετά τη γέννηση σε πλήρεις εβδομάδες. Ένας ασθενής στην ηλικιακή ομάδα ηλικίας 1 έως 11 μηνών είχε μια διορθωμένη ηλικία ≥ 44 πλήρων εβδομάδων.</w:t>
      </w:r>
    </w:p>
    <w:p w:rsidR="00D10E27" w:rsidRPr="008B2AE9" w:rsidRDefault="004D546A" w:rsidP="001B7A99">
      <w:pPr>
        <w:pStyle w:val="a8"/>
        <w:spacing w:line="240" w:lineRule="auto"/>
        <w:rPr>
          <w:rFonts w:ascii="Times New Roman" w:hAnsi="Times New Roman"/>
          <w:sz w:val="22"/>
          <w:szCs w:val="22"/>
        </w:rPr>
      </w:pPr>
      <w:r w:rsidRPr="008B2AE9">
        <w:rPr>
          <w:rFonts w:ascii="Times New Roman" w:hAnsi="Times New Roman"/>
          <w:sz w:val="22"/>
          <w:szCs w:val="22"/>
        </w:rPr>
        <w:lastRenderedPageBreak/>
        <w:t xml:space="preserve">** Δύο ασθενείς αποκλείστηκαν, ένας πιθανώς με μικρή δυνατότητα μεταβολισμού </w:t>
      </w:r>
      <w:r w:rsidR="005F298E" w:rsidRPr="008B2AE9">
        <w:rPr>
          <w:rFonts w:ascii="Times New Roman" w:hAnsi="Times New Roman"/>
          <w:sz w:val="22"/>
          <w:szCs w:val="22"/>
        </w:rPr>
        <w:t xml:space="preserve">του </w:t>
      </w:r>
      <w:r w:rsidRPr="008B2AE9">
        <w:rPr>
          <w:rFonts w:ascii="Times New Roman" w:hAnsi="Times New Roman"/>
          <w:sz w:val="22"/>
          <w:szCs w:val="22"/>
        </w:rPr>
        <w:t>CYP2C19 και ένας σε ταυτόχρονη θεραπεία με αναστολέα του CYP3A4.</w:t>
      </w:r>
    </w:p>
    <w:p w:rsidR="005F298E" w:rsidRPr="008B2AE9" w:rsidRDefault="005F298E" w:rsidP="001B7A99">
      <w:pPr>
        <w:pStyle w:val="a8"/>
        <w:spacing w:line="240" w:lineRule="auto"/>
        <w:rPr>
          <w:rFonts w:ascii="Times New Roman" w:hAnsi="Times New Roman"/>
          <w:sz w:val="22"/>
          <w:szCs w:val="22"/>
        </w:rPr>
      </w:pPr>
    </w:p>
    <w:p w:rsidR="00D10E27" w:rsidRPr="008B2AE9" w:rsidRDefault="00D10E27" w:rsidP="001B7A99">
      <w:pPr>
        <w:pStyle w:val="a8"/>
        <w:spacing w:line="240" w:lineRule="auto"/>
        <w:rPr>
          <w:rFonts w:ascii="Times New Roman" w:hAnsi="Times New Roman"/>
          <w:sz w:val="22"/>
          <w:szCs w:val="22"/>
        </w:rPr>
      </w:pPr>
      <w:r w:rsidRPr="008B2AE9">
        <w:rPr>
          <w:rFonts w:ascii="Times New Roman" w:hAnsi="Times New Roman"/>
          <w:sz w:val="22"/>
          <w:szCs w:val="22"/>
        </w:rPr>
        <w:t>Προβλέψεις βασισμένες σε μοντέλο δείχνουν ότι οι C</w:t>
      </w:r>
      <w:r w:rsidRPr="008B2AE9">
        <w:rPr>
          <w:rFonts w:ascii="Times New Roman" w:hAnsi="Times New Roman"/>
          <w:sz w:val="22"/>
          <w:szCs w:val="22"/>
          <w:vertAlign w:val="subscript"/>
        </w:rPr>
        <w:t>ss</w:t>
      </w:r>
      <w:r w:rsidR="00BD09D2" w:rsidRPr="008B2AE9">
        <w:rPr>
          <w:rFonts w:ascii="Times New Roman" w:hAnsi="Times New Roman"/>
          <w:sz w:val="22"/>
          <w:szCs w:val="22"/>
        </w:rPr>
        <w:t>,</w:t>
      </w:r>
      <w:r w:rsidRPr="008B2AE9">
        <w:rPr>
          <w:rFonts w:ascii="Times New Roman" w:hAnsi="Times New Roman"/>
          <w:sz w:val="22"/>
          <w:szCs w:val="22"/>
          <w:vertAlign w:val="subscript"/>
        </w:rPr>
        <w:t>max</w:t>
      </w:r>
      <w:r w:rsidRPr="008B2AE9">
        <w:rPr>
          <w:rFonts w:ascii="Times New Roman" w:hAnsi="Times New Roman"/>
          <w:sz w:val="22"/>
          <w:szCs w:val="22"/>
        </w:rPr>
        <w:t xml:space="preserve"> μετά από ενδοφλέβια χορήγηση εσομεπραζόλης ως 10-λεπτες, 20-λεπτες και 30-λεπτες εγχύσεις θα μειωθούν κατά </w:t>
      </w:r>
      <w:r w:rsidR="00CD7FF5" w:rsidRPr="008B2AE9">
        <w:rPr>
          <w:rFonts w:ascii="Times New Roman" w:hAnsi="Times New Roman"/>
          <w:sz w:val="22"/>
          <w:szCs w:val="22"/>
        </w:rPr>
        <w:t xml:space="preserve">μέσο όρο </w:t>
      </w:r>
      <w:r w:rsidRPr="008B2AE9">
        <w:rPr>
          <w:rFonts w:ascii="Times New Roman" w:hAnsi="Times New Roman"/>
          <w:sz w:val="22"/>
          <w:szCs w:val="22"/>
        </w:rPr>
        <w:t xml:space="preserve">37% </w:t>
      </w:r>
      <w:r w:rsidR="00CD7FF5" w:rsidRPr="008B2AE9">
        <w:rPr>
          <w:rFonts w:ascii="Times New Roman" w:hAnsi="Times New Roman"/>
          <w:sz w:val="22"/>
          <w:szCs w:val="22"/>
        </w:rPr>
        <w:t>έως</w:t>
      </w:r>
      <w:r w:rsidRPr="008B2AE9">
        <w:rPr>
          <w:rFonts w:ascii="Times New Roman" w:hAnsi="Times New Roman"/>
          <w:sz w:val="22"/>
          <w:szCs w:val="22"/>
        </w:rPr>
        <w:t xml:space="preserve"> 49%, 54% έως 66% και 61% έως 72%, αντίστοιχα, σε όλες τις ηλικιακές ομάδες και </w:t>
      </w:r>
      <w:r w:rsidR="00CD7FF5" w:rsidRPr="008B2AE9">
        <w:rPr>
          <w:rFonts w:ascii="Times New Roman" w:hAnsi="Times New Roman"/>
          <w:sz w:val="22"/>
          <w:szCs w:val="22"/>
        </w:rPr>
        <w:t>τις ομάδες</w:t>
      </w:r>
      <w:r w:rsidRPr="008B2AE9">
        <w:rPr>
          <w:rFonts w:ascii="Times New Roman" w:hAnsi="Times New Roman"/>
          <w:sz w:val="22"/>
          <w:szCs w:val="22"/>
        </w:rPr>
        <w:t xml:space="preserve"> δόσ</w:t>
      </w:r>
      <w:r w:rsidR="00CD7FF5" w:rsidRPr="008B2AE9">
        <w:rPr>
          <w:rFonts w:ascii="Times New Roman" w:hAnsi="Times New Roman"/>
          <w:sz w:val="22"/>
          <w:szCs w:val="22"/>
        </w:rPr>
        <w:t>εων</w:t>
      </w:r>
      <w:r w:rsidR="00F55275" w:rsidRPr="008B2AE9">
        <w:rPr>
          <w:rFonts w:ascii="Times New Roman" w:hAnsi="Times New Roman"/>
          <w:sz w:val="22"/>
          <w:szCs w:val="22"/>
        </w:rPr>
        <w:t xml:space="preserve"> συγκριτικά με τις τιμές που προκύπτουν μετά από</w:t>
      </w:r>
      <w:r w:rsidRPr="008B2AE9">
        <w:rPr>
          <w:rFonts w:ascii="Times New Roman" w:hAnsi="Times New Roman"/>
          <w:sz w:val="22"/>
          <w:szCs w:val="22"/>
        </w:rPr>
        <w:t xml:space="preserve"> </w:t>
      </w:r>
      <w:r w:rsidR="00F55275" w:rsidRPr="008B2AE9">
        <w:rPr>
          <w:rFonts w:ascii="Times New Roman" w:hAnsi="Times New Roman"/>
          <w:sz w:val="22"/>
          <w:szCs w:val="22"/>
        </w:rPr>
        <w:t>δόση</w:t>
      </w:r>
      <w:r w:rsidR="00C74F4E" w:rsidRPr="008B2AE9">
        <w:rPr>
          <w:rFonts w:ascii="Times New Roman" w:hAnsi="Times New Roman"/>
          <w:sz w:val="22"/>
          <w:szCs w:val="22"/>
        </w:rPr>
        <w:t xml:space="preserve"> </w:t>
      </w:r>
      <w:r w:rsidR="00F55275" w:rsidRPr="008B2AE9">
        <w:rPr>
          <w:rFonts w:ascii="Times New Roman" w:hAnsi="Times New Roman"/>
          <w:sz w:val="22"/>
          <w:szCs w:val="22"/>
        </w:rPr>
        <w:t>χορηγούμενη</w:t>
      </w:r>
      <w:r w:rsidRPr="008B2AE9">
        <w:rPr>
          <w:rFonts w:ascii="Times New Roman" w:hAnsi="Times New Roman"/>
          <w:sz w:val="22"/>
          <w:szCs w:val="22"/>
        </w:rPr>
        <w:t xml:space="preserve"> ως 3</w:t>
      </w:r>
      <w:r w:rsidR="00CD7FF5" w:rsidRPr="008B2AE9">
        <w:rPr>
          <w:rFonts w:ascii="Times New Roman" w:hAnsi="Times New Roman"/>
          <w:sz w:val="22"/>
          <w:szCs w:val="22"/>
        </w:rPr>
        <w:t>-</w:t>
      </w:r>
      <w:r w:rsidRPr="008B2AE9">
        <w:rPr>
          <w:rFonts w:ascii="Times New Roman" w:hAnsi="Times New Roman"/>
          <w:sz w:val="22"/>
          <w:szCs w:val="22"/>
        </w:rPr>
        <w:t>λεπτ</w:t>
      </w:r>
      <w:r w:rsidR="00CD7FF5" w:rsidRPr="008B2AE9">
        <w:rPr>
          <w:rFonts w:ascii="Times New Roman" w:hAnsi="Times New Roman"/>
          <w:sz w:val="22"/>
          <w:szCs w:val="22"/>
        </w:rPr>
        <w:t>η</w:t>
      </w:r>
      <w:r w:rsidRPr="008B2AE9">
        <w:rPr>
          <w:rFonts w:ascii="Times New Roman" w:hAnsi="Times New Roman"/>
          <w:sz w:val="22"/>
          <w:szCs w:val="22"/>
        </w:rPr>
        <w:t xml:space="preserve"> ένεση</w:t>
      </w:r>
      <w:r w:rsidR="00CD7FF5" w:rsidRPr="008B2AE9">
        <w:rPr>
          <w:rFonts w:ascii="Times New Roman" w:hAnsi="Times New Roman"/>
          <w:sz w:val="22"/>
          <w:szCs w:val="22"/>
        </w:rPr>
        <w:t>.</w:t>
      </w:r>
    </w:p>
    <w:p w:rsidR="00D10E27" w:rsidRPr="008B2AE9" w:rsidRDefault="00D10E27" w:rsidP="001B7A99">
      <w:pPr>
        <w:pStyle w:val="a8"/>
        <w:spacing w:line="240" w:lineRule="auto"/>
        <w:rPr>
          <w:rFonts w:ascii="Times New Roman" w:hAnsi="Times New Roman"/>
          <w:sz w:val="22"/>
          <w:szCs w:val="22"/>
        </w:rPr>
      </w:pPr>
    </w:p>
    <w:p w:rsidR="00306B2C" w:rsidRPr="008B2AE9" w:rsidRDefault="00306B2C" w:rsidP="00306B2C">
      <w:pPr>
        <w:widowControl w:val="0"/>
        <w:rPr>
          <w:rFonts w:ascii="Times New Roman" w:hAnsi="Times New Roman"/>
          <w:sz w:val="22"/>
          <w:szCs w:val="22"/>
          <w:lang w:val="el-GR"/>
        </w:rPr>
      </w:pPr>
      <w:r w:rsidRPr="008B2AE9">
        <w:rPr>
          <w:rFonts w:ascii="Times New Roman" w:hAnsi="Times New Roman"/>
          <w:b/>
          <w:sz w:val="22"/>
          <w:szCs w:val="22"/>
          <w:lang w:val="el-GR"/>
        </w:rPr>
        <w:t>5.3</w:t>
      </w:r>
      <w:r w:rsidRPr="008B2AE9">
        <w:rPr>
          <w:rFonts w:ascii="Times New Roman" w:hAnsi="Times New Roman"/>
          <w:b/>
          <w:sz w:val="22"/>
          <w:szCs w:val="22"/>
          <w:lang w:val="el-GR"/>
        </w:rPr>
        <w:tab/>
        <w:t>Προκλινικά δεδομένα για την ασφάλεια</w:t>
      </w:r>
    </w:p>
    <w:p w:rsidR="001B7A99" w:rsidRPr="008B2AE9" w:rsidRDefault="001B7A99" w:rsidP="001B7A99">
      <w:pPr>
        <w:pStyle w:val="a8"/>
        <w:spacing w:line="240" w:lineRule="auto"/>
        <w:rPr>
          <w:rFonts w:ascii="Times New Roman" w:hAnsi="Times New Roman"/>
          <w:sz w:val="22"/>
          <w:szCs w:val="22"/>
        </w:rPr>
      </w:pPr>
    </w:p>
    <w:p w:rsidR="00492689" w:rsidRPr="008B2AE9" w:rsidRDefault="001321CE" w:rsidP="001B7A99">
      <w:pPr>
        <w:pStyle w:val="a8"/>
        <w:spacing w:line="240" w:lineRule="auto"/>
        <w:rPr>
          <w:rFonts w:ascii="Times New Roman" w:hAnsi="Times New Roman"/>
          <w:sz w:val="22"/>
          <w:szCs w:val="22"/>
          <w:lang w:val="en-US"/>
        </w:rPr>
      </w:pPr>
      <w:r w:rsidRPr="008B2AE9">
        <w:rPr>
          <w:rFonts w:ascii="Times New Roman" w:hAnsi="Times New Roman"/>
          <w:sz w:val="22"/>
          <w:szCs w:val="22"/>
        </w:rPr>
        <w:t xml:space="preserve">Μη-κλινικά δεδομένα </w:t>
      </w:r>
      <w:r w:rsidR="00E72235" w:rsidRPr="008B2AE9">
        <w:rPr>
          <w:rFonts w:ascii="Times New Roman" w:hAnsi="Times New Roman"/>
          <w:sz w:val="22"/>
          <w:szCs w:val="22"/>
        </w:rPr>
        <w:t xml:space="preserve">δεν έδειξαν κάποιο ιδιαίτερο κίνδυνο για τον άνθρωπο, βάσει των συμβατικών μελετών </w:t>
      </w:r>
      <w:r w:rsidR="00DD2C0B" w:rsidRPr="008B2AE9">
        <w:rPr>
          <w:rFonts w:ascii="Times New Roman" w:hAnsi="Times New Roman"/>
          <w:sz w:val="22"/>
          <w:szCs w:val="22"/>
        </w:rPr>
        <w:t>φαρμακολογικής ασφάλειας</w:t>
      </w:r>
      <w:r w:rsidR="00062B1F" w:rsidRPr="008B2AE9">
        <w:rPr>
          <w:rFonts w:ascii="Times New Roman" w:hAnsi="Times New Roman"/>
          <w:sz w:val="22"/>
          <w:szCs w:val="22"/>
        </w:rPr>
        <w:t>,</w:t>
      </w:r>
      <w:r w:rsidR="000B1642" w:rsidRPr="008B2AE9">
        <w:rPr>
          <w:rFonts w:ascii="Times New Roman" w:hAnsi="Times New Roman"/>
          <w:sz w:val="22"/>
          <w:szCs w:val="22"/>
        </w:rPr>
        <w:t xml:space="preserve"> </w:t>
      </w:r>
      <w:r w:rsidR="002D00E6" w:rsidRPr="008B2AE9">
        <w:rPr>
          <w:rFonts w:ascii="Times New Roman" w:hAnsi="Times New Roman"/>
          <w:sz w:val="22"/>
          <w:szCs w:val="22"/>
        </w:rPr>
        <w:t xml:space="preserve">τοξικότητας </w:t>
      </w:r>
      <w:r w:rsidR="00E72235" w:rsidRPr="008B2AE9">
        <w:rPr>
          <w:rFonts w:ascii="Times New Roman" w:hAnsi="Times New Roman"/>
          <w:sz w:val="22"/>
          <w:szCs w:val="22"/>
        </w:rPr>
        <w:t xml:space="preserve">μετά από επαναλαμβανόμενη χορήγηση, </w:t>
      </w:r>
      <w:r w:rsidR="00595DB9" w:rsidRPr="008B2AE9">
        <w:rPr>
          <w:rFonts w:ascii="Times New Roman" w:hAnsi="Times New Roman"/>
          <w:sz w:val="22"/>
          <w:szCs w:val="22"/>
        </w:rPr>
        <w:t>γονοτοξικότητας, τοξικότητας στην αναπαραγωγική ικανότητα και την ανάπτυξη</w:t>
      </w:r>
      <w:r w:rsidR="00E72235" w:rsidRPr="008B2AE9">
        <w:rPr>
          <w:rFonts w:ascii="Times New Roman" w:hAnsi="Times New Roman"/>
          <w:sz w:val="22"/>
          <w:szCs w:val="22"/>
        </w:rPr>
        <w:t xml:space="preserve">. </w:t>
      </w:r>
      <w:r w:rsidR="00492689" w:rsidRPr="008B2AE9">
        <w:rPr>
          <w:rFonts w:ascii="Times New Roman" w:hAnsi="Times New Roman"/>
          <w:sz w:val="22"/>
          <w:szCs w:val="22"/>
        </w:rPr>
        <w:t>Ανεπιθύμητες ενέργειες που δεν παρατηρήθηκαν σε κλινικές μελέτες, αλλά παρατηρήθηκαν σε ζώα σε επίπεδα έκθεσης παρόμοια με τα κλινικά επίπεδα έκθεσης και με ενδεχόμενη σχέση με την κλινική χρήση ήταν ως εξής:</w:t>
      </w:r>
    </w:p>
    <w:p w:rsidR="00E72235" w:rsidRPr="008B2AE9" w:rsidRDefault="00E72235" w:rsidP="001B7A99">
      <w:pPr>
        <w:pStyle w:val="a8"/>
        <w:spacing w:line="240" w:lineRule="auto"/>
        <w:rPr>
          <w:rFonts w:ascii="Times New Roman" w:hAnsi="Times New Roman"/>
          <w:sz w:val="22"/>
          <w:szCs w:val="22"/>
        </w:rPr>
      </w:pPr>
      <w:r w:rsidRPr="008B2AE9">
        <w:rPr>
          <w:rFonts w:ascii="Times New Roman" w:hAnsi="Times New Roman"/>
          <w:sz w:val="22"/>
          <w:szCs w:val="22"/>
        </w:rPr>
        <w:t>Μελέτες καρκινογένεσης σε αρουραίους με το ρακεμικό μίγμα, χορηγούμενο από του στόματος, έδειξαν υπερπλασία των γαστρικών ECL-κυττάρων και καρκινοειδή. Οι δράσεις αυτές στο γαστρικό είναι αποτέλεσμα της παρατεταμένης και έντονης υπεργαστριναιμίας ως επακόλουθο της μειωμένης έκκρισης του γαστρικού οξέος και παρατηρούνται μετά από μακρόχρονη θεραπεία σε αρουραίους με αναστολείς της έκκρισης γαστρικού οξέος.</w:t>
      </w:r>
      <w:r w:rsidR="006C424F" w:rsidRPr="008B2AE9">
        <w:rPr>
          <w:rFonts w:ascii="Times New Roman" w:hAnsi="Times New Roman"/>
          <w:sz w:val="22"/>
          <w:szCs w:val="22"/>
        </w:rPr>
        <w:t xml:space="preserve"> </w:t>
      </w:r>
      <w:r w:rsidRPr="008B2AE9">
        <w:rPr>
          <w:rFonts w:ascii="Times New Roman" w:hAnsi="Times New Roman"/>
          <w:sz w:val="22"/>
          <w:szCs w:val="22"/>
        </w:rPr>
        <w:t>Στο μη κλινικό</w:t>
      </w:r>
      <w:r w:rsidR="00DF16D5" w:rsidRPr="008B2AE9">
        <w:rPr>
          <w:rFonts w:ascii="Times New Roman" w:hAnsi="Times New Roman"/>
          <w:sz w:val="22"/>
          <w:szCs w:val="22"/>
        </w:rPr>
        <w:t xml:space="preserve"> πρόγραμμα </w:t>
      </w:r>
      <w:r w:rsidRPr="008B2AE9">
        <w:rPr>
          <w:rFonts w:ascii="Times New Roman" w:hAnsi="Times New Roman"/>
          <w:sz w:val="22"/>
          <w:szCs w:val="22"/>
        </w:rPr>
        <w:t>της ενδοφλέβιας μορφής της εσομεπραζόλης δεν υπήρξε ένδειξη για ερεθισμό των αγγείω</w:t>
      </w:r>
      <w:r w:rsidR="00D451D3" w:rsidRPr="008B2AE9">
        <w:rPr>
          <w:rFonts w:ascii="Times New Roman" w:hAnsi="Times New Roman"/>
          <w:sz w:val="22"/>
          <w:szCs w:val="22"/>
        </w:rPr>
        <w:t xml:space="preserve">ν, αλλά παρατηρήθηκε μία μικρή </w:t>
      </w:r>
      <w:r w:rsidRPr="008B2AE9">
        <w:rPr>
          <w:rFonts w:ascii="Times New Roman" w:hAnsi="Times New Roman"/>
          <w:sz w:val="22"/>
          <w:szCs w:val="22"/>
        </w:rPr>
        <w:t>ιστική φλεγμονώδης αντίδραση</w:t>
      </w:r>
      <w:r w:rsidR="006C424F" w:rsidRPr="008B2AE9">
        <w:rPr>
          <w:rFonts w:ascii="Times New Roman" w:hAnsi="Times New Roman"/>
          <w:sz w:val="22"/>
          <w:szCs w:val="22"/>
        </w:rPr>
        <w:t xml:space="preserve"> </w:t>
      </w:r>
      <w:r w:rsidRPr="008B2AE9">
        <w:rPr>
          <w:rFonts w:ascii="Times New Roman" w:hAnsi="Times New Roman"/>
          <w:sz w:val="22"/>
          <w:szCs w:val="22"/>
        </w:rPr>
        <w:t>στο σημείο της ένεσης</w:t>
      </w:r>
      <w:r w:rsidR="006C424F" w:rsidRPr="008B2AE9">
        <w:rPr>
          <w:rFonts w:ascii="Times New Roman" w:hAnsi="Times New Roman"/>
          <w:sz w:val="22"/>
          <w:szCs w:val="22"/>
        </w:rPr>
        <w:t xml:space="preserve"> </w:t>
      </w:r>
      <w:r w:rsidRPr="008B2AE9">
        <w:rPr>
          <w:rFonts w:ascii="Times New Roman" w:hAnsi="Times New Roman"/>
          <w:sz w:val="22"/>
          <w:szCs w:val="22"/>
        </w:rPr>
        <w:t>μετά από υποδόρια χορήγηση</w:t>
      </w:r>
      <w:r w:rsidR="006C424F" w:rsidRPr="008B2AE9">
        <w:rPr>
          <w:rFonts w:ascii="Times New Roman" w:hAnsi="Times New Roman"/>
          <w:sz w:val="22"/>
          <w:szCs w:val="22"/>
        </w:rPr>
        <w:t xml:space="preserve"> </w:t>
      </w:r>
      <w:r w:rsidR="002B4278" w:rsidRPr="008B2AE9">
        <w:rPr>
          <w:rFonts w:ascii="Times New Roman" w:hAnsi="Times New Roman"/>
          <w:sz w:val="22"/>
          <w:szCs w:val="22"/>
        </w:rPr>
        <w:t>(παραφλεβικά) (β</w:t>
      </w:r>
      <w:r w:rsidRPr="008B2AE9">
        <w:rPr>
          <w:rFonts w:ascii="Times New Roman" w:hAnsi="Times New Roman"/>
          <w:sz w:val="22"/>
          <w:szCs w:val="22"/>
        </w:rPr>
        <w:t xml:space="preserve">λέπε </w:t>
      </w:r>
      <w:r w:rsidR="004D349B" w:rsidRPr="008B2AE9">
        <w:rPr>
          <w:rFonts w:ascii="Times New Roman" w:hAnsi="Times New Roman"/>
          <w:sz w:val="22"/>
          <w:szCs w:val="22"/>
        </w:rPr>
        <w:t xml:space="preserve">παράγραφο </w:t>
      </w:r>
      <w:r w:rsidRPr="008B2AE9">
        <w:rPr>
          <w:rFonts w:ascii="Times New Roman" w:hAnsi="Times New Roman"/>
          <w:sz w:val="22"/>
          <w:szCs w:val="22"/>
        </w:rPr>
        <w:t>4.8</w:t>
      </w:r>
      <w:r w:rsidR="002B4278" w:rsidRPr="008B2AE9">
        <w:rPr>
          <w:rFonts w:ascii="Times New Roman" w:hAnsi="Times New Roman"/>
          <w:sz w:val="22"/>
          <w:szCs w:val="22"/>
        </w:rPr>
        <w:t>)</w:t>
      </w:r>
      <w:r w:rsidRPr="008B2AE9">
        <w:rPr>
          <w:rFonts w:ascii="Times New Roman" w:hAnsi="Times New Roman"/>
          <w:sz w:val="22"/>
          <w:szCs w:val="22"/>
        </w:rPr>
        <w:t>.</w:t>
      </w:r>
    </w:p>
    <w:p w:rsidR="00E72235" w:rsidRPr="008B2AE9" w:rsidRDefault="00E72235" w:rsidP="001B7A99">
      <w:pPr>
        <w:rPr>
          <w:rFonts w:ascii="Times New Roman" w:hAnsi="Times New Roman"/>
          <w:b/>
          <w:sz w:val="22"/>
          <w:szCs w:val="22"/>
          <w:lang w:val="el-GR"/>
        </w:rPr>
      </w:pPr>
    </w:p>
    <w:p w:rsidR="001B7A99" w:rsidRPr="008B2AE9" w:rsidRDefault="001B7A99" w:rsidP="001B7A99">
      <w:pPr>
        <w:rPr>
          <w:rFonts w:ascii="Times New Roman" w:hAnsi="Times New Roman"/>
          <w:b/>
          <w:sz w:val="22"/>
          <w:szCs w:val="22"/>
          <w:lang w:val="el-GR"/>
        </w:rPr>
      </w:pPr>
    </w:p>
    <w:p w:rsidR="00C21A96" w:rsidRPr="008B2AE9" w:rsidRDefault="00C21A96" w:rsidP="00C21A96">
      <w:pPr>
        <w:widowControl w:val="0"/>
        <w:rPr>
          <w:rFonts w:ascii="Times New Roman" w:hAnsi="Times New Roman"/>
          <w:sz w:val="22"/>
          <w:szCs w:val="22"/>
          <w:lang w:val="el-GR"/>
        </w:rPr>
      </w:pPr>
      <w:r w:rsidRPr="008B2AE9">
        <w:rPr>
          <w:rFonts w:ascii="Times New Roman" w:hAnsi="Times New Roman"/>
          <w:b/>
          <w:sz w:val="22"/>
          <w:szCs w:val="22"/>
          <w:lang w:val="el-GR"/>
        </w:rPr>
        <w:t>6.</w:t>
      </w:r>
      <w:r w:rsidRPr="008B2AE9">
        <w:rPr>
          <w:rFonts w:ascii="Times New Roman" w:hAnsi="Times New Roman"/>
          <w:b/>
          <w:sz w:val="22"/>
          <w:szCs w:val="22"/>
          <w:lang w:val="el-GR"/>
        </w:rPr>
        <w:tab/>
        <w:t>ΦΑΡΜΑΚΕΥΤΙΚΕΣ ΠΛΗΡΟΦΟΡΙΕΣ</w:t>
      </w:r>
    </w:p>
    <w:p w:rsidR="001B7A99" w:rsidRPr="008B2AE9" w:rsidRDefault="001B7A99" w:rsidP="001B7A99">
      <w:pPr>
        <w:rPr>
          <w:rFonts w:ascii="Times New Roman" w:hAnsi="Times New Roman"/>
          <w:b/>
          <w:sz w:val="22"/>
          <w:szCs w:val="22"/>
          <w:lang w:val="el-GR"/>
        </w:rPr>
      </w:pPr>
    </w:p>
    <w:p w:rsidR="00E72235" w:rsidRPr="008B2AE9" w:rsidRDefault="00E72235" w:rsidP="001B7A99">
      <w:pPr>
        <w:rPr>
          <w:rFonts w:ascii="Times New Roman" w:hAnsi="Times New Roman"/>
          <w:b/>
          <w:sz w:val="22"/>
          <w:szCs w:val="22"/>
          <w:lang w:val="el-GR"/>
        </w:rPr>
      </w:pPr>
      <w:r w:rsidRPr="008B2AE9">
        <w:rPr>
          <w:rFonts w:ascii="Times New Roman" w:hAnsi="Times New Roman"/>
          <w:b/>
          <w:sz w:val="22"/>
          <w:szCs w:val="22"/>
          <w:lang w:val="el-GR"/>
        </w:rPr>
        <w:t xml:space="preserve">6.1 </w:t>
      </w:r>
      <w:r w:rsidRPr="008B2AE9">
        <w:rPr>
          <w:rFonts w:ascii="Times New Roman" w:hAnsi="Times New Roman"/>
          <w:b/>
          <w:sz w:val="22"/>
          <w:szCs w:val="22"/>
          <w:lang w:val="el-GR"/>
        </w:rPr>
        <w:tab/>
        <w:t>Κατάλογος εκδόχων</w:t>
      </w:r>
    </w:p>
    <w:p w:rsidR="001B7A99" w:rsidRPr="008B2AE9" w:rsidRDefault="001B7A99" w:rsidP="001B7A99">
      <w:pPr>
        <w:pStyle w:val="a8"/>
        <w:spacing w:line="240" w:lineRule="auto"/>
        <w:rPr>
          <w:rFonts w:ascii="Times New Roman" w:hAnsi="Times New Roman"/>
          <w:sz w:val="22"/>
          <w:szCs w:val="22"/>
        </w:rPr>
      </w:pPr>
    </w:p>
    <w:p w:rsidR="00B75797" w:rsidRPr="008B2AE9" w:rsidRDefault="00B75797" w:rsidP="001B7A99">
      <w:pPr>
        <w:pStyle w:val="a8"/>
        <w:spacing w:line="240" w:lineRule="auto"/>
        <w:rPr>
          <w:rFonts w:ascii="Times New Roman" w:hAnsi="Times New Roman"/>
          <w:sz w:val="22"/>
          <w:szCs w:val="22"/>
        </w:rPr>
      </w:pPr>
      <w:r w:rsidRPr="008B2AE9">
        <w:rPr>
          <w:rFonts w:ascii="Times New Roman" w:hAnsi="Times New Roman"/>
          <w:sz w:val="22"/>
          <w:szCs w:val="22"/>
          <w:lang w:val="sv-SE"/>
        </w:rPr>
        <w:t xml:space="preserve">Αιθυλενοδιαμινοτετραοξικό νάτριο </w:t>
      </w:r>
    </w:p>
    <w:p w:rsidR="00E72235" w:rsidRPr="008B2AE9" w:rsidRDefault="007E0F2B" w:rsidP="001B7A99">
      <w:pPr>
        <w:pStyle w:val="a8"/>
        <w:spacing w:line="240" w:lineRule="auto"/>
        <w:rPr>
          <w:rFonts w:ascii="Times New Roman" w:hAnsi="Times New Roman"/>
          <w:sz w:val="22"/>
          <w:szCs w:val="22"/>
        </w:rPr>
      </w:pPr>
      <w:r w:rsidRPr="008B2AE9">
        <w:rPr>
          <w:rFonts w:ascii="Times New Roman" w:hAnsi="Times New Roman"/>
          <w:sz w:val="22"/>
          <w:szCs w:val="22"/>
          <w:lang w:val="sv-SE"/>
        </w:rPr>
        <w:t xml:space="preserve">Υδροξείδιο του νατρίου </w:t>
      </w:r>
      <w:r w:rsidR="00FE3A88" w:rsidRPr="008B2AE9">
        <w:rPr>
          <w:rFonts w:ascii="Times New Roman" w:hAnsi="Times New Roman"/>
          <w:sz w:val="22"/>
          <w:szCs w:val="22"/>
        </w:rPr>
        <w:t xml:space="preserve">(για ρύθμιση του </w:t>
      </w:r>
      <w:r w:rsidR="00FE3A88" w:rsidRPr="008B2AE9">
        <w:rPr>
          <w:rFonts w:ascii="Times New Roman" w:hAnsi="Times New Roman"/>
          <w:sz w:val="22"/>
          <w:szCs w:val="22"/>
          <w:lang w:val="en-US"/>
        </w:rPr>
        <w:t>p</w:t>
      </w:r>
      <w:r w:rsidR="00FE3A88" w:rsidRPr="008B2AE9">
        <w:rPr>
          <w:rFonts w:ascii="Times New Roman" w:hAnsi="Times New Roman"/>
          <w:sz w:val="22"/>
          <w:szCs w:val="22"/>
        </w:rPr>
        <w:t>Η)</w:t>
      </w:r>
    </w:p>
    <w:p w:rsidR="00E72235" w:rsidRPr="008B2AE9" w:rsidRDefault="00E72235" w:rsidP="001B7A99">
      <w:pPr>
        <w:pStyle w:val="1"/>
        <w:spacing w:line="240" w:lineRule="auto"/>
        <w:jc w:val="both"/>
        <w:rPr>
          <w:rFonts w:ascii="Times New Roman" w:hAnsi="Times New Roman"/>
          <w:sz w:val="22"/>
          <w:szCs w:val="22"/>
        </w:rPr>
      </w:pPr>
    </w:p>
    <w:p w:rsidR="00E72235" w:rsidRPr="008B2AE9" w:rsidRDefault="00E72235" w:rsidP="001B7A99">
      <w:pPr>
        <w:numPr>
          <w:ilvl w:val="1"/>
          <w:numId w:val="2"/>
        </w:numPr>
        <w:rPr>
          <w:rFonts w:ascii="Times New Roman" w:hAnsi="Times New Roman"/>
          <w:b/>
          <w:sz w:val="22"/>
          <w:szCs w:val="22"/>
          <w:lang w:val="el-GR"/>
        </w:rPr>
      </w:pPr>
      <w:r w:rsidRPr="008B2AE9">
        <w:rPr>
          <w:rFonts w:ascii="Times New Roman" w:hAnsi="Times New Roman"/>
          <w:b/>
          <w:sz w:val="22"/>
          <w:szCs w:val="22"/>
          <w:lang w:val="el-GR"/>
        </w:rPr>
        <w:t>Ασυμβατότητες</w:t>
      </w:r>
      <w:r w:rsidR="006C424F" w:rsidRPr="008B2AE9">
        <w:rPr>
          <w:rFonts w:ascii="Times New Roman" w:hAnsi="Times New Roman"/>
          <w:b/>
          <w:sz w:val="22"/>
          <w:szCs w:val="22"/>
          <w:lang w:val="el-GR"/>
        </w:rPr>
        <w:t xml:space="preserve">  </w:t>
      </w:r>
    </w:p>
    <w:p w:rsidR="00D771DA" w:rsidRPr="008B2AE9" w:rsidRDefault="00D771DA" w:rsidP="001B7A99">
      <w:pPr>
        <w:jc w:val="both"/>
        <w:rPr>
          <w:rFonts w:ascii="Times New Roman" w:hAnsi="Times New Roman"/>
          <w:bCs/>
          <w:iCs/>
          <w:sz w:val="22"/>
          <w:szCs w:val="22"/>
          <w:lang w:val="en-US"/>
        </w:rPr>
      </w:pPr>
    </w:p>
    <w:p w:rsidR="00112773" w:rsidRPr="008B2AE9" w:rsidRDefault="00112773" w:rsidP="001B7A99">
      <w:pPr>
        <w:jc w:val="both"/>
        <w:rPr>
          <w:rFonts w:ascii="Times New Roman" w:hAnsi="Times New Roman"/>
          <w:bCs/>
          <w:iCs/>
          <w:sz w:val="22"/>
          <w:szCs w:val="22"/>
          <w:lang w:val="el-GR"/>
        </w:rPr>
      </w:pPr>
      <w:r w:rsidRPr="008B2AE9">
        <w:rPr>
          <w:rFonts w:ascii="Times New Roman" w:hAnsi="Times New Roman"/>
          <w:bCs/>
          <w:iCs/>
          <w:sz w:val="22"/>
          <w:szCs w:val="22"/>
          <w:lang w:val="el-GR"/>
        </w:rPr>
        <w:t xml:space="preserve">Αυτό το φαρμακευτικό προϊόν δεν πρέπει να </w:t>
      </w:r>
      <w:r w:rsidR="00092227" w:rsidRPr="008B2AE9">
        <w:rPr>
          <w:rFonts w:ascii="Times New Roman" w:hAnsi="Times New Roman"/>
          <w:bCs/>
          <w:iCs/>
          <w:sz w:val="22"/>
          <w:szCs w:val="22"/>
          <w:lang w:val="el-GR"/>
        </w:rPr>
        <w:t xml:space="preserve">χρησιμοποιείται </w:t>
      </w:r>
      <w:r w:rsidRPr="008B2AE9">
        <w:rPr>
          <w:rFonts w:ascii="Times New Roman" w:hAnsi="Times New Roman"/>
          <w:bCs/>
          <w:iCs/>
          <w:sz w:val="22"/>
          <w:szCs w:val="22"/>
          <w:lang w:val="el-GR"/>
        </w:rPr>
        <w:t>με άλλα φαρμακευτικά προϊόντα εκτός αυτών που αναφέρονται στ</w:t>
      </w:r>
      <w:r w:rsidR="004D349B" w:rsidRPr="008B2AE9">
        <w:rPr>
          <w:rFonts w:ascii="Times New Roman" w:hAnsi="Times New Roman"/>
          <w:bCs/>
          <w:iCs/>
          <w:sz w:val="22"/>
          <w:szCs w:val="22"/>
          <w:lang w:val="el-GR"/>
        </w:rPr>
        <w:t>ην</w:t>
      </w:r>
      <w:r w:rsidRPr="008B2AE9">
        <w:rPr>
          <w:rFonts w:ascii="Times New Roman" w:hAnsi="Times New Roman"/>
          <w:bCs/>
          <w:iCs/>
          <w:sz w:val="22"/>
          <w:szCs w:val="22"/>
          <w:lang w:val="el-GR"/>
        </w:rPr>
        <w:t xml:space="preserve"> </w:t>
      </w:r>
      <w:r w:rsidR="004D349B" w:rsidRPr="008B2AE9">
        <w:rPr>
          <w:rFonts w:ascii="Times New Roman" w:hAnsi="Times New Roman"/>
          <w:bCs/>
          <w:iCs/>
          <w:sz w:val="22"/>
          <w:szCs w:val="22"/>
          <w:lang w:val="el-GR"/>
        </w:rPr>
        <w:t xml:space="preserve">παράγραφο </w:t>
      </w:r>
      <w:r w:rsidRPr="008B2AE9">
        <w:rPr>
          <w:rFonts w:ascii="Times New Roman" w:hAnsi="Times New Roman"/>
          <w:bCs/>
          <w:iCs/>
          <w:sz w:val="22"/>
          <w:szCs w:val="22"/>
          <w:lang w:val="el-GR"/>
        </w:rPr>
        <w:t>6.6</w:t>
      </w:r>
    </w:p>
    <w:p w:rsidR="00E72235" w:rsidRPr="008B2AE9" w:rsidRDefault="00E72235" w:rsidP="001B7A99">
      <w:pPr>
        <w:rPr>
          <w:rFonts w:ascii="Times New Roman" w:hAnsi="Times New Roman"/>
          <w:sz w:val="22"/>
          <w:szCs w:val="22"/>
          <w:lang w:val="el-GR"/>
        </w:rPr>
      </w:pPr>
    </w:p>
    <w:p w:rsidR="00E72235" w:rsidRPr="008B2AE9" w:rsidRDefault="00E72235" w:rsidP="001B7A99">
      <w:pPr>
        <w:numPr>
          <w:ilvl w:val="1"/>
          <w:numId w:val="1"/>
        </w:numPr>
        <w:rPr>
          <w:rFonts w:ascii="Times New Roman" w:hAnsi="Times New Roman"/>
          <w:b/>
          <w:sz w:val="22"/>
          <w:szCs w:val="22"/>
          <w:lang w:val="el-GR"/>
        </w:rPr>
      </w:pPr>
      <w:r w:rsidRPr="008B2AE9">
        <w:rPr>
          <w:rFonts w:ascii="Times New Roman" w:hAnsi="Times New Roman"/>
          <w:b/>
          <w:sz w:val="22"/>
          <w:szCs w:val="22"/>
          <w:lang w:val="el-GR"/>
        </w:rPr>
        <w:t xml:space="preserve">Διάρκεια ζωής </w:t>
      </w:r>
    </w:p>
    <w:p w:rsidR="00D771DA" w:rsidRPr="008B2AE9" w:rsidRDefault="00D771DA" w:rsidP="001B7A99">
      <w:pPr>
        <w:rPr>
          <w:rFonts w:ascii="Times New Roman" w:hAnsi="Times New Roman"/>
          <w:bCs/>
          <w:sz w:val="22"/>
          <w:szCs w:val="22"/>
          <w:lang w:val="en-US"/>
        </w:rPr>
      </w:pPr>
    </w:p>
    <w:p w:rsidR="00E72235" w:rsidRPr="008B2AE9" w:rsidRDefault="00E72235" w:rsidP="001B7A99">
      <w:pPr>
        <w:rPr>
          <w:rFonts w:ascii="Times New Roman" w:hAnsi="Times New Roman"/>
          <w:bCs/>
          <w:sz w:val="22"/>
          <w:szCs w:val="22"/>
          <w:lang w:val="el-GR"/>
        </w:rPr>
      </w:pPr>
      <w:r w:rsidRPr="008B2AE9">
        <w:rPr>
          <w:rFonts w:ascii="Times New Roman" w:hAnsi="Times New Roman"/>
          <w:bCs/>
          <w:sz w:val="22"/>
          <w:szCs w:val="22"/>
          <w:lang w:val="el-GR"/>
        </w:rPr>
        <w:t>2</w:t>
      </w:r>
      <w:r w:rsidR="001D5414" w:rsidRPr="008B2AE9">
        <w:rPr>
          <w:rFonts w:ascii="Times New Roman" w:hAnsi="Times New Roman"/>
          <w:bCs/>
          <w:sz w:val="22"/>
          <w:szCs w:val="22"/>
          <w:lang w:val="en-US"/>
        </w:rPr>
        <w:t xml:space="preserve">1 </w:t>
      </w:r>
      <w:r w:rsidR="001D5414" w:rsidRPr="008B2AE9">
        <w:rPr>
          <w:rFonts w:ascii="Times New Roman" w:hAnsi="Times New Roman"/>
          <w:bCs/>
          <w:sz w:val="22"/>
          <w:szCs w:val="22"/>
          <w:lang w:val="el-GR"/>
        </w:rPr>
        <w:t>μήνες</w:t>
      </w:r>
      <w:r w:rsidRPr="008B2AE9">
        <w:rPr>
          <w:rFonts w:ascii="Times New Roman" w:hAnsi="Times New Roman"/>
          <w:bCs/>
          <w:sz w:val="22"/>
          <w:szCs w:val="22"/>
          <w:lang w:val="el-GR"/>
        </w:rPr>
        <w:t>.</w:t>
      </w:r>
    </w:p>
    <w:p w:rsidR="00E72235" w:rsidRPr="008B2AE9" w:rsidRDefault="00E72235" w:rsidP="001B7A99">
      <w:pPr>
        <w:rPr>
          <w:rFonts w:ascii="Times New Roman" w:hAnsi="Times New Roman"/>
          <w:bCs/>
          <w:sz w:val="22"/>
          <w:szCs w:val="22"/>
          <w:lang w:val="el-GR"/>
        </w:rPr>
      </w:pPr>
    </w:p>
    <w:p w:rsidR="00E72235" w:rsidRPr="008B2AE9" w:rsidRDefault="00E72235" w:rsidP="001B7A99">
      <w:pPr>
        <w:pStyle w:val="2"/>
        <w:spacing w:line="240" w:lineRule="auto"/>
        <w:rPr>
          <w:rFonts w:ascii="Times New Roman" w:hAnsi="Times New Roman"/>
          <w:b/>
          <w:bCs/>
          <w:i w:val="0"/>
          <w:iCs/>
          <w:sz w:val="22"/>
          <w:szCs w:val="22"/>
        </w:rPr>
      </w:pPr>
      <w:r w:rsidRPr="008B2AE9">
        <w:rPr>
          <w:rFonts w:ascii="Times New Roman" w:hAnsi="Times New Roman"/>
          <w:b/>
          <w:i w:val="0"/>
          <w:sz w:val="22"/>
          <w:szCs w:val="22"/>
        </w:rPr>
        <w:t>Διάρκεια</w:t>
      </w:r>
      <w:r w:rsidRPr="008B2AE9">
        <w:rPr>
          <w:rFonts w:ascii="Times New Roman" w:hAnsi="Times New Roman"/>
          <w:b/>
          <w:bCs/>
          <w:i w:val="0"/>
          <w:iCs/>
          <w:sz w:val="22"/>
          <w:szCs w:val="22"/>
        </w:rPr>
        <w:t xml:space="preserve"> ζωής μετά την ανασύσταση</w:t>
      </w:r>
    </w:p>
    <w:p w:rsidR="0091762B" w:rsidRPr="008B2AE9" w:rsidRDefault="0091762B" w:rsidP="001B7A99">
      <w:pPr>
        <w:jc w:val="both"/>
        <w:rPr>
          <w:rFonts w:ascii="Times New Roman" w:hAnsi="Times New Roman"/>
          <w:sz w:val="22"/>
          <w:szCs w:val="22"/>
          <w:lang w:val="el-GR"/>
        </w:rPr>
      </w:pPr>
    </w:p>
    <w:p w:rsidR="00E72235" w:rsidRPr="008B2AE9" w:rsidRDefault="00E72235" w:rsidP="001B7A99">
      <w:pPr>
        <w:jc w:val="both"/>
        <w:rPr>
          <w:rFonts w:ascii="Times New Roman" w:hAnsi="Times New Roman"/>
          <w:sz w:val="22"/>
          <w:szCs w:val="22"/>
          <w:lang w:val="el-GR"/>
        </w:rPr>
      </w:pPr>
      <w:r w:rsidRPr="008B2AE9">
        <w:rPr>
          <w:rFonts w:ascii="Times New Roman" w:hAnsi="Times New Roman"/>
          <w:sz w:val="22"/>
          <w:szCs w:val="22"/>
          <w:lang w:val="el-GR"/>
        </w:rPr>
        <w:t xml:space="preserve">Η χημική και φυσική σταθερότητα κατά τη χρήση έχει αποδειχθεί για 12 ώρες στους </w:t>
      </w:r>
      <w:r w:rsidR="00CA5E89" w:rsidRPr="008B2AE9">
        <w:rPr>
          <w:rFonts w:ascii="Times New Roman" w:hAnsi="Times New Roman"/>
          <w:sz w:val="22"/>
          <w:szCs w:val="22"/>
          <w:lang w:val="el-GR"/>
        </w:rPr>
        <w:t>(</w:t>
      </w:r>
      <w:r w:rsidRPr="008B2AE9">
        <w:rPr>
          <w:rFonts w:ascii="Times New Roman" w:hAnsi="Times New Roman"/>
          <w:sz w:val="22"/>
          <w:szCs w:val="22"/>
          <w:lang w:val="el-GR"/>
        </w:rPr>
        <w:t>30</w:t>
      </w:r>
      <w:r w:rsidR="00CA5E89" w:rsidRPr="008B2AE9">
        <w:rPr>
          <w:rFonts w:ascii="Times New Roman" w:hAnsi="Times New Roman"/>
          <w:sz w:val="22"/>
          <w:szCs w:val="22"/>
          <w:lang w:val="el-GR"/>
        </w:rPr>
        <w:t>±2)</w:t>
      </w:r>
      <w:r w:rsidR="004C35A3" w:rsidRPr="008B2AE9">
        <w:rPr>
          <w:rFonts w:ascii="Times New Roman" w:hAnsi="Times New Roman"/>
          <w:sz w:val="22"/>
          <w:szCs w:val="22"/>
          <w:vertAlign w:val="superscript"/>
          <w:lang w:val="el-GR"/>
        </w:rPr>
        <w:t>ο</w:t>
      </w:r>
      <w:r w:rsidRPr="008B2AE9">
        <w:rPr>
          <w:rFonts w:ascii="Times New Roman" w:hAnsi="Times New Roman"/>
          <w:sz w:val="22"/>
          <w:szCs w:val="22"/>
          <w:lang w:val="en-US"/>
        </w:rPr>
        <w:t>C</w:t>
      </w:r>
      <w:r w:rsidRPr="008B2AE9">
        <w:rPr>
          <w:rFonts w:ascii="Times New Roman" w:hAnsi="Times New Roman"/>
          <w:sz w:val="22"/>
          <w:szCs w:val="22"/>
          <w:lang w:val="el-GR"/>
        </w:rPr>
        <w:t>. Από μικροβιολογική άποψη το προϊόν πρέπει να χρησιμοποιείται αμέσως.</w:t>
      </w:r>
    </w:p>
    <w:p w:rsidR="009C077B" w:rsidRPr="008B2AE9" w:rsidRDefault="009C077B" w:rsidP="001B7A99">
      <w:pPr>
        <w:jc w:val="both"/>
        <w:rPr>
          <w:rFonts w:ascii="Times New Roman" w:hAnsi="Times New Roman"/>
          <w:b/>
          <w:sz w:val="22"/>
          <w:szCs w:val="22"/>
          <w:lang w:val="el-GR"/>
        </w:rPr>
      </w:pPr>
    </w:p>
    <w:p w:rsidR="00E72235" w:rsidRPr="008B2AE9" w:rsidRDefault="00E72235" w:rsidP="001B7A99">
      <w:pPr>
        <w:rPr>
          <w:rFonts w:ascii="Times New Roman" w:hAnsi="Times New Roman"/>
          <w:b/>
          <w:sz w:val="22"/>
          <w:szCs w:val="22"/>
          <w:lang w:val="el-GR"/>
        </w:rPr>
      </w:pPr>
      <w:r w:rsidRPr="008B2AE9">
        <w:rPr>
          <w:rFonts w:ascii="Times New Roman" w:hAnsi="Times New Roman"/>
          <w:b/>
          <w:sz w:val="22"/>
          <w:szCs w:val="22"/>
          <w:lang w:val="el-GR"/>
        </w:rPr>
        <w:t xml:space="preserve">6.4 </w:t>
      </w:r>
      <w:r w:rsidRPr="008B2AE9">
        <w:rPr>
          <w:rFonts w:ascii="Times New Roman" w:hAnsi="Times New Roman"/>
          <w:b/>
          <w:sz w:val="22"/>
          <w:szCs w:val="22"/>
          <w:lang w:val="el-GR"/>
        </w:rPr>
        <w:tab/>
        <w:t xml:space="preserve">Ιδιαίτερες προφυλάξεις κατά την φύλαξη του προϊόντος </w:t>
      </w:r>
    </w:p>
    <w:p w:rsidR="001B7A99" w:rsidRPr="008B2AE9" w:rsidRDefault="001B7A99" w:rsidP="001B7A99">
      <w:pPr>
        <w:jc w:val="both"/>
        <w:rPr>
          <w:rFonts w:ascii="Times New Roman" w:hAnsi="Times New Roman"/>
          <w:sz w:val="22"/>
          <w:szCs w:val="22"/>
          <w:lang w:val="el-GR"/>
        </w:rPr>
      </w:pPr>
    </w:p>
    <w:p w:rsidR="00E72235" w:rsidRPr="008B2AE9" w:rsidRDefault="00E72235" w:rsidP="001B7A99">
      <w:pPr>
        <w:jc w:val="both"/>
        <w:rPr>
          <w:rFonts w:ascii="Times New Roman" w:hAnsi="Times New Roman"/>
          <w:sz w:val="22"/>
          <w:szCs w:val="22"/>
          <w:lang w:val="el-GR"/>
        </w:rPr>
      </w:pPr>
      <w:r w:rsidRPr="008B2AE9">
        <w:rPr>
          <w:rFonts w:ascii="Times New Roman" w:hAnsi="Times New Roman"/>
          <w:sz w:val="22"/>
          <w:szCs w:val="22"/>
          <w:lang w:val="el-GR"/>
        </w:rPr>
        <w:t>Φυλάσσετ</w:t>
      </w:r>
      <w:r w:rsidR="00312C05" w:rsidRPr="008B2AE9">
        <w:rPr>
          <w:rFonts w:ascii="Times New Roman" w:hAnsi="Times New Roman"/>
          <w:sz w:val="22"/>
          <w:szCs w:val="22"/>
          <w:lang w:val="el-GR"/>
        </w:rPr>
        <w:t>ε</w:t>
      </w:r>
      <w:r w:rsidRPr="008B2AE9">
        <w:rPr>
          <w:rFonts w:ascii="Times New Roman" w:hAnsi="Times New Roman"/>
          <w:sz w:val="22"/>
          <w:szCs w:val="22"/>
          <w:lang w:val="el-GR"/>
        </w:rPr>
        <w:t xml:space="preserve"> στ</w:t>
      </w:r>
      <w:r w:rsidR="00CF095B" w:rsidRPr="008B2AE9">
        <w:rPr>
          <w:rFonts w:ascii="Times New Roman" w:hAnsi="Times New Roman"/>
          <w:sz w:val="22"/>
          <w:szCs w:val="22"/>
          <w:lang w:val="el-GR"/>
        </w:rPr>
        <w:t>η</w:t>
      </w:r>
      <w:r w:rsidRPr="008B2AE9">
        <w:rPr>
          <w:rFonts w:ascii="Times New Roman" w:hAnsi="Times New Roman"/>
          <w:sz w:val="22"/>
          <w:szCs w:val="22"/>
          <w:lang w:val="el-GR"/>
        </w:rPr>
        <w:t>ν αρχικ</w:t>
      </w:r>
      <w:r w:rsidR="00CF095B" w:rsidRPr="008B2AE9">
        <w:rPr>
          <w:rFonts w:ascii="Times New Roman" w:hAnsi="Times New Roman"/>
          <w:sz w:val="22"/>
          <w:szCs w:val="22"/>
          <w:lang w:val="el-GR"/>
        </w:rPr>
        <w:t>ή</w:t>
      </w:r>
      <w:r w:rsidRPr="008B2AE9">
        <w:rPr>
          <w:rFonts w:ascii="Times New Roman" w:hAnsi="Times New Roman"/>
          <w:sz w:val="22"/>
          <w:szCs w:val="22"/>
          <w:lang w:val="el-GR"/>
        </w:rPr>
        <w:t xml:space="preserve"> </w:t>
      </w:r>
      <w:r w:rsidR="00CF095B" w:rsidRPr="008B2AE9">
        <w:rPr>
          <w:rFonts w:ascii="Times New Roman" w:hAnsi="Times New Roman"/>
          <w:sz w:val="22"/>
          <w:szCs w:val="22"/>
          <w:lang w:val="el-GR"/>
        </w:rPr>
        <w:t>συσκευασία</w:t>
      </w:r>
      <w:r w:rsidRPr="008B2AE9">
        <w:rPr>
          <w:rFonts w:ascii="Times New Roman" w:hAnsi="Times New Roman"/>
          <w:sz w:val="22"/>
          <w:szCs w:val="22"/>
          <w:lang w:val="el-GR"/>
        </w:rPr>
        <w:t xml:space="preserve"> </w:t>
      </w:r>
      <w:r w:rsidR="00312C05" w:rsidRPr="008B2AE9">
        <w:rPr>
          <w:rFonts w:ascii="Times New Roman" w:hAnsi="Times New Roman"/>
          <w:sz w:val="22"/>
          <w:szCs w:val="22"/>
          <w:lang w:val="el-GR"/>
        </w:rPr>
        <w:t>για</w:t>
      </w:r>
      <w:r w:rsidRPr="008B2AE9">
        <w:rPr>
          <w:rFonts w:ascii="Times New Roman" w:hAnsi="Times New Roman"/>
          <w:sz w:val="22"/>
          <w:szCs w:val="22"/>
          <w:lang w:val="el-GR"/>
        </w:rPr>
        <w:t xml:space="preserve"> να προστατεύεται από το φως. Τα φιαλίδια ωστόσο μπορούν να φυλάσσονται εκτεθειμένα στο </w:t>
      </w:r>
      <w:r w:rsidR="00F06312" w:rsidRPr="008B2AE9">
        <w:rPr>
          <w:rFonts w:ascii="Times New Roman" w:hAnsi="Times New Roman"/>
          <w:sz w:val="22"/>
          <w:szCs w:val="22"/>
          <w:lang w:val="el-GR"/>
        </w:rPr>
        <w:t>φυσιολογικό εσωτερικό φωτισμό</w:t>
      </w:r>
      <w:r w:rsidRPr="008B2AE9">
        <w:rPr>
          <w:rFonts w:ascii="Times New Roman" w:hAnsi="Times New Roman"/>
          <w:sz w:val="22"/>
          <w:szCs w:val="22"/>
          <w:lang w:val="el-GR"/>
        </w:rPr>
        <w:t xml:space="preserve">, έξω από το κουτί, μέχρι 24 ώρες. </w:t>
      </w:r>
      <w:r w:rsidR="00993580" w:rsidRPr="008B2AE9">
        <w:rPr>
          <w:rFonts w:ascii="Times New Roman" w:hAnsi="Times New Roman"/>
          <w:sz w:val="22"/>
          <w:szCs w:val="22"/>
          <w:lang w:val="el-GR"/>
        </w:rPr>
        <w:t>Φυλάσσετε σε θερμοκρασία μικρότερη των 30</w:t>
      </w:r>
      <w:r w:rsidR="00993580" w:rsidRPr="008B2AE9">
        <w:rPr>
          <w:rFonts w:ascii="Times New Roman" w:hAnsi="Times New Roman"/>
          <w:sz w:val="22"/>
          <w:szCs w:val="22"/>
          <w:vertAlign w:val="superscript"/>
          <w:lang w:val="el-GR"/>
        </w:rPr>
        <w:t>ο</w:t>
      </w:r>
      <w:r w:rsidR="00993580" w:rsidRPr="008B2AE9">
        <w:rPr>
          <w:rFonts w:ascii="Times New Roman" w:hAnsi="Times New Roman"/>
          <w:sz w:val="22"/>
          <w:szCs w:val="22"/>
          <w:lang w:val="el-GR"/>
        </w:rPr>
        <w:t>C</w:t>
      </w:r>
      <w:r w:rsidRPr="008B2AE9">
        <w:rPr>
          <w:rFonts w:ascii="Times New Roman" w:hAnsi="Times New Roman"/>
          <w:sz w:val="22"/>
          <w:szCs w:val="22"/>
          <w:lang w:val="el-GR"/>
        </w:rPr>
        <w:t xml:space="preserve">. </w:t>
      </w:r>
    </w:p>
    <w:p w:rsidR="00E72235" w:rsidRPr="008B2AE9" w:rsidRDefault="00E72235" w:rsidP="001B7A99">
      <w:pPr>
        <w:rPr>
          <w:rFonts w:ascii="Times New Roman" w:hAnsi="Times New Roman"/>
          <w:b/>
          <w:sz w:val="22"/>
          <w:szCs w:val="22"/>
          <w:lang w:val="el-GR"/>
        </w:rPr>
      </w:pPr>
    </w:p>
    <w:p w:rsidR="00E72235" w:rsidRPr="008B2AE9" w:rsidRDefault="00E72235" w:rsidP="001B7A99">
      <w:pPr>
        <w:rPr>
          <w:rFonts w:ascii="Times New Roman" w:hAnsi="Times New Roman"/>
          <w:b/>
          <w:sz w:val="22"/>
          <w:szCs w:val="22"/>
          <w:lang w:val="el-GR"/>
        </w:rPr>
      </w:pPr>
      <w:r w:rsidRPr="008B2AE9">
        <w:rPr>
          <w:rFonts w:ascii="Times New Roman" w:hAnsi="Times New Roman"/>
          <w:b/>
          <w:sz w:val="22"/>
          <w:szCs w:val="22"/>
          <w:lang w:val="el-GR"/>
        </w:rPr>
        <w:t xml:space="preserve">6.5 </w:t>
      </w:r>
      <w:r w:rsidRPr="008B2AE9">
        <w:rPr>
          <w:rFonts w:ascii="Times New Roman" w:hAnsi="Times New Roman"/>
          <w:b/>
          <w:sz w:val="22"/>
          <w:szCs w:val="22"/>
          <w:lang w:val="el-GR"/>
        </w:rPr>
        <w:tab/>
        <w:t>Φύση και συστατικά του περιέκτη</w:t>
      </w:r>
    </w:p>
    <w:p w:rsidR="001B7A99" w:rsidRPr="008B2AE9" w:rsidRDefault="001B7A99" w:rsidP="001B7A99">
      <w:pPr>
        <w:jc w:val="both"/>
        <w:rPr>
          <w:rFonts w:ascii="Times New Roman" w:hAnsi="Times New Roman"/>
          <w:sz w:val="22"/>
          <w:szCs w:val="22"/>
          <w:lang w:val="el-GR"/>
        </w:rPr>
      </w:pPr>
    </w:p>
    <w:p w:rsidR="00700586" w:rsidRPr="008B2AE9" w:rsidRDefault="00700586" w:rsidP="00700586">
      <w:pPr>
        <w:jc w:val="both"/>
        <w:rPr>
          <w:rFonts w:ascii="Times New Roman" w:hAnsi="Times New Roman"/>
          <w:sz w:val="22"/>
          <w:szCs w:val="22"/>
          <w:lang w:val="el-GR"/>
        </w:rPr>
      </w:pPr>
      <w:r w:rsidRPr="008B2AE9">
        <w:rPr>
          <w:rFonts w:ascii="Times New Roman" w:hAnsi="Times New Roman"/>
          <w:sz w:val="22"/>
          <w:szCs w:val="22"/>
          <w:lang w:val="el-GR"/>
        </w:rPr>
        <w:t xml:space="preserve">Φιαλίδιο από διαυγές άχρωμο γυαλί, τύπου Ι. </w:t>
      </w:r>
      <w:r w:rsidR="00AB431D" w:rsidRPr="008B2AE9">
        <w:rPr>
          <w:rFonts w:ascii="Times New Roman" w:hAnsi="Times New Roman"/>
          <w:sz w:val="22"/>
          <w:szCs w:val="22"/>
          <w:lang w:val="el-GR"/>
        </w:rPr>
        <w:t xml:space="preserve">Πώμα </w:t>
      </w:r>
      <w:r w:rsidRPr="008B2AE9">
        <w:rPr>
          <w:rFonts w:ascii="Times New Roman" w:hAnsi="Times New Roman"/>
          <w:sz w:val="22"/>
          <w:szCs w:val="22"/>
          <w:lang w:val="el-GR"/>
        </w:rPr>
        <w:t>από βρωμοβουτυλικό ελαστικό. Καπάκι από αλουμίνιο και πλαστικό αποσπώμενο καπάκι.</w:t>
      </w:r>
    </w:p>
    <w:p w:rsidR="00862278" w:rsidRPr="008B2AE9" w:rsidRDefault="00862278" w:rsidP="001B7A99">
      <w:pPr>
        <w:jc w:val="both"/>
        <w:rPr>
          <w:rFonts w:ascii="Times New Roman" w:hAnsi="Times New Roman"/>
          <w:sz w:val="22"/>
          <w:szCs w:val="22"/>
          <w:lang w:val="el-GR"/>
        </w:rPr>
      </w:pPr>
    </w:p>
    <w:p w:rsidR="00E72235" w:rsidRPr="008B2AE9" w:rsidRDefault="00E72235" w:rsidP="001B7A99">
      <w:pPr>
        <w:jc w:val="both"/>
        <w:rPr>
          <w:rFonts w:ascii="Times New Roman" w:hAnsi="Times New Roman"/>
          <w:sz w:val="22"/>
          <w:szCs w:val="22"/>
          <w:lang w:val="el-GR"/>
        </w:rPr>
      </w:pPr>
      <w:r w:rsidRPr="008B2AE9">
        <w:rPr>
          <w:rFonts w:ascii="Times New Roman" w:hAnsi="Times New Roman"/>
          <w:sz w:val="22"/>
          <w:szCs w:val="22"/>
          <w:lang w:val="el-GR"/>
        </w:rPr>
        <w:t>Συσκευασίες: 1</w:t>
      </w:r>
      <w:r w:rsidR="00862278" w:rsidRPr="008B2AE9">
        <w:rPr>
          <w:rFonts w:ascii="Times New Roman" w:hAnsi="Times New Roman"/>
          <w:sz w:val="22"/>
          <w:szCs w:val="22"/>
          <w:lang w:val="el-GR"/>
        </w:rPr>
        <w:t>, 5, 10, 20 φιαλίδια.</w:t>
      </w:r>
    </w:p>
    <w:p w:rsidR="00862278" w:rsidRPr="008B2AE9" w:rsidRDefault="00862278" w:rsidP="001B7A99">
      <w:pPr>
        <w:jc w:val="both"/>
        <w:rPr>
          <w:rFonts w:ascii="Times New Roman" w:hAnsi="Times New Roman"/>
          <w:sz w:val="22"/>
          <w:szCs w:val="22"/>
          <w:lang w:val="el-GR"/>
        </w:rPr>
      </w:pPr>
    </w:p>
    <w:p w:rsidR="00E72235" w:rsidRPr="008B2AE9" w:rsidRDefault="00E72235" w:rsidP="001B7A99">
      <w:pPr>
        <w:jc w:val="both"/>
        <w:rPr>
          <w:rFonts w:ascii="Times New Roman" w:hAnsi="Times New Roman"/>
          <w:sz w:val="22"/>
          <w:szCs w:val="22"/>
          <w:lang w:val="el-GR"/>
        </w:rPr>
      </w:pPr>
      <w:r w:rsidRPr="008B2AE9">
        <w:rPr>
          <w:rFonts w:ascii="Times New Roman" w:hAnsi="Times New Roman"/>
          <w:sz w:val="22"/>
          <w:szCs w:val="22"/>
          <w:lang w:val="el-GR"/>
        </w:rPr>
        <w:t>Μπορεί να μην κυκλοφορούν όλες οι συσκευασίες.</w:t>
      </w:r>
    </w:p>
    <w:p w:rsidR="00E72235" w:rsidRPr="008B2AE9" w:rsidRDefault="00E72235" w:rsidP="001B7A99">
      <w:pPr>
        <w:jc w:val="both"/>
        <w:rPr>
          <w:rFonts w:ascii="Times New Roman" w:hAnsi="Times New Roman"/>
          <w:sz w:val="22"/>
          <w:szCs w:val="22"/>
          <w:lang w:val="el-GR"/>
        </w:rPr>
      </w:pPr>
    </w:p>
    <w:p w:rsidR="003A618E" w:rsidRPr="008B2AE9" w:rsidRDefault="003A618E" w:rsidP="003A618E">
      <w:pPr>
        <w:widowControl w:val="0"/>
        <w:rPr>
          <w:rFonts w:ascii="Times New Roman" w:hAnsi="Times New Roman"/>
          <w:sz w:val="22"/>
          <w:szCs w:val="22"/>
          <w:lang w:val="el-GR"/>
        </w:rPr>
      </w:pPr>
      <w:r w:rsidRPr="008B2AE9">
        <w:rPr>
          <w:rFonts w:ascii="Times New Roman" w:hAnsi="Times New Roman"/>
          <w:b/>
          <w:sz w:val="22"/>
          <w:szCs w:val="22"/>
          <w:lang w:val="el-GR"/>
        </w:rPr>
        <w:t>6.6</w:t>
      </w:r>
      <w:r w:rsidRPr="008B2AE9">
        <w:rPr>
          <w:rFonts w:ascii="Times New Roman" w:hAnsi="Times New Roman"/>
          <w:b/>
          <w:sz w:val="22"/>
          <w:szCs w:val="22"/>
          <w:lang w:val="el-GR"/>
        </w:rPr>
        <w:tab/>
      </w:r>
      <w:r w:rsidRPr="008B2AE9">
        <w:rPr>
          <w:rFonts w:ascii="Times New Roman" w:hAnsi="Times New Roman"/>
          <w:b/>
          <w:noProof/>
          <w:sz w:val="22"/>
          <w:szCs w:val="22"/>
          <w:lang w:val="el-GR"/>
        </w:rPr>
        <w:t>Ιδιαίτερες προφυλάξεις απόρριψης και άλλος χειρισμός</w:t>
      </w:r>
    </w:p>
    <w:p w:rsidR="0024136A" w:rsidRPr="008B2AE9" w:rsidRDefault="0024136A" w:rsidP="001B7A99">
      <w:pPr>
        <w:jc w:val="both"/>
        <w:rPr>
          <w:rFonts w:ascii="Times New Roman" w:hAnsi="Times New Roman"/>
          <w:bCs/>
          <w:sz w:val="22"/>
          <w:szCs w:val="22"/>
          <w:lang w:val="en-US"/>
        </w:rPr>
      </w:pPr>
    </w:p>
    <w:p w:rsidR="00E72235" w:rsidRPr="008B2AE9" w:rsidRDefault="00E72235" w:rsidP="001B7A99">
      <w:pPr>
        <w:jc w:val="both"/>
        <w:rPr>
          <w:rFonts w:ascii="Times New Roman" w:hAnsi="Times New Roman"/>
          <w:bCs/>
          <w:sz w:val="22"/>
          <w:szCs w:val="22"/>
          <w:lang w:val="el-GR"/>
        </w:rPr>
      </w:pPr>
      <w:r w:rsidRPr="008B2AE9">
        <w:rPr>
          <w:rFonts w:ascii="Times New Roman" w:hAnsi="Times New Roman"/>
          <w:bCs/>
          <w:sz w:val="22"/>
          <w:szCs w:val="22"/>
          <w:lang w:val="el-GR"/>
        </w:rPr>
        <w:t xml:space="preserve">Το ανασυσταθέν διάλυμα πριν την </w:t>
      </w:r>
      <w:r w:rsidR="00007E29" w:rsidRPr="008B2AE9">
        <w:rPr>
          <w:rFonts w:ascii="Times New Roman" w:hAnsi="Times New Roman"/>
          <w:bCs/>
          <w:sz w:val="22"/>
          <w:szCs w:val="22"/>
          <w:lang w:val="el-GR"/>
        </w:rPr>
        <w:t xml:space="preserve">χορήγηση </w:t>
      </w:r>
      <w:r w:rsidRPr="008B2AE9">
        <w:rPr>
          <w:rFonts w:ascii="Times New Roman" w:hAnsi="Times New Roman"/>
          <w:bCs/>
          <w:sz w:val="22"/>
          <w:szCs w:val="22"/>
          <w:lang w:val="el-GR"/>
        </w:rPr>
        <w:t xml:space="preserve">πρέπει να ελέγχεται οπτικά για την ύπαρξη σωματιδίων ή </w:t>
      </w:r>
      <w:r w:rsidR="00A07A66" w:rsidRPr="008B2AE9">
        <w:rPr>
          <w:rFonts w:ascii="Times New Roman" w:hAnsi="Times New Roman"/>
          <w:bCs/>
          <w:sz w:val="22"/>
          <w:szCs w:val="22"/>
          <w:lang w:val="el-GR"/>
        </w:rPr>
        <w:t>αποχρωματισμό</w:t>
      </w:r>
      <w:r w:rsidRPr="008B2AE9">
        <w:rPr>
          <w:rFonts w:ascii="Times New Roman" w:hAnsi="Times New Roman"/>
          <w:bCs/>
          <w:sz w:val="22"/>
          <w:szCs w:val="22"/>
          <w:lang w:val="el-GR"/>
        </w:rPr>
        <w:t xml:space="preserve">. Πρέπει να χρησιμοποιούνται μόνο διαυγή διαλύματα. </w:t>
      </w:r>
      <w:r w:rsidR="00975DF8" w:rsidRPr="008B2AE9">
        <w:rPr>
          <w:rFonts w:ascii="Times New Roman" w:hAnsi="Times New Roman"/>
          <w:bCs/>
          <w:sz w:val="22"/>
          <w:szCs w:val="22"/>
          <w:lang w:val="el-GR"/>
        </w:rPr>
        <w:t>Για μια μόνο</w:t>
      </w:r>
      <w:r w:rsidRPr="008B2AE9">
        <w:rPr>
          <w:rFonts w:ascii="Times New Roman" w:hAnsi="Times New Roman"/>
          <w:bCs/>
          <w:sz w:val="22"/>
          <w:szCs w:val="22"/>
          <w:lang w:val="el-GR"/>
        </w:rPr>
        <w:t xml:space="preserve"> χρήση.</w:t>
      </w:r>
    </w:p>
    <w:p w:rsidR="00E72235" w:rsidRPr="008B2AE9" w:rsidRDefault="00E72235" w:rsidP="001B7A99">
      <w:pPr>
        <w:jc w:val="both"/>
        <w:rPr>
          <w:rFonts w:ascii="Times New Roman" w:hAnsi="Times New Roman"/>
          <w:bCs/>
          <w:sz w:val="22"/>
          <w:szCs w:val="22"/>
          <w:lang w:val="el-GR"/>
        </w:rPr>
      </w:pPr>
    </w:p>
    <w:p w:rsidR="00E72235" w:rsidRPr="008B2AE9" w:rsidRDefault="005C0595" w:rsidP="001B7A99">
      <w:pPr>
        <w:jc w:val="both"/>
        <w:rPr>
          <w:rFonts w:ascii="Times New Roman" w:hAnsi="Times New Roman"/>
          <w:bCs/>
          <w:sz w:val="22"/>
          <w:szCs w:val="22"/>
          <w:lang w:val="el-GR"/>
        </w:rPr>
      </w:pPr>
      <w:r w:rsidRPr="008B2AE9">
        <w:rPr>
          <w:rFonts w:ascii="Times New Roman" w:hAnsi="Times New Roman"/>
          <w:bCs/>
          <w:sz w:val="22"/>
          <w:szCs w:val="22"/>
          <w:lang w:val="el-GR"/>
        </w:rPr>
        <w:t xml:space="preserve">Εάν δεν απαιτείται όλο το ανασυσταθέν περιεχόμενο του φιαλιδίου, </w:t>
      </w:r>
      <w:r w:rsidR="009F13F2" w:rsidRPr="008B2AE9">
        <w:rPr>
          <w:rFonts w:ascii="Times New Roman" w:hAnsi="Times New Roman"/>
          <w:bCs/>
          <w:sz w:val="22"/>
          <w:szCs w:val="22"/>
          <w:lang w:val="el-GR"/>
        </w:rPr>
        <w:t>κάθε αχρησιμοποίητο διάλυμα πρέπει να απορρίπτεται σύμφωνα με τις κατά τόπους ισχύουσες σχετικές διατάξεις.</w:t>
      </w:r>
    </w:p>
    <w:p w:rsidR="009F13F2" w:rsidRPr="008B2AE9" w:rsidRDefault="009F13F2" w:rsidP="001B7A99">
      <w:pPr>
        <w:jc w:val="both"/>
        <w:rPr>
          <w:rFonts w:ascii="Times New Roman" w:hAnsi="Times New Roman"/>
          <w:bCs/>
          <w:sz w:val="22"/>
          <w:szCs w:val="22"/>
          <w:lang w:val="el-GR"/>
        </w:rPr>
      </w:pPr>
    </w:p>
    <w:p w:rsidR="00E72235" w:rsidRPr="008B2AE9" w:rsidRDefault="00E72235" w:rsidP="001B7A99">
      <w:pPr>
        <w:pStyle w:val="3"/>
        <w:spacing w:line="240" w:lineRule="auto"/>
        <w:rPr>
          <w:rFonts w:ascii="Times New Roman" w:hAnsi="Times New Roman"/>
          <w:b/>
          <w:i w:val="0"/>
          <w:iCs/>
          <w:sz w:val="22"/>
          <w:szCs w:val="22"/>
        </w:rPr>
      </w:pPr>
      <w:r w:rsidRPr="008B2AE9">
        <w:rPr>
          <w:rFonts w:ascii="Times New Roman" w:hAnsi="Times New Roman"/>
          <w:b/>
          <w:i w:val="0"/>
          <w:iCs/>
          <w:sz w:val="22"/>
          <w:szCs w:val="22"/>
        </w:rPr>
        <w:t>Ένεση</w:t>
      </w:r>
      <w:r w:rsidR="005C0595" w:rsidRPr="008B2AE9">
        <w:rPr>
          <w:rFonts w:ascii="Times New Roman" w:hAnsi="Times New Roman"/>
          <w:b/>
          <w:i w:val="0"/>
          <w:iCs/>
          <w:sz w:val="22"/>
          <w:szCs w:val="22"/>
        </w:rPr>
        <w:t xml:space="preserve"> 40 </w:t>
      </w:r>
      <w:r w:rsidR="005C0595" w:rsidRPr="008B2AE9">
        <w:rPr>
          <w:rFonts w:ascii="Times New Roman" w:hAnsi="Times New Roman"/>
          <w:b/>
          <w:i w:val="0"/>
          <w:iCs/>
          <w:sz w:val="22"/>
          <w:szCs w:val="22"/>
          <w:lang w:val="en-US"/>
        </w:rPr>
        <w:t>mg</w:t>
      </w:r>
    </w:p>
    <w:p w:rsidR="009D37C7" w:rsidRPr="008B2AE9" w:rsidRDefault="009D37C7" w:rsidP="001B7A99">
      <w:pPr>
        <w:jc w:val="both"/>
        <w:rPr>
          <w:rFonts w:ascii="Times New Roman" w:hAnsi="Times New Roman"/>
          <w:sz w:val="22"/>
          <w:szCs w:val="22"/>
          <w:lang w:val="el-GR"/>
        </w:rPr>
      </w:pPr>
    </w:p>
    <w:p w:rsidR="001B0B5A" w:rsidRPr="008B2AE9" w:rsidRDefault="00E72235" w:rsidP="001B7A99">
      <w:pPr>
        <w:jc w:val="both"/>
        <w:rPr>
          <w:rFonts w:ascii="Times New Roman" w:hAnsi="Times New Roman"/>
          <w:sz w:val="22"/>
          <w:szCs w:val="22"/>
          <w:lang w:val="el-GR"/>
        </w:rPr>
      </w:pPr>
      <w:r w:rsidRPr="008B2AE9">
        <w:rPr>
          <w:rFonts w:ascii="Times New Roman" w:hAnsi="Times New Roman"/>
          <w:sz w:val="22"/>
          <w:szCs w:val="22"/>
          <w:lang w:val="el-GR"/>
        </w:rPr>
        <w:t xml:space="preserve">Το ενέσιμο διάλυμα </w:t>
      </w:r>
      <w:r w:rsidR="005C0595" w:rsidRPr="008B2AE9">
        <w:rPr>
          <w:rFonts w:ascii="Times New Roman" w:hAnsi="Times New Roman"/>
          <w:iCs/>
          <w:sz w:val="22"/>
          <w:szCs w:val="22"/>
          <w:lang w:val="el-GR"/>
        </w:rPr>
        <w:t>(8 mg/ml)</w:t>
      </w:r>
      <w:r w:rsidR="005C0595" w:rsidRPr="008B2AE9">
        <w:rPr>
          <w:rFonts w:ascii="Times New Roman" w:hAnsi="Times New Roman"/>
          <w:sz w:val="22"/>
          <w:szCs w:val="22"/>
          <w:lang w:val="el-GR"/>
        </w:rPr>
        <w:t xml:space="preserve"> </w:t>
      </w:r>
      <w:r w:rsidRPr="008B2AE9">
        <w:rPr>
          <w:rFonts w:ascii="Times New Roman" w:hAnsi="Times New Roman"/>
          <w:sz w:val="22"/>
          <w:szCs w:val="22"/>
          <w:lang w:val="el-GR"/>
        </w:rPr>
        <w:t xml:space="preserve">παρασκευάζεται προσθέτοντας στο φιαλίδιο </w:t>
      </w:r>
      <w:r w:rsidR="00D8725A" w:rsidRPr="008B2AE9">
        <w:rPr>
          <w:rFonts w:ascii="Times New Roman" w:hAnsi="Times New Roman"/>
          <w:sz w:val="22"/>
          <w:szCs w:val="22"/>
          <w:lang w:val="el-GR"/>
        </w:rPr>
        <w:t xml:space="preserve">των 40 </w:t>
      </w:r>
      <w:r w:rsidR="00D8725A" w:rsidRPr="008B2AE9">
        <w:rPr>
          <w:rFonts w:ascii="Times New Roman" w:hAnsi="Times New Roman"/>
          <w:sz w:val="22"/>
          <w:szCs w:val="22"/>
          <w:lang w:val="en-US"/>
        </w:rPr>
        <w:t>mg</w:t>
      </w:r>
      <w:r w:rsidR="00D8725A" w:rsidRPr="008B2AE9">
        <w:rPr>
          <w:rFonts w:ascii="Times New Roman" w:hAnsi="Times New Roman"/>
          <w:sz w:val="22"/>
          <w:szCs w:val="22"/>
          <w:lang w:val="el-GR"/>
        </w:rPr>
        <w:t xml:space="preserve"> </w:t>
      </w:r>
      <w:r w:rsidR="005C0595" w:rsidRPr="008B2AE9">
        <w:rPr>
          <w:rFonts w:ascii="Times New Roman" w:hAnsi="Times New Roman"/>
          <w:sz w:val="22"/>
          <w:szCs w:val="22"/>
          <w:lang w:val="el-GR"/>
        </w:rPr>
        <w:t>της</w:t>
      </w:r>
      <w:r w:rsidRPr="008B2AE9">
        <w:rPr>
          <w:rFonts w:ascii="Times New Roman" w:hAnsi="Times New Roman"/>
          <w:sz w:val="22"/>
          <w:szCs w:val="22"/>
          <w:lang w:val="el-GR"/>
        </w:rPr>
        <w:t xml:space="preserve"> εσομεπραζόλη</w:t>
      </w:r>
      <w:r w:rsidR="005C0595" w:rsidRPr="008B2AE9">
        <w:rPr>
          <w:rFonts w:ascii="Times New Roman" w:hAnsi="Times New Roman"/>
          <w:sz w:val="22"/>
          <w:szCs w:val="22"/>
          <w:lang w:val="el-GR"/>
        </w:rPr>
        <w:t>ς</w:t>
      </w:r>
      <w:r w:rsidRPr="008B2AE9">
        <w:rPr>
          <w:rFonts w:ascii="Times New Roman" w:hAnsi="Times New Roman"/>
          <w:sz w:val="22"/>
          <w:szCs w:val="22"/>
          <w:lang w:val="el-GR"/>
        </w:rPr>
        <w:t xml:space="preserve"> 5 </w:t>
      </w:r>
      <w:r w:rsidRPr="008B2AE9">
        <w:rPr>
          <w:rFonts w:ascii="Times New Roman" w:hAnsi="Times New Roman"/>
          <w:sz w:val="22"/>
          <w:szCs w:val="22"/>
          <w:lang w:val="en-US"/>
        </w:rPr>
        <w:t>ml</w:t>
      </w:r>
      <w:r w:rsidRPr="008B2AE9">
        <w:rPr>
          <w:rFonts w:ascii="Times New Roman" w:hAnsi="Times New Roman"/>
          <w:sz w:val="22"/>
          <w:szCs w:val="22"/>
          <w:lang w:val="el-GR"/>
        </w:rPr>
        <w:t xml:space="preserve"> χλωριούχου νατρίου 0,9% για ενδοφλέβια χρήση. </w:t>
      </w:r>
    </w:p>
    <w:p w:rsidR="001B0B5A" w:rsidRPr="008B2AE9" w:rsidRDefault="001B0B5A" w:rsidP="001B7A99">
      <w:pPr>
        <w:jc w:val="both"/>
        <w:rPr>
          <w:rFonts w:ascii="Times New Roman" w:hAnsi="Times New Roman"/>
          <w:sz w:val="22"/>
          <w:szCs w:val="22"/>
          <w:lang w:val="el-GR"/>
        </w:rPr>
      </w:pPr>
    </w:p>
    <w:p w:rsidR="00E72235" w:rsidRPr="008B2AE9" w:rsidRDefault="00E72235" w:rsidP="001B7A99">
      <w:pPr>
        <w:jc w:val="both"/>
        <w:rPr>
          <w:rFonts w:ascii="Times New Roman" w:hAnsi="Times New Roman"/>
          <w:sz w:val="22"/>
          <w:szCs w:val="22"/>
          <w:lang w:val="el-GR"/>
        </w:rPr>
      </w:pPr>
      <w:r w:rsidRPr="008B2AE9">
        <w:rPr>
          <w:rFonts w:ascii="Times New Roman" w:hAnsi="Times New Roman"/>
          <w:sz w:val="22"/>
          <w:szCs w:val="22"/>
          <w:lang w:val="el-GR"/>
        </w:rPr>
        <w:t>Το ανασυσταθέν διάλυμα για ένεση είναι διαυγές και άχρωμο έως πολύ ανοιχτό κίτρινο.</w:t>
      </w:r>
    </w:p>
    <w:p w:rsidR="00E72235" w:rsidRPr="008B2AE9" w:rsidRDefault="00E72235" w:rsidP="001B7A99">
      <w:pPr>
        <w:jc w:val="both"/>
        <w:rPr>
          <w:rFonts w:ascii="Times New Roman" w:hAnsi="Times New Roman"/>
          <w:sz w:val="22"/>
          <w:szCs w:val="22"/>
          <w:lang w:val="el-GR"/>
        </w:rPr>
      </w:pPr>
    </w:p>
    <w:p w:rsidR="00E72235" w:rsidRPr="008B2AE9" w:rsidRDefault="00E72235" w:rsidP="001B7A99">
      <w:pPr>
        <w:pStyle w:val="3"/>
        <w:spacing w:line="240" w:lineRule="auto"/>
        <w:rPr>
          <w:rFonts w:ascii="Times New Roman" w:hAnsi="Times New Roman"/>
          <w:b/>
          <w:i w:val="0"/>
          <w:iCs/>
          <w:sz w:val="22"/>
          <w:szCs w:val="22"/>
        </w:rPr>
      </w:pPr>
      <w:r w:rsidRPr="008B2AE9">
        <w:rPr>
          <w:rFonts w:ascii="Times New Roman" w:hAnsi="Times New Roman"/>
          <w:b/>
          <w:i w:val="0"/>
          <w:iCs/>
          <w:sz w:val="22"/>
          <w:szCs w:val="22"/>
        </w:rPr>
        <w:t>Έγχυση</w:t>
      </w:r>
      <w:r w:rsidR="005C0595" w:rsidRPr="008B2AE9">
        <w:rPr>
          <w:rFonts w:ascii="Times New Roman" w:hAnsi="Times New Roman"/>
          <w:b/>
          <w:i w:val="0"/>
          <w:iCs/>
          <w:sz w:val="22"/>
          <w:szCs w:val="22"/>
        </w:rPr>
        <w:t xml:space="preserve"> 40 </w:t>
      </w:r>
      <w:r w:rsidR="005C0595" w:rsidRPr="008B2AE9">
        <w:rPr>
          <w:rFonts w:ascii="Times New Roman" w:hAnsi="Times New Roman"/>
          <w:b/>
          <w:i w:val="0"/>
          <w:iCs/>
          <w:sz w:val="22"/>
          <w:szCs w:val="22"/>
          <w:lang w:val="en-US"/>
        </w:rPr>
        <w:t>mg</w:t>
      </w:r>
    </w:p>
    <w:p w:rsidR="009D37C7" w:rsidRPr="008B2AE9" w:rsidRDefault="009D37C7" w:rsidP="001B7A99">
      <w:pPr>
        <w:jc w:val="both"/>
        <w:rPr>
          <w:rFonts w:ascii="Times New Roman" w:hAnsi="Times New Roman"/>
          <w:sz w:val="22"/>
          <w:szCs w:val="22"/>
          <w:lang w:val="el-GR"/>
        </w:rPr>
      </w:pPr>
    </w:p>
    <w:p w:rsidR="00E72235" w:rsidRPr="008B2AE9" w:rsidRDefault="00E72235" w:rsidP="001B7A99">
      <w:pPr>
        <w:jc w:val="both"/>
        <w:rPr>
          <w:rFonts w:ascii="Times New Roman" w:hAnsi="Times New Roman"/>
          <w:sz w:val="22"/>
          <w:szCs w:val="22"/>
          <w:lang w:val="el-GR"/>
        </w:rPr>
      </w:pPr>
      <w:r w:rsidRPr="008B2AE9">
        <w:rPr>
          <w:rFonts w:ascii="Times New Roman" w:hAnsi="Times New Roman"/>
          <w:sz w:val="22"/>
          <w:szCs w:val="22"/>
          <w:lang w:val="el-GR"/>
        </w:rPr>
        <w:t xml:space="preserve">Το διάλυμα για έγχυση παρασκευάζεται διαλύοντας το περιεχόμενο ενός φιαλιδίου με εσομεπραζόλη </w:t>
      </w:r>
      <w:r w:rsidR="005C0595" w:rsidRPr="008B2AE9">
        <w:rPr>
          <w:rFonts w:ascii="Times New Roman" w:hAnsi="Times New Roman"/>
          <w:sz w:val="22"/>
          <w:szCs w:val="22"/>
          <w:lang w:val="el-GR"/>
        </w:rPr>
        <w:t xml:space="preserve">40 </w:t>
      </w:r>
      <w:r w:rsidR="005C0595" w:rsidRPr="008B2AE9">
        <w:rPr>
          <w:rFonts w:ascii="Times New Roman" w:hAnsi="Times New Roman"/>
          <w:sz w:val="22"/>
          <w:szCs w:val="22"/>
          <w:lang w:val="en-US"/>
        </w:rPr>
        <w:t>mg</w:t>
      </w:r>
      <w:r w:rsidR="005C0595" w:rsidRPr="008B2AE9">
        <w:rPr>
          <w:rFonts w:ascii="Times New Roman" w:hAnsi="Times New Roman"/>
          <w:sz w:val="22"/>
          <w:szCs w:val="22"/>
          <w:lang w:val="el-GR"/>
        </w:rPr>
        <w:t xml:space="preserve"> </w:t>
      </w:r>
      <w:r w:rsidRPr="008B2AE9">
        <w:rPr>
          <w:rFonts w:ascii="Times New Roman" w:hAnsi="Times New Roman"/>
          <w:sz w:val="22"/>
          <w:szCs w:val="22"/>
          <w:lang w:val="el-GR"/>
        </w:rPr>
        <w:t xml:space="preserve">σε ποσότητα μέχρι 100 </w:t>
      </w:r>
      <w:r w:rsidRPr="008B2AE9">
        <w:rPr>
          <w:rFonts w:ascii="Times New Roman" w:hAnsi="Times New Roman"/>
          <w:sz w:val="22"/>
          <w:szCs w:val="22"/>
          <w:lang w:val="en-US"/>
        </w:rPr>
        <w:t>ml</w:t>
      </w:r>
      <w:r w:rsidRPr="008B2AE9">
        <w:rPr>
          <w:rFonts w:ascii="Times New Roman" w:hAnsi="Times New Roman"/>
          <w:sz w:val="22"/>
          <w:szCs w:val="22"/>
          <w:lang w:val="el-GR"/>
        </w:rPr>
        <w:t xml:space="preserve"> χλωριούχου νατρίου 0,9% για ενδοφλέβια χρήση. </w:t>
      </w:r>
    </w:p>
    <w:p w:rsidR="001B7A99" w:rsidRPr="008B2AE9" w:rsidRDefault="001B7A99" w:rsidP="001B7A99">
      <w:pPr>
        <w:pStyle w:val="3"/>
        <w:spacing w:line="240" w:lineRule="auto"/>
        <w:rPr>
          <w:rFonts w:ascii="Times New Roman" w:hAnsi="Times New Roman"/>
          <w:iCs/>
          <w:sz w:val="22"/>
          <w:szCs w:val="22"/>
        </w:rPr>
      </w:pPr>
    </w:p>
    <w:p w:rsidR="00E72235" w:rsidRPr="008B2AE9" w:rsidRDefault="00E72235" w:rsidP="001B7A99">
      <w:pPr>
        <w:pStyle w:val="3"/>
        <w:spacing w:line="240" w:lineRule="auto"/>
        <w:rPr>
          <w:rFonts w:ascii="Times New Roman" w:hAnsi="Times New Roman"/>
          <w:b/>
          <w:i w:val="0"/>
          <w:iCs/>
          <w:sz w:val="22"/>
          <w:szCs w:val="22"/>
        </w:rPr>
      </w:pPr>
      <w:r w:rsidRPr="008B2AE9">
        <w:rPr>
          <w:rFonts w:ascii="Times New Roman" w:hAnsi="Times New Roman"/>
          <w:b/>
          <w:i w:val="0"/>
          <w:iCs/>
          <w:sz w:val="22"/>
          <w:szCs w:val="22"/>
        </w:rPr>
        <w:t xml:space="preserve">Έγχυση 80 </w:t>
      </w:r>
      <w:r w:rsidRPr="008B2AE9">
        <w:rPr>
          <w:rFonts w:ascii="Times New Roman" w:hAnsi="Times New Roman"/>
          <w:b/>
          <w:i w:val="0"/>
          <w:iCs/>
          <w:sz w:val="22"/>
          <w:szCs w:val="22"/>
          <w:lang w:val="en-US"/>
        </w:rPr>
        <w:t>mg</w:t>
      </w:r>
    </w:p>
    <w:p w:rsidR="009D37C7" w:rsidRPr="008B2AE9" w:rsidRDefault="009D37C7" w:rsidP="001B7A99">
      <w:pPr>
        <w:jc w:val="both"/>
        <w:rPr>
          <w:rFonts w:ascii="Times New Roman" w:hAnsi="Times New Roman"/>
          <w:sz w:val="22"/>
          <w:szCs w:val="22"/>
          <w:lang w:val="el-GR"/>
        </w:rPr>
      </w:pPr>
    </w:p>
    <w:p w:rsidR="001B7A99" w:rsidRPr="008B2AE9" w:rsidRDefault="00E72235" w:rsidP="001B7A99">
      <w:pPr>
        <w:jc w:val="both"/>
        <w:rPr>
          <w:rFonts w:ascii="Times New Roman" w:hAnsi="Times New Roman"/>
          <w:sz w:val="22"/>
          <w:szCs w:val="22"/>
          <w:lang w:val="el-GR"/>
        </w:rPr>
      </w:pPr>
      <w:r w:rsidRPr="008B2AE9">
        <w:rPr>
          <w:rFonts w:ascii="Times New Roman" w:hAnsi="Times New Roman"/>
          <w:sz w:val="22"/>
          <w:szCs w:val="22"/>
          <w:lang w:val="el-GR"/>
        </w:rPr>
        <w:t>Το διάλυμα για έγχυση παρασκευάζεται διαλύοντας τ</w:t>
      </w:r>
      <w:r w:rsidR="00BB1862" w:rsidRPr="008B2AE9">
        <w:rPr>
          <w:rFonts w:ascii="Times New Roman" w:hAnsi="Times New Roman"/>
          <w:sz w:val="22"/>
          <w:szCs w:val="22"/>
          <w:lang w:val="el-GR"/>
        </w:rPr>
        <w:t>α</w:t>
      </w:r>
      <w:r w:rsidRPr="008B2AE9">
        <w:rPr>
          <w:rFonts w:ascii="Times New Roman" w:hAnsi="Times New Roman"/>
          <w:sz w:val="22"/>
          <w:szCs w:val="22"/>
          <w:lang w:val="el-GR"/>
        </w:rPr>
        <w:t xml:space="preserve"> περιεχόμεν</w:t>
      </w:r>
      <w:r w:rsidR="00BB1862" w:rsidRPr="008B2AE9">
        <w:rPr>
          <w:rFonts w:ascii="Times New Roman" w:hAnsi="Times New Roman"/>
          <w:sz w:val="22"/>
          <w:szCs w:val="22"/>
          <w:lang w:val="el-GR"/>
        </w:rPr>
        <w:t>α</w:t>
      </w:r>
      <w:r w:rsidRPr="008B2AE9">
        <w:rPr>
          <w:rFonts w:ascii="Times New Roman" w:hAnsi="Times New Roman"/>
          <w:sz w:val="22"/>
          <w:szCs w:val="22"/>
          <w:lang w:val="el-GR"/>
        </w:rPr>
        <w:t xml:space="preserve"> δύο φιαλιδίων με εσομεπραζόλη 40 </w:t>
      </w:r>
      <w:r w:rsidRPr="008B2AE9">
        <w:rPr>
          <w:rFonts w:ascii="Times New Roman" w:hAnsi="Times New Roman"/>
          <w:sz w:val="22"/>
          <w:szCs w:val="22"/>
          <w:lang w:val="en-US"/>
        </w:rPr>
        <w:t>mg</w:t>
      </w:r>
      <w:r w:rsidRPr="008B2AE9">
        <w:rPr>
          <w:rFonts w:ascii="Times New Roman" w:hAnsi="Times New Roman"/>
          <w:sz w:val="22"/>
          <w:szCs w:val="22"/>
          <w:lang w:val="el-GR"/>
        </w:rPr>
        <w:t xml:space="preserve"> σε ποσότητα μέχρι 100 ml χλωριούχου νατρίου 0,9% για ενδοφλέβια χρήση.</w:t>
      </w:r>
    </w:p>
    <w:p w:rsidR="001B7A99" w:rsidRPr="008B2AE9" w:rsidRDefault="001B7A99" w:rsidP="001B7A99">
      <w:pPr>
        <w:jc w:val="both"/>
        <w:rPr>
          <w:rFonts w:ascii="Times New Roman" w:hAnsi="Times New Roman"/>
          <w:sz w:val="22"/>
          <w:szCs w:val="22"/>
          <w:lang w:val="el-GR"/>
        </w:rPr>
      </w:pPr>
    </w:p>
    <w:p w:rsidR="005C0595" w:rsidRPr="008B2AE9" w:rsidRDefault="005C0595" w:rsidP="001B7A99">
      <w:pPr>
        <w:jc w:val="both"/>
        <w:rPr>
          <w:rFonts w:ascii="Times New Roman" w:hAnsi="Times New Roman"/>
          <w:sz w:val="22"/>
          <w:szCs w:val="22"/>
          <w:lang w:val="el-GR"/>
        </w:rPr>
      </w:pPr>
      <w:r w:rsidRPr="008B2AE9">
        <w:rPr>
          <w:rFonts w:ascii="Times New Roman" w:hAnsi="Times New Roman"/>
          <w:sz w:val="22"/>
          <w:szCs w:val="22"/>
          <w:lang w:val="el-GR"/>
        </w:rPr>
        <w:t>Το ανασυσταθέν διάλυμα για έ</w:t>
      </w:r>
      <w:r w:rsidR="00A81E33" w:rsidRPr="008B2AE9">
        <w:rPr>
          <w:rFonts w:ascii="Times New Roman" w:hAnsi="Times New Roman"/>
          <w:sz w:val="22"/>
          <w:szCs w:val="22"/>
          <w:lang w:val="el-GR"/>
        </w:rPr>
        <w:t>γχυ</w:t>
      </w:r>
      <w:r w:rsidRPr="008B2AE9">
        <w:rPr>
          <w:rFonts w:ascii="Times New Roman" w:hAnsi="Times New Roman"/>
          <w:sz w:val="22"/>
          <w:szCs w:val="22"/>
          <w:lang w:val="el-GR"/>
        </w:rPr>
        <w:t>ση είναι διαυγές και άχρωμο έως πολύ ανοιχτό κίτρινο.</w:t>
      </w:r>
    </w:p>
    <w:p w:rsidR="005C0595" w:rsidRPr="008B2AE9" w:rsidRDefault="005C0595" w:rsidP="001B7A99">
      <w:pPr>
        <w:rPr>
          <w:rFonts w:ascii="Times New Roman" w:hAnsi="Times New Roman"/>
          <w:sz w:val="22"/>
          <w:szCs w:val="22"/>
          <w:lang w:val="el-GR"/>
        </w:rPr>
      </w:pPr>
    </w:p>
    <w:p w:rsidR="001B7A99" w:rsidRPr="008B2AE9" w:rsidRDefault="001B7A99" w:rsidP="00EE049B">
      <w:pPr>
        <w:rPr>
          <w:rFonts w:ascii="Times New Roman" w:hAnsi="Times New Roman"/>
          <w:sz w:val="22"/>
          <w:szCs w:val="22"/>
          <w:lang w:val="el-GR"/>
        </w:rPr>
      </w:pPr>
    </w:p>
    <w:p w:rsidR="00B81F15" w:rsidRPr="008B2AE9" w:rsidRDefault="00B81F15" w:rsidP="00B81F15">
      <w:pPr>
        <w:widowControl w:val="0"/>
        <w:rPr>
          <w:rFonts w:ascii="Times New Roman" w:hAnsi="Times New Roman"/>
          <w:sz w:val="22"/>
          <w:szCs w:val="22"/>
          <w:lang w:val="el-GR"/>
        </w:rPr>
      </w:pPr>
      <w:r w:rsidRPr="008B2AE9">
        <w:rPr>
          <w:rFonts w:ascii="Times New Roman" w:hAnsi="Times New Roman"/>
          <w:b/>
          <w:sz w:val="22"/>
          <w:szCs w:val="22"/>
          <w:lang w:val="el-GR"/>
        </w:rPr>
        <w:t>7.</w:t>
      </w:r>
      <w:r w:rsidRPr="008B2AE9">
        <w:rPr>
          <w:rFonts w:ascii="Times New Roman" w:hAnsi="Times New Roman"/>
          <w:b/>
          <w:sz w:val="22"/>
          <w:szCs w:val="22"/>
          <w:lang w:val="el-GR"/>
        </w:rPr>
        <w:tab/>
        <w:t>ΚΑΤΟΧΟΣ ΤΗΣ ΑΔΕΙΑΣ ΚΥΚΛΟΦΟΡΙΑΣ</w:t>
      </w:r>
    </w:p>
    <w:p w:rsidR="00B44A11" w:rsidRPr="008B2AE9" w:rsidRDefault="00B44A11" w:rsidP="00B44A11">
      <w:pPr>
        <w:jc w:val="both"/>
        <w:rPr>
          <w:rFonts w:ascii="Times New Roman" w:hAnsi="Times New Roman"/>
          <w:sz w:val="22"/>
          <w:szCs w:val="22"/>
          <w:lang w:val="en-US"/>
        </w:rPr>
      </w:pPr>
    </w:p>
    <w:p w:rsidR="00B44A11" w:rsidRPr="008B2AE9" w:rsidRDefault="00B44A11" w:rsidP="00B44A11">
      <w:pPr>
        <w:jc w:val="both"/>
        <w:rPr>
          <w:rFonts w:ascii="Times New Roman" w:hAnsi="Times New Roman"/>
          <w:sz w:val="22"/>
          <w:szCs w:val="22"/>
          <w:lang w:val="el-GR"/>
        </w:rPr>
      </w:pPr>
      <w:r w:rsidRPr="008B2AE9">
        <w:rPr>
          <w:rFonts w:ascii="Times New Roman" w:hAnsi="Times New Roman"/>
          <w:sz w:val="22"/>
          <w:szCs w:val="22"/>
          <w:lang w:val="en-US"/>
        </w:rPr>
        <w:t>DEMO</w:t>
      </w:r>
      <w:r w:rsidRPr="008B2AE9">
        <w:rPr>
          <w:rFonts w:ascii="Times New Roman" w:hAnsi="Times New Roman"/>
          <w:sz w:val="22"/>
          <w:szCs w:val="22"/>
          <w:lang w:val="el-GR"/>
        </w:rPr>
        <w:t xml:space="preserve"> ΑΒΕΕ </w:t>
      </w:r>
    </w:p>
    <w:p w:rsidR="00B44A11" w:rsidRPr="008B2AE9" w:rsidRDefault="00B44A11" w:rsidP="00B44A11">
      <w:pPr>
        <w:jc w:val="both"/>
        <w:rPr>
          <w:rFonts w:ascii="Times New Roman" w:hAnsi="Times New Roman"/>
          <w:sz w:val="22"/>
          <w:szCs w:val="22"/>
          <w:lang w:val="el-GR"/>
        </w:rPr>
      </w:pPr>
      <w:r w:rsidRPr="008B2AE9">
        <w:rPr>
          <w:rFonts w:ascii="Times New Roman" w:hAnsi="Times New Roman"/>
          <w:sz w:val="22"/>
          <w:szCs w:val="22"/>
          <w:lang w:val="el-GR"/>
        </w:rPr>
        <w:t>21</w:t>
      </w:r>
      <w:r w:rsidRPr="008B2AE9">
        <w:rPr>
          <w:rFonts w:ascii="Times New Roman" w:hAnsi="Times New Roman"/>
          <w:sz w:val="22"/>
          <w:szCs w:val="22"/>
          <w:vertAlign w:val="superscript"/>
          <w:lang w:val="el-GR"/>
        </w:rPr>
        <w:t>ο</w:t>
      </w:r>
      <w:r w:rsidRPr="008B2AE9">
        <w:rPr>
          <w:rFonts w:ascii="Times New Roman" w:hAnsi="Times New Roman"/>
          <w:sz w:val="22"/>
          <w:szCs w:val="22"/>
          <w:lang w:val="el-GR"/>
        </w:rPr>
        <w:t xml:space="preserve"> χλμ Εθνικής Οδού Αθηνών-Λαμίας</w:t>
      </w:r>
    </w:p>
    <w:p w:rsidR="00B44A11" w:rsidRPr="008B2AE9" w:rsidRDefault="00B44A11" w:rsidP="00B44A11">
      <w:pPr>
        <w:jc w:val="both"/>
        <w:rPr>
          <w:rFonts w:ascii="Times New Roman" w:hAnsi="Times New Roman"/>
          <w:sz w:val="22"/>
          <w:szCs w:val="22"/>
          <w:lang w:val="el-GR"/>
        </w:rPr>
      </w:pPr>
      <w:r w:rsidRPr="008B2AE9">
        <w:rPr>
          <w:rFonts w:ascii="Times New Roman" w:hAnsi="Times New Roman"/>
          <w:sz w:val="22"/>
          <w:szCs w:val="22"/>
          <w:lang w:val="el-GR"/>
        </w:rPr>
        <w:t>14568 Κρυονέρι, Αθήνα</w:t>
      </w:r>
    </w:p>
    <w:p w:rsidR="00B44A11" w:rsidRPr="008B2AE9" w:rsidRDefault="00B44A11" w:rsidP="00B44A11">
      <w:pPr>
        <w:jc w:val="both"/>
        <w:rPr>
          <w:rFonts w:ascii="Times New Roman" w:hAnsi="Times New Roman"/>
          <w:sz w:val="22"/>
          <w:szCs w:val="22"/>
          <w:lang w:val="el-GR"/>
        </w:rPr>
      </w:pPr>
      <w:r w:rsidRPr="008B2AE9">
        <w:rPr>
          <w:rFonts w:ascii="Times New Roman" w:hAnsi="Times New Roman"/>
          <w:sz w:val="22"/>
          <w:szCs w:val="22"/>
          <w:lang w:val="el-GR"/>
        </w:rPr>
        <w:t xml:space="preserve">Τηλ: 210 8161802, </w:t>
      </w:r>
      <w:r w:rsidRPr="008B2AE9">
        <w:rPr>
          <w:rFonts w:ascii="Times New Roman" w:hAnsi="Times New Roman"/>
          <w:sz w:val="22"/>
          <w:szCs w:val="22"/>
          <w:lang w:val="en-US"/>
        </w:rPr>
        <w:t>Fax</w:t>
      </w:r>
      <w:r w:rsidRPr="008B2AE9">
        <w:rPr>
          <w:rFonts w:ascii="Times New Roman" w:hAnsi="Times New Roman"/>
          <w:sz w:val="22"/>
          <w:szCs w:val="22"/>
          <w:lang w:val="el-GR"/>
        </w:rPr>
        <w:t>: 210 8161587</w:t>
      </w:r>
    </w:p>
    <w:p w:rsidR="00B81F15" w:rsidRPr="008B2AE9" w:rsidRDefault="00B81F15" w:rsidP="00B81F15">
      <w:pPr>
        <w:widowControl w:val="0"/>
        <w:rPr>
          <w:rFonts w:ascii="Times New Roman" w:hAnsi="Times New Roman"/>
          <w:sz w:val="22"/>
          <w:szCs w:val="22"/>
          <w:lang w:val="el-GR"/>
        </w:rPr>
      </w:pPr>
    </w:p>
    <w:p w:rsidR="00B81F15" w:rsidRPr="008B2AE9" w:rsidRDefault="00B81F15" w:rsidP="00B81F15">
      <w:pPr>
        <w:widowControl w:val="0"/>
        <w:rPr>
          <w:rFonts w:ascii="Times New Roman" w:hAnsi="Times New Roman"/>
          <w:sz w:val="22"/>
          <w:szCs w:val="22"/>
          <w:lang w:val="el-GR"/>
        </w:rPr>
      </w:pPr>
    </w:p>
    <w:p w:rsidR="00B81F15" w:rsidRPr="008B2AE9" w:rsidRDefault="00B81F15" w:rsidP="00B81F15">
      <w:pPr>
        <w:widowControl w:val="0"/>
        <w:rPr>
          <w:rFonts w:ascii="Times New Roman" w:hAnsi="Times New Roman"/>
          <w:sz w:val="22"/>
          <w:szCs w:val="22"/>
          <w:lang w:val="el-GR"/>
        </w:rPr>
      </w:pPr>
      <w:r w:rsidRPr="008B2AE9">
        <w:rPr>
          <w:rFonts w:ascii="Times New Roman" w:hAnsi="Times New Roman"/>
          <w:b/>
          <w:sz w:val="22"/>
          <w:szCs w:val="22"/>
          <w:lang w:val="el-GR"/>
        </w:rPr>
        <w:t>8.</w:t>
      </w:r>
      <w:r w:rsidRPr="008B2AE9">
        <w:rPr>
          <w:rFonts w:ascii="Times New Roman" w:hAnsi="Times New Roman"/>
          <w:b/>
          <w:sz w:val="22"/>
          <w:szCs w:val="22"/>
          <w:lang w:val="el-GR"/>
        </w:rPr>
        <w:tab/>
        <w:t>ΑΡΙΘΜΟΣ(ΟΙ) ΑΔΕΙΑΣ ΚΥΚΛΟΦΟΡΙΑΣ</w:t>
      </w:r>
    </w:p>
    <w:p w:rsidR="00B81F15" w:rsidRPr="008B2AE9" w:rsidRDefault="00B81F15" w:rsidP="00B81F15">
      <w:pPr>
        <w:widowControl w:val="0"/>
        <w:rPr>
          <w:rFonts w:ascii="Times New Roman" w:hAnsi="Times New Roman"/>
          <w:sz w:val="22"/>
          <w:szCs w:val="22"/>
          <w:lang w:val="el-GR"/>
        </w:rPr>
      </w:pPr>
    </w:p>
    <w:p w:rsidR="00B81F15" w:rsidRPr="008B2AE9" w:rsidRDefault="00B81F15" w:rsidP="00B81F15">
      <w:pPr>
        <w:widowControl w:val="0"/>
        <w:rPr>
          <w:rFonts w:ascii="Times New Roman" w:hAnsi="Times New Roman"/>
          <w:sz w:val="22"/>
          <w:szCs w:val="22"/>
          <w:lang w:val="el-GR"/>
        </w:rPr>
      </w:pPr>
    </w:p>
    <w:p w:rsidR="00B81F15" w:rsidRPr="008B2AE9" w:rsidRDefault="00B81F15" w:rsidP="00B81F15">
      <w:pPr>
        <w:widowControl w:val="0"/>
        <w:rPr>
          <w:rFonts w:ascii="Times New Roman" w:hAnsi="Times New Roman"/>
          <w:sz w:val="22"/>
          <w:szCs w:val="22"/>
          <w:lang w:val="el-GR"/>
        </w:rPr>
      </w:pPr>
      <w:r w:rsidRPr="008B2AE9">
        <w:rPr>
          <w:rFonts w:ascii="Times New Roman" w:hAnsi="Times New Roman"/>
          <w:b/>
          <w:sz w:val="22"/>
          <w:szCs w:val="22"/>
          <w:lang w:val="el-GR"/>
        </w:rPr>
        <w:t>9.</w:t>
      </w:r>
      <w:r w:rsidRPr="008B2AE9">
        <w:rPr>
          <w:rFonts w:ascii="Times New Roman" w:hAnsi="Times New Roman"/>
          <w:b/>
          <w:sz w:val="22"/>
          <w:szCs w:val="22"/>
          <w:lang w:val="el-GR"/>
        </w:rPr>
        <w:tab/>
        <w:t>ΗΜΕΡΟΜΗΝΙΑ ΠΡΩΤΗΣ ΕΓΚΡΙΣΗΣ / ΑΝΑΝΕΩΣΗΣ ΤΗΣ ΑΔΕΙΑΣ</w:t>
      </w:r>
    </w:p>
    <w:p w:rsidR="00B81F15" w:rsidRPr="008B2AE9" w:rsidRDefault="00B81F15" w:rsidP="00B81F15">
      <w:pPr>
        <w:widowControl w:val="0"/>
        <w:rPr>
          <w:rFonts w:ascii="Times New Roman" w:hAnsi="Times New Roman"/>
          <w:sz w:val="22"/>
          <w:szCs w:val="22"/>
          <w:lang w:val="el-GR"/>
        </w:rPr>
      </w:pPr>
    </w:p>
    <w:p w:rsidR="00B81F15" w:rsidRPr="008B2AE9" w:rsidRDefault="00B81F15" w:rsidP="00B81F15">
      <w:pPr>
        <w:widowControl w:val="0"/>
        <w:rPr>
          <w:rFonts w:ascii="Times New Roman" w:hAnsi="Times New Roman"/>
          <w:sz w:val="22"/>
          <w:szCs w:val="22"/>
          <w:lang w:val="el-GR"/>
        </w:rPr>
      </w:pPr>
    </w:p>
    <w:p w:rsidR="00B81F15" w:rsidRPr="008B2AE9" w:rsidRDefault="00B81F15" w:rsidP="00B81F15">
      <w:pPr>
        <w:widowControl w:val="0"/>
        <w:tabs>
          <w:tab w:val="left" w:pos="709"/>
        </w:tabs>
        <w:rPr>
          <w:rFonts w:ascii="Times New Roman" w:hAnsi="Times New Roman"/>
          <w:sz w:val="22"/>
          <w:szCs w:val="22"/>
          <w:lang w:val="el-GR"/>
        </w:rPr>
      </w:pPr>
      <w:r w:rsidRPr="008B2AE9">
        <w:rPr>
          <w:rFonts w:ascii="Times New Roman" w:hAnsi="Times New Roman"/>
          <w:b/>
          <w:sz w:val="22"/>
          <w:szCs w:val="22"/>
          <w:lang w:val="el-GR"/>
        </w:rPr>
        <w:t>10.</w:t>
      </w:r>
      <w:r w:rsidRPr="008B2AE9">
        <w:rPr>
          <w:rFonts w:ascii="Times New Roman" w:hAnsi="Times New Roman"/>
          <w:b/>
          <w:sz w:val="22"/>
          <w:szCs w:val="22"/>
          <w:lang w:val="el-GR"/>
        </w:rPr>
        <w:tab/>
        <w:t>ΗΜΕΡΟΜΗΝΙΑ ΑΝΑΘΕΩΡΗΣΗΣ ΤΟΥ ΚΕΙΜΕΝΟΥ</w:t>
      </w:r>
    </w:p>
    <w:p w:rsidR="00B81F15" w:rsidRPr="008B2AE9" w:rsidRDefault="00B81F15" w:rsidP="00B81F15">
      <w:pPr>
        <w:widowControl w:val="0"/>
        <w:rPr>
          <w:rFonts w:ascii="Times New Roman" w:hAnsi="Times New Roman"/>
          <w:bCs/>
          <w:noProof/>
          <w:sz w:val="22"/>
          <w:szCs w:val="22"/>
          <w:lang w:val="en-US"/>
        </w:rPr>
      </w:pPr>
    </w:p>
    <w:p w:rsidR="00E72235" w:rsidRPr="008B2AE9" w:rsidRDefault="00CA50A1" w:rsidP="00F41CB5">
      <w:pPr>
        <w:widowControl w:val="0"/>
        <w:rPr>
          <w:rFonts w:ascii="Times New Roman" w:hAnsi="Times New Roman"/>
          <w:sz w:val="22"/>
          <w:szCs w:val="22"/>
          <w:lang w:val="el-GR"/>
        </w:rPr>
      </w:pPr>
      <w:r>
        <w:rPr>
          <w:rFonts w:ascii="Times New Roman" w:hAnsi="Times New Roman"/>
          <w:bCs/>
          <w:noProof/>
          <w:sz w:val="22"/>
          <w:szCs w:val="22"/>
          <w:lang w:val="el-GR"/>
        </w:rPr>
        <w:lastRenderedPageBreak/>
        <w:t>Οκτώβριος</w:t>
      </w:r>
      <w:r w:rsidRPr="008B2AE9">
        <w:rPr>
          <w:rFonts w:ascii="Times New Roman" w:hAnsi="Times New Roman"/>
          <w:bCs/>
          <w:noProof/>
          <w:sz w:val="22"/>
          <w:szCs w:val="22"/>
          <w:lang w:val="el-GR"/>
        </w:rPr>
        <w:t xml:space="preserve"> </w:t>
      </w:r>
      <w:r w:rsidR="00591A70" w:rsidRPr="008B2AE9">
        <w:rPr>
          <w:rFonts w:ascii="Times New Roman" w:hAnsi="Times New Roman"/>
          <w:bCs/>
          <w:noProof/>
          <w:sz w:val="22"/>
          <w:szCs w:val="22"/>
          <w:lang w:val="el-GR"/>
        </w:rPr>
        <w:t>2015</w:t>
      </w:r>
    </w:p>
    <w:sectPr w:rsidR="00E72235" w:rsidRPr="008B2AE9" w:rsidSect="007471D7">
      <w:headerReference w:type="even" r:id="rId10"/>
      <w:headerReference w:type="default" r:id="rId11"/>
      <w:pgSz w:w="11907" w:h="16840" w:code="9"/>
      <w:pgMar w:top="1134" w:right="1701" w:bottom="1418"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0C16" w:rsidRDefault="00E00C16">
      <w:r>
        <w:separator/>
      </w:r>
    </w:p>
  </w:endnote>
  <w:endnote w:type="continuationSeparator" w:id="0">
    <w:p w:rsidR="00E00C16" w:rsidRDefault="00E00C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HellasArial">
    <w:altName w:val="Courier New"/>
    <w:charset w:val="00"/>
    <w:family w:val="swiss"/>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0C16" w:rsidRDefault="00E00C16">
      <w:r>
        <w:separator/>
      </w:r>
    </w:p>
  </w:footnote>
  <w:footnote w:type="continuationSeparator" w:id="0">
    <w:p w:rsidR="00E00C16" w:rsidRDefault="00E00C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71C" w:rsidRDefault="005F571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F571C" w:rsidRDefault="005F571C">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71C" w:rsidRDefault="005F571C" w:rsidP="00475CBA">
    <w:pPr>
      <w:pStyle w:val="a4"/>
      <w:framePr w:wrap="around" w:vAnchor="text" w:hAnchor="margin" w:xAlign="right" w:y="1"/>
      <w:rPr>
        <w:rFonts w:ascii="Arial" w:hAnsi="Arial" w:cs="Arial"/>
        <w:color w:val="0000FF"/>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268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4BE7395"/>
    <w:multiLevelType w:val="multilevel"/>
    <w:tmpl w:val="127C8B36"/>
    <w:lvl w:ilvl="0">
      <w:start w:val="6"/>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18B7BA9"/>
    <w:multiLevelType w:val="hybridMultilevel"/>
    <w:tmpl w:val="9C4CA91C"/>
    <w:lvl w:ilvl="0" w:tplc="6B82C76C">
      <w:start w:val="2"/>
      <w:numFmt w:val="bullet"/>
      <w:lvlText w:val="-"/>
      <w:lvlJc w:val="left"/>
      <w:pPr>
        <w:tabs>
          <w:tab w:val="num" w:pos="360"/>
        </w:tabs>
        <w:ind w:left="36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2187BCD"/>
    <w:multiLevelType w:val="hybridMultilevel"/>
    <w:tmpl w:val="66B6BD0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F0739DA"/>
    <w:multiLevelType w:val="multilevel"/>
    <w:tmpl w:val="454260A8"/>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7BEE2F79"/>
    <w:multiLevelType w:val="multilevel"/>
    <w:tmpl w:val="E72C1FD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hideGrammaticalErrors/>
  <w:proofState w:grammar="clean"/>
  <w:doNotTrackFormatting/>
  <w:defaultTabStop w:val="72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6B45A7"/>
    <w:rsid w:val="00002C22"/>
    <w:rsid w:val="00007E29"/>
    <w:rsid w:val="00010BBD"/>
    <w:rsid w:val="00021163"/>
    <w:rsid w:val="00022A6B"/>
    <w:rsid w:val="00036A92"/>
    <w:rsid w:val="00043D1A"/>
    <w:rsid w:val="0004629A"/>
    <w:rsid w:val="000465F9"/>
    <w:rsid w:val="000519A7"/>
    <w:rsid w:val="000527CA"/>
    <w:rsid w:val="00061DD3"/>
    <w:rsid w:val="00062B1F"/>
    <w:rsid w:val="000659E7"/>
    <w:rsid w:val="00065CC6"/>
    <w:rsid w:val="00066BEC"/>
    <w:rsid w:val="00077C89"/>
    <w:rsid w:val="00081394"/>
    <w:rsid w:val="0008317A"/>
    <w:rsid w:val="0008583A"/>
    <w:rsid w:val="00087873"/>
    <w:rsid w:val="00092227"/>
    <w:rsid w:val="00096BD4"/>
    <w:rsid w:val="000A3263"/>
    <w:rsid w:val="000A3D66"/>
    <w:rsid w:val="000A4B76"/>
    <w:rsid w:val="000B0F13"/>
    <w:rsid w:val="000B1642"/>
    <w:rsid w:val="000B522E"/>
    <w:rsid w:val="000B5AED"/>
    <w:rsid w:val="000C0E76"/>
    <w:rsid w:val="000C287B"/>
    <w:rsid w:val="000C3784"/>
    <w:rsid w:val="000C3B19"/>
    <w:rsid w:val="000C6A73"/>
    <w:rsid w:val="000D1B6C"/>
    <w:rsid w:val="000D4BE4"/>
    <w:rsid w:val="000D5216"/>
    <w:rsid w:val="000D6630"/>
    <w:rsid w:val="000D67AA"/>
    <w:rsid w:val="000F5D51"/>
    <w:rsid w:val="001029EF"/>
    <w:rsid w:val="001048E9"/>
    <w:rsid w:val="00104FD2"/>
    <w:rsid w:val="00110810"/>
    <w:rsid w:val="00112773"/>
    <w:rsid w:val="001216F2"/>
    <w:rsid w:val="00122FEB"/>
    <w:rsid w:val="0012487B"/>
    <w:rsid w:val="001251F3"/>
    <w:rsid w:val="00125213"/>
    <w:rsid w:val="00127218"/>
    <w:rsid w:val="001321CE"/>
    <w:rsid w:val="00151A71"/>
    <w:rsid w:val="001520AC"/>
    <w:rsid w:val="0015780A"/>
    <w:rsid w:val="00157C5F"/>
    <w:rsid w:val="001614D8"/>
    <w:rsid w:val="001625FC"/>
    <w:rsid w:val="00164339"/>
    <w:rsid w:val="00164AF7"/>
    <w:rsid w:val="00165498"/>
    <w:rsid w:val="00167E45"/>
    <w:rsid w:val="00171230"/>
    <w:rsid w:val="001724D3"/>
    <w:rsid w:val="001779AA"/>
    <w:rsid w:val="0018135B"/>
    <w:rsid w:val="001831FC"/>
    <w:rsid w:val="00184070"/>
    <w:rsid w:val="00184353"/>
    <w:rsid w:val="00184385"/>
    <w:rsid w:val="00186702"/>
    <w:rsid w:val="00190A8E"/>
    <w:rsid w:val="00191510"/>
    <w:rsid w:val="00194BC4"/>
    <w:rsid w:val="00197AF7"/>
    <w:rsid w:val="001B0A19"/>
    <w:rsid w:val="001B0B5A"/>
    <w:rsid w:val="001B2C64"/>
    <w:rsid w:val="001B7A99"/>
    <w:rsid w:val="001C01C5"/>
    <w:rsid w:val="001C07C7"/>
    <w:rsid w:val="001C1209"/>
    <w:rsid w:val="001C27FE"/>
    <w:rsid w:val="001C3CD7"/>
    <w:rsid w:val="001D5414"/>
    <w:rsid w:val="001E08E2"/>
    <w:rsid w:val="001E2F15"/>
    <w:rsid w:val="001F0592"/>
    <w:rsid w:val="001F6DC0"/>
    <w:rsid w:val="001F6FB7"/>
    <w:rsid w:val="00203296"/>
    <w:rsid w:val="00210757"/>
    <w:rsid w:val="00212910"/>
    <w:rsid w:val="00217099"/>
    <w:rsid w:val="00226965"/>
    <w:rsid w:val="00233414"/>
    <w:rsid w:val="0024136A"/>
    <w:rsid w:val="00242304"/>
    <w:rsid w:val="0024534C"/>
    <w:rsid w:val="002453EE"/>
    <w:rsid w:val="00247BAD"/>
    <w:rsid w:val="00252108"/>
    <w:rsid w:val="002539D7"/>
    <w:rsid w:val="00256828"/>
    <w:rsid w:val="00262CEB"/>
    <w:rsid w:val="002655D9"/>
    <w:rsid w:val="00267E10"/>
    <w:rsid w:val="00270C3B"/>
    <w:rsid w:val="00272161"/>
    <w:rsid w:val="002730FF"/>
    <w:rsid w:val="0027621B"/>
    <w:rsid w:val="002824EE"/>
    <w:rsid w:val="00282792"/>
    <w:rsid w:val="0028307B"/>
    <w:rsid w:val="00283B99"/>
    <w:rsid w:val="00284261"/>
    <w:rsid w:val="0029091C"/>
    <w:rsid w:val="00292516"/>
    <w:rsid w:val="00295DF4"/>
    <w:rsid w:val="002A2849"/>
    <w:rsid w:val="002B1F35"/>
    <w:rsid w:val="002B4278"/>
    <w:rsid w:val="002B507F"/>
    <w:rsid w:val="002B5206"/>
    <w:rsid w:val="002C1F1C"/>
    <w:rsid w:val="002C1FD7"/>
    <w:rsid w:val="002C3981"/>
    <w:rsid w:val="002C7EF7"/>
    <w:rsid w:val="002D00E6"/>
    <w:rsid w:val="002D5762"/>
    <w:rsid w:val="002D5E6E"/>
    <w:rsid w:val="002D74EB"/>
    <w:rsid w:val="002D782A"/>
    <w:rsid w:val="002F3EF8"/>
    <w:rsid w:val="002F5806"/>
    <w:rsid w:val="002F6183"/>
    <w:rsid w:val="002F6B53"/>
    <w:rsid w:val="002F7D45"/>
    <w:rsid w:val="0030583B"/>
    <w:rsid w:val="00306B08"/>
    <w:rsid w:val="00306B2C"/>
    <w:rsid w:val="00312C05"/>
    <w:rsid w:val="00313F61"/>
    <w:rsid w:val="003167CB"/>
    <w:rsid w:val="003173E6"/>
    <w:rsid w:val="003177E1"/>
    <w:rsid w:val="00321CC1"/>
    <w:rsid w:val="00324E84"/>
    <w:rsid w:val="00326CC3"/>
    <w:rsid w:val="00330F1C"/>
    <w:rsid w:val="00331548"/>
    <w:rsid w:val="00331F57"/>
    <w:rsid w:val="00333BC5"/>
    <w:rsid w:val="00334ED4"/>
    <w:rsid w:val="00336552"/>
    <w:rsid w:val="00345AC9"/>
    <w:rsid w:val="00347FA0"/>
    <w:rsid w:val="00350F5A"/>
    <w:rsid w:val="0035189B"/>
    <w:rsid w:val="003570E0"/>
    <w:rsid w:val="003578AC"/>
    <w:rsid w:val="003631DE"/>
    <w:rsid w:val="00365878"/>
    <w:rsid w:val="00367FE3"/>
    <w:rsid w:val="0038126F"/>
    <w:rsid w:val="00391240"/>
    <w:rsid w:val="00393CBC"/>
    <w:rsid w:val="00395CB4"/>
    <w:rsid w:val="00397030"/>
    <w:rsid w:val="00397168"/>
    <w:rsid w:val="003A0DB9"/>
    <w:rsid w:val="003A577D"/>
    <w:rsid w:val="003A618E"/>
    <w:rsid w:val="003A664D"/>
    <w:rsid w:val="003B70B5"/>
    <w:rsid w:val="003B7C7D"/>
    <w:rsid w:val="003C4C0B"/>
    <w:rsid w:val="003C6993"/>
    <w:rsid w:val="003D0864"/>
    <w:rsid w:val="003D2049"/>
    <w:rsid w:val="003D2347"/>
    <w:rsid w:val="003D3432"/>
    <w:rsid w:val="003D4BF7"/>
    <w:rsid w:val="003D7CA7"/>
    <w:rsid w:val="003E316C"/>
    <w:rsid w:val="003E6259"/>
    <w:rsid w:val="003F1598"/>
    <w:rsid w:val="003F2B09"/>
    <w:rsid w:val="003F3AAE"/>
    <w:rsid w:val="003F4DD8"/>
    <w:rsid w:val="003F5451"/>
    <w:rsid w:val="00400563"/>
    <w:rsid w:val="004010CD"/>
    <w:rsid w:val="00404218"/>
    <w:rsid w:val="00405855"/>
    <w:rsid w:val="00407B21"/>
    <w:rsid w:val="00412608"/>
    <w:rsid w:val="00431943"/>
    <w:rsid w:val="0043378B"/>
    <w:rsid w:val="00435014"/>
    <w:rsid w:val="004401D7"/>
    <w:rsid w:val="00440EA5"/>
    <w:rsid w:val="004418FC"/>
    <w:rsid w:val="00444788"/>
    <w:rsid w:val="004477F0"/>
    <w:rsid w:val="0045017A"/>
    <w:rsid w:val="00457214"/>
    <w:rsid w:val="00464EF0"/>
    <w:rsid w:val="00473D32"/>
    <w:rsid w:val="00474CA6"/>
    <w:rsid w:val="00475A28"/>
    <w:rsid w:val="00475B07"/>
    <w:rsid w:val="00475CBA"/>
    <w:rsid w:val="004800A5"/>
    <w:rsid w:val="00482855"/>
    <w:rsid w:val="00484271"/>
    <w:rsid w:val="00492689"/>
    <w:rsid w:val="004A1864"/>
    <w:rsid w:val="004A3F1C"/>
    <w:rsid w:val="004A4789"/>
    <w:rsid w:val="004B278E"/>
    <w:rsid w:val="004B2AEC"/>
    <w:rsid w:val="004B4B0B"/>
    <w:rsid w:val="004B788A"/>
    <w:rsid w:val="004C27EC"/>
    <w:rsid w:val="004C2CB1"/>
    <w:rsid w:val="004C35A3"/>
    <w:rsid w:val="004C458A"/>
    <w:rsid w:val="004C51DD"/>
    <w:rsid w:val="004D1EE8"/>
    <w:rsid w:val="004D2DF0"/>
    <w:rsid w:val="004D349B"/>
    <w:rsid w:val="004D464F"/>
    <w:rsid w:val="004D546A"/>
    <w:rsid w:val="00506E50"/>
    <w:rsid w:val="0051333C"/>
    <w:rsid w:val="0052128B"/>
    <w:rsid w:val="00522CF0"/>
    <w:rsid w:val="00523888"/>
    <w:rsid w:val="00525518"/>
    <w:rsid w:val="00532C0C"/>
    <w:rsid w:val="00536309"/>
    <w:rsid w:val="0053736B"/>
    <w:rsid w:val="00537A21"/>
    <w:rsid w:val="00540B1E"/>
    <w:rsid w:val="00542495"/>
    <w:rsid w:val="00542BC4"/>
    <w:rsid w:val="00543268"/>
    <w:rsid w:val="00545CC6"/>
    <w:rsid w:val="00546E97"/>
    <w:rsid w:val="0055098A"/>
    <w:rsid w:val="00550CEB"/>
    <w:rsid w:val="00564BBD"/>
    <w:rsid w:val="00565183"/>
    <w:rsid w:val="00576F2F"/>
    <w:rsid w:val="00585B9B"/>
    <w:rsid w:val="00586AE2"/>
    <w:rsid w:val="00591A70"/>
    <w:rsid w:val="00593423"/>
    <w:rsid w:val="00594EE7"/>
    <w:rsid w:val="00595DB9"/>
    <w:rsid w:val="005A6FF6"/>
    <w:rsid w:val="005B0102"/>
    <w:rsid w:val="005B1825"/>
    <w:rsid w:val="005B2F33"/>
    <w:rsid w:val="005C0595"/>
    <w:rsid w:val="005D18F1"/>
    <w:rsid w:val="005D5D98"/>
    <w:rsid w:val="005E03EA"/>
    <w:rsid w:val="005E1EF6"/>
    <w:rsid w:val="005E27CB"/>
    <w:rsid w:val="005E65BD"/>
    <w:rsid w:val="005F1DBD"/>
    <w:rsid w:val="005F298E"/>
    <w:rsid w:val="005F5571"/>
    <w:rsid w:val="005F571C"/>
    <w:rsid w:val="00600B7D"/>
    <w:rsid w:val="00601440"/>
    <w:rsid w:val="00602C6E"/>
    <w:rsid w:val="00602D67"/>
    <w:rsid w:val="00602FDE"/>
    <w:rsid w:val="0060458E"/>
    <w:rsid w:val="006217D4"/>
    <w:rsid w:val="00627375"/>
    <w:rsid w:val="00632020"/>
    <w:rsid w:val="006329ED"/>
    <w:rsid w:val="00634843"/>
    <w:rsid w:val="00635557"/>
    <w:rsid w:val="006359D2"/>
    <w:rsid w:val="00646533"/>
    <w:rsid w:val="00647FDF"/>
    <w:rsid w:val="006506F4"/>
    <w:rsid w:val="00654DED"/>
    <w:rsid w:val="006553E5"/>
    <w:rsid w:val="006571CF"/>
    <w:rsid w:val="00661716"/>
    <w:rsid w:val="00662B64"/>
    <w:rsid w:val="00665153"/>
    <w:rsid w:val="00666441"/>
    <w:rsid w:val="00670C15"/>
    <w:rsid w:val="006713B2"/>
    <w:rsid w:val="00671922"/>
    <w:rsid w:val="00672EC4"/>
    <w:rsid w:val="006774AA"/>
    <w:rsid w:val="006808DE"/>
    <w:rsid w:val="00683B2F"/>
    <w:rsid w:val="00684A92"/>
    <w:rsid w:val="00692C29"/>
    <w:rsid w:val="00694BD7"/>
    <w:rsid w:val="00696200"/>
    <w:rsid w:val="006965CA"/>
    <w:rsid w:val="006A43D7"/>
    <w:rsid w:val="006B15C0"/>
    <w:rsid w:val="006B320E"/>
    <w:rsid w:val="006B45A7"/>
    <w:rsid w:val="006C007A"/>
    <w:rsid w:val="006C1D8A"/>
    <w:rsid w:val="006C1D9B"/>
    <w:rsid w:val="006C424F"/>
    <w:rsid w:val="006C628C"/>
    <w:rsid w:val="006C666C"/>
    <w:rsid w:val="006D0F5C"/>
    <w:rsid w:val="006D3133"/>
    <w:rsid w:val="006D58F7"/>
    <w:rsid w:val="006D59E3"/>
    <w:rsid w:val="006D6EB4"/>
    <w:rsid w:val="006E2CF1"/>
    <w:rsid w:val="006E61B3"/>
    <w:rsid w:val="006F1226"/>
    <w:rsid w:val="006F2923"/>
    <w:rsid w:val="006F2F2A"/>
    <w:rsid w:val="006F7A28"/>
    <w:rsid w:val="00700586"/>
    <w:rsid w:val="00705720"/>
    <w:rsid w:val="00710C8E"/>
    <w:rsid w:val="00713D8E"/>
    <w:rsid w:val="00717364"/>
    <w:rsid w:val="00722BA5"/>
    <w:rsid w:val="0073003C"/>
    <w:rsid w:val="00730141"/>
    <w:rsid w:val="00733994"/>
    <w:rsid w:val="007361C2"/>
    <w:rsid w:val="0074096E"/>
    <w:rsid w:val="0074711A"/>
    <w:rsid w:val="007471D7"/>
    <w:rsid w:val="00754CA8"/>
    <w:rsid w:val="007561B2"/>
    <w:rsid w:val="00760C3C"/>
    <w:rsid w:val="00760C58"/>
    <w:rsid w:val="00761F24"/>
    <w:rsid w:val="007630E0"/>
    <w:rsid w:val="00765C76"/>
    <w:rsid w:val="00767108"/>
    <w:rsid w:val="00772C5B"/>
    <w:rsid w:val="00772D3F"/>
    <w:rsid w:val="00773CDA"/>
    <w:rsid w:val="00773E69"/>
    <w:rsid w:val="00780518"/>
    <w:rsid w:val="00781733"/>
    <w:rsid w:val="00781EA6"/>
    <w:rsid w:val="007965CA"/>
    <w:rsid w:val="007A44DE"/>
    <w:rsid w:val="007A6A5B"/>
    <w:rsid w:val="007B2D52"/>
    <w:rsid w:val="007B31EB"/>
    <w:rsid w:val="007B34E3"/>
    <w:rsid w:val="007B36AF"/>
    <w:rsid w:val="007B3EE3"/>
    <w:rsid w:val="007C07DF"/>
    <w:rsid w:val="007C2887"/>
    <w:rsid w:val="007C5E49"/>
    <w:rsid w:val="007D2877"/>
    <w:rsid w:val="007D7FC9"/>
    <w:rsid w:val="007E0F2B"/>
    <w:rsid w:val="007E3133"/>
    <w:rsid w:val="007E5E35"/>
    <w:rsid w:val="007E692E"/>
    <w:rsid w:val="007E7C71"/>
    <w:rsid w:val="007F04C9"/>
    <w:rsid w:val="007F7BC7"/>
    <w:rsid w:val="00813154"/>
    <w:rsid w:val="00815849"/>
    <w:rsid w:val="00824932"/>
    <w:rsid w:val="00825509"/>
    <w:rsid w:val="00830685"/>
    <w:rsid w:val="00847EDD"/>
    <w:rsid w:val="008530BF"/>
    <w:rsid w:val="0085311E"/>
    <w:rsid w:val="008568A1"/>
    <w:rsid w:val="008610CC"/>
    <w:rsid w:val="00862278"/>
    <w:rsid w:val="0086472E"/>
    <w:rsid w:val="0086536A"/>
    <w:rsid w:val="00866B7C"/>
    <w:rsid w:val="0087399E"/>
    <w:rsid w:val="008877F3"/>
    <w:rsid w:val="0089429B"/>
    <w:rsid w:val="008979FA"/>
    <w:rsid w:val="008A7973"/>
    <w:rsid w:val="008B2AE9"/>
    <w:rsid w:val="008B4261"/>
    <w:rsid w:val="008B5CA0"/>
    <w:rsid w:val="008B6211"/>
    <w:rsid w:val="008C3558"/>
    <w:rsid w:val="008C4877"/>
    <w:rsid w:val="008D08E4"/>
    <w:rsid w:val="008D0DDA"/>
    <w:rsid w:val="008D166E"/>
    <w:rsid w:val="008D1F86"/>
    <w:rsid w:val="008D2300"/>
    <w:rsid w:val="008D59D5"/>
    <w:rsid w:val="008E4884"/>
    <w:rsid w:val="00900309"/>
    <w:rsid w:val="00904F8E"/>
    <w:rsid w:val="00905548"/>
    <w:rsid w:val="00905690"/>
    <w:rsid w:val="00906193"/>
    <w:rsid w:val="009073AD"/>
    <w:rsid w:val="009101FB"/>
    <w:rsid w:val="00913600"/>
    <w:rsid w:val="0091745F"/>
    <w:rsid w:val="0091762B"/>
    <w:rsid w:val="0092321B"/>
    <w:rsid w:val="00925A7F"/>
    <w:rsid w:val="009278EE"/>
    <w:rsid w:val="009358D4"/>
    <w:rsid w:val="00936E34"/>
    <w:rsid w:val="00940135"/>
    <w:rsid w:val="0094198C"/>
    <w:rsid w:val="00947986"/>
    <w:rsid w:val="00953CE1"/>
    <w:rsid w:val="00961111"/>
    <w:rsid w:val="00962ED3"/>
    <w:rsid w:val="00967936"/>
    <w:rsid w:val="00970678"/>
    <w:rsid w:val="00970BC2"/>
    <w:rsid w:val="00971974"/>
    <w:rsid w:val="00971B9A"/>
    <w:rsid w:val="0097229D"/>
    <w:rsid w:val="00974840"/>
    <w:rsid w:val="009755F5"/>
    <w:rsid w:val="00975DF8"/>
    <w:rsid w:val="009772A2"/>
    <w:rsid w:val="00985B17"/>
    <w:rsid w:val="00993580"/>
    <w:rsid w:val="009961B1"/>
    <w:rsid w:val="009B0D6D"/>
    <w:rsid w:val="009B19DE"/>
    <w:rsid w:val="009B684E"/>
    <w:rsid w:val="009B7296"/>
    <w:rsid w:val="009C077B"/>
    <w:rsid w:val="009C17AB"/>
    <w:rsid w:val="009C29A0"/>
    <w:rsid w:val="009C32B0"/>
    <w:rsid w:val="009D37C7"/>
    <w:rsid w:val="009D5485"/>
    <w:rsid w:val="009E4A81"/>
    <w:rsid w:val="009F13F2"/>
    <w:rsid w:val="009F196B"/>
    <w:rsid w:val="009F1C49"/>
    <w:rsid w:val="009F1CC5"/>
    <w:rsid w:val="009F2682"/>
    <w:rsid w:val="009F64DE"/>
    <w:rsid w:val="00A024FF"/>
    <w:rsid w:val="00A025F2"/>
    <w:rsid w:val="00A0669C"/>
    <w:rsid w:val="00A07085"/>
    <w:rsid w:val="00A07A66"/>
    <w:rsid w:val="00A11FB2"/>
    <w:rsid w:val="00A22580"/>
    <w:rsid w:val="00A22871"/>
    <w:rsid w:val="00A231CE"/>
    <w:rsid w:val="00A234BD"/>
    <w:rsid w:val="00A278B1"/>
    <w:rsid w:val="00A3747F"/>
    <w:rsid w:val="00A409D8"/>
    <w:rsid w:val="00A4679E"/>
    <w:rsid w:val="00A54C8B"/>
    <w:rsid w:val="00A6027D"/>
    <w:rsid w:val="00A67547"/>
    <w:rsid w:val="00A7215D"/>
    <w:rsid w:val="00A73C5F"/>
    <w:rsid w:val="00A80412"/>
    <w:rsid w:val="00A81E33"/>
    <w:rsid w:val="00A8271D"/>
    <w:rsid w:val="00A847FD"/>
    <w:rsid w:val="00A916D9"/>
    <w:rsid w:val="00A96E09"/>
    <w:rsid w:val="00AA0091"/>
    <w:rsid w:val="00AA071A"/>
    <w:rsid w:val="00AA14D7"/>
    <w:rsid w:val="00AA169A"/>
    <w:rsid w:val="00AA62AE"/>
    <w:rsid w:val="00AA781E"/>
    <w:rsid w:val="00AB23B7"/>
    <w:rsid w:val="00AB38A0"/>
    <w:rsid w:val="00AB431D"/>
    <w:rsid w:val="00AC1212"/>
    <w:rsid w:val="00AD655B"/>
    <w:rsid w:val="00AE7918"/>
    <w:rsid w:val="00AF36BE"/>
    <w:rsid w:val="00AF443E"/>
    <w:rsid w:val="00AF5062"/>
    <w:rsid w:val="00AF64C2"/>
    <w:rsid w:val="00B06BAC"/>
    <w:rsid w:val="00B223BD"/>
    <w:rsid w:val="00B26978"/>
    <w:rsid w:val="00B26A66"/>
    <w:rsid w:val="00B34EDD"/>
    <w:rsid w:val="00B35418"/>
    <w:rsid w:val="00B3685B"/>
    <w:rsid w:val="00B4222D"/>
    <w:rsid w:val="00B44A11"/>
    <w:rsid w:val="00B51BC0"/>
    <w:rsid w:val="00B55F58"/>
    <w:rsid w:val="00B57B6D"/>
    <w:rsid w:val="00B601E5"/>
    <w:rsid w:val="00B7544F"/>
    <w:rsid w:val="00B75797"/>
    <w:rsid w:val="00B77D75"/>
    <w:rsid w:val="00B81F15"/>
    <w:rsid w:val="00B825DE"/>
    <w:rsid w:val="00B82643"/>
    <w:rsid w:val="00B85F4B"/>
    <w:rsid w:val="00B86877"/>
    <w:rsid w:val="00B9310E"/>
    <w:rsid w:val="00B97F91"/>
    <w:rsid w:val="00BA7C06"/>
    <w:rsid w:val="00BB0310"/>
    <w:rsid w:val="00BB1862"/>
    <w:rsid w:val="00BB1AAB"/>
    <w:rsid w:val="00BB5B68"/>
    <w:rsid w:val="00BB5E46"/>
    <w:rsid w:val="00BC2352"/>
    <w:rsid w:val="00BC41D8"/>
    <w:rsid w:val="00BC7860"/>
    <w:rsid w:val="00BD09D2"/>
    <w:rsid w:val="00BD2579"/>
    <w:rsid w:val="00BD329E"/>
    <w:rsid w:val="00BD4D40"/>
    <w:rsid w:val="00BD4E8C"/>
    <w:rsid w:val="00BE294E"/>
    <w:rsid w:val="00BE49CA"/>
    <w:rsid w:val="00BE6220"/>
    <w:rsid w:val="00BF1494"/>
    <w:rsid w:val="00BF3924"/>
    <w:rsid w:val="00BF4EC8"/>
    <w:rsid w:val="00BF68F5"/>
    <w:rsid w:val="00C03607"/>
    <w:rsid w:val="00C139C5"/>
    <w:rsid w:val="00C142C3"/>
    <w:rsid w:val="00C17093"/>
    <w:rsid w:val="00C20EB5"/>
    <w:rsid w:val="00C21638"/>
    <w:rsid w:val="00C21A96"/>
    <w:rsid w:val="00C26728"/>
    <w:rsid w:val="00C307B9"/>
    <w:rsid w:val="00C341A9"/>
    <w:rsid w:val="00C41A97"/>
    <w:rsid w:val="00C4559E"/>
    <w:rsid w:val="00C4733B"/>
    <w:rsid w:val="00C512FE"/>
    <w:rsid w:val="00C5132A"/>
    <w:rsid w:val="00C5200A"/>
    <w:rsid w:val="00C52D72"/>
    <w:rsid w:val="00C54602"/>
    <w:rsid w:val="00C5752D"/>
    <w:rsid w:val="00C61288"/>
    <w:rsid w:val="00C62111"/>
    <w:rsid w:val="00C6366A"/>
    <w:rsid w:val="00C646B0"/>
    <w:rsid w:val="00C67B11"/>
    <w:rsid w:val="00C74122"/>
    <w:rsid w:val="00C74F4E"/>
    <w:rsid w:val="00C75D42"/>
    <w:rsid w:val="00C7603F"/>
    <w:rsid w:val="00C81685"/>
    <w:rsid w:val="00C81AC0"/>
    <w:rsid w:val="00C84CD2"/>
    <w:rsid w:val="00C86AF3"/>
    <w:rsid w:val="00CA50A1"/>
    <w:rsid w:val="00CA5E89"/>
    <w:rsid w:val="00CA700A"/>
    <w:rsid w:val="00CA7D60"/>
    <w:rsid w:val="00CB17D4"/>
    <w:rsid w:val="00CB1E36"/>
    <w:rsid w:val="00CB1F90"/>
    <w:rsid w:val="00CB5938"/>
    <w:rsid w:val="00CB70A6"/>
    <w:rsid w:val="00CC14A4"/>
    <w:rsid w:val="00CC2C85"/>
    <w:rsid w:val="00CC3277"/>
    <w:rsid w:val="00CD00F6"/>
    <w:rsid w:val="00CD0F3F"/>
    <w:rsid w:val="00CD4612"/>
    <w:rsid w:val="00CD7DDF"/>
    <w:rsid w:val="00CD7FF5"/>
    <w:rsid w:val="00CE0AC1"/>
    <w:rsid w:val="00CE1C60"/>
    <w:rsid w:val="00CE7F8C"/>
    <w:rsid w:val="00CF095B"/>
    <w:rsid w:val="00CF37FE"/>
    <w:rsid w:val="00CF669C"/>
    <w:rsid w:val="00CF6BED"/>
    <w:rsid w:val="00D07868"/>
    <w:rsid w:val="00D1029F"/>
    <w:rsid w:val="00D10D6E"/>
    <w:rsid w:val="00D10E27"/>
    <w:rsid w:val="00D16E97"/>
    <w:rsid w:val="00D21CDC"/>
    <w:rsid w:val="00D222BA"/>
    <w:rsid w:val="00D22795"/>
    <w:rsid w:val="00D26AED"/>
    <w:rsid w:val="00D26EC3"/>
    <w:rsid w:val="00D27EF1"/>
    <w:rsid w:val="00D30147"/>
    <w:rsid w:val="00D311D0"/>
    <w:rsid w:val="00D363F8"/>
    <w:rsid w:val="00D37588"/>
    <w:rsid w:val="00D451D3"/>
    <w:rsid w:val="00D4706F"/>
    <w:rsid w:val="00D515CF"/>
    <w:rsid w:val="00D5187F"/>
    <w:rsid w:val="00D54933"/>
    <w:rsid w:val="00D56263"/>
    <w:rsid w:val="00D634F7"/>
    <w:rsid w:val="00D67627"/>
    <w:rsid w:val="00D679F2"/>
    <w:rsid w:val="00D718AE"/>
    <w:rsid w:val="00D7227D"/>
    <w:rsid w:val="00D743BC"/>
    <w:rsid w:val="00D76FC6"/>
    <w:rsid w:val="00D771DA"/>
    <w:rsid w:val="00D7781E"/>
    <w:rsid w:val="00D77C4D"/>
    <w:rsid w:val="00D81444"/>
    <w:rsid w:val="00D8725A"/>
    <w:rsid w:val="00D904B5"/>
    <w:rsid w:val="00D91F79"/>
    <w:rsid w:val="00D92CBE"/>
    <w:rsid w:val="00D96E90"/>
    <w:rsid w:val="00D97291"/>
    <w:rsid w:val="00D97354"/>
    <w:rsid w:val="00DA1850"/>
    <w:rsid w:val="00DA6280"/>
    <w:rsid w:val="00DB3F90"/>
    <w:rsid w:val="00DC0DF0"/>
    <w:rsid w:val="00DC41E8"/>
    <w:rsid w:val="00DD1B30"/>
    <w:rsid w:val="00DD2C0B"/>
    <w:rsid w:val="00DD41B3"/>
    <w:rsid w:val="00DD56A4"/>
    <w:rsid w:val="00DD6AA0"/>
    <w:rsid w:val="00DE5483"/>
    <w:rsid w:val="00DF0A15"/>
    <w:rsid w:val="00DF16D5"/>
    <w:rsid w:val="00DF3A45"/>
    <w:rsid w:val="00DF3C6C"/>
    <w:rsid w:val="00E00C16"/>
    <w:rsid w:val="00E0513D"/>
    <w:rsid w:val="00E054DA"/>
    <w:rsid w:val="00E07C81"/>
    <w:rsid w:val="00E121C8"/>
    <w:rsid w:val="00E12631"/>
    <w:rsid w:val="00E15EA2"/>
    <w:rsid w:val="00E20FCE"/>
    <w:rsid w:val="00E27C25"/>
    <w:rsid w:val="00E34C76"/>
    <w:rsid w:val="00E37246"/>
    <w:rsid w:val="00E3742B"/>
    <w:rsid w:val="00E506B1"/>
    <w:rsid w:val="00E55B84"/>
    <w:rsid w:val="00E57866"/>
    <w:rsid w:val="00E61F18"/>
    <w:rsid w:val="00E70EBE"/>
    <w:rsid w:val="00E72235"/>
    <w:rsid w:val="00E74E4E"/>
    <w:rsid w:val="00E74F15"/>
    <w:rsid w:val="00E77B8A"/>
    <w:rsid w:val="00E80BE5"/>
    <w:rsid w:val="00E8208C"/>
    <w:rsid w:val="00E85AAF"/>
    <w:rsid w:val="00E928A8"/>
    <w:rsid w:val="00E93722"/>
    <w:rsid w:val="00E93834"/>
    <w:rsid w:val="00E93A9F"/>
    <w:rsid w:val="00E9492C"/>
    <w:rsid w:val="00E9527D"/>
    <w:rsid w:val="00E96DF8"/>
    <w:rsid w:val="00E9754F"/>
    <w:rsid w:val="00EA4F2E"/>
    <w:rsid w:val="00EA7302"/>
    <w:rsid w:val="00EB0597"/>
    <w:rsid w:val="00EB3F4A"/>
    <w:rsid w:val="00EC2DE3"/>
    <w:rsid w:val="00EC39CB"/>
    <w:rsid w:val="00EC53C5"/>
    <w:rsid w:val="00ED04CE"/>
    <w:rsid w:val="00ED3CAB"/>
    <w:rsid w:val="00ED3F7E"/>
    <w:rsid w:val="00ED7B45"/>
    <w:rsid w:val="00EE049B"/>
    <w:rsid w:val="00EF0BC6"/>
    <w:rsid w:val="00EF25A6"/>
    <w:rsid w:val="00EF4E44"/>
    <w:rsid w:val="00EF6920"/>
    <w:rsid w:val="00EF6F6D"/>
    <w:rsid w:val="00F033A8"/>
    <w:rsid w:val="00F06312"/>
    <w:rsid w:val="00F06BBE"/>
    <w:rsid w:val="00F14249"/>
    <w:rsid w:val="00F15C82"/>
    <w:rsid w:val="00F20D07"/>
    <w:rsid w:val="00F234ED"/>
    <w:rsid w:val="00F24D08"/>
    <w:rsid w:val="00F3087F"/>
    <w:rsid w:val="00F36D11"/>
    <w:rsid w:val="00F373E8"/>
    <w:rsid w:val="00F37DD0"/>
    <w:rsid w:val="00F41CB5"/>
    <w:rsid w:val="00F55275"/>
    <w:rsid w:val="00F556DC"/>
    <w:rsid w:val="00F56212"/>
    <w:rsid w:val="00F5644E"/>
    <w:rsid w:val="00F56FDE"/>
    <w:rsid w:val="00F62CA5"/>
    <w:rsid w:val="00F6410F"/>
    <w:rsid w:val="00F84C82"/>
    <w:rsid w:val="00F854B0"/>
    <w:rsid w:val="00F90AF5"/>
    <w:rsid w:val="00F93E16"/>
    <w:rsid w:val="00F94A0A"/>
    <w:rsid w:val="00FA2132"/>
    <w:rsid w:val="00FA40AD"/>
    <w:rsid w:val="00FB4205"/>
    <w:rsid w:val="00FB51F6"/>
    <w:rsid w:val="00FB7194"/>
    <w:rsid w:val="00FC02EE"/>
    <w:rsid w:val="00FC51D7"/>
    <w:rsid w:val="00FE1143"/>
    <w:rsid w:val="00FE3A88"/>
    <w:rsid w:val="00FE5703"/>
    <w:rsid w:val="00FF13A2"/>
    <w:rsid w:val="00FF4A21"/>
    <w:rsid w:val="00FF6EF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HellasArial" w:hAnsi="HellasArial"/>
      <w:lang w:val="en-GB" w:eastAsia="en-US"/>
    </w:rPr>
  </w:style>
  <w:style w:type="paragraph" w:styleId="1">
    <w:name w:val="heading 1"/>
    <w:basedOn w:val="a"/>
    <w:next w:val="a"/>
    <w:qFormat/>
    <w:pPr>
      <w:keepNext/>
      <w:spacing w:line="360" w:lineRule="atLeast"/>
      <w:outlineLvl w:val="0"/>
    </w:pPr>
    <w:rPr>
      <w:rFonts w:ascii="Arial" w:hAnsi="Arial"/>
      <w:sz w:val="24"/>
      <w:lang w:val="el-GR"/>
    </w:rPr>
  </w:style>
  <w:style w:type="paragraph" w:styleId="2">
    <w:name w:val="heading 2"/>
    <w:basedOn w:val="a"/>
    <w:next w:val="a"/>
    <w:qFormat/>
    <w:pPr>
      <w:keepNext/>
      <w:spacing w:line="360" w:lineRule="atLeast"/>
      <w:outlineLvl w:val="1"/>
    </w:pPr>
    <w:rPr>
      <w:rFonts w:ascii="Arial" w:hAnsi="Arial"/>
      <w:i/>
      <w:sz w:val="24"/>
      <w:lang w:val="el-GR"/>
    </w:rPr>
  </w:style>
  <w:style w:type="paragraph" w:styleId="3">
    <w:name w:val="heading 3"/>
    <w:basedOn w:val="a"/>
    <w:next w:val="a"/>
    <w:qFormat/>
    <w:pPr>
      <w:keepNext/>
      <w:spacing w:line="360" w:lineRule="atLeast"/>
      <w:jc w:val="both"/>
      <w:outlineLvl w:val="2"/>
    </w:pPr>
    <w:rPr>
      <w:rFonts w:ascii="Arial" w:hAnsi="Arial"/>
      <w:i/>
      <w:sz w:val="24"/>
      <w:lang w:val="el-GR"/>
    </w:rPr>
  </w:style>
  <w:style w:type="paragraph" w:styleId="4">
    <w:name w:val="heading 4"/>
    <w:basedOn w:val="a"/>
    <w:next w:val="a"/>
    <w:qFormat/>
    <w:pPr>
      <w:keepNext/>
      <w:spacing w:line="360" w:lineRule="auto"/>
      <w:outlineLvl w:val="3"/>
    </w:pPr>
    <w:rPr>
      <w:rFonts w:ascii="Arial" w:hAnsi="Arial"/>
      <w:b/>
      <w:spacing w:val="40"/>
      <w:sz w:val="24"/>
      <w:u w:val="double"/>
    </w:rPr>
  </w:style>
  <w:style w:type="paragraph" w:styleId="5">
    <w:name w:val="heading 5"/>
    <w:basedOn w:val="a"/>
    <w:next w:val="a"/>
    <w:qFormat/>
    <w:pPr>
      <w:keepNext/>
      <w:spacing w:line="360" w:lineRule="atLeast"/>
      <w:jc w:val="both"/>
      <w:outlineLvl w:val="4"/>
    </w:pPr>
    <w:rPr>
      <w:rFonts w:ascii="Arial" w:hAnsi="Arial"/>
      <w:i/>
      <w:sz w:val="24"/>
      <w:u w:val="single"/>
      <w:lang w:val="el-GR"/>
    </w:rPr>
  </w:style>
  <w:style w:type="paragraph" w:styleId="6">
    <w:name w:val="heading 6"/>
    <w:basedOn w:val="a"/>
    <w:next w:val="a"/>
    <w:qFormat/>
    <w:pPr>
      <w:keepNext/>
      <w:spacing w:line="360" w:lineRule="atLeast"/>
      <w:outlineLvl w:val="5"/>
    </w:pPr>
    <w:rPr>
      <w:rFonts w:ascii="Arial" w:hAnsi="Arial"/>
      <w:b/>
      <w:i/>
      <w:color w:val="0000FF"/>
      <w:sz w:val="24"/>
      <w:lang w:val="el-GR"/>
    </w:rPr>
  </w:style>
  <w:style w:type="paragraph" w:styleId="7">
    <w:name w:val="heading 7"/>
    <w:basedOn w:val="a"/>
    <w:next w:val="a"/>
    <w:qFormat/>
    <w:pPr>
      <w:keepNext/>
      <w:spacing w:line="360" w:lineRule="atLeast"/>
      <w:jc w:val="both"/>
      <w:outlineLvl w:val="6"/>
    </w:pPr>
    <w:rPr>
      <w:rFonts w:ascii="Arial" w:hAnsi="Arial"/>
      <w:color w:val="FF0000"/>
      <w:sz w:val="24"/>
      <w:lang w:val="el-GR"/>
    </w:rPr>
  </w:style>
  <w:style w:type="paragraph" w:styleId="8">
    <w:name w:val="heading 8"/>
    <w:basedOn w:val="a"/>
    <w:next w:val="a"/>
    <w:qFormat/>
    <w:pPr>
      <w:keepNext/>
      <w:spacing w:line="360" w:lineRule="atLeast"/>
      <w:jc w:val="both"/>
      <w:outlineLvl w:val="7"/>
    </w:pPr>
    <w:rPr>
      <w:rFonts w:ascii="Arial" w:hAnsi="Arial"/>
      <w:bCs/>
      <w:iCs/>
      <w:sz w:val="24"/>
      <w:u w:val="single"/>
      <w:lang w:val="el-GR"/>
    </w:rPr>
  </w:style>
  <w:style w:type="paragraph" w:styleId="9">
    <w:name w:val="heading 9"/>
    <w:basedOn w:val="a"/>
    <w:next w:val="a"/>
    <w:qFormat/>
    <w:pPr>
      <w:keepNext/>
      <w:spacing w:line="360" w:lineRule="atLeast"/>
      <w:outlineLvl w:val="8"/>
    </w:pPr>
    <w:rPr>
      <w:rFonts w:ascii="Arial" w:hAnsi="Arial"/>
      <w:i/>
      <w:sz w:val="24"/>
      <w:u w:val="single"/>
      <w:lang w:val="el-GR"/>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Pr>
      <w:lang w:val="el-GR"/>
    </w:rPr>
  </w:style>
  <w:style w:type="paragraph" w:styleId="a4">
    <w:name w:val="header"/>
    <w:basedOn w:val="a"/>
    <w:link w:val="Char"/>
    <w:semiHidden/>
    <w:pPr>
      <w:tabs>
        <w:tab w:val="center" w:pos="4153"/>
        <w:tab w:val="right" w:pos="8306"/>
      </w:tabs>
    </w:pPr>
  </w:style>
  <w:style w:type="character" w:styleId="a5">
    <w:name w:val="page number"/>
    <w:basedOn w:val="a0"/>
    <w:semiHidden/>
  </w:style>
  <w:style w:type="paragraph" w:styleId="a6">
    <w:name w:val="footer"/>
    <w:basedOn w:val="a"/>
    <w:semiHidden/>
    <w:pPr>
      <w:tabs>
        <w:tab w:val="center" w:pos="4153"/>
        <w:tab w:val="right" w:pos="8306"/>
      </w:tabs>
    </w:pPr>
  </w:style>
  <w:style w:type="character" w:styleId="a7">
    <w:name w:val="annotation reference"/>
    <w:semiHidden/>
    <w:rPr>
      <w:sz w:val="16"/>
    </w:rPr>
  </w:style>
  <w:style w:type="paragraph" w:styleId="a8">
    <w:name w:val="Body Text"/>
    <w:basedOn w:val="a"/>
    <w:semiHidden/>
    <w:pPr>
      <w:spacing w:line="360" w:lineRule="atLeast"/>
      <w:jc w:val="both"/>
    </w:pPr>
    <w:rPr>
      <w:rFonts w:ascii="Arial" w:hAnsi="Arial"/>
      <w:sz w:val="24"/>
      <w:lang w:val="el-GR"/>
    </w:rPr>
  </w:style>
  <w:style w:type="paragraph" w:styleId="20">
    <w:name w:val="Body Text 2"/>
    <w:basedOn w:val="a"/>
    <w:semiHidden/>
    <w:rPr>
      <w:sz w:val="24"/>
      <w:lang w:val="el-GR"/>
    </w:rPr>
  </w:style>
  <w:style w:type="paragraph" w:styleId="21">
    <w:name w:val="Body Text Indent 2"/>
    <w:basedOn w:val="a"/>
    <w:semiHidden/>
    <w:pPr>
      <w:spacing w:line="360" w:lineRule="atLeast"/>
      <w:ind w:left="720"/>
      <w:jc w:val="both"/>
    </w:pPr>
    <w:rPr>
      <w:sz w:val="24"/>
    </w:rPr>
  </w:style>
  <w:style w:type="paragraph" w:styleId="30">
    <w:name w:val="Body Text 3"/>
    <w:basedOn w:val="a"/>
    <w:semiHidden/>
    <w:pPr>
      <w:spacing w:line="360" w:lineRule="atLeast"/>
    </w:pPr>
    <w:rPr>
      <w:rFonts w:ascii="Arial" w:hAnsi="Arial"/>
      <w:b/>
      <w:sz w:val="24"/>
      <w:lang w:val="el-GR"/>
    </w:rPr>
  </w:style>
  <w:style w:type="paragraph" w:styleId="31">
    <w:name w:val="Body Text Indent 3"/>
    <w:basedOn w:val="a"/>
    <w:semiHidden/>
    <w:pPr>
      <w:spacing w:line="360" w:lineRule="auto"/>
      <w:ind w:left="3600" w:hanging="3600"/>
      <w:jc w:val="both"/>
    </w:pPr>
    <w:rPr>
      <w:rFonts w:ascii="Arial" w:hAnsi="Arial"/>
      <w:sz w:val="24"/>
      <w:lang w:val="el-GR"/>
    </w:rPr>
  </w:style>
  <w:style w:type="paragraph" w:styleId="a9">
    <w:name w:val="Title"/>
    <w:basedOn w:val="a"/>
    <w:qFormat/>
    <w:pPr>
      <w:pBdr>
        <w:top w:val="single" w:sz="6" w:space="1" w:color="auto"/>
        <w:left w:val="single" w:sz="6" w:space="1" w:color="auto"/>
        <w:bottom w:val="single" w:sz="6" w:space="1" w:color="auto"/>
        <w:right w:val="single" w:sz="6" w:space="1" w:color="auto"/>
      </w:pBdr>
      <w:shd w:val="pct50" w:color="auto" w:fill="auto"/>
      <w:spacing w:line="360" w:lineRule="auto"/>
      <w:jc w:val="center"/>
    </w:pPr>
    <w:rPr>
      <w:rFonts w:ascii="Arial" w:hAnsi="Arial" w:cs="Arial"/>
      <w:b/>
      <w:sz w:val="28"/>
      <w:lang w:val="el-GR"/>
    </w:rPr>
  </w:style>
  <w:style w:type="paragraph" w:styleId="aa">
    <w:name w:val="Balloon Text"/>
    <w:basedOn w:val="a"/>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eastAsia="en-US"/>
    </w:rPr>
  </w:style>
  <w:style w:type="character" w:customStyle="1" w:styleId="Char">
    <w:name w:val="Κεφαλίδα Char"/>
    <w:link w:val="a4"/>
    <w:semiHidden/>
    <w:rsid w:val="00233414"/>
    <w:rPr>
      <w:rFonts w:ascii="HellasArial" w:hAnsi="HellasArial"/>
      <w:lang w:val="en-GB" w:eastAsia="en-US"/>
    </w:rPr>
  </w:style>
  <w:style w:type="paragraph" w:customStyle="1" w:styleId="A-Single">
    <w:name w:val="A-Single"/>
    <w:rsid w:val="00905548"/>
    <w:rPr>
      <w:rFonts w:ascii="Times New Roman" w:hAnsi="Times New Roman"/>
      <w:sz w:val="24"/>
      <w:szCs w:val="24"/>
      <w:lang w:val="en-GB" w:eastAsia="en-US"/>
    </w:rPr>
  </w:style>
  <w:style w:type="paragraph" w:customStyle="1" w:styleId="A-Unassigned">
    <w:name w:val="A-Unassigned"/>
    <w:next w:val="a"/>
    <w:rsid w:val="00905548"/>
    <w:pPr>
      <w:keepNext/>
      <w:spacing w:before="120" w:after="120"/>
    </w:pPr>
    <w:rPr>
      <w:rFonts w:ascii="Times New Roman" w:hAnsi="Times New Roman"/>
      <w:b/>
      <w:bCs/>
      <w:sz w:val="24"/>
      <w:szCs w:val="24"/>
      <w:lang w:val="en-GB" w:eastAsia="en-US"/>
    </w:rPr>
  </w:style>
  <w:style w:type="character" w:customStyle="1" w:styleId="longtext">
    <w:name w:val="long_text"/>
    <w:basedOn w:val="a0"/>
    <w:rsid w:val="00646533"/>
  </w:style>
  <w:style w:type="character" w:customStyle="1" w:styleId="hps">
    <w:name w:val="hps"/>
    <w:basedOn w:val="a0"/>
    <w:rsid w:val="00646533"/>
  </w:style>
  <w:style w:type="character" w:customStyle="1" w:styleId="atn">
    <w:name w:val="atn"/>
    <w:basedOn w:val="a0"/>
    <w:rsid w:val="00646533"/>
  </w:style>
  <w:style w:type="paragraph" w:styleId="ab">
    <w:name w:val="Revision"/>
    <w:hidden/>
    <w:uiPriority w:val="99"/>
    <w:semiHidden/>
    <w:rsid w:val="006C1D9B"/>
    <w:rPr>
      <w:rFonts w:ascii="HellasArial" w:hAnsi="HellasArial"/>
      <w:lang w:val="en-GB" w:eastAsia="en-US"/>
    </w:rPr>
  </w:style>
  <w:style w:type="paragraph" w:customStyle="1" w:styleId="Default">
    <w:name w:val="Default"/>
    <w:rsid w:val="00E93722"/>
    <w:pPr>
      <w:autoSpaceDE w:val="0"/>
      <w:autoSpaceDN w:val="0"/>
      <w:adjustRightInd w:val="0"/>
    </w:pPr>
    <w:rPr>
      <w:rFonts w:ascii="EUAlbertina" w:hAnsi="EUAlbertina" w:cs="EUAlbertina"/>
      <w:color w:val="000000"/>
      <w:sz w:val="24"/>
      <w:szCs w:val="24"/>
      <w:lang w:val="sv-SE" w:eastAsia="sv-SE"/>
    </w:rPr>
  </w:style>
  <w:style w:type="character" w:styleId="-">
    <w:name w:val="Hyperlink"/>
    <w:uiPriority w:val="99"/>
    <w:unhideWhenUsed/>
    <w:rsid w:val="000D4BE4"/>
    <w:rPr>
      <w:color w:val="0000FF"/>
      <w:u w:val="single"/>
    </w:rPr>
  </w:style>
</w:styles>
</file>

<file path=word/webSettings.xml><?xml version="1.0" encoding="utf-8"?>
<w:webSettings xmlns:r="http://schemas.openxmlformats.org/officeDocument/2006/relationships" xmlns:w="http://schemas.openxmlformats.org/wordprocessingml/2006/main">
  <w:divs>
    <w:div w:id="327178652">
      <w:bodyDiv w:val="1"/>
      <w:marLeft w:val="0"/>
      <w:marRight w:val="0"/>
      <w:marTop w:val="0"/>
      <w:marBottom w:val="0"/>
      <w:divBdr>
        <w:top w:val="none" w:sz="0" w:space="0" w:color="auto"/>
        <w:left w:val="none" w:sz="0" w:space="0" w:color="auto"/>
        <w:bottom w:val="none" w:sz="0" w:space="0" w:color="auto"/>
        <w:right w:val="none" w:sz="0" w:space="0" w:color="auto"/>
      </w:divBdr>
    </w:div>
    <w:div w:id="733360620">
      <w:bodyDiv w:val="1"/>
      <w:marLeft w:val="0"/>
      <w:marRight w:val="0"/>
      <w:marTop w:val="0"/>
      <w:marBottom w:val="0"/>
      <w:divBdr>
        <w:top w:val="none" w:sz="0" w:space="0" w:color="auto"/>
        <w:left w:val="none" w:sz="0" w:space="0" w:color="auto"/>
        <w:bottom w:val="none" w:sz="0" w:space="0" w:color="auto"/>
        <w:right w:val="none" w:sz="0" w:space="0" w:color="auto"/>
      </w:divBdr>
      <w:divsChild>
        <w:div w:id="180515676">
          <w:marLeft w:val="0"/>
          <w:marRight w:val="0"/>
          <w:marTop w:val="0"/>
          <w:marBottom w:val="0"/>
          <w:divBdr>
            <w:top w:val="none" w:sz="0" w:space="0" w:color="auto"/>
            <w:left w:val="none" w:sz="0" w:space="0" w:color="auto"/>
            <w:bottom w:val="none" w:sz="0" w:space="0" w:color="auto"/>
            <w:right w:val="none" w:sz="0" w:space="0" w:color="auto"/>
          </w:divBdr>
          <w:divsChild>
            <w:div w:id="759371985">
              <w:marLeft w:val="0"/>
              <w:marRight w:val="0"/>
              <w:marTop w:val="0"/>
              <w:marBottom w:val="0"/>
              <w:divBdr>
                <w:top w:val="none" w:sz="0" w:space="0" w:color="auto"/>
                <w:left w:val="none" w:sz="0" w:space="0" w:color="auto"/>
                <w:bottom w:val="none" w:sz="0" w:space="0" w:color="auto"/>
                <w:right w:val="none" w:sz="0" w:space="0" w:color="auto"/>
              </w:divBdr>
              <w:divsChild>
                <w:div w:id="841579933">
                  <w:marLeft w:val="0"/>
                  <w:marRight w:val="0"/>
                  <w:marTop w:val="0"/>
                  <w:marBottom w:val="0"/>
                  <w:divBdr>
                    <w:top w:val="none" w:sz="0" w:space="0" w:color="auto"/>
                    <w:left w:val="none" w:sz="0" w:space="0" w:color="auto"/>
                    <w:bottom w:val="none" w:sz="0" w:space="0" w:color="auto"/>
                    <w:right w:val="none" w:sz="0" w:space="0" w:color="auto"/>
                  </w:divBdr>
                  <w:divsChild>
                    <w:div w:id="2125032363">
                      <w:marLeft w:val="0"/>
                      <w:marRight w:val="0"/>
                      <w:marTop w:val="0"/>
                      <w:marBottom w:val="0"/>
                      <w:divBdr>
                        <w:top w:val="none" w:sz="0" w:space="0" w:color="auto"/>
                        <w:left w:val="none" w:sz="0" w:space="0" w:color="auto"/>
                        <w:bottom w:val="none" w:sz="0" w:space="0" w:color="auto"/>
                        <w:right w:val="none" w:sz="0" w:space="0" w:color="auto"/>
                      </w:divBdr>
                      <w:divsChild>
                        <w:div w:id="1749182721">
                          <w:marLeft w:val="0"/>
                          <w:marRight w:val="0"/>
                          <w:marTop w:val="0"/>
                          <w:marBottom w:val="0"/>
                          <w:divBdr>
                            <w:top w:val="none" w:sz="0" w:space="0" w:color="auto"/>
                            <w:left w:val="none" w:sz="0" w:space="0" w:color="auto"/>
                            <w:bottom w:val="none" w:sz="0" w:space="0" w:color="auto"/>
                            <w:right w:val="none" w:sz="0" w:space="0" w:color="auto"/>
                          </w:divBdr>
                          <w:divsChild>
                            <w:div w:id="1460688925">
                              <w:marLeft w:val="0"/>
                              <w:marRight w:val="0"/>
                              <w:marTop w:val="0"/>
                              <w:marBottom w:val="0"/>
                              <w:divBdr>
                                <w:top w:val="none" w:sz="0" w:space="0" w:color="auto"/>
                                <w:left w:val="none" w:sz="0" w:space="0" w:color="auto"/>
                                <w:bottom w:val="none" w:sz="0" w:space="0" w:color="auto"/>
                                <w:right w:val="none" w:sz="0" w:space="0" w:color="auto"/>
                              </w:divBdr>
                              <w:divsChild>
                                <w:div w:id="1966813943">
                                  <w:marLeft w:val="0"/>
                                  <w:marRight w:val="0"/>
                                  <w:marTop w:val="0"/>
                                  <w:marBottom w:val="0"/>
                                  <w:divBdr>
                                    <w:top w:val="none" w:sz="0" w:space="0" w:color="auto"/>
                                    <w:left w:val="none" w:sz="0" w:space="0" w:color="auto"/>
                                    <w:bottom w:val="none" w:sz="0" w:space="0" w:color="auto"/>
                                    <w:right w:val="none" w:sz="0" w:space="0" w:color="auto"/>
                                  </w:divBdr>
                                  <w:divsChild>
                                    <w:div w:id="10761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806552">
      <w:bodyDiv w:val="1"/>
      <w:marLeft w:val="0"/>
      <w:marRight w:val="0"/>
      <w:marTop w:val="0"/>
      <w:marBottom w:val="0"/>
      <w:divBdr>
        <w:top w:val="none" w:sz="0" w:space="0" w:color="auto"/>
        <w:left w:val="none" w:sz="0" w:space="0" w:color="auto"/>
        <w:bottom w:val="none" w:sz="0" w:space="0" w:color="auto"/>
        <w:right w:val="none" w:sz="0" w:space="0" w:color="auto"/>
      </w:divBdr>
    </w:div>
    <w:div w:id="1378969743">
      <w:bodyDiv w:val="1"/>
      <w:marLeft w:val="0"/>
      <w:marRight w:val="0"/>
      <w:marTop w:val="0"/>
      <w:marBottom w:val="0"/>
      <w:divBdr>
        <w:top w:val="none" w:sz="0" w:space="0" w:color="auto"/>
        <w:left w:val="none" w:sz="0" w:space="0" w:color="auto"/>
        <w:bottom w:val="none" w:sz="0" w:space="0" w:color="auto"/>
        <w:right w:val="none" w:sz="0" w:space="0" w:color="auto"/>
      </w:divBdr>
      <w:divsChild>
        <w:div w:id="263154961">
          <w:marLeft w:val="0"/>
          <w:marRight w:val="0"/>
          <w:marTop w:val="0"/>
          <w:marBottom w:val="0"/>
          <w:divBdr>
            <w:top w:val="none" w:sz="0" w:space="0" w:color="auto"/>
            <w:left w:val="none" w:sz="0" w:space="0" w:color="auto"/>
            <w:bottom w:val="none" w:sz="0" w:space="0" w:color="auto"/>
            <w:right w:val="none" w:sz="0" w:space="0" w:color="auto"/>
          </w:divBdr>
          <w:divsChild>
            <w:div w:id="39943174">
              <w:marLeft w:val="0"/>
              <w:marRight w:val="0"/>
              <w:marTop w:val="0"/>
              <w:marBottom w:val="0"/>
              <w:divBdr>
                <w:top w:val="none" w:sz="0" w:space="0" w:color="auto"/>
                <w:left w:val="none" w:sz="0" w:space="0" w:color="auto"/>
                <w:bottom w:val="none" w:sz="0" w:space="0" w:color="auto"/>
                <w:right w:val="none" w:sz="0" w:space="0" w:color="auto"/>
              </w:divBdr>
              <w:divsChild>
                <w:div w:id="1673222324">
                  <w:marLeft w:val="0"/>
                  <w:marRight w:val="0"/>
                  <w:marTop w:val="0"/>
                  <w:marBottom w:val="0"/>
                  <w:divBdr>
                    <w:top w:val="none" w:sz="0" w:space="0" w:color="auto"/>
                    <w:left w:val="none" w:sz="0" w:space="0" w:color="auto"/>
                    <w:bottom w:val="none" w:sz="0" w:space="0" w:color="auto"/>
                    <w:right w:val="none" w:sz="0" w:space="0" w:color="auto"/>
                  </w:divBdr>
                  <w:divsChild>
                    <w:div w:id="1378359030">
                      <w:marLeft w:val="0"/>
                      <w:marRight w:val="0"/>
                      <w:marTop w:val="0"/>
                      <w:marBottom w:val="0"/>
                      <w:divBdr>
                        <w:top w:val="none" w:sz="0" w:space="0" w:color="auto"/>
                        <w:left w:val="none" w:sz="0" w:space="0" w:color="auto"/>
                        <w:bottom w:val="none" w:sz="0" w:space="0" w:color="auto"/>
                        <w:right w:val="none" w:sz="0" w:space="0" w:color="auto"/>
                      </w:divBdr>
                      <w:divsChild>
                        <w:div w:id="291792492">
                          <w:marLeft w:val="0"/>
                          <w:marRight w:val="0"/>
                          <w:marTop w:val="0"/>
                          <w:marBottom w:val="0"/>
                          <w:divBdr>
                            <w:top w:val="none" w:sz="0" w:space="0" w:color="auto"/>
                            <w:left w:val="none" w:sz="0" w:space="0" w:color="auto"/>
                            <w:bottom w:val="none" w:sz="0" w:space="0" w:color="auto"/>
                            <w:right w:val="none" w:sz="0" w:space="0" w:color="auto"/>
                          </w:divBdr>
                          <w:divsChild>
                            <w:div w:id="2017882123">
                              <w:marLeft w:val="0"/>
                              <w:marRight w:val="0"/>
                              <w:marTop w:val="0"/>
                              <w:marBottom w:val="0"/>
                              <w:divBdr>
                                <w:top w:val="none" w:sz="0" w:space="0" w:color="auto"/>
                                <w:left w:val="none" w:sz="0" w:space="0" w:color="auto"/>
                                <w:bottom w:val="none" w:sz="0" w:space="0" w:color="auto"/>
                                <w:right w:val="none" w:sz="0" w:space="0" w:color="auto"/>
                              </w:divBdr>
                              <w:divsChild>
                                <w:div w:id="1886404756">
                                  <w:marLeft w:val="0"/>
                                  <w:marRight w:val="0"/>
                                  <w:marTop w:val="0"/>
                                  <w:marBottom w:val="0"/>
                                  <w:divBdr>
                                    <w:top w:val="none" w:sz="0" w:space="0" w:color="auto"/>
                                    <w:left w:val="none" w:sz="0" w:space="0" w:color="auto"/>
                                    <w:bottom w:val="none" w:sz="0" w:space="0" w:color="auto"/>
                                    <w:right w:val="none" w:sz="0" w:space="0" w:color="auto"/>
                                  </w:divBdr>
                                  <w:divsChild>
                                    <w:div w:id="792285242">
                                      <w:marLeft w:val="60"/>
                                      <w:marRight w:val="0"/>
                                      <w:marTop w:val="0"/>
                                      <w:marBottom w:val="0"/>
                                      <w:divBdr>
                                        <w:top w:val="none" w:sz="0" w:space="0" w:color="auto"/>
                                        <w:left w:val="none" w:sz="0" w:space="0" w:color="auto"/>
                                        <w:bottom w:val="none" w:sz="0" w:space="0" w:color="auto"/>
                                        <w:right w:val="none" w:sz="0" w:space="0" w:color="auto"/>
                                      </w:divBdr>
                                      <w:divsChild>
                                        <w:div w:id="1085885496">
                                          <w:marLeft w:val="0"/>
                                          <w:marRight w:val="0"/>
                                          <w:marTop w:val="0"/>
                                          <w:marBottom w:val="0"/>
                                          <w:divBdr>
                                            <w:top w:val="none" w:sz="0" w:space="0" w:color="auto"/>
                                            <w:left w:val="none" w:sz="0" w:space="0" w:color="auto"/>
                                            <w:bottom w:val="none" w:sz="0" w:space="0" w:color="auto"/>
                                            <w:right w:val="none" w:sz="0" w:space="0" w:color="auto"/>
                                          </w:divBdr>
                                          <w:divsChild>
                                            <w:div w:id="832337189">
                                              <w:marLeft w:val="0"/>
                                              <w:marRight w:val="0"/>
                                              <w:marTop w:val="0"/>
                                              <w:marBottom w:val="120"/>
                                              <w:divBdr>
                                                <w:top w:val="single" w:sz="6" w:space="0" w:color="F5F5F5"/>
                                                <w:left w:val="single" w:sz="6" w:space="0" w:color="F5F5F5"/>
                                                <w:bottom w:val="single" w:sz="6" w:space="0" w:color="F5F5F5"/>
                                                <w:right w:val="single" w:sz="6" w:space="0" w:color="F5F5F5"/>
                                              </w:divBdr>
                                              <w:divsChild>
                                                <w:div w:id="1601181575">
                                                  <w:marLeft w:val="0"/>
                                                  <w:marRight w:val="0"/>
                                                  <w:marTop w:val="0"/>
                                                  <w:marBottom w:val="0"/>
                                                  <w:divBdr>
                                                    <w:top w:val="none" w:sz="0" w:space="0" w:color="auto"/>
                                                    <w:left w:val="none" w:sz="0" w:space="0" w:color="auto"/>
                                                    <w:bottom w:val="none" w:sz="0" w:space="0" w:color="auto"/>
                                                    <w:right w:val="none" w:sz="0" w:space="0" w:color="auto"/>
                                                  </w:divBdr>
                                                  <w:divsChild>
                                                    <w:div w:id="44022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8366369">
      <w:bodyDiv w:val="1"/>
      <w:marLeft w:val="0"/>
      <w:marRight w:val="0"/>
      <w:marTop w:val="0"/>
      <w:marBottom w:val="0"/>
      <w:divBdr>
        <w:top w:val="none" w:sz="0" w:space="0" w:color="auto"/>
        <w:left w:val="none" w:sz="0" w:space="0" w:color="auto"/>
        <w:bottom w:val="none" w:sz="0" w:space="0" w:color="auto"/>
        <w:right w:val="none" w:sz="0" w:space="0" w:color="auto"/>
      </w:divBdr>
      <w:divsChild>
        <w:div w:id="2038121717">
          <w:marLeft w:val="0"/>
          <w:marRight w:val="0"/>
          <w:marTop w:val="0"/>
          <w:marBottom w:val="0"/>
          <w:divBdr>
            <w:top w:val="none" w:sz="0" w:space="0" w:color="auto"/>
            <w:left w:val="none" w:sz="0" w:space="0" w:color="auto"/>
            <w:bottom w:val="none" w:sz="0" w:space="0" w:color="auto"/>
            <w:right w:val="none" w:sz="0" w:space="0" w:color="auto"/>
          </w:divBdr>
          <w:divsChild>
            <w:div w:id="1390762647">
              <w:marLeft w:val="0"/>
              <w:marRight w:val="0"/>
              <w:marTop w:val="0"/>
              <w:marBottom w:val="0"/>
              <w:divBdr>
                <w:top w:val="none" w:sz="0" w:space="0" w:color="auto"/>
                <w:left w:val="none" w:sz="0" w:space="0" w:color="auto"/>
                <w:bottom w:val="none" w:sz="0" w:space="0" w:color="auto"/>
                <w:right w:val="none" w:sz="0" w:space="0" w:color="auto"/>
              </w:divBdr>
              <w:divsChild>
                <w:div w:id="2019958992">
                  <w:marLeft w:val="0"/>
                  <w:marRight w:val="0"/>
                  <w:marTop w:val="0"/>
                  <w:marBottom w:val="0"/>
                  <w:divBdr>
                    <w:top w:val="none" w:sz="0" w:space="0" w:color="auto"/>
                    <w:left w:val="none" w:sz="0" w:space="0" w:color="auto"/>
                    <w:bottom w:val="none" w:sz="0" w:space="0" w:color="auto"/>
                    <w:right w:val="none" w:sz="0" w:space="0" w:color="auto"/>
                  </w:divBdr>
                  <w:divsChild>
                    <w:div w:id="59252398">
                      <w:marLeft w:val="0"/>
                      <w:marRight w:val="0"/>
                      <w:marTop w:val="0"/>
                      <w:marBottom w:val="0"/>
                      <w:divBdr>
                        <w:top w:val="none" w:sz="0" w:space="0" w:color="auto"/>
                        <w:left w:val="none" w:sz="0" w:space="0" w:color="auto"/>
                        <w:bottom w:val="none" w:sz="0" w:space="0" w:color="auto"/>
                        <w:right w:val="none" w:sz="0" w:space="0" w:color="auto"/>
                      </w:divBdr>
                      <w:divsChild>
                        <w:div w:id="1349598956">
                          <w:marLeft w:val="0"/>
                          <w:marRight w:val="0"/>
                          <w:marTop w:val="0"/>
                          <w:marBottom w:val="0"/>
                          <w:divBdr>
                            <w:top w:val="none" w:sz="0" w:space="0" w:color="auto"/>
                            <w:left w:val="none" w:sz="0" w:space="0" w:color="auto"/>
                            <w:bottom w:val="none" w:sz="0" w:space="0" w:color="auto"/>
                            <w:right w:val="none" w:sz="0" w:space="0" w:color="auto"/>
                          </w:divBdr>
                          <w:divsChild>
                            <w:div w:id="1880969701">
                              <w:marLeft w:val="0"/>
                              <w:marRight w:val="0"/>
                              <w:marTop w:val="0"/>
                              <w:marBottom w:val="0"/>
                              <w:divBdr>
                                <w:top w:val="none" w:sz="0" w:space="0" w:color="auto"/>
                                <w:left w:val="none" w:sz="0" w:space="0" w:color="auto"/>
                                <w:bottom w:val="none" w:sz="0" w:space="0" w:color="auto"/>
                                <w:right w:val="none" w:sz="0" w:space="0" w:color="auto"/>
                              </w:divBdr>
                              <w:divsChild>
                                <w:div w:id="1208370667">
                                  <w:marLeft w:val="0"/>
                                  <w:marRight w:val="0"/>
                                  <w:marTop w:val="0"/>
                                  <w:marBottom w:val="0"/>
                                  <w:divBdr>
                                    <w:top w:val="none" w:sz="0" w:space="0" w:color="auto"/>
                                    <w:left w:val="none" w:sz="0" w:space="0" w:color="auto"/>
                                    <w:bottom w:val="none" w:sz="0" w:space="0" w:color="auto"/>
                                    <w:right w:val="none" w:sz="0" w:space="0" w:color="auto"/>
                                  </w:divBdr>
                                  <w:divsChild>
                                    <w:div w:id="124618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of.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h.gov.cy/ph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F1FD2-163C-49D8-8139-2616FD383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7230</Words>
  <Characters>39042</Characters>
  <Application>Microsoft Office Word</Application>
  <DocSecurity>0</DocSecurity>
  <Lines>325</Lines>
  <Paragraphs>92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Astra Hellas</Company>
  <LinksUpToDate>false</LinksUpToDate>
  <CharactersWithSpaces>46180</CharactersWithSpaces>
  <SharedDoc>false</SharedDoc>
  <HLinks>
    <vt:vector size="12" baseType="variant">
      <vt:variant>
        <vt:i4>1769561</vt:i4>
      </vt:variant>
      <vt:variant>
        <vt:i4>3</vt:i4>
      </vt:variant>
      <vt:variant>
        <vt:i4>0</vt:i4>
      </vt:variant>
      <vt:variant>
        <vt:i4>5</vt:i4>
      </vt:variant>
      <vt:variant>
        <vt:lpwstr>http://www.moh.gov.cy/phs</vt:lpwstr>
      </vt:variant>
      <vt:variant>
        <vt:lpwstr/>
      </vt:variant>
      <vt:variant>
        <vt:i4>6291555</vt:i4>
      </vt:variant>
      <vt:variant>
        <vt:i4>0</vt:i4>
      </vt:variant>
      <vt:variant>
        <vt:i4>0</vt:i4>
      </vt:variant>
      <vt:variant>
        <vt:i4>5</vt:i4>
      </vt:variant>
      <vt:variant>
        <vt:lpwstr>http://www.eof.gr/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 Petraki</dc:creator>
  <cp:lastModifiedBy>user146</cp:lastModifiedBy>
  <cp:revision>2</cp:revision>
  <cp:lastPrinted>2016-06-13T07:32:00Z</cp:lastPrinted>
  <dcterms:created xsi:type="dcterms:W3CDTF">2016-06-13T07:32:00Z</dcterms:created>
  <dcterms:modified xsi:type="dcterms:W3CDTF">2016-06-13T07:32:00Z</dcterms:modified>
</cp:coreProperties>
</file>