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CB" w:rsidRPr="0018484D" w:rsidRDefault="00B80CCB" w:rsidP="00A969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bookmarkStart w:id="0" w:name="_GoBack"/>
      <w:bookmarkEnd w:id="0"/>
    </w:p>
    <w:p w:rsidR="00B80CCB" w:rsidRPr="00F12834" w:rsidRDefault="00B80CCB" w:rsidP="00A969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2"/>
        </w:rPr>
      </w:pPr>
    </w:p>
    <w:p w:rsidR="00B80CCB" w:rsidRPr="00F12834" w:rsidRDefault="00B80CCB" w:rsidP="00A969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2"/>
        </w:rPr>
      </w:pPr>
    </w:p>
    <w:p w:rsidR="00B80CCB" w:rsidRPr="00F12834" w:rsidRDefault="00B80CCB" w:rsidP="00A969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2"/>
        </w:rPr>
      </w:pPr>
    </w:p>
    <w:p w:rsidR="00B80CCB" w:rsidRPr="00F12834" w:rsidRDefault="00B80CCB" w:rsidP="00A969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2"/>
        </w:rPr>
      </w:pPr>
    </w:p>
    <w:p w:rsidR="00B80CCB" w:rsidRPr="00F12834" w:rsidRDefault="00B80CCB" w:rsidP="00A969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2"/>
        </w:rPr>
      </w:pPr>
    </w:p>
    <w:p w:rsidR="00B80CCB" w:rsidRPr="00F12834" w:rsidRDefault="00B80CCB" w:rsidP="00A969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2"/>
        </w:rPr>
      </w:pPr>
    </w:p>
    <w:p w:rsidR="00B80CCB" w:rsidRPr="00F12834" w:rsidRDefault="00B80CCB" w:rsidP="00A969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2"/>
        </w:rPr>
      </w:pPr>
    </w:p>
    <w:p w:rsidR="00B80CCB" w:rsidRPr="00F12834" w:rsidRDefault="00B80CCB" w:rsidP="00A969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2"/>
        </w:rPr>
      </w:pPr>
    </w:p>
    <w:p w:rsidR="00B80CCB" w:rsidRPr="00F12834" w:rsidRDefault="00B80CCB" w:rsidP="00A969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2"/>
        </w:rPr>
      </w:pPr>
    </w:p>
    <w:p w:rsidR="00B80CCB" w:rsidRPr="00F12834" w:rsidRDefault="00B80CCB" w:rsidP="00A969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2"/>
        </w:rPr>
      </w:pPr>
    </w:p>
    <w:p w:rsidR="00B80CCB" w:rsidRPr="00F12834" w:rsidRDefault="00B80CCB" w:rsidP="00A969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2"/>
        </w:rPr>
      </w:pPr>
    </w:p>
    <w:p w:rsidR="00B80CCB" w:rsidRPr="00F12834" w:rsidRDefault="00B80CCB" w:rsidP="00A969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2"/>
        </w:rPr>
      </w:pP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ΠΕΡΙΛΗΨΗ ΤΩΝ ΧΑΡΑΚΤΗΡΙΣΤΙΚΩΝ ΤΟΥ ΠΡΟΪΟΝΤΟΣ</w:t>
      </w:r>
    </w:p>
    <w:p w:rsidR="00B80CCB" w:rsidRPr="00F12834" w:rsidRDefault="00B80CCB">
      <w:pPr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br w:type="page"/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lastRenderedPageBreak/>
        <w:t>1.</w:t>
      </w:r>
      <w:r w:rsidRPr="00232FA6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ΟΝΟΜΑΣΙΑ ΤΟΥ ΦΑΡΜΑΚΕΥΤΙΚΟΥ ΠΡΟΪΟΝΤΟΣ</w:t>
      </w:r>
    </w:p>
    <w:p w:rsidR="00FB124F" w:rsidRPr="00F12834" w:rsidRDefault="00FB124F" w:rsidP="00FB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Memantine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Genepharm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10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διασπειρόμενα στο στόμα δισκία.</w:t>
      </w:r>
    </w:p>
    <w:p w:rsidR="008E2569" w:rsidRPr="00F12834" w:rsidRDefault="008E2569" w:rsidP="008E2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Memantine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Genepharm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20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διασπειρόμενα στο στόμα δισκία.</w:t>
      </w:r>
    </w:p>
    <w:p w:rsidR="00FB124F" w:rsidRPr="00F12834" w:rsidRDefault="00FB124F" w:rsidP="008E256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Memantine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Genepharm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="008E2569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5+10+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15</w:t>
      </w:r>
      <w:r w:rsidR="008E2569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+20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διασπειρόμενα στο στόμα δισκία</w:t>
      </w:r>
      <w:r w:rsidR="008E2569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(</w:t>
      </w:r>
      <w:r w:rsidR="0067120D">
        <w:rPr>
          <w:rFonts w:ascii="Times New Roman" w:eastAsia="TimesNewRoman,Bold" w:hAnsi="Times New Roman" w:cs="Times New Roman"/>
          <w:sz w:val="24"/>
          <w:szCs w:val="22"/>
          <w:lang w:val="el-GR"/>
        </w:rPr>
        <w:t>σ</w:t>
      </w:r>
      <w:r w:rsidR="005616F1" w:rsidRPr="005616F1">
        <w:rPr>
          <w:rFonts w:ascii="Times New Roman" w:eastAsia="TimesNewRoman,Bold" w:hAnsi="Times New Roman" w:cs="Times New Roman"/>
          <w:sz w:val="24"/>
          <w:szCs w:val="22"/>
          <w:lang w:val="el-GR"/>
        </w:rPr>
        <w:t>υσκευασία έναρξης της θεραπείας</w:t>
      </w:r>
      <w:r w:rsidR="008E2569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)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2.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ΠΟΙΟΤΙΚΗ ΚΑΙ ΠΟΣΟΤΙΚΗ ΣΥΝΘΕΣΗ</w:t>
      </w:r>
    </w:p>
    <w:p w:rsidR="006653A1" w:rsidRPr="00F12834" w:rsidRDefault="008E2569" w:rsidP="008E2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Κ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άθε </w:t>
      </w:r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διασπειρόμενο στο στόμα 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δισκίο 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περιέχει 5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υδροχλωρική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ς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AE29F3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ς</w:t>
      </w:r>
      <w:proofErr w:type="spellEnd"/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ισοδύναμη με 4.15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μεμαντίνης</w:t>
      </w:r>
      <w:proofErr w:type="spellEnd"/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8E2569" w:rsidRPr="00F12834" w:rsidRDefault="008E2569" w:rsidP="008E2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Κάθε διασπειρόμενο στο στόμα δισκίο περιέχει 10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υδροχλωρικής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ισοδύναμη με 8.31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8E2569" w:rsidRPr="00F12834" w:rsidRDefault="008E2569" w:rsidP="008E2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Κάθε διασπειρόμενο στο στόμα δισκίο περιέχει 15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υδροχλωρικής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ισοδύναμη με 12.46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8E2569" w:rsidRPr="00F12834" w:rsidRDefault="008E2569" w:rsidP="008E256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Κάθε διασπειρόμενο στο στόμα δισκίο περιέχει 20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υδροχλωρικής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ισοδύναμη με 16.62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71741A" w:rsidRPr="00F12834" w:rsidRDefault="0071741A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Έκδοχα με γνωστές δράσεις:</w:t>
      </w:r>
    </w:p>
    <w:p w:rsidR="00AE29F3" w:rsidRPr="00F12834" w:rsidRDefault="00AE29F3" w:rsidP="00AE2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Κάθε</w:t>
      </w:r>
      <w:r w:rsidR="008D0F20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διασπειρόμενο στο στόμα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δισκίο </w:t>
      </w:r>
      <w:r w:rsidR="008D0F20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των 5 </w:t>
      </w:r>
      <w:r w:rsidR="008D0F20">
        <w:rPr>
          <w:rFonts w:ascii="Times New Roman" w:eastAsia="TimesNewRoman,Bold" w:hAnsi="Times New Roman" w:cs="Times New Roman"/>
          <w:sz w:val="24"/>
          <w:szCs w:val="22"/>
        </w:rPr>
        <w:t>mg</w:t>
      </w:r>
      <w:r w:rsidR="008D0F20" w:rsidRPr="008D0F20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περιέχει 6.25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n-GB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μονοϋδρικής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λακτόζης και 1.25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n-GB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ασπαρτάμης</w:t>
      </w:r>
      <w:proofErr w:type="spellEnd"/>
    </w:p>
    <w:p w:rsidR="00FB124F" w:rsidRPr="00F12834" w:rsidRDefault="008D0F20" w:rsidP="00FB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8D0F20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Κάθε διασπειρόμενο στο στόμα δισκίο των 10 </w:t>
      </w:r>
      <w:proofErr w:type="spellStart"/>
      <w:r w:rsidRPr="008D0F20">
        <w:rPr>
          <w:rFonts w:ascii="Times New Roman" w:eastAsia="TimesNewRoman,Bold" w:hAnsi="Times New Roman" w:cs="Times New Roman"/>
          <w:sz w:val="24"/>
          <w:szCs w:val="22"/>
          <w:lang w:val="el-GR"/>
        </w:rPr>
        <w:t>mg</w:t>
      </w:r>
      <w:proofErr w:type="spellEnd"/>
      <w:r w:rsidRPr="008D0F20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περιέχει 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12.5 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n-GB"/>
        </w:rPr>
        <w:t>mg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μονοϋδρικής</w:t>
      </w:r>
      <w:proofErr w:type="spellEnd"/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λακτόζης και 2.5 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n-GB"/>
        </w:rPr>
        <w:t>mg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ασπαρτάμης</w:t>
      </w:r>
      <w:proofErr w:type="spellEnd"/>
    </w:p>
    <w:p w:rsidR="00FB124F" w:rsidRPr="00F12834" w:rsidRDefault="008D0F20" w:rsidP="00FB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8D0F20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Κάθε διασπειρόμενο στο στόμα δισκίο των 15 </w:t>
      </w:r>
      <w:proofErr w:type="spellStart"/>
      <w:r w:rsidRPr="008D0F20">
        <w:rPr>
          <w:rFonts w:ascii="Times New Roman" w:eastAsia="TimesNewRoman,Bold" w:hAnsi="Times New Roman" w:cs="Times New Roman"/>
          <w:sz w:val="24"/>
          <w:szCs w:val="22"/>
          <w:lang w:val="el-GR"/>
        </w:rPr>
        <w:t>mg</w:t>
      </w:r>
      <w:proofErr w:type="spellEnd"/>
      <w:r w:rsidRPr="008D0F20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περιέχει 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18.75 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n-GB"/>
        </w:rPr>
        <w:t>mg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μονοϋδρικής</w:t>
      </w:r>
      <w:proofErr w:type="spellEnd"/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λακτόζης και 3.75 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n-GB"/>
        </w:rPr>
        <w:t>mg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ασπαρτάμης</w:t>
      </w:r>
      <w:proofErr w:type="spellEnd"/>
    </w:p>
    <w:p w:rsidR="0071741A" w:rsidRPr="00F12834" w:rsidRDefault="008D0F20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8D0F20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Κάθε διασπειρόμενο στο στόμα δισκίο των 20 </w:t>
      </w:r>
      <w:proofErr w:type="spellStart"/>
      <w:r w:rsidRPr="008D0F20">
        <w:rPr>
          <w:rFonts w:ascii="Times New Roman" w:eastAsia="TimesNewRoman,Bold" w:hAnsi="Times New Roman" w:cs="Times New Roman"/>
          <w:sz w:val="24"/>
          <w:szCs w:val="22"/>
          <w:lang w:val="el-GR"/>
        </w:rPr>
        <w:t>mg</w:t>
      </w:r>
      <w:proofErr w:type="spellEnd"/>
      <w:r w:rsidRPr="008D0F20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περιέχει </w:t>
      </w:r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25 </w:t>
      </w:r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n-GB"/>
        </w:rPr>
        <w:t>mg</w:t>
      </w:r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193F3E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μονοϋδρικής</w:t>
      </w:r>
      <w:proofErr w:type="spellEnd"/>
      <w:r w:rsidR="00193F3E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λακτόζης και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5 </w:t>
      </w:r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n-GB"/>
        </w:rPr>
        <w:t>mg</w:t>
      </w:r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193F3E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ασπαρτάμης</w:t>
      </w:r>
      <w:proofErr w:type="spellEnd"/>
    </w:p>
    <w:p w:rsidR="0071741A" w:rsidRPr="00F12834" w:rsidRDefault="0071741A" w:rsidP="0071741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Για τον πλήρη κατάλογο των εκδόχων, βλ. παράγραφο 6.1.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3.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ΦΑΡΜΑΚΟΤΕΧΝΙΚΗ ΜΟΡΦΗ</w:t>
      </w:r>
    </w:p>
    <w:p w:rsidR="006653A1" w:rsidRPr="00F12834" w:rsidRDefault="0071741A" w:rsidP="008E256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Διασπειρόμενα στο στόμα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δισκία.</w:t>
      </w:r>
    </w:p>
    <w:p w:rsidR="00ED1BF5" w:rsidRPr="00ED1BF5" w:rsidRDefault="00ED1BF5" w:rsidP="00ED1B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ED1BF5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Τα διασπειρόμενα στο στόμα δισκία των 5 </w:t>
      </w:r>
      <w:proofErr w:type="spellStart"/>
      <w:r w:rsidRPr="00ED1BF5">
        <w:rPr>
          <w:rFonts w:ascii="Times New Roman" w:eastAsia="TimesNewRoman,Bold" w:hAnsi="Times New Roman" w:cs="Times New Roman"/>
          <w:sz w:val="24"/>
          <w:szCs w:val="22"/>
          <w:lang w:val="el-GR"/>
        </w:rPr>
        <w:t>mg</w:t>
      </w:r>
      <w:proofErr w:type="spellEnd"/>
      <w:r w:rsidRPr="00ED1BF5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εμφανίζονται ως ανοιχτό ροζ, στρογγυλά, επίπεδα, διάστικτα δισκία με λοξές άκρες και χαραγμένα με την ένδειξη «5» στη μία πλευρά.</w:t>
      </w:r>
    </w:p>
    <w:p w:rsidR="00ED1BF5" w:rsidRPr="00ED1BF5" w:rsidRDefault="00ED1BF5" w:rsidP="00ED1B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ED1BF5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Τα διασπειρόμενα στο στόμα δισκία των 10 </w:t>
      </w:r>
      <w:proofErr w:type="spellStart"/>
      <w:r w:rsidRPr="00ED1BF5">
        <w:rPr>
          <w:rFonts w:ascii="Times New Roman" w:eastAsia="TimesNewRoman,Bold" w:hAnsi="Times New Roman" w:cs="Times New Roman"/>
          <w:sz w:val="24"/>
          <w:szCs w:val="22"/>
          <w:lang w:val="el-GR"/>
        </w:rPr>
        <w:t>mg</w:t>
      </w:r>
      <w:proofErr w:type="spellEnd"/>
      <w:r w:rsidRPr="00ED1BF5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εμφανίζονται ως ανοιχτό ροζ, στρογγυλά, επίπεδα, διάστικτα δισκία με λοξές άκρες και χαραγμένα με την ένδειξη «10» στη μία πλευρά</w:t>
      </w:r>
    </w:p>
    <w:p w:rsidR="00ED1BF5" w:rsidRPr="00ED1BF5" w:rsidRDefault="00ED1BF5" w:rsidP="00ED1B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ED1BF5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Τα διασπειρόμενα στο στόμα δισκία των 15 </w:t>
      </w:r>
      <w:proofErr w:type="spellStart"/>
      <w:r w:rsidRPr="00ED1BF5">
        <w:rPr>
          <w:rFonts w:ascii="Times New Roman" w:eastAsia="TimesNewRoman,Bold" w:hAnsi="Times New Roman" w:cs="Times New Roman"/>
          <w:sz w:val="24"/>
          <w:szCs w:val="22"/>
          <w:lang w:val="el-GR"/>
        </w:rPr>
        <w:t>mg</w:t>
      </w:r>
      <w:proofErr w:type="spellEnd"/>
      <w:r w:rsidRPr="00ED1BF5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εμφανίζονται ως ανοιχτό ροζ, στρογγυλά, επίπεδα, διάστικτα δισκία με λοξές άκρες και χαραγμένα με την ένδειξη «15» στη μία πλευρά</w:t>
      </w:r>
    </w:p>
    <w:p w:rsidR="00FB124F" w:rsidRPr="00F12834" w:rsidRDefault="00ED1BF5" w:rsidP="00ED1B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ED1BF5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Τα διασπειρόμενα στο στόμα δισκία των 20 </w:t>
      </w:r>
      <w:proofErr w:type="spellStart"/>
      <w:r w:rsidRPr="00ED1BF5">
        <w:rPr>
          <w:rFonts w:ascii="Times New Roman" w:eastAsia="TimesNewRoman,Bold" w:hAnsi="Times New Roman" w:cs="Times New Roman"/>
          <w:sz w:val="24"/>
          <w:szCs w:val="22"/>
          <w:lang w:val="el-GR"/>
        </w:rPr>
        <w:t>mg</w:t>
      </w:r>
      <w:proofErr w:type="spellEnd"/>
      <w:r w:rsidRPr="00ED1BF5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εμφανίζονται ως ανοιχτό ροζ, στρογγυλά, επίπεδα, διάστικτα δισκία με λοξές άκρες και χαραγμένα με την ένδειξη «20» στη μία πλευρά</w:t>
      </w:r>
      <w:r w:rsidR="00FB124F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232FA6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4.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ΚΛΙΝΙΚΕΣ ΠΛΗΡΟΦΟΡΙΕΣ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232FA6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4.1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Θεραπευτικές ενδείξεις</w:t>
      </w:r>
    </w:p>
    <w:p w:rsidR="006653A1" w:rsidRPr="00F12834" w:rsidRDefault="004271C9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4271C9">
        <w:rPr>
          <w:rFonts w:ascii="Times New Roman" w:eastAsia="TimesNewRoman,Bold" w:hAnsi="Times New Roman" w:cs="Times New Roman"/>
          <w:sz w:val="24"/>
          <w:szCs w:val="22"/>
          <w:lang w:val="el-GR"/>
        </w:rPr>
        <w:lastRenderedPageBreak/>
        <w:t xml:space="preserve">Το </w:t>
      </w:r>
      <w:proofErr w:type="spellStart"/>
      <w:r>
        <w:rPr>
          <w:rFonts w:ascii="Times New Roman" w:eastAsia="TimesNewRoman,Bold" w:hAnsi="Times New Roman" w:cs="Times New Roman"/>
          <w:sz w:val="24"/>
          <w:szCs w:val="22"/>
        </w:rPr>
        <w:t>Memantine</w:t>
      </w:r>
      <w:proofErr w:type="spellEnd"/>
      <w:r w:rsidRPr="004271C9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>
        <w:rPr>
          <w:rFonts w:ascii="Times New Roman" w:eastAsia="TimesNewRoman,Bold" w:hAnsi="Times New Roman" w:cs="Times New Roman"/>
          <w:sz w:val="24"/>
          <w:szCs w:val="22"/>
        </w:rPr>
        <w:t>Genepharm</w:t>
      </w:r>
      <w:proofErr w:type="spellEnd"/>
      <w:r w:rsidRPr="004271C9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ενδείκνυται για χρήση σε </w:t>
      </w:r>
      <w:r w:rsidRPr="004271C9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ενήλικες </w:t>
      </w:r>
      <w:r w:rsidR="00D75B7A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ασθενείς 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 μέτρια έως σοβαρή νόσο Α</w:t>
      </w:r>
      <w:proofErr w:type="spellStart"/>
      <w:r w:rsidR="006653A1" w:rsidRPr="00F12834">
        <w:rPr>
          <w:rFonts w:ascii="Times New Roman" w:eastAsia="TimesNewRoman,Bold" w:hAnsi="Times New Roman" w:cs="Times New Roman"/>
          <w:sz w:val="24"/>
          <w:szCs w:val="22"/>
        </w:rPr>
        <w:t>lzheimer</w:t>
      </w:r>
      <w:proofErr w:type="spellEnd"/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232FA6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4.2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Δοσολογία και τρόπος χορήγησης</w:t>
      </w:r>
    </w:p>
    <w:p w:rsidR="005E7A70" w:rsidRPr="005E7A70" w:rsidRDefault="005E7A70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</w:pPr>
      <w:r w:rsidRPr="005E7A70"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  <w:t>Δοσολογία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Η αγωγή πρέπει να χορηγείται και να επιβλέπεται από γιατρό με εμπειρία στη διάγνωση και θεραπεία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της άνοιας του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Alzheimer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 Η θεραπευτική αγωγή θα πρέπει να χορηγείται μόνο με την παρουσία του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ατόμου που φροντίζει τον ασθενή και που θα ελέγχει τακτικά τη λήψη του φαρμακευτικού προϊόντος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από τον ασθενή. Η διάγνωση θα πρέπει να γίνεται σύμφωνα με τις ισχύουσες οδηγίες. Η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ανεκτικότητα και δοσολογία στ</w:t>
      </w:r>
      <w:r w:rsidR="00D07CD5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ο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D07CD5" w:rsidRPr="00F12834">
        <w:rPr>
          <w:rFonts w:ascii="Times New Roman" w:eastAsia="TimesNewRoman,Bold" w:hAnsi="Times New Roman" w:cs="Times New Roman"/>
          <w:sz w:val="24"/>
          <w:szCs w:val="22"/>
        </w:rPr>
        <w:t>Memantine</w:t>
      </w:r>
      <w:proofErr w:type="spellEnd"/>
      <w:r w:rsidR="00D07CD5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="00D07CD5" w:rsidRPr="00F12834">
        <w:rPr>
          <w:rFonts w:ascii="Times New Roman" w:eastAsia="TimesNewRoman,Bold" w:hAnsi="Times New Roman" w:cs="Times New Roman"/>
          <w:sz w:val="24"/>
          <w:szCs w:val="22"/>
        </w:rPr>
        <w:t>Genepharm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θα πρέπει να επανελέγχεται σε τακτά χρονικά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διαστήματα, προτιμότερο ανά τρεις μήνες από την έναρξη της θεραπείας. Επομένως το κλινικό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όφελος του </w:t>
      </w:r>
      <w:proofErr w:type="spellStart"/>
      <w:r w:rsidR="00D07CD5" w:rsidRPr="00F12834">
        <w:rPr>
          <w:rFonts w:ascii="Times New Roman" w:eastAsia="TimesNewRoman,Bold" w:hAnsi="Times New Roman" w:cs="Times New Roman"/>
          <w:sz w:val="24"/>
          <w:szCs w:val="22"/>
        </w:rPr>
        <w:t>Memantine</w:t>
      </w:r>
      <w:proofErr w:type="spellEnd"/>
      <w:r w:rsidR="00D07CD5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="00D07CD5" w:rsidRPr="00F12834">
        <w:rPr>
          <w:rFonts w:ascii="Times New Roman" w:eastAsia="TimesNewRoman,Bold" w:hAnsi="Times New Roman" w:cs="Times New Roman"/>
          <w:sz w:val="24"/>
          <w:szCs w:val="22"/>
        </w:rPr>
        <w:t>Genepharm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και η ανεκτικότητα του ασθενούς σε αυτό, θα πρέπει να επανελέγχονται σε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τακτά χρονικά διαστήματα, σύμφωνα με τις κλινικές προδιαγραφές.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Η διατήρηση της θεραπείας μπορεί να συνεχιστεί για όσο διάστημα υπάρχει θεραπευτικό όφελος για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τον ασθενή και για όσο διάστημα ο ασθενής παρουσιάζει ανεκτικότητα στην θεραπεία με </w:t>
      </w:r>
      <w:proofErr w:type="spellStart"/>
      <w:r w:rsidR="00D07CD5" w:rsidRPr="00F12834">
        <w:rPr>
          <w:rFonts w:ascii="Times New Roman" w:eastAsia="TimesNewRoman,Bold" w:hAnsi="Times New Roman" w:cs="Times New Roman"/>
          <w:sz w:val="24"/>
          <w:szCs w:val="22"/>
        </w:rPr>
        <w:t>Memantine</w:t>
      </w:r>
      <w:proofErr w:type="spellEnd"/>
      <w:r w:rsidR="00D07CD5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="00D07CD5" w:rsidRPr="00F12834">
        <w:rPr>
          <w:rFonts w:ascii="Times New Roman" w:eastAsia="TimesNewRoman,Bold" w:hAnsi="Times New Roman" w:cs="Times New Roman"/>
          <w:sz w:val="24"/>
          <w:szCs w:val="22"/>
        </w:rPr>
        <w:t>Genepharm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Συνεπώς το κλινικό όφελος </w:t>
      </w:r>
      <w:r w:rsidR="004271C9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του </w:t>
      </w:r>
      <w:proofErr w:type="spellStart"/>
      <w:r w:rsidR="004271C9" w:rsidRPr="004271C9">
        <w:rPr>
          <w:rFonts w:ascii="Times New Roman" w:eastAsia="TimesNewRoman,Bold" w:hAnsi="Times New Roman" w:cs="Times New Roman"/>
          <w:sz w:val="24"/>
          <w:szCs w:val="22"/>
          <w:lang w:val="el-GR"/>
        </w:rPr>
        <w:t>Memantine</w:t>
      </w:r>
      <w:proofErr w:type="spellEnd"/>
      <w:r w:rsidR="004271C9" w:rsidRPr="004271C9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="004271C9" w:rsidRPr="004271C9">
        <w:rPr>
          <w:rFonts w:ascii="Times New Roman" w:eastAsia="TimesNewRoman,Bold" w:hAnsi="Times New Roman" w:cs="Times New Roman"/>
          <w:sz w:val="24"/>
          <w:szCs w:val="22"/>
          <w:lang w:val="el-GR"/>
        </w:rPr>
        <w:t>Genepharm</w:t>
      </w:r>
      <w:proofErr w:type="spellEnd"/>
      <w:r w:rsidR="004271C9" w:rsidRPr="004271C9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θα πρέπει να επανεκτιμάται σε τακτική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βάση. Η διακοπή της θεραπείας θα πρέπει να εξετάζεται όταν δεν υπάρχουν πλέον αναφορές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θεραπευτικής δράσης ή εάν ο ασθενής δεν παρουσιάζει ανεκτικότητα στη θεραπεία.</w:t>
      </w:r>
    </w:p>
    <w:p w:rsidR="006653A1" w:rsidRPr="00334A21" w:rsidRDefault="004271C9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2"/>
          <w:lang w:val="el-GR"/>
        </w:rPr>
      </w:pPr>
      <w:r>
        <w:rPr>
          <w:rFonts w:ascii="Times New Roman" w:eastAsia="TimesNewRoman,Bold" w:hAnsi="Times New Roman" w:cs="Times New Roman"/>
          <w:i/>
          <w:iCs/>
          <w:sz w:val="24"/>
          <w:szCs w:val="22"/>
          <w:lang w:val="el-GR"/>
        </w:rPr>
        <w:t>Ενήλικες</w:t>
      </w:r>
    </w:p>
    <w:p w:rsidR="006653A1" w:rsidRPr="002C2B2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</w:pPr>
      <w:proofErr w:type="spellStart"/>
      <w:r w:rsidRPr="002C2B24"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  <w:t>Τιτλοποίηση</w:t>
      </w:r>
      <w:proofErr w:type="spellEnd"/>
      <w:r w:rsidRPr="002C2B24"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  <w:t xml:space="preserve"> δόσης</w:t>
      </w:r>
    </w:p>
    <w:p w:rsidR="006653A1" w:rsidRPr="00F12834" w:rsidRDefault="00543543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>
        <w:rPr>
          <w:rFonts w:ascii="Times New Roman" w:eastAsia="TimesNewRoman,Bold" w:hAnsi="Times New Roman" w:cs="Times New Roman"/>
          <w:sz w:val="24"/>
          <w:szCs w:val="22"/>
          <w:lang w:val="el-GR"/>
        </w:rPr>
        <w:t>Η μέγιστη ημερήσια δόση είναι 20</w:t>
      </w:r>
      <w:r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543543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την ημέρα. </w:t>
      </w:r>
      <w:r w:rsidR="002C2B24" w:rsidRPr="002C2B2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Η συνιστώμενη δόση έναρξης είναι 5 </w:t>
      </w:r>
      <w:proofErr w:type="spellStart"/>
      <w:r w:rsidR="002C2B24" w:rsidRPr="002C2B24">
        <w:rPr>
          <w:rFonts w:ascii="Times New Roman" w:eastAsia="TimesNewRoman,Bold" w:hAnsi="Times New Roman" w:cs="Times New Roman"/>
          <w:sz w:val="24"/>
          <w:szCs w:val="22"/>
          <w:lang w:val="el-GR"/>
        </w:rPr>
        <w:t>mg</w:t>
      </w:r>
      <w:proofErr w:type="spellEnd"/>
      <w:r w:rsidR="002C2B24" w:rsidRPr="002C2B2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την ημέρα η</w:t>
      </w:r>
      <w:r w:rsidR="002C2B2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="002C2B24" w:rsidRPr="002C2B24">
        <w:rPr>
          <w:rFonts w:ascii="Times New Roman" w:eastAsia="TimesNewRoman,Bold" w:hAnsi="Times New Roman" w:cs="Times New Roman"/>
          <w:sz w:val="24"/>
          <w:szCs w:val="22"/>
          <w:lang w:val="el-GR"/>
        </w:rPr>
        <w:t>οποία αυξάνεται διαδοχικά</w:t>
      </w:r>
      <w:r w:rsidR="002C2B2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="002C2B24" w:rsidRPr="002C2B24">
        <w:rPr>
          <w:rFonts w:ascii="Times New Roman" w:eastAsia="TimesNewRoman,Bold" w:hAnsi="Times New Roman" w:cs="Times New Roman"/>
          <w:sz w:val="24"/>
          <w:szCs w:val="22"/>
          <w:lang w:val="el-GR"/>
        </w:rPr>
        <w:t>τις 4 πρώτες εβδομάδες θεραπείας φτάνοντας</w:t>
      </w:r>
      <w:r w:rsidR="002C2B2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="002C2B24" w:rsidRPr="002C2B24">
        <w:rPr>
          <w:rFonts w:ascii="Times New Roman" w:eastAsia="TimesNewRoman,Bold" w:hAnsi="Times New Roman" w:cs="Times New Roman"/>
          <w:sz w:val="24"/>
          <w:szCs w:val="22"/>
          <w:lang w:val="el-GR"/>
        </w:rPr>
        <w:t>την συνιστώμενη δόση συντήρησης</w:t>
      </w:r>
      <w:r w:rsidR="002C2B2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όπως </w:t>
      </w:r>
      <w:r w:rsidR="002C2B24" w:rsidRPr="002C2B24">
        <w:rPr>
          <w:rFonts w:ascii="Times New Roman" w:eastAsia="TimesNewRoman,Bold" w:hAnsi="Times New Roman" w:cs="Times New Roman"/>
          <w:sz w:val="24"/>
          <w:szCs w:val="22"/>
          <w:lang w:val="el-GR"/>
        </w:rPr>
        <w:t>περιγράφεται ακολούθως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:</w:t>
      </w:r>
    </w:p>
    <w:p w:rsidR="006653A1" w:rsidRPr="00F12834" w:rsidRDefault="006653A1" w:rsidP="00196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Εβδομάδα 1 (ημέρα 1-7)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Ο/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H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ασθενής θα πρέπει να λάβει </w:t>
      </w:r>
      <w:r w:rsidR="00D07CD5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ένα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δισκίο των 5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την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ημέρα για 7 ημέρες.</w:t>
      </w:r>
    </w:p>
    <w:p w:rsidR="006653A1" w:rsidRPr="00F12834" w:rsidRDefault="006653A1" w:rsidP="00196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Εβδομάδα 2 (ημέρα 8-14):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Ο/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H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ασθενής θα πρέπει να λάβει ένα δισκίο των 10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την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ημέρα για 7 ημέρες.</w:t>
      </w:r>
    </w:p>
    <w:p w:rsidR="006653A1" w:rsidRPr="00F12834" w:rsidRDefault="006653A1" w:rsidP="00196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Εβδομάδα 3 (ημέρες 15-21)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Ο/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H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ασθενής θα πρέπει να λάβει ένα δισκίο των 15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την ημέρα για 7 ημέρες.</w:t>
      </w:r>
    </w:p>
    <w:p w:rsidR="006653A1" w:rsidRPr="00F12834" w:rsidRDefault="006653A1" w:rsidP="00196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Εβδομάδα 4</w:t>
      </w:r>
      <w:r w:rsidR="002C2B2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(ημέρες 22-28)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Ο/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H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ασθενής θα </w:t>
      </w:r>
      <w:r w:rsidR="00562A9A">
        <w:rPr>
          <w:rFonts w:ascii="Times New Roman" w:eastAsia="TimesNewRoman,Bold" w:hAnsi="Times New Roman" w:cs="Times New Roman"/>
          <w:sz w:val="24"/>
          <w:szCs w:val="22"/>
          <w:lang w:val="el-GR"/>
        </w:rPr>
        <w:t>πρέπει να λάβει ένα δισκίο των 2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0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την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ημέρα</w:t>
      </w:r>
    </w:p>
    <w:p w:rsidR="006653A1" w:rsidRDefault="006653A1" w:rsidP="002C2B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  <w:t>Δόση συντήρησης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Η συνιστώμενη δόση συντήρησης είναι 20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την ημέρα.</w:t>
      </w:r>
    </w:p>
    <w:p w:rsidR="002C2B24" w:rsidRDefault="002C2B24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2"/>
          <w:lang w:val="el-GR"/>
        </w:rPr>
      </w:pPr>
      <w:r>
        <w:rPr>
          <w:rFonts w:ascii="Times New Roman" w:eastAsia="TimesNewRoman,Bold" w:hAnsi="Times New Roman" w:cs="Times New Roman"/>
          <w:i/>
          <w:iCs/>
          <w:sz w:val="24"/>
          <w:szCs w:val="22"/>
          <w:lang w:val="el-GR"/>
        </w:rPr>
        <w:t>Ηλικιωμένοι</w:t>
      </w:r>
    </w:p>
    <w:p w:rsidR="006653A1" w:rsidRPr="00F12834" w:rsidRDefault="002C2B24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>
        <w:rPr>
          <w:rFonts w:ascii="Times New Roman" w:eastAsia="TimesNewRoman,Bold" w:hAnsi="Times New Roman" w:cs="Times New Roman"/>
          <w:sz w:val="24"/>
          <w:szCs w:val="22"/>
          <w:lang w:val="el-GR"/>
        </w:rPr>
        <w:lastRenderedPageBreak/>
        <w:t>Βάσει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τ</w:t>
      </w:r>
      <w:r>
        <w:rPr>
          <w:rFonts w:ascii="Times New Roman" w:eastAsia="TimesNewRoman,Bold" w:hAnsi="Times New Roman" w:cs="Times New Roman"/>
          <w:sz w:val="24"/>
          <w:szCs w:val="22"/>
          <w:lang w:val="el-GR"/>
        </w:rPr>
        <w:t>ων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κλινικ</w:t>
      </w:r>
      <w:r>
        <w:rPr>
          <w:rFonts w:ascii="Times New Roman" w:eastAsia="TimesNewRoman,Bold" w:hAnsi="Times New Roman" w:cs="Times New Roman"/>
          <w:sz w:val="24"/>
          <w:szCs w:val="22"/>
          <w:lang w:val="el-GR"/>
        </w:rPr>
        <w:t>ών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>
        <w:rPr>
          <w:rFonts w:ascii="Times New Roman" w:eastAsia="TimesNewRoman,Bold" w:hAnsi="Times New Roman" w:cs="Times New Roman"/>
          <w:sz w:val="24"/>
          <w:szCs w:val="22"/>
          <w:lang w:val="el-GR"/>
        </w:rPr>
        <w:t>μελετών,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η </w:t>
      </w:r>
      <w:proofErr w:type="spellStart"/>
      <w:r>
        <w:rPr>
          <w:rFonts w:ascii="Times New Roman" w:eastAsia="TimesNewRoman,Bold" w:hAnsi="Times New Roman" w:cs="Times New Roman"/>
          <w:sz w:val="24"/>
          <w:szCs w:val="22"/>
          <w:lang w:val="el-GR"/>
        </w:rPr>
        <w:t>συνιστόμενη</w:t>
      </w:r>
      <w:proofErr w:type="spellEnd"/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δόση για ασθενείς </w:t>
      </w:r>
      <w:r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ηλικίας 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65 ετών </w:t>
      </w:r>
      <w:r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και άνω, 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είναι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20 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>
        <w:rPr>
          <w:rFonts w:ascii="Times New Roman" w:eastAsia="TimesNewRoman,Bold" w:hAnsi="Times New Roman" w:cs="Times New Roman"/>
          <w:sz w:val="24"/>
          <w:szCs w:val="22"/>
          <w:lang w:val="el-GR"/>
        </w:rPr>
        <w:t>την ημέρα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(</w:t>
      </w:r>
      <w:r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20 </w:t>
      </w:r>
      <w:r>
        <w:rPr>
          <w:rFonts w:ascii="Times New Roman" w:eastAsia="TimesNewRoman,Bold" w:hAnsi="Times New Roman" w:cs="Times New Roman"/>
          <w:sz w:val="24"/>
          <w:szCs w:val="22"/>
        </w:rPr>
        <w:t>mg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μια φορά την ημέρα) όπως περιγράφεται ανωτέρω.</w:t>
      </w:r>
    </w:p>
    <w:p w:rsidR="00825B70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i/>
          <w:iCs/>
          <w:sz w:val="24"/>
          <w:szCs w:val="22"/>
          <w:lang w:val="el-GR"/>
        </w:rPr>
        <w:t>Νεφρική ανεπάρκει</w:t>
      </w:r>
      <w:r w:rsidR="00825B70">
        <w:rPr>
          <w:rFonts w:ascii="Times New Roman" w:eastAsia="TimesNewRoman,Bold" w:hAnsi="Times New Roman" w:cs="Times New Roman"/>
          <w:i/>
          <w:iCs/>
          <w:sz w:val="24"/>
          <w:szCs w:val="22"/>
          <w:lang w:val="el-GR"/>
        </w:rPr>
        <w:t>α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Σε ασθενείς με ήπια ανεπάρκεια της νεφρικής λειτουργίας (κάθαρση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κρεατινίνης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50-80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ml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min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) δεν απαιτείται προσαρμογή της δόσης. Σε ασθενείς με μέτρια νεφρική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βλάβη (κάθαρση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κρεατινίνης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30 - 49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ml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min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) η ημερήσια δόση πρέπει να είναι 10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ημερησίως.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Εάν εμφανίζουν καλή ανοχή μετά από τουλάχιστον 7 ημέρες θεραπείας, η δόση μπορεί να αυξηθεί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έως τα 20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/ημέρα σύμφωνα με το καθιερωμένο σχήμα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τιτλοποίησης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 Σε ασθενείς με σοβαρή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νεφρική ανεπάρκεια (κάθαρση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κρεατινίνης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5-29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ml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min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) η ημερήσια δόση πρέπει να είναι 10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mg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την</w:t>
      </w:r>
      <w:r w:rsidR="006C4B07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ημέρα.</w:t>
      </w:r>
    </w:p>
    <w:p w:rsidR="00825B70" w:rsidRDefault="00825B70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2"/>
          <w:lang w:val="el-GR"/>
        </w:rPr>
      </w:pPr>
      <w:r>
        <w:rPr>
          <w:rFonts w:ascii="Times New Roman" w:eastAsia="TimesNewRoman,Bold" w:hAnsi="Times New Roman" w:cs="Times New Roman"/>
          <w:i/>
          <w:iCs/>
          <w:sz w:val="24"/>
          <w:szCs w:val="22"/>
          <w:lang w:val="el-GR"/>
        </w:rPr>
        <w:t>Ηπατική ανεπάρκεια</w:t>
      </w:r>
    </w:p>
    <w:p w:rsidR="006653A1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Σε ασθενείς με ήπια έως μέτρια ηπατική ανεπάρκεια (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Child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-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Pugh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A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και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Child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-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Pugh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Β) δεν απαιτείται προσαρμογή της δόσης. Δεν υπάρχουν διαθέσιμα στοιχεία για την χρήση της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σε ασθενεί</w:t>
      </w:r>
      <w:r w:rsidR="00825B70">
        <w:rPr>
          <w:rFonts w:ascii="Times New Roman" w:eastAsia="TimesNewRoman,Bold" w:hAnsi="Times New Roman" w:cs="Times New Roman"/>
          <w:sz w:val="24"/>
          <w:szCs w:val="22"/>
          <w:lang w:val="el-GR"/>
        </w:rPr>
        <w:t>ς με σοβαρή ηπατική ανεπάρκεια.</w:t>
      </w:r>
    </w:p>
    <w:p w:rsidR="00825B70" w:rsidRPr="00825B70" w:rsidRDefault="00825B70" w:rsidP="00825B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i/>
          <w:iCs/>
          <w:sz w:val="24"/>
          <w:szCs w:val="22"/>
          <w:lang w:val="el-GR"/>
        </w:rPr>
      </w:pPr>
      <w:r w:rsidRPr="00825B70">
        <w:rPr>
          <w:rFonts w:ascii="Times New Roman" w:eastAsia="TimesNewRoman,Bold" w:hAnsi="Times New Roman" w:cs="Times New Roman"/>
          <w:i/>
          <w:iCs/>
          <w:sz w:val="24"/>
          <w:szCs w:val="22"/>
          <w:lang w:val="el-GR"/>
        </w:rPr>
        <w:t>Παιδιατρικός πληθυσμός</w:t>
      </w:r>
    </w:p>
    <w:p w:rsidR="00825B70" w:rsidRPr="00825B70" w:rsidRDefault="00825B70" w:rsidP="00825B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825B70">
        <w:rPr>
          <w:rFonts w:ascii="Times New Roman" w:eastAsia="TimesNewRoman,Bold" w:hAnsi="Times New Roman" w:cs="Times New Roman"/>
          <w:iCs/>
          <w:sz w:val="24"/>
          <w:szCs w:val="22"/>
          <w:lang w:val="el-GR"/>
        </w:rPr>
        <w:t>Δεν υπάρχουν διαθέσιμα δεδομένα</w:t>
      </w:r>
      <w:r>
        <w:rPr>
          <w:rFonts w:ascii="Times New Roman" w:eastAsia="TimesNewRoman,Bold" w:hAnsi="Times New Roman" w:cs="Times New Roman"/>
          <w:iCs/>
          <w:sz w:val="24"/>
          <w:szCs w:val="22"/>
          <w:lang w:val="el-GR"/>
        </w:rPr>
        <w:t>.</w:t>
      </w:r>
    </w:p>
    <w:p w:rsidR="00A538C4" w:rsidRPr="00F12834" w:rsidRDefault="00A538C4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  <w:t>Τρόπος χορήγησης</w:t>
      </w:r>
    </w:p>
    <w:p w:rsidR="008E2569" w:rsidRPr="00F12834" w:rsidRDefault="008E2569" w:rsidP="008E256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Το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Memantine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Genepharm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πρέπει να χορηγείται </w:t>
      </w:r>
      <w:r w:rsidR="00825B70">
        <w:rPr>
          <w:rFonts w:ascii="Times New Roman" w:eastAsia="TimesNewRoman,Bold" w:hAnsi="Times New Roman" w:cs="Times New Roman"/>
          <w:sz w:val="24"/>
          <w:szCs w:val="22"/>
          <w:lang w:val="el-GR"/>
        </w:rPr>
        <w:t>από του στόματος, άπαξ ημερησίως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και θα πρέπει να λαμβάνεται την ίδια ώρα κάθε ημέρα. Τα δισκία μπορούν να λ</w:t>
      </w:r>
      <w:r w:rsidR="00825B70">
        <w:rPr>
          <w:rFonts w:ascii="Times New Roman" w:eastAsia="TimesNewRoman,Bold" w:hAnsi="Times New Roman" w:cs="Times New Roman"/>
          <w:sz w:val="24"/>
          <w:szCs w:val="22"/>
          <w:lang w:val="el-GR"/>
        </w:rPr>
        <w:t>αμβάνο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ν</w:t>
      </w:r>
      <w:r w:rsidR="00825B70">
        <w:rPr>
          <w:rFonts w:ascii="Times New Roman" w:eastAsia="TimesNewRoman,Bold" w:hAnsi="Times New Roman" w:cs="Times New Roman"/>
          <w:sz w:val="24"/>
          <w:szCs w:val="22"/>
          <w:lang w:val="el-GR"/>
        </w:rPr>
        <w:t>ται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με ή χωρίς </w:t>
      </w:r>
      <w:r w:rsidR="00825B70">
        <w:rPr>
          <w:rFonts w:ascii="Times New Roman" w:eastAsia="TimesNewRoman,Bold" w:hAnsi="Times New Roman" w:cs="Times New Roman"/>
          <w:sz w:val="24"/>
          <w:szCs w:val="22"/>
          <w:lang w:val="el-GR"/>
        </w:rPr>
        <w:t>τροφή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4.3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Αντενδείξεις</w:t>
      </w:r>
    </w:p>
    <w:p w:rsidR="006653A1" w:rsidRPr="00F12834" w:rsidRDefault="00A538C4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Υπερευαισθησία στη δραστική ουσία ή σε κάποιο από τα έκδοχα που αναφέρονται στην παράγραφο 6.1</w:t>
      </w:r>
      <w:r w:rsidR="006653A1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6F2765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4.4 </w:t>
      </w:r>
      <w:r w:rsidR="006653A1" w:rsidRPr="006F2765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Ειδικές προειδοποιήσεις και προφυλάξεις κατά τη χρήση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Συνίσταται προσοχή στους ασθενείς με επιληψία, προηγούμενο ιστορικό σπασμών ή ασθενείς με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προδιαθετικούς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παράγοντες για επιληψία.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Θα πρέπει να αποφεύγεται η ταυτόχρονη χρήση ανταγωνιστών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N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-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methyl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-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D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-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aspartate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(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NMDA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) όπως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αμανταδίνης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,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κεταμίνης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ή </w:t>
      </w:r>
      <w:proofErr w:type="spellStart"/>
      <w:r w:rsidR="0053485C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δεξτρομεθορφάνης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 Αυτά τα σκευάσματα ενεργούν στο ίδιο σύστημα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υποδοχέων όπως και το </w:t>
      </w:r>
      <w:proofErr w:type="spellStart"/>
      <w:r w:rsidR="0053485C" w:rsidRPr="00F12834">
        <w:rPr>
          <w:rFonts w:ascii="Times New Roman" w:eastAsia="TimesNewRoman,Bold" w:hAnsi="Times New Roman" w:cs="Times New Roman"/>
          <w:sz w:val="24"/>
          <w:szCs w:val="22"/>
        </w:rPr>
        <w:t>Memantine</w:t>
      </w:r>
      <w:proofErr w:type="spellEnd"/>
      <w:r w:rsidR="0053485C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="0053485C" w:rsidRPr="00F12834">
        <w:rPr>
          <w:rFonts w:ascii="Times New Roman" w:eastAsia="TimesNewRoman,Bold" w:hAnsi="Times New Roman" w:cs="Times New Roman"/>
          <w:sz w:val="24"/>
          <w:szCs w:val="22"/>
        </w:rPr>
        <w:t>Genepharm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, και επομένως οι ανεπιθύμητες ενέργειες του φαρμάκου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(σχετιζόμενες κυρίως με το κεντρικό νευρικό σύστημα ) ενδέχεται να είναι πιο συχνές ή πιο έντονες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(βλ. επίσης </w:t>
      </w:r>
      <w:r w:rsidR="00C829A5">
        <w:rPr>
          <w:rFonts w:ascii="Times New Roman" w:eastAsia="TimesNewRoman,Bold" w:hAnsi="Times New Roman" w:cs="Times New Roman"/>
          <w:sz w:val="24"/>
          <w:szCs w:val="22"/>
          <w:lang w:val="el-GR"/>
        </w:rPr>
        <w:t>παράγραφο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4.5).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Μερικοί παράγοντες που ενδέχεται να αυξάνουν το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pH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των ούρων (βλ. </w:t>
      </w:r>
      <w:r w:rsidR="00C829A5">
        <w:rPr>
          <w:rFonts w:ascii="Times New Roman" w:eastAsia="TimesNewRoman,Bold" w:hAnsi="Times New Roman" w:cs="Times New Roman"/>
          <w:sz w:val="24"/>
          <w:szCs w:val="22"/>
          <w:lang w:val="el-GR"/>
        </w:rPr>
        <w:t>παράγραφο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5.2 </w:t>
      </w:r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«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Αποβολή</w:t>
      </w:r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»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) πιθανόν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να απαιτούν προσεκτική παρακολούθηση του ασθενή. Αυτοί οι παράγοντες περιλαμβάνουν δραστικές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αλλαγές της διατροφής, π.χ. από διατροφή με βάση το κρέας σε διατροφή με βάση τα λαχανικά, ή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μαζική πρόσληψη ρυθμιστικών διαλυμάτων γαστρικής ουδετεροποίησης. Επίσης, το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pH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των ούρων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μπορεί να αυξάνει εξαιτίας περιπτώσεων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lastRenderedPageBreak/>
        <w:t>οξέωσης του νεφρικού σωληναρίου (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RTA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) ή σοβαρών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μολύνσεων της ουρητικής οδού από το </w:t>
      </w:r>
      <w:r w:rsidRPr="00F12834">
        <w:rPr>
          <w:rFonts w:ascii="Times New Roman" w:eastAsia="TimesNewRoman,Bold" w:hAnsi="Times New Roman" w:cs="Times New Roman"/>
          <w:i/>
          <w:iCs/>
          <w:sz w:val="24"/>
          <w:szCs w:val="22"/>
          <w:lang w:val="el-GR"/>
        </w:rPr>
        <w:t>βακτήριο Πρωτεύς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6653A1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Στις περισσότερες κλινικές δοκιμές αποκλείσθηκαν οι ασθενείς που έπασχαν από πρόσφατο</w:t>
      </w:r>
      <w:r w:rsidR="00196289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έμφραγμα του μυοκαρδίου, μη-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αντιρροπούμενη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συμφορητική καρδιακή ανεπάρκεια (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NYHA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III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-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IV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),</w:t>
      </w:r>
      <w:r w:rsidR="00196289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ή ανεξέλεγκτη υπέρταση. Ως συνέπεια αυτού, υπάρχει μόνο περιορισμένος αριθμός διαθέσιμων</w:t>
      </w:r>
      <w:r w:rsidR="00196289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στοιχείων και θα πρέπει οι ασθενείς που πάσχουν από αυτές τις παθήσεις να επιτηρούνται στενά.</w:t>
      </w:r>
    </w:p>
    <w:p w:rsidR="00334A21" w:rsidRPr="00334A21" w:rsidRDefault="00334A21" w:rsidP="00334A2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334A21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Περιέχει λακτόζη. Οι ασθενείς με σπάνια κληρονομικά προβλήματα δυσανεξίας στη γαλακτόζη, έλλειψη </w:t>
      </w:r>
      <w:proofErr w:type="spellStart"/>
      <w:r w:rsidRPr="00334A21">
        <w:rPr>
          <w:rFonts w:ascii="Times New Roman" w:eastAsia="TimesNewRoman,Bold" w:hAnsi="Times New Roman" w:cs="Times New Roman"/>
          <w:sz w:val="24"/>
          <w:szCs w:val="22"/>
          <w:lang w:val="el-GR"/>
        </w:rPr>
        <w:t>λακτάσης</w:t>
      </w:r>
      <w:proofErr w:type="spellEnd"/>
      <w:r w:rsidRPr="00334A21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334A21">
        <w:rPr>
          <w:rFonts w:ascii="Times New Roman" w:eastAsia="TimesNewRoman,Bold" w:hAnsi="Times New Roman" w:cs="Times New Roman"/>
          <w:sz w:val="24"/>
          <w:szCs w:val="22"/>
          <w:lang w:val="el-GR"/>
        </w:rPr>
        <w:t>Lapp</w:t>
      </w:r>
      <w:proofErr w:type="spellEnd"/>
      <w:r w:rsidRPr="00334A21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ή κακή απορρόφηση γλυκόζης-γαλακτόζης δεν πρέπει να πάρουν αυτό το φάρμακο.</w:t>
      </w:r>
    </w:p>
    <w:p w:rsidR="00334A21" w:rsidRPr="00334A21" w:rsidRDefault="00334A21" w:rsidP="00334A2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334A21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Περιέχει </w:t>
      </w:r>
      <w:proofErr w:type="spellStart"/>
      <w:r w:rsidRPr="00334A21">
        <w:rPr>
          <w:rFonts w:ascii="Times New Roman" w:eastAsia="TimesNewRoman,Bold" w:hAnsi="Times New Roman" w:cs="Times New Roman"/>
          <w:sz w:val="24"/>
          <w:szCs w:val="22"/>
          <w:lang w:val="el-GR"/>
        </w:rPr>
        <w:t>ασπαρτάμη</w:t>
      </w:r>
      <w:proofErr w:type="spellEnd"/>
      <w:r w:rsidRPr="00334A21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(πηγή </w:t>
      </w:r>
      <w:proofErr w:type="spellStart"/>
      <w:r w:rsidRPr="00334A21">
        <w:rPr>
          <w:rFonts w:ascii="Times New Roman" w:eastAsia="TimesNewRoman,Bold" w:hAnsi="Times New Roman" w:cs="Times New Roman"/>
          <w:sz w:val="24"/>
          <w:szCs w:val="22"/>
          <w:lang w:val="el-GR"/>
        </w:rPr>
        <w:t>φαινυλαλανίνης</w:t>
      </w:r>
      <w:proofErr w:type="spellEnd"/>
      <w:r w:rsidRPr="00334A21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). Μπορεί να είναι επιβλαβή για άτομα με </w:t>
      </w:r>
      <w:proofErr w:type="spellStart"/>
      <w:r w:rsidRPr="00334A21">
        <w:rPr>
          <w:rFonts w:ascii="Times New Roman" w:eastAsia="TimesNewRoman,Bold" w:hAnsi="Times New Roman" w:cs="Times New Roman"/>
          <w:sz w:val="24"/>
          <w:szCs w:val="22"/>
          <w:lang w:val="el-GR"/>
        </w:rPr>
        <w:t>φαινυλκετονουρία</w:t>
      </w:r>
      <w:proofErr w:type="spellEnd"/>
      <w:r w:rsidRPr="00334A21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4.5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Αλληλεπιδράσεις με άλλα φαρμακευτικά προϊόντα και άλλες μορφές αλληλεπίδρασης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Εξαιτίας των φαρμακολογικών αποτελεσμάτων και του μηχανισμού δράσης τ</w:t>
      </w:r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ης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</w:t>
      </w:r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ενδέχεται</w:t>
      </w:r>
      <w:r w:rsidR="00196289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να παρατηρηθούν οι ακόλουθες αλληλεπιδράσεις:</w:t>
      </w:r>
    </w:p>
    <w:p w:rsidR="006653A1" w:rsidRPr="00F12834" w:rsidRDefault="006653A1" w:rsidP="00DC35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Ο τρόπος δράσης υποδηλώνει ότι τα αποτελέσματα του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L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-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</w:rPr>
        <w:t>dopa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, των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ντοπαμινεργικών</w:t>
      </w:r>
      <w:proofErr w:type="spellEnd"/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αγωνιστών, και των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αντιχολινεργικών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μπορούν να ενισχύονται με ταυτόχρονη θεραπευτική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αγωγή με ανταγωνιστές-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NMDA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όπως </w:t>
      </w:r>
      <w:r w:rsidR="0053485C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η </w:t>
      </w:r>
      <w:proofErr w:type="spellStart"/>
      <w:r w:rsidR="0053485C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 Η δράση των βαρβιτουρικών και των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νευροληπτικών ενδέχεται να μειώνεται. Η ταυτόχρονη χορήγηση του 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</w:rPr>
        <w:t>Memantine</w:t>
      </w:r>
      <w:proofErr w:type="spellEnd"/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</w:rPr>
        <w:t>Genepharm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με τους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αντισπασμωδικούς παράγοντες,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δαντρολένιο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και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βακλοφαίνη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, μπορεί να τροποποιεί τη δράση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τους και πιθανόν να απαιτείται ρύθμιση της δοσολογίας.</w:t>
      </w:r>
    </w:p>
    <w:p w:rsidR="006653A1" w:rsidRPr="00F12834" w:rsidRDefault="006653A1" w:rsidP="00DC35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Η ταυτόχρονη χρήση του 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</w:rPr>
        <w:t>Memantine</w:t>
      </w:r>
      <w:proofErr w:type="spellEnd"/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</w:rPr>
        <w:t>Genepharm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και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αμανταδίνης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θα πρέπει να αποφεύγεται, εξαιτίας του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κινδύνου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φαρμακοτοξικής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ψύχωσης. Και τα δύο σκευάσματα είναι χημικώς συγγενείς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ανταγωνιστές-NMDA. Το ίδιο μπορεί να ισχύει και για την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κεταμίνη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και τ</w:t>
      </w:r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η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δεξτρομεθορφάνη</w:t>
      </w:r>
      <w:proofErr w:type="spellEnd"/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(βλ. επίσης </w:t>
      </w:r>
      <w:r w:rsidR="00C829A5">
        <w:rPr>
          <w:rFonts w:ascii="Times New Roman" w:eastAsia="TimesNewRoman,Bold" w:hAnsi="Times New Roman" w:cs="Times New Roman"/>
          <w:sz w:val="24"/>
          <w:szCs w:val="22"/>
          <w:lang w:val="el-GR"/>
        </w:rPr>
        <w:t>παράγραφο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4.4). Υπάρχει επίσης μία δημοσιευμένη αναφορά περίπτωσης πιθανού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κινδύνου σχετικά με το συνδυασμό </w:t>
      </w:r>
      <w:proofErr w:type="spellStart"/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</w:t>
      </w:r>
      <w:r w:rsidR="00A300C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και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φαινυτοΐνης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6653A1" w:rsidRPr="00F12834" w:rsidRDefault="006653A1" w:rsidP="00DC35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Υπάρχει πιθανότητα και άλλες δραστικές ουσίες όπως η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σιμετιδίνη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,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ρανιτιδίνη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,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προκαϊναμίδη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,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κινιδίνη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, κινίνη και νικοτίνη οι οποίες χρησιμοποιούν το ίδιο νεφρικό κατιονικό σύστημα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μεταφοράς όπως και η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αμανταδίνη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να αλληλεπιδρούν με </w:t>
      </w:r>
      <w:r w:rsidR="00A300C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το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</w:rPr>
        <w:t>Memantine</w:t>
      </w:r>
      <w:proofErr w:type="spellEnd"/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</w:rPr>
        <w:t>Genepharm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και να οδηγούν σε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ενδεχόμενο κίνδυνο αυξημένων επιπέδων πλάσματος.</w:t>
      </w:r>
    </w:p>
    <w:p w:rsidR="006653A1" w:rsidRPr="00F12834" w:rsidRDefault="006653A1" w:rsidP="00DC35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Μπορεί να υπάρξει πιθανότητα μειωμένων επιπέδων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υδροχλωροθειαζίδης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(HCT) στον ορό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όταν η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συγχορηγείται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με HCT ή οποιοδήποτε συνδυασμό με HCT.</w:t>
      </w:r>
    </w:p>
    <w:p w:rsidR="006653A1" w:rsidRPr="00F12834" w:rsidRDefault="006653A1" w:rsidP="00DC35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Μετά την κυκλοφορία </w:t>
      </w:r>
      <w:r w:rsidR="00A300C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της </w:t>
      </w:r>
      <w:proofErr w:type="spellStart"/>
      <w:r w:rsidR="00A300C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στην αγορά έχουν καταγραφεί μεμονωμένα περιστατικά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αύξησης του INR (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international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normalised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ratio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) σε ασθενείς που ταυτόχρονα λάμβαναν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θεραπεία με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βαρφαρίνη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 Παρόλο που δεν έχει τεκμηριωθεί κάποια αιτιολογική συσχέτιση,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συνιστάται τακτικός έλεγχος του χρόνου προθρομβίνης ή του INR σε ασθενείς που λαμβάνουν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ταυτόχρονα θεραπεία με χορηγούμενα από τους στόματος αντιπηκτικά.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lastRenderedPageBreak/>
        <w:t xml:space="preserve">Σε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φαρμακοκινητικές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(</w:t>
      </w:r>
      <w:r w:rsidR="006F2765">
        <w:rPr>
          <w:rFonts w:ascii="Times New Roman" w:eastAsia="TimesNewRoman,Bold" w:hAnsi="Times New Roman" w:cs="Times New Roman"/>
          <w:sz w:val="24"/>
          <w:szCs w:val="22"/>
        </w:rPr>
        <w:t>PK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) μελέτες μιας δόσης σε υγιή</w:t>
      </w:r>
      <w:r w:rsid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ς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νεαρ</w:t>
      </w:r>
      <w:r w:rsid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ούς εθελοντές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δεν παρατηρήθηκε σχετική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αλληλεπίδραση δραστική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ουσία με δραστική ουσία</w:t>
      </w:r>
      <w:r w:rsid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,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της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με τις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γλυμπουρίδη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μετφορμίνη</w:t>
      </w:r>
      <w:proofErr w:type="spellEnd"/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και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δονεπεζίλη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Σε μια κλινική μελέτη σε </w:t>
      </w:r>
      <w:r w:rsidR="006F2765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υγιή</w:t>
      </w:r>
      <w:r w:rsid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ς</w:t>
      </w:r>
      <w:r w:rsidR="006F2765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νεαρ</w:t>
      </w:r>
      <w:r w:rsid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ούς εθελοντές</w:t>
      </w:r>
      <w:r w:rsidR="006F2765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δεν παρατηρήθηκε σχετική επίδραση της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μεμαντίνης</w:t>
      </w:r>
      <w:proofErr w:type="spellEnd"/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στην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φαρμακοκινητική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της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γκαλανταμίνης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Το </w:t>
      </w:r>
      <w:proofErr w:type="spellStart"/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δεν ανέστειλε τα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CYP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1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A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2, 2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A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6, 2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C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9, 2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D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6, 2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E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1, 3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A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, τη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φλαβίνη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που περιείχε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μονοξυγενάση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, το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εποξείδιο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υδρολάσης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ή τη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σουλφούρωση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i/>
          <w:iCs/>
          <w:sz w:val="24"/>
          <w:szCs w:val="22"/>
        </w:rPr>
        <w:t>in</w:t>
      </w:r>
      <w:r w:rsidRPr="00F12834">
        <w:rPr>
          <w:rFonts w:ascii="Times New Roman" w:eastAsia="TimesNewRoman,Bold" w:hAnsi="Times New Roman" w:cs="Times New Roman"/>
          <w:i/>
          <w:iCs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i/>
          <w:iCs/>
          <w:sz w:val="24"/>
          <w:szCs w:val="22"/>
        </w:rPr>
        <w:t>vitro</w:t>
      </w:r>
      <w:r w:rsidRPr="00F12834">
        <w:rPr>
          <w:rFonts w:ascii="Times New Roman" w:eastAsia="TimesNewRoman,Bold" w:hAnsi="Times New Roman" w:cs="Times New Roman"/>
          <w:i/>
          <w:iCs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(σε συνθήκες δοκιμαστικού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σωλήνα).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4.6 </w:t>
      </w:r>
      <w:r w:rsidR="00302288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Γονιμότητα, κ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ύηση και γαλουχία</w:t>
      </w:r>
    </w:p>
    <w:p w:rsidR="00302288" w:rsidRPr="00F12834" w:rsidRDefault="006F2765" w:rsidP="0030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</w:pPr>
      <w:r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  <w:t>Εγκυμοσύνη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Δεν υπάρχουν </w:t>
      </w:r>
      <w:r w:rsid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ή υπάρχουν περιορισμένα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διαθέσιμα </w:t>
      </w:r>
      <w:r w:rsid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δεδομένα</w:t>
      </w:r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για τη χρήση της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</w:t>
      </w:r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σε εγκυμονούσες γυναίκες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. Οι μελέτες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σε ζώα υποδηλώνουν κάποια πιθανότητα μείωσης της ενδομήτριας αύξησης σε επίπεδα έκθεσης, τα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οποία είναι όμοια ή ελαφρώς υψηλότερα από την ανθρώπινη έκθεση (βλ. </w:t>
      </w:r>
      <w:r w:rsidR="00C829A5">
        <w:rPr>
          <w:rFonts w:ascii="Times New Roman" w:eastAsia="TimesNewRoman,Bold" w:hAnsi="Times New Roman" w:cs="Times New Roman"/>
          <w:sz w:val="24"/>
          <w:szCs w:val="22"/>
          <w:lang w:val="el-GR"/>
        </w:rPr>
        <w:t>παράγραφο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5.3). Ο ενδεχόμενος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κίνδυνος για τους ανθρώπους είναι άγνωστος. Δε θα πρέπει να γίνεται χρήση του 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</w:rPr>
        <w:t>Memantine</w:t>
      </w:r>
      <w:proofErr w:type="spellEnd"/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</w:rPr>
        <w:t>Genepharm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στη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διάρκεια της κύησης εκτός και αν αυτό είναι απολύτως αναγκαίο.</w:t>
      </w:r>
    </w:p>
    <w:p w:rsidR="00302288" w:rsidRPr="00F12834" w:rsidRDefault="006F2765" w:rsidP="0030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</w:pPr>
      <w:r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  <w:t>Θηλασμός</w:t>
      </w:r>
    </w:p>
    <w:p w:rsidR="006653A1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Δεν είναι γνωστό εάν </w:t>
      </w:r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η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απεκκρίνεται στο γάλα του ανθρώπινου μαστού, αλλά αυτό είναι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πιθανό να συμβαίνει λαμβάνοντας υπόψη τη </w:t>
      </w:r>
      <w:proofErr w:type="spellStart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λιποφιλικότητα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της ουσίας. Οι γυναίκες που λαμβάνουν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το 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</w:rPr>
        <w:t>Memantine</w:t>
      </w:r>
      <w:proofErr w:type="spellEnd"/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</w:rPr>
        <w:t>Genepharm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δε θα πρέπει να θηλάζουν.</w:t>
      </w:r>
    </w:p>
    <w:p w:rsidR="006F2765" w:rsidRPr="006F2765" w:rsidRDefault="006F2765" w:rsidP="006F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</w:pPr>
      <w:r w:rsidRPr="006F2765"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  <w:t>Γονιμότητα</w:t>
      </w:r>
    </w:p>
    <w:p w:rsidR="006F2765" w:rsidRPr="00F12834" w:rsidRDefault="006F2765" w:rsidP="006F276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Δεν σημειώθηκαν ανεπιθύμητες ενέργειες τ</w:t>
      </w:r>
      <w:r w:rsidR="004271C9">
        <w:rPr>
          <w:rFonts w:ascii="Times New Roman" w:eastAsia="TimesNewRoman,Bold" w:hAnsi="Times New Roman" w:cs="Times New Roman"/>
          <w:sz w:val="24"/>
          <w:szCs w:val="22"/>
          <w:lang w:val="el-GR"/>
        </w:rPr>
        <w:t>ης</w:t>
      </w:r>
      <w:r w:rsidRP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4271C9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μεμαντίνης</w:t>
      </w:r>
      <w:proofErr w:type="spellEnd"/>
      <w:r w:rsidRP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στην ανδρική και γυναικεία γονιμότητα</w:t>
      </w:r>
      <w:r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4.7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Επιδράσεις στην ικανότητα οδήγησης και χειρισμού μηχανών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Η νόσος του </w:t>
      </w:r>
      <w:r w:rsidRPr="00F12834">
        <w:rPr>
          <w:rFonts w:ascii="Times New Roman" w:eastAsia="TimesNewRoman,Bold" w:hAnsi="Times New Roman" w:cs="Times New Roman"/>
          <w:sz w:val="24"/>
          <w:szCs w:val="22"/>
        </w:rPr>
        <w:t>Alzheimer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σε μέτριο έως σοβαρό βαθμό συνήθως προκαλεί χειροτέρευση της απόδοσης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στην οδήγηση και της ικανότητας χειρισμού μηχανών. Επιπλέον, το </w:t>
      </w:r>
      <w:proofErr w:type="spellStart"/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Memantine</w:t>
      </w:r>
      <w:proofErr w:type="spellEnd"/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/</w:t>
      </w:r>
      <w:proofErr w:type="spellStart"/>
      <w:r w:rsidR="0071741A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Genepharm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έχει ήπιες έως μέτριες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επιδράσεις στην ικανότητα οδήγησης και χειρισμού μηχανών, ώστε οι εξωτερικοί ασθενείς θα πρέπει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να προειδοποιούνται να λαμβάνουν ιδιαίτερη μέριμνα 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232FA6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4.8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Ανεπιθύμητες ενέργειες</w:t>
      </w:r>
    </w:p>
    <w:p w:rsidR="006F2765" w:rsidRPr="006F2765" w:rsidRDefault="006F2765" w:rsidP="006F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</w:pPr>
      <w:r w:rsidRPr="006F2765"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  <w:t>Περίληψη του προφίλ ασφάλειας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Σε κλινικές μελέτες στην μέτρια και σοβαρή άνοια, στις οποίες έλαβαν μέρος 1784 ασθενείς σε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θεραπεία με 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και 1595 ασθενείς σε θεραπεία με εικονικό φάρμακο, η συνολική συχνότητα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εμφάνισης ανεπιθύμητων ενεργειών με την 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δεν διέφερε από εκείνη του εικονικού φαρμάκου, οι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ανεπιθύμητες ενέργειες ήταν συνήθως ήπιας έως μέτριας βαρύτητας. Οι συχνότερα εμφανιζόμενες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ανεπιθύμητες ενέργειες με υψηλότερη συχνότητα εμφάνισης στην ομάδα της 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μεμαντίνης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σε σχέση με την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ομάδα του εικονικού φαρμάκου ήταν η ζάλη (6.3% έναντι 5.6% αντίστοιχα), κεφαλαλγία (5.2%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έναντι 3.9%), δυσκοιλιότητα (4.6% έναντι 2.6% ), υπνηλία (3.4% έναντι 2.2%) και υπέρταση (4,1%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έναντι 2,8%).</w:t>
      </w:r>
    </w:p>
    <w:p w:rsidR="006F2765" w:rsidRPr="006F2765" w:rsidRDefault="006F2765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</w:pPr>
      <w:r w:rsidRPr="006F2765">
        <w:rPr>
          <w:rFonts w:ascii="Times New Roman" w:eastAsia="TimesNewRoman,Bold" w:hAnsi="Times New Roman" w:cs="Times New Roman"/>
          <w:sz w:val="24"/>
          <w:szCs w:val="22"/>
          <w:u w:val="single"/>
          <w:lang w:val="el-GR"/>
        </w:rPr>
        <w:lastRenderedPageBreak/>
        <w:t>Κατάλογος ανεπιθύμητων ενεργειών σε μορφή πίνακα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Οι ακόλουθες ανεπιθύμητες ενέργειες οι οποίες καταγράφονται στον παρακάτω πίνακα αναφέρθηκαν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στις κλινικές μελέτες με </w:t>
      </w:r>
      <w:proofErr w:type="spellStart"/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μεμαντίνη</w:t>
      </w:r>
      <w:proofErr w:type="spellEnd"/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και μετά από την εισαγωγή της στην αγορά.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Σε κάθε ταξινόμηση ανά συχνότητα, οι ανεπιθύμητες ενέργειες εμφανίζονται με σειρά φθίνουσας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σοβαρότητας.</w:t>
      </w:r>
    </w:p>
    <w:p w:rsidR="00410C19" w:rsidRPr="00F12834" w:rsidRDefault="006653A1" w:rsidP="006F276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Οι ανεπιθύμητες ενέργειες </w:t>
      </w:r>
      <w:r w:rsidR="006F2765" w:rsidRP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εμφανίζονται ανά κατηγορία οργανικού συστήματος, βάσει της ακόλουθης</w:t>
      </w:r>
      <w:r w:rsid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="006F2765" w:rsidRP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συνθήκης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: πολύ συχνές (</w:t>
      </w:r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&gt;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1/10), συχνές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(</w:t>
      </w:r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&gt;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1/100 έως ≤1/10), όχι συχνές (</w:t>
      </w:r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&gt;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1/1.000 έως ≤1/100), σπάνιες (</w:t>
      </w:r>
      <w:r w:rsidR="00DC35CD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&gt;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1/10.000 έως ≤1/1.000), πολύ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σπάνιες (≤1/10.000), άγνωστες (δεν </w:t>
      </w:r>
      <w:r w:rsid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είναι δυνατόν</w:t>
      </w:r>
      <w:r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να εκτιμηθο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ύν από τα </w:t>
      </w:r>
      <w:r w:rsid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υπάρχοντα δεδομένα</w:t>
      </w:r>
      <w:r w:rsidR="002B5FF4" w:rsidRPr="00F12834">
        <w:rPr>
          <w:rFonts w:ascii="Times New Roman" w:eastAsia="TimesNewRoman,Bold" w:hAnsi="Times New Roman" w:cs="Times New Roman"/>
          <w:sz w:val="24"/>
          <w:szCs w:val="22"/>
          <w:lang w:val="el-GR"/>
        </w:rPr>
        <w:t>).</w:t>
      </w:r>
      <w:r w:rsid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 xml:space="preserve"> </w:t>
      </w:r>
      <w:r w:rsidR="006F2765" w:rsidRP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Σε κάθε ταξινόμηση ανά συχνότητα, οι ανεπιθύμητες ενέργειες εμφανίζονται με σειρά φθίνουσας σοβαρότητας</w:t>
      </w:r>
      <w:r w:rsidR="006F2765">
        <w:rPr>
          <w:rFonts w:ascii="Times New Roman" w:eastAsia="TimesNewRoman,Bold" w:hAnsi="Times New Roman" w:cs="Times New Roman"/>
          <w:sz w:val="24"/>
          <w:szCs w:val="22"/>
          <w:lang w:val="el-GR"/>
        </w:rPr>
        <w:t>.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2"/>
        <w:gridCol w:w="1892"/>
        <w:gridCol w:w="2793"/>
      </w:tblGrid>
      <w:tr w:rsidR="000666A9" w:rsidRPr="00F12834" w:rsidTr="00B16E0E">
        <w:trPr>
          <w:trHeight w:val="271"/>
          <w:jc w:val="center"/>
        </w:trPr>
        <w:tc>
          <w:tcPr>
            <w:tcW w:w="4412" w:type="dxa"/>
          </w:tcPr>
          <w:p w:rsidR="000666A9" w:rsidRPr="00F12834" w:rsidRDefault="000666A9" w:rsidP="00B16E0E">
            <w:pPr>
              <w:pStyle w:val="Default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F12834">
              <w:rPr>
                <w:rFonts w:ascii="Times New Roman" w:hAnsi="Times New Roman" w:cs="Times New Roman"/>
                <w:b/>
                <w:szCs w:val="22"/>
                <w:lang w:val="el-GR"/>
              </w:rPr>
              <w:t>Σύστημα</w:t>
            </w:r>
          </w:p>
        </w:tc>
        <w:tc>
          <w:tcPr>
            <w:tcW w:w="1892" w:type="dxa"/>
          </w:tcPr>
          <w:p w:rsidR="000666A9" w:rsidRPr="00F12834" w:rsidRDefault="000666A9" w:rsidP="00B16E0E">
            <w:pPr>
              <w:pStyle w:val="Default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F12834">
              <w:rPr>
                <w:rFonts w:ascii="Times New Roman" w:hAnsi="Times New Roman" w:cs="Times New Roman"/>
                <w:b/>
                <w:szCs w:val="22"/>
                <w:lang w:val="el-GR"/>
              </w:rPr>
              <w:t>Συχνότητα</w:t>
            </w:r>
          </w:p>
        </w:tc>
        <w:tc>
          <w:tcPr>
            <w:tcW w:w="2793" w:type="dxa"/>
          </w:tcPr>
          <w:p w:rsidR="000666A9" w:rsidRPr="00F12834" w:rsidRDefault="000666A9" w:rsidP="00B16E0E">
            <w:pPr>
              <w:pStyle w:val="Default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F12834">
              <w:rPr>
                <w:rFonts w:ascii="Times New Roman" w:hAnsi="Times New Roman" w:cs="Times New Roman"/>
                <w:b/>
                <w:szCs w:val="22"/>
                <w:lang w:val="el-GR"/>
              </w:rPr>
              <w:t>Ανεπιθύμητες ενέργειες</w:t>
            </w:r>
          </w:p>
        </w:tc>
      </w:tr>
      <w:tr w:rsidR="006653A1" w:rsidRPr="00446639" w:rsidTr="00B16E0E">
        <w:trPr>
          <w:trHeight w:val="271"/>
          <w:jc w:val="center"/>
        </w:trPr>
        <w:tc>
          <w:tcPr>
            <w:tcW w:w="441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Λοιμώξεις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και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μολύνσεις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9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Όχι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συχνές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793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Μολύνσεις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από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μύκητες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653A1" w:rsidRPr="00446639" w:rsidTr="00B16E0E">
        <w:trPr>
          <w:trHeight w:val="263"/>
          <w:jc w:val="center"/>
        </w:trPr>
        <w:tc>
          <w:tcPr>
            <w:tcW w:w="441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Δι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αταραχές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του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α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νοσο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ποιητικού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συστήμ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ατος </w:t>
            </w:r>
          </w:p>
        </w:tc>
        <w:tc>
          <w:tcPr>
            <w:tcW w:w="189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Συχνές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793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446639">
              <w:rPr>
                <w:rFonts w:ascii="Times New Roman" w:hAnsi="Times New Roman" w:cs="Times New Roman"/>
                <w:szCs w:val="22"/>
              </w:rPr>
              <w:t>Υπ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ερευ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αισθησία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στ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φάρμ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ακα </w:t>
            </w:r>
          </w:p>
        </w:tc>
      </w:tr>
      <w:tr w:rsidR="006653A1" w:rsidRPr="007F7637" w:rsidTr="00B16E0E">
        <w:trPr>
          <w:trHeight w:val="652"/>
          <w:jc w:val="center"/>
        </w:trPr>
        <w:tc>
          <w:tcPr>
            <w:tcW w:w="441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Ψυχι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ατρικές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δι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αταραχές </w:t>
            </w:r>
          </w:p>
        </w:tc>
        <w:tc>
          <w:tcPr>
            <w:tcW w:w="1892" w:type="dxa"/>
          </w:tcPr>
          <w:p w:rsidR="00107EAF" w:rsidRPr="00446639" w:rsidRDefault="00107EAF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Συχνές</w:t>
            </w:r>
          </w:p>
          <w:p w:rsidR="00107EAF" w:rsidRPr="00446639" w:rsidRDefault="00107EAF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Όχι συχνές</w:t>
            </w:r>
          </w:p>
          <w:p w:rsidR="00107EAF" w:rsidRPr="00446639" w:rsidRDefault="00107EAF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Όχι συχνές</w:t>
            </w:r>
          </w:p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 xml:space="preserve">Άγνωστες </w:t>
            </w:r>
          </w:p>
        </w:tc>
        <w:tc>
          <w:tcPr>
            <w:tcW w:w="2793" w:type="dxa"/>
          </w:tcPr>
          <w:p w:rsidR="00107EAF" w:rsidRPr="00446639" w:rsidRDefault="00107EAF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Υπνηλία</w:t>
            </w:r>
          </w:p>
          <w:p w:rsidR="00107EAF" w:rsidRPr="00446639" w:rsidRDefault="00107EAF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Σύγχυση</w:t>
            </w:r>
          </w:p>
          <w:p w:rsidR="00107EAF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Ψευδαισθήσεις</w:t>
            </w:r>
            <w:r w:rsidRPr="00446639">
              <w:rPr>
                <w:rFonts w:ascii="Times New Roman" w:hAnsi="Times New Roman" w:cs="Times New Roman"/>
                <w:szCs w:val="22"/>
                <w:vertAlign w:val="superscript"/>
                <w:lang w:val="el-GR"/>
              </w:rPr>
              <w:t>1</w:t>
            </w:r>
          </w:p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Ψυχωτικές αντιδράσεις</w:t>
            </w:r>
            <w:r w:rsidRPr="00446639">
              <w:rPr>
                <w:rFonts w:ascii="Times New Roman" w:hAnsi="Times New Roman" w:cs="Times New Roman"/>
                <w:szCs w:val="22"/>
                <w:vertAlign w:val="superscript"/>
                <w:lang w:val="el-GR"/>
              </w:rPr>
              <w:t>2</w:t>
            </w: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 xml:space="preserve"> </w:t>
            </w:r>
          </w:p>
        </w:tc>
      </w:tr>
      <w:tr w:rsidR="006653A1" w:rsidRPr="007F7637" w:rsidTr="00B16E0E">
        <w:trPr>
          <w:trHeight w:val="165"/>
          <w:jc w:val="center"/>
        </w:trPr>
        <w:tc>
          <w:tcPr>
            <w:tcW w:w="441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Δι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αταραχές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του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νευρικού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συστήμ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ατος </w:t>
            </w:r>
          </w:p>
        </w:tc>
        <w:tc>
          <w:tcPr>
            <w:tcW w:w="189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 xml:space="preserve">Συχνές </w:t>
            </w:r>
          </w:p>
          <w:p w:rsidR="00107EAF" w:rsidRPr="00446639" w:rsidRDefault="00107EAF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Συχνές</w:t>
            </w:r>
          </w:p>
          <w:p w:rsidR="00107EAF" w:rsidRPr="00446639" w:rsidRDefault="00107EAF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Όχι συχνές</w:t>
            </w:r>
          </w:p>
          <w:p w:rsidR="00107EAF" w:rsidRPr="00446639" w:rsidRDefault="00107EAF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Πολύ σπάνιες</w:t>
            </w:r>
          </w:p>
        </w:tc>
        <w:tc>
          <w:tcPr>
            <w:tcW w:w="2793" w:type="dxa"/>
          </w:tcPr>
          <w:p w:rsidR="00107EAF" w:rsidRPr="00446639" w:rsidRDefault="00107EAF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Ζάλη</w:t>
            </w:r>
          </w:p>
          <w:p w:rsidR="006653A1" w:rsidRPr="00446639" w:rsidRDefault="00107EAF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Διαταραχές ισορροπίας</w:t>
            </w:r>
          </w:p>
          <w:p w:rsidR="00107EAF" w:rsidRPr="00446639" w:rsidRDefault="00107EAF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Διαταραχές βάδισης</w:t>
            </w:r>
          </w:p>
          <w:p w:rsidR="00107EAF" w:rsidRPr="00446639" w:rsidRDefault="00107EAF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Επιληπτικές κρίσεις</w:t>
            </w:r>
          </w:p>
        </w:tc>
      </w:tr>
      <w:tr w:rsidR="006653A1" w:rsidRPr="00446639" w:rsidTr="00B16E0E">
        <w:trPr>
          <w:trHeight w:val="263"/>
          <w:jc w:val="center"/>
        </w:trPr>
        <w:tc>
          <w:tcPr>
            <w:tcW w:w="441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446639">
              <w:rPr>
                <w:rFonts w:ascii="Times New Roman" w:hAnsi="Times New Roman" w:cs="Times New Roman"/>
                <w:szCs w:val="22"/>
              </w:rPr>
              <w:t>Κα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ρδιολογικές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δι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αταραχές </w:t>
            </w:r>
          </w:p>
        </w:tc>
        <w:tc>
          <w:tcPr>
            <w:tcW w:w="189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Όχι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συχνές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793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446639">
              <w:rPr>
                <w:rFonts w:ascii="Times New Roman" w:hAnsi="Times New Roman" w:cs="Times New Roman"/>
                <w:szCs w:val="22"/>
              </w:rPr>
              <w:t>Κα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ρδι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>ακή α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νε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πάρκεια </w:t>
            </w:r>
          </w:p>
        </w:tc>
      </w:tr>
      <w:tr w:rsidR="006653A1" w:rsidRPr="00446639" w:rsidTr="00B16E0E">
        <w:trPr>
          <w:trHeight w:val="135"/>
          <w:jc w:val="center"/>
        </w:trPr>
        <w:tc>
          <w:tcPr>
            <w:tcW w:w="441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Αγγει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ακές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δι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αταραχές </w:t>
            </w:r>
          </w:p>
        </w:tc>
        <w:tc>
          <w:tcPr>
            <w:tcW w:w="189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Συχνές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16E0E" w:rsidRPr="00446639" w:rsidRDefault="00B16E0E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Όχι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συχνές</w:t>
            </w:r>
            <w:proofErr w:type="spellEnd"/>
          </w:p>
        </w:tc>
        <w:tc>
          <w:tcPr>
            <w:tcW w:w="2793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446639">
              <w:rPr>
                <w:rFonts w:ascii="Times New Roman" w:hAnsi="Times New Roman" w:cs="Times New Roman"/>
                <w:szCs w:val="22"/>
              </w:rPr>
              <w:t>Υπ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έρτ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αση </w:t>
            </w:r>
          </w:p>
          <w:p w:rsidR="00B16E0E" w:rsidRPr="00446639" w:rsidRDefault="00B16E0E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Φλε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βική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θρόμ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>βωση/θρομβοεμβολή</w:t>
            </w:r>
          </w:p>
        </w:tc>
      </w:tr>
      <w:tr w:rsidR="006653A1" w:rsidRPr="00446639" w:rsidTr="00B16E0E">
        <w:trPr>
          <w:trHeight w:val="393"/>
          <w:jc w:val="center"/>
        </w:trPr>
        <w:tc>
          <w:tcPr>
            <w:tcW w:w="441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 xml:space="preserve">Διαταραχές του αναπνευστικού συστήματος, του θώρακα και του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μεσοθωρακίου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 xml:space="preserve">. </w:t>
            </w:r>
          </w:p>
        </w:tc>
        <w:tc>
          <w:tcPr>
            <w:tcW w:w="189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Συχνές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793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Δύσ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πνοια </w:t>
            </w:r>
          </w:p>
        </w:tc>
      </w:tr>
      <w:tr w:rsidR="006653A1" w:rsidRPr="00446639" w:rsidTr="00B16E0E">
        <w:trPr>
          <w:trHeight w:val="168"/>
          <w:jc w:val="center"/>
        </w:trPr>
        <w:tc>
          <w:tcPr>
            <w:tcW w:w="441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446639">
              <w:rPr>
                <w:rFonts w:ascii="Times New Roman" w:hAnsi="Times New Roman" w:cs="Times New Roman"/>
                <w:szCs w:val="22"/>
              </w:rPr>
              <w:t>Γα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στρεντερικές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δι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αταραχές </w:t>
            </w:r>
          </w:p>
        </w:tc>
        <w:tc>
          <w:tcPr>
            <w:tcW w:w="189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Συχνές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16E0E" w:rsidRPr="00446639" w:rsidRDefault="00B16E0E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Όχι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συχνές</w:t>
            </w:r>
            <w:proofErr w:type="spellEnd"/>
          </w:p>
          <w:p w:rsidR="00B16E0E" w:rsidRPr="00446639" w:rsidRDefault="00B16E0E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Άγνωστες</w:t>
            </w:r>
            <w:proofErr w:type="spellEnd"/>
          </w:p>
        </w:tc>
        <w:tc>
          <w:tcPr>
            <w:tcW w:w="2793" w:type="dxa"/>
          </w:tcPr>
          <w:p w:rsidR="00B16E0E" w:rsidRPr="00446639" w:rsidRDefault="00B16E0E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Δυσκοιλιότητ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>α</w:t>
            </w:r>
          </w:p>
          <w:p w:rsidR="006653A1" w:rsidRPr="00446639" w:rsidRDefault="00B16E0E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Έμετος</w:t>
            </w:r>
            <w:proofErr w:type="spellEnd"/>
          </w:p>
          <w:p w:rsidR="00B16E0E" w:rsidRPr="00446639" w:rsidRDefault="00B16E0E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446639">
              <w:rPr>
                <w:rFonts w:ascii="Times New Roman" w:hAnsi="Times New Roman" w:cs="Times New Roman"/>
                <w:szCs w:val="22"/>
              </w:rPr>
              <w:t>Πα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γκρε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>ατίτιδα</w:t>
            </w:r>
            <w:r w:rsidRPr="0044663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</w:tr>
      <w:tr w:rsidR="006653A1" w:rsidRPr="007F7637" w:rsidTr="00B16E0E">
        <w:trPr>
          <w:trHeight w:val="263"/>
          <w:jc w:val="center"/>
        </w:trPr>
        <w:tc>
          <w:tcPr>
            <w:tcW w:w="441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Δι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αταραχές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του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ήπα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τος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9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Συχνές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16E0E" w:rsidRPr="00446639" w:rsidRDefault="00B16E0E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:rsidR="00B16E0E" w:rsidRPr="00446639" w:rsidRDefault="00B16E0E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Άγνωστες</w:t>
            </w:r>
            <w:proofErr w:type="spellEnd"/>
          </w:p>
        </w:tc>
        <w:tc>
          <w:tcPr>
            <w:tcW w:w="2793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 xml:space="preserve">Αυξημένες τιμές ηπατικής λειτουργίας </w:t>
            </w:r>
          </w:p>
          <w:p w:rsidR="00B16E0E" w:rsidRPr="00446639" w:rsidRDefault="00B16E0E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>Ηπατίτιδα</w:t>
            </w:r>
          </w:p>
        </w:tc>
      </w:tr>
      <w:tr w:rsidR="006653A1" w:rsidRPr="00F12834" w:rsidTr="00B16E0E">
        <w:trPr>
          <w:trHeight w:val="263"/>
          <w:jc w:val="center"/>
        </w:trPr>
        <w:tc>
          <w:tcPr>
            <w:tcW w:w="441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446639">
              <w:rPr>
                <w:rFonts w:ascii="Times New Roman" w:hAnsi="Times New Roman" w:cs="Times New Roman"/>
                <w:szCs w:val="22"/>
                <w:lang w:val="el-GR"/>
              </w:rPr>
              <w:t xml:space="preserve">Γενικές διαταραχές και διαταραχές στην θέση χορήγησης </w:t>
            </w:r>
          </w:p>
        </w:tc>
        <w:tc>
          <w:tcPr>
            <w:tcW w:w="1892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Συχνές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16E0E" w:rsidRPr="00446639" w:rsidRDefault="00B16E0E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Όχι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συχνές</w:t>
            </w:r>
            <w:proofErr w:type="spellEnd"/>
          </w:p>
        </w:tc>
        <w:tc>
          <w:tcPr>
            <w:tcW w:w="2793" w:type="dxa"/>
          </w:tcPr>
          <w:p w:rsidR="006653A1" w:rsidRPr="00446639" w:rsidRDefault="006653A1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Κεφ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 xml:space="preserve">αλαλγία </w:t>
            </w:r>
          </w:p>
          <w:p w:rsidR="00B16E0E" w:rsidRPr="00F12834" w:rsidRDefault="00B16E0E" w:rsidP="00B16E0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6639">
              <w:rPr>
                <w:rFonts w:ascii="Times New Roman" w:hAnsi="Times New Roman" w:cs="Times New Roman"/>
                <w:szCs w:val="22"/>
              </w:rPr>
              <w:t>Κό</w:t>
            </w:r>
            <w:proofErr w:type="spellEnd"/>
            <w:r w:rsidRPr="00446639">
              <w:rPr>
                <w:rFonts w:ascii="Times New Roman" w:hAnsi="Times New Roman" w:cs="Times New Roman"/>
                <w:szCs w:val="22"/>
              </w:rPr>
              <w:t>πωση</w:t>
            </w:r>
          </w:p>
        </w:tc>
      </w:tr>
    </w:tbl>
    <w:p w:rsidR="006653A1" w:rsidRPr="00F12834" w:rsidRDefault="006653A1" w:rsidP="00A96914">
      <w:pPr>
        <w:jc w:val="both"/>
        <w:rPr>
          <w:rFonts w:ascii="Times New Roman" w:hAnsi="Times New Roman" w:cs="Times New Roman"/>
          <w:sz w:val="24"/>
          <w:szCs w:val="22"/>
        </w:rPr>
      </w:pPr>
    </w:p>
    <w:p w:rsidR="006653A1" w:rsidRPr="00F12834" w:rsidRDefault="006653A1" w:rsidP="00196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vertAlign w:val="superscript"/>
          <w:lang w:val="el-GR"/>
        </w:rPr>
        <w:t>1</w:t>
      </w:r>
      <w:r w:rsidR="002B5FF4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Οι ψευδαισθήσεις παρατηρήθηκαν κυρίως σε ασθενείς με σοβαρή νόσο </w:t>
      </w:r>
      <w:r w:rsidRPr="00F12834">
        <w:rPr>
          <w:rFonts w:ascii="Times New Roman" w:hAnsi="Times New Roman" w:cs="Times New Roman"/>
          <w:sz w:val="24"/>
          <w:szCs w:val="22"/>
        </w:rPr>
        <w:t>Alzheimer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vertAlign w:val="superscript"/>
          <w:lang w:val="el-GR"/>
        </w:rPr>
        <w:t>2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Μεμονωμένα περιστατικά τα οποία καταγράφηκαν μετά την κυκλοφορία του προϊόντος στην</w:t>
      </w:r>
      <w:r w:rsidR="002B5FF4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αγορά.</w:t>
      </w:r>
    </w:p>
    <w:p w:rsidR="006653A1" w:rsidRPr="00334A21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lastRenderedPageBreak/>
        <w:t xml:space="preserve">Η νόσος </w:t>
      </w:r>
      <w:r w:rsidRPr="00F12834">
        <w:rPr>
          <w:rFonts w:ascii="Times New Roman" w:hAnsi="Times New Roman" w:cs="Times New Roman"/>
          <w:sz w:val="24"/>
          <w:szCs w:val="22"/>
        </w:rPr>
        <w:t>Alzheimer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έχει συσχετιστεί με την κατάθλιψη, τον αυτοκτονικό ιδεασμό και την</w:t>
      </w:r>
      <w:r w:rsidR="002B5FF4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αυτοκτονία. Μετά την κυκλοφορία του προϊόντος στην αγορά </w:t>
      </w:r>
      <w:r w:rsidR="006F2765" w:rsidRPr="006F2765">
        <w:rPr>
          <w:rFonts w:ascii="Times New Roman" w:hAnsi="Times New Roman" w:cs="Times New Roman"/>
          <w:sz w:val="24"/>
          <w:szCs w:val="22"/>
          <w:lang w:val="el-GR"/>
        </w:rPr>
        <w:t xml:space="preserve">τέτοιες ενέργειες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έχουν καταγραφεί</w:t>
      </w:r>
      <w:r w:rsidR="002B5FF4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σε ασθενείς που λάμβαναν θεραπεία με </w:t>
      </w:r>
      <w:proofErr w:type="spellStart"/>
      <w:r w:rsidR="00DC35CD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.</w:t>
      </w:r>
    </w:p>
    <w:p w:rsidR="004271C9" w:rsidRPr="004271C9" w:rsidRDefault="004271C9" w:rsidP="004271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u w:val="single"/>
          <w:lang w:val="el-GR"/>
        </w:rPr>
      </w:pPr>
      <w:r w:rsidRPr="004271C9">
        <w:rPr>
          <w:rFonts w:ascii="Times New Roman" w:hAnsi="Times New Roman" w:cs="Times New Roman"/>
          <w:sz w:val="24"/>
          <w:szCs w:val="22"/>
          <w:u w:val="single"/>
          <w:lang w:val="el-GR"/>
        </w:rPr>
        <w:t>Αναφορά πιθανολογούμενων ανεπιθύμητων ενεργειών</w:t>
      </w:r>
    </w:p>
    <w:p w:rsidR="004271C9" w:rsidRPr="00334A21" w:rsidRDefault="004271C9" w:rsidP="004271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4271C9">
        <w:rPr>
          <w:rFonts w:ascii="Times New Roman" w:hAnsi="Times New Roman" w:cs="Times New Roman"/>
          <w:sz w:val="24"/>
          <w:szCs w:val="22"/>
          <w:lang w:val="el-GR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του τομέα της υγειονομικής περίθαλψης να αναφέρουν οποιεσδήποτε πιθανολογούμενες ανεπιθύμητες ενέργειες μέσω του</w:t>
      </w:r>
    </w:p>
    <w:p w:rsidR="004271C9" w:rsidRPr="004271C9" w:rsidRDefault="004271C9" w:rsidP="0042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271C9">
        <w:rPr>
          <w:rFonts w:ascii="Times New Roman" w:eastAsia="Times New Roman" w:hAnsi="Times New Roman" w:cs="Times New Roman"/>
          <w:sz w:val="24"/>
          <w:szCs w:val="24"/>
          <w:lang w:val="el-GR"/>
        </w:rPr>
        <w:t>Εθνικός Οργανισμός Φαρμάκων</w:t>
      </w:r>
    </w:p>
    <w:p w:rsidR="004271C9" w:rsidRPr="004271C9" w:rsidRDefault="004271C9" w:rsidP="0042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271C9">
        <w:rPr>
          <w:rFonts w:ascii="Times New Roman" w:eastAsia="Times New Roman" w:hAnsi="Times New Roman" w:cs="Times New Roman"/>
          <w:sz w:val="24"/>
          <w:szCs w:val="24"/>
          <w:lang w:val="el-GR"/>
        </w:rPr>
        <w:t>Μεσογείων 284</w:t>
      </w:r>
    </w:p>
    <w:p w:rsidR="004271C9" w:rsidRPr="004271C9" w:rsidRDefault="004271C9" w:rsidP="0042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271C9">
        <w:rPr>
          <w:rFonts w:ascii="Times New Roman" w:eastAsia="Times New Roman" w:hAnsi="Times New Roman" w:cs="Times New Roman"/>
          <w:sz w:val="24"/>
          <w:szCs w:val="24"/>
          <w:lang w:val="en-GB"/>
        </w:rPr>
        <w:t>GR</w:t>
      </w:r>
      <w:r w:rsidRPr="004271C9">
        <w:rPr>
          <w:rFonts w:ascii="Times New Roman" w:eastAsia="Times New Roman" w:hAnsi="Times New Roman" w:cs="Times New Roman"/>
          <w:sz w:val="24"/>
          <w:szCs w:val="24"/>
          <w:lang w:val="el-GR"/>
        </w:rPr>
        <w:t>-15562 Χολαργός, Αθήνα</w:t>
      </w:r>
    </w:p>
    <w:p w:rsidR="004271C9" w:rsidRPr="004271C9" w:rsidRDefault="004271C9" w:rsidP="0042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 w:rsidRPr="004271C9">
        <w:rPr>
          <w:rFonts w:ascii="Times New Roman" w:eastAsia="Times New Roman" w:hAnsi="Times New Roman" w:cs="Times New Roman"/>
          <w:sz w:val="24"/>
          <w:szCs w:val="24"/>
          <w:lang w:val="el-GR"/>
        </w:rPr>
        <w:t>Τηλ</w:t>
      </w:r>
      <w:proofErr w:type="spellEnd"/>
      <w:r w:rsidRPr="004271C9">
        <w:rPr>
          <w:rFonts w:ascii="Times New Roman" w:eastAsia="Times New Roman" w:hAnsi="Times New Roman" w:cs="Times New Roman"/>
          <w:sz w:val="24"/>
          <w:szCs w:val="24"/>
          <w:lang w:val="el-GR"/>
        </w:rPr>
        <w:t>: + 30 21 32040380/337</w:t>
      </w:r>
    </w:p>
    <w:p w:rsidR="004271C9" w:rsidRPr="004271C9" w:rsidRDefault="004271C9" w:rsidP="0042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271C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Φαξ: + 30 21 06549585 </w:t>
      </w:r>
    </w:p>
    <w:p w:rsidR="004271C9" w:rsidRPr="00334A21" w:rsidRDefault="004271C9" w:rsidP="004271C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l-GR"/>
        </w:rPr>
      </w:pPr>
      <w:proofErr w:type="spellStart"/>
      <w:r w:rsidRPr="004271C9">
        <w:rPr>
          <w:rFonts w:ascii="Times New Roman" w:eastAsia="Times New Roman" w:hAnsi="Times New Roman" w:cs="Times New Roman"/>
          <w:sz w:val="24"/>
          <w:szCs w:val="24"/>
          <w:lang w:val="el-GR"/>
        </w:rPr>
        <w:t>Ιστότοπος</w:t>
      </w:r>
      <w:proofErr w:type="spellEnd"/>
      <w:r w:rsidRPr="004271C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: </w:t>
      </w:r>
      <w:r w:rsidRPr="004271C9">
        <w:rPr>
          <w:rFonts w:ascii="Times New Roman" w:eastAsia="Times New Roman" w:hAnsi="Times New Roman" w:cs="Times New Roman"/>
          <w:sz w:val="24"/>
          <w:szCs w:val="24"/>
          <w:lang w:val="en-GB"/>
        </w:rPr>
        <w:t>http</w:t>
      </w:r>
      <w:r w:rsidRPr="004271C9">
        <w:rPr>
          <w:rFonts w:ascii="Times New Roman" w:eastAsia="Times New Roman" w:hAnsi="Times New Roman" w:cs="Times New Roman"/>
          <w:sz w:val="24"/>
          <w:szCs w:val="24"/>
          <w:lang w:val="el-GR"/>
        </w:rPr>
        <w:t>://</w:t>
      </w:r>
      <w:r w:rsidRPr="004271C9">
        <w:rPr>
          <w:rFonts w:ascii="Times New Roman" w:eastAsia="Times New Roman" w:hAnsi="Times New Roman" w:cs="Times New Roman"/>
          <w:sz w:val="24"/>
          <w:szCs w:val="24"/>
          <w:lang w:val="en-GB"/>
        </w:rPr>
        <w:t>www</w:t>
      </w:r>
      <w:r w:rsidRPr="004271C9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proofErr w:type="spellStart"/>
      <w:r w:rsidRPr="004271C9">
        <w:rPr>
          <w:rFonts w:ascii="Times New Roman" w:eastAsia="Times New Roman" w:hAnsi="Times New Roman" w:cs="Times New Roman"/>
          <w:sz w:val="24"/>
          <w:szCs w:val="24"/>
          <w:lang w:val="en-GB"/>
        </w:rPr>
        <w:t>eof</w:t>
      </w:r>
      <w:proofErr w:type="spellEnd"/>
      <w:r w:rsidRPr="004271C9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271C9">
        <w:rPr>
          <w:rFonts w:ascii="Times New Roman" w:eastAsia="Times New Roman" w:hAnsi="Times New Roman" w:cs="Times New Roman"/>
          <w:sz w:val="24"/>
          <w:szCs w:val="24"/>
          <w:lang w:val="en-GB"/>
        </w:rPr>
        <w:t>gr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232FA6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4.9 </w:t>
      </w:r>
      <w:proofErr w:type="spellStart"/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Υπερδοσολογία</w:t>
      </w:r>
      <w:proofErr w:type="spellEnd"/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Υπάρχει πολύ περιορισμένη εμπειρία για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υπερδοσολογία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από τις κλινικές μελέτες και την εμπειρία</w:t>
      </w:r>
      <w:r w:rsidR="002B5FF4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από την κυκλοφορία στην αγορά.</w:t>
      </w:r>
    </w:p>
    <w:p w:rsidR="004271C9" w:rsidRPr="00334A21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i/>
          <w:iCs/>
          <w:sz w:val="24"/>
          <w:szCs w:val="22"/>
          <w:lang w:val="el-GR"/>
        </w:rPr>
        <w:t>Συμπτώματα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Σχετικά μεγάλες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υπερδοσολογίες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(200 </w:t>
      </w:r>
      <w:r w:rsidRPr="00F12834">
        <w:rPr>
          <w:rFonts w:ascii="Times New Roman" w:hAnsi="Times New Roman" w:cs="Times New Roman"/>
          <w:sz w:val="24"/>
          <w:szCs w:val="22"/>
        </w:rPr>
        <w:t>mg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και 105 </w:t>
      </w:r>
      <w:r w:rsidRPr="00F12834">
        <w:rPr>
          <w:rFonts w:ascii="Times New Roman" w:hAnsi="Times New Roman" w:cs="Times New Roman"/>
          <w:sz w:val="24"/>
          <w:szCs w:val="22"/>
        </w:rPr>
        <w:t>mg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/ημέρα για 3 ημέρες αντίστοιχα)</w:t>
      </w:r>
      <w:r w:rsidR="002B5FF4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έχουν συνδεθεί είτε με συμπτώματα κούρασης μόνο, αδυναμία και/ή διάρροια είτε με απουσία</w:t>
      </w:r>
      <w:r w:rsidR="002B5FF4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συμπτωμάτων. Στις παρακάτω περιπτώσεις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υπερδοσολογίας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με 140</w:t>
      </w:r>
      <w:r w:rsidRPr="00F12834">
        <w:rPr>
          <w:rFonts w:ascii="Times New Roman" w:hAnsi="Times New Roman" w:cs="Times New Roman"/>
          <w:sz w:val="24"/>
          <w:szCs w:val="22"/>
        </w:rPr>
        <w:t>mg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ή με άγνωστη δόση οι</w:t>
      </w:r>
      <w:r w:rsidR="002B5FF4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ασθενείς εμφάνισαν συμπτώματα από το κεντρικό νευρικό σύστημα (σύγχυση, νύστα υπνηλία, ίλιγγο,</w:t>
      </w:r>
      <w:r w:rsidR="002B5FF4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διέγερση, επιθετικότητα, ψευδαισθήσεις και διαταραχές βάδισης) και/ή από το γαστρεντερικό (έμετος</w:t>
      </w:r>
      <w:r w:rsidR="002B5FF4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και διάρροια).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Στην πιο ακραία περίπτωση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υπερδοσολογίας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, ο ασθενής επέζησε μετά από λήψη 2000</w:t>
      </w:r>
      <w:r w:rsidR="00DC35CD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</w:rPr>
        <w:t>mg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="002B5FF4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από το στόμα με επιδράσεις στο κεντρικό νευρικό σύστημα (κώμα για 10 ημέρες και αργότερα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διπλωπία και διέγερση). Ο ασθενής υποβλήθηκε σε συμπτωματική θεραπεία και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πλασμαφαίρεση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. Ο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ασθενής ανένηψε χωρίς μόνιμες συνέπειες.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Σε μια άλλη περίπτωση μεγάλης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υπερδοσολογίας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, ο ασθενής επίσης επέζησε και ανένηψε. Ο ασθενής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είχε λάβει 400</w:t>
      </w:r>
      <w:r w:rsidR="00DC35CD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</w:rPr>
        <w:t>mg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από το στόμα,. Ο ασθενής εμφάνισε συμπτώματα από το κεντρικό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νευρικό όπως νευρικότητα, ψύχωση, οπτικές ψευδαισθήσεις, μείωση του επιληπτικού οδού, υπνηλία,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καταπληξία και απώλεια συνείδησης.</w:t>
      </w:r>
    </w:p>
    <w:p w:rsidR="004271C9" w:rsidRPr="00334A21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i/>
          <w:iCs/>
          <w:sz w:val="24"/>
          <w:szCs w:val="22"/>
          <w:lang w:val="el-GR"/>
        </w:rPr>
        <w:t>Θεραπεία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Σε περιπτώσεις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υπερδοσολογίας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, η θεραπεία θα πρέπει να είναι συμπτωματική. Δεν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υπάρχει διαθέσιμο συγκεκριμένο αντίδοτο για την δηλητηρίαση ή την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υπερδοσολογία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. Οι τυπικές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κλινικές διαδικασίες για την απομάκρυνση της δραστικής ουσίας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π.χ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γαστρική πλύση, φαρμακευτικός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άνθρακας (διακοπή της ενδεχόμενης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εντερο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-ηπατικής επανακυκλοφορίας),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lastRenderedPageBreak/>
        <w:t>όξυνση της ουρίας,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υποχρεωτική διούρηση, θα πρέπει να χρησιμοποιούνται ανάλογα με τις ανάγκες.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>Σε περίπτωση που υπάρχουν σημεία και συμπτώματα γενικής υπερδιέγερσης του κεντρικού νευρικού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συστήματος (ΚΝΣ), θα πρέπει να εξετάζεται η εφαρμογή προσεκτικής συμπτωματικής κλινικής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θεραπείας.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5.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ΦΑΡΜΑΚΟΛΟΓΙΚΕΣ ΙΔΙΟΤΗΤΕΣ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232FA6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5.1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Φαρμακοδυναμικές ιδιότητες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Φαρμακοθεραπευτική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κατηγορία: </w:t>
      </w:r>
      <w:r w:rsidR="006F2765" w:rsidRPr="006F2765">
        <w:rPr>
          <w:rFonts w:ascii="Times New Roman" w:hAnsi="Times New Roman" w:cs="Times New Roman"/>
          <w:sz w:val="24"/>
          <w:szCs w:val="22"/>
          <w:lang w:val="el-GR"/>
        </w:rPr>
        <w:t xml:space="preserve">Ψυχοαναληπτικά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Άλλα φαρμακευτικά σκευάσματα κατά της άνοιας, κωδικός </w:t>
      </w:r>
      <w:r w:rsidRPr="00F12834">
        <w:rPr>
          <w:rFonts w:ascii="Times New Roman" w:hAnsi="Times New Roman" w:cs="Times New Roman"/>
          <w:sz w:val="24"/>
          <w:szCs w:val="22"/>
        </w:rPr>
        <w:t>ATC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: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Ν06</w:t>
      </w:r>
      <w:r w:rsidRPr="00F12834">
        <w:rPr>
          <w:rFonts w:ascii="Times New Roman" w:hAnsi="Times New Roman" w:cs="Times New Roman"/>
          <w:sz w:val="24"/>
          <w:szCs w:val="22"/>
        </w:rPr>
        <w:t>DX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01.</w:t>
      </w:r>
    </w:p>
    <w:p w:rsidR="004271C9" w:rsidRPr="004271C9" w:rsidRDefault="004271C9" w:rsidP="004271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2"/>
          <w:lang w:val="el-GR"/>
        </w:rPr>
      </w:pPr>
      <w:r w:rsidRPr="004271C9">
        <w:rPr>
          <w:rFonts w:ascii="Times New Roman" w:hAnsi="Times New Roman" w:cs="Times New Roman"/>
          <w:i/>
          <w:iCs/>
          <w:sz w:val="24"/>
          <w:szCs w:val="22"/>
          <w:lang w:val="el-GR"/>
        </w:rPr>
        <w:t>Μηχανισμός δράσης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Υπάρχουν αυξανόμενα στοιχεία ότι η δυσλειτουργία της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γλουταμινεργικής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νευροδιαβίβασης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,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ιδιαίτερα στους υποδοχείς-</w:t>
      </w:r>
      <w:r w:rsidRPr="00F12834">
        <w:rPr>
          <w:rFonts w:ascii="Times New Roman" w:hAnsi="Times New Roman" w:cs="Times New Roman"/>
          <w:sz w:val="24"/>
          <w:szCs w:val="22"/>
        </w:rPr>
        <w:t>NMDA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, συνεισφέρει τόσο στην έκφραση συμπτωμάτων όσο και στην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εξέλιξη της ασθένειας στην περίπτωση της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νευροεκφυλιστικής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άνοιας.</w:t>
      </w:r>
    </w:p>
    <w:p w:rsidR="006653A1" w:rsidRPr="00F12834" w:rsidRDefault="00DC35CD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>Η</w:t>
      </w:r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είναι ένας εξαρτώμενος από την τάση, μη ανταγωνιστικός ανταγωνιστής </w:t>
      </w:r>
      <w:proofErr w:type="spellStart"/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>υποδοχέος</w:t>
      </w:r>
      <w:proofErr w:type="spellEnd"/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>-</w:t>
      </w:r>
      <w:r w:rsidR="006653A1" w:rsidRPr="00F12834">
        <w:rPr>
          <w:rFonts w:ascii="Times New Roman" w:hAnsi="Times New Roman" w:cs="Times New Roman"/>
          <w:sz w:val="24"/>
          <w:szCs w:val="22"/>
        </w:rPr>
        <w:t>NMDA</w:t>
      </w:r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μέτριας συγγένειας. Ρυθμίζει τη δράση των παθολογικώς αυξημένων τονικών επιπέδων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>γλουταμινικού</w:t>
      </w:r>
      <w:proofErr w:type="spellEnd"/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που μπορούν να οδηγήσουν σε νευρωνική δυσλειτουργία.</w:t>
      </w:r>
    </w:p>
    <w:p w:rsidR="00EC06CC" w:rsidRPr="00EC06CC" w:rsidRDefault="004271C9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4271C9">
        <w:rPr>
          <w:rFonts w:ascii="Times New Roman" w:hAnsi="Times New Roman" w:cs="Times New Roman"/>
          <w:i/>
          <w:iCs/>
          <w:sz w:val="24"/>
          <w:szCs w:val="22"/>
          <w:lang w:val="el-GR"/>
        </w:rPr>
        <w:t>Κλινική αποτελεσματικότητα και ασφάλεια</w:t>
      </w:r>
    </w:p>
    <w:p w:rsidR="00EC06CC" w:rsidRPr="00EC06CC" w:rsidRDefault="00EC06CC" w:rsidP="00EC0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Σε μια βασική μελέτη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μονοθεραπείας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σε ασθενείς που έπασχαν από μέτρια έως σοβαρή νόσο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Αlzheimer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(συνολική βαθμολογία ΜΜSE-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mini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mental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health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examination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στην βασική επίσκεψη από 3-14) συμπεριλήφθηκαν 252 εξωτερικοί ασθενείς. Η μελέτη έδειξε ευεργετικά αποτελέσματα της θεραπείας με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σε σύγκριση με το εικονικό φάρμακο στους 6 μήνες (ανάλυση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observed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cases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για τη </w:t>
      </w:r>
      <w:r w:rsidRPr="00EC06CC">
        <w:rPr>
          <w:rFonts w:ascii="Times New Roman" w:hAnsi="Times New Roman" w:cs="Times New Roman"/>
          <w:sz w:val="24"/>
          <w:szCs w:val="22"/>
        </w:rPr>
        <w:t>CIBIC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clinician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>'</w:t>
      </w:r>
      <w:r w:rsidRPr="00EC06CC">
        <w:rPr>
          <w:rFonts w:ascii="Times New Roman" w:hAnsi="Times New Roman" w:cs="Times New Roman"/>
          <w:sz w:val="24"/>
          <w:szCs w:val="22"/>
        </w:rPr>
        <w:t>s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interview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based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impression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of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change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plus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: </w:t>
      </w:r>
      <w:r w:rsidRPr="00EC06CC">
        <w:rPr>
          <w:rFonts w:ascii="Times New Roman" w:hAnsi="Times New Roman" w:cs="Times New Roman"/>
          <w:sz w:val="24"/>
          <w:szCs w:val="22"/>
        </w:rPr>
        <w:t>p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=0.025, </w:t>
      </w:r>
      <w:r w:rsidRPr="00EC06CC">
        <w:rPr>
          <w:rFonts w:ascii="Times New Roman" w:hAnsi="Times New Roman" w:cs="Times New Roman"/>
          <w:sz w:val="24"/>
          <w:szCs w:val="22"/>
        </w:rPr>
        <w:t>ADCS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>—</w:t>
      </w:r>
      <w:r w:rsidRPr="00EC06CC">
        <w:rPr>
          <w:rFonts w:ascii="Times New Roman" w:hAnsi="Times New Roman" w:cs="Times New Roman"/>
          <w:sz w:val="24"/>
          <w:szCs w:val="22"/>
        </w:rPr>
        <w:t>Alzheimer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>'</w:t>
      </w:r>
      <w:r w:rsidRPr="00EC06CC">
        <w:rPr>
          <w:rFonts w:ascii="Times New Roman" w:hAnsi="Times New Roman" w:cs="Times New Roman"/>
          <w:sz w:val="24"/>
          <w:szCs w:val="22"/>
        </w:rPr>
        <w:t>s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disease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cooperative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study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- </w:t>
      </w:r>
      <w:r w:rsidRPr="00EC06CC">
        <w:rPr>
          <w:rFonts w:ascii="Times New Roman" w:hAnsi="Times New Roman" w:cs="Times New Roman"/>
          <w:sz w:val="24"/>
          <w:szCs w:val="22"/>
        </w:rPr>
        <w:t>activities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of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daily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living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EC06CC">
        <w:rPr>
          <w:rFonts w:ascii="Times New Roman" w:hAnsi="Times New Roman" w:cs="Times New Roman"/>
          <w:sz w:val="24"/>
          <w:szCs w:val="22"/>
        </w:rPr>
        <w:t>ADLsev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: </w:t>
      </w:r>
      <w:r w:rsidRPr="00EC06CC">
        <w:rPr>
          <w:rFonts w:ascii="Times New Roman" w:hAnsi="Times New Roman" w:cs="Times New Roman"/>
          <w:sz w:val="24"/>
          <w:szCs w:val="22"/>
        </w:rPr>
        <w:t>p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=0.003, </w:t>
      </w:r>
      <w:r w:rsidRPr="00EC06CC">
        <w:rPr>
          <w:rFonts w:ascii="Times New Roman" w:hAnsi="Times New Roman" w:cs="Times New Roman"/>
          <w:sz w:val="24"/>
          <w:szCs w:val="22"/>
        </w:rPr>
        <w:t>SIB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– </w:t>
      </w:r>
      <w:proofErr w:type="spellStart"/>
      <w:r w:rsidRPr="00EC06CC">
        <w:rPr>
          <w:rFonts w:ascii="Times New Roman" w:hAnsi="Times New Roman" w:cs="Times New Roman"/>
          <w:sz w:val="24"/>
          <w:szCs w:val="22"/>
        </w:rPr>
        <w:t>severimpairement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battery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>: p=0.002).</w:t>
      </w:r>
    </w:p>
    <w:p w:rsidR="00EC06CC" w:rsidRPr="00EC06CC" w:rsidRDefault="00EC06CC" w:rsidP="00EC0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Σε μια βασική μελέτη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μονοθεραπείας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με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σε ασθενείς που έπασχαν από ήπια έως μέτρια νόσο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Αlzheimer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(συνολική βαθμολογία ΜΜSE στην βασική επίσκεψη από 10 έως 22) συμπεριλήφθηκαν 403 ασθενείς. Οι ασθενείς οι οποίοι έλαβαν θεραπεία με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παρουσίασαν στατιστικά σημαντικά καλύτερα αποτελέσματα από τους ασθενείς που έλαβαν εικονικό φάρμακο στις κύριες μεταβλητές: </w:t>
      </w:r>
      <w:r w:rsidRPr="00EC06CC">
        <w:rPr>
          <w:rFonts w:ascii="Times New Roman" w:hAnsi="Times New Roman" w:cs="Times New Roman"/>
          <w:sz w:val="24"/>
          <w:szCs w:val="22"/>
        </w:rPr>
        <w:t>ADAS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– </w:t>
      </w:r>
      <w:r w:rsidRPr="00EC06CC">
        <w:rPr>
          <w:rFonts w:ascii="Times New Roman" w:hAnsi="Times New Roman" w:cs="Times New Roman"/>
          <w:sz w:val="24"/>
          <w:szCs w:val="22"/>
        </w:rPr>
        <w:t>Alzheimer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>’</w:t>
      </w:r>
      <w:r w:rsidRPr="00EC06CC">
        <w:rPr>
          <w:rFonts w:ascii="Times New Roman" w:hAnsi="Times New Roman" w:cs="Times New Roman"/>
          <w:sz w:val="24"/>
          <w:szCs w:val="22"/>
        </w:rPr>
        <w:t>s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disease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assessment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scale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-</w:t>
      </w:r>
      <w:r w:rsidRPr="00EC06CC">
        <w:rPr>
          <w:rFonts w:ascii="Times New Roman" w:hAnsi="Times New Roman" w:cs="Times New Roman"/>
          <w:sz w:val="24"/>
          <w:szCs w:val="22"/>
        </w:rPr>
        <w:t>cog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(</w:t>
      </w:r>
      <w:r w:rsidRPr="00EC06CC">
        <w:rPr>
          <w:rFonts w:ascii="Times New Roman" w:hAnsi="Times New Roman" w:cs="Times New Roman"/>
          <w:sz w:val="24"/>
          <w:szCs w:val="22"/>
        </w:rPr>
        <w:t>p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=0.003) και </w:t>
      </w:r>
      <w:r w:rsidRPr="00EC06CC">
        <w:rPr>
          <w:rFonts w:ascii="Times New Roman" w:hAnsi="Times New Roman" w:cs="Times New Roman"/>
          <w:sz w:val="24"/>
          <w:szCs w:val="22"/>
        </w:rPr>
        <w:t>CIBIC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>-</w:t>
      </w:r>
      <w:r w:rsidRPr="00EC06CC">
        <w:rPr>
          <w:rFonts w:ascii="Times New Roman" w:hAnsi="Times New Roman" w:cs="Times New Roman"/>
          <w:sz w:val="24"/>
          <w:szCs w:val="22"/>
        </w:rPr>
        <w:t>plus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(</w:t>
      </w:r>
      <w:r w:rsidRPr="00EC06CC">
        <w:rPr>
          <w:rFonts w:ascii="Times New Roman" w:hAnsi="Times New Roman" w:cs="Times New Roman"/>
          <w:sz w:val="24"/>
          <w:szCs w:val="22"/>
        </w:rPr>
        <w:t>p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=0.004) κατά την εβδομάδα 24 (ανάλυση </w:t>
      </w:r>
      <w:r w:rsidRPr="00EC06CC">
        <w:rPr>
          <w:rFonts w:ascii="Times New Roman" w:hAnsi="Times New Roman" w:cs="Times New Roman"/>
          <w:sz w:val="24"/>
          <w:szCs w:val="22"/>
        </w:rPr>
        <w:t>LOCF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– </w:t>
      </w:r>
      <w:r w:rsidRPr="00EC06CC">
        <w:rPr>
          <w:rFonts w:ascii="Times New Roman" w:hAnsi="Times New Roman" w:cs="Times New Roman"/>
          <w:sz w:val="24"/>
          <w:szCs w:val="22"/>
        </w:rPr>
        <w:t>last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EC06CC">
        <w:rPr>
          <w:rFonts w:ascii="Times New Roman" w:hAnsi="Times New Roman" w:cs="Times New Roman"/>
          <w:sz w:val="24"/>
          <w:szCs w:val="22"/>
        </w:rPr>
        <w:t>observationcarried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EC06CC">
        <w:rPr>
          <w:rFonts w:ascii="Times New Roman" w:hAnsi="Times New Roman" w:cs="Times New Roman"/>
          <w:sz w:val="24"/>
          <w:szCs w:val="22"/>
        </w:rPr>
        <w:t>forward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). Σε μια άλλη μελέτη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μονοθεραπείας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σε ήπια έως μέτρια νόσο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Αlzheimer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τυχαιοποιήθηκαν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στο σύνολό τους 470 ασθενείς (συνολική βαθμολογία ΜΜSE στην βασική επίσκεψη από 11-23). Στην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προοπτικώς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καθορισμένη ανάλυση της κύριας μεταβλητής δεν επιτεύχθηκε στατιστική σημαντικότητα στο τελικό χρονικό σημείο ανάλυσης της αποτελεσματικότητας κατά την εβδομάδα 24.</w:t>
      </w:r>
    </w:p>
    <w:p w:rsidR="00EC06CC" w:rsidRPr="00EC06CC" w:rsidRDefault="00EC06CC" w:rsidP="00EC0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Μια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μετανάλυση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ασθενών με μέτρια έως σοβαρή νόσο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Αlzheimer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(συνολική βαθμολογία ΜΜSE &lt;20) από έξη ελεγχόμενες με εικονικό φάρμακο μελέτες φάσης ΙΙΙ διάρκειας 6 μηνών (συμπεριλαμβανομένων μελετών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μονοθεραπείας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και μελετών με ασθενείς σε θεραπεία με </w:t>
      </w:r>
      <w:r w:rsidRPr="00EC06CC">
        <w:rPr>
          <w:rFonts w:ascii="Times New Roman" w:hAnsi="Times New Roman" w:cs="Times New Roman"/>
          <w:sz w:val="24"/>
          <w:szCs w:val="22"/>
          <w:lang w:val="el-GR"/>
        </w:rPr>
        <w:lastRenderedPageBreak/>
        <w:t xml:space="preserve">σταθερή δόση αναστολέων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ακετυλχολινεστεράσης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) έδειξε στατιστικά σημαντική διαφορά υπέρ της θεραπείας με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για την γνωστική κατάσταση, την γενική κλινική εικόνα και τη λειτουργική ικανότητα.</w:t>
      </w:r>
    </w:p>
    <w:p w:rsidR="006653A1" w:rsidRPr="00F12834" w:rsidRDefault="00EC06CC" w:rsidP="00EC0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Στους ασθενείς στους οποίους παρατηρήθηκε ταυτόχρονη επιδείνωση όλων των ανωτέρων τριών παραμέτρων, τα αποτελέσματα έδειξαν στατιστικά σημαντική επίδραση της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μεμαντίνης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στην πρόληψη της επιδείνωσης, διπλάσιοι ασθενείς σε θεραπεία με εικονικό φάρμακο σε σχέση με τους ασθενείς σε θεραπεία με </w:t>
      </w:r>
      <w:proofErr w:type="spellStart"/>
      <w:r w:rsidRPr="00EC06CC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Pr="00EC06CC">
        <w:rPr>
          <w:rFonts w:ascii="Times New Roman" w:hAnsi="Times New Roman" w:cs="Times New Roman"/>
          <w:sz w:val="24"/>
          <w:szCs w:val="22"/>
          <w:lang w:val="el-GR"/>
        </w:rPr>
        <w:t xml:space="preserve"> παρουσίασαν επιδείνωση και στις τρεις παραμέτρους (21% έναντι 11%, p&lt;0.0001).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4271C9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5.2 </w:t>
      </w:r>
      <w:proofErr w:type="spellStart"/>
      <w:r w:rsidR="006653A1" w:rsidRPr="004271C9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Φαρμακοκινητικές</w:t>
      </w:r>
      <w:proofErr w:type="spellEnd"/>
      <w:r w:rsidR="006653A1" w:rsidRPr="004271C9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 ιδιότητες</w:t>
      </w:r>
    </w:p>
    <w:p w:rsidR="00302288" w:rsidRPr="004271C9" w:rsidRDefault="00302288" w:rsidP="003022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2"/>
          <w:lang w:val="el-GR"/>
        </w:rPr>
      </w:pPr>
      <w:r w:rsidRPr="004271C9">
        <w:rPr>
          <w:rFonts w:ascii="Times New Roman" w:hAnsi="Times New Roman" w:cs="Times New Roman"/>
          <w:i/>
          <w:iCs/>
          <w:sz w:val="24"/>
          <w:szCs w:val="22"/>
          <w:lang w:val="el-GR"/>
        </w:rPr>
        <w:t>Απορρόφηση</w:t>
      </w:r>
    </w:p>
    <w:p w:rsidR="006653A1" w:rsidRPr="00F12834" w:rsidRDefault="005A2AB7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>Η</w:t>
      </w:r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έχει απόλυτη βιοδιαθεσιμότητα περίπου 100%. Το </w:t>
      </w:r>
      <w:proofErr w:type="spellStart"/>
      <w:r w:rsidR="006653A1" w:rsidRPr="00F12834">
        <w:rPr>
          <w:rFonts w:ascii="Times New Roman" w:hAnsi="Times New Roman" w:cs="Times New Roman"/>
          <w:sz w:val="24"/>
          <w:szCs w:val="22"/>
        </w:rPr>
        <w:t>t</w:t>
      </w:r>
      <w:r w:rsidR="006653A1" w:rsidRPr="00F12834">
        <w:rPr>
          <w:rFonts w:ascii="Times New Roman" w:hAnsi="Times New Roman" w:cs="Times New Roman"/>
          <w:sz w:val="24"/>
          <w:szCs w:val="22"/>
          <w:vertAlign w:val="subscript"/>
        </w:rPr>
        <w:t>max</w:t>
      </w:r>
      <w:proofErr w:type="spellEnd"/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είναι μεταξύ 3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>και 8 ωρών. Δεν υπάρχει ένδειξη ότι η τ</w:t>
      </w:r>
      <w:r w:rsidR="0018484D">
        <w:rPr>
          <w:rFonts w:ascii="Times New Roman" w:hAnsi="Times New Roman" w:cs="Times New Roman"/>
          <w:sz w:val="24"/>
          <w:szCs w:val="22"/>
          <w:lang w:val="el-GR"/>
        </w:rPr>
        <w:t>ροφή επηρεάζει την απορρόφηση της</w:t>
      </w:r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>.</w:t>
      </w:r>
    </w:p>
    <w:p w:rsidR="00302288" w:rsidRPr="004271C9" w:rsidRDefault="00302288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2"/>
          <w:lang w:val="el-GR"/>
        </w:rPr>
      </w:pPr>
      <w:r w:rsidRPr="004271C9">
        <w:rPr>
          <w:rFonts w:ascii="Times New Roman" w:hAnsi="Times New Roman" w:cs="Times New Roman"/>
          <w:i/>
          <w:iCs/>
          <w:sz w:val="24"/>
          <w:szCs w:val="22"/>
          <w:lang w:val="el-GR"/>
        </w:rPr>
        <w:t>Κατανομή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Οι ημερήσιες δόσεις των 20 </w:t>
      </w:r>
      <w:r w:rsidRPr="00F12834">
        <w:rPr>
          <w:rFonts w:ascii="Times New Roman" w:hAnsi="Times New Roman" w:cs="Times New Roman"/>
          <w:sz w:val="24"/>
          <w:szCs w:val="22"/>
        </w:rPr>
        <w:t>mg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οδηγούν σε δυναμική ισορροπία συγκεντρώσεων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πλάσματος τ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ης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που ποικίλλουν από 70 έως 150 </w:t>
      </w:r>
      <w:r w:rsidRPr="00F12834">
        <w:rPr>
          <w:rFonts w:ascii="Times New Roman" w:hAnsi="Times New Roman" w:cs="Times New Roman"/>
          <w:sz w:val="24"/>
          <w:szCs w:val="22"/>
        </w:rPr>
        <w:t>ng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/</w:t>
      </w:r>
      <w:r w:rsidRPr="00F12834">
        <w:rPr>
          <w:rFonts w:ascii="Times New Roman" w:hAnsi="Times New Roman" w:cs="Times New Roman"/>
          <w:sz w:val="24"/>
          <w:szCs w:val="22"/>
        </w:rPr>
        <w:t>ml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(0,5 - 1 μ</w:t>
      </w:r>
      <w:proofErr w:type="spellStart"/>
      <w:r w:rsidRPr="00F12834">
        <w:rPr>
          <w:rFonts w:ascii="Times New Roman" w:hAnsi="Times New Roman" w:cs="Times New Roman"/>
          <w:sz w:val="24"/>
          <w:szCs w:val="22"/>
        </w:rPr>
        <w:t>mol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) και μεγάλες μεταξύ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τους διακυμάνσεις. Όταν χορηγήθηκαν ημερήσιες δόσεις 5 έως 30 </w:t>
      </w:r>
      <w:r w:rsidRPr="00F12834">
        <w:rPr>
          <w:rFonts w:ascii="Times New Roman" w:hAnsi="Times New Roman" w:cs="Times New Roman"/>
          <w:sz w:val="24"/>
          <w:szCs w:val="22"/>
        </w:rPr>
        <w:t>mg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, η μέση τιμή του λόγου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εγκεφαλονωτιαίου υγρού (</w:t>
      </w:r>
      <w:r w:rsidRPr="00F12834">
        <w:rPr>
          <w:rFonts w:ascii="Times New Roman" w:hAnsi="Times New Roman" w:cs="Times New Roman"/>
          <w:sz w:val="24"/>
          <w:szCs w:val="22"/>
        </w:rPr>
        <w:t>CSF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)/ορού υπολογίστηκε στο 0,52. Ο όγκος της κατανομής είναι περίπου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10 </w:t>
      </w:r>
      <w:r w:rsidRPr="00F12834">
        <w:rPr>
          <w:rFonts w:ascii="Times New Roman" w:hAnsi="Times New Roman" w:cs="Times New Roman"/>
          <w:sz w:val="24"/>
          <w:szCs w:val="22"/>
        </w:rPr>
        <w:t>l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/</w:t>
      </w:r>
      <w:r w:rsidRPr="00F12834">
        <w:rPr>
          <w:rFonts w:ascii="Times New Roman" w:hAnsi="Times New Roman" w:cs="Times New Roman"/>
          <w:sz w:val="24"/>
          <w:szCs w:val="22"/>
        </w:rPr>
        <w:t>kg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. Το 45% περίπου τ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ης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δεσμεύεται στις πρωτεΐνες πλάσματος.</w:t>
      </w:r>
    </w:p>
    <w:p w:rsidR="00302288" w:rsidRPr="004271C9" w:rsidRDefault="004271C9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2"/>
          <w:lang w:val="el-GR"/>
        </w:rPr>
      </w:pPr>
      <w:proofErr w:type="spellStart"/>
      <w:r w:rsidRPr="004271C9">
        <w:rPr>
          <w:rFonts w:ascii="Times New Roman" w:hAnsi="Times New Roman" w:cs="Times New Roman"/>
          <w:i/>
          <w:iCs/>
          <w:sz w:val="24"/>
          <w:szCs w:val="22"/>
          <w:lang w:val="el-GR"/>
        </w:rPr>
        <w:t>Βιομετασχηματισμός</w:t>
      </w:r>
      <w:proofErr w:type="spellEnd"/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>Στον άνθρωπο, το 80% περίπου του κυκλοφορούντος υλικού σχετικού με τ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η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εμφανίζεται με τη μορφή του γονικού σκευάσματος. Οι κυριότεροι ανθρώπινοι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μεταβολίτες είναι το Ν-3,5-</w:t>
      </w:r>
      <w:r w:rsidRPr="00F12834">
        <w:rPr>
          <w:rFonts w:ascii="Times New Roman" w:hAnsi="Times New Roman" w:cs="Times New Roman"/>
          <w:sz w:val="24"/>
          <w:szCs w:val="22"/>
        </w:rPr>
        <w:t>dimethyl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-</w:t>
      </w:r>
      <w:proofErr w:type="spellStart"/>
      <w:r w:rsidRPr="00F12834">
        <w:rPr>
          <w:rFonts w:ascii="Times New Roman" w:hAnsi="Times New Roman" w:cs="Times New Roman"/>
          <w:sz w:val="24"/>
          <w:szCs w:val="22"/>
        </w:rPr>
        <w:t>gludantan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, το ισομερές μίγμα του 4- και 6-</w:t>
      </w:r>
      <w:proofErr w:type="spellStart"/>
      <w:r w:rsidRPr="00F12834">
        <w:rPr>
          <w:rFonts w:ascii="Times New Roman" w:hAnsi="Times New Roman" w:cs="Times New Roman"/>
          <w:sz w:val="24"/>
          <w:szCs w:val="22"/>
        </w:rPr>
        <w:t>hydroxy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-</w:t>
      </w:r>
      <w:proofErr w:type="spellStart"/>
      <w:r w:rsidR="005A2AB7" w:rsidRPr="00F12834">
        <w:rPr>
          <w:rFonts w:ascii="Times New Roman" w:hAnsi="Times New Roman" w:cs="Times New Roman"/>
          <w:sz w:val="24"/>
          <w:szCs w:val="22"/>
        </w:rPr>
        <w:t>memantine</w:t>
      </w:r>
      <w:proofErr w:type="spellEnd"/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και το 1-</w:t>
      </w:r>
      <w:proofErr w:type="spellStart"/>
      <w:r w:rsidRPr="00F12834">
        <w:rPr>
          <w:rFonts w:ascii="Times New Roman" w:hAnsi="Times New Roman" w:cs="Times New Roman"/>
          <w:sz w:val="24"/>
          <w:szCs w:val="22"/>
        </w:rPr>
        <w:t>nitroso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-3,5-</w:t>
      </w:r>
      <w:r w:rsidRPr="00F12834">
        <w:rPr>
          <w:rFonts w:ascii="Times New Roman" w:hAnsi="Times New Roman" w:cs="Times New Roman"/>
          <w:sz w:val="24"/>
          <w:szCs w:val="22"/>
        </w:rPr>
        <w:t>dimethyl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-</w:t>
      </w:r>
      <w:proofErr w:type="spellStart"/>
      <w:r w:rsidRPr="00F12834">
        <w:rPr>
          <w:rFonts w:ascii="Times New Roman" w:hAnsi="Times New Roman" w:cs="Times New Roman"/>
          <w:sz w:val="24"/>
          <w:szCs w:val="22"/>
        </w:rPr>
        <w:t>adamantane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. Κανένας από αυτούς τους μεταβολίτες δεν παρουσιάζει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δραστηριότητα ανταγωνιστή-</w:t>
      </w:r>
      <w:r w:rsidRPr="00F12834">
        <w:rPr>
          <w:rFonts w:ascii="Times New Roman" w:hAnsi="Times New Roman" w:cs="Times New Roman"/>
          <w:sz w:val="24"/>
          <w:szCs w:val="22"/>
        </w:rPr>
        <w:t>NMDA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. Σε συνθήκες </w:t>
      </w:r>
      <w:r w:rsidRPr="00F12834">
        <w:rPr>
          <w:rFonts w:ascii="Times New Roman" w:hAnsi="Times New Roman" w:cs="Times New Roman"/>
          <w:i/>
          <w:iCs/>
          <w:sz w:val="24"/>
          <w:szCs w:val="22"/>
        </w:rPr>
        <w:t>in</w:t>
      </w:r>
      <w:r w:rsidRPr="00F12834">
        <w:rPr>
          <w:rFonts w:ascii="Times New Roman" w:hAnsi="Times New Roman" w:cs="Times New Roman"/>
          <w:i/>
          <w:iCs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i/>
          <w:iCs/>
          <w:sz w:val="24"/>
          <w:szCs w:val="22"/>
        </w:rPr>
        <w:t>vitro</w:t>
      </w:r>
      <w:r w:rsidRPr="00F12834">
        <w:rPr>
          <w:rFonts w:ascii="Times New Roman" w:hAnsi="Times New Roman" w:cs="Times New Roman"/>
          <w:i/>
          <w:iCs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δεν ανιχνεύτηκε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καταλυόμενος</w:t>
      </w:r>
      <w:proofErr w:type="spellEnd"/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μεταβολισμός από το κυτόχρωμα </w:t>
      </w:r>
      <w:r w:rsidRPr="00F12834">
        <w:rPr>
          <w:rFonts w:ascii="Times New Roman" w:hAnsi="Times New Roman" w:cs="Times New Roman"/>
          <w:sz w:val="24"/>
          <w:szCs w:val="22"/>
        </w:rPr>
        <w:t>P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450.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Σε μία μελέτη όπου χορηγήθηκε </w:t>
      </w:r>
      <w:r w:rsidRPr="00F12834">
        <w:rPr>
          <w:rFonts w:ascii="Times New Roman" w:hAnsi="Times New Roman" w:cs="Times New Roman"/>
          <w:sz w:val="24"/>
          <w:szCs w:val="22"/>
          <w:vertAlign w:val="superscript"/>
          <w:lang w:val="el-GR"/>
        </w:rPr>
        <w:t>14</w:t>
      </w:r>
      <w:r w:rsidRPr="00F12834">
        <w:rPr>
          <w:rFonts w:ascii="Times New Roman" w:hAnsi="Times New Roman" w:cs="Times New Roman"/>
          <w:sz w:val="24"/>
          <w:szCs w:val="22"/>
        </w:rPr>
        <w:t>C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-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από στόματος, επανακτήθηκε κατά μέσο όρο το 84%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της δόσης εντός 20 ημερών, με περισσότερο από το 99% να απεκκρίνεται </w:t>
      </w:r>
      <w:proofErr w:type="spellStart"/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νεφρ</w:t>
      </w:r>
      <w:r w:rsidR="0018484D">
        <w:rPr>
          <w:rFonts w:ascii="Times New Roman" w:hAnsi="Times New Roman" w:cs="Times New Roman"/>
          <w:sz w:val="24"/>
          <w:szCs w:val="22"/>
          <w:lang w:val="el-GR"/>
        </w:rPr>
        <w:t>ικώς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.</w:t>
      </w:r>
    </w:p>
    <w:p w:rsidR="00302288" w:rsidRPr="004271C9" w:rsidRDefault="00302288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2"/>
          <w:lang w:val="el-GR"/>
        </w:rPr>
      </w:pPr>
      <w:r w:rsidRPr="004271C9">
        <w:rPr>
          <w:rFonts w:ascii="Times New Roman" w:hAnsi="Times New Roman" w:cs="Times New Roman"/>
          <w:i/>
          <w:iCs/>
          <w:sz w:val="24"/>
          <w:szCs w:val="22"/>
          <w:lang w:val="el-GR"/>
        </w:rPr>
        <w:t>Αποβολή</w:t>
      </w:r>
    </w:p>
    <w:p w:rsidR="006653A1" w:rsidRPr="00F12834" w:rsidRDefault="005A2AB7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>Η</w:t>
      </w:r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αποβάλλεται κατά τρόπο </w:t>
      </w:r>
      <w:proofErr w:type="spellStart"/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>μονοεκθετικό</w:t>
      </w:r>
      <w:proofErr w:type="spellEnd"/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με τελικό </w:t>
      </w:r>
      <w:r w:rsidR="006653A1" w:rsidRPr="00F12834">
        <w:rPr>
          <w:rFonts w:ascii="Times New Roman" w:hAnsi="Times New Roman" w:cs="Times New Roman"/>
          <w:sz w:val="24"/>
          <w:szCs w:val="22"/>
        </w:rPr>
        <w:t>t</w:t>
      </w:r>
      <w:r w:rsidR="006653A1" w:rsidRPr="0018484D">
        <w:rPr>
          <w:rFonts w:ascii="Times New Roman" w:hAnsi="Times New Roman" w:cs="Times New Roman"/>
          <w:sz w:val="24"/>
          <w:szCs w:val="22"/>
          <w:vertAlign w:val="subscript"/>
          <w:lang w:val="el-GR"/>
        </w:rPr>
        <w:t>½</w:t>
      </w:r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από 60 έως 100 ώρες.</w:t>
      </w:r>
      <w:r w:rsidR="00302288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>Σε εθελοντές με φυσιολογική νεφρική λειτουργία, η ολική κάθαρση (</w:t>
      </w:r>
      <w:proofErr w:type="spellStart"/>
      <w:r w:rsidR="006653A1" w:rsidRPr="00F12834">
        <w:rPr>
          <w:rFonts w:ascii="Times New Roman" w:hAnsi="Times New Roman" w:cs="Times New Roman"/>
          <w:sz w:val="24"/>
          <w:szCs w:val="22"/>
        </w:rPr>
        <w:t>Cl</w:t>
      </w:r>
      <w:r w:rsidR="006653A1" w:rsidRPr="00F12834">
        <w:rPr>
          <w:rFonts w:ascii="Times New Roman" w:hAnsi="Times New Roman" w:cs="Times New Roman"/>
          <w:sz w:val="24"/>
          <w:szCs w:val="22"/>
          <w:vertAlign w:val="subscript"/>
        </w:rPr>
        <w:t>tot</w:t>
      </w:r>
      <w:proofErr w:type="spellEnd"/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>) ανέρχεται στα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170 </w:t>
      </w:r>
      <w:r w:rsidR="006653A1" w:rsidRPr="00F12834">
        <w:rPr>
          <w:rFonts w:ascii="Times New Roman" w:hAnsi="Times New Roman" w:cs="Times New Roman"/>
          <w:sz w:val="24"/>
          <w:szCs w:val="22"/>
        </w:rPr>
        <w:t>ml</w:t>
      </w:r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>/</w:t>
      </w:r>
      <w:r w:rsidR="006653A1" w:rsidRPr="00F12834">
        <w:rPr>
          <w:rFonts w:ascii="Times New Roman" w:hAnsi="Times New Roman" w:cs="Times New Roman"/>
          <w:sz w:val="24"/>
          <w:szCs w:val="22"/>
        </w:rPr>
        <w:t>min</w:t>
      </w:r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/1,73 </w:t>
      </w:r>
      <w:r w:rsidR="006653A1" w:rsidRPr="00F12834">
        <w:rPr>
          <w:rFonts w:ascii="Times New Roman" w:hAnsi="Times New Roman" w:cs="Times New Roman"/>
          <w:sz w:val="24"/>
          <w:szCs w:val="22"/>
        </w:rPr>
        <w:t>m</w:t>
      </w:r>
      <w:r w:rsidR="006653A1" w:rsidRPr="00F12834">
        <w:rPr>
          <w:rFonts w:ascii="Times New Roman" w:hAnsi="Times New Roman" w:cs="Times New Roman"/>
          <w:sz w:val="24"/>
          <w:szCs w:val="22"/>
          <w:lang w:val="el-GR"/>
        </w:rPr>
        <w:t>2 και μέρος της ολικής νεφρικής κάθαρσης επιτυγχάνεται με σωληνώδη έκκριση.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Η νεφρική διεργασία περιλαμβάνει επίσης σωληνώδη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επαναπορρόφηση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, πιθανώς με τη μεσολάβηση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πρωτεϊνών μεταφοράς κατιόντων. Ο ρυθμός νεφρικής αποβολής τ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ης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σε συνθήκες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αλκαλικών ούρων μπορεί να μειωθεί κατά ένα παράγοντα από 7 έως 9 (βλ. </w:t>
      </w:r>
      <w:r w:rsidR="00C829A5">
        <w:rPr>
          <w:rFonts w:ascii="Times New Roman" w:hAnsi="Times New Roman" w:cs="Times New Roman"/>
          <w:sz w:val="24"/>
          <w:szCs w:val="22"/>
          <w:lang w:val="el-GR"/>
        </w:rPr>
        <w:t>παράγραφο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4.4). Η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αλκαλοποίηση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των ούρων μπορεί να είναι αποτέλεσμα δραστικών αλλαγών στη διατροφή, π.χ. από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διατροφή με βάση το κρέας σε διατροφή με βάση τα λαχανικά, ή εξαιτίας μαζικής πρόσληψης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ρυθμιστικών διαλυμάτων γαστρικής ουδετεροποίησης.</w:t>
      </w:r>
    </w:p>
    <w:p w:rsidR="00302288" w:rsidRPr="004271C9" w:rsidRDefault="00302288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2"/>
          <w:lang w:val="el-GR"/>
        </w:rPr>
      </w:pPr>
      <w:r w:rsidRPr="004271C9">
        <w:rPr>
          <w:rFonts w:ascii="Times New Roman" w:hAnsi="Times New Roman" w:cs="Times New Roman"/>
          <w:i/>
          <w:iCs/>
          <w:sz w:val="24"/>
          <w:szCs w:val="22"/>
          <w:lang w:val="el-GR"/>
        </w:rPr>
        <w:lastRenderedPageBreak/>
        <w:t>Γραμμικότητα</w:t>
      </w:r>
      <w:r w:rsidR="00324B10" w:rsidRPr="004271C9">
        <w:rPr>
          <w:rFonts w:ascii="Times New Roman" w:hAnsi="Times New Roman" w:cs="Times New Roman"/>
          <w:i/>
          <w:iCs/>
          <w:sz w:val="24"/>
          <w:szCs w:val="22"/>
          <w:lang w:val="el-GR"/>
        </w:rPr>
        <w:t xml:space="preserve"> 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Οι μελέτες με εθελοντές έδειξαν γραμμική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φαρμακοκινητική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δραστηριότητα εντός του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εύρους δοσολογίας 10 - 40 </w:t>
      </w:r>
      <w:r w:rsidRPr="00F12834">
        <w:rPr>
          <w:rFonts w:ascii="Times New Roman" w:hAnsi="Times New Roman" w:cs="Times New Roman"/>
          <w:sz w:val="24"/>
          <w:szCs w:val="22"/>
        </w:rPr>
        <w:t>mg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.</w:t>
      </w:r>
    </w:p>
    <w:p w:rsidR="00302288" w:rsidRPr="004271C9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2"/>
          <w:lang w:val="el-GR"/>
        </w:rPr>
      </w:pPr>
      <w:proofErr w:type="spellStart"/>
      <w:r w:rsidRPr="004271C9">
        <w:rPr>
          <w:rFonts w:ascii="Times New Roman" w:hAnsi="Times New Roman" w:cs="Times New Roman"/>
          <w:i/>
          <w:iCs/>
          <w:sz w:val="24"/>
          <w:szCs w:val="22"/>
          <w:lang w:val="el-GR"/>
        </w:rPr>
        <w:t>Φαρμακο</w:t>
      </w:r>
      <w:r w:rsidR="00302288" w:rsidRPr="004271C9">
        <w:rPr>
          <w:rFonts w:ascii="Times New Roman" w:hAnsi="Times New Roman" w:cs="Times New Roman"/>
          <w:i/>
          <w:iCs/>
          <w:sz w:val="24"/>
          <w:szCs w:val="22"/>
          <w:lang w:val="el-GR"/>
        </w:rPr>
        <w:t>κινητική</w:t>
      </w:r>
      <w:proofErr w:type="spellEnd"/>
      <w:r w:rsidR="00302288" w:rsidRPr="004271C9">
        <w:rPr>
          <w:rFonts w:ascii="Times New Roman" w:hAnsi="Times New Roman" w:cs="Times New Roman"/>
          <w:i/>
          <w:iCs/>
          <w:sz w:val="24"/>
          <w:szCs w:val="22"/>
          <w:lang w:val="el-GR"/>
        </w:rPr>
        <w:t>/φαρμακοδυναμική σχέση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Με δόση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20 </w:t>
      </w:r>
      <w:r w:rsidRPr="00F12834">
        <w:rPr>
          <w:rFonts w:ascii="Times New Roman" w:hAnsi="Times New Roman" w:cs="Times New Roman"/>
          <w:sz w:val="24"/>
          <w:szCs w:val="22"/>
        </w:rPr>
        <w:t>mg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ημερησίως τα επίπεδα του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</w:rPr>
        <w:t>CSF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ταιριάζουν με την τιμή-</w:t>
      </w:r>
      <w:proofErr w:type="spellStart"/>
      <w:r w:rsidRPr="00F12834">
        <w:rPr>
          <w:rFonts w:ascii="Times New Roman" w:hAnsi="Times New Roman" w:cs="Times New Roman"/>
          <w:sz w:val="24"/>
          <w:szCs w:val="22"/>
        </w:rPr>
        <w:t>ki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(</w:t>
      </w:r>
      <w:proofErr w:type="spellStart"/>
      <w:r w:rsidRPr="00F12834">
        <w:rPr>
          <w:rFonts w:ascii="Times New Roman" w:hAnsi="Times New Roman" w:cs="Times New Roman"/>
          <w:sz w:val="24"/>
          <w:szCs w:val="22"/>
        </w:rPr>
        <w:t>ki</w:t>
      </w:r>
      <w:proofErr w:type="spellEnd"/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= σταθερά αναστολής) της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, η οποία είναι 0,5 μ</w:t>
      </w:r>
      <w:proofErr w:type="spellStart"/>
      <w:r w:rsidRPr="00F12834">
        <w:rPr>
          <w:rFonts w:ascii="Times New Roman" w:hAnsi="Times New Roman" w:cs="Times New Roman"/>
          <w:sz w:val="24"/>
          <w:szCs w:val="22"/>
        </w:rPr>
        <w:t>mol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στο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μετωπικό φλοιό του εγκεφάλου.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5.3 </w:t>
      </w:r>
      <w:proofErr w:type="spellStart"/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Προκλινικά</w:t>
      </w:r>
      <w:proofErr w:type="spellEnd"/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 δεδομένα για την ασφάλεια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Σε βραχυχρόνιες μελέτες με αρουραίους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όπως και άλλοι ανταγωνιστές-</w:t>
      </w:r>
      <w:r w:rsidRPr="00F12834">
        <w:rPr>
          <w:rFonts w:ascii="Times New Roman" w:hAnsi="Times New Roman" w:cs="Times New Roman"/>
          <w:sz w:val="24"/>
          <w:szCs w:val="22"/>
        </w:rPr>
        <w:t>NMDA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προκάλεσαν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κενοτοπιώδη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κατάσταση και νέκρωση των νευρώνων (αλλοίωση </w:t>
      </w:r>
      <w:r w:rsidRPr="00F12834">
        <w:rPr>
          <w:rFonts w:ascii="Times New Roman" w:hAnsi="Times New Roman" w:cs="Times New Roman"/>
          <w:sz w:val="24"/>
          <w:szCs w:val="22"/>
        </w:rPr>
        <w:t>Olney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) μόνο μετά από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χορήγηση δόσεων που οδηγούν σε πολύ υψηλές κορυφές συγκέντρωσης ορού. Προηγήθηκε αταξία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και άλλα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προκλινικά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συμπτώματα πριν από την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κενοτοπιώδη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κατάσταση και νέκρωση. Καθώς η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δράση αυτή δεν παρατηρήθηκε σε μακροχρόνιες μελέτες τρωκτικών ούτε μη τρωκτικών, η κλινική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σχετικότητα αυτών των ευρημάτων είναι άγνωστη.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>Παρατηρήθηκαν ασυμβίβαστες οφθαλμικές αλλοιώσεις σε μελέτες τοξικότητας επαναλαμβανόμενων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δόσεων σε τρωκτικά και σκύλους, αλλά όχι σε μαϊμούδες. Οι ειδικές οφθαλμοσκοπικές εξετάσεις των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κλινικών μελετών με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δεν αποκάλυψαν καμία οφθαλμική αλλοίωση.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Σε τρωκτικά παρατηρήθηκε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φωσφολιπίδωση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σε πνευμονικά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μακροφάγα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εξαιτίας της συσσώρευσης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στα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λυσοσωμάτια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>. Αυτή η δράση είναι γνωστή από άλλες δραστικές ουσίες με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κατιονικές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αμφιφιλικές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ιδιότητες. Υπάρχει ενδεχόμενη σχέση μεταξύ αυτής της συσσώρευσης και της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κεν</w:t>
      </w:r>
      <w:proofErr w:type="spellEnd"/>
      <w:r w:rsidRPr="00F12834">
        <w:rPr>
          <w:rFonts w:ascii="Times New Roman" w:hAnsi="Times New Roman" w:cs="Times New Roman"/>
          <w:sz w:val="24"/>
          <w:szCs w:val="22"/>
        </w:rPr>
        <w:t>o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τοπιώδης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κατάστασης που παρατηρήθηκε στους πνεύμονες. Αυτή η δράση παρατηρήθηκε μόνο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στα τρωκτικά στα οποία χορηγήθηκαν υψηλές δόσεις. Η κλινική σχετικότητα αυτών των ευρημάτων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είναι άγνωστη.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Δεν παρατηρήθηκε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γονιδιοτοξικότητα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μετά τη δοκιμή τ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ης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σε συμβατικές αναλύσεις. Δεν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υπήρχε κανένα στοιχείο ενδεχόμενης καρκινογόνου δράσης σε ισόβιες μελέτες ποντικών και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αρουραίων. 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Η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δεν παρουσίασε τερατογόνο δράση σε αρουραίους και κουνέλια, ακόμη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και σε </w:t>
      </w:r>
      <w:proofErr w:type="spellStart"/>
      <w:r w:rsidRPr="00F12834">
        <w:rPr>
          <w:rFonts w:ascii="Times New Roman" w:hAnsi="Times New Roman" w:cs="Times New Roman"/>
          <w:sz w:val="24"/>
          <w:szCs w:val="22"/>
          <w:lang w:val="el-GR"/>
        </w:rPr>
        <w:t>μητρικώς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τοξικές δόσεις, και δεν παρατηρήθηκαν ανεπιθύμητες ενέργειες 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της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="0071741A" w:rsidRPr="00F12834">
        <w:rPr>
          <w:rFonts w:ascii="Times New Roman" w:hAnsi="Times New Roman" w:cs="Times New Roman"/>
          <w:sz w:val="24"/>
          <w:szCs w:val="22"/>
          <w:lang w:val="el-GR"/>
        </w:rPr>
        <w:t>μεμαντίνη</w:t>
      </w:r>
      <w:r w:rsidR="005A2AB7" w:rsidRPr="00F12834">
        <w:rPr>
          <w:rFonts w:ascii="Times New Roman" w:hAnsi="Times New Roman" w:cs="Times New Roman"/>
          <w:sz w:val="24"/>
          <w:szCs w:val="22"/>
          <w:lang w:val="el-GR"/>
        </w:rPr>
        <w:t>ς</w:t>
      </w:r>
      <w:proofErr w:type="spellEnd"/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στην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αναπαραγωγική ικανότητα. Στους αρουραίους, παρατηρήθηκε μείωση της αύξησης του εμβρύου σε</w:t>
      </w:r>
      <w:r w:rsidR="00563057"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επίπεδα έκθεσης, τα οποία είναι όμοια ή ελαφρώς υψηλότερα από το επίπεδο έκθεσης του ανθρώπου.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6.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ΦΑΡΜΑΚΕΥΤΙΚΕΣ ΠΛΗΡΟΦΟΡΙΕΣ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232FA6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6.1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Κατάλογος εκδόχων</w:t>
      </w:r>
    </w:p>
    <w:p w:rsidR="00FD502A" w:rsidRPr="006F2765" w:rsidRDefault="00FD502A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proofErr w:type="spellStart"/>
      <w:r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>Πολακριλίνη</w:t>
      </w:r>
      <w:proofErr w:type="spellEnd"/>
      <w:r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 xml:space="preserve">, </w:t>
      </w:r>
      <w:proofErr w:type="spellStart"/>
      <w:r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>μονοϋδρική</w:t>
      </w:r>
      <w:proofErr w:type="spellEnd"/>
      <w:r w:rsidR="00764AE6">
        <w:rPr>
          <w:rFonts w:ascii="Times New Roman" w:hAnsi="Times New Roman" w:cs="Times New Roman"/>
          <w:bCs/>
          <w:iCs/>
          <w:sz w:val="24"/>
          <w:szCs w:val="22"/>
          <w:lang w:val="el-GR"/>
        </w:rPr>
        <w:t>,</w:t>
      </w:r>
      <w:r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 xml:space="preserve"> λακτόζη, </w:t>
      </w:r>
      <w:proofErr w:type="spellStart"/>
      <w:r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>μικροκρυσταλλική</w:t>
      </w:r>
      <w:proofErr w:type="spellEnd"/>
      <w:r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 xml:space="preserve"> κυτταρίνη, </w:t>
      </w:r>
      <w:proofErr w:type="spellStart"/>
      <w:r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>μαννιτόλη</w:t>
      </w:r>
      <w:proofErr w:type="spellEnd"/>
      <w:r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 xml:space="preserve"> (Ε421), νατριούχο</w:t>
      </w:r>
      <w:r w:rsidR="00764AE6">
        <w:rPr>
          <w:rFonts w:ascii="Times New Roman" w:hAnsi="Times New Roman" w:cs="Times New Roman"/>
          <w:bCs/>
          <w:iCs/>
          <w:sz w:val="24"/>
          <w:szCs w:val="22"/>
          <w:lang w:val="el-GR"/>
        </w:rPr>
        <w:t>ς</w:t>
      </w:r>
      <w:r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 xml:space="preserve"> διασταυρούμενη </w:t>
      </w:r>
      <w:proofErr w:type="spellStart"/>
      <w:r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>καρμελλόζη</w:t>
      </w:r>
      <w:proofErr w:type="spellEnd"/>
      <w:r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 xml:space="preserve">, </w:t>
      </w:r>
      <w:proofErr w:type="spellStart"/>
      <w:r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>ασπαρτάμη</w:t>
      </w:r>
      <w:proofErr w:type="spellEnd"/>
      <w:r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 xml:space="preserve"> (Ε951), άνυδρο κολλοειδές πυρίτιο, κόκκινο οξείδιο του σιδήρου (Ε172), στεατικό μαγνήσιο</w:t>
      </w:r>
      <w:r w:rsidR="00764AE6">
        <w:rPr>
          <w:rFonts w:ascii="Times New Roman" w:hAnsi="Times New Roman" w:cs="Times New Roman"/>
          <w:bCs/>
          <w:iCs/>
          <w:sz w:val="24"/>
          <w:szCs w:val="22"/>
          <w:lang w:val="el-GR"/>
        </w:rPr>
        <w:t>,</w:t>
      </w:r>
      <w:r w:rsidR="00764AE6" w:rsidRPr="00764AE6">
        <w:rPr>
          <w:rFonts w:ascii="Times New Roman" w:hAnsi="Times New Roman" w:cs="Times New Roman"/>
          <w:bCs/>
          <w:iCs/>
          <w:sz w:val="24"/>
          <w:szCs w:val="22"/>
          <w:lang w:val="el-GR"/>
        </w:rPr>
        <w:t xml:space="preserve"> </w:t>
      </w:r>
      <w:r w:rsidR="00764AE6"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>άρωμα μέντας</w:t>
      </w:r>
      <w:r w:rsidR="00764AE6">
        <w:rPr>
          <w:rFonts w:ascii="Times New Roman" w:hAnsi="Times New Roman" w:cs="Times New Roman"/>
          <w:bCs/>
          <w:iCs/>
          <w:sz w:val="24"/>
          <w:szCs w:val="22"/>
          <w:lang w:val="el-GR"/>
        </w:rPr>
        <w:t xml:space="preserve"> (που περιέχει </w:t>
      </w:r>
      <w:proofErr w:type="spellStart"/>
      <w:r w:rsidR="00764AE6">
        <w:rPr>
          <w:rFonts w:ascii="Times New Roman" w:hAnsi="Times New Roman" w:cs="Times New Roman"/>
          <w:bCs/>
          <w:iCs/>
          <w:sz w:val="24"/>
          <w:szCs w:val="22"/>
          <w:lang w:val="el-GR"/>
        </w:rPr>
        <w:t>μαλτοδεξτρίνη</w:t>
      </w:r>
      <w:proofErr w:type="spellEnd"/>
      <w:r w:rsidR="00764AE6">
        <w:rPr>
          <w:rFonts w:ascii="Times New Roman" w:hAnsi="Times New Roman" w:cs="Times New Roman"/>
          <w:bCs/>
          <w:iCs/>
          <w:sz w:val="24"/>
          <w:szCs w:val="22"/>
          <w:lang w:val="el-GR"/>
        </w:rPr>
        <w:t xml:space="preserve">, τροποποιημένο άμυλο </w:t>
      </w:r>
      <w:r w:rsidR="00764AE6">
        <w:rPr>
          <w:rFonts w:ascii="Times New Roman" w:hAnsi="Times New Roman" w:cs="Times New Roman"/>
          <w:bCs/>
          <w:iCs/>
          <w:sz w:val="24"/>
          <w:szCs w:val="22"/>
        </w:rPr>
        <w:t>E</w:t>
      </w:r>
      <w:r w:rsidR="00764AE6" w:rsidRPr="00764AE6">
        <w:rPr>
          <w:rFonts w:ascii="Times New Roman" w:hAnsi="Times New Roman" w:cs="Times New Roman"/>
          <w:bCs/>
          <w:iCs/>
          <w:sz w:val="24"/>
          <w:szCs w:val="22"/>
          <w:lang w:val="el-GR"/>
        </w:rPr>
        <w:t>1450</w:t>
      </w:r>
      <w:r w:rsidR="00764AE6" w:rsidRPr="00F12834">
        <w:rPr>
          <w:rFonts w:ascii="Times New Roman" w:hAnsi="Times New Roman" w:cs="Times New Roman"/>
          <w:bCs/>
          <w:iCs/>
          <w:sz w:val="24"/>
          <w:szCs w:val="22"/>
          <w:lang w:val="el-GR"/>
        </w:rPr>
        <w:t>,</w:t>
      </w:r>
      <w:r w:rsidR="00764AE6">
        <w:rPr>
          <w:rFonts w:ascii="Times New Roman" w:hAnsi="Times New Roman" w:cs="Times New Roman"/>
          <w:bCs/>
          <w:iCs/>
          <w:sz w:val="24"/>
          <w:szCs w:val="22"/>
          <w:lang w:val="el-GR"/>
        </w:rPr>
        <w:t xml:space="preserve"> έλαιο μέντας).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6.2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Ασυμβατότητες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lastRenderedPageBreak/>
        <w:t>Δεν εφαρμόζεται.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6.3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Διάρκεια ζωής</w:t>
      </w:r>
    </w:p>
    <w:p w:rsidR="006653A1" w:rsidRPr="00F12834" w:rsidRDefault="00984A43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>3</w:t>
      </w:r>
      <w:r w:rsidR="007F7637">
        <w:rPr>
          <w:rFonts w:ascii="Times New Roman" w:hAnsi="Times New Roman" w:cs="Times New Roman"/>
          <w:sz w:val="24"/>
          <w:szCs w:val="22"/>
        </w:rPr>
        <w:t xml:space="preserve"> </w:t>
      </w:r>
      <w:r w:rsidR="007F7637">
        <w:rPr>
          <w:rFonts w:ascii="Times New Roman" w:hAnsi="Times New Roman" w:cs="Times New Roman"/>
          <w:sz w:val="24"/>
          <w:szCs w:val="22"/>
          <w:lang w:val="el-GR"/>
        </w:rPr>
        <w:t>έτη</w:t>
      </w:r>
      <w:r w:rsidRPr="00F12834">
        <w:rPr>
          <w:rFonts w:ascii="Times New Roman" w:hAnsi="Times New Roman" w:cs="Times New Roman"/>
          <w:sz w:val="24"/>
          <w:szCs w:val="22"/>
          <w:lang w:val="el-GR"/>
        </w:rPr>
        <w:t>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6.4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Ιδιαίτερες προφυλάξεις κατά την φύλαξη του προϊόντος</w:t>
      </w:r>
    </w:p>
    <w:p w:rsidR="007F7637" w:rsidRPr="007F7637" w:rsidRDefault="006653A1" w:rsidP="007F7637">
      <w:pPr>
        <w:pStyle w:val="a8"/>
        <w:tabs>
          <w:tab w:val="left" w:pos="720"/>
        </w:tabs>
        <w:jc w:val="both"/>
        <w:rPr>
          <w:szCs w:val="22"/>
        </w:rPr>
      </w:pPr>
      <w:r w:rsidRPr="00F12834">
        <w:rPr>
          <w:szCs w:val="22"/>
        </w:rPr>
        <w:t xml:space="preserve">Αυτό το φαρμακευτικό προϊόν δεν απαιτεί </w:t>
      </w:r>
      <w:r w:rsidR="007F7637" w:rsidRPr="007F7637">
        <w:rPr>
          <w:szCs w:val="22"/>
        </w:rPr>
        <w:t>ιδιαίτερες συνθήκες φύλαξης.</w:t>
      </w:r>
    </w:p>
    <w:p w:rsidR="007F7637" w:rsidRPr="007F7637" w:rsidRDefault="007F7637" w:rsidP="007F7637">
      <w:pPr>
        <w:pStyle w:val="a8"/>
        <w:tabs>
          <w:tab w:val="left" w:pos="720"/>
        </w:tabs>
        <w:jc w:val="both"/>
        <w:rPr>
          <w:szCs w:val="22"/>
        </w:rPr>
      </w:pP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6.5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Φύση και συστατικά του περιέκτη</w:t>
      </w:r>
    </w:p>
    <w:p w:rsidR="00ED1BF5" w:rsidRDefault="00ED1BF5" w:rsidP="00ED1B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el-GR"/>
        </w:rPr>
      </w:pPr>
      <w:r w:rsidRPr="005F2301">
        <w:rPr>
          <w:rFonts w:ascii="Times New Roman" w:eastAsia="TimesNewRoman" w:hAnsi="Times New Roman" w:cs="Times New Roman"/>
          <w:sz w:val="24"/>
          <w:szCs w:val="24"/>
          <w:lang w:val="el-GR"/>
        </w:rPr>
        <w:t xml:space="preserve">Κάθε συσκευασία περιέχει </w:t>
      </w:r>
      <w:r>
        <w:rPr>
          <w:rFonts w:ascii="Times New Roman" w:eastAsia="TimesNewRoman" w:hAnsi="Times New Roman" w:cs="Times New Roman"/>
          <w:sz w:val="24"/>
          <w:szCs w:val="24"/>
          <w:lang w:val="el-GR"/>
        </w:rPr>
        <w:t xml:space="preserve">30 ή 90 </w:t>
      </w:r>
      <w:r w:rsidRPr="00C97577">
        <w:rPr>
          <w:rFonts w:ascii="Times New Roman" w:eastAsia="TimesNewRoman" w:hAnsi="Times New Roman" w:cs="Times New Roman"/>
          <w:sz w:val="24"/>
          <w:szCs w:val="24"/>
          <w:lang w:val="el-GR"/>
        </w:rPr>
        <w:t xml:space="preserve">διασπειρόμενα στο στόμα </w:t>
      </w:r>
      <w:r w:rsidRPr="005F2301">
        <w:rPr>
          <w:rFonts w:ascii="Times New Roman" w:eastAsia="TimesNewRoman" w:hAnsi="Times New Roman" w:cs="Times New Roman"/>
          <w:sz w:val="24"/>
          <w:szCs w:val="24"/>
          <w:lang w:val="el-GR"/>
        </w:rPr>
        <w:t xml:space="preserve">δισκία </w:t>
      </w:r>
      <w:r>
        <w:rPr>
          <w:rFonts w:ascii="Times New Roman" w:eastAsia="TimesNewRoman" w:hAnsi="Times New Roman" w:cs="Times New Roman"/>
          <w:sz w:val="24"/>
          <w:szCs w:val="24"/>
          <w:lang w:val="el-GR"/>
        </w:rPr>
        <w:t xml:space="preserve">σε </w:t>
      </w:r>
      <w:r w:rsidRPr="005F2301">
        <w:rPr>
          <w:rFonts w:ascii="Times New Roman" w:eastAsia="TimesNewRoman" w:hAnsi="Times New Roman" w:cs="Times New Roman"/>
          <w:sz w:val="24"/>
          <w:szCs w:val="24"/>
          <w:lang w:val="el-GR"/>
        </w:rPr>
        <w:t xml:space="preserve">κυψέλες </w:t>
      </w:r>
      <w:r>
        <w:rPr>
          <w:rFonts w:ascii="Times New Roman" w:eastAsia="TimesNewRoman" w:hAnsi="Times New Roman" w:cs="Times New Roman"/>
          <w:sz w:val="24"/>
          <w:szCs w:val="24"/>
          <w:lang w:val="el-GR"/>
        </w:rPr>
        <w:t>αλουμινίου.</w:t>
      </w:r>
    </w:p>
    <w:p w:rsidR="00ED1BF5" w:rsidRPr="005616F1" w:rsidRDefault="00ED1BF5" w:rsidP="00ED1B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el-GR"/>
        </w:rPr>
      </w:pPr>
      <w:r>
        <w:rPr>
          <w:rFonts w:ascii="Times New Roman" w:eastAsia="TimesNewRoman" w:hAnsi="Times New Roman" w:cs="Times New Roman"/>
          <w:sz w:val="24"/>
          <w:szCs w:val="24"/>
          <w:lang w:val="el-GR"/>
        </w:rPr>
        <w:t xml:space="preserve">Η </w:t>
      </w:r>
      <w:r w:rsidR="0067120D">
        <w:rPr>
          <w:rFonts w:ascii="Times New Roman" w:eastAsia="TimesNewRoman" w:hAnsi="Times New Roman" w:cs="Times New Roman"/>
          <w:sz w:val="24"/>
          <w:szCs w:val="24"/>
          <w:lang w:val="el-GR"/>
        </w:rPr>
        <w:t>σ</w:t>
      </w:r>
      <w:r w:rsidR="005616F1" w:rsidRPr="005616F1">
        <w:rPr>
          <w:rFonts w:ascii="Times New Roman" w:eastAsia="TimesNewRoman" w:hAnsi="Times New Roman" w:cs="Times New Roman"/>
          <w:sz w:val="24"/>
          <w:szCs w:val="24"/>
          <w:lang w:val="el-GR"/>
        </w:rPr>
        <w:t>υσκευασία έναρξης της θεραπείας</w:t>
      </w:r>
      <w:r w:rsidR="005616F1">
        <w:rPr>
          <w:rFonts w:ascii="Times New Roman" w:eastAsia="TimesNew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l-GR"/>
        </w:rPr>
        <w:t>περιέχει</w:t>
      </w:r>
      <w:r w:rsidRPr="005F2301">
        <w:rPr>
          <w:rFonts w:ascii="Times New Roman" w:eastAsia="TimesNewRoman" w:hAnsi="Times New Roman" w:cs="Times New Roman"/>
          <w:sz w:val="24"/>
          <w:szCs w:val="24"/>
          <w:lang w:val="el-GR"/>
        </w:rPr>
        <w:t xml:space="preserve"> 7 διασπειρόμενα στο στόμα δισκία των 5 </w:t>
      </w:r>
      <w:proofErr w:type="spellStart"/>
      <w:r w:rsidRPr="005F2301">
        <w:rPr>
          <w:rFonts w:ascii="Times New Roman" w:eastAsia="TimesNewRoman" w:hAnsi="Times New Roman" w:cs="Times New Roman"/>
          <w:sz w:val="24"/>
          <w:szCs w:val="24"/>
          <w:lang w:val="el-GR"/>
        </w:rPr>
        <w:t>mg</w:t>
      </w:r>
      <w:proofErr w:type="spellEnd"/>
      <w:r w:rsidRPr="005F2301">
        <w:rPr>
          <w:rFonts w:ascii="Times New Roman" w:eastAsia="TimesNewRoman" w:hAnsi="Times New Roman" w:cs="Times New Roman"/>
          <w:sz w:val="24"/>
          <w:szCs w:val="24"/>
          <w:lang w:val="el-GR"/>
        </w:rPr>
        <w:t>, 7 διασπειρόμενα στο στόμα δισκία των 1</w:t>
      </w:r>
      <w:r>
        <w:rPr>
          <w:rFonts w:ascii="Times New Roman" w:eastAsia="TimesNewRoman" w:hAnsi="Times New Roman" w:cs="Times New Roman"/>
          <w:sz w:val="24"/>
          <w:szCs w:val="24"/>
          <w:lang w:val="el-GR"/>
        </w:rPr>
        <w:t>0</w:t>
      </w:r>
      <w:r w:rsidRPr="005F2301">
        <w:rPr>
          <w:rFonts w:ascii="Times New Roman" w:eastAsia="TimesNew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5F2301">
        <w:rPr>
          <w:rFonts w:ascii="Times New Roman" w:eastAsia="TimesNewRoman" w:hAnsi="Times New Roman" w:cs="Times New Roman"/>
          <w:sz w:val="24"/>
          <w:szCs w:val="24"/>
          <w:lang w:val="el-GR"/>
        </w:rPr>
        <w:t>mg</w:t>
      </w:r>
      <w:proofErr w:type="spellEnd"/>
      <w:r w:rsidRPr="005F2301">
        <w:rPr>
          <w:rFonts w:ascii="Times New Roman" w:eastAsia="TimesNewRoman" w:hAnsi="Times New Roman" w:cs="Times New Roman"/>
          <w:sz w:val="24"/>
          <w:szCs w:val="24"/>
          <w:lang w:val="el-GR"/>
        </w:rPr>
        <w:t xml:space="preserve"> 7 διασπειρόμενα στο στόμα δισκία των 15 </w:t>
      </w:r>
      <w:proofErr w:type="spellStart"/>
      <w:r w:rsidRPr="005F2301">
        <w:rPr>
          <w:rFonts w:ascii="Times New Roman" w:eastAsia="TimesNewRoman" w:hAnsi="Times New Roman" w:cs="Times New Roman"/>
          <w:sz w:val="24"/>
          <w:szCs w:val="24"/>
          <w:lang w:val="el-GR"/>
        </w:rPr>
        <w:t>mg</w:t>
      </w:r>
      <w:proofErr w:type="spellEnd"/>
      <w:r w:rsidRPr="005F2301">
        <w:rPr>
          <w:rFonts w:ascii="Times New Roman" w:eastAsia="TimesNewRoman" w:hAnsi="Times New Roman" w:cs="Times New Roman"/>
          <w:sz w:val="24"/>
          <w:szCs w:val="24"/>
          <w:lang w:val="el-GR"/>
        </w:rPr>
        <w:t xml:space="preserve"> και 7 διασπειρόμενα στο στόμα </w:t>
      </w:r>
      <w:r>
        <w:rPr>
          <w:rFonts w:ascii="Times New Roman" w:eastAsia="TimesNewRoman" w:hAnsi="Times New Roman" w:cs="Times New Roman"/>
          <w:sz w:val="24"/>
          <w:szCs w:val="24"/>
          <w:lang w:val="el-GR"/>
        </w:rPr>
        <w:t xml:space="preserve">δισκία των 20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l-GR"/>
        </w:rPr>
        <w:t>mg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l-GR"/>
        </w:rPr>
        <w:t xml:space="preserve"> σε κυψέλες αλουμινίου.</w:t>
      </w:r>
    </w:p>
    <w:p w:rsidR="006653A1" w:rsidRPr="00F12834" w:rsidRDefault="006653A1" w:rsidP="00ED1B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>Μπορεί να μη κυκλοφορούν όλες οι συσκευασίες.</w:t>
      </w:r>
    </w:p>
    <w:p w:rsidR="006653A1" w:rsidRPr="00866B9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6.6 </w:t>
      </w:r>
      <w:r w:rsidR="00866B94" w:rsidRPr="00866B9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Ιδιαίτερες προφυλάξεις απόρριψης </w:t>
      </w:r>
      <w:r w:rsidR="00866B9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και άλλος χειρισμός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>Καμία ειδική υποχρέωση.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7.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ΚΑΤΟΧΟΣ ΤΗΣ ΑΔΕΙΑΣ ΚΥΚΛΟΦΟΡΙΑΣ</w:t>
      </w:r>
    </w:p>
    <w:p w:rsidR="00FD502A" w:rsidRPr="00F12834" w:rsidRDefault="00FD502A" w:rsidP="00FD5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2"/>
          <w:lang w:val="el-GR"/>
        </w:rPr>
      </w:pPr>
      <w:proofErr w:type="gramStart"/>
      <w:r w:rsidRPr="00F12834">
        <w:rPr>
          <w:rFonts w:ascii="Times New Roman" w:eastAsia="TimesNewRoman" w:hAnsi="Times New Roman" w:cs="Times New Roman"/>
          <w:b/>
          <w:sz w:val="24"/>
          <w:szCs w:val="22"/>
        </w:rPr>
        <w:t>GENEPHARM</w:t>
      </w:r>
      <w:r w:rsidRPr="00F12834">
        <w:rPr>
          <w:rFonts w:ascii="Times New Roman" w:eastAsia="TimesNewRoman" w:hAnsi="Times New Roman" w:cs="Times New Roman"/>
          <w:b/>
          <w:sz w:val="24"/>
          <w:szCs w:val="22"/>
          <w:lang w:val="el-GR"/>
        </w:rPr>
        <w:t xml:space="preserve"> Α.Ε.</w:t>
      </w:r>
      <w:proofErr w:type="gramEnd"/>
    </w:p>
    <w:p w:rsidR="00FD502A" w:rsidRPr="00F12834" w:rsidRDefault="00FD502A" w:rsidP="00FD5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" w:hAnsi="Times New Roman" w:cs="Times New Roman"/>
          <w:sz w:val="24"/>
          <w:szCs w:val="22"/>
          <w:lang w:val="el-GR"/>
        </w:rPr>
        <w:t>18</w:t>
      </w:r>
      <w:r w:rsidRPr="00F12834">
        <w:rPr>
          <w:rFonts w:ascii="Times New Roman" w:eastAsia="TimesNewRoman" w:hAnsi="Times New Roman" w:cs="Times New Roman"/>
          <w:sz w:val="24"/>
          <w:szCs w:val="22"/>
          <w:vertAlign w:val="superscript"/>
          <w:lang w:val="el-GR"/>
        </w:rPr>
        <w:t>ο</w:t>
      </w:r>
      <w:r w:rsidRPr="00F12834">
        <w:rPr>
          <w:rFonts w:ascii="Times New Roman" w:eastAsia="TimesNewRoman" w:hAnsi="Times New Roman" w:cs="Times New Roman"/>
          <w:sz w:val="24"/>
          <w:szCs w:val="22"/>
          <w:lang w:val="el-GR"/>
        </w:rPr>
        <w:t xml:space="preserve"> </w:t>
      </w:r>
      <w:proofErr w:type="spellStart"/>
      <w:r w:rsidRPr="00F12834">
        <w:rPr>
          <w:rFonts w:ascii="Times New Roman" w:eastAsia="TimesNewRoman" w:hAnsi="Times New Roman" w:cs="Times New Roman"/>
          <w:sz w:val="24"/>
          <w:szCs w:val="22"/>
          <w:lang w:val="el-GR"/>
        </w:rPr>
        <w:t>χλμ</w:t>
      </w:r>
      <w:proofErr w:type="spellEnd"/>
      <w:r w:rsidRPr="00F12834">
        <w:rPr>
          <w:rFonts w:ascii="Times New Roman" w:eastAsia="TimesNewRoman" w:hAnsi="Times New Roman" w:cs="Times New Roman"/>
          <w:sz w:val="24"/>
          <w:szCs w:val="22"/>
          <w:lang w:val="el-GR"/>
        </w:rPr>
        <w:t>. Λεωφόρος Μαραθώνος</w:t>
      </w:r>
    </w:p>
    <w:p w:rsidR="00FD502A" w:rsidRDefault="00FD502A" w:rsidP="0086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eastAsia="TimesNewRoman" w:hAnsi="Times New Roman" w:cs="Times New Roman"/>
          <w:sz w:val="24"/>
          <w:szCs w:val="22"/>
          <w:lang w:val="el-GR"/>
        </w:rPr>
        <w:t>15351 Παλλήνη, Αττικής</w:t>
      </w:r>
    </w:p>
    <w:p w:rsidR="00866B94" w:rsidRPr="00F12834" w:rsidRDefault="00866B94" w:rsidP="00FD502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 w:cs="Times New Roman"/>
          <w:sz w:val="24"/>
          <w:szCs w:val="22"/>
          <w:lang w:val="el-GR"/>
        </w:rPr>
      </w:pPr>
      <w:r>
        <w:rPr>
          <w:rFonts w:ascii="Times New Roman" w:eastAsia="TimesNewRoman" w:hAnsi="Times New Roman" w:cs="Times New Roman"/>
          <w:sz w:val="24"/>
          <w:szCs w:val="22"/>
          <w:lang w:val="el-GR"/>
        </w:rPr>
        <w:t>Τηλέφωνο: 210 6039336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232FA6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8.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ΑΡΙΘΜΟΣ(ΟΙ) ΑΔΕΙΑΣ ΚΥΚΛΟΦΟΡΙΑΣ</w:t>
      </w:r>
    </w:p>
    <w:p w:rsidR="00FA2645" w:rsidRPr="00F12834" w:rsidRDefault="00FA2645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9.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ΗΜΕΡΟΜΗΝΙΑ ΠΡΩΤΗΣ ΕΓΚΡΙΣΗΣ / ΑΝΑΝΕΩΣΗΣ ΤΗΣ ΑΔΕΙΑΣ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Ημερομηνία πρώτης έγκρισης: </w:t>
      </w:r>
    </w:p>
    <w:p w:rsidR="006653A1" w:rsidRPr="00F12834" w:rsidRDefault="006653A1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F12834">
        <w:rPr>
          <w:rFonts w:ascii="Times New Roman" w:hAnsi="Times New Roman" w:cs="Times New Roman"/>
          <w:sz w:val="24"/>
          <w:szCs w:val="22"/>
          <w:lang w:val="el-GR"/>
        </w:rPr>
        <w:t xml:space="preserve">Ημερομηνία τελευταίας ανανέωσης: </w:t>
      </w:r>
    </w:p>
    <w:p w:rsidR="006653A1" w:rsidRPr="00F12834" w:rsidRDefault="00B80CCB" w:rsidP="00B80C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</w:pPr>
      <w:r w:rsidRPr="00232FA6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 xml:space="preserve">10 </w:t>
      </w:r>
      <w:r w:rsidR="006653A1" w:rsidRPr="00F12834">
        <w:rPr>
          <w:rFonts w:ascii="Times New Roman" w:eastAsia="TimesNewRoman,Bold" w:hAnsi="Times New Roman" w:cs="Times New Roman"/>
          <w:b/>
          <w:bCs/>
          <w:sz w:val="24"/>
          <w:szCs w:val="22"/>
          <w:lang w:val="el-GR"/>
        </w:rPr>
        <w:t>ΗΜΕΡΟΜΗΝΙΑ ΑΝΑΘΕΩΡΗΣΗΣ ΤΟΥ ΚΕΙΜΕΝΟΥ</w:t>
      </w:r>
    </w:p>
    <w:p w:rsidR="006653A1" w:rsidRPr="00F12834" w:rsidRDefault="00866B94" w:rsidP="00A96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2"/>
          <w:lang w:val="el-GR"/>
        </w:rPr>
      </w:pPr>
      <w:r w:rsidRPr="00866B94">
        <w:rPr>
          <w:rFonts w:ascii="Times New Roman" w:hAnsi="Times New Roman" w:cs="Times New Roman"/>
          <w:sz w:val="24"/>
          <w:szCs w:val="22"/>
        </w:rPr>
        <w:t>MM</w:t>
      </w:r>
      <w:r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334A21">
        <w:rPr>
          <w:rFonts w:ascii="Times New Roman" w:hAnsi="Times New Roman" w:cs="Times New Roman"/>
          <w:sz w:val="24"/>
          <w:szCs w:val="22"/>
          <w:lang w:val="el-GR"/>
        </w:rPr>
        <w:t>/</w:t>
      </w:r>
      <w:r>
        <w:rPr>
          <w:rFonts w:ascii="Times New Roman" w:hAnsi="Times New Roman" w:cs="Times New Roman"/>
          <w:sz w:val="24"/>
          <w:szCs w:val="22"/>
          <w:lang w:val="el-GR"/>
        </w:rPr>
        <w:t xml:space="preserve"> </w:t>
      </w:r>
      <w:r w:rsidRPr="00334A21">
        <w:rPr>
          <w:rFonts w:ascii="Times New Roman" w:hAnsi="Times New Roman" w:cs="Times New Roman"/>
          <w:sz w:val="24"/>
          <w:szCs w:val="22"/>
          <w:lang w:val="el-GR"/>
        </w:rPr>
        <w:t>ΕΕΕΕ</w:t>
      </w:r>
    </w:p>
    <w:sectPr w:rsidR="006653A1" w:rsidRPr="00F12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ZNKWZ+TimesNewRoman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0AE"/>
    <w:multiLevelType w:val="hybridMultilevel"/>
    <w:tmpl w:val="4C164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51E0D"/>
    <w:multiLevelType w:val="hybridMultilevel"/>
    <w:tmpl w:val="3C62106A"/>
    <w:lvl w:ilvl="0" w:tplc="91D4F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5366"/>
    <w:multiLevelType w:val="hybridMultilevel"/>
    <w:tmpl w:val="6964BB30"/>
    <w:lvl w:ilvl="0" w:tplc="382C470A">
      <w:start w:val="6"/>
      <w:numFmt w:val="bullet"/>
      <w:lvlText w:val="-"/>
      <w:lvlJc w:val="left"/>
      <w:pPr>
        <w:ind w:left="720" w:hanging="360"/>
      </w:pPr>
      <w:rPr>
        <w:rFonts w:ascii="Calibri" w:eastAsia="TimesNewRoman" w:hAnsi="Calibri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F342F"/>
    <w:multiLevelType w:val="multilevel"/>
    <w:tmpl w:val="A5E26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A1"/>
    <w:rsid w:val="000666A9"/>
    <w:rsid w:val="00107EAF"/>
    <w:rsid w:val="0018484D"/>
    <w:rsid w:val="00193F3E"/>
    <w:rsid w:val="00196289"/>
    <w:rsid w:val="00232FA6"/>
    <w:rsid w:val="0025621D"/>
    <w:rsid w:val="002B5FF4"/>
    <w:rsid w:val="002C2B24"/>
    <w:rsid w:val="002C2EAC"/>
    <w:rsid w:val="00302288"/>
    <w:rsid w:val="00324B10"/>
    <w:rsid w:val="00334A21"/>
    <w:rsid w:val="00410C19"/>
    <w:rsid w:val="004271C9"/>
    <w:rsid w:val="00446639"/>
    <w:rsid w:val="00495901"/>
    <w:rsid w:val="004A3EAA"/>
    <w:rsid w:val="004E01F4"/>
    <w:rsid w:val="0053485C"/>
    <w:rsid w:val="00543543"/>
    <w:rsid w:val="005616F1"/>
    <w:rsid w:val="00562A9A"/>
    <w:rsid w:val="00563057"/>
    <w:rsid w:val="005A2AB7"/>
    <w:rsid w:val="005E7A70"/>
    <w:rsid w:val="006653A1"/>
    <w:rsid w:val="0067120D"/>
    <w:rsid w:val="006C4B07"/>
    <w:rsid w:val="006F2765"/>
    <w:rsid w:val="0071741A"/>
    <w:rsid w:val="00725E06"/>
    <w:rsid w:val="00764AE6"/>
    <w:rsid w:val="007951CA"/>
    <w:rsid w:val="007F7637"/>
    <w:rsid w:val="00804519"/>
    <w:rsid w:val="00825B70"/>
    <w:rsid w:val="00866B94"/>
    <w:rsid w:val="008D0F20"/>
    <w:rsid w:val="008E2569"/>
    <w:rsid w:val="00936C46"/>
    <w:rsid w:val="00984A43"/>
    <w:rsid w:val="00A2765F"/>
    <w:rsid w:val="00A300C4"/>
    <w:rsid w:val="00A538C4"/>
    <w:rsid w:val="00A96914"/>
    <w:rsid w:val="00AE29F3"/>
    <w:rsid w:val="00B16E0E"/>
    <w:rsid w:val="00B80CCB"/>
    <w:rsid w:val="00C829A5"/>
    <w:rsid w:val="00D07CD5"/>
    <w:rsid w:val="00D75B7A"/>
    <w:rsid w:val="00DC35CD"/>
    <w:rsid w:val="00EC06CC"/>
    <w:rsid w:val="00ED1BF5"/>
    <w:rsid w:val="00F12834"/>
    <w:rsid w:val="00F801D9"/>
    <w:rsid w:val="00FA2645"/>
    <w:rsid w:val="00FB124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3A1"/>
    <w:pPr>
      <w:autoSpaceDE w:val="0"/>
      <w:autoSpaceDN w:val="0"/>
      <w:adjustRightInd w:val="0"/>
      <w:spacing w:after="0" w:line="240" w:lineRule="auto"/>
    </w:pPr>
    <w:rPr>
      <w:rFonts w:ascii="PZNKWZ+TimesNewRoman" w:hAnsi="PZNKWZ+TimesNewRoman" w:cs="PZNKWZ+TimesNew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691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93F3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193F3E"/>
    <w:pPr>
      <w:spacing w:line="240" w:lineRule="auto"/>
    </w:pPr>
  </w:style>
  <w:style w:type="character" w:customStyle="1" w:styleId="Char">
    <w:name w:val="Κείμενο σχολίου Char"/>
    <w:basedOn w:val="a0"/>
    <w:link w:val="a5"/>
    <w:uiPriority w:val="99"/>
    <w:semiHidden/>
    <w:rsid w:val="00193F3E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93F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193F3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9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3F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rsid w:val="007F76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Κεφαλίδα Char"/>
    <w:basedOn w:val="a0"/>
    <w:link w:val="a8"/>
    <w:rsid w:val="007F7637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3A1"/>
    <w:pPr>
      <w:autoSpaceDE w:val="0"/>
      <w:autoSpaceDN w:val="0"/>
      <w:adjustRightInd w:val="0"/>
      <w:spacing w:after="0" w:line="240" w:lineRule="auto"/>
    </w:pPr>
    <w:rPr>
      <w:rFonts w:ascii="PZNKWZ+TimesNewRoman" w:hAnsi="PZNKWZ+TimesNewRoman" w:cs="PZNKWZ+TimesNew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691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93F3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193F3E"/>
    <w:pPr>
      <w:spacing w:line="240" w:lineRule="auto"/>
    </w:pPr>
  </w:style>
  <w:style w:type="character" w:customStyle="1" w:styleId="Char">
    <w:name w:val="Κείμενο σχολίου Char"/>
    <w:basedOn w:val="a0"/>
    <w:link w:val="a5"/>
    <w:uiPriority w:val="99"/>
    <w:semiHidden/>
    <w:rsid w:val="00193F3E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93F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193F3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9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3F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rsid w:val="007F76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Κεφαλίδα Char"/>
    <w:basedOn w:val="a0"/>
    <w:link w:val="a8"/>
    <w:rsid w:val="007F7637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3876</Words>
  <Characters>20936</Characters>
  <Application>Microsoft Office Word</Application>
  <DocSecurity>0</DocSecurity>
  <Lines>174</Lines>
  <Paragraphs>49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Panoutsopoulos Giorgos</dc:creator>
  <cp:lastModifiedBy>ΘΑΛΑΣΣΙΝΟΥ ΜΑΡΙΑ</cp:lastModifiedBy>
  <cp:revision>2</cp:revision>
  <cp:lastPrinted>2017-02-22T12:12:00Z</cp:lastPrinted>
  <dcterms:created xsi:type="dcterms:W3CDTF">2017-02-22T12:21:00Z</dcterms:created>
  <dcterms:modified xsi:type="dcterms:W3CDTF">2017-02-22T12:21:00Z</dcterms:modified>
</cp:coreProperties>
</file>