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F8" w:rsidRPr="00D46618" w:rsidRDefault="004052F8" w:rsidP="008525D4">
      <w:pPr>
        <w:spacing w:after="0" w:line="240" w:lineRule="auto"/>
        <w:jc w:val="both"/>
        <w:rPr>
          <w:rFonts w:ascii="Times New Roman" w:hAnsi="Times New Roman" w:cs="Times New Roman"/>
          <w:b/>
          <w:lang w:val="en-US"/>
        </w:rPr>
      </w:pPr>
    </w:p>
    <w:p w:rsidR="004052F8" w:rsidRPr="00D46618" w:rsidRDefault="004052F8" w:rsidP="008525D4">
      <w:pPr>
        <w:spacing w:after="0" w:line="240" w:lineRule="auto"/>
        <w:jc w:val="both"/>
        <w:rPr>
          <w:rFonts w:ascii="Times New Roman" w:hAnsi="Times New Roman" w:cs="Times New Roman"/>
          <w:b/>
          <w:lang w:val="en-US"/>
        </w:rPr>
      </w:pPr>
    </w:p>
    <w:p w:rsidR="004052F8" w:rsidRPr="00900C58" w:rsidRDefault="004052F8" w:rsidP="004052F8">
      <w:pPr>
        <w:spacing w:after="0" w:line="240" w:lineRule="auto"/>
        <w:jc w:val="center"/>
        <w:rPr>
          <w:rFonts w:ascii="Times New Roman" w:hAnsi="Times New Roman" w:cs="Times New Roman"/>
          <w:b/>
        </w:rPr>
      </w:pPr>
      <w:r w:rsidRPr="00900C58">
        <w:rPr>
          <w:rFonts w:ascii="Times New Roman" w:hAnsi="Times New Roman" w:cs="Times New Roman"/>
          <w:b/>
        </w:rPr>
        <w:t>ΠΕΡΙΛΗΨΗ ΧΑΡΑΚΤΗΡΙΣΤΙΚΩΝ ΤΟΥ ΠΡΟΪΟΝΤΟΣ</w:t>
      </w:r>
    </w:p>
    <w:p w:rsidR="004052F8" w:rsidRPr="00900C58" w:rsidRDefault="004052F8" w:rsidP="004052F8">
      <w:pPr>
        <w:spacing w:after="0" w:line="240" w:lineRule="auto"/>
        <w:jc w:val="center"/>
        <w:rPr>
          <w:rFonts w:ascii="Times New Roman" w:hAnsi="Times New Roman" w:cs="Times New Roman"/>
          <w:b/>
        </w:rPr>
      </w:pPr>
    </w:p>
    <w:p w:rsidR="004052F8" w:rsidRPr="00900C58" w:rsidRDefault="004052F8" w:rsidP="004052F8">
      <w:pPr>
        <w:spacing w:after="0" w:line="240" w:lineRule="auto"/>
        <w:jc w:val="center"/>
        <w:rPr>
          <w:rFonts w:ascii="Times New Roman" w:hAnsi="Times New Roman" w:cs="Times New Roman"/>
          <w:b/>
        </w:rPr>
      </w:pPr>
      <w:r w:rsidRPr="00900C58">
        <w:rPr>
          <w:rFonts w:ascii="Times New Roman" w:hAnsi="Times New Roman" w:cs="Times New Roman"/>
          <w:b/>
        </w:rPr>
        <w:t>«</w:t>
      </w:r>
      <w:r w:rsidR="00BC1E58">
        <w:rPr>
          <w:rFonts w:ascii="Times New Roman" w:hAnsi="Times New Roman" w:cs="Times New Roman"/>
          <w:b/>
          <w:lang w:val="en-US"/>
        </w:rPr>
        <w:t>ZARASTIN</w:t>
      </w:r>
      <w:r w:rsidR="00423730">
        <w:rPr>
          <w:rFonts w:ascii="Times New Roman" w:hAnsi="Times New Roman" w:cs="Times New Roman"/>
          <w:b/>
        </w:rPr>
        <w:t>»  10</w:t>
      </w:r>
      <w:r w:rsidR="00423730" w:rsidRPr="00091EFA">
        <w:rPr>
          <w:rFonts w:ascii="Times New Roman" w:hAnsi="Times New Roman" w:cs="Times New Roman"/>
          <w:b/>
        </w:rPr>
        <w:t xml:space="preserve"> &amp; </w:t>
      </w:r>
      <w:r w:rsidRPr="00900C58">
        <w:rPr>
          <w:rFonts w:ascii="Times New Roman" w:hAnsi="Times New Roman" w:cs="Times New Roman"/>
          <w:b/>
        </w:rPr>
        <w:t>20</w:t>
      </w:r>
      <w:r w:rsidRPr="006B1BBE">
        <w:rPr>
          <w:rFonts w:ascii="Times New Roman" w:hAnsi="Times New Roman" w:cs="Times New Roman"/>
          <w:b/>
          <w:lang w:val="en-US"/>
        </w:rPr>
        <w:t>mg</w:t>
      </w:r>
      <w:r w:rsidRPr="00900C58">
        <w:rPr>
          <w:rFonts w:ascii="Times New Roman" w:hAnsi="Times New Roman" w:cs="Times New Roman"/>
          <w:b/>
        </w:rPr>
        <w:t>/</w:t>
      </w:r>
      <w:r w:rsidRPr="006B1BBE">
        <w:rPr>
          <w:rFonts w:ascii="Times New Roman" w:hAnsi="Times New Roman" w:cs="Times New Roman"/>
          <w:b/>
          <w:lang w:val="en-US"/>
        </w:rPr>
        <w:t>tab</w:t>
      </w:r>
    </w:p>
    <w:p w:rsidR="004052F8" w:rsidRPr="00900C58" w:rsidRDefault="004052F8" w:rsidP="008525D4">
      <w:pPr>
        <w:spacing w:after="0" w:line="240" w:lineRule="auto"/>
        <w:jc w:val="both"/>
        <w:rPr>
          <w:rFonts w:ascii="Times New Roman" w:hAnsi="Times New Roman" w:cs="Times New Roman"/>
          <w:b/>
        </w:rPr>
      </w:pPr>
    </w:p>
    <w:p w:rsidR="004052F8" w:rsidRPr="00900C58" w:rsidRDefault="004052F8" w:rsidP="008525D4">
      <w:pPr>
        <w:spacing w:after="0" w:line="240" w:lineRule="auto"/>
        <w:jc w:val="both"/>
        <w:rPr>
          <w:rFonts w:ascii="Times New Roman" w:hAnsi="Times New Roman" w:cs="Times New Roman"/>
          <w:b/>
        </w:rPr>
      </w:pPr>
    </w:p>
    <w:p w:rsidR="004052F8" w:rsidRPr="00900C58" w:rsidRDefault="004052F8" w:rsidP="008525D4">
      <w:pPr>
        <w:spacing w:after="0" w:line="240" w:lineRule="auto"/>
        <w:jc w:val="both"/>
        <w:rPr>
          <w:rFonts w:ascii="Times New Roman" w:hAnsi="Times New Roman" w:cs="Times New Roman"/>
          <w:b/>
        </w:rPr>
      </w:pPr>
    </w:p>
    <w:p w:rsidR="00F457BF" w:rsidRPr="006B1BBE" w:rsidRDefault="00F457BF" w:rsidP="008525D4">
      <w:pPr>
        <w:pStyle w:val="a3"/>
        <w:numPr>
          <w:ilvl w:val="0"/>
          <w:numId w:val="1"/>
        </w:numPr>
        <w:spacing w:after="0" w:line="240" w:lineRule="auto"/>
        <w:jc w:val="both"/>
        <w:rPr>
          <w:rFonts w:ascii="Times New Roman" w:hAnsi="Times New Roman" w:cs="Times New Roman"/>
          <w:b/>
        </w:rPr>
      </w:pPr>
      <w:r w:rsidRPr="006B1BBE">
        <w:rPr>
          <w:rFonts w:ascii="Times New Roman" w:hAnsi="Times New Roman" w:cs="Times New Roman"/>
          <w:b/>
        </w:rPr>
        <w:t>ΟΝΟΜΑΣΙΑ ΤΟΥ ΦΑΡΜΑΚΕΥΤΙΚΟΥ ΠΡΟΪΟΝΤΟΣ</w:t>
      </w:r>
    </w:p>
    <w:p w:rsidR="00F457BF" w:rsidRPr="006B1BBE" w:rsidRDefault="00BC1E58" w:rsidP="008525D4">
      <w:pPr>
        <w:spacing w:after="0" w:line="240" w:lineRule="auto"/>
        <w:jc w:val="both"/>
        <w:rPr>
          <w:rFonts w:ascii="Times New Roman" w:hAnsi="Times New Roman" w:cs="Times New Roman"/>
        </w:rPr>
      </w:pPr>
      <w:r>
        <w:rPr>
          <w:rFonts w:ascii="Times New Roman" w:hAnsi="Times New Roman" w:cs="Times New Roman"/>
        </w:rPr>
        <w:t>ZARASTIN</w:t>
      </w:r>
      <w:r w:rsidR="00F457BF" w:rsidRPr="006B1BBE">
        <w:rPr>
          <w:rFonts w:ascii="Times New Roman" w:hAnsi="Times New Roman" w:cs="Times New Roman"/>
        </w:rPr>
        <w:t xml:space="preserve"> 10 mg, επικαλυμμένο με λεπτό υμένιο δισκίο.</w:t>
      </w:r>
    </w:p>
    <w:p w:rsidR="00F457BF" w:rsidRPr="006B1BBE" w:rsidRDefault="00BC1E58" w:rsidP="008525D4">
      <w:pPr>
        <w:spacing w:after="0" w:line="240" w:lineRule="auto"/>
        <w:jc w:val="both"/>
        <w:rPr>
          <w:rFonts w:ascii="Times New Roman" w:hAnsi="Times New Roman" w:cs="Times New Roman"/>
        </w:rPr>
      </w:pPr>
      <w:r>
        <w:rPr>
          <w:rFonts w:ascii="Times New Roman" w:hAnsi="Times New Roman" w:cs="Times New Roman"/>
        </w:rPr>
        <w:t>ZARASTIN</w:t>
      </w:r>
      <w:r w:rsidR="00F457BF" w:rsidRPr="006B1BBE">
        <w:rPr>
          <w:rFonts w:ascii="Times New Roman" w:hAnsi="Times New Roman" w:cs="Times New Roman"/>
        </w:rPr>
        <w:t xml:space="preserve"> 20 mg, επικαλυμμένο με λεπτό υμένιο δισκίο.</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pStyle w:val="a3"/>
        <w:numPr>
          <w:ilvl w:val="0"/>
          <w:numId w:val="1"/>
        </w:numPr>
        <w:spacing w:after="0" w:line="240" w:lineRule="auto"/>
        <w:jc w:val="both"/>
        <w:rPr>
          <w:rFonts w:ascii="Times New Roman" w:hAnsi="Times New Roman" w:cs="Times New Roman"/>
          <w:b/>
        </w:rPr>
      </w:pPr>
      <w:r w:rsidRPr="006B1BBE">
        <w:rPr>
          <w:rFonts w:ascii="Times New Roman" w:hAnsi="Times New Roman" w:cs="Times New Roman"/>
          <w:b/>
        </w:rPr>
        <w:t>ΠΟΙΟΤΙΚΗ ΚΑΙ ΠΟΣΟΤΙΚΗ ΣΥΝΘΕΣΗ</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Κάθε επικαλυμμένο με λεπτό υμένιο δισκίο περιέχει</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10 mg ατορβαστατίνης [ως atorvastatin-calcium (trihydrate)] ή</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20 mg ατορβαστατίνης [ως atorvastatin-calcium (trihydrate)]</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Έκδοχα:</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Για τον πλήρη κατάλογο των εκδόχων, βλ. παράγραφο</w:t>
      </w:r>
      <w:r w:rsidR="00864013" w:rsidRPr="006B1BBE">
        <w:rPr>
          <w:rFonts w:ascii="Times New Roman" w:hAnsi="Times New Roman" w:cs="Times New Roman"/>
        </w:rPr>
        <w:t xml:space="preserve"> 6.</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pStyle w:val="a3"/>
        <w:numPr>
          <w:ilvl w:val="0"/>
          <w:numId w:val="1"/>
        </w:numPr>
        <w:spacing w:after="0" w:line="240" w:lineRule="auto"/>
        <w:jc w:val="both"/>
        <w:rPr>
          <w:rFonts w:ascii="Times New Roman" w:hAnsi="Times New Roman" w:cs="Times New Roman"/>
          <w:b/>
        </w:rPr>
      </w:pPr>
      <w:r w:rsidRPr="006B1BBE">
        <w:rPr>
          <w:rFonts w:ascii="Times New Roman" w:hAnsi="Times New Roman" w:cs="Times New Roman"/>
          <w:b/>
        </w:rPr>
        <w:t>ΦΑΡΜΑΚΟΤΕΧΝΙΚΗ ΜΟΡΦΗ</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Επικαλυμμένο με λεπτό υμένιο δισκίο</w:t>
      </w:r>
    </w:p>
    <w:p w:rsidR="00147EA1" w:rsidRPr="006B1BBE" w:rsidRDefault="00BC1E58" w:rsidP="00147EA1">
      <w:pPr>
        <w:spacing w:after="0" w:line="240" w:lineRule="auto"/>
        <w:jc w:val="both"/>
        <w:rPr>
          <w:rFonts w:ascii="Times New Roman" w:hAnsi="Times New Roman" w:cs="Times New Roman"/>
        </w:rPr>
      </w:pPr>
      <w:r>
        <w:rPr>
          <w:rFonts w:ascii="Times New Roman" w:hAnsi="Times New Roman" w:cs="Times New Roman"/>
        </w:rPr>
        <w:t>ZARASTIN</w:t>
      </w:r>
      <w:r w:rsidR="00147EA1" w:rsidRPr="006B1BBE">
        <w:rPr>
          <w:rFonts w:ascii="Times New Roman" w:hAnsi="Times New Roman" w:cs="Times New Roman"/>
        </w:rPr>
        <w:t xml:space="preserve"> 10mg: Λευκό, στρογγυλό, αμφίκυρτο με άνω χαραγή δισκίο </w:t>
      </w:r>
    </w:p>
    <w:p w:rsidR="00147EA1" w:rsidRPr="006B1BBE" w:rsidRDefault="00BC1E58" w:rsidP="00147EA1">
      <w:pPr>
        <w:spacing w:after="0" w:line="240" w:lineRule="auto"/>
        <w:jc w:val="both"/>
        <w:rPr>
          <w:rFonts w:ascii="Times New Roman" w:hAnsi="Times New Roman" w:cs="Times New Roman"/>
        </w:rPr>
      </w:pPr>
      <w:r>
        <w:rPr>
          <w:rFonts w:ascii="Times New Roman" w:hAnsi="Times New Roman" w:cs="Times New Roman"/>
        </w:rPr>
        <w:t>ZARASTIN</w:t>
      </w:r>
      <w:r w:rsidR="00147EA1" w:rsidRPr="006B1BBE">
        <w:rPr>
          <w:rFonts w:ascii="Times New Roman" w:hAnsi="Times New Roman" w:cs="Times New Roman"/>
        </w:rPr>
        <w:t xml:space="preserve"> 20mg: Λευκό, επίμηκες, αμφίκυρτο με άνω-κάτω χαραγή δισκίο  </w:t>
      </w:r>
    </w:p>
    <w:p w:rsidR="00F457BF" w:rsidRPr="00091EFA" w:rsidRDefault="00F457BF" w:rsidP="008525D4">
      <w:pPr>
        <w:spacing w:after="0" w:line="240" w:lineRule="auto"/>
        <w:jc w:val="both"/>
        <w:rPr>
          <w:rFonts w:ascii="Times New Roman" w:hAnsi="Times New Roman" w:cs="Times New Roman"/>
        </w:rPr>
      </w:pPr>
    </w:p>
    <w:p w:rsidR="00423730" w:rsidRPr="00091EFA" w:rsidRDefault="00423730" w:rsidP="008525D4">
      <w:pPr>
        <w:spacing w:after="0" w:line="240" w:lineRule="auto"/>
        <w:jc w:val="both"/>
        <w:rPr>
          <w:rFonts w:ascii="Times New Roman" w:hAnsi="Times New Roman" w:cs="Times New Roman"/>
        </w:rPr>
      </w:pPr>
    </w:p>
    <w:p w:rsidR="00F457BF" w:rsidRPr="006B1BBE" w:rsidRDefault="00F457BF" w:rsidP="008525D4">
      <w:pPr>
        <w:pStyle w:val="a3"/>
        <w:numPr>
          <w:ilvl w:val="0"/>
          <w:numId w:val="1"/>
        </w:numPr>
        <w:spacing w:after="0" w:line="240" w:lineRule="auto"/>
        <w:jc w:val="both"/>
        <w:rPr>
          <w:rFonts w:ascii="Times New Roman" w:hAnsi="Times New Roman" w:cs="Times New Roman"/>
          <w:b/>
        </w:rPr>
      </w:pPr>
      <w:r w:rsidRPr="006B1BBE">
        <w:rPr>
          <w:rFonts w:ascii="Times New Roman" w:hAnsi="Times New Roman" w:cs="Times New Roman"/>
          <w:b/>
        </w:rPr>
        <w:t>ΚΛΙΝΙΚΕΣ ΠΛΗΡΟΦΟΡΙΕΣ</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t>Θεραπευτικές ενδείξεις</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Υπερχοληστερολαιμία</w:t>
      </w:r>
    </w:p>
    <w:p w:rsidR="00F457BF" w:rsidRPr="006B1BBE" w:rsidRDefault="00F457BF" w:rsidP="008525D4">
      <w:pPr>
        <w:spacing w:after="0" w:line="240" w:lineRule="auto"/>
        <w:jc w:val="both"/>
        <w:rPr>
          <w:rFonts w:ascii="Times New Roman" w:hAnsi="Times New Roman" w:cs="Times New Roman"/>
          <w:u w:val="single"/>
        </w:rPr>
      </w:pPr>
    </w:p>
    <w:p w:rsidR="00131F61"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Το </w:t>
      </w:r>
      <w:r w:rsidR="00BC1E58">
        <w:rPr>
          <w:rFonts w:ascii="Times New Roman" w:hAnsi="Times New Roman" w:cs="Times New Roman"/>
        </w:rPr>
        <w:t>ZARASTIN</w:t>
      </w:r>
      <w:r w:rsidRPr="006B1BBE">
        <w:rPr>
          <w:rFonts w:ascii="Times New Roman" w:hAnsi="Times New Roman" w:cs="Times New Roman"/>
        </w:rPr>
        <w:t xml:space="preserve"> ενδείκνυται ως συμπλήρωμα της δίαιτας για τη μείωση των αυξημένων επιπέδων</w:t>
      </w:r>
      <w:r w:rsidR="00CB38F5" w:rsidRPr="006B1BBE">
        <w:rPr>
          <w:rFonts w:ascii="Times New Roman" w:hAnsi="Times New Roman" w:cs="Times New Roman"/>
        </w:rPr>
        <w:t xml:space="preserve"> </w:t>
      </w:r>
      <w:r w:rsidRPr="006B1BBE">
        <w:rPr>
          <w:rFonts w:ascii="Times New Roman" w:hAnsi="Times New Roman" w:cs="Times New Roman"/>
        </w:rPr>
        <w:t>της ολικής χοληστερόλης, της LDL-χοληστερόλης,</w:t>
      </w:r>
      <w:r w:rsidR="00CB38F5" w:rsidRPr="006B1BBE">
        <w:rPr>
          <w:rFonts w:ascii="Times New Roman" w:hAnsi="Times New Roman" w:cs="Times New Roman"/>
        </w:rPr>
        <w:t xml:space="preserve"> της απολιποπρωτεΐνης Β και των </w:t>
      </w:r>
      <w:r w:rsidRPr="006B1BBE">
        <w:rPr>
          <w:rFonts w:ascii="Times New Roman" w:hAnsi="Times New Roman" w:cs="Times New Roman"/>
        </w:rPr>
        <w:t>τριγλυκεριδίων σε</w:t>
      </w:r>
      <w:r w:rsidR="00CB38F5" w:rsidRPr="006B1BBE">
        <w:rPr>
          <w:rFonts w:ascii="Times New Roman" w:hAnsi="Times New Roman" w:cs="Times New Roman"/>
        </w:rPr>
        <w:t xml:space="preserve"> </w:t>
      </w:r>
      <w:r w:rsidR="00131F61">
        <w:rPr>
          <w:rFonts w:ascii="Times New Roman" w:hAnsi="Times New Roman" w:cs="Times New Roman"/>
        </w:rPr>
        <w:t xml:space="preserve">ασθενείς </w:t>
      </w:r>
      <w:r w:rsidR="00CB38F5" w:rsidRPr="006B1BBE">
        <w:rPr>
          <w:rFonts w:ascii="Times New Roman" w:hAnsi="Times New Roman" w:cs="Times New Roman"/>
        </w:rPr>
        <w:t xml:space="preserve">με πρωτοπαθή </w:t>
      </w:r>
      <w:r w:rsidRPr="006B1BBE">
        <w:rPr>
          <w:rFonts w:ascii="Times New Roman" w:hAnsi="Times New Roman" w:cs="Times New Roman"/>
        </w:rPr>
        <w:t>υπερχοληστερολαιμία, συμπεριλαμβανο</w:t>
      </w:r>
      <w:r w:rsidR="00CB38F5" w:rsidRPr="006B1BBE">
        <w:rPr>
          <w:rFonts w:ascii="Times New Roman" w:hAnsi="Times New Roman" w:cs="Times New Roman"/>
        </w:rPr>
        <w:t xml:space="preserve">μένης της ετερόζυγης οικογενούς </w:t>
      </w:r>
      <w:r w:rsidRPr="006B1BBE">
        <w:rPr>
          <w:rFonts w:ascii="Times New Roman" w:hAnsi="Times New Roman" w:cs="Times New Roman"/>
        </w:rPr>
        <w:t>υπερχοληστερολαιμίας και της συνδυασμένης (μεικτής) υπε</w:t>
      </w:r>
      <w:r w:rsidR="00CB38F5" w:rsidRPr="006B1BBE">
        <w:rPr>
          <w:rFonts w:ascii="Times New Roman" w:hAnsi="Times New Roman" w:cs="Times New Roman"/>
        </w:rPr>
        <w:t xml:space="preserve">ρλιπιδαιμίας (τύπος ΙIα και ΙIβ </w:t>
      </w:r>
      <w:r w:rsidRPr="006B1BBE">
        <w:rPr>
          <w:rFonts w:ascii="Times New Roman" w:hAnsi="Times New Roman" w:cs="Times New Roman"/>
        </w:rPr>
        <w:t>κατά Fredrickson), όταν η δίαιτα και τα άλλα μη φα</w:t>
      </w:r>
      <w:r w:rsidR="00CB38F5" w:rsidRPr="006B1BBE">
        <w:rPr>
          <w:rFonts w:ascii="Times New Roman" w:hAnsi="Times New Roman" w:cs="Times New Roman"/>
        </w:rPr>
        <w:t xml:space="preserve">ρμακολογικά μέτρα δεν επαρκούν. </w:t>
      </w:r>
    </w:p>
    <w:p w:rsidR="00131F61" w:rsidRDefault="00131F61"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Το </w:t>
      </w:r>
      <w:r w:rsidR="00BC1E58">
        <w:rPr>
          <w:rFonts w:ascii="Times New Roman" w:hAnsi="Times New Roman" w:cs="Times New Roman"/>
        </w:rPr>
        <w:t>ZARASTIN</w:t>
      </w:r>
      <w:r w:rsidRPr="006B1BBE">
        <w:rPr>
          <w:rFonts w:ascii="Times New Roman" w:hAnsi="Times New Roman" w:cs="Times New Roman"/>
        </w:rPr>
        <w:t xml:space="preserve"> ενδείκνυται επίσης για τη μείωση της ολ</w:t>
      </w:r>
      <w:r w:rsidR="00CB38F5" w:rsidRPr="006B1BBE">
        <w:rPr>
          <w:rFonts w:ascii="Times New Roman" w:hAnsi="Times New Roman" w:cs="Times New Roman"/>
        </w:rPr>
        <w:t xml:space="preserve">ικής χοληστερόλης και της LDL – </w:t>
      </w:r>
      <w:r w:rsidRPr="006B1BBE">
        <w:rPr>
          <w:rFonts w:ascii="Times New Roman" w:hAnsi="Times New Roman" w:cs="Times New Roman"/>
        </w:rPr>
        <w:t>χοληστερόλης σε ενήλικες με ομόζυγο οικογενή υπερχ</w:t>
      </w:r>
      <w:r w:rsidR="00CB38F5" w:rsidRPr="006B1BBE">
        <w:rPr>
          <w:rFonts w:ascii="Times New Roman" w:hAnsi="Times New Roman" w:cs="Times New Roman"/>
        </w:rPr>
        <w:t xml:space="preserve">οληστερολαιμία ως συμπλήρωμα σε </w:t>
      </w:r>
      <w:r w:rsidRPr="006B1BBE">
        <w:rPr>
          <w:rFonts w:ascii="Times New Roman" w:hAnsi="Times New Roman" w:cs="Times New Roman"/>
        </w:rPr>
        <w:t>άλλες υπολιπιδαιμικές θεραπείες (π.χ. LDL αφαίρεση) ή ότ</w:t>
      </w:r>
      <w:r w:rsidR="00CB38F5" w:rsidRPr="006B1BBE">
        <w:rPr>
          <w:rFonts w:ascii="Times New Roman" w:hAnsi="Times New Roman" w:cs="Times New Roman"/>
        </w:rPr>
        <w:t xml:space="preserve">αν οι θεραπείες αυτές δεν είναι </w:t>
      </w:r>
      <w:r w:rsidRPr="006B1BBE">
        <w:rPr>
          <w:rFonts w:ascii="Times New Roman" w:hAnsi="Times New Roman" w:cs="Times New Roman"/>
        </w:rPr>
        <w:t>διαθέσιμες.</w:t>
      </w:r>
    </w:p>
    <w:p w:rsidR="00CB38F5" w:rsidRPr="006B1BBE" w:rsidRDefault="00CB38F5"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Πρόληψη Καρδιαγγειακής Νόσου</w:t>
      </w:r>
    </w:p>
    <w:p w:rsidR="00F457BF" w:rsidRPr="006B1BBE" w:rsidRDefault="00F457BF" w:rsidP="008525D4">
      <w:pPr>
        <w:spacing w:after="0" w:line="240" w:lineRule="auto"/>
        <w:jc w:val="both"/>
        <w:rPr>
          <w:rFonts w:ascii="Times New Roman" w:hAnsi="Times New Roman" w:cs="Times New Roman"/>
          <w:u w:val="single"/>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Πρόληψη των καρδιαγγειακών συμβαμάτων σε ενήλικες ασθε</w:t>
      </w:r>
      <w:r w:rsidR="008525D4" w:rsidRPr="006B1BBE">
        <w:rPr>
          <w:rFonts w:ascii="Times New Roman" w:hAnsi="Times New Roman" w:cs="Times New Roman"/>
        </w:rPr>
        <w:t xml:space="preserve">νείς για τους οποίους εκτιμάται </w:t>
      </w:r>
      <w:r w:rsidRPr="006B1BBE">
        <w:rPr>
          <w:rFonts w:ascii="Times New Roman" w:hAnsi="Times New Roman" w:cs="Times New Roman"/>
        </w:rPr>
        <w:t>ότι έχουν υψηλό κίνδυνο να εμφανίσουν το πρώ</w:t>
      </w:r>
      <w:r w:rsidR="008525D4" w:rsidRPr="006B1BBE">
        <w:rPr>
          <w:rFonts w:ascii="Times New Roman" w:hAnsi="Times New Roman" w:cs="Times New Roman"/>
        </w:rPr>
        <w:t xml:space="preserve">το καρδιαγγειακό σύμβαμα (βλέπε </w:t>
      </w:r>
      <w:r w:rsidRPr="006B1BBE">
        <w:rPr>
          <w:rFonts w:ascii="Times New Roman" w:hAnsi="Times New Roman" w:cs="Times New Roman"/>
        </w:rPr>
        <w:t>Παράγραφο 5.1), ως συμπλήρωμα στη ρύθμιση άλλων παραγόντων κινδύνου.</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t>Δοσολογία και τρόπος χορήγησης</w:t>
      </w:r>
    </w:p>
    <w:p w:rsidR="00F457BF" w:rsidRPr="006B1BBE" w:rsidRDefault="00F457BF" w:rsidP="008525D4">
      <w:pPr>
        <w:spacing w:after="0" w:line="240" w:lineRule="auto"/>
        <w:jc w:val="both"/>
        <w:rPr>
          <w:rFonts w:ascii="Times New Roman" w:hAnsi="Times New Roman" w:cs="Times New Roman"/>
          <w:b/>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Ο ασθενής πριν από τη λήψη του </w:t>
      </w:r>
      <w:r w:rsidR="00BC1E58">
        <w:rPr>
          <w:rFonts w:ascii="Times New Roman" w:hAnsi="Times New Roman" w:cs="Times New Roman"/>
        </w:rPr>
        <w:t>ZARASTIN</w:t>
      </w:r>
      <w:r w:rsidRPr="006B1BBE">
        <w:rPr>
          <w:rFonts w:ascii="Times New Roman" w:hAnsi="Times New Roman" w:cs="Times New Roman"/>
        </w:rPr>
        <w:t xml:space="preserve"> θα πρ</w:t>
      </w:r>
      <w:r w:rsidR="008525D4" w:rsidRPr="006B1BBE">
        <w:rPr>
          <w:rFonts w:ascii="Times New Roman" w:hAnsi="Times New Roman" w:cs="Times New Roman"/>
        </w:rPr>
        <w:t xml:space="preserve">έπει να ακολουθήσει μια σταθερή υπολιπιδαιμική </w:t>
      </w:r>
      <w:r w:rsidRPr="006B1BBE">
        <w:rPr>
          <w:rFonts w:ascii="Times New Roman" w:hAnsi="Times New Roman" w:cs="Times New Roman"/>
        </w:rPr>
        <w:t>δίαιτα, την οποία και θα συνεχίσει κατά τη διάρκεια της θεραπείας του μ</w:t>
      </w:r>
      <w:r w:rsidR="008525D4" w:rsidRPr="006B1BBE">
        <w:rPr>
          <w:rFonts w:ascii="Times New Roman" w:hAnsi="Times New Roman" w:cs="Times New Roman"/>
        </w:rPr>
        <w:t xml:space="preserve">ε το </w:t>
      </w:r>
      <w:r w:rsidR="00BC1E58">
        <w:rPr>
          <w:rFonts w:ascii="Times New Roman" w:hAnsi="Times New Roman" w:cs="Times New Roman"/>
        </w:rPr>
        <w:t>ZARASTIN</w:t>
      </w:r>
      <w:r w:rsidRPr="006B1BBE">
        <w:rPr>
          <w:rFonts w:ascii="Times New Roman" w:hAnsi="Times New Roman" w:cs="Times New Roman"/>
        </w:rPr>
        <w:t>.</w:t>
      </w:r>
    </w:p>
    <w:p w:rsidR="00F457BF" w:rsidRPr="006B1BBE" w:rsidRDefault="00F457BF" w:rsidP="008525D4">
      <w:pPr>
        <w:spacing w:after="0" w:line="240" w:lineRule="auto"/>
        <w:jc w:val="both"/>
        <w:rPr>
          <w:rFonts w:ascii="Times New Roman" w:hAnsi="Times New Roman" w:cs="Times New Roman"/>
        </w:rPr>
      </w:pPr>
    </w:p>
    <w:p w:rsidR="00131F61"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δοσολογία πρέπει να εξατομικεύεται με βάση τα αρχικ</w:t>
      </w:r>
      <w:r w:rsidR="008525D4" w:rsidRPr="006B1BBE">
        <w:rPr>
          <w:rFonts w:ascii="Times New Roman" w:hAnsi="Times New Roman" w:cs="Times New Roman"/>
        </w:rPr>
        <w:t xml:space="preserve">ά επίπεδα της LDL-χοληστερόλης, </w:t>
      </w:r>
      <w:r w:rsidRPr="006B1BBE">
        <w:rPr>
          <w:rFonts w:ascii="Times New Roman" w:hAnsi="Times New Roman" w:cs="Times New Roman"/>
        </w:rPr>
        <w:t>τους στόχους της θεραπείας κα</w:t>
      </w:r>
      <w:r w:rsidR="008525D4" w:rsidRPr="006B1BBE">
        <w:rPr>
          <w:rFonts w:ascii="Times New Roman" w:hAnsi="Times New Roman" w:cs="Times New Roman"/>
        </w:rPr>
        <w:t xml:space="preserve">ι την ανταπόκριση του ασθενούς. </w:t>
      </w:r>
    </w:p>
    <w:p w:rsidR="00131F61" w:rsidRDefault="00131F61"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lastRenderedPageBreak/>
        <w:t>Η συνήθης αρχική δόση είναι 10 mg μία φορά την ημ</w:t>
      </w:r>
      <w:r w:rsidR="008525D4" w:rsidRPr="006B1BBE">
        <w:rPr>
          <w:rFonts w:ascii="Times New Roman" w:hAnsi="Times New Roman" w:cs="Times New Roman"/>
        </w:rPr>
        <w:t xml:space="preserve">έρα. Τροποποίηση της δοσολογίας </w:t>
      </w:r>
      <w:r w:rsidRPr="006B1BBE">
        <w:rPr>
          <w:rFonts w:ascii="Times New Roman" w:hAnsi="Times New Roman" w:cs="Times New Roman"/>
        </w:rPr>
        <w:t>πρέπει να γίνεται ανά μεσοδιαστήματα 4 εβδομάδων ή μ</w:t>
      </w:r>
      <w:r w:rsidR="008525D4" w:rsidRPr="006B1BBE">
        <w:rPr>
          <w:rFonts w:ascii="Times New Roman" w:hAnsi="Times New Roman" w:cs="Times New Roman"/>
        </w:rPr>
        <w:t xml:space="preserve">εγαλύτερα. Η μέγιστη δόση είναι </w:t>
      </w:r>
      <w:r w:rsidRPr="006B1BBE">
        <w:rPr>
          <w:rFonts w:ascii="Times New Roman" w:hAnsi="Times New Roman" w:cs="Times New Roman"/>
        </w:rPr>
        <w:t>80 mg μία φορά την ημέρα.</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p>
    <w:p w:rsidR="00F457BF" w:rsidRPr="00941456" w:rsidRDefault="00F457BF" w:rsidP="008525D4">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Πρωτοπαθής υπερχοληστερολαιμία και συνδυασμένη (μεικτή) υπερλιπιδαιμία</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Η πλειονότητα των ασθενών ελέγχεται με χορήγηση 10 mg </w:t>
      </w:r>
      <w:r w:rsidR="00BC1E58">
        <w:rPr>
          <w:rFonts w:ascii="Times New Roman" w:hAnsi="Times New Roman" w:cs="Times New Roman"/>
        </w:rPr>
        <w:t>ZARASTIN</w:t>
      </w:r>
      <w:r w:rsidR="008525D4" w:rsidRPr="006B1BBE">
        <w:rPr>
          <w:rFonts w:ascii="Times New Roman" w:hAnsi="Times New Roman" w:cs="Times New Roman"/>
        </w:rPr>
        <w:t xml:space="preserve"> άπαξ ημερησίως. Τα </w:t>
      </w:r>
      <w:r w:rsidRPr="006B1BBE">
        <w:rPr>
          <w:rFonts w:ascii="Times New Roman" w:hAnsi="Times New Roman" w:cs="Times New Roman"/>
        </w:rPr>
        <w:t>αποτελέσματα της θεραπείας φαίνονται σε 2 εβδομ</w:t>
      </w:r>
      <w:r w:rsidR="008525D4" w:rsidRPr="006B1BBE">
        <w:rPr>
          <w:rFonts w:ascii="Times New Roman" w:hAnsi="Times New Roman" w:cs="Times New Roman"/>
        </w:rPr>
        <w:t xml:space="preserve">άδες, ενώ η μέγιστη θεραπευτική </w:t>
      </w:r>
      <w:r w:rsidRPr="006B1BBE">
        <w:rPr>
          <w:rFonts w:ascii="Times New Roman" w:hAnsi="Times New Roman" w:cs="Times New Roman"/>
        </w:rPr>
        <w:t>ανταπόκριση συνήθως επιτυγχάνεται σε 4 εβδομάδες, διαρ</w:t>
      </w:r>
      <w:r w:rsidR="008525D4" w:rsidRPr="006B1BBE">
        <w:rPr>
          <w:rFonts w:ascii="Times New Roman" w:hAnsi="Times New Roman" w:cs="Times New Roman"/>
        </w:rPr>
        <w:t xml:space="preserve">κεί δε όσο ο ασθενής παίρνει το </w:t>
      </w:r>
      <w:r w:rsidRPr="006B1BBE">
        <w:rPr>
          <w:rFonts w:ascii="Times New Roman" w:hAnsi="Times New Roman" w:cs="Times New Roman"/>
        </w:rPr>
        <w:t>φάρμακο.</w:t>
      </w:r>
    </w:p>
    <w:p w:rsidR="00F457BF" w:rsidRPr="006B1BBE" w:rsidRDefault="00F457BF" w:rsidP="008525D4">
      <w:pPr>
        <w:spacing w:after="0" w:line="240" w:lineRule="auto"/>
        <w:jc w:val="both"/>
        <w:rPr>
          <w:rFonts w:ascii="Times New Roman" w:hAnsi="Times New Roman" w:cs="Times New Roman"/>
        </w:rPr>
      </w:pPr>
    </w:p>
    <w:p w:rsidR="00F457BF" w:rsidRPr="00941456" w:rsidRDefault="00F457BF" w:rsidP="008525D4">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Ετερόζυγος οικογενής υπερχοληστερολαιμία</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Η θεραπεία αρχίζει με 10 mg </w:t>
      </w:r>
      <w:r w:rsidR="00BC1E58">
        <w:rPr>
          <w:rFonts w:ascii="Times New Roman" w:hAnsi="Times New Roman" w:cs="Times New Roman"/>
        </w:rPr>
        <w:t>ZARASTIN</w:t>
      </w:r>
      <w:r w:rsidRPr="006B1BBE">
        <w:rPr>
          <w:rFonts w:ascii="Times New Roman" w:hAnsi="Times New Roman" w:cs="Times New Roman"/>
        </w:rPr>
        <w:t xml:space="preserve"> ημερησίως. Οι δ</w:t>
      </w:r>
      <w:r w:rsidR="008525D4" w:rsidRPr="006B1BBE">
        <w:rPr>
          <w:rFonts w:ascii="Times New Roman" w:hAnsi="Times New Roman" w:cs="Times New Roman"/>
        </w:rPr>
        <w:t xml:space="preserve">όσεις να εξατομικεύονται και να </w:t>
      </w:r>
      <w:r w:rsidRPr="006B1BBE">
        <w:rPr>
          <w:rFonts w:ascii="Times New Roman" w:hAnsi="Times New Roman" w:cs="Times New Roman"/>
        </w:rPr>
        <w:t xml:space="preserve">τροποποιούνται κάθε 4 εβδομάδες έως 40 mg ημερησίως. Στη συνέχεια, ή η </w:t>
      </w:r>
      <w:r w:rsidR="008525D4" w:rsidRPr="006B1BBE">
        <w:rPr>
          <w:rFonts w:ascii="Times New Roman" w:hAnsi="Times New Roman" w:cs="Times New Roman"/>
        </w:rPr>
        <w:t xml:space="preserve">δοσολογία αυξάνεται στη </w:t>
      </w:r>
      <w:r w:rsidRPr="006B1BBE">
        <w:rPr>
          <w:rFonts w:ascii="Times New Roman" w:hAnsi="Times New Roman" w:cs="Times New Roman"/>
        </w:rPr>
        <w:t>μέγιστη τιμή των 80 mg ημερησίως ή χορηγ</w:t>
      </w:r>
      <w:r w:rsidR="008525D4" w:rsidRPr="006B1BBE">
        <w:rPr>
          <w:rFonts w:ascii="Times New Roman" w:hAnsi="Times New Roman" w:cs="Times New Roman"/>
        </w:rPr>
        <w:t xml:space="preserve">ούνται 40 mg ατορβαστατίνης μία </w:t>
      </w:r>
      <w:r w:rsidRPr="006B1BBE">
        <w:rPr>
          <w:rFonts w:ascii="Times New Roman" w:hAnsi="Times New Roman" w:cs="Times New Roman"/>
        </w:rPr>
        <w:t>φορά την ημέρα, σε συνδυασμό με κάποια ρητίνη ανταλλαγής ιόντων.</w:t>
      </w:r>
    </w:p>
    <w:p w:rsidR="00F457BF" w:rsidRPr="006B1BBE" w:rsidRDefault="00F457BF" w:rsidP="008525D4">
      <w:pPr>
        <w:spacing w:after="0" w:line="240" w:lineRule="auto"/>
        <w:jc w:val="both"/>
        <w:rPr>
          <w:rFonts w:ascii="Times New Roman" w:hAnsi="Times New Roman" w:cs="Times New Roman"/>
        </w:rPr>
      </w:pPr>
    </w:p>
    <w:p w:rsidR="00F457BF" w:rsidRPr="00941456" w:rsidRDefault="00F457BF" w:rsidP="008525D4">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Ομόζυγος οικογενής υπερχοληστερολαιμία</w:t>
      </w:r>
    </w:p>
    <w:p w:rsidR="00F457BF" w:rsidRPr="006B1BBE" w:rsidRDefault="00F457BF" w:rsidP="008525D4">
      <w:pPr>
        <w:spacing w:after="0" w:line="240" w:lineRule="auto"/>
        <w:jc w:val="both"/>
        <w:rPr>
          <w:rFonts w:ascii="Times New Roman" w:hAnsi="Times New Roman" w:cs="Times New Roman"/>
        </w:rPr>
      </w:pPr>
    </w:p>
    <w:p w:rsidR="00131F61" w:rsidRDefault="00131F61" w:rsidP="008525D4">
      <w:pPr>
        <w:spacing w:after="0" w:line="240" w:lineRule="auto"/>
        <w:jc w:val="both"/>
        <w:rPr>
          <w:rFonts w:ascii="Times New Roman" w:hAnsi="Times New Roman" w:cs="Times New Roman"/>
        </w:rPr>
      </w:pPr>
    </w:p>
    <w:p w:rsidR="00131F61" w:rsidRPr="006B1BBE" w:rsidRDefault="00131F61" w:rsidP="008525D4">
      <w:pPr>
        <w:spacing w:after="0" w:line="240" w:lineRule="auto"/>
        <w:jc w:val="both"/>
        <w:rPr>
          <w:rFonts w:ascii="Times New Roman" w:hAnsi="Times New Roman" w:cs="Times New Roman"/>
        </w:rPr>
      </w:pPr>
      <w:r w:rsidRPr="00131F61">
        <w:rPr>
          <w:rFonts w:ascii="Times New Roman" w:hAnsi="Times New Roman" w:cs="Times New Roman"/>
        </w:rPr>
        <w:t>Μόνο περιορισμένα δεδομένα είναι διαθέσιμα (βλέπε παράγραφο 5.1)</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Η </w:t>
      </w:r>
      <w:r w:rsidR="00131F61">
        <w:rPr>
          <w:rFonts w:ascii="Times New Roman" w:hAnsi="Times New Roman" w:cs="Times New Roman"/>
        </w:rPr>
        <w:t xml:space="preserve"> δόση </w:t>
      </w:r>
      <w:r w:rsidRPr="006B1BBE">
        <w:rPr>
          <w:rFonts w:ascii="Times New Roman" w:hAnsi="Times New Roman" w:cs="Times New Roman"/>
        </w:rPr>
        <w:t>της ατορβαστατίνης σε ασθενείς με ομόζυ</w:t>
      </w:r>
      <w:r w:rsidR="008525D4" w:rsidRPr="006B1BBE">
        <w:rPr>
          <w:rFonts w:ascii="Times New Roman" w:hAnsi="Times New Roman" w:cs="Times New Roman"/>
        </w:rPr>
        <w:t xml:space="preserve">γο οικογενή υπερχοληστερολαιμία </w:t>
      </w:r>
      <w:r w:rsidRPr="006B1BBE">
        <w:rPr>
          <w:rFonts w:ascii="Times New Roman" w:hAnsi="Times New Roman" w:cs="Times New Roman"/>
        </w:rPr>
        <w:t>είναι 10 έως 80 mg ημερησίως. Η ατορβαστατίνη πρ</w:t>
      </w:r>
      <w:r w:rsidR="008525D4" w:rsidRPr="006B1BBE">
        <w:rPr>
          <w:rFonts w:ascii="Times New Roman" w:hAnsi="Times New Roman" w:cs="Times New Roman"/>
        </w:rPr>
        <w:t xml:space="preserve">έπει να χορηγείται σ’ αυτούς ως </w:t>
      </w:r>
      <w:r w:rsidRPr="006B1BBE">
        <w:rPr>
          <w:rFonts w:ascii="Times New Roman" w:hAnsi="Times New Roman" w:cs="Times New Roman"/>
        </w:rPr>
        <w:t xml:space="preserve">συμπλήρωμα σε άλλες υπολιπιδαιμικές θεραπείες (π.χ. LDL αφαίρεση) ή όταν </w:t>
      </w:r>
      <w:r w:rsidR="008525D4" w:rsidRPr="006B1BBE">
        <w:rPr>
          <w:rFonts w:ascii="Times New Roman" w:hAnsi="Times New Roman" w:cs="Times New Roman"/>
        </w:rPr>
        <w:t xml:space="preserve">οι θεραπείες </w:t>
      </w:r>
      <w:r w:rsidRPr="006B1BBE">
        <w:rPr>
          <w:rFonts w:ascii="Times New Roman" w:hAnsi="Times New Roman" w:cs="Times New Roman"/>
        </w:rPr>
        <w:t>αυτές δεν είναι διαθέσιμες.</w:t>
      </w:r>
    </w:p>
    <w:p w:rsidR="00F457BF" w:rsidRPr="006B1BBE" w:rsidRDefault="00F457BF" w:rsidP="008525D4">
      <w:pPr>
        <w:spacing w:after="0" w:line="240" w:lineRule="auto"/>
        <w:jc w:val="both"/>
        <w:rPr>
          <w:rFonts w:ascii="Times New Roman" w:hAnsi="Times New Roman" w:cs="Times New Roman"/>
        </w:rPr>
      </w:pPr>
    </w:p>
    <w:p w:rsidR="00F457BF" w:rsidRPr="00941456" w:rsidRDefault="00F457BF" w:rsidP="008525D4">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Πρόληψη Καρδιαγγειακής Νόσου</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Στις μελέτες πρωτογενούς πρόληψης η δόση ήταν 10 mg/</w:t>
      </w:r>
      <w:r w:rsidR="008525D4" w:rsidRPr="006B1BBE">
        <w:rPr>
          <w:rFonts w:ascii="Times New Roman" w:hAnsi="Times New Roman" w:cs="Times New Roman"/>
        </w:rPr>
        <w:t xml:space="preserve">ημέρα. Υψηλότερες δόσεις μπορεί </w:t>
      </w:r>
      <w:r w:rsidRPr="006B1BBE">
        <w:rPr>
          <w:rFonts w:ascii="Times New Roman" w:hAnsi="Times New Roman" w:cs="Times New Roman"/>
        </w:rPr>
        <w:t>να είναι απαραίτητες ώστε να επιτευχθούν τα επίπεδα LD</w:t>
      </w:r>
      <w:r w:rsidR="008525D4" w:rsidRPr="006B1BBE">
        <w:rPr>
          <w:rFonts w:ascii="Times New Roman" w:hAnsi="Times New Roman" w:cs="Times New Roman"/>
        </w:rPr>
        <w:t xml:space="preserve">L-χοληστερόλης που προβλέπονται </w:t>
      </w:r>
      <w:r w:rsidRPr="006B1BBE">
        <w:rPr>
          <w:rFonts w:ascii="Times New Roman" w:hAnsi="Times New Roman" w:cs="Times New Roman"/>
        </w:rPr>
        <w:t>από τις τρέχουσες κατευθυντήριες οδηγίες.</w:t>
      </w:r>
    </w:p>
    <w:p w:rsidR="00F457BF" w:rsidRPr="006B1BBE" w:rsidRDefault="00F457BF" w:rsidP="008525D4">
      <w:pPr>
        <w:spacing w:after="0" w:line="240" w:lineRule="auto"/>
        <w:jc w:val="both"/>
        <w:rPr>
          <w:rFonts w:ascii="Times New Roman" w:hAnsi="Times New Roman" w:cs="Times New Roman"/>
        </w:rPr>
      </w:pPr>
    </w:p>
    <w:p w:rsidR="00941456" w:rsidRPr="0049241B" w:rsidRDefault="00FA6C0E" w:rsidP="008525D4">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Νεφρική δυσλειτουργία</w:t>
      </w:r>
    </w:p>
    <w:p w:rsidR="00941456" w:rsidRPr="0049241B" w:rsidRDefault="00941456" w:rsidP="008525D4">
      <w:pPr>
        <w:spacing w:after="0" w:line="240" w:lineRule="auto"/>
        <w:jc w:val="both"/>
        <w:rPr>
          <w:rFonts w:ascii="Times New Roman" w:hAnsi="Times New Roman" w:cs="Times New Roman"/>
          <w:u w:val="single"/>
        </w:rPr>
      </w:pPr>
    </w:p>
    <w:p w:rsidR="00FA6C0E" w:rsidRDefault="00FA6C0E" w:rsidP="008525D4">
      <w:pPr>
        <w:spacing w:after="0" w:line="240" w:lineRule="auto"/>
        <w:jc w:val="both"/>
        <w:rPr>
          <w:rFonts w:ascii="Times New Roman" w:hAnsi="Times New Roman" w:cs="Times New Roman"/>
        </w:rPr>
      </w:pPr>
      <w:r>
        <w:rPr>
          <w:rFonts w:ascii="Times New Roman" w:hAnsi="Times New Roman" w:cs="Times New Roman"/>
        </w:rPr>
        <w:t>Δ</w:t>
      </w:r>
      <w:r w:rsidRPr="00FA6C0E">
        <w:rPr>
          <w:rFonts w:ascii="Times New Roman" w:hAnsi="Times New Roman" w:cs="Times New Roman"/>
        </w:rPr>
        <w:t>εν χρειάζεται τροποποίηση της δόσης (βλέπε παράγραφο 4.4).</w:t>
      </w:r>
    </w:p>
    <w:p w:rsidR="00FA6C0E" w:rsidRPr="0049241B" w:rsidRDefault="00FA6C0E" w:rsidP="008525D4">
      <w:pPr>
        <w:spacing w:after="0" w:line="240" w:lineRule="auto"/>
        <w:jc w:val="both"/>
        <w:rPr>
          <w:rFonts w:ascii="Times New Roman" w:hAnsi="Times New Roman" w:cs="Times New Roman"/>
        </w:rPr>
      </w:pPr>
    </w:p>
    <w:p w:rsidR="00FA6C0E" w:rsidRPr="008D0E6E" w:rsidRDefault="00FA6C0E" w:rsidP="00FA6C0E">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Ηπατική δυσλειτουργία</w:t>
      </w:r>
    </w:p>
    <w:p w:rsidR="00941456" w:rsidRPr="008D0E6E" w:rsidRDefault="00941456" w:rsidP="00FA6C0E">
      <w:pPr>
        <w:spacing w:after="0" w:line="240" w:lineRule="auto"/>
        <w:jc w:val="both"/>
        <w:rPr>
          <w:rFonts w:ascii="Times New Roman" w:hAnsi="Times New Roman" w:cs="Times New Roman"/>
          <w:u w:val="single"/>
        </w:rPr>
      </w:pPr>
    </w:p>
    <w:p w:rsidR="00FA6C0E" w:rsidRPr="006B1BBE" w:rsidRDefault="00FA6C0E" w:rsidP="00FA6C0E">
      <w:pPr>
        <w:spacing w:after="0" w:line="240" w:lineRule="auto"/>
        <w:jc w:val="both"/>
        <w:rPr>
          <w:rFonts w:ascii="Times New Roman" w:hAnsi="Times New Roman" w:cs="Times New Roman"/>
        </w:rPr>
      </w:pPr>
      <w:r w:rsidRPr="00FA6C0E">
        <w:rPr>
          <w:rFonts w:ascii="Times New Roman" w:hAnsi="Times New Roman" w:cs="Times New Roman"/>
        </w:rPr>
        <w:t xml:space="preserve">Το </w:t>
      </w:r>
      <w:r w:rsidR="00BC1E58">
        <w:rPr>
          <w:rFonts w:ascii="Times New Roman" w:hAnsi="Times New Roman" w:cs="Times New Roman"/>
          <w:lang w:val="en-US"/>
        </w:rPr>
        <w:t>ZARASTIN</w:t>
      </w:r>
      <w:r w:rsidRPr="00FA6C0E">
        <w:rPr>
          <w:rFonts w:ascii="Times New Roman" w:hAnsi="Times New Roman" w:cs="Times New Roman"/>
        </w:rPr>
        <w:t xml:space="preserve"> θα πρέπει να χρησιμοποιείται με προσοχή σε ασθενείς με ηπατική δυσλειτουργία (βλέπε παραγράφους 4.4 και 4.5). Το </w:t>
      </w:r>
      <w:r w:rsidR="00BC1E58">
        <w:rPr>
          <w:rFonts w:ascii="Times New Roman" w:hAnsi="Times New Roman" w:cs="Times New Roman"/>
          <w:lang w:val="en-US"/>
        </w:rPr>
        <w:t>ZARASTIN</w:t>
      </w:r>
      <w:r w:rsidRPr="00900C58">
        <w:rPr>
          <w:rFonts w:ascii="Times New Roman" w:hAnsi="Times New Roman" w:cs="Times New Roman"/>
        </w:rPr>
        <w:t xml:space="preserve"> </w:t>
      </w:r>
      <w:r w:rsidRPr="00FA6C0E">
        <w:rPr>
          <w:rFonts w:ascii="Times New Roman" w:hAnsi="Times New Roman" w:cs="Times New Roman"/>
        </w:rPr>
        <w:t>αντεδείκνειται σε ασθενείς με ενεργό ηπατική νόσο (βλέπε παράγραφο 4.3).</w:t>
      </w:r>
    </w:p>
    <w:p w:rsidR="00F457BF" w:rsidRPr="006B1BBE" w:rsidRDefault="00F457BF" w:rsidP="008525D4">
      <w:pPr>
        <w:spacing w:after="0" w:line="240" w:lineRule="auto"/>
        <w:jc w:val="both"/>
        <w:rPr>
          <w:rFonts w:ascii="Times New Roman" w:hAnsi="Times New Roman" w:cs="Times New Roman"/>
        </w:rPr>
      </w:pPr>
    </w:p>
    <w:p w:rsidR="00F457BF" w:rsidRPr="00941456" w:rsidRDefault="00F457BF" w:rsidP="008525D4">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Χορήγηση σε ηλικιωμένους</w:t>
      </w:r>
    </w:p>
    <w:p w:rsidR="00F457BF" w:rsidRPr="006B1BBE" w:rsidRDefault="00F457BF" w:rsidP="008525D4">
      <w:pPr>
        <w:spacing w:after="0" w:line="240" w:lineRule="auto"/>
        <w:jc w:val="both"/>
        <w:rPr>
          <w:rFonts w:ascii="Times New Roman" w:hAnsi="Times New Roman" w:cs="Times New Roman"/>
          <w:u w:val="single"/>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αποτελεσματικότητα και η ασφάλεια του φαρμάκου σε ασθενείς ηλικίας μεγαλύτερης των</w:t>
      </w:r>
      <w:r w:rsidR="008525D4" w:rsidRPr="006B1BBE">
        <w:rPr>
          <w:rFonts w:ascii="Times New Roman" w:hAnsi="Times New Roman" w:cs="Times New Roman"/>
        </w:rPr>
        <w:t xml:space="preserve"> </w:t>
      </w:r>
      <w:r w:rsidRPr="006B1BBE">
        <w:rPr>
          <w:rFonts w:ascii="Times New Roman" w:hAnsi="Times New Roman" w:cs="Times New Roman"/>
        </w:rPr>
        <w:t>70 ετών, όταν χρησιμοποιούνται οι συνιστώμενες δόσεις,</w:t>
      </w:r>
      <w:r w:rsidR="008525D4" w:rsidRPr="006B1BBE">
        <w:rPr>
          <w:rFonts w:ascii="Times New Roman" w:hAnsi="Times New Roman" w:cs="Times New Roman"/>
        </w:rPr>
        <w:t xml:space="preserve"> είναι παρόμοιες με εκείνες που </w:t>
      </w:r>
      <w:r w:rsidRPr="006B1BBE">
        <w:rPr>
          <w:rFonts w:ascii="Times New Roman" w:hAnsi="Times New Roman" w:cs="Times New Roman"/>
        </w:rPr>
        <w:t>παρατηρήθηκαν στο γενικό πληθυσμό.</w:t>
      </w:r>
    </w:p>
    <w:p w:rsidR="00F457BF" w:rsidRPr="006B1BBE" w:rsidRDefault="00F457BF" w:rsidP="008525D4">
      <w:pPr>
        <w:spacing w:after="0" w:line="240" w:lineRule="auto"/>
        <w:jc w:val="both"/>
        <w:rPr>
          <w:rFonts w:ascii="Times New Roman" w:hAnsi="Times New Roman" w:cs="Times New Roman"/>
        </w:rPr>
      </w:pPr>
    </w:p>
    <w:p w:rsidR="00F457BF" w:rsidRPr="00941456" w:rsidRDefault="00F457BF" w:rsidP="008525D4">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Χορήγηση σε παιδιά</w:t>
      </w:r>
    </w:p>
    <w:p w:rsidR="00941456" w:rsidRPr="0049241B" w:rsidRDefault="00941456" w:rsidP="008525D4">
      <w:pPr>
        <w:spacing w:after="0" w:line="240" w:lineRule="auto"/>
        <w:jc w:val="both"/>
        <w:rPr>
          <w:rFonts w:ascii="Times New Roman" w:hAnsi="Times New Roman" w:cs="Times New Roman"/>
        </w:rPr>
      </w:pPr>
    </w:p>
    <w:p w:rsidR="00FA6C0E" w:rsidRPr="00900C58" w:rsidRDefault="00FA6C0E" w:rsidP="008525D4">
      <w:pPr>
        <w:spacing w:after="0" w:line="240" w:lineRule="auto"/>
        <w:jc w:val="both"/>
        <w:rPr>
          <w:rFonts w:ascii="Times New Roman" w:hAnsi="Times New Roman" w:cs="Times New Roman"/>
        </w:rPr>
      </w:pPr>
      <w:r w:rsidRPr="00900C58">
        <w:rPr>
          <w:rFonts w:ascii="Times New Roman" w:hAnsi="Times New Roman" w:cs="Times New Roman"/>
        </w:rPr>
        <w:t xml:space="preserve">Η παιδιατρική χρήση πρέπει να συνιστάται μόνο από τους ειδικούς. Η εμπειρία στα παιδιά είναι περιορισμένη σε ένα μικρό αριθμό ασθενών (ηλικίας 4 – 17 ετών) με σοβαρές δυσλιπιδαιμίες, όπως η ομόζυγος οικογενής υπερχοληστερολαιμία. Η συνιστώμενη αρχική δοσολογία σε αυτή την πληθυσμιακή ομάδα είναι 10 </w:t>
      </w:r>
      <w:r w:rsidRPr="00FA6C0E">
        <w:rPr>
          <w:rFonts w:ascii="Times New Roman" w:hAnsi="Times New Roman" w:cs="Times New Roman"/>
          <w:lang w:val="en-US"/>
        </w:rPr>
        <w:t>mg</w:t>
      </w:r>
      <w:r w:rsidRPr="00900C58">
        <w:rPr>
          <w:rFonts w:ascii="Times New Roman" w:hAnsi="Times New Roman" w:cs="Times New Roman"/>
        </w:rPr>
        <w:t xml:space="preserve"> ατορβαστατίνης ημερησίως. Η δόση μπορεί να αυξηθεί μέχρι 80 </w:t>
      </w:r>
      <w:r w:rsidRPr="00FA6C0E">
        <w:rPr>
          <w:rFonts w:ascii="Times New Roman" w:hAnsi="Times New Roman" w:cs="Times New Roman"/>
          <w:lang w:val="en-US"/>
        </w:rPr>
        <w:t>mg</w:t>
      </w:r>
      <w:r w:rsidRPr="00900C58">
        <w:rPr>
          <w:rFonts w:ascii="Times New Roman" w:hAnsi="Times New Roman" w:cs="Times New Roman"/>
        </w:rPr>
        <w:t xml:space="preserve"> ημερησίως, σύμφωνα με την ανταπόκριση και την ανεκτικότητα του ασθενούς. Τα δεδομένα ασφάλειας ως προς την ανάπτυξη σ’ αυτό τον πληθυσμό ασθενών δεν έχουν αξιολογηθεί.</w:t>
      </w:r>
    </w:p>
    <w:p w:rsidR="00FA6C0E" w:rsidRPr="00900C58" w:rsidRDefault="00FA6C0E" w:rsidP="008525D4">
      <w:pPr>
        <w:spacing w:after="0" w:line="240" w:lineRule="auto"/>
        <w:jc w:val="both"/>
        <w:rPr>
          <w:rFonts w:ascii="Times New Roman" w:hAnsi="Times New Roman" w:cs="Times New Roman"/>
        </w:rPr>
      </w:pPr>
    </w:p>
    <w:p w:rsidR="00FA6C0E" w:rsidRPr="00941456" w:rsidRDefault="00FA6C0E" w:rsidP="00FA6C0E">
      <w:pPr>
        <w:spacing w:after="0" w:line="240" w:lineRule="auto"/>
        <w:jc w:val="both"/>
        <w:rPr>
          <w:rFonts w:ascii="Times New Roman" w:hAnsi="Times New Roman" w:cs="Times New Roman"/>
          <w:u w:val="single"/>
        </w:rPr>
      </w:pPr>
      <w:r w:rsidRPr="00941456">
        <w:rPr>
          <w:rFonts w:ascii="Times New Roman" w:hAnsi="Times New Roman" w:cs="Times New Roman"/>
          <w:u w:val="single"/>
        </w:rPr>
        <w:t>Τρόπος χορήγησης</w:t>
      </w:r>
    </w:p>
    <w:p w:rsidR="00FA6C0E" w:rsidRPr="00900C58" w:rsidRDefault="00FA6C0E" w:rsidP="00FA6C0E">
      <w:pPr>
        <w:spacing w:after="0" w:line="240" w:lineRule="auto"/>
        <w:jc w:val="both"/>
        <w:rPr>
          <w:rFonts w:ascii="Times New Roman" w:hAnsi="Times New Roman" w:cs="Times New Roman"/>
        </w:rPr>
      </w:pPr>
    </w:p>
    <w:p w:rsidR="00FA6C0E" w:rsidRPr="00900C58" w:rsidRDefault="00FA6C0E" w:rsidP="00FA6C0E">
      <w:pPr>
        <w:spacing w:after="0" w:line="240" w:lineRule="auto"/>
        <w:jc w:val="both"/>
        <w:rPr>
          <w:rFonts w:ascii="Times New Roman" w:hAnsi="Times New Roman" w:cs="Times New Roman"/>
        </w:rPr>
      </w:pPr>
      <w:r w:rsidRPr="00900C58">
        <w:rPr>
          <w:rFonts w:ascii="Times New Roman" w:hAnsi="Times New Roman" w:cs="Times New Roman"/>
        </w:rPr>
        <w:t xml:space="preserve">Το </w:t>
      </w:r>
      <w:r w:rsidR="00BC1E58">
        <w:rPr>
          <w:rFonts w:ascii="Times New Roman" w:hAnsi="Times New Roman" w:cs="Times New Roman"/>
          <w:lang w:val="en-US"/>
        </w:rPr>
        <w:t>ZARASTIN</w:t>
      </w:r>
      <w:r w:rsidRPr="00900C58">
        <w:rPr>
          <w:rFonts w:ascii="Times New Roman" w:hAnsi="Times New Roman" w:cs="Times New Roman"/>
        </w:rPr>
        <w:t xml:space="preserve"> είναι για από του στόματος χορήγηση. Κάθε ημερήσια δόση ατορβαστατίνης πρέπει να χορηγείται εφάπαξ και μπορεί να λαμβάνεται οποιαδήποτε ώρα της ημέρας, με ή χωρίς τροφή.</w:t>
      </w:r>
    </w:p>
    <w:p w:rsidR="00FA6C0E" w:rsidRPr="00FA6C0E" w:rsidRDefault="00FA6C0E" w:rsidP="008525D4">
      <w:pPr>
        <w:spacing w:after="0" w:line="240" w:lineRule="auto"/>
        <w:jc w:val="both"/>
        <w:rPr>
          <w:rFonts w:ascii="Times New Roman" w:hAnsi="Times New Roman" w:cs="Times New Roman"/>
        </w:rPr>
      </w:pPr>
    </w:p>
    <w:p w:rsidR="00F457BF" w:rsidRPr="006B1BBE" w:rsidRDefault="00F457BF" w:rsidP="008525D4">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t>Αντενδείξεις</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Το </w:t>
      </w:r>
      <w:r w:rsidR="00BC1E58">
        <w:rPr>
          <w:rFonts w:ascii="Times New Roman" w:hAnsi="Times New Roman" w:cs="Times New Roman"/>
        </w:rPr>
        <w:t>ZARASTIN</w:t>
      </w:r>
      <w:r w:rsidRPr="006B1BBE">
        <w:rPr>
          <w:rFonts w:ascii="Times New Roman" w:hAnsi="Times New Roman" w:cs="Times New Roman"/>
        </w:rPr>
        <w:t xml:space="preserve"> αντενδείκνυται σε ασθενείς:</w:t>
      </w:r>
    </w:p>
    <w:p w:rsidR="00F457BF" w:rsidRPr="006B1BBE"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με υπερευαισθησία στη δραστική ουσία ή σε κάποιο από τα έκδοχα αυτού του</w:t>
      </w:r>
      <w:r w:rsidR="008525D4" w:rsidRPr="006B1BBE">
        <w:rPr>
          <w:rFonts w:ascii="Times New Roman" w:hAnsi="Times New Roman" w:cs="Times New Roman"/>
        </w:rPr>
        <w:t xml:space="preserve"> </w:t>
      </w:r>
      <w:r w:rsidR="009A12DA" w:rsidRPr="00900C58">
        <w:rPr>
          <w:rFonts w:ascii="Times New Roman" w:hAnsi="Times New Roman" w:cs="Times New Roman"/>
        </w:rPr>
        <w:t xml:space="preserve"> </w:t>
      </w:r>
      <w:r w:rsidR="009A12DA">
        <w:rPr>
          <w:rFonts w:ascii="Times New Roman" w:hAnsi="Times New Roman" w:cs="Times New Roman"/>
        </w:rPr>
        <w:t>φαρμακευτικού προϊόντος.</w:t>
      </w:r>
    </w:p>
    <w:p w:rsidR="00F457BF" w:rsidRPr="006B1BBE"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με ενεργό ηπατική νόσο ή ανεξήγητη, επιμένουσα αύξηση των τρανσαμινασών του</w:t>
      </w:r>
      <w:r w:rsidR="008525D4" w:rsidRPr="006B1BBE">
        <w:rPr>
          <w:rFonts w:ascii="Times New Roman" w:hAnsi="Times New Roman" w:cs="Times New Roman"/>
        </w:rPr>
        <w:t xml:space="preserve"> </w:t>
      </w:r>
      <w:r w:rsidRPr="006B1BBE">
        <w:rPr>
          <w:rFonts w:ascii="Times New Roman" w:hAnsi="Times New Roman" w:cs="Times New Roman"/>
        </w:rPr>
        <w:t>ορού μεγαλύτερη από το 3-πλάσιο των ανώτατων φυσιολογικών ορίων</w:t>
      </w:r>
    </w:p>
    <w:p w:rsidR="00F457BF" w:rsidRPr="006B1BBE"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κατά τη διάρκεια της κύησης</w:t>
      </w:r>
    </w:p>
    <w:p w:rsidR="00F457BF" w:rsidRPr="006B1BBE"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κατά τη διάρκεια του θηλασμού και σε γυναίκες αναπαραγωγικής ηλικίας που δεν</w:t>
      </w:r>
      <w:r w:rsidR="008525D4" w:rsidRPr="006B1BBE">
        <w:rPr>
          <w:rFonts w:ascii="Times New Roman" w:hAnsi="Times New Roman" w:cs="Times New Roman"/>
        </w:rPr>
        <w:t xml:space="preserve"> </w:t>
      </w:r>
      <w:r w:rsidRPr="006B1BBE">
        <w:rPr>
          <w:rFonts w:ascii="Times New Roman" w:hAnsi="Times New Roman" w:cs="Times New Roman"/>
        </w:rPr>
        <w:t>χρησιμοποιούν τα κατάλληλα αντισυλληπτικά μέτρα (βλέπε Παράγραφο 4.6)</w:t>
      </w:r>
    </w:p>
    <w:p w:rsidR="00F457BF" w:rsidRPr="006B1BBE" w:rsidRDefault="00F457BF" w:rsidP="008525D4">
      <w:pPr>
        <w:spacing w:after="0" w:line="240" w:lineRule="auto"/>
        <w:ind w:left="720"/>
        <w:jc w:val="both"/>
        <w:rPr>
          <w:rFonts w:ascii="Times New Roman" w:hAnsi="Times New Roman" w:cs="Times New Roman"/>
        </w:rPr>
      </w:pPr>
    </w:p>
    <w:p w:rsidR="00F457BF" w:rsidRPr="006B1BBE" w:rsidRDefault="00F457BF" w:rsidP="008525D4">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t>Ειδικές προειδοποιήσεις και προφυλάξεις κατά τη χρήση</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Επίδραση στο ήπαρ</w:t>
      </w:r>
    </w:p>
    <w:p w:rsidR="00F457BF" w:rsidRPr="006B1BBE" w:rsidRDefault="00F457B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Οι ηπατικές δοκιμασίες πρέπει να εκτελούνται πριν από τ</w:t>
      </w:r>
      <w:r w:rsidR="008525D4" w:rsidRPr="006B1BBE">
        <w:rPr>
          <w:rFonts w:ascii="Times New Roman" w:hAnsi="Times New Roman" w:cs="Times New Roman"/>
        </w:rPr>
        <w:t xml:space="preserve">ην έναρξη της θεραπείας και στη </w:t>
      </w:r>
      <w:r w:rsidRPr="006B1BBE">
        <w:rPr>
          <w:rFonts w:ascii="Times New Roman" w:hAnsi="Times New Roman" w:cs="Times New Roman"/>
        </w:rPr>
        <w:t>συνέχεια περιοδικά. Οι ασθενείς που παρουσιάζουν οποιοδ</w:t>
      </w:r>
      <w:r w:rsidR="008525D4" w:rsidRPr="006B1BBE">
        <w:rPr>
          <w:rFonts w:ascii="Times New Roman" w:hAnsi="Times New Roman" w:cs="Times New Roman"/>
        </w:rPr>
        <w:t xml:space="preserve">ήποτε κλινικό σημείο ή σύμπτωμα </w:t>
      </w:r>
      <w:r w:rsidRPr="006B1BBE">
        <w:rPr>
          <w:rFonts w:ascii="Times New Roman" w:hAnsi="Times New Roman" w:cs="Times New Roman"/>
        </w:rPr>
        <w:t>ενδεικτικό ηπατικής βλάβης θα πρέπει να υποβάλλονται σε έ</w:t>
      </w:r>
      <w:r w:rsidR="008525D4" w:rsidRPr="006B1BBE">
        <w:rPr>
          <w:rFonts w:ascii="Times New Roman" w:hAnsi="Times New Roman" w:cs="Times New Roman"/>
        </w:rPr>
        <w:t xml:space="preserve">λεγχο της ηπατικής λειτουργίας. </w:t>
      </w:r>
      <w:r w:rsidRPr="006B1BBE">
        <w:rPr>
          <w:rFonts w:ascii="Times New Roman" w:hAnsi="Times New Roman" w:cs="Times New Roman"/>
        </w:rPr>
        <w:t>Οι ασθενείς με αυξημένα επίπεδα τρανσαμινασών θα πρ</w:t>
      </w:r>
      <w:r w:rsidR="008525D4" w:rsidRPr="006B1BBE">
        <w:rPr>
          <w:rFonts w:ascii="Times New Roman" w:hAnsi="Times New Roman" w:cs="Times New Roman"/>
        </w:rPr>
        <w:t xml:space="preserve">έπει να παρακολουθούνται μέχρις </w:t>
      </w:r>
      <w:r w:rsidRPr="006B1BBE">
        <w:rPr>
          <w:rFonts w:ascii="Times New Roman" w:hAnsi="Times New Roman" w:cs="Times New Roman"/>
        </w:rPr>
        <w:t>ότου οι διαταραχές αποκατασταθούν. Αν μία αύξη</w:t>
      </w:r>
      <w:r w:rsidR="008525D4" w:rsidRPr="006B1BBE">
        <w:rPr>
          <w:rFonts w:ascii="Times New Roman" w:hAnsi="Times New Roman" w:cs="Times New Roman"/>
        </w:rPr>
        <w:t xml:space="preserve">ση των τιμών των τρανσαμινασών, </w:t>
      </w:r>
      <w:r w:rsidRPr="006B1BBE">
        <w:rPr>
          <w:rFonts w:ascii="Times New Roman" w:hAnsi="Times New Roman" w:cs="Times New Roman"/>
        </w:rPr>
        <w:t>μεγαλύτερη του 3πλάσιου των ανώτερων φυσιολογικών τι</w:t>
      </w:r>
      <w:r w:rsidR="008525D4" w:rsidRPr="006B1BBE">
        <w:rPr>
          <w:rFonts w:ascii="Times New Roman" w:hAnsi="Times New Roman" w:cs="Times New Roman"/>
        </w:rPr>
        <w:t>μών</w:t>
      </w:r>
      <w:r w:rsidR="009A12DA">
        <w:rPr>
          <w:rFonts w:ascii="Times New Roman" w:hAnsi="Times New Roman" w:cs="Times New Roman"/>
        </w:rPr>
        <w:t xml:space="preserve"> </w:t>
      </w:r>
      <w:r w:rsidR="009A12DA" w:rsidRPr="009A12DA">
        <w:rPr>
          <w:rFonts w:ascii="Times New Roman" w:hAnsi="Times New Roman" w:cs="Times New Roman"/>
        </w:rPr>
        <w:t>(ULN)</w:t>
      </w:r>
      <w:r w:rsidR="008525D4" w:rsidRPr="006B1BBE">
        <w:rPr>
          <w:rFonts w:ascii="Times New Roman" w:hAnsi="Times New Roman" w:cs="Times New Roman"/>
        </w:rPr>
        <w:t xml:space="preserve"> επιμένει, συνιστάται μείωση </w:t>
      </w:r>
      <w:r w:rsidRPr="006B1BBE">
        <w:rPr>
          <w:rFonts w:ascii="Times New Roman" w:hAnsi="Times New Roman" w:cs="Times New Roman"/>
        </w:rPr>
        <w:t xml:space="preserve">της δόσης ή διακοπή της χορήγησης του </w:t>
      </w:r>
      <w:r w:rsidR="00BC1E58">
        <w:rPr>
          <w:rFonts w:ascii="Times New Roman" w:hAnsi="Times New Roman" w:cs="Times New Roman"/>
        </w:rPr>
        <w:t>ZARASTIN</w:t>
      </w:r>
      <w:r w:rsidRPr="006B1BBE">
        <w:rPr>
          <w:rFonts w:ascii="Times New Roman" w:hAnsi="Times New Roman" w:cs="Times New Roman"/>
        </w:rPr>
        <w:t xml:space="preserve"> (βλέπε Παράγραφο 4.8).</w:t>
      </w:r>
    </w:p>
    <w:p w:rsidR="0078312B" w:rsidRPr="006B1BBE" w:rsidRDefault="0078312B"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Το </w:t>
      </w:r>
      <w:r w:rsidR="00BC1E58">
        <w:rPr>
          <w:rFonts w:ascii="Times New Roman" w:hAnsi="Times New Roman" w:cs="Times New Roman"/>
        </w:rPr>
        <w:t>ZARASTIN</w:t>
      </w:r>
      <w:r w:rsidRPr="006B1BBE">
        <w:rPr>
          <w:rFonts w:ascii="Times New Roman" w:hAnsi="Times New Roman" w:cs="Times New Roman"/>
        </w:rPr>
        <w:t xml:space="preserve"> πρέπει να χρησιμοποιείται με προσοχή σε ασθενείς που καταναλώνουν σημαντικές</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ποσότητες οινοπνεύματος ή/και έχουν ιστορικό ηπατικής νόσου.</w:t>
      </w:r>
    </w:p>
    <w:p w:rsidR="0078312B" w:rsidRPr="006B1BBE" w:rsidRDefault="0078312B"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Πρόληψη Αγγειακού Εγκεφαλικού Επεισοδίου με Eπιθετική Μείωση των Επιπέδων</w:t>
      </w:r>
    </w:p>
    <w:p w:rsidR="00F457BF" w:rsidRPr="006B1BBE" w:rsidRDefault="00F457BF" w:rsidP="008525D4">
      <w:pPr>
        <w:spacing w:after="0" w:line="240" w:lineRule="auto"/>
        <w:jc w:val="both"/>
        <w:rPr>
          <w:rFonts w:ascii="Times New Roman" w:hAnsi="Times New Roman" w:cs="Times New Roman"/>
          <w:u w:val="single"/>
          <w:lang w:val="en-US"/>
        </w:rPr>
      </w:pPr>
      <w:r w:rsidRPr="006B1BBE">
        <w:rPr>
          <w:rFonts w:ascii="Times New Roman" w:hAnsi="Times New Roman" w:cs="Times New Roman"/>
          <w:u w:val="single"/>
        </w:rPr>
        <w:t>Χοληστερόλης</w:t>
      </w:r>
      <w:r w:rsidR="008525D4" w:rsidRPr="006B1BBE">
        <w:rPr>
          <w:rFonts w:ascii="Times New Roman" w:hAnsi="Times New Roman" w:cs="Times New Roman"/>
          <w:u w:val="single"/>
          <w:lang w:val="en-US"/>
        </w:rPr>
        <w:t xml:space="preserve"> </w:t>
      </w:r>
      <w:r w:rsidRPr="006B1BBE">
        <w:rPr>
          <w:rFonts w:ascii="Times New Roman" w:hAnsi="Times New Roman" w:cs="Times New Roman"/>
          <w:u w:val="single"/>
          <w:lang w:val="en-US"/>
        </w:rPr>
        <w:t>(Stroke Prevention by Aggressive Reduction in Cholesterol Levels - SPARCL)</w:t>
      </w:r>
    </w:p>
    <w:p w:rsidR="0078312B" w:rsidRPr="006B1BBE" w:rsidRDefault="0078312B" w:rsidP="008525D4">
      <w:pPr>
        <w:spacing w:after="0" w:line="240" w:lineRule="auto"/>
        <w:jc w:val="both"/>
        <w:rPr>
          <w:rFonts w:ascii="Times New Roman" w:hAnsi="Times New Roman" w:cs="Times New Roman"/>
          <w:lang w:val="en-US"/>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Σε μια post-hoc ανάλυση υποκατηγοριών αγγειακού εγκε</w:t>
      </w:r>
      <w:r w:rsidR="008525D4" w:rsidRPr="006B1BBE">
        <w:rPr>
          <w:rFonts w:ascii="Times New Roman" w:hAnsi="Times New Roman" w:cs="Times New Roman"/>
        </w:rPr>
        <w:t xml:space="preserve">φαλικού επεισοδίου, σε ασθενείς </w:t>
      </w:r>
      <w:r w:rsidRPr="006B1BBE">
        <w:rPr>
          <w:rFonts w:ascii="Times New Roman" w:hAnsi="Times New Roman" w:cs="Times New Roman"/>
        </w:rPr>
        <w:t xml:space="preserve">χωρίς στεφανιαία νόσο </w:t>
      </w:r>
      <w:r w:rsidR="009A12DA" w:rsidRPr="009A12DA">
        <w:rPr>
          <w:rFonts w:ascii="Times New Roman" w:hAnsi="Times New Roman" w:cs="Times New Roman"/>
        </w:rPr>
        <w:t>(CHD)</w:t>
      </w:r>
      <w:r w:rsidR="009A12DA">
        <w:rPr>
          <w:rFonts w:ascii="Times New Roman" w:hAnsi="Times New Roman" w:cs="Times New Roman"/>
        </w:rPr>
        <w:t xml:space="preserve"> </w:t>
      </w:r>
      <w:r w:rsidRPr="006B1BBE">
        <w:rPr>
          <w:rFonts w:ascii="Times New Roman" w:hAnsi="Times New Roman" w:cs="Times New Roman"/>
        </w:rPr>
        <w:t xml:space="preserve">που είχαν υποστεί πρόσφατα </w:t>
      </w:r>
      <w:r w:rsidR="008525D4" w:rsidRPr="006B1BBE">
        <w:rPr>
          <w:rFonts w:ascii="Times New Roman" w:hAnsi="Times New Roman" w:cs="Times New Roman"/>
        </w:rPr>
        <w:t xml:space="preserve">αγγειακό εγκεφαλικό επεισόδιο ή </w:t>
      </w:r>
      <w:r w:rsidRPr="006B1BBE">
        <w:rPr>
          <w:rFonts w:ascii="Times New Roman" w:hAnsi="Times New Roman" w:cs="Times New Roman"/>
        </w:rPr>
        <w:t>παροδικό ισχαιμικό</w:t>
      </w:r>
      <w:r w:rsidR="009A12DA">
        <w:rPr>
          <w:rFonts w:ascii="Times New Roman" w:hAnsi="Times New Roman" w:cs="Times New Roman"/>
        </w:rPr>
        <w:t xml:space="preserve"> </w:t>
      </w:r>
      <w:r w:rsidR="009A12DA" w:rsidRPr="009A12DA">
        <w:rPr>
          <w:rFonts w:ascii="Times New Roman" w:hAnsi="Times New Roman" w:cs="Times New Roman"/>
        </w:rPr>
        <w:t>αγγειακό εγκεφαλικό</w:t>
      </w:r>
      <w:r w:rsidRPr="006B1BBE">
        <w:rPr>
          <w:rFonts w:ascii="Times New Roman" w:hAnsi="Times New Roman" w:cs="Times New Roman"/>
        </w:rPr>
        <w:t xml:space="preserve"> επεισόδιο</w:t>
      </w:r>
      <w:r w:rsidR="009A12DA" w:rsidRPr="009A12DA">
        <w:rPr>
          <w:rFonts w:ascii="Times New Roman" w:hAnsi="Times New Roman" w:cs="Times New Roman"/>
        </w:rPr>
        <w:t>(TIA)</w:t>
      </w:r>
      <w:r w:rsidRPr="006B1BBE">
        <w:rPr>
          <w:rFonts w:ascii="Times New Roman" w:hAnsi="Times New Roman" w:cs="Times New Roman"/>
        </w:rPr>
        <w:t>,υπήρξε μεγαλύτερη σ</w:t>
      </w:r>
      <w:r w:rsidR="008525D4" w:rsidRPr="006B1BBE">
        <w:rPr>
          <w:rFonts w:ascii="Times New Roman" w:hAnsi="Times New Roman" w:cs="Times New Roman"/>
        </w:rPr>
        <w:t xml:space="preserve">υχνότητα εμφάνισης αιμορραγικού </w:t>
      </w:r>
      <w:r w:rsidRPr="006B1BBE">
        <w:rPr>
          <w:rFonts w:ascii="Times New Roman" w:hAnsi="Times New Roman" w:cs="Times New Roman"/>
        </w:rPr>
        <w:t>αγγειακού εγκεφαλικού επεισοδίου σε ασθενείς οι οποίοι ξεκίνησαν θεραπεία με</w:t>
      </w:r>
      <w:r w:rsidR="008525D4" w:rsidRPr="006B1BBE">
        <w:rPr>
          <w:rFonts w:ascii="Times New Roman" w:hAnsi="Times New Roman" w:cs="Times New Roman"/>
        </w:rPr>
        <w:t xml:space="preserve"> </w:t>
      </w:r>
      <w:r w:rsidRPr="006B1BBE">
        <w:rPr>
          <w:rFonts w:ascii="Times New Roman" w:hAnsi="Times New Roman" w:cs="Times New Roman"/>
        </w:rPr>
        <w:t>ατορβαστατίνη 80 mg συγκριτικά με εικονικό φάρ</w:t>
      </w:r>
      <w:r w:rsidR="008525D4" w:rsidRPr="006B1BBE">
        <w:rPr>
          <w:rFonts w:ascii="Times New Roman" w:hAnsi="Times New Roman" w:cs="Times New Roman"/>
        </w:rPr>
        <w:t xml:space="preserve">μακο. Ο αυξημένος κίνδυνος ήταν </w:t>
      </w:r>
      <w:r w:rsidRPr="006B1BBE">
        <w:rPr>
          <w:rFonts w:ascii="Times New Roman" w:hAnsi="Times New Roman" w:cs="Times New Roman"/>
        </w:rPr>
        <w:t xml:space="preserve">ιδιαίτερα εμφανής σε ασθενείς με προηγούμενο </w:t>
      </w:r>
      <w:r w:rsidR="008525D4" w:rsidRPr="006B1BBE">
        <w:rPr>
          <w:rFonts w:ascii="Times New Roman" w:hAnsi="Times New Roman" w:cs="Times New Roman"/>
        </w:rPr>
        <w:t xml:space="preserve">ιστορικό αιμορραγικού αγγειακού </w:t>
      </w:r>
      <w:r w:rsidRPr="006B1BBE">
        <w:rPr>
          <w:rFonts w:ascii="Times New Roman" w:hAnsi="Times New Roman" w:cs="Times New Roman"/>
        </w:rPr>
        <w:t xml:space="preserve">εγκεφαλικού επεισοδίου ή κενοχωριώδους εμφράκτου κατά </w:t>
      </w:r>
      <w:r w:rsidR="008525D4" w:rsidRPr="006B1BBE">
        <w:rPr>
          <w:rFonts w:ascii="Times New Roman" w:hAnsi="Times New Roman" w:cs="Times New Roman"/>
        </w:rPr>
        <w:t xml:space="preserve">την εισαγωγή στην μελέτη. Στους </w:t>
      </w:r>
      <w:r w:rsidRPr="006B1BBE">
        <w:rPr>
          <w:rFonts w:ascii="Times New Roman" w:hAnsi="Times New Roman" w:cs="Times New Roman"/>
        </w:rPr>
        <w:t>ασθενείς με προηγούμενο ιστορικό αιμορραγικού αγγε</w:t>
      </w:r>
      <w:r w:rsidR="008525D4" w:rsidRPr="006B1BBE">
        <w:rPr>
          <w:rFonts w:ascii="Times New Roman" w:hAnsi="Times New Roman" w:cs="Times New Roman"/>
        </w:rPr>
        <w:t>ιακού εγκεφαλικού επεισοδίου</w:t>
      </w:r>
      <w:r w:rsidR="001737CF">
        <w:rPr>
          <w:rFonts w:ascii="Times New Roman" w:hAnsi="Times New Roman" w:cs="Times New Roman"/>
        </w:rPr>
        <w:t xml:space="preserve"> ή κενοχωριώδους εμφράκτου</w:t>
      </w:r>
      <w:r w:rsidR="008525D4" w:rsidRPr="006B1BBE">
        <w:rPr>
          <w:rFonts w:ascii="Times New Roman" w:hAnsi="Times New Roman" w:cs="Times New Roman"/>
        </w:rPr>
        <w:t xml:space="preserve">, η </w:t>
      </w:r>
      <w:r w:rsidRPr="006B1BBE">
        <w:rPr>
          <w:rFonts w:ascii="Times New Roman" w:hAnsi="Times New Roman" w:cs="Times New Roman"/>
        </w:rPr>
        <w:t xml:space="preserve">αναλογία μεταξύ κίνδυνου και οφέλους της ατορβαστατίνης </w:t>
      </w:r>
      <w:r w:rsidR="008525D4" w:rsidRPr="006B1BBE">
        <w:rPr>
          <w:rFonts w:ascii="Times New Roman" w:hAnsi="Times New Roman" w:cs="Times New Roman"/>
        </w:rPr>
        <w:t xml:space="preserve">80 mg είναι απροσδιόριστη και ο </w:t>
      </w:r>
      <w:r w:rsidRPr="006B1BBE">
        <w:rPr>
          <w:rFonts w:ascii="Times New Roman" w:hAnsi="Times New Roman" w:cs="Times New Roman"/>
        </w:rPr>
        <w:t>δυνητικός κίνδυνος αιμορραγικού αγγειακού εγκεφαλι</w:t>
      </w:r>
      <w:r w:rsidR="008525D4" w:rsidRPr="006B1BBE">
        <w:rPr>
          <w:rFonts w:ascii="Times New Roman" w:hAnsi="Times New Roman" w:cs="Times New Roman"/>
        </w:rPr>
        <w:t xml:space="preserve">κού επεισοδίου πρέπει να ληφθεί </w:t>
      </w:r>
      <w:r w:rsidRPr="006B1BBE">
        <w:rPr>
          <w:rFonts w:ascii="Times New Roman" w:hAnsi="Times New Roman" w:cs="Times New Roman"/>
        </w:rPr>
        <w:t>προσεκτικά υπόψη πριν την έναρξη της θεραπείας (βλέπε Παράγραφο 5.1)</w:t>
      </w:r>
      <w:r w:rsidR="009A12DA">
        <w:rPr>
          <w:rFonts w:ascii="Times New Roman" w:hAnsi="Times New Roman" w:cs="Times New Roman"/>
        </w:rPr>
        <w:t xml:space="preserve"> </w:t>
      </w:r>
    </w:p>
    <w:p w:rsidR="0078312B" w:rsidRPr="006B1BBE" w:rsidRDefault="0078312B"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Επίδραση στους σκελετικούς μυς</w:t>
      </w:r>
    </w:p>
    <w:p w:rsidR="0078312B" w:rsidRPr="006B1BBE" w:rsidRDefault="0078312B"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ατορβαστατίνη, όπως και άλλοι αναστολείς της</w:t>
      </w:r>
      <w:r w:rsidR="008525D4" w:rsidRPr="006B1BBE">
        <w:rPr>
          <w:rFonts w:ascii="Times New Roman" w:hAnsi="Times New Roman" w:cs="Times New Roman"/>
        </w:rPr>
        <w:t xml:space="preserve"> HMG-CoA αναγωγάσης, μπορεί, σε </w:t>
      </w:r>
      <w:r w:rsidRPr="006B1BBE">
        <w:rPr>
          <w:rFonts w:ascii="Times New Roman" w:hAnsi="Times New Roman" w:cs="Times New Roman"/>
        </w:rPr>
        <w:t>σπάνιες περιπτώσεις, να επιδράσει στους σκελετικούς</w:t>
      </w:r>
      <w:r w:rsidR="008525D4" w:rsidRPr="006B1BBE">
        <w:rPr>
          <w:rFonts w:ascii="Times New Roman" w:hAnsi="Times New Roman" w:cs="Times New Roman"/>
        </w:rPr>
        <w:t xml:space="preserve"> μυς και να προκαλέσει μυαλγία, </w:t>
      </w:r>
      <w:r w:rsidRPr="006B1BBE">
        <w:rPr>
          <w:rFonts w:ascii="Times New Roman" w:hAnsi="Times New Roman" w:cs="Times New Roman"/>
        </w:rPr>
        <w:t>μυοσίτιδα και μυοπάθεια, που μπορεί να εξελιχθε</w:t>
      </w:r>
      <w:r w:rsidR="008525D4" w:rsidRPr="006B1BBE">
        <w:rPr>
          <w:rFonts w:ascii="Times New Roman" w:hAnsi="Times New Roman" w:cs="Times New Roman"/>
        </w:rPr>
        <w:t xml:space="preserve">ί σε ραβδομυόλυση, μία δυνητικά </w:t>
      </w:r>
      <w:r w:rsidRPr="006B1BBE">
        <w:rPr>
          <w:rFonts w:ascii="Times New Roman" w:hAnsi="Times New Roman" w:cs="Times New Roman"/>
        </w:rPr>
        <w:t>απειλητική για τη ζωή κατάσταση, που χαρακτηρίζεται από</w:t>
      </w:r>
      <w:r w:rsidR="008525D4" w:rsidRPr="006B1BBE">
        <w:rPr>
          <w:rFonts w:ascii="Times New Roman" w:hAnsi="Times New Roman" w:cs="Times New Roman"/>
        </w:rPr>
        <w:t xml:space="preserve"> σημαντικά αυξημένα επίπεδα της </w:t>
      </w:r>
      <w:r w:rsidRPr="006B1BBE">
        <w:rPr>
          <w:rFonts w:ascii="Times New Roman" w:hAnsi="Times New Roman" w:cs="Times New Roman"/>
        </w:rPr>
        <w:t>κινάσης της κρεατίνης –(CK) (&gt; 10 φορέ</w:t>
      </w:r>
      <w:r w:rsidR="008525D4" w:rsidRPr="006B1BBE">
        <w:rPr>
          <w:rFonts w:ascii="Times New Roman" w:hAnsi="Times New Roman" w:cs="Times New Roman"/>
        </w:rPr>
        <w:t>ς τα</w:t>
      </w:r>
      <w:r w:rsidR="001737CF">
        <w:rPr>
          <w:rFonts w:ascii="Times New Roman" w:hAnsi="Times New Roman" w:cs="Times New Roman"/>
        </w:rPr>
        <w:t xml:space="preserve"> </w:t>
      </w:r>
      <w:r w:rsidR="001737CF">
        <w:rPr>
          <w:rFonts w:ascii="Times New Roman" w:hAnsi="Times New Roman" w:cs="Times New Roman"/>
          <w:lang w:val="en-US"/>
        </w:rPr>
        <w:t>ULN</w:t>
      </w:r>
      <w:r w:rsidR="008525D4" w:rsidRPr="006B1BBE">
        <w:rPr>
          <w:rFonts w:ascii="Times New Roman" w:hAnsi="Times New Roman" w:cs="Times New Roman"/>
        </w:rPr>
        <w:t xml:space="preserve">), </w:t>
      </w:r>
      <w:r w:rsidRPr="006B1BBE">
        <w:rPr>
          <w:rFonts w:ascii="Times New Roman" w:hAnsi="Times New Roman" w:cs="Times New Roman"/>
        </w:rPr>
        <w:t>μυοσφαιριναιμία και μυοσφαιρινουρία, που μπορεί να προκαλέσει νεφρική ανεπάρκεια.</w:t>
      </w:r>
    </w:p>
    <w:p w:rsidR="0078312B" w:rsidRPr="006B1BBE" w:rsidRDefault="0078312B" w:rsidP="008525D4">
      <w:pPr>
        <w:spacing w:after="0" w:line="240" w:lineRule="auto"/>
        <w:jc w:val="both"/>
        <w:rPr>
          <w:rFonts w:ascii="Times New Roman" w:hAnsi="Times New Roman" w:cs="Times New Roman"/>
        </w:rPr>
      </w:pPr>
    </w:p>
    <w:p w:rsidR="00F457BF" w:rsidRPr="00941456" w:rsidRDefault="00F457BF" w:rsidP="008525D4">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Πριν την έναρξη της θεραπείας</w:t>
      </w:r>
    </w:p>
    <w:p w:rsidR="001737CF" w:rsidRPr="007B5907" w:rsidRDefault="001737CF" w:rsidP="008525D4">
      <w:pPr>
        <w:spacing w:after="0" w:line="240" w:lineRule="auto"/>
        <w:jc w:val="both"/>
        <w:rPr>
          <w:rFonts w:ascii="Times New Roman" w:hAnsi="Times New Roman" w:cs="Times New Roman"/>
          <w:u w:val="single"/>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ατορβαστατίνη πρέπει να χορηγείται με προσοχ</w:t>
      </w:r>
      <w:r w:rsidR="008525D4" w:rsidRPr="006B1BBE">
        <w:rPr>
          <w:rFonts w:ascii="Times New Roman" w:hAnsi="Times New Roman" w:cs="Times New Roman"/>
        </w:rPr>
        <w:t xml:space="preserve">ή σε ασθενείς με προδιαθεσικούς </w:t>
      </w:r>
      <w:r w:rsidRPr="006B1BBE">
        <w:rPr>
          <w:rFonts w:ascii="Times New Roman" w:hAnsi="Times New Roman" w:cs="Times New Roman"/>
        </w:rPr>
        <w:t>παράγοντες για εμφάνιση ραβδομυόλυσης. Στις κατασ</w:t>
      </w:r>
      <w:r w:rsidR="008525D4" w:rsidRPr="006B1BBE">
        <w:rPr>
          <w:rFonts w:ascii="Times New Roman" w:hAnsi="Times New Roman" w:cs="Times New Roman"/>
        </w:rPr>
        <w:t xml:space="preserve">τάσεις που ακολουθούν πρέπει να </w:t>
      </w:r>
      <w:r w:rsidRPr="006B1BBE">
        <w:rPr>
          <w:rFonts w:ascii="Times New Roman" w:hAnsi="Times New Roman" w:cs="Times New Roman"/>
        </w:rPr>
        <w:t xml:space="preserve">προσδιορίζονται τα επίπεδα </w:t>
      </w:r>
      <w:r w:rsidR="008525D4" w:rsidRPr="006B1BBE">
        <w:rPr>
          <w:rFonts w:ascii="Times New Roman" w:hAnsi="Times New Roman" w:cs="Times New Roman"/>
        </w:rPr>
        <w:t xml:space="preserve">CK πριν την έναρξη της </w:t>
      </w:r>
      <w:r w:rsidRPr="006B1BBE">
        <w:rPr>
          <w:rFonts w:ascii="Times New Roman" w:hAnsi="Times New Roman" w:cs="Times New Roman"/>
        </w:rPr>
        <w:t>θεραπείας με στατίνες:</w:t>
      </w:r>
    </w:p>
    <w:p w:rsidR="00F457BF" w:rsidRPr="006B1BBE"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Νεφρική ανεπάρκεια</w:t>
      </w:r>
    </w:p>
    <w:p w:rsidR="00F457BF" w:rsidRPr="006B1BBE"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Υποθυρεοειδισμός</w:t>
      </w:r>
    </w:p>
    <w:p w:rsidR="00F457BF" w:rsidRPr="006B1BBE"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Ατομικό ή οικογενειακό ιστορικό κληρονομικής μυϊκής διαταραχής</w:t>
      </w:r>
    </w:p>
    <w:p w:rsidR="00F457BF" w:rsidRPr="006B1BBE"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Προηγούμενο ιστορικό μυϊκής τοξικότητας με στατίνη ή φιμπράτη</w:t>
      </w:r>
    </w:p>
    <w:p w:rsidR="00F457BF" w:rsidRPr="006B1BBE"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Προηγούμενο ιστορικό ηπατικής νόσου και/ή όταν καταναλώνονται μεγάλες</w:t>
      </w:r>
      <w:r w:rsidR="008525D4" w:rsidRPr="006B1BBE">
        <w:rPr>
          <w:rFonts w:ascii="Times New Roman" w:hAnsi="Times New Roman" w:cs="Times New Roman"/>
        </w:rPr>
        <w:t xml:space="preserve"> </w:t>
      </w:r>
      <w:r w:rsidRPr="006B1BBE">
        <w:rPr>
          <w:rFonts w:ascii="Times New Roman" w:hAnsi="Times New Roman" w:cs="Times New Roman"/>
        </w:rPr>
        <w:t>ποσότητες</w:t>
      </w:r>
      <w:r w:rsidR="00A51984" w:rsidRPr="006B1BBE">
        <w:rPr>
          <w:rFonts w:ascii="Times New Roman" w:hAnsi="Times New Roman" w:cs="Times New Roman"/>
        </w:rPr>
        <w:t xml:space="preserve"> </w:t>
      </w:r>
      <w:r w:rsidRPr="006B1BBE">
        <w:rPr>
          <w:rFonts w:ascii="Times New Roman" w:hAnsi="Times New Roman" w:cs="Times New Roman"/>
        </w:rPr>
        <w:t>οινοπνεύματος</w:t>
      </w:r>
    </w:p>
    <w:p w:rsidR="00F457BF" w:rsidRPr="00900C58" w:rsidRDefault="00F457BF" w:rsidP="008525D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Σε ηλικιωμένους (ηλικίας &gt; 70 ετών) η χρησιμότητα μιας τέτοιας μέτρησης πρέπει να</w:t>
      </w:r>
      <w:r w:rsidR="00A51984" w:rsidRPr="006B1BBE">
        <w:rPr>
          <w:rFonts w:ascii="Times New Roman" w:hAnsi="Times New Roman" w:cs="Times New Roman"/>
        </w:rPr>
        <w:t xml:space="preserve"> </w:t>
      </w:r>
      <w:r w:rsidRPr="006B1BBE">
        <w:rPr>
          <w:rFonts w:ascii="Times New Roman" w:hAnsi="Times New Roman" w:cs="Times New Roman"/>
        </w:rPr>
        <w:t>εξετάζεται με βάση την ύπαρξη άλλων παραγόντων που προδιαθέτουν για</w:t>
      </w:r>
      <w:r w:rsidR="008525D4" w:rsidRPr="006B1BBE">
        <w:rPr>
          <w:rFonts w:ascii="Times New Roman" w:hAnsi="Times New Roman" w:cs="Times New Roman"/>
        </w:rPr>
        <w:t xml:space="preserve"> </w:t>
      </w:r>
      <w:r w:rsidRPr="006B1BBE">
        <w:rPr>
          <w:rFonts w:ascii="Times New Roman" w:hAnsi="Times New Roman" w:cs="Times New Roman"/>
        </w:rPr>
        <w:t>ραβδομυόλυση.</w:t>
      </w:r>
    </w:p>
    <w:p w:rsidR="001737CF" w:rsidRPr="006B1BBE" w:rsidRDefault="001737CF" w:rsidP="001737CF">
      <w:pPr>
        <w:pStyle w:val="a3"/>
        <w:numPr>
          <w:ilvl w:val="0"/>
          <w:numId w:val="4"/>
        </w:numPr>
        <w:spacing w:after="0" w:line="240" w:lineRule="auto"/>
        <w:rPr>
          <w:rFonts w:ascii="Times New Roman" w:hAnsi="Times New Roman" w:cs="Times New Roman"/>
        </w:rPr>
      </w:pPr>
      <w:r w:rsidRPr="001737CF">
        <w:rPr>
          <w:rFonts w:ascii="Times New Roman" w:hAnsi="Times New Roman" w:cs="Times New Roman"/>
        </w:rPr>
        <w:t>Σε περιπτώσεις όπου μπορεί να αυξηθούν τα επίπεδα στον ορό του αίματος, όπως αλληλεπιδράσεις (βλέπε παράγραφο 4.5) και ειδικές πληθυσμιακές ομάδες συμπεριλαμβανομένων γενετικών υποπληθυσμών. (βλέπε παράγραφο 5.2)</w:t>
      </w:r>
      <w:r>
        <w:rPr>
          <w:rFonts w:ascii="Times New Roman" w:hAnsi="Times New Roman" w:cs="Times New Roman"/>
          <w:lang w:val="en-US"/>
        </w:rPr>
        <w:t xml:space="preserve"> </w:t>
      </w:r>
    </w:p>
    <w:p w:rsidR="00CB38F5" w:rsidRPr="006B1BBE" w:rsidRDefault="00CB38F5" w:rsidP="008525D4">
      <w:pPr>
        <w:spacing w:after="0" w:line="240" w:lineRule="auto"/>
        <w:jc w:val="both"/>
        <w:rPr>
          <w:rFonts w:ascii="Times New Roman" w:hAnsi="Times New Roman" w:cs="Times New Roman"/>
        </w:rPr>
      </w:pPr>
    </w:p>
    <w:p w:rsidR="001737CF" w:rsidRPr="00900C58"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lastRenderedPageBreak/>
        <w:t>Σε αυτές τις καταστάσεις θα πρέπει να σταθμίζεται ο κίνδυνος σε σχέσ</w:t>
      </w:r>
      <w:r w:rsidR="00A51984" w:rsidRPr="006B1BBE">
        <w:rPr>
          <w:rFonts w:ascii="Times New Roman" w:hAnsi="Times New Roman" w:cs="Times New Roman"/>
        </w:rPr>
        <w:t xml:space="preserve">η με το πιθανό όφελος </w:t>
      </w:r>
      <w:r w:rsidRPr="006B1BBE">
        <w:rPr>
          <w:rFonts w:ascii="Times New Roman" w:hAnsi="Times New Roman" w:cs="Times New Roman"/>
        </w:rPr>
        <w:t>της θεραπείας και συ</w:t>
      </w:r>
      <w:r w:rsidR="00A51984" w:rsidRPr="006B1BBE">
        <w:rPr>
          <w:rFonts w:ascii="Times New Roman" w:hAnsi="Times New Roman" w:cs="Times New Roman"/>
        </w:rPr>
        <w:t xml:space="preserve">νιστάται κλινική παρακολούθηση. </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Εάν τα επίπεδα της CPK είναι σημαντικώς αυξημένα ( </w:t>
      </w:r>
      <w:r w:rsidR="00A51984" w:rsidRPr="006B1BBE">
        <w:rPr>
          <w:rFonts w:ascii="Times New Roman" w:hAnsi="Times New Roman" w:cs="Times New Roman"/>
        </w:rPr>
        <w:t xml:space="preserve">&gt;5 φορές τα ανώτατα φυσιολογικά </w:t>
      </w:r>
      <w:r w:rsidRPr="006B1BBE">
        <w:rPr>
          <w:rFonts w:ascii="Times New Roman" w:hAnsi="Times New Roman" w:cs="Times New Roman"/>
        </w:rPr>
        <w:t>όρια) πριν από την έναρξη της θεραπείας δεν πρέπει να γίνει έναρξη αυτής.</w:t>
      </w:r>
    </w:p>
    <w:p w:rsidR="00CB38F5" w:rsidRPr="006B1BBE" w:rsidRDefault="00CB38F5" w:rsidP="008525D4">
      <w:pPr>
        <w:spacing w:after="0" w:line="240" w:lineRule="auto"/>
        <w:jc w:val="both"/>
        <w:rPr>
          <w:rFonts w:ascii="Times New Roman" w:hAnsi="Times New Roman" w:cs="Times New Roman"/>
        </w:rPr>
      </w:pPr>
    </w:p>
    <w:p w:rsidR="00F457BF" w:rsidRPr="00941456" w:rsidRDefault="00F457BF" w:rsidP="008525D4">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Προσδιορισμός της κινάσης της κρεατίνης</w:t>
      </w:r>
    </w:p>
    <w:p w:rsidR="001737CF" w:rsidRPr="007B5907" w:rsidRDefault="001737CF" w:rsidP="008525D4">
      <w:pPr>
        <w:spacing w:after="0" w:line="240" w:lineRule="auto"/>
        <w:jc w:val="both"/>
        <w:rPr>
          <w:rFonts w:ascii="Times New Roman" w:hAnsi="Times New Roman" w:cs="Times New Roman"/>
          <w:u w:val="single"/>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κινάση της κρεατίνης (CK) δεν πρέπει να π</w:t>
      </w:r>
      <w:r w:rsidR="00A51984" w:rsidRPr="006B1BBE">
        <w:rPr>
          <w:rFonts w:ascii="Times New Roman" w:hAnsi="Times New Roman" w:cs="Times New Roman"/>
        </w:rPr>
        <w:t xml:space="preserve">ροσδιορίζεται μετά από εντατική </w:t>
      </w:r>
      <w:r w:rsidRPr="006B1BBE">
        <w:rPr>
          <w:rFonts w:ascii="Times New Roman" w:hAnsi="Times New Roman" w:cs="Times New Roman"/>
        </w:rPr>
        <w:t>άσκηση ή παρουσία οποιασδήποτε άλλης εύλογης αιτ</w:t>
      </w:r>
      <w:r w:rsidR="00A51984" w:rsidRPr="006B1BBE">
        <w:rPr>
          <w:rFonts w:ascii="Times New Roman" w:hAnsi="Times New Roman" w:cs="Times New Roman"/>
        </w:rPr>
        <w:t xml:space="preserve">ίας αύξησης της CK, γιατί αυτό </w:t>
      </w:r>
      <w:r w:rsidRPr="006B1BBE">
        <w:rPr>
          <w:rFonts w:ascii="Times New Roman" w:hAnsi="Times New Roman" w:cs="Times New Roman"/>
        </w:rPr>
        <w:t>δυσκολεύει την ερμηνεία των αποτελεσμάτων. Εάν τα ε</w:t>
      </w:r>
      <w:r w:rsidR="00A51984" w:rsidRPr="006B1BBE">
        <w:rPr>
          <w:rFonts w:ascii="Times New Roman" w:hAnsi="Times New Roman" w:cs="Times New Roman"/>
        </w:rPr>
        <w:t xml:space="preserve">πίπεδα της CK, πριν την έναρξη </w:t>
      </w:r>
      <w:r w:rsidRPr="006B1BBE">
        <w:rPr>
          <w:rFonts w:ascii="Times New Roman" w:hAnsi="Times New Roman" w:cs="Times New Roman"/>
        </w:rPr>
        <w:t>της θεραπείας, είναι σημαντικώς αυξημένα (&gt; 5 φορές τα</w:t>
      </w:r>
      <w:r w:rsidR="001737CF" w:rsidRPr="00900C58">
        <w:rPr>
          <w:rFonts w:ascii="Times New Roman" w:hAnsi="Times New Roman" w:cs="Times New Roman"/>
        </w:rPr>
        <w:t xml:space="preserve"> </w:t>
      </w:r>
      <w:r w:rsidR="001737CF">
        <w:rPr>
          <w:rFonts w:ascii="Times New Roman" w:hAnsi="Times New Roman" w:cs="Times New Roman"/>
          <w:lang w:val="en-US"/>
        </w:rPr>
        <w:t>ULN</w:t>
      </w:r>
      <w:r w:rsidR="00A51984" w:rsidRPr="006B1BBE">
        <w:rPr>
          <w:rFonts w:ascii="Times New Roman" w:hAnsi="Times New Roman" w:cs="Times New Roman"/>
        </w:rPr>
        <w:t xml:space="preserve">) πρέπει </w:t>
      </w:r>
      <w:r w:rsidRPr="006B1BBE">
        <w:rPr>
          <w:rFonts w:ascii="Times New Roman" w:hAnsi="Times New Roman" w:cs="Times New Roman"/>
        </w:rPr>
        <w:t>να προσδιορίζονται εκ νέου 5 έως 7 ημέρες α</w:t>
      </w:r>
      <w:r w:rsidR="00A51984" w:rsidRPr="006B1BBE">
        <w:rPr>
          <w:rFonts w:ascii="Times New Roman" w:hAnsi="Times New Roman" w:cs="Times New Roman"/>
        </w:rPr>
        <w:t xml:space="preserve">ργότερα για την επιβεβαίωση των </w:t>
      </w:r>
      <w:r w:rsidRPr="006B1BBE">
        <w:rPr>
          <w:rFonts w:ascii="Times New Roman" w:hAnsi="Times New Roman" w:cs="Times New Roman"/>
        </w:rPr>
        <w:t>αποτελεσμάτων.</w:t>
      </w:r>
    </w:p>
    <w:p w:rsidR="00CB38F5" w:rsidRPr="006B1BBE" w:rsidRDefault="00CB38F5" w:rsidP="008525D4">
      <w:pPr>
        <w:spacing w:after="0" w:line="240" w:lineRule="auto"/>
        <w:jc w:val="both"/>
        <w:rPr>
          <w:rFonts w:ascii="Times New Roman" w:hAnsi="Times New Roman" w:cs="Times New Roman"/>
        </w:rPr>
      </w:pPr>
    </w:p>
    <w:p w:rsidR="00F457BF" w:rsidRPr="00941456" w:rsidRDefault="00F457BF" w:rsidP="008525D4">
      <w:pPr>
        <w:spacing w:after="0" w:line="240" w:lineRule="auto"/>
        <w:jc w:val="both"/>
        <w:rPr>
          <w:rFonts w:ascii="Times New Roman" w:hAnsi="Times New Roman" w:cs="Times New Roman"/>
          <w:i/>
          <w:u w:val="single"/>
          <w:lang w:val="en-US"/>
        </w:rPr>
      </w:pPr>
      <w:r w:rsidRPr="00941456">
        <w:rPr>
          <w:rFonts w:ascii="Times New Roman" w:hAnsi="Times New Roman" w:cs="Times New Roman"/>
          <w:i/>
          <w:u w:val="single"/>
        </w:rPr>
        <w:t>Κατά τη διάρκεια της θεραπείας</w:t>
      </w:r>
    </w:p>
    <w:p w:rsidR="001A6F6D" w:rsidRPr="00900C58" w:rsidRDefault="001A6F6D" w:rsidP="008525D4">
      <w:pPr>
        <w:spacing w:after="0" w:line="240" w:lineRule="auto"/>
        <w:jc w:val="both"/>
        <w:rPr>
          <w:rFonts w:ascii="Times New Roman" w:hAnsi="Times New Roman" w:cs="Times New Roman"/>
          <w:u w:val="single"/>
          <w:lang w:val="en-US"/>
        </w:rPr>
      </w:pPr>
    </w:p>
    <w:p w:rsidR="00F457BF" w:rsidRPr="006B1BBE" w:rsidRDefault="00F457BF" w:rsidP="00A5198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Πρέπει να ζητείται από τους ασθενείς να αναφέρουν αμέσως μυϊκούς πόνους, κράμπες</w:t>
      </w:r>
      <w:r w:rsidR="00A51984" w:rsidRPr="006B1BBE">
        <w:rPr>
          <w:rFonts w:ascii="Times New Roman" w:hAnsi="Times New Roman" w:cs="Times New Roman"/>
        </w:rPr>
        <w:t xml:space="preserve"> </w:t>
      </w:r>
      <w:r w:rsidRPr="006B1BBE">
        <w:rPr>
          <w:rFonts w:ascii="Times New Roman" w:hAnsi="Times New Roman" w:cs="Times New Roman"/>
        </w:rPr>
        <w:t>ή αδυναμία, ιδιαίτερα εάν συνοδεύονται από αίσθημα κακουχίας ή πυρετό.</w:t>
      </w:r>
    </w:p>
    <w:p w:rsidR="00F457BF" w:rsidRPr="006B1BBE" w:rsidRDefault="00F457BF" w:rsidP="00A5198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Εάν εμφανιστούν τέτοια συμπτώματα, ενώ ένας ασθενής βρίσκεται υπό θεραπεία με</w:t>
      </w:r>
      <w:r w:rsidR="00A51984" w:rsidRPr="006B1BBE">
        <w:rPr>
          <w:rFonts w:ascii="Times New Roman" w:hAnsi="Times New Roman" w:cs="Times New Roman"/>
        </w:rPr>
        <w:t xml:space="preserve"> </w:t>
      </w:r>
      <w:r w:rsidRPr="006B1BBE">
        <w:rPr>
          <w:rFonts w:ascii="Times New Roman" w:hAnsi="Times New Roman" w:cs="Times New Roman"/>
        </w:rPr>
        <w:t>ατορβαστατίνη, πρέπει να προσδιορίζονται τα επίπεδα της CK. Εάν διαπιστωθεί ότι</w:t>
      </w:r>
      <w:r w:rsidR="00A51984" w:rsidRPr="006B1BBE">
        <w:rPr>
          <w:rFonts w:ascii="Times New Roman" w:hAnsi="Times New Roman" w:cs="Times New Roman"/>
        </w:rPr>
        <w:t xml:space="preserve"> </w:t>
      </w:r>
      <w:r w:rsidRPr="006B1BBE">
        <w:rPr>
          <w:rFonts w:ascii="Times New Roman" w:hAnsi="Times New Roman" w:cs="Times New Roman"/>
        </w:rPr>
        <w:t>τα επίπεδα είναι σημαντικώς αυξημένα (&gt;5 φορές τα</w:t>
      </w:r>
      <w:r w:rsidR="001A6F6D" w:rsidRPr="00900C58">
        <w:rPr>
          <w:rFonts w:ascii="Times New Roman" w:hAnsi="Times New Roman" w:cs="Times New Roman"/>
        </w:rPr>
        <w:t xml:space="preserve"> </w:t>
      </w:r>
      <w:r w:rsidR="001A6F6D">
        <w:rPr>
          <w:rFonts w:ascii="Times New Roman" w:hAnsi="Times New Roman" w:cs="Times New Roman"/>
          <w:lang w:val="en-US"/>
        </w:rPr>
        <w:t>ULN</w:t>
      </w:r>
      <w:r w:rsidRPr="006B1BBE">
        <w:rPr>
          <w:rFonts w:ascii="Times New Roman" w:hAnsi="Times New Roman" w:cs="Times New Roman"/>
        </w:rPr>
        <w:t>) η</w:t>
      </w:r>
      <w:r w:rsidR="00A51984" w:rsidRPr="006B1BBE">
        <w:rPr>
          <w:rFonts w:ascii="Times New Roman" w:hAnsi="Times New Roman" w:cs="Times New Roman"/>
        </w:rPr>
        <w:t xml:space="preserve"> </w:t>
      </w:r>
      <w:r w:rsidRPr="006B1BBE">
        <w:rPr>
          <w:rFonts w:ascii="Times New Roman" w:hAnsi="Times New Roman" w:cs="Times New Roman"/>
        </w:rPr>
        <w:t>θεραπεία θα πρέπει να σταματήσει.</w:t>
      </w:r>
    </w:p>
    <w:p w:rsidR="00F457BF" w:rsidRPr="006B1BBE" w:rsidRDefault="00F457BF" w:rsidP="00A5198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Εάν τα μυϊκά συμπτώματα είναι σοβαρά και προκαλούν καθημερινές διαταραχές,</w:t>
      </w:r>
      <w:r w:rsidR="00A51984" w:rsidRPr="006B1BBE">
        <w:rPr>
          <w:rFonts w:ascii="Times New Roman" w:hAnsi="Times New Roman" w:cs="Times New Roman"/>
        </w:rPr>
        <w:t xml:space="preserve"> </w:t>
      </w:r>
      <w:r w:rsidRPr="006B1BBE">
        <w:rPr>
          <w:rFonts w:ascii="Times New Roman" w:hAnsi="Times New Roman" w:cs="Times New Roman"/>
        </w:rPr>
        <w:t xml:space="preserve">ακόμα και αν τα επίπεδα CK είναι αυξημένα σε </w:t>
      </w:r>
      <w:r w:rsidR="00FE0912" w:rsidRPr="00FE0912">
        <w:rPr>
          <w:rFonts w:ascii="Times New Roman" w:hAnsi="Times New Roman" w:cs="Times New Roman"/>
        </w:rPr>
        <w:t xml:space="preserve"> </w:t>
      </w:r>
      <w:r w:rsidR="00FE0912">
        <w:rPr>
          <w:rFonts w:ascii="Times New Roman" w:hAnsi="Times New Roman" w:cs="Times New Roman"/>
        </w:rPr>
        <w:t>≤</w:t>
      </w:r>
      <w:r w:rsidRPr="006B1BBE">
        <w:rPr>
          <w:rFonts w:ascii="Times New Roman" w:hAnsi="Times New Roman" w:cs="Times New Roman"/>
        </w:rPr>
        <w:t xml:space="preserve"> 5 x</w:t>
      </w:r>
      <w:r w:rsidR="00FE0912" w:rsidRPr="00900C58">
        <w:rPr>
          <w:rFonts w:ascii="Times New Roman" w:hAnsi="Times New Roman" w:cs="Times New Roman"/>
        </w:rPr>
        <w:t xml:space="preserve"> </w:t>
      </w:r>
      <w:r w:rsidR="00FE0912">
        <w:rPr>
          <w:rFonts w:ascii="Times New Roman" w:hAnsi="Times New Roman" w:cs="Times New Roman"/>
          <w:lang w:val="en-US"/>
        </w:rPr>
        <w:t>ULN</w:t>
      </w:r>
      <w:r w:rsidRPr="006B1BBE">
        <w:rPr>
          <w:rFonts w:ascii="Times New Roman" w:hAnsi="Times New Roman" w:cs="Times New Roman"/>
        </w:rPr>
        <w:t>,</w:t>
      </w:r>
      <w:r w:rsidR="00A51984" w:rsidRPr="006B1BBE">
        <w:rPr>
          <w:rFonts w:ascii="Times New Roman" w:hAnsi="Times New Roman" w:cs="Times New Roman"/>
        </w:rPr>
        <w:t xml:space="preserve"> </w:t>
      </w:r>
      <w:r w:rsidRPr="006B1BBE">
        <w:rPr>
          <w:rFonts w:ascii="Times New Roman" w:hAnsi="Times New Roman" w:cs="Times New Roman"/>
        </w:rPr>
        <w:t>πρέπει να εκτιμάται η ανάγκη διακοπής της θεραπείας.</w:t>
      </w:r>
    </w:p>
    <w:p w:rsidR="00F457BF" w:rsidRPr="006B1BBE" w:rsidRDefault="00F457BF" w:rsidP="00A51984">
      <w:pPr>
        <w:pStyle w:val="a3"/>
        <w:numPr>
          <w:ilvl w:val="0"/>
          <w:numId w:val="4"/>
        </w:numPr>
        <w:spacing w:after="0" w:line="240" w:lineRule="auto"/>
        <w:rPr>
          <w:rFonts w:ascii="Times New Roman" w:hAnsi="Times New Roman" w:cs="Times New Roman"/>
        </w:rPr>
      </w:pPr>
      <w:r w:rsidRPr="006B1BBE">
        <w:rPr>
          <w:rFonts w:ascii="Times New Roman" w:hAnsi="Times New Roman" w:cs="Times New Roman"/>
        </w:rPr>
        <w:t>Εάν τα συμπτώματα υποχωρήσουν και τα επίπεδα της CK επανέλθουν στο</w:t>
      </w:r>
      <w:r w:rsidR="00A51984" w:rsidRPr="006B1BBE">
        <w:rPr>
          <w:rFonts w:ascii="Times New Roman" w:hAnsi="Times New Roman" w:cs="Times New Roman"/>
        </w:rPr>
        <w:t xml:space="preserve"> </w:t>
      </w:r>
      <w:r w:rsidRPr="006B1BBE">
        <w:rPr>
          <w:rFonts w:ascii="Times New Roman" w:hAnsi="Times New Roman" w:cs="Times New Roman"/>
        </w:rPr>
        <w:t>φυσιολογικό,</w:t>
      </w:r>
      <w:r w:rsidR="00A51984" w:rsidRPr="006B1BBE">
        <w:rPr>
          <w:rFonts w:ascii="Times New Roman" w:hAnsi="Times New Roman" w:cs="Times New Roman"/>
        </w:rPr>
        <w:t xml:space="preserve"> </w:t>
      </w:r>
      <w:r w:rsidRPr="006B1BBE">
        <w:rPr>
          <w:rFonts w:ascii="Times New Roman" w:hAnsi="Times New Roman" w:cs="Times New Roman"/>
        </w:rPr>
        <w:t>τότε μπορεί να εξεταστεί το ενδεχόμενο επαναχορήγησης της ατορβαστατίνης ή η</w:t>
      </w:r>
      <w:r w:rsidR="00A51984" w:rsidRPr="006B1BBE">
        <w:rPr>
          <w:rFonts w:ascii="Times New Roman" w:hAnsi="Times New Roman" w:cs="Times New Roman"/>
        </w:rPr>
        <w:t xml:space="preserve"> </w:t>
      </w:r>
      <w:r w:rsidRPr="006B1BBE">
        <w:rPr>
          <w:rFonts w:ascii="Times New Roman" w:hAnsi="Times New Roman" w:cs="Times New Roman"/>
        </w:rPr>
        <w:t>χορήγηση μιας άλλης στατίνης στη χαμηλότερη δόση και υπό στενό έλεγχο.</w:t>
      </w:r>
    </w:p>
    <w:p w:rsidR="00FE0912" w:rsidRPr="00D911B6" w:rsidRDefault="00F457BF" w:rsidP="00FE0912">
      <w:pPr>
        <w:pStyle w:val="a3"/>
        <w:numPr>
          <w:ilvl w:val="0"/>
          <w:numId w:val="4"/>
        </w:numPr>
        <w:spacing w:after="0" w:line="240" w:lineRule="auto"/>
      </w:pPr>
      <w:r w:rsidRPr="006B1BBE">
        <w:rPr>
          <w:rFonts w:ascii="Times New Roman" w:hAnsi="Times New Roman" w:cs="Times New Roman"/>
        </w:rPr>
        <w:t>Η ατορβαστατίνη πρέπει να διακοπεί εάν σημειωθούν κλινικά σημαντικές αυξήσεις</w:t>
      </w:r>
      <w:r w:rsidR="00A51984" w:rsidRPr="006B1BBE">
        <w:rPr>
          <w:rFonts w:ascii="Times New Roman" w:hAnsi="Times New Roman" w:cs="Times New Roman"/>
        </w:rPr>
        <w:t xml:space="preserve"> </w:t>
      </w:r>
      <w:r w:rsidRPr="006B1BBE">
        <w:rPr>
          <w:rFonts w:ascii="Times New Roman" w:hAnsi="Times New Roman" w:cs="Times New Roman"/>
        </w:rPr>
        <w:t>στα επίπεδα της CK (&gt;10 φορές τα</w:t>
      </w:r>
      <w:r w:rsidR="00FE0912" w:rsidRPr="00900C58">
        <w:rPr>
          <w:rFonts w:ascii="Times New Roman" w:hAnsi="Times New Roman" w:cs="Times New Roman"/>
        </w:rPr>
        <w:t xml:space="preserve"> </w:t>
      </w:r>
      <w:r w:rsidR="00FE0912">
        <w:rPr>
          <w:rFonts w:ascii="Times New Roman" w:hAnsi="Times New Roman" w:cs="Times New Roman"/>
          <w:lang w:val="en-US"/>
        </w:rPr>
        <w:t>ULN</w:t>
      </w:r>
      <w:r w:rsidRPr="006B1BBE">
        <w:rPr>
          <w:rFonts w:ascii="Times New Roman" w:hAnsi="Times New Roman" w:cs="Times New Roman"/>
        </w:rPr>
        <w:t>) ή εάν διαγνωσθεί ή</w:t>
      </w:r>
      <w:r w:rsidR="00A51984" w:rsidRPr="006B1BBE">
        <w:rPr>
          <w:rFonts w:ascii="Times New Roman" w:hAnsi="Times New Roman" w:cs="Times New Roman"/>
        </w:rPr>
        <w:t xml:space="preserve"> </w:t>
      </w:r>
      <w:r w:rsidRPr="006B1BBE">
        <w:rPr>
          <w:rFonts w:ascii="Times New Roman" w:hAnsi="Times New Roman" w:cs="Times New Roman"/>
        </w:rPr>
        <w:t>υπάρχει υπόνοια ραβδομυόλυσης.</w:t>
      </w:r>
    </w:p>
    <w:p w:rsidR="00D911B6" w:rsidRPr="00900C58" w:rsidRDefault="00D911B6" w:rsidP="00D911B6">
      <w:pPr>
        <w:spacing w:after="0" w:line="240" w:lineRule="auto"/>
      </w:pPr>
    </w:p>
    <w:p w:rsidR="00D911B6" w:rsidRPr="00941456" w:rsidRDefault="00D911B6" w:rsidP="00D911B6">
      <w:pPr>
        <w:spacing w:after="0" w:line="240" w:lineRule="auto"/>
        <w:rPr>
          <w:i/>
          <w:u w:val="single"/>
        </w:rPr>
      </w:pPr>
      <w:r w:rsidRPr="00941456">
        <w:rPr>
          <w:i/>
          <w:u w:val="single"/>
        </w:rPr>
        <w:t xml:space="preserve">Ταυτόχρονη θεραπεία με άλλα φαρμακευτικά προϊόντα </w:t>
      </w:r>
    </w:p>
    <w:p w:rsidR="00A51984" w:rsidRPr="006B1BBE" w:rsidRDefault="00A51984" w:rsidP="00A51984">
      <w:pPr>
        <w:pStyle w:val="a3"/>
        <w:spacing w:after="0" w:line="240" w:lineRule="auto"/>
        <w:rPr>
          <w:rFonts w:ascii="Times New Roman" w:hAnsi="Times New Roman" w:cs="Times New Roman"/>
        </w:rPr>
      </w:pPr>
    </w:p>
    <w:p w:rsidR="006835B6" w:rsidRPr="00900C58"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Ο κίνδυνος εμφάνισης ραβδομυόλυσης αυξάνει </w:t>
      </w:r>
      <w:r w:rsidR="00A51984" w:rsidRPr="006B1BBE">
        <w:rPr>
          <w:rFonts w:ascii="Times New Roman" w:hAnsi="Times New Roman" w:cs="Times New Roman"/>
        </w:rPr>
        <w:t xml:space="preserve">όταν η ατορβαστατίνη χορηγείται </w:t>
      </w:r>
      <w:r w:rsidRPr="006B1BBE">
        <w:rPr>
          <w:rFonts w:ascii="Times New Roman" w:hAnsi="Times New Roman" w:cs="Times New Roman"/>
        </w:rPr>
        <w:t>ταυτόχρονα με κάποια φάρμακα τα οποία μπ</w:t>
      </w:r>
      <w:r w:rsidR="00A51984" w:rsidRPr="006B1BBE">
        <w:rPr>
          <w:rFonts w:ascii="Times New Roman" w:hAnsi="Times New Roman" w:cs="Times New Roman"/>
        </w:rPr>
        <w:t xml:space="preserve">ορεί να αυξήσουν τα επίπεδα της </w:t>
      </w:r>
      <w:r w:rsidRPr="006B1BBE">
        <w:rPr>
          <w:rFonts w:ascii="Times New Roman" w:hAnsi="Times New Roman" w:cs="Times New Roman"/>
        </w:rPr>
        <w:t xml:space="preserve">ατορβαστατίνης στο πλάσμα, όπως: </w:t>
      </w:r>
      <w:r w:rsidR="00D911B6" w:rsidRPr="00D911B6">
        <w:rPr>
          <w:rFonts w:ascii="Times New Roman" w:hAnsi="Times New Roman" w:cs="Times New Roman"/>
        </w:rPr>
        <w:t>ισχυρούς αναστολείς του CYP3A4 ή διακομιστών πρωτεϊνών (π.χ.</w:t>
      </w:r>
      <w:r w:rsidRPr="006B1BBE">
        <w:rPr>
          <w:rFonts w:ascii="Times New Roman" w:hAnsi="Times New Roman" w:cs="Times New Roman"/>
        </w:rPr>
        <w:t>κυκλοσπορίνη</w:t>
      </w:r>
      <w:r w:rsidR="00A51984" w:rsidRPr="006B1BBE">
        <w:rPr>
          <w:rFonts w:ascii="Times New Roman" w:hAnsi="Times New Roman" w:cs="Times New Roman"/>
        </w:rPr>
        <w:t xml:space="preserve">, </w:t>
      </w:r>
      <w:r w:rsidR="00D911B6" w:rsidRPr="00D911B6">
        <w:rPr>
          <w:rFonts w:ascii="Times New Roman" w:hAnsi="Times New Roman" w:cs="Times New Roman"/>
        </w:rPr>
        <w:t>τελιθρομυκίνη</w:t>
      </w:r>
      <w:r w:rsidR="00A51984" w:rsidRPr="006B1BBE">
        <w:rPr>
          <w:rFonts w:ascii="Times New Roman" w:hAnsi="Times New Roman" w:cs="Times New Roman"/>
        </w:rPr>
        <w:t xml:space="preserve">, κλαριθρομυκίνη, </w:t>
      </w:r>
      <w:r w:rsidR="00D911B6" w:rsidRPr="00D911B6">
        <w:rPr>
          <w:rFonts w:ascii="Times New Roman" w:hAnsi="Times New Roman" w:cs="Times New Roman"/>
        </w:rPr>
        <w:t>delavirdine, stiripentol,</w:t>
      </w:r>
      <w:r w:rsidR="00D911B6" w:rsidRPr="00900C58">
        <w:rPr>
          <w:rFonts w:ascii="Times New Roman" w:hAnsi="Times New Roman" w:cs="Times New Roman"/>
        </w:rPr>
        <w:t>,</w:t>
      </w:r>
      <w:r w:rsidRPr="006B1BBE">
        <w:rPr>
          <w:rFonts w:ascii="Times New Roman" w:hAnsi="Times New Roman" w:cs="Times New Roman"/>
        </w:rPr>
        <w:t>ιτρακοναζόλη,</w:t>
      </w:r>
      <w:r w:rsidR="00D911B6" w:rsidRPr="00D911B6">
        <w:t xml:space="preserve"> </w:t>
      </w:r>
      <w:r w:rsidR="00D911B6" w:rsidRPr="00D911B6">
        <w:rPr>
          <w:rFonts w:ascii="Times New Roman" w:hAnsi="Times New Roman" w:cs="Times New Roman"/>
        </w:rPr>
        <w:t>βορικοναζόλη</w:t>
      </w:r>
      <w:r w:rsidR="00D911B6" w:rsidRPr="00900C58">
        <w:rPr>
          <w:rFonts w:ascii="Times New Roman" w:hAnsi="Times New Roman" w:cs="Times New Roman"/>
        </w:rPr>
        <w:t>,</w:t>
      </w:r>
      <w:r w:rsidRPr="006B1BBE">
        <w:rPr>
          <w:rFonts w:ascii="Times New Roman" w:hAnsi="Times New Roman" w:cs="Times New Roman"/>
        </w:rPr>
        <w:t xml:space="preserve"> κετοκοναζόλη,</w:t>
      </w:r>
      <w:r w:rsidR="006835B6" w:rsidRPr="006835B6">
        <w:t xml:space="preserve"> </w:t>
      </w:r>
      <w:r w:rsidR="006835B6" w:rsidRPr="006835B6">
        <w:rPr>
          <w:rFonts w:ascii="Times New Roman" w:hAnsi="Times New Roman" w:cs="Times New Roman"/>
        </w:rPr>
        <w:t>ποσακοναζόλη και</w:t>
      </w:r>
      <w:r w:rsidRPr="006B1BBE">
        <w:rPr>
          <w:rFonts w:ascii="Times New Roman" w:hAnsi="Times New Roman" w:cs="Times New Roman"/>
        </w:rPr>
        <w:t xml:space="preserve"> αναστολείς της HIV πρωτεάσης</w:t>
      </w:r>
      <w:r w:rsidR="006835B6" w:rsidRPr="00900C58">
        <w:rPr>
          <w:rFonts w:ascii="Times New Roman" w:hAnsi="Times New Roman" w:cs="Times New Roman"/>
        </w:rPr>
        <w:t xml:space="preserve"> </w:t>
      </w:r>
      <w:r w:rsidR="006835B6" w:rsidRPr="006835B6">
        <w:rPr>
          <w:rFonts w:ascii="Times New Roman" w:hAnsi="Times New Roman" w:cs="Times New Roman"/>
        </w:rPr>
        <w:t>συμπεριλαμβανομένης της ριτοναβίρης, λοπιναβίρης, αταζαναβίρης, ινδιναβίρης, darunavir, κτλ)</w:t>
      </w:r>
      <w:r w:rsidRPr="006B1BBE">
        <w:rPr>
          <w:rFonts w:ascii="Times New Roman" w:hAnsi="Times New Roman" w:cs="Times New Roman"/>
        </w:rPr>
        <w:t xml:space="preserve">. Ο κίνδυνος μυοπάθειας </w:t>
      </w:r>
      <w:r w:rsidR="00A51984" w:rsidRPr="006B1BBE">
        <w:rPr>
          <w:rFonts w:ascii="Times New Roman" w:hAnsi="Times New Roman" w:cs="Times New Roman"/>
        </w:rPr>
        <w:t xml:space="preserve">μπορεί επίσης να αυξηθεί με την </w:t>
      </w:r>
      <w:r w:rsidRPr="006B1BBE">
        <w:rPr>
          <w:rFonts w:ascii="Times New Roman" w:hAnsi="Times New Roman" w:cs="Times New Roman"/>
        </w:rPr>
        <w:t>ταυτόχρονη χορήγηση</w:t>
      </w:r>
      <w:r w:rsidR="006835B6" w:rsidRPr="006835B6">
        <w:rPr>
          <w:rFonts w:ascii="Times New Roman" w:hAnsi="Times New Roman" w:cs="Times New Roman"/>
        </w:rPr>
        <w:t>γεμφιβροζίλης και άλλων φιβρατών, ερυθρομυκίνης, νιασίνης και εζετιμίμπης.</w:t>
      </w:r>
      <w:r w:rsidRPr="006B1BBE">
        <w:rPr>
          <w:rFonts w:ascii="Times New Roman" w:hAnsi="Times New Roman" w:cs="Times New Roman"/>
        </w:rPr>
        <w:t>Εάν είναι δυνατό, εναλλ</w:t>
      </w:r>
      <w:r w:rsidR="00A51984" w:rsidRPr="006B1BBE">
        <w:rPr>
          <w:rFonts w:ascii="Times New Roman" w:hAnsi="Times New Roman" w:cs="Times New Roman"/>
        </w:rPr>
        <w:t xml:space="preserve">ακτικές θεραπείες (χωρίς </w:t>
      </w:r>
      <w:r w:rsidRPr="006B1BBE">
        <w:rPr>
          <w:rFonts w:ascii="Times New Roman" w:hAnsi="Times New Roman" w:cs="Times New Roman"/>
        </w:rPr>
        <w:t xml:space="preserve">αλληλεπίδραση) θα πρέπει να εξεταστούν αντί αυτών των </w:t>
      </w:r>
      <w:r w:rsidR="006835B6">
        <w:rPr>
          <w:rFonts w:ascii="Times New Roman" w:hAnsi="Times New Roman" w:cs="Times New Roman"/>
        </w:rPr>
        <w:t>φαρμακευτικών προϊόντων.</w:t>
      </w:r>
    </w:p>
    <w:p w:rsidR="000668A8" w:rsidRDefault="000668A8"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Σε περιπτώσεις που η</w:t>
      </w:r>
      <w:r w:rsidR="000668A8">
        <w:rPr>
          <w:rFonts w:ascii="Times New Roman" w:hAnsi="Times New Roman" w:cs="Times New Roman"/>
        </w:rPr>
        <w:t xml:space="preserve"> </w:t>
      </w:r>
      <w:r w:rsidRPr="006B1BBE">
        <w:rPr>
          <w:rFonts w:ascii="Times New Roman" w:hAnsi="Times New Roman" w:cs="Times New Roman"/>
        </w:rPr>
        <w:t xml:space="preserve">συγχορήγηση αυτών των </w:t>
      </w:r>
      <w:r w:rsidR="000668A8">
        <w:rPr>
          <w:rFonts w:ascii="Times New Roman" w:hAnsi="Times New Roman" w:cs="Times New Roman"/>
        </w:rPr>
        <w:t xml:space="preserve">φαρμακευτικών προϊόντων </w:t>
      </w:r>
      <w:r w:rsidRPr="006B1BBE">
        <w:rPr>
          <w:rFonts w:ascii="Times New Roman" w:hAnsi="Times New Roman" w:cs="Times New Roman"/>
        </w:rPr>
        <w:t>με ατορβαστατίνη</w:t>
      </w:r>
      <w:r w:rsidR="00A51984" w:rsidRPr="006B1BBE">
        <w:rPr>
          <w:rFonts w:ascii="Times New Roman" w:hAnsi="Times New Roman" w:cs="Times New Roman"/>
        </w:rPr>
        <w:t xml:space="preserve"> είναι απαραίτητη, θα πρέπαι να </w:t>
      </w:r>
      <w:r w:rsidRPr="006B1BBE">
        <w:rPr>
          <w:rFonts w:ascii="Times New Roman" w:hAnsi="Times New Roman" w:cs="Times New Roman"/>
        </w:rPr>
        <w:t>εξεταστούν προσεκτικά τα οφέλη σε σχέση με τους κινδύ</w:t>
      </w:r>
      <w:r w:rsidR="00A51984" w:rsidRPr="006B1BBE">
        <w:rPr>
          <w:rFonts w:ascii="Times New Roman" w:hAnsi="Times New Roman" w:cs="Times New Roman"/>
        </w:rPr>
        <w:t xml:space="preserve">νους της ταυτόχρονης χορήγησης. </w:t>
      </w:r>
      <w:r w:rsidRPr="006B1BBE">
        <w:rPr>
          <w:rFonts w:ascii="Times New Roman" w:hAnsi="Times New Roman" w:cs="Times New Roman"/>
        </w:rPr>
        <w:t xml:space="preserve">Όταν ασθενείς λαμβάνουν </w:t>
      </w:r>
      <w:r w:rsidR="000668A8" w:rsidRPr="000668A8">
        <w:rPr>
          <w:rFonts w:ascii="Times New Roman" w:hAnsi="Times New Roman" w:cs="Times New Roman"/>
        </w:rPr>
        <w:t>φαρμακευτικά προϊόντα</w:t>
      </w:r>
      <w:r w:rsidRPr="006B1BBE">
        <w:rPr>
          <w:rFonts w:ascii="Times New Roman" w:hAnsi="Times New Roman" w:cs="Times New Roman"/>
        </w:rPr>
        <w:t>τα οπο</w:t>
      </w:r>
      <w:r w:rsidR="00A51984" w:rsidRPr="006B1BBE">
        <w:rPr>
          <w:rFonts w:ascii="Times New Roman" w:hAnsi="Times New Roman" w:cs="Times New Roman"/>
        </w:rPr>
        <w:t xml:space="preserve">ία αυξάνουν την συγκέντρωση της </w:t>
      </w:r>
      <w:r w:rsidRPr="006B1BBE">
        <w:rPr>
          <w:rFonts w:ascii="Times New Roman" w:hAnsi="Times New Roman" w:cs="Times New Roman"/>
        </w:rPr>
        <w:t xml:space="preserve">ατορβαστατίνης στο πλάσμα, συνίσταται χαμηλότερη </w:t>
      </w:r>
      <w:r w:rsidR="000668A8">
        <w:rPr>
          <w:rFonts w:ascii="Times New Roman" w:hAnsi="Times New Roman" w:cs="Times New Roman"/>
        </w:rPr>
        <w:t xml:space="preserve"> μέγιστη </w:t>
      </w:r>
      <w:r w:rsidR="00A51984" w:rsidRPr="006B1BBE">
        <w:rPr>
          <w:rFonts w:ascii="Times New Roman" w:hAnsi="Times New Roman" w:cs="Times New Roman"/>
        </w:rPr>
        <w:t xml:space="preserve">δόση ατορβαστατίνης. </w:t>
      </w:r>
      <w:r w:rsidR="000668A8" w:rsidRPr="000668A8">
        <w:rPr>
          <w:rFonts w:ascii="Times New Roman" w:hAnsi="Times New Roman" w:cs="Times New Roman"/>
        </w:rPr>
        <w:t>Επιπρόσθετα, σε περιπτώσεις ισχυρών αναστολέων του CYP3A4,θα πρέπει να εξετάζεται χαμηλότερη</w:t>
      </w:r>
      <w:r w:rsidR="000668A8">
        <w:rPr>
          <w:rFonts w:ascii="Times New Roman" w:hAnsi="Times New Roman" w:cs="Times New Roman"/>
        </w:rPr>
        <w:t xml:space="preserve">  αρχική </w:t>
      </w:r>
      <w:r w:rsidRPr="006B1BBE">
        <w:rPr>
          <w:rFonts w:ascii="Times New Roman" w:hAnsi="Times New Roman" w:cs="Times New Roman"/>
        </w:rPr>
        <w:t>δόση ατορβαστατίνης και</w:t>
      </w:r>
      <w:r w:rsidR="00A51984" w:rsidRPr="006B1BBE">
        <w:rPr>
          <w:rFonts w:ascii="Times New Roman" w:hAnsi="Times New Roman" w:cs="Times New Roman"/>
        </w:rPr>
        <w:t xml:space="preserve"> συνιστάται η κατάλληλη κλινική </w:t>
      </w:r>
      <w:r w:rsidRPr="006B1BBE">
        <w:rPr>
          <w:rFonts w:ascii="Times New Roman" w:hAnsi="Times New Roman" w:cs="Times New Roman"/>
        </w:rPr>
        <w:t>παρακολούθηση αυτών των ασθενών. (Βλέπε Παράγραφο 4.5).</w:t>
      </w:r>
      <w:r w:rsidR="000668A8">
        <w:rPr>
          <w:rFonts w:ascii="Times New Roman" w:hAnsi="Times New Roman" w:cs="Times New Roman"/>
        </w:rPr>
        <w:t xml:space="preserve"> </w:t>
      </w:r>
    </w:p>
    <w:p w:rsidR="00A51984" w:rsidRPr="006B1BBE" w:rsidRDefault="00A51984" w:rsidP="008525D4">
      <w:pPr>
        <w:spacing w:after="0" w:line="240" w:lineRule="auto"/>
        <w:jc w:val="both"/>
        <w:rPr>
          <w:rFonts w:ascii="Times New Roman" w:hAnsi="Times New Roman" w:cs="Times New Roman"/>
        </w:rPr>
      </w:pPr>
    </w:p>
    <w:p w:rsidR="00C14AD1" w:rsidRDefault="00C14AD1" w:rsidP="008525D4">
      <w:pPr>
        <w:spacing w:after="0" w:line="240" w:lineRule="auto"/>
        <w:jc w:val="both"/>
        <w:rPr>
          <w:rFonts w:ascii="Times New Roman" w:hAnsi="Times New Roman" w:cs="Times New Roman"/>
        </w:rPr>
      </w:pPr>
      <w:r w:rsidRPr="00C14AD1">
        <w:rPr>
          <w:rFonts w:ascii="Times New Roman" w:hAnsi="Times New Roman" w:cs="Times New Roman"/>
        </w:rPr>
        <w:t>Η ταυτόχρονη χρήση ατορβαστατίνης και φουσιδικού οξέος δεν συνιστάται, ως εκ τούτου, προσωρινή διακοπή της ατορβαστατίνης μπορεί να εξετάζεται κατά τη διάρκεια θεραπείας με φουσιδικό οξύ (βλέπε παράγραφο 4.5).</w:t>
      </w:r>
    </w:p>
    <w:p w:rsidR="00A51984" w:rsidRPr="006B1BBE" w:rsidRDefault="00A51984" w:rsidP="008525D4">
      <w:pPr>
        <w:spacing w:after="0" w:line="240" w:lineRule="auto"/>
        <w:jc w:val="both"/>
        <w:rPr>
          <w:rFonts w:ascii="Times New Roman" w:hAnsi="Times New Roman" w:cs="Times New Roman"/>
        </w:rPr>
      </w:pPr>
    </w:p>
    <w:p w:rsidR="00895710" w:rsidRPr="00941456" w:rsidRDefault="00895710" w:rsidP="00895710">
      <w:pPr>
        <w:spacing w:after="0" w:line="240" w:lineRule="auto"/>
        <w:jc w:val="both"/>
        <w:rPr>
          <w:rFonts w:ascii="Times New Roman" w:hAnsi="Times New Roman" w:cs="Times New Roman"/>
          <w:u w:val="single"/>
        </w:rPr>
      </w:pPr>
      <w:r w:rsidRPr="00941456">
        <w:rPr>
          <w:rFonts w:ascii="Times New Roman" w:hAnsi="Times New Roman" w:cs="Times New Roman"/>
          <w:u w:val="single"/>
        </w:rPr>
        <w:t>Διάμεση πνευμονοπάθεια</w:t>
      </w:r>
    </w:p>
    <w:p w:rsidR="00895710" w:rsidRPr="00900C58" w:rsidRDefault="00895710" w:rsidP="00895710">
      <w:pPr>
        <w:spacing w:after="0" w:line="240" w:lineRule="auto"/>
        <w:jc w:val="both"/>
        <w:rPr>
          <w:rFonts w:ascii="Times New Roman" w:hAnsi="Times New Roman" w:cs="Times New Roman"/>
        </w:rPr>
      </w:pPr>
    </w:p>
    <w:p w:rsidR="00895710" w:rsidRPr="00900C58" w:rsidRDefault="00895710" w:rsidP="00895710">
      <w:pPr>
        <w:spacing w:after="0" w:line="240" w:lineRule="auto"/>
        <w:jc w:val="both"/>
        <w:rPr>
          <w:rFonts w:ascii="Times New Roman" w:hAnsi="Times New Roman" w:cs="Times New Roman"/>
        </w:rPr>
      </w:pPr>
      <w:r w:rsidRPr="00900C58">
        <w:rPr>
          <w:rFonts w:ascii="Times New Roman" w:hAnsi="Times New Roman" w:cs="Times New Roman"/>
        </w:rPr>
        <w:t>Έχουν αναφερθεί σπάνιες περιπτώσεις διάμεσης πνευμονοπάθειας με μερικές στατίνες, ιδιαίτερα με μακροχρόνια θεραπεία (βλέπε παράγραφο 4.8). Χαρακτηριστικά συμπτώματα μπορεί να περιλαμβάνουν δύσπνοια, μη-παραγωγικό βήχα και επιδείνωση της γενικής κατάστασης της υγείας (καταβολή, απώλεια βάρους και πυρετός). Εάν υπάρχει υποψία ότι ασθενής έχει αναπτύξει διάμεση πνευμονοπάθεια, η θεραπεία με στατίνες θα πρέπει να διακοπεί.</w:t>
      </w:r>
    </w:p>
    <w:p w:rsidR="00895710" w:rsidRPr="00900C58" w:rsidRDefault="00895710" w:rsidP="00895710">
      <w:pPr>
        <w:spacing w:after="0" w:line="240" w:lineRule="auto"/>
        <w:jc w:val="both"/>
        <w:rPr>
          <w:rFonts w:ascii="Times New Roman" w:hAnsi="Times New Roman" w:cs="Times New Roman"/>
        </w:rPr>
      </w:pPr>
    </w:p>
    <w:p w:rsidR="00895710" w:rsidRPr="00941456" w:rsidRDefault="00895710" w:rsidP="00895710">
      <w:pPr>
        <w:spacing w:after="0" w:line="240" w:lineRule="auto"/>
        <w:jc w:val="both"/>
        <w:rPr>
          <w:rFonts w:ascii="Times New Roman" w:hAnsi="Times New Roman" w:cs="Times New Roman"/>
          <w:u w:val="single"/>
        </w:rPr>
      </w:pPr>
      <w:r w:rsidRPr="00941456">
        <w:rPr>
          <w:rFonts w:ascii="Times New Roman" w:hAnsi="Times New Roman" w:cs="Times New Roman"/>
          <w:u w:val="single"/>
        </w:rPr>
        <w:t>Έκδοχα</w:t>
      </w:r>
    </w:p>
    <w:p w:rsidR="00895710" w:rsidRPr="00900C58" w:rsidRDefault="00895710" w:rsidP="00895710">
      <w:pPr>
        <w:spacing w:after="0" w:line="240" w:lineRule="auto"/>
        <w:jc w:val="both"/>
        <w:rPr>
          <w:rFonts w:ascii="Times New Roman" w:hAnsi="Times New Roman" w:cs="Times New Roman"/>
        </w:rPr>
      </w:pPr>
    </w:p>
    <w:p w:rsidR="00A51984" w:rsidRPr="00900C58" w:rsidRDefault="00895710" w:rsidP="00895710">
      <w:pPr>
        <w:spacing w:after="0" w:line="240" w:lineRule="auto"/>
        <w:jc w:val="both"/>
        <w:rPr>
          <w:rFonts w:ascii="Times New Roman" w:hAnsi="Times New Roman" w:cs="Times New Roman"/>
        </w:rPr>
      </w:pPr>
      <w:r w:rsidRPr="00900C58">
        <w:rPr>
          <w:rFonts w:ascii="Times New Roman" w:hAnsi="Times New Roman" w:cs="Times New Roman"/>
        </w:rPr>
        <w:t xml:space="preserve">Το </w:t>
      </w:r>
      <w:r w:rsidR="00BC1E58">
        <w:rPr>
          <w:rFonts w:ascii="Times New Roman" w:hAnsi="Times New Roman" w:cs="Times New Roman"/>
          <w:lang w:val="en-US"/>
        </w:rPr>
        <w:t>ZARASTIN</w:t>
      </w:r>
      <w:r w:rsidRPr="00900C58">
        <w:rPr>
          <w:rFonts w:ascii="Times New Roman" w:hAnsi="Times New Roman" w:cs="Times New Roman"/>
        </w:rPr>
        <w:t xml:space="preserve"> περιέχει λακτόζη. Οι ασθενείς με σπάνια κληρονομικά προβλήματα δυσανεξίας στην γαλακτόζη, έλλειψη λακτάσης Lapp ή δυσαπορρόφηση γλυκόζης-γαλακτόζης, δεν θα πρέπει να λαμβάνουν αυτό το φάρμακο.</w:t>
      </w:r>
    </w:p>
    <w:p w:rsidR="00895710" w:rsidRPr="006B1BBE" w:rsidRDefault="00895710" w:rsidP="008525D4">
      <w:pPr>
        <w:spacing w:after="0" w:line="240" w:lineRule="auto"/>
        <w:jc w:val="both"/>
        <w:rPr>
          <w:rFonts w:ascii="Times New Roman" w:hAnsi="Times New Roman" w:cs="Times New Roman"/>
          <w:b/>
        </w:rPr>
      </w:pPr>
    </w:p>
    <w:p w:rsidR="00F457BF" w:rsidRPr="006B1BBE" w:rsidRDefault="00F457BF" w:rsidP="00A51984">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lastRenderedPageBreak/>
        <w:t>Αλληλεπιδράσεις με άλλα φαρμακε</w:t>
      </w:r>
      <w:r w:rsidR="00A51984" w:rsidRPr="006B1BBE">
        <w:rPr>
          <w:rFonts w:ascii="Times New Roman" w:hAnsi="Times New Roman" w:cs="Times New Roman"/>
          <w:b/>
        </w:rPr>
        <w:t xml:space="preserve">υτικά προϊόντα και άλλες μορφές </w:t>
      </w:r>
      <w:r w:rsidRPr="006B1BBE">
        <w:rPr>
          <w:rFonts w:ascii="Times New Roman" w:hAnsi="Times New Roman" w:cs="Times New Roman"/>
          <w:b/>
        </w:rPr>
        <w:t>αλληλεπίδρασης</w:t>
      </w:r>
    </w:p>
    <w:p w:rsidR="00A51984" w:rsidRPr="00900C58" w:rsidRDefault="00A51984" w:rsidP="008525D4">
      <w:pPr>
        <w:spacing w:after="0" w:line="240" w:lineRule="auto"/>
        <w:jc w:val="both"/>
        <w:rPr>
          <w:rFonts w:ascii="Times New Roman" w:hAnsi="Times New Roman" w:cs="Times New Roman"/>
        </w:rPr>
      </w:pPr>
    </w:p>
    <w:p w:rsidR="00B56AAF" w:rsidRPr="00941456" w:rsidRDefault="00B56AAF" w:rsidP="008525D4">
      <w:pPr>
        <w:spacing w:after="0" w:line="240" w:lineRule="auto"/>
        <w:jc w:val="both"/>
        <w:rPr>
          <w:rFonts w:ascii="Times New Roman" w:hAnsi="Times New Roman" w:cs="Times New Roman"/>
          <w:u w:val="single"/>
        </w:rPr>
      </w:pPr>
      <w:r w:rsidRPr="00941456">
        <w:rPr>
          <w:rFonts w:ascii="Times New Roman" w:hAnsi="Times New Roman" w:cs="Times New Roman"/>
          <w:u w:val="single"/>
        </w:rPr>
        <w:t>Επίδραση συγχορηγούμενων φαρμακευτικών προϊόντων στην ατορβαστατίνη</w:t>
      </w:r>
    </w:p>
    <w:p w:rsidR="00B56AAF" w:rsidRPr="00900C58" w:rsidRDefault="00B56AAF" w:rsidP="008525D4">
      <w:pPr>
        <w:spacing w:after="0" w:line="240" w:lineRule="auto"/>
        <w:jc w:val="both"/>
        <w:rPr>
          <w:rFonts w:ascii="Times New Roman" w:hAnsi="Times New Roman" w:cs="Times New Roman"/>
        </w:rPr>
      </w:pPr>
    </w:p>
    <w:p w:rsidR="00B56AAF" w:rsidRPr="00900C58" w:rsidRDefault="00B56AAF" w:rsidP="008525D4">
      <w:pPr>
        <w:spacing w:after="0" w:line="240" w:lineRule="auto"/>
        <w:jc w:val="both"/>
        <w:rPr>
          <w:rFonts w:ascii="Times New Roman" w:hAnsi="Times New Roman" w:cs="Times New Roman"/>
        </w:rPr>
      </w:pPr>
      <w:r w:rsidRPr="00900C58">
        <w:rPr>
          <w:rFonts w:ascii="Times New Roman" w:hAnsi="Times New Roman" w:cs="Times New Roman"/>
        </w:rPr>
        <w:t>Η ατορβαστατίνη μεταβολίζεται από το κυτόχρωμα Ρ450 3Α4 (</w:t>
      </w:r>
      <w:r w:rsidRPr="00B56AAF">
        <w:rPr>
          <w:rFonts w:ascii="Times New Roman" w:hAnsi="Times New Roman" w:cs="Times New Roman"/>
          <w:lang w:val="en-US"/>
        </w:rPr>
        <w:t>CYP</w:t>
      </w:r>
      <w:r w:rsidRPr="00900C58">
        <w:rPr>
          <w:rFonts w:ascii="Times New Roman" w:hAnsi="Times New Roman" w:cs="Times New Roman"/>
        </w:rPr>
        <w:t>3</w:t>
      </w:r>
      <w:r w:rsidRPr="00B56AAF">
        <w:rPr>
          <w:rFonts w:ascii="Times New Roman" w:hAnsi="Times New Roman" w:cs="Times New Roman"/>
          <w:lang w:val="en-US"/>
        </w:rPr>
        <w:t>A</w:t>
      </w:r>
      <w:r w:rsidRPr="00900C58">
        <w:rPr>
          <w:rFonts w:ascii="Times New Roman" w:hAnsi="Times New Roman" w:cs="Times New Roman"/>
        </w:rPr>
        <w:t xml:space="preserve">4) και είναι υπόστρωμα διακομιστών πρωτεϊνών π.χ. του διακομιστή ηπατικής πρόσληψης </w:t>
      </w:r>
      <w:r w:rsidRPr="00B56AAF">
        <w:rPr>
          <w:rFonts w:ascii="Times New Roman" w:hAnsi="Times New Roman" w:cs="Times New Roman"/>
          <w:lang w:val="en-US"/>
        </w:rPr>
        <w:t>OATP</w:t>
      </w:r>
      <w:r w:rsidRPr="00900C58">
        <w:rPr>
          <w:rFonts w:ascii="Times New Roman" w:hAnsi="Times New Roman" w:cs="Times New Roman"/>
        </w:rPr>
        <w:t>1</w:t>
      </w:r>
      <w:r w:rsidRPr="00B56AAF">
        <w:rPr>
          <w:rFonts w:ascii="Times New Roman" w:hAnsi="Times New Roman" w:cs="Times New Roman"/>
          <w:lang w:val="en-US"/>
        </w:rPr>
        <w:t>B</w:t>
      </w:r>
      <w:r w:rsidRPr="00900C58">
        <w:rPr>
          <w:rFonts w:ascii="Times New Roman" w:hAnsi="Times New Roman" w:cs="Times New Roman"/>
        </w:rPr>
        <w:t xml:space="preserve">1. Η ταυτόχρονη χορήγηση φαρμακευτικών προϊόντων που είναι αναστολείς του </w:t>
      </w:r>
      <w:r w:rsidRPr="00B56AAF">
        <w:rPr>
          <w:rFonts w:ascii="Times New Roman" w:hAnsi="Times New Roman" w:cs="Times New Roman"/>
          <w:lang w:val="en-US"/>
        </w:rPr>
        <w:t>CYP</w:t>
      </w:r>
      <w:r w:rsidRPr="00900C58">
        <w:rPr>
          <w:rFonts w:ascii="Times New Roman" w:hAnsi="Times New Roman" w:cs="Times New Roman"/>
        </w:rPr>
        <w:t>3</w:t>
      </w:r>
      <w:r w:rsidRPr="00B56AAF">
        <w:rPr>
          <w:rFonts w:ascii="Times New Roman" w:hAnsi="Times New Roman" w:cs="Times New Roman"/>
          <w:lang w:val="en-US"/>
        </w:rPr>
        <w:t>A</w:t>
      </w:r>
      <w:r w:rsidRPr="00900C58">
        <w:rPr>
          <w:rFonts w:ascii="Times New Roman" w:hAnsi="Times New Roman" w:cs="Times New Roman"/>
        </w:rPr>
        <w:t>4 ή των πρωτεϊνών διακομιστών μπορεί να οδηγήσει σε αυξημένες συγκεντρώσεις ατορβαστατίνης στο πλάσμα και σε αυξημένο κίνδυνο εκδήλωσης μυοπάθειας. Ο κίνδυνος μπορεί να αυξηθεί κατά την ταυτόχρονη χορήγηση ατορβαστατίνης με άλλα φαρμακευτικά προϊόντα τα οποία δυνητικά μπορεί να προκαλέσουν μυοπάθεια, όπως φιβράτες και εζετιμίμπη (βλέπε παράγραφο 4.4).</w:t>
      </w:r>
    </w:p>
    <w:p w:rsidR="00B56AAF" w:rsidRPr="00900C58" w:rsidRDefault="00B56AAF" w:rsidP="008525D4">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 xml:space="preserve">Αναστολείς </w:t>
      </w:r>
      <w:r w:rsidRPr="00941456">
        <w:rPr>
          <w:rFonts w:ascii="Times New Roman" w:hAnsi="Times New Roman" w:cs="Times New Roman"/>
          <w:i/>
          <w:u w:val="single"/>
          <w:lang w:val="en-US"/>
        </w:rPr>
        <w:t>CYP</w:t>
      </w:r>
      <w:r w:rsidRPr="00941456">
        <w:rPr>
          <w:rFonts w:ascii="Times New Roman" w:hAnsi="Times New Roman" w:cs="Times New Roman"/>
          <w:i/>
          <w:u w:val="single"/>
        </w:rPr>
        <w:t>3</w:t>
      </w:r>
      <w:r w:rsidRPr="00941456">
        <w:rPr>
          <w:rFonts w:ascii="Times New Roman" w:hAnsi="Times New Roman" w:cs="Times New Roman"/>
          <w:i/>
          <w:u w:val="single"/>
          <w:lang w:val="en-US"/>
        </w:rPr>
        <w:t>A</w:t>
      </w:r>
      <w:r w:rsidRPr="00941456">
        <w:rPr>
          <w:rFonts w:ascii="Times New Roman" w:hAnsi="Times New Roman" w:cs="Times New Roman"/>
          <w:i/>
          <w:u w:val="single"/>
        </w:rPr>
        <w:t>4</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 xml:space="preserve">Ισχυροί αναστολείς του </w:t>
      </w:r>
      <w:r w:rsidRPr="00B56AAF">
        <w:rPr>
          <w:rFonts w:ascii="Times New Roman" w:hAnsi="Times New Roman" w:cs="Times New Roman"/>
          <w:lang w:val="en-US"/>
        </w:rPr>
        <w:t>CYP</w:t>
      </w:r>
      <w:r w:rsidRPr="00900C58">
        <w:rPr>
          <w:rFonts w:ascii="Times New Roman" w:hAnsi="Times New Roman" w:cs="Times New Roman"/>
        </w:rPr>
        <w:t>3</w:t>
      </w:r>
      <w:r w:rsidRPr="00B56AAF">
        <w:rPr>
          <w:rFonts w:ascii="Times New Roman" w:hAnsi="Times New Roman" w:cs="Times New Roman"/>
          <w:lang w:val="en-US"/>
        </w:rPr>
        <w:t>A</w:t>
      </w:r>
      <w:r w:rsidRPr="00900C58">
        <w:rPr>
          <w:rFonts w:ascii="Times New Roman" w:hAnsi="Times New Roman" w:cs="Times New Roman"/>
        </w:rPr>
        <w:t xml:space="preserve">4 έχει αποδειχθεί ότι οδηγούν σε υψηλά επίπεδα συγκεντρώσεως ατορβαστατίνης (βλέπε Πίνακα 1 και σχετικές πληροφορίες παρακάτω). Συγχορήγηση ισχυρών αναστολέων του </w:t>
      </w:r>
      <w:r w:rsidRPr="00B56AAF">
        <w:rPr>
          <w:rFonts w:ascii="Times New Roman" w:hAnsi="Times New Roman" w:cs="Times New Roman"/>
          <w:lang w:val="en-US"/>
        </w:rPr>
        <w:t>CYP</w:t>
      </w:r>
      <w:r w:rsidRPr="00900C58">
        <w:rPr>
          <w:rFonts w:ascii="Times New Roman" w:hAnsi="Times New Roman" w:cs="Times New Roman"/>
        </w:rPr>
        <w:t>3</w:t>
      </w:r>
      <w:r w:rsidRPr="00B56AAF">
        <w:rPr>
          <w:rFonts w:ascii="Times New Roman" w:hAnsi="Times New Roman" w:cs="Times New Roman"/>
          <w:lang w:val="en-US"/>
        </w:rPr>
        <w:t>A</w:t>
      </w:r>
      <w:r w:rsidRPr="00900C58">
        <w:rPr>
          <w:rFonts w:ascii="Times New Roman" w:hAnsi="Times New Roman" w:cs="Times New Roman"/>
        </w:rPr>
        <w:t xml:space="preserve">4 (π.χ. κυκλοσπορίνη, τελιθρομυκίνη, κλαριθρομυκίνη, </w:t>
      </w:r>
      <w:proofErr w:type="spellStart"/>
      <w:r w:rsidRPr="00B56AAF">
        <w:rPr>
          <w:rFonts w:ascii="Times New Roman" w:hAnsi="Times New Roman" w:cs="Times New Roman"/>
          <w:lang w:val="en-US"/>
        </w:rPr>
        <w:t>delavirdine</w:t>
      </w:r>
      <w:proofErr w:type="spellEnd"/>
      <w:r w:rsidRPr="00900C58">
        <w:rPr>
          <w:rFonts w:ascii="Times New Roman" w:hAnsi="Times New Roman" w:cs="Times New Roman"/>
        </w:rPr>
        <w:t xml:space="preserve">, </w:t>
      </w:r>
      <w:proofErr w:type="spellStart"/>
      <w:r w:rsidRPr="00B56AAF">
        <w:rPr>
          <w:rFonts w:ascii="Times New Roman" w:hAnsi="Times New Roman" w:cs="Times New Roman"/>
          <w:lang w:val="en-US"/>
        </w:rPr>
        <w:t>stiripentol</w:t>
      </w:r>
      <w:proofErr w:type="spellEnd"/>
      <w:r w:rsidRPr="00900C58">
        <w:rPr>
          <w:rFonts w:ascii="Times New Roman" w:hAnsi="Times New Roman" w:cs="Times New Roman"/>
        </w:rPr>
        <w:t xml:space="preserve">, κετοκοναζόλη, βορικοναζόλη, ιτρακοναζόλη, ποσακοναζόλη και αναστολείς της </w:t>
      </w:r>
      <w:r w:rsidRPr="00B56AAF">
        <w:rPr>
          <w:rFonts w:ascii="Times New Roman" w:hAnsi="Times New Roman" w:cs="Times New Roman"/>
          <w:lang w:val="en-US"/>
        </w:rPr>
        <w:t>HIV</w:t>
      </w:r>
      <w:r w:rsidRPr="00900C58">
        <w:rPr>
          <w:rFonts w:ascii="Times New Roman" w:hAnsi="Times New Roman" w:cs="Times New Roman"/>
        </w:rPr>
        <w:t xml:space="preserve"> πρωτεάσης συμπεριλαμβανομένης της ριτοναβίρης, λοπιναβίρης, αταζαναβίρης, ινδιναβίρης, </w:t>
      </w:r>
      <w:proofErr w:type="spellStart"/>
      <w:r w:rsidRPr="00B56AAF">
        <w:rPr>
          <w:rFonts w:ascii="Times New Roman" w:hAnsi="Times New Roman" w:cs="Times New Roman"/>
          <w:lang w:val="en-US"/>
        </w:rPr>
        <w:t>darunavir</w:t>
      </w:r>
      <w:proofErr w:type="spellEnd"/>
      <w:r w:rsidRPr="00900C58">
        <w:rPr>
          <w:rFonts w:ascii="Times New Roman" w:hAnsi="Times New Roman" w:cs="Times New Roman"/>
        </w:rPr>
        <w:t>, κτλ) θα πρέπει να αποφεύγεται εάν είναι δυνατόν. Σε περιπτώσεις όπου η συγχορήγηση αυτών των φαρμακευτικών προϊόντων με ατορβαστατίνη δεν είναι δυνατόν να αποφευχθεί, θα πρέπει να εξετάζεται χαμηλότερη αρχική δόση ατορβαστατίνης και συνιστάται κατάλληλη κλινική παρακολούθηση του ασθενή (βλέπε Πίνακα 1).</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 xml:space="preserve">Μέτριας ισχύος αναστολείς του </w:t>
      </w:r>
      <w:r w:rsidRPr="00B56AAF">
        <w:rPr>
          <w:rFonts w:ascii="Times New Roman" w:hAnsi="Times New Roman" w:cs="Times New Roman"/>
          <w:lang w:val="en-US"/>
        </w:rPr>
        <w:t>CYP</w:t>
      </w:r>
      <w:r w:rsidRPr="00900C58">
        <w:rPr>
          <w:rFonts w:ascii="Times New Roman" w:hAnsi="Times New Roman" w:cs="Times New Roman"/>
        </w:rPr>
        <w:t>3</w:t>
      </w:r>
      <w:r w:rsidRPr="00B56AAF">
        <w:rPr>
          <w:rFonts w:ascii="Times New Roman" w:hAnsi="Times New Roman" w:cs="Times New Roman"/>
          <w:lang w:val="en-US"/>
        </w:rPr>
        <w:t>A</w:t>
      </w:r>
      <w:r w:rsidRPr="00900C58">
        <w:rPr>
          <w:rFonts w:ascii="Times New Roman" w:hAnsi="Times New Roman" w:cs="Times New Roman"/>
        </w:rPr>
        <w:t xml:space="preserve">4 (π.χ. ερυθρομυκίνη, διλτιαζέμη, βεραπαμίλη και φλουκοναζόλη) μπορεί να αυξήσουν τα επίπεδα συγκέντρωσης της ατορβαστατίνης στο ορό του αίματος (βλέπε Πίνακα 1). Έχει παρατηρηθεί αυξημένος κίνδυνος εκδήλωσης μυοπάθειας με την χρήση ερυθρομυκίνης σε συνδυασμό με στατίνες. Δεν έχουν διεξαχθεί μελέτες αλληλεπίδρασης οι οποίες να έχουν αξιολογήσει τις επιδράσεις της αμιοδαρόνης ή της βεραπαμίλης στην ατορβαστατίνη. Είναι γνωστό ότι η αμιοδαρόνη και η βεραπαμίλη αναστέλλουν την λειτουργία του </w:t>
      </w:r>
      <w:r w:rsidRPr="00B56AAF">
        <w:rPr>
          <w:rFonts w:ascii="Times New Roman" w:hAnsi="Times New Roman" w:cs="Times New Roman"/>
          <w:lang w:val="en-US"/>
        </w:rPr>
        <w:t>CYP</w:t>
      </w:r>
      <w:r w:rsidRPr="00900C58">
        <w:rPr>
          <w:rFonts w:ascii="Times New Roman" w:hAnsi="Times New Roman" w:cs="Times New Roman"/>
        </w:rPr>
        <w:t>3</w:t>
      </w:r>
      <w:r w:rsidRPr="00B56AAF">
        <w:rPr>
          <w:rFonts w:ascii="Times New Roman" w:hAnsi="Times New Roman" w:cs="Times New Roman"/>
          <w:lang w:val="en-US"/>
        </w:rPr>
        <w:t>A</w:t>
      </w:r>
      <w:r w:rsidRPr="00900C58">
        <w:rPr>
          <w:rFonts w:ascii="Times New Roman" w:hAnsi="Times New Roman" w:cs="Times New Roman"/>
        </w:rPr>
        <w:t xml:space="preserve">4 και συγχορήγηση με ατορβαστατίνη μπορεί να έχει σαν αποτέλεσμα αυξημένη έκθεση στην ατορβαστατίνη. Ως εκ τούτου, θα πρέπει να εξετάζεται χαμηλότερη μέγιστη δόση ατορβαστατίνης και συνιστάται κατάλληλη κλινική παρακολούθηση του ασθενή όταν συγχορηγείται με μέτριους αναστολείς του </w:t>
      </w:r>
      <w:r w:rsidRPr="00B56AAF">
        <w:rPr>
          <w:rFonts w:ascii="Times New Roman" w:hAnsi="Times New Roman" w:cs="Times New Roman"/>
          <w:lang w:val="en-US"/>
        </w:rPr>
        <w:t>CYP</w:t>
      </w:r>
      <w:r w:rsidRPr="00900C58">
        <w:rPr>
          <w:rFonts w:ascii="Times New Roman" w:hAnsi="Times New Roman" w:cs="Times New Roman"/>
        </w:rPr>
        <w:t>3</w:t>
      </w:r>
      <w:r w:rsidRPr="00B56AAF">
        <w:rPr>
          <w:rFonts w:ascii="Times New Roman" w:hAnsi="Times New Roman" w:cs="Times New Roman"/>
          <w:lang w:val="en-US"/>
        </w:rPr>
        <w:t>A</w:t>
      </w:r>
      <w:r w:rsidRPr="00900C58">
        <w:rPr>
          <w:rFonts w:ascii="Times New Roman" w:hAnsi="Times New Roman" w:cs="Times New Roman"/>
        </w:rPr>
        <w:t>4. Συνιστάται κατάλληλη κλινική παρακολούθηση του ασθενή μετά την έναρξη ή κατόπιν αναπροσαρμογών στη δοσολογία του αναστολέα.</w:t>
      </w:r>
    </w:p>
    <w:p w:rsidR="00B56AAF" w:rsidRPr="00900C58" w:rsidRDefault="00B56AAF" w:rsidP="00B56AAF">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 xml:space="preserve">Επαγωγείς του </w:t>
      </w:r>
      <w:r w:rsidRPr="00941456">
        <w:rPr>
          <w:rFonts w:ascii="Times New Roman" w:hAnsi="Times New Roman" w:cs="Times New Roman"/>
          <w:i/>
          <w:u w:val="single"/>
          <w:lang w:val="en-US"/>
        </w:rPr>
        <w:t>CYP</w:t>
      </w:r>
      <w:r w:rsidRPr="00941456">
        <w:rPr>
          <w:rFonts w:ascii="Times New Roman" w:hAnsi="Times New Roman" w:cs="Times New Roman"/>
          <w:i/>
          <w:u w:val="single"/>
        </w:rPr>
        <w:t>3</w:t>
      </w:r>
      <w:r w:rsidRPr="00941456">
        <w:rPr>
          <w:rFonts w:ascii="Times New Roman" w:hAnsi="Times New Roman" w:cs="Times New Roman"/>
          <w:i/>
          <w:u w:val="single"/>
          <w:lang w:val="en-US"/>
        </w:rPr>
        <w:t>A</w:t>
      </w:r>
      <w:r w:rsidRPr="00941456">
        <w:rPr>
          <w:rFonts w:ascii="Times New Roman" w:hAnsi="Times New Roman" w:cs="Times New Roman"/>
          <w:i/>
          <w:u w:val="single"/>
        </w:rPr>
        <w:t>4</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 xml:space="preserve">Ταυτόχρονη χορήγηση ατοβαρστατίνης με επαγωγείς του κυτοχρώματος </w:t>
      </w:r>
      <w:r w:rsidRPr="00B56AAF">
        <w:rPr>
          <w:rFonts w:ascii="Times New Roman" w:hAnsi="Times New Roman" w:cs="Times New Roman"/>
          <w:lang w:val="en-US"/>
        </w:rPr>
        <w:t>P</w:t>
      </w:r>
      <w:r w:rsidRPr="00900C58">
        <w:rPr>
          <w:rFonts w:ascii="Times New Roman" w:hAnsi="Times New Roman" w:cs="Times New Roman"/>
        </w:rPr>
        <w:t>450 3</w:t>
      </w:r>
      <w:r w:rsidRPr="00B56AAF">
        <w:rPr>
          <w:rFonts w:ascii="Times New Roman" w:hAnsi="Times New Roman" w:cs="Times New Roman"/>
          <w:lang w:val="en-US"/>
        </w:rPr>
        <w:t>A</w:t>
      </w:r>
      <w:r w:rsidRPr="00900C58">
        <w:rPr>
          <w:rFonts w:ascii="Times New Roman" w:hAnsi="Times New Roman" w:cs="Times New Roman"/>
        </w:rPr>
        <w:t xml:space="preserve">4 (π.χ. εφαβιρένζη, ριφαμπικίνη, </w:t>
      </w:r>
      <w:r w:rsidRPr="00B56AAF">
        <w:rPr>
          <w:rFonts w:ascii="Times New Roman" w:hAnsi="Times New Roman" w:cs="Times New Roman"/>
          <w:lang w:val="en-US"/>
        </w:rPr>
        <w:t>St</w:t>
      </w:r>
      <w:r w:rsidRPr="00900C58">
        <w:rPr>
          <w:rFonts w:ascii="Times New Roman" w:hAnsi="Times New Roman" w:cs="Times New Roman"/>
        </w:rPr>
        <w:t xml:space="preserve">. </w:t>
      </w:r>
      <w:proofErr w:type="gramStart"/>
      <w:r w:rsidRPr="00B56AAF">
        <w:rPr>
          <w:rFonts w:ascii="Times New Roman" w:hAnsi="Times New Roman" w:cs="Times New Roman"/>
          <w:lang w:val="en-US"/>
        </w:rPr>
        <w:t>John</w:t>
      </w:r>
      <w:r w:rsidRPr="00900C58">
        <w:rPr>
          <w:rFonts w:ascii="Times New Roman" w:hAnsi="Times New Roman" w:cs="Times New Roman"/>
        </w:rPr>
        <w:t>’</w:t>
      </w:r>
      <w:r w:rsidRPr="00B56AAF">
        <w:rPr>
          <w:rFonts w:ascii="Times New Roman" w:hAnsi="Times New Roman" w:cs="Times New Roman"/>
          <w:lang w:val="en-US"/>
        </w:rPr>
        <w:t>s</w:t>
      </w:r>
      <w:r w:rsidRPr="00900C58">
        <w:rPr>
          <w:rFonts w:ascii="Times New Roman" w:hAnsi="Times New Roman" w:cs="Times New Roman"/>
        </w:rPr>
        <w:t xml:space="preserve"> </w:t>
      </w:r>
      <w:proofErr w:type="spellStart"/>
      <w:r w:rsidRPr="00B56AAF">
        <w:rPr>
          <w:rFonts w:ascii="Times New Roman" w:hAnsi="Times New Roman" w:cs="Times New Roman"/>
          <w:lang w:val="en-US"/>
        </w:rPr>
        <w:t>Wort</w:t>
      </w:r>
      <w:proofErr w:type="spellEnd"/>
      <w:r w:rsidRPr="00900C58">
        <w:rPr>
          <w:rFonts w:ascii="Times New Roman" w:hAnsi="Times New Roman" w:cs="Times New Roman"/>
        </w:rPr>
        <w:t>) μπορεί να οδηγήσει σε διάφορες μειώσεις των συγκεντρώσεων της ατορβαστατίνης στο πλάσμα.</w:t>
      </w:r>
      <w:proofErr w:type="gramEnd"/>
      <w:r w:rsidRPr="00900C58">
        <w:rPr>
          <w:rFonts w:ascii="Times New Roman" w:hAnsi="Times New Roman" w:cs="Times New Roman"/>
        </w:rPr>
        <w:t xml:space="preserve"> Λόγω του διπλού μηχανισμού αλληλεπίδρασης της ριφαμπικίνης (επαγωγή του κυτοχρώματος </w:t>
      </w:r>
      <w:r w:rsidRPr="00B56AAF">
        <w:rPr>
          <w:rFonts w:ascii="Times New Roman" w:hAnsi="Times New Roman" w:cs="Times New Roman"/>
          <w:lang w:val="en-US"/>
        </w:rPr>
        <w:t>P</w:t>
      </w:r>
      <w:r w:rsidRPr="00900C58">
        <w:rPr>
          <w:rFonts w:ascii="Times New Roman" w:hAnsi="Times New Roman" w:cs="Times New Roman"/>
        </w:rPr>
        <w:t>450 3</w:t>
      </w:r>
      <w:r w:rsidRPr="00B56AAF">
        <w:rPr>
          <w:rFonts w:ascii="Times New Roman" w:hAnsi="Times New Roman" w:cs="Times New Roman"/>
          <w:lang w:val="en-US"/>
        </w:rPr>
        <w:t>A</w:t>
      </w:r>
      <w:r w:rsidRPr="00900C58">
        <w:rPr>
          <w:rFonts w:ascii="Times New Roman" w:hAnsi="Times New Roman" w:cs="Times New Roman"/>
        </w:rPr>
        <w:t xml:space="preserve"> και αναστολή της πρόσληψης του ηπατοκυττάρου του διακομιστή </w:t>
      </w:r>
      <w:r w:rsidRPr="00B56AAF">
        <w:rPr>
          <w:rFonts w:ascii="Times New Roman" w:hAnsi="Times New Roman" w:cs="Times New Roman"/>
          <w:lang w:val="en-US"/>
        </w:rPr>
        <w:t>OATP</w:t>
      </w:r>
      <w:r w:rsidRPr="00900C58">
        <w:rPr>
          <w:rFonts w:ascii="Times New Roman" w:hAnsi="Times New Roman" w:cs="Times New Roman"/>
        </w:rPr>
        <w:t>1</w:t>
      </w:r>
      <w:r w:rsidRPr="00B56AAF">
        <w:rPr>
          <w:rFonts w:ascii="Times New Roman" w:hAnsi="Times New Roman" w:cs="Times New Roman"/>
          <w:lang w:val="en-US"/>
        </w:rPr>
        <w:t>B</w:t>
      </w:r>
      <w:r w:rsidRPr="00900C58">
        <w:rPr>
          <w:rFonts w:ascii="Times New Roman" w:hAnsi="Times New Roman" w:cs="Times New Roman"/>
        </w:rPr>
        <w:t>1), συνιστάται η συγχορήγηση ατορβαστατίνης με ριφαμπικίνη ταυτόχρονα, καθώς η καθυστέρηση της χορήγησης ατορβαστατίνης, μετά από χορήγηση ριφαμπικίνης, έχει συσχετισθεί με σημαντική μείωση των συγκεντρώσεων της ατορβαστατίνης στο πλάσμα. Ωστόσο η επίδραση της ριφαμπικίνης στις συγκεντρώσεις της ατορβαστατίνης στα ηπατικά κύτταρα δεν είναι γνωστή, και εάν δεν μπορεί να αποφευχθεί ταυτόχρονη χορήγηση, οι ασθενείς θα πρέπει να παρακολουθούνται προσεκτικά για την αποτελεσματικότητα.</w:t>
      </w:r>
    </w:p>
    <w:p w:rsidR="00B56AAF" w:rsidRPr="00900C58" w:rsidRDefault="00B56AAF" w:rsidP="00B56AAF">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Αναστολείς διακομιστών πρωτεϊνών</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Οι αναστολείς διακομιστών πρωτεϊνών (π.χ. κυκλοσπορίνη) μπορεί να αυξήσουν τη έκθεση στην ατορβαστατίνη (βλέπε Πίνακα 1). Η επίδραση της αναστολής των διακομιστών ηπατικής πρόσληψης στις συγκεντρώσεις της ατορβαστατίνης στα ηπατικά κύτταρα δεν είναι γνωστή. Εάν δεν μπορεί να αποφευχθεί ταυτόχρονη χορήγηση, συνιστάται μείωση της δόσης και κλινική παρακολούθηση για την αποτελεσματικότητα (βλέπε Πίνακα 1).</w:t>
      </w:r>
    </w:p>
    <w:p w:rsidR="00B56AAF" w:rsidRPr="00900C58" w:rsidRDefault="00B56AAF" w:rsidP="00B56AAF">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Γεμφιβροζίλη/φιβράτες</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Η χρήση φιβρατών μόνων τους συσχετίζεται περιστασιακά με περιστατικά σχετιζόμενα με τους μύες, συμπεριλαμβανόμενης της ραβδομυόλυσης. Ο κίνδυνος αυτών των περιστατικών μπορεί να αυξηθεί κατά την ταυτόχρονη χρήση φιβρατών και ατορβαστατίνης. Εάν δεν μπορεί να αποφευχθεί ταυτόχρονη χορήγηση, θα πρέπει να χρησιμοποιηθεί η χαμηλότερη δόση ατορβαστατίνης η οποία θα μπορεί να επιτύχει το θεραπευτικό σκοπό και θα πρέπει οι ασθενείς να παρακολουθούνται επισταμένως (βλέπε παράγραφο 4.4).</w:t>
      </w:r>
    </w:p>
    <w:p w:rsidR="00B56AAF" w:rsidRPr="00900C58" w:rsidRDefault="00B56AAF" w:rsidP="00B56AAF">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Εζετιμίμπη</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Η χρήση εζετιμίμπης μόνης της συσχετίζεται περιστασιακά με περιστατικά σχετιζόμενα με τους μύες, συμπεριλαμβανόμενης της ραβδομυόλυσης. Ως εκ τούτου, ο κίνδυνος αυτών των περιστατικών μπορεί να αυξηθεί κατά την ταυτόχρονη χρήση εζετιμίμπης και ατορβαστατίνης. Συνιστάται κατάλληλη κλινική παρακολούθηση για αυτούς τους ασθενείς.</w:t>
      </w:r>
    </w:p>
    <w:p w:rsidR="00B56AAF" w:rsidRPr="00900C58" w:rsidRDefault="00B56AAF" w:rsidP="00B56AAF">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Κολεστιπόλη</w:t>
      </w:r>
    </w:p>
    <w:p w:rsidR="00B56AAF" w:rsidRPr="00900C58" w:rsidRDefault="00B56AAF" w:rsidP="00B56AAF">
      <w:pPr>
        <w:spacing w:after="0" w:line="240" w:lineRule="auto"/>
        <w:jc w:val="both"/>
        <w:rPr>
          <w:rFonts w:ascii="Times New Roman" w:hAnsi="Times New Roman" w:cs="Times New Roman"/>
        </w:rPr>
      </w:pPr>
    </w:p>
    <w:p w:rsidR="00B56AAF" w:rsidRPr="00900C58" w:rsidRDefault="007B5907" w:rsidP="00B56AAF">
      <w:pPr>
        <w:spacing w:after="0" w:line="240" w:lineRule="auto"/>
        <w:jc w:val="both"/>
        <w:rPr>
          <w:rFonts w:ascii="Times New Roman" w:hAnsi="Times New Roman" w:cs="Times New Roman"/>
        </w:rPr>
      </w:pPr>
      <w:r w:rsidRPr="007B5907">
        <w:rPr>
          <w:rFonts w:ascii="Times New Roman" w:hAnsi="Times New Roman" w:cs="Times New Roman"/>
        </w:rPr>
        <w:t xml:space="preserve">Όταν μαζί με </w:t>
      </w:r>
      <w:r w:rsidR="00BC1E58">
        <w:rPr>
          <w:rFonts w:ascii="Times New Roman" w:hAnsi="Times New Roman" w:cs="Times New Roman"/>
          <w:lang w:val="en-US"/>
        </w:rPr>
        <w:t>ZARASTIN</w:t>
      </w:r>
      <w:r w:rsidR="00B56AAF" w:rsidRPr="00900C58">
        <w:rPr>
          <w:rFonts w:ascii="Times New Roman" w:hAnsi="Times New Roman" w:cs="Times New Roman"/>
        </w:rPr>
        <w:t xml:space="preserve"> χορηγήθηκε και κολεστιπόλη, οι συγκεντρώσεις της ατορβαστατίνης και των δραστικών μεταβολιτών της στο πλάσμα ήταν χαμηλότερες (περίπου κατά 25%). Ωστόσο, όταν το </w:t>
      </w:r>
      <w:r w:rsidR="00BC1E58">
        <w:rPr>
          <w:rFonts w:ascii="Times New Roman" w:hAnsi="Times New Roman" w:cs="Times New Roman"/>
          <w:lang w:val="en-US"/>
        </w:rPr>
        <w:t>ZARASTIN</w:t>
      </w:r>
      <w:r w:rsidRPr="00900C58">
        <w:rPr>
          <w:rFonts w:ascii="Times New Roman" w:hAnsi="Times New Roman" w:cs="Times New Roman"/>
        </w:rPr>
        <w:t xml:space="preserve"> </w:t>
      </w:r>
      <w:r w:rsidR="00B56AAF" w:rsidRPr="00900C58">
        <w:rPr>
          <w:rFonts w:ascii="Times New Roman" w:hAnsi="Times New Roman" w:cs="Times New Roman"/>
        </w:rPr>
        <w:t>και η κολεστιπόλη συγχορηγούνταν, η επίδρασή τους στα λιπίδια ήταν μεγαλύτερη απ’ ότι όταν κάθε φαρμακευτικό προϊόν χορηγούνταν ξεχωριστά.</w:t>
      </w:r>
    </w:p>
    <w:p w:rsidR="00B56AAF" w:rsidRPr="00900C58" w:rsidRDefault="00B56AAF" w:rsidP="00B56AAF">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Φουσιδικό οξύ</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Η ταυτόχρονη χρήση ατορβαστατίνης και φουσιδικού οξέος δεν συνιστάται, ως εκ τούτου, προσωρινή διακοπή της ατορβαστατίνης μπορεί να εξετάζεται κατά τη διάρκεια θεραπείας με φουσιδικό οξύ. Δεν έχουν διεξαχθεί μελέτες αλληλεπίδρασης με ατορβαστατίνη και φουσιδικό οξύ. Όπως και με άλλες στατίνες, έχουν αναφερθεί περιστατικά σχετιζόμενα με τους μύες, συμπεριλαμβανόμενης της ραβδομυόλυσης, κατά την ταυτόχρονη χορήγηση ατορβαστατίνης και φουσιδικού οξέος, μετά την κυκλοφορία του προϊόντος στην αγορά. Ο μηχανισμός αυτής της αλληλεπίδρασης δεν είναι γνωστός. Οι ασθενείς χρειάζονται στενή παρακολούθηση και μπορεί να είναι απαραίτητη η προσωρινή διακοπή της θεραπείας με ατορβαστατίνη.</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Επίδραση της ατορβαστατίνης σε συγχορηγούμενα φαρμακευτικά προϊόντα</w:t>
      </w:r>
    </w:p>
    <w:p w:rsidR="00B56AAF" w:rsidRPr="00900C58" w:rsidRDefault="00B56AAF" w:rsidP="00B56AAF">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Διγοξίνη</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 xml:space="preserve">Όταν συγχορηγήθηκαν πολλαπλές δόσεις διγοξίνης με 10 </w:t>
      </w:r>
      <w:r w:rsidRPr="00B56AAF">
        <w:rPr>
          <w:rFonts w:ascii="Times New Roman" w:hAnsi="Times New Roman" w:cs="Times New Roman"/>
          <w:lang w:val="en-US"/>
        </w:rPr>
        <w:t>mg</w:t>
      </w:r>
      <w:r w:rsidRPr="00900C58">
        <w:rPr>
          <w:rFonts w:ascii="Times New Roman" w:hAnsi="Times New Roman" w:cs="Times New Roman"/>
        </w:rPr>
        <w:t xml:space="preserve"> ατορβαστατίνης οι συγκεντρώσεις της διγοξίνης στο πλάσμα στη σταθεροποιημένη κατάσταση αυξήθηκαν ελαφρώς. </w:t>
      </w:r>
      <w:proofErr w:type="gramStart"/>
      <w:r w:rsidRPr="00B56AAF">
        <w:rPr>
          <w:rFonts w:ascii="Times New Roman" w:hAnsi="Times New Roman" w:cs="Times New Roman"/>
          <w:lang w:val="en-US"/>
        </w:rPr>
        <w:t>A</w:t>
      </w:r>
      <w:r w:rsidRPr="00900C58">
        <w:rPr>
          <w:rFonts w:ascii="Times New Roman" w:hAnsi="Times New Roman" w:cs="Times New Roman"/>
        </w:rPr>
        <w:t>σθενείς που λαμβάνουν διγοξίνη πρέπει να παρακολουθούνται επισταμένως.</w:t>
      </w:r>
      <w:proofErr w:type="gramEnd"/>
    </w:p>
    <w:p w:rsidR="00B56AAF" w:rsidRPr="00900C58" w:rsidRDefault="00B56AAF" w:rsidP="00B56AAF">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Από του στόματος αντισυλληπτικά</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 xml:space="preserve">Η συγχορήγηση </w:t>
      </w:r>
      <w:r w:rsidR="00BC1E58">
        <w:rPr>
          <w:rFonts w:ascii="Times New Roman" w:hAnsi="Times New Roman" w:cs="Times New Roman"/>
          <w:lang w:val="en-US"/>
        </w:rPr>
        <w:t>ZARASTIN</w:t>
      </w:r>
      <w:r w:rsidR="007B5907" w:rsidRPr="00900C58">
        <w:rPr>
          <w:rFonts w:ascii="Times New Roman" w:hAnsi="Times New Roman" w:cs="Times New Roman"/>
        </w:rPr>
        <w:t xml:space="preserve"> </w:t>
      </w:r>
      <w:r w:rsidRPr="00900C58">
        <w:rPr>
          <w:rFonts w:ascii="Times New Roman" w:hAnsi="Times New Roman" w:cs="Times New Roman"/>
        </w:rPr>
        <w:t>με ένα από του στόματος χορηγούμενο αντισυλληπτικό προκαλεί αύξηση των συγκεντρώσεων της νοραιθυνδρόνης και της αιθυνυλ-οιστραδιόλης στο πλάσμα.</w:t>
      </w:r>
    </w:p>
    <w:p w:rsidR="00B56AAF" w:rsidRPr="00900C58" w:rsidRDefault="00B56AAF" w:rsidP="00B56AAF">
      <w:pPr>
        <w:spacing w:after="0" w:line="240" w:lineRule="auto"/>
        <w:jc w:val="both"/>
        <w:rPr>
          <w:rFonts w:ascii="Times New Roman" w:hAnsi="Times New Roman" w:cs="Times New Roman"/>
        </w:rPr>
      </w:pPr>
    </w:p>
    <w:p w:rsidR="00B56AAF" w:rsidRPr="00941456" w:rsidRDefault="00B56AAF" w:rsidP="00B56AAF">
      <w:pPr>
        <w:spacing w:after="0" w:line="240" w:lineRule="auto"/>
        <w:jc w:val="both"/>
        <w:rPr>
          <w:rFonts w:ascii="Times New Roman" w:hAnsi="Times New Roman" w:cs="Times New Roman"/>
          <w:i/>
          <w:u w:val="single"/>
        </w:rPr>
      </w:pPr>
      <w:r w:rsidRPr="00941456">
        <w:rPr>
          <w:rFonts w:ascii="Times New Roman" w:hAnsi="Times New Roman" w:cs="Times New Roman"/>
          <w:i/>
          <w:u w:val="single"/>
        </w:rPr>
        <w:t>Βαρφαρίνη</w:t>
      </w:r>
    </w:p>
    <w:p w:rsidR="00B56AAF" w:rsidRPr="00900C58" w:rsidRDefault="00B56AAF" w:rsidP="00B56AAF">
      <w:pPr>
        <w:spacing w:after="0" w:line="240" w:lineRule="auto"/>
        <w:jc w:val="both"/>
        <w:rPr>
          <w:rFonts w:ascii="Times New Roman" w:hAnsi="Times New Roman" w:cs="Times New Roman"/>
        </w:rPr>
      </w:pPr>
    </w:p>
    <w:p w:rsidR="00B56AAF" w:rsidRPr="00900C58" w:rsidRDefault="00B56AAF" w:rsidP="00B56AAF">
      <w:pPr>
        <w:spacing w:after="0" w:line="240" w:lineRule="auto"/>
        <w:jc w:val="both"/>
        <w:rPr>
          <w:rFonts w:ascii="Times New Roman" w:hAnsi="Times New Roman" w:cs="Times New Roman"/>
        </w:rPr>
      </w:pPr>
      <w:r w:rsidRPr="00900C58">
        <w:rPr>
          <w:rFonts w:ascii="Times New Roman" w:hAnsi="Times New Roman" w:cs="Times New Roman"/>
        </w:rPr>
        <w:t xml:space="preserve">Σε μια κλινική μελέτη με ασθενείς οι οποίοι ελάμβαναν χρόνια θεραπεία βαρφαρίνης, η συγχορήγηση 80 </w:t>
      </w:r>
      <w:r w:rsidRPr="00B56AAF">
        <w:rPr>
          <w:rFonts w:ascii="Times New Roman" w:hAnsi="Times New Roman" w:cs="Times New Roman"/>
          <w:lang w:val="en-US"/>
        </w:rPr>
        <w:t>mg</w:t>
      </w:r>
      <w:r w:rsidRPr="00900C58">
        <w:rPr>
          <w:rFonts w:ascii="Times New Roman" w:hAnsi="Times New Roman" w:cs="Times New Roman"/>
        </w:rPr>
        <w:t xml:space="preserve"> ατορβαστατίνης ημερησίως με βαρφαρίνη προκάλεσε μια μικρή μείωση κατά 1,7 δευτερόλεπτα στον χρόνο προθρομβίνης κατά τις πρώτες 4 ημέρες θεραπείας, η οποία επέστρεψε σε φυσιολογικά επίπεδα μέσα στις πρώτες 15 ημέρες θεραπείας με ατορβαστατίνη. Μολονότι έχουν αναφερθεί σε πολύ σπάνιες περιπτώσεις κλινικά σημαντικές αλληλεπιδράσεις με αντιπηκτικά, ο χρόνος προθρομβίνης θα πρέπει να προσδιορίζεται πριν την έναρξη της θεραπείας με ατορβαστατίνη σε ασθενείς οι οποίοι λαμβάνουν κουμαρινικά αντιπηκτικά και αρκετά συχνά κατά τα αρχικά στάδια της θεραπείας για να διασφαλιστεί ότι δεν λαμβάνουν χώρα σημαντικές μεταβολές του χρόνου προθρομβίνης. Όταν τεκμηριωθεί σταθεροποίηση του χρόνου προθρομβίνης, ο χρόνος προθρομβίνης μπορεί να παρακολουθείται στα συνήθη χρονικά διαστήματα τα οποία προτείνονται σε ασθενείς που λαμβάνουν κουμαρινικά αντιπηκτικά. Εάν η δοσολογία της ατορβαστατίνης μεταβληθεί ή διακοπεί, θα πρέπει να ακολουθηθεί η ίδια διαδικασία. Η θεραπεία με ατορβαστατίνη δεν έχει συσχετισθεί με αιμορραγία ή μεταβολές στο χρόνο προθρομβίνης σε ασθενείς οι οποίοι δεν λαμβάνουν αντιπηκτικά.</w:t>
      </w:r>
    </w:p>
    <w:p w:rsidR="00B56AAF" w:rsidRPr="00900C58" w:rsidRDefault="00B56AAF" w:rsidP="008525D4">
      <w:pPr>
        <w:spacing w:after="0" w:line="240" w:lineRule="auto"/>
        <w:jc w:val="both"/>
        <w:rPr>
          <w:rFonts w:ascii="Times New Roman" w:hAnsi="Times New Roman" w:cs="Times New Roman"/>
        </w:rPr>
      </w:pPr>
    </w:p>
    <w:p w:rsidR="00DB1631" w:rsidRPr="00900C58" w:rsidRDefault="00DB1631" w:rsidP="008525D4">
      <w:pPr>
        <w:spacing w:after="0" w:line="240" w:lineRule="auto"/>
        <w:jc w:val="both"/>
        <w:rPr>
          <w:rFonts w:ascii="Times New Roman" w:hAnsi="Times New Roman" w:cs="Times New Roman"/>
        </w:rPr>
      </w:pPr>
    </w:p>
    <w:p w:rsidR="00B56AAF" w:rsidRPr="00900C58" w:rsidRDefault="00B56AAF" w:rsidP="008525D4">
      <w:pPr>
        <w:spacing w:after="0" w:line="240" w:lineRule="auto"/>
        <w:jc w:val="both"/>
        <w:rPr>
          <w:rFonts w:ascii="Times New Roman" w:hAnsi="Times New Roman" w:cs="Times New Roman"/>
        </w:rPr>
      </w:pPr>
    </w:p>
    <w:p w:rsidR="00B56AAF" w:rsidRPr="00941456" w:rsidRDefault="00DB1631" w:rsidP="00B56AAF">
      <w:pPr>
        <w:pStyle w:val="Default"/>
        <w:rPr>
          <w:color w:val="auto"/>
          <w:u w:val="single"/>
        </w:rPr>
      </w:pPr>
      <w:r w:rsidRPr="00941456">
        <w:rPr>
          <w:color w:val="auto"/>
          <w:u w:val="single"/>
        </w:rPr>
        <w:t>Πίνακας 1: Επιδράσεις συγχορηγούμενων φαρμακευτικών προϊόντων στη φαρμακοκινητική της ατορβαστατίνης</w:t>
      </w:r>
    </w:p>
    <w:p w:rsidR="00DB1631" w:rsidRPr="00900C58" w:rsidRDefault="00DB1631" w:rsidP="00B56AAF">
      <w:pPr>
        <w:pStyle w:val="Default"/>
        <w:rPr>
          <w:color w:val="auto"/>
        </w:rPr>
      </w:pPr>
    </w:p>
    <w:p w:rsidR="00DB1631" w:rsidRPr="00900C58" w:rsidRDefault="00DB1631" w:rsidP="00B56AAF">
      <w:pPr>
        <w:pStyle w:val="Default"/>
        <w:rPr>
          <w:color w:val="auto"/>
        </w:rPr>
      </w:pPr>
    </w:p>
    <w:tbl>
      <w:tblPr>
        <w:tblW w:w="9851"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68"/>
        <w:gridCol w:w="3392"/>
        <w:gridCol w:w="8"/>
        <w:gridCol w:w="2126"/>
        <w:gridCol w:w="7"/>
        <w:gridCol w:w="1413"/>
        <w:gridCol w:w="2837"/>
      </w:tblGrid>
      <w:tr w:rsidR="00DB1631" w:rsidTr="00941456">
        <w:trPr>
          <w:trHeight w:val="397"/>
        </w:trPr>
        <w:tc>
          <w:tcPr>
            <w:tcW w:w="3468" w:type="dxa"/>
            <w:gridSpan w:val="3"/>
            <w:vMerge w:val="restart"/>
            <w:tcBorders>
              <w:top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Συγχορηγούμενο φαρμακευτικό προϊόν και δοσολογικό σχήμα </w:t>
            </w:r>
          </w:p>
        </w:tc>
        <w:tc>
          <w:tcPr>
            <w:tcW w:w="6383" w:type="dxa"/>
            <w:gridSpan w:val="4"/>
            <w:tcBorders>
              <w:top w:val="single" w:sz="8" w:space="0" w:color="000000"/>
              <w:left w:val="single" w:sz="8" w:space="0" w:color="000000"/>
              <w:bottom w:val="single" w:sz="8" w:space="0" w:color="000000"/>
            </w:tcBorders>
          </w:tcPr>
          <w:p w:rsidR="00DB1631" w:rsidRDefault="00DB1631">
            <w:pPr>
              <w:pStyle w:val="Default"/>
              <w:rPr>
                <w:sz w:val="22"/>
                <w:szCs w:val="22"/>
              </w:rPr>
            </w:pPr>
            <w:r>
              <w:rPr>
                <w:sz w:val="22"/>
                <w:szCs w:val="22"/>
              </w:rPr>
              <w:t xml:space="preserve">Ατορβαστατίνη </w:t>
            </w:r>
          </w:p>
        </w:tc>
      </w:tr>
      <w:tr w:rsidR="00DB1631" w:rsidTr="00941456">
        <w:trPr>
          <w:trHeight w:val="397"/>
        </w:trPr>
        <w:tc>
          <w:tcPr>
            <w:tcW w:w="3468" w:type="dxa"/>
            <w:gridSpan w:val="3"/>
            <w:vMerge/>
            <w:tcBorders>
              <w:top w:val="single" w:sz="8" w:space="0" w:color="000000"/>
              <w:bottom w:val="single" w:sz="8" w:space="0" w:color="000000"/>
              <w:right w:val="single" w:sz="8" w:space="0" w:color="000000"/>
            </w:tcBorders>
          </w:tcPr>
          <w:p w:rsidR="00DB1631" w:rsidRDefault="00DB1631">
            <w:pPr>
              <w:pStyle w:val="Default"/>
              <w:rPr>
                <w:color w:val="auto"/>
              </w:rPr>
            </w:pPr>
          </w:p>
        </w:tc>
        <w:tc>
          <w:tcPr>
            <w:tcW w:w="2126" w:type="dxa"/>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Δοσολογία (mg) </w:t>
            </w:r>
          </w:p>
        </w:tc>
        <w:tc>
          <w:tcPr>
            <w:tcW w:w="1420" w:type="dxa"/>
            <w:gridSpan w:val="2"/>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Μεταβολή </w:t>
            </w:r>
            <w:r>
              <w:rPr>
                <w:sz w:val="22"/>
                <w:szCs w:val="22"/>
              </w:rPr>
              <w:lastRenderedPageBreak/>
              <w:t>στην AUC</w:t>
            </w:r>
            <w:r>
              <w:rPr>
                <w:position w:val="8"/>
                <w:sz w:val="22"/>
                <w:szCs w:val="22"/>
                <w:vertAlign w:val="superscript"/>
              </w:rPr>
              <w:t xml:space="preserve">&amp; </w:t>
            </w:r>
          </w:p>
        </w:tc>
        <w:tc>
          <w:tcPr>
            <w:tcW w:w="2834" w:type="dxa"/>
            <w:tcBorders>
              <w:top w:val="single" w:sz="8" w:space="0" w:color="000000"/>
              <w:left w:val="single" w:sz="8" w:space="0" w:color="000000"/>
              <w:bottom w:val="single" w:sz="8" w:space="0" w:color="000000"/>
            </w:tcBorders>
          </w:tcPr>
          <w:p w:rsidR="00DB1631" w:rsidRDefault="00DB1631">
            <w:pPr>
              <w:pStyle w:val="Default"/>
              <w:rPr>
                <w:sz w:val="22"/>
                <w:szCs w:val="22"/>
              </w:rPr>
            </w:pPr>
            <w:r>
              <w:rPr>
                <w:sz w:val="22"/>
                <w:szCs w:val="22"/>
              </w:rPr>
              <w:lastRenderedPageBreak/>
              <w:t xml:space="preserve">Κλινική Σύσταση </w:t>
            </w:r>
          </w:p>
        </w:tc>
      </w:tr>
      <w:tr w:rsidR="00A52136" w:rsidTr="00941456">
        <w:trPr>
          <w:trHeight w:val="1029"/>
        </w:trPr>
        <w:tc>
          <w:tcPr>
            <w:tcW w:w="3468" w:type="dxa"/>
            <w:gridSpan w:val="3"/>
            <w:tcBorders>
              <w:top w:val="single" w:sz="8" w:space="0" w:color="000000"/>
              <w:bottom w:val="single" w:sz="8" w:space="0" w:color="000000"/>
              <w:right w:val="single" w:sz="8" w:space="0" w:color="000000"/>
            </w:tcBorders>
          </w:tcPr>
          <w:p w:rsidR="00A52136" w:rsidRDefault="00A52136">
            <w:pPr>
              <w:pStyle w:val="Default"/>
              <w:rPr>
                <w:sz w:val="22"/>
                <w:szCs w:val="22"/>
              </w:rPr>
            </w:pPr>
            <w:r>
              <w:rPr>
                <w:sz w:val="22"/>
                <w:szCs w:val="22"/>
              </w:rPr>
              <w:lastRenderedPageBreak/>
              <w:t xml:space="preserve">Tipranavir 500 mg BID / Ριτοναβίρη 200 mg BID , 8 ημέρες (ημέρες 14 εως 21) </w:t>
            </w:r>
          </w:p>
        </w:tc>
        <w:tc>
          <w:tcPr>
            <w:tcW w:w="2133" w:type="dxa"/>
            <w:gridSpan w:val="2"/>
            <w:tcBorders>
              <w:top w:val="single" w:sz="8" w:space="0" w:color="000000"/>
              <w:left w:val="single" w:sz="8" w:space="0" w:color="000000"/>
              <w:bottom w:val="single" w:sz="8" w:space="0" w:color="000000"/>
              <w:right w:val="single" w:sz="8" w:space="0" w:color="000000"/>
            </w:tcBorders>
          </w:tcPr>
          <w:p w:rsidR="00A52136" w:rsidRDefault="00A52136">
            <w:pPr>
              <w:pStyle w:val="Default"/>
              <w:rPr>
                <w:sz w:val="22"/>
                <w:szCs w:val="22"/>
              </w:rPr>
            </w:pPr>
            <w:r>
              <w:rPr>
                <w:sz w:val="22"/>
                <w:szCs w:val="22"/>
              </w:rPr>
              <w:t xml:space="preserve">40 mg την ημέρα 1, 10 mg την ημέρα 20 </w:t>
            </w:r>
          </w:p>
        </w:tc>
        <w:tc>
          <w:tcPr>
            <w:tcW w:w="1413" w:type="dxa"/>
            <w:tcBorders>
              <w:top w:val="single" w:sz="8" w:space="0" w:color="000000"/>
              <w:left w:val="single" w:sz="8" w:space="0" w:color="000000"/>
              <w:bottom w:val="single" w:sz="8" w:space="0" w:color="000000"/>
              <w:right w:val="single" w:sz="8" w:space="0" w:color="000000"/>
            </w:tcBorders>
          </w:tcPr>
          <w:p w:rsidR="00A52136" w:rsidRDefault="00A52136">
            <w:pPr>
              <w:pStyle w:val="Default"/>
              <w:rPr>
                <w:sz w:val="22"/>
                <w:szCs w:val="22"/>
              </w:rPr>
            </w:pPr>
            <w:r>
              <w:rPr>
                <w:sz w:val="22"/>
                <w:szCs w:val="22"/>
              </w:rPr>
              <w:t xml:space="preserve">↑ 9,4 φορές </w:t>
            </w:r>
          </w:p>
        </w:tc>
        <w:tc>
          <w:tcPr>
            <w:tcW w:w="2837" w:type="dxa"/>
            <w:vMerge w:val="restart"/>
            <w:tcBorders>
              <w:top w:val="single" w:sz="8" w:space="0" w:color="000000"/>
              <w:left w:val="single" w:sz="8" w:space="0" w:color="000000"/>
            </w:tcBorders>
          </w:tcPr>
          <w:p w:rsidR="00A52136" w:rsidRDefault="00A52136">
            <w:pPr>
              <w:pStyle w:val="Default"/>
              <w:rPr>
                <w:sz w:val="22"/>
                <w:szCs w:val="22"/>
              </w:rPr>
            </w:pPr>
            <w:r>
              <w:rPr>
                <w:sz w:val="22"/>
                <w:szCs w:val="22"/>
              </w:rPr>
              <w:t xml:space="preserve">Στις περιπτώσεις όπου συγχορήγηση ατορβαστατίνης είναι απαραίτητη, η δόσης της δεν θα πρέπει να υπερβαίνει τα 10 mg ημερησίως. Συνιστάται κλινική παρακολούθηση αυτών των ασθενών. </w:t>
            </w:r>
          </w:p>
        </w:tc>
      </w:tr>
      <w:tr w:rsidR="00A52136" w:rsidTr="00941456">
        <w:trPr>
          <w:trHeight w:val="270"/>
        </w:trPr>
        <w:tc>
          <w:tcPr>
            <w:tcW w:w="3460" w:type="dxa"/>
            <w:gridSpan w:val="2"/>
            <w:tcBorders>
              <w:top w:val="single" w:sz="8" w:space="0" w:color="000000"/>
              <w:bottom w:val="single" w:sz="8" w:space="0" w:color="000000"/>
              <w:right w:val="single" w:sz="8" w:space="0" w:color="000000"/>
            </w:tcBorders>
          </w:tcPr>
          <w:p w:rsidR="00A52136" w:rsidRDefault="00A52136">
            <w:pPr>
              <w:pStyle w:val="Default"/>
              <w:rPr>
                <w:sz w:val="22"/>
                <w:szCs w:val="22"/>
              </w:rPr>
            </w:pPr>
            <w:r>
              <w:rPr>
                <w:sz w:val="22"/>
                <w:szCs w:val="22"/>
              </w:rPr>
              <w:t xml:space="preserve">Κυκλοσπορίνη 5,2 mg/kg/ημέρα, σταθερή δόση </w:t>
            </w:r>
          </w:p>
        </w:tc>
        <w:tc>
          <w:tcPr>
            <w:tcW w:w="2134" w:type="dxa"/>
            <w:gridSpan w:val="2"/>
            <w:tcBorders>
              <w:top w:val="single" w:sz="8" w:space="0" w:color="000000"/>
              <w:left w:val="single" w:sz="8" w:space="0" w:color="000000"/>
              <w:bottom w:val="single" w:sz="8" w:space="0" w:color="000000"/>
              <w:right w:val="single" w:sz="8" w:space="0" w:color="000000"/>
            </w:tcBorders>
          </w:tcPr>
          <w:p w:rsidR="00A52136" w:rsidRDefault="00A52136">
            <w:pPr>
              <w:pStyle w:val="Default"/>
              <w:rPr>
                <w:sz w:val="22"/>
                <w:szCs w:val="22"/>
              </w:rPr>
            </w:pPr>
            <w:r>
              <w:rPr>
                <w:sz w:val="22"/>
                <w:szCs w:val="22"/>
              </w:rPr>
              <w:t xml:space="preserve">10 mg OD για 28 ημέρες </w:t>
            </w:r>
          </w:p>
        </w:tc>
        <w:tc>
          <w:tcPr>
            <w:tcW w:w="1420" w:type="dxa"/>
            <w:gridSpan w:val="2"/>
            <w:tcBorders>
              <w:top w:val="single" w:sz="8" w:space="0" w:color="000000"/>
              <w:left w:val="single" w:sz="8" w:space="0" w:color="000000"/>
              <w:bottom w:val="single" w:sz="8" w:space="0" w:color="000000"/>
              <w:right w:val="single" w:sz="8" w:space="0" w:color="000000"/>
            </w:tcBorders>
          </w:tcPr>
          <w:p w:rsidR="00A52136" w:rsidRPr="00DB1631" w:rsidRDefault="00A52136" w:rsidP="00DB1631">
            <w:pPr>
              <w:pStyle w:val="Default"/>
              <w:rPr>
                <w:sz w:val="22"/>
                <w:szCs w:val="22"/>
              </w:rPr>
            </w:pPr>
            <w:r>
              <w:rPr>
                <w:sz w:val="22"/>
                <w:szCs w:val="22"/>
              </w:rPr>
              <w:t xml:space="preserve">↑ 8,7 φορές </w:t>
            </w:r>
            <w:r>
              <w:rPr>
                <w:sz w:val="22"/>
                <w:szCs w:val="22"/>
              </w:rPr>
              <w:tab/>
            </w:r>
          </w:p>
        </w:tc>
        <w:tc>
          <w:tcPr>
            <w:tcW w:w="2837" w:type="dxa"/>
            <w:vMerge/>
            <w:tcBorders>
              <w:left w:val="single" w:sz="8" w:space="0" w:color="000000"/>
              <w:bottom w:val="single" w:sz="8" w:space="0" w:color="000000"/>
            </w:tcBorders>
          </w:tcPr>
          <w:p w:rsidR="00A52136" w:rsidRPr="00DB1631" w:rsidRDefault="00A52136" w:rsidP="00A52136">
            <w:pPr>
              <w:pStyle w:val="Default"/>
              <w:rPr>
                <w:sz w:val="22"/>
                <w:szCs w:val="22"/>
              </w:rPr>
            </w:pPr>
          </w:p>
        </w:tc>
      </w:tr>
      <w:tr w:rsidR="00A52136" w:rsidTr="00941456">
        <w:trPr>
          <w:trHeight w:val="1282"/>
        </w:trPr>
        <w:tc>
          <w:tcPr>
            <w:tcW w:w="3468" w:type="dxa"/>
            <w:gridSpan w:val="3"/>
            <w:tcBorders>
              <w:top w:val="single" w:sz="8" w:space="0" w:color="000000"/>
              <w:bottom w:val="single" w:sz="8" w:space="0" w:color="000000"/>
              <w:right w:val="single" w:sz="8" w:space="0" w:color="000000"/>
            </w:tcBorders>
          </w:tcPr>
          <w:p w:rsidR="00A52136" w:rsidRDefault="00A52136">
            <w:pPr>
              <w:pStyle w:val="Default"/>
              <w:rPr>
                <w:sz w:val="22"/>
                <w:szCs w:val="22"/>
              </w:rPr>
            </w:pPr>
            <w:r>
              <w:rPr>
                <w:sz w:val="22"/>
                <w:szCs w:val="22"/>
              </w:rPr>
              <w:t xml:space="preserve">Λοπιναβίρη 400 mg BID/ Ριτοναβίρη 100 mg BID, 14 ημέρες </w:t>
            </w:r>
          </w:p>
        </w:tc>
        <w:tc>
          <w:tcPr>
            <w:tcW w:w="2133" w:type="dxa"/>
            <w:gridSpan w:val="2"/>
            <w:tcBorders>
              <w:top w:val="single" w:sz="8" w:space="0" w:color="000000"/>
              <w:left w:val="single" w:sz="8" w:space="0" w:color="000000"/>
              <w:bottom w:val="single" w:sz="8" w:space="0" w:color="000000"/>
              <w:right w:val="single" w:sz="8" w:space="0" w:color="000000"/>
            </w:tcBorders>
          </w:tcPr>
          <w:p w:rsidR="00A52136" w:rsidRDefault="00A52136">
            <w:pPr>
              <w:pStyle w:val="Default"/>
              <w:rPr>
                <w:sz w:val="22"/>
                <w:szCs w:val="22"/>
              </w:rPr>
            </w:pPr>
            <w:r>
              <w:rPr>
                <w:sz w:val="22"/>
                <w:szCs w:val="22"/>
              </w:rPr>
              <w:t xml:space="preserve">20 mg OD για 4 ημέρες </w:t>
            </w:r>
          </w:p>
        </w:tc>
        <w:tc>
          <w:tcPr>
            <w:tcW w:w="1413" w:type="dxa"/>
            <w:tcBorders>
              <w:top w:val="single" w:sz="8" w:space="0" w:color="000000"/>
              <w:left w:val="single" w:sz="8" w:space="0" w:color="000000"/>
              <w:bottom w:val="single" w:sz="8" w:space="0" w:color="000000"/>
              <w:right w:val="single" w:sz="4" w:space="0" w:color="auto"/>
            </w:tcBorders>
          </w:tcPr>
          <w:p w:rsidR="00A52136" w:rsidRDefault="00A52136">
            <w:pPr>
              <w:pStyle w:val="Default"/>
              <w:rPr>
                <w:sz w:val="22"/>
                <w:szCs w:val="22"/>
              </w:rPr>
            </w:pPr>
            <w:r>
              <w:rPr>
                <w:sz w:val="22"/>
                <w:szCs w:val="22"/>
              </w:rPr>
              <w:t xml:space="preserve">↑ 5,9 φορές </w:t>
            </w:r>
          </w:p>
        </w:tc>
        <w:tc>
          <w:tcPr>
            <w:tcW w:w="2837" w:type="dxa"/>
            <w:vMerge w:val="restart"/>
            <w:tcBorders>
              <w:top w:val="single" w:sz="8" w:space="0" w:color="000000"/>
              <w:left w:val="single" w:sz="4" w:space="0" w:color="auto"/>
            </w:tcBorders>
          </w:tcPr>
          <w:p w:rsidR="00A52136" w:rsidRDefault="00A52136">
            <w:pPr>
              <w:pStyle w:val="Default"/>
              <w:rPr>
                <w:sz w:val="22"/>
                <w:szCs w:val="22"/>
              </w:rPr>
            </w:pPr>
            <w:r>
              <w:rPr>
                <w:sz w:val="22"/>
                <w:szCs w:val="22"/>
              </w:rPr>
              <w:t xml:space="preserve">Στις περιπτώσεις όπου συγχορήγηση ατορβαστατίνης είναι απαραίτητη, συνιστάται χαμηλότερη δόση συντήρησης της ατορβαστατίνης. Συνιστάται κλινική παρακολούθηση των ασθενών των οποίων η δόση της ατορβαστατίνης υπερβαίνει τα.20 mg. </w:t>
            </w:r>
          </w:p>
        </w:tc>
      </w:tr>
      <w:tr w:rsidR="00A52136" w:rsidTr="00941456">
        <w:trPr>
          <w:trHeight w:val="270"/>
        </w:trPr>
        <w:tc>
          <w:tcPr>
            <w:tcW w:w="3460" w:type="dxa"/>
            <w:gridSpan w:val="2"/>
            <w:tcBorders>
              <w:top w:val="single" w:sz="8" w:space="0" w:color="000000"/>
              <w:bottom w:val="single" w:sz="8" w:space="0" w:color="000000"/>
              <w:right w:val="single" w:sz="8" w:space="0" w:color="000000"/>
            </w:tcBorders>
          </w:tcPr>
          <w:p w:rsidR="00A52136" w:rsidRDefault="00A52136">
            <w:pPr>
              <w:pStyle w:val="Default"/>
              <w:rPr>
                <w:sz w:val="22"/>
                <w:szCs w:val="22"/>
              </w:rPr>
            </w:pPr>
            <w:r>
              <w:rPr>
                <w:sz w:val="22"/>
                <w:szCs w:val="22"/>
              </w:rPr>
              <w:t xml:space="preserve">Κλαριθρομυκίνη 500 mg BID, 9 ημέρες </w:t>
            </w:r>
          </w:p>
        </w:tc>
        <w:tc>
          <w:tcPr>
            <w:tcW w:w="2134" w:type="dxa"/>
            <w:gridSpan w:val="2"/>
            <w:tcBorders>
              <w:top w:val="single" w:sz="8" w:space="0" w:color="000000"/>
              <w:left w:val="single" w:sz="8" w:space="0" w:color="000000"/>
              <w:bottom w:val="single" w:sz="8" w:space="0" w:color="000000"/>
              <w:right w:val="single" w:sz="8" w:space="0" w:color="000000"/>
            </w:tcBorders>
          </w:tcPr>
          <w:p w:rsidR="00A52136" w:rsidRDefault="00A52136">
            <w:pPr>
              <w:pStyle w:val="Default"/>
              <w:rPr>
                <w:sz w:val="22"/>
                <w:szCs w:val="22"/>
              </w:rPr>
            </w:pPr>
            <w:r>
              <w:rPr>
                <w:sz w:val="22"/>
                <w:szCs w:val="22"/>
              </w:rPr>
              <w:t xml:space="preserve">80 mg OD για 8 ημέρες </w:t>
            </w:r>
          </w:p>
        </w:tc>
        <w:tc>
          <w:tcPr>
            <w:tcW w:w="1420" w:type="dxa"/>
            <w:gridSpan w:val="2"/>
            <w:tcBorders>
              <w:top w:val="single" w:sz="8" w:space="0" w:color="000000"/>
              <w:left w:val="single" w:sz="8" w:space="0" w:color="000000"/>
              <w:bottom w:val="single" w:sz="8" w:space="0" w:color="000000"/>
              <w:right w:val="single" w:sz="4" w:space="0" w:color="auto"/>
            </w:tcBorders>
          </w:tcPr>
          <w:p w:rsidR="00A52136" w:rsidRDefault="00A52136">
            <w:pPr>
              <w:pStyle w:val="Default"/>
              <w:rPr>
                <w:sz w:val="22"/>
                <w:szCs w:val="22"/>
              </w:rPr>
            </w:pPr>
            <w:r>
              <w:rPr>
                <w:sz w:val="22"/>
                <w:szCs w:val="22"/>
              </w:rPr>
              <w:t xml:space="preserve">↑ 4,4 φορές </w:t>
            </w:r>
          </w:p>
        </w:tc>
        <w:tc>
          <w:tcPr>
            <w:tcW w:w="2837" w:type="dxa"/>
            <w:vMerge/>
            <w:tcBorders>
              <w:left w:val="single" w:sz="4" w:space="0" w:color="auto"/>
              <w:bottom w:val="single" w:sz="8" w:space="0" w:color="000000"/>
            </w:tcBorders>
          </w:tcPr>
          <w:p w:rsidR="00A52136" w:rsidRDefault="00A52136" w:rsidP="00A52136">
            <w:pPr>
              <w:pStyle w:val="Default"/>
              <w:rPr>
                <w:sz w:val="22"/>
                <w:szCs w:val="22"/>
              </w:rPr>
            </w:pPr>
          </w:p>
        </w:tc>
      </w:tr>
      <w:tr w:rsidR="00DB1631" w:rsidTr="00941456">
        <w:trPr>
          <w:trHeight w:val="1282"/>
        </w:trPr>
        <w:tc>
          <w:tcPr>
            <w:tcW w:w="3468" w:type="dxa"/>
            <w:gridSpan w:val="3"/>
            <w:tcBorders>
              <w:top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Σακουϊναβίρη 400 mg BID/ Ριτοναβίρη (300 mg BID από τις ημέρες 5-7, αύξηση στα 400 mg BID την ημέρα 8), ημέρες 5-18, 30 λεπτά μετά την λήψη της δόσης της ατορβαστατίνης </w:t>
            </w:r>
          </w:p>
        </w:tc>
        <w:tc>
          <w:tcPr>
            <w:tcW w:w="2133" w:type="dxa"/>
            <w:gridSpan w:val="2"/>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40 mg OD για 4 ημέρες </w:t>
            </w:r>
          </w:p>
        </w:tc>
        <w:tc>
          <w:tcPr>
            <w:tcW w:w="1413" w:type="dxa"/>
            <w:tcBorders>
              <w:top w:val="single" w:sz="8" w:space="0" w:color="000000"/>
              <w:left w:val="single" w:sz="8" w:space="0" w:color="000000"/>
              <w:bottom w:val="single" w:sz="8" w:space="0" w:color="000000"/>
              <w:right w:val="single" w:sz="4" w:space="0" w:color="auto"/>
            </w:tcBorders>
          </w:tcPr>
          <w:p w:rsidR="00DB1631" w:rsidRDefault="00DB1631">
            <w:pPr>
              <w:pStyle w:val="Default"/>
              <w:rPr>
                <w:sz w:val="22"/>
                <w:szCs w:val="22"/>
              </w:rPr>
            </w:pPr>
            <w:r>
              <w:rPr>
                <w:sz w:val="22"/>
                <w:szCs w:val="22"/>
              </w:rPr>
              <w:t xml:space="preserve">↑ 3,9 φορές </w:t>
            </w:r>
          </w:p>
        </w:tc>
        <w:tc>
          <w:tcPr>
            <w:tcW w:w="2837" w:type="dxa"/>
            <w:vMerge w:val="restart"/>
            <w:tcBorders>
              <w:top w:val="single" w:sz="4" w:space="0" w:color="auto"/>
              <w:left w:val="single" w:sz="4" w:space="0" w:color="auto"/>
              <w:right w:val="single" w:sz="4" w:space="0" w:color="auto"/>
            </w:tcBorders>
          </w:tcPr>
          <w:p w:rsidR="00DB1631" w:rsidRDefault="00DB1631">
            <w:pPr>
              <w:pStyle w:val="Default"/>
              <w:rPr>
                <w:sz w:val="22"/>
                <w:szCs w:val="22"/>
              </w:rPr>
            </w:pPr>
            <w:r>
              <w:rPr>
                <w:sz w:val="22"/>
                <w:szCs w:val="22"/>
              </w:rPr>
              <w:t xml:space="preserve">Στις περιπτώσεις όπου συγχορήγηση ατορβαστατίνης είναι απαραίτητη, συνιστάται χαμηλότερη δόση συντήρησης της ατορβαστατίνης. Συνιστάται κλινική παρακολούθηση των ασθενών των οποίων η δόση της ατορβαστατίνης υπερβαίνει τα.40 mg. </w:t>
            </w:r>
          </w:p>
        </w:tc>
      </w:tr>
      <w:tr w:rsidR="00DB1631" w:rsidTr="00941456">
        <w:trPr>
          <w:trHeight w:val="396"/>
        </w:trPr>
        <w:tc>
          <w:tcPr>
            <w:tcW w:w="3460" w:type="dxa"/>
            <w:gridSpan w:val="2"/>
            <w:tcBorders>
              <w:top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Darunavir 300 mg BID/ </w:t>
            </w:r>
          </w:p>
          <w:p w:rsidR="00DB1631" w:rsidRDefault="00DB1631">
            <w:pPr>
              <w:pStyle w:val="Default"/>
              <w:rPr>
                <w:sz w:val="22"/>
                <w:szCs w:val="22"/>
              </w:rPr>
            </w:pPr>
            <w:r>
              <w:rPr>
                <w:sz w:val="22"/>
                <w:szCs w:val="22"/>
              </w:rPr>
              <w:t xml:space="preserve">Ριτοναβίρη 100 mg BID, 9 ημέρες </w:t>
            </w:r>
          </w:p>
        </w:tc>
        <w:tc>
          <w:tcPr>
            <w:tcW w:w="2134" w:type="dxa"/>
            <w:gridSpan w:val="2"/>
            <w:tcBorders>
              <w:top w:val="single" w:sz="8" w:space="0" w:color="000000"/>
              <w:left w:val="single" w:sz="8" w:space="0" w:color="000000"/>
              <w:bottom w:val="single" w:sz="8" w:space="0" w:color="000000"/>
              <w:right w:val="single" w:sz="4" w:space="0" w:color="auto"/>
            </w:tcBorders>
          </w:tcPr>
          <w:p w:rsidR="00DB1631" w:rsidRDefault="00DB1631">
            <w:pPr>
              <w:pStyle w:val="Default"/>
              <w:rPr>
                <w:sz w:val="22"/>
                <w:szCs w:val="22"/>
              </w:rPr>
            </w:pPr>
            <w:r>
              <w:rPr>
                <w:sz w:val="22"/>
                <w:szCs w:val="22"/>
              </w:rPr>
              <w:t xml:space="preserve">10 mg OD για 4 ημέρες </w:t>
            </w:r>
          </w:p>
        </w:tc>
        <w:tc>
          <w:tcPr>
            <w:tcW w:w="1420" w:type="dxa"/>
            <w:gridSpan w:val="2"/>
            <w:tcBorders>
              <w:top w:val="single" w:sz="8" w:space="0" w:color="000000"/>
              <w:left w:val="single" w:sz="4" w:space="0" w:color="auto"/>
              <w:bottom w:val="single" w:sz="8" w:space="0" w:color="000000"/>
            </w:tcBorders>
          </w:tcPr>
          <w:p w:rsidR="00DB1631" w:rsidRDefault="00DB1631">
            <w:pPr>
              <w:pStyle w:val="Default"/>
              <w:rPr>
                <w:sz w:val="22"/>
                <w:szCs w:val="22"/>
              </w:rPr>
            </w:pPr>
            <w:r>
              <w:rPr>
                <w:sz w:val="22"/>
                <w:szCs w:val="22"/>
              </w:rPr>
              <w:t xml:space="preserve">↑ 3,3 φορές </w:t>
            </w:r>
          </w:p>
        </w:tc>
        <w:tc>
          <w:tcPr>
            <w:tcW w:w="2837" w:type="dxa"/>
            <w:vMerge/>
            <w:tcBorders>
              <w:left w:val="single" w:sz="4" w:space="0" w:color="auto"/>
              <w:right w:val="single" w:sz="4" w:space="0" w:color="auto"/>
            </w:tcBorders>
          </w:tcPr>
          <w:p w:rsidR="00DB1631" w:rsidRDefault="00DB1631" w:rsidP="00DB1631">
            <w:pPr>
              <w:pStyle w:val="Default"/>
              <w:rPr>
                <w:sz w:val="22"/>
                <w:szCs w:val="22"/>
              </w:rPr>
            </w:pPr>
          </w:p>
        </w:tc>
      </w:tr>
      <w:tr w:rsidR="00DB1631" w:rsidTr="00941456">
        <w:trPr>
          <w:trHeight w:val="270"/>
        </w:trPr>
        <w:tc>
          <w:tcPr>
            <w:tcW w:w="3460" w:type="dxa"/>
            <w:gridSpan w:val="2"/>
            <w:tcBorders>
              <w:top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Ιτρακοναζόλη 200 mg OD, 4 ημέρες </w:t>
            </w:r>
          </w:p>
        </w:tc>
        <w:tc>
          <w:tcPr>
            <w:tcW w:w="2134" w:type="dxa"/>
            <w:gridSpan w:val="2"/>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40 mg SD </w:t>
            </w:r>
          </w:p>
        </w:tc>
        <w:tc>
          <w:tcPr>
            <w:tcW w:w="1420" w:type="dxa"/>
            <w:gridSpan w:val="2"/>
            <w:tcBorders>
              <w:top w:val="single" w:sz="8" w:space="0" w:color="000000"/>
              <w:left w:val="single" w:sz="8" w:space="0" w:color="000000"/>
              <w:bottom w:val="single" w:sz="8" w:space="0" w:color="000000"/>
              <w:right w:val="single" w:sz="4" w:space="0" w:color="auto"/>
            </w:tcBorders>
          </w:tcPr>
          <w:p w:rsidR="00DB1631" w:rsidRDefault="00DB1631">
            <w:pPr>
              <w:pStyle w:val="Default"/>
              <w:rPr>
                <w:sz w:val="22"/>
                <w:szCs w:val="22"/>
              </w:rPr>
            </w:pPr>
            <w:r>
              <w:rPr>
                <w:sz w:val="22"/>
                <w:szCs w:val="22"/>
              </w:rPr>
              <w:t xml:space="preserve">↑ 3,3 φορές </w:t>
            </w:r>
          </w:p>
        </w:tc>
        <w:tc>
          <w:tcPr>
            <w:tcW w:w="2837" w:type="dxa"/>
            <w:vMerge/>
            <w:tcBorders>
              <w:left w:val="single" w:sz="4" w:space="0" w:color="auto"/>
              <w:right w:val="single" w:sz="4" w:space="0" w:color="auto"/>
            </w:tcBorders>
          </w:tcPr>
          <w:p w:rsidR="00DB1631" w:rsidRDefault="00DB1631" w:rsidP="00DB1631">
            <w:pPr>
              <w:pStyle w:val="Default"/>
              <w:rPr>
                <w:sz w:val="22"/>
                <w:szCs w:val="22"/>
              </w:rPr>
            </w:pPr>
          </w:p>
        </w:tc>
      </w:tr>
      <w:tr w:rsidR="00DB1631" w:rsidTr="00941456">
        <w:trPr>
          <w:trHeight w:val="397"/>
        </w:trPr>
        <w:tc>
          <w:tcPr>
            <w:tcW w:w="3460" w:type="dxa"/>
            <w:gridSpan w:val="2"/>
            <w:tcBorders>
              <w:top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Φοσαμπρεναβίρη 700 mg BID/ Ριτοναβίρη 100 mg BID, 14 ημέρες </w:t>
            </w:r>
          </w:p>
        </w:tc>
        <w:tc>
          <w:tcPr>
            <w:tcW w:w="2134" w:type="dxa"/>
            <w:gridSpan w:val="2"/>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10 mg OD για 4 ημέρες </w:t>
            </w:r>
          </w:p>
        </w:tc>
        <w:tc>
          <w:tcPr>
            <w:tcW w:w="1420" w:type="dxa"/>
            <w:gridSpan w:val="2"/>
            <w:tcBorders>
              <w:top w:val="single" w:sz="8" w:space="0" w:color="000000"/>
              <w:left w:val="single" w:sz="8" w:space="0" w:color="000000"/>
              <w:bottom w:val="single" w:sz="8" w:space="0" w:color="000000"/>
              <w:right w:val="single" w:sz="4" w:space="0" w:color="auto"/>
            </w:tcBorders>
          </w:tcPr>
          <w:p w:rsidR="00DB1631" w:rsidRDefault="00DB1631">
            <w:pPr>
              <w:pStyle w:val="Default"/>
              <w:rPr>
                <w:sz w:val="22"/>
                <w:szCs w:val="22"/>
              </w:rPr>
            </w:pPr>
            <w:r>
              <w:rPr>
                <w:sz w:val="22"/>
                <w:szCs w:val="22"/>
              </w:rPr>
              <w:t xml:space="preserve">↑ 2,5 φορές </w:t>
            </w:r>
          </w:p>
        </w:tc>
        <w:tc>
          <w:tcPr>
            <w:tcW w:w="2837" w:type="dxa"/>
            <w:vMerge/>
            <w:tcBorders>
              <w:left w:val="single" w:sz="4" w:space="0" w:color="auto"/>
              <w:right w:val="single" w:sz="4" w:space="0" w:color="auto"/>
            </w:tcBorders>
          </w:tcPr>
          <w:p w:rsidR="00DB1631" w:rsidRDefault="00DB1631" w:rsidP="00DB1631">
            <w:pPr>
              <w:pStyle w:val="Default"/>
              <w:rPr>
                <w:sz w:val="22"/>
                <w:szCs w:val="22"/>
              </w:rPr>
            </w:pPr>
          </w:p>
        </w:tc>
      </w:tr>
      <w:tr w:rsidR="00DB1631" w:rsidTr="00941456">
        <w:trPr>
          <w:trHeight w:val="270"/>
        </w:trPr>
        <w:tc>
          <w:tcPr>
            <w:tcW w:w="3460" w:type="dxa"/>
            <w:gridSpan w:val="2"/>
            <w:tcBorders>
              <w:top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Φοσαμπρεναβίρη 1400 mg BID, 14 ημέρες </w:t>
            </w:r>
          </w:p>
        </w:tc>
        <w:tc>
          <w:tcPr>
            <w:tcW w:w="2134" w:type="dxa"/>
            <w:gridSpan w:val="2"/>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10 mg OD για 4 ημέρες </w:t>
            </w:r>
          </w:p>
        </w:tc>
        <w:tc>
          <w:tcPr>
            <w:tcW w:w="1420" w:type="dxa"/>
            <w:gridSpan w:val="2"/>
            <w:tcBorders>
              <w:top w:val="single" w:sz="8" w:space="0" w:color="000000"/>
              <w:left w:val="single" w:sz="8" w:space="0" w:color="000000"/>
              <w:bottom w:val="single" w:sz="8" w:space="0" w:color="000000"/>
              <w:right w:val="single" w:sz="4" w:space="0" w:color="auto"/>
            </w:tcBorders>
          </w:tcPr>
          <w:p w:rsidR="00DB1631" w:rsidRDefault="00DB1631">
            <w:pPr>
              <w:pStyle w:val="Default"/>
              <w:rPr>
                <w:sz w:val="22"/>
                <w:szCs w:val="22"/>
              </w:rPr>
            </w:pPr>
            <w:r>
              <w:rPr>
                <w:sz w:val="22"/>
                <w:szCs w:val="22"/>
              </w:rPr>
              <w:t xml:space="preserve">↑ 2,3 φορές </w:t>
            </w:r>
          </w:p>
        </w:tc>
        <w:tc>
          <w:tcPr>
            <w:tcW w:w="2837" w:type="dxa"/>
            <w:vMerge/>
            <w:tcBorders>
              <w:left w:val="single" w:sz="4" w:space="0" w:color="auto"/>
              <w:bottom w:val="single" w:sz="8" w:space="0" w:color="000000"/>
              <w:right w:val="single" w:sz="4" w:space="0" w:color="auto"/>
            </w:tcBorders>
          </w:tcPr>
          <w:p w:rsidR="00DB1631" w:rsidRDefault="00DB1631" w:rsidP="00DB1631">
            <w:pPr>
              <w:pStyle w:val="Default"/>
              <w:rPr>
                <w:sz w:val="22"/>
                <w:szCs w:val="22"/>
              </w:rPr>
            </w:pPr>
          </w:p>
        </w:tc>
      </w:tr>
      <w:tr w:rsidR="00DB1631" w:rsidTr="00941456">
        <w:trPr>
          <w:trHeight w:val="270"/>
        </w:trPr>
        <w:tc>
          <w:tcPr>
            <w:tcW w:w="3468" w:type="dxa"/>
            <w:gridSpan w:val="3"/>
            <w:tcBorders>
              <w:top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Νελφιναβίρη 1250 mg BID, 14 ημέρες </w:t>
            </w:r>
          </w:p>
        </w:tc>
        <w:tc>
          <w:tcPr>
            <w:tcW w:w="2133" w:type="dxa"/>
            <w:gridSpan w:val="2"/>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10 mg OD για 28 ημέρες </w:t>
            </w:r>
          </w:p>
        </w:tc>
        <w:tc>
          <w:tcPr>
            <w:tcW w:w="1413" w:type="dxa"/>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 1,7 φορές ^ </w:t>
            </w:r>
          </w:p>
        </w:tc>
        <w:tc>
          <w:tcPr>
            <w:tcW w:w="2837" w:type="dxa"/>
            <w:tcBorders>
              <w:top w:val="single" w:sz="8" w:space="0" w:color="000000"/>
              <w:left w:val="single" w:sz="8" w:space="0" w:color="000000"/>
              <w:bottom w:val="single" w:sz="8" w:space="0" w:color="000000"/>
            </w:tcBorders>
          </w:tcPr>
          <w:p w:rsidR="00DB1631" w:rsidRDefault="00DB1631">
            <w:pPr>
              <w:pStyle w:val="Default"/>
              <w:rPr>
                <w:sz w:val="22"/>
                <w:szCs w:val="22"/>
              </w:rPr>
            </w:pPr>
            <w:r>
              <w:rPr>
                <w:sz w:val="22"/>
                <w:szCs w:val="22"/>
              </w:rPr>
              <w:t xml:space="preserve">Δεν υπάρχει συγκεκριμένη σύσταση. </w:t>
            </w:r>
          </w:p>
        </w:tc>
      </w:tr>
      <w:tr w:rsidR="00DB1631" w:rsidTr="00941456">
        <w:trPr>
          <w:trHeight w:val="524"/>
        </w:trPr>
        <w:tc>
          <w:tcPr>
            <w:tcW w:w="3468" w:type="dxa"/>
            <w:gridSpan w:val="3"/>
            <w:tcBorders>
              <w:top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Χυμός Γκρεϊπφρουτ, 240 mL OD * </w:t>
            </w:r>
          </w:p>
        </w:tc>
        <w:tc>
          <w:tcPr>
            <w:tcW w:w="2133" w:type="dxa"/>
            <w:gridSpan w:val="2"/>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40 mg, SD </w:t>
            </w:r>
          </w:p>
        </w:tc>
        <w:tc>
          <w:tcPr>
            <w:tcW w:w="1413" w:type="dxa"/>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 37% </w:t>
            </w:r>
          </w:p>
        </w:tc>
        <w:tc>
          <w:tcPr>
            <w:tcW w:w="2837" w:type="dxa"/>
            <w:tcBorders>
              <w:top w:val="single" w:sz="8" w:space="0" w:color="000000"/>
              <w:left w:val="single" w:sz="8" w:space="0" w:color="000000"/>
              <w:bottom w:val="single" w:sz="8" w:space="0" w:color="000000"/>
            </w:tcBorders>
          </w:tcPr>
          <w:p w:rsidR="00DB1631" w:rsidRDefault="00DB1631">
            <w:pPr>
              <w:pStyle w:val="Default"/>
              <w:rPr>
                <w:sz w:val="22"/>
                <w:szCs w:val="22"/>
              </w:rPr>
            </w:pPr>
            <w:r>
              <w:rPr>
                <w:sz w:val="22"/>
                <w:szCs w:val="22"/>
              </w:rPr>
              <w:t xml:space="preserve">Δεν συνιστάται η ταυτόχρονη λήψη μεγάλων ποσοτήτων χυμού grapefruit και ατορβαστατίνης. </w:t>
            </w:r>
          </w:p>
        </w:tc>
      </w:tr>
      <w:tr w:rsidR="00DB1631" w:rsidTr="00941456">
        <w:trPr>
          <w:gridBefore w:val="1"/>
          <w:wBefore w:w="68" w:type="dxa"/>
          <w:trHeight w:val="1401"/>
        </w:trPr>
        <w:tc>
          <w:tcPr>
            <w:tcW w:w="3400" w:type="dxa"/>
            <w:gridSpan w:val="2"/>
            <w:tcBorders>
              <w:top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Διλτιαζέμη 240 mg OD, 28 ημέρες </w:t>
            </w:r>
          </w:p>
        </w:tc>
        <w:tc>
          <w:tcPr>
            <w:tcW w:w="2133" w:type="dxa"/>
            <w:gridSpan w:val="2"/>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40 mg, SD </w:t>
            </w:r>
          </w:p>
        </w:tc>
        <w:tc>
          <w:tcPr>
            <w:tcW w:w="1413" w:type="dxa"/>
            <w:tcBorders>
              <w:top w:val="single" w:sz="8" w:space="0" w:color="000000"/>
              <w:left w:val="single" w:sz="8" w:space="0" w:color="000000"/>
              <w:bottom w:val="single" w:sz="8" w:space="0" w:color="000000"/>
              <w:right w:val="single" w:sz="8" w:space="0" w:color="000000"/>
            </w:tcBorders>
          </w:tcPr>
          <w:p w:rsidR="00DB1631" w:rsidRDefault="00DB1631">
            <w:pPr>
              <w:pStyle w:val="Default"/>
              <w:rPr>
                <w:sz w:val="22"/>
                <w:szCs w:val="22"/>
              </w:rPr>
            </w:pPr>
            <w:r>
              <w:rPr>
                <w:sz w:val="22"/>
                <w:szCs w:val="22"/>
              </w:rPr>
              <w:t xml:space="preserve">↑ 51% </w:t>
            </w:r>
          </w:p>
        </w:tc>
        <w:tc>
          <w:tcPr>
            <w:tcW w:w="2837" w:type="dxa"/>
            <w:tcBorders>
              <w:top w:val="single" w:sz="8" w:space="0" w:color="000000"/>
              <w:left w:val="single" w:sz="8" w:space="0" w:color="000000"/>
              <w:bottom w:val="single" w:sz="8" w:space="0" w:color="000000"/>
            </w:tcBorders>
          </w:tcPr>
          <w:p w:rsidR="00DB1631" w:rsidRDefault="00DB1631">
            <w:pPr>
              <w:pStyle w:val="Default"/>
              <w:rPr>
                <w:sz w:val="22"/>
                <w:szCs w:val="22"/>
              </w:rPr>
            </w:pPr>
            <w:r>
              <w:rPr>
                <w:sz w:val="22"/>
                <w:szCs w:val="22"/>
              </w:rPr>
              <w:t xml:space="preserve">Συνιστάται κατάλληλη κλινική παρακολούθηση στους ασθενείς, κατόπιν έναρξης ή μεταβολής της δόσης της διλτιαζέμης, </w:t>
            </w:r>
          </w:p>
        </w:tc>
      </w:tr>
      <w:tr w:rsidR="00941456" w:rsidTr="00941456">
        <w:trPr>
          <w:gridBefore w:val="1"/>
          <w:wBefore w:w="68" w:type="dxa"/>
          <w:trHeight w:val="650"/>
        </w:trPr>
        <w:tc>
          <w:tcPr>
            <w:tcW w:w="340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Ερυθρομυκίνη 500 mg QID, 7 ημέρες </w:t>
            </w:r>
          </w:p>
        </w:tc>
        <w:tc>
          <w:tcPr>
            <w:tcW w:w="2126"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10 mg, SD </w:t>
            </w:r>
          </w:p>
        </w:tc>
        <w:tc>
          <w:tcPr>
            <w:tcW w:w="142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 33%^ </w:t>
            </w:r>
          </w:p>
        </w:tc>
        <w:tc>
          <w:tcPr>
            <w:tcW w:w="2834"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Συνιστάται η χαμηλότερη μέγιστη δόση και κλινική παρακολούθηση αυτών των ασθενών. </w:t>
            </w:r>
          </w:p>
        </w:tc>
      </w:tr>
      <w:tr w:rsidR="00941456" w:rsidTr="00941456">
        <w:trPr>
          <w:gridBefore w:val="1"/>
          <w:wBefore w:w="68" w:type="dxa"/>
          <w:trHeight w:val="650"/>
        </w:trPr>
        <w:tc>
          <w:tcPr>
            <w:tcW w:w="340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Αμλοδιπίνη 10 mg, SD </w:t>
            </w:r>
          </w:p>
        </w:tc>
        <w:tc>
          <w:tcPr>
            <w:tcW w:w="2126"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80 mg, SD </w:t>
            </w:r>
          </w:p>
        </w:tc>
        <w:tc>
          <w:tcPr>
            <w:tcW w:w="142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 18% </w:t>
            </w:r>
          </w:p>
        </w:tc>
        <w:tc>
          <w:tcPr>
            <w:tcW w:w="2834"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Δεν υπάρχει συγκεκριμένη σύσταση. </w:t>
            </w:r>
          </w:p>
        </w:tc>
      </w:tr>
      <w:tr w:rsidR="00941456" w:rsidTr="00941456">
        <w:trPr>
          <w:gridBefore w:val="1"/>
          <w:wBefore w:w="68" w:type="dxa"/>
          <w:trHeight w:val="650"/>
        </w:trPr>
        <w:tc>
          <w:tcPr>
            <w:tcW w:w="340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Σιμετιδίνη 300 mg QID, 2 εβδομάδες </w:t>
            </w:r>
          </w:p>
        </w:tc>
        <w:tc>
          <w:tcPr>
            <w:tcW w:w="2126"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10 mg OD για 4 εβδομάδες </w:t>
            </w:r>
          </w:p>
        </w:tc>
        <w:tc>
          <w:tcPr>
            <w:tcW w:w="142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 λιγότερο από 1%^ </w:t>
            </w:r>
          </w:p>
        </w:tc>
        <w:tc>
          <w:tcPr>
            <w:tcW w:w="2834"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Δεν υπάρχει συγκεκριμένη σύσταση. </w:t>
            </w:r>
          </w:p>
        </w:tc>
      </w:tr>
      <w:tr w:rsidR="00941456" w:rsidTr="00941456">
        <w:trPr>
          <w:gridBefore w:val="1"/>
          <w:wBefore w:w="68" w:type="dxa"/>
          <w:trHeight w:val="650"/>
        </w:trPr>
        <w:tc>
          <w:tcPr>
            <w:tcW w:w="340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Αντιόξινο εναιώρημα υδροξειδίων μαγνησίου και αλουμινίου, 30 mL QID, 2 εβδομάδες </w:t>
            </w:r>
          </w:p>
        </w:tc>
        <w:tc>
          <w:tcPr>
            <w:tcW w:w="2126"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10 mg OD για 4 εβδομάδες </w:t>
            </w:r>
          </w:p>
        </w:tc>
        <w:tc>
          <w:tcPr>
            <w:tcW w:w="142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 35%^ </w:t>
            </w:r>
          </w:p>
        </w:tc>
        <w:tc>
          <w:tcPr>
            <w:tcW w:w="2834"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Δεν υπάρχει συγκεκριμένη σύσταση. </w:t>
            </w:r>
          </w:p>
        </w:tc>
      </w:tr>
      <w:tr w:rsidR="00941456" w:rsidTr="00941456">
        <w:trPr>
          <w:gridBefore w:val="1"/>
          <w:wBefore w:w="68" w:type="dxa"/>
          <w:trHeight w:val="650"/>
        </w:trPr>
        <w:tc>
          <w:tcPr>
            <w:tcW w:w="340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lastRenderedPageBreak/>
              <w:t xml:space="preserve">Εφαβιρένζη 600 mg OD, 14 ημέρες </w:t>
            </w:r>
          </w:p>
        </w:tc>
        <w:tc>
          <w:tcPr>
            <w:tcW w:w="2126"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10 mg για 3 ημέρες </w:t>
            </w:r>
          </w:p>
        </w:tc>
        <w:tc>
          <w:tcPr>
            <w:tcW w:w="142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 41% </w:t>
            </w:r>
          </w:p>
        </w:tc>
        <w:tc>
          <w:tcPr>
            <w:tcW w:w="2834"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Δεν υπάρχει συγκεκριμένη σύσταση. </w:t>
            </w:r>
          </w:p>
        </w:tc>
      </w:tr>
      <w:tr w:rsidR="00941456" w:rsidTr="00941456">
        <w:trPr>
          <w:gridBefore w:val="1"/>
          <w:wBefore w:w="68" w:type="dxa"/>
          <w:trHeight w:val="650"/>
        </w:trPr>
        <w:tc>
          <w:tcPr>
            <w:tcW w:w="340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Ριφαμπικίνη 600 mg OD, 7 ημέρες (συγχορηγούμενη) </w:t>
            </w:r>
          </w:p>
        </w:tc>
        <w:tc>
          <w:tcPr>
            <w:tcW w:w="2126"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40 mg SD </w:t>
            </w:r>
          </w:p>
        </w:tc>
        <w:tc>
          <w:tcPr>
            <w:tcW w:w="142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 30% </w:t>
            </w:r>
          </w:p>
        </w:tc>
        <w:tc>
          <w:tcPr>
            <w:tcW w:w="2834"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Εάν η συγχορήγηση δεν μπορεί να αποφευχθεί, συνιστάται ταυτόχρονη συγχορήγηση ατορβαστατίνης με ριφαμπικίνη, με κλινική παρακολούθηση. </w:t>
            </w:r>
          </w:p>
        </w:tc>
      </w:tr>
      <w:tr w:rsidR="00941456" w:rsidTr="00941456">
        <w:trPr>
          <w:gridBefore w:val="1"/>
          <w:wBefore w:w="68" w:type="dxa"/>
          <w:trHeight w:val="650"/>
        </w:trPr>
        <w:tc>
          <w:tcPr>
            <w:tcW w:w="340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Ριφαμπικίνη 600 mg OD, 5 ημέρες (χωριστές δόσεις) </w:t>
            </w:r>
          </w:p>
        </w:tc>
        <w:tc>
          <w:tcPr>
            <w:tcW w:w="2126"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40 mg SD </w:t>
            </w:r>
          </w:p>
        </w:tc>
        <w:tc>
          <w:tcPr>
            <w:tcW w:w="142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 80% </w:t>
            </w:r>
          </w:p>
        </w:tc>
        <w:tc>
          <w:tcPr>
            <w:tcW w:w="2834"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p>
        </w:tc>
      </w:tr>
      <w:tr w:rsidR="00941456" w:rsidTr="00941456">
        <w:trPr>
          <w:gridBefore w:val="1"/>
          <w:wBefore w:w="68" w:type="dxa"/>
          <w:trHeight w:val="650"/>
        </w:trPr>
        <w:tc>
          <w:tcPr>
            <w:tcW w:w="340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Γεμφιβροζίλη 600 mg BID, 7 ημέρες </w:t>
            </w:r>
          </w:p>
        </w:tc>
        <w:tc>
          <w:tcPr>
            <w:tcW w:w="2126"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40mg SD </w:t>
            </w:r>
          </w:p>
        </w:tc>
        <w:tc>
          <w:tcPr>
            <w:tcW w:w="142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 35% </w:t>
            </w:r>
          </w:p>
        </w:tc>
        <w:tc>
          <w:tcPr>
            <w:tcW w:w="2834"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Συνιστάται χαμηλότερη δόση έναρξης και κλινική παρακολούθηση αυτών των ασθενών. </w:t>
            </w:r>
          </w:p>
        </w:tc>
      </w:tr>
      <w:tr w:rsidR="00941456" w:rsidTr="00941456">
        <w:trPr>
          <w:gridBefore w:val="1"/>
          <w:wBefore w:w="68" w:type="dxa"/>
          <w:trHeight w:val="650"/>
        </w:trPr>
        <w:tc>
          <w:tcPr>
            <w:tcW w:w="340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Φαινοφιβράτη 160 mg OD, 7 ημέρες </w:t>
            </w:r>
          </w:p>
        </w:tc>
        <w:tc>
          <w:tcPr>
            <w:tcW w:w="2126"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40mg SD </w:t>
            </w:r>
          </w:p>
        </w:tc>
        <w:tc>
          <w:tcPr>
            <w:tcW w:w="1420" w:type="dxa"/>
            <w:gridSpan w:val="2"/>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 3% </w:t>
            </w:r>
          </w:p>
        </w:tc>
        <w:tc>
          <w:tcPr>
            <w:tcW w:w="2834" w:type="dxa"/>
            <w:tcBorders>
              <w:top w:val="single" w:sz="8" w:space="0" w:color="000000"/>
              <w:left w:val="single" w:sz="8" w:space="0" w:color="000000"/>
              <w:bottom w:val="single" w:sz="8" w:space="0" w:color="000000"/>
              <w:right w:val="single" w:sz="8" w:space="0" w:color="000000"/>
            </w:tcBorders>
          </w:tcPr>
          <w:p w:rsidR="00941456" w:rsidRDefault="00941456" w:rsidP="00941456">
            <w:pPr>
              <w:pStyle w:val="Default"/>
              <w:rPr>
                <w:sz w:val="22"/>
                <w:szCs w:val="22"/>
              </w:rPr>
            </w:pPr>
            <w:r>
              <w:rPr>
                <w:sz w:val="22"/>
                <w:szCs w:val="22"/>
              </w:rPr>
              <w:t xml:space="preserve">Συνιστάται χαμηλότερη δόση έναρξης και κλινική παρακολούθηση αυτών των ασθενών. </w:t>
            </w:r>
          </w:p>
        </w:tc>
      </w:tr>
    </w:tbl>
    <w:p w:rsidR="00B56AAF" w:rsidRPr="0049241B" w:rsidRDefault="00B56AAF" w:rsidP="008525D4">
      <w:pPr>
        <w:spacing w:after="0" w:line="240" w:lineRule="auto"/>
        <w:jc w:val="both"/>
        <w:rPr>
          <w:rFonts w:ascii="Times New Roman" w:hAnsi="Times New Roman" w:cs="Times New Roman"/>
        </w:rPr>
      </w:pPr>
      <w:bookmarkStart w:id="0" w:name="_GoBack"/>
      <w:bookmarkEnd w:id="0"/>
    </w:p>
    <w:p w:rsidR="00224E61" w:rsidRPr="00900C58" w:rsidRDefault="00224E61" w:rsidP="00900C58">
      <w:pPr>
        <w:pStyle w:val="a3"/>
        <w:numPr>
          <w:ilvl w:val="0"/>
          <w:numId w:val="15"/>
        </w:numPr>
        <w:spacing w:after="0" w:line="240" w:lineRule="auto"/>
        <w:jc w:val="both"/>
        <w:rPr>
          <w:rFonts w:ascii="Times New Roman" w:hAnsi="Times New Roman" w:cs="Times New Roman"/>
        </w:rPr>
      </w:pPr>
      <w:r w:rsidRPr="00900C58">
        <w:rPr>
          <w:rFonts w:ascii="Times New Roman" w:hAnsi="Times New Roman" w:cs="Times New Roman"/>
        </w:rPr>
        <w:t>Τα δεδομένα που αναγράφονται ως μεταβολές χ-φορές απεικονίζουν απλή αναλογία μεταξύ συγχορήγησης και ατορβαστατίνη μόνο (δηλ., 1-φορά = καμία μεταβολή). Τα δεδομένα που αναγράφονται ως μεταβολές επί τοις % απεικονίζουν την επί τοις % διαφορά σε σχέση με την ατορβαστατίνη μόνο (δηλ., 0% = καμία μεταβολή).</w:t>
      </w:r>
    </w:p>
    <w:p w:rsidR="00224E61" w:rsidRPr="00900C58" w:rsidRDefault="00224E61" w:rsidP="00900C58">
      <w:pPr>
        <w:pStyle w:val="a3"/>
        <w:numPr>
          <w:ilvl w:val="0"/>
          <w:numId w:val="16"/>
        </w:numPr>
        <w:spacing w:after="0" w:line="240" w:lineRule="auto"/>
        <w:jc w:val="both"/>
        <w:rPr>
          <w:rFonts w:ascii="Times New Roman" w:hAnsi="Times New Roman" w:cs="Times New Roman"/>
        </w:rPr>
      </w:pPr>
      <w:r w:rsidRPr="00900C58">
        <w:rPr>
          <w:rFonts w:ascii="Times New Roman" w:hAnsi="Times New Roman" w:cs="Times New Roman"/>
        </w:rPr>
        <w:t>Βλέπε παραγράφους 4.4 και 4.5 για κλινική σημαντικόττα.</w:t>
      </w:r>
    </w:p>
    <w:p w:rsidR="00224E61" w:rsidRPr="00900C58" w:rsidRDefault="00224E61" w:rsidP="00900C58">
      <w:pPr>
        <w:pStyle w:val="a3"/>
        <w:numPr>
          <w:ilvl w:val="0"/>
          <w:numId w:val="18"/>
        </w:numPr>
        <w:spacing w:after="0" w:line="240" w:lineRule="auto"/>
        <w:jc w:val="both"/>
        <w:rPr>
          <w:rFonts w:ascii="Times New Roman" w:hAnsi="Times New Roman" w:cs="Times New Roman"/>
        </w:rPr>
      </w:pPr>
      <w:r w:rsidRPr="00900C58">
        <w:rPr>
          <w:rFonts w:ascii="Times New Roman" w:hAnsi="Times New Roman" w:cs="Times New Roman"/>
        </w:rPr>
        <w:t xml:space="preserve">Περιέχει ένα ή περισσότερα συστατικά τα οποία αναστέλλουν το </w:t>
      </w:r>
      <w:r w:rsidRPr="00900C58">
        <w:rPr>
          <w:rFonts w:ascii="Times New Roman" w:hAnsi="Times New Roman" w:cs="Times New Roman"/>
          <w:lang w:val="en-US"/>
        </w:rPr>
        <w:t>CYP</w:t>
      </w:r>
      <w:r w:rsidRPr="00900C58">
        <w:rPr>
          <w:rFonts w:ascii="Times New Roman" w:hAnsi="Times New Roman" w:cs="Times New Roman"/>
        </w:rPr>
        <w:t>3</w:t>
      </w:r>
      <w:r w:rsidRPr="00900C58">
        <w:rPr>
          <w:rFonts w:ascii="Times New Roman" w:hAnsi="Times New Roman" w:cs="Times New Roman"/>
          <w:lang w:val="en-US"/>
        </w:rPr>
        <w:t>A</w:t>
      </w:r>
      <w:r w:rsidRPr="00900C58">
        <w:rPr>
          <w:rFonts w:ascii="Times New Roman" w:hAnsi="Times New Roman" w:cs="Times New Roman"/>
        </w:rPr>
        <w:t xml:space="preserve">4 και μπορεί να αυξήσουν τις συγκεντρώσεις στο πλάσμα των φαρμακευτικών προϊόντων που μεταβολίζονται από το </w:t>
      </w:r>
      <w:r w:rsidRPr="00900C58">
        <w:rPr>
          <w:rFonts w:ascii="Times New Roman" w:hAnsi="Times New Roman" w:cs="Times New Roman"/>
          <w:lang w:val="en-US"/>
        </w:rPr>
        <w:t>CYP</w:t>
      </w:r>
      <w:r w:rsidRPr="00900C58">
        <w:rPr>
          <w:rFonts w:ascii="Times New Roman" w:hAnsi="Times New Roman" w:cs="Times New Roman"/>
        </w:rPr>
        <w:t>3</w:t>
      </w:r>
      <w:r w:rsidRPr="00900C58">
        <w:rPr>
          <w:rFonts w:ascii="Times New Roman" w:hAnsi="Times New Roman" w:cs="Times New Roman"/>
          <w:lang w:val="en-US"/>
        </w:rPr>
        <w:t>A</w:t>
      </w:r>
      <w:r w:rsidRPr="00900C58">
        <w:rPr>
          <w:rFonts w:ascii="Times New Roman" w:hAnsi="Times New Roman" w:cs="Times New Roman"/>
        </w:rPr>
        <w:t xml:space="preserve">4. Λήψη ενός ποτηριού των 240 </w:t>
      </w:r>
      <w:r w:rsidRPr="00900C58">
        <w:rPr>
          <w:rFonts w:ascii="Times New Roman" w:hAnsi="Times New Roman" w:cs="Times New Roman"/>
          <w:lang w:val="en-US"/>
        </w:rPr>
        <w:t>ml</w:t>
      </w:r>
      <w:r w:rsidRPr="00900C58">
        <w:rPr>
          <w:rFonts w:ascii="Times New Roman" w:hAnsi="Times New Roman" w:cs="Times New Roman"/>
        </w:rPr>
        <w:t xml:space="preserve"> χυμού γκρεϊπφρουτ είχε επίσης ως αποτέλεσμα μείωση της </w:t>
      </w:r>
      <w:r w:rsidRPr="00900C58">
        <w:rPr>
          <w:rFonts w:ascii="Times New Roman" w:hAnsi="Times New Roman" w:cs="Times New Roman"/>
          <w:lang w:val="en-US"/>
        </w:rPr>
        <w:t>AUC</w:t>
      </w:r>
      <w:r w:rsidRPr="00900C58">
        <w:rPr>
          <w:rFonts w:ascii="Times New Roman" w:hAnsi="Times New Roman" w:cs="Times New Roman"/>
        </w:rPr>
        <w:t xml:space="preserve">του ενεργού ορθοϋδρόξυ-μεταβολίτη κατά 20,4%. Μεγάλες ποσότητες χυμού γκρεϊπφρουτ (περισσότερο από 1,2 </w:t>
      </w:r>
      <w:r w:rsidRPr="00900C58">
        <w:rPr>
          <w:rFonts w:ascii="Times New Roman" w:hAnsi="Times New Roman" w:cs="Times New Roman"/>
          <w:lang w:val="en-US"/>
        </w:rPr>
        <w:t>l</w:t>
      </w:r>
      <w:r w:rsidRPr="00900C58">
        <w:rPr>
          <w:rFonts w:ascii="Times New Roman" w:hAnsi="Times New Roman" w:cs="Times New Roman"/>
        </w:rPr>
        <w:t xml:space="preserve"> για 5 ημέρες) είχε ως αποτέλεσμα την αύξηση της </w:t>
      </w:r>
      <w:r w:rsidRPr="00900C58">
        <w:rPr>
          <w:rFonts w:ascii="Times New Roman" w:hAnsi="Times New Roman" w:cs="Times New Roman"/>
          <w:lang w:val="en-US"/>
        </w:rPr>
        <w:t>AUC</w:t>
      </w:r>
      <w:r w:rsidRPr="00900C58">
        <w:rPr>
          <w:rFonts w:ascii="Times New Roman" w:hAnsi="Times New Roman" w:cs="Times New Roman"/>
        </w:rPr>
        <w:t xml:space="preserve"> της ατορβαστατίνης κατά 2,5 φορές και την </w:t>
      </w:r>
      <w:r w:rsidRPr="00900C58">
        <w:rPr>
          <w:rFonts w:ascii="Times New Roman" w:hAnsi="Times New Roman" w:cs="Times New Roman"/>
          <w:lang w:val="en-US"/>
        </w:rPr>
        <w:t>AUC</w:t>
      </w:r>
      <w:r w:rsidRPr="00900C58">
        <w:rPr>
          <w:rFonts w:ascii="Times New Roman" w:hAnsi="Times New Roman" w:cs="Times New Roman"/>
        </w:rPr>
        <w:t xml:space="preserve"> της δραστικής (ατορβαστατίνη και μεταβολίτες).</w:t>
      </w:r>
    </w:p>
    <w:p w:rsidR="00224E61" w:rsidRPr="00900C58" w:rsidRDefault="00224E61" w:rsidP="00900C58">
      <w:pPr>
        <w:pStyle w:val="a3"/>
        <w:numPr>
          <w:ilvl w:val="0"/>
          <w:numId w:val="19"/>
        </w:numPr>
        <w:spacing w:after="0" w:line="240" w:lineRule="auto"/>
        <w:jc w:val="both"/>
        <w:rPr>
          <w:rFonts w:ascii="Times New Roman" w:hAnsi="Times New Roman" w:cs="Times New Roman"/>
        </w:rPr>
      </w:pPr>
      <w:r w:rsidRPr="00900C58">
        <w:rPr>
          <w:rFonts w:ascii="Times New Roman" w:hAnsi="Times New Roman" w:cs="Times New Roman"/>
        </w:rPr>
        <w:t>Ολική ισοδύναμη δραστικότητα ατορβαστατίνης</w:t>
      </w:r>
    </w:p>
    <w:p w:rsidR="00224E61" w:rsidRPr="00900C58" w:rsidRDefault="00224E61" w:rsidP="00224E61">
      <w:pPr>
        <w:spacing w:after="0" w:line="240" w:lineRule="auto"/>
        <w:jc w:val="both"/>
        <w:rPr>
          <w:rFonts w:ascii="Times New Roman" w:hAnsi="Times New Roman" w:cs="Times New Roman"/>
        </w:rPr>
      </w:pPr>
      <w:r w:rsidRPr="00900C58">
        <w:rPr>
          <w:rFonts w:ascii="Times New Roman" w:hAnsi="Times New Roman" w:cs="Times New Roman"/>
        </w:rPr>
        <w:t>Αύξηση υποδεικνύεται ως “↑”, μείωση ως “↓”</w:t>
      </w:r>
    </w:p>
    <w:p w:rsidR="00224E61" w:rsidRPr="00900C58" w:rsidRDefault="00224E61" w:rsidP="00224E61">
      <w:pPr>
        <w:spacing w:after="0" w:line="240" w:lineRule="auto"/>
        <w:jc w:val="both"/>
        <w:rPr>
          <w:rFonts w:ascii="Times New Roman" w:hAnsi="Times New Roman" w:cs="Times New Roman"/>
        </w:rPr>
      </w:pPr>
      <w:r w:rsidRPr="00224E61">
        <w:rPr>
          <w:rFonts w:ascii="Times New Roman" w:hAnsi="Times New Roman" w:cs="Times New Roman"/>
          <w:lang w:val="en-US"/>
        </w:rPr>
        <w:t>OD</w:t>
      </w:r>
      <w:r w:rsidRPr="00900C58">
        <w:rPr>
          <w:rFonts w:ascii="Times New Roman" w:hAnsi="Times New Roman" w:cs="Times New Roman"/>
        </w:rPr>
        <w:t xml:space="preserve"> = μια φορά ημερησίως, </w:t>
      </w:r>
      <w:r w:rsidRPr="00224E61">
        <w:rPr>
          <w:rFonts w:ascii="Times New Roman" w:hAnsi="Times New Roman" w:cs="Times New Roman"/>
          <w:lang w:val="en-US"/>
        </w:rPr>
        <w:t>SD</w:t>
      </w:r>
      <w:r w:rsidRPr="00900C58">
        <w:rPr>
          <w:rFonts w:ascii="Times New Roman" w:hAnsi="Times New Roman" w:cs="Times New Roman"/>
        </w:rPr>
        <w:t xml:space="preserve"> = μονή δόση, </w:t>
      </w:r>
      <w:r w:rsidRPr="00224E61">
        <w:rPr>
          <w:rFonts w:ascii="Times New Roman" w:hAnsi="Times New Roman" w:cs="Times New Roman"/>
          <w:lang w:val="en-US"/>
        </w:rPr>
        <w:t>BID</w:t>
      </w:r>
      <w:r w:rsidRPr="00900C58">
        <w:rPr>
          <w:rFonts w:ascii="Times New Roman" w:hAnsi="Times New Roman" w:cs="Times New Roman"/>
        </w:rPr>
        <w:t xml:space="preserve"> = δύο φορές ημερησίως, </w:t>
      </w:r>
      <w:r w:rsidRPr="00224E61">
        <w:rPr>
          <w:rFonts w:ascii="Times New Roman" w:hAnsi="Times New Roman" w:cs="Times New Roman"/>
          <w:lang w:val="en-US"/>
        </w:rPr>
        <w:t>QID</w:t>
      </w:r>
      <w:r w:rsidRPr="00900C58">
        <w:rPr>
          <w:rFonts w:ascii="Times New Roman" w:hAnsi="Times New Roman" w:cs="Times New Roman"/>
        </w:rPr>
        <w:t xml:space="preserve"> = τέσσερις φορές ημερησίως</w:t>
      </w:r>
    </w:p>
    <w:p w:rsidR="005C63C0" w:rsidRPr="00900C58" w:rsidRDefault="005C63C0" w:rsidP="00224E61">
      <w:pPr>
        <w:spacing w:after="0" w:line="240" w:lineRule="auto"/>
        <w:jc w:val="both"/>
        <w:rPr>
          <w:rFonts w:ascii="Times New Roman" w:hAnsi="Times New Roman" w:cs="Times New Roman"/>
        </w:rPr>
      </w:pPr>
    </w:p>
    <w:p w:rsidR="005C63C0" w:rsidRPr="00900C58" w:rsidRDefault="005C63C0" w:rsidP="00224E61">
      <w:pPr>
        <w:spacing w:after="0" w:line="240" w:lineRule="auto"/>
        <w:jc w:val="both"/>
        <w:rPr>
          <w:rFonts w:ascii="Times New Roman" w:hAnsi="Times New Roman" w:cs="Times New Roman"/>
        </w:rPr>
      </w:pPr>
      <w:r w:rsidRPr="00900C58">
        <w:rPr>
          <w:rFonts w:ascii="Times New Roman" w:hAnsi="Times New Roman" w:cs="Times New Roman"/>
        </w:rPr>
        <w:t>Πίνακας 2: Επίδραση της ατορβαστατίνης στη φαρμακοκινητική συγχορηγούμενων φαρμακευτικών προϊόντων</w:t>
      </w:r>
    </w:p>
    <w:p w:rsidR="005C63C0" w:rsidRPr="00900C58" w:rsidRDefault="005C63C0" w:rsidP="00224E61">
      <w:pPr>
        <w:spacing w:after="0" w:line="240" w:lineRule="auto"/>
        <w:jc w:val="both"/>
        <w:rPr>
          <w:rFonts w:ascii="Times New Roman" w:hAnsi="Times New Roman" w:cs="Times New Roman"/>
        </w:rPr>
      </w:pPr>
    </w:p>
    <w:p w:rsidR="005C63C0" w:rsidRPr="00900C58" w:rsidRDefault="005C63C0" w:rsidP="00224E61">
      <w:pPr>
        <w:spacing w:after="0" w:line="240" w:lineRule="auto"/>
        <w:jc w:val="both"/>
        <w:rPr>
          <w:rFonts w:ascii="Times New Roman" w:hAnsi="Times New Roman" w:cs="Times New Roman"/>
        </w:rPr>
      </w:pPr>
    </w:p>
    <w:p w:rsidR="005C63C0" w:rsidRPr="00900C58" w:rsidRDefault="005C63C0" w:rsidP="00224E61">
      <w:pPr>
        <w:spacing w:after="0" w:line="240" w:lineRule="auto"/>
        <w:jc w:val="both"/>
        <w:rPr>
          <w:rFonts w:ascii="Times New Roman" w:hAnsi="Times New Roman" w:cs="Times New Roman"/>
        </w:rPr>
      </w:pPr>
    </w:p>
    <w:tbl>
      <w:tblPr>
        <w:tblW w:w="10134"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905"/>
        <w:gridCol w:w="2670"/>
        <w:gridCol w:w="23"/>
        <w:gridCol w:w="2240"/>
        <w:gridCol w:w="28"/>
        <w:gridCol w:w="2236"/>
        <w:gridCol w:w="32"/>
      </w:tblGrid>
      <w:tr w:rsidR="005C63C0" w:rsidTr="00900C58">
        <w:trPr>
          <w:gridAfter w:val="1"/>
          <w:wAfter w:w="32" w:type="dxa"/>
          <w:trHeight w:val="397"/>
        </w:trPr>
        <w:tc>
          <w:tcPr>
            <w:tcW w:w="2905" w:type="dxa"/>
            <w:vMerge w:val="restart"/>
            <w:tcBorders>
              <w:top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Ατορβαστατίνη και δοσολογικό σχήμα </w:t>
            </w:r>
          </w:p>
        </w:tc>
        <w:tc>
          <w:tcPr>
            <w:tcW w:w="7197" w:type="dxa"/>
            <w:gridSpan w:val="5"/>
            <w:tcBorders>
              <w:top w:val="single" w:sz="8" w:space="0" w:color="000000"/>
              <w:left w:val="single" w:sz="8" w:space="0" w:color="000000"/>
              <w:bottom w:val="single" w:sz="8" w:space="0" w:color="000000"/>
            </w:tcBorders>
          </w:tcPr>
          <w:p w:rsidR="005C63C0" w:rsidRDefault="005C63C0">
            <w:pPr>
              <w:pStyle w:val="Default"/>
              <w:rPr>
                <w:sz w:val="22"/>
                <w:szCs w:val="22"/>
              </w:rPr>
            </w:pPr>
            <w:r>
              <w:rPr>
                <w:sz w:val="22"/>
                <w:szCs w:val="22"/>
              </w:rPr>
              <w:t xml:space="preserve">Συγχορηγούμενα φαρμακευτικά προϊόντα </w:t>
            </w:r>
          </w:p>
        </w:tc>
      </w:tr>
      <w:tr w:rsidR="005C63C0" w:rsidTr="00900C58">
        <w:trPr>
          <w:trHeight w:val="396"/>
        </w:trPr>
        <w:tc>
          <w:tcPr>
            <w:tcW w:w="2905" w:type="dxa"/>
            <w:vMerge/>
            <w:tcBorders>
              <w:top w:val="single" w:sz="8" w:space="0" w:color="000000"/>
              <w:bottom w:val="single" w:sz="8" w:space="0" w:color="000000"/>
              <w:right w:val="single" w:sz="8" w:space="0" w:color="000000"/>
            </w:tcBorders>
          </w:tcPr>
          <w:p w:rsidR="005C63C0" w:rsidRDefault="005C63C0">
            <w:pPr>
              <w:pStyle w:val="Default"/>
              <w:rPr>
                <w:color w:val="auto"/>
              </w:rPr>
            </w:pPr>
          </w:p>
        </w:tc>
        <w:tc>
          <w:tcPr>
            <w:tcW w:w="2693" w:type="dxa"/>
            <w:gridSpan w:val="2"/>
            <w:tcBorders>
              <w:top w:val="single" w:sz="8" w:space="0" w:color="000000"/>
              <w:left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Φαρμακευτικό Προϊόν/Δοσολογία (mg) </w:t>
            </w:r>
          </w:p>
        </w:tc>
        <w:tc>
          <w:tcPr>
            <w:tcW w:w="2268" w:type="dxa"/>
            <w:gridSpan w:val="2"/>
            <w:tcBorders>
              <w:top w:val="single" w:sz="8" w:space="0" w:color="000000"/>
              <w:left w:val="single" w:sz="8" w:space="0" w:color="000000"/>
              <w:bottom w:val="single" w:sz="8" w:space="0" w:color="000000"/>
              <w:right w:val="single" w:sz="8" w:space="0" w:color="000000"/>
            </w:tcBorders>
          </w:tcPr>
          <w:p w:rsidR="005C63C0" w:rsidRDefault="005C63C0">
            <w:pPr>
              <w:pStyle w:val="Default"/>
              <w:rPr>
                <w:position w:val="8"/>
                <w:sz w:val="22"/>
                <w:szCs w:val="22"/>
                <w:vertAlign w:val="superscript"/>
                <w:lang w:val="en-US"/>
              </w:rPr>
            </w:pPr>
            <w:r>
              <w:rPr>
                <w:sz w:val="22"/>
                <w:szCs w:val="22"/>
              </w:rPr>
              <w:t>Μεταβολή στην AUC</w:t>
            </w:r>
            <w:r>
              <w:rPr>
                <w:position w:val="8"/>
                <w:sz w:val="22"/>
                <w:szCs w:val="22"/>
                <w:vertAlign w:val="superscript"/>
              </w:rPr>
              <w:t>&amp;</w:t>
            </w:r>
          </w:p>
          <w:p w:rsidR="005C63C0" w:rsidRDefault="005C63C0">
            <w:pPr>
              <w:pStyle w:val="Default"/>
              <w:rPr>
                <w:position w:val="8"/>
                <w:sz w:val="22"/>
                <w:szCs w:val="22"/>
                <w:vertAlign w:val="superscript"/>
                <w:lang w:val="en-US"/>
              </w:rPr>
            </w:pPr>
          </w:p>
          <w:p w:rsidR="005C63C0" w:rsidRDefault="005C63C0">
            <w:pPr>
              <w:pStyle w:val="Default"/>
              <w:rPr>
                <w:sz w:val="22"/>
                <w:szCs w:val="22"/>
              </w:rPr>
            </w:pPr>
            <w:r>
              <w:rPr>
                <w:position w:val="8"/>
                <w:sz w:val="22"/>
                <w:szCs w:val="22"/>
                <w:vertAlign w:val="superscript"/>
              </w:rPr>
              <w:t xml:space="preserve"> </w:t>
            </w:r>
          </w:p>
        </w:tc>
        <w:tc>
          <w:tcPr>
            <w:tcW w:w="2268" w:type="dxa"/>
            <w:gridSpan w:val="2"/>
            <w:tcBorders>
              <w:top w:val="single" w:sz="8" w:space="0" w:color="000000"/>
              <w:left w:val="single" w:sz="8" w:space="0" w:color="000000"/>
              <w:bottom w:val="single" w:sz="8" w:space="0" w:color="000000"/>
            </w:tcBorders>
          </w:tcPr>
          <w:p w:rsidR="005C63C0" w:rsidRDefault="005C63C0">
            <w:pPr>
              <w:pStyle w:val="Default"/>
              <w:rPr>
                <w:sz w:val="22"/>
                <w:szCs w:val="22"/>
              </w:rPr>
            </w:pPr>
            <w:r>
              <w:rPr>
                <w:sz w:val="22"/>
                <w:szCs w:val="22"/>
              </w:rPr>
              <w:t xml:space="preserve">Κλινική Σύσταση </w:t>
            </w:r>
          </w:p>
        </w:tc>
      </w:tr>
      <w:tr w:rsidR="005C63C0" w:rsidTr="00900C58">
        <w:trPr>
          <w:gridAfter w:val="1"/>
          <w:wAfter w:w="32" w:type="dxa"/>
          <w:trHeight w:val="524"/>
        </w:trPr>
        <w:tc>
          <w:tcPr>
            <w:tcW w:w="2905" w:type="dxa"/>
            <w:tcBorders>
              <w:top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80 mg OD για 10 ημέρες </w:t>
            </w:r>
          </w:p>
        </w:tc>
        <w:tc>
          <w:tcPr>
            <w:tcW w:w="2670" w:type="dxa"/>
            <w:tcBorders>
              <w:top w:val="single" w:sz="8" w:space="0" w:color="000000"/>
              <w:left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Διγοξίνη 0,25 mg OD, 20 ημέρες </w:t>
            </w:r>
          </w:p>
        </w:tc>
        <w:tc>
          <w:tcPr>
            <w:tcW w:w="2263" w:type="dxa"/>
            <w:gridSpan w:val="2"/>
            <w:tcBorders>
              <w:top w:val="single" w:sz="8" w:space="0" w:color="000000"/>
              <w:left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 15% </w:t>
            </w:r>
          </w:p>
        </w:tc>
        <w:tc>
          <w:tcPr>
            <w:tcW w:w="2264" w:type="dxa"/>
            <w:gridSpan w:val="2"/>
            <w:tcBorders>
              <w:top w:val="single" w:sz="8" w:space="0" w:color="000000"/>
              <w:left w:val="single" w:sz="8" w:space="0" w:color="000000"/>
              <w:bottom w:val="single" w:sz="8" w:space="0" w:color="000000"/>
            </w:tcBorders>
          </w:tcPr>
          <w:p w:rsidR="005C63C0" w:rsidRDefault="005C63C0">
            <w:pPr>
              <w:pStyle w:val="Default"/>
              <w:rPr>
                <w:sz w:val="22"/>
                <w:szCs w:val="22"/>
              </w:rPr>
            </w:pPr>
            <w:r>
              <w:rPr>
                <w:sz w:val="22"/>
                <w:szCs w:val="22"/>
              </w:rPr>
              <w:t xml:space="preserve">Ασθενείς που λαμβάνουν διγοξίνη θα πρέπει να παρακολουθούνται επισταμένως. </w:t>
            </w:r>
          </w:p>
        </w:tc>
      </w:tr>
      <w:tr w:rsidR="005C63C0" w:rsidTr="00900C58">
        <w:trPr>
          <w:gridAfter w:val="1"/>
          <w:wAfter w:w="32" w:type="dxa"/>
          <w:trHeight w:val="523"/>
        </w:trPr>
        <w:tc>
          <w:tcPr>
            <w:tcW w:w="2905" w:type="dxa"/>
            <w:tcBorders>
              <w:top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40 mg OD για 22 ημέρες </w:t>
            </w:r>
          </w:p>
        </w:tc>
        <w:tc>
          <w:tcPr>
            <w:tcW w:w="2670" w:type="dxa"/>
            <w:tcBorders>
              <w:top w:val="single" w:sz="8" w:space="0" w:color="000000"/>
              <w:left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Από του στόματος αντισυλληπτικά OD, 2 μήνες </w:t>
            </w:r>
          </w:p>
          <w:p w:rsidR="005C63C0" w:rsidRDefault="005C63C0">
            <w:pPr>
              <w:pStyle w:val="Default"/>
              <w:rPr>
                <w:sz w:val="22"/>
                <w:szCs w:val="22"/>
              </w:rPr>
            </w:pPr>
            <w:r>
              <w:rPr>
                <w:sz w:val="22"/>
                <w:szCs w:val="22"/>
              </w:rPr>
              <w:t xml:space="preserve">- νοραιθυνδρόνη 1 mg </w:t>
            </w:r>
          </w:p>
          <w:p w:rsidR="005C63C0" w:rsidRDefault="005C63C0">
            <w:pPr>
              <w:pStyle w:val="Default"/>
              <w:rPr>
                <w:sz w:val="22"/>
                <w:szCs w:val="22"/>
              </w:rPr>
            </w:pPr>
            <w:r>
              <w:rPr>
                <w:sz w:val="22"/>
                <w:szCs w:val="22"/>
              </w:rPr>
              <w:t xml:space="preserve">- αιθυνυλ-οιστραδιόλη 35 μg </w:t>
            </w:r>
          </w:p>
        </w:tc>
        <w:tc>
          <w:tcPr>
            <w:tcW w:w="2263" w:type="dxa"/>
            <w:gridSpan w:val="2"/>
            <w:tcBorders>
              <w:top w:val="single" w:sz="8" w:space="0" w:color="000000"/>
              <w:left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 28% </w:t>
            </w:r>
          </w:p>
          <w:p w:rsidR="005C63C0" w:rsidRDefault="005C63C0">
            <w:pPr>
              <w:pStyle w:val="Default"/>
              <w:rPr>
                <w:sz w:val="22"/>
                <w:szCs w:val="22"/>
              </w:rPr>
            </w:pPr>
            <w:r>
              <w:rPr>
                <w:sz w:val="22"/>
                <w:szCs w:val="22"/>
              </w:rPr>
              <w:t xml:space="preserve">↑ 19% </w:t>
            </w:r>
          </w:p>
        </w:tc>
        <w:tc>
          <w:tcPr>
            <w:tcW w:w="2264" w:type="dxa"/>
            <w:gridSpan w:val="2"/>
            <w:tcBorders>
              <w:top w:val="single" w:sz="8" w:space="0" w:color="000000"/>
              <w:left w:val="single" w:sz="8" w:space="0" w:color="000000"/>
              <w:bottom w:val="single" w:sz="8" w:space="0" w:color="000000"/>
            </w:tcBorders>
          </w:tcPr>
          <w:p w:rsidR="005C63C0" w:rsidRDefault="005C63C0">
            <w:pPr>
              <w:pStyle w:val="Default"/>
              <w:rPr>
                <w:sz w:val="22"/>
                <w:szCs w:val="22"/>
              </w:rPr>
            </w:pPr>
            <w:r>
              <w:rPr>
                <w:sz w:val="22"/>
                <w:szCs w:val="22"/>
              </w:rPr>
              <w:t xml:space="preserve">Δεν υπάρχει συγκεκριμένη σύσταση. </w:t>
            </w:r>
          </w:p>
        </w:tc>
      </w:tr>
      <w:tr w:rsidR="005C63C0" w:rsidTr="00900C58">
        <w:trPr>
          <w:gridAfter w:val="1"/>
          <w:wAfter w:w="32" w:type="dxa"/>
          <w:trHeight w:val="270"/>
        </w:trPr>
        <w:tc>
          <w:tcPr>
            <w:tcW w:w="2905" w:type="dxa"/>
            <w:tcBorders>
              <w:top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80 mg OD για 15 ημέρες </w:t>
            </w:r>
          </w:p>
        </w:tc>
        <w:tc>
          <w:tcPr>
            <w:tcW w:w="2670" w:type="dxa"/>
            <w:tcBorders>
              <w:top w:val="single" w:sz="8" w:space="0" w:color="000000"/>
              <w:left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 Φαιναζόνη, 600 mg SD </w:t>
            </w:r>
          </w:p>
        </w:tc>
        <w:tc>
          <w:tcPr>
            <w:tcW w:w="2263" w:type="dxa"/>
            <w:gridSpan w:val="2"/>
            <w:tcBorders>
              <w:top w:val="single" w:sz="8" w:space="0" w:color="000000"/>
              <w:left w:val="single" w:sz="8" w:space="0" w:color="000000"/>
              <w:bottom w:val="single" w:sz="8" w:space="0" w:color="000000"/>
              <w:right w:val="single" w:sz="8" w:space="0" w:color="000000"/>
            </w:tcBorders>
          </w:tcPr>
          <w:p w:rsidR="005C63C0" w:rsidRDefault="005C63C0">
            <w:pPr>
              <w:pStyle w:val="Default"/>
              <w:rPr>
                <w:sz w:val="22"/>
                <w:szCs w:val="22"/>
              </w:rPr>
            </w:pPr>
            <w:r>
              <w:rPr>
                <w:sz w:val="22"/>
                <w:szCs w:val="22"/>
              </w:rPr>
              <w:t xml:space="preserve">↑ 3% </w:t>
            </w:r>
          </w:p>
        </w:tc>
        <w:tc>
          <w:tcPr>
            <w:tcW w:w="2264" w:type="dxa"/>
            <w:gridSpan w:val="2"/>
            <w:tcBorders>
              <w:top w:val="single" w:sz="8" w:space="0" w:color="000000"/>
              <w:left w:val="single" w:sz="8" w:space="0" w:color="000000"/>
              <w:bottom w:val="single" w:sz="8" w:space="0" w:color="000000"/>
            </w:tcBorders>
          </w:tcPr>
          <w:p w:rsidR="005C63C0" w:rsidRDefault="005C63C0">
            <w:pPr>
              <w:pStyle w:val="Default"/>
              <w:rPr>
                <w:sz w:val="22"/>
                <w:szCs w:val="22"/>
              </w:rPr>
            </w:pPr>
            <w:r>
              <w:rPr>
                <w:sz w:val="22"/>
                <w:szCs w:val="22"/>
              </w:rPr>
              <w:t xml:space="preserve">Δεν υπάρχει συγκεκριμένη σύσταση. </w:t>
            </w:r>
          </w:p>
        </w:tc>
      </w:tr>
    </w:tbl>
    <w:p w:rsidR="005C63C0" w:rsidRDefault="005C63C0" w:rsidP="00224E61">
      <w:pPr>
        <w:spacing w:after="0" w:line="240" w:lineRule="auto"/>
        <w:jc w:val="both"/>
        <w:rPr>
          <w:rFonts w:ascii="Times New Roman" w:hAnsi="Times New Roman" w:cs="Times New Roman"/>
          <w:lang w:val="en-US"/>
        </w:rPr>
      </w:pPr>
    </w:p>
    <w:p w:rsidR="005C63C0" w:rsidRPr="00900C58" w:rsidRDefault="005C63C0" w:rsidP="00900C58">
      <w:pPr>
        <w:pStyle w:val="a3"/>
        <w:numPr>
          <w:ilvl w:val="0"/>
          <w:numId w:val="15"/>
        </w:numPr>
        <w:spacing w:after="0" w:line="240" w:lineRule="auto"/>
        <w:jc w:val="both"/>
        <w:rPr>
          <w:rFonts w:ascii="Times New Roman" w:hAnsi="Times New Roman" w:cs="Times New Roman"/>
        </w:rPr>
      </w:pPr>
      <w:r w:rsidRPr="00900C58">
        <w:rPr>
          <w:rFonts w:ascii="Times New Roman" w:hAnsi="Times New Roman" w:cs="Times New Roman"/>
        </w:rPr>
        <w:t>Τα δεδομένα που αναγράφονται ως μεταβολές επί τοις % απεικονίζουν την επί τοις % διαφορά σε σχέση με την ατορβαστατίνη μόνο (δηλ., 0% = καμία μεταβολή).</w:t>
      </w:r>
    </w:p>
    <w:p w:rsidR="005C63C0" w:rsidRPr="00900C58" w:rsidRDefault="005C63C0" w:rsidP="00900C58">
      <w:pPr>
        <w:pStyle w:val="a3"/>
        <w:numPr>
          <w:ilvl w:val="0"/>
          <w:numId w:val="18"/>
        </w:numPr>
        <w:spacing w:after="0" w:line="240" w:lineRule="auto"/>
        <w:jc w:val="both"/>
        <w:rPr>
          <w:rFonts w:ascii="Times New Roman" w:hAnsi="Times New Roman" w:cs="Times New Roman"/>
        </w:rPr>
      </w:pPr>
      <w:r w:rsidRPr="00900C58">
        <w:rPr>
          <w:rFonts w:ascii="Times New Roman" w:hAnsi="Times New Roman" w:cs="Times New Roman"/>
        </w:rPr>
        <w:t>Συγχορήγηση πολλαπλών δόσεων ατορβαστατίνης και φαιναζόνης έδειξαν λίγο ή καθόλου επίδραση στην κάθαρση της φαιναζόνης.</w:t>
      </w:r>
    </w:p>
    <w:p w:rsidR="005C63C0" w:rsidRPr="00900C58" w:rsidRDefault="005C63C0" w:rsidP="005C63C0">
      <w:pPr>
        <w:spacing w:after="0" w:line="240" w:lineRule="auto"/>
        <w:jc w:val="both"/>
        <w:rPr>
          <w:rFonts w:ascii="Times New Roman" w:hAnsi="Times New Roman" w:cs="Times New Roman"/>
        </w:rPr>
      </w:pPr>
      <w:r w:rsidRPr="00900C58">
        <w:rPr>
          <w:rFonts w:ascii="Times New Roman" w:hAnsi="Times New Roman" w:cs="Times New Roman"/>
        </w:rPr>
        <w:t>Αύξηση υποδεικνύεται ως “↑”, μείωση ως “↓”</w:t>
      </w:r>
    </w:p>
    <w:p w:rsidR="005C63C0" w:rsidRPr="00900C58" w:rsidRDefault="005C63C0" w:rsidP="005C63C0">
      <w:pPr>
        <w:spacing w:after="0" w:line="240" w:lineRule="auto"/>
        <w:jc w:val="both"/>
        <w:rPr>
          <w:rFonts w:ascii="Times New Roman" w:hAnsi="Times New Roman" w:cs="Times New Roman"/>
        </w:rPr>
      </w:pPr>
      <w:r w:rsidRPr="005C63C0">
        <w:rPr>
          <w:rFonts w:ascii="Times New Roman" w:hAnsi="Times New Roman" w:cs="Times New Roman"/>
          <w:lang w:val="en-US"/>
        </w:rPr>
        <w:t>OD</w:t>
      </w:r>
      <w:r w:rsidRPr="00900C58">
        <w:rPr>
          <w:rFonts w:ascii="Times New Roman" w:hAnsi="Times New Roman" w:cs="Times New Roman"/>
        </w:rPr>
        <w:t xml:space="preserve"> = μια φορά ημερησίως, </w:t>
      </w:r>
      <w:r w:rsidRPr="005C63C0">
        <w:rPr>
          <w:rFonts w:ascii="Times New Roman" w:hAnsi="Times New Roman" w:cs="Times New Roman"/>
          <w:lang w:val="en-US"/>
        </w:rPr>
        <w:t>SD</w:t>
      </w:r>
      <w:r w:rsidRPr="00900C58">
        <w:rPr>
          <w:rFonts w:ascii="Times New Roman" w:hAnsi="Times New Roman" w:cs="Times New Roman"/>
        </w:rPr>
        <w:t xml:space="preserve"> = μονή δόση</w:t>
      </w:r>
    </w:p>
    <w:p w:rsidR="00B438FA" w:rsidRPr="00900C58" w:rsidRDefault="00B438FA" w:rsidP="005C63C0">
      <w:pPr>
        <w:spacing w:after="0" w:line="240" w:lineRule="auto"/>
        <w:jc w:val="both"/>
        <w:rPr>
          <w:rFonts w:ascii="Times New Roman" w:hAnsi="Times New Roman" w:cs="Times New Roman"/>
        </w:rPr>
      </w:pPr>
    </w:p>
    <w:p w:rsidR="00B438FA" w:rsidRPr="00900C58" w:rsidRDefault="00B438FA" w:rsidP="005C63C0">
      <w:pPr>
        <w:spacing w:after="0" w:line="240" w:lineRule="auto"/>
        <w:jc w:val="both"/>
        <w:rPr>
          <w:rFonts w:ascii="Times New Roman" w:hAnsi="Times New Roman" w:cs="Times New Roman"/>
        </w:rPr>
      </w:pPr>
    </w:p>
    <w:p w:rsidR="005C63C0" w:rsidRPr="005C63C0" w:rsidRDefault="005C63C0" w:rsidP="00224E61">
      <w:pPr>
        <w:spacing w:after="0" w:line="240" w:lineRule="auto"/>
        <w:jc w:val="both"/>
        <w:rPr>
          <w:rFonts w:ascii="Times New Roman" w:hAnsi="Times New Roman" w:cs="Times New Roman"/>
        </w:rPr>
      </w:pPr>
    </w:p>
    <w:p w:rsidR="00A51984" w:rsidRPr="006B1BBE" w:rsidRDefault="00A51984" w:rsidP="008525D4">
      <w:pPr>
        <w:spacing w:after="0" w:line="240" w:lineRule="auto"/>
        <w:jc w:val="both"/>
        <w:rPr>
          <w:rFonts w:ascii="Times New Roman" w:hAnsi="Times New Roman" w:cs="Times New Roman"/>
        </w:rPr>
      </w:pPr>
    </w:p>
    <w:p w:rsidR="00A51984" w:rsidRPr="006B1BBE" w:rsidRDefault="00A51984" w:rsidP="008525D4">
      <w:pPr>
        <w:spacing w:after="0" w:line="240" w:lineRule="auto"/>
        <w:jc w:val="both"/>
        <w:rPr>
          <w:rFonts w:ascii="Times New Roman" w:hAnsi="Times New Roman" w:cs="Times New Roman"/>
        </w:rPr>
      </w:pPr>
    </w:p>
    <w:p w:rsidR="00FA4E66" w:rsidRPr="006B1BBE" w:rsidRDefault="00FA4E66" w:rsidP="008525D4">
      <w:pPr>
        <w:spacing w:after="0" w:line="240" w:lineRule="auto"/>
        <w:jc w:val="both"/>
        <w:rPr>
          <w:rFonts w:ascii="Times New Roman" w:hAnsi="Times New Roman" w:cs="Times New Roman"/>
        </w:rPr>
      </w:pPr>
    </w:p>
    <w:p w:rsidR="00F457BF" w:rsidRPr="006B1BBE" w:rsidRDefault="00B438FA" w:rsidP="00B438FA">
      <w:pPr>
        <w:pStyle w:val="a3"/>
        <w:numPr>
          <w:ilvl w:val="1"/>
          <w:numId w:val="1"/>
        </w:numPr>
        <w:spacing w:after="0" w:line="240" w:lineRule="auto"/>
        <w:jc w:val="both"/>
        <w:rPr>
          <w:rFonts w:ascii="Times New Roman" w:hAnsi="Times New Roman" w:cs="Times New Roman"/>
          <w:b/>
        </w:rPr>
      </w:pPr>
      <w:r w:rsidRPr="00B438FA">
        <w:t xml:space="preserve"> </w:t>
      </w:r>
      <w:r w:rsidRPr="00B438FA">
        <w:rPr>
          <w:rFonts w:ascii="Times New Roman" w:hAnsi="Times New Roman" w:cs="Times New Roman"/>
          <w:b/>
        </w:rPr>
        <w:t>Γονιμότητα,</w:t>
      </w:r>
      <w:r>
        <w:rPr>
          <w:rFonts w:ascii="Times New Roman" w:hAnsi="Times New Roman" w:cs="Times New Roman"/>
          <w:b/>
        </w:rPr>
        <w:t xml:space="preserve"> κ</w:t>
      </w:r>
      <w:r w:rsidRPr="006B1BBE">
        <w:rPr>
          <w:rFonts w:ascii="Times New Roman" w:hAnsi="Times New Roman" w:cs="Times New Roman"/>
          <w:b/>
        </w:rPr>
        <w:t xml:space="preserve">ύηση </w:t>
      </w:r>
      <w:r w:rsidR="00F457BF" w:rsidRPr="006B1BBE">
        <w:rPr>
          <w:rFonts w:ascii="Times New Roman" w:hAnsi="Times New Roman" w:cs="Times New Roman"/>
          <w:b/>
        </w:rPr>
        <w:t>και γαλουχία</w:t>
      </w:r>
    </w:p>
    <w:p w:rsidR="00FA4E66" w:rsidRPr="006B1BBE" w:rsidRDefault="00FA4E66" w:rsidP="00FA4E66">
      <w:pPr>
        <w:spacing w:after="0" w:line="240" w:lineRule="auto"/>
        <w:jc w:val="both"/>
        <w:rPr>
          <w:rFonts w:ascii="Times New Roman" w:hAnsi="Times New Roman" w:cs="Times New Roman"/>
          <w:b/>
          <w:lang w:val="en-US"/>
        </w:rPr>
      </w:pPr>
    </w:p>
    <w:p w:rsidR="00B438FA" w:rsidRPr="002265A3" w:rsidRDefault="00B438FA" w:rsidP="00B438FA">
      <w:pPr>
        <w:spacing w:after="0" w:line="240" w:lineRule="auto"/>
        <w:jc w:val="both"/>
        <w:rPr>
          <w:rFonts w:ascii="Times New Roman" w:hAnsi="Times New Roman" w:cs="Times New Roman"/>
          <w:u w:val="single"/>
        </w:rPr>
      </w:pPr>
      <w:r w:rsidRPr="002265A3">
        <w:rPr>
          <w:rFonts w:ascii="Times New Roman" w:hAnsi="Times New Roman" w:cs="Times New Roman"/>
          <w:u w:val="single"/>
        </w:rPr>
        <w:t>Γυναίκες σε αναπαραγωγική ηλικία</w:t>
      </w:r>
    </w:p>
    <w:p w:rsidR="00B438FA" w:rsidRPr="00B438FA" w:rsidRDefault="00B438FA" w:rsidP="00B438FA">
      <w:pPr>
        <w:spacing w:after="0" w:line="240" w:lineRule="auto"/>
        <w:jc w:val="both"/>
        <w:rPr>
          <w:rFonts w:ascii="Times New Roman" w:hAnsi="Times New Roman" w:cs="Times New Roman"/>
        </w:rPr>
      </w:pPr>
    </w:p>
    <w:p w:rsidR="00B438FA" w:rsidRDefault="00B438FA" w:rsidP="00B438FA">
      <w:pPr>
        <w:spacing w:after="0" w:line="240" w:lineRule="auto"/>
        <w:jc w:val="both"/>
        <w:rPr>
          <w:rFonts w:ascii="Times New Roman" w:hAnsi="Times New Roman" w:cs="Times New Roman"/>
        </w:rPr>
      </w:pPr>
      <w:r w:rsidRPr="00B438FA">
        <w:rPr>
          <w:rFonts w:ascii="Times New Roman" w:hAnsi="Times New Roman" w:cs="Times New Roman"/>
        </w:rPr>
        <w:t>Οι γυναίκες που βρίσκονται σε αναπαραγωγική ηλικία πρέπει να χρησιμοποιούν επαρκή μέτρα αντισύλληψης κατά τη διάρκεια της θεραπείας (βλέπε παράγραφο 4.3).</w:t>
      </w:r>
    </w:p>
    <w:p w:rsidR="00B438FA" w:rsidRPr="00B438FA" w:rsidRDefault="00B438FA" w:rsidP="00B438FA">
      <w:pPr>
        <w:spacing w:after="0" w:line="240" w:lineRule="auto"/>
        <w:jc w:val="both"/>
        <w:rPr>
          <w:rFonts w:ascii="Times New Roman" w:hAnsi="Times New Roman" w:cs="Times New Roman"/>
        </w:rPr>
      </w:pPr>
    </w:p>
    <w:p w:rsidR="00B438FA" w:rsidRPr="002265A3" w:rsidRDefault="00B438FA" w:rsidP="00B438FA">
      <w:pPr>
        <w:spacing w:after="0" w:line="240" w:lineRule="auto"/>
        <w:jc w:val="both"/>
        <w:rPr>
          <w:rFonts w:ascii="Times New Roman" w:hAnsi="Times New Roman" w:cs="Times New Roman"/>
          <w:u w:val="single"/>
        </w:rPr>
      </w:pPr>
      <w:r w:rsidRPr="002265A3">
        <w:rPr>
          <w:rFonts w:ascii="Times New Roman" w:hAnsi="Times New Roman" w:cs="Times New Roman"/>
          <w:u w:val="single"/>
        </w:rPr>
        <w:t>Εγκυμοσύνη</w:t>
      </w:r>
    </w:p>
    <w:p w:rsidR="00B438FA" w:rsidRPr="00B438FA" w:rsidRDefault="00B438FA" w:rsidP="00B438FA">
      <w:pPr>
        <w:spacing w:after="0" w:line="240" w:lineRule="auto"/>
        <w:jc w:val="both"/>
        <w:rPr>
          <w:rFonts w:ascii="Times New Roman" w:hAnsi="Times New Roman" w:cs="Times New Roman"/>
        </w:rPr>
      </w:pPr>
    </w:p>
    <w:p w:rsidR="00B438FA" w:rsidRPr="00B438FA" w:rsidRDefault="00B438FA" w:rsidP="00B438FA">
      <w:pPr>
        <w:spacing w:after="0" w:line="240" w:lineRule="auto"/>
        <w:jc w:val="both"/>
        <w:rPr>
          <w:rFonts w:ascii="Times New Roman" w:hAnsi="Times New Roman" w:cs="Times New Roman"/>
        </w:rPr>
      </w:pPr>
      <w:r w:rsidRPr="00B438FA">
        <w:rPr>
          <w:rFonts w:ascii="Times New Roman" w:hAnsi="Times New Roman" w:cs="Times New Roman"/>
        </w:rPr>
        <w:t xml:space="preserve">Το </w:t>
      </w:r>
      <w:r w:rsidR="00BC1E58">
        <w:rPr>
          <w:rFonts w:ascii="Times New Roman" w:hAnsi="Times New Roman" w:cs="Times New Roman"/>
          <w:lang w:val="en-US"/>
        </w:rPr>
        <w:t>ZARASTIN</w:t>
      </w:r>
      <w:r w:rsidRPr="00900C58">
        <w:rPr>
          <w:rFonts w:ascii="Times New Roman" w:hAnsi="Times New Roman" w:cs="Times New Roman"/>
        </w:rPr>
        <w:t xml:space="preserve"> </w:t>
      </w:r>
      <w:r w:rsidRPr="00B438FA">
        <w:rPr>
          <w:rFonts w:ascii="Times New Roman" w:hAnsi="Times New Roman" w:cs="Times New Roman"/>
        </w:rPr>
        <w:t>αντενδείκνυται στην κύηση και το θηλασμό (βλέπε παράγραφο 4.3). Η ασφάλεια στις έγκυες γυναίκες δεν έχει τεκμηριωθεί. Δεν έχουν διεξαχθεί ελεγχόμενες κλινικές μελέτες σε έγκυες γυναίκες. Έχουν υπάρξει σπάνιες αναφορές για συγγενείς ανωμαλίες κατόπιν ενδομητρικής έκθεσης σε αναστολείς της HMG-CoA αναγωγάσης. Μελέτες σε ζώα έχουν δείξει τοξικότητα κατά την αναπαραγωγή.</w:t>
      </w:r>
    </w:p>
    <w:p w:rsidR="00B438FA" w:rsidRPr="00900C58" w:rsidRDefault="00B438FA" w:rsidP="00B438FA">
      <w:pPr>
        <w:spacing w:after="0" w:line="240" w:lineRule="auto"/>
        <w:jc w:val="both"/>
        <w:rPr>
          <w:rFonts w:ascii="Times New Roman" w:hAnsi="Times New Roman" w:cs="Times New Roman"/>
        </w:rPr>
      </w:pPr>
      <w:r w:rsidRPr="00B438FA">
        <w:rPr>
          <w:rFonts w:ascii="Times New Roman" w:hAnsi="Times New Roman" w:cs="Times New Roman"/>
        </w:rPr>
        <w:t>Θεραπεία της μητέρας με ατορβαστατίνη μπορεί να μειώσει τα επίπεδα του μεβαλονικού οξέος το οποίο είναι πρόδρομος της βιοσύνθεσης της χοληστερόλης. Η αθηροσκλήρυνση είναι μια χρόνια διαδικασία, και συνήθως, η διακοπή των φαρμακευτικών προϊόντων που μειώνουν τα επίπεδα των λιπιδίων στο αίμα κατά τη διάρκεια της εγκυμοσύνης θα πρέπει να έχει μικρή επίπτωση στον μακροπρόθεσμο κίνδυνο που σχετίζεται με την πρωτοπαθή υπερχοληστερολαιμία.</w:t>
      </w:r>
    </w:p>
    <w:p w:rsidR="00B438FA" w:rsidRPr="007B5907" w:rsidRDefault="00B438FA" w:rsidP="00B438FA">
      <w:pPr>
        <w:spacing w:after="0" w:line="240" w:lineRule="auto"/>
        <w:jc w:val="both"/>
        <w:rPr>
          <w:rFonts w:ascii="Times New Roman" w:hAnsi="Times New Roman" w:cs="Times New Roman"/>
        </w:rPr>
      </w:pPr>
    </w:p>
    <w:p w:rsidR="00B438FA" w:rsidRPr="00900C58" w:rsidRDefault="00B438FA" w:rsidP="00B438FA">
      <w:pPr>
        <w:spacing w:after="0" w:line="240" w:lineRule="auto"/>
        <w:jc w:val="both"/>
        <w:rPr>
          <w:rFonts w:ascii="Times New Roman" w:hAnsi="Times New Roman" w:cs="Times New Roman"/>
        </w:rPr>
      </w:pPr>
      <w:r w:rsidRPr="00B438FA">
        <w:rPr>
          <w:rFonts w:ascii="Times New Roman" w:hAnsi="Times New Roman" w:cs="Times New Roman"/>
        </w:rPr>
        <w:t xml:space="preserve">Για αυτούς τους λόγους, το </w:t>
      </w:r>
      <w:r w:rsidR="00BC1E58">
        <w:rPr>
          <w:rFonts w:ascii="Times New Roman" w:hAnsi="Times New Roman" w:cs="Times New Roman"/>
          <w:lang w:val="en-US"/>
        </w:rPr>
        <w:t>ZARASTIN</w:t>
      </w:r>
      <w:r w:rsidRPr="00B438FA">
        <w:rPr>
          <w:rFonts w:ascii="Times New Roman" w:hAnsi="Times New Roman" w:cs="Times New Roman"/>
        </w:rPr>
        <w:t xml:space="preserve"> δεν θα πρέπει να χρησιμοποιείται από γυναίκες που είναι έγκυες, προσπαθούν να μείνουν έγκυες ή υπάρχει υπόνοια πως είναι έγκυες. Η θεραπεία με το</w:t>
      </w:r>
      <w:r w:rsidRPr="00900C58">
        <w:rPr>
          <w:rFonts w:ascii="Times New Roman" w:hAnsi="Times New Roman" w:cs="Times New Roman"/>
        </w:rPr>
        <w:t xml:space="preserve"> </w:t>
      </w:r>
      <w:r w:rsidR="00BC1E58">
        <w:rPr>
          <w:rFonts w:ascii="Times New Roman" w:hAnsi="Times New Roman" w:cs="Times New Roman"/>
          <w:lang w:val="en-US"/>
        </w:rPr>
        <w:t>ZARASTIN</w:t>
      </w:r>
      <w:r w:rsidRPr="00900C58">
        <w:rPr>
          <w:rFonts w:ascii="Times New Roman" w:hAnsi="Times New Roman" w:cs="Times New Roman"/>
        </w:rPr>
        <w:t xml:space="preserve"> </w:t>
      </w:r>
      <w:r w:rsidRPr="00B438FA">
        <w:rPr>
          <w:rFonts w:ascii="Times New Roman" w:hAnsi="Times New Roman" w:cs="Times New Roman"/>
        </w:rPr>
        <w:t>θα πρέπει να διακοπεί κατά τη διάρκεια της εγκυμοσύνης ή μέχρι να εξακριβωθεί ότι η γυναίκα δεν είναι έγκυος (βλέπε παράγραφο 4.3).</w:t>
      </w:r>
    </w:p>
    <w:p w:rsidR="00B438FA" w:rsidRPr="007B5907" w:rsidRDefault="00B438FA" w:rsidP="00B438FA">
      <w:pPr>
        <w:spacing w:after="0" w:line="240" w:lineRule="auto"/>
        <w:jc w:val="both"/>
        <w:rPr>
          <w:rFonts w:ascii="Times New Roman" w:hAnsi="Times New Roman" w:cs="Times New Roman"/>
        </w:rPr>
      </w:pPr>
    </w:p>
    <w:p w:rsidR="00B438FA" w:rsidRPr="002265A3" w:rsidRDefault="00B438FA" w:rsidP="00B438FA">
      <w:pPr>
        <w:spacing w:after="0" w:line="240" w:lineRule="auto"/>
        <w:jc w:val="both"/>
        <w:rPr>
          <w:rFonts w:ascii="Times New Roman" w:hAnsi="Times New Roman" w:cs="Times New Roman"/>
          <w:u w:val="single"/>
        </w:rPr>
      </w:pPr>
      <w:r w:rsidRPr="002265A3">
        <w:rPr>
          <w:rFonts w:ascii="Times New Roman" w:hAnsi="Times New Roman" w:cs="Times New Roman"/>
          <w:u w:val="single"/>
        </w:rPr>
        <w:t>Θηλασμός</w:t>
      </w:r>
    </w:p>
    <w:p w:rsidR="00B438FA" w:rsidRPr="007B5907" w:rsidRDefault="00B438FA" w:rsidP="00B438FA">
      <w:pPr>
        <w:spacing w:after="0" w:line="240" w:lineRule="auto"/>
        <w:jc w:val="both"/>
        <w:rPr>
          <w:rFonts w:ascii="Times New Roman" w:hAnsi="Times New Roman" w:cs="Times New Roman"/>
        </w:rPr>
      </w:pPr>
    </w:p>
    <w:p w:rsidR="00B438FA" w:rsidRPr="00B438FA" w:rsidRDefault="00B438FA" w:rsidP="00B438FA">
      <w:pPr>
        <w:spacing w:after="0" w:line="240" w:lineRule="auto"/>
        <w:jc w:val="both"/>
        <w:rPr>
          <w:rFonts w:ascii="Times New Roman" w:hAnsi="Times New Roman" w:cs="Times New Roman"/>
        </w:rPr>
      </w:pPr>
      <w:r w:rsidRPr="00B438FA">
        <w:rPr>
          <w:rFonts w:ascii="Times New Roman" w:hAnsi="Times New Roman" w:cs="Times New Roman"/>
        </w:rPr>
        <w:t>Δεν είναι γνωστό εάν η ατορβαστατίνη ή οι μεταβολίτες της απεκκρίνονται στο μητρικό γάλα. Στους αρουραίους, οι συγκεντρώσεις της ατορβαστατίνης και των δραστικών μεταβολιτών της στο πλάσμα είναι ίδιες με αυτές στο γάλα (βλέπε παράγραφο 5.3). Λόγω της πιθ</w:t>
      </w:r>
      <w:r>
        <w:rPr>
          <w:rFonts w:ascii="Times New Roman" w:hAnsi="Times New Roman" w:cs="Times New Roman"/>
        </w:rPr>
        <w:t xml:space="preserve">ανότητας σοβαρών ανεπιθύμητων </w:t>
      </w:r>
    </w:p>
    <w:p w:rsidR="00B438FA" w:rsidRPr="00900C58" w:rsidRDefault="00B438FA" w:rsidP="00B438FA">
      <w:pPr>
        <w:spacing w:after="0" w:line="240" w:lineRule="auto"/>
        <w:jc w:val="both"/>
        <w:rPr>
          <w:rFonts w:ascii="Times New Roman" w:hAnsi="Times New Roman" w:cs="Times New Roman"/>
        </w:rPr>
      </w:pPr>
      <w:r w:rsidRPr="00B438FA">
        <w:rPr>
          <w:rFonts w:ascii="Times New Roman" w:hAnsi="Times New Roman" w:cs="Times New Roman"/>
        </w:rPr>
        <w:t xml:space="preserve">ενεργειών, οι γυναίκες που λαμβάνουν </w:t>
      </w:r>
      <w:r w:rsidR="00BC1E58">
        <w:rPr>
          <w:rFonts w:ascii="Times New Roman" w:hAnsi="Times New Roman" w:cs="Times New Roman"/>
          <w:lang w:val="en-US"/>
        </w:rPr>
        <w:t>ZARASTIN</w:t>
      </w:r>
      <w:r w:rsidRPr="00900C58">
        <w:rPr>
          <w:rFonts w:ascii="Times New Roman" w:hAnsi="Times New Roman" w:cs="Times New Roman"/>
        </w:rPr>
        <w:t xml:space="preserve"> </w:t>
      </w:r>
      <w:r w:rsidRPr="00B438FA">
        <w:rPr>
          <w:rFonts w:ascii="Times New Roman" w:hAnsi="Times New Roman" w:cs="Times New Roman"/>
        </w:rPr>
        <w:t>δεν θα πρέπει να θηλάζουν τα βρέφη τους (βλέπε παράγραφο 4.3). Η ατορβαστατίνη αντεδείκνυται κατά τη διάρκεια του θηλασμού (βλέπε παράγραφο 4.3).</w:t>
      </w:r>
    </w:p>
    <w:p w:rsidR="00B438FA" w:rsidRPr="007B5907" w:rsidRDefault="00B438FA" w:rsidP="00B438FA">
      <w:pPr>
        <w:spacing w:after="0" w:line="240" w:lineRule="auto"/>
        <w:jc w:val="both"/>
        <w:rPr>
          <w:rFonts w:ascii="Times New Roman" w:hAnsi="Times New Roman" w:cs="Times New Roman"/>
        </w:rPr>
      </w:pPr>
    </w:p>
    <w:p w:rsidR="00B438FA" w:rsidRPr="002265A3" w:rsidRDefault="00B438FA" w:rsidP="00B438FA">
      <w:pPr>
        <w:spacing w:after="0" w:line="240" w:lineRule="auto"/>
        <w:jc w:val="both"/>
        <w:rPr>
          <w:rFonts w:ascii="Times New Roman" w:hAnsi="Times New Roman" w:cs="Times New Roman"/>
          <w:u w:val="single"/>
        </w:rPr>
      </w:pPr>
      <w:r w:rsidRPr="002265A3">
        <w:rPr>
          <w:rFonts w:ascii="Times New Roman" w:hAnsi="Times New Roman" w:cs="Times New Roman"/>
          <w:u w:val="single"/>
        </w:rPr>
        <w:t>Γονιμότητα</w:t>
      </w:r>
    </w:p>
    <w:p w:rsidR="00B438FA" w:rsidRPr="007B5907" w:rsidRDefault="00B438FA" w:rsidP="00B438FA">
      <w:pPr>
        <w:spacing w:after="0" w:line="240" w:lineRule="auto"/>
        <w:jc w:val="both"/>
        <w:rPr>
          <w:rFonts w:ascii="Times New Roman" w:hAnsi="Times New Roman" w:cs="Times New Roman"/>
        </w:rPr>
      </w:pPr>
    </w:p>
    <w:p w:rsidR="00B438FA" w:rsidRPr="00900C58" w:rsidRDefault="00B438FA" w:rsidP="00B438FA">
      <w:pPr>
        <w:spacing w:after="0" w:line="240" w:lineRule="auto"/>
        <w:jc w:val="both"/>
        <w:rPr>
          <w:rFonts w:ascii="Times New Roman" w:hAnsi="Times New Roman" w:cs="Times New Roman"/>
        </w:rPr>
      </w:pPr>
      <w:r w:rsidRPr="00B438FA">
        <w:rPr>
          <w:rFonts w:ascii="Times New Roman" w:hAnsi="Times New Roman" w:cs="Times New Roman"/>
        </w:rPr>
        <w:t>Σε κλινικές μελέτες που διεξήχθησαν σε ζώα, η ατορβαστατίνη δεν είχε επίδραση στη γονιμότητα των αρρένων ή των θηλέων (βλέπε παράγραφο 5.3).</w:t>
      </w:r>
    </w:p>
    <w:p w:rsidR="00B438FA" w:rsidRPr="007B5907" w:rsidRDefault="00B438FA" w:rsidP="00B438FA">
      <w:pPr>
        <w:spacing w:after="0" w:line="240" w:lineRule="auto"/>
        <w:jc w:val="both"/>
        <w:rPr>
          <w:rFonts w:ascii="Times New Roman" w:hAnsi="Times New Roman" w:cs="Times New Roman"/>
        </w:rPr>
      </w:pPr>
    </w:p>
    <w:p w:rsidR="0053473F" w:rsidRPr="006B1BBE" w:rsidRDefault="0053473F" w:rsidP="008525D4">
      <w:pPr>
        <w:spacing w:after="0" w:line="240" w:lineRule="auto"/>
        <w:jc w:val="both"/>
        <w:rPr>
          <w:rFonts w:ascii="Times New Roman" w:hAnsi="Times New Roman" w:cs="Times New Roman"/>
        </w:rPr>
      </w:pPr>
    </w:p>
    <w:p w:rsidR="00F457BF" w:rsidRPr="006B1BBE" w:rsidRDefault="00F457BF" w:rsidP="0053473F">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t>Επιδράσεις στην ικανότητα οδήγησης και χειρισμού μηχανών</w:t>
      </w:r>
    </w:p>
    <w:p w:rsidR="0053473F" w:rsidRPr="006B1BBE" w:rsidRDefault="0053473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Το </w:t>
      </w:r>
      <w:r w:rsidR="00BC1E58">
        <w:rPr>
          <w:rFonts w:ascii="Times New Roman" w:hAnsi="Times New Roman" w:cs="Times New Roman"/>
        </w:rPr>
        <w:t>ZARASTIN</w:t>
      </w:r>
      <w:r w:rsidRPr="006B1BBE">
        <w:rPr>
          <w:rFonts w:ascii="Times New Roman" w:hAnsi="Times New Roman" w:cs="Times New Roman"/>
        </w:rPr>
        <w:t xml:space="preserve"> έχει ασήμαντη επίδραση στην ικανότητα οδήγησης και χειρισμού μηχανών.</w:t>
      </w:r>
    </w:p>
    <w:p w:rsidR="0053473F" w:rsidRPr="006B1BBE" w:rsidRDefault="0053473F" w:rsidP="008525D4">
      <w:pPr>
        <w:spacing w:after="0" w:line="240" w:lineRule="auto"/>
        <w:jc w:val="both"/>
        <w:rPr>
          <w:rFonts w:ascii="Times New Roman" w:hAnsi="Times New Roman" w:cs="Times New Roman"/>
        </w:rPr>
      </w:pPr>
    </w:p>
    <w:p w:rsidR="00F457BF" w:rsidRPr="006B1BBE" w:rsidRDefault="00F457BF" w:rsidP="0053473F">
      <w:pPr>
        <w:pStyle w:val="a3"/>
        <w:numPr>
          <w:ilvl w:val="1"/>
          <w:numId w:val="1"/>
        </w:numPr>
        <w:spacing w:after="0" w:line="240" w:lineRule="auto"/>
        <w:jc w:val="both"/>
        <w:rPr>
          <w:rFonts w:ascii="Times New Roman" w:hAnsi="Times New Roman" w:cs="Times New Roman"/>
          <w:b/>
          <w:lang w:val="en-US"/>
        </w:rPr>
      </w:pPr>
      <w:r w:rsidRPr="006B1BBE">
        <w:rPr>
          <w:rFonts w:ascii="Times New Roman" w:hAnsi="Times New Roman" w:cs="Times New Roman"/>
          <w:b/>
        </w:rPr>
        <w:t>Ανεπιθύμητες ενέργειες</w:t>
      </w:r>
    </w:p>
    <w:p w:rsidR="0053473F" w:rsidRPr="006B1BBE" w:rsidRDefault="0053473F" w:rsidP="008525D4">
      <w:pPr>
        <w:spacing w:after="0" w:line="240" w:lineRule="auto"/>
        <w:jc w:val="both"/>
        <w:rPr>
          <w:rFonts w:ascii="Times New Roman" w:hAnsi="Times New Roman" w:cs="Times New Roman"/>
          <w:lang w:val="en-US"/>
        </w:rPr>
      </w:pPr>
    </w:p>
    <w:p w:rsidR="0053473F" w:rsidRPr="00900C58" w:rsidRDefault="00B438FA" w:rsidP="008525D4">
      <w:pPr>
        <w:spacing w:after="0" w:line="240" w:lineRule="auto"/>
        <w:jc w:val="both"/>
        <w:rPr>
          <w:rFonts w:ascii="Times New Roman" w:hAnsi="Times New Roman" w:cs="Times New Roman"/>
        </w:rPr>
      </w:pPr>
      <w:r w:rsidRPr="00900C58">
        <w:rPr>
          <w:rFonts w:ascii="Times New Roman" w:hAnsi="Times New Roman" w:cs="Times New Roman"/>
        </w:rPr>
        <w:t xml:space="preserve">Από τη βάση δεδομένων κλινικής μελέτης ατορβαστατίνης ελεγχόμενη με εικονικό φάρμακο, 16.066 ασθενών (8755 </w:t>
      </w:r>
      <w:r w:rsidRPr="00B438FA">
        <w:rPr>
          <w:rFonts w:ascii="Times New Roman" w:hAnsi="Times New Roman" w:cs="Times New Roman"/>
          <w:lang w:val="en-US"/>
        </w:rPr>
        <w:t>Lipitor</w:t>
      </w:r>
      <w:r w:rsidRPr="00900C58">
        <w:rPr>
          <w:rFonts w:ascii="Times New Roman" w:hAnsi="Times New Roman" w:cs="Times New Roman"/>
        </w:rPr>
        <w:t xml:space="preserve"> έναντι 7311 εικονικό φάρμακο) οι οποίοι βρίσκονταν υπό αγωγή κατά μέσο όρο για 53 εβδομάδες, το 5,2% </w:t>
      </w:r>
      <w:r w:rsidRPr="00900C58">
        <w:rPr>
          <w:rFonts w:ascii="Times New Roman" w:hAnsi="Times New Roman" w:cs="Times New Roman"/>
        </w:rPr>
        <w:lastRenderedPageBreak/>
        <w:t>των ασθενών που βρίσκονταν υπό θεραπεία με ατορβαστατίνη διέκοψαν τη θεραπεία λόγω ανεπιθύμητων ενεργειών, συγκριτικά με το 4,0% των ασθενών που βρίσκονταν υπό θεραπεία με εικονικό φάρμακο.</w:t>
      </w:r>
    </w:p>
    <w:p w:rsidR="00B438FA" w:rsidRPr="00B438FA" w:rsidRDefault="00B438FA"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Με βάση δεδομένα από κλινικές μελέτες και τη σημαντι</w:t>
      </w:r>
      <w:r w:rsidR="0053473F" w:rsidRPr="006B1BBE">
        <w:rPr>
          <w:rFonts w:ascii="Times New Roman" w:hAnsi="Times New Roman" w:cs="Times New Roman"/>
        </w:rPr>
        <w:t xml:space="preserve">κή εμπειρία που αποκτήθηκε μετά </w:t>
      </w:r>
      <w:r w:rsidRPr="006B1BBE">
        <w:rPr>
          <w:rFonts w:ascii="Times New Roman" w:hAnsi="Times New Roman" w:cs="Times New Roman"/>
        </w:rPr>
        <w:t>την κυκλοφορία του φαρμάκου στην αγορά, ο πίνακας που ακολουθεί πα</w:t>
      </w:r>
      <w:r w:rsidR="0053473F" w:rsidRPr="006B1BBE">
        <w:rPr>
          <w:rFonts w:ascii="Times New Roman" w:hAnsi="Times New Roman" w:cs="Times New Roman"/>
        </w:rPr>
        <w:t xml:space="preserve">ρουσιάζει τις </w:t>
      </w:r>
      <w:r w:rsidRPr="006B1BBE">
        <w:rPr>
          <w:rFonts w:ascii="Times New Roman" w:hAnsi="Times New Roman" w:cs="Times New Roman"/>
        </w:rPr>
        <w:t xml:space="preserve">ανεπιθύμητες ενέργειες που εμφανίστηκαν με το </w:t>
      </w:r>
      <w:r w:rsidR="00BC1E58">
        <w:rPr>
          <w:rFonts w:ascii="Times New Roman" w:hAnsi="Times New Roman" w:cs="Times New Roman"/>
        </w:rPr>
        <w:t>ZARASTIN</w:t>
      </w:r>
      <w:r w:rsidRPr="006B1BBE">
        <w:rPr>
          <w:rFonts w:ascii="Times New Roman" w:hAnsi="Times New Roman" w:cs="Times New Roman"/>
        </w:rPr>
        <w:t>.</w:t>
      </w:r>
    </w:p>
    <w:p w:rsidR="0053473F" w:rsidRPr="006B1BBE" w:rsidRDefault="0053473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Οι ανεπιθύμητες ενέργειες κατατάσσονται ανάλογα με </w:t>
      </w:r>
      <w:r w:rsidR="0053473F" w:rsidRPr="006B1BBE">
        <w:rPr>
          <w:rFonts w:ascii="Times New Roman" w:hAnsi="Times New Roman" w:cs="Times New Roman"/>
        </w:rPr>
        <w:t xml:space="preserve">τη συχνότητα εμφάνισής τους σε: </w:t>
      </w:r>
      <w:r w:rsidR="005B698E" w:rsidRPr="006B1BBE">
        <w:rPr>
          <w:rFonts w:ascii="Times New Roman" w:hAnsi="Times New Roman" w:cs="Times New Roman"/>
        </w:rPr>
        <w:t xml:space="preserve">συχνές </w:t>
      </w:r>
      <w:r w:rsidR="005B698E" w:rsidRPr="006B1BBE">
        <w:rPr>
          <w:rFonts w:ascii="TimesNewRomanPSMT" w:eastAsia="TimesNewRomanPSMT" w:cs="TimesNewRomanPSMT"/>
        </w:rPr>
        <w:t>(</w:t>
      </w:r>
      <w:r w:rsidR="005B698E" w:rsidRPr="006B1BBE">
        <w:rPr>
          <w:rFonts w:ascii="Symbol" w:eastAsia="TimesNewRomanPSMT" w:hAnsi="Symbol" w:cs="Symbol"/>
        </w:rPr>
        <w:t></w:t>
      </w:r>
      <w:r w:rsidR="005B698E" w:rsidRPr="006B1BBE">
        <w:rPr>
          <w:rFonts w:ascii="Times New Roman" w:hAnsi="Times New Roman" w:cs="Times New Roman"/>
        </w:rPr>
        <w:t xml:space="preserve"> 1/100, &lt;1/10), όχι συχνές </w:t>
      </w:r>
      <w:r w:rsidR="005B698E" w:rsidRPr="006B1BBE">
        <w:rPr>
          <w:rFonts w:ascii="TimesNewRomanPSMT" w:eastAsia="TimesNewRomanPSMT" w:cs="TimesNewRomanPSMT"/>
        </w:rPr>
        <w:t>(</w:t>
      </w:r>
      <w:r w:rsidR="005B698E" w:rsidRPr="006B1BBE">
        <w:rPr>
          <w:rFonts w:ascii="Symbol" w:eastAsia="TimesNewRomanPSMT" w:hAnsi="Symbol" w:cs="Symbol"/>
        </w:rPr>
        <w:t></w:t>
      </w:r>
      <w:r w:rsidR="005B698E" w:rsidRPr="006B1BBE">
        <w:rPr>
          <w:rFonts w:ascii="Times New Roman" w:hAnsi="Times New Roman" w:cs="Times New Roman"/>
        </w:rPr>
        <w:t xml:space="preserve"> </w:t>
      </w:r>
      <w:r w:rsidRPr="006B1BBE">
        <w:rPr>
          <w:rFonts w:ascii="Times New Roman" w:hAnsi="Times New Roman" w:cs="Times New Roman"/>
        </w:rPr>
        <w:t>1/1.000, &lt;1/100), σπάν</w:t>
      </w:r>
      <w:r w:rsidR="005B698E" w:rsidRPr="006B1BBE">
        <w:rPr>
          <w:rFonts w:ascii="Times New Roman" w:hAnsi="Times New Roman" w:cs="Times New Roman"/>
        </w:rPr>
        <w:t xml:space="preserve">ιες </w:t>
      </w:r>
      <w:r w:rsidR="0053473F" w:rsidRPr="006B1BBE">
        <w:rPr>
          <w:rFonts w:ascii="Times New Roman" w:hAnsi="Times New Roman" w:cs="Times New Roman"/>
        </w:rPr>
        <w:t xml:space="preserve"> </w:t>
      </w:r>
      <w:r w:rsidR="005B698E" w:rsidRPr="006B1BBE">
        <w:rPr>
          <w:rFonts w:ascii="TimesNewRomanPSMT" w:eastAsia="TimesNewRomanPSMT" w:cs="TimesNewRomanPSMT"/>
        </w:rPr>
        <w:t>(</w:t>
      </w:r>
      <w:r w:rsidR="005B698E" w:rsidRPr="006B1BBE">
        <w:rPr>
          <w:rFonts w:ascii="Symbol" w:eastAsia="TimesNewRomanPSMT" w:hAnsi="Symbol" w:cs="Symbol"/>
        </w:rPr>
        <w:t></w:t>
      </w:r>
      <w:r w:rsidR="005B698E" w:rsidRPr="006B1BBE">
        <w:rPr>
          <w:rFonts w:ascii="Times New Roman" w:hAnsi="Times New Roman" w:cs="Times New Roman"/>
        </w:rPr>
        <w:t xml:space="preserve"> </w:t>
      </w:r>
      <w:r w:rsidR="0053473F" w:rsidRPr="006B1BBE">
        <w:rPr>
          <w:rFonts w:ascii="Times New Roman" w:hAnsi="Times New Roman" w:cs="Times New Roman"/>
        </w:rPr>
        <w:t xml:space="preserve">1/10.000, &lt;1/1.000), πολύ </w:t>
      </w:r>
      <w:r w:rsidRPr="006B1BBE">
        <w:rPr>
          <w:rFonts w:ascii="Times New Roman" w:hAnsi="Times New Roman" w:cs="Times New Roman"/>
        </w:rPr>
        <w:t>σπάνιες (</w:t>
      </w:r>
      <w:r w:rsidR="005B698E" w:rsidRPr="006B1BBE">
        <w:rPr>
          <w:rFonts w:ascii="Symbol" w:hAnsi="Symbol" w:cs="Symbol"/>
        </w:rPr>
        <w:t></w:t>
      </w:r>
      <w:r w:rsidR="005B698E" w:rsidRPr="006B1BBE">
        <w:rPr>
          <w:rFonts w:ascii="Times New Roman" w:hAnsi="Times New Roman" w:cs="Times New Roman"/>
        </w:rPr>
        <w:t xml:space="preserve"> </w:t>
      </w:r>
      <w:r w:rsidRPr="006B1BBE">
        <w:rPr>
          <w:rFonts w:ascii="Times New Roman" w:hAnsi="Times New Roman" w:cs="Times New Roman"/>
        </w:rPr>
        <w:t>1/10.000).</w:t>
      </w:r>
    </w:p>
    <w:p w:rsidR="0053473F" w:rsidRPr="006B1BBE" w:rsidRDefault="0053473F" w:rsidP="008525D4">
      <w:pPr>
        <w:spacing w:after="0" w:line="240" w:lineRule="auto"/>
        <w:jc w:val="both"/>
        <w:rPr>
          <w:rFonts w:ascii="Times New Roman" w:hAnsi="Times New Roman" w:cs="Times New Roman"/>
        </w:rPr>
      </w:pPr>
    </w:p>
    <w:p w:rsidR="00F457BF" w:rsidRPr="007B5907"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w:t>
      </w:r>
    </w:p>
    <w:p w:rsidR="00B438FA" w:rsidRPr="00900C58" w:rsidRDefault="00B438FA" w:rsidP="00B438FA">
      <w:pPr>
        <w:spacing w:after="0" w:line="240" w:lineRule="auto"/>
        <w:jc w:val="both"/>
        <w:rPr>
          <w:rFonts w:ascii="Times New Roman" w:hAnsi="Times New Roman" w:cs="Times New Roman"/>
          <w:u w:val="single"/>
        </w:rPr>
      </w:pPr>
      <w:r w:rsidRPr="00900C58">
        <w:rPr>
          <w:rFonts w:ascii="Times New Roman" w:hAnsi="Times New Roman" w:cs="Times New Roman"/>
          <w:u w:val="single"/>
        </w:rPr>
        <w:t>Λοιμώξεις και παρασιτώσεις</w:t>
      </w:r>
    </w:p>
    <w:p w:rsidR="0053473F" w:rsidRPr="002265A3" w:rsidRDefault="00B438FA" w:rsidP="00B438FA">
      <w:pPr>
        <w:spacing w:after="0" w:line="240" w:lineRule="auto"/>
        <w:jc w:val="both"/>
        <w:rPr>
          <w:rFonts w:ascii="Times New Roman" w:hAnsi="Times New Roman" w:cs="Times New Roman"/>
        </w:rPr>
      </w:pPr>
      <w:r w:rsidRPr="002265A3">
        <w:rPr>
          <w:rFonts w:ascii="Times New Roman" w:hAnsi="Times New Roman" w:cs="Times New Roman"/>
        </w:rPr>
        <w:t>Συχνές: Ρινοφαρυγγίτιδα</w:t>
      </w:r>
    </w:p>
    <w:p w:rsidR="00B438FA" w:rsidRPr="00B438FA" w:rsidRDefault="00B438FA" w:rsidP="008525D4">
      <w:pPr>
        <w:spacing w:after="0" w:line="240" w:lineRule="auto"/>
        <w:jc w:val="both"/>
        <w:rPr>
          <w:rFonts w:ascii="Times New Roman" w:hAnsi="Times New Roman" w:cs="Times New Roman"/>
          <w:u w:val="single"/>
        </w:rPr>
      </w:pPr>
    </w:p>
    <w:p w:rsidR="002265A3" w:rsidRPr="0049241B"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Διαταραχές αιμοποιητικού και λεμφικού συστήματος</w:t>
      </w:r>
    </w:p>
    <w:p w:rsidR="00F457BF" w:rsidRPr="006B1BBE" w:rsidRDefault="00B438FA" w:rsidP="008525D4">
      <w:pPr>
        <w:spacing w:after="0" w:line="240" w:lineRule="auto"/>
        <w:jc w:val="both"/>
        <w:rPr>
          <w:rFonts w:ascii="Times New Roman" w:hAnsi="Times New Roman" w:cs="Times New Roman"/>
        </w:rPr>
      </w:pPr>
      <w:r>
        <w:rPr>
          <w:rFonts w:ascii="Times New Roman" w:hAnsi="Times New Roman" w:cs="Times New Roman"/>
        </w:rPr>
        <w:t>Σπάνιες</w:t>
      </w:r>
      <w:r w:rsidR="00F457BF" w:rsidRPr="006B1BBE">
        <w:rPr>
          <w:rFonts w:ascii="Times New Roman" w:hAnsi="Times New Roman" w:cs="Times New Roman"/>
        </w:rPr>
        <w:t>: θρομβοκυτοπενία.</w:t>
      </w:r>
    </w:p>
    <w:p w:rsidR="0053473F" w:rsidRPr="006B1BBE" w:rsidRDefault="0053473F" w:rsidP="008525D4">
      <w:pPr>
        <w:spacing w:after="0" w:line="240" w:lineRule="auto"/>
        <w:jc w:val="both"/>
        <w:rPr>
          <w:rFonts w:ascii="Times New Roman" w:hAnsi="Times New Roman" w:cs="Times New Roman"/>
        </w:rPr>
      </w:pPr>
    </w:p>
    <w:p w:rsidR="00B438FA"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Διαταραχές ανοσοποιητικού συστήματος</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Συχνές: αλλεργικές αντιδράσεις.</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Πολύ σπάνιες: αναφυλακτικές αντιδράσεις.</w:t>
      </w:r>
    </w:p>
    <w:p w:rsidR="0053473F" w:rsidRPr="002265A3" w:rsidRDefault="0053473F" w:rsidP="008525D4">
      <w:pPr>
        <w:spacing w:after="0" w:line="240" w:lineRule="auto"/>
        <w:jc w:val="both"/>
        <w:rPr>
          <w:rFonts w:ascii="Times New Roman" w:hAnsi="Times New Roman" w:cs="Times New Roman"/>
          <w:u w:val="single"/>
        </w:rPr>
      </w:pPr>
    </w:p>
    <w:p w:rsidR="00B438FA" w:rsidRPr="002265A3" w:rsidRDefault="00B438FA" w:rsidP="00B438FA">
      <w:pPr>
        <w:spacing w:after="0" w:line="240" w:lineRule="auto"/>
        <w:jc w:val="both"/>
        <w:rPr>
          <w:rFonts w:ascii="Times New Roman" w:hAnsi="Times New Roman" w:cs="Times New Roman"/>
          <w:u w:val="single"/>
        </w:rPr>
      </w:pPr>
      <w:r w:rsidRPr="002265A3">
        <w:rPr>
          <w:rFonts w:ascii="Times New Roman" w:hAnsi="Times New Roman" w:cs="Times New Roman"/>
          <w:u w:val="single"/>
        </w:rPr>
        <w:t>Διαταραχές του μεταβολισμού και της θρέψης</w:t>
      </w:r>
    </w:p>
    <w:p w:rsidR="00B438FA" w:rsidRPr="00B438FA" w:rsidRDefault="00B438FA" w:rsidP="00B438FA">
      <w:pPr>
        <w:spacing w:after="0" w:line="240" w:lineRule="auto"/>
        <w:jc w:val="both"/>
        <w:rPr>
          <w:rFonts w:ascii="Times New Roman" w:hAnsi="Times New Roman" w:cs="Times New Roman"/>
        </w:rPr>
      </w:pPr>
      <w:r w:rsidRPr="00B438FA">
        <w:rPr>
          <w:rFonts w:ascii="Times New Roman" w:hAnsi="Times New Roman" w:cs="Times New Roman"/>
        </w:rPr>
        <w:t>Συχνές: υπεργλυκαιμία</w:t>
      </w:r>
    </w:p>
    <w:p w:rsidR="00B438FA" w:rsidRPr="006B1BBE" w:rsidRDefault="00B438FA" w:rsidP="00B438FA">
      <w:pPr>
        <w:spacing w:after="0" w:line="240" w:lineRule="auto"/>
        <w:jc w:val="both"/>
        <w:rPr>
          <w:rFonts w:ascii="Times New Roman" w:hAnsi="Times New Roman" w:cs="Times New Roman"/>
        </w:rPr>
      </w:pPr>
      <w:r w:rsidRPr="00B438FA">
        <w:rPr>
          <w:rFonts w:ascii="Times New Roman" w:hAnsi="Times New Roman" w:cs="Times New Roman"/>
        </w:rPr>
        <w:t>Όχι συχνές:, υπογλυκαιμία, αύξηση του σωματικού του βάρους, ανορεξία.</w:t>
      </w:r>
    </w:p>
    <w:p w:rsidR="0053473F" w:rsidRPr="006B1BBE" w:rsidRDefault="0053473F" w:rsidP="008525D4">
      <w:pPr>
        <w:spacing w:after="0" w:line="240" w:lineRule="auto"/>
        <w:jc w:val="both"/>
        <w:rPr>
          <w:rFonts w:ascii="Times New Roman" w:hAnsi="Times New Roman" w:cs="Times New Roman"/>
        </w:rPr>
      </w:pPr>
    </w:p>
    <w:p w:rsidR="0053473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u w:val="single"/>
        </w:rPr>
        <w:t>Ψυχιατρικές διαταραχές</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Όχι συχνές: αμνησία</w:t>
      </w:r>
      <w:r w:rsidR="00B438FA">
        <w:rPr>
          <w:rFonts w:ascii="Times New Roman" w:hAnsi="Times New Roman" w:cs="Times New Roman"/>
        </w:rPr>
        <w:t>,αϋπνία.</w:t>
      </w:r>
    </w:p>
    <w:p w:rsidR="0053473F" w:rsidRPr="006B1BBE" w:rsidRDefault="0053473F" w:rsidP="008525D4">
      <w:pPr>
        <w:spacing w:after="0" w:line="240" w:lineRule="auto"/>
        <w:jc w:val="both"/>
        <w:rPr>
          <w:rFonts w:ascii="Times New Roman" w:hAnsi="Times New Roman" w:cs="Times New Roman"/>
          <w:u w:val="single"/>
        </w:rPr>
      </w:pPr>
    </w:p>
    <w:p w:rsidR="0053473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u w:val="single"/>
        </w:rPr>
        <w:t>Διαταραχές του νευρικού συστήματος</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Συχνές: κεφαλαλγία, </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Όχι συχνές: </w:t>
      </w:r>
      <w:r w:rsidR="00B438FA">
        <w:rPr>
          <w:rFonts w:ascii="Times New Roman" w:hAnsi="Times New Roman" w:cs="Times New Roman"/>
        </w:rPr>
        <w:t>ζάλη, παραισθησία, υπαισθησία,</w:t>
      </w:r>
      <w:r w:rsidR="00B438FA" w:rsidRPr="00B438FA">
        <w:t xml:space="preserve"> </w:t>
      </w:r>
      <w:r w:rsidR="00B438FA">
        <w:rPr>
          <w:rFonts w:ascii="Times New Roman" w:hAnsi="Times New Roman" w:cs="Times New Roman"/>
        </w:rPr>
        <w:t>δυσγευσία, αμνησία.</w:t>
      </w:r>
      <w:r w:rsidR="00B438FA" w:rsidRPr="006B1BBE" w:rsidDel="00B438FA">
        <w:rPr>
          <w:rFonts w:ascii="Times New Roman" w:hAnsi="Times New Roman" w:cs="Times New Roman"/>
        </w:rPr>
        <w:t xml:space="preserve"> </w:t>
      </w:r>
      <w:r w:rsidRPr="006B1BBE">
        <w:rPr>
          <w:rFonts w:ascii="Times New Roman" w:hAnsi="Times New Roman" w:cs="Times New Roman"/>
        </w:rPr>
        <w:t xml:space="preserve">Πολύ σπάνιες: </w:t>
      </w:r>
      <w:r w:rsidR="00B438FA" w:rsidRPr="00B438FA">
        <w:rPr>
          <w:rFonts w:ascii="Times New Roman" w:hAnsi="Times New Roman" w:cs="Times New Roman"/>
        </w:rPr>
        <w:t>περιφερική νευροπάθεια.</w:t>
      </w:r>
    </w:p>
    <w:p w:rsidR="0053473F" w:rsidRPr="006B1BBE" w:rsidRDefault="0053473F" w:rsidP="008525D4">
      <w:pPr>
        <w:spacing w:after="0" w:line="240" w:lineRule="auto"/>
        <w:jc w:val="both"/>
        <w:rPr>
          <w:rFonts w:ascii="Times New Roman" w:hAnsi="Times New Roman" w:cs="Times New Roman"/>
        </w:rPr>
      </w:pPr>
    </w:p>
    <w:p w:rsidR="004A7AAD"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u w:val="single"/>
        </w:rPr>
        <w:t>Οφθαλμικές διαταραχές</w:t>
      </w:r>
      <w:r w:rsidR="004A7AAD" w:rsidRPr="004A7AAD">
        <w:rPr>
          <w:rFonts w:ascii="Times New Roman" w:hAnsi="Times New Roman" w:cs="Times New Roman"/>
        </w:rPr>
        <w:t>Όχι συχνές: όραση θαμπή</w:t>
      </w:r>
    </w:p>
    <w:p w:rsidR="00F457BF" w:rsidRDefault="00B438FA" w:rsidP="008525D4">
      <w:pPr>
        <w:spacing w:after="0" w:line="240" w:lineRule="auto"/>
        <w:jc w:val="both"/>
        <w:rPr>
          <w:rFonts w:ascii="Times New Roman" w:hAnsi="Times New Roman" w:cs="Times New Roman"/>
        </w:rPr>
      </w:pPr>
      <w:r>
        <w:rPr>
          <w:rFonts w:ascii="Times New Roman" w:hAnsi="Times New Roman" w:cs="Times New Roman"/>
        </w:rPr>
        <w:t>Σ</w:t>
      </w:r>
      <w:r w:rsidR="00F457BF" w:rsidRPr="006B1BBE">
        <w:rPr>
          <w:rFonts w:ascii="Times New Roman" w:hAnsi="Times New Roman" w:cs="Times New Roman"/>
        </w:rPr>
        <w:t>πάνιες: οπτική διαταραχή.</w:t>
      </w:r>
    </w:p>
    <w:p w:rsidR="004A7AAD" w:rsidRDefault="004A7AAD" w:rsidP="008525D4">
      <w:pPr>
        <w:spacing w:after="0" w:line="240" w:lineRule="auto"/>
        <w:jc w:val="both"/>
        <w:rPr>
          <w:rFonts w:ascii="Times New Roman" w:hAnsi="Times New Roman" w:cs="Times New Roman"/>
        </w:rPr>
      </w:pPr>
    </w:p>
    <w:p w:rsidR="004A7AAD" w:rsidRPr="002265A3" w:rsidRDefault="004A7AAD" w:rsidP="004A7AAD">
      <w:pPr>
        <w:spacing w:after="0" w:line="240" w:lineRule="auto"/>
        <w:jc w:val="both"/>
        <w:rPr>
          <w:rFonts w:ascii="Times New Roman" w:hAnsi="Times New Roman" w:cs="Times New Roman"/>
          <w:u w:val="single"/>
        </w:rPr>
      </w:pPr>
      <w:r w:rsidRPr="002265A3">
        <w:rPr>
          <w:rFonts w:ascii="Times New Roman" w:hAnsi="Times New Roman" w:cs="Times New Roman"/>
          <w:u w:val="single"/>
        </w:rPr>
        <w:t>Διαταραχές του ωτός και του λαβυρίνθου</w:t>
      </w:r>
    </w:p>
    <w:p w:rsidR="004A7AAD" w:rsidRPr="004A7AAD" w:rsidRDefault="004A7AAD" w:rsidP="004A7AAD">
      <w:pPr>
        <w:spacing w:after="0" w:line="240" w:lineRule="auto"/>
        <w:jc w:val="both"/>
        <w:rPr>
          <w:rFonts w:ascii="Times New Roman" w:hAnsi="Times New Roman" w:cs="Times New Roman"/>
        </w:rPr>
      </w:pPr>
      <w:r w:rsidRPr="004A7AAD">
        <w:rPr>
          <w:rFonts w:ascii="Times New Roman" w:hAnsi="Times New Roman" w:cs="Times New Roman"/>
        </w:rPr>
        <w:t>Όχι συχνές: εμβοές.</w:t>
      </w:r>
    </w:p>
    <w:p w:rsidR="004A7AAD" w:rsidRDefault="004A7AAD" w:rsidP="004A7AAD">
      <w:pPr>
        <w:spacing w:after="0" w:line="240" w:lineRule="auto"/>
        <w:jc w:val="both"/>
        <w:rPr>
          <w:rFonts w:ascii="Times New Roman" w:hAnsi="Times New Roman" w:cs="Times New Roman"/>
        </w:rPr>
      </w:pPr>
      <w:r w:rsidRPr="004A7AAD">
        <w:rPr>
          <w:rFonts w:ascii="Times New Roman" w:hAnsi="Times New Roman" w:cs="Times New Roman"/>
        </w:rPr>
        <w:t>Πολύ σπάνιες: απώλεια ακοής.</w:t>
      </w:r>
    </w:p>
    <w:p w:rsidR="004A7AAD" w:rsidRDefault="004A7AAD" w:rsidP="004A7AAD">
      <w:pPr>
        <w:spacing w:after="0" w:line="240" w:lineRule="auto"/>
        <w:jc w:val="both"/>
        <w:rPr>
          <w:rFonts w:ascii="Times New Roman" w:hAnsi="Times New Roman" w:cs="Times New Roman"/>
        </w:rPr>
      </w:pPr>
    </w:p>
    <w:p w:rsidR="004A7AAD" w:rsidRPr="002265A3" w:rsidRDefault="004A7AAD" w:rsidP="004A7AAD">
      <w:pPr>
        <w:spacing w:after="0" w:line="240" w:lineRule="auto"/>
        <w:jc w:val="both"/>
        <w:rPr>
          <w:rFonts w:ascii="Times New Roman" w:hAnsi="Times New Roman" w:cs="Times New Roman"/>
          <w:u w:val="single"/>
        </w:rPr>
      </w:pPr>
      <w:r w:rsidRPr="002265A3">
        <w:rPr>
          <w:rFonts w:ascii="Times New Roman" w:hAnsi="Times New Roman" w:cs="Times New Roman"/>
          <w:u w:val="single"/>
        </w:rPr>
        <w:t>Διαταραχές τουν αναπνευστικού συστήματος, του θώρακα και του μεσοθωρακίου</w:t>
      </w:r>
    </w:p>
    <w:p w:rsidR="004A7AAD" w:rsidRDefault="004A7AAD" w:rsidP="004A7AAD">
      <w:pPr>
        <w:spacing w:after="0" w:line="240" w:lineRule="auto"/>
        <w:jc w:val="both"/>
        <w:rPr>
          <w:rFonts w:ascii="Times New Roman" w:hAnsi="Times New Roman" w:cs="Times New Roman"/>
        </w:rPr>
      </w:pPr>
      <w:r w:rsidRPr="004A7AAD">
        <w:rPr>
          <w:rFonts w:ascii="Times New Roman" w:hAnsi="Times New Roman" w:cs="Times New Roman"/>
        </w:rPr>
        <w:t>Συχνές: φαρυγγολαρυγγικό άλγος, επίσταξη</w:t>
      </w:r>
    </w:p>
    <w:p w:rsidR="004A7AAD" w:rsidRDefault="004A7AAD" w:rsidP="004A7AAD">
      <w:pPr>
        <w:spacing w:after="0" w:line="240" w:lineRule="auto"/>
        <w:jc w:val="both"/>
        <w:rPr>
          <w:rFonts w:ascii="Times New Roman" w:hAnsi="Times New Roman" w:cs="Times New Roman"/>
        </w:rPr>
      </w:pPr>
    </w:p>
    <w:p w:rsidR="004A7AAD" w:rsidRPr="002265A3" w:rsidRDefault="004A7AAD" w:rsidP="004A7AAD">
      <w:pPr>
        <w:spacing w:after="0" w:line="240" w:lineRule="auto"/>
        <w:jc w:val="both"/>
        <w:rPr>
          <w:rFonts w:ascii="Times New Roman" w:hAnsi="Times New Roman" w:cs="Times New Roman"/>
          <w:u w:val="single"/>
        </w:rPr>
      </w:pPr>
      <w:r w:rsidRPr="002265A3">
        <w:rPr>
          <w:rFonts w:ascii="Times New Roman" w:hAnsi="Times New Roman" w:cs="Times New Roman"/>
          <w:u w:val="single"/>
        </w:rPr>
        <w:t>Διαταραχές του γαστρεντερικού συστήματος</w:t>
      </w:r>
    </w:p>
    <w:p w:rsidR="004A7AAD" w:rsidRPr="004A7AAD" w:rsidRDefault="004A7AAD" w:rsidP="004A7AAD">
      <w:pPr>
        <w:spacing w:after="0" w:line="240" w:lineRule="auto"/>
        <w:jc w:val="both"/>
        <w:rPr>
          <w:rFonts w:ascii="Times New Roman" w:hAnsi="Times New Roman" w:cs="Times New Roman"/>
        </w:rPr>
      </w:pPr>
      <w:r w:rsidRPr="004A7AAD">
        <w:rPr>
          <w:rFonts w:ascii="Times New Roman" w:hAnsi="Times New Roman" w:cs="Times New Roman"/>
        </w:rPr>
        <w:t>Συχνές: δυσκοιλιότητα, μετεωρισμός, δυσπεψία, ναυτία, διάρροια.</w:t>
      </w:r>
    </w:p>
    <w:p w:rsidR="004A7AAD" w:rsidRPr="006B1BBE" w:rsidRDefault="004A7AAD" w:rsidP="004A7AAD">
      <w:pPr>
        <w:spacing w:after="0" w:line="240" w:lineRule="auto"/>
        <w:jc w:val="both"/>
        <w:rPr>
          <w:rFonts w:ascii="Times New Roman" w:hAnsi="Times New Roman" w:cs="Times New Roman"/>
        </w:rPr>
      </w:pPr>
      <w:r w:rsidRPr="004A7AAD">
        <w:rPr>
          <w:rFonts w:ascii="Times New Roman" w:hAnsi="Times New Roman" w:cs="Times New Roman"/>
        </w:rPr>
        <w:t>Όχι συχνές: ανορεξία, έμετος</w:t>
      </w:r>
    </w:p>
    <w:p w:rsidR="0053473F" w:rsidRPr="006B1BBE" w:rsidRDefault="0053473F" w:rsidP="008525D4">
      <w:pPr>
        <w:spacing w:after="0" w:line="240" w:lineRule="auto"/>
        <w:jc w:val="both"/>
        <w:rPr>
          <w:rFonts w:ascii="Times New Roman" w:hAnsi="Times New Roman" w:cs="Times New Roman"/>
          <w:u w:val="single"/>
        </w:rPr>
      </w:pPr>
    </w:p>
    <w:p w:rsidR="002265A3" w:rsidRPr="0049241B"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Διαταραχές του ήπατος και των χοληφόρων</w:t>
      </w:r>
    </w:p>
    <w:p w:rsidR="0053473F" w:rsidRPr="006B1BBE" w:rsidRDefault="004A7AAD" w:rsidP="008525D4">
      <w:pPr>
        <w:spacing w:after="0" w:line="240" w:lineRule="auto"/>
        <w:jc w:val="both"/>
        <w:rPr>
          <w:rFonts w:ascii="Times New Roman" w:hAnsi="Times New Roman" w:cs="Times New Roman"/>
        </w:rPr>
      </w:pPr>
      <w:r w:rsidRPr="004A7AAD">
        <w:rPr>
          <w:rFonts w:ascii="Times New Roman" w:hAnsi="Times New Roman" w:cs="Times New Roman"/>
        </w:rPr>
        <w:t>Όχι συχνές: ηπατίτιδα.</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Σπάνιες: </w:t>
      </w:r>
      <w:r w:rsidR="004A7AAD">
        <w:rPr>
          <w:rFonts w:ascii="Times New Roman" w:hAnsi="Times New Roman" w:cs="Times New Roman"/>
        </w:rPr>
        <w:t>χολόσταση.</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Πολύ σπάνιες: ηπατική ανεπάρκεια.</w:t>
      </w:r>
    </w:p>
    <w:p w:rsidR="0053473F" w:rsidRPr="006B1BBE" w:rsidRDefault="0053473F" w:rsidP="008525D4">
      <w:pPr>
        <w:spacing w:after="0" w:line="240" w:lineRule="auto"/>
        <w:jc w:val="both"/>
        <w:rPr>
          <w:rFonts w:ascii="Times New Roman" w:hAnsi="Times New Roman" w:cs="Times New Roman"/>
        </w:rPr>
      </w:pPr>
    </w:p>
    <w:p w:rsidR="0053473F" w:rsidRPr="006B1BBE" w:rsidRDefault="004A7AAD" w:rsidP="008525D4">
      <w:pPr>
        <w:spacing w:after="0" w:line="240" w:lineRule="auto"/>
        <w:jc w:val="both"/>
        <w:rPr>
          <w:rFonts w:ascii="Times New Roman" w:hAnsi="Times New Roman" w:cs="Times New Roman"/>
        </w:rPr>
      </w:pPr>
      <w:r w:rsidRPr="004A7AAD">
        <w:t xml:space="preserve"> </w:t>
      </w:r>
      <w:r w:rsidRPr="004A7AAD">
        <w:rPr>
          <w:rFonts w:ascii="Times New Roman" w:hAnsi="Times New Roman" w:cs="Times New Roman"/>
          <w:u w:val="single"/>
        </w:rPr>
        <w:t>Διαταραχές του δέρματος και του υποδόριου ιστού</w:t>
      </w:r>
    </w:p>
    <w:p w:rsidR="00F457BF" w:rsidRPr="006B1BBE" w:rsidRDefault="00F457BF" w:rsidP="004A7AAD">
      <w:pPr>
        <w:spacing w:after="0" w:line="240" w:lineRule="auto"/>
        <w:jc w:val="both"/>
        <w:rPr>
          <w:rFonts w:ascii="Times New Roman" w:hAnsi="Times New Roman" w:cs="Times New Roman"/>
        </w:rPr>
      </w:pPr>
      <w:r w:rsidRPr="006B1BBE">
        <w:rPr>
          <w:rFonts w:ascii="Times New Roman" w:hAnsi="Times New Roman" w:cs="Times New Roman"/>
        </w:rPr>
        <w:t>Όχι συχνές: κνίδωση</w:t>
      </w:r>
      <w:r w:rsidR="004A7AAD">
        <w:rPr>
          <w:rFonts w:ascii="Times New Roman" w:hAnsi="Times New Roman" w:cs="Times New Roman"/>
        </w:rPr>
        <w:t>,</w:t>
      </w:r>
      <w:r w:rsidR="004A7AAD" w:rsidRPr="004A7AAD">
        <w:t xml:space="preserve"> </w:t>
      </w:r>
      <w:r w:rsidR="004A7AAD">
        <w:rPr>
          <w:rFonts w:ascii="Times New Roman" w:hAnsi="Times New Roman" w:cs="Times New Roman"/>
        </w:rPr>
        <w:t>δερματικό εξάνθημα, κνησμός</w:t>
      </w:r>
      <w:r w:rsidR="004A7AAD" w:rsidRPr="004A7AAD">
        <w:rPr>
          <w:rFonts w:ascii="Times New Roman" w:hAnsi="Times New Roman" w:cs="Times New Roman"/>
        </w:rPr>
        <w:t>, αλωπεκία.</w:t>
      </w:r>
      <w:r w:rsidR="004A7AAD">
        <w:rPr>
          <w:rFonts w:ascii="Times New Roman" w:hAnsi="Times New Roman" w:cs="Times New Roman"/>
        </w:rPr>
        <w:t>Σ</w:t>
      </w:r>
      <w:r w:rsidRPr="006B1BBE">
        <w:rPr>
          <w:rFonts w:ascii="Times New Roman" w:hAnsi="Times New Roman" w:cs="Times New Roman"/>
        </w:rPr>
        <w:t>πάνιες:</w:t>
      </w:r>
      <w:r w:rsidR="004A7AAD" w:rsidRPr="004A7AAD">
        <w:t xml:space="preserve"> </w:t>
      </w:r>
      <w:r w:rsidR="004A7AAD" w:rsidRPr="004A7AAD">
        <w:rPr>
          <w:rFonts w:ascii="Times New Roman" w:hAnsi="Times New Roman" w:cs="Times New Roman"/>
        </w:rPr>
        <w:t>αγγειοοίδημα, δερματίτιδα πομφολυγώδης συμπεριλαμβανομένων του πολύμορφου ερυθήματος, του συνδρόμου Stevens-Johnson και της τοξικής επιδερμικής νεκρόλυσης.</w:t>
      </w:r>
    </w:p>
    <w:p w:rsidR="0053473F" w:rsidRPr="006B1BBE" w:rsidRDefault="0053473F" w:rsidP="008525D4">
      <w:pPr>
        <w:spacing w:after="0" w:line="240" w:lineRule="auto"/>
        <w:jc w:val="both"/>
        <w:rPr>
          <w:rFonts w:ascii="Times New Roman" w:hAnsi="Times New Roman" w:cs="Times New Roman"/>
          <w:u w:val="single"/>
        </w:rPr>
      </w:pPr>
    </w:p>
    <w:p w:rsidR="0053473F" w:rsidRPr="006B1BBE" w:rsidRDefault="0053473F" w:rsidP="008525D4">
      <w:pPr>
        <w:spacing w:after="0" w:line="240" w:lineRule="auto"/>
        <w:jc w:val="both"/>
        <w:rPr>
          <w:rFonts w:ascii="Times New Roman" w:hAnsi="Times New Roman" w:cs="Times New Roman"/>
        </w:rPr>
      </w:pPr>
    </w:p>
    <w:p w:rsidR="0053473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u w:val="single"/>
        </w:rPr>
        <w:t>Διαταραχές του μυοσκελετικού συστήματος</w:t>
      </w:r>
      <w:r w:rsidR="004A7AAD">
        <w:rPr>
          <w:rFonts w:ascii="Times New Roman" w:hAnsi="Times New Roman" w:cs="Times New Roman"/>
          <w:u w:val="single"/>
        </w:rPr>
        <w:t xml:space="preserve"> </w:t>
      </w:r>
      <w:r w:rsidR="004A7AAD" w:rsidRPr="004A7AAD">
        <w:rPr>
          <w:rFonts w:ascii="Times New Roman" w:hAnsi="Times New Roman" w:cs="Times New Roman"/>
          <w:u w:val="single"/>
        </w:rPr>
        <w:t>και του συνδετικού ιστού</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Συχνές: μυαλγία, αρθραλγία</w:t>
      </w:r>
      <w:r w:rsidR="004A7AAD">
        <w:rPr>
          <w:rFonts w:ascii="Times New Roman" w:hAnsi="Times New Roman" w:cs="Times New Roman"/>
        </w:rPr>
        <w:t>,</w:t>
      </w:r>
      <w:r w:rsidR="004A7AAD" w:rsidRPr="004A7AAD">
        <w:t xml:space="preserve"> </w:t>
      </w:r>
      <w:r w:rsidR="004A7AAD" w:rsidRPr="004A7AAD">
        <w:rPr>
          <w:rFonts w:ascii="Times New Roman" w:hAnsi="Times New Roman" w:cs="Times New Roman"/>
        </w:rPr>
        <w:t>άλγος στα άκρα, μυϊκοί σπασμοί, διόγκωση άρθρωσης, οσφυαλγία.</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lastRenderedPageBreak/>
        <w:t xml:space="preserve">Όχι συχνές: </w:t>
      </w:r>
      <w:r w:rsidR="004A7AAD" w:rsidRPr="004A7AAD">
        <w:t xml:space="preserve"> </w:t>
      </w:r>
      <w:r w:rsidR="004A7AAD" w:rsidRPr="004A7AAD">
        <w:rPr>
          <w:rFonts w:ascii="Times New Roman" w:hAnsi="Times New Roman" w:cs="Times New Roman"/>
        </w:rPr>
        <w:t>αυχεναλγία, μυϊκή καταβολή.</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Σπάνιες: μυοσίτιδα, ραβδομυόλυση, </w:t>
      </w:r>
      <w:r w:rsidR="004A7AAD" w:rsidRPr="004A7AAD">
        <w:t xml:space="preserve"> </w:t>
      </w:r>
      <w:r w:rsidR="004A7AAD" w:rsidRPr="004A7AAD">
        <w:rPr>
          <w:rFonts w:ascii="Times New Roman" w:hAnsi="Times New Roman" w:cs="Times New Roman"/>
        </w:rPr>
        <w:t>μυοπάθεια,</w:t>
      </w:r>
      <w:r w:rsidR="004A7AAD" w:rsidRPr="004A7AAD">
        <w:t xml:space="preserve"> </w:t>
      </w:r>
      <w:r w:rsidR="004A7AAD" w:rsidRPr="004A7AAD">
        <w:rPr>
          <w:rFonts w:ascii="Times New Roman" w:hAnsi="Times New Roman" w:cs="Times New Roman"/>
        </w:rPr>
        <w:t>μερικές φορές επιπλεκόμενη με ρήξη τένοντα.</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w:t>
      </w:r>
      <w:r w:rsidR="004A7AAD">
        <w:rPr>
          <w:rFonts w:ascii="Times New Roman" w:hAnsi="Times New Roman" w:cs="Times New Roman"/>
        </w:rPr>
        <w:t xml:space="preserve">  </w:t>
      </w:r>
    </w:p>
    <w:p w:rsidR="0053473F" w:rsidRPr="006B1BBE" w:rsidRDefault="0053473F" w:rsidP="008525D4">
      <w:pPr>
        <w:spacing w:after="0" w:line="240" w:lineRule="auto"/>
        <w:jc w:val="both"/>
        <w:rPr>
          <w:rFonts w:ascii="Times New Roman" w:hAnsi="Times New Roman" w:cs="Times New Roman"/>
        </w:rPr>
      </w:pPr>
    </w:p>
    <w:p w:rsidR="0053473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u w:val="single"/>
        </w:rPr>
        <w:t>Διαταραχές του αναπαραγωγικού συστήματος και του μαστού</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Πολύ σπάνιες: γυναικομαστία.</w:t>
      </w:r>
    </w:p>
    <w:p w:rsidR="0053473F" w:rsidRPr="006B1BBE" w:rsidRDefault="0053473F" w:rsidP="008525D4">
      <w:pPr>
        <w:spacing w:after="0" w:line="240" w:lineRule="auto"/>
        <w:jc w:val="both"/>
        <w:rPr>
          <w:rFonts w:ascii="Times New Roman" w:hAnsi="Times New Roman" w:cs="Times New Roman"/>
        </w:rPr>
      </w:pPr>
    </w:p>
    <w:p w:rsidR="002265A3" w:rsidRPr="0049241B"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Γενικές διαταραχές</w:t>
      </w:r>
      <w:r w:rsidR="004A7AAD">
        <w:rPr>
          <w:rFonts w:ascii="Times New Roman" w:hAnsi="Times New Roman" w:cs="Times New Roman"/>
          <w:u w:val="single"/>
        </w:rPr>
        <w:t xml:space="preserve"> </w:t>
      </w:r>
      <w:r w:rsidR="004A7AAD" w:rsidRPr="004A7AAD">
        <w:rPr>
          <w:rFonts w:ascii="Times New Roman" w:hAnsi="Times New Roman" w:cs="Times New Roman"/>
          <w:u w:val="single"/>
        </w:rPr>
        <w:t>και διαταραχές της οδού χορήγηση</w:t>
      </w:r>
    </w:p>
    <w:p w:rsidR="0053473F" w:rsidRPr="002265A3" w:rsidRDefault="00A511FD" w:rsidP="008525D4">
      <w:pPr>
        <w:spacing w:after="0" w:line="240" w:lineRule="auto"/>
        <w:jc w:val="both"/>
        <w:rPr>
          <w:rFonts w:ascii="Times New Roman" w:hAnsi="Times New Roman" w:cs="Times New Roman"/>
        </w:rPr>
      </w:pPr>
      <w:r w:rsidRPr="002265A3">
        <w:rPr>
          <w:rFonts w:ascii="Times New Roman" w:hAnsi="Times New Roman" w:cs="Times New Roman"/>
        </w:rPr>
        <w:t>Όχι συχνές: αίσθημα κακουχίας, εξασθένηση, θωρακικό άλγος, περιφερικό οίδημα, κόπωση, πυρεξία.</w:t>
      </w:r>
    </w:p>
    <w:p w:rsidR="0053473F" w:rsidRPr="006B1BBE" w:rsidRDefault="0053473F" w:rsidP="008525D4">
      <w:pPr>
        <w:spacing w:after="0" w:line="240" w:lineRule="auto"/>
        <w:jc w:val="both"/>
        <w:rPr>
          <w:rFonts w:ascii="Times New Roman" w:hAnsi="Times New Roman" w:cs="Times New Roman"/>
        </w:rPr>
      </w:pPr>
    </w:p>
    <w:p w:rsidR="00F457BF"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Παρακλινικές εξετάσεις</w:t>
      </w:r>
    </w:p>
    <w:p w:rsidR="00A511FD" w:rsidRPr="002265A3" w:rsidRDefault="00A511FD" w:rsidP="00A511FD">
      <w:pPr>
        <w:spacing w:after="0" w:line="240" w:lineRule="auto"/>
        <w:jc w:val="both"/>
        <w:rPr>
          <w:rFonts w:ascii="Times New Roman" w:hAnsi="Times New Roman" w:cs="Times New Roman"/>
        </w:rPr>
      </w:pPr>
      <w:r w:rsidRPr="002265A3">
        <w:rPr>
          <w:rFonts w:ascii="Times New Roman" w:hAnsi="Times New Roman" w:cs="Times New Roman"/>
        </w:rPr>
        <w:t>Συχνές: δοκιμασίες ηπατικής λειτουργίας μη φυσιολογικές, κινάση της κρεατίνης αίματος αυξημένη.</w:t>
      </w:r>
    </w:p>
    <w:p w:rsidR="00A511FD" w:rsidRPr="002265A3" w:rsidRDefault="00A511FD" w:rsidP="00A511FD">
      <w:pPr>
        <w:spacing w:after="0" w:line="240" w:lineRule="auto"/>
        <w:jc w:val="both"/>
        <w:rPr>
          <w:rFonts w:ascii="Times New Roman" w:hAnsi="Times New Roman" w:cs="Times New Roman"/>
        </w:rPr>
      </w:pPr>
      <w:r w:rsidRPr="002265A3">
        <w:rPr>
          <w:rFonts w:ascii="Times New Roman" w:hAnsi="Times New Roman" w:cs="Times New Roman"/>
        </w:rPr>
        <w:t>Όχι συχνές: πυοσφαίρια ούρων θετικά.</w:t>
      </w:r>
    </w:p>
    <w:p w:rsidR="00A511FD" w:rsidRPr="006B1BBE" w:rsidRDefault="00A511FD" w:rsidP="008525D4">
      <w:pPr>
        <w:spacing w:after="0" w:line="240" w:lineRule="auto"/>
        <w:jc w:val="both"/>
        <w:rPr>
          <w:rFonts w:ascii="Times New Roman" w:hAnsi="Times New Roman" w:cs="Times New Roman"/>
          <w:u w:val="single"/>
        </w:rPr>
      </w:pPr>
    </w:p>
    <w:p w:rsidR="0053473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Σε ασθενείς που έπαιρναν </w:t>
      </w:r>
      <w:r w:rsidR="00BC1E58">
        <w:rPr>
          <w:rFonts w:ascii="Times New Roman" w:hAnsi="Times New Roman" w:cs="Times New Roman"/>
        </w:rPr>
        <w:t>ZARASTIN</w:t>
      </w:r>
      <w:r w:rsidRPr="006B1BBE">
        <w:rPr>
          <w:rFonts w:ascii="Times New Roman" w:hAnsi="Times New Roman" w:cs="Times New Roman"/>
        </w:rPr>
        <w:t xml:space="preserve"> παρατηρήθηκε αύξηση </w:t>
      </w:r>
      <w:r w:rsidR="0053473F" w:rsidRPr="006B1BBE">
        <w:rPr>
          <w:rFonts w:ascii="Times New Roman" w:hAnsi="Times New Roman" w:cs="Times New Roman"/>
        </w:rPr>
        <w:t xml:space="preserve">των επιπέδων των τρανσαμινασών, </w:t>
      </w:r>
      <w:r w:rsidRPr="006B1BBE">
        <w:rPr>
          <w:rFonts w:ascii="Times New Roman" w:hAnsi="Times New Roman" w:cs="Times New Roman"/>
        </w:rPr>
        <w:t>γεγονός που συμβαίνει και με άλλους αναστολείς τ</w:t>
      </w:r>
      <w:r w:rsidR="0053473F" w:rsidRPr="006B1BBE">
        <w:rPr>
          <w:rFonts w:ascii="Times New Roman" w:hAnsi="Times New Roman" w:cs="Times New Roman"/>
        </w:rPr>
        <w:t xml:space="preserve">ης HMG-CoA αναγωγάσης. Η αύξηση </w:t>
      </w:r>
      <w:r w:rsidRPr="006B1BBE">
        <w:rPr>
          <w:rFonts w:ascii="Times New Roman" w:hAnsi="Times New Roman" w:cs="Times New Roman"/>
        </w:rPr>
        <w:t>αυτή ήταν συνήθως μικρή, παροδική και δεν χρειάστηκε δια</w:t>
      </w:r>
      <w:r w:rsidR="0053473F" w:rsidRPr="006B1BBE">
        <w:rPr>
          <w:rFonts w:ascii="Times New Roman" w:hAnsi="Times New Roman" w:cs="Times New Roman"/>
        </w:rPr>
        <w:t xml:space="preserve">κοπή της θεραπείας. Σε ασθενείς </w:t>
      </w:r>
      <w:r w:rsidRPr="006B1BBE">
        <w:rPr>
          <w:rFonts w:ascii="Times New Roman" w:hAnsi="Times New Roman" w:cs="Times New Roman"/>
        </w:rPr>
        <w:t xml:space="preserve">που έπαιρναν </w:t>
      </w:r>
      <w:r w:rsidR="00BC1E58">
        <w:rPr>
          <w:rFonts w:ascii="Times New Roman" w:hAnsi="Times New Roman" w:cs="Times New Roman"/>
        </w:rPr>
        <w:t>ZARASTIN</w:t>
      </w:r>
      <w:r w:rsidRPr="006B1BBE">
        <w:rPr>
          <w:rFonts w:ascii="Times New Roman" w:hAnsi="Times New Roman" w:cs="Times New Roman"/>
        </w:rPr>
        <w:t>, κλινικά σημαντική αύξηση των τραν</w:t>
      </w:r>
      <w:r w:rsidR="0053473F" w:rsidRPr="006B1BBE">
        <w:rPr>
          <w:rFonts w:ascii="Times New Roman" w:hAnsi="Times New Roman" w:cs="Times New Roman"/>
        </w:rPr>
        <w:t xml:space="preserve">σαμινασών του ορού (τρεις φορές </w:t>
      </w:r>
      <w:r w:rsidRPr="006B1BBE">
        <w:rPr>
          <w:rFonts w:ascii="Times New Roman" w:hAnsi="Times New Roman" w:cs="Times New Roman"/>
        </w:rPr>
        <w:t xml:space="preserve">πάνω από τα ανώτατα φυσιολογικά όρια) παρατηρήθηκε </w:t>
      </w:r>
      <w:r w:rsidR="0053473F" w:rsidRPr="006B1BBE">
        <w:rPr>
          <w:rFonts w:ascii="Times New Roman" w:hAnsi="Times New Roman" w:cs="Times New Roman"/>
        </w:rPr>
        <w:t xml:space="preserve">σε ποσοστό 0.8%. Η αύξηση αυτή, </w:t>
      </w:r>
      <w:r w:rsidRPr="006B1BBE">
        <w:rPr>
          <w:rFonts w:ascii="Times New Roman" w:hAnsi="Times New Roman" w:cs="Times New Roman"/>
        </w:rPr>
        <w:t xml:space="preserve">ήταν δοσοεξαρτώμενη, σε όλους δε </w:t>
      </w:r>
      <w:r w:rsidR="0053473F" w:rsidRPr="006B1BBE">
        <w:rPr>
          <w:rFonts w:ascii="Times New Roman" w:hAnsi="Times New Roman" w:cs="Times New Roman"/>
        </w:rPr>
        <w:t xml:space="preserve">τους ασθενείς ήταν αναστρέψιμη. </w:t>
      </w:r>
    </w:p>
    <w:p w:rsidR="0053473F" w:rsidRPr="006B1BBE" w:rsidRDefault="0053473F" w:rsidP="008525D4">
      <w:pPr>
        <w:spacing w:after="0" w:line="240" w:lineRule="auto"/>
        <w:jc w:val="both"/>
        <w:rPr>
          <w:rFonts w:ascii="Times New Roman" w:hAnsi="Times New Roman" w:cs="Times New Roman"/>
        </w:rPr>
      </w:pPr>
    </w:p>
    <w:p w:rsidR="00F457BF"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Επίπεδα</w:t>
      </w:r>
      <w:r w:rsidR="00A511FD">
        <w:rPr>
          <w:rFonts w:ascii="Times New Roman" w:hAnsi="Times New Roman" w:cs="Times New Roman"/>
        </w:rPr>
        <w:t xml:space="preserve"> </w:t>
      </w:r>
      <w:r w:rsidR="00A511FD" w:rsidRPr="00A511FD">
        <w:rPr>
          <w:rFonts w:ascii="Times New Roman" w:hAnsi="Times New Roman" w:cs="Times New Roman"/>
        </w:rPr>
        <w:t>κινάσης της κρεατίνης</w:t>
      </w:r>
      <w:r w:rsidRPr="006B1BBE">
        <w:rPr>
          <w:rFonts w:ascii="Times New Roman" w:hAnsi="Times New Roman" w:cs="Times New Roman"/>
        </w:rPr>
        <w:t xml:space="preserve"> </w:t>
      </w:r>
      <w:r w:rsidR="00A511FD">
        <w:rPr>
          <w:rFonts w:ascii="Times New Roman" w:hAnsi="Times New Roman" w:cs="Times New Roman"/>
        </w:rPr>
        <w:t>(</w:t>
      </w:r>
      <w:r w:rsidRPr="006B1BBE">
        <w:rPr>
          <w:rFonts w:ascii="Times New Roman" w:hAnsi="Times New Roman" w:cs="Times New Roman"/>
        </w:rPr>
        <w:t>CK</w:t>
      </w:r>
      <w:r w:rsidR="00A511FD">
        <w:rPr>
          <w:rFonts w:ascii="Times New Roman" w:hAnsi="Times New Roman" w:cs="Times New Roman"/>
        </w:rPr>
        <w:t>)</w:t>
      </w:r>
      <w:r w:rsidRPr="006B1BBE">
        <w:rPr>
          <w:rFonts w:ascii="Times New Roman" w:hAnsi="Times New Roman" w:cs="Times New Roman"/>
        </w:rPr>
        <w:t xml:space="preserve"> μεγαλύτερα του 3πλάσιου των ανώτατων φ</w:t>
      </w:r>
      <w:r w:rsidR="0053473F" w:rsidRPr="006B1BBE">
        <w:rPr>
          <w:rFonts w:ascii="Times New Roman" w:hAnsi="Times New Roman" w:cs="Times New Roman"/>
        </w:rPr>
        <w:t xml:space="preserve">υσιολογικών ορίων παρατηρήθηκαν </w:t>
      </w:r>
      <w:r w:rsidRPr="006B1BBE">
        <w:rPr>
          <w:rFonts w:ascii="Times New Roman" w:hAnsi="Times New Roman" w:cs="Times New Roman"/>
        </w:rPr>
        <w:t xml:space="preserve">σε ποσοστό 2,5% των ασθενών που ελάμβαναν </w:t>
      </w:r>
      <w:r w:rsidR="00BC1E58">
        <w:rPr>
          <w:rFonts w:ascii="Times New Roman" w:hAnsi="Times New Roman" w:cs="Times New Roman"/>
        </w:rPr>
        <w:t>ZARASTIN</w:t>
      </w:r>
      <w:r w:rsidRPr="006B1BBE">
        <w:rPr>
          <w:rFonts w:ascii="Times New Roman" w:hAnsi="Times New Roman" w:cs="Times New Roman"/>
        </w:rPr>
        <w:t>, ποσ</w:t>
      </w:r>
      <w:r w:rsidR="0053473F" w:rsidRPr="006B1BBE">
        <w:rPr>
          <w:rFonts w:ascii="Times New Roman" w:hAnsi="Times New Roman" w:cs="Times New Roman"/>
        </w:rPr>
        <w:t xml:space="preserve">οστό που είναι παρόμοιο με αυτό </w:t>
      </w:r>
      <w:r w:rsidRPr="006B1BBE">
        <w:rPr>
          <w:rFonts w:ascii="Times New Roman" w:hAnsi="Times New Roman" w:cs="Times New Roman"/>
        </w:rPr>
        <w:t>που παρατηρήθηκε σε κλινικές μελέτες με άλλους ανα</w:t>
      </w:r>
      <w:r w:rsidR="0053473F" w:rsidRPr="006B1BBE">
        <w:rPr>
          <w:rFonts w:ascii="Times New Roman" w:hAnsi="Times New Roman" w:cs="Times New Roman"/>
        </w:rPr>
        <w:t xml:space="preserve">στολείς της HMG-CoA αναγωγάσης. </w:t>
      </w:r>
      <w:r w:rsidRPr="006B1BBE">
        <w:rPr>
          <w:rFonts w:ascii="Times New Roman" w:hAnsi="Times New Roman" w:cs="Times New Roman"/>
        </w:rPr>
        <w:t>Επίπεδα 10 φορές πάνω από τα ανώτατα φυσιολογικά όρι</w:t>
      </w:r>
      <w:r w:rsidR="0053473F" w:rsidRPr="006B1BBE">
        <w:rPr>
          <w:rFonts w:ascii="Times New Roman" w:hAnsi="Times New Roman" w:cs="Times New Roman"/>
        </w:rPr>
        <w:t xml:space="preserve">α παρατηρήθηκαν σε ποσοστό 0,4% </w:t>
      </w:r>
      <w:r w:rsidRPr="006B1BBE">
        <w:rPr>
          <w:rFonts w:ascii="Times New Roman" w:hAnsi="Times New Roman" w:cs="Times New Roman"/>
        </w:rPr>
        <w:t xml:space="preserve">των ασθενών υπό θεραπεία με </w:t>
      </w:r>
      <w:r w:rsidR="00BC1E58">
        <w:rPr>
          <w:rFonts w:ascii="Times New Roman" w:hAnsi="Times New Roman" w:cs="Times New Roman"/>
        </w:rPr>
        <w:t>ZARASTIN</w:t>
      </w:r>
      <w:r w:rsidRPr="006B1BBE">
        <w:rPr>
          <w:rFonts w:ascii="Times New Roman" w:hAnsi="Times New Roman" w:cs="Times New Roman"/>
        </w:rPr>
        <w:t xml:space="preserve"> (βλέπε Παράγραφο 4.4).</w:t>
      </w:r>
    </w:p>
    <w:p w:rsidR="00A511FD" w:rsidRDefault="00A511FD" w:rsidP="008525D4">
      <w:pPr>
        <w:spacing w:after="0" w:line="240" w:lineRule="auto"/>
        <w:jc w:val="both"/>
        <w:rPr>
          <w:rFonts w:ascii="Times New Roman" w:hAnsi="Times New Roman" w:cs="Times New Roman"/>
        </w:rPr>
      </w:pPr>
    </w:p>
    <w:p w:rsidR="00A511FD" w:rsidRDefault="00A511FD" w:rsidP="00A511FD">
      <w:pPr>
        <w:spacing w:after="0" w:line="240" w:lineRule="auto"/>
        <w:jc w:val="both"/>
        <w:rPr>
          <w:rFonts w:ascii="Times New Roman" w:hAnsi="Times New Roman" w:cs="Times New Roman"/>
        </w:rPr>
      </w:pPr>
      <w:r w:rsidRPr="00A511FD">
        <w:rPr>
          <w:rFonts w:ascii="Times New Roman" w:hAnsi="Times New Roman" w:cs="Times New Roman"/>
        </w:rPr>
        <w:t>Οι ακόλουθες ανεπιθύμητες ενέργειες έχουν</w:t>
      </w:r>
      <w:r>
        <w:rPr>
          <w:rFonts w:ascii="Times New Roman" w:hAnsi="Times New Roman" w:cs="Times New Roman"/>
        </w:rPr>
        <w:t xml:space="preserve"> αναφερθεί με μερικές στατίνες:</w:t>
      </w:r>
    </w:p>
    <w:p w:rsidR="00A511FD" w:rsidRPr="00A511FD" w:rsidRDefault="00A511FD" w:rsidP="00A511FD">
      <w:pPr>
        <w:spacing w:after="0" w:line="240" w:lineRule="auto"/>
        <w:jc w:val="both"/>
        <w:rPr>
          <w:rFonts w:ascii="Times New Roman" w:hAnsi="Times New Roman" w:cs="Times New Roman"/>
        </w:rPr>
      </w:pPr>
    </w:p>
    <w:p w:rsidR="00A511FD" w:rsidRPr="00900C58" w:rsidRDefault="00A511FD" w:rsidP="00900C58">
      <w:pPr>
        <w:pStyle w:val="a3"/>
        <w:numPr>
          <w:ilvl w:val="0"/>
          <w:numId w:val="20"/>
        </w:numPr>
        <w:spacing w:after="0" w:line="240" w:lineRule="auto"/>
        <w:jc w:val="both"/>
        <w:rPr>
          <w:rFonts w:ascii="Times New Roman" w:hAnsi="Times New Roman" w:cs="Times New Roman"/>
        </w:rPr>
      </w:pPr>
      <w:r w:rsidRPr="00900C58">
        <w:rPr>
          <w:rFonts w:ascii="Times New Roman" w:hAnsi="Times New Roman" w:cs="Times New Roman"/>
        </w:rPr>
        <w:t>Σεξουαλική δυσλειτουργία</w:t>
      </w:r>
    </w:p>
    <w:p w:rsidR="00A511FD" w:rsidRPr="00900C58" w:rsidRDefault="00A511FD" w:rsidP="00900C58">
      <w:pPr>
        <w:pStyle w:val="a3"/>
        <w:numPr>
          <w:ilvl w:val="0"/>
          <w:numId w:val="20"/>
        </w:numPr>
        <w:spacing w:after="0" w:line="240" w:lineRule="auto"/>
        <w:jc w:val="both"/>
        <w:rPr>
          <w:rFonts w:ascii="Times New Roman" w:hAnsi="Times New Roman" w:cs="Times New Roman"/>
        </w:rPr>
      </w:pPr>
      <w:r w:rsidRPr="00900C58">
        <w:rPr>
          <w:rFonts w:ascii="Times New Roman" w:hAnsi="Times New Roman" w:cs="Times New Roman"/>
        </w:rPr>
        <w:t>Κατάθλιψη</w:t>
      </w:r>
    </w:p>
    <w:p w:rsidR="00A511FD" w:rsidRPr="00900C58" w:rsidRDefault="00A511FD" w:rsidP="00900C58">
      <w:pPr>
        <w:pStyle w:val="a3"/>
        <w:numPr>
          <w:ilvl w:val="0"/>
          <w:numId w:val="20"/>
        </w:numPr>
        <w:spacing w:after="0" w:line="240" w:lineRule="auto"/>
        <w:jc w:val="both"/>
        <w:rPr>
          <w:rFonts w:ascii="Times New Roman" w:hAnsi="Times New Roman" w:cs="Times New Roman"/>
        </w:rPr>
      </w:pPr>
      <w:r w:rsidRPr="00900C58">
        <w:rPr>
          <w:rFonts w:ascii="Times New Roman" w:hAnsi="Times New Roman" w:cs="Times New Roman"/>
        </w:rPr>
        <w:t>Σπάνιες περιπτώσεις διάμεσου πνευμονοπάθειας, ιδιαίτερα με μακροχρόνια θεραπεία (βλέπε παράγραφο 4.4)</w:t>
      </w:r>
    </w:p>
    <w:p w:rsidR="0053473F" w:rsidRPr="006B1BBE" w:rsidRDefault="0053473F" w:rsidP="008525D4">
      <w:pPr>
        <w:spacing w:after="0" w:line="240" w:lineRule="auto"/>
        <w:jc w:val="both"/>
        <w:rPr>
          <w:rFonts w:ascii="Times New Roman" w:hAnsi="Times New Roman" w:cs="Times New Roman"/>
        </w:rPr>
      </w:pPr>
    </w:p>
    <w:p w:rsidR="0053473F" w:rsidRPr="006B1BBE" w:rsidRDefault="0053473F" w:rsidP="008525D4">
      <w:pPr>
        <w:spacing w:after="0" w:line="240" w:lineRule="auto"/>
        <w:jc w:val="both"/>
        <w:rPr>
          <w:rFonts w:ascii="Times New Roman" w:hAnsi="Times New Roman" w:cs="Times New Roman"/>
        </w:rPr>
      </w:pPr>
    </w:p>
    <w:p w:rsidR="00F457BF" w:rsidRPr="006B1BBE" w:rsidRDefault="00F457BF" w:rsidP="0053473F">
      <w:pPr>
        <w:pStyle w:val="a3"/>
        <w:numPr>
          <w:ilvl w:val="1"/>
          <w:numId w:val="1"/>
        </w:numPr>
        <w:spacing w:after="0" w:line="240" w:lineRule="auto"/>
        <w:jc w:val="both"/>
        <w:rPr>
          <w:rFonts w:ascii="Times New Roman" w:hAnsi="Times New Roman" w:cs="Times New Roman"/>
          <w:b/>
          <w:lang w:val="en-US"/>
        </w:rPr>
      </w:pPr>
      <w:r w:rsidRPr="006B1BBE">
        <w:rPr>
          <w:rFonts w:ascii="Times New Roman" w:hAnsi="Times New Roman" w:cs="Times New Roman"/>
          <w:b/>
        </w:rPr>
        <w:t>Υπερδοσολογία</w:t>
      </w:r>
    </w:p>
    <w:p w:rsidR="0053473F" w:rsidRPr="006B1BBE" w:rsidRDefault="0053473F" w:rsidP="008525D4">
      <w:pPr>
        <w:spacing w:after="0" w:line="240" w:lineRule="auto"/>
        <w:jc w:val="both"/>
        <w:rPr>
          <w:rFonts w:ascii="Times New Roman" w:hAnsi="Times New Roman" w:cs="Times New Roman"/>
          <w:lang w:val="en-US"/>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Για τις περιπτώσεις υπερδοσολογίας από το </w:t>
      </w:r>
      <w:r w:rsidR="00BC1E58">
        <w:rPr>
          <w:rFonts w:ascii="Times New Roman" w:hAnsi="Times New Roman" w:cs="Times New Roman"/>
        </w:rPr>
        <w:t>ZARASTIN</w:t>
      </w:r>
      <w:r w:rsidRPr="006B1BBE">
        <w:rPr>
          <w:rFonts w:ascii="Times New Roman" w:hAnsi="Times New Roman" w:cs="Times New Roman"/>
        </w:rPr>
        <w:t xml:space="preserve"> δεν υ</w:t>
      </w:r>
      <w:r w:rsidR="0053473F" w:rsidRPr="006B1BBE">
        <w:rPr>
          <w:rFonts w:ascii="Times New Roman" w:hAnsi="Times New Roman" w:cs="Times New Roman"/>
        </w:rPr>
        <w:t xml:space="preserve">πάρχει ειδική θεραπεία. Αν αυτό </w:t>
      </w:r>
      <w:r w:rsidRPr="006B1BBE">
        <w:rPr>
          <w:rFonts w:ascii="Times New Roman" w:hAnsi="Times New Roman" w:cs="Times New Roman"/>
        </w:rPr>
        <w:t>συμβεί, ο ασθενής πρέπει να αντιμετωπιστεί συμ</w:t>
      </w:r>
      <w:r w:rsidR="0053473F" w:rsidRPr="006B1BBE">
        <w:rPr>
          <w:rFonts w:ascii="Times New Roman" w:hAnsi="Times New Roman" w:cs="Times New Roman"/>
        </w:rPr>
        <w:t xml:space="preserve">πτωματικά και να εφαρμοστούν τα </w:t>
      </w:r>
      <w:r w:rsidRPr="006B1BBE">
        <w:rPr>
          <w:rFonts w:ascii="Times New Roman" w:hAnsi="Times New Roman" w:cs="Times New Roman"/>
        </w:rPr>
        <w:t>κατάλληλα υποστηρικτικά μέτρα, όπως απαιτείτ</w:t>
      </w:r>
      <w:r w:rsidR="0053473F" w:rsidRPr="006B1BBE">
        <w:rPr>
          <w:rFonts w:ascii="Times New Roman" w:hAnsi="Times New Roman" w:cs="Times New Roman"/>
        </w:rPr>
        <w:t xml:space="preserve">αι κατά περίπτωση. Θα πρέπει να </w:t>
      </w:r>
      <w:r w:rsidRPr="006B1BBE">
        <w:rPr>
          <w:rFonts w:ascii="Times New Roman" w:hAnsi="Times New Roman" w:cs="Times New Roman"/>
        </w:rPr>
        <w:t>παρακολουθείται η ηπατική λειτουργία και τα επίπε</w:t>
      </w:r>
      <w:r w:rsidR="0053473F" w:rsidRPr="006B1BBE">
        <w:rPr>
          <w:rFonts w:ascii="Times New Roman" w:hAnsi="Times New Roman" w:cs="Times New Roman"/>
        </w:rPr>
        <w:t xml:space="preserve">δα της CK στο πλάσμα. Λόγω της </w:t>
      </w:r>
      <w:r w:rsidRPr="006B1BBE">
        <w:rPr>
          <w:rFonts w:ascii="Times New Roman" w:hAnsi="Times New Roman" w:cs="Times New Roman"/>
        </w:rPr>
        <w:t>εκτεταμένης δέσμευσης του φαρμάκου με τις πρωτεΐνες τ</w:t>
      </w:r>
      <w:r w:rsidR="0053473F" w:rsidRPr="006B1BBE">
        <w:rPr>
          <w:rFonts w:ascii="Times New Roman" w:hAnsi="Times New Roman" w:cs="Times New Roman"/>
        </w:rPr>
        <w:t xml:space="preserve">ου πλάσματος, η αιμοκάθαρση δεν </w:t>
      </w:r>
      <w:r w:rsidRPr="006B1BBE">
        <w:rPr>
          <w:rFonts w:ascii="Times New Roman" w:hAnsi="Times New Roman" w:cs="Times New Roman"/>
        </w:rPr>
        <w:t>αναμένεται να βελτιώσει σημαντικά την κάθαρση της ατορβαστατίνης.</w:t>
      </w:r>
    </w:p>
    <w:p w:rsidR="0053473F" w:rsidRPr="006B1BBE" w:rsidRDefault="0053473F" w:rsidP="008525D4">
      <w:pPr>
        <w:spacing w:after="0" w:line="240" w:lineRule="auto"/>
        <w:jc w:val="both"/>
        <w:rPr>
          <w:rFonts w:ascii="Times New Roman" w:hAnsi="Times New Roman" w:cs="Times New Roman"/>
        </w:rPr>
      </w:pPr>
    </w:p>
    <w:p w:rsidR="0053473F" w:rsidRPr="006B1BBE" w:rsidRDefault="0053473F" w:rsidP="008525D4">
      <w:pPr>
        <w:spacing w:after="0" w:line="240" w:lineRule="auto"/>
        <w:jc w:val="both"/>
        <w:rPr>
          <w:rFonts w:ascii="Times New Roman" w:hAnsi="Times New Roman" w:cs="Times New Roman"/>
        </w:rPr>
      </w:pPr>
    </w:p>
    <w:p w:rsidR="00F457BF" w:rsidRPr="006B1BBE" w:rsidRDefault="00F457BF" w:rsidP="0053473F">
      <w:pPr>
        <w:pStyle w:val="a3"/>
        <w:numPr>
          <w:ilvl w:val="0"/>
          <w:numId w:val="1"/>
        </w:numPr>
        <w:spacing w:after="0" w:line="240" w:lineRule="auto"/>
        <w:jc w:val="both"/>
        <w:rPr>
          <w:rFonts w:ascii="Times New Roman" w:hAnsi="Times New Roman" w:cs="Times New Roman"/>
          <w:b/>
        </w:rPr>
      </w:pPr>
      <w:r w:rsidRPr="006B1BBE">
        <w:rPr>
          <w:rFonts w:ascii="Times New Roman" w:hAnsi="Times New Roman" w:cs="Times New Roman"/>
          <w:b/>
        </w:rPr>
        <w:t>ΦΑΡΜΑΚΟΛΟΓΙΚΕΣ ΙΔΙΟΤΗΤΕΣ</w:t>
      </w:r>
    </w:p>
    <w:p w:rsidR="0053473F" w:rsidRPr="006B1BBE" w:rsidRDefault="0053473F" w:rsidP="0053473F">
      <w:pPr>
        <w:spacing w:after="0" w:line="240" w:lineRule="auto"/>
        <w:jc w:val="both"/>
        <w:rPr>
          <w:rFonts w:ascii="Times New Roman" w:hAnsi="Times New Roman" w:cs="Times New Roman"/>
          <w:b/>
          <w:lang w:val="en-US"/>
        </w:rPr>
      </w:pPr>
    </w:p>
    <w:p w:rsidR="00F457BF" w:rsidRPr="006B1BBE" w:rsidRDefault="00F457BF" w:rsidP="0053473F">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t>Φαρμακοδυναμικές ιδιότητες</w:t>
      </w:r>
    </w:p>
    <w:p w:rsidR="0053473F" w:rsidRPr="006B1BBE" w:rsidRDefault="0053473F" w:rsidP="0053473F">
      <w:pPr>
        <w:spacing w:after="0" w:line="240" w:lineRule="auto"/>
        <w:jc w:val="both"/>
        <w:rPr>
          <w:rFonts w:ascii="Times New Roman" w:hAnsi="Times New Roman" w:cs="Times New Roman"/>
          <w:b/>
          <w:lang w:val="en-US"/>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Φαρμακοθεραπευτική κατηγορία: </w:t>
      </w:r>
      <w:r w:rsidR="00BE5D07" w:rsidRPr="00BE5D07">
        <w:t xml:space="preserve"> </w:t>
      </w:r>
      <w:r w:rsidR="00BE5D07" w:rsidRPr="00BE5D07">
        <w:rPr>
          <w:rFonts w:ascii="Times New Roman" w:hAnsi="Times New Roman" w:cs="Times New Roman"/>
        </w:rPr>
        <w:t>Ρυθμιστικοί παράγοντες λιπιδίων, α</w:t>
      </w:r>
      <w:r w:rsidRPr="006B1BBE">
        <w:rPr>
          <w:rFonts w:ascii="Times New Roman" w:hAnsi="Times New Roman" w:cs="Times New Roman"/>
        </w:rPr>
        <w:t>ναστολείς της H</w:t>
      </w:r>
      <w:r w:rsidR="0053473F" w:rsidRPr="006B1BBE">
        <w:rPr>
          <w:rFonts w:ascii="Times New Roman" w:hAnsi="Times New Roman" w:cs="Times New Roman"/>
        </w:rPr>
        <w:t xml:space="preserve">MG-CoA αναγωγάσης, κωδικός ATC: </w:t>
      </w:r>
      <w:r w:rsidRPr="006B1BBE">
        <w:rPr>
          <w:rFonts w:ascii="Times New Roman" w:hAnsi="Times New Roman" w:cs="Times New Roman"/>
        </w:rPr>
        <w:t>C10AA05</w:t>
      </w:r>
    </w:p>
    <w:p w:rsidR="0053473F" w:rsidRPr="006B1BBE" w:rsidRDefault="0053473F"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H ατορβαστατίνη είναι ένας εκλεκτικός, ανταγω</w:t>
      </w:r>
      <w:r w:rsidR="0053473F" w:rsidRPr="006B1BBE">
        <w:rPr>
          <w:rFonts w:ascii="Times New Roman" w:hAnsi="Times New Roman" w:cs="Times New Roman"/>
        </w:rPr>
        <w:t xml:space="preserve">νιστικός αναστολέας της HMG-CoA </w:t>
      </w:r>
      <w:r w:rsidRPr="006B1BBE">
        <w:rPr>
          <w:rFonts w:ascii="Times New Roman" w:hAnsi="Times New Roman" w:cs="Times New Roman"/>
        </w:rPr>
        <w:t xml:space="preserve">αναγωγάσης, του ενζύμου που είναι υπεύθυνο για τη </w:t>
      </w:r>
      <w:r w:rsidR="0053473F" w:rsidRPr="006B1BBE">
        <w:rPr>
          <w:rFonts w:ascii="Times New Roman" w:hAnsi="Times New Roman" w:cs="Times New Roman"/>
        </w:rPr>
        <w:t xml:space="preserve">μετατροπή του 3-υδροξυ-3-μεθυλ- </w:t>
      </w:r>
      <w:r w:rsidRPr="006B1BBE">
        <w:rPr>
          <w:rFonts w:ascii="Times New Roman" w:hAnsi="Times New Roman" w:cs="Times New Roman"/>
        </w:rPr>
        <w:t>γλουταρυλ- συνενζύμου Α σε μεβαλονικό οξ</w:t>
      </w:r>
      <w:r w:rsidR="0053473F" w:rsidRPr="006B1BBE">
        <w:rPr>
          <w:rFonts w:ascii="Times New Roman" w:hAnsi="Times New Roman" w:cs="Times New Roman"/>
        </w:rPr>
        <w:t xml:space="preserve">ύ, πρόδρομη ουσία των στερολών, </w:t>
      </w:r>
      <w:r w:rsidRPr="006B1BBE">
        <w:rPr>
          <w:rFonts w:ascii="Times New Roman" w:hAnsi="Times New Roman" w:cs="Times New Roman"/>
        </w:rPr>
        <w:t>συμπεριλαμβανόμενης και της χοληστερόλης. Τα τριγλυκερ</w:t>
      </w:r>
      <w:r w:rsidR="0053473F" w:rsidRPr="006B1BBE">
        <w:rPr>
          <w:rFonts w:ascii="Times New Roman" w:hAnsi="Times New Roman" w:cs="Times New Roman"/>
        </w:rPr>
        <w:t xml:space="preserve">ίδια και η χοληστερόλη στο ήπαρ </w:t>
      </w:r>
      <w:r w:rsidRPr="006B1BBE">
        <w:rPr>
          <w:rFonts w:ascii="Times New Roman" w:hAnsi="Times New Roman" w:cs="Times New Roman"/>
        </w:rPr>
        <w:t>ενσωματώνονται στις πολύ χαμηλής πυκνότητας λιποπρωτεΐνες (VLDL) και</w:t>
      </w:r>
      <w:r w:rsidR="0053473F" w:rsidRPr="006B1BBE">
        <w:rPr>
          <w:rFonts w:ascii="Times New Roman" w:hAnsi="Times New Roman" w:cs="Times New Roman"/>
        </w:rPr>
        <w:t xml:space="preserve"> </w:t>
      </w:r>
      <w:r w:rsidRPr="006B1BBE">
        <w:rPr>
          <w:rFonts w:ascii="Times New Roman" w:hAnsi="Times New Roman" w:cs="Times New Roman"/>
        </w:rPr>
        <w:t>απελευθερώνονται στο πλάσμα, ώστε να μεταφερθο</w:t>
      </w:r>
      <w:r w:rsidR="0053473F" w:rsidRPr="006B1BBE">
        <w:rPr>
          <w:rFonts w:ascii="Times New Roman" w:hAnsi="Times New Roman" w:cs="Times New Roman"/>
        </w:rPr>
        <w:t xml:space="preserve">ύν στους περιφερικούς ιστούς. Η </w:t>
      </w:r>
      <w:r w:rsidRPr="006B1BBE">
        <w:rPr>
          <w:rFonts w:ascii="Times New Roman" w:hAnsi="Times New Roman" w:cs="Times New Roman"/>
        </w:rPr>
        <w:t>χαμηλής πυκνότητας λιποπρωτεΐνη (LDL) σχηματίζεται από τη VLDL και καταβολίζεται</w:t>
      </w:r>
    </w:p>
    <w:p w:rsidR="00357F80"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κυρίως μέσω υποδοχέων υψηλής χημικής συγγένεια</w:t>
      </w:r>
      <w:r w:rsidR="0053473F" w:rsidRPr="006B1BBE">
        <w:rPr>
          <w:rFonts w:ascii="Times New Roman" w:hAnsi="Times New Roman" w:cs="Times New Roman"/>
        </w:rPr>
        <w:t xml:space="preserve">ς προς τις LDL (LDL υποδοχείς). </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ατορβαστατίνη μειώνει τη χοληστερόλη και τα επίπεδα των λιπο</w:t>
      </w:r>
      <w:r w:rsidR="0053473F" w:rsidRPr="006B1BBE">
        <w:rPr>
          <w:rFonts w:ascii="Times New Roman" w:hAnsi="Times New Roman" w:cs="Times New Roman"/>
        </w:rPr>
        <w:t xml:space="preserve">πρωτεΐνών στο πλάσμα </w:t>
      </w:r>
      <w:r w:rsidRPr="006B1BBE">
        <w:rPr>
          <w:rFonts w:ascii="Times New Roman" w:hAnsi="Times New Roman" w:cs="Times New Roman"/>
        </w:rPr>
        <w:t>αναστέλλοντας την HMG-CoA αναγωγάση και ακολούθως</w:t>
      </w:r>
      <w:r w:rsidR="0053473F" w:rsidRPr="006B1BBE">
        <w:rPr>
          <w:rFonts w:ascii="Times New Roman" w:hAnsi="Times New Roman" w:cs="Times New Roman"/>
        </w:rPr>
        <w:t xml:space="preserve"> τη βιοσύνθεση της χοληστερόλης </w:t>
      </w:r>
      <w:r w:rsidRPr="006B1BBE">
        <w:rPr>
          <w:rFonts w:ascii="Times New Roman" w:hAnsi="Times New Roman" w:cs="Times New Roman"/>
        </w:rPr>
        <w:t xml:space="preserve">στο ήπαρ και αυξάνει τον αριθμό των LDL </w:t>
      </w:r>
      <w:r w:rsidRPr="006B1BBE">
        <w:rPr>
          <w:rFonts w:ascii="Times New Roman" w:hAnsi="Times New Roman" w:cs="Times New Roman"/>
        </w:rPr>
        <w:lastRenderedPageBreak/>
        <w:t>υποδοχ</w:t>
      </w:r>
      <w:r w:rsidR="0053473F" w:rsidRPr="006B1BBE">
        <w:rPr>
          <w:rFonts w:ascii="Times New Roman" w:hAnsi="Times New Roman" w:cs="Times New Roman"/>
        </w:rPr>
        <w:t xml:space="preserve">έων στην επιφάνεια των ηπατικών </w:t>
      </w:r>
      <w:r w:rsidRPr="006B1BBE">
        <w:rPr>
          <w:rFonts w:ascii="Times New Roman" w:hAnsi="Times New Roman" w:cs="Times New Roman"/>
        </w:rPr>
        <w:t>κυττάρων, τα οποία προσλαμβάνουν και καταβολίζουν περισσότερο την LDL.</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ατορβαστατίνη ελαττώνει την παραγωγή LDL και τ</w:t>
      </w:r>
      <w:r w:rsidR="00357F80" w:rsidRPr="006B1BBE">
        <w:rPr>
          <w:rFonts w:ascii="Times New Roman" w:hAnsi="Times New Roman" w:cs="Times New Roman"/>
        </w:rPr>
        <w:t xml:space="preserve">ον αριθμό των σωματιδίων LDL. H </w:t>
      </w:r>
      <w:r w:rsidRPr="006B1BBE">
        <w:rPr>
          <w:rFonts w:ascii="Times New Roman" w:hAnsi="Times New Roman" w:cs="Times New Roman"/>
        </w:rPr>
        <w:t>ατορβαστατίνη προκαλεί έκδηλη και παρατεταμένη α</w:t>
      </w:r>
      <w:r w:rsidR="00357F80" w:rsidRPr="006B1BBE">
        <w:rPr>
          <w:rFonts w:ascii="Times New Roman" w:hAnsi="Times New Roman" w:cs="Times New Roman"/>
        </w:rPr>
        <w:t xml:space="preserve">ύξηση της δραστικότητας των LDL </w:t>
      </w:r>
      <w:r w:rsidRPr="006B1BBE">
        <w:rPr>
          <w:rFonts w:ascii="Times New Roman" w:hAnsi="Times New Roman" w:cs="Times New Roman"/>
        </w:rPr>
        <w:t>υποδοχέων, σε συνδυασμό με μία ωφέλιμη μεταβολή τ</w:t>
      </w:r>
      <w:r w:rsidR="00357F80" w:rsidRPr="006B1BBE">
        <w:rPr>
          <w:rFonts w:ascii="Times New Roman" w:hAnsi="Times New Roman" w:cs="Times New Roman"/>
        </w:rPr>
        <w:t xml:space="preserve">ης ποιότητας των κυκλοφορούντων </w:t>
      </w:r>
      <w:r w:rsidRPr="006B1BBE">
        <w:rPr>
          <w:rFonts w:ascii="Times New Roman" w:hAnsi="Times New Roman" w:cs="Times New Roman"/>
        </w:rPr>
        <w:t>σωματιδίων της LDL. Η ατορβαστατίνη ελαττώνει αποτε</w:t>
      </w:r>
      <w:r w:rsidR="00357F80" w:rsidRPr="006B1BBE">
        <w:rPr>
          <w:rFonts w:ascii="Times New Roman" w:hAnsi="Times New Roman" w:cs="Times New Roman"/>
        </w:rPr>
        <w:t xml:space="preserve">λεσματικά την LDL-C σε ασθενείς </w:t>
      </w:r>
      <w:r w:rsidRPr="006B1BBE">
        <w:rPr>
          <w:rFonts w:ascii="Times New Roman" w:hAnsi="Times New Roman" w:cs="Times New Roman"/>
        </w:rPr>
        <w:t>με ομόζυγο οικογενή υπερχοληστεριναιμία, μι</w:t>
      </w:r>
      <w:r w:rsidR="00357F80" w:rsidRPr="006B1BBE">
        <w:rPr>
          <w:rFonts w:ascii="Times New Roman" w:hAnsi="Times New Roman" w:cs="Times New Roman"/>
        </w:rPr>
        <w:t xml:space="preserve">α ομάδα ασθενών που συνήθως δεν </w:t>
      </w:r>
      <w:r w:rsidRPr="006B1BBE">
        <w:rPr>
          <w:rFonts w:ascii="Times New Roman" w:hAnsi="Times New Roman" w:cs="Times New Roman"/>
        </w:rPr>
        <w:t>ανταποκρίνεται στα υπολιπιδαιμικά φάρμακα.</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ατορβαστατίνη σε μία μελέτη δόσης-αποτελέσματος, αποδ</w:t>
      </w:r>
      <w:r w:rsidR="00357F80" w:rsidRPr="006B1BBE">
        <w:rPr>
          <w:rFonts w:ascii="Times New Roman" w:hAnsi="Times New Roman" w:cs="Times New Roman"/>
        </w:rPr>
        <w:t xml:space="preserve">είχτηκε ότι ελαττώνει τη </w:t>
      </w:r>
      <w:r w:rsidRPr="006B1BBE">
        <w:rPr>
          <w:rFonts w:ascii="Times New Roman" w:hAnsi="Times New Roman" w:cs="Times New Roman"/>
        </w:rPr>
        <w:t>συγκέντρωση της ολικής-C (30% - 46%), της LDL-C (41%</w:t>
      </w:r>
      <w:r w:rsidR="00357F80" w:rsidRPr="006B1BBE">
        <w:rPr>
          <w:rFonts w:ascii="Times New Roman" w:hAnsi="Times New Roman" w:cs="Times New Roman"/>
        </w:rPr>
        <w:t xml:space="preserve"> - 61%), της απολιποπρωτεΐνης Β </w:t>
      </w:r>
      <w:r w:rsidRPr="006B1BBE">
        <w:rPr>
          <w:rFonts w:ascii="Times New Roman" w:hAnsi="Times New Roman" w:cs="Times New Roman"/>
        </w:rPr>
        <w:t xml:space="preserve">(34% - 50%) και των τριγλυκεριδίων (14% - 33%), </w:t>
      </w:r>
      <w:r w:rsidR="00357F80" w:rsidRPr="006B1BBE">
        <w:rPr>
          <w:rFonts w:ascii="Times New Roman" w:hAnsi="Times New Roman" w:cs="Times New Roman"/>
        </w:rPr>
        <w:t xml:space="preserve">ενώ παράλληλα προκαλεί ποικίλες </w:t>
      </w:r>
      <w:r w:rsidRPr="006B1BBE">
        <w:rPr>
          <w:rFonts w:ascii="Times New Roman" w:hAnsi="Times New Roman" w:cs="Times New Roman"/>
        </w:rPr>
        <w:t>αυξήσεις των HDL-C και της απολιποπρωτεΐνης Α1. Τα αποτελέσματα αυτ</w:t>
      </w:r>
      <w:r w:rsidR="00357F80" w:rsidRPr="006B1BBE">
        <w:rPr>
          <w:rFonts w:ascii="Times New Roman" w:hAnsi="Times New Roman" w:cs="Times New Roman"/>
        </w:rPr>
        <w:t xml:space="preserve">ά είναι το ίδιο </w:t>
      </w:r>
      <w:r w:rsidRPr="006B1BBE">
        <w:rPr>
          <w:rFonts w:ascii="Times New Roman" w:hAnsi="Times New Roman" w:cs="Times New Roman"/>
        </w:rPr>
        <w:t>σταθερά σε ασθενείς με ετερόζυγο οικογενή υπερχοληστερο</w:t>
      </w:r>
      <w:r w:rsidR="00357F80" w:rsidRPr="006B1BBE">
        <w:rPr>
          <w:rFonts w:ascii="Times New Roman" w:hAnsi="Times New Roman" w:cs="Times New Roman"/>
        </w:rPr>
        <w:t xml:space="preserve">λαιμία, σε μη οικογενείς μορφές </w:t>
      </w:r>
      <w:r w:rsidRPr="006B1BBE">
        <w:rPr>
          <w:rFonts w:ascii="Times New Roman" w:hAnsi="Times New Roman" w:cs="Times New Roman"/>
        </w:rPr>
        <w:t>υπερχοληστερολαιμίας και σε μεικτή υπερλιπιδαιμ</w:t>
      </w:r>
      <w:r w:rsidR="00357F80" w:rsidRPr="006B1BBE">
        <w:rPr>
          <w:rFonts w:ascii="Times New Roman" w:hAnsi="Times New Roman" w:cs="Times New Roman"/>
        </w:rPr>
        <w:t xml:space="preserve">ία, συμπεριλαμβανόμενων και των </w:t>
      </w:r>
      <w:r w:rsidRPr="006B1BBE">
        <w:rPr>
          <w:rFonts w:ascii="Times New Roman" w:hAnsi="Times New Roman" w:cs="Times New Roman"/>
        </w:rPr>
        <w:t>ασθενών με μη ινσουλινοεξαρτώμενο σακχαρώδη διαβήτη.</w:t>
      </w:r>
    </w:p>
    <w:p w:rsidR="00357F80" w:rsidRPr="006B1BBE" w:rsidRDefault="00357F80" w:rsidP="008525D4">
      <w:pPr>
        <w:spacing w:after="0" w:line="240" w:lineRule="auto"/>
        <w:jc w:val="both"/>
        <w:rPr>
          <w:rFonts w:ascii="Times New Roman" w:hAnsi="Times New Roman" w:cs="Times New Roman"/>
        </w:rPr>
      </w:pPr>
    </w:p>
    <w:p w:rsidR="00F457BF"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Έχει διαπιστωθεί ότι η ελάττωση των τιμών της ολικής </w:t>
      </w:r>
      <w:r w:rsidR="00357F80" w:rsidRPr="006B1BBE">
        <w:rPr>
          <w:rFonts w:ascii="Times New Roman" w:hAnsi="Times New Roman" w:cs="Times New Roman"/>
        </w:rPr>
        <w:t xml:space="preserve">χοληστερόλης, της LDL-C και της </w:t>
      </w:r>
      <w:r w:rsidRPr="006B1BBE">
        <w:rPr>
          <w:rFonts w:ascii="Times New Roman" w:hAnsi="Times New Roman" w:cs="Times New Roman"/>
        </w:rPr>
        <w:t>απολιποπρωτεΐνης Β μειώνει τον κίνδυνο των κ</w:t>
      </w:r>
      <w:r w:rsidR="00357F80" w:rsidRPr="006B1BBE">
        <w:rPr>
          <w:rFonts w:ascii="Times New Roman" w:hAnsi="Times New Roman" w:cs="Times New Roman"/>
        </w:rPr>
        <w:t xml:space="preserve">αρδιαγγειακών επεισοδίων και τη </w:t>
      </w:r>
      <w:r w:rsidRPr="006B1BBE">
        <w:rPr>
          <w:rFonts w:ascii="Times New Roman" w:hAnsi="Times New Roman" w:cs="Times New Roman"/>
        </w:rPr>
        <w:t>θνησιμότητα εξ αυτών.</w:t>
      </w:r>
    </w:p>
    <w:p w:rsidR="00D60AC9" w:rsidRDefault="00D60AC9" w:rsidP="008525D4">
      <w:pPr>
        <w:spacing w:after="0" w:line="240" w:lineRule="auto"/>
        <w:jc w:val="both"/>
        <w:rPr>
          <w:rFonts w:ascii="Times New Roman" w:hAnsi="Times New Roman" w:cs="Times New Roman"/>
        </w:rPr>
      </w:pPr>
    </w:p>
    <w:p w:rsidR="00D60AC9" w:rsidRPr="00C67824" w:rsidRDefault="00D60AC9" w:rsidP="00D60AC9">
      <w:pPr>
        <w:spacing w:after="0" w:line="240" w:lineRule="auto"/>
        <w:jc w:val="both"/>
        <w:rPr>
          <w:rFonts w:ascii="Times New Roman" w:hAnsi="Times New Roman" w:cs="Times New Roman"/>
          <w:u w:val="single"/>
        </w:rPr>
      </w:pPr>
      <w:r w:rsidRPr="00C67824">
        <w:rPr>
          <w:rFonts w:ascii="Times New Roman" w:hAnsi="Times New Roman" w:cs="Times New Roman"/>
          <w:u w:val="single"/>
        </w:rPr>
        <w:t>Ομόζυγος οικογενής υπερχοληστερολαιμία</w:t>
      </w:r>
    </w:p>
    <w:p w:rsidR="00D60AC9" w:rsidRPr="00D60AC9" w:rsidRDefault="00D60AC9" w:rsidP="00D60AC9">
      <w:pPr>
        <w:spacing w:after="0" w:line="240" w:lineRule="auto"/>
        <w:jc w:val="both"/>
        <w:rPr>
          <w:rFonts w:ascii="Times New Roman" w:hAnsi="Times New Roman" w:cs="Times New Roman"/>
        </w:rPr>
      </w:pPr>
    </w:p>
    <w:p w:rsidR="00D60AC9" w:rsidRPr="006B1BBE" w:rsidRDefault="00D60AC9" w:rsidP="00D60AC9">
      <w:pPr>
        <w:spacing w:after="0" w:line="240" w:lineRule="auto"/>
        <w:jc w:val="both"/>
        <w:rPr>
          <w:rFonts w:ascii="Times New Roman" w:hAnsi="Times New Roman" w:cs="Times New Roman"/>
        </w:rPr>
      </w:pPr>
      <w:r w:rsidRPr="00D60AC9">
        <w:rPr>
          <w:rFonts w:ascii="Times New Roman" w:hAnsi="Times New Roman" w:cs="Times New Roman"/>
        </w:rPr>
        <w:t>Σε μια πολυκεντρική, ανοικτής επισήμανσης μελέτη παρηγορητικής θεραπείας διάρκειας 8 εβδομάδων, με μια προαιρετική φάση επέκτασης μεταβλητής διάρκειας, έλαβαν μέρος 355 ασθενείς, 89 εκ των οποίων ήταν εξακριβωμένο ότι ήταν ασθενείς με ομόζυγο οικογενή υπερχοληστερολαιμία. Από αυτούς τους 89 ασθενείς, το μέσο ποσοστό μείωσης της LDL-C ήταν περίπου 20%. Η ατορβαστατίνη χορηγήθηκε σε δόσεις εως και 80 mg/ημέρα.</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Αθηροσκλήρυνση</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Στη μελέτη «</w:t>
      </w:r>
      <w:r w:rsidRPr="006B1BBE">
        <w:rPr>
          <w:rFonts w:ascii="Times New Roman" w:hAnsi="Times New Roman" w:cs="Times New Roman"/>
          <w:lang w:val="en-US"/>
        </w:rPr>
        <w:t>Reversing</w:t>
      </w:r>
      <w:r w:rsidRPr="006B1BBE">
        <w:rPr>
          <w:rFonts w:ascii="Times New Roman" w:hAnsi="Times New Roman" w:cs="Times New Roman"/>
        </w:rPr>
        <w:t xml:space="preserve"> </w:t>
      </w:r>
      <w:r w:rsidRPr="006B1BBE">
        <w:rPr>
          <w:rFonts w:ascii="Times New Roman" w:hAnsi="Times New Roman" w:cs="Times New Roman"/>
          <w:lang w:val="en-US"/>
        </w:rPr>
        <w:t>Atherosclerosis</w:t>
      </w:r>
      <w:r w:rsidRPr="006B1BBE">
        <w:rPr>
          <w:rFonts w:ascii="Times New Roman" w:hAnsi="Times New Roman" w:cs="Times New Roman"/>
        </w:rPr>
        <w:t xml:space="preserve"> </w:t>
      </w:r>
      <w:r w:rsidRPr="006B1BBE">
        <w:rPr>
          <w:rFonts w:ascii="Times New Roman" w:hAnsi="Times New Roman" w:cs="Times New Roman"/>
          <w:lang w:val="en-US"/>
        </w:rPr>
        <w:t>with</w:t>
      </w:r>
      <w:r w:rsidRPr="006B1BBE">
        <w:rPr>
          <w:rFonts w:ascii="Times New Roman" w:hAnsi="Times New Roman" w:cs="Times New Roman"/>
        </w:rPr>
        <w:t xml:space="preserve"> </w:t>
      </w:r>
      <w:r w:rsidRPr="006B1BBE">
        <w:rPr>
          <w:rFonts w:ascii="Times New Roman" w:hAnsi="Times New Roman" w:cs="Times New Roman"/>
          <w:lang w:val="en-US"/>
        </w:rPr>
        <w:t>Aggressive</w:t>
      </w:r>
      <w:r w:rsidRPr="006B1BBE">
        <w:rPr>
          <w:rFonts w:ascii="Times New Roman" w:hAnsi="Times New Roman" w:cs="Times New Roman"/>
        </w:rPr>
        <w:t xml:space="preserve"> </w:t>
      </w:r>
      <w:r w:rsidRPr="006B1BBE">
        <w:rPr>
          <w:rFonts w:ascii="Times New Roman" w:hAnsi="Times New Roman" w:cs="Times New Roman"/>
          <w:lang w:val="en-US"/>
        </w:rPr>
        <w:t>Lipid</w:t>
      </w:r>
      <w:r w:rsidRPr="006B1BBE">
        <w:rPr>
          <w:rFonts w:ascii="Times New Roman" w:hAnsi="Times New Roman" w:cs="Times New Roman"/>
        </w:rPr>
        <w:t>-</w:t>
      </w:r>
      <w:r w:rsidRPr="006B1BBE">
        <w:rPr>
          <w:rFonts w:ascii="Times New Roman" w:hAnsi="Times New Roman" w:cs="Times New Roman"/>
          <w:lang w:val="en-US"/>
        </w:rPr>
        <w:t>Lowering</w:t>
      </w:r>
      <w:r w:rsidRPr="006B1BBE">
        <w:rPr>
          <w:rFonts w:ascii="Times New Roman" w:hAnsi="Times New Roman" w:cs="Times New Roman"/>
        </w:rPr>
        <w:t>» (</w:t>
      </w:r>
      <w:r w:rsidRPr="006B1BBE">
        <w:rPr>
          <w:rFonts w:ascii="Times New Roman" w:hAnsi="Times New Roman" w:cs="Times New Roman"/>
          <w:lang w:val="en-US"/>
        </w:rPr>
        <w:t>REVERSAL</w:t>
      </w:r>
      <w:r w:rsidR="00357F80" w:rsidRPr="006B1BBE">
        <w:rPr>
          <w:rFonts w:ascii="Times New Roman" w:hAnsi="Times New Roman" w:cs="Times New Roman"/>
        </w:rPr>
        <w:t xml:space="preserve">), </w:t>
      </w:r>
      <w:r w:rsidRPr="006B1BBE">
        <w:rPr>
          <w:rFonts w:ascii="Times New Roman" w:hAnsi="Times New Roman" w:cs="Times New Roman"/>
        </w:rPr>
        <w:t>αξιολογήθηκε με ενδαγγειακό υπερηχογράφημα (</w:t>
      </w:r>
      <w:r w:rsidRPr="006B1BBE">
        <w:rPr>
          <w:rFonts w:ascii="Times New Roman" w:hAnsi="Times New Roman" w:cs="Times New Roman"/>
          <w:lang w:val="en-US"/>
        </w:rPr>
        <w:t>IVUS</w:t>
      </w:r>
      <w:r w:rsidRPr="006B1BBE">
        <w:rPr>
          <w:rFonts w:ascii="Times New Roman" w:hAnsi="Times New Roman" w:cs="Times New Roman"/>
        </w:rPr>
        <w:t>), κατά την διάρκεια</w:t>
      </w:r>
      <w:r w:rsidR="00357F80" w:rsidRPr="006B1BBE">
        <w:rPr>
          <w:rFonts w:ascii="Times New Roman" w:hAnsi="Times New Roman" w:cs="Times New Roman"/>
        </w:rPr>
        <w:t xml:space="preserve"> </w:t>
      </w:r>
      <w:r w:rsidRPr="006B1BBE">
        <w:rPr>
          <w:rFonts w:ascii="Times New Roman" w:hAnsi="Times New Roman" w:cs="Times New Roman"/>
        </w:rPr>
        <w:t>στεφανιογραφίας, η επίδραση επιθετικής υπολιπιδαιμικής αγωγής με ατορβαστατίνη</w:t>
      </w:r>
      <w:r w:rsidR="00357F80" w:rsidRPr="006B1BBE">
        <w:rPr>
          <w:rFonts w:ascii="Times New Roman" w:hAnsi="Times New Roman" w:cs="Times New Roman"/>
        </w:rPr>
        <w:t xml:space="preserve"> 80 </w:t>
      </w:r>
      <w:r w:rsidR="00357F80" w:rsidRPr="006B1BBE">
        <w:rPr>
          <w:rFonts w:ascii="Times New Roman" w:hAnsi="Times New Roman" w:cs="Times New Roman"/>
          <w:lang w:val="en-US"/>
        </w:rPr>
        <w:t>mg</w:t>
      </w:r>
      <w:r w:rsidR="00357F80" w:rsidRPr="006B1BBE">
        <w:rPr>
          <w:rFonts w:ascii="Times New Roman" w:hAnsi="Times New Roman" w:cs="Times New Roman"/>
        </w:rPr>
        <w:t xml:space="preserve"> </w:t>
      </w:r>
      <w:r w:rsidRPr="006B1BBE">
        <w:rPr>
          <w:rFonts w:ascii="Times New Roman" w:hAnsi="Times New Roman" w:cs="Times New Roman"/>
        </w:rPr>
        <w:t xml:space="preserve">και συνήθους υπολιπιδαιμικής αγωγής με πραβαστατίνη 40 </w:t>
      </w:r>
      <w:r w:rsidRPr="006B1BBE">
        <w:rPr>
          <w:rFonts w:ascii="Times New Roman" w:hAnsi="Times New Roman" w:cs="Times New Roman"/>
          <w:lang w:val="en-US"/>
        </w:rPr>
        <w:t>mg</w:t>
      </w:r>
      <w:r w:rsidRPr="006B1BBE">
        <w:rPr>
          <w:rFonts w:ascii="Times New Roman" w:hAnsi="Times New Roman" w:cs="Times New Roman"/>
        </w:rPr>
        <w:t xml:space="preserve"> στην στεφανιαία</w:t>
      </w:r>
      <w:r w:rsidR="00357F80" w:rsidRPr="006B1BBE">
        <w:rPr>
          <w:rFonts w:ascii="Times New Roman" w:hAnsi="Times New Roman" w:cs="Times New Roman"/>
        </w:rPr>
        <w:t xml:space="preserve"> </w:t>
      </w:r>
      <w:r w:rsidRPr="006B1BBE">
        <w:rPr>
          <w:rFonts w:ascii="Times New Roman" w:hAnsi="Times New Roman" w:cs="Times New Roman"/>
        </w:rPr>
        <w:t>αθηροσκλήρυνση, σε ασθενείς με στεφανιαία νόσο. Σε αυτή την τυχαιοποιημένη, διπλά-</w:t>
      </w:r>
      <w:r w:rsidR="00357F80" w:rsidRPr="006B1BBE">
        <w:rPr>
          <w:rFonts w:ascii="Times New Roman" w:hAnsi="Times New Roman" w:cs="Times New Roman"/>
        </w:rPr>
        <w:t xml:space="preserve"> </w:t>
      </w:r>
      <w:r w:rsidRPr="006B1BBE">
        <w:rPr>
          <w:rFonts w:ascii="Times New Roman" w:hAnsi="Times New Roman" w:cs="Times New Roman"/>
        </w:rPr>
        <w:t>τυφλή, πολυκεντρική, ελεγχόμενη κλινική μελέτη, το IVUS πραγματοποιήθηκε στην αρχική</w:t>
      </w:r>
      <w:r w:rsidR="00357F80" w:rsidRPr="006B1BBE">
        <w:rPr>
          <w:rFonts w:ascii="Times New Roman" w:hAnsi="Times New Roman" w:cs="Times New Roman"/>
        </w:rPr>
        <w:t xml:space="preserve"> </w:t>
      </w:r>
      <w:r w:rsidRPr="006B1BBE">
        <w:rPr>
          <w:rFonts w:ascii="Times New Roman" w:hAnsi="Times New Roman" w:cs="Times New Roman"/>
        </w:rPr>
        <w:t xml:space="preserve">επίσκεψη και στους 18 μήνες, σε 502 ασθενείς. </w:t>
      </w:r>
      <w:r w:rsidR="00357F80" w:rsidRPr="006B1BBE">
        <w:rPr>
          <w:rFonts w:ascii="Times New Roman" w:hAnsi="Times New Roman" w:cs="Times New Roman"/>
        </w:rPr>
        <w:t xml:space="preserve">Στην ομάδα ασθενών που λάμβαναν </w:t>
      </w:r>
      <w:r w:rsidRPr="006B1BBE">
        <w:rPr>
          <w:rFonts w:ascii="Times New Roman" w:hAnsi="Times New Roman" w:cs="Times New Roman"/>
        </w:rPr>
        <w:t>ατορβαστατίνη (n=253), δεν εξελίχθηκε η αθηροσκλήρυνση.</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μέση επί τοις εκατό μεταβολή, από την αρχική επίσκεψη</w:t>
      </w:r>
      <w:r w:rsidR="00357F80" w:rsidRPr="006B1BBE">
        <w:rPr>
          <w:rFonts w:ascii="Times New Roman" w:hAnsi="Times New Roman" w:cs="Times New Roman"/>
        </w:rPr>
        <w:t xml:space="preserve">, στο συνολικό αθηρωματικό όγκο </w:t>
      </w:r>
      <w:r w:rsidRPr="006B1BBE">
        <w:rPr>
          <w:rFonts w:ascii="Times New Roman" w:hAnsi="Times New Roman" w:cs="Times New Roman"/>
        </w:rPr>
        <w:t>(το πρωτεύον τελικό σημείο της μελέτης) ήταν –0,4% (p=</w:t>
      </w:r>
      <w:r w:rsidR="00357F80" w:rsidRPr="006B1BBE">
        <w:rPr>
          <w:rFonts w:ascii="Times New Roman" w:hAnsi="Times New Roman" w:cs="Times New Roman"/>
        </w:rPr>
        <w:t xml:space="preserve">0,98) για την ομάδα ασθενών που </w:t>
      </w:r>
      <w:r w:rsidRPr="006B1BBE">
        <w:rPr>
          <w:rFonts w:ascii="Times New Roman" w:hAnsi="Times New Roman" w:cs="Times New Roman"/>
        </w:rPr>
        <w:t>λάμβαναν ατορβαστατίνη και +2,7% (p=0,001) για την ομάδα ασθεν</w:t>
      </w:r>
      <w:r w:rsidR="00357F80" w:rsidRPr="006B1BBE">
        <w:rPr>
          <w:rFonts w:ascii="Times New Roman" w:hAnsi="Times New Roman" w:cs="Times New Roman"/>
        </w:rPr>
        <w:t xml:space="preserve">ών που λάμβαναν </w:t>
      </w:r>
      <w:r w:rsidRPr="006B1BBE">
        <w:rPr>
          <w:rFonts w:ascii="Times New Roman" w:hAnsi="Times New Roman" w:cs="Times New Roman"/>
        </w:rPr>
        <w:t>πραβαστατίνη (n=249). Συγκρινόμενη με την πρ</w:t>
      </w:r>
      <w:r w:rsidR="00357F80" w:rsidRPr="006B1BBE">
        <w:rPr>
          <w:rFonts w:ascii="Times New Roman" w:hAnsi="Times New Roman" w:cs="Times New Roman"/>
        </w:rPr>
        <w:t xml:space="preserve">αβαστατίνη, τα αποτελέσματα της </w:t>
      </w:r>
      <w:r w:rsidRPr="006B1BBE">
        <w:rPr>
          <w:rFonts w:ascii="Times New Roman" w:hAnsi="Times New Roman" w:cs="Times New Roman"/>
        </w:rPr>
        <w:t>ατορβαστατίνης ήταν στατιστικώς σημαντικά (p=0,02</w:t>
      </w:r>
      <w:r w:rsidR="00357F80" w:rsidRPr="006B1BBE">
        <w:rPr>
          <w:rFonts w:ascii="Times New Roman" w:hAnsi="Times New Roman" w:cs="Times New Roman"/>
        </w:rPr>
        <w:t xml:space="preserve">). Το αποτέλεσμα της επιθετικής </w:t>
      </w:r>
      <w:r w:rsidRPr="006B1BBE">
        <w:rPr>
          <w:rFonts w:ascii="Times New Roman" w:hAnsi="Times New Roman" w:cs="Times New Roman"/>
        </w:rPr>
        <w:t>υπολιπιδαιμικής αγωγής σε καρδιαγγειακά τελικά σημεία (π.χ. ανάγκη για επαναγγείωση</w:t>
      </w:r>
      <w:r w:rsidR="00357F80" w:rsidRPr="006B1BBE">
        <w:rPr>
          <w:rFonts w:ascii="Times New Roman" w:hAnsi="Times New Roman" w:cs="Times New Roman"/>
        </w:rPr>
        <w:t xml:space="preserve">, μη </w:t>
      </w:r>
      <w:r w:rsidRPr="006B1BBE">
        <w:rPr>
          <w:rFonts w:ascii="Times New Roman" w:hAnsi="Times New Roman" w:cs="Times New Roman"/>
        </w:rPr>
        <w:t>θανατηφόρο έμφραγμα του μυοκαρδίου, θάνατος στεφανια</w:t>
      </w:r>
      <w:r w:rsidR="00357F80" w:rsidRPr="006B1BBE">
        <w:rPr>
          <w:rFonts w:ascii="Times New Roman" w:hAnsi="Times New Roman" w:cs="Times New Roman"/>
        </w:rPr>
        <w:t xml:space="preserve">ίας αιτιολογίας) δεν εξετάσθηκε </w:t>
      </w:r>
      <w:r w:rsidRPr="006B1BBE">
        <w:rPr>
          <w:rFonts w:ascii="Times New Roman" w:hAnsi="Times New Roman" w:cs="Times New Roman"/>
        </w:rPr>
        <w:t>σε αυτή την μελέτη.</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Στην ομάδα ασθενών που λάμβαναν ατορβαστατίνη, η LD</w:t>
      </w:r>
      <w:r w:rsidR="00357F80" w:rsidRPr="006B1BBE">
        <w:rPr>
          <w:rFonts w:ascii="Times New Roman" w:hAnsi="Times New Roman" w:cs="Times New Roman"/>
        </w:rPr>
        <w:t xml:space="preserve">L-C ελαττώθηκε έως τη μέση τιμή </w:t>
      </w:r>
      <w:r w:rsidRPr="006B1BBE">
        <w:rPr>
          <w:rFonts w:ascii="Times New Roman" w:hAnsi="Times New Roman" w:cs="Times New Roman"/>
        </w:rPr>
        <w:t xml:space="preserve">των 2,04 mmol/l ± 0,8 (78,9 mg/dl ± 30) από την αρχική τιμή των </w:t>
      </w:r>
      <w:r w:rsidR="00357F80" w:rsidRPr="006B1BBE">
        <w:rPr>
          <w:rFonts w:ascii="Times New Roman" w:hAnsi="Times New Roman" w:cs="Times New Roman"/>
        </w:rPr>
        <w:t xml:space="preserve">3,89 mmol/l ± 0,7 (150 </w:t>
      </w:r>
      <w:r w:rsidRPr="006B1BBE">
        <w:rPr>
          <w:rFonts w:ascii="Times New Roman" w:hAnsi="Times New Roman" w:cs="Times New Roman"/>
        </w:rPr>
        <w:t>mg/dl ± 28) και στην ομάδα ασθενών που λάμβαναν πραβ</w:t>
      </w:r>
      <w:r w:rsidR="00357F80" w:rsidRPr="006B1BBE">
        <w:rPr>
          <w:rFonts w:ascii="Times New Roman" w:hAnsi="Times New Roman" w:cs="Times New Roman"/>
        </w:rPr>
        <w:t xml:space="preserve">αστατίνη η LDL-C ελαττώθηκε έως </w:t>
      </w:r>
      <w:r w:rsidRPr="006B1BBE">
        <w:rPr>
          <w:rFonts w:ascii="Times New Roman" w:hAnsi="Times New Roman" w:cs="Times New Roman"/>
        </w:rPr>
        <w:t>τη μέση τιμή των 2,85 mmol/l ± 0,7 (110 mg/dl ± 26) από τη</w:t>
      </w:r>
      <w:r w:rsidR="00357F80" w:rsidRPr="006B1BBE">
        <w:rPr>
          <w:rFonts w:ascii="Times New Roman" w:hAnsi="Times New Roman" w:cs="Times New Roman"/>
        </w:rPr>
        <w:t xml:space="preserve">ν αρχική τιμή των 3,89 mmol/l ± </w:t>
      </w:r>
      <w:r w:rsidRPr="006B1BBE">
        <w:rPr>
          <w:rFonts w:ascii="Times New Roman" w:hAnsi="Times New Roman" w:cs="Times New Roman"/>
        </w:rPr>
        <w:t xml:space="preserve">0,7 (150 mg/dl ± 26) </w:t>
      </w:r>
      <w:r w:rsidR="00357F80" w:rsidRPr="006B1BBE">
        <w:rPr>
          <w:rFonts w:ascii="Times New Roman" w:hAnsi="Times New Roman" w:cs="Times New Roman"/>
        </w:rPr>
        <w:t xml:space="preserve"> </w:t>
      </w:r>
      <w:r w:rsidRPr="006B1BBE">
        <w:rPr>
          <w:rFonts w:ascii="Times New Roman" w:hAnsi="Times New Roman" w:cs="Times New Roman"/>
        </w:rPr>
        <w:t>(p&lt;0,0001). Η ατορβαστατίνη επίσης ελά</w:t>
      </w:r>
      <w:r w:rsidR="00357F80" w:rsidRPr="006B1BBE">
        <w:rPr>
          <w:rFonts w:ascii="Times New Roman" w:hAnsi="Times New Roman" w:cs="Times New Roman"/>
        </w:rPr>
        <w:t xml:space="preserve">ττωσε σημαντικά τη μέση τιμή </w:t>
      </w:r>
      <w:r w:rsidRPr="006B1BBE">
        <w:rPr>
          <w:rFonts w:ascii="Times New Roman" w:hAnsi="Times New Roman" w:cs="Times New Roman"/>
        </w:rPr>
        <w:t>της ολικής χοληστερόλης κατά 34,1% (πραβαστατίνη: -18,</w:t>
      </w:r>
      <w:r w:rsidR="00357F80" w:rsidRPr="006B1BBE">
        <w:rPr>
          <w:rFonts w:ascii="Times New Roman" w:hAnsi="Times New Roman" w:cs="Times New Roman"/>
        </w:rPr>
        <w:t xml:space="preserve">4%, p&lt;0,0001), τη μέση τιμή των </w:t>
      </w:r>
      <w:r w:rsidRPr="006B1BBE">
        <w:rPr>
          <w:rFonts w:ascii="Times New Roman" w:hAnsi="Times New Roman" w:cs="Times New Roman"/>
        </w:rPr>
        <w:t>επιπέδων των τριγλυκεριδίων κατά 20% (πραβαστατίνη: -6</w:t>
      </w:r>
      <w:r w:rsidR="00357F80" w:rsidRPr="006B1BBE">
        <w:rPr>
          <w:rFonts w:ascii="Times New Roman" w:hAnsi="Times New Roman" w:cs="Times New Roman"/>
        </w:rPr>
        <w:t xml:space="preserve">,8%, p&lt;0,0009) και τη μέση τιμή </w:t>
      </w:r>
      <w:r w:rsidRPr="006B1BBE">
        <w:rPr>
          <w:rFonts w:ascii="Times New Roman" w:hAnsi="Times New Roman" w:cs="Times New Roman"/>
        </w:rPr>
        <w:t>της απολιποπρωτεΐνης Β κατά 39,1% (πραβαστατίνη: -22,0%</w:t>
      </w:r>
      <w:r w:rsidR="00357F80" w:rsidRPr="006B1BBE">
        <w:rPr>
          <w:rFonts w:ascii="Times New Roman" w:hAnsi="Times New Roman" w:cs="Times New Roman"/>
        </w:rPr>
        <w:t xml:space="preserve">, p&lt;0,0001). Η ατορβαστατίνη </w:t>
      </w:r>
      <w:r w:rsidRPr="006B1BBE">
        <w:rPr>
          <w:rFonts w:ascii="Times New Roman" w:hAnsi="Times New Roman" w:cs="Times New Roman"/>
        </w:rPr>
        <w:t>αύξησε τη μέση τιμή της HDL-C κατά 2,9% (πραβαστατίνη: +5,6%, p=μη σημαντικό).</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Υπήρξε μια μέση μείωση της C-Αντιδρώσας Πρωτεΐν</w:t>
      </w:r>
      <w:r w:rsidR="00357F80" w:rsidRPr="006B1BBE">
        <w:rPr>
          <w:rFonts w:ascii="Times New Roman" w:hAnsi="Times New Roman" w:cs="Times New Roman"/>
        </w:rPr>
        <w:t xml:space="preserve">ης (CRP), κατά 36,4% στην ομάδα </w:t>
      </w:r>
      <w:r w:rsidRPr="006B1BBE">
        <w:rPr>
          <w:rFonts w:ascii="Times New Roman" w:hAnsi="Times New Roman" w:cs="Times New Roman"/>
        </w:rPr>
        <w:t>ασθενών που λάμβαναν ατορβαστατίνη, σε σύγκριση με τη μείωση κατά 5,2% στην ομάδα</w:t>
      </w:r>
      <w:r w:rsidR="00357F80" w:rsidRPr="006B1BBE">
        <w:rPr>
          <w:rFonts w:ascii="Times New Roman" w:hAnsi="Times New Roman" w:cs="Times New Roman"/>
        </w:rPr>
        <w:t xml:space="preserve"> </w:t>
      </w:r>
      <w:r w:rsidRPr="006B1BBE">
        <w:rPr>
          <w:rFonts w:ascii="Times New Roman" w:hAnsi="Times New Roman" w:cs="Times New Roman"/>
        </w:rPr>
        <w:t>ασθενών που λάμβαναν πραβαστατίνη (p&lt;0,0001).</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Τα αποτελέσματα της μελέτης επιτεύχθηκαν με την δοσολογ</w:t>
      </w:r>
      <w:r w:rsidR="00357F80" w:rsidRPr="006B1BBE">
        <w:rPr>
          <w:rFonts w:ascii="Times New Roman" w:hAnsi="Times New Roman" w:cs="Times New Roman"/>
        </w:rPr>
        <w:t xml:space="preserve">ία των 80 mg. Ως εκ τούτου, δεν </w:t>
      </w:r>
      <w:r w:rsidRPr="006B1BBE">
        <w:rPr>
          <w:rFonts w:ascii="Times New Roman" w:hAnsi="Times New Roman" w:cs="Times New Roman"/>
        </w:rPr>
        <w:t>μπορούν να επεκταθούν σε χαμηλότερες δόσεις.</w:t>
      </w:r>
    </w:p>
    <w:p w:rsidR="00357F80" w:rsidRPr="006B1BBE" w:rsidRDefault="00357F80" w:rsidP="008525D4">
      <w:pPr>
        <w:spacing w:after="0" w:line="240" w:lineRule="auto"/>
        <w:jc w:val="both"/>
        <w:rPr>
          <w:rFonts w:ascii="Times New Roman" w:hAnsi="Times New Roman" w:cs="Times New Roman"/>
        </w:rPr>
      </w:pPr>
    </w:p>
    <w:p w:rsidR="00F457BF"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Τα προφίλ ασφαλείας και ανεκτικότητας των δύο θεραπευτικών ομάδων ήταν συγκρίσιμα.</w:t>
      </w:r>
    </w:p>
    <w:p w:rsidR="00D60AC9" w:rsidRDefault="00D60AC9" w:rsidP="008525D4">
      <w:pPr>
        <w:spacing w:after="0" w:line="240" w:lineRule="auto"/>
        <w:jc w:val="both"/>
        <w:rPr>
          <w:rFonts w:ascii="Times New Roman" w:hAnsi="Times New Roman" w:cs="Times New Roman"/>
        </w:rPr>
      </w:pPr>
    </w:p>
    <w:p w:rsidR="00D60AC9" w:rsidRPr="006B1BBE" w:rsidRDefault="00D60AC9" w:rsidP="008525D4">
      <w:pPr>
        <w:spacing w:after="0" w:line="240" w:lineRule="auto"/>
        <w:jc w:val="both"/>
        <w:rPr>
          <w:rFonts w:ascii="Times New Roman" w:hAnsi="Times New Roman" w:cs="Times New Roman"/>
        </w:rPr>
      </w:pPr>
      <w:r w:rsidRPr="00D60AC9">
        <w:rPr>
          <w:rFonts w:ascii="Times New Roman" w:hAnsi="Times New Roman" w:cs="Times New Roman"/>
        </w:rPr>
        <w:lastRenderedPageBreak/>
        <w:t>Η επίδραση επιθετικής υπολιπιδαιμικής αγωγής σε μείζονα καρδιαγγειακά τελικά σημεία δεν εξετάσθηκε σε αυτή τη μελέτη. Ως εκ τούτου, η κλινική σημασία αυτών των αποτελεσμάτων απεικόνισης σχετικά με την πρωτογενή και δευτερογενή πρόληψη καρδιαγγειακών συμβαμάτων δεν είναι γνωστή.</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Οξύ στεφανιαίο σύνδρομο</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Στη μελέτη MIRACL, η ατορβαστατίνη 80 mg έχε</w:t>
      </w:r>
      <w:r w:rsidR="00357F80" w:rsidRPr="006B1BBE">
        <w:rPr>
          <w:rFonts w:ascii="Times New Roman" w:hAnsi="Times New Roman" w:cs="Times New Roman"/>
        </w:rPr>
        <w:t xml:space="preserve">ι αξιολογηθεί σε 3.086 ασθενείς </w:t>
      </w:r>
      <w:r w:rsidRPr="006B1BBE">
        <w:rPr>
          <w:rFonts w:ascii="Times New Roman" w:hAnsi="Times New Roman" w:cs="Times New Roman"/>
        </w:rPr>
        <w:t>(ατορβαστατίνη n=1.538, εικονικό φάρμακο n=1.5</w:t>
      </w:r>
      <w:r w:rsidR="00357F80" w:rsidRPr="006B1BBE">
        <w:rPr>
          <w:rFonts w:ascii="Times New Roman" w:hAnsi="Times New Roman" w:cs="Times New Roman"/>
        </w:rPr>
        <w:t xml:space="preserve">48), με οξύ στεφανιαίο σύνδρομο </w:t>
      </w:r>
      <w:r w:rsidRPr="006B1BBE">
        <w:rPr>
          <w:rFonts w:ascii="Times New Roman" w:hAnsi="Times New Roman" w:cs="Times New Roman"/>
        </w:rPr>
        <w:t>(έμφραγμα του μυοκαρδίου χωρίς κύμα Q ή ασταθής στηθάγχη). Η</w:t>
      </w:r>
      <w:r w:rsidR="00357F80" w:rsidRPr="006B1BBE">
        <w:rPr>
          <w:rFonts w:ascii="Times New Roman" w:hAnsi="Times New Roman" w:cs="Times New Roman"/>
        </w:rPr>
        <w:t xml:space="preserve"> θεραπεία άρχισε κατά τη </w:t>
      </w:r>
      <w:r w:rsidRPr="006B1BBE">
        <w:rPr>
          <w:rFonts w:ascii="Times New Roman" w:hAnsi="Times New Roman" w:cs="Times New Roman"/>
        </w:rPr>
        <w:t xml:space="preserve">διάρκεια της οξείας φάσης μετά από την εισαγωγή σε </w:t>
      </w:r>
      <w:r w:rsidR="00357F80" w:rsidRPr="006B1BBE">
        <w:rPr>
          <w:rFonts w:ascii="Times New Roman" w:hAnsi="Times New Roman" w:cs="Times New Roman"/>
        </w:rPr>
        <w:t xml:space="preserve">νοσοκομείο και διάρκεσε για μια </w:t>
      </w:r>
      <w:r w:rsidRPr="006B1BBE">
        <w:rPr>
          <w:rFonts w:ascii="Times New Roman" w:hAnsi="Times New Roman" w:cs="Times New Roman"/>
        </w:rPr>
        <w:t>περίοδο 16 εβδομάδων. Η θεραπεία με ατορβαστατί</w:t>
      </w:r>
      <w:r w:rsidR="00357F80" w:rsidRPr="006B1BBE">
        <w:rPr>
          <w:rFonts w:ascii="Times New Roman" w:hAnsi="Times New Roman" w:cs="Times New Roman"/>
        </w:rPr>
        <w:t xml:space="preserve">νη 80 mg/ημέρα αύξησε τον χρόνο </w:t>
      </w:r>
      <w:r w:rsidRPr="006B1BBE">
        <w:rPr>
          <w:rFonts w:ascii="Times New Roman" w:hAnsi="Times New Roman" w:cs="Times New Roman"/>
        </w:rPr>
        <w:t xml:space="preserve">εμφάνισης του συνδυασμένου πρωτεύοντος τελικού σημείου, που ορίστηκε </w:t>
      </w:r>
      <w:r w:rsidR="00357F80" w:rsidRPr="006B1BBE">
        <w:rPr>
          <w:rFonts w:ascii="Times New Roman" w:hAnsi="Times New Roman" w:cs="Times New Roman"/>
        </w:rPr>
        <w:t xml:space="preserve">ως ο θάνατος από </w:t>
      </w:r>
      <w:r w:rsidRPr="006B1BBE">
        <w:rPr>
          <w:rFonts w:ascii="Times New Roman" w:hAnsi="Times New Roman" w:cs="Times New Roman"/>
        </w:rPr>
        <w:t xml:space="preserve">οποιαδήποτε αιτία, μη θανατηφόρο έμφραγμα του </w:t>
      </w:r>
      <w:r w:rsidR="00357F80" w:rsidRPr="006B1BBE">
        <w:rPr>
          <w:rFonts w:ascii="Times New Roman" w:hAnsi="Times New Roman" w:cs="Times New Roman"/>
        </w:rPr>
        <w:t xml:space="preserve">μυοκαρδίου, καρδιακή ανακοπή με </w:t>
      </w:r>
      <w:r w:rsidRPr="006B1BBE">
        <w:rPr>
          <w:rFonts w:ascii="Times New Roman" w:hAnsi="Times New Roman" w:cs="Times New Roman"/>
        </w:rPr>
        <w:t>ανάνηψη ή στηθάγχη με αντικειμενικά στοιχεία ισχαιμίας</w:t>
      </w:r>
      <w:r w:rsidR="00357F80" w:rsidRPr="006B1BBE">
        <w:rPr>
          <w:rFonts w:ascii="Times New Roman" w:hAnsi="Times New Roman" w:cs="Times New Roman"/>
        </w:rPr>
        <w:t xml:space="preserve"> του μυοκαρδίου που απαιτεί την </w:t>
      </w:r>
      <w:r w:rsidRPr="006B1BBE">
        <w:rPr>
          <w:rFonts w:ascii="Times New Roman" w:hAnsi="Times New Roman" w:cs="Times New Roman"/>
        </w:rPr>
        <w:t>εισαγωγή σε νοσοκομείο, υποδεικνύοντας μία μείωση κινδύνου κατά 16% (p =0,0</w:t>
      </w:r>
      <w:r w:rsidR="00357F80" w:rsidRPr="006B1BBE">
        <w:rPr>
          <w:rFonts w:ascii="Times New Roman" w:hAnsi="Times New Roman" w:cs="Times New Roman"/>
        </w:rPr>
        <w:t xml:space="preserve">48). Αυτό </w:t>
      </w:r>
      <w:r w:rsidRPr="006B1BBE">
        <w:rPr>
          <w:rFonts w:ascii="Times New Roman" w:hAnsi="Times New Roman" w:cs="Times New Roman"/>
        </w:rPr>
        <w:t>οφειλόταν κυρίως στη μείωση κατά 26% της επανα-εισαγω</w:t>
      </w:r>
      <w:r w:rsidR="00357F80" w:rsidRPr="006B1BBE">
        <w:rPr>
          <w:rFonts w:ascii="Times New Roman" w:hAnsi="Times New Roman" w:cs="Times New Roman"/>
        </w:rPr>
        <w:t xml:space="preserve">γής στο νοσοκομείο για στηθάγχη </w:t>
      </w:r>
      <w:r w:rsidRPr="006B1BBE">
        <w:rPr>
          <w:rFonts w:ascii="Times New Roman" w:hAnsi="Times New Roman" w:cs="Times New Roman"/>
        </w:rPr>
        <w:t xml:space="preserve">με αντικειμενικά στοιχεία ισχαιμίας του μυοκαρδίου. Τα </w:t>
      </w:r>
      <w:r w:rsidR="00357F80" w:rsidRPr="006B1BBE">
        <w:rPr>
          <w:rFonts w:ascii="Times New Roman" w:hAnsi="Times New Roman" w:cs="Times New Roman"/>
        </w:rPr>
        <w:t xml:space="preserve">άλλα δευτερεύοντα τελικά σημεία </w:t>
      </w:r>
      <w:r w:rsidRPr="006B1BBE">
        <w:rPr>
          <w:rFonts w:ascii="Times New Roman" w:hAnsi="Times New Roman" w:cs="Times New Roman"/>
        </w:rPr>
        <w:t xml:space="preserve">δεν ήταν στατιστικά σημαντικά από μόνα τους, (συνολικά: εικονικό φάρμακο: </w:t>
      </w:r>
      <w:r w:rsidR="00357F80" w:rsidRPr="006B1BBE">
        <w:rPr>
          <w:rFonts w:ascii="Times New Roman" w:hAnsi="Times New Roman" w:cs="Times New Roman"/>
        </w:rPr>
        <w:t xml:space="preserve">22,2%, </w:t>
      </w:r>
      <w:r w:rsidRPr="006B1BBE">
        <w:rPr>
          <w:rFonts w:ascii="Times New Roman" w:hAnsi="Times New Roman" w:cs="Times New Roman"/>
        </w:rPr>
        <w:t>ατορβαστατίνη: 22,4%).</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Το προφίλ ασφάλειας της ατορβαστατίνης στη μελέτη </w:t>
      </w:r>
      <w:r w:rsidR="00357F80" w:rsidRPr="006B1BBE">
        <w:rPr>
          <w:rFonts w:ascii="Times New Roman" w:hAnsi="Times New Roman" w:cs="Times New Roman"/>
        </w:rPr>
        <w:t xml:space="preserve">MIRACL ήταν σύμφωνο με αυτό που </w:t>
      </w:r>
      <w:r w:rsidRPr="006B1BBE">
        <w:rPr>
          <w:rFonts w:ascii="Times New Roman" w:hAnsi="Times New Roman" w:cs="Times New Roman"/>
        </w:rPr>
        <w:t>περιγράφεται στην Παράγραφο 4.8.</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Πρόληψη Καρδιαγγειακής Νόσου</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επίδραση της ατορβαστατίνης στη θανατηφό</w:t>
      </w:r>
      <w:r w:rsidR="00357F80" w:rsidRPr="006B1BBE">
        <w:rPr>
          <w:rFonts w:ascii="Times New Roman" w:hAnsi="Times New Roman" w:cs="Times New Roman"/>
        </w:rPr>
        <w:t xml:space="preserve">ρο και μη στεφανιαία νόσο (ΣΝ), </w:t>
      </w:r>
      <w:r w:rsidRPr="006B1BBE">
        <w:rPr>
          <w:rFonts w:ascii="Times New Roman" w:hAnsi="Times New Roman" w:cs="Times New Roman"/>
        </w:rPr>
        <w:t>αξιολογήθηκε στην τυχαιοποιημένη, διπλά τυφλή, ελεγχό</w:t>
      </w:r>
      <w:r w:rsidR="00357F80" w:rsidRPr="006B1BBE">
        <w:rPr>
          <w:rFonts w:ascii="Times New Roman" w:hAnsi="Times New Roman" w:cs="Times New Roman"/>
        </w:rPr>
        <w:t xml:space="preserve">μενη με εικονικό φάρμακο μελέτη </w:t>
      </w:r>
      <w:r w:rsidRPr="006B1BBE">
        <w:rPr>
          <w:rFonts w:ascii="Times New Roman" w:hAnsi="Times New Roman" w:cs="Times New Roman"/>
          <w:lang w:val="en-US"/>
        </w:rPr>
        <w:t>Anglo</w:t>
      </w:r>
      <w:r w:rsidRPr="006B1BBE">
        <w:rPr>
          <w:rFonts w:ascii="Times New Roman" w:hAnsi="Times New Roman" w:cs="Times New Roman"/>
        </w:rPr>
        <w:t>-</w:t>
      </w:r>
      <w:r w:rsidRPr="006B1BBE">
        <w:rPr>
          <w:rFonts w:ascii="Times New Roman" w:hAnsi="Times New Roman" w:cs="Times New Roman"/>
          <w:lang w:val="en-US"/>
        </w:rPr>
        <w:t>Scandinavian</w:t>
      </w:r>
      <w:r w:rsidRPr="006B1BBE">
        <w:rPr>
          <w:rFonts w:ascii="Times New Roman" w:hAnsi="Times New Roman" w:cs="Times New Roman"/>
        </w:rPr>
        <w:t xml:space="preserve"> </w:t>
      </w:r>
      <w:r w:rsidRPr="006B1BBE">
        <w:rPr>
          <w:rFonts w:ascii="Times New Roman" w:hAnsi="Times New Roman" w:cs="Times New Roman"/>
          <w:lang w:val="en-US"/>
        </w:rPr>
        <w:t>Cardiac</w:t>
      </w:r>
      <w:r w:rsidRPr="006B1BBE">
        <w:rPr>
          <w:rFonts w:ascii="Times New Roman" w:hAnsi="Times New Roman" w:cs="Times New Roman"/>
        </w:rPr>
        <w:t xml:space="preserve"> </w:t>
      </w:r>
      <w:r w:rsidRPr="006B1BBE">
        <w:rPr>
          <w:rFonts w:ascii="Times New Roman" w:hAnsi="Times New Roman" w:cs="Times New Roman"/>
          <w:lang w:val="en-US"/>
        </w:rPr>
        <w:t>Outcomes</w:t>
      </w:r>
      <w:r w:rsidRPr="006B1BBE">
        <w:rPr>
          <w:rFonts w:ascii="Times New Roman" w:hAnsi="Times New Roman" w:cs="Times New Roman"/>
        </w:rPr>
        <w:t xml:space="preserve"> </w:t>
      </w:r>
      <w:r w:rsidRPr="006B1BBE">
        <w:rPr>
          <w:rFonts w:ascii="Times New Roman" w:hAnsi="Times New Roman" w:cs="Times New Roman"/>
          <w:lang w:val="en-US"/>
        </w:rPr>
        <w:t>Trial</w:t>
      </w:r>
      <w:r w:rsidRPr="006B1BBE">
        <w:rPr>
          <w:rFonts w:ascii="Times New Roman" w:hAnsi="Times New Roman" w:cs="Times New Roman"/>
        </w:rPr>
        <w:t xml:space="preserve"> </w:t>
      </w:r>
      <w:r w:rsidRPr="006B1BBE">
        <w:rPr>
          <w:rFonts w:ascii="Times New Roman" w:hAnsi="Times New Roman" w:cs="Times New Roman"/>
          <w:lang w:val="en-US"/>
        </w:rPr>
        <w:t>Lipid</w:t>
      </w:r>
      <w:r w:rsidRPr="006B1BBE">
        <w:rPr>
          <w:rFonts w:ascii="Times New Roman" w:hAnsi="Times New Roman" w:cs="Times New Roman"/>
        </w:rPr>
        <w:t xml:space="preserve"> </w:t>
      </w:r>
      <w:r w:rsidRPr="006B1BBE">
        <w:rPr>
          <w:rFonts w:ascii="Times New Roman" w:hAnsi="Times New Roman" w:cs="Times New Roman"/>
          <w:lang w:val="en-US"/>
        </w:rPr>
        <w:t>lowering</w:t>
      </w:r>
      <w:r w:rsidRPr="006B1BBE">
        <w:rPr>
          <w:rFonts w:ascii="Times New Roman" w:hAnsi="Times New Roman" w:cs="Times New Roman"/>
        </w:rPr>
        <w:t xml:space="preserve"> </w:t>
      </w:r>
      <w:r w:rsidRPr="006B1BBE">
        <w:rPr>
          <w:rFonts w:ascii="Times New Roman" w:hAnsi="Times New Roman" w:cs="Times New Roman"/>
          <w:lang w:val="en-US"/>
        </w:rPr>
        <w:t>arm</w:t>
      </w:r>
      <w:r w:rsidRPr="006B1BBE">
        <w:rPr>
          <w:rFonts w:ascii="Times New Roman" w:hAnsi="Times New Roman" w:cs="Times New Roman"/>
        </w:rPr>
        <w:t xml:space="preserve"> (</w:t>
      </w:r>
      <w:r w:rsidRPr="006B1BBE">
        <w:rPr>
          <w:rFonts w:ascii="Times New Roman" w:hAnsi="Times New Roman" w:cs="Times New Roman"/>
          <w:lang w:val="en-US"/>
        </w:rPr>
        <w:t>ASCOT</w:t>
      </w:r>
      <w:r w:rsidRPr="006B1BBE">
        <w:rPr>
          <w:rFonts w:ascii="Times New Roman" w:hAnsi="Times New Roman" w:cs="Times New Roman"/>
        </w:rPr>
        <w:t>-</w:t>
      </w:r>
      <w:r w:rsidRPr="006B1BBE">
        <w:rPr>
          <w:rFonts w:ascii="Times New Roman" w:hAnsi="Times New Roman" w:cs="Times New Roman"/>
          <w:lang w:val="en-US"/>
        </w:rPr>
        <w:t>LLA</w:t>
      </w:r>
      <w:r w:rsidRPr="006B1BBE">
        <w:rPr>
          <w:rFonts w:ascii="Times New Roman" w:hAnsi="Times New Roman" w:cs="Times New Roman"/>
        </w:rPr>
        <w:t xml:space="preserve">). </w:t>
      </w:r>
      <w:r w:rsidR="00357F80" w:rsidRPr="006B1BBE">
        <w:rPr>
          <w:rFonts w:ascii="Times New Roman" w:hAnsi="Times New Roman" w:cs="Times New Roman"/>
        </w:rPr>
        <w:t xml:space="preserve">Οι </w:t>
      </w:r>
      <w:r w:rsidRPr="006B1BBE">
        <w:rPr>
          <w:rFonts w:ascii="Times New Roman" w:hAnsi="Times New Roman" w:cs="Times New Roman"/>
        </w:rPr>
        <w:t>ασθενείς ήταν υπερτασικοί ηλικίας 40-79 ετών, χωρίς π</w:t>
      </w:r>
      <w:r w:rsidR="00357F80" w:rsidRPr="006B1BBE">
        <w:rPr>
          <w:rFonts w:ascii="Times New Roman" w:hAnsi="Times New Roman" w:cs="Times New Roman"/>
        </w:rPr>
        <w:t xml:space="preserve">ροηγούμενο ιστορικό εμφράγματος </w:t>
      </w:r>
      <w:r w:rsidRPr="006B1BBE">
        <w:rPr>
          <w:rFonts w:ascii="Times New Roman" w:hAnsi="Times New Roman" w:cs="Times New Roman"/>
        </w:rPr>
        <w:t>του μυοκαρδίου ή θεραπεία για στηθάγχη και με επίπεδα</w:t>
      </w:r>
      <w:r w:rsidR="00357F80" w:rsidRPr="006B1BBE">
        <w:rPr>
          <w:rFonts w:ascii="Times New Roman" w:hAnsi="Times New Roman" w:cs="Times New Roman"/>
        </w:rPr>
        <w:t xml:space="preserve"> ολικής χοληστερόλης (ΤC) ≤ 6.5 </w:t>
      </w:r>
      <w:r w:rsidRPr="006B1BBE">
        <w:rPr>
          <w:rFonts w:ascii="Times New Roman" w:hAnsi="Times New Roman" w:cs="Times New Roman"/>
        </w:rPr>
        <w:t xml:space="preserve">mmol/l (251 mg/dl). Ολοι οι ασθενείς είχαν </w:t>
      </w:r>
      <w:r w:rsidR="00357F80" w:rsidRPr="006B1BBE">
        <w:rPr>
          <w:rFonts w:ascii="Times New Roman" w:hAnsi="Times New Roman" w:cs="Times New Roman"/>
        </w:rPr>
        <w:t xml:space="preserve">τουλάχιστον τρεις από τους εξής </w:t>
      </w:r>
      <w:r w:rsidRPr="006B1BBE">
        <w:rPr>
          <w:rFonts w:ascii="Times New Roman" w:hAnsi="Times New Roman" w:cs="Times New Roman"/>
        </w:rPr>
        <w:t xml:space="preserve">προκαθορισμένους καρδιαγγειακούς παράγοντες κίνδυνου: </w:t>
      </w:r>
      <w:r w:rsidR="00357F80" w:rsidRPr="006B1BBE">
        <w:rPr>
          <w:rFonts w:ascii="Times New Roman" w:hAnsi="Times New Roman" w:cs="Times New Roman"/>
        </w:rPr>
        <w:t xml:space="preserve">ανδρικό φύλο, ηλικία ≥ 55 ετών, </w:t>
      </w:r>
      <w:r w:rsidRPr="006B1BBE">
        <w:rPr>
          <w:rFonts w:ascii="Times New Roman" w:hAnsi="Times New Roman" w:cs="Times New Roman"/>
        </w:rPr>
        <w:t xml:space="preserve">κάπνισμα, σακχαρώδης διαβήτης, ιστορικό στεφανιαίας </w:t>
      </w:r>
      <w:r w:rsidR="00357F80" w:rsidRPr="006B1BBE">
        <w:rPr>
          <w:rFonts w:ascii="Times New Roman" w:hAnsi="Times New Roman" w:cs="Times New Roman"/>
        </w:rPr>
        <w:t xml:space="preserve">νόσου σε συγγενή πρώτου βαθμού, </w:t>
      </w:r>
      <w:r w:rsidRPr="006B1BBE">
        <w:rPr>
          <w:rFonts w:ascii="Times New Roman" w:hAnsi="Times New Roman" w:cs="Times New Roman"/>
        </w:rPr>
        <w:t>TC:HDL ≥ 6, περιφερική αγγειακή νόσος, υπερτροφία της αριστερής κοιλίας, προηγούμενο</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ιστορικό αγγειακού εγκεφαλικού επεισοδίου, ειδική</w:t>
      </w:r>
      <w:r w:rsidR="00357F80" w:rsidRPr="006B1BBE">
        <w:rPr>
          <w:rFonts w:ascii="Times New Roman" w:hAnsi="Times New Roman" w:cs="Times New Roman"/>
        </w:rPr>
        <w:t xml:space="preserve"> ηλεκτροκαρδιογραφική ανωμαλία, </w:t>
      </w:r>
      <w:r w:rsidRPr="006B1BBE">
        <w:rPr>
          <w:rFonts w:ascii="Times New Roman" w:hAnsi="Times New Roman" w:cs="Times New Roman"/>
        </w:rPr>
        <w:t xml:space="preserve">πρωτεϊνουρία/αλβουμινουρία. Από τους ασθενείς που </w:t>
      </w:r>
      <w:r w:rsidR="00357F80" w:rsidRPr="006B1BBE">
        <w:rPr>
          <w:rFonts w:ascii="Times New Roman" w:hAnsi="Times New Roman" w:cs="Times New Roman"/>
        </w:rPr>
        <w:t xml:space="preserve">συμπεριλήφθηκαν στη μελέτη, δεν </w:t>
      </w:r>
      <w:r w:rsidRPr="006B1BBE">
        <w:rPr>
          <w:rFonts w:ascii="Times New Roman" w:hAnsi="Times New Roman" w:cs="Times New Roman"/>
        </w:rPr>
        <w:t>είχαν όλοι εκτιμηθεί ως υψηλού κίνδυνο για εμφάνιση πρώτου καρδιαγγειακού συμβάματος.</w:t>
      </w:r>
    </w:p>
    <w:p w:rsidR="00357F80" w:rsidRPr="006B1BBE" w:rsidRDefault="00357F8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Οι ασθενείς έλαβαν αντιυπερτασική αγωγή (θεραπευ</w:t>
      </w:r>
      <w:r w:rsidR="00357F80" w:rsidRPr="006B1BBE">
        <w:rPr>
          <w:rFonts w:ascii="Times New Roman" w:hAnsi="Times New Roman" w:cs="Times New Roman"/>
        </w:rPr>
        <w:t xml:space="preserve">τικό σχήμα βασιζόμενο είτε στην </w:t>
      </w:r>
      <w:r w:rsidRPr="006B1BBE">
        <w:rPr>
          <w:rFonts w:ascii="Times New Roman" w:hAnsi="Times New Roman" w:cs="Times New Roman"/>
        </w:rPr>
        <w:t>αμλοδιπίνη είτε στην ατενολόλη) και είτε ατορβαστατ</w:t>
      </w:r>
      <w:r w:rsidR="00357F80" w:rsidRPr="006B1BBE">
        <w:rPr>
          <w:rFonts w:ascii="Times New Roman" w:hAnsi="Times New Roman" w:cs="Times New Roman"/>
        </w:rPr>
        <w:t xml:space="preserve">ίνη 10 mg ημερησίως (n=5,168) ή </w:t>
      </w:r>
      <w:r w:rsidRPr="006B1BBE">
        <w:rPr>
          <w:rFonts w:ascii="Times New Roman" w:hAnsi="Times New Roman" w:cs="Times New Roman"/>
        </w:rPr>
        <w:t>εικονικό φάρμακο (n=5,137).</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επίδραση της ατορβαστατίνης ως προς τη σχετική και α</w:t>
      </w:r>
      <w:r w:rsidR="00357F80" w:rsidRPr="006B1BBE">
        <w:rPr>
          <w:rFonts w:ascii="Times New Roman" w:hAnsi="Times New Roman" w:cs="Times New Roman"/>
        </w:rPr>
        <w:t xml:space="preserve">πόλυτη μείωση του κινδύνου ήταν </w:t>
      </w:r>
      <w:r w:rsidRPr="006B1BBE">
        <w:rPr>
          <w:rFonts w:ascii="Times New Roman" w:hAnsi="Times New Roman" w:cs="Times New Roman"/>
        </w:rPr>
        <w:t>η ακόλουθη:</w:t>
      </w:r>
    </w:p>
    <w:p w:rsidR="004007E8" w:rsidRPr="006B1BBE" w:rsidRDefault="004007E8" w:rsidP="008525D4">
      <w:pPr>
        <w:spacing w:after="0" w:line="240" w:lineRule="auto"/>
        <w:jc w:val="both"/>
        <w:rPr>
          <w:rFonts w:ascii="Times New Roman" w:hAnsi="Times New Roman" w:cs="Times New Roman"/>
        </w:rPr>
      </w:pPr>
    </w:p>
    <w:tbl>
      <w:tblPr>
        <w:tblStyle w:val="a4"/>
        <w:tblW w:w="0" w:type="auto"/>
        <w:jc w:val="center"/>
        <w:tblLook w:val="04A0"/>
      </w:tblPr>
      <w:tblGrid>
        <w:gridCol w:w="1857"/>
        <w:gridCol w:w="1857"/>
        <w:gridCol w:w="3057"/>
        <w:gridCol w:w="1417"/>
        <w:gridCol w:w="1098"/>
      </w:tblGrid>
      <w:tr w:rsidR="004007E8" w:rsidRPr="006B1BBE" w:rsidTr="0054610D">
        <w:trPr>
          <w:jc w:val="center"/>
        </w:trPr>
        <w:tc>
          <w:tcPr>
            <w:tcW w:w="185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Σύμβαμα</w:t>
            </w:r>
          </w:p>
        </w:tc>
        <w:tc>
          <w:tcPr>
            <w:tcW w:w="185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Σχετική Μείωση</w:t>
            </w:r>
          </w:p>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κινδύνου (%)</w:t>
            </w:r>
          </w:p>
        </w:tc>
        <w:tc>
          <w:tcPr>
            <w:tcW w:w="305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Αριθμός Συμβαμάτων</w:t>
            </w:r>
          </w:p>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(Ατορβαστατίνη</w:t>
            </w:r>
          </w:p>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έναντι εικονικού φαρμάκου)</w:t>
            </w:r>
          </w:p>
        </w:tc>
        <w:tc>
          <w:tcPr>
            <w:tcW w:w="141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Απόλυτη</w:t>
            </w:r>
          </w:p>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Μείωση</w:t>
            </w:r>
          </w:p>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κινδύνου</w:t>
            </w:r>
            <w:r w:rsidRPr="006B1BBE">
              <w:rPr>
                <w:rFonts w:ascii="Times New Roman" w:hAnsi="Times New Roman" w:cs="Times New Roman"/>
                <w:vertAlign w:val="superscript"/>
              </w:rPr>
              <w:t>1</w:t>
            </w:r>
            <w:r w:rsidRPr="006B1BBE">
              <w:rPr>
                <w:rFonts w:ascii="Times New Roman" w:hAnsi="Times New Roman" w:cs="Times New Roman"/>
              </w:rPr>
              <w:t>(%)</w:t>
            </w:r>
          </w:p>
        </w:tc>
        <w:tc>
          <w:tcPr>
            <w:tcW w:w="1098"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Τιμή p</w:t>
            </w:r>
          </w:p>
        </w:tc>
      </w:tr>
      <w:tr w:rsidR="004007E8" w:rsidRPr="006B1BBE" w:rsidTr="0054610D">
        <w:trPr>
          <w:jc w:val="center"/>
        </w:trPr>
        <w:tc>
          <w:tcPr>
            <w:tcW w:w="185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Θανατηφόρα ΣΝ συν μη-</w:t>
            </w:r>
          </w:p>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θανατηφόρο ΕΜ</w:t>
            </w:r>
          </w:p>
        </w:tc>
        <w:tc>
          <w:tcPr>
            <w:tcW w:w="185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36%</w:t>
            </w:r>
          </w:p>
        </w:tc>
        <w:tc>
          <w:tcPr>
            <w:tcW w:w="305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100 έναντι 154</w:t>
            </w:r>
          </w:p>
        </w:tc>
        <w:tc>
          <w:tcPr>
            <w:tcW w:w="141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1,1%</w:t>
            </w:r>
          </w:p>
        </w:tc>
        <w:tc>
          <w:tcPr>
            <w:tcW w:w="1098"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0,0005</w:t>
            </w:r>
          </w:p>
        </w:tc>
      </w:tr>
      <w:tr w:rsidR="004007E8" w:rsidRPr="006B1BBE" w:rsidTr="0054610D">
        <w:trPr>
          <w:jc w:val="center"/>
        </w:trPr>
        <w:tc>
          <w:tcPr>
            <w:tcW w:w="185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Σύνολο καρδιαγγειακών</w:t>
            </w:r>
          </w:p>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συμβαμάτων και επεμβάσεων</w:t>
            </w:r>
          </w:p>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επαναγγείωσης</w:t>
            </w:r>
          </w:p>
          <w:p w:rsidR="000047D9" w:rsidRPr="006B1BBE" w:rsidRDefault="000047D9" w:rsidP="0054610D">
            <w:pPr>
              <w:jc w:val="center"/>
              <w:rPr>
                <w:rFonts w:ascii="Times New Roman" w:hAnsi="Times New Roman" w:cs="Times New Roman"/>
              </w:rPr>
            </w:pPr>
          </w:p>
        </w:tc>
        <w:tc>
          <w:tcPr>
            <w:tcW w:w="185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20%</w:t>
            </w:r>
          </w:p>
        </w:tc>
        <w:tc>
          <w:tcPr>
            <w:tcW w:w="3057" w:type="dxa"/>
            <w:vAlign w:val="center"/>
          </w:tcPr>
          <w:p w:rsidR="004007E8" w:rsidRPr="006B1BBE" w:rsidRDefault="004007E8" w:rsidP="0054610D">
            <w:pPr>
              <w:jc w:val="center"/>
              <w:rPr>
                <w:rFonts w:ascii="Times New Roman" w:hAnsi="Times New Roman" w:cs="Times New Roman"/>
              </w:rPr>
            </w:pPr>
            <w:r w:rsidRPr="006B1BBE">
              <w:rPr>
                <w:rFonts w:ascii="Times New Roman" w:hAnsi="Times New Roman" w:cs="Times New Roman"/>
              </w:rPr>
              <w:t>389 έναντι 483</w:t>
            </w:r>
          </w:p>
        </w:tc>
        <w:tc>
          <w:tcPr>
            <w:tcW w:w="1417" w:type="dxa"/>
            <w:vAlign w:val="center"/>
          </w:tcPr>
          <w:p w:rsidR="004007E8" w:rsidRPr="006B1BBE" w:rsidRDefault="000047D9" w:rsidP="0054610D">
            <w:pPr>
              <w:jc w:val="center"/>
              <w:rPr>
                <w:rFonts w:ascii="Times New Roman" w:hAnsi="Times New Roman" w:cs="Times New Roman"/>
              </w:rPr>
            </w:pPr>
            <w:r w:rsidRPr="006B1BBE">
              <w:rPr>
                <w:rFonts w:ascii="Times New Roman" w:hAnsi="Times New Roman" w:cs="Times New Roman"/>
              </w:rPr>
              <w:t>1,9%</w:t>
            </w:r>
          </w:p>
        </w:tc>
        <w:tc>
          <w:tcPr>
            <w:tcW w:w="1098" w:type="dxa"/>
            <w:vAlign w:val="center"/>
          </w:tcPr>
          <w:p w:rsidR="004007E8" w:rsidRPr="006B1BBE" w:rsidRDefault="000047D9" w:rsidP="0054610D">
            <w:pPr>
              <w:jc w:val="center"/>
              <w:rPr>
                <w:rFonts w:ascii="Times New Roman" w:hAnsi="Times New Roman" w:cs="Times New Roman"/>
              </w:rPr>
            </w:pPr>
            <w:r w:rsidRPr="006B1BBE">
              <w:rPr>
                <w:rFonts w:ascii="Times New Roman" w:hAnsi="Times New Roman" w:cs="Times New Roman"/>
              </w:rPr>
              <w:t>0,0008</w:t>
            </w:r>
          </w:p>
        </w:tc>
      </w:tr>
      <w:tr w:rsidR="004007E8" w:rsidRPr="006B1BBE" w:rsidTr="0054610D">
        <w:trPr>
          <w:jc w:val="center"/>
        </w:trPr>
        <w:tc>
          <w:tcPr>
            <w:tcW w:w="1857" w:type="dxa"/>
            <w:vAlign w:val="center"/>
          </w:tcPr>
          <w:p w:rsidR="000047D9" w:rsidRPr="006B1BBE" w:rsidRDefault="000047D9" w:rsidP="0054610D">
            <w:pPr>
              <w:jc w:val="center"/>
              <w:rPr>
                <w:rFonts w:ascii="Times New Roman" w:hAnsi="Times New Roman" w:cs="Times New Roman"/>
              </w:rPr>
            </w:pPr>
            <w:r w:rsidRPr="006B1BBE">
              <w:rPr>
                <w:rFonts w:ascii="Times New Roman" w:hAnsi="Times New Roman" w:cs="Times New Roman"/>
              </w:rPr>
              <w:t>Σύνολο στεφανιαίων</w:t>
            </w:r>
          </w:p>
          <w:p w:rsidR="004007E8" w:rsidRPr="006B1BBE" w:rsidRDefault="000047D9" w:rsidP="0054610D">
            <w:pPr>
              <w:jc w:val="center"/>
              <w:rPr>
                <w:rFonts w:ascii="Times New Roman" w:hAnsi="Times New Roman" w:cs="Times New Roman"/>
              </w:rPr>
            </w:pPr>
            <w:r w:rsidRPr="006B1BBE">
              <w:rPr>
                <w:rFonts w:ascii="Times New Roman" w:hAnsi="Times New Roman" w:cs="Times New Roman"/>
              </w:rPr>
              <w:t>συμβαμάτων</w:t>
            </w:r>
          </w:p>
        </w:tc>
        <w:tc>
          <w:tcPr>
            <w:tcW w:w="1857" w:type="dxa"/>
            <w:vAlign w:val="center"/>
          </w:tcPr>
          <w:p w:rsidR="004007E8" w:rsidRPr="006B1BBE" w:rsidRDefault="000047D9" w:rsidP="0054610D">
            <w:pPr>
              <w:jc w:val="center"/>
              <w:rPr>
                <w:rFonts w:ascii="Times New Roman" w:hAnsi="Times New Roman" w:cs="Times New Roman"/>
              </w:rPr>
            </w:pPr>
            <w:r w:rsidRPr="006B1BBE">
              <w:rPr>
                <w:rFonts w:ascii="Times New Roman" w:hAnsi="Times New Roman" w:cs="Times New Roman"/>
              </w:rPr>
              <w:t>29%</w:t>
            </w:r>
          </w:p>
        </w:tc>
        <w:tc>
          <w:tcPr>
            <w:tcW w:w="3057" w:type="dxa"/>
            <w:vAlign w:val="center"/>
          </w:tcPr>
          <w:p w:rsidR="004007E8" w:rsidRPr="006B1BBE" w:rsidRDefault="000047D9" w:rsidP="0054610D">
            <w:pPr>
              <w:jc w:val="center"/>
              <w:rPr>
                <w:rFonts w:ascii="Times New Roman" w:hAnsi="Times New Roman" w:cs="Times New Roman"/>
              </w:rPr>
            </w:pPr>
            <w:r w:rsidRPr="006B1BBE">
              <w:rPr>
                <w:rFonts w:ascii="Times New Roman" w:hAnsi="Times New Roman" w:cs="Times New Roman"/>
              </w:rPr>
              <w:t>178 έναντι 247</w:t>
            </w:r>
          </w:p>
        </w:tc>
        <w:tc>
          <w:tcPr>
            <w:tcW w:w="1417" w:type="dxa"/>
            <w:vAlign w:val="center"/>
          </w:tcPr>
          <w:p w:rsidR="004007E8" w:rsidRPr="006B1BBE" w:rsidRDefault="000047D9" w:rsidP="0054610D">
            <w:pPr>
              <w:jc w:val="center"/>
              <w:rPr>
                <w:rFonts w:ascii="Times New Roman" w:hAnsi="Times New Roman" w:cs="Times New Roman"/>
              </w:rPr>
            </w:pPr>
            <w:r w:rsidRPr="006B1BBE">
              <w:rPr>
                <w:rFonts w:ascii="Times New Roman" w:hAnsi="Times New Roman" w:cs="Times New Roman"/>
              </w:rPr>
              <w:t>1,4%</w:t>
            </w:r>
          </w:p>
        </w:tc>
        <w:tc>
          <w:tcPr>
            <w:tcW w:w="1098" w:type="dxa"/>
            <w:vAlign w:val="center"/>
          </w:tcPr>
          <w:p w:rsidR="004007E8" w:rsidRPr="006B1BBE" w:rsidRDefault="000047D9" w:rsidP="0054610D">
            <w:pPr>
              <w:jc w:val="center"/>
              <w:rPr>
                <w:rFonts w:ascii="Times New Roman" w:hAnsi="Times New Roman" w:cs="Times New Roman"/>
              </w:rPr>
            </w:pPr>
            <w:r w:rsidRPr="006B1BBE">
              <w:rPr>
                <w:rFonts w:ascii="Times New Roman" w:hAnsi="Times New Roman" w:cs="Times New Roman"/>
              </w:rPr>
              <w:t>0,0006</w:t>
            </w:r>
          </w:p>
        </w:tc>
      </w:tr>
    </w:tbl>
    <w:p w:rsidR="00D60AC9" w:rsidRDefault="00F457BF" w:rsidP="008525D4">
      <w:pPr>
        <w:spacing w:after="0" w:line="240" w:lineRule="auto"/>
        <w:jc w:val="both"/>
        <w:rPr>
          <w:rFonts w:ascii="Times New Roman" w:hAnsi="Times New Roman" w:cs="Times New Roman"/>
        </w:rPr>
      </w:pPr>
      <w:r w:rsidRPr="006B1BBE">
        <w:rPr>
          <w:rFonts w:ascii="Times New Roman" w:hAnsi="Times New Roman" w:cs="Times New Roman"/>
          <w:vertAlign w:val="superscript"/>
        </w:rPr>
        <w:t>1</w:t>
      </w:r>
      <w:r w:rsidRPr="006B1BBE">
        <w:rPr>
          <w:rFonts w:ascii="Times New Roman" w:hAnsi="Times New Roman" w:cs="Times New Roman"/>
        </w:rPr>
        <w:t>Βασίζεται στη διαφορά των πρωτογενών συχνοτήτων εμφάνισης των συμβαμάτων</w:t>
      </w:r>
      <w:r w:rsidR="000047D9" w:rsidRPr="006B1BBE">
        <w:rPr>
          <w:rFonts w:ascii="Times New Roman" w:hAnsi="Times New Roman" w:cs="Times New Roman"/>
        </w:rPr>
        <w:t xml:space="preserve"> </w:t>
      </w:r>
      <w:r w:rsidRPr="006B1BBE">
        <w:rPr>
          <w:rFonts w:ascii="Times New Roman" w:hAnsi="Times New Roman" w:cs="Times New Roman"/>
        </w:rPr>
        <w:t>που παρουσιάζονται σε μια διάμεση περίοδο παρακολούθησης 3,3 ετών.</w:t>
      </w:r>
      <w:r w:rsidR="000047D9" w:rsidRPr="006B1BBE">
        <w:rPr>
          <w:rFonts w:ascii="Times New Roman" w:hAnsi="Times New Roman" w:cs="Times New Roman"/>
        </w:rPr>
        <w:t xml:space="preserve"> </w:t>
      </w: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ΣΝ: Στεφανιαία Νόσος, ΕΜ: Έμφραγμα Μυοκαρδίου</w:t>
      </w:r>
    </w:p>
    <w:p w:rsidR="000047D9" w:rsidRPr="006B1BBE" w:rsidRDefault="000047D9"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H ολική θνησιμότητα και η θνησιμότητα καρδιαγγε</w:t>
      </w:r>
      <w:r w:rsidR="006F2690" w:rsidRPr="006B1BBE">
        <w:rPr>
          <w:rFonts w:ascii="Times New Roman" w:hAnsi="Times New Roman" w:cs="Times New Roman"/>
        </w:rPr>
        <w:t xml:space="preserve">ιακής αιτιολογίας δεν μειώθηκαν </w:t>
      </w:r>
      <w:r w:rsidRPr="006B1BBE">
        <w:rPr>
          <w:rFonts w:ascii="Times New Roman" w:hAnsi="Times New Roman" w:cs="Times New Roman"/>
        </w:rPr>
        <w:t xml:space="preserve">σημαντικά, (185 έναντι 212 περιστατικών, p= 0,17 και 74 </w:t>
      </w:r>
      <w:r w:rsidR="006F2690" w:rsidRPr="006B1BBE">
        <w:rPr>
          <w:rFonts w:ascii="Times New Roman" w:hAnsi="Times New Roman" w:cs="Times New Roman"/>
        </w:rPr>
        <w:t xml:space="preserve">έναντι 82 περιστατικών, p= 0,51 </w:t>
      </w:r>
      <w:r w:rsidRPr="006B1BBE">
        <w:rPr>
          <w:rFonts w:ascii="Times New Roman" w:hAnsi="Times New Roman" w:cs="Times New Roman"/>
        </w:rPr>
        <w:t>αντίστοιχα). Στις αναλύσεις υπο-ομάδων ανάλογα με το φύλο (81% άνδρες, 19% γ</w:t>
      </w:r>
      <w:r w:rsidR="006F2690" w:rsidRPr="006B1BBE">
        <w:rPr>
          <w:rFonts w:ascii="Times New Roman" w:hAnsi="Times New Roman" w:cs="Times New Roman"/>
        </w:rPr>
        <w:t xml:space="preserve">υναίκες), η </w:t>
      </w:r>
      <w:r w:rsidRPr="006B1BBE">
        <w:rPr>
          <w:rFonts w:ascii="Times New Roman" w:hAnsi="Times New Roman" w:cs="Times New Roman"/>
        </w:rPr>
        <w:t xml:space="preserve">ευεργετική επίδραση της ατορβαστατίνης φάνηκε για </w:t>
      </w:r>
      <w:r w:rsidR="006F2690" w:rsidRPr="006B1BBE">
        <w:rPr>
          <w:rFonts w:ascii="Times New Roman" w:hAnsi="Times New Roman" w:cs="Times New Roman"/>
        </w:rPr>
        <w:t xml:space="preserve">τους άντρες αλλά δεν μπόρεσε να </w:t>
      </w:r>
      <w:r w:rsidRPr="006B1BBE">
        <w:rPr>
          <w:rFonts w:ascii="Times New Roman" w:hAnsi="Times New Roman" w:cs="Times New Roman"/>
        </w:rPr>
        <w:t>τεκμηριωθεί για τις γυναίκες, πιθανώς λόγω της μι</w:t>
      </w:r>
      <w:r w:rsidR="006F2690" w:rsidRPr="006B1BBE">
        <w:rPr>
          <w:rFonts w:ascii="Times New Roman" w:hAnsi="Times New Roman" w:cs="Times New Roman"/>
        </w:rPr>
        <w:t xml:space="preserve">κρής συχνότητας συμβαμάτων στην </w:t>
      </w:r>
      <w:r w:rsidRPr="006B1BBE">
        <w:rPr>
          <w:rFonts w:ascii="Times New Roman" w:hAnsi="Times New Roman" w:cs="Times New Roman"/>
        </w:rPr>
        <w:t xml:space="preserve">υποομάδα των </w:t>
      </w:r>
      <w:r w:rsidRPr="006B1BBE">
        <w:rPr>
          <w:rFonts w:ascii="Times New Roman" w:hAnsi="Times New Roman" w:cs="Times New Roman"/>
        </w:rPr>
        <w:lastRenderedPageBreak/>
        <w:t>γυναικών. H ολική και η καρδιαγγει</w:t>
      </w:r>
      <w:r w:rsidR="006F2690" w:rsidRPr="006B1BBE">
        <w:rPr>
          <w:rFonts w:ascii="Times New Roman" w:hAnsi="Times New Roman" w:cs="Times New Roman"/>
        </w:rPr>
        <w:t xml:space="preserve">ακή θνησιμότητα ήταν αριθμητικά </w:t>
      </w:r>
      <w:r w:rsidRPr="006B1BBE">
        <w:rPr>
          <w:rFonts w:ascii="Times New Roman" w:hAnsi="Times New Roman" w:cs="Times New Roman"/>
        </w:rPr>
        <w:t>υψηλότερες στις γυναίκες ασθενείς (38 έναντι 30 και 17</w:t>
      </w:r>
      <w:r w:rsidR="006F2690" w:rsidRPr="006B1BBE">
        <w:rPr>
          <w:rFonts w:ascii="Times New Roman" w:hAnsi="Times New Roman" w:cs="Times New Roman"/>
        </w:rPr>
        <w:t xml:space="preserve"> έναντι 12), αλλά αυτό δεν ήταν </w:t>
      </w:r>
      <w:r w:rsidRPr="006B1BBE">
        <w:rPr>
          <w:rFonts w:ascii="Times New Roman" w:hAnsi="Times New Roman" w:cs="Times New Roman"/>
        </w:rPr>
        <w:t>στατιστικά σημαντικό. Υπήρξε σημαντική αλληλεπίδ</w:t>
      </w:r>
      <w:r w:rsidR="006F2690" w:rsidRPr="006B1BBE">
        <w:rPr>
          <w:rFonts w:ascii="Times New Roman" w:hAnsi="Times New Roman" w:cs="Times New Roman"/>
        </w:rPr>
        <w:t xml:space="preserve">ραση με τη θεραπεία ως προς την </w:t>
      </w:r>
      <w:r w:rsidRPr="006B1BBE">
        <w:rPr>
          <w:rFonts w:ascii="Times New Roman" w:hAnsi="Times New Roman" w:cs="Times New Roman"/>
        </w:rPr>
        <w:t>αρχική αντιυπερτασική αγωγή. Το πρωτεύον τελικό σημεί</w:t>
      </w:r>
      <w:r w:rsidR="006F2690" w:rsidRPr="006B1BBE">
        <w:rPr>
          <w:rFonts w:ascii="Times New Roman" w:hAnsi="Times New Roman" w:cs="Times New Roman"/>
        </w:rPr>
        <w:t xml:space="preserve">ο (θανατηφόρος στεφανιαία νόσος </w:t>
      </w:r>
      <w:r w:rsidRPr="006B1BBE">
        <w:rPr>
          <w:rFonts w:ascii="Times New Roman" w:hAnsi="Times New Roman" w:cs="Times New Roman"/>
        </w:rPr>
        <w:t xml:space="preserve">και μη θανατηφόρο έμφραγμα του μυοκαρδίου) μειώθηκε </w:t>
      </w:r>
      <w:r w:rsidR="006F2690" w:rsidRPr="006B1BBE">
        <w:rPr>
          <w:rFonts w:ascii="Times New Roman" w:hAnsi="Times New Roman" w:cs="Times New Roman"/>
        </w:rPr>
        <w:t xml:space="preserve">σημαντικά από την ατορβαστατίνη </w:t>
      </w:r>
      <w:r w:rsidRPr="006B1BBE">
        <w:rPr>
          <w:rFonts w:ascii="Times New Roman" w:hAnsi="Times New Roman" w:cs="Times New Roman"/>
        </w:rPr>
        <w:t>στους ασθενείς που ελάμβαναν αμλοδιπίνη (HR 0,47 (0,32 -</w:t>
      </w:r>
      <w:r w:rsidR="006F2690" w:rsidRPr="006B1BBE">
        <w:rPr>
          <w:rFonts w:ascii="Times New Roman" w:hAnsi="Times New Roman" w:cs="Times New Roman"/>
        </w:rPr>
        <w:t xml:space="preserve"> 0,69), p=0,00008), αλλά όχι σε </w:t>
      </w:r>
      <w:r w:rsidRPr="006B1BBE">
        <w:rPr>
          <w:rFonts w:ascii="Times New Roman" w:hAnsi="Times New Roman" w:cs="Times New Roman"/>
        </w:rPr>
        <w:t>αυτούς που ελάμβαναν ατενολόλη (HR 0,83 (0,59 - 1,17), p= 0,287).</w:t>
      </w:r>
    </w:p>
    <w:p w:rsidR="006F2690" w:rsidRPr="006B1BBE" w:rsidRDefault="006F269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επίδραση της ατορβαστατίνης στη θανατηφόρα και μ</w:t>
      </w:r>
      <w:r w:rsidR="006F2690" w:rsidRPr="006B1BBE">
        <w:rPr>
          <w:rFonts w:ascii="Times New Roman" w:hAnsi="Times New Roman" w:cs="Times New Roman"/>
        </w:rPr>
        <w:t xml:space="preserve">η-θανατηφόρα καρδιαγγειακή νόσο </w:t>
      </w:r>
      <w:r w:rsidRPr="006B1BBE">
        <w:rPr>
          <w:rFonts w:ascii="Times New Roman" w:hAnsi="Times New Roman" w:cs="Times New Roman"/>
        </w:rPr>
        <w:t>εκτιμήθηκε επίσης σε μια τυχαιοποιημένη, διπλά τυφλή,</w:t>
      </w:r>
      <w:r w:rsidR="006F2690" w:rsidRPr="006B1BBE">
        <w:rPr>
          <w:rFonts w:ascii="Times New Roman" w:hAnsi="Times New Roman" w:cs="Times New Roman"/>
        </w:rPr>
        <w:t xml:space="preserve"> ελεγχόμενη με εικονικό φάρμακο </w:t>
      </w:r>
      <w:r w:rsidRPr="006B1BBE">
        <w:rPr>
          <w:rFonts w:ascii="Times New Roman" w:hAnsi="Times New Roman" w:cs="Times New Roman"/>
        </w:rPr>
        <w:t>μελέτη, την Συλλογική Μελέτη της Ατορβαστατίνης στ</w:t>
      </w:r>
      <w:r w:rsidR="006F2690" w:rsidRPr="006B1BBE">
        <w:rPr>
          <w:rFonts w:ascii="Times New Roman" w:hAnsi="Times New Roman" w:cs="Times New Roman"/>
        </w:rPr>
        <w:t xml:space="preserve">ο Διαβήτη (CARDS- Collaborative </w:t>
      </w:r>
      <w:r w:rsidRPr="006B1BBE">
        <w:rPr>
          <w:rFonts w:ascii="Times New Roman" w:hAnsi="Times New Roman" w:cs="Times New Roman"/>
        </w:rPr>
        <w:t>Atorvastatin Diabetes Study-CARDS), σε ασθενείς με διαβήτη</w:t>
      </w:r>
      <w:r w:rsidR="006F2690" w:rsidRPr="006B1BBE">
        <w:rPr>
          <w:rFonts w:ascii="Times New Roman" w:hAnsi="Times New Roman" w:cs="Times New Roman"/>
        </w:rPr>
        <w:t xml:space="preserve"> τύπου 2, ηλικίας 40 - 75 ετών, </w:t>
      </w:r>
      <w:r w:rsidRPr="006B1BBE">
        <w:rPr>
          <w:rFonts w:ascii="Times New Roman" w:hAnsi="Times New Roman" w:cs="Times New Roman"/>
        </w:rPr>
        <w:t>χωρίς προηγούμενο ιστορικό καρδιαγγειακής νόσου και μ</w:t>
      </w:r>
      <w:r w:rsidR="006F2690" w:rsidRPr="006B1BBE">
        <w:rPr>
          <w:rFonts w:ascii="Times New Roman" w:hAnsi="Times New Roman" w:cs="Times New Roman"/>
        </w:rPr>
        <w:t xml:space="preserve">ε LDL &lt; 4,14 mmol/l (160 mg/dl) </w:t>
      </w:r>
      <w:r w:rsidRPr="006B1BBE">
        <w:rPr>
          <w:rFonts w:ascii="Times New Roman" w:hAnsi="Times New Roman" w:cs="Times New Roman"/>
        </w:rPr>
        <w:t>και τριγλυκερίδια &lt; 6,78 mmol/l (600 mg/dl). Όλοι οι ασθενε</w:t>
      </w:r>
      <w:r w:rsidR="006F2690" w:rsidRPr="006B1BBE">
        <w:rPr>
          <w:rFonts w:ascii="Times New Roman" w:hAnsi="Times New Roman" w:cs="Times New Roman"/>
        </w:rPr>
        <w:t xml:space="preserve">ίς είχαν τουλάχιστον 1 από τους </w:t>
      </w:r>
      <w:r w:rsidRPr="006B1BBE">
        <w:rPr>
          <w:rFonts w:ascii="Times New Roman" w:hAnsi="Times New Roman" w:cs="Times New Roman"/>
        </w:rPr>
        <w:t>ακόλουθους παράγοντες κινδύνου: υπέρταση, κ</w:t>
      </w:r>
      <w:r w:rsidR="006F2690" w:rsidRPr="006B1BBE">
        <w:rPr>
          <w:rFonts w:ascii="Times New Roman" w:hAnsi="Times New Roman" w:cs="Times New Roman"/>
        </w:rPr>
        <w:t xml:space="preserve">άπνισμα, αμφιβληστροειδοπάθεια, </w:t>
      </w:r>
      <w:r w:rsidRPr="006B1BBE">
        <w:rPr>
          <w:rFonts w:ascii="Times New Roman" w:hAnsi="Times New Roman" w:cs="Times New Roman"/>
        </w:rPr>
        <w:t>μικρολευκωματινουρία ή μακρολευκωματινουρία.</w:t>
      </w:r>
    </w:p>
    <w:p w:rsidR="006F2690" w:rsidRPr="006B1BBE" w:rsidRDefault="006F269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Οι ασθενείς ελάμβαναν, είτε ατορβαστατίνη 10 mg ημε</w:t>
      </w:r>
      <w:r w:rsidR="006F2690" w:rsidRPr="006B1BBE">
        <w:rPr>
          <w:rFonts w:ascii="Times New Roman" w:hAnsi="Times New Roman" w:cs="Times New Roman"/>
        </w:rPr>
        <w:t xml:space="preserve">ρησίως (n=1.428), είτε εικονικό </w:t>
      </w:r>
      <w:r w:rsidRPr="006B1BBE">
        <w:rPr>
          <w:rFonts w:ascii="Times New Roman" w:hAnsi="Times New Roman" w:cs="Times New Roman"/>
        </w:rPr>
        <w:t>φάρμακο (n=1.410), για μια διάμεση διάρκεια παρακολούθησης 3,9 ετών.</w:t>
      </w:r>
    </w:p>
    <w:p w:rsidR="006F2690" w:rsidRPr="006B1BBE" w:rsidRDefault="006F2690"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επίδραση της ατορβαστατίνης στη μείωση του απόλυτο</w:t>
      </w:r>
      <w:r w:rsidR="006F2690" w:rsidRPr="006B1BBE">
        <w:rPr>
          <w:rFonts w:ascii="Times New Roman" w:hAnsi="Times New Roman" w:cs="Times New Roman"/>
        </w:rPr>
        <w:t xml:space="preserve">υ και σχετικού κινδύνου είναι η </w:t>
      </w:r>
      <w:r w:rsidRPr="006B1BBE">
        <w:rPr>
          <w:rFonts w:ascii="Times New Roman" w:hAnsi="Times New Roman" w:cs="Times New Roman"/>
        </w:rPr>
        <w:t>ακόλουθη:</w:t>
      </w:r>
    </w:p>
    <w:p w:rsidR="006F2690" w:rsidRPr="006B1BBE" w:rsidRDefault="006F2690" w:rsidP="008525D4">
      <w:pPr>
        <w:spacing w:after="0" w:line="240" w:lineRule="auto"/>
        <w:jc w:val="both"/>
        <w:rPr>
          <w:rFonts w:ascii="Times New Roman" w:hAnsi="Times New Roman" w:cs="Times New Roman"/>
        </w:rPr>
      </w:pPr>
    </w:p>
    <w:tbl>
      <w:tblPr>
        <w:tblStyle w:val="a4"/>
        <w:tblW w:w="0" w:type="auto"/>
        <w:tblLook w:val="04A0"/>
      </w:tblPr>
      <w:tblGrid>
        <w:gridCol w:w="3227"/>
        <w:gridCol w:w="1843"/>
        <w:gridCol w:w="1701"/>
        <w:gridCol w:w="1559"/>
        <w:gridCol w:w="956"/>
      </w:tblGrid>
      <w:tr w:rsidR="006F2690" w:rsidRPr="006B1BBE" w:rsidTr="006F2690">
        <w:tc>
          <w:tcPr>
            <w:tcW w:w="3227" w:type="dxa"/>
          </w:tcPr>
          <w:p w:rsidR="006F2690" w:rsidRPr="006B1BBE" w:rsidRDefault="006F2690" w:rsidP="008525D4">
            <w:pPr>
              <w:jc w:val="both"/>
              <w:rPr>
                <w:rFonts w:ascii="Times New Roman" w:hAnsi="Times New Roman" w:cs="Times New Roman"/>
                <w:lang w:val="en-US"/>
              </w:rPr>
            </w:pPr>
            <w:proofErr w:type="spellStart"/>
            <w:r w:rsidRPr="006B1BBE">
              <w:rPr>
                <w:rFonts w:ascii="Times New Roman" w:hAnsi="Times New Roman" w:cs="Times New Roman"/>
                <w:lang w:val="en-US"/>
              </w:rPr>
              <w:t>Σύμβαμα</w:t>
            </w:r>
            <w:proofErr w:type="spellEnd"/>
          </w:p>
        </w:tc>
        <w:tc>
          <w:tcPr>
            <w:tcW w:w="1843" w:type="dxa"/>
          </w:tcPr>
          <w:p w:rsidR="006F2690" w:rsidRPr="006B1BBE" w:rsidRDefault="006F2690" w:rsidP="006F2690">
            <w:pPr>
              <w:jc w:val="both"/>
              <w:rPr>
                <w:rFonts w:ascii="Times New Roman" w:hAnsi="Times New Roman" w:cs="Times New Roman"/>
                <w:lang w:val="en-US"/>
              </w:rPr>
            </w:pPr>
            <w:proofErr w:type="spellStart"/>
            <w:r w:rsidRPr="006B1BBE">
              <w:rPr>
                <w:rFonts w:ascii="Times New Roman" w:hAnsi="Times New Roman" w:cs="Times New Roman"/>
                <w:lang w:val="en-US"/>
              </w:rPr>
              <w:t>Σχετική</w:t>
            </w:r>
            <w:proofErr w:type="spellEnd"/>
            <w:r w:rsidRPr="006B1BBE">
              <w:rPr>
                <w:rFonts w:ascii="Times New Roman" w:hAnsi="Times New Roman" w:cs="Times New Roman"/>
                <w:lang w:val="en-US"/>
              </w:rPr>
              <w:t xml:space="preserve"> </w:t>
            </w:r>
            <w:proofErr w:type="spellStart"/>
            <w:r w:rsidRPr="006B1BBE">
              <w:rPr>
                <w:rFonts w:ascii="Times New Roman" w:hAnsi="Times New Roman" w:cs="Times New Roman"/>
                <w:lang w:val="en-US"/>
              </w:rPr>
              <w:t>Μείωση</w:t>
            </w:r>
            <w:proofErr w:type="spellEnd"/>
          </w:p>
          <w:p w:rsidR="006F2690" w:rsidRPr="006B1BBE" w:rsidRDefault="006F2690" w:rsidP="006F2690">
            <w:pPr>
              <w:jc w:val="both"/>
              <w:rPr>
                <w:rFonts w:ascii="Times New Roman" w:hAnsi="Times New Roman" w:cs="Times New Roman"/>
                <w:lang w:val="en-US"/>
              </w:rPr>
            </w:pPr>
            <w:proofErr w:type="spellStart"/>
            <w:proofErr w:type="gramStart"/>
            <w:r w:rsidRPr="006B1BBE">
              <w:rPr>
                <w:rFonts w:ascii="Times New Roman" w:hAnsi="Times New Roman" w:cs="Times New Roman"/>
                <w:lang w:val="en-US"/>
              </w:rPr>
              <w:t>κινδύνου</w:t>
            </w:r>
            <w:proofErr w:type="spellEnd"/>
            <w:proofErr w:type="gramEnd"/>
            <w:r w:rsidRPr="006B1BBE">
              <w:rPr>
                <w:rFonts w:ascii="Times New Roman" w:hAnsi="Times New Roman" w:cs="Times New Roman"/>
                <w:lang w:val="en-US"/>
              </w:rPr>
              <w:t xml:space="preserve"> (%)</w:t>
            </w:r>
          </w:p>
        </w:tc>
        <w:tc>
          <w:tcPr>
            <w:tcW w:w="1701" w:type="dxa"/>
          </w:tcPr>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Αριθμός</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Συμβαμάτων</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(Ατορβαστατίνη</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έναντι εικονικού</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φαρμάκου)</w:t>
            </w:r>
          </w:p>
        </w:tc>
        <w:tc>
          <w:tcPr>
            <w:tcW w:w="1559" w:type="dxa"/>
          </w:tcPr>
          <w:p w:rsidR="006F2690" w:rsidRPr="006B1BBE" w:rsidRDefault="006F2690" w:rsidP="006F2690">
            <w:pPr>
              <w:jc w:val="both"/>
              <w:rPr>
                <w:rFonts w:ascii="Times New Roman" w:hAnsi="Times New Roman" w:cs="Times New Roman"/>
                <w:lang w:val="en-US"/>
              </w:rPr>
            </w:pPr>
            <w:proofErr w:type="spellStart"/>
            <w:r w:rsidRPr="006B1BBE">
              <w:rPr>
                <w:rFonts w:ascii="Times New Roman" w:hAnsi="Times New Roman" w:cs="Times New Roman"/>
                <w:lang w:val="en-US"/>
              </w:rPr>
              <w:t>Απόλυτη</w:t>
            </w:r>
            <w:proofErr w:type="spellEnd"/>
          </w:p>
          <w:p w:rsidR="006F2690" w:rsidRPr="006B1BBE" w:rsidRDefault="006F2690" w:rsidP="006F2690">
            <w:pPr>
              <w:jc w:val="both"/>
              <w:rPr>
                <w:rFonts w:ascii="Times New Roman" w:hAnsi="Times New Roman" w:cs="Times New Roman"/>
                <w:lang w:val="en-US"/>
              </w:rPr>
            </w:pPr>
            <w:proofErr w:type="spellStart"/>
            <w:r w:rsidRPr="006B1BBE">
              <w:rPr>
                <w:rFonts w:ascii="Times New Roman" w:hAnsi="Times New Roman" w:cs="Times New Roman"/>
                <w:lang w:val="en-US"/>
              </w:rPr>
              <w:t>Μείωση</w:t>
            </w:r>
            <w:proofErr w:type="spellEnd"/>
          </w:p>
          <w:p w:rsidR="006F2690" w:rsidRPr="006B1BBE" w:rsidRDefault="006F2690" w:rsidP="006F2690">
            <w:pPr>
              <w:jc w:val="both"/>
              <w:rPr>
                <w:rFonts w:ascii="Times New Roman" w:hAnsi="Times New Roman" w:cs="Times New Roman"/>
                <w:lang w:val="en-US"/>
              </w:rPr>
            </w:pPr>
            <w:r w:rsidRPr="006B1BBE">
              <w:rPr>
                <w:rFonts w:ascii="Times New Roman" w:hAnsi="Times New Roman" w:cs="Times New Roman"/>
                <w:lang w:val="en-US"/>
              </w:rPr>
              <w:t>κινδύνου</w:t>
            </w:r>
            <w:r w:rsidRPr="006B1BBE">
              <w:rPr>
                <w:rFonts w:ascii="Times New Roman" w:hAnsi="Times New Roman" w:cs="Times New Roman"/>
                <w:vertAlign w:val="superscript"/>
                <w:lang w:val="en-US"/>
              </w:rPr>
              <w:t>1</w:t>
            </w:r>
            <w:r w:rsidRPr="006B1BBE">
              <w:rPr>
                <w:rFonts w:ascii="Times New Roman" w:hAnsi="Times New Roman" w:cs="Times New Roman"/>
                <w:lang w:val="en-US"/>
              </w:rPr>
              <w:t xml:space="preserve"> (%)</w:t>
            </w:r>
          </w:p>
        </w:tc>
        <w:tc>
          <w:tcPr>
            <w:tcW w:w="956" w:type="dxa"/>
          </w:tcPr>
          <w:p w:rsidR="006F2690" w:rsidRPr="006B1BBE" w:rsidRDefault="006F2690" w:rsidP="008525D4">
            <w:pPr>
              <w:jc w:val="both"/>
              <w:rPr>
                <w:rFonts w:ascii="Times New Roman" w:hAnsi="Times New Roman" w:cs="Times New Roman"/>
                <w:lang w:val="en-US"/>
              </w:rPr>
            </w:pPr>
            <w:proofErr w:type="spellStart"/>
            <w:r w:rsidRPr="006B1BBE">
              <w:rPr>
                <w:rFonts w:ascii="Times New Roman" w:hAnsi="Times New Roman" w:cs="Times New Roman"/>
                <w:lang w:val="en-US"/>
              </w:rPr>
              <w:t>Τιμή</w:t>
            </w:r>
            <w:proofErr w:type="spellEnd"/>
            <w:r w:rsidRPr="006B1BBE">
              <w:rPr>
                <w:rFonts w:ascii="Times New Roman" w:hAnsi="Times New Roman" w:cs="Times New Roman"/>
                <w:lang w:val="en-US"/>
              </w:rPr>
              <w:t xml:space="preserve"> p</w:t>
            </w:r>
          </w:p>
        </w:tc>
      </w:tr>
      <w:tr w:rsidR="006F2690" w:rsidRPr="006B1BBE" w:rsidTr="006F2690">
        <w:tc>
          <w:tcPr>
            <w:tcW w:w="3227" w:type="dxa"/>
          </w:tcPr>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Κύρια καρδιαγγειακά</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συμβάματα (θανατηφόρο και</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μη-θανατηφόρο ΟΕΜ,</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σιωπηλό ΕΜ, αιφνίδιος</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θάνατος από ΣΝ, ασταθής</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 xml:space="preserve">στηθάγχη, </w:t>
            </w:r>
            <w:r w:rsidRPr="006B1BBE">
              <w:rPr>
                <w:rFonts w:ascii="Times New Roman" w:hAnsi="Times New Roman" w:cs="Times New Roman"/>
                <w:lang w:val="en-US"/>
              </w:rPr>
              <w:t>CABG</w:t>
            </w:r>
            <w:r w:rsidRPr="006B1BBE">
              <w:rPr>
                <w:rFonts w:ascii="Times New Roman" w:hAnsi="Times New Roman" w:cs="Times New Roman"/>
              </w:rPr>
              <w:t xml:space="preserve">, </w:t>
            </w:r>
            <w:r w:rsidRPr="006B1BBE">
              <w:rPr>
                <w:rFonts w:ascii="Times New Roman" w:hAnsi="Times New Roman" w:cs="Times New Roman"/>
                <w:lang w:val="en-US"/>
              </w:rPr>
              <w:t>PTCA</w:t>
            </w:r>
            <w:r w:rsidRPr="006B1BBE">
              <w:rPr>
                <w:rFonts w:ascii="Times New Roman" w:hAnsi="Times New Roman" w:cs="Times New Roman"/>
              </w:rPr>
              <w:t>, επαναγγείωση, εγκεφαλικό</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επεισόδιο)</w:t>
            </w:r>
          </w:p>
        </w:tc>
        <w:tc>
          <w:tcPr>
            <w:tcW w:w="1843" w:type="dxa"/>
          </w:tcPr>
          <w:p w:rsidR="006F2690" w:rsidRPr="006B1BBE" w:rsidRDefault="006F2690" w:rsidP="008525D4">
            <w:pPr>
              <w:jc w:val="both"/>
              <w:rPr>
                <w:rFonts w:ascii="Times New Roman" w:hAnsi="Times New Roman" w:cs="Times New Roman"/>
              </w:rPr>
            </w:pPr>
            <w:r w:rsidRPr="006B1BBE">
              <w:rPr>
                <w:rFonts w:ascii="Times New Roman" w:hAnsi="Times New Roman" w:cs="Times New Roman"/>
              </w:rPr>
              <w:t>37%</w:t>
            </w:r>
          </w:p>
        </w:tc>
        <w:tc>
          <w:tcPr>
            <w:tcW w:w="1701" w:type="dxa"/>
          </w:tcPr>
          <w:p w:rsidR="006F2690" w:rsidRPr="006B1BBE" w:rsidRDefault="006F2690" w:rsidP="008525D4">
            <w:pPr>
              <w:jc w:val="both"/>
              <w:rPr>
                <w:rFonts w:ascii="Times New Roman" w:hAnsi="Times New Roman" w:cs="Times New Roman"/>
              </w:rPr>
            </w:pPr>
            <w:r w:rsidRPr="006B1BBE">
              <w:rPr>
                <w:rFonts w:ascii="Times New Roman" w:hAnsi="Times New Roman" w:cs="Times New Roman"/>
              </w:rPr>
              <w:t>83 έναντι 127</w:t>
            </w:r>
          </w:p>
        </w:tc>
        <w:tc>
          <w:tcPr>
            <w:tcW w:w="1559" w:type="dxa"/>
          </w:tcPr>
          <w:p w:rsidR="006F2690" w:rsidRPr="006B1BBE" w:rsidRDefault="006F2690" w:rsidP="008525D4">
            <w:pPr>
              <w:jc w:val="both"/>
              <w:rPr>
                <w:rFonts w:ascii="Times New Roman" w:hAnsi="Times New Roman" w:cs="Times New Roman"/>
              </w:rPr>
            </w:pPr>
            <w:r w:rsidRPr="006B1BBE">
              <w:rPr>
                <w:rFonts w:ascii="Times New Roman" w:hAnsi="Times New Roman" w:cs="Times New Roman"/>
              </w:rPr>
              <w:t>3,2%</w:t>
            </w:r>
          </w:p>
        </w:tc>
        <w:tc>
          <w:tcPr>
            <w:tcW w:w="956" w:type="dxa"/>
          </w:tcPr>
          <w:p w:rsidR="006F2690" w:rsidRPr="006B1BBE" w:rsidRDefault="006F2690" w:rsidP="008525D4">
            <w:pPr>
              <w:jc w:val="both"/>
              <w:rPr>
                <w:rFonts w:ascii="Times New Roman" w:hAnsi="Times New Roman" w:cs="Times New Roman"/>
              </w:rPr>
            </w:pPr>
            <w:r w:rsidRPr="006B1BBE">
              <w:rPr>
                <w:rFonts w:ascii="Times New Roman" w:hAnsi="Times New Roman" w:cs="Times New Roman"/>
              </w:rPr>
              <w:t>0,0010</w:t>
            </w:r>
          </w:p>
        </w:tc>
      </w:tr>
      <w:tr w:rsidR="006F2690" w:rsidRPr="006B1BBE" w:rsidTr="006F2690">
        <w:tc>
          <w:tcPr>
            <w:tcW w:w="3227" w:type="dxa"/>
          </w:tcPr>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ΕΜ (θανατηφόρο και μη-</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θανατηφόρο ΟΕΜ, σιωπηλό</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ΕΜ)</w:t>
            </w:r>
          </w:p>
        </w:tc>
        <w:tc>
          <w:tcPr>
            <w:tcW w:w="1843" w:type="dxa"/>
          </w:tcPr>
          <w:p w:rsidR="006F2690" w:rsidRPr="006B1BBE" w:rsidRDefault="006F2690" w:rsidP="008525D4">
            <w:pPr>
              <w:jc w:val="both"/>
              <w:rPr>
                <w:rFonts w:ascii="Times New Roman" w:hAnsi="Times New Roman" w:cs="Times New Roman"/>
              </w:rPr>
            </w:pPr>
            <w:r w:rsidRPr="006B1BBE">
              <w:rPr>
                <w:rFonts w:ascii="Times New Roman" w:hAnsi="Times New Roman" w:cs="Times New Roman"/>
              </w:rPr>
              <w:t>42%</w:t>
            </w:r>
          </w:p>
        </w:tc>
        <w:tc>
          <w:tcPr>
            <w:tcW w:w="1701" w:type="dxa"/>
          </w:tcPr>
          <w:p w:rsidR="006F2690" w:rsidRPr="006B1BBE" w:rsidRDefault="006F2690" w:rsidP="008525D4">
            <w:pPr>
              <w:jc w:val="both"/>
              <w:rPr>
                <w:rFonts w:ascii="Times New Roman" w:hAnsi="Times New Roman" w:cs="Times New Roman"/>
              </w:rPr>
            </w:pPr>
            <w:r w:rsidRPr="006B1BBE">
              <w:rPr>
                <w:rFonts w:ascii="Times New Roman" w:hAnsi="Times New Roman" w:cs="Times New Roman"/>
              </w:rPr>
              <w:t>38 έναντι 64</w:t>
            </w:r>
          </w:p>
        </w:tc>
        <w:tc>
          <w:tcPr>
            <w:tcW w:w="1559" w:type="dxa"/>
          </w:tcPr>
          <w:p w:rsidR="006F2690" w:rsidRPr="006B1BBE" w:rsidRDefault="006F2690" w:rsidP="008525D4">
            <w:pPr>
              <w:jc w:val="both"/>
              <w:rPr>
                <w:rFonts w:ascii="Times New Roman" w:hAnsi="Times New Roman" w:cs="Times New Roman"/>
              </w:rPr>
            </w:pPr>
            <w:r w:rsidRPr="006B1BBE">
              <w:rPr>
                <w:rFonts w:ascii="Times New Roman" w:hAnsi="Times New Roman" w:cs="Times New Roman"/>
              </w:rPr>
              <w:t>1,9%</w:t>
            </w:r>
          </w:p>
        </w:tc>
        <w:tc>
          <w:tcPr>
            <w:tcW w:w="956" w:type="dxa"/>
          </w:tcPr>
          <w:p w:rsidR="006F2690" w:rsidRPr="006B1BBE" w:rsidRDefault="006F2690" w:rsidP="008525D4">
            <w:pPr>
              <w:jc w:val="both"/>
              <w:rPr>
                <w:rFonts w:ascii="Times New Roman" w:hAnsi="Times New Roman" w:cs="Times New Roman"/>
              </w:rPr>
            </w:pPr>
            <w:r w:rsidRPr="006B1BBE">
              <w:rPr>
                <w:rFonts w:ascii="Times New Roman" w:hAnsi="Times New Roman" w:cs="Times New Roman"/>
              </w:rPr>
              <w:t>0,0070</w:t>
            </w:r>
          </w:p>
        </w:tc>
      </w:tr>
      <w:tr w:rsidR="006F2690" w:rsidRPr="006B1BBE" w:rsidTr="006F2690">
        <w:tc>
          <w:tcPr>
            <w:tcW w:w="3227" w:type="dxa"/>
          </w:tcPr>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Αγγειακά εγκεφαλικά</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επεισόδια (θανατηφόρα και</w:t>
            </w:r>
          </w:p>
          <w:p w:rsidR="006F2690" w:rsidRPr="006B1BBE" w:rsidRDefault="006F2690" w:rsidP="006F2690">
            <w:pPr>
              <w:jc w:val="both"/>
              <w:rPr>
                <w:rFonts w:ascii="Times New Roman" w:hAnsi="Times New Roman" w:cs="Times New Roman"/>
              </w:rPr>
            </w:pPr>
            <w:r w:rsidRPr="006B1BBE">
              <w:rPr>
                <w:rFonts w:ascii="Times New Roman" w:hAnsi="Times New Roman" w:cs="Times New Roman"/>
              </w:rPr>
              <w:t>μη-θανατηφόρα)</w:t>
            </w:r>
          </w:p>
        </w:tc>
        <w:tc>
          <w:tcPr>
            <w:tcW w:w="1843" w:type="dxa"/>
          </w:tcPr>
          <w:p w:rsidR="006F2690" w:rsidRPr="006B1BBE" w:rsidRDefault="006F2690" w:rsidP="008525D4">
            <w:pPr>
              <w:jc w:val="both"/>
              <w:rPr>
                <w:rFonts w:ascii="Times New Roman" w:hAnsi="Times New Roman" w:cs="Times New Roman"/>
              </w:rPr>
            </w:pPr>
            <w:r w:rsidRPr="006B1BBE">
              <w:rPr>
                <w:rFonts w:ascii="Times New Roman" w:hAnsi="Times New Roman" w:cs="Times New Roman"/>
              </w:rPr>
              <w:t>48%</w:t>
            </w:r>
          </w:p>
        </w:tc>
        <w:tc>
          <w:tcPr>
            <w:tcW w:w="1701" w:type="dxa"/>
          </w:tcPr>
          <w:p w:rsidR="006F2690" w:rsidRPr="006B1BBE" w:rsidRDefault="002042F6" w:rsidP="008525D4">
            <w:pPr>
              <w:jc w:val="both"/>
              <w:rPr>
                <w:rFonts w:ascii="Times New Roman" w:hAnsi="Times New Roman" w:cs="Times New Roman"/>
              </w:rPr>
            </w:pPr>
            <w:r w:rsidRPr="006B1BBE">
              <w:rPr>
                <w:rFonts w:ascii="Times New Roman" w:hAnsi="Times New Roman" w:cs="Times New Roman"/>
              </w:rPr>
              <w:t>21 έναντι 39</w:t>
            </w:r>
          </w:p>
        </w:tc>
        <w:tc>
          <w:tcPr>
            <w:tcW w:w="1559" w:type="dxa"/>
          </w:tcPr>
          <w:p w:rsidR="006F2690" w:rsidRPr="006B1BBE" w:rsidRDefault="002042F6" w:rsidP="008525D4">
            <w:pPr>
              <w:jc w:val="both"/>
              <w:rPr>
                <w:rFonts w:ascii="Times New Roman" w:hAnsi="Times New Roman" w:cs="Times New Roman"/>
              </w:rPr>
            </w:pPr>
            <w:r w:rsidRPr="006B1BBE">
              <w:rPr>
                <w:rFonts w:ascii="Times New Roman" w:hAnsi="Times New Roman" w:cs="Times New Roman"/>
              </w:rPr>
              <w:t>1,3%</w:t>
            </w:r>
          </w:p>
        </w:tc>
        <w:tc>
          <w:tcPr>
            <w:tcW w:w="956" w:type="dxa"/>
          </w:tcPr>
          <w:p w:rsidR="006F2690" w:rsidRPr="006B1BBE" w:rsidRDefault="002042F6" w:rsidP="008525D4">
            <w:pPr>
              <w:jc w:val="both"/>
              <w:rPr>
                <w:rFonts w:ascii="Times New Roman" w:hAnsi="Times New Roman" w:cs="Times New Roman"/>
              </w:rPr>
            </w:pPr>
            <w:r w:rsidRPr="006B1BBE">
              <w:rPr>
                <w:rFonts w:ascii="Times New Roman" w:hAnsi="Times New Roman" w:cs="Times New Roman"/>
              </w:rPr>
              <w:t>0,0163</w:t>
            </w:r>
          </w:p>
        </w:tc>
      </w:tr>
    </w:tbl>
    <w:p w:rsidR="00A30591" w:rsidRDefault="00F457BF" w:rsidP="008525D4">
      <w:pPr>
        <w:spacing w:after="0" w:line="240" w:lineRule="auto"/>
        <w:jc w:val="both"/>
        <w:rPr>
          <w:rFonts w:ascii="Times New Roman" w:hAnsi="Times New Roman" w:cs="Times New Roman"/>
        </w:rPr>
      </w:pPr>
      <w:r w:rsidRPr="006B1BBE">
        <w:rPr>
          <w:rFonts w:ascii="Times New Roman" w:hAnsi="Times New Roman" w:cs="Times New Roman"/>
          <w:vertAlign w:val="superscript"/>
        </w:rPr>
        <w:t>1</w:t>
      </w:r>
      <w:r w:rsidRPr="006B1BBE">
        <w:rPr>
          <w:rFonts w:ascii="Times New Roman" w:hAnsi="Times New Roman" w:cs="Times New Roman"/>
        </w:rPr>
        <w:t>Βασίζεται στη διαφορά των πρωτογενών συχν</w:t>
      </w:r>
      <w:r w:rsidR="002042F6" w:rsidRPr="006B1BBE">
        <w:rPr>
          <w:rFonts w:ascii="Times New Roman" w:hAnsi="Times New Roman" w:cs="Times New Roman"/>
        </w:rPr>
        <w:t xml:space="preserve">οτήτων εμφάνισης των συμβαμάτων </w:t>
      </w:r>
      <w:r w:rsidRPr="006B1BBE">
        <w:rPr>
          <w:rFonts w:ascii="Times New Roman" w:hAnsi="Times New Roman" w:cs="Times New Roman"/>
        </w:rPr>
        <w:t>που παρουσιάζονται σε μια διάμεση π</w:t>
      </w:r>
      <w:r w:rsidR="002042F6" w:rsidRPr="006B1BBE">
        <w:rPr>
          <w:rFonts w:ascii="Times New Roman" w:hAnsi="Times New Roman" w:cs="Times New Roman"/>
        </w:rPr>
        <w:t xml:space="preserve">ερίοδο παρακολούθησης 3,9 ετών. </w:t>
      </w:r>
      <w:r w:rsidRPr="006B1BBE">
        <w:rPr>
          <w:rFonts w:ascii="Times New Roman" w:hAnsi="Times New Roman" w:cs="Times New Roman"/>
        </w:rPr>
        <w:t xml:space="preserve">ΟΕΜ: Οξύ έμφραγμα μυοκαρδίου, </w:t>
      </w:r>
      <w:r w:rsidRPr="006B1BBE">
        <w:rPr>
          <w:rFonts w:ascii="Times New Roman" w:hAnsi="Times New Roman" w:cs="Times New Roman"/>
          <w:lang w:val="en-US"/>
        </w:rPr>
        <w:t>CABG</w:t>
      </w:r>
      <w:r w:rsidRPr="006B1BBE">
        <w:rPr>
          <w:rFonts w:ascii="Times New Roman" w:hAnsi="Times New Roman" w:cs="Times New Roman"/>
        </w:rPr>
        <w:t xml:space="preserve">= </w:t>
      </w:r>
      <w:r w:rsidRPr="006B1BBE">
        <w:rPr>
          <w:rFonts w:ascii="Times New Roman" w:hAnsi="Times New Roman" w:cs="Times New Roman"/>
          <w:lang w:val="en-US"/>
        </w:rPr>
        <w:t>coronary</w:t>
      </w:r>
      <w:r w:rsidRPr="006B1BBE">
        <w:rPr>
          <w:rFonts w:ascii="Times New Roman" w:hAnsi="Times New Roman" w:cs="Times New Roman"/>
        </w:rPr>
        <w:t xml:space="preserve"> </w:t>
      </w:r>
      <w:r w:rsidRPr="006B1BBE">
        <w:rPr>
          <w:rFonts w:ascii="Times New Roman" w:hAnsi="Times New Roman" w:cs="Times New Roman"/>
          <w:lang w:val="en-US"/>
        </w:rPr>
        <w:t>artery</w:t>
      </w:r>
      <w:r w:rsidRPr="006B1BBE">
        <w:rPr>
          <w:rFonts w:ascii="Times New Roman" w:hAnsi="Times New Roman" w:cs="Times New Roman"/>
        </w:rPr>
        <w:t xml:space="preserve"> </w:t>
      </w:r>
      <w:r w:rsidRPr="006B1BBE">
        <w:rPr>
          <w:rFonts w:ascii="Times New Roman" w:hAnsi="Times New Roman" w:cs="Times New Roman"/>
          <w:lang w:val="en-US"/>
        </w:rPr>
        <w:t>bypass</w:t>
      </w:r>
      <w:r w:rsidRPr="006B1BBE">
        <w:rPr>
          <w:rFonts w:ascii="Times New Roman" w:hAnsi="Times New Roman" w:cs="Times New Roman"/>
        </w:rPr>
        <w:t xml:space="preserve"> </w:t>
      </w:r>
      <w:r w:rsidRPr="006B1BBE">
        <w:rPr>
          <w:rFonts w:ascii="Times New Roman" w:hAnsi="Times New Roman" w:cs="Times New Roman"/>
          <w:lang w:val="en-US"/>
        </w:rPr>
        <w:t>graft</w:t>
      </w:r>
      <w:r w:rsidR="002042F6" w:rsidRPr="006B1BBE">
        <w:rPr>
          <w:rFonts w:ascii="Times New Roman" w:hAnsi="Times New Roman" w:cs="Times New Roman"/>
        </w:rPr>
        <w:t xml:space="preserve">  </w:t>
      </w:r>
      <w:r w:rsidRPr="006B1BBE">
        <w:rPr>
          <w:rFonts w:ascii="Times New Roman" w:hAnsi="Times New Roman" w:cs="Times New Roman"/>
        </w:rPr>
        <w:t>-Παρακαμπτήριο μόσχευμα στεφανιαίου</w:t>
      </w:r>
      <w:r w:rsidR="002042F6" w:rsidRPr="006B1BBE">
        <w:rPr>
          <w:rFonts w:ascii="Times New Roman" w:hAnsi="Times New Roman" w:cs="Times New Roman"/>
        </w:rPr>
        <w:t xml:space="preserve"> αγγείου, ΣΝ: Στεφανιαία Νόσος.</w:t>
      </w:r>
    </w:p>
    <w:p w:rsidR="00F457BF" w:rsidRPr="006B1BBE" w:rsidRDefault="002042F6"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 </w:t>
      </w:r>
      <w:r w:rsidR="00F457BF" w:rsidRPr="006B1BBE">
        <w:rPr>
          <w:rFonts w:ascii="Times New Roman" w:hAnsi="Times New Roman" w:cs="Times New Roman"/>
        </w:rPr>
        <w:t xml:space="preserve">ΕΜ: Έμφραγμα Μυοκαρδίου, </w:t>
      </w:r>
      <w:r w:rsidR="00F457BF" w:rsidRPr="006B1BBE">
        <w:rPr>
          <w:rFonts w:ascii="Times New Roman" w:hAnsi="Times New Roman" w:cs="Times New Roman"/>
          <w:lang w:val="en-US"/>
        </w:rPr>
        <w:t>PTCA</w:t>
      </w:r>
      <w:r w:rsidR="00F457BF" w:rsidRPr="006B1BBE">
        <w:rPr>
          <w:rFonts w:ascii="Times New Roman" w:hAnsi="Times New Roman" w:cs="Times New Roman"/>
        </w:rPr>
        <w:t xml:space="preserve">= </w:t>
      </w:r>
      <w:proofErr w:type="spellStart"/>
      <w:r w:rsidR="00F457BF" w:rsidRPr="006B1BBE">
        <w:rPr>
          <w:rFonts w:ascii="Times New Roman" w:hAnsi="Times New Roman" w:cs="Times New Roman"/>
          <w:lang w:val="en-US"/>
        </w:rPr>
        <w:t>percutaneous</w:t>
      </w:r>
      <w:proofErr w:type="spellEnd"/>
      <w:r w:rsidR="00F457BF" w:rsidRPr="006B1BBE">
        <w:rPr>
          <w:rFonts w:ascii="Times New Roman" w:hAnsi="Times New Roman" w:cs="Times New Roman"/>
        </w:rPr>
        <w:t xml:space="preserve"> </w:t>
      </w:r>
      <w:proofErr w:type="spellStart"/>
      <w:r w:rsidR="00F457BF" w:rsidRPr="006B1BBE">
        <w:rPr>
          <w:rFonts w:ascii="Times New Roman" w:hAnsi="Times New Roman" w:cs="Times New Roman"/>
          <w:lang w:val="en-US"/>
        </w:rPr>
        <w:t>transluminal</w:t>
      </w:r>
      <w:proofErr w:type="spellEnd"/>
      <w:r w:rsidR="00F457BF" w:rsidRPr="006B1BBE">
        <w:rPr>
          <w:rFonts w:ascii="Times New Roman" w:hAnsi="Times New Roman" w:cs="Times New Roman"/>
        </w:rPr>
        <w:t xml:space="preserve"> </w:t>
      </w:r>
      <w:r w:rsidR="00F457BF" w:rsidRPr="006B1BBE">
        <w:rPr>
          <w:rFonts w:ascii="Times New Roman" w:hAnsi="Times New Roman" w:cs="Times New Roman"/>
          <w:lang w:val="en-US"/>
        </w:rPr>
        <w:t>coronary</w:t>
      </w:r>
      <w:r w:rsidRPr="006B1BBE">
        <w:rPr>
          <w:rFonts w:ascii="Times New Roman" w:hAnsi="Times New Roman" w:cs="Times New Roman"/>
        </w:rPr>
        <w:t xml:space="preserve"> </w:t>
      </w:r>
      <w:r w:rsidR="00F457BF" w:rsidRPr="006B1BBE">
        <w:rPr>
          <w:rFonts w:ascii="Times New Roman" w:hAnsi="Times New Roman" w:cs="Times New Roman"/>
        </w:rPr>
        <w:t>angioplasty - Διαδερμική διαυλική αγγειοπλαστική στεφανιαίων.</w:t>
      </w:r>
    </w:p>
    <w:p w:rsidR="002042F6" w:rsidRPr="006B1BBE" w:rsidRDefault="002042F6"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Δεν υπήρξαν στοιχεία που να υποστηρίζουν διαφορά στην επίδραση της θε</w:t>
      </w:r>
      <w:r w:rsidR="001A4B3A" w:rsidRPr="006B1BBE">
        <w:rPr>
          <w:rFonts w:ascii="Times New Roman" w:hAnsi="Times New Roman" w:cs="Times New Roman"/>
        </w:rPr>
        <w:t xml:space="preserve">ραπείας, ανάλογα </w:t>
      </w:r>
      <w:r w:rsidRPr="006B1BBE">
        <w:rPr>
          <w:rFonts w:ascii="Times New Roman" w:hAnsi="Times New Roman" w:cs="Times New Roman"/>
        </w:rPr>
        <w:t>με το φύλο, την ηλικία ή τα αρχικά επίπεδα της LDL-χοληστερόλης των ασθενών.</w:t>
      </w:r>
      <w:r w:rsidR="001A4B3A" w:rsidRPr="006B1BBE">
        <w:rPr>
          <w:rFonts w:ascii="Times New Roman" w:hAnsi="Times New Roman" w:cs="Times New Roman"/>
        </w:rPr>
        <w:t xml:space="preserve"> </w:t>
      </w:r>
      <w:r w:rsidRPr="006B1BBE">
        <w:rPr>
          <w:rFonts w:ascii="Times New Roman" w:hAnsi="Times New Roman" w:cs="Times New Roman"/>
        </w:rPr>
        <w:t>Παρατηρήθηκε μια</w:t>
      </w:r>
      <w:r w:rsidR="001A4B3A" w:rsidRPr="006B1BBE">
        <w:rPr>
          <w:rFonts w:ascii="Times New Roman" w:hAnsi="Times New Roman" w:cs="Times New Roman"/>
        </w:rPr>
        <w:t xml:space="preserve"> </w:t>
      </w:r>
      <w:r w:rsidRPr="006B1BBE">
        <w:rPr>
          <w:rFonts w:ascii="Times New Roman" w:hAnsi="Times New Roman" w:cs="Times New Roman"/>
        </w:rPr>
        <w:t>ευνοϊκή τάση, όσον αφορά τη θνησιμό</w:t>
      </w:r>
      <w:r w:rsidR="001A4B3A" w:rsidRPr="006B1BBE">
        <w:rPr>
          <w:rFonts w:ascii="Times New Roman" w:hAnsi="Times New Roman" w:cs="Times New Roman"/>
        </w:rPr>
        <w:t xml:space="preserve">τητα (82 θάνατοι στην ομάδα του εικονικού φαρμάκου </w:t>
      </w:r>
      <w:r w:rsidRPr="006B1BBE">
        <w:rPr>
          <w:rFonts w:ascii="Times New Roman" w:hAnsi="Times New Roman" w:cs="Times New Roman"/>
        </w:rPr>
        <w:t>συγκριτικά με 61 θανάτους στην ομάδα της ατορβαστατίνης, p=0,0592).</w:t>
      </w:r>
    </w:p>
    <w:p w:rsidR="001A4B3A" w:rsidRPr="006B1BBE" w:rsidRDefault="001A4B3A" w:rsidP="008525D4">
      <w:pPr>
        <w:spacing w:after="0" w:line="240" w:lineRule="auto"/>
        <w:jc w:val="both"/>
        <w:rPr>
          <w:rFonts w:ascii="Times New Roman" w:hAnsi="Times New Roman" w:cs="Times New Roman"/>
        </w:rPr>
      </w:pPr>
    </w:p>
    <w:p w:rsidR="00F457BF" w:rsidRPr="006B1BBE" w:rsidRDefault="001A4B3A"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 xml:space="preserve">Υποτροπή </w:t>
      </w:r>
      <w:r w:rsidRPr="006B1BBE">
        <w:rPr>
          <w:rFonts w:ascii="Times New Roman" w:hAnsi="Times New Roman" w:cs="Times New Roman"/>
          <w:u w:val="single"/>
          <w:lang w:val="en-US"/>
        </w:rPr>
        <w:t>A</w:t>
      </w:r>
      <w:r w:rsidRPr="006B1BBE">
        <w:rPr>
          <w:rFonts w:ascii="Times New Roman" w:hAnsi="Times New Roman" w:cs="Times New Roman"/>
          <w:u w:val="single"/>
        </w:rPr>
        <w:t xml:space="preserve">γγειακού </w:t>
      </w:r>
      <w:r w:rsidRPr="006B1BBE">
        <w:rPr>
          <w:rFonts w:ascii="Times New Roman" w:hAnsi="Times New Roman" w:cs="Times New Roman"/>
          <w:u w:val="single"/>
          <w:lang w:val="en-US"/>
        </w:rPr>
        <w:t>E</w:t>
      </w:r>
      <w:r w:rsidRPr="006B1BBE">
        <w:rPr>
          <w:rFonts w:ascii="Times New Roman" w:hAnsi="Times New Roman" w:cs="Times New Roman"/>
          <w:u w:val="single"/>
        </w:rPr>
        <w:t xml:space="preserve">γκεφαλικού </w:t>
      </w:r>
      <w:r w:rsidRPr="006B1BBE">
        <w:rPr>
          <w:rFonts w:ascii="Times New Roman" w:hAnsi="Times New Roman" w:cs="Times New Roman"/>
          <w:u w:val="single"/>
          <w:lang w:val="en-US"/>
        </w:rPr>
        <w:t>E</w:t>
      </w:r>
      <w:r w:rsidR="00F457BF" w:rsidRPr="006B1BBE">
        <w:rPr>
          <w:rFonts w:ascii="Times New Roman" w:hAnsi="Times New Roman" w:cs="Times New Roman"/>
          <w:u w:val="single"/>
        </w:rPr>
        <w:t>πεισοδίου</w:t>
      </w:r>
    </w:p>
    <w:p w:rsidR="001A4B3A" w:rsidRPr="006B1BBE" w:rsidRDefault="001A4B3A"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Στη μελέτη Πρόληψης Αγγειακού Εγκεφαλικού Επε</w:t>
      </w:r>
      <w:r w:rsidR="001A4B3A" w:rsidRPr="006B1BBE">
        <w:rPr>
          <w:rFonts w:ascii="Times New Roman" w:hAnsi="Times New Roman" w:cs="Times New Roman"/>
        </w:rPr>
        <w:t xml:space="preserve">ισοδίου με Επιθετική Μείωση των </w:t>
      </w:r>
      <w:r w:rsidRPr="006B1BBE">
        <w:rPr>
          <w:rFonts w:ascii="Times New Roman" w:hAnsi="Times New Roman" w:cs="Times New Roman"/>
        </w:rPr>
        <w:t>Επιπέδων Χοληστερόλης (</w:t>
      </w:r>
      <w:r w:rsidRPr="006B1BBE">
        <w:rPr>
          <w:rFonts w:ascii="Times New Roman" w:hAnsi="Times New Roman" w:cs="Times New Roman"/>
          <w:lang w:val="en-US"/>
        </w:rPr>
        <w:t>Stroke</w:t>
      </w:r>
      <w:r w:rsidRPr="006B1BBE">
        <w:rPr>
          <w:rFonts w:ascii="Times New Roman" w:hAnsi="Times New Roman" w:cs="Times New Roman"/>
        </w:rPr>
        <w:t xml:space="preserve"> </w:t>
      </w:r>
      <w:r w:rsidRPr="006B1BBE">
        <w:rPr>
          <w:rFonts w:ascii="Times New Roman" w:hAnsi="Times New Roman" w:cs="Times New Roman"/>
          <w:lang w:val="en-US"/>
        </w:rPr>
        <w:t>Prevention</w:t>
      </w:r>
      <w:r w:rsidRPr="006B1BBE">
        <w:rPr>
          <w:rFonts w:ascii="Times New Roman" w:hAnsi="Times New Roman" w:cs="Times New Roman"/>
        </w:rPr>
        <w:t xml:space="preserve"> </w:t>
      </w:r>
      <w:r w:rsidRPr="006B1BBE">
        <w:rPr>
          <w:rFonts w:ascii="Times New Roman" w:hAnsi="Times New Roman" w:cs="Times New Roman"/>
          <w:lang w:val="en-US"/>
        </w:rPr>
        <w:t>by</w:t>
      </w:r>
      <w:r w:rsidRPr="006B1BBE">
        <w:rPr>
          <w:rFonts w:ascii="Times New Roman" w:hAnsi="Times New Roman" w:cs="Times New Roman"/>
        </w:rPr>
        <w:t xml:space="preserve"> </w:t>
      </w:r>
      <w:r w:rsidRPr="006B1BBE">
        <w:rPr>
          <w:rFonts w:ascii="Times New Roman" w:hAnsi="Times New Roman" w:cs="Times New Roman"/>
          <w:lang w:val="en-US"/>
        </w:rPr>
        <w:t>Aggressive</w:t>
      </w:r>
      <w:r w:rsidRPr="006B1BBE">
        <w:rPr>
          <w:rFonts w:ascii="Times New Roman" w:hAnsi="Times New Roman" w:cs="Times New Roman"/>
        </w:rPr>
        <w:t xml:space="preserve"> </w:t>
      </w:r>
      <w:r w:rsidRPr="006B1BBE">
        <w:rPr>
          <w:rFonts w:ascii="Times New Roman" w:hAnsi="Times New Roman" w:cs="Times New Roman"/>
          <w:lang w:val="en-US"/>
        </w:rPr>
        <w:t>Reduction</w:t>
      </w:r>
      <w:r w:rsidRPr="006B1BBE">
        <w:rPr>
          <w:rFonts w:ascii="Times New Roman" w:hAnsi="Times New Roman" w:cs="Times New Roman"/>
        </w:rPr>
        <w:t xml:space="preserve"> </w:t>
      </w:r>
      <w:r w:rsidRPr="006B1BBE">
        <w:rPr>
          <w:rFonts w:ascii="Times New Roman" w:hAnsi="Times New Roman" w:cs="Times New Roman"/>
          <w:lang w:val="en-US"/>
        </w:rPr>
        <w:t>in</w:t>
      </w:r>
      <w:r w:rsidRPr="006B1BBE">
        <w:rPr>
          <w:rFonts w:ascii="Times New Roman" w:hAnsi="Times New Roman" w:cs="Times New Roman"/>
        </w:rPr>
        <w:t xml:space="preserve"> </w:t>
      </w:r>
      <w:r w:rsidRPr="006B1BBE">
        <w:rPr>
          <w:rFonts w:ascii="Times New Roman" w:hAnsi="Times New Roman" w:cs="Times New Roman"/>
          <w:lang w:val="en-US"/>
        </w:rPr>
        <w:t>Cholesterol</w:t>
      </w:r>
      <w:r w:rsidRPr="006B1BBE">
        <w:rPr>
          <w:rFonts w:ascii="Times New Roman" w:hAnsi="Times New Roman" w:cs="Times New Roman"/>
        </w:rPr>
        <w:t xml:space="preserve"> </w:t>
      </w:r>
      <w:r w:rsidRPr="006B1BBE">
        <w:rPr>
          <w:rFonts w:ascii="Times New Roman" w:hAnsi="Times New Roman" w:cs="Times New Roman"/>
          <w:lang w:val="en-US"/>
        </w:rPr>
        <w:t>Levels</w:t>
      </w:r>
      <w:r w:rsidRPr="006B1BBE">
        <w:rPr>
          <w:rFonts w:ascii="Times New Roman" w:hAnsi="Times New Roman" w:cs="Times New Roman"/>
        </w:rPr>
        <w:t xml:space="preserve"> -</w:t>
      </w:r>
      <w:r w:rsidR="001A4B3A" w:rsidRPr="006B1BBE">
        <w:rPr>
          <w:rFonts w:ascii="Times New Roman" w:hAnsi="Times New Roman" w:cs="Times New Roman"/>
        </w:rPr>
        <w:t xml:space="preserve"> </w:t>
      </w:r>
      <w:r w:rsidRPr="006B1BBE">
        <w:rPr>
          <w:rFonts w:ascii="Times New Roman" w:hAnsi="Times New Roman" w:cs="Times New Roman"/>
          <w:lang w:val="en-US"/>
        </w:rPr>
        <w:t>SPARCL</w:t>
      </w:r>
      <w:r w:rsidRPr="006B1BBE">
        <w:rPr>
          <w:rFonts w:ascii="Times New Roman" w:hAnsi="Times New Roman" w:cs="Times New Roman"/>
        </w:rPr>
        <w:t xml:space="preserve">), η επίδραση της ατορβαστατίνης 80 </w:t>
      </w:r>
      <w:r w:rsidRPr="006B1BBE">
        <w:rPr>
          <w:rFonts w:ascii="Times New Roman" w:hAnsi="Times New Roman" w:cs="Times New Roman"/>
          <w:lang w:val="en-US"/>
        </w:rPr>
        <w:t>mg</w:t>
      </w:r>
      <w:r w:rsidRPr="006B1BBE">
        <w:rPr>
          <w:rFonts w:ascii="Times New Roman" w:hAnsi="Times New Roman" w:cs="Times New Roman"/>
        </w:rPr>
        <w:t xml:space="preserve"> ημερησίως ή εικονικού φαρμάκου στο</w:t>
      </w:r>
      <w:r w:rsidR="001A4B3A" w:rsidRPr="006B1BBE">
        <w:rPr>
          <w:rFonts w:ascii="Times New Roman" w:hAnsi="Times New Roman" w:cs="Times New Roman"/>
        </w:rPr>
        <w:t xml:space="preserve"> </w:t>
      </w:r>
      <w:r w:rsidRPr="006B1BBE">
        <w:rPr>
          <w:rFonts w:ascii="Times New Roman" w:hAnsi="Times New Roman" w:cs="Times New Roman"/>
        </w:rPr>
        <w:t>αγγειακό εγκεφαλικό επεισόδιο αξιολογήθηκε σε 4731 ασθενείς, που είχαν ένα αγγειακό</w:t>
      </w:r>
      <w:r w:rsidR="001A4B3A" w:rsidRPr="006B1BBE">
        <w:rPr>
          <w:rFonts w:ascii="Times New Roman" w:hAnsi="Times New Roman" w:cs="Times New Roman"/>
        </w:rPr>
        <w:t xml:space="preserve"> </w:t>
      </w:r>
      <w:r w:rsidRPr="006B1BBE">
        <w:rPr>
          <w:rFonts w:ascii="Times New Roman" w:hAnsi="Times New Roman" w:cs="Times New Roman"/>
        </w:rPr>
        <w:t>εγκεφαλικό επεισόδιο ή παροδικό ισχαιμικό επεισόδιο (</w:t>
      </w:r>
      <w:r w:rsidR="001A4B3A" w:rsidRPr="006B1BBE">
        <w:rPr>
          <w:rFonts w:ascii="Times New Roman" w:hAnsi="Times New Roman" w:cs="Times New Roman"/>
        </w:rPr>
        <w:t xml:space="preserve">ΤΙΑ) μέσα στους προηγούμενους 6 </w:t>
      </w:r>
      <w:r w:rsidRPr="006B1BBE">
        <w:rPr>
          <w:rFonts w:ascii="Times New Roman" w:hAnsi="Times New Roman" w:cs="Times New Roman"/>
        </w:rPr>
        <w:t>μήνες και δεν είχαν ιστορικό στεφανιαίας νόσου (ΣΝ). Οι ασ</w:t>
      </w:r>
      <w:r w:rsidR="001A4B3A" w:rsidRPr="006B1BBE">
        <w:rPr>
          <w:rFonts w:ascii="Times New Roman" w:hAnsi="Times New Roman" w:cs="Times New Roman"/>
        </w:rPr>
        <w:t xml:space="preserve">θενείς ήταν 60% άνδρες, ηλικίας </w:t>
      </w:r>
      <w:r w:rsidRPr="006B1BBE">
        <w:rPr>
          <w:rFonts w:ascii="Times New Roman" w:hAnsi="Times New Roman" w:cs="Times New Roman"/>
        </w:rPr>
        <w:t>21-92 ετών (μέση ηλικία ήταν τα 63 έτη) και στην αρχι</w:t>
      </w:r>
      <w:r w:rsidR="001A4B3A" w:rsidRPr="006B1BBE">
        <w:rPr>
          <w:rFonts w:ascii="Times New Roman" w:hAnsi="Times New Roman" w:cs="Times New Roman"/>
        </w:rPr>
        <w:t xml:space="preserve">κή επίσκεψη είχαν μέση τιμή LDL </w:t>
      </w:r>
      <w:r w:rsidRPr="006B1BBE">
        <w:rPr>
          <w:rFonts w:ascii="Times New Roman" w:hAnsi="Times New Roman" w:cs="Times New Roman"/>
        </w:rPr>
        <w:t>133 mg/dl (3,4 mmol/l). Η μέση τιμή της LDL-C ήτα</w:t>
      </w:r>
      <w:r w:rsidR="001A4B3A" w:rsidRPr="006B1BBE">
        <w:rPr>
          <w:rFonts w:ascii="Times New Roman" w:hAnsi="Times New Roman" w:cs="Times New Roman"/>
        </w:rPr>
        <w:t xml:space="preserve">ν 73 mg/dl (1,9 mmol/l) κατά τη </w:t>
      </w:r>
      <w:r w:rsidRPr="006B1BBE">
        <w:rPr>
          <w:rFonts w:ascii="Times New Roman" w:hAnsi="Times New Roman" w:cs="Times New Roman"/>
        </w:rPr>
        <w:t>θεραπεία με ατορβαστατίνη και 129 mg/dL (3,3 mmol/</w:t>
      </w:r>
      <w:r w:rsidR="001A4B3A" w:rsidRPr="006B1BBE">
        <w:rPr>
          <w:rFonts w:ascii="Times New Roman" w:hAnsi="Times New Roman" w:cs="Times New Roman"/>
        </w:rPr>
        <w:t xml:space="preserve">L) κατά τη θεραπεία με εικονικό </w:t>
      </w:r>
      <w:r w:rsidRPr="006B1BBE">
        <w:rPr>
          <w:rFonts w:ascii="Times New Roman" w:hAnsi="Times New Roman" w:cs="Times New Roman"/>
        </w:rPr>
        <w:t>φάρμακο. Διάμεση παρακολούθηση ήταν τα 4,9 έτη.</w:t>
      </w:r>
    </w:p>
    <w:p w:rsidR="001A4B3A" w:rsidRPr="006B1BBE" w:rsidRDefault="001A4B3A"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lastRenderedPageBreak/>
        <w:t>Η ατορβαστατίνη 80 mg μείωσε τον κίνδυνο του πρωτεύοντ</w:t>
      </w:r>
      <w:r w:rsidR="001A4B3A" w:rsidRPr="006B1BBE">
        <w:rPr>
          <w:rFonts w:ascii="Times New Roman" w:hAnsi="Times New Roman" w:cs="Times New Roman"/>
        </w:rPr>
        <w:t xml:space="preserve">ος τελικού σημείου, που ήταν το </w:t>
      </w:r>
      <w:r w:rsidRPr="006B1BBE">
        <w:rPr>
          <w:rFonts w:ascii="Times New Roman" w:hAnsi="Times New Roman" w:cs="Times New Roman"/>
        </w:rPr>
        <w:t>θανατηφόρο και μη θανατηφόρο αγγειακό εγκεφαλικό επ</w:t>
      </w:r>
      <w:r w:rsidR="001A4B3A" w:rsidRPr="006B1BBE">
        <w:rPr>
          <w:rFonts w:ascii="Times New Roman" w:hAnsi="Times New Roman" w:cs="Times New Roman"/>
        </w:rPr>
        <w:t xml:space="preserve">εισόδιο, κατά 15% (HR 0,85; 95% </w:t>
      </w:r>
      <w:r w:rsidRPr="006B1BBE">
        <w:rPr>
          <w:rFonts w:ascii="Times New Roman" w:hAnsi="Times New Roman" w:cs="Times New Roman"/>
        </w:rPr>
        <w:t>CI, 0,72-1,00; p =0,05 ή 0,84; 95% CI, 0,71-0,99; p=0,03 μετ</w:t>
      </w:r>
      <w:r w:rsidR="001A4B3A" w:rsidRPr="006B1BBE">
        <w:rPr>
          <w:rFonts w:ascii="Times New Roman" w:hAnsi="Times New Roman" w:cs="Times New Roman"/>
        </w:rPr>
        <w:t xml:space="preserve">ά τη διόρθωση ως προς τις τιμές </w:t>
      </w:r>
      <w:r w:rsidRPr="006B1BBE">
        <w:rPr>
          <w:rFonts w:ascii="Times New Roman" w:hAnsi="Times New Roman" w:cs="Times New Roman"/>
        </w:rPr>
        <w:t xml:space="preserve">των παραγόντων στην αρχική επίσκεψη, συγκριτικά με το </w:t>
      </w:r>
      <w:r w:rsidR="001A4B3A" w:rsidRPr="006B1BBE">
        <w:rPr>
          <w:rFonts w:ascii="Times New Roman" w:hAnsi="Times New Roman" w:cs="Times New Roman"/>
        </w:rPr>
        <w:t xml:space="preserve">εικονικό φάρμακο. Η θνησιμότητα </w:t>
      </w:r>
      <w:r w:rsidRPr="006B1BBE">
        <w:rPr>
          <w:rFonts w:ascii="Times New Roman" w:hAnsi="Times New Roman" w:cs="Times New Roman"/>
        </w:rPr>
        <w:t>από κάθε αίτιο ήταν 9,1% (216/2365) για την ατορβαστατίνη, έναντι 8,9% (211/23</w:t>
      </w:r>
      <w:r w:rsidR="001A4B3A" w:rsidRPr="006B1BBE">
        <w:rPr>
          <w:rFonts w:ascii="Times New Roman" w:hAnsi="Times New Roman" w:cs="Times New Roman"/>
        </w:rPr>
        <w:t xml:space="preserve">66) για το </w:t>
      </w:r>
      <w:r w:rsidRPr="006B1BBE">
        <w:rPr>
          <w:rFonts w:ascii="Times New Roman" w:hAnsi="Times New Roman" w:cs="Times New Roman"/>
        </w:rPr>
        <w:t>εικονικό φάρμακο.</w:t>
      </w:r>
    </w:p>
    <w:p w:rsidR="001A4B3A" w:rsidRPr="006B1BBE" w:rsidRDefault="001A4B3A"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Σε post-hoc ανάλυση, η ατορβαστατίνη 80 mg μείωσε τη</w:t>
      </w:r>
      <w:r w:rsidR="001A4B3A" w:rsidRPr="006B1BBE">
        <w:rPr>
          <w:rFonts w:ascii="Times New Roman" w:hAnsi="Times New Roman" w:cs="Times New Roman"/>
        </w:rPr>
        <w:t xml:space="preserve"> συχνότητα εμφάνισης ισχαιμικού </w:t>
      </w:r>
      <w:r w:rsidRPr="006B1BBE">
        <w:rPr>
          <w:rFonts w:ascii="Times New Roman" w:hAnsi="Times New Roman" w:cs="Times New Roman"/>
        </w:rPr>
        <w:t>αγγειακού εγκεφαλικού επεισοδίου (218/2365, 9,2% έναν</w:t>
      </w:r>
      <w:r w:rsidR="001A4B3A" w:rsidRPr="006B1BBE">
        <w:rPr>
          <w:rFonts w:ascii="Times New Roman" w:hAnsi="Times New Roman" w:cs="Times New Roman"/>
        </w:rPr>
        <w:t xml:space="preserve">τι 274/2366, 11,6%, p=0,01) και </w:t>
      </w:r>
      <w:r w:rsidRPr="006B1BBE">
        <w:rPr>
          <w:rFonts w:ascii="Times New Roman" w:hAnsi="Times New Roman" w:cs="Times New Roman"/>
        </w:rPr>
        <w:t>αύξησε τη συχνότητα εμφάνισης αιμορραγικού αγγειακού εγκεφ</w:t>
      </w:r>
      <w:r w:rsidR="001A4B3A" w:rsidRPr="006B1BBE">
        <w:rPr>
          <w:rFonts w:ascii="Times New Roman" w:hAnsi="Times New Roman" w:cs="Times New Roman"/>
        </w:rPr>
        <w:t xml:space="preserve">αλικού επεισοδίου (55/2365, </w:t>
      </w:r>
      <w:r w:rsidRPr="006B1BBE">
        <w:rPr>
          <w:rFonts w:ascii="Times New Roman" w:hAnsi="Times New Roman" w:cs="Times New Roman"/>
        </w:rPr>
        <w:t>2,3% έναντι 33/2366, 1,4%, p=0,02), συγκριτικά με το εικονικό φάρμακο.</w:t>
      </w:r>
    </w:p>
    <w:p w:rsidR="001A4B3A" w:rsidRPr="006B1BBE" w:rsidRDefault="001A4B3A" w:rsidP="008525D4">
      <w:pPr>
        <w:spacing w:after="0" w:line="240" w:lineRule="auto"/>
        <w:jc w:val="both"/>
        <w:rPr>
          <w:rFonts w:ascii="Times New Roman" w:hAnsi="Times New Roman" w:cs="Times New Roman"/>
        </w:rPr>
      </w:pPr>
    </w:p>
    <w:p w:rsidR="00F457BF" w:rsidRPr="006B1BBE" w:rsidRDefault="00F457BF" w:rsidP="001A4B3A">
      <w:pPr>
        <w:pStyle w:val="a3"/>
        <w:numPr>
          <w:ilvl w:val="0"/>
          <w:numId w:val="8"/>
        </w:numPr>
        <w:spacing w:after="0" w:line="240" w:lineRule="auto"/>
        <w:jc w:val="both"/>
        <w:rPr>
          <w:rFonts w:ascii="Times New Roman" w:hAnsi="Times New Roman" w:cs="Times New Roman"/>
        </w:rPr>
      </w:pPr>
      <w:r w:rsidRPr="006B1BBE">
        <w:rPr>
          <w:rFonts w:ascii="Times New Roman" w:hAnsi="Times New Roman" w:cs="Times New Roman"/>
        </w:rPr>
        <w:t>Ο κίνδυνος αιμορραγικού αγγειακού εγκεφαλικού επεισοδίου αυξήθηκε σε ασθενείς</w:t>
      </w:r>
      <w:r w:rsidR="001A4B3A" w:rsidRPr="006B1BBE">
        <w:rPr>
          <w:rFonts w:ascii="Times New Roman" w:hAnsi="Times New Roman" w:cs="Times New Roman"/>
        </w:rPr>
        <w:t xml:space="preserve"> </w:t>
      </w:r>
      <w:r w:rsidRPr="006B1BBE">
        <w:rPr>
          <w:rFonts w:ascii="Times New Roman" w:hAnsi="Times New Roman" w:cs="Times New Roman"/>
        </w:rPr>
        <w:t>που εισήχθησαν στη μελέτη με προηγούμενο αιμορραγικό αγγειακό εγκεφαλικό</w:t>
      </w:r>
      <w:r w:rsidR="001A4B3A" w:rsidRPr="006B1BBE">
        <w:rPr>
          <w:rFonts w:ascii="Times New Roman" w:hAnsi="Times New Roman" w:cs="Times New Roman"/>
        </w:rPr>
        <w:t xml:space="preserve"> </w:t>
      </w:r>
      <w:r w:rsidRPr="006B1BBE">
        <w:rPr>
          <w:rFonts w:ascii="Times New Roman" w:hAnsi="Times New Roman" w:cs="Times New Roman"/>
        </w:rPr>
        <w:t>επεισόδιο (7/45 για την ατορβαστατίνη έναντι 2/48 για το εικονικό φάρμακο. HR 4,06;</w:t>
      </w:r>
      <w:r w:rsidR="001A4B3A" w:rsidRPr="006B1BBE">
        <w:rPr>
          <w:rFonts w:ascii="Times New Roman" w:hAnsi="Times New Roman" w:cs="Times New Roman"/>
        </w:rPr>
        <w:t xml:space="preserve"> </w:t>
      </w:r>
      <w:r w:rsidRPr="006B1BBE">
        <w:rPr>
          <w:rFonts w:ascii="Times New Roman" w:hAnsi="Times New Roman" w:cs="Times New Roman"/>
        </w:rPr>
        <w:t>95% CI, 0,84-19,57) και ο κίνδυνος για ισχαιμικό αγγειακό εγκεφαλικό επεισόδιο ήταν</w:t>
      </w:r>
      <w:r w:rsidR="001A4B3A" w:rsidRPr="006B1BBE">
        <w:rPr>
          <w:rFonts w:ascii="Times New Roman" w:hAnsi="Times New Roman" w:cs="Times New Roman"/>
        </w:rPr>
        <w:t xml:space="preserve"> </w:t>
      </w:r>
      <w:r w:rsidRPr="006B1BBE">
        <w:rPr>
          <w:rFonts w:ascii="Times New Roman" w:hAnsi="Times New Roman" w:cs="Times New Roman"/>
        </w:rPr>
        <w:t>παρόμοιος μεταξύ των ομάδων (3/45 για την ατορβαστατίνη έναντι 2/48 για το</w:t>
      </w:r>
      <w:r w:rsidR="001A4B3A" w:rsidRPr="006B1BBE">
        <w:rPr>
          <w:rFonts w:ascii="Times New Roman" w:hAnsi="Times New Roman" w:cs="Times New Roman"/>
        </w:rPr>
        <w:t xml:space="preserve"> </w:t>
      </w:r>
      <w:r w:rsidRPr="006B1BBE">
        <w:rPr>
          <w:rFonts w:ascii="Times New Roman" w:hAnsi="Times New Roman" w:cs="Times New Roman"/>
        </w:rPr>
        <w:t>εικονικό φάρμακο. HR 1,64; 95% CI, 0,27-9,82).</w:t>
      </w:r>
    </w:p>
    <w:p w:rsidR="00F457BF" w:rsidRPr="006B1BBE" w:rsidRDefault="00F457BF" w:rsidP="008525D4">
      <w:pPr>
        <w:pStyle w:val="a3"/>
        <w:numPr>
          <w:ilvl w:val="0"/>
          <w:numId w:val="8"/>
        </w:numPr>
        <w:spacing w:after="0" w:line="240" w:lineRule="auto"/>
        <w:jc w:val="both"/>
        <w:rPr>
          <w:rFonts w:ascii="Times New Roman" w:hAnsi="Times New Roman" w:cs="Times New Roman"/>
        </w:rPr>
      </w:pPr>
      <w:r w:rsidRPr="006B1BBE">
        <w:rPr>
          <w:rFonts w:ascii="Times New Roman" w:hAnsi="Times New Roman" w:cs="Times New Roman"/>
        </w:rPr>
        <w:t>Ο κίνδυνος αιμορραγικού αγγειακού εγκεφαλικού επεισοδίου αυξήθηκε σε ασθενείς</w:t>
      </w:r>
      <w:r w:rsidR="001A4B3A" w:rsidRPr="006B1BBE">
        <w:rPr>
          <w:rFonts w:ascii="Times New Roman" w:hAnsi="Times New Roman" w:cs="Times New Roman"/>
        </w:rPr>
        <w:t xml:space="preserve"> </w:t>
      </w:r>
      <w:r w:rsidRPr="006B1BBE">
        <w:rPr>
          <w:rFonts w:ascii="Times New Roman" w:hAnsi="Times New Roman" w:cs="Times New Roman"/>
        </w:rPr>
        <w:t>που εισήχθησαν στη μελέτη με προηγούμενο κενοχωριώδες έμφρακτο (20/708 για την</w:t>
      </w:r>
      <w:r w:rsidR="001A4B3A" w:rsidRPr="006B1BBE">
        <w:rPr>
          <w:rFonts w:ascii="Times New Roman" w:hAnsi="Times New Roman" w:cs="Times New Roman"/>
        </w:rPr>
        <w:t xml:space="preserve"> </w:t>
      </w:r>
      <w:r w:rsidRPr="006B1BBE">
        <w:rPr>
          <w:rFonts w:ascii="Times New Roman" w:hAnsi="Times New Roman" w:cs="Times New Roman"/>
        </w:rPr>
        <w:t>ατορβαστατίνη έναντι 4/701 για το εικονικό φάρμακο. HR 4,99; 95% CI, 1,71-14,6),</w:t>
      </w:r>
      <w:r w:rsidR="001A4B3A" w:rsidRPr="006B1BBE">
        <w:rPr>
          <w:rFonts w:ascii="Times New Roman" w:hAnsi="Times New Roman" w:cs="Times New Roman"/>
        </w:rPr>
        <w:t xml:space="preserve"> </w:t>
      </w:r>
      <w:r w:rsidRPr="006B1BBE">
        <w:rPr>
          <w:rFonts w:ascii="Times New Roman" w:hAnsi="Times New Roman" w:cs="Times New Roman"/>
        </w:rPr>
        <w:t>αλλά ο κίνδυνος για ισχαιμικό αγγειακό εγκεφαλικό επεισόδιο ήταν επίσης μειωμένος</w:t>
      </w:r>
      <w:r w:rsidR="001A4B3A" w:rsidRPr="006B1BBE">
        <w:rPr>
          <w:rFonts w:ascii="Times New Roman" w:hAnsi="Times New Roman" w:cs="Times New Roman"/>
        </w:rPr>
        <w:t xml:space="preserve"> </w:t>
      </w:r>
      <w:r w:rsidRPr="006B1BBE">
        <w:rPr>
          <w:rFonts w:ascii="Times New Roman" w:hAnsi="Times New Roman" w:cs="Times New Roman"/>
        </w:rPr>
        <w:t>σε αυτούς τους ασθενείς (79/708 για την ατορβαστατίνη έναντι 102/701 για το εικονικό</w:t>
      </w:r>
      <w:r w:rsidR="001A4B3A" w:rsidRPr="006B1BBE">
        <w:rPr>
          <w:rFonts w:ascii="Times New Roman" w:hAnsi="Times New Roman" w:cs="Times New Roman"/>
        </w:rPr>
        <w:t xml:space="preserve"> </w:t>
      </w:r>
      <w:r w:rsidRPr="006B1BBE">
        <w:rPr>
          <w:rFonts w:ascii="Times New Roman" w:hAnsi="Times New Roman" w:cs="Times New Roman"/>
        </w:rPr>
        <w:t>φάρμακο. HR 0,76; 95% CI, 0,57-1,02). Είναι πιθανό ο συνολικός/ολικός κίνδυνος για</w:t>
      </w:r>
      <w:r w:rsidR="001A4B3A" w:rsidRPr="006B1BBE">
        <w:rPr>
          <w:rFonts w:ascii="Times New Roman" w:hAnsi="Times New Roman" w:cs="Times New Roman"/>
        </w:rPr>
        <w:t xml:space="preserve"> </w:t>
      </w:r>
      <w:r w:rsidRPr="006B1BBE">
        <w:rPr>
          <w:rFonts w:ascii="Times New Roman" w:hAnsi="Times New Roman" w:cs="Times New Roman"/>
        </w:rPr>
        <w:t>αγγειακό εγκεφαλικό επεισόδειο να είναι αυξημένος σε ασθενείς με προηγούμενο</w:t>
      </w:r>
      <w:r w:rsidR="001A4B3A" w:rsidRPr="006B1BBE">
        <w:rPr>
          <w:rFonts w:ascii="Times New Roman" w:hAnsi="Times New Roman" w:cs="Times New Roman"/>
        </w:rPr>
        <w:t xml:space="preserve"> </w:t>
      </w:r>
      <w:r w:rsidRPr="006B1BBE">
        <w:rPr>
          <w:rFonts w:ascii="Times New Roman" w:hAnsi="Times New Roman" w:cs="Times New Roman"/>
        </w:rPr>
        <w:t>κενοχωριώδες έμφρακτο που λαμβάνουν ατορβαστατίνη 80 mg/ημέρα.</w:t>
      </w:r>
    </w:p>
    <w:p w:rsidR="001A4B3A" w:rsidRPr="006B1BBE" w:rsidRDefault="001A4B3A"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θνησιμότητα από κάθε αίτιο ήταν 15,6% (7/45) για την ατ</w:t>
      </w:r>
      <w:r w:rsidR="001A4B3A" w:rsidRPr="006B1BBE">
        <w:rPr>
          <w:rFonts w:ascii="Times New Roman" w:hAnsi="Times New Roman" w:cs="Times New Roman"/>
        </w:rPr>
        <w:t xml:space="preserve">ορβαστατίνη έναντι 10,4% (5/48) </w:t>
      </w:r>
      <w:r w:rsidRPr="006B1BBE">
        <w:rPr>
          <w:rFonts w:ascii="Times New Roman" w:hAnsi="Times New Roman" w:cs="Times New Roman"/>
        </w:rPr>
        <w:t>στην υποομάδα των ασθενών με προηγούμενο αιμορραγικό</w:t>
      </w:r>
      <w:r w:rsidR="001A4B3A" w:rsidRPr="006B1BBE">
        <w:rPr>
          <w:rFonts w:ascii="Times New Roman" w:hAnsi="Times New Roman" w:cs="Times New Roman"/>
        </w:rPr>
        <w:t xml:space="preserve"> αγγειακό εγκεφαλικό επεισόδιο. </w:t>
      </w:r>
      <w:r w:rsidRPr="006B1BBE">
        <w:rPr>
          <w:rFonts w:ascii="Times New Roman" w:hAnsi="Times New Roman" w:cs="Times New Roman"/>
        </w:rPr>
        <w:t>Η θνησιμότητα από κάθε αίτιο ήταν 10,9% (77/708) γι</w:t>
      </w:r>
      <w:r w:rsidR="001A4B3A" w:rsidRPr="006B1BBE">
        <w:rPr>
          <w:rFonts w:ascii="Times New Roman" w:hAnsi="Times New Roman" w:cs="Times New Roman"/>
        </w:rPr>
        <w:t xml:space="preserve">α την ατορβαστατίνη έναντι 9,1% </w:t>
      </w:r>
      <w:r w:rsidRPr="006B1BBE">
        <w:rPr>
          <w:rFonts w:ascii="Times New Roman" w:hAnsi="Times New Roman" w:cs="Times New Roman"/>
        </w:rPr>
        <w:t>(64/701) για το εικονικό φάρμακο στην υποο</w:t>
      </w:r>
      <w:r w:rsidR="001A4B3A" w:rsidRPr="006B1BBE">
        <w:rPr>
          <w:rFonts w:ascii="Times New Roman" w:hAnsi="Times New Roman" w:cs="Times New Roman"/>
        </w:rPr>
        <w:t xml:space="preserve">μάδα των ασθενών με προηγούμενο </w:t>
      </w:r>
      <w:r w:rsidRPr="006B1BBE">
        <w:rPr>
          <w:rFonts w:ascii="Times New Roman" w:hAnsi="Times New Roman" w:cs="Times New Roman"/>
        </w:rPr>
        <w:t>κενοχωριώδες έμφρακτο.</w:t>
      </w:r>
    </w:p>
    <w:p w:rsidR="001A4B3A" w:rsidRPr="006B1BBE" w:rsidRDefault="001A4B3A" w:rsidP="008525D4">
      <w:pPr>
        <w:spacing w:after="0" w:line="240" w:lineRule="auto"/>
        <w:jc w:val="both"/>
        <w:rPr>
          <w:rFonts w:ascii="Times New Roman" w:hAnsi="Times New Roman" w:cs="Times New Roman"/>
        </w:rPr>
      </w:pPr>
    </w:p>
    <w:p w:rsidR="001A4B3A" w:rsidRPr="006B1BBE" w:rsidRDefault="001A4B3A" w:rsidP="008525D4">
      <w:pPr>
        <w:spacing w:after="0" w:line="240" w:lineRule="auto"/>
        <w:jc w:val="both"/>
        <w:rPr>
          <w:rFonts w:ascii="Times New Roman" w:hAnsi="Times New Roman" w:cs="Times New Roman"/>
        </w:rPr>
      </w:pPr>
    </w:p>
    <w:p w:rsidR="00F457BF" w:rsidRPr="006B1BBE" w:rsidRDefault="00F457BF" w:rsidP="001A4B3A">
      <w:pPr>
        <w:pStyle w:val="a3"/>
        <w:numPr>
          <w:ilvl w:val="1"/>
          <w:numId w:val="1"/>
        </w:numPr>
        <w:spacing w:after="0" w:line="240" w:lineRule="auto"/>
        <w:jc w:val="both"/>
        <w:rPr>
          <w:rFonts w:ascii="Times New Roman" w:hAnsi="Times New Roman" w:cs="Times New Roman"/>
          <w:b/>
          <w:lang w:val="en-US"/>
        </w:rPr>
      </w:pPr>
      <w:r w:rsidRPr="006B1BBE">
        <w:rPr>
          <w:rFonts w:ascii="Times New Roman" w:hAnsi="Times New Roman" w:cs="Times New Roman"/>
          <w:b/>
        </w:rPr>
        <w:t>Φαρμακοκινητικές ιδιότητες</w:t>
      </w:r>
    </w:p>
    <w:p w:rsidR="001A4B3A" w:rsidRPr="006B1BBE" w:rsidRDefault="001A4B3A" w:rsidP="008525D4">
      <w:pPr>
        <w:spacing w:after="0" w:line="240" w:lineRule="auto"/>
        <w:jc w:val="both"/>
        <w:rPr>
          <w:rFonts w:ascii="Times New Roman" w:hAnsi="Times New Roman" w:cs="Times New Roman"/>
          <w:lang w:val="en-US"/>
        </w:rPr>
      </w:pPr>
    </w:p>
    <w:p w:rsidR="00F457BF" w:rsidRPr="006B1BBE" w:rsidRDefault="00F457BF" w:rsidP="008525D4">
      <w:pPr>
        <w:spacing w:after="0" w:line="240" w:lineRule="auto"/>
        <w:jc w:val="both"/>
        <w:rPr>
          <w:rFonts w:ascii="Times New Roman" w:hAnsi="Times New Roman" w:cs="Times New Roman"/>
          <w:u w:val="single"/>
          <w:lang w:val="en-US"/>
        </w:rPr>
      </w:pPr>
      <w:r w:rsidRPr="006B1BBE">
        <w:rPr>
          <w:rFonts w:ascii="Times New Roman" w:hAnsi="Times New Roman" w:cs="Times New Roman"/>
          <w:u w:val="single"/>
        </w:rPr>
        <w:t>Απορρόφηση</w:t>
      </w:r>
    </w:p>
    <w:p w:rsidR="001A4B3A" w:rsidRPr="006B1BBE" w:rsidRDefault="001A4B3A" w:rsidP="008525D4">
      <w:pPr>
        <w:spacing w:after="0" w:line="240" w:lineRule="auto"/>
        <w:jc w:val="both"/>
        <w:rPr>
          <w:rFonts w:ascii="Times New Roman" w:hAnsi="Times New Roman" w:cs="Times New Roman"/>
          <w:u w:val="single"/>
          <w:lang w:val="en-US"/>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Η ατορβαστατίνη απορροφάται ταχέως μετά την από του στόματος χορήγηση. Οι μέγιστες</w:t>
      </w:r>
      <w:r w:rsidR="001A4B3A" w:rsidRPr="006B1BBE">
        <w:rPr>
          <w:rFonts w:ascii="Times New Roman" w:hAnsi="Times New Roman" w:cs="Times New Roman"/>
        </w:rPr>
        <w:t xml:space="preserve"> </w:t>
      </w:r>
      <w:r w:rsidRPr="006B1BBE">
        <w:rPr>
          <w:rFonts w:ascii="Times New Roman" w:hAnsi="Times New Roman" w:cs="Times New Roman"/>
        </w:rPr>
        <w:t>συγκεντρώσεις της στο πλάσμα (Cmax) επιτυγχά</w:t>
      </w:r>
      <w:r w:rsidR="001A4B3A" w:rsidRPr="006B1BBE">
        <w:rPr>
          <w:rFonts w:ascii="Times New Roman" w:hAnsi="Times New Roman" w:cs="Times New Roman"/>
        </w:rPr>
        <w:t xml:space="preserve">νονται εντός 1-2 ωρών. Ο βαθμός </w:t>
      </w:r>
      <w:r w:rsidRPr="006B1BBE">
        <w:rPr>
          <w:rFonts w:ascii="Times New Roman" w:hAnsi="Times New Roman" w:cs="Times New Roman"/>
        </w:rPr>
        <w:t>απορρόφησης αυξάνεται ανάλογα με τη δόση της α</w:t>
      </w:r>
      <w:r w:rsidR="001A4B3A" w:rsidRPr="006B1BBE">
        <w:rPr>
          <w:rFonts w:ascii="Times New Roman" w:hAnsi="Times New Roman" w:cs="Times New Roman"/>
        </w:rPr>
        <w:t xml:space="preserve">τορβαστατίνης. Μετά την από του </w:t>
      </w:r>
      <w:r w:rsidRPr="006B1BBE">
        <w:rPr>
          <w:rFonts w:ascii="Times New Roman" w:hAnsi="Times New Roman" w:cs="Times New Roman"/>
        </w:rPr>
        <w:t xml:space="preserve">στόματος χορήγηση, τα επικαλυμμένα με λεπτό υμένιο </w:t>
      </w:r>
      <w:r w:rsidR="001A4B3A" w:rsidRPr="006B1BBE">
        <w:rPr>
          <w:rFonts w:ascii="Times New Roman" w:hAnsi="Times New Roman" w:cs="Times New Roman"/>
        </w:rPr>
        <w:t xml:space="preserve">δισκία της ατορβαστατίνης έχουν </w:t>
      </w:r>
      <w:r w:rsidRPr="006B1BBE">
        <w:rPr>
          <w:rFonts w:ascii="Times New Roman" w:hAnsi="Times New Roman" w:cs="Times New Roman"/>
        </w:rPr>
        <w:t>βιοδιαθεσιμότητα ίση με το 95% έως 99% των πό</w:t>
      </w:r>
      <w:r w:rsidR="00D76343" w:rsidRPr="006B1BBE">
        <w:rPr>
          <w:rFonts w:ascii="Times New Roman" w:hAnsi="Times New Roman" w:cs="Times New Roman"/>
        </w:rPr>
        <w:t xml:space="preserve">σιμων διαλυμάτων της. Η απόλυτη </w:t>
      </w:r>
      <w:r w:rsidRPr="006B1BBE">
        <w:rPr>
          <w:rFonts w:ascii="Times New Roman" w:hAnsi="Times New Roman" w:cs="Times New Roman"/>
        </w:rPr>
        <w:t>βιοδιαθεσιμότητα της ατορβαστατίνης είναι περίπου 12%,</w:t>
      </w:r>
      <w:r w:rsidR="00D76343" w:rsidRPr="006B1BBE">
        <w:rPr>
          <w:rFonts w:ascii="Times New Roman" w:hAnsi="Times New Roman" w:cs="Times New Roman"/>
        </w:rPr>
        <w:t xml:space="preserve"> ενώ στη συστηματική κυκλοφορία </w:t>
      </w:r>
      <w:r w:rsidRPr="006B1BBE">
        <w:rPr>
          <w:rFonts w:ascii="Times New Roman" w:hAnsi="Times New Roman" w:cs="Times New Roman"/>
        </w:rPr>
        <w:t xml:space="preserve">η διαθεσιμότητα της ανασταλτικής δράσης της στην </w:t>
      </w:r>
      <w:r w:rsidR="00D76343" w:rsidRPr="006B1BBE">
        <w:rPr>
          <w:rFonts w:ascii="Times New Roman" w:hAnsi="Times New Roman" w:cs="Times New Roman"/>
        </w:rPr>
        <w:t xml:space="preserve">HMG-CoA αναγωγάση είναι περίπου </w:t>
      </w:r>
      <w:r w:rsidRPr="006B1BBE">
        <w:rPr>
          <w:rFonts w:ascii="Times New Roman" w:hAnsi="Times New Roman" w:cs="Times New Roman"/>
        </w:rPr>
        <w:t xml:space="preserve">30%. Η χαμηλή διαθεσιμότητά της στην κυκλοφορία </w:t>
      </w:r>
      <w:r w:rsidR="00D76343" w:rsidRPr="006B1BBE">
        <w:rPr>
          <w:rFonts w:ascii="Times New Roman" w:hAnsi="Times New Roman" w:cs="Times New Roman"/>
        </w:rPr>
        <w:t xml:space="preserve">αποδίδεται στην κάθαρσή της στο </w:t>
      </w:r>
      <w:r w:rsidRPr="006B1BBE">
        <w:rPr>
          <w:rFonts w:ascii="Times New Roman" w:hAnsi="Times New Roman" w:cs="Times New Roman"/>
        </w:rPr>
        <w:t>γαστρεντερικό βλεννογόνο πριν εισέλθει σ΄αυτήν ή/και στον</w:t>
      </w:r>
      <w:r w:rsidR="00D76343" w:rsidRPr="006B1BBE">
        <w:rPr>
          <w:rFonts w:ascii="Times New Roman" w:hAnsi="Times New Roman" w:cs="Times New Roman"/>
        </w:rPr>
        <w:t xml:space="preserve"> ηπατικό μεταβολισμό πρώτης </w:t>
      </w:r>
      <w:r w:rsidRPr="006B1BBE">
        <w:rPr>
          <w:rFonts w:ascii="Times New Roman" w:hAnsi="Times New Roman" w:cs="Times New Roman"/>
        </w:rPr>
        <w:t>διόδου.</w:t>
      </w:r>
    </w:p>
    <w:p w:rsidR="00D76343" w:rsidRPr="006B1BBE" w:rsidRDefault="00D76343"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Κατανομή</w:t>
      </w:r>
    </w:p>
    <w:p w:rsidR="00D76343" w:rsidRPr="006B1BBE" w:rsidRDefault="00D76343"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Ο μέσος όγκος κατανομής της ατορβαστατίνης είναι</w:t>
      </w:r>
      <w:r w:rsidR="00D76343" w:rsidRPr="006B1BBE">
        <w:rPr>
          <w:rFonts w:ascii="Times New Roman" w:hAnsi="Times New Roman" w:cs="Times New Roman"/>
        </w:rPr>
        <w:t xml:space="preserve"> περίπου 381 l. Η ατορβαστατίνη </w:t>
      </w:r>
      <w:r w:rsidRPr="006B1BBE">
        <w:rPr>
          <w:rFonts w:ascii="Times New Roman" w:hAnsi="Times New Roman" w:cs="Times New Roman"/>
        </w:rPr>
        <w:t>συνδέεται σε ποσοστό</w:t>
      </w:r>
      <w:r w:rsidR="00A30591">
        <w:rPr>
          <w:rFonts w:ascii="Times New Roman" w:hAnsi="Times New Roman" w:cs="Times New Roman"/>
        </w:rPr>
        <w:t xml:space="preserve"> ≥</w:t>
      </w:r>
      <w:r w:rsidRPr="006B1BBE">
        <w:rPr>
          <w:rFonts w:ascii="Times New Roman" w:hAnsi="Times New Roman" w:cs="Times New Roman"/>
        </w:rPr>
        <w:t>98% με τις πρωτεΐνες του πλάσματος.</w:t>
      </w:r>
    </w:p>
    <w:p w:rsidR="00D76343" w:rsidRPr="006B1BBE" w:rsidRDefault="00D76343" w:rsidP="008525D4">
      <w:pPr>
        <w:spacing w:after="0" w:line="240" w:lineRule="auto"/>
        <w:jc w:val="both"/>
        <w:rPr>
          <w:rFonts w:ascii="Times New Roman" w:hAnsi="Times New Roman" w:cs="Times New Roman"/>
        </w:rPr>
      </w:pPr>
    </w:p>
    <w:p w:rsidR="00F457BF" w:rsidRPr="006B1BBE" w:rsidRDefault="00381708" w:rsidP="008525D4">
      <w:pPr>
        <w:spacing w:after="0" w:line="240" w:lineRule="auto"/>
        <w:jc w:val="both"/>
        <w:rPr>
          <w:rFonts w:ascii="Times New Roman" w:hAnsi="Times New Roman" w:cs="Times New Roman"/>
          <w:u w:val="single"/>
        </w:rPr>
      </w:pPr>
      <w:r w:rsidRPr="00381708">
        <w:t xml:space="preserve"> </w:t>
      </w:r>
      <w:r w:rsidRPr="00381708">
        <w:rPr>
          <w:rFonts w:ascii="Times New Roman" w:hAnsi="Times New Roman" w:cs="Times New Roman"/>
          <w:u w:val="single"/>
        </w:rPr>
        <w:t>Βιομετασχηματισμός</w:t>
      </w:r>
    </w:p>
    <w:p w:rsidR="00D76343" w:rsidRPr="006B1BBE" w:rsidRDefault="00D76343"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Η ατορβαστατίνη μεταβολίζεται από το κυτόχρωμα P450 3A4 σε </w:t>
      </w:r>
      <w:r w:rsidR="00D76343" w:rsidRPr="006B1BBE">
        <w:rPr>
          <w:rFonts w:ascii="Times New Roman" w:hAnsi="Times New Roman" w:cs="Times New Roman"/>
        </w:rPr>
        <w:t xml:space="preserve">όρθο- και </w:t>
      </w:r>
      <w:r w:rsidRPr="006B1BBE">
        <w:rPr>
          <w:rFonts w:ascii="Times New Roman" w:hAnsi="Times New Roman" w:cs="Times New Roman"/>
        </w:rPr>
        <w:t>παραϋδροξυλιωμένα παράγωγα και διάφορα προϊόν</w:t>
      </w:r>
      <w:r w:rsidR="00D76343" w:rsidRPr="006B1BBE">
        <w:rPr>
          <w:rFonts w:ascii="Times New Roman" w:hAnsi="Times New Roman" w:cs="Times New Roman"/>
        </w:rPr>
        <w:t xml:space="preserve">τα β-οξείδωσης. Εκτός των άλλων </w:t>
      </w:r>
      <w:r w:rsidRPr="006B1BBE">
        <w:rPr>
          <w:rFonts w:ascii="Times New Roman" w:hAnsi="Times New Roman" w:cs="Times New Roman"/>
        </w:rPr>
        <w:t>μεταβολικών οδών τα προϊόντα αυτά μεταβολίζονται επι</w:t>
      </w:r>
      <w:r w:rsidR="00D76343" w:rsidRPr="006B1BBE">
        <w:rPr>
          <w:rFonts w:ascii="Times New Roman" w:hAnsi="Times New Roman" w:cs="Times New Roman"/>
        </w:rPr>
        <w:t xml:space="preserve">πλέον μέσω γλυκουρονιδίωσης. In </w:t>
      </w:r>
      <w:r w:rsidRPr="006B1BBE">
        <w:rPr>
          <w:rFonts w:ascii="Times New Roman" w:hAnsi="Times New Roman" w:cs="Times New Roman"/>
        </w:rPr>
        <w:t>vitro, η αναστολή της HMG-CoA αναγωγάσης από του</w:t>
      </w:r>
      <w:r w:rsidR="00D76343" w:rsidRPr="006B1BBE">
        <w:rPr>
          <w:rFonts w:ascii="Times New Roman" w:hAnsi="Times New Roman" w:cs="Times New Roman"/>
        </w:rPr>
        <w:t xml:space="preserve">ς όρθο- και παραϋδροξυλιωμένους </w:t>
      </w:r>
      <w:r w:rsidRPr="006B1BBE">
        <w:rPr>
          <w:rFonts w:ascii="Times New Roman" w:hAnsi="Times New Roman" w:cs="Times New Roman"/>
        </w:rPr>
        <w:t>μεταβολίτες είναι ισοδύναμη με εκείνη της ατο</w:t>
      </w:r>
      <w:r w:rsidR="00D76343" w:rsidRPr="006B1BBE">
        <w:rPr>
          <w:rFonts w:ascii="Times New Roman" w:hAnsi="Times New Roman" w:cs="Times New Roman"/>
        </w:rPr>
        <w:t xml:space="preserve">ρβαστατίνης. Περίπου το 70% της </w:t>
      </w:r>
      <w:r w:rsidRPr="006B1BBE">
        <w:rPr>
          <w:rFonts w:ascii="Times New Roman" w:hAnsi="Times New Roman" w:cs="Times New Roman"/>
        </w:rPr>
        <w:t>ανασταλτικής επίδρασης επί της κυκλοφορούσας HMG-</w:t>
      </w:r>
      <w:r w:rsidR="00D76343" w:rsidRPr="006B1BBE">
        <w:rPr>
          <w:rFonts w:ascii="Times New Roman" w:hAnsi="Times New Roman" w:cs="Times New Roman"/>
        </w:rPr>
        <w:t xml:space="preserve">CoA αναγωγάσης αποδίδεται στους </w:t>
      </w:r>
      <w:r w:rsidRPr="006B1BBE">
        <w:rPr>
          <w:rFonts w:ascii="Times New Roman" w:hAnsi="Times New Roman" w:cs="Times New Roman"/>
        </w:rPr>
        <w:t>ενεργούς μεταβολίτες της ατορβαστατίνης.</w:t>
      </w:r>
    </w:p>
    <w:p w:rsidR="00D76343" w:rsidRPr="006B1BBE" w:rsidRDefault="00D76343"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u w:val="single"/>
        </w:rPr>
      </w:pPr>
      <w:r w:rsidRPr="006B1BBE">
        <w:rPr>
          <w:rFonts w:ascii="Times New Roman" w:hAnsi="Times New Roman" w:cs="Times New Roman"/>
          <w:u w:val="single"/>
        </w:rPr>
        <w:t>Απέκκριση</w:t>
      </w:r>
    </w:p>
    <w:p w:rsidR="00D76343" w:rsidRPr="006B1BBE" w:rsidRDefault="00D76343"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lastRenderedPageBreak/>
        <w:t>Η ατορβαστατίνη, μετά τον ηπατικό ή/και τον εξωηπατικό</w:t>
      </w:r>
      <w:r w:rsidR="00D76343" w:rsidRPr="006B1BBE">
        <w:rPr>
          <w:rFonts w:ascii="Times New Roman" w:hAnsi="Times New Roman" w:cs="Times New Roman"/>
        </w:rPr>
        <w:t xml:space="preserve"> μεταβολισμό της, απομακρύνεται </w:t>
      </w:r>
      <w:r w:rsidRPr="006B1BBE">
        <w:rPr>
          <w:rFonts w:ascii="Times New Roman" w:hAnsi="Times New Roman" w:cs="Times New Roman"/>
        </w:rPr>
        <w:t>κυρίως στη χολή. Ωστόσο, το φαρμακευτικό πρ</w:t>
      </w:r>
      <w:r w:rsidR="00D76343" w:rsidRPr="006B1BBE">
        <w:rPr>
          <w:rFonts w:ascii="Times New Roman" w:hAnsi="Times New Roman" w:cs="Times New Roman"/>
        </w:rPr>
        <w:t xml:space="preserve">οϊόν δεν υπóκειται σε σημαντική </w:t>
      </w:r>
      <w:r w:rsidRPr="006B1BBE">
        <w:rPr>
          <w:rFonts w:ascii="Times New Roman" w:hAnsi="Times New Roman" w:cs="Times New Roman"/>
        </w:rPr>
        <w:t>εντεροηπατική επανακυκλοφορία. Ο μέσος χρόν</w:t>
      </w:r>
      <w:r w:rsidR="00D76343" w:rsidRPr="006B1BBE">
        <w:rPr>
          <w:rFonts w:ascii="Times New Roman" w:hAnsi="Times New Roman" w:cs="Times New Roman"/>
        </w:rPr>
        <w:t xml:space="preserve">ος ημιζωής της απομάκρυνσης της </w:t>
      </w:r>
      <w:r w:rsidRPr="006B1BBE">
        <w:rPr>
          <w:rFonts w:ascii="Times New Roman" w:hAnsi="Times New Roman" w:cs="Times New Roman"/>
        </w:rPr>
        <w:t>ατορβαστατίνης από το πλάσμα σε ανθρώπους είναι περίπου 14 ώρες. Λόγω τω</w:t>
      </w:r>
      <w:r w:rsidR="00D76343" w:rsidRPr="006B1BBE">
        <w:rPr>
          <w:rFonts w:ascii="Times New Roman" w:hAnsi="Times New Roman" w:cs="Times New Roman"/>
        </w:rPr>
        <w:t xml:space="preserve">ν δραστικών </w:t>
      </w:r>
      <w:r w:rsidRPr="006B1BBE">
        <w:rPr>
          <w:rFonts w:ascii="Times New Roman" w:hAnsi="Times New Roman" w:cs="Times New Roman"/>
        </w:rPr>
        <w:t>μεταβολιτών της, ο χρόνος ημιζωής της αναστ</w:t>
      </w:r>
      <w:r w:rsidR="00D76343" w:rsidRPr="006B1BBE">
        <w:rPr>
          <w:rFonts w:ascii="Times New Roman" w:hAnsi="Times New Roman" w:cs="Times New Roman"/>
        </w:rPr>
        <w:t xml:space="preserve">αλτικής της δράσης στην HMG-CoA </w:t>
      </w:r>
      <w:r w:rsidRPr="006B1BBE">
        <w:rPr>
          <w:rFonts w:ascii="Times New Roman" w:hAnsi="Times New Roman" w:cs="Times New Roman"/>
        </w:rPr>
        <w:t>αναγωγάση είναι περίπου 20 έως 30 ώρες.</w:t>
      </w:r>
    </w:p>
    <w:p w:rsidR="00D76343" w:rsidRPr="006B1BBE" w:rsidRDefault="00D76343" w:rsidP="008525D4">
      <w:pPr>
        <w:spacing w:after="0" w:line="240" w:lineRule="auto"/>
        <w:jc w:val="both"/>
        <w:rPr>
          <w:rFonts w:ascii="Times New Roman" w:hAnsi="Times New Roman" w:cs="Times New Roman"/>
        </w:rPr>
      </w:pPr>
    </w:p>
    <w:p w:rsidR="00F457BF" w:rsidRDefault="00F457BF" w:rsidP="008525D4">
      <w:pPr>
        <w:spacing w:after="0" w:line="240" w:lineRule="auto"/>
        <w:jc w:val="both"/>
        <w:rPr>
          <w:rFonts w:ascii="Times New Roman" w:hAnsi="Times New Roman" w:cs="Times New Roman"/>
          <w:i/>
          <w:u w:val="single"/>
        </w:rPr>
      </w:pPr>
      <w:r w:rsidRPr="006B1BBE">
        <w:rPr>
          <w:rFonts w:ascii="Times New Roman" w:hAnsi="Times New Roman" w:cs="Times New Roman"/>
          <w:i/>
          <w:u w:val="single"/>
        </w:rPr>
        <w:t>Ειδικές Πληθυσμιακές Ομάδες</w:t>
      </w:r>
    </w:p>
    <w:p w:rsidR="00381708" w:rsidRPr="006B1BBE" w:rsidRDefault="00381708" w:rsidP="008525D4">
      <w:pPr>
        <w:spacing w:after="0" w:line="240" w:lineRule="auto"/>
        <w:jc w:val="both"/>
        <w:rPr>
          <w:rFonts w:ascii="Times New Roman" w:hAnsi="Times New Roman" w:cs="Times New Roman"/>
          <w:i/>
          <w:u w:val="single"/>
        </w:rPr>
      </w:pPr>
    </w:p>
    <w:p w:rsidR="00F457BF" w:rsidRDefault="00F457BF" w:rsidP="00381708">
      <w:pPr>
        <w:spacing w:after="0" w:line="240" w:lineRule="auto"/>
        <w:jc w:val="both"/>
        <w:rPr>
          <w:rFonts w:ascii="Times New Roman" w:hAnsi="Times New Roman" w:cs="Times New Roman"/>
        </w:rPr>
      </w:pPr>
      <w:r w:rsidRPr="00900C58">
        <w:rPr>
          <w:rFonts w:ascii="Times New Roman" w:hAnsi="Times New Roman" w:cs="Times New Roman"/>
          <w:u w:val="single"/>
        </w:rPr>
        <w:t>Ηλικιωμένοι:</w:t>
      </w:r>
      <w:r w:rsidRPr="00381708">
        <w:rPr>
          <w:rFonts w:ascii="Times New Roman" w:hAnsi="Times New Roman" w:cs="Times New Roman"/>
        </w:rPr>
        <w:t xml:space="preserve"> Η συγκέντρωση της ατορβαστατίνης και των δραστικών μεταβολιτών</w:t>
      </w:r>
      <w:r w:rsidR="00D76343" w:rsidRPr="00381708">
        <w:rPr>
          <w:rFonts w:ascii="Times New Roman" w:hAnsi="Times New Roman" w:cs="Times New Roman"/>
        </w:rPr>
        <w:t xml:space="preserve"> </w:t>
      </w:r>
      <w:r w:rsidRPr="00381708">
        <w:rPr>
          <w:rFonts w:ascii="Times New Roman" w:hAnsi="Times New Roman" w:cs="Times New Roman"/>
        </w:rPr>
        <w:t>της στο πλάσμα είναι υψηλότερη σε υγιή ηλικιωμένα άτομα απ’ ότι σε άτομα</w:t>
      </w:r>
      <w:r w:rsidR="00D76343" w:rsidRPr="00381708">
        <w:rPr>
          <w:rFonts w:ascii="Times New Roman" w:hAnsi="Times New Roman" w:cs="Times New Roman"/>
        </w:rPr>
        <w:t xml:space="preserve"> </w:t>
      </w:r>
      <w:r w:rsidRPr="00381708">
        <w:rPr>
          <w:rFonts w:ascii="Times New Roman" w:hAnsi="Times New Roman" w:cs="Times New Roman"/>
        </w:rPr>
        <w:t>μικρότερης ηλικίας, ενώ οι επιδράσεις της στα λιπίδια είναι συγκρίσιμες με εκείνες που</w:t>
      </w:r>
      <w:r w:rsidR="00D76343" w:rsidRPr="00381708">
        <w:rPr>
          <w:rFonts w:ascii="Times New Roman" w:hAnsi="Times New Roman" w:cs="Times New Roman"/>
        </w:rPr>
        <w:t xml:space="preserve"> </w:t>
      </w:r>
      <w:r w:rsidRPr="00381708">
        <w:rPr>
          <w:rFonts w:ascii="Times New Roman" w:hAnsi="Times New Roman" w:cs="Times New Roman"/>
        </w:rPr>
        <w:t>παρατηρούνται σε πληθυσμούς νεαρότερων ασθενών.</w:t>
      </w:r>
    </w:p>
    <w:p w:rsidR="00381708" w:rsidRPr="00381708" w:rsidRDefault="00381708" w:rsidP="00381708">
      <w:pPr>
        <w:spacing w:after="0" w:line="240" w:lineRule="auto"/>
        <w:jc w:val="both"/>
        <w:rPr>
          <w:rFonts w:ascii="Times New Roman" w:hAnsi="Times New Roman" w:cs="Times New Roman"/>
        </w:rPr>
      </w:pPr>
    </w:p>
    <w:p w:rsidR="00F457BF" w:rsidRDefault="00F457BF" w:rsidP="00381708">
      <w:pPr>
        <w:spacing w:after="0" w:line="240" w:lineRule="auto"/>
        <w:jc w:val="both"/>
        <w:rPr>
          <w:rFonts w:ascii="Times New Roman" w:hAnsi="Times New Roman" w:cs="Times New Roman"/>
        </w:rPr>
      </w:pPr>
      <w:r w:rsidRPr="00C67824">
        <w:rPr>
          <w:rFonts w:ascii="Times New Roman" w:hAnsi="Times New Roman" w:cs="Times New Roman"/>
          <w:i/>
          <w:u w:val="single"/>
        </w:rPr>
        <w:t>Παιδιά:</w:t>
      </w:r>
      <w:r w:rsidR="00381708" w:rsidRPr="00381708">
        <w:t xml:space="preserve"> </w:t>
      </w:r>
      <w:r w:rsidR="00381708" w:rsidRPr="00C67824">
        <w:rPr>
          <w:rFonts w:ascii="Times New Roman" w:hAnsi="Times New Roman" w:cs="Times New Roman"/>
        </w:rPr>
        <w:t>Δεν υπάρχουν φαρμακοκινητικά στοιχεία σε παιδιά.</w:t>
      </w:r>
      <w:r w:rsidRPr="00381708">
        <w:rPr>
          <w:rFonts w:ascii="Times New Roman" w:hAnsi="Times New Roman" w:cs="Times New Roman"/>
        </w:rPr>
        <w:t xml:space="preserve"> </w:t>
      </w:r>
    </w:p>
    <w:p w:rsidR="00381708" w:rsidRPr="00381708" w:rsidRDefault="00381708" w:rsidP="00381708">
      <w:pPr>
        <w:spacing w:after="0" w:line="240" w:lineRule="auto"/>
        <w:jc w:val="both"/>
        <w:rPr>
          <w:rFonts w:ascii="Times New Roman" w:hAnsi="Times New Roman" w:cs="Times New Roman"/>
        </w:rPr>
      </w:pPr>
    </w:p>
    <w:p w:rsidR="00F457BF" w:rsidRDefault="00F457BF" w:rsidP="00381708">
      <w:pPr>
        <w:spacing w:after="0" w:line="240" w:lineRule="auto"/>
        <w:jc w:val="both"/>
        <w:rPr>
          <w:rFonts w:ascii="Times New Roman" w:hAnsi="Times New Roman" w:cs="Times New Roman"/>
        </w:rPr>
      </w:pPr>
      <w:r w:rsidRPr="00C67824">
        <w:rPr>
          <w:rFonts w:ascii="Times New Roman" w:hAnsi="Times New Roman" w:cs="Times New Roman"/>
          <w:i/>
          <w:u w:val="single"/>
        </w:rPr>
        <w:t>Φύλο:</w:t>
      </w:r>
      <w:r w:rsidRPr="00381708">
        <w:rPr>
          <w:rFonts w:ascii="Times New Roman" w:hAnsi="Times New Roman" w:cs="Times New Roman"/>
        </w:rPr>
        <w:t xml:space="preserve"> Οι συγκεντρώσεις της ατορβαστατίνης και των δραστικών μεταβολιτών της σε</w:t>
      </w:r>
      <w:r w:rsidR="00D76343" w:rsidRPr="00381708">
        <w:rPr>
          <w:rFonts w:ascii="Times New Roman" w:hAnsi="Times New Roman" w:cs="Times New Roman"/>
        </w:rPr>
        <w:t xml:space="preserve"> </w:t>
      </w:r>
      <w:r w:rsidRPr="00381708">
        <w:rPr>
          <w:rFonts w:ascii="Times New Roman" w:hAnsi="Times New Roman" w:cs="Times New Roman"/>
        </w:rPr>
        <w:t>γυναίκες διαφέρουν (περίπου 20% υψηλότερη η C</w:t>
      </w:r>
      <w:r w:rsidRPr="00900C58">
        <w:rPr>
          <w:rFonts w:ascii="Times New Roman" w:hAnsi="Times New Roman" w:cs="Times New Roman"/>
          <w:vertAlign w:val="subscript"/>
        </w:rPr>
        <w:t>max</w:t>
      </w:r>
      <w:r w:rsidRPr="00381708">
        <w:rPr>
          <w:rFonts w:ascii="Times New Roman" w:hAnsi="Times New Roman" w:cs="Times New Roman"/>
        </w:rPr>
        <w:t xml:space="preserve"> και περίπου 10% χαμηλότερη η</w:t>
      </w:r>
      <w:r w:rsidR="00D76343" w:rsidRPr="00381708">
        <w:rPr>
          <w:rFonts w:ascii="Times New Roman" w:hAnsi="Times New Roman" w:cs="Times New Roman"/>
        </w:rPr>
        <w:t xml:space="preserve"> </w:t>
      </w:r>
      <w:r w:rsidRPr="00381708">
        <w:rPr>
          <w:rFonts w:ascii="Times New Roman" w:hAnsi="Times New Roman" w:cs="Times New Roman"/>
        </w:rPr>
        <w:t>AUC) από εκείνες των ανδρών. Οι διαφορές αυτές δεν είχαν κλινική σημασία, και,</w:t>
      </w:r>
      <w:r w:rsidR="00D76343" w:rsidRPr="00381708">
        <w:rPr>
          <w:rFonts w:ascii="Times New Roman" w:hAnsi="Times New Roman" w:cs="Times New Roman"/>
        </w:rPr>
        <w:t xml:space="preserve"> </w:t>
      </w:r>
      <w:r w:rsidRPr="00381708">
        <w:rPr>
          <w:rFonts w:ascii="Times New Roman" w:hAnsi="Times New Roman" w:cs="Times New Roman"/>
        </w:rPr>
        <w:t>κατά συνέπεια, μεταξύ ανδρών και γυναικών δεν παρατηρήθηκαν κλινικά σημαντικές</w:t>
      </w:r>
      <w:r w:rsidR="00D76343" w:rsidRPr="00381708">
        <w:rPr>
          <w:rFonts w:ascii="Times New Roman" w:hAnsi="Times New Roman" w:cs="Times New Roman"/>
        </w:rPr>
        <w:t xml:space="preserve"> </w:t>
      </w:r>
      <w:r w:rsidRPr="00381708">
        <w:rPr>
          <w:rFonts w:ascii="Times New Roman" w:hAnsi="Times New Roman" w:cs="Times New Roman"/>
        </w:rPr>
        <w:t>διαφορές στην επίδραση του φαρμάκου στα λιπίδια.</w:t>
      </w:r>
    </w:p>
    <w:p w:rsidR="00381708" w:rsidRPr="00381708" w:rsidRDefault="00381708" w:rsidP="00381708">
      <w:pPr>
        <w:spacing w:after="0" w:line="240" w:lineRule="auto"/>
        <w:jc w:val="both"/>
        <w:rPr>
          <w:rFonts w:ascii="Times New Roman" w:hAnsi="Times New Roman" w:cs="Times New Roman"/>
        </w:rPr>
      </w:pPr>
    </w:p>
    <w:p w:rsidR="00F457BF" w:rsidRDefault="00F457BF" w:rsidP="00381708">
      <w:pPr>
        <w:spacing w:after="0" w:line="240" w:lineRule="auto"/>
        <w:jc w:val="both"/>
        <w:rPr>
          <w:rFonts w:ascii="Times New Roman" w:hAnsi="Times New Roman" w:cs="Times New Roman"/>
        </w:rPr>
      </w:pPr>
      <w:r w:rsidRPr="00C67824">
        <w:rPr>
          <w:rFonts w:ascii="Times New Roman" w:hAnsi="Times New Roman" w:cs="Times New Roman"/>
          <w:i/>
          <w:u w:val="single"/>
        </w:rPr>
        <w:t>Νεφρική Ανεπάρκεια:</w:t>
      </w:r>
      <w:r w:rsidRPr="00381708">
        <w:rPr>
          <w:rFonts w:ascii="Times New Roman" w:hAnsi="Times New Roman" w:cs="Times New Roman"/>
        </w:rPr>
        <w:t xml:space="preserve"> Η παρουσία νεφρικής νόσου δεν επηρεάζει τις συγκεντρώσεις</w:t>
      </w:r>
      <w:r w:rsidR="00D76343" w:rsidRPr="00381708">
        <w:rPr>
          <w:rFonts w:ascii="Times New Roman" w:hAnsi="Times New Roman" w:cs="Times New Roman"/>
        </w:rPr>
        <w:t xml:space="preserve"> </w:t>
      </w:r>
      <w:r w:rsidRPr="00381708">
        <w:rPr>
          <w:rFonts w:ascii="Times New Roman" w:hAnsi="Times New Roman" w:cs="Times New Roman"/>
        </w:rPr>
        <w:t>του πλάσματος ή την αντιλιπιδαιμική δράση της ατορβαστατίνης και των δραστικών</w:t>
      </w:r>
      <w:r w:rsidR="00D76343" w:rsidRPr="00381708">
        <w:rPr>
          <w:rFonts w:ascii="Times New Roman" w:hAnsi="Times New Roman" w:cs="Times New Roman"/>
        </w:rPr>
        <w:t xml:space="preserve"> </w:t>
      </w:r>
      <w:r w:rsidRPr="00381708">
        <w:rPr>
          <w:rFonts w:ascii="Times New Roman" w:hAnsi="Times New Roman" w:cs="Times New Roman"/>
        </w:rPr>
        <w:t>μεταβολιτών της.</w:t>
      </w:r>
    </w:p>
    <w:p w:rsidR="00381708" w:rsidRPr="00381708" w:rsidRDefault="00381708" w:rsidP="00381708">
      <w:pPr>
        <w:spacing w:after="0" w:line="240" w:lineRule="auto"/>
        <w:jc w:val="both"/>
        <w:rPr>
          <w:rFonts w:ascii="Times New Roman" w:hAnsi="Times New Roman" w:cs="Times New Roman"/>
        </w:rPr>
      </w:pPr>
    </w:p>
    <w:p w:rsidR="00F457BF" w:rsidRDefault="00F457BF" w:rsidP="00381708">
      <w:pPr>
        <w:spacing w:after="0" w:line="240" w:lineRule="auto"/>
        <w:jc w:val="both"/>
        <w:rPr>
          <w:rFonts w:ascii="Times New Roman" w:hAnsi="Times New Roman" w:cs="Times New Roman"/>
        </w:rPr>
      </w:pPr>
      <w:r w:rsidRPr="00C67824">
        <w:rPr>
          <w:rFonts w:ascii="Times New Roman" w:hAnsi="Times New Roman" w:cs="Times New Roman"/>
          <w:i/>
          <w:u w:val="single"/>
        </w:rPr>
        <w:t>Ηπατική Ανεπάρκεια</w:t>
      </w:r>
      <w:r w:rsidRPr="00C67824">
        <w:rPr>
          <w:rFonts w:ascii="Times New Roman" w:hAnsi="Times New Roman" w:cs="Times New Roman"/>
          <w:i/>
        </w:rPr>
        <w:t>:</w:t>
      </w:r>
      <w:r w:rsidRPr="00381708">
        <w:rPr>
          <w:rFonts w:ascii="Times New Roman" w:hAnsi="Times New Roman" w:cs="Times New Roman"/>
        </w:rPr>
        <w:t xml:space="preserve"> Σε ασθενείς με χρόνια αλκοολική ηπατική νόσο (Childs-Pugh B)</w:t>
      </w:r>
      <w:r w:rsidR="00D76343" w:rsidRPr="00381708">
        <w:rPr>
          <w:rFonts w:ascii="Times New Roman" w:hAnsi="Times New Roman" w:cs="Times New Roman"/>
        </w:rPr>
        <w:t xml:space="preserve"> </w:t>
      </w:r>
      <w:r w:rsidRPr="00381708">
        <w:rPr>
          <w:rFonts w:ascii="Times New Roman" w:hAnsi="Times New Roman" w:cs="Times New Roman"/>
        </w:rPr>
        <w:t>οι συγκεντρώσεις της ατορβαστατίνης και των δραστικών μεταβολιτών της στο</w:t>
      </w:r>
      <w:r w:rsidR="00D76343" w:rsidRPr="00381708">
        <w:rPr>
          <w:rFonts w:ascii="Times New Roman" w:hAnsi="Times New Roman" w:cs="Times New Roman"/>
        </w:rPr>
        <w:t xml:space="preserve"> </w:t>
      </w:r>
      <w:r w:rsidRPr="00381708">
        <w:rPr>
          <w:rFonts w:ascii="Times New Roman" w:hAnsi="Times New Roman" w:cs="Times New Roman"/>
        </w:rPr>
        <w:t>πλάσμα αυξάνονται σημαντικά (περίπου 16 φορές η C</w:t>
      </w:r>
      <w:r w:rsidRPr="00900C58">
        <w:rPr>
          <w:rFonts w:ascii="Times New Roman" w:hAnsi="Times New Roman" w:cs="Times New Roman"/>
          <w:vertAlign w:val="subscript"/>
        </w:rPr>
        <w:t>max</w:t>
      </w:r>
      <w:r w:rsidRPr="00381708">
        <w:rPr>
          <w:rFonts w:ascii="Times New Roman" w:hAnsi="Times New Roman" w:cs="Times New Roman"/>
        </w:rPr>
        <w:t xml:space="preserve"> και περίπου 11 φορές η</w:t>
      </w:r>
      <w:r w:rsidR="00D76343" w:rsidRPr="00381708">
        <w:rPr>
          <w:rFonts w:ascii="Times New Roman" w:hAnsi="Times New Roman" w:cs="Times New Roman"/>
        </w:rPr>
        <w:t xml:space="preserve"> </w:t>
      </w:r>
      <w:r w:rsidRPr="00381708">
        <w:rPr>
          <w:rFonts w:ascii="Times New Roman" w:hAnsi="Times New Roman" w:cs="Times New Roman"/>
        </w:rPr>
        <w:t>AUC).</w:t>
      </w:r>
    </w:p>
    <w:p w:rsidR="00381708" w:rsidRDefault="00381708" w:rsidP="00381708">
      <w:pPr>
        <w:spacing w:after="0" w:line="240" w:lineRule="auto"/>
        <w:jc w:val="both"/>
        <w:rPr>
          <w:rFonts w:ascii="Times New Roman" w:hAnsi="Times New Roman" w:cs="Times New Roman"/>
        </w:rPr>
      </w:pPr>
    </w:p>
    <w:p w:rsidR="00381708" w:rsidRPr="00381708" w:rsidRDefault="00381708" w:rsidP="00381708">
      <w:pPr>
        <w:spacing w:after="0" w:line="240" w:lineRule="auto"/>
        <w:jc w:val="both"/>
        <w:rPr>
          <w:rFonts w:ascii="Times New Roman" w:hAnsi="Times New Roman" w:cs="Times New Roman"/>
        </w:rPr>
      </w:pPr>
      <w:r w:rsidRPr="00C67824">
        <w:rPr>
          <w:rFonts w:ascii="Times New Roman" w:hAnsi="Times New Roman" w:cs="Times New Roman"/>
          <w:i/>
          <w:u w:val="single"/>
        </w:rPr>
        <w:t>Πολυμορφισμός SLOC1B:</w:t>
      </w:r>
      <w:r w:rsidRPr="00381708">
        <w:rPr>
          <w:rFonts w:ascii="Times New Roman" w:hAnsi="Times New Roman" w:cs="Times New Roman"/>
        </w:rPr>
        <w:t xml:space="preserve"> Ο διακομιστής OATP1B1 λαμβάνει μέρος στην ηπατική πρόσληψη όλων των αναστολέων της HMG-CoA αναγωγάσης, συμπεριλαμβανομένης της ατορβαστατίνης. Σε ασθενείς με πολυμορφισμό SLCO1B1, υπάρχει κίνδυνος αυξημένης έκθεσης στην ατορβαστατίνη, η οποία μπορεί να οδηγήσει σε αυξημένο κίνδυνο ραβδομυόλυσης (βλέπε παράγραφο 4.4). Πολυμορφισμός στο γονίδιο το οποίο κωδικοποιεί τον διακομιστή OATP1B1 (SLCO1B1 c.521CC) έχει συσχετισθεί με 2,4-φορές υψηλότερη έκθεση στην ατορβαστατίνη (AUC) από ότι σε ανθρώπους χωρίς αυτή την παραλλαγή γονότυπου (c.521TT). Μια γενετικά διαταραγμένη ηπατική πρόσληψη της ατορβαστατίνης σε αυτούς τους ασθενείς είναι επίσης πιθανή. Οι πιθανές συνέπειες για την αποτελεσματικότητα είναι άγνωστες.</w:t>
      </w:r>
    </w:p>
    <w:p w:rsidR="00D76343" w:rsidRPr="006B1BBE" w:rsidRDefault="00D76343" w:rsidP="008525D4">
      <w:pPr>
        <w:spacing w:after="0" w:line="240" w:lineRule="auto"/>
        <w:jc w:val="both"/>
        <w:rPr>
          <w:rFonts w:ascii="Times New Roman" w:hAnsi="Times New Roman" w:cs="Times New Roman"/>
        </w:rPr>
      </w:pPr>
    </w:p>
    <w:p w:rsidR="00F457BF" w:rsidRPr="006B1BBE" w:rsidRDefault="00F457BF" w:rsidP="00D76343">
      <w:pPr>
        <w:pStyle w:val="a3"/>
        <w:numPr>
          <w:ilvl w:val="1"/>
          <w:numId w:val="1"/>
        </w:numPr>
        <w:spacing w:after="0" w:line="240" w:lineRule="auto"/>
        <w:jc w:val="both"/>
        <w:rPr>
          <w:rFonts w:ascii="Times New Roman" w:hAnsi="Times New Roman" w:cs="Times New Roman"/>
          <w:b/>
          <w:lang w:val="en-US"/>
        </w:rPr>
      </w:pPr>
      <w:r w:rsidRPr="006B1BBE">
        <w:rPr>
          <w:rFonts w:ascii="Times New Roman" w:hAnsi="Times New Roman" w:cs="Times New Roman"/>
          <w:b/>
        </w:rPr>
        <w:t>Προκλινικά δεδομένα για την ασφάλεια</w:t>
      </w:r>
    </w:p>
    <w:p w:rsidR="00D76343" w:rsidRDefault="00D76343" w:rsidP="008525D4">
      <w:pPr>
        <w:spacing w:after="0" w:line="240" w:lineRule="auto"/>
        <w:jc w:val="both"/>
        <w:rPr>
          <w:rFonts w:ascii="Times New Roman" w:hAnsi="Times New Roman" w:cs="Times New Roman"/>
        </w:rPr>
      </w:pPr>
    </w:p>
    <w:p w:rsidR="00381708" w:rsidRPr="00381708" w:rsidRDefault="00381708" w:rsidP="00381708">
      <w:pPr>
        <w:spacing w:after="0" w:line="240" w:lineRule="auto"/>
        <w:jc w:val="both"/>
        <w:rPr>
          <w:rFonts w:ascii="Times New Roman" w:hAnsi="Times New Roman" w:cs="Times New Roman"/>
        </w:rPr>
      </w:pPr>
      <w:r w:rsidRPr="00381708">
        <w:rPr>
          <w:rFonts w:ascii="Times New Roman" w:hAnsi="Times New Roman" w:cs="Times New Roman"/>
        </w:rPr>
        <w:t>Η ατορβαστατίνη δεν παρουσίασε μεταλλαξιογόνο ή μιτωτικό δυναμικό σε μια συστοιχία 4 in vitro δοκιμασιών και σε 1 in vivo μελέτη. Η ατορβαστατίνη δεν παρουσίασε καρκινογόνο δράση σε αρουραίους, αλλά υψηλές δόσεις σε ποντίκια (έχοντας ως αποτέλεσμα την αύξηση 6-11 φορές την AUC0-24h που επιτυγχάνεται στους ανθρώπους στις υψηλότερες συνιστώμενες δόσεις) παρουσίασαν ηπατοκυτταρικά αδενώματα στα άρρενα και ηπατοκυτταρικά καρκινώματα στα θήλεα.</w:t>
      </w:r>
    </w:p>
    <w:p w:rsidR="00381708" w:rsidRDefault="00381708" w:rsidP="00381708">
      <w:pPr>
        <w:spacing w:after="0" w:line="240" w:lineRule="auto"/>
        <w:jc w:val="both"/>
        <w:rPr>
          <w:rFonts w:ascii="Times New Roman" w:hAnsi="Times New Roman" w:cs="Times New Roman"/>
        </w:rPr>
      </w:pPr>
      <w:r w:rsidRPr="00381708">
        <w:rPr>
          <w:rFonts w:ascii="Times New Roman" w:hAnsi="Times New Roman" w:cs="Times New Roman"/>
        </w:rPr>
        <w:t>Υπάρχουν στοιχεία από πειραματικές μελέτες σε ζώα που καταδεικνύουν ότι οι αναστολείς της HMG-CoA αναγωγάσης μπορεί να επηρεάσουν την ανάπτυξη των εμβρύων. Η ατορβαστατίνη δεν είχε καμία επίδραση στη γονιμότητα αρουραίων, ποντικιών και κουνελιών, και δεν είχε τερατογόνο δράση, ωστόσο, παρατηρήθηκε εμβρυακή τοξικότητα στους αρουραίους και τα κουνέλια όταν η δόση που χορηγήθηκε στη μητέρα ήταν τοξική. Σε αρουραίους παρατηρήθηκε καθυστέρηση της ανάπτυξης των νεογνών, ενώ μετά από έκθεση των μητέρων των ζώων σε υψηλές δόσεις ατορβαστατίνης η επιβίωση μετά τον τοκετό ελαττώθηκε. Στους αρουραίους υπάρχουν στοιχεία που καταδεικνύουν ότι υπάρχει μεταφορά μέσω του πλακούντα. Στους αρουραίους, η συγκέντρωση της ατορβαστατίνης στο πλάσμα είναι παραπλήσια με αυτή στο μητρικό γάλα. Δεν είναι γνωστό εάν η ατορβαστατίνη ή οι μεταβολίτες της απεκκρίνονται στο ανθρώπινο μητρικό γάλα.</w:t>
      </w:r>
    </w:p>
    <w:p w:rsidR="00381708" w:rsidRPr="00900C58" w:rsidRDefault="00381708" w:rsidP="00381708">
      <w:pPr>
        <w:spacing w:after="0" w:line="240" w:lineRule="auto"/>
        <w:jc w:val="both"/>
        <w:rPr>
          <w:rFonts w:ascii="Times New Roman" w:hAnsi="Times New Roman" w:cs="Times New Roman"/>
        </w:rPr>
      </w:pPr>
    </w:p>
    <w:p w:rsidR="00D76343" w:rsidRPr="006B1BBE" w:rsidRDefault="00D76343" w:rsidP="00D76343">
      <w:pPr>
        <w:spacing w:after="0" w:line="240" w:lineRule="auto"/>
        <w:jc w:val="both"/>
        <w:rPr>
          <w:rFonts w:ascii="Times New Roman" w:hAnsi="Times New Roman" w:cs="Times New Roman"/>
          <w:b/>
        </w:rPr>
      </w:pPr>
    </w:p>
    <w:p w:rsidR="00BB4B45" w:rsidRDefault="00381708" w:rsidP="00900C58">
      <w:pPr>
        <w:pStyle w:val="a3"/>
        <w:numPr>
          <w:ilvl w:val="0"/>
          <w:numId w:val="1"/>
        </w:numPr>
        <w:spacing w:after="0" w:line="240" w:lineRule="auto"/>
        <w:jc w:val="both"/>
        <w:rPr>
          <w:rFonts w:ascii="Times New Roman" w:hAnsi="Times New Roman" w:cs="Times New Roman"/>
          <w:b/>
        </w:rPr>
      </w:pPr>
      <w:r w:rsidRPr="00381708">
        <w:t xml:space="preserve"> </w:t>
      </w:r>
      <w:r w:rsidRPr="00381708">
        <w:rPr>
          <w:rFonts w:ascii="Times New Roman" w:hAnsi="Times New Roman" w:cs="Times New Roman"/>
          <w:b/>
        </w:rPr>
        <w:t>ΦΑΡΜΑΚΕΥΤΙΚΕΣ ΠΛΗΡΟΦΟΡΙΕΣ</w:t>
      </w:r>
    </w:p>
    <w:p w:rsidR="00BB4B45" w:rsidRPr="00900C58" w:rsidRDefault="00BB4B45" w:rsidP="00BB4B45">
      <w:pPr>
        <w:spacing w:after="0" w:line="240" w:lineRule="auto"/>
        <w:jc w:val="both"/>
        <w:rPr>
          <w:rFonts w:ascii="Times New Roman" w:hAnsi="Times New Roman" w:cs="Times New Roman"/>
          <w:b/>
        </w:rPr>
      </w:pPr>
    </w:p>
    <w:p w:rsidR="00BB4B45" w:rsidRDefault="00BB4B45" w:rsidP="00900C58">
      <w:pPr>
        <w:pStyle w:val="a3"/>
        <w:numPr>
          <w:ilvl w:val="1"/>
          <w:numId w:val="1"/>
        </w:numPr>
        <w:spacing w:after="0" w:line="240" w:lineRule="auto"/>
        <w:jc w:val="both"/>
        <w:rPr>
          <w:rFonts w:ascii="Times New Roman" w:hAnsi="Times New Roman" w:cs="Times New Roman"/>
          <w:b/>
        </w:rPr>
      </w:pPr>
      <w:r w:rsidRPr="00BB4B45">
        <w:rPr>
          <w:rFonts w:ascii="Times New Roman" w:hAnsi="Times New Roman" w:cs="Times New Roman"/>
          <w:b/>
        </w:rPr>
        <w:t>Κατάλογος εκδόχων</w:t>
      </w:r>
    </w:p>
    <w:p w:rsidR="00BB4B45" w:rsidRPr="00900C58" w:rsidRDefault="00BB4B45" w:rsidP="00BB4B45">
      <w:pPr>
        <w:spacing w:after="0" w:line="240" w:lineRule="auto"/>
        <w:jc w:val="both"/>
        <w:rPr>
          <w:rFonts w:ascii="Times New Roman" w:hAnsi="Times New Roman" w:cs="Times New Roman"/>
          <w:b/>
        </w:rPr>
      </w:pPr>
    </w:p>
    <w:p w:rsidR="006B6D76" w:rsidRPr="006B1BBE" w:rsidRDefault="006B6D76" w:rsidP="006B6D76">
      <w:pPr>
        <w:spacing w:after="0" w:line="240" w:lineRule="auto"/>
        <w:jc w:val="both"/>
        <w:rPr>
          <w:rFonts w:ascii="Times New Roman" w:hAnsi="Times New Roman" w:cs="Times New Roman"/>
          <w:lang w:val="en-US"/>
        </w:rPr>
      </w:pPr>
      <w:r w:rsidRPr="006B1BBE">
        <w:rPr>
          <w:rFonts w:ascii="Times New Roman" w:hAnsi="Times New Roman" w:cs="Times New Roman"/>
          <w:lang w:val="en-US"/>
        </w:rPr>
        <w:t>MICROCRYSTALLINE CELLULOSE</w:t>
      </w:r>
    </w:p>
    <w:p w:rsidR="006B6D76" w:rsidRPr="006B1BBE" w:rsidRDefault="006B6D76" w:rsidP="006B6D76">
      <w:pPr>
        <w:spacing w:after="0" w:line="240" w:lineRule="auto"/>
        <w:jc w:val="both"/>
        <w:rPr>
          <w:rFonts w:ascii="Times New Roman" w:hAnsi="Times New Roman" w:cs="Times New Roman"/>
          <w:lang w:val="en-US"/>
        </w:rPr>
      </w:pPr>
      <w:r w:rsidRPr="006B1BBE">
        <w:rPr>
          <w:rFonts w:ascii="Times New Roman" w:hAnsi="Times New Roman" w:cs="Times New Roman"/>
          <w:lang w:val="en-US"/>
        </w:rPr>
        <w:t>CROSCARMELLOSE SODIUM</w:t>
      </w:r>
    </w:p>
    <w:p w:rsidR="006B6D76" w:rsidRPr="006B1BBE" w:rsidRDefault="006B6D76" w:rsidP="006B6D76">
      <w:pPr>
        <w:spacing w:after="0" w:line="240" w:lineRule="auto"/>
        <w:jc w:val="both"/>
        <w:rPr>
          <w:rFonts w:ascii="Times New Roman" w:hAnsi="Times New Roman" w:cs="Times New Roman"/>
          <w:lang w:val="en-US"/>
        </w:rPr>
      </w:pPr>
      <w:r w:rsidRPr="006B1BBE">
        <w:rPr>
          <w:rFonts w:ascii="Times New Roman" w:hAnsi="Times New Roman" w:cs="Times New Roman"/>
          <w:lang w:val="en-US"/>
        </w:rPr>
        <w:t>CALCIUM CARBONATE</w:t>
      </w:r>
    </w:p>
    <w:p w:rsidR="006B6D76" w:rsidRPr="006B1BBE" w:rsidRDefault="006B6D76" w:rsidP="006B6D76">
      <w:pPr>
        <w:spacing w:after="0" w:line="240" w:lineRule="auto"/>
        <w:jc w:val="both"/>
        <w:rPr>
          <w:rFonts w:ascii="Times New Roman" w:hAnsi="Times New Roman" w:cs="Times New Roman"/>
          <w:lang w:val="en-US"/>
        </w:rPr>
      </w:pPr>
      <w:r w:rsidRPr="006B1BBE">
        <w:rPr>
          <w:rFonts w:ascii="Times New Roman" w:hAnsi="Times New Roman" w:cs="Times New Roman"/>
          <w:lang w:val="en-US"/>
        </w:rPr>
        <w:lastRenderedPageBreak/>
        <w:t>LACTOSE MONOHYDRATE</w:t>
      </w:r>
      <w:r w:rsidRPr="006B1BBE">
        <w:rPr>
          <w:rFonts w:ascii="Times New Roman" w:hAnsi="Times New Roman" w:cs="Times New Roman"/>
          <w:vertAlign w:val="superscript"/>
          <w:lang w:val="en-US"/>
        </w:rPr>
        <w:t xml:space="preserve">2 </w:t>
      </w:r>
    </w:p>
    <w:p w:rsidR="006B6D76" w:rsidRPr="006B1BBE" w:rsidRDefault="006B6D76" w:rsidP="006B6D76">
      <w:pPr>
        <w:spacing w:after="0" w:line="240" w:lineRule="auto"/>
        <w:jc w:val="both"/>
        <w:rPr>
          <w:rFonts w:ascii="Times New Roman" w:hAnsi="Times New Roman" w:cs="Times New Roman"/>
          <w:lang w:val="en-US"/>
        </w:rPr>
      </w:pPr>
      <w:r w:rsidRPr="006B1BBE">
        <w:rPr>
          <w:rFonts w:ascii="Times New Roman" w:hAnsi="Times New Roman" w:cs="Times New Roman"/>
          <w:lang w:val="en-US"/>
        </w:rPr>
        <w:t>POLYSORBATE 80</w:t>
      </w:r>
    </w:p>
    <w:p w:rsidR="006B6D76" w:rsidRPr="006B1BBE" w:rsidRDefault="006B6D76" w:rsidP="006B6D76">
      <w:pPr>
        <w:spacing w:after="0" w:line="240" w:lineRule="auto"/>
        <w:jc w:val="both"/>
        <w:rPr>
          <w:rFonts w:ascii="Times New Roman" w:hAnsi="Times New Roman" w:cs="Times New Roman"/>
          <w:lang w:val="en-US"/>
        </w:rPr>
      </w:pPr>
      <w:r w:rsidRPr="006B1BBE">
        <w:rPr>
          <w:rFonts w:ascii="Times New Roman" w:hAnsi="Times New Roman" w:cs="Times New Roman"/>
          <w:lang w:val="en-US"/>
        </w:rPr>
        <w:t>HYDROXYPROPYL CELLULOSE</w:t>
      </w:r>
    </w:p>
    <w:p w:rsidR="00D76343" w:rsidRPr="006B1BBE" w:rsidRDefault="006B6D76" w:rsidP="006B6D76">
      <w:pPr>
        <w:spacing w:after="0" w:line="240" w:lineRule="auto"/>
        <w:jc w:val="both"/>
        <w:rPr>
          <w:rFonts w:ascii="Times New Roman" w:hAnsi="Times New Roman" w:cs="Times New Roman"/>
          <w:lang w:val="en-US"/>
        </w:rPr>
      </w:pPr>
      <w:r w:rsidRPr="006B1BBE">
        <w:rPr>
          <w:rFonts w:ascii="Times New Roman" w:hAnsi="Times New Roman" w:cs="Times New Roman"/>
          <w:lang w:val="en-US"/>
        </w:rPr>
        <w:t>MAGNESIUM STEARATE</w:t>
      </w:r>
    </w:p>
    <w:p w:rsidR="006B6D76" w:rsidRPr="006B1BBE" w:rsidRDefault="006B6D76" w:rsidP="006B6D76">
      <w:pPr>
        <w:spacing w:after="0" w:line="240" w:lineRule="auto"/>
        <w:jc w:val="both"/>
        <w:rPr>
          <w:rFonts w:ascii="Times New Roman" w:hAnsi="Times New Roman" w:cs="Times New Roman"/>
          <w:lang w:val="en-US"/>
        </w:rPr>
      </w:pPr>
    </w:p>
    <w:p w:rsidR="00F457BF" w:rsidRPr="006B1BBE" w:rsidRDefault="00F457BF" w:rsidP="008525D4">
      <w:pPr>
        <w:spacing w:after="0" w:line="240" w:lineRule="auto"/>
        <w:jc w:val="both"/>
        <w:rPr>
          <w:rFonts w:ascii="Times New Roman" w:hAnsi="Times New Roman" w:cs="Times New Roman"/>
          <w:b/>
          <w:u w:val="single"/>
          <w:lang w:val="en-US"/>
        </w:rPr>
      </w:pPr>
      <w:r w:rsidRPr="006B1BBE">
        <w:rPr>
          <w:rFonts w:ascii="Times New Roman" w:hAnsi="Times New Roman" w:cs="Times New Roman"/>
          <w:b/>
          <w:u w:val="single"/>
        </w:rPr>
        <w:t>Επικάλυψη</w:t>
      </w:r>
    </w:p>
    <w:p w:rsidR="00D76343" w:rsidRPr="006B1BBE" w:rsidRDefault="00D76343" w:rsidP="008525D4">
      <w:pPr>
        <w:spacing w:after="0" w:line="240" w:lineRule="auto"/>
        <w:jc w:val="both"/>
        <w:rPr>
          <w:rFonts w:ascii="Times New Roman" w:hAnsi="Times New Roman" w:cs="Times New Roman"/>
          <w:b/>
          <w:u w:val="single"/>
          <w:lang w:val="en-US"/>
        </w:rPr>
      </w:pPr>
    </w:p>
    <w:p w:rsidR="006B6D76" w:rsidRPr="006B1BBE" w:rsidRDefault="006B6D76" w:rsidP="006B6D76">
      <w:pPr>
        <w:spacing w:after="0" w:line="240" w:lineRule="auto"/>
        <w:jc w:val="both"/>
        <w:rPr>
          <w:rFonts w:ascii="Times New Roman" w:hAnsi="Times New Roman" w:cs="Times New Roman"/>
          <w:lang w:val="en-US"/>
        </w:rPr>
      </w:pPr>
      <w:r w:rsidRPr="006B1BBE">
        <w:rPr>
          <w:rFonts w:ascii="Times New Roman" w:hAnsi="Times New Roman" w:cs="Times New Roman"/>
          <w:lang w:val="en-US"/>
        </w:rPr>
        <w:t xml:space="preserve">OPADRY Y-I-7000  </w:t>
      </w:r>
    </w:p>
    <w:p w:rsidR="006B6D76" w:rsidRPr="006B1BBE" w:rsidRDefault="006B6D76" w:rsidP="006B6D76">
      <w:pPr>
        <w:spacing w:after="0" w:line="240" w:lineRule="auto"/>
        <w:jc w:val="both"/>
        <w:rPr>
          <w:rFonts w:ascii="Times New Roman" w:hAnsi="Times New Roman" w:cs="Times New Roman"/>
          <w:lang w:val="en-US"/>
        </w:rPr>
      </w:pPr>
    </w:p>
    <w:p w:rsidR="00F457BF" w:rsidRPr="006B1BBE" w:rsidRDefault="00F457BF" w:rsidP="00D76343">
      <w:pPr>
        <w:pStyle w:val="a3"/>
        <w:numPr>
          <w:ilvl w:val="1"/>
          <w:numId w:val="1"/>
        </w:numPr>
        <w:spacing w:after="0" w:line="240" w:lineRule="auto"/>
        <w:jc w:val="both"/>
        <w:rPr>
          <w:rFonts w:ascii="Times New Roman" w:hAnsi="Times New Roman" w:cs="Times New Roman"/>
          <w:b/>
          <w:lang w:val="en-US"/>
        </w:rPr>
      </w:pPr>
      <w:r w:rsidRPr="006B1BBE">
        <w:rPr>
          <w:rFonts w:ascii="Times New Roman" w:hAnsi="Times New Roman" w:cs="Times New Roman"/>
          <w:b/>
        </w:rPr>
        <w:t>Ασυμβατότητες</w:t>
      </w:r>
    </w:p>
    <w:p w:rsidR="00D76343" w:rsidRPr="006B1BBE" w:rsidRDefault="00D76343" w:rsidP="00D76343">
      <w:pPr>
        <w:spacing w:after="0" w:line="240" w:lineRule="auto"/>
        <w:jc w:val="both"/>
        <w:rPr>
          <w:rFonts w:ascii="Times New Roman" w:hAnsi="Times New Roman" w:cs="Times New Roman"/>
          <w:b/>
          <w:lang w:val="en-US"/>
        </w:rPr>
      </w:pPr>
    </w:p>
    <w:p w:rsidR="00D76343" w:rsidRPr="006B1BBE" w:rsidRDefault="00F457BF" w:rsidP="008525D4">
      <w:pPr>
        <w:spacing w:after="0" w:line="240" w:lineRule="auto"/>
        <w:jc w:val="both"/>
        <w:rPr>
          <w:rFonts w:ascii="Times New Roman" w:hAnsi="Times New Roman" w:cs="Times New Roman"/>
          <w:lang w:val="en-US"/>
        </w:rPr>
      </w:pPr>
      <w:r w:rsidRPr="006B1BBE">
        <w:rPr>
          <w:rFonts w:ascii="Times New Roman" w:hAnsi="Times New Roman" w:cs="Times New Roman"/>
        </w:rPr>
        <w:t>Δεν εφαρμόζεται.</w:t>
      </w:r>
    </w:p>
    <w:p w:rsidR="00D76343" w:rsidRPr="006B1BBE" w:rsidRDefault="00D76343" w:rsidP="008525D4">
      <w:pPr>
        <w:spacing w:after="0" w:line="240" w:lineRule="auto"/>
        <w:jc w:val="both"/>
        <w:rPr>
          <w:rFonts w:ascii="Times New Roman" w:hAnsi="Times New Roman" w:cs="Times New Roman"/>
          <w:lang w:val="en-US"/>
        </w:rPr>
      </w:pPr>
    </w:p>
    <w:p w:rsidR="00BB4B45" w:rsidRPr="00C67824" w:rsidRDefault="00F457BF" w:rsidP="00BB4B45">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t>Διάρκεια ζωή</w:t>
      </w:r>
    </w:p>
    <w:p w:rsidR="00C67824" w:rsidRPr="00C67824" w:rsidRDefault="00C67824" w:rsidP="00C67824">
      <w:pPr>
        <w:spacing w:after="0" w:line="240" w:lineRule="auto"/>
        <w:jc w:val="both"/>
        <w:rPr>
          <w:rFonts w:ascii="Times New Roman" w:hAnsi="Times New Roman" w:cs="Times New Roman"/>
          <w:b/>
          <w:lang w:val="en-US"/>
        </w:rPr>
      </w:pPr>
    </w:p>
    <w:p w:rsidR="00F457BF" w:rsidRPr="006B1BBE" w:rsidRDefault="00F457BF" w:rsidP="008525D4">
      <w:pPr>
        <w:spacing w:after="0" w:line="240" w:lineRule="auto"/>
        <w:jc w:val="both"/>
        <w:rPr>
          <w:rFonts w:ascii="Times New Roman" w:hAnsi="Times New Roman" w:cs="Times New Roman"/>
          <w:lang w:val="en-US"/>
        </w:rPr>
      </w:pPr>
      <w:r w:rsidRPr="006B1BBE">
        <w:rPr>
          <w:rFonts w:ascii="Times New Roman" w:hAnsi="Times New Roman" w:cs="Times New Roman"/>
        </w:rPr>
        <w:t>3 χρόνια</w:t>
      </w:r>
    </w:p>
    <w:p w:rsidR="006B6D76" w:rsidRPr="006B1BBE" w:rsidRDefault="006B6D76" w:rsidP="008525D4">
      <w:pPr>
        <w:spacing w:after="0" w:line="240" w:lineRule="auto"/>
        <w:jc w:val="both"/>
        <w:rPr>
          <w:rFonts w:ascii="Times New Roman" w:hAnsi="Times New Roman" w:cs="Times New Roman"/>
          <w:lang w:val="en-US"/>
        </w:rPr>
      </w:pPr>
    </w:p>
    <w:p w:rsidR="00F457BF" w:rsidRPr="006B1BBE" w:rsidRDefault="00F457BF" w:rsidP="006B6D76">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t>Ιδιαίτερες προφυλάξεις κατά την φύλαξη του προϊόντος</w:t>
      </w:r>
    </w:p>
    <w:p w:rsidR="006B6D76" w:rsidRPr="006B1BBE" w:rsidRDefault="006B6D76" w:rsidP="008525D4">
      <w:pPr>
        <w:spacing w:after="0" w:line="240" w:lineRule="auto"/>
        <w:jc w:val="both"/>
        <w:rPr>
          <w:rFonts w:ascii="Times New Roman" w:hAnsi="Times New Roman" w:cs="Times New Roman"/>
        </w:rPr>
      </w:pPr>
    </w:p>
    <w:p w:rsidR="00F457BF" w:rsidRPr="006B1BBE" w:rsidRDefault="00F457BF" w:rsidP="008525D4">
      <w:pPr>
        <w:spacing w:after="0" w:line="240" w:lineRule="auto"/>
        <w:jc w:val="both"/>
        <w:rPr>
          <w:rFonts w:ascii="Times New Roman" w:hAnsi="Times New Roman" w:cs="Times New Roman"/>
        </w:rPr>
      </w:pPr>
      <w:r w:rsidRPr="006B1BBE">
        <w:rPr>
          <w:rFonts w:ascii="Times New Roman" w:hAnsi="Times New Roman" w:cs="Times New Roman"/>
        </w:rPr>
        <w:t xml:space="preserve">Αυτό το φαρμακευτικό προϊόν </w:t>
      </w:r>
      <w:r w:rsidR="00D1663E">
        <w:rPr>
          <w:rFonts w:ascii="Times New Roman" w:hAnsi="Times New Roman" w:cs="Times New Roman"/>
        </w:rPr>
        <w:t xml:space="preserve">να </w:t>
      </w:r>
      <w:r w:rsidR="00476E7F">
        <w:rPr>
          <w:rFonts w:ascii="Times New Roman" w:hAnsi="Times New Roman" w:cs="Times New Roman"/>
        </w:rPr>
        <w:t>φυλάσσεται σε θερμοκρασία μικρότερη από 25</w:t>
      </w:r>
      <w:r w:rsidR="00476E7F">
        <w:rPr>
          <w:rFonts w:ascii="Times New Roman" w:hAnsi="Times New Roman" w:cs="Times New Roman"/>
          <w:vertAlign w:val="superscript"/>
        </w:rPr>
        <w:t>ο</w:t>
      </w:r>
      <w:r w:rsidR="00476E7F">
        <w:rPr>
          <w:rFonts w:ascii="Times New Roman" w:hAnsi="Times New Roman" w:cs="Times New Roman"/>
          <w:lang w:val="en-US"/>
        </w:rPr>
        <w:t>C</w:t>
      </w:r>
      <w:r w:rsidR="00476E7F" w:rsidRPr="00476E7F">
        <w:rPr>
          <w:rFonts w:ascii="Times New Roman" w:hAnsi="Times New Roman" w:cs="Times New Roman"/>
        </w:rPr>
        <w:t>.</w:t>
      </w:r>
    </w:p>
    <w:p w:rsidR="006B6D76" w:rsidRPr="006B1BBE" w:rsidRDefault="006B6D76" w:rsidP="008525D4">
      <w:pPr>
        <w:spacing w:after="0" w:line="240" w:lineRule="auto"/>
        <w:jc w:val="both"/>
        <w:rPr>
          <w:rFonts w:ascii="Times New Roman" w:hAnsi="Times New Roman" w:cs="Times New Roman"/>
        </w:rPr>
      </w:pPr>
    </w:p>
    <w:p w:rsidR="00F457BF" w:rsidRPr="006B1BBE" w:rsidRDefault="00F457BF" w:rsidP="006B6D76">
      <w:pPr>
        <w:pStyle w:val="a3"/>
        <w:numPr>
          <w:ilvl w:val="1"/>
          <w:numId w:val="1"/>
        </w:numPr>
        <w:spacing w:after="0" w:line="240" w:lineRule="auto"/>
        <w:jc w:val="both"/>
        <w:rPr>
          <w:rFonts w:ascii="Times New Roman" w:hAnsi="Times New Roman" w:cs="Times New Roman"/>
          <w:b/>
          <w:lang w:val="en-US"/>
        </w:rPr>
      </w:pPr>
      <w:r w:rsidRPr="006B1BBE">
        <w:rPr>
          <w:rFonts w:ascii="Times New Roman" w:hAnsi="Times New Roman" w:cs="Times New Roman"/>
          <w:b/>
        </w:rPr>
        <w:t>Φύση και συστατικά του περιέκτη</w:t>
      </w:r>
    </w:p>
    <w:p w:rsidR="006B6D76" w:rsidRPr="006B1BBE" w:rsidRDefault="006B6D76" w:rsidP="008525D4">
      <w:pPr>
        <w:spacing w:after="0" w:line="240" w:lineRule="auto"/>
        <w:jc w:val="both"/>
        <w:rPr>
          <w:rFonts w:ascii="Times New Roman" w:hAnsi="Times New Roman" w:cs="Times New Roman"/>
          <w:lang w:val="en-US"/>
        </w:rPr>
      </w:pPr>
    </w:p>
    <w:p w:rsidR="006B6D76" w:rsidRPr="00423730" w:rsidRDefault="00924ABE" w:rsidP="008525D4">
      <w:pPr>
        <w:spacing w:after="0" w:line="240" w:lineRule="auto"/>
        <w:jc w:val="both"/>
        <w:rPr>
          <w:rFonts w:ascii="Times New Roman" w:hAnsi="Times New Roman" w:cs="Times New Roman"/>
        </w:rPr>
      </w:pPr>
      <w:r w:rsidRPr="00924ABE">
        <w:rPr>
          <w:rFonts w:ascii="Times New Roman" w:hAnsi="Times New Roman" w:cs="Times New Roman"/>
        </w:rPr>
        <w:t xml:space="preserve">Επικαλυμμένα δισκία που περιέχονται σε blister Alu/Alu  των 10 δισκίων. Κάθε κουτί περιέχει </w:t>
      </w:r>
      <w:r w:rsidR="00423730">
        <w:rPr>
          <w:rFonts w:ascii="Times New Roman" w:hAnsi="Times New Roman" w:cs="Times New Roman"/>
        </w:rPr>
        <w:t>30</w:t>
      </w:r>
      <w:r w:rsidR="003218AA" w:rsidRPr="003218AA">
        <w:rPr>
          <w:rFonts w:ascii="Times New Roman" w:hAnsi="Times New Roman" w:cs="Times New Roman"/>
        </w:rPr>
        <w:t xml:space="preserve"> </w:t>
      </w:r>
      <w:r w:rsidR="00423730">
        <w:rPr>
          <w:rFonts w:ascii="Times New Roman" w:hAnsi="Times New Roman" w:cs="Times New Roman"/>
        </w:rPr>
        <w:t>δισκία των 10</w:t>
      </w:r>
      <w:r w:rsidR="00091EFA" w:rsidRPr="00091EFA">
        <w:rPr>
          <w:rFonts w:ascii="Times New Roman" w:hAnsi="Times New Roman" w:cs="Times New Roman"/>
        </w:rPr>
        <w:t xml:space="preserve"> </w:t>
      </w:r>
      <w:r w:rsidR="00423730">
        <w:rPr>
          <w:rFonts w:ascii="Times New Roman" w:hAnsi="Times New Roman" w:cs="Times New Roman"/>
        </w:rPr>
        <w:t>mg</w:t>
      </w:r>
      <w:r w:rsidR="00423730" w:rsidRPr="00423730">
        <w:rPr>
          <w:rFonts w:ascii="Times New Roman" w:hAnsi="Times New Roman" w:cs="Times New Roman"/>
        </w:rPr>
        <w:t xml:space="preserve"> </w:t>
      </w:r>
      <w:r w:rsidR="00423730">
        <w:rPr>
          <w:rFonts w:ascii="Times New Roman" w:hAnsi="Times New Roman" w:cs="Times New Roman"/>
        </w:rPr>
        <w:t>ή 20 mg,</w:t>
      </w:r>
    </w:p>
    <w:p w:rsidR="00924ABE" w:rsidRPr="00423730" w:rsidRDefault="00924ABE" w:rsidP="008525D4">
      <w:pPr>
        <w:spacing w:after="0" w:line="240" w:lineRule="auto"/>
        <w:jc w:val="both"/>
        <w:rPr>
          <w:rFonts w:ascii="Times New Roman" w:hAnsi="Times New Roman" w:cs="Times New Roman"/>
        </w:rPr>
      </w:pPr>
    </w:p>
    <w:p w:rsidR="00F457BF" w:rsidRPr="006B1BBE" w:rsidRDefault="00F457BF" w:rsidP="006B6D76">
      <w:pPr>
        <w:pStyle w:val="a3"/>
        <w:numPr>
          <w:ilvl w:val="1"/>
          <w:numId w:val="1"/>
        </w:numPr>
        <w:spacing w:after="0" w:line="240" w:lineRule="auto"/>
        <w:jc w:val="both"/>
        <w:rPr>
          <w:rFonts w:ascii="Times New Roman" w:hAnsi="Times New Roman" w:cs="Times New Roman"/>
          <w:b/>
        </w:rPr>
      </w:pPr>
      <w:r w:rsidRPr="006B1BBE">
        <w:rPr>
          <w:rFonts w:ascii="Times New Roman" w:hAnsi="Times New Roman" w:cs="Times New Roman"/>
          <w:b/>
        </w:rPr>
        <w:t>Ιδιαίτερες προφυλάξεις απόρριψης</w:t>
      </w:r>
    </w:p>
    <w:p w:rsidR="006B6D76" w:rsidRPr="006B1BBE" w:rsidRDefault="006B6D76" w:rsidP="006B6D76">
      <w:pPr>
        <w:spacing w:after="0" w:line="240" w:lineRule="auto"/>
        <w:jc w:val="both"/>
        <w:rPr>
          <w:rFonts w:ascii="Times New Roman" w:hAnsi="Times New Roman" w:cs="Times New Roman"/>
          <w:b/>
          <w:lang w:val="en-US"/>
        </w:rPr>
      </w:pPr>
    </w:p>
    <w:p w:rsidR="00F457BF" w:rsidRPr="006B1BBE" w:rsidRDefault="00F457BF" w:rsidP="008525D4">
      <w:pPr>
        <w:spacing w:after="0" w:line="240" w:lineRule="auto"/>
        <w:jc w:val="both"/>
        <w:rPr>
          <w:rFonts w:ascii="Times New Roman" w:hAnsi="Times New Roman" w:cs="Times New Roman"/>
          <w:lang w:val="en-US"/>
        </w:rPr>
      </w:pPr>
      <w:r w:rsidRPr="006B1BBE">
        <w:rPr>
          <w:rFonts w:ascii="Times New Roman" w:hAnsi="Times New Roman" w:cs="Times New Roman"/>
        </w:rPr>
        <w:t>Καμία ειδική υποχρέωση.</w:t>
      </w:r>
    </w:p>
    <w:p w:rsidR="00E05F5E" w:rsidRPr="006B1BBE" w:rsidRDefault="00E05F5E" w:rsidP="008525D4">
      <w:pPr>
        <w:spacing w:after="0" w:line="240" w:lineRule="auto"/>
        <w:jc w:val="both"/>
        <w:rPr>
          <w:rFonts w:ascii="Times New Roman" w:hAnsi="Times New Roman" w:cs="Times New Roman"/>
          <w:lang w:val="en-US"/>
        </w:rPr>
      </w:pPr>
    </w:p>
    <w:p w:rsidR="00E05F5E" w:rsidRPr="006B1BBE" w:rsidRDefault="00E05F5E" w:rsidP="008525D4">
      <w:pPr>
        <w:spacing w:after="0" w:line="240" w:lineRule="auto"/>
        <w:jc w:val="both"/>
        <w:rPr>
          <w:rFonts w:ascii="Times New Roman" w:hAnsi="Times New Roman" w:cs="Times New Roman"/>
          <w:lang w:val="en-US"/>
        </w:rPr>
      </w:pPr>
    </w:p>
    <w:p w:rsidR="00F457BF" w:rsidRPr="006B1BBE" w:rsidRDefault="00F457BF" w:rsidP="006B6D76">
      <w:pPr>
        <w:pStyle w:val="a3"/>
        <w:numPr>
          <w:ilvl w:val="0"/>
          <w:numId w:val="1"/>
        </w:numPr>
        <w:spacing w:after="0" w:line="240" w:lineRule="auto"/>
        <w:jc w:val="both"/>
        <w:rPr>
          <w:rFonts w:ascii="Times New Roman" w:hAnsi="Times New Roman" w:cs="Times New Roman"/>
          <w:b/>
        </w:rPr>
      </w:pPr>
      <w:r w:rsidRPr="006B1BBE">
        <w:rPr>
          <w:rFonts w:ascii="Times New Roman" w:hAnsi="Times New Roman" w:cs="Times New Roman"/>
          <w:b/>
        </w:rPr>
        <w:t>ΚΑΤΟΧΟΣ ΤΗΣ ΑΔΕΙΑΣ ΚΥΚΛΟΦΟΡΙΑΣ</w:t>
      </w:r>
    </w:p>
    <w:p w:rsidR="006B6D76" w:rsidRPr="006B1BBE" w:rsidRDefault="006B6D76" w:rsidP="006B6D76">
      <w:pPr>
        <w:pStyle w:val="a3"/>
        <w:spacing w:after="0" w:line="240" w:lineRule="auto"/>
        <w:ind w:left="360"/>
        <w:jc w:val="both"/>
        <w:rPr>
          <w:rFonts w:ascii="Times New Roman" w:hAnsi="Times New Roman" w:cs="Times New Roman"/>
          <w:b/>
        </w:rPr>
      </w:pPr>
    </w:p>
    <w:p w:rsidR="0049241B" w:rsidRPr="0049241B" w:rsidRDefault="0049241B" w:rsidP="0049241B">
      <w:pPr>
        <w:spacing w:after="0" w:line="240" w:lineRule="auto"/>
        <w:jc w:val="both"/>
        <w:rPr>
          <w:rFonts w:ascii="Times New Roman" w:hAnsi="Times New Roman" w:cs="Times New Roman"/>
          <w:bCs/>
          <w:lang w:val="en-US"/>
        </w:rPr>
      </w:pPr>
      <w:r w:rsidRPr="0049241B">
        <w:rPr>
          <w:rFonts w:ascii="Times New Roman" w:hAnsi="Times New Roman" w:cs="Times New Roman"/>
          <w:bCs/>
          <w:lang w:val="en-US"/>
        </w:rPr>
        <w:t>VOCATE</w:t>
      </w:r>
      <w:r w:rsidRPr="0049241B">
        <w:rPr>
          <w:rFonts w:ascii="Times New Roman" w:hAnsi="Times New Roman" w:cs="Times New Roman"/>
          <w:bCs/>
        </w:rPr>
        <w:t xml:space="preserve"> ΦΑΡΜΑΚΕΥΤΙΚΗ ΑΕ, Γούναρη 150, 16674 Γλυφάδα</w:t>
      </w:r>
    </w:p>
    <w:p w:rsidR="006B6D76" w:rsidRPr="006B1BBE" w:rsidRDefault="006B6D76" w:rsidP="008525D4">
      <w:pPr>
        <w:spacing w:after="0" w:line="240" w:lineRule="auto"/>
        <w:jc w:val="both"/>
        <w:rPr>
          <w:rFonts w:ascii="Times New Roman" w:hAnsi="Times New Roman" w:cs="Times New Roman"/>
        </w:rPr>
      </w:pPr>
    </w:p>
    <w:p w:rsidR="00F457BF" w:rsidRPr="006B1BBE" w:rsidRDefault="00F457BF" w:rsidP="006B6D76">
      <w:pPr>
        <w:pStyle w:val="a3"/>
        <w:numPr>
          <w:ilvl w:val="0"/>
          <w:numId w:val="1"/>
        </w:numPr>
        <w:spacing w:after="0" w:line="240" w:lineRule="auto"/>
        <w:jc w:val="both"/>
        <w:rPr>
          <w:rFonts w:ascii="Times New Roman" w:hAnsi="Times New Roman" w:cs="Times New Roman"/>
          <w:b/>
        </w:rPr>
      </w:pPr>
      <w:r w:rsidRPr="006B1BBE">
        <w:rPr>
          <w:rFonts w:ascii="Times New Roman" w:hAnsi="Times New Roman" w:cs="Times New Roman"/>
          <w:b/>
        </w:rPr>
        <w:t>ΑΡΙΘΜΟΣ(ΟΙ) ΑΔΕΙΑΣ ΚΥΚΛΟΦΟΡΙΑΣ</w:t>
      </w:r>
    </w:p>
    <w:p w:rsidR="006B6D76" w:rsidRPr="006B1BBE" w:rsidRDefault="006B6D76" w:rsidP="006B6D76">
      <w:pPr>
        <w:spacing w:after="0" w:line="240" w:lineRule="auto"/>
        <w:jc w:val="both"/>
        <w:rPr>
          <w:rFonts w:ascii="Times New Roman" w:hAnsi="Times New Roman" w:cs="Times New Roman"/>
          <w:b/>
          <w:lang w:val="en-US"/>
        </w:rPr>
      </w:pPr>
    </w:p>
    <w:p w:rsidR="006B6D76" w:rsidRPr="006B1BBE" w:rsidRDefault="006B6D76" w:rsidP="006B6D76">
      <w:pPr>
        <w:spacing w:after="0" w:line="240" w:lineRule="auto"/>
        <w:jc w:val="both"/>
        <w:rPr>
          <w:rFonts w:ascii="Times New Roman" w:hAnsi="Times New Roman" w:cs="Times New Roman"/>
          <w:b/>
          <w:lang w:val="en-US"/>
        </w:rPr>
      </w:pPr>
    </w:p>
    <w:p w:rsidR="00F457BF" w:rsidRPr="006B1BBE" w:rsidRDefault="00F457BF" w:rsidP="006B6D76">
      <w:pPr>
        <w:pStyle w:val="a3"/>
        <w:numPr>
          <w:ilvl w:val="0"/>
          <w:numId w:val="1"/>
        </w:numPr>
        <w:spacing w:after="0" w:line="240" w:lineRule="auto"/>
        <w:jc w:val="both"/>
        <w:rPr>
          <w:rFonts w:ascii="Times New Roman" w:hAnsi="Times New Roman" w:cs="Times New Roman"/>
          <w:b/>
        </w:rPr>
      </w:pPr>
      <w:r w:rsidRPr="006B1BBE">
        <w:rPr>
          <w:rFonts w:ascii="Times New Roman" w:hAnsi="Times New Roman" w:cs="Times New Roman"/>
          <w:b/>
        </w:rPr>
        <w:t>ΗΜΕΡΟΜΗΝΙΑ ΠΡΩΤΗΣ ΕΓΚΡΙΣΗΣ / ΑΝΑΝΕΩΣΗΣ ΤΗΣ ΑΔΕΙΑΣ</w:t>
      </w:r>
    </w:p>
    <w:p w:rsidR="006B6D76" w:rsidRPr="006B1BBE" w:rsidRDefault="006B6D76" w:rsidP="008525D4">
      <w:pPr>
        <w:spacing w:after="0" w:line="240" w:lineRule="auto"/>
        <w:jc w:val="both"/>
        <w:rPr>
          <w:rFonts w:ascii="Times New Roman" w:hAnsi="Times New Roman" w:cs="Times New Roman"/>
        </w:rPr>
      </w:pPr>
    </w:p>
    <w:p w:rsidR="006B6D76" w:rsidRPr="006B1BBE" w:rsidRDefault="006B6D76" w:rsidP="008525D4">
      <w:pPr>
        <w:spacing w:after="0" w:line="240" w:lineRule="auto"/>
        <w:jc w:val="both"/>
        <w:rPr>
          <w:rFonts w:ascii="Times New Roman" w:hAnsi="Times New Roman" w:cs="Times New Roman"/>
        </w:rPr>
      </w:pPr>
    </w:p>
    <w:p w:rsidR="00F457BF" w:rsidRPr="000847A6" w:rsidRDefault="00F457BF" w:rsidP="006B6D76">
      <w:pPr>
        <w:pStyle w:val="a3"/>
        <w:numPr>
          <w:ilvl w:val="0"/>
          <w:numId w:val="1"/>
        </w:numPr>
        <w:spacing w:after="0" w:line="240" w:lineRule="auto"/>
        <w:jc w:val="both"/>
        <w:rPr>
          <w:rFonts w:ascii="Times New Roman" w:hAnsi="Times New Roman" w:cs="Times New Roman"/>
          <w:b/>
        </w:rPr>
      </w:pPr>
      <w:r w:rsidRPr="006B1BBE">
        <w:rPr>
          <w:rFonts w:ascii="Times New Roman" w:hAnsi="Times New Roman" w:cs="Times New Roman"/>
          <w:b/>
        </w:rPr>
        <w:t>ΗΜΕΡΟΜΗΝΙΑ ΑΝΑΘΕΩΡΗΣΗΣ ΤΟΥ ΚΕΙΜΕΝΟΥ</w:t>
      </w:r>
    </w:p>
    <w:p w:rsidR="000847A6" w:rsidRDefault="000847A6" w:rsidP="000847A6">
      <w:pPr>
        <w:spacing w:after="0" w:line="240" w:lineRule="auto"/>
        <w:jc w:val="both"/>
        <w:rPr>
          <w:rFonts w:ascii="Times New Roman" w:hAnsi="Times New Roman" w:cs="Times New Roman"/>
          <w:b/>
          <w:lang w:val="en-US"/>
        </w:rPr>
      </w:pPr>
    </w:p>
    <w:p w:rsidR="000847A6" w:rsidRPr="000847A6" w:rsidRDefault="000847A6" w:rsidP="000847A6">
      <w:pPr>
        <w:spacing w:after="0" w:line="240" w:lineRule="auto"/>
        <w:jc w:val="both"/>
        <w:rPr>
          <w:rFonts w:ascii="Times New Roman" w:hAnsi="Times New Roman" w:cs="Times New Roman"/>
        </w:rPr>
      </w:pPr>
      <w:r>
        <w:rPr>
          <w:rFonts w:ascii="Times New Roman" w:hAnsi="Times New Roman" w:cs="Times New Roman"/>
        </w:rPr>
        <w:t>Απρίλιος 2013</w:t>
      </w:r>
    </w:p>
    <w:p w:rsidR="00565763" w:rsidRPr="00D46618" w:rsidRDefault="00565763" w:rsidP="008525D4">
      <w:pPr>
        <w:spacing w:after="0" w:line="240" w:lineRule="auto"/>
        <w:jc w:val="both"/>
        <w:rPr>
          <w:rFonts w:ascii="Times New Roman" w:hAnsi="Times New Roman" w:cs="Times New Roman"/>
        </w:rPr>
      </w:pPr>
    </w:p>
    <w:sectPr w:rsidR="00565763" w:rsidRPr="00D46618" w:rsidSect="00804D6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74" w:rsidRDefault="00DD5F74" w:rsidP="0062389E">
      <w:pPr>
        <w:spacing w:after="0" w:line="240" w:lineRule="auto"/>
      </w:pPr>
      <w:r>
        <w:separator/>
      </w:r>
    </w:p>
  </w:endnote>
  <w:endnote w:type="continuationSeparator" w:id="0">
    <w:p w:rsidR="00DD5F74" w:rsidRDefault="00DD5F74" w:rsidP="00623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74" w:rsidRDefault="00DD5F74" w:rsidP="0062389E">
      <w:pPr>
        <w:spacing w:after="0" w:line="240" w:lineRule="auto"/>
      </w:pPr>
      <w:r>
        <w:separator/>
      </w:r>
    </w:p>
  </w:footnote>
  <w:footnote w:type="continuationSeparator" w:id="0">
    <w:p w:rsidR="00DD5F74" w:rsidRDefault="00DD5F74" w:rsidP="00623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A79"/>
    <w:multiLevelType w:val="hybridMultilevel"/>
    <w:tmpl w:val="F4B8C85C"/>
    <w:lvl w:ilvl="0" w:tplc="9C48E8D4">
      <w:start w:val="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3D7BCB"/>
    <w:multiLevelType w:val="hybridMultilevel"/>
    <w:tmpl w:val="05F844CA"/>
    <w:lvl w:ilvl="0" w:tplc="8960C3F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406574"/>
    <w:multiLevelType w:val="hybridMultilevel"/>
    <w:tmpl w:val="B57AB50C"/>
    <w:lvl w:ilvl="0" w:tplc="9C48E8D4">
      <w:start w:val="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10737F"/>
    <w:multiLevelType w:val="multilevel"/>
    <w:tmpl w:val="8F2C041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FF64BD3"/>
    <w:multiLevelType w:val="hybridMultilevel"/>
    <w:tmpl w:val="4964F6F6"/>
    <w:lvl w:ilvl="0" w:tplc="9C48E8D4">
      <w:start w:val="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3F05FC"/>
    <w:multiLevelType w:val="hybridMultilevel"/>
    <w:tmpl w:val="684A7B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E090F35"/>
    <w:multiLevelType w:val="hybridMultilevel"/>
    <w:tmpl w:val="270A1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935D6E"/>
    <w:multiLevelType w:val="hybridMultilevel"/>
    <w:tmpl w:val="81CCFB54"/>
    <w:lvl w:ilvl="0" w:tplc="1EBEA47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46D4259"/>
    <w:multiLevelType w:val="hybridMultilevel"/>
    <w:tmpl w:val="34E22866"/>
    <w:lvl w:ilvl="0" w:tplc="B63A6F24">
      <w:start w:val="5"/>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EDB67E7"/>
    <w:multiLevelType w:val="hybridMultilevel"/>
    <w:tmpl w:val="8834C62E"/>
    <w:lvl w:ilvl="0" w:tplc="40C651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820F3C"/>
    <w:multiLevelType w:val="hybridMultilevel"/>
    <w:tmpl w:val="268085A4"/>
    <w:lvl w:ilvl="0" w:tplc="6B56366E">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9AC5DEF"/>
    <w:multiLevelType w:val="hybridMultilevel"/>
    <w:tmpl w:val="91EEF5DA"/>
    <w:lvl w:ilvl="0" w:tplc="6B56366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3544C21"/>
    <w:multiLevelType w:val="hybridMultilevel"/>
    <w:tmpl w:val="CD0010FA"/>
    <w:lvl w:ilvl="0" w:tplc="B63A6F24">
      <w:start w:val="5"/>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2A03400"/>
    <w:multiLevelType w:val="hybridMultilevel"/>
    <w:tmpl w:val="3D184BFE"/>
    <w:lvl w:ilvl="0" w:tplc="9C48E8D4">
      <w:start w:val="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2BA1864"/>
    <w:multiLevelType w:val="hybridMultilevel"/>
    <w:tmpl w:val="6128A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53707FF"/>
    <w:multiLevelType w:val="hybridMultilevel"/>
    <w:tmpl w:val="E7B47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66420BA"/>
    <w:multiLevelType w:val="multilevel"/>
    <w:tmpl w:val="8F2C041C"/>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7B5962BD"/>
    <w:multiLevelType w:val="multilevel"/>
    <w:tmpl w:val="8F2C041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7BCB764A"/>
    <w:multiLevelType w:val="hybridMultilevel"/>
    <w:tmpl w:val="8CAAC416"/>
    <w:lvl w:ilvl="0" w:tplc="B63A6F24">
      <w:start w:val="5"/>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7EEA350F"/>
    <w:multiLevelType w:val="hybridMultilevel"/>
    <w:tmpl w:val="12F837A8"/>
    <w:lvl w:ilvl="0" w:tplc="B63A6F24">
      <w:start w:val="5"/>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5"/>
  </w:num>
  <w:num w:numId="4">
    <w:abstractNumId w:val="13"/>
  </w:num>
  <w:num w:numId="5">
    <w:abstractNumId w:val="2"/>
  </w:num>
  <w:num w:numId="6">
    <w:abstractNumId w:val="4"/>
  </w:num>
  <w:num w:numId="7">
    <w:abstractNumId w:val="0"/>
  </w:num>
  <w:num w:numId="8">
    <w:abstractNumId w:val="14"/>
  </w:num>
  <w:num w:numId="9">
    <w:abstractNumId w:val="19"/>
  </w:num>
  <w:num w:numId="10">
    <w:abstractNumId w:val="8"/>
  </w:num>
  <w:num w:numId="11">
    <w:abstractNumId w:val="12"/>
  </w:num>
  <w:num w:numId="12">
    <w:abstractNumId w:val="18"/>
  </w:num>
  <w:num w:numId="13">
    <w:abstractNumId w:val="3"/>
  </w:num>
  <w:num w:numId="14">
    <w:abstractNumId w:val="6"/>
  </w:num>
  <w:num w:numId="15">
    <w:abstractNumId w:val="1"/>
  </w:num>
  <w:num w:numId="16">
    <w:abstractNumId w:val="7"/>
  </w:num>
  <w:num w:numId="17">
    <w:abstractNumId w:val="10"/>
  </w:num>
  <w:num w:numId="18">
    <w:abstractNumId w:val="11"/>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457BF"/>
    <w:rsid w:val="000047D9"/>
    <w:rsid w:val="000668A8"/>
    <w:rsid w:val="000847A6"/>
    <w:rsid w:val="00091EFA"/>
    <w:rsid w:val="000D0FAC"/>
    <w:rsid w:val="000D3274"/>
    <w:rsid w:val="000F36CB"/>
    <w:rsid w:val="00131F61"/>
    <w:rsid w:val="00147EA1"/>
    <w:rsid w:val="001737CF"/>
    <w:rsid w:val="001A4B3A"/>
    <w:rsid w:val="001A6F6D"/>
    <w:rsid w:val="002042F6"/>
    <w:rsid w:val="00224E61"/>
    <w:rsid w:val="002265A3"/>
    <w:rsid w:val="00264930"/>
    <w:rsid w:val="003218AA"/>
    <w:rsid w:val="00357F80"/>
    <w:rsid w:val="00381708"/>
    <w:rsid w:val="004007E8"/>
    <w:rsid w:val="004052F8"/>
    <w:rsid w:val="00423730"/>
    <w:rsid w:val="00476E7F"/>
    <w:rsid w:val="0049241B"/>
    <w:rsid w:val="004A7AAD"/>
    <w:rsid w:val="0053473F"/>
    <w:rsid w:val="0054610D"/>
    <w:rsid w:val="00565763"/>
    <w:rsid w:val="005B698E"/>
    <w:rsid w:val="005C554D"/>
    <w:rsid w:val="005C63C0"/>
    <w:rsid w:val="0062389E"/>
    <w:rsid w:val="0066427D"/>
    <w:rsid w:val="006835B6"/>
    <w:rsid w:val="006B1BBE"/>
    <w:rsid w:val="006B6D76"/>
    <w:rsid w:val="006F2690"/>
    <w:rsid w:val="0078312B"/>
    <w:rsid w:val="007B5907"/>
    <w:rsid w:val="007E757E"/>
    <w:rsid w:val="00804D68"/>
    <w:rsid w:val="008525D4"/>
    <w:rsid w:val="00864013"/>
    <w:rsid w:val="00895710"/>
    <w:rsid w:val="008D0E6E"/>
    <w:rsid w:val="00900C58"/>
    <w:rsid w:val="00924ABE"/>
    <w:rsid w:val="00941456"/>
    <w:rsid w:val="009A12DA"/>
    <w:rsid w:val="00A15309"/>
    <w:rsid w:val="00A30591"/>
    <w:rsid w:val="00A511FD"/>
    <w:rsid w:val="00A51984"/>
    <w:rsid w:val="00A52136"/>
    <w:rsid w:val="00B41779"/>
    <w:rsid w:val="00B438FA"/>
    <w:rsid w:val="00B450BD"/>
    <w:rsid w:val="00B56AAF"/>
    <w:rsid w:val="00BB4B45"/>
    <w:rsid w:val="00BC1E58"/>
    <w:rsid w:val="00BE5D07"/>
    <w:rsid w:val="00C14AD1"/>
    <w:rsid w:val="00C504ED"/>
    <w:rsid w:val="00C67824"/>
    <w:rsid w:val="00CA7F33"/>
    <w:rsid w:val="00CB38F5"/>
    <w:rsid w:val="00D1663E"/>
    <w:rsid w:val="00D46618"/>
    <w:rsid w:val="00D60AC9"/>
    <w:rsid w:val="00D76343"/>
    <w:rsid w:val="00D911B6"/>
    <w:rsid w:val="00DB1631"/>
    <w:rsid w:val="00DD5F74"/>
    <w:rsid w:val="00E05F5E"/>
    <w:rsid w:val="00F457BF"/>
    <w:rsid w:val="00FA4E66"/>
    <w:rsid w:val="00FA6C0E"/>
    <w:rsid w:val="00FE09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7BF"/>
    <w:pPr>
      <w:ind w:left="720"/>
      <w:contextualSpacing/>
    </w:pPr>
  </w:style>
  <w:style w:type="table" w:styleId="a4">
    <w:name w:val="Table Grid"/>
    <w:basedOn w:val="a1"/>
    <w:uiPriority w:val="59"/>
    <w:rsid w:val="00400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2389E"/>
    <w:pPr>
      <w:tabs>
        <w:tab w:val="center" w:pos="4153"/>
        <w:tab w:val="right" w:pos="8306"/>
      </w:tabs>
      <w:spacing w:after="0" w:line="240" w:lineRule="auto"/>
    </w:pPr>
  </w:style>
  <w:style w:type="character" w:customStyle="1" w:styleId="Char">
    <w:name w:val="Κεφαλίδα Char"/>
    <w:basedOn w:val="a0"/>
    <w:link w:val="a5"/>
    <w:uiPriority w:val="99"/>
    <w:rsid w:val="0062389E"/>
  </w:style>
  <w:style w:type="paragraph" w:styleId="a6">
    <w:name w:val="footer"/>
    <w:basedOn w:val="a"/>
    <w:link w:val="Char0"/>
    <w:uiPriority w:val="99"/>
    <w:unhideWhenUsed/>
    <w:rsid w:val="0062389E"/>
    <w:pPr>
      <w:tabs>
        <w:tab w:val="center" w:pos="4153"/>
        <w:tab w:val="right" w:pos="8306"/>
      </w:tabs>
      <w:spacing w:after="0" w:line="240" w:lineRule="auto"/>
    </w:pPr>
  </w:style>
  <w:style w:type="character" w:customStyle="1" w:styleId="Char0">
    <w:name w:val="Υποσέλιδο Char"/>
    <w:basedOn w:val="a0"/>
    <w:link w:val="a6"/>
    <w:uiPriority w:val="99"/>
    <w:rsid w:val="0062389E"/>
  </w:style>
  <w:style w:type="character" w:styleId="a7">
    <w:name w:val="annotation reference"/>
    <w:basedOn w:val="a0"/>
    <w:uiPriority w:val="99"/>
    <w:semiHidden/>
    <w:unhideWhenUsed/>
    <w:rsid w:val="00131F61"/>
    <w:rPr>
      <w:sz w:val="16"/>
      <w:szCs w:val="16"/>
    </w:rPr>
  </w:style>
  <w:style w:type="paragraph" w:styleId="a8">
    <w:name w:val="annotation text"/>
    <w:basedOn w:val="a"/>
    <w:link w:val="Char1"/>
    <w:uiPriority w:val="99"/>
    <w:semiHidden/>
    <w:unhideWhenUsed/>
    <w:rsid w:val="00131F61"/>
    <w:pPr>
      <w:spacing w:line="240" w:lineRule="auto"/>
    </w:pPr>
    <w:rPr>
      <w:sz w:val="20"/>
      <w:szCs w:val="20"/>
    </w:rPr>
  </w:style>
  <w:style w:type="character" w:customStyle="1" w:styleId="Char1">
    <w:name w:val="Κείμενο σχολίου Char"/>
    <w:basedOn w:val="a0"/>
    <w:link w:val="a8"/>
    <w:uiPriority w:val="99"/>
    <w:semiHidden/>
    <w:rsid w:val="00131F61"/>
    <w:rPr>
      <w:sz w:val="20"/>
      <w:szCs w:val="20"/>
    </w:rPr>
  </w:style>
  <w:style w:type="paragraph" w:styleId="a9">
    <w:name w:val="annotation subject"/>
    <w:basedOn w:val="a8"/>
    <w:next w:val="a8"/>
    <w:link w:val="Char2"/>
    <w:uiPriority w:val="99"/>
    <w:semiHidden/>
    <w:unhideWhenUsed/>
    <w:rsid w:val="00131F61"/>
    <w:rPr>
      <w:b/>
      <w:bCs/>
    </w:rPr>
  </w:style>
  <w:style w:type="character" w:customStyle="1" w:styleId="Char2">
    <w:name w:val="Θέμα σχολίου Char"/>
    <w:basedOn w:val="Char1"/>
    <w:link w:val="a9"/>
    <w:uiPriority w:val="99"/>
    <w:semiHidden/>
    <w:rsid w:val="00131F61"/>
    <w:rPr>
      <w:b/>
      <w:bCs/>
      <w:sz w:val="20"/>
      <w:szCs w:val="20"/>
    </w:rPr>
  </w:style>
  <w:style w:type="paragraph" w:styleId="aa">
    <w:name w:val="Balloon Text"/>
    <w:basedOn w:val="a"/>
    <w:link w:val="Char3"/>
    <w:uiPriority w:val="99"/>
    <w:semiHidden/>
    <w:unhideWhenUsed/>
    <w:rsid w:val="00131F61"/>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131F61"/>
    <w:rPr>
      <w:rFonts w:ascii="Tahoma" w:hAnsi="Tahoma" w:cs="Tahoma"/>
      <w:sz w:val="16"/>
      <w:szCs w:val="16"/>
    </w:rPr>
  </w:style>
  <w:style w:type="paragraph" w:customStyle="1" w:styleId="Default">
    <w:name w:val="Default"/>
    <w:rsid w:val="00B56A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7BF"/>
    <w:pPr>
      <w:ind w:left="720"/>
      <w:contextualSpacing/>
    </w:pPr>
  </w:style>
  <w:style w:type="table" w:styleId="a4">
    <w:name w:val="Table Grid"/>
    <w:basedOn w:val="a1"/>
    <w:uiPriority w:val="59"/>
    <w:rsid w:val="00400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2389E"/>
    <w:pPr>
      <w:tabs>
        <w:tab w:val="center" w:pos="4153"/>
        <w:tab w:val="right" w:pos="8306"/>
      </w:tabs>
      <w:spacing w:after="0" w:line="240" w:lineRule="auto"/>
    </w:pPr>
  </w:style>
  <w:style w:type="character" w:customStyle="1" w:styleId="Char">
    <w:name w:val="Κεφαλίδα Char"/>
    <w:basedOn w:val="a0"/>
    <w:link w:val="a5"/>
    <w:uiPriority w:val="99"/>
    <w:rsid w:val="0062389E"/>
  </w:style>
  <w:style w:type="paragraph" w:styleId="a6">
    <w:name w:val="footer"/>
    <w:basedOn w:val="a"/>
    <w:link w:val="Char0"/>
    <w:uiPriority w:val="99"/>
    <w:unhideWhenUsed/>
    <w:rsid w:val="0062389E"/>
    <w:pPr>
      <w:tabs>
        <w:tab w:val="center" w:pos="4153"/>
        <w:tab w:val="right" w:pos="8306"/>
      </w:tabs>
      <w:spacing w:after="0" w:line="240" w:lineRule="auto"/>
    </w:pPr>
  </w:style>
  <w:style w:type="character" w:customStyle="1" w:styleId="Char0">
    <w:name w:val="Υποσέλιδο Char"/>
    <w:basedOn w:val="a0"/>
    <w:link w:val="a6"/>
    <w:uiPriority w:val="99"/>
    <w:rsid w:val="0062389E"/>
  </w:style>
  <w:style w:type="character" w:styleId="a7">
    <w:name w:val="annotation reference"/>
    <w:basedOn w:val="a0"/>
    <w:uiPriority w:val="99"/>
    <w:semiHidden/>
    <w:unhideWhenUsed/>
    <w:rsid w:val="00131F61"/>
    <w:rPr>
      <w:sz w:val="16"/>
      <w:szCs w:val="16"/>
    </w:rPr>
  </w:style>
  <w:style w:type="paragraph" w:styleId="a8">
    <w:name w:val="annotation text"/>
    <w:basedOn w:val="a"/>
    <w:link w:val="Char1"/>
    <w:uiPriority w:val="99"/>
    <w:semiHidden/>
    <w:unhideWhenUsed/>
    <w:rsid w:val="00131F61"/>
    <w:pPr>
      <w:spacing w:line="240" w:lineRule="auto"/>
    </w:pPr>
    <w:rPr>
      <w:sz w:val="20"/>
      <w:szCs w:val="20"/>
    </w:rPr>
  </w:style>
  <w:style w:type="character" w:customStyle="1" w:styleId="Char1">
    <w:name w:val="Κείμενο σχολίου Char"/>
    <w:basedOn w:val="a0"/>
    <w:link w:val="a8"/>
    <w:uiPriority w:val="99"/>
    <w:semiHidden/>
    <w:rsid w:val="00131F61"/>
    <w:rPr>
      <w:sz w:val="20"/>
      <w:szCs w:val="20"/>
    </w:rPr>
  </w:style>
  <w:style w:type="paragraph" w:styleId="a9">
    <w:name w:val="annotation subject"/>
    <w:basedOn w:val="a8"/>
    <w:next w:val="a8"/>
    <w:link w:val="Char2"/>
    <w:uiPriority w:val="99"/>
    <w:semiHidden/>
    <w:unhideWhenUsed/>
    <w:rsid w:val="00131F61"/>
    <w:rPr>
      <w:b/>
      <w:bCs/>
    </w:rPr>
  </w:style>
  <w:style w:type="character" w:customStyle="1" w:styleId="Char2">
    <w:name w:val="Θέμα σχολίου Char"/>
    <w:basedOn w:val="Char1"/>
    <w:link w:val="a9"/>
    <w:uiPriority w:val="99"/>
    <w:semiHidden/>
    <w:rsid w:val="00131F61"/>
    <w:rPr>
      <w:b/>
      <w:bCs/>
      <w:sz w:val="20"/>
      <w:szCs w:val="20"/>
    </w:rPr>
  </w:style>
  <w:style w:type="paragraph" w:styleId="aa">
    <w:name w:val="Balloon Text"/>
    <w:basedOn w:val="a"/>
    <w:link w:val="Char3"/>
    <w:uiPriority w:val="99"/>
    <w:semiHidden/>
    <w:unhideWhenUsed/>
    <w:rsid w:val="00131F61"/>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131F61"/>
    <w:rPr>
      <w:rFonts w:ascii="Tahoma" w:hAnsi="Tahoma" w:cs="Tahoma"/>
      <w:sz w:val="16"/>
      <w:szCs w:val="16"/>
    </w:rPr>
  </w:style>
  <w:style w:type="paragraph" w:customStyle="1" w:styleId="Default">
    <w:name w:val="Default"/>
    <w:rsid w:val="00B56A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8254</Words>
  <Characters>44572</Characters>
  <Application>Microsoft Office Word</Application>
  <DocSecurity>0</DocSecurity>
  <Lines>371</Lines>
  <Paragraphs>105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Rafarm S.A.</Company>
  <LinksUpToDate>false</LinksUpToDate>
  <CharactersWithSpaces>52721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Ntousi</dc:creator>
  <cp:lastModifiedBy>user146</cp:lastModifiedBy>
  <cp:revision>2</cp:revision>
  <cp:lastPrinted>2015-10-08T08:45:00Z</cp:lastPrinted>
  <dcterms:created xsi:type="dcterms:W3CDTF">2015-10-08T08:46:00Z</dcterms:created>
  <dcterms:modified xsi:type="dcterms:W3CDTF">2015-10-08T08:46:00Z</dcterms:modified>
</cp:coreProperties>
</file>