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88" w:rsidRPr="00170F6F" w:rsidRDefault="00461D88" w:rsidP="00461D88">
      <w:pPr>
        <w:widowControl w:val="0"/>
        <w:jc w:val="center"/>
        <w:rPr>
          <w:b/>
          <w:i/>
          <w:noProof/>
          <w:szCs w:val="22"/>
          <w:lang w:val="el-GR"/>
        </w:rPr>
      </w:pPr>
      <w:bookmarkStart w:id="0" w:name="_GoBack"/>
      <w:bookmarkEnd w:id="0"/>
      <w:r w:rsidRPr="00170F6F">
        <w:rPr>
          <w:b/>
          <w:szCs w:val="22"/>
          <w:lang w:val="el-GR"/>
        </w:rPr>
        <w:t>ΠΕΡΙΛΗΨΗ ΤΩΝ ΧΑΡΑΚΤΗΡΙΣΤΙΚΩΝ ΤΟΥ ΠΡΟΪΟΝΤΟΣ</w:t>
      </w:r>
    </w:p>
    <w:p w:rsidR="0030791B" w:rsidRPr="00EC20DD" w:rsidRDefault="0030791B" w:rsidP="00461D88">
      <w:pPr>
        <w:widowControl w:val="0"/>
        <w:rPr>
          <w:noProof/>
          <w:szCs w:val="22"/>
          <w:lang w:val="el-GR"/>
        </w:rPr>
      </w:pPr>
    </w:p>
    <w:p w:rsidR="0030791B" w:rsidRPr="00EC20DD" w:rsidRDefault="0030791B" w:rsidP="00461D88">
      <w:pPr>
        <w:widowControl w:val="0"/>
        <w:rPr>
          <w:b/>
          <w:iCs/>
          <w:noProof/>
          <w:szCs w:val="22"/>
          <w:lang w:val="el-GR"/>
        </w:rPr>
      </w:pPr>
    </w:p>
    <w:p w:rsidR="00461D88" w:rsidRPr="00170F6F" w:rsidRDefault="00461D88" w:rsidP="00461D88">
      <w:pPr>
        <w:widowControl w:val="0"/>
        <w:rPr>
          <w:szCs w:val="22"/>
          <w:lang w:val="el-GR"/>
        </w:rPr>
      </w:pPr>
      <w:r w:rsidRPr="00170F6F">
        <w:rPr>
          <w:b/>
          <w:iCs/>
          <w:noProof/>
          <w:szCs w:val="22"/>
          <w:lang w:val="el-GR"/>
        </w:rPr>
        <w:t>1</w:t>
      </w:r>
      <w:r w:rsidRPr="00170F6F">
        <w:rPr>
          <w:b/>
          <w:i/>
          <w:noProof/>
          <w:szCs w:val="22"/>
          <w:lang w:val="el-GR"/>
        </w:rPr>
        <w:t>.</w:t>
      </w:r>
      <w:r w:rsidRPr="00170F6F">
        <w:rPr>
          <w:b/>
          <w:i/>
          <w:noProof/>
          <w:szCs w:val="22"/>
          <w:lang w:val="el-GR"/>
        </w:rPr>
        <w:tab/>
      </w:r>
      <w:r w:rsidRPr="00170F6F">
        <w:rPr>
          <w:b/>
          <w:szCs w:val="22"/>
          <w:lang w:val="el-GR"/>
        </w:rPr>
        <w:t>ΟΝΟΜΑΣΙΑ ΤΟΥ ΦΑΡΜΑΚΕΥΤΙΚΟΥ ΠΡΟΪΟΝΤΟΣ</w:t>
      </w:r>
    </w:p>
    <w:p w:rsidR="00461D88" w:rsidRPr="00170F6F" w:rsidRDefault="00461D88" w:rsidP="00461D88">
      <w:pPr>
        <w:rPr>
          <w:iCs/>
          <w:szCs w:val="22"/>
          <w:lang w:val="el-GR"/>
        </w:rPr>
      </w:pPr>
    </w:p>
    <w:p w:rsidR="00461D88" w:rsidRPr="00EC20DD" w:rsidRDefault="00EC20DD" w:rsidP="00EC20DD">
      <w:pPr>
        <w:rPr>
          <w:lang w:val="el-GR"/>
        </w:rPr>
      </w:pPr>
      <w:r w:rsidRPr="00D04B79">
        <w:rPr>
          <w:szCs w:val="22"/>
          <w:lang w:val="en-US"/>
        </w:rPr>
        <w:t>Ceftazidime</w:t>
      </w:r>
      <w:r w:rsidRPr="00EC20DD">
        <w:rPr>
          <w:szCs w:val="22"/>
          <w:lang w:val="el-GR"/>
        </w:rPr>
        <w:t>/</w:t>
      </w:r>
      <w:r w:rsidRPr="00D04B79">
        <w:rPr>
          <w:szCs w:val="22"/>
          <w:lang w:val="en-US"/>
        </w:rPr>
        <w:t>Cooper</w:t>
      </w:r>
      <w:r w:rsidRPr="00EC20DD">
        <w:rPr>
          <w:szCs w:val="22"/>
          <w:lang w:val="el-GR"/>
        </w:rPr>
        <w:t xml:space="preserve"> 1</w:t>
      </w:r>
      <w:r w:rsidRPr="00D04B79">
        <w:rPr>
          <w:szCs w:val="22"/>
          <w:lang w:val="en-US"/>
        </w:rPr>
        <w:t>g</w:t>
      </w:r>
      <w:r w:rsidRPr="00EC20DD">
        <w:rPr>
          <w:lang w:val="el-GR"/>
        </w:rPr>
        <w:t xml:space="preserve"> </w:t>
      </w:r>
      <w:proofErr w:type="spellStart"/>
      <w:r w:rsidR="00461D88" w:rsidRPr="00EC20DD">
        <w:rPr>
          <w:lang w:val="el-GR"/>
        </w:rPr>
        <w:t>κόνις</w:t>
      </w:r>
      <w:proofErr w:type="spellEnd"/>
      <w:r w:rsidR="00461D88" w:rsidRPr="00EC20DD">
        <w:rPr>
          <w:lang w:val="el-GR"/>
        </w:rPr>
        <w:t xml:space="preserve"> για ενέσιμο διάλυμα ή διάλυμα προς έγχυση </w:t>
      </w:r>
    </w:p>
    <w:p w:rsidR="00461D88" w:rsidRPr="00EC20DD" w:rsidRDefault="00EC20DD" w:rsidP="00EC20DD">
      <w:pPr>
        <w:rPr>
          <w:lang w:val="el-GR"/>
        </w:rPr>
      </w:pPr>
      <w:r w:rsidRPr="00D04B79">
        <w:rPr>
          <w:szCs w:val="22"/>
          <w:lang w:val="en-US"/>
        </w:rPr>
        <w:t>Ceftazidime</w:t>
      </w:r>
      <w:r w:rsidRPr="00EC20DD">
        <w:rPr>
          <w:szCs w:val="22"/>
          <w:lang w:val="el-GR"/>
        </w:rPr>
        <w:t>/</w:t>
      </w:r>
      <w:r w:rsidRPr="00D04B79">
        <w:rPr>
          <w:szCs w:val="22"/>
          <w:lang w:val="en-US"/>
        </w:rPr>
        <w:t>Cooper</w:t>
      </w:r>
      <w:r w:rsidRPr="00EC20DD">
        <w:rPr>
          <w:szCs w:val="22"/>
          <w:lang w:val="el-GR"/>
        </w:rPr>
        <w:t xml:space="preserve"> 2</w:t>
      </w:r>
      <w:r w:rsidRPr="00D04B79">
        <w:rPr>
          <w:szCs w:val="22"/>
          <w:lang w:val="en-US"/>
        </w:rPr>
        <w:t>g</w:t>
      </w:r>
      <w:r w:rsidRPr="00EC20DD">
        <w:rPr>
          <w:lang w:val="el-GR"/>
        </w:rPr>
        <w:t xml:space="preserve"> </w:t>
      </w:r>
      <w:proofErr w:type="spellStart"/>
      <w:r w:rsidR="00461D88" w:rsidRPr="00EC20DD">
        <w:rPr>
          <w:lang w:val="el-GR"/>
        </w:rPr>
        <w:t>κόνις</w:t>
      </w:r>
      <w:proofErr w:type="spellEnd"/>
      <w:r w:rsidR="00461D88" w:rsidRPr="00EC20DD">
        <w:rPr>
          <w:lang w:val="el-GR"/>
        </w:rPr>
        <w:t xml:space="preserve"> για ενέσιμο διάλυμα ή διάλυμα προς έγχυση </w:t>
      </w:r>
    </w:p>
    <w:p w:rsidR="00461D88" w:rsidRPr="00170F6F" w:rsidRDefault="00461D88" w:rsidP="00461D88">
      <w:pPr>
        <w:rPr>
          <w:iCs/>
          <w:szCs w:val="22"/>
          <w:lang w:val="el-GR"/>
        </w:rPr>
      </w:pPr>
    </w:p>
    <w:p w:rsidR="00461D88" w:rsidRPr="003E5070" w:rsidRDefault="00461D88" w:rsidP="003E5070">
      <w:pPr>
        <w:widowControl w:val="0"/>
        <w:rPr>
          <w:b/>
          <w:szCs w:val="22"/>
          <w:lang w:val="el-GR"/>
        </w:rPr>
      </w:pPr>
    </w:p>
    <w:p w:rsidR="00461D88" w:rsidRPr="003E5070" w:rsidRDefault="00461D88" w:rsidP="003E5070">
      <w:pPr>
        <w:widowControl w:val="0"/>
        <w:rPr>
          <w:szCs w:val="22"/>
          <w:lang w:val="el-GR"/>
        </w:rPr>
      </w:pPr>
      <w:r w:rsidRPr="003E5070">
        <w:rPr>
          <w:b/>
          <w:szCs w:val="22"/>
          <w:lang w:val="el-GR"/>
        </w:rPr>
        <w:t>2.</w:t>
      </w:r>
      <w:r w:rsidRPr="003E5070">
        <w:rPr>
          <w:b/>
          <w:szCs w:val="22"/>
          <w:lang w:val="el-GR"/>
        </w:rPr>
        <w:tab/>
        <w:t>ΠΟΙΟΤΙΚΗ ΚΑΙ ΠΟΣΟΤΙΚΗ ΣΥΝΘΕΣΗ</w:t>
      </w:r>
    </w:p>
    <w:p w:rsidR="00461D88" w:rsidRPr="003E5070" w:rsidRDefault="00461D88" w:rsidP="003E5070">
      <w:pPr>
        <w:rPr>
          <w:szCs w:val="22"/>
          <w:lang w:val="el-GR"/>
        </w:rPr>
      </w:pPr>
    </w:p>
    <w:p w:rsidR="000C4492" w:rsidRPr="003E5070" w:rsidRDefault="000C4492" w:rsidP="003E5070">
      <w:pPr>
        <w:ind w:right="-99"/>
        <w:rPr>
          <w:snapToGrid w:val="0"/>
          <w:lang w:val="el-GR"/>
        </w:rPr>
      </w:pPr>
      <w:proofErr w:type="gramStart"/>
      <w:r w:rsidRPr="003E5070">
        <w:rPr>
          <w:snapToGrid w:val="0"/>
        </w:rPr>
        <w:t>K</w:t>
      </w:r>
      <w:proofErr w:type="spellStart"/>
      <w:r w:rsidRPr="003E5070">
        <w:rPr>
          <w:snapToGrid w:val="0"/>
          <w:lang w:val="el-GR"/>
        </w:rPr>
        <w:t>άθε</w:t>
      </w:r>
      <w:proofErr w:type="spellEnd"/>
      <w:r w:rsidRPr="003E5070">
        <w:rPr>
          <w:snapToGrid w:val="0"/>
          <w:lang w:val="el-GR"/>
        </w:rPr>
        <w:t xml:space="preserve"> φιαλίδιο περιέχει </w:t>
      </w:r>
      <w:r w:rsidRPr="003E5070">
        <w:rPr>
          <w:snapToGrid w:val="0"/>
        </w:rPr>
        <w:t>Ceftazidime</w:t>
      </w:r>
      <w:r w:rsidRPr="003E5070">
        <w:rPr>
          <w:snapToGrid w:val="0"/>
          <w:lang w:val="el-GR"/>
        </w:rPr>
        <w:t xml:space="preserve"> </w:t>
      </w:r>
      <w:r w:rsidRPr="003E5070">
        <w:rPr>
          <w:snapToGrid w:val="0"/>
        </w:rPr>
        <w:t>pentahydrate</w:t>
      </w:r>
      <w:r w:rsidRPr="003E5070">
        <w:rPr>
          <w:snapToGrid w:val="0"/>
          <w:lang w:val="el-GR"/>
        </w:rPr>
        <w:t xml:space="preserve"> που αντιστοιχεί σε 1</w:t>
      </w:r>
      <w:r w:rsidRPr="003E5070">
        <w:rPr>
          <w:snapToGrid w:val="0"/>
        </w:rPr>
        <w:t>g</w:t>
      </w:r>
      <w:r w:rsidRPr="003E5070">
        <w:rPr>
          <w:snapToGrid w:val="0"/>
          <w:lang w:val="el-GR"/>
        </w:rPr>
        <w:t xml:space="preserve"> ή 2</w:t>
      </w:r>
      <w:r w:rsidRPr="003E5070">
        <w:rPr>
          <w:snapToGrid w:val="0"/>
        </w:rPr>
        <w:t>g</w:t>
      </w:r>
      <w:r w:rsidRPr="003E5070">
        <w:rPr>
          <w:snapToGrid w:val="0"/>
          <w:lang w:val="el-GR"/>
        </w:rPr>
        <w:t xml:space="preserve"> </w:t>
      </w:r>
      <w:proofErr w:type="spellStart"/>
      <w:r w:rsidRPr="003E5070">
        <w:rPr>
          <w:snapToGrid w:val="0"/>
          <w:lang w:val="el-GR"/>
        </w:rPr>
        <w:t>κεφταζιδίμη</w:t>
      </w:r>
      <w:proofErr w:type="spellEnd"/>
      <w:r w:rsidRPr="003E5070">
        <w:rPr>
          <w:snapToGrid w:val="0"/>
          <w:lang w:val="el-GR"/>
        </w:rPr>
        <w:t>.</w:t>
      </w:r>
      <w:proofErr w:type="gramEnd"/>
    </w:p>
    <w:p w:rsidR="000C4492" w:rsidRPr="003E5070" w:rsidRDefault="000C4492" w:rsidP="003E5070">
      <w:pPr>
        <w:ind w:right="-99"/>
        <w:rPr>
          <w:snapToGrid w:val="0"/>
          <w:lang w:val="el-GR"/>
        </w:rPr>
      </w:pPr>
    </w:p>
    <w:p w:rsidR="000C4492" w:rsidRPr="003E5070" w:rsidRDefault="000C4492" w:rsidP="003E5070">
      <w:pPr>
        <w:ind w:right="-99"/>
        <w:rPr>
          <w:snapToGrid w:val="0"/>
          <w:lang w:val="el-GR"/>
        </w:rPr>
      </w:pPr>
      <w:r w:rsidRPr="003E5070">
        <w:rPr>
          <w:snapToGrid w:val="0"/>
          <w:lang w:val="el-GR"/>
        </w:rPr>
        <w:t>Για τον πλήρη κατάλογο των εκδόχων βλ. παράγραφο 6.1</w:t>
      </w:r>
    </w:p>
    <w:p w:rsidR="00461D88" w:rsidRPr="003E5070" w:rsidRDefault="00461D88" w:rsidP="003E5070">
      <w:pPr>
        <w:rPr>
          <w:szCs w:val="22"/>
          <w:lang w:val="el-GR"/>
        </w:rPr>
      </w:pPr>
    </w:p>
    <w:p w:rsidR="00461D88" w:rsidRPr="003E5070" w:rsidRDefault="00461D88" w:rsidP="003E5070">
      <w:pPr>
        <w:rPr>
          <w:szCs w:val="22"/>
          <w:lang w:val="el-GR"/>
        </w:rPr>
      </w:pPr>
    </w:p>
    <w:p w:rsidR="00461D88" w:rsidRPr="003E5070" w:rsidRDefault="00461D88" w:rsidP="003E5070">
      <w:pPr>
        <w:ind w:left="567" w:hanging="567"/>
        <w:rPr>
          <w:b/>
          <w:caps/>
          <w:szCs w:val="22"/>
          <w:lang w:val="el-GR"/>
        </w:rPr>
      </w:pPr>
      <w:r w:rsidRPr="003E5070">
        <w:rPr>
          <w:b/>
          <w:szCs w:val="22"/>
          <w:lang w:val="el-GR"/>
        </w:rPr>
        <w:t>3.</w:t>
      </w:r>
      <w:r w:rsidRPr="003E5070">
        <w:rPr>
          <w:b/>
          <w:szCs w:val="22"/>
          <w:lang w:val="el-GR"/>
        </w:rPr>
        <w:tab/>
        <w:t>ΦΑΡΜΑΚΟΤΕΧΝΙΚΗ ΜΟΡΦΗ</w:t>
      </w:r>
    </w:p>
    <w:p w:rsidR="00461D88" w:rsidRPr="003E5070" w:rsidRDefault="00461D88" w:rsidP="003E5070">
      <w:pPr>
        <w:ind w:left="567" w:hanging="567"/>
        <w:rPr>
          <w:b/>
          <w:caps/>
          <w:szCs w:val="22"/>
          <w:lang w:val="el-GR"/>
        </w:rPr>
      </w:pPr>
    </w:p>
    <w:p w:rsidR="00461D88" w:rsidRPr="00816557" w:rsidRDefault="00461D88" w:rsidP="00461D88">
      <w:pPr>
        <w:rPr>
          <w:szCs w:val="22"/>
          <w:lang w:val="el-GR"/>
        </w:rPr>
      </w:pPr>
      <w:proofErr w:type="spellStart"/>
      <w:r w:rsidRPr="00816557">
        <w:rPr>
          <w:szCs w:val="22"/>
          <w:lang w:val="el-GR"/>
        </w:rPr>
        <w:t>Κόνις</w:t>
      </w:r>
      <w:proofErr w:type="spellEnd"/>
      <w:r w:rsidRPr="00816557">
        <w:rPr>
          <w:szCs w:val="22"/>
          <w:lang w:val="el-GR"/>
        </w:rPr>
        <w:t xml:space="preserve"> για ενέσιμο διάλυμα ή διάλυμα προς έγχυση 1 g, 2 g</w:t>
      </w:r>
    </w:p>
    <w:p w:rsidR="00461D88" w:rsidRPr="00816557" w:rsidRDefault="00461D88" w:rsidP="00461D88">
      <w:pPr>
        <w:rPr>
          <w:szCs w:val="22"/>
          <w:lang w:val="el-GR"/>
        </w:rPr>
      </w:pPr>
      <w:proofErr w:type="spellStart"/>
      <w:r w:rsidRPr="00816557">
        <w:rPr>
          <w:szCs w:val="22"/>
          <w:lang w:val="el-GR"/>
        </w:rPr>
        <w:t>Κόνις</w:t>
      </w:r>
      <w:proofErr w:type="spellEnd"/>
      <w:r w:rsidRPr="00816557">
        <w:rPr>
          <w:szCs w:val="22"/>
          <w:lang w:val="el-GR"/>
        </w:rPr>
        <w:t xml:space="preserve"> για ενέσιμο διάλυμα ή διάλυμα προς έγχυση</w:t>
      </w:r>
    </w:p>
    <w:p w:rsidR="00461D88" w:rsidRPr="00816557" w:rsidRDefault="00461D88" w:rsidP="00461D88">
      <w:pPr>
        <w:rPr>
          <w:szCs w:val="22"/>
          <w:lang w:val="el-GR"/>
        </w:rPr>
      </w:pPr>
    </w:p>
    <w:p w:rsidR="00461D88" w:rsidRPr="00170F6F" w:rsidRDefault="00461D88" w:rsidP="00461D88">
      <w:pPr>
        <w:rPr>
          <w:szCs w:val="22"/>
          <w:lang w:val="el-GR"/>
        </w:rPr>
      </w:pPr>
    </w:p>
    <w:p w:rsidR="00461D88" w:rsidRPr="00170F6F" w:rsidRDefault="00461D88" w:rsidP="00461D88">
      <w:pPr>
        <w:ind w:left="567" w:hanging="567"/>
        <w:rPr>
          <w:caps/>
          <w:szCs w:val="22"/>
          <w:lang w:val="el-GR"/>
        </w:rPr>
      </w:pPr>
      <w:r w:rsidRPr="00170F6F">
        <w:rPr>
          <w:b/>
          <w:caps/>
          <w:szCs w:val="22"/>
          <w:lang w:val="el-GR"/>
        </w:rPr>
        <w:t>4.</w:t>
      </w:r>
      <w:r w:rsidRPr="00170F6F">
        <w:rPr>
          <w:b/>
          <w:caps/>
          <w:szCs w:val="22"/>
          <w:lang w:val="el-GR"/>
        </w:rPr>
        <w:tab/>
        <w:t>Κλινικές πληροφορίες</w:t>
      </w:r>
    </w:p>
    <w:p w:rsidR="00461D88" w:rsidRPr="00170F6F" w:rsidRDefault="00461D88" w:rsidP="00461D88">
      <w:pPr>
        <w:rPr>
          <w:szCs w:val="22"/>
          <w:lang w:val="el-GR"/>
        </w:rPr>
      </w:pPr>
    </w:p>
    <w:p w:rsidR="00461D88" w:rsidRPr="00170F6F" w:rsidRDefault="00461D88" w:rsidP="00461D88">
      <w:pPr>
        <w:ind w:left="567" w:hanging="567"/>
        <w:rPr>
          <w:b/>
          <w:szCs w:val="22"/>
          <w:lang w:val="el-GR"/>
        </w:rPr>
      </w:pPr>
      <w:r w:rsidRPr="00170F6F">
        <w:rPr>
          <w:b/>
          <w:szCs w:val="22"/>
          <w:lang w:val="el-GR"/>
        </w:rPr>
        <w:t>4.1</w:t>
      </w:r>
      <w:r w:rsidRPr="00170F6F">
        <w:rPr>
          <w:b/>
          <w:szCs w:val="22"/>
          <w:lang w:val="el-GR"/>
        </w:rPr>
        <w:tab/>
        <w:t>Θεραπευτικές ενδείξεις</w:t>
      </w:r>
    </w:p>
    <w:p w:rsidR="00461D88" w:rsidRPr="00170F6F" w:rsidRDefault="00461D88" w:rsidP="00461D88">
      <w:pPr>
        <w:ind w:left="567" w:hanging="567"/>
        <w:rPr>
          <w:b/>
          <w:szCs w:val="22"/>
          <w:lang w:val="el-GR"/>
        </w:rPr>
      </w:pPr>
    </w:p>
    <w:p w:rsidR="00461D88" w:rsidRPr="00170F6F" w:rsidRDefault="00461D88" w:rsidP="00461D88">
      <w:pPr>
        <w:tabs>
          <w:tab w:val="clear" w:pos="567"/>
          <w:tab w:val="left" w:pos="0"/>
        </w:tabs>
        <w:rPr>
          <w:szCs w:val="22"/>
          <w:lang w:val="el-GR"/>
        </w:rPr>
      </w:pPr>
      <w:r w:rsidRPr="00170F6F">
        <w:rPr>
          <w:szCs w:val="22"/>
          <w:lang w:val="el-GR"/>
        </w:rPr>
        <w:t xml:space="preserve">Το </w:t>
      </w:r>
      <w:r w:rsidR="00EC20DD" w:rsidRPr="00D04B79">
        <w:rPr>
          <w:szCs w:val="22"/>
        </w:rPr>
        <w:t>Ceftazidime</w:t>
      </w:r>
      <w:r w:rsidR="00EC20DD" w:rsidRPr="00093100">
        <w:rPr>
          <w:szCs w:val="22"/>
          <w:lang w:val="el-GR"/>
        </w:rPr>
        <w:t>/</w:t>
      </w:r>
      <w:r w:rsidR="00EC20DD" w:rsidRPr="00D04B79">
        <w:rPr>
          <w:szCs w:val="22"/>
        </w:rPr>
        <w:t>Cooper</w:t>
      </w:r>
      <w:r w:rsidRPr="00170F6F">
        <w:rPr>
          <w:szCs w:val="22"/>
          <w:lang w:val="el-GR"/>
        </w:rPr>
        <w:t xml:space="preserve"> ενδείκνυται για τη θεραπευτική αντιμετώπιση των λοιμώξεων που αναφέρονται παρακάτω σε ενήλικες και παιδιά, περιλαμβανομένων νεογνών (από τη γέννηση).</w:t>
      </w:r>
    </w:p>
    <w:p w:rsidR="00461D88" w:rsidRPr="00170F6F" w:rsidRDefault="00461D88" w:rsidP="00461D88">
      <w:pPr>
        <w:tabs>
          <w:tab w:val="clear" w:pos="567"/>
          <w:tab w:val="left" w:pos="0"/>
        </w:tabs>
        <w:rPr>
          <w:szCs w:val="22"/>
          <w:lang w:val="el-GR"/>
        </w:rPr>
      </w:pPr>
    </w:p>
    <w:p w:rsidR="00461D88" w:rsidRPr="00170F6F" w:rsidRDefault="00461D88" w:rsidP="00461D88">
      <w:pPr>
        <w:numPr>
          <w:ilvl w:val="0"/>
          <w:numId w:val="14"/>
        </w:numPr>
        <w:tabs>
          <w:tab w:val="clear" w:pos="792"/>
          <w:tab w:val="left" w:pos="0"/>
          <w:tab w:val="num" w:pos="567"/>
        </w:tabs>
        <w:ind w:hanging="792"/>
        <w:rPr>
          <w:szCs w:val="22"/>
          <w:lang w:val="el-GR"/>
        </w:rPr>
      </w:pPr>
      <w:r w:rsidRPr="00170F6F">
        <w:rPr>
          <w:szCs w:val="22"/>
          <w:lang w:val="el-GR"/>
        </w:rPr>
        <w:t>Νοσοκομειακή πνευμονία</w:t>
      </w:r>
    </w:p>
    <w:p w:rsidR="00461D88" w:rsidRPr="00170F6F" w:rsidRDefault="00461D88" w:rsidP="00461D88">
      <w:pPr>
        <w:numPr>
          <w:ilvl w:val="0"/>
          <w:numId w:val="14"/>
        </w:numPr>
        <w:tabs>
          <w:tab w:val="clear" w:pos="792"/>
          <w:tab w:val="left" w:pos="0"/>
          <w:tab w:val="num" w:pos="567"/>
        </w:tabs>
        <w:ind w:hanging="792"/>
        <w:rPr>
          <w:szCs w:val="22"/>
          <w:lang w:val="el-GR"/>
        </w:rPr>
      </w:pPr>
      <w:proofErr w:type="spellStart"/>
      <w:r w:rsidRPr="00170F6F">
        <w:rPr>
          <w:szCs w:val="22"/>
          <w:lang w:val="el-GR"/>
        </w:rPr>
        <w:t>Βρογχοπνευμονικές</w:t>
      </w:r>
      <w:proofErr w:type="spellEnd"/>
      <w:r w:rsidRPr="00170F6F">
        <w:rPr>
          <w:szCs w:val="22"/>
          <w:lang w:val="el-GR"/>
        </w:rPr>
        <w:t xml:space="preserve"> λοιμώξεις σε ασθενείς με κυστική </w:t>
      </w:r>
      <w:proofErr w:type="spellStart"/>
      <w:r w:rsidRPr="00170F6F">
        <w:rPr>
          <w:szCs w:val="22"/>
          <w:lang w:val="el-GR"/>
        </w:rPr>
        <w:t>ίνωση</w:t>
      </w:r>
      <w:proofErr w:type="spellEnd"/>
    </w:p>
    <w:p w:rsidR="00461D88" w:rsidRPr="00170F6F" w:rsidRDefault="00461D88" w:rsidP="00461D88">
      <w:pPr>
        <w:numPr>
          <w:ilvl w:val="0"/>
          <w:numId w:val="14"/>
        </w:numPr>
        <w:tabs>
          <w:tab w:val="clear" w:pos="792"/>
          <w:tab w:val="left" w:pos="0"/>
          <w:tab w:val="num" w:pos="567"/>
        </w:tabs>
        <w:ind w:hanging="792"/>
        <w:rPr>
          <w:szCs w:val="22"/>
          <w:lang w:val="el-GR"/>
        </w:rPr>
      </w:pPr>
      <w:proofErr w:type="spellStart"/>
      <w:r w:rsidRPr="00170F6F">
        <w:rPr>
          <w:szCs w:val="22"/>
          <w:lang w:val="el-GR"/>
        </w:rPr>
        <w:t>Βακτηριακή</w:t>
      </w:r>
      <w:proofErr w:type="spellEnd"/>
      <w:r w:rsidRPr="00170F6F">
        <w:rPr>
          <w:szCs w:val="22"/>
          <w:lang w:val="el-GR"/>
        </w:rPr>
        <w:t xml:space="preserve"> μηνιγγίτιδα</w:t>
      </w:r>
    </w:p>
    <w:p w:rsidR="00461D88" w:rsidRPr="00170F6F" w:rsidRDefault="00461D88" w:rsidP="00461D88">
      <w:pPr>
        <w:numPr>
          <w:ilvl w:val="0"/>
          <w:numId w:val="14"/>
        </w:numPr>
        <w:tabs>
          <w:tab w:val="clear" w:pos="792"/>
          <w:tab w:val="num" w:pos="567"/>
          <w:tab w:val="left" w:pos="1440"/>
          <w:tab w:val="left" w:pos="1980"/>
        </w:tabs>
        <w:ind w:hanging="792"/>
        <w:rPr>
          <w:szCs w:val="22"/>
          <w:lang w:val="el-GR"/>
        </w:rPr>
      </w:pPr>
      <w:r w:rsidRPr="00170F6F">
        <w:rPr>
          <w:szCs w:val="22"/>
          <w:lang w:val="el-GR"/>
        </w:rPr>
        <w:t>Χρόνια πυώδης μέση ωτίτιδα</w:t>
      </w:r>
    </w:p>
    <w:p w:rsidR="00461D88" w:rsidRPr="00170F6F" w:rsidRDefault="00461D88" w:rsidP="00461D88">
      <w:pPr>
        <w:numPr>
          <w:ilvl w:val="0"/>
          <w:numId w:val="14"/>
        </w:numPr>
        <w:tabs>
          <w:tab w:val="clear" w:pos="792"/>
          <w:tab w:val="num" w:pos="567"/>
          <w:tab w:val="left" w:pos="1440"/>
          <w:tab w:val="left" w:pos="1980"/>
        </w:tabs>
        <w:ind w:hanging="792"/>
        <w:rPr>
          <w:szCs w:val="22"/>
          <w:lang w:val="el-GR"/>
        </w:rPr>
      </w:pPr>
      <w:r w:rsidRPr="00170F6F">
        <w:rPr>
          <w:szCs w:val="22"/>
          <w:lang w:val="el-GR"/>
        </w:rPr>
        <w:t>Κακοήθης εξωτερική ωτίτιδα</w:t>
      </w:r>
    </w:p>
    <w:p w:rsidR="00461D88" w:rsidRPr="00170F6F" w:rsidRDefault="00461D88" w:rsidP="00461D88">
      <w:pPr>
        <w:numPr>
          <w:ilvl w:val="0"/>
          <w:numId w:val="14"/>
        </w:numPr>
        <w:tabs>
          <w:tab w:val="clear" w:pos="792"/>
          <w:tab w:val="left" w:pos="0"/>
          <w:tab w:val="num" w:pos="567"/>
        </w:tabs>
        <w:ind w:hanging="792"/>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ουροποιητικού συστήματος</w:t>
      </w:r>
    </w:p>
    <w:p w:rsidR="00461D88" w:rsidRPr="00170F6F" w:rsidRDefault="00461D88" w:rsidP="00461D88">
      <w:pPr>
        <w:numPr>
          <w:ilvl w:val="0"/>
          <w:numId w:val="14"/>
        </w:numPr>
        <w:tabs>
          <w:tab w:val="clear" w:pos="792"/>
          <w:tab w:val="left" w:pos="0"/>
          <w:tab w:val="num" w:pos="567"/>
        </w:tabs>
        <w:ind w:hanging="792"/>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δέρματος και μαλακών μορίων</w:t>
      </w:r>
    </w:p>
    <w:p w:rsidR="00461D88" w:rsidRPr="00170F6F" w:rsidRDefault="00461D88" w:rsidP="00461D88">
      <w:pPr>
        <w:numPr>
          <w:ilvl w:val="0"/>
          <w:numId w:val="14"/>
        </w:numPr>
        <w:tabs>
          <w:tab w:val="clear" w:pos="792"/>
          <w:tab w:val="left" w:pos="0"/>
          <w:tab w:val="num" w:pos="567"/>
        </w:tabs>
        <w:ind w:hanging="792"/>
        <w:rPr>
          <w:szCs w:val="22"/>
          <w:lang w:val="el-GR"/>
        </w:rPr>
      </w:pPr>
      <w:proofErr w:type="spellStart"/>
      <w:r w:rsidRPr="00170F6F">
        <w:rPr>
          <w:szCs w:val="22"/>
          <w:lang w:val="el-GR"/>
        </w:rPr>
        <w:t>Επιπλεγμένες</w:t>
      </w:r>
      <w:proofErr w:type="spellEnd"/>
      <w:r w:rsidRPr="00170F6F">
        <w:rPr>
          <w:szCs w:val="22"/>
          <w:lang w:val="el-GR"/>
        </w:rPr>
        <w:t xml:space="preserve"> </w:t>
      </w:r>
      <w:proofErr w:type="spellStart"/>
      <w:r w:rsidRPr="00170F6F">
        <w:rPr>
          <w:szCs w:val="22"/>
          <w:lang w:val="el-GR"/>
        </w:rPr>
        <w:t>ενδοκοιλιακές</w:t>
      </w:r>
      <w:proofErr w:type="spellEnd"/>
      <w:r w:rsidRPr="00170F6F">
        <w:rPr>
          <w:szCs w:val="22"/>
          <w:lang w:val="el-GR"/>
        </w:rPr>
        <w:t xml:space="preserve"> λοιμώξεις</w:t>
      </w:r>
    </w:p>
    <w:p w:rsidR="00461D88" w:rsidRPr="00170F6F" w:rsidRDefault="00461D88" w:rsidP="00461D88">
      <w:pPr>
        <w:numPr>
          <w:ilvl w:val="0"/>
          <w:numId w:val="14"/>
        </w:numPr>
        <w:tabs>
          <w:tab w:val="clear" w:pos="792"/>
          <w:tab w:val="left" w:pos="0"/>
          <w:tab w:val="num" w:pos="567"/>
        </w:tabs>
        <w:ind w:hanging="792"/>
        <w:rPr>
          <w:szCs w:val="22"/>
          <w:lang w:val="el-GR"/>
        </w:rPr>
      </w:pPr>
      <w:r w:rsidRPr="00170F6F">
        <w:rPr>
          <w:szCs w:val="22"/>
          <w:lang w:val="el-GR"/>
        </w:rPr>
        <w:t>Λοιμώξεις των οστών και των αρθρώσεων</w:t>
      </w:r>
    </w:p>
    <w:p w:rsidR="00461D88" w:rsidRPr="00170F6F" w:rsidRDefault="00461D88" w:rsidP="00461D88">
      <w:pPr>
        <w:numPr>
          <w:ilvl w:val="0"/>
          <w:numId w:val="14"/>
        </w:numPr>
        <w:tabs>
          <w:tab w:val="clear" w:pos="792"/>
          <w:tab w:val="left" w:pos="0"/>
          <w:tab w:val="num" w:pos="567"/>
        </w:tabs>
        <w:ind w:left="567" w:hanging="567"/>
        <w:rPr>
          <w:b/>
          <w:szCs w:val="22"/>
          <w:lang w:val="el-GR"/>
        </w:rPr>
      </w:pPr>
      <w:r w:rsidRPr="00170F6F">
        <w:rPr>
          <w:szCs w:val="22"/>
          <w:lang w:val="el-GR"/>
        </w:rPr>
        <w:t>Περιτονίτιδα σχετιζόμενη με αιμοκάθαρση σε ασθενείς που υποβάλλονται σε συνεχή  [</w:t>
      </w:r>
      <w:proofErr w:type="spellStart"/>
      <w:r w:rsidRPr="00170F6F">
        <w:rPr>
          <w:szCs w:val="22"/>
          <w:lang w:val="el-GR"/>
        </w:rPr>
        <w:t>εξωνοσοκομειακή</w:t>
      </w:r>
      <w:proofErr w:type="spellEnd"/>
      <w:r w:rsidRPr="00170F6F">
        <w:rPr>
          <w:szCs w:val="22"/>
          <w:lang w:val="el-GR"/>
        </w:rPr>
        <w:t xml:space="preserve">] περιτοναϊκή αιμοκάθαρση  </w:t>
      </w:r>
    </w:p>
    <w:p w:rsidR="00461D88" w:rsidRPr="00170F6F" w:rsidRDefault="00461D88" w:rsidP="00461D88">
      <w:pPr>
        <w:tabs>
          <w:tab w:val="left" w:pos="0"/>
        </w:tabs>
        <w:ind w:left="567"/>
        <w:rPr>
          <w:b/>
          <w:szCs w:val="22"/>
          <w:lang w:val="el-GR"/>
        </w:rPr>
      </w:pPr>
    </w:p>
    <w:p w:rsidR="00461D88" w:rsidRPr="00170F6F" w:rsidRDefault="00461D88" w:rsidP="00461D88">
      <w:pPr>
        <w:tabs>
          <w:tab w:val="clear" w:pos="567"/>
          <w:tab w:val="left" w:pos="0"/>
        </w:tabs>
        <w:rPr>
          <w:szCs w:val="22"/>
          <w:lang w:val="el-GR"/>
        </w:rPr>
      </w:pPr>
      <w:r w:rsidRPr="00170F6F">
        <w:rPr>
          <w:szCs w:val="22"/>
          <w:lang w:val="el-GR"/>
        </w:rPr>
        <w:t>Θεραπεία ασθενών με βακτηριαιμία σε συσχέτιση ή σε υποψία συσχέτισης με οποιαδήποτε από τις λοιμώξεις που αναφέρονται παραπάνω.</w:t>
      </w:r>
    </w:p>
    <w:p w:rsidR="00461D88" w:rsidRPr="00170F6F" w:rsidRDefault="00461D88" w:rsidP="00461D88">
      <w:pPr>
        <w:tabs>
          <w:tab w:val="clear" w:pos="567"/>
          <w:tab w:val="left" w:pos="0"/>
        </w:tabs>
        <w:rPr>
          <w:szCs w:val="22"/>
          <w:lang w:val="el-GR"/>
        </w:rPr>
      </w:pPr>
    </w:p>
    <w:p w:rsidR="00461D88" w:rsidRPr="00170F6F" w:rsidRDefault="00461D88" w:rsidP="00461D88">
      <w:pPr>
        <w:tabs>
          <w:tab w:val="left" w:pos="709"/>
        </w:tabs>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μπορεί να χρησιμοποιηθεί σε ασθενείς που έχουν εμπύρετη </w:t>
      </w:r>
      <w:proofErr w:type="spellStart"/>
      <w:r w:rsidRPr="00170F6F">
        <w:rPr>
          <w:szCs w:val="22"/>
          <w:lang w:val="el-GR"/>
        </w:rPr>
        <w:t>ουδετεροπενία</w:t>
      </w:r>
      <w:proofErr w:type="spellEnd"/>
      <w:r w:rsidRPr="00170F6F">
        <w:rPr>
          <w:szCs w:val="22"/>
          <w:lang w:val="el-GR"/>
        </w:rPr>
        <w:t xml:space="preserve"> εάν υπάρχει υπόνοια ότι οφείλεται σε </w:t>
      </w:r>
      <w:proofErr w:type="spellStart"/>
      <w:r w:rsidRPr="00170F6F">
        <w:rPr>
          <w:szCs w:val="22"/>
          <w:lang w:val="el-GR"/>
        </w:rPr>
        <w:t>βακτηριακή</w:t>
      </w:r>
      <w:proofErr w:type="spellEnd"/>
      <w:r w:rsidRPr="00170F6F">
        <w:rPr>
          <w:szCs w:val="22"/>
          <w:lang w:val="el-GR"/>
        </w:rPr>
        <w:t xml:space="preserve"> λοίμωξη.</w:t>
      </w:r>
    </w:p>
    <w:p w:rsidR="00461D88" w:rsidRPr="00170F6F" w:rsidRDefault="00461D88" w:rsidP="00461D88">
      <w:pPr>
        <w:tabs>
          <w:tab w:val="left" w:pos="709"/>
        </w:tabs>
        <w:rPr>
          <w:szCs w:val="22"/>
          <w:lang w:val="el-GR"/>
        </w:rPr>
      </w:pPr>
    </w:p>
    <w:p w:rsidR="00461D88" w:rsidRPr="00170F6F" w:rsidRDefault="00461D88" w:rsidP="00461D88">
      <w:pPr>
        <w:tabs>
          <w:tab w:val="clear" w:pos="567"/>
          <w:tab w:val="left" w:pos="0"/>
        </w:tabs>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μπορεί να χρησιμοποιηθεί ως </w:t>
      </w:r>
      <w:proofErr w:type="spellStart"/>
      <w:r w:rsidRPr="00170F6F">
        <w:rPr>
          <w:szCs w:val="22"/>
          <w:lang w:val="el-GR"/>
        </w:rPr>
        <w:t>περιεγχειρητική</w:t>
      </w:r>
      <w:proofErr w:type="spellEnd"/>
      <w:r w:rsidRPr="00170F6F">
        <w:rPr>
          <w:szCs w:val="22"/>
          <w:lang w:val="el-GR"/>
        </w:rPr>
        <w:t xml:space="preserve"> προφύλαξη από λοιμώξεις του ουροποιητικού σε ασθενείς που υποβάλλονται σε </w:t>
      </w:r>
      <w:proofErr w:type="spellStart"/>
      <w:r w:rsidRPr="00170F6F">
        <w:rPr>
          <w:szCs w:val="22"/>
          <w:lang w:val="el-GR"/>
        </w:rPr>
        <w:t>διουρηθρική</w:t>
      </w:r>
      <w:proofErr w:type="spellEnd"/>
      <w:r w:rsidRPr="00170F6F">
        <w:rPr>
          <w:szCs w:val="22"/>
          <w:lang w:val="el-GR"/>
        </w:rPr>
        <w:t xml:space="preserve"> </w:t>
      </w:r>
      <w:proofErr w:type="spellStart"/>
      <w:r w:rsidRPr="00170F6F">
        <w:rPr>
          <w:szCs w:val="22"/>
          <w:lang w:val="el-GR"/>
        </w:rPr>
        <w:t>προστατεκτομή</w:t>
      </w:r>
      <w:proofErr w:type="spellEnd"/>
      <w:r w:rsidRPr="00170F6F">
        <w:rPr>
          <w:szCs w:val="22"/>
          <w:lang w:val="el-GR"/>
        </w:rPr>
        <w:t xml:space="preserve"> (TURP).</w:t>
      </w:r>
    </w:p>
    <w:p w:rsidR="00461D88" w:rsidRPr="00170F6F" w:rsidRDefault="00461D88" w:rsidP="00461D88">
      <w:pPr>
        <w:tabs>
          <w:tab w:val="clear" w:pos="567"/>
          <w:tab w:val="left" w:pos="0"/>
        </w:tabs>
        <w:rPr>
          <w:szCs w:val="22"/>
          <w:lang w:val="el-GR"/>
        </w:rPr>
      </w:pPr>
    </w:p>
    <w:p w:rsidR="00461D88" w:rsidRPr="00170F6F" w:rsidRDefault="00461D88" w:rsidP="00461D88">
      <w:pPr>
        <w:tabs>
          <w:tab w:val="clear" w:pos="567"/>
          <w:tab w:val="left" w:pos="0"/>
        </w:tabs>
        <w:rPr>
          <w:szCs w:val="22"/>
          <w:lang w:val="el-GR"/>
        </w:rPr>
      </w:pPr>
      <w:r w:rsidRPr="00170F6F">
        <w:rPr>
          <w:szCs w:val="22"/>
          <w:lang w:val="el-GR"/>
        </w:rPr>
        <w:t xml:space="preserve">Για την επιλογή της </w:t>
      </w:r>
      <w:proofErr w:type="spellStart"/>
      <w:r w:rsidRPr="00170F6F">
        <w:rPr>
          <w:szCs w:val="22"/>
          <w:lang w:val="el-GR"/>
        </w:rPr>
        <w:t>κεφταζιδίμης</w:t>
      </w:r>
      <w:proofErr w:type="spellEnd"/>
      <w:r w:rsidRPr="00170F6F">
        <w:rPr>
          <w:szCs w:val="22"/>
          <w:lang w:val="el-GR"/>
        </w:rPr>
        <w:t xml:space="preserve"> πρέπει να λαμβάνεται υπόψη το </w:t>
      </w:r>
      <w:proofErr w:type="spellStart"/>
      <w:r w:rsidRPr="00170F6F">
        <w:rPr>
          <w:szCs w:val="22"/>
          <w:lang w:val="el-GR"/>
        </w:rPr>
        <w:t>αντιβακτηριακό</w:t>
      </w:r>
      <w:proofErr w:type="spellEnd"/>
      <w:r w:rsidRPr="00170F6F">
        <w:rPr>
          <w:szCs w:val="22"/>
          <w:lang w:val="el-GR"/>
        </w:rPr>
        <w:t xml:space="preserve"> της φάσμα, το οποίο περιορίζεται κυρίως σε αερόβια αρνητικά κατά </w:t>
      </w:r>
      <w:proofErr w:type="spellStart"/>
      <w:r w:rsidRPr="00170F6F">
        <w:rPr>
          <w:szCs w:val="22"/>
          <w:lang w:val="el-GR"/>
        </w:rPr>
        <w:t>Gram</w:t>
      </w:r>
      <w:proofErr w:type="spellEnd"/>
      <w:r w:rsidRPr="00170F6F">
        <w:rPr>
          <w:szCs w:val="22"/>
          <w:lang w:val="el-GR"/>
        </w:rPr>
        <w:t xml:space="preserve"> βακτήρια (βλέπε παραγράφους 4.4 και 5.1).</w:t>
      </w:r>
    </w:p>
    <w:p w:rsidR="00461D88" w:rsidRPr="00170F6F" w:rsidRDefault="00461D88" w:rsidP="00461D88">
      <w:pPr>
        <w:tabs>
          <w:tab w:val="left" w:pos="709"/>
        </w:tabs>
        <w:rPr>
          <w:szCs w:val="22"/>
          <w:lang w:val="el-GR"/>
        </w:rPr>
      </w:pPr>
    </w:p>
    <w:p w:rsidR="00461D88" w:rsidRPr="00170F6F" w:rsidRDefault="00461D88" w:rsidP="00461D88">
      <w:pPr>
        <w:tabs>
          <w:tab w:val="left" w:pos="709"/>
        </w:tabs>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πρέπει να </w:t>
      </w:r>
      <w:proofErr w:type="spellStart"/>
      <w:r w:rsidRPr="00170F6F">
        <w:rPr>
          <w:szCs w:val="22"/>
          <w:lang w:val="el-GR"/>
        </w:rPr>
        <w:t>συγχορηγείται</w:t>
      </w:r>
      <w:proofErr w:type="spellEnd"/>
      <w:r w:rsidRPr="00170F6F">
        <w:rPr>
          <w:szCs w:val="22"/>
          <w:lang w:val="el-GR"/>
        </w:rPr>
        <w:t xml:space="preserve"> μαζί με άλλους </w:t>
      </w:r>
      <w:proofErr w:type="spellStart"/>
      <w:r w:rsidRPr="00170F6F">
        <w:rPr>
          <w:szCs w:val="22"/>
          <w:lang w:val="el-GR"/>
        </w:rPr>
        <w:t>αντιβακτηριακούς</w:t>
      </w:r>
      <w:proofErr w:type="spellEnd"/>
      <w:r w:rsidRPr="00170F6F">
        <w:rPr>
          <w:szCs w:val="22"/>
          <w:lang w:val="el-GR"/>
        </w:rPr>
        <w:t xml:space="preserve"> παράγοντες σε περίπτωση που το πιθανό εύρος των παθογόνων βακτηρίων δεν καλύπτεται από το φάσμα δράσης της.</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Θα πρέπει να λαμβάνονται υπόψη οι επίσημες κατευθυντήριες οδηγίες για την κατάλληλη χρήση </w:t>
      </w:r>
      <w:proofErr w:type="spellStart"/>
      <w:r w:rsidRPr="00170F6F">
        <w:rPr>
          <w:szCs w:val="22"/>
          <w:lang w:val="el-GR"/>
        </w:rPr>
        <w:t>αντιβακτηριακών</w:t>
      </w:r>
      <w:proofErr w:type="spellEnd"/>
      <w:r w:rsidRPr="00170F6F">
        <w:rPr>
          <w:szCs w:val="22"/>
          <w:lang w:val="el-GR"/>
        </w:rPr>
        <w:t xml:space="preserve"> παραγόντων.</w:t>
      </w:r>
    </w:p>
    <w:p w:rsidR="00461D88" w:rsidRPr="00170F6F" w:rsidRDefault="00461D88" w:rsidP="00461D88">
      <w:pPr>
        <w:rPr>
          <w:szCs w:val="22"/>
          <w:lang w:val="el-GR"/>
        </w:rPr>
      </w:pPr>
    </w:p>
    <w:p w:rsidR="00461D88" w:rsidRPr="00170F6F" w:rsidRDefault="00461D88" w:rsidP="00461D88">
      <w:pPr>
        <w:keepNext/>
        <w:ind w:left="567" w:hanging="567"/>
        <w:rPr>
          <w:b/>
          <w:szCs w:val="22"/>
          <w:lang w:val="el-GR"/>
        </w:rPr>
      </w:pPr>
      <w:r w:rsidRPr="00170F6F">
        <w:rPr>
          <w:b/>
          <w:szCs w:val="22"/>
          <w:lang w:val="el-GR"/>
        </w:rPr>
        <w:t>4.2</w:t>
      </w:r>
      <w:r w:rsidRPr="00170F6F">
        <w:rPr>
          <w:b/>
          <w:szCs w:val="22"/>
          <w:lang w:val="el-GR"/>
        </w:rPr>
        <w:tab/>
        <w:t>Δοσολογία και τρόπος χορήγησης</w:t>
      </w:r>
    </w:p>
    <w:p w:rsidR="00461D88" w:rsidRPr="00170F6F" w:rsidRDefault="00461D88" w:rsidP="00461D88">
      <w:pPr>
        <w:keepNext/>
        <w:tabs>
          <w:tab w:val="clear" w:pos="567"/>
          <w:tab w:val="left" w:pos="0"/>
        </w:tabs>
        <w:rPr>
          <w:szCs w:val="22"/>
          <w:lang w:val="el-GR"/>
        </w:rPr>
      </w:pPr>
    </w:p>
    <w:p w:rsidR="00461D88" w:rsidRPr="00170F6F" w:rsidRDefault="00461D88" w:rsidP="00461D88">
      <w:pPr>
        <w:rPr>
          <w:szCs w:val="22"/>
          <w:u w:val="single"/>
          <w:lang w:val="el-GR"/>
        </w:rPr>
      </w:pPr>
      <w:r w:rsidRPr="00170F6F">
        <w:rPr>
          <w:szCs w:val="22"/>
          <w:u w:val="single"/>
          <w:lang w:val="el-GR"/>
        </w:rPr>
        <w:t>Δοσολογία</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u w:val="single"/>
          <w:lang w:val="el-GR"/>
        </w:rPr>
        <w:t xml:space="preserve">Πίνακας 1: Ενήλικες και παιδιά </w:t>
      </w:r>
      <w:r w:rsidRPr="00170F6F">
        <w:rPr>
          <w:szCs w:val="22"/>
          <w:u w:val="single"/>
          <w:lang w:val="el-GR"/>
        </w:rPr>
        <w:sym w:font="Symbol" w:char="F0B3"/>
      </w:r>
      <w:r w:rsidRPr="00170F6F">
        <w:rPr>
          <w:szCs w:val="22"/>
          <w:u w:val="single"/>
          <w:lang w:val="el-GR"/>
        </w:rPr>
        <w:t> 40 </w:t>
      </w:r>
      <w:proofErr w:type="spellStart"/>
      <w:r w:rsidRPr="00170F6F">
        <w:rPr>
          <w:szCs w:val="22"/>
          <w:u w:val="single"/>
          <w:lang w:val="el-GR"/>
        </w:rPr>
        <w:t>kg</w:t>
      </w:r>
      <w:proofErr w:type="spellEnd"/>
    </w:p>
    <w:p w:rsidR="00461D88" w:rsidRPr="00170F6F" w:rsidRDefault="00461D88" w:rsidP="00461D88">
      <w:pP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461D88" w:rsidRPr="00170F6F" w:rsidTr="00C773E4">
        <w:tc>
          <w:tcPr>
            <w:tcW w:w="9287" w:type="dxa"/>
            <w:gridSpan w:val="2"/>
          </w:tcPr>
          <w:p w:rsidR="00461D88" w:rsidRPr="00170F6F" w:rsidRDefault="00461D88" w:rsidP="00C773E4">
            <w:pPr>
              <w:rPr>
                <w:szCs w:val="22"/>
                <w:lang w:val="el-GR"/>
              </w:rPr>
            </w:pPr>
            <w:r w:rsidRPr="00170F6F">
              <w:rPr>
                <w:i/>
                <w:szCs w:val="22"/>
                <w:lang w:val="el-GR"/>
              </w:rPr>
              <w:t>Διαλείπουσα Χορήγηση</w:t>
            </w:r>
          </w:p>
        </w:tc>
      </w:tr>
      <w:tr w:rsidR="00461D88" w:rsidRPr="00170F6F" w:rsidTr="00C773E4">
        <w:tc>
          <w:tcPr>
            <w:tcW w:w="4643" w:type="dxa"/>
          </w:tcPr>
          <w:p w:rsidR="00461D88" w:rsidRPr="00170F6F" w:rsidRDefault="00461D88" w:rsidP="00C773E4">
            <w:pPr>
              <w:rPr>
                <w:szCs w:val="22"/>
                <w:lang w:val="el-GR"/>
              </w:rPr>
            </w:pPr>
            <w:r w:rsidRPr="00170F6F">
              <w:rPr>
                <w:szCs w:val="22"/>
                <w:lang w:val="el-GR"/>
              </w:rPr>
              <w:t>Λοίμωξη</w:t>
            </w:r>
          </w:p>
        </w:tc>
        <w:tc>
          <w:tcPr>
            <w:tcW w:w="4644" w:type="dxa"/>
          </w:tcPr>
          <w:p w:rsidR="00461D88" w:rsidRPr="00170F6F" w:rsidRDefault="00461D88" w:rsidP="00C773E4">
            <w:pPr>
              <w:rPr>
                <w:szCs w:val="22"/>
                <w:lang w:val="en-US"/>
              </w:rPr>
            </w:pPr>
            <w:r w:rsidRPr="00170F6F">
              <w:rPr>
                <w:szCs w:val="22"/>
                <w:lang w:val="el-GR"/>
              </w:rPr>
              <w:t>Δόση που πρέπει να χορηγείται</w:t>
            </w:r>
          </w:p>
          <w:p w:rsidR="00461D88" w:rsidRPr="00170F6F" w:rsidRDefault="00461D88" w:rsidP="00C773E4">
            <w:pPr>
              <w:rPr>
                <w:szCs w:val="22"/>
                <w:lang w:val="en-US"/>
              </w:rPr>
            </w:pP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Βρογχοπνευμονικές</w:t>
            </w:r>
            <w:proofErr w:type="spellEnd"/>
            <w:r w:rsidRPr="00170F6F">
              <w:rPr>
                <w:szCs w:val="22"/>
                <w:lang w:val="el-GR"/>
              </w:rPr>
              <w:t xml:space="preserve"> λοιμώξεις σε ασθενείς με κυστική </w:t>
            </w:r>
            <w:proofErr w:type="spellStart"/>
            <w:r w:rsidRPr="00170F6F">
              <w:rPr>
                <w:szCs w:val="22"/>
                <w:lang w:val="el-GR"/>
              </w:rPr>
              <w:t>ίνωση</w:t>
            </w:r>
            <w:proofErr w:type="spellEnd"/>
          </w:p>
        </w:tc>
        <w:tc>
          <w:tcPr>
            <w:tcW w:w="4644" w:type="dxa"/>
          </w:tcPr>
          <w:p w:rsidR="00461D88" w:rsidRPr="00170F6F" w:rsidRDefault="00461D88" w:rsidP="00C773E4">
            <w:pPr>
              <w:rPr>
                <w:szCs w:val="22"/>
                <w:lang w:val="el-GR"/>
              </w:rPr>
            </w:pPr>
            <w:r w:rsidRPr="00170F6F">
              <w:rPr>
                <w:szCs w:val="22"/>
                <w:lang w:val="el-GR"/>
              </w:rPr>
              <w:t>100 έως 150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/ημέρα κάθε 8 ώρες, μέγιστη δόση 9 g ημερησίως</w:t>
            </w:r>
            <w:r w:rsidRPr="00170F6F">
              <w:rPr>
                <w:szCs w:val="22"/>
                <w:vertAlign w:val="superscript"/>
                <w:lang w:val="el-GR"/>
              </w:rPr>
              <w:t>1</w:t>
            </w:r>
          </w:p>
        </w:tc>
      </w:tr>
      <w:tr w:rsidR="00461D88" w:rsidRPr="00170F6F" w:rsidTr="00C773E4">
        <w:tc>
          <w:tcPr>
            <w:tcW w:w="4643" w:type="dxa"/>
          </w:tcPr>
          <w:p w:rsidR="00461D88" w:rsidRPr="00170F6F" w:rsidRDefault="00461D88" w:rsidP="00C773E4">
            <w:pPr>
              <w:rPr>
                <w:szCs w:val="22"/>
                <w:lang w:val="el-GR"/>
              </w:rPr>
            </w:pPr>
            <w:r w:rsidRPr="00170F6F">
              <w:rPr>
                <w:szCs w:val="22"/>
                <w:lang w:val="el-GR"/>
              </w:rPr>
              <w:t xml:space="preserve">Εμπύρετη </w:t>
            </w:r>
            <w:proofErr w:type="spellStart"/>
            <w:r w:rsidRPr="00170F6F">
              <w:rPr>
                <w:szCs w:val="22"/>
                <w:lang w:val="el-GR"/>
              </w:rPr>
              <w:t>ουδετεροπενία</w:t>
            </w:r>
            <w:proofErr w:type="spellEnd"/>
          </w:p>
        </w:tc>
        <w:tc>
          <w:tcPr>
            <w:tcW w:w="4644" w:type="dxa"/>
            <w:vMerge w:val="restart"/>
          </w:tcPr>
          <w:p w:rsidR="00461D88" w:rsidRPr="00170F6F" w:rsidRDefault="00461D88" w:rsidP="00C773E4">
            <w:pPr>
              <w:rPr>
                <w:szCs w:val="22"/>
                <w:lang w:val="el-GR"/>
              </w:rPr>
            </w:pPr>
          </w:p>
          <w:p w:rsidR="00461D88" w:rsidRPr="00170F6F" w:rsidRDefault="00461D88" w:rsidP="00C773E4">
            <w:pPr>
              <w:rPr>
                <w:szCs w:val="22"/>
                <w:lang w:val="el-GR"/>
              </w:rPr>
            </w:pPr>
            <w:r w:rsidRPr="00170F6F">
              <w:rPr>
                <w:szCs w:val="22"/>
                <w:lang w:val="el-GR"/>
              </w:rPr>
              <w:t xml:space="preserve">2 g κάθε 8 ώρες </w:t>
            </w:r>
          </w:p>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spacing w:line="240" w:lineRule="auto"/>
              <w:rPr>
                <w:szCs w:val="22"/>
                <w:lang w:val="el-GR"/>
              </w:rPr>
            </w:pPr>
            <w:r w:rsidRPr="00170F6F">
              <w:rPr>
                <w:szCs w:val="22"/>
                <w:lang w:val="el-GR"/>
              </w:rPr>
              <w:t>Νοσοκομειακή πνευμονία</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proofErr w:type="spellStart"/>
            <w:r w:rsidRPr="00170F6F">
              <w:rPr>
                <w:szCs w:val="22"/>
                <w:lang w:val="el-GR"/>
              </w:rPr>
              <w:t>Βακτηριακή</w:t>
            </w:r>
            <w:proofErr w:type="spellEnd"/>
            <w:r w:rsidRPr="00170F6F">
              <w:rPr>
                <w:szCs w:val="22"/>
                <w:lang w:val="el-GR"/>
              </w:rPr>
              <w:t xml:space="preserve"> μηνιγγίτιδα</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tabs>
                <w:tab w:val="clear" w:pos="567"/>
                <w:tab w:val="left" w:pos="0"/>
              </w:tabs>
              <w:rPr>
                <w:szCs w:val="22"/>
              </w:rPr>
            </w:pPr>
            <w:r w:rsidRPr="00170F6F">
              <w:rPr>
                <w:szCs w:val="22"/>
                <w:lang w:val="el-GR"/>
              </w:rPr>
              <w:t>Βακτηριαιμία*</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r w:rsidRPr="00170F6F">
              <w:rPr>
                <w:szCs w:val="22"/>
                <w:lang w:val="el-GR"/>
              </w:rPr>
              <w:t>Λοιμώξεις των οστών και των αρθρώσεων</w:t>
            </w:r>
          </w:p>
        </w:tc>
        <w:tc>
          <w:tcPr>
            <w:tcW w:w="4644" w:type="dxa"/>
            <w:vMerge w:val="restart"/>
          </w:tcPr>
          <w:p w:rsidR="00461D88" w:rsidRPr="00170F6F" w:rsidRDefault="00461D88" w:rsidP="00C773E4">
            <w:pPr>
              <w:rPr>
                <w:szCs w:val="22"/>
                <w:lang w:val="el-GR"/>
              </w:rPr>
            </w:pPr>
            <w:r w:rsidRPr="00170F6F">
              <w:rPr>
                <w:szCs w:val="22"/>
              </w:rPr>
              <w:t xml:space="preserve">1-2 g </w:t>
            </w:r>
            <w:r w:rsidRPr="00170F6F">
              <w:rPr>
                <w:szCs w:val="22"/>
                <w:lang w:val="el-GR"/>
              </w:rPr>
              <w:t>κάθε</w:t>
            </w:r>
            <w:r w:rsidRPr="00170F6F">
              <w:rPr>
                <w:szCs w:val="22"/>
              </w:rPr>
              <w:t xml:space="preserve"> 8 </w:t>
            </w:r>
            <w:r w:rsidRPr="00170F6F">
              <w:rPr>
                <w:szCs w:val="22"/>
                <w:lang w:val="el-GR"/>
              </w:rPr>
              <w:t>ώρες</w:t>
            </w: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δέρματος και μαλακών μορίων</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w:t>
            </w:r>
            <w:proofErr w:type="spellStart"/>
            <w:r w:rsidRPr="00170F6F">
              <w:rPr>
                <w:szCs w:val="22"/>
                <w:lang w:val="el-GR"/>
              </w:rPr>
              <w:t>ενδοκοιλιακές</w:t>
            </w:r>
            <w:proofErr w:type="spellEnd"/>
            <w:r w:rsidRPr="00170F6F">
              <w:rPr>
                <w:szCs w:val="22"/>
                <w:lang w:val="el-GR"/>
              </w:rPr>
              <w:t xml:space="preserve"> λοιμώξεις</w:t>
            </w:r>
          </w:p>
        </w:tc>
        <w:tc>
          <w:tcPr>
            <w:tcW w:w="4644" w:type="dxa"/>
            <w:vMerge/>
          </w:tcPr>
          <w:p w:rsidR="00461D88" w:rsidRPr="00170F6F" w:rsidRDefault="00461D88" w:rsidP="00C773E4">
            <w:pPr>
              <w:rPr>
                <w:szCs w:val="22"/>
                <w:lang w:val="el-GR"/>
              </w:rPr>
            </w:pP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ουροποιητικού συστήματος</w:t>
            </w:r>
          </w:p>
        </w:tc>
        <w:tc>
          <w:tcPr>
            <w:tcW w:w="4644" w:type="dxa"/>
          </w:tcPr>
          <w:p w:rsidR="00461D88" w:rsidRPr="00170F6F" w:rsidRDefault="00461D88" w:rsidP="00C773E4">
            <w:pPr>
              <w:rPr>
                <w:szCs w:val="22"/>
                <w:lang w:val="el-GR"/>
              </w:rPr>
            </w:pPr>
            <w:r w:rsidRPr="00170F6F">
              <w:rPr>
                <w:szCs w:val="22"/>
                <w:lang w:val="el-GR"/>
              </w:rPr>
              <w:t>1 -2 g κάθε 8 ώρες ή 12 ώρες</w:t>
            </w: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Περιεγχειρητική</w:t>
            </w:r>
            <w:proofErr w:type="spellEnd"/>
            <w:r w:rsidRPr="00170F6F">
              <w:rPr>
                <w:szCs w:val="22"/>
                <w:lang w:val="el-GR"/>
              </w:rPr>
              <w:t xml:space="preserve"> προφύλαξη σε </w:t>
            </w:r>
            <w:proofErr w:type="spellStart"/>
            <w:r w:rsidRPr="00170F6F">
              <w:rPr>
                <w:szCs w:val="22"/>
                <w:lang w:val="el-GR"/>
              </w:rPr>
              <w:t>διουρηθρική</w:t>
            </w:r>
            <w:proofErr w:type="spellEnd"/>
            <w:r w:rsidRPr="00170F6F">
              <w:rPr>
                <w:szCs w:val="22"/>
                <w:lang w:val="el-GR"/>
              </w:rPr>
              <w:t xml:space="preserve"> </w:t>
            </w:r>
            <w:proofErr w:type="spellStart"/>
            <w:r w:rsidRPr="00170F6F">
              <w:rPr>
                <w:szCs w:val="22"/>
                <w:lang w:val="el-GR"/>
              </w:rPr>
              <w:t>εκτομή</w:t>
            </w:r>
            <w:proofErr w:type="spellEnd"/>
            <w:r w:rsidRPr="00170F6F">
              <w:rPr>
                <w:szCs w:val="22"/>
                <w:lang w:val="el-GR"/>
              </w:rPr>
              <w:t xml:space="preserve"> του προστάτη (</w:t>
            </w:r>
            <w:r w:rsidRPr="00170F6F">
              <w:rPr>
                <w:szCs w:val="22"/>
              </w:rPr>
              <w:t>TURP</w:t>
            </w:r>
            <w:r w:rsidRPr="00170F6F">
              <w:rPr>
                <w:szCs w:val="22"/>
                <w:lang w:val="el-GR"/>
              </w:rPr>
              <w:t xml:space="preserve">)  </w:t>
            </w:r>
          </w:p>
        </w:tc>
        <w:tc>
          <w:tcPr>
            <w:tcW w:w="4644" w:type="dxa"/>
          </w:tcPr>
          <w:p w:rsidR="00461D88" w:rsidRPr="00170F6F" w:rsidRDefault="00461D88" w:rsidP="00C773E4">
            <w:pPr>
              <w:rPr>
                <w:szCs w:val="22"/>
                <w:lang w:val="el-GR"/>
              </w:rPr>
            </w:pPr>
            <w:r w:rsidRPr="00170F6F">
              <w:rPr>
                <w:szCs w:val="22"/>
                <w:lang w:val="el-GR"/>
              </w:rPr>
              <w:t>1 g κατά την επαγωγή αναισθησίας</w:t>
            </w:r>
          </w:p>
          <w:p w:rsidR="00461D88" w:rsidRPr="00170F6F" w:rsidRDefault="00461D88" w:rsidP="00C773E4">
            <w:pPr>
              <w:rPr>
                <w:szCs w:val="22"/>
                <w:lang w:val="el-GR"/>
              </w:rPr>
            </w:pPr>
            <w:r w:rsidRPr="00170F6F">
              <w:rPr>
                <w:szCs w:val="22"/>
                <w:lang w:val="el-GR"/>
              </w:rPr>
              <w:t>και μια δεύτερη δόση κατά την αφαίρεση του καθετήρα</w:t>
            </w:r>
          </w:p>
        </w:tc>
      </w:tr>
      <w:tr w:rsidR="00461D88" w:rsidRPr="003536AE" w:rsidTr="00C773E4">
        <w:tc>
          <w:tcPr>
            <w:tcW w:w="4643" w:type="dxa"/>
          </w:tcPr>
          <w:p w:rsidR="00461D88" w:rsidRPr="00170F6F" w:rsidRDefault="00461D88" w:rsidP="00C773E4">
            <w:pPr>
              <w:tabs>
                <w:tab w:val="clear" w:pos="567"/>
                <w:tab w:val="left" w:pos="1440"/>
                <w:tab w:val="left" w:pos="1980"/>
              </w:tabs>
              <w:rPr>
                <w:szCs w:val="22"/>
                <w:lang w:val="el-GR"/>
              </w:rPr>
            </w:pPr>
            <w:r w:rsidRPr="00170F6F">
              <w:rPr>
                <w:szCs w:val="22"/>
                <w:lang w:val="el-GR"/>
              </w:rPr>
              <w:t>Χρόνια πυώδης μέση ωτίτιδα</w:t>
            </w:r>
          </w:p>
        </w:tc>
        <w:tc>
          <w:tcPr>
            <w:tcW w:w="4644" w:type="dxa"/>
            <w:vMerge w:val="restart"/>
          </w:tcPr>
          <w:p w:rsidR="00461D88" w:rsidRPr="00170F6F" w:rsidRDefault="00461D88" w:rsidP="00C773E4">
            <w:pPr>
              <w:rPr>
                <w:szCs w:val="22"/>
                <w:lang w:val="el-GR"/>
              </w:rPr>
            </w:pPr>
          </w:p>
          <w:p w:rsidR="00461D88" w:rsidRPr="00170F6F" w:rsidRDefault="00461D88" w:rsidP="00C773E4">
            <w:pPr>
              <w:rPr>
                <w:szCs w:val="22"/>
                <w:lang w:val="el-GR"/>
              </w:rPr>
            </w:pPr>
            <w:r w:rsidRPr="00170F6F">
              <w:rPr>
                <w:szCs w:val="22"/>
                <w:lang w:val="el-GR"/>
              </w:rPr>
              <w:t>1 g έως 2 g κάθε 8 ώρες</w:t>
            </w:r>
          </w:p>
        </w:tc>
      </w:tr>
      <w:tr w:rsidR="00461D88" w:rsidRPr="00170F6F" w:rsidTr="00C773E4">
        <w:tc>
          <w:tcPr>
            <w:tcW w:w="4643" w:type="dxa"/>
          </w:tcPr>
          <w:p w:rsidR="00461D88" w:rsidRPr="00170F6F" w:rsidRDefault="00461D88" w:rsidP="00C773E4">
            <w:pPr>
              <w:rPr>
                <w:szCs w:val="22"/>
                <w:lang w:val="el-GR"/>
              </w:rPr>
            </w:pPr>
            <w:r w:rsidRPr="00170F6F">
              <w:rPr>
                <w:szCs w:val="22"/>
                <w:lang w:val="el-GR"/>
              </w:rPr>
              <w:t>Κακοήθης εξωτερική ωτίτιδα</w:t>
            </w:r>
          </w:p>
        </w:tc>
        <w:tc>
          <w:tcPr>
            <w:tcW w:w="4644" w:type="dxa"/>
            <w:vMerge/>
          </w:tcPr>
          <w:p w:rsidR="00461D88" w:rsidRPr="00170F6F" w:rsidRDefault="00461D88" w:rsidP="00C773E4">
            <w:pPr>
              <w:rPr>
                <w:szCs w:val="22"/>
                <w:lang w:val="el-GR"/>
              </w:rPr>
            </w:pPr>
          </w:p>
        </w:tc>
      </w:tr>
      <w:tr w:rsidR="00461D88" w:rsidRPr="00170F6F" w:rsidTr="00C773E4">
        <w:tc>
          <w:tcPr>
            <w:tcW w:w="9287" w:type="dxa"/>
            <w:gridSpan w:val="2"/>
          </w:tcPr>
          <w:p w:rsidR="00461D88" w:rsidRPr="00170F6F" w:rsidRDefault="00461D88" w:rsidP="00C773E4">
            <w:pPr>
              <w:rPr>
                <w:szCs w:val="22"/>
                <w:lang w:val="el-GR"/>
              </w:rPr>
            </w:pPr>
            <w:r w:rsidRPr="00170F6F">
              <w:rPr>
                <w:i/>
                <w:szCs w:val="22"/>
                <w:lang w:val="el-GR"/>
              </w:rPr>
              <w:t>Συνεχής Έγχυση</w:t>
            </w:r>
          </w:p>
        </w:tc>
      </w:tr>
      <w:tr w:rsidR="00461D88" w:rsidRPr="003536AE" w:rsidTr="00C773E4">
        <w:tc>
          <w:tcPr>
            <w:tcW w:w="4643" w:type="dxa"/>
          </w:tcPr>
          <w:p w:rsidR="00461D88" w:rsidRPr="00170F6F" w:rsidRDefault="00461D88" w:rsidP="00C773E4">
            <w:pPr>
              <w:rPr>
                <w:szCs w:val="22"/>
                <w:lang w:val="el-GR"/>
              </w:rPr>
            </w:pPr>
            <w:r w:rsidRPr="00170F6F">
              <w:rPr>
                <w:szCs w:val="22"/>
                <w:lang w:val="el-GR"/>
              </w:rPr>
              <w:t>Λοίμωξη</w:t>
            </w:r>
          </w:p>
        </w:tc>
        <w:tc>
          <w:tcPr>
            <w:tcW w:w="4644" w:type="dxa"/>
          </w:tcPr>
          <w:p w:rsidR="00461D88" w:rsidRPr="00170F6F" w:rsidRDefault="00461D88" w:rsidP="00C773E4">
            <w:pPr>
              <w:rPr>
                <w:szCs w:val="22"/>
                <w:lang w:val="el-GR"/>
              </w:rPr>
            </w:pPr>
            <w:r w:rsidRPr="00170F6F">
              <w:rPr>
                <w:szCs w:val="22"/>
                <w:lang w:val="el-GR"/>
              </w:rPr>
              <w:t>Δόση που πρέπει να χορηγείται</w:t>
            </w:r>
          </w:p>
        </w:tc>
      </w:tr>
      <w:tr w:rsidR="00461D88" w:rsidRPr="003536AE" w:rsidTr="00C773E4">
        <w:tc>
          <w:tcPr>
            <w:tcW w:w="4643" w:type="dxa"/>
          </w:tcPr>
          <w:p w:rsidR="00461D88" w:rsidRPr="00170F6F" w:rsidRDefault="00461D88" w:rsidP="00C773E4">
            <w:pPr>
              <w:rPr>
                <w:szCs w:val="22"/>
                <w:lang w:val="el-GR"/>
              </w:rPr>
            </w:pPr>
            <w:r w:rsidRPr="00170F6F">
              <w:rPr>
                <w:szCs w:val="22"/>
                <w:lang w:val="el-GR"/>
              </w:rPr>
              <w:t xml:space="preserve">Εμπύρετη </w:t>
            </w:r>
            <w:proofErr w:type="spellStart"/>
            <w:r w:rsidRPr="00170F6F">
              <w:rPr>
                <w:szCs w:val="22"/>
                <w:lang w:val="el-GR"/>
              </w:rPr>
              <w:t>ουδετεροπενία</w:t>
            </w:r>
            <w:proofErr w:type="spellEnd"/>
          </w:p>
        </w:tc>
        <w:tc>
          <w:tcPr>
            <w:tcW w:w="4644" w:type="dxa"/>
            <w:vMerge w:val="restart"/>
          </w:tcPr>
          <w:p w:rsidR="00461D88" w:rsidRPr="00170F6F" w:rsidRDefault="00461D88" w:rsidP="00C773E4">
            <w:pPr>
              <w:rPr>
                <w:szCs w:val="22"/>
                <w:lang w:val="el-GR"/>
              </w:rPr>
            </w:pPr>
          </w:p>
          <w:p w:rsidR="00461D88" w:rsidRPr="00170F6F" w:rsidRDefault="00461D88" w:rsidP="00C773E4">
            <w:pPr>
              <w:rPr>
                <w:szCs w:val="22"/>
                <w:lang w:val="el-GR"/>
              </w:rPr>
            </w:pPr>
            <w:r w:rsidRPr="00170F6F">
              <w:rPr>
                <w:szCs w:val="22"/>
                <w:lang w:val="el-GR"/>
              </w:rPr>
              <w:t>Δόση φόρτισης 2 g και ακολούθως συνεχής έγχυση 4 έως 6 g το εικοσιτετράωρο</w:t>
            </w:r>
            <w:r w:rsidRPr="00170F6F">
              <w:rPr>
                <w:szCs w:val="22"/>
                <w:vertAlign w:val="superscript"/>
                <w:lang w:val="el-GR"/>
              </w:rPr>
              <w:t>1</w:t>
            </w:r>
          </w:p>
          <w:p w:rsidR="00461D88" w:rsidRPr="00170F6F" w:rsidRDefault="00461D88" w:rsidP="00C773E4">
            <w:pPr>
              <w:rPr>
                <w:szCs w:val="22"/>
                <w:lang w:val="el-GR"/>
              </w:rPr>
            </w:pPr>
          </w:p>
        </w:tc>
      </w:tr>
      <w:tr w:rsidR="00461D88" w:rsidRPr="00170F6F" w:rsidTr="00C773E4">
        <w:trPr>
          <w:trHeight w:val="657"/>
        </w:trPr>
        <w:tc>
          <w:tcPr>
            <w:tcW w:w="4643" w:type="dxa"/>
          </w:tcPr>
          <w:p w:rsidR="00461D88" w:rsidRPr="00170F6F" w:rsidRDefault="00461D88" w:rsidP="00C773E4">
            <w:pPr>
              <w:rPr>
                <w:szCs w:val="22"/>
                <w:lang w:val="el-GR"/>
              </w:rPr>
            </w:pPr>
            <w:r w:rsidRPr="00170F6F">
              <w:rPr>
                <w:szCs w:val="22"/>
                <w:lang w:val="el-GR"/>
              </w:rPr>
              <w:t>Νοσοκομειακή πνευμονία</w:t>
            </w:r>
          </w:p>
        </w:tc>
        <w:tc>
          <w:tcPr>
            <w:tcW w:w="4644" w:type="dxa"/>
            <w:vMerge/>
          </w:tcPr>
          <w:p w:rsidR="00461D88" w:rsidRPr="00170F6F" w:rsidRDefault="00461D88" w:rsidP="00C773E4">
            <w:pPr>
              <w:rPr>
                <w:szCs w:val="22"/>
                <w:lang w:val="el-GR"/>
              </w:rPr>
            </w:pP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Βρογχοπνευμονικές</w:t>
            </w:r>
            <w:proofErr w:type="spellEnd"/>
            <w:r w:rsidRPr="00170F6F">
              <w:rPr>
                <w:szCs w:val="22"/>
                <w:lang w:val="el-GR"/>
              </w:rPr>
              <w:t xml:space="preserve"> λοιμώξεις σε ασθενείς με κυστική </w:t>
            </w:r>
            <w:proofErr w:type="spellStart"/>
            <w:r w:rsidRPr="00170F6F">
              <w:rPr>
                <w:szCs w:val="22"/>
                <w:lang w:val="el-GR"/>
              </w:rPr>
              <w:t>ίνωση</w:t>
            </w:r>
            <w:proofErr w:type="spellEnd"/>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proofErr w:type="spellStart"/>
            <w:r w:rsidRPr="00170F6F">
              <w:rPr>
                <w:szCs w:val="22"/>
                <w:lang w:val="el-GR"/>
              </w:rPr>
              <w:t>Βακτηριακή</w:t>
            </w:r>
            <w:proofErr w:type="spellEnd"/>
            <w:r w:rsidRPr="00170F6F">
              <w:rPr>
                <w:szCs w:val="22"/>
                <w:lang w:val="el-GR"/>
              </w:rPr>
              <w:t xml:space="preserve"> μηνιγγίτιδα</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r w:rsidRPr="00170F6F">
              <w:rPr>
                <w:szCs w:val="22"/>
                <w:lang w:val="el-GR"/>
              </w:rPr>
              <w:t>Βακτηριαιμία*</w:t>
            </w:r>
          </w:p>
        </w:tc>
        <w:tc>
          <w:tcPr>
            <w:tcW w:w="4644" w:type="dxa"/>
            <w:vMerge/>
          </w:tcPr>
          <w:p w:rsidR="00461D88" w:rsidRPr="00170F6F" w:rsidRDefault="00461D88" w:rsidP="00C773E4">
            <w:pPr>
              <w:rPr>
                <w:szCs w:val="22"/>
                <w:lang w:val="el-GR"/>
              </w:rPr>
            </w:pPr>
          </w:p>
        </w:tc>
      </w:tr>
      <w:tr w:rsidR="00461D88" w:rsidRPr="003536AE" w:rsidTr="00C773E4">
        <w:tc>
          <w:tcPr>
            <w:tcW w:w="4643" w:type="dxa"/>
          </w:tcPr>
          <w:p w:rsidR="00461D88" w:rsidRPr="00170F6F" w:rsidRDefault="00461D88" w:rsidP="00C773E4">
            <w:pPr>
              <w:rPr>
                <w:szCs w:val="22"/>
                <w:lang w:val="el-GR"/>
              </w:rPr>
            </w:pPr>
            <w:r w:rsidRPr="00170F6F">
              <w:rPr>
                <w:szCs w:val="22"/>
                <w:lang w:val="el-GR"/>
              </w:rPr>
              <w:t>Λοιμώξεις των οστών και των αρθρώσεων</w:t>
            </w:r>
          </w:p>
        </w:tc>
        <w:tc>
          <w:tcPr>
            <w:tcW w:w="4644" w:type="dxa"/>
            <w:vMerge/>
          </w:tcPr>
          <w:p w:rsidR="00461D88" w:rsidRPr="00170F6F" w:rsidRDefault="00461D88" w:rsidP="00C773E4">
            <w:pPr>
              <w:rPr>
                <w:szCs w:val="22"/>
                <w:lang w:val="el-GR"/>
              </w:rPr>
            </w:pPr>
          </w:p>
        </w:tc>
      </w:tr>
      <w:tr w:rsidR="00461D88" w:rsidRPr="003536AE" w:rsidTr="00C773E4">
        <w:tc>
          <w:tcPr>
            <w:tcW w:w="4643"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δέρματος και μαλακών μορίων</w:t>
            </w:r>
          </w:p>
        </w:tc>
        <w:tc>
          <w:tcPr>
            <w:tcW w:w="4644" w:type="dxa"/>
            <w:vMerge/>
          </w:tcPr>
          <w:p w:rsidR="00461D88" w:rsidRPr="00170F6F" w:rsidRDefault="00461D88" w:rsidP="00C773E4">
            <w:pPr>
              <w:rPr>
                <w:szCs w:val="22"/>
                <w:lang w:val="el-GR"/>
              </w:rPr>
            </w:pPr>
          </w:p>
        </w:tc>
      </w:tr>
      <w:tr w:rsidR="00461D88" w:rsidRPr="00170F6F" w:rsidTr="00C773E4">
        <w:tc>
          <w:tcPr>
            <w:tcW w:w="4643"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w:t>
            </w:r>
            <w:proofErr w:type="spellStart"/>
            <w:r w:rsidRPr="00170F6F">
              <w:rPr>
                <w:szCs w:val="22"/>
                <w:lang w:val="el-GR"/>
              </w:rPr>
              <w:t>ενδοκοιλιακές</w:t>
            </w:r>
            <w:proofErr w:type="spellEnd"/>
            <w:r w:rsidRPr="00170F6F">
              <w:rPr>
                <w:szCs w:val="22"/>
                <w:lang w:val="el-GR"/>
              </w:rPr>
              <w:t xml:space="preserve"> λοιμώξεις</w:t>
            </w:r>
          </w:p>
        </w:tc>
        <w:tc>
          <w:tcPr>
            <w:tcW w:w="4644" w:type="dxa"/>
            <w:vMerge/>
          </w:tcPr>
          <w:p w:rsidR="00461D88" w:rsidRPr="00170F6F" w:rsidRDefault="00461D88" w:rsidP="00C773E4">
            <w:pPr>
              <w:rPr>
                <w:szCs w:val="22"/>
                <w:lang w:val="el-GR"/>
              </w:rPr>
            </w:pPr>
          </w:p>
        </w:tc>
      </w:tr>
      <w:tr w:rsidR="00461D88" w:rsidRPr="003536AE" w:rsidTr="00C773E4">
        <w:tc>
          <w:tcPr>
            <w:tcW w:w="4643" w:type="dxa"/>
          </w:tcPr>
          <w:p w:rsidR="00461D88" w:rsidRPr="00170F6F" w:rsidRDefault="00461D88" w:rsidP="00C773E4">
            <w:pPr>
              <w:rPr>
                <w:szCs w:val="22"/>
                <w:lang w:val="el-GR"/>
              </w:rPr>
            </w:pPr>
            <w:r w:rsidRPr="00170F6F">
              <w:rPr>
                <w:szCs w:val="22"/>
                <w:lang w:val="el-GR"/>
              </w:rPr>
              <w:t xml:space="preserve">Περιτονίτιδα σχετιζόμενη με αιμοκάθαρση σε ασθενείς που υποβάλλονται σε συνεχή περιπατητική περιτοναϊκή αιμοκάθαρση  </w:t>
            </w:r>
          </w:p>
        </w:tc>
        <w:tc>
          <w:tcPr>
            <w:tcW w:w="4644" w:type="dxa"/>
            <w:vMerge/>
          </w:tcPr>
          <w:p w:rsidR="00461D88" w:rsidRPr="00170F6F" w:rsidRDefault="00461D88" w:rsidP="00C773E4">
            <w:pPr>
              <w:rPr>
                <w:szCs w:val="22"/>
                <w:lang w:val="el-GR"/>
              </w:rPr>
            </w:pPr>
          </w:p>
        </w:tc>
      </w:tr>
      <w:tr w:rsidR="00461D88" w:rsidRPr="003536AE" w:rsidTr="00C773E4">
        <w:tc>
          <w:tcPr>
            <w:tcW w:w="9287" w:type="dxa"/>
            <w:gridSpan w:val="2"/>
          </w:tcPr>
          <w:p w:rsidR="00461D88" w:rsidRPr="00170F6F" w:rsidRDefault="00461D88" w:rsidP="00C773E4">
            <w:pPr>
              <w:rPr>
                <w:szCs w:val="22"/>
                <w:lang w:val="el-GR"/>
              </w:rPr>
            </w:pPr>
            <w:r w:rsidRPr="00170F6F">
              <w:rPr>
                <w:szCs w:val="22"/>
                <w:vertAlign w:val="superscript"/>
                <w:lang w:val="el-GR"/>
              </w:rPr>
              <w:t>1</w:t>
            </w:r>
            <w:r w:rsidRPr="00170F6F">
              <w:rPr>
                <w:szCs w:val="22"/>
                <w:lang w:val="el-GR"/>
              </w:rPr>
              <w:t xml:space="preserve"> Σε ενήλικες με φυσιολογική νεφρική λειτουργία, έχει χρησιμοποιηθεί δόση 9 g/ημέρα χωρίς ανεπιθύμητες ενέργειες.</w:t>
            </w:r>
          </w:p>
          <w:p w:rsidR="00461D88" w:rsidRPr="00170F6F" w:rsidRDefault="00461D88" w:rsidP="00C773E4">
            <w:pPr>
              <w:rPr>
                <w:szCs w:val="22"/>
                <w:lang w:val="el-GR"/>
              </w:rPr>
            </w:pPr>
            <w:r w:rsidRPr="00170F6F">
              <w:rPr>
                <w:szCs w:val="22"/>
                <w:lang w:val="el-GR"/>
              </w:rPr>
              <w:t>* Όταν συσχετίζεται ή υπάρχει υποψία συσχέτισης με οποιαδήποτε από τις λοιμώξεις που αναφέρονται στη παράγραφο 4.1.</w:t>
            </w:r>
          </w:p>
        </w:tc>
      </w:tr>
    </w:tbl>
    <w:p w:rsidR="00461D88" w:rsidRPr="00170F6F" w:rsidRDefault="00461D88" w:rsidP="00461D88">
      <w:pPr>
        <w:rPr>
          <w:szCs w:val="22"/>
          <w:u w:val="single"/>
          <w:lang w:val="el-GR"/>
        </w:rPr>
      </w:pPr>
    </w:p>
    <w:p w:rsidR="00461D88" w:rsidRPr="00170F6F" w:rsidRDefault="00461D88" w:rsidP="00461D88">
      <w:pPr>
        <w:rPr>
          <w:b/>
          <w:szCs w:val="22"/>
          <w:lang w:val="el-GR"/>
        </w:rPr>
      </w:pPr>
    </w:p>
    <w:p w:rsidR="00461D88" w:rsidRPr="00170F6F" w:rsidRDefault="00461D88" w:rsidP="00461D88">
      <w:pPr>
        <w:keepNext/>
        <w:rPr>
          <w:szCs w:val="22"/>
          <w:lang w:val="el-GR"/>
        </w:rPr>
      </w:pPr>
      <w:bookmarkStart w:id="1" w:name="OLE_LINK1"/>
      <w:r w:rsidRPr="00170F6F">
        <w:rPr>
          <w:szCs w:val="22"/>
          <w:u w:val="single"/>
          <w:lang w:val="el-GR"/>
        </w:rPr>
        <w:lastRenderedPageBreak/>
        <w:t>Πίνακας 2: Παιδιά &lt; 40 </w:t>
      </w:r>
      <w:proofErr w:type="spellStart"/>
      <w:r w:rsidRPr="00170F6F">
        <w:rPr>
          <w:szCs w:val="22"/>
          <w:u w:val="single"/>
          <w:lang w:val="el-GR"/>
        </w:rPr>
        <w:t>kg</w:t>
      </w:r>
      <w:proofErr w:type="spellEnd"/>
    </w:p>
    <w:bookmarkEnd w:id="1"/>
    <w:p w:rsidR="00461D88" w:rsidRPr="00170F6F" w:rsidRDefault="00461D88" w:rsidP="00461D88">
      <w:pPr>
        <w:keepNext/>
        <w:rPr>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235"/>
        <w:gridCol w:w="3054"/>
      </w:tblGrid>
      <w:tr w:rsidR="00461D88" w:rsidRPr="00170F6F" w:rsidTr="00C773E4">
        <w:tc>
          <w:tcPr>
            <w:tcW w:w="2998" w:type="dxa"/>
          </w:tcPr>
          <w:p w:rsidR="00461D88" w:rsidRPr="00170F6F" w:rsidRDefault="00461D88" w:rsidP="00C773E4">
            <w:pPr>
              <w:keepNext/>
              <w:rPr>
                <w:szCs w:val="22"/>
                <w:lang w:val="el-GR"/>
              </w:rPr>
            </w:pPr>
            <w:r w:rsidRPr="00170F6F">
              <w:rPr>
                <w:szCs w:val="22"/>
                <w:lang w:val="el-GR"/>
              </w:rPr>
              <w:t>Βρέφη και νήπια &gt; 2 μηνών και παιδιά &lt; 40 </w:t>
            </w:r>
            <w:proofErr w:type="spellStart"/>
            <w:r w:rsidRPr="00170F6F">
              <w:rPr>
                <w:szCs w:val="22"/>
                <w:lang w:val="el-GR"/>
              </w:rPr>
              <w:t>kg</w:t>
            </w:r>
            <w:proofErr w:type="spellEnd"/>
          </w:p>
          <w:p w:rsidR="00461D88" w:rsidRPr="00170F6F" w:rsidRDefault="00461D88" w:rsidP="00C773E4">
            <w:pPr>
              <w:keepNext/>
              <w:rPr>
                <w:szCs w:val="22"/>
                <w:lang w:val="el-GR"/>
              </w:rPr>
            </w:pPr>
          </w:p>
        </w:tc>
        <w:tc>
          <w:tcPr>
            <w:tcW w:w="3235" w:type="dxa"/>
          </w:tcPr>
          <w:p w:rsidR="00461D88" w:rsidRPr="00170F6F" w:rsidRDefault="00461D88" w:rsidP="00C773E4">
            <w:pPr>
              <w:keepNext/>
              <w:rPr>
                <w:szCs w:val="22"/>
                <w:lang w:val="el-GR"/>
              </w:rPr>
            </w:pPr>
            <w:r w:rsidRPr="00170F6F">
              <w:rPr>
                <w:szCs w:val="22"/>
                <w:lang w:val="el-GR"/>
              </w:rPr>
              <w:t>Λοίμωξη</w:t>
            </w:r>
          </w:p>
        </w:tc>
        <w:tc>
          <w:tcPr>
            <w:tcW w:w="3054" w:type="dxa"/>
          </w:tcPr>
          <w:p w:rsidR="00461D88" w:rsidRPr="00170F6F" w:rsidRDefault="00461D88" w:rsidP="00C773E4">
            <w:pPr>
              <w:keepNext/>
              <w:rPr>
                <w:szCs w:val="22"/>
                <w:lang w:val="el-GR"/>
              </w:rPr>
            </w:pPr>
            <w:r w:rsidRPr="00170F6F">
              <w:rPr>
                <w:szCs w:val="22"/>
                <w:lang w:val="el-GR"/>
              </w:rPr>
              <w:t>Συνήθης δόση</w:t>
            </w:r>
          </w:p>
        </w:tc>
      </w:tr>
      <w:tr w:rsidR="00461D88" w:rsidRPr="00170F6F" w:rsidTr="00C773E4">
        <w:tc>
          <w:tcPr>
            <w:tcW w:w="9287" w:type="dxa"/>
            <w:gridSpan w:val="3"/>
          </w:tcPr>
          <w:p w:rsidR="00461D88" w:rsidRPr="00170F6F" w:rsidRDefault="00461D88" w:rsidP="00C773E4">
            <w:pPr>
              <w:keepNext/>
              <w:rPr>
                <w:szCs w:val="22"/>
                <w:lang w:val="el-GR"/>
              </w:rPr>
            </w:pPr>
            <w:r w:rsidRPr="00170F6F">
              <w:rPr>
                <w:i/>
                <w:szCs w:val="22"/>
                <w:lang w:val="el-GR"/>
              </w:rPr>
              <w:t>Διαλείπουσα Χορήγηση</w:t>
            </w:r>
          </w:p>
        </w:tc>
      </w:tr>
      <w:tr w:rsidR="00461D88" w:rsidRPr="003536AE" w:rsidTr="00C773E4">
        <w:tc>
          <w:tcPr>
            <w:tcW w:w="2998" w:type="dxa"/>
            <w:vMerge w:val="restart"/>
          </w:tcPr>
          <w:p w:rsidR="00461D88" w:rsidRPr="00170F6F" w:rsidRDefault="00461D88" w:rsidP="00C773E4">
            <w:pPr>
              <w:keepNext/>
              <w:rPr>
                <w:szCs w:val="22"/>
                <w:lang w:val="el-GR"/>
              </w:rPr>
            </w:pPr>
          </w:p>
        </w:tc>
        <w:tc>
          <w:tcPr>
            <w:tcW w:w="3235" w:type="dxa"/>
          </w:tcPr>
          <w:p w:rsidR="00461D88" w:rsidRPr="00170F6F" w:rsidRDefault="00461D88" w:rsidP="00C773E4">
            <w:pPr>
              <w:keepNext/>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ουροποιητικού συστήματος</w:t>
            </w:r>
          </w:p>
        </w:tc>
        <w:tc>
          <w:tcPr>
            <w:tcW w:w="3054" w:type="dxa"/>
            <w:vMerge w:val="restart"/>
          </w:tcPr>
          <w:p w:rsidR="00461D88" w:rsidRPr="00170F6F" w:rsidRDefault="00461D88" w:rsidP="00C773E4">
            <w:pPr>
              <w:keepNext/>
              <w:rPr>
                <w:szCs w:val="22"/>
                <w:lang w:val="el-GR"/>
              </w:rPr>
            </w:pPr>
            <w:r w:rsidRPr="00170F6F">
              <w:rPr>
                <w:szCs w:val="22"/>
                <w:lang w:val="el-GR"/>
              </w:rPr>
              <w:t>100-150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 xml:space="preserve">/ημέρα σε τρεις διαιρεμένες δόσεις, μέγιστη δόση 6 </w:t>
            </w:r>
            <w:r w:rsidRPr="00170F6F">
              <w:rPr>
                <w:szCs w:val="22"/>
                <w:lang w:val="en-US"/>
              </w:rPr>
              <w:t>g</w:t>
            </w:r>
            <w:r w:rsidRPr="00170F6F">
              <w:rPr>
                <w:szCs w:val="22"/>
                <w:lang w:val="el-GR"/>
              </w:rPr>
              <w:t>/ημέρα</w:t>
            </w:r>
          </w:p>
        </w:tc>
      </w:tr>
      <w:tr w:rsidR="00461D88" w:rsidRPr="00170F6F" w:rsidTr="00C773E4">
        <w:tc>
          <w:tcPr>
            <w:tcW w:w="2998" w:type="dxa"/>
            <w:vMerge/>
          </w:tcPr>
          <w:p w:rsidR="00461D88" w:rsidRPr="00170F6F" w:rsidRDefault="00461D88" w:rsidP="00C773E4">
            <w:pPr>
              <w:keepNext/>
              <w:rPr>
                <w:szCs w:val="22"/>
                <w:lang w:val="el-GR"/>
              </w:rPr>
            </w:pPr>
          </w:p>
        </w:tc>
        <w:tc>
          <w:tcPr>
            <w:tcW w:w="3235" w:type="dxa"/>
          </w:tcPr>
          <w:p w:rsidR="00461D88" w:rsidRPr="00170F6F" w:rsidRDefault="00461D88" w:rsidP="00C773E4">
            <w:pPr>
              <w:keepNext/>
              <w:rPr>
                <w:szCs w:val="22"/>
                <w:lang w:val="el-GR"/>
              </w:rPr>
            </w:pPr>
            <w:r w:rsidRPr="00170F6F">
              <w:rPr>
                <w:szCs w:val="22"/>
                <w:lang w:val="el-GR"/>
              </w:rPr>
              <w:t>Χρόνια πυώδης μέση ωτίτιδα</w:t>
            </w:r>
          </w:p>
        </w:tc>
        <w:tc>
          <w:tcPr>
            <w:tcW w:w="3054" w:type="dxa"/>
            <w:vMerge/>
          </w:tcPr>
          <w:p w:rsidR="00461D88" w:rsidRPr="00170F6F" w:rsidRDefault="00461D88" w:rsidP="00C773E4">
            <w:pPr>
              <w:keepNext/>
              <w:rPr>
                <w:szCs w:val="22"/>
                <w:lang w:val="el-GR"/>
              </w:rPr>
            </w:pPr>
          </w:p>
        </w:tc>
      </w:tr>
      <w:tr w:rsidR="00461D88" w:rsidRPr="00170F6F" w:rsidTr="00C773E4">
        <w:tc>
          <w:tcPr>
            <w:tcW w:w="2998" w:type="dxa"/>
            <w:vMerge/>
          </w:tcPr>
          <w:p w:rsidR="00461D88" w:rsidRPr="00170F6F" w:rsidRDefault="00461D88" w:rsidP="00C773E4">
            <w:pPr>
              <w:keepNext/>
              <w:rPr>
                <w:szCs w:val="22"/>
                <w:lang w:val="el-GR"/>
              </w:rPr>
            </w:pPr>
          </w:p>
        </w:tc>
        <w:tc>
          <w:tcPr>
            <w:tcW w:w="3235" w:type="dxa"/>
          </w:tcPr>
          <w:p w:rsidR="00461D88" w:rsidRPr="00170F6F" w:rsidDel="002F6A6B" w:rsidRDefault="00461D88" w:rsidP="00C773E4">
            <w:pPr>
              <w:keepNext/>
              <w:rPr>
                <w:szCs w:val="22"/>
                <w:lang w:val="el-GR"/>
              </w:rPr>
            </w:pPr>
            <w:r w:rsidRPr="00170F6F">
              <w:rPr>
                <w:szCs w:val="22"/>
                <w:lang w:val="el-GR"/>
              </w:rPr>
              <w:t>Κακοήθης εξωτερική ωτίτιδα</w:t>
            </w:r>
          </w:p>
        </w:tc>
        <w:tc>
          <w:tcPr>
            <w:tcW w:w="3054" w:type="dxa"/>
            <w:vMerge/>
          </w:tcPr>
          <w:p w:rsidR="00461D88" w:rsidRPr="00170F6F" w:rsidRDefault="00461D88" w:rsidP="00C773E4">
            <w:pPr>
              <w:keepNext/>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
          <w:p w:rsidR="00461D88" w:rsidRPr="00170F6F" w:rsidRDefault="00461D88" w:rsidP="00C773E4">
            <w:pPr>
              <w:rPr>
                <w:szCs w:val="22"/>
                <w:lang w:val="el-GR"/>
              </w:rPr>
            </w:pPr>
            <w:proofErr w:type="spellStart"/>
            <w:r w:rsidRPr="00170F6F">
              <w:rPr>
                <w:szCs w:val="22"/>
                <w:lang w:val="el-GR"/>
              </w:rPr>
              <w:t>Ουδετεροπενικά</w:t>
            </w:r>
            <w:proofErr w:type="spellEnd"/>
            <w:r w:rsidRPr="00170F6F">
              <w:rPr>
                <w:szCs w:val="22"/>
                <w:lang w:val="el-GR"/>
              </w:rPr>
              <w:t xml:space="preserve"> παιδιά </w:t>
            </w:r>
          </w:p>
        </w:tc>
        <w:tc>
          <w:tcPr>
            <w:tcW w:w="3054" w:type="dxa"/>
            <w:vMerge w:val="restart"/>
          </w:tcPr>
          <w:p w:rsidR="00461D88" w:rsidRPr="00170F6F" w:rsidRDefault="00461D88" w:rsidP="00C773E4">
            <w:pPr>
              <w:rPr>
                <w:szCs w:val="22"/>
                <w:lang w:val="el-GR"/>
              </w:rPr>
            </w:pPr>
            <w:r w:rsidRPr="00170F6F">
              <w:rPr>
                <w:szCs w:val="22"/>
                <w:lang w:val="el-GR"/>
              </w:rPr>
              <w:t>150 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/ημέρα σε τρεις διαιρεμένες δόσεις, μέγιστη δόση 6 g/ημέρα</w:t>
            </w: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Del="003B64A1" w:rsidRDefault="00461D88" w:rsidP="00C773E4">
            <w:pPr>
              <w:rPr>
                <w:szCs w:val="22"/>
                <w:lang w:val="el-GR"/>
              </w:rPr>
            </w:pPr>
            <w:proofErr w:type="spellStart"/>
            <w:r w:rsidRPr="00170F6F">
              <w:rPr>
                <w:szCs w:val="22"/>
                <w:lang w:val="el-GR"/>
              </w:rPr>
              <w:t>Βρογχοπνευμονικές</w:t>
            </w:r>
            <w:proofErr w:type="spellEnd"/>
            <w:r w:rsidRPr="00170F6F">
              <w:rPr>
                <w:szCs w:val="22"/>
                <w:lang w:val="el-GR"/>
              </w:rPr>
              <w:t xml:space="preserve"> λοιμώξεις σε ασθενείς με κυστική </w:t>
            </w:r>
            <w:proofErr w:type="spellStart"/>
            <w:r w:rsidRPr="00170F6F">
              <w:rPr>
                <w:szCs w:val="22"/>
                <w:lang w:val="el-GR"/>
              </w:rPr>
              <w:t>ίνωση</w:t>
            </w:r>
            <w:proofErr w:type="spellEnd"/>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Del="003B64A1" w:rsidRDefault="00461D88" w:rsidP="00C773E4">
            <w:pPr>
              <w:rPr>
                <w:szCs w:val="22"/>
                <w:lang w:val="el-GR"/>
              </w:rPr>
            </w:pPr>
            <w:proofErr w:type="spellStart"/>
            <w:r w:rsidRPr="00170F6F">
              <w:rPr>
                <w:szCs w:val="22"/>
                <w:lang w:val="el-GR"/>
              </w:rPr>
              <w:t>Βακτηριακή</w:t>
            </w:r>
            <w:proofErr w:type="spellEnd"/>
            <w:r w:rsidRPr="00170F6F">
              <w:rPr>
                <w:szCs w:val="22"/>
                <w:lang w:val="el-GR"/>
              </w:rPr>
              <w:t xml:space="preserve"> μηνιγγίτιδα</w:t>
            </w:r>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Βακτηριαιμία*</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Λοιμώξεις των οστών και των αρθρώσεων</w:t>
            </w:r>
          </w:p>
        </w:tc>
        <w:tc>
          <w:tcPr>
            <w:tcW w:w="3054" w:type="dxa"/>
            <w:vMerge w:val="restart"/>
          </w:tcPr>
          <w:p w:rsidR="00461D88" w:rsidRPr="00170F6F" w:rsidRDefault="00461D88" w:rsidP="00C773E4">
            <w:pPr>
              <w:rPr>
                <w:szCs w:val="22"/>
                <w:lang w:val="el-GR"/>
              </w:rPr>
            </w:pPr>
            <w:r w:rsidRPr="00170F6F">
              <w:rPr>
                <w:szCs w:val="22"/>
                <w:lang w:val="el-GR"/>
              </w:rPr>
              <w:t>100-150</w:t>
            </w:r>
            <w:r w:rsidRPr="00170F6F">
              <w:rPr>
                <w:szCs w:val="22"/>
              </w:rPr>
              <w:t> mg</w:t>
            </w:r>
            <w:r w:rsidRPr="00170F6F">
              <w:rPr>
                <w:szCs w:val="22"/>
                <w:lang w:val="el-GR"/>
              </w:rPr>
              <w:t>/</w:t>
            </w:r>
            <w:r w:rsidRPr="00170F6F">
              <w:rPr>
                <w:szCs w:val="22"/>
              </w:rPr>
              <w:t>kg</w:t>
            </w:r>
            <w:r w:rsidRPr="00170F6F">
              <w:rPr>
                <w:szCs w:val="22"/>
                <w:lang w:val="el-GR"/>
              </w:rPr>
              <w:t xml:space="preserve">/ημέρα σε τρεις διαιρεμένες δόσεις, μέγιστη δόση 6 </w:t>
            </w:r>
            <w:r w:rsidRPr="00170F6F">
              <w:rPr>
                <w:szCs w:val="22"/>
                <w:lang w:val="en-US"/>
              </w:rPr>
              <w:t>g</w:t>
            </w:r>
            <w:r w:rsidRPr="00170F6F">
              <w:rPr>
                <w:szCs w:val="22"/>
                <w:lang w:val="el-GR"/>
              </w:rPr>
              <w:t>/ημέρα</w:t>
            </w: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δέρματος και μαλακών μορίων</w:t>
            </w:r>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w:t>
            </w:r>
            <w:proofErr w:type="spellStart"/>
            <w:r w:rsidRPr="00170F6F">
              <w:rPr>
                <w:szCs w:val="22"/>
                <w:lang w:val="el-GR"/>
              </w:rPr>
              <w:t>ενδοκοιλιακές</w:t>
            </w:r>
            <w:proofErr w:type="spellEnd"/>
            <w:r w:rsidRPr="00170F6F">
              <w:rPr>
                <w:szCs w:val="22"/>
                <w:lang w:val="el-GR"/>
              </w:rPr>
              <w:t xml:space="preserve"> λοιμώξεις</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 xml:space="preserve">Περιτονίτιδα σχετιζόμενη με αιμοκάθαρση σε ασθενείς που υποβάλλονται σε συνεχή περιπατητική περιτοναϊκή αιμοκάθαρση  </w:t>
            </w:r>
          </w:p>
        </w:tc>
        <w:tc>
          <w:tcPr>
            <w:tcW w:w="3054" w:type="dxa"/>
            <w:vMerge/>
          </w:tcPr>
          <w:p w:rsidR="00461D88" w:rsidRPr="00170F6F" w:rsidRDefault="00461D88" w:rsidP="00C773E4">
            <w:pPr>
              <w:rPr>
                <w:szCs w:val="22"/>
                <w:lang w:val="el-GR"/>
              </w:rPr>
            </w:pPr>
          </w:p>
        </w:tc>
      </w:tr>
      <w:tr w:rsidR="00461D88" w:rsidRPr="00170F6F" w:rsidTr="00C773E4">
        <w:tc>
          <w:tcPr>
            <w:tcW w:w="9287" w:type="dxa"/>
            <w:gridSpan w:val="3"/>
          </w:tcPr>
          <w:p w:rsidR="00461D88" w:rsidRPr="00170F6F" w:rsidRDefault="00461D88" w:rsidP="00C773E4">
            <w:pPr>
              <w:rPr>
                <w:szCs w:val="22"/>
                <w:lang w:val="el-GR"/>
              </w:rPr>
            </w:pPr>
            <w:r w:rsidRPr="00170F6F">
              <w:rPr>
                <w:i/>
                <w:szCs w:val="22"/>
                <w:lang w:val="el-GR"/>
              </w:rPr>
              <w:t>Συνεχής Έγχυση</w:t>
            </w:r>
          </w:p>
        </w:tc>
      </w:tr>
      <w:tr w:rsidR="00461D88" w:rsidRPr="003536AE" w:rsidTr="00C773E4">
        <w:tc>
          <w:tcPr>
            <w:tcW w:w="2998" w:type="dxa"/>
            <w:vMerge w:val="restart"/>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 xml:space="preserve">Εμπύρετη </w:t>
            </w:r>
            <w:proofErr w:type="spellStart"/>
            <w:r w:rsidRPr="00170F6F">
              <w:rPr>
                <w:szCs w:val="22"/>
                <w:lang w:val="el-GR"/>
              </w:rPr>
              <w:t>ουδετεροπενία</w:t>
            </w:r>
            <w:proofErr w:type="spellEnd"/>
          </w:p>
        </w:tc>
        <w:tc>
          <w:tcPr>
            <w:tcW w:w="3054" w:type="dxa"/>
            <w:vMerge w:val="restart"/>
          </w:tcPr>
          <w:p w:rsidR="00461D88" w:rsidRPr="00170F6F" w:rsidRDefault="00461D88" w:rsidP="00C773E4">
            <w:pPr>
              <w:rPr>
                <w:szCs w:val="22"/>
                <w:lang w:val="el-GR"/>
              </w:rPr>
            </w:pPr>
            <w:r w:rsidRPr="00170F6F">
              <w:rPr>
                <w:szCs w:val="22"/>
                <w:lang w:val="el-GR"/>
              </w:rPr>
              <w:t>Δόση φόρτισης 60</w:t>
            </w:r>
            <w:r w:rsidRPr="00170F6F">
              <w:rPr>
                <w:szCs w:val="22"/>
                <w:lang w:val="el-GR"/>
              </w:rPr>
              <w:noBreakHyphen/>
              <w:t>100 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 xml:space="preserve"> και ακολούθως συνεχής έγχυση 100</w:t>
            </w:r>
            <w:r w:rsidRPr="00170F6F">
              <w:rPr>
                <w:szCs w:val="22"/>
                <w:lang w:val="el-GR"/>
              </w:rPr>
              <w:noBreakHyphen/>
              <w:t>200 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 xml:space="preserve">/ημέρα, μέγιστη δόση 6 </w:t>
            </w:r>
            <w:r w:rsidRPr="00170F6F">
              <w:rPr>
                <w:szCs w:val="22"/>
                <w:lang w:val="en-US"/>
              </w:rPr>
              <w:t>g</w:t>
            </w:r>
            <w:r w:rsidRPr="00170F6F">
              <w:rPr>
                <w:szCs w:val="22"/>
                <w:lang w:val="el-GR"/>
              </w:rPr>
              <w:t>/ημέρα</w:t>
            </w: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Νοσοκομειακή πνευμονία</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Βρογχοπνευμονικές</w:t>
            </w:r>
            <w:proofErr w:type="spellEnd"/>
            <w:r w:rsidRPr="00170F6F">
              <w:rPr>
                <w:szCs w:val="22"/>
                <w:lang w:val="el-GR"/>
              </w:rPr>
              <w:t xml:space="preserve"> λοιμώξεις σε ασθενείς με κυστική </w:t>
            </w:r>
            <w:proofErr w:type="spellStart"/>
            <w:r w:rsidRPr="00170F6F">
              <w:rPr>
                <w:szCs w:val="22"/>
                <w:lang w:val="el-GR"/>
              </w:rPr>
              <w:t>ίνωση</w:t>
            </w:r>
            <w:proofErr w:type="spellEnd"/>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Βακτηριακή</w:t>
            </w:r>
            <w:proofErr w:type="spellEnd"/>
            <w:r w:rsidRPr="00170F6F">
              <w:rPr>
                <w:szCs w:val="22"/>
                <w:lang w:val="el-GR"/>
              </w:rPr>
              <w:t xml:space="preserve"> μηνιγγίτιδα</w:t>
            </w:r>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Βακτηριαιμία*</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Λοιμώξεις των οστών και των αρθρώσεων</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λοιμώξεις του δέρματος και μαλακών μορίων</w:t>
            </w:r>
          </w:p>
        </w:tc>
        <w:tc>
          <w:tcPr>
            <w:tcW w:w="3054" w:type="dxa"/>
            <w:vMerge/>
          </w:tcPr>
          <w:p w:rsidR="00461D88" w:rsidRPr="00170F6F" w:rsidRDefault="00461D88" w:rsidP="00C773E4">
            <w:pPr>
              <w:rPr>
                <w:szCs w:val="22"/>
                <w:lang w:val="el-GR"/>
              </w:rPr>
            </w:pPr>
          </w:p>
        </w:tc>
      </w:tr>
      <w:tr w:rsidR="00461D88" w:rsidRPr="00170F6F"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proofErr w:type="spellStart"/>
            <w:r w:rsidRPr="00170F6F">
              <w:rPr>
                <w:szCs w:val="22"/>
                <w:lang w:val="el-GR"/>
              </w:rPr>
              <w:t>Επιπλεγμένες</w:t>
            </w:r>
            <w:proofErr w:type="spellEnd"/>
            <w:r w:rsidRPr="00170F6F">
              <w:rPr>
                <w:szCs w:val="22"/>
                <w:lang w:val="el-GR"/>
              </w:rPr>
              <w:t xml:space="preserve"> </w:t>
            </w:r>
            <w:proofErr w:type="spellStart"/>
            <w:r w:rsidRPr="00170F6F">
              <w:rPr>
                <w:szCs w:val="22"/>
                <w:lang w:val="el-GR"/>
              </w:rPr>
              <w:t>ενδοκοιλιακές</w:t>
            </w:r>
            <w:proofErr w:type="spellEnd"/>
            <w:r w:rsidRPr="00170F6F">
              <w:rPr>
                <w:szCs w:val="22"/>
                <w:lang w:val="el-GR"/>
              </w:rPr>
              <w:t xml:space="preserve"> λοιμώξεις</w:t>
            </w:r>
          </w:p>
        </w:tc>
        <w:tc>
          <w:tcPr>
            <w:tcW w:w="3054" w:type="dxa"/>
            <w:vMerge/>
          </w:tcPr>
          <w:p w:rsidR="00461D88" w:rsidRPr="00170F6F" w:rsidRDefault="00461D88" w:rsidP="00C773E4">
            <w:pPr>
              <w:rPr>
                <w:szCs w:val="22"/>
                <w:lang w:val="el-GR"/>
              </w:rPr>
            </w:pPr>
          </w:p>
        </w:tc>
      </w:tr>
      <w:tr w:rsidR="00461D88" w:rsidRPr="003536AE" w:rsidTr="00C773E4">
        <w:tc>
          <w:tcPr>
            <w:tcW w:w="2998" w:type="dxa"/>
            <w:vMerge/>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 xml:space="preserve">Περιτονίτιδα σχετιζόμενη με αιμοκάθαρση σε ασθενείς που υποβάλλονται σε συνεχή περιπατητική περιτοναϊκή αιμοκάθαρση  </w:t>
            </w:r>
          </w:p>
        </w:tc>
        <w:tc>
          <w:tcPr>
            <w:tcW w:w="3054" w:type="dxa"/>
            <w:vMerge/>
          </w:tcPr>
          <w:p w:rsidR="00461D88" w:rsidRPr="00170F6F" w:rsidRDefault="00461D88" w:rsidP="00C773E4">
            <w:pPr>
              <w:rPr>
                <w:szCs w:val="22"/>
                <w:lang w:val="el-GR"/>
              </w:rPr>
            </w:pPr>
          </w:p>
        </w:tc>
      </w:tr>
      <w:tr w:rsidR="00461D88" w:rsidRPr="00170F6F" w:rsidTr="00C773E4">
        <w:tc>
          <w:tcPr>
            <w:tcW w:w="2998" w:type="dxa"/>
          </w:tcPr>
          <w:p w:rsidR="00461D88" w:rsidRPr="00170F6F" w:rsidRDefault="00461D88" w:rsidP="00C773E4">
            <w:pPr>
              <w:rPr>
                <w:szCs w:val="22"/>
                <w:lang w:val="el-GR"/>
              </w:rPr>
            </w:pPr>
            <w:r w:rsidRPr="00170F6F">
              <w:rPr>
                <w:szCs w:val="22"/>
                <w:lang w:val="el-GR"/>
              </w:rPr>
              <w:t>Νεογέννητα και βρέφη ≤ 2 μηνών</w:t>
            </w:r>
          </w:p>
        </w:tc>
        <w:tc>
          <w:tcPr>
            <w:tcW w:w="3235" w:type="dxa"/>
          </w:tcPr>
          <w:p w:rsidR="00461D88" w:rsidRPr="00170F6F" w:rsidRDefault="00461D88" w:rsidP="00C773E4">
            <w:pPr>
              <w:rPr>
                <w:szCs w:val="22"/>
                <w:lang w:val="el-GR"/>
              </w:rPr>
            </w:pPr>
            <w:r w:rsidRPr="00170F6F">
              <w:rPr>
                <w:szCs w:val="22"/>
                <w:lang w:val="el-GR"/>
              </w:rPr>
              <w:t>Λοίμωξη</w:t>
            </w:r>
          </w:p>
        </w:tc>
        <w:tc>
          <w:tcPr>
            <w:tcW w:w="3054" w:type="dxa"/>
          </w:tcPr>
          <w:p w:rsidR="00461D88" w:rsidRPr="00170F6F" w:rsidRDefault="00461D88" w:rsidP="00C773E4">
            <w:pPr>
              <w:rPr>
                <w:szCs w:val="22"/>
                <w:lang w:val="el-GR"/>
              </w:rPr>
            </w:pPr>
            <w:r w:rsidRPr="00170F6F">
              <w:rPr>
                <w:szCs w:val="22"/>
                <w:lang w:val="el-GR"/>
              </w:rPr>
              <w:t>Συνήθης δόση</w:t>
            </w:r>
          </w:p>
        </w:tc>
      </w:tr>
      <w:tr w:rsidR="00461D88" w:rsidRPr="00170F6F" w:rsidTr="00C773E4">
        <w:tc>
          <w:tcPr>
            <w:tcW w:w="9287" w:type="dxa"/>
            <w:gridSpan w:val="3"/>
          </w:tcPr>
          <w:p w:rsidR="00461D88" w:rsidRPr="00170F6F" w:rsidRDefault="00461D88" w:rsidP="00C773E4">
            <w:pPr>
              <w:rPr>
                <w:szCs w:val="22"/>
                <w:lang w:val="el-GR"/>
              </w:rPr>
            </w:pPr>
            <w:r w:rsidRPr="00170F6F">
              <w:rPr>
                <w:i/>
                <w:szCs w:val="22"/>
                <w:lang w:val="el-GR"/>
              </w:rPr>
              <w:t>Διαλείπουσα Χορήγηση</w:t>
            </w:r>
          </w:p>
        </w:tc>
      </w:tr>
      <w:tr w:rsidR="00461D88" w:rsidRPr="003536AE" w:rsidTr="00C773E4">
        <w:tc>
          <w:tcPr>
            <w:tcW w:w="2998" w:type="dxa"/>
          </w:tcPr>
          <w:p w:rsidR="00461D88" w:rsidRPr="00170F6F" w:rsidRDefault="00461D88" w:rsidP="00C773E4">
            <w:pPr>
              <w:rPr>
                <w:szCs w:val="22"/>
                <w:lang w:val="el-GR"/>
              </w:rPr>
            </w:pPr>
          </w:p>
        </w:tc>
        <w:tc>
          <w:tcPr>
            <w:tcW w:w="3235" w:type="dxa"/>
          </w:tcPr>
          <w:p w:rsidR="00461D88" w:rsidRPr="00170F6F" w:rsidRDefault="00461D88" w:rsidP="00C773E4">
            <w:pPr>
              <w:rPr>
                <w:szCs w:val="22"/>
                <w:lang w:val="el-GR"/>
              </w:rPr>
            </w:pPr>
            <w:r w:rsidRPr="00170F6F">
              <w:rPr>
                <w:szCs w:val="22"/>
                <w:lang w:val="el-GR"/>
              </w:rPr>
              <w:t>Στην πλειοψηφία των λοιμώξεων</w:t>
            </w:r>
          </w:p>
        </w:tc>
        <w:tc>
          <w:tcPr>
            <w:tcW w:w="3054" w:type="dxa"/>
          </w:tcPr>
          <w:p w:rsidR="00461D88" w:rsidRPr="00170F6F" w:rsidRDefault="00461D88" w:rsidP="00C773E4">
            <w:pPr>
              <w:rPr>
                <w:szCs w:val="22"/>
                <w:lang w:val="el-GR"/>
              </w:rPr>
            </w:pPr>
            <w:r w:rsidRPr="00170F6F">
              <w:rPr>
                <w:szCs w:val="22"/>
                <w:lang w:val="el-GR"/>
              </w:rPr>
              <w:t>25</w:t>
            </w:r>
            <w:r w:rsidRPr="00170F6F">
              <w:rPr>
                <w:szCs w:val="22"/>
                <w:lang w:val="el-GR"/>
              </w:rPr>
              <w:noBreakHyphen/>
              <w:t>60 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/ημέρα σε δύο διαιρεμένες δόσεις</w:t>
            </w:r>
            <w:r w:rsidRPr="00170F6F">
              <w:rPr>
                <w:szCs w:val="22"/>
                <w:vertAlign w:val="superscript"/>
                <w:lang w:val="el-GR"/>
              </w:rPr>
              <w:t>1</w:t>
            </w:r>
          </w:p>
        </w:tc>
      </w:tr>
      <w:tr w:rsidR="00461D88" w:rsidRPr="003536AE" w:rsidTr="00C773E4">
        <w:tc>
          <w:tcPr>
            <w:tcW w:w="9287" w:type="dxa"/>
            <w:gridSpan w:val="3"/>
          </w:tcPr>
          <w:p w:rsidR="00461D88" w:rsidRPr="00170F6F" w:rsidRDefault="00461D88" w:rsidP="00C773E4">
            <w:pPr>
              <w:rPr>
                <w:szCs w:val="22"/>
                <w:lang w:val="el-GR"/>
              </w:rPr>
            </w:pPr>
            <w:r w:rsidRPr="00170F6F">
              <w:rPr>
                <w:szCs w:val="22"/>
                <w:vertAlign w:val="superscript"/>
                <w:lang w:val="el-GR"/>
              </w:rPr>
              <w:t>1</w:t>
            </w:r>
            <w:r w:rsidRPr="00170F6F">
              <w:rPr>
                <w:szCs w:val="22"/>
                <w:lang w:val="el-GR"/>
              </w:rPr>
              <w:t xml:space="preserve"> Σε νεογέννητα και βρέφη ≤ 2 μηνών, ο χρόνος </w:t>
            </w:r>
            <w:proofErr w:type="spellStart"/>
            <w:r w:rsidRPr="00170F6F">
              <w:rPr>
                <w:szCs w:val="22"/>
                <w:lang w:val="el-GR"/>
              </w:rPr>
              <w:t>ημιζωής</w:t>
            </w:r>
            <w:proofErr w:type="spellEnd"/>
            <w:r w:rsidRPr="00170F6F">
              <w:rPr>
                <w:szCs w:val="22"/>
                <w:lang w:val="el-GR"/>
              </w:rPr>
              <w:t xml:space="preserve"> της </w:t>
            </w:r>
            <w:proofErr w:type="spellStart"/>
            <w:r w:rsidRPr="00170F6F">
              <w:rPr>
                <w:szCs w:val="22"/>
                <w:lang w:val="el-GR"/>
              </w:rPr>
              <w:t>κεφταζιδίμης</w:t>
            </w:r>
            <w:proofErr w:type="spellEnd"/>
            <w:r w:rsidRPr="00170F6F">
              <w:rPr>
                <w:szCs w:val="22"/>
                <w:lang w:val="el-GR"/>
              </w:rPr>
              <w:t xml:space="preserve"> στον ορό μπορεί να είναι τριπλάσιος έως τετραπλάσιος σε σύγκριση με τους ενήλικες.</w:t>
            </w:r>
          </w:p>
          <w:p w:rsidR="00461D88" w:rsidRPr="00170F6F" w:rsidRDefault="00461D88" w:rsidP="00C773E4">
            <w:pPr>
              <w:rPr>
                <w:szCs w:val="22"/>
                <w:lang w:val="el-GR"/>
              </w:rPr>
            </w:pPr>
            <w:r w:rsidRPr="00170F6F">
              <w:rPr>
                <w:szCs w:val="22"/>
                <w:lang w:val="el-GR"/>
              </w:rPr>
              <w:t>* Όταν συσχετίζεται ή υπάρχει υποψία συσχέτισης με οποιαδήποτε από τις λοιμώξεις που αναφέρονται στη παράγραφο 4.1.</w:t>
            </w:r>
          </w:p>
        </w:tc>
      </w:tr>
    </w:tbl>
    <w:p w:rsidR="00461D88" w:rsidRPr="00170F6F" w:rsidRDefault="00461D88" w:rsidP="00461D88">
      <w:pPr>
        <w:rPr>
          <w:b/>
          <w:szCs w:val="22"/>
          <w:lang w:val="el-GR"/>
        </w:rPr>
      </w:pPr>
    </w:p>
    <w:p w:rsidR="00461D88" w:rsidRPr="00170F6F" w:rsidRDefault="00461D88" w:rsidP="00461D88">
      <w:pPr>
        <w:rPr>
          <w:szCs w:val="22"/>
          <w:u w:val="single"/>
          <w:lang w:val="el-GR"/>
        </w:rPr>
      </w:pPr>
      <w:r w:rsidRPr="00170F6F">
        <w:rPr>
          <w:szCs w:val="22"/>
          <w:u w:val="single"/>
          <w:lang w:val="el-GR"/>
        </w:rPr>
        <w:t>Παιδιατρικός πληθυσμός</w:t>
      </w:r>
    </w:p>
    <w:p w:rsidR="00461D88" w:rsidRPr="00170F6F" w:rsidRDefault="00461D88" w:rsidP="00461D88">
      <w:pPr>
        <w:rPr>
          <w:b/>
          <w:szCs w:val="22"/>
          <w:lang w:val="el-GR"/>
        </w:rPr>
      </w:pPr>
      <w:r w:rsidRPr="00170F6F">
        <w:rPr>
          <w:szCs w:val="22"/>
          <w:lang w:val="el-GR"/>
        </w:rPr>
        <w:t xml:space="preserve">Η ασφάλεια και η αποτελεσματικότητα του </w:t>
      </w:r>
      <w:r w:rsidR="00093100" w:rsidRPr="00D04B79">
        <w:rPr>
          <w:szCs w:val="22"/>
        </w:rPr>
        <w:t>Ceftazidime</w:t>
      </w:r>
      <w:r w:rsidR="00093100" w:rsidRPr="005E20E4">
        <w:rPr>
          <w:szCs w:val="22"/>
          <w:lang w:val="el-GR"/>
        </w:rPr>
        <w:t>/</w:t>
      </w:r>
      <w:r w:rsidR="00093100" w:rsidRPr="00D04B79">
        <w:rPr>
          <w:szCs w:val="22"/>
        </w:rPr>
        <w:t>Cooper</w:t>
      </w:r>
      <w:r w:rsidRPr="00170F6F">
        <w:rPr>
          <w:szCs w:val="22"/>
          <w:lang w:val="el-GR"/>
        </w:rPr>
        <w:t xml:space="preserve"> χορηγούμενου ως συνεχή έγχυση σε νεογνά και βρέφη ≤</w:t>
      </w:r>
      <w:r w:rsidRPr="00170F6F">
        <w:rPr>
          <w:szCs w:val="22"/>
        </w:rPr>
        <w:t> </w:t>
      </w:r>
      <w:r w:rsidRPr="00170F6F">
        <w:rPr>
          <w:szCs w:val="22"/>
          <w:lang w:val="el-GR"/>
        </w:rPr>
        <w:t>2 μηνών δεν έχει τεκμηριωθεί.</w:t>
      </w:r>
    </w:p>
    <w:p w:rsidR="00461D88" w:rsidRPr="00170F6F" w:rsidRDefault="00461D88" w:rsidP="00461D88">
      <w:pPr>
        <w:rPr>
          <w:b/>
          <w:szCs w:val="22"/>
          <w:lang w:val="el-GR"/>
        </w:rPr>
      </w:pPr>
    </w:p>
    <w:p w:rsidR="00461D88" w:rsidRPr="00170F6F" w:rsidRDefault="00461D88" w:rsidP="00461D88">
      <w:pPr>
        <w:rPr>
          <w:szCs w:val="22"/>
          <w:u w:val="single"/>
          <w:lang w:val="el-GR"/>
        </w:rPr>
      </w:pPr>
      <w:r w:rsidRPr="00170F6F">
        <w:rPr>
          <w:szCs w:val="22"/>
          <w:u w:val="single"/>
          <w:lang w:val="el-GR"/>
        </w:rPr>
        <w:t>Ηλικιωμένοι</w:t>
      </w:r>
    </w:p>
    <w:p w:rsidR="00461D88" w:rsidRPr="00170F6F" w:rsidRDefault="00461D88" w:rsidP="00461D88">
      <w:pPr>
        <w:rPr>
          <w:b/>
          <w:szCs w:val="22"/>
          <w:lang w:val="el-GR"/>
        </w:rPr>
      </w:pPr>
    </w:p>
    <w:p w:rsidR="00461D88" w:rsidRPr="00170F6F" w:rsidRDefault="00461D88" w:rsidP="00461D88">
      <w:pPr>
        <w:rPr>
          <w:szCs w:val="22"/>
          <w:lang w:val="el-GR"/>
        </w:rPr>
      </w:pPr>
      <w:r w:rsidRPr="00170F6F">
        <w:rPr>
          <w:szCs w:val="22"/>
          <w:lang w:val="el-GR"/>
        </w:rPr>
        <w:t xml:space="preserve">Δεδομένης της σχετιζόμενης με την ηλικία περιορισμένης κάθαρσης της </w:t>
      </w:r>
      <w:proofErr w:type="spellStart"/>
      <w:r w:rsidRPr="00170F6F">
        <w:rPr>
          <w:szCs w:val="22"/>
          <w:lang w:val="el-GR"/>
        </w:rPr>
        <w:t>κεφταζιδίμης</w:t>
      </w:r>
      <w:proofErr w:type="spellEnd"/>
      <w:r w:rsidRPr="00170F6F">
        <w:rPr>
          <w:szCs w:val="22"/>
          <w:lang w:val="el-GR"/>
        </w:rPr>
        <w:t xml:space="preserve"> σε ηλικιωμένους ασθενείς, η ημερήσια δόση δεν πρέπει κανονικά να υπερβαίνει τα 3 g σε ασθενείς άνω των 80 ετών.</w:t>
      </w:r>
    </w:p>
    <w:p w:rsidR="00461D88" w:rsidRPr="00170F6F" w:rsidRDefault="00461D88" w:rsidP="00461D88">
      <w:pPr>
        <w:rPr>
          <w:i/>
          <w:szCs w:val="22"/>
          <w:lang w:val="el-GR"/>
        </w:rPr>
      </w:pPr>
    </w:p>
    <w:p w:rsidR="00461D88" w:rsidRPr="00170F6F" w:rsidRDefault="00461D88" w:rsidP="00461D88">
      <w:pPr>
        <w:keepNext/>
        <w:rPr>
          <w:szCs w:val="22"/>
          <w:u w:val="single"/>
          <w:lang w:val="el-GR"/>
        </w:rPr>
      </w:pPr>
      <w:r w:rsidRPr="00170F6F">
        <w:rPr>
          <w:szCs w:val="22"/>
          <w:u w:val="single"/>
          <w:lang w:val="el-GR"/>
        </w:rPr>
        <w:t>Ηπατική δυσλειτουργία</w:t>
      </w:r>
    </w:p>
    <w:p w:rsidR="00461D88" w:rsidRPr="00170F6F" w:rsidRDefault="00461D88" w:rsidP="00461D88">
      <w:pPr>
        <w:keepNext/>
        <w:rPr>
          <w:szCs w:val="22"/>
          <w:lang w:val="el-GR"/>
        </w:rPr>
      </w:pPr>
    </w:p>
    <w:p w:rsidR="00461D88" w:rsidRPr="00170F6F" w:rsidRDefault="00461D88" w:rsidP="00461D88">
      <w:pPr>
        <w:keepNext/>
        <w:rPr>
          <w:szCs w:val="22"/>
          <w:lang w:val="el-GR"/>
        </w:rPr>
      </w:pPr>
      <w:r w:rsidRPr="00170F6F">
        <w:rPr>
          <w:szCs w:val="22"/>
          <w:lang w:val="el-GR"/>
        </w:rPr>
        <w:t>Τα διαθέσιμα δεδομένα δεν υποδεικνύουν την ανάγκη ρύθμισης της δόσης σε ήπια έως μέτρια ηπατική δυσλειτουργία. Δεν υπάρχουν δεδομένα από μελέτες σε ασθενείς με σοβαρή ηπατική δυσλειτουργία (βλέπε επίσης παράγραφο 5.2). Συνιστάται στενή κλινική παρακολούθηση για την ασφάλεια και την αποτελεσματικότητα.</w:t>
      </w:r>
    </w:p>
    <w:p w:rsidR="00461D88" w:rsidRPr="00170F6F" w:rsidRDefault="00461D88" w:rsidP="00461D88">
      <w:pPr>
        <w:keepNext/>
        <w:rPr>
          <w:szCs w:val="22"/>
          <w:u w:val="single"/>
          <w:lang w:val="el-GR"/>
        </w:rPr>
      </w:pPr>
    </w:p>
    <w:p w:rsidR="00461D88" w:rsidRPr="00170F6F" w:rsidRDefault="00461D88" w:rsidP="00461D88">
      <w:pPr>
        <w:keepNext/>
        <w:rPr>
          <w:szCs w:val="22"/>
          <w:u w:val="single"/>
          <w:lang w:val="el-GR"/>
        </w:rPr>
      </w:pPr>
      <w:r w:rsidRPr="00170F6F">
        <w:rPr>
          <w:szCs w:val="22"/>
          <w:u w:val="single"/>
          <w:lang w:val="el-GR"/>
        </w:rPr>
        <w:t>Νεφρική δυσλειτουργία</w:t>
      </w:r>
    </w:p>
    <w:p w:rsidR="00461D88" w:rsidRPr="00170F6F" w:rsidRDefault="00461D88" w:rsidP="00461D88">
      <w:pPr>
        <w:keepNext/>
        <w:rPr>
          <w:szCs w:val="22"/>
          <w:lang w:val="el-GR"/>
        </w:rPr>
      </w:pPr>
    </w:p>
    <w:p w:rsidR="00461D88" w:rsidRPr="00170F6F" w:rsidRDefault="00461D88" w:rsidP="00461D88">
      <w:pPr>
        <w:keepNext/>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απεκκρίνεται αμετάβλητη δια των νεφρών. Ως εκ τούτου, η δόση πρέπει να μειώνεται σε ασθενείς με έκπτωση της νεφρικής λειτουργίας (βλέπε επίσης παράγραφο 4.4).</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Θα πρέπει να χορηγείται αρχική δόση φόρτισης 1 g. Οι δόσεις συντήρησης πρέπει να βασίζονται στην κάθαρση της </w:t>
      </w:r>
      <w:proofErr w:type="spellStart"/>
      <w:r w:rsidRPr="00170F6F">
        <w:rPr>
          <w:szCs w:val="22"/>
          <w:lang w:val="el-GR"/>
        </w:rPr>
        <w:t>κρεατινίνης</w:t>
      </w:r>
      <w:proofErr w:type="spellEnd"/>
      <w:r w:rsidRPr="00170F6F">
        <w:rPr>
          <w:szCs w:val="22"/>
          <w:lang w:val="el-GR"/>
        </w:rPr>
        <w:t xml:space="preserve">. </w:t>
      </w:r>
    </w:p>
    <w:p w:rsidR="00461D88" w:rsidRPr="00170F6F" w:rsidRDefault="00461D88" w:rsidP="00461D88">
      <w:pPr>
        <w:rPr>
          <w:szCs w:val="22"/>
          <w:lang w:val="el-GR"/>
        </w:rPr>
      </w:pPr>
    </w:p>
    <w:p w:rsidR="00461D88" w:rsidRPr="00170F6F" w:rsidRDefault="00461D88" w:rsidP="00461D88">
      <w:pPr>
        <w:keepNext/>
        <w:rPr>
          <w:szCs w:val="22"/>
          <w:lang w:val="el-GR"/>
        </w:rPr>
      </w:pPr>
      <w:r w:rsidRPr="00170F6F">
        <w:rPr>
          <w:szCs w:val="22"/>
          <w:u w:val="single"/>
          <w:lang w:val="el-GR"/>
        </w:rPr>
        <w:t xml:space="preserve">Πίνακας 3: Συνιστώμενες δόσεις συντήρησης </w:t>
      </w:r>
      <w:r w:rsidRPr="005E20E4">
        <w:rPr>
          <w:szCs w:val="22"/>
          <w:u w:val="single"/>
          <w:lang w:val="el-GR"/>
        </w:rPr>
        <w:t xml:space="preserve">του </w:t>
      </w:r>
      <w:r w:rsidR="005E20E4" w:rsidRPr="005E20E4">
        <w:rPr>
          <w:szCs w:val="22"/>
          <w:u w:val="single"/>
        </w:rPr>
        <w:t>Ceftazidime</w:t>
      </w:r>
      <w:r w:rsidR="005E20E4" w:rsidRPr="005E20E4">
        <w:rPr>
          <w:szCs w:val="22"/>
          <w:u w:val="single"/>
          <w:lang w:val="el-GR"/>
        </w:rPr>
        <w:t>/</w:t>
      </w:r>
      <w:r w:rsidR="005E20E4" w:rsidRPr="005E20E4">
        <w:rPr>
          <w:szCs w:val="22"/>
          <w:u w:val="single"/>
        </w:rPr>
        <w:t>Cooper</w:t>
      </w:r>
      <w:r w:rsidRPr="00170F6F">
        <w:rPr>
          <w:szCs w:val="22"/>
          <w:u w:val="single"/>
          <w:lang w:val="el-GR"/>
        </w:rPr>
        <w:t xml:space="preserve"> σε ασθενείς με νεφρική δυσλειτουργία – διαλείπουσα έγχυση</w:t>
      </w:r>
    </w:p>
    <w:p w:rsidR="00461D88" w:rsidRPr="00170F6F" w:rsidRDefault="00461D88" w:rsidP="00461D88">
      <w:pPr>
        <w:keepNext/>
        <w:rPr>
          <w:szCs w:val="22"/>
          <w:u w:val="single"/>
          <w:lang w:val="el-GR"/>
        </w:rPr>
      </w:pPr>
    </w:p>
    <w:p w:rsidR="00461D88" w:rsidRPr="00170F6F" w:rsidRDefault="00461D88" w:rsidP="00461D88">
      <w:pPr>
        <w:keepNext/>
        <w:rPr>
          <w:i/>
          <w:szCs w:val="22"/>
          <w:lang w:val="el-GR"/>
        </w:rPr>
      </w:pPr>
      <w:r w:rsidRPr="00170F6F">
        <w:rPr>
          <w:i/>
          <w:szCs w:val="22"/>
          <w:lang w:val="el-GR"/>
        </w:rPr>
        <w:t xml:space="preserve">Ενήλικες και παιδιά </w:t>
      </w:r>
      <w:r w:rsidRPr="00170F6F">
        <w:rPr>
          <w:i/>
          <w:szCs w:val="22"/>
          <w:lang w:val="el-GR"/>
        </w:rPr>
        <w:sym w:font="Symbol" w:char="F0B3"/>
      </w:r>
      <w:r w:rsidRPr="00170F6F">
        <w:rPr>
          <w:i/>
          <w:szCs w:val="22"/>
          <w:lang w:val="el-GR"/>
        </w:rPr>
        <w:t> 40 </w:t>
      </w:r>
      <w:proofErr w:type="spellStart"/>
      <w:r w:rsidRPr="00170F6F">
        <w:rPr>
          <w:i/>
          <w:szCs w:val="22"/>
          <w:lang w:val="el-GR"/>
        </w:rPr>
        <w:t>kg</w:t>
      </w:r>
      <w:proofErr w:type="spellEnd"/>
    </w:p>
    <w:p w:rsidR="00461D88" w:rsidRPr="00170F6F" w:rsidRDefault="00461D88" w:rsidP="00461D88">
      <w:pPr>
        <w:keepNext/>
        <w:rPr>
          <w:szCs w:val="22"/>
          <w:u w:val="single"/>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19"/>
        <w:gridCol w:w="2409"/>
        <w:gridCol w:w="2311"/>
      </w:tblGrid>
      <w:tr w:rsidR="00461D88" w:rsidRPr="00170F6F" w:rsidTr="00C773E4">
        <w:trPr>
          <w:jc w:val="center"/>
        </w:trPr>
        <w:tc>
          <w:tcPr>
            <w:tcW w:w="2463" w:type="dxa"/>
            <w:vAlign w:val="center"/>
          </w:tcPr>
          <w:p w:rsidR="00461D88" w:rsidRPr="00170F6F" w:rsidRDefault="00461D88" w:rsidP="00C773E4">
            <w:pPr>
              <w:keepNext/>
              <w:jc w:val="center"/>
              <w:rPr>
                <w:szCs w:val="22"/>
                <w:lang w:val="el-GR"/>
              </w:rPr>
            </w:pPr>
            <w:r w:rsidRPr="00170F6F">
              <w:rPr>
                <w:szCs w:val="22"/>
                <w:lang w:val="el-GR"/>
              </w:rPr>
              <w:t xml:space="preserve">Κάθαρση </w:t>
            </w:r>
            <w:proofErr w:type="spellStart"/>
            <w:r w:rsidRPr="00170F6F">
              <w:rPr>
                <w:szCs w:val="22"/>
                <w:lang w:val="el-GR"/>
              </w:rPr>
              <w:t>κρεατινίνης</w:t>
            </w:r>
            <w:proofErr w:type="spellEnd"/>
          </w:p>
          <w:p w:rsidR="00461D88" w:rsidRPr="00170F6F" w:rsidRDefault="00461D88" w:rsidP="00C773E4">
            <w:pPr>
              <w:keepNext/>
              <w:jc w:val="center"/>
              <w:rPr>
                <w:szCs w:val="22"/>
                <w:lang w:val="el-GR"/>
              </w:rPr>
            </w:pPr>
            <w:r w:rsidRPr="00170F6F">
              <w:rPr>
                <w:szCs w:val="22"/>
                <w:lang w:val="el-GR"/>
              </w:rPr>
              <w:t>(ml/</w:t>
            </w:r>
            <w:proofErr w:type="spellStart"/>
            <w:r w:rsidRPr="00170F6F">
              <w:rPr>
                <w:szCs w:val="22"/>
                <w:lang w:val="el-GR"/>
              </w:rPr>
              <w:t>λεπτ</w:t>
            </w:r>
            <w:proofErr w:type="spellEnd"/>
            <w:r w:rsidRPr="00170F6F">
              <w:rPr>
                <w:szCs w:val="22"/>
                <w:lang w:val="el-GR"/>
              </w:rPr>
              <w:t>ό)</w:t>
            </w:r>
          </w:p>
        </w:tc>
        <w:tc>
          <w:tcPr>
            <w:tcW w:w="2464" w:type="dxa"/>
            <w:vAlign w:val="center"/>
          </w:tcPr>
          <w:p w:rsidR="00461D88" w:rsidRPr="00170F6F" w:rsidRDefault="00461D88" w:rsidP="00C773E4">
            <w:pPr>
              <w:keepNext/>
              <w:jc w:val="center"/>
              <w:rPr>
                <w:szCs w:val="22"/>
                <w:lang w:val="el-GR"/>
              </w:rPr>
            </w:pPr>
            <w:r w:rsidRPr="00170F6F">
              <w:rPr>
                <w:szCs w:val="22"/>
                <w:lang w:val="el-GR"/>
              </w:rPr>
              <w:t xml:space="preserve">Κατά προσέγγιση κάθαρση </w:t>
            </w:r>
            <w:proofErr w:type="spellStart"/>
            <w:r w:rsidRPr="00170F6F">
              <w:rPr>
                <w:szCs w:val="22"/>
                <w:lang w:val="el-GR"/>
              </w:rPr>
              <w:t>κρεατ</w:t>
            </w:r>
            <w:proofErr w:type="spellEnd"/>
            <w:r w:rsidRPr="00170F6F">
              <w:rPr>
                <w:szCs w:val="22"/>
                <w:lang w:val="el-GR"/>
              </w:rPr>
              <w:t>.</w:t>
            </w:r>
          </w:p>
          <w:p w:rsidR="00461D88" w:rsidRPr="00170F6F" w:rsidRDefault="00461D88" w:rsidP="00C773E4">
            <w:pPr>
              <w:keepNext/>
              <w:jc w:val="center"/>
              <w:rPr>
                <w:szCs w:val="22"/>
                <w:lang w:val="el-GR"/>
              </w:rPr>
            </w:pPr>
            <w:r w:rsidRPr="00170F6F">
              <w:rPr>
                <w:szCs w:val="22"/>
                <w:lang w:val="el-GR"/>
              </w:rPr>
              <w:t>µ</w:t>
            </w:r>
            <w:proofErr w:type="spellStart"/>
            <w:r w:rsidRPr="00170F6F">
              <w:rPr>
                <w:szCs w:val="22"/>
                <w:lang w:val="el-GR"/>
              </w:rPr>
              <w:t>mol</w:t>
            </w:r>
            <w:proofErr w:type="spellEnd"/>
            <w:r w:rsidRPr="00170F6F">
              <w:rPr>
                <w:szCs w:val="22"/>
                <w:lang w:val="el-GR"/>
              </w:rPr>
              <w:t>/l (</w:t>
            </w:r>
            <w:proofErr w:type="spellStart"/>
            <w:r w:rsidRPr="00170F6F">
              <w:rPr>
                <w:szCs w:val="22"/>
                <w:lang w:val="el-GR"/>
              </w:rPr>
              <w:t>mg</w:t>
            </w:r>
            <w:proofErr w:type="spellEnd"/>
            <w:r w:rsidRPr="00170F6F">
              <w:rPr>
                <w:szCs w:val="22"/>
                <w:lang w:val="el-GR"/>
              </w:rPr>
              <w:t>/</w:t>
            </w:r>
            <w:proofErr w:type="spellStart"/>
            <w:r w:rsidRPr="00170F6F">
              <w:rPr>
                <w:szCs w:val="22"/>
                <w:lang w:val="el-GR"/>
              </w:rPr>
              <w:t>dl</w:t>
            </w:r>
            <w:proofErr w:type="spellEnd"/>
            <w:r w:rsidRPr="00170F6F">
              <w:rPr>
                <w:szCs w:val="22"/>
                <w:lang w:val="el-GR"/>
              </w:rPr>
              <w:t>)</w:t>
            </w:r>
          </w:p>
        </w:tc>
        <w:tc>
          <w:tcPr>
            <w:tcW w:w="2464" w:type="dxa"/>
            <w:vAlign w:val="center"/>
          </w:tcPr>
          <w:p w:rsidR="00461D88" w:rsidRPr="00170F6F" w:rsidRDefault="00461D88" w:rsidP="00C773E4">
            <w:pPr>
              <w:keepNext/>
              <w:jc w:val="center"/>
              <w:rPr>
                <w:szCs w:val="22"/>
                <w:lang w:val="el-GR"/>
              </w:rPr>
            </w:pPr>
            <w:r w:rsidRPr="00170F6F">
              <w:rPr>
                <w:szCs w:val="22"/>
                <w:lang w:val="el-GR"/>
              </w:rPr>
              <w:t xml:space="preserve">Συνιστώμενη μονάδα δόσης </w:t>
            </w:r>
            <w:proofErr w:type="spellStart"/>
            <w:r w:rsidR="00A07816">
              <w:rPr>
                <w:szCs w:val="22"/>
                <w:lang w:val="el-GR"/>
              </w:rPr>
              <w:t>Ceftazidime</w:t>
            </w:r>
            <w:proofErr w:type="spellEnd"/>
            <w:r w:rsidR="00A07816">
              <w:rPr>
                <w:szCs w:val="22"/>
                <w:lang w:val="el-GR"/>
              </w:rPr>
              <w:t>/</w:t>
            </w:r>
            <w:proofErr w:type="spellStart"/>
            <w:r w:rsidR="00A07816">
              <w:rPr>
                <w:szCs w:val="22"/>
                <w:lang w:val="el-GR"/>
              </w:rPr>
              <w:t>Cooper</w:t>
            </w:r>
            <w:proofErr w:type="spellEnd"/>
            <w:r w:rsidRPr="00170F6F">
              <w:rPr>
                <w:szCs w:val="22"/>
                <w:lang w:val="el-GR"/>
              </w:rPr>
              <w:t xml:space="preserve"> (g)</w:t>
            </w:r>
          </w:p>
        </w:tc>
        <w:tc>
          <w:tcPr>
            <w:tcW w:w="2464" w:type="dxa"/>
            <w:vAlign w:val="center"/>
          </w:tcPr>
          <w:p w:rsidR="00461D88" w:rsidRPr="00170F6F" w:rsidRDefault="00461D88" w:rsidP="00C773E4">
            <w:pPr>
              <w:keepNext/>
              <w:jc w:val="center"/>
              <w:rPr>
                <w:szCs w:val="22"/>
                <w:lang w:val="el-GR"/>
              </w:rPr>
            </w:pPr>
            <w:r w:rsidRPr="00170F6F">
              <w:rPr>
                <w:szCs w:val="22"/>
                <w:lang w:val="el-GR"/>
              </w:rPr>
              <w:t>Συχνότητα χορήγησης δόσης (ωριαία)</w:t>
            </w:r>
          </w:p>
        </w:tc>
      </w:tr>
      <w:tr w:rsidR="00461D88" w:rsidRPr="00170F6F" w:rsidTr="00C773E4">
        <w:trPr>
          <w:jc w:val="center"/>
        </w:trPr>
        <w:tc>
          <w:tcPr>
            <w:tcW w:w="2463" w:type="dxa"/>
            <w:vAlign w:val="center"/>
          </w:tcPr>
          <w:p w:rsidR="00461D88" w:rsidRPr="00170F6F" w:rsidRDefault="00461D88" w:rsidP="00C773E4">
            <w:pPr>
              <w:jc w:val="center"/>
              <w:rPr>
                <w:szCs w:val="22"/>
                <w:lang w:val="el-GR"/>
              </w:rPr>
            </w:pPr>
            <w:r w:rsidRPr="00170F6F">
              <w:rPr>
                <w:szCs w:val="22"/>
                <w:lang w:val="el-GR"/>
              </w:rPr>
              <w:t>50-31</w:t>
            </w:r>
          </w:p>
        </w:tc>
        <w:tc>
          <w:tcPr>
            <w:tcW w:w="2464" w:type="dxa"/>
            <w:vAlign w:val="center"/>
          </w:tcPr>
          <w:p w:rsidR="00461D88" w:rsidRPr="00170F6F" w:rsidRDefault="00461D88" w:rsidP="00C773E4">
            <w:pPr>
              <w:jc w:val="center"/>
              <w:rPr>
                <w:szCs w:val="22"/>
                <w:lang w:val="el-GR"/>
              </w:rPr>
            </w:pPr>
            <w:r w:rsidRPr="00170F6F">
              <w:rPr>
                <w:szCs w:val="22"/>
                <w:lang w:val="el-GR"/>
              </w:rPr>
              <w:t>150-200</w:t>
            </w:r>
          </w:p>
          <w:p w:rsidR="00461D88" w:rsidRPr="00170F6F" w:rsidRDefault="00461D88" w:rsidP="00C773E4">
            <w:pPr>
              <w:jc w:val="center"/>
              <w:rPr>
                <w:szCs w:val="22"/>
                <w:lang w:val="el-GR"/>
              </w:rPr>
            </w:pPr>
            <w:r w:rsidRPr="00170F6F">
              <w:rPr>
                <w:szCs w:val="22"/>
                <w:lang w:val="el-GR"/>
              </w:rPr>
              <w:t>(1,7-2,3)</w:t>
            </w:r>
          </w:p>
        </w:tc>
        <w:tc>
          <w:tcPr>
            <w:tcW w:w="2464" w:type="dxa"/>
            <w:vAlign w:val="center"/>
          </w:tcPr>
          <w:p w:rsidR="00461D88" w:rsidRPr="00170F6F" w:rsidRDefault="00461D88" w:rsidP="00C773E4">
            <w:pPr>
              <w:jc w:val="center"/>
              <w:rPr>
                <w:szCs w:val="22"/>
                <w:lang w:val="el-GR"/>
              </w:rPr>
            </w:pPr>
            <w:r w:rsidRPr="00170F6F">
              <w:rPr>
                <w:szCs w:val="22"/>
                <w:lang w:val="el-GR"/>
              </w:rPr>
              <w:t>1</w:t>
            </w:r>
          </w:p>
        </w:tc>
        <w:tc>
          <w:tcPr>
            <w:tcW w:w="2464" w:type="dxa"/>
            <w:vAlign w:val="center"/>
          </w:tcPr>
          <w:p w:rsidR="00461D88" w:rsidRPr="00170F6F" w:rsidRDefault="00461D88" w:rsidP="00C773E4">
            <w:pPr>
              <w:jc w:val="center"/>
              <w:rPr>
                <w:szCs w:val="22"/>
                <w:lang w:val="el-GR"/>
              </w:rPr>
            </w:pPr>
            <w:r w:rsidRPr="00170F6F">
              <w:rPr>
                <w:szCs w:val="22"/>
                <w:lang w:val="el-GR"/>
              </w:rPr>
              <w:t>12</w:t>
            </w:r>
          </w:p>
        </w:tc>
      </w:tr>
      <w:tr w:rsidR="00461D88" w:rsidRPr="00170F6F" w:rsidTr="00C773E4">
        <w:trPr>
          <w:jc w:val="center"/>
        </w:trPr>
        <w:tc>
          <w:tcPr>
            <w:tcW w:w="2463" w:type="dxa"/>
            <w:vAlign w:val="center"/>
          </w:tcPr>
          <w:p w:rsidR="00461D88" w:rsidRPr="00170F6F" w:rsidRDefault="00461D88" w:rsidP="00C773E4">
            <w:pPr>
              <w:jc w:val="center"/>
              <w:rPr>
                <w:szCs w:val="22"/>
                <w:lang w:val="el-GR"/>
              </w:rPr>
            </w:pPr>
            <w:r w:rsidRPr="00170F6F">
              <w:rPr>
                <w:szCs w:val="22"/>
                <w:lang w:val="el-GR"/>
              </w:rPr>
              <w:t>30-16</w:t>
            </w:r>
          </w:p>
        </w:tc>
        <w:tc>
          <w:tcPr>
            <w:tcW w:w="2464" w:type="dxa"/>
            <w:vAlign w:val="center"/>
          </w:tcPr>
          <w:p w:rsidR="00461D88" w:rsidRPr="00170F6F" w:rsidRDefault="00461D88" w:rsidP="00C773E4">
            <w:pPr>
              <w:jc w:val="center"/>
              <w:rPr>
                <w:szCs w:val="22"/>
                <w:lang w:val="el-GR"/>
              </w:rPr>
            </w:pPr>
            <w:r w:rsidRPr="00170F6F">
              <w:rPr>
                <w:szCs w:val="22"/>
                <w:lang w:val="el-GR"/>
              </w:rPr>
              <w:t>200-350</w:t>
            </w:r>
          </w:p>
          <w:p w:rsidR="00461D88" w:rsidRPr="00170F6F" w:rsidRDefault="00461D88" w:rsidP="00C773E4">
            <w:pPr>
              <w:jc w:val="center"/>
              <w:rPr>
                <w:szCs w:val="22"/>
                <w:lang w:val="el-GR"/>
              </w:rPr>
            </w:pPr>
            <w:r w:rsidRPr="00170F6F">
              <w:rPr>
                <w:szCs w:val="22"/>
                <w:lang w:val="el-GR"/>
              </w:rPr>
              <w:t>(2,3-4,0)</w:t>
            </w:r>
          </w:p>
        </w:tc>
        <w:tc>
          <w:tcPr>
            <w:tcW w:w="2464" w:type="dxa"/>
            <w:vAlign w:val="center"/>
          </w:tcPr>
          <w:p w:rsidR="00461D88" w:rsidRPr="00170F6F" w:rsidRDefault="00461D88" w:rsidP="00C773E4">
            <w:pPr>
              <w:jc w:val="center"/>
              <w:rPr>
                <w:szCs w:val="22"/>
                <w:lang w:val="el-GR"/>
              </w:rPr>
            </w:pPr>
            <w:r w:rsidRPr="00170F6F">
              <w:rPr>
                <w:szCs w:val="22"/>
                <w:lang w:val="el-GR"/>
              </w:rPr>
              <w:t>1</w:t>
            </w:r>
          </w:p>
        </w:tc>
        <w:tc>
          <w:tcPr>
            <w:tcW w:w="2464" w:type="dxa"/>
            <w:vAlign w:val="center"/>
          </w:tcPr>
          <w:p w:rsidR="00461D88" w:rsidRPr="00170F6F" w:rsidRDefault="00461D88" w:rsidP="00C773E4">
            <w:pPr>
              <w:jc w:val="center"/>
              <w:rPr>
                <w:szCs w:val="22"/>
                <w:lang w:val="el-GR"/>
              </w:rPr>
            </w:pPr>
            <w:r w:rsidRPr="00170F6F">
              <w:rPr>
                <w:szCs w:val="22"/>
                <w:lang w:val="el-GR"/>
              </w:rPr>
              <w:t>24</w:t>
            </w:r>
          </w:p>
        </w:tc>
      </w:tr>
      <w:tr w:rsidR="00461D88" w:rsidRPr="00170F6F" w:rsidTr="00C773E4">
        <w:trPr>
          <w:jc w:val="center"/>
        </w:trPr>
        <w:tc>
          <w:tcPr>
            <w:tcW w:w="2463" w:type="dxa"/>
            <w:vAlign w:val="center"/>
          </w:tcPr>
          <w:p w:rsidR="00461D88" w:rsidRPr="00170F6F" w:rsidRDefault="00461D88" w:rsidP="00C773E4">
            <w:pPr>
              <w:jc w:val="center"/>
              <w:rPr>
                <w:szCs w:val="22"/>
                <w:lang w:val="el-GR"/>
              </w:rPr>
            </w:pPr>
            <w:r w:rsidRPr="00170F6F">
              <w:rPr>
                <w:szCs w:val="22"/>
                <w:lang w:val="el-GR"/>
              </w:rPr>
              <w:t>15-6</w:t>
            </w:r>
          </w:p>
        </w:tc>
        <w:tc>
          <w:tcPr>
            <w:tcW w:w="2464" w:type="dxa"/>
            <w:vAlign w:val="center"/>
          </w:tcPr>
          <w:p w:rsidR="00461D88" w:rsidRPr="00170F6F" w:rsidRDefault="00461D88" w:rsidP="00C773E4">
            <w:pPr>
              <w:jc w:val="center"/>
              <w:rPr>
                <w:szCs w:val="22"/>
                <w:lang w:val="el-GR"/>
              </w:rPr>
            </w:pPr>
            <w:r w:rsidRPr="00170F6F">
              <w:rPr>
                <w:szCs w:val="22"/>
                <w:lang w:val="el-GR"/>
              </w:rPr>
              <w:t>350-500</w:t>
            </w:r>
          </w:p>
          <w:p w:rsidR="00461D88" w:rsidRPr="00170F6F" w:rsidRDefault="00461D88" w:rsidP="00C773E4">
            <w:pPr>
              <w:jc w:val="center"/>
              <w:rPr>
                <w:szCs w:val="22"/>
                <w:lang w:val="el-GR"/>
              </w:rPr>
            </w:pPr>
            <w:r w:rsidRPr="00170F6F">
              <w:rPr>
                <w:szCs w:val="22"/>
                <w:lang w:val="el-GR"/>
              </w:rPr>
              <w:t>(4,0-5,6)</w:t>
            </w:r>
          </w:p>
        </w:tc>
        <w:tc>
          <w:tcPr>
            <w:tcW w:w="2464" w:type="dxa"/>
            <w:vAlign w:val="center"/>
          </w:tcPr>
          <w:p w:rsidR="00461D88" w:rsidRPr="00170F6F" w:rsidRDefault="00461D88" w:rsidP="00C773E4">
            <w:pPr>
              <w:jc w:val="center"/>
              <w:rPr>
                <w:szCs w:val="22"/>
                <w:lang w:val="el-GR"/>
              </w:rPr>
            </w:pPr>
            <w:r w:rsidRPr="00170F6F">
              <w:rPr>
                <w:szCs w:val="22"/>
                <w:lang w:val="el-GR"/>
              </w:rPr>
              <w:t>0,5</w:t>
            </w:r>
          </w:p>
        </w:tc>
        <w:tc>
          <w:tcPr>
            <w:tcW w:w="2464" w:type="dxa"/>
            <w:vAlign w:val="center"/>
          </w:tcPr>
          <w:p w:rsidR="00461D88" w:rsidRPr="00170F6F" w:rsidRDefault="00461D88" w:rsidP="00C773E4">
            <w:pPr>
              <w:jc w:val="center"/>
              <w:rPr>
                <w:szCs w:val="22"/>
                <w:lang w:val="el-GR"/>
              </w:rPr>
            </w:pPr>
            <w:r w:rsidRPr="00170F6F">
              <w:rPr>
                <w:szCs w:val="22"/>
                <w:lang w:val="el-GR"/>
              </w:rPr>
              <w:t>24</w:t>
            </w:r>
          </w:p>
        </w:tc>
      </w:tr>
      <w:tr w:rsidR="00461D88" w:rsidRPr="00170F6F" w:rsidTr="00C773E4">
        <w:trPr>
          <w:jc w:val="center"/>
        </w:trPr>
        <w:tc>
          <w:tcPr>
            <w:tcW w:w="2463" w:type="dxa"/>
            <w:vAlign w:val="center"/>
          </w:tcPr>
          <w:p w:rsidR="00461D88" w:rsidRPr="00170F6F" w:rsidRDefault="00461D88" w:rsidP="00C773E4">
            <w:pPr>
              <w:jc w:val="center"/>
              <w:rPr>
                <w:szCs w:val="22"/>
                <w:lang w:val="el-GR"/>
              </w:rPr>
            </w:pPr>
            <w:r w:rsidRPr="00170F6F">
              <w:rPr>
                <w:szCs w:val="22"/>
                <w:lang w:val="el-GR"/>
              </w:rPr>
              <w:t>&lt;5</w:t>
            </w:r>
          </w:p>
        </w:tc>
        <w:tc>
          <w:tcPr>
            <w:tcW w:w="2464" w:type="dxa"/>
            <w:vAlign w:val="center"/>
          </w:tcPr>
          <w:p w:rsidR="00461D88" w:rsidRPr="00170F6F" w:rsidRDefault="00461D88" w:rsidP="00C773E4">
            <w:pPr>
              <w:jc w:val="center"/>
              <w:rPr>
                <w:szCs w:val="22"/>
                <w:lang w:val="el-GR"/>
              </w:rPr>
            </w:pPr>
            <w:r w:rsidRPr="00170F6F">
              <w:rPr>
                <w:szCs w:val="22"/>
                <w:lang w:val="el-GR"/>
              </w:rPr>
              <w:t>&gt;500</w:t>
            </w:r>
          </w:p>
          <w:p w:rsidR="00461D88" w:rsidRPr="00170F6F" w:rsidRDefault="00461D88" w:rsidP="00C773E4">
            <w:pPr>
              <w:jc w:val="center"/>
              <w:rPr>
                <w:szCs w:val="22"/>
                <w:lang w:val="el-GR"/>
              </w:rPr>
            </w:pPr>
            <w:r w:rsidRPr="00170F6F">
              <w:rPr>
                <w:szCs w:val="22"/>
                <w:lang w:val="el-GR"/>
              </w:rPr>
              <w:t>(&gt;5,6)</w:t>
            </w:r>
          </w:p>
        </w:tc>
        <w:tc>
          <w:tcPr>
            <w:tcW w:w="2464" w:type="dxa"/>
            <w:vAlign w:val="center"/>
          </w:tcPr>
          <w:p w:rsidR="00461D88" w:rsidRPr="00170F6F" w:rsidRDefault="00461D88" w:rsidP="00C773E4">
            <w:pPr>
              <w:jc w:val="center"/>
              <w:rPr>
                <w:szCs w:val="22"/>
                <w:lang w:val="el-GR"/>
              </w:rPr>
            </w:pPr>
            <w:r w:rsidRPr="00170F6F">
              <w:rPr>
                <w:szCs w:val="22"/>
                <w:lang w:val="el-GR"/>
              </w:rPr>
              <w:t>0,5</w:t>
            </w:r>
          </w:p>
        </w:tc>
        <w:tc>
          <w:tcPr>
            <w:tcW w:w="2464" w:type="dxa"/>
            <w:vAlign w:val="center"/>
          </w:tcPr>
          <w:p w:rsidR="00461D88" w:rsidRPr="00170F6F" w:rsidRDefault="00461D88" w:rsidP="00C773E4">
            <w:pPr>
              <w:jc w:val="center"/>
              <w:rPr>
                <w:szCs w:val="22"/>
                <w:lang w:val="el-GR"/>
              </w:rPr>
            </w:pPr>
            <w:r w:rsidRPr="00170F6F">
              <w:rPr>
                <w:szCs w:val="22"/>
                <w:lang w:val="el-GR"/>
              </w:rPr>
              <w:t>48</w:t>
            </w:r>
          </w:p>
        </w:tc>
      </w:tr>
    </w:tbl>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Σε ασθενείς με σοβαρές λοιμώξεις, πρέπει να αυξάνεται η μονάδα δόσης κατά 50 % ή  να αυξάνεται η συχνότητα χορήγησης της δόσης. </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Σε παιδιά, η κάθαρση </w:t>
      </w:r>
      <w:proofErr w:type="spellStart"/>
      <w:r w:rsidRPr="00170F6F">
        <w:rPr>
          <w:szCs w:val="22"/>
          <w:lang w:val="el-GR"/>
        </w:rPr>
        <w:t>κρεατινίνης</w:t>
      </w:r>
      <w:proofErr w:type="spellEnd"/>
      <w:r w:rsidRPr="00170F6F">
        <w:rPr>
          <w:szCs w:val="22"/>
          <w:lang w:val="el-GR"/>
        </w:rPr>
        <w:t xml:space="preserve"> πρέπει να προσαρμόζεται ανάλογα προς την επιφάνεια σώματος ή την ελεύθερη λίπους σωματική μάζα.</w:t>
      </w:r>
    </w:p>
    <w:p w:rsidR="00461D88" w:rsidRPr="00170F6F" w:rsidRDefault="00461D88" w:rsidP="00461D88">
      <w:pPr>
        <w:rPr>
          <w:szCs w:val="22"/>
          <w:lang w:val="el-GR"/>
        </w:rPr>
      </w:pPr>
    </w:p>
    <w:p w:rsidR="00461D88" w:rsidRPr="00170F6F" w:rsidRDefault="00461D88" w:rsidP="00461D88">
      <w:pPr>
        <w:keepNext/>
        <w:rPr>
          <w:i/>
          <w:szCs w:val="22"/>
          <w:lang w:val="el-GR"/>
        </w:rPr>
      </w:pPr>
      <w:r w:rsidRPr="00170F6F">
        <w:rPr>
          <w:i/>
          <w:szCs w:val="22"/>
          <w:lang w:val="el-GR"/>
        </w:rPr>
        <w:lastRenderedPageBreak/>
        <w:t>Παιδιά &lt; 40 </w:t>
      </w:r>
      <w:proofErr w:type="spellStart"/>
      <w:r w:rsidRPr="00170F6F">
        <w:rPr>
          <w:i/>
          <w:szCs w:val="22"/>
          <w:lang w:val="el-GR"/>
        </w:rPr>
        <w:t>kg</w:t>
      </w:r>
      <w:proofErr w:type="spellEnd"/>
    </w:p>
    <w:p w:rsidR="00461D88" w:rsidRPr="00170F6F" w:rsidRDefault="00461D88" w:rsidP="00461D88">
      <w:pPr>
        <w:keepNext/>
        <w:rPr>
          <w:szCs w:val="22"/>
          <w:u w:val="single"/>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312"/>
        <w:gridCol w:w="2353"/>
        <w:gridCol w:w="2307"/>
      </w:tblGrid>
      <w:tr w:rsidR="00461D88" w:rsidRPr="00170F6F" w:rsidTr="00C773E4">
        <w:trPr>
          <w:jc w:val="center"/>
        </w:trPr>
        <w:tc>
          <w:tcPr>
            <w:tcW w:w="2315" w:type="dxa"/>
            <w:vAlign w:val="center"/>
          </w:tcPr>
          <w:p w:rsidR="00461D88" w:rsidRPr="00170F6F" w:rsidRDefault="00461D88" w:rsidP="00C773E4">
            <w:pPr>
              <w:keepNext/>
              <w:jc w:val="center"/>
              <w:rPr>
                <w:szCs w:val="22"/>
                <w:lang w:val="el-GR"/>
              </w:rPr>
            </w:pPr>
            <w:r w:rsidRPr="00170F6F">
              <w:rPr>
                <w:szCs w:val="22"/>
                <w:lang w:val="el-GR"/>
              </w:rPr>
              <w:t xml:space="preserve">Κάθαρση </w:t>
            </w:r>
            <w:proofErr w:type="spellStart"/>
            <w:r w:rsidRPr="00170F6F">
              <w:rPr>
                <w:szCs w:val="22"/>
                <w:lang w:val="el-GR"/>
              </w:rPr>
              <w:t>κρεατινίνης</w:t>
            </w:r>
            <w:proofErr w:type="spellEnd"/>
          </w:p>
          <w:p w:rsidR="00461D88" w:rsidRPr="00170F6F" w:rsidRDefault="00461D88" w:rsidP="00C773E4">
            <w:pPr>
              <w:keepNext/>
              <w:jc w:val="center"/>
              <w:rPr>
                <w:szCs w:val="22"/>
                <w:lang w:val="el-GR"/>
              </w:rPr>
            </w:pPr>
            <w:r w:rsidRPr="00170F6F">
              <w:rPr>
                <w:szCs w:val="22"/>
                <w:lang w:val="el-GR"/>
              </w:rPr>
              <w:t>(ml/</w:t>
            </w:r>
            <w:proofErr w:type="spellStart"/>
            <w:r w:rsidRPr="00170F6F">
              <w:rPr>
                <w:szCs w:val="22"/>
                <w:lang w:val="el-GR"/>
              </w:rPr>
              <w:t>λεπτ</w:t>
            </w:r>
            <w:proofErr w:type="spellEnd"/>
            <w:r w:rsidRPr="00170F6F">
              <w:rPr>
                <w:szCs w:val="22"/>
                <w:lang w:val="el-GR"/>
              </w:rPr>
              <w:t>ό)**</w:t>
            </w:r>
          </w:p>
        </w:tc>
        <w:tc>
          <w:tcPr>
            <w:tcW w:w="2312" w:type="dxa"/>
            <w:vAlign w:val="center"/>
          </w:tcPr>
          <w:p w:rsidR="00461D88" w:rsidRPr="00170F6F" w:rsidRDefault="00461D88" w:rsidP="00C773E4">
            <w:pPr>
              <w:keepNext/>
              <w:jc w:val="center"/>
              <w:rPr>
                <w:szCs w:val="22"/>
                <w:lang w:val="el-GR"/>
              </w:rPr>
            </w:pPr>
            <w:r w:rsidRPr="00170F6F">
              <w:rPr>
                <w:szCs w:val="22"/>
                <w:lang w:val="el-GR"/>
              </w:rPr>
              <w:t xml:space="preserve">Κατά προσέγγιση κάθαρση </w:t>
            </w:r>
            <w:proofErr w:type="spellStart"/>
            <w:r w:rsidRPr="00170F6F">
              <w:rPr>
                <w:szCs w:val="22"/>
                <w:lang w:val="el-GR"/>
              </w:rPr>
              <w:t>κρεατινίνης</w:t>
            </w:r>
            <w:proofErr w:type="spellEnd"/>
            <w:r w:rsidRPr="00170F6F">
              <w:rPr>
                <w:szCs w:val="22"/>
                <w:lang w:val="el-GR"/>
              </w:rPr>
              <w:t>*</w:t>
            </w:r>
          </w:p>
          <w:p w:rsidR="00461D88" w:rsidRPr="00170F6F" w:rsidRDefault="00461D88" w:rsidP="00C773E4">
            <w:pPr>
              <w:keepNext/>
              <w:jc w:val="center"/>
              <w:rPr>
                <w:szCs w:val="22"/>
                <w:lang w:val="el-GR"/>
              </w:rPr>
            </w:pPr>
            <w:r w:rsidRPr="00170F6F">
              <w:rPr>
                <w:szCs w:val="22"/>
                <w:lang w:val="el-GR"/>
              </w:rPr>
              <w:t>µ</w:t>
            </w:r>
            <w:proofErr w:type="spellStart"/>
            <w:r w:rsidRPr="00170F6F">
              <w:rPr>
                <w:szCs w:val="22"/>
                <w:lang w:val="el-GR"/>
              </w:rPr>
              <w:t>mol</w:t>
            </w:r>
            <w:proofErr w:type="spellEnd"/>
            <w:r w:rsidRPr="00170F6F">
              <w:rPr>
                <w:szCs w:val="22"/>
                <w:lang w:val="el-GR"/>
              </w:rPr>
              <w:t>/l (</w:t>
            </w:r>
            <w:proofErr w:type="spellStart"/>
            <w:r w:rsidRPr="00170F6F">
              <w:rPr>
                <w:szCs w:val="22"/>
                <w:lang w:val="el-GR"/>
              </w:rPr>
              <w:t>mg</w:t>
            </w:r>
            <w:proofErr w:type="spellEnd"/>
            <w:r w:rsidRPr="00170F6F">
              <w:rPr>
                <w:szCs w:val="22"/>
                <w:lang w:val="el-GR"/>
              </w:rPr>
              <w:t>/</w:t>
            </w:r>
            <w:proofErr w:type="spellStart"/>
            <w:r w:rsidRPr="00170F6F">
              <w:rPr>
                <w:szCs w:val="22"/>
                <w:lang w:val="el-GR"/>
              </w:rPr>
              <w:t>dl</w:t>
            </w:r>
            <w:proofErr w:type="spellEnd"/>
            <w:r w:rsidRPr="00170F6F">
              <w:rPr>
                <w:szCs w:val="22"/>
                <w:lang w:val="el-GR"/>
              </w:rPr>
              <w:t>)</w:t>
            </w:r>
          </w:p>
        </w:tc>
        <w:tc>
          <w:tcPr>
            <w:tcW w:w="2353" w:type="dxa"/>
            <w:vAlign w:val="center"/>
          </w:tcPr>
          <w:p w:rsidR="00461D88" w:rsidRPr="00170F6F" w:rsidRDefault="00461D88" w:rsidP="00C773E4">
            <w:pPr>
              <w:keepNext/>
              <w:jc w:val="center"/>
              <w:rPr>
                <w:szCs w:val="22"/>
                <w:lang w:val="el-GR"/>
              </w:rPr>
            </w:pPr>
            <w:r w:rsidRPr="00170F6F">
              <w:rPr>
                <w:szCs w:val="22"/>
                <w:lang w:val="el-GR"/>
              </w:rPr>
              <w:t xml:space="preserve">Συνιστώμενη μεμονωμένη δόση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 xml:space="preserve"> σωματικού βάρους</w:t>
            </w:r>
          </w:p>
        </w:tc>
        <w:tc>
          <w:tcPr>
            <w:tcW w:w="2307" w:type="dxa"/>
            <w:vAlign w:val="center"/>
          </w:tcPr>
          <w:p w:rsidR="00461D88" w:rsidRPr="00170F6F" w:rsidRDefault="00461D88" w:rsidP="00C773E4">
            <w:pPr>
              <w:keepNext/>
              <w:jc w:val="center"/>
              <w:rPr>
                <w:szCs w:val="22"/>
                <w:lang w:val="el-GR"/>
              </w:rPr>
            </w:pPr>
            <w:r w:rsidRPr="00170F6F">
              <w:rPr>
                <w:szCs w:val="22"/>
                <w:lang w:val="el-GR"/>
              </w:rPr>
              <w:t>Συχνότητα χορήγησης δόσης (ωριαία)</w:t>
            </w:r>
          </w:p>
        </w:tc>
      </w:tr>
      <w:tr w:rsidR="00461D88" w:rsidRPr="00170F6F" w:rsidTr="00C773E4">
        <w:trPr>
          <w:jc w:val="center"/>
        </w:trPr>
        <w:tc>
          <w:tcPr>
            <w:tcW w:w="2315" w:type="dxa"/>
            <w:vAlign w:val="center"/>
          </w:tcPr>
          <w:p w:rsidR="00461D88" w:rsidRPr="00170F6F" w:rsidRDefault="00461D88" w:rsidP="00C773E4">
            <w:pPr>
              <w:jc w:val="center"/>
              <w:rPr>
                <w:szCs w:val="22"/>
                <w:lang w:val="el-GR"/>
              </w:rPr>
            </w:pPr>
            <w:r w:rsidRPr="00170F6F">
              <w:rPr>
                <w:szCs w:val="22"/>
                <w:lang w:val="el-GR"/>
              </w:rPr>
              <w:t>50-31</w:t>
            </w:r>
          </w:p>
        </w:tc>
        <w:tc>
          <w:tcPr>
            <w:tcW w:w="2312" w:type="dxa"/>
            <w:vAlign w:val="center"/>
          </w:tcPr>
          <w:p w:rsidR="00461D88" w:rsidRPr="00170F6F" w:rsidRDefault="00461D88" w:rsidP="00C773E4">
            <w:pPr>
              <w:jc w:val="center"/>
              <w:rPr>
                <w:szCs w:val="22"/>
                <w:lang w:val="el-GR"/>
              </w:rPr>
            </w:pPr>
            <w:r w:rsidRPr="00170F6F">
              <w:rPr>
                <w:szCs w:val="22"/>
                <w:lang w:val="el-GR"/>
              </w:rPr>
              <w:t>150-200</w:t>
            </w:r>
          </w:p>
          <w:p w:rsidR="00461D88" w:rsidRPr="00170F6F" w:rsidRDefault="00461D88" w:rsidP="00C773E4">
            <w:pPr>
              <w:jc w:val="center"/>
              <w:rPr>
                <w:szCs w:val="22"/>
                <w:lang w:val="el-GR"/>
              </w:rPr>
            </w:pPr>
            <w:r w:rsidRPr="00170F6F">
              <w:rPr>
                <w:szCs w:val="22"/>
                <w:lang w:val="el-GR"/>
              </w:rPr>
              <w:t>(1,7-2,3)</w:t>
            </w:r>
          </w:p>
        </w:tc>
        <w:tc>
          <w:tcPr>
            <w:tcW w:w="2353" w:type="dxa"/>
            <w:vAlign w:val="center"/>
          </w:tcPr>
          <w:p w:rsidR="00461D88" w:rsidRPr="00170F6F" w:rsidRDefault="00461D88" w:rsidP="00C773E4">
            <w:pPr>
              <w:jc w:val="center"/>
              <w:rPr>
                <w:szCs w:val="22"/>
                <w:lang w:val="el-GR"/>
              </w:rPr>
            </w:pPr>
            <w:r w:rsidRPr="00170F6F">
              <w:rPr>
                <w:szCs w:val="22"/>
                <w:lang w:val="el-GR"/>
              </w:rPr>
              <w:t>25</w:t>
            </w:r>
          </w:p>
        </w:tc>
        <w:tc>
          <w:tcPr>
            <w:tcW w:w="2307" w:type="dxa"/>
            <w:vAlign w:val="center"/>
          </w:tcPr>
          <w:p w:rsidR="00461D88" w:rsidRPr="00170F6F" w:rsidRDefault="00461D88" w:rsidP="00C773E4">
            <w:pPr>
              <w:jc w:val="center"/>
              <w:rPr>
                <w:szCs w:val="22"/>
                <w:lang w:val="el-GR"/>
              </w:rPr>
            </w:pPr>
            <w:r w:rsidRPr="00170F6F">
              <w:rPr>
                <w:szCs w:val="22"/>
                <w:lang w:val="el-GR"/>
              </w:rPr>
              <w:t>12</w:t>
            </w:r>
          </w:p>
        </w:tc>
      </w:tr>
      <w:tr w:rsidR="00461D88" w:rsidRPr="00170F6F" w:rsidTr="00C773E4">
        <w:trPr>
          <w:jc w:val="center"/>
        </w:trPr>
        <w:tc>
          <w:tcPr>
            <w:tcW w:w="2315" w:type="dxa"/>
            <w:vAlign w:val="center"/>
          </w:tcPr>
          <w:p w:rsidR="00461D88" w:rsidRPr="00170F6F" w:rsidRDefault="00461D88" w:rsidP="00C773E4">
            <w:pPr>
              <w:jc w:val="center"/>
              <w:rPr>
                <w:szCs w:val="22"/>
                <w:lang w:val="el-GR"/>
              </w:rPr>
            </w:pPr>
            <w:r w:rsidRPr="00170F6F">
              <w:rPr>
                <w:szCs w:val="22"/>
                <w:lang w:val="el-GR"/>
              </w:rPr>
              <w:t>30-16</w:t>
            </w:r>
          </w:p>
        </w:tc>
        <w:tc>
          <w:tcPr>
            <w:tcW w:w="2312" w:type="dxa"/>
            <w:vAlign w:val="center"/>
          </w:tcPr>
          <w:p w:rsidR="00461D88" w:rsidRPr="00170F6F" w:rsidRDefault="00461D88" w:rsidP="00C773E4">
            <w:pPr>
              <w:jc w:val="center"/>
              <w:rPr>
                <w:szCs w:val="22"/>
                <w:lang w:val="el-GR"/>
              </w:rPr>
            </w:pPr>
            <w:r w:rsidRPr="00170F6F">
              <w:rPr>
                <w:szCs w:val="22"/>
                <w:lang w:val="el-GR"/>
              </w:rPr>
              <w:t>200-350</w:t>
            </w:r>
          </w:p>
          <w:p w:rsidR="00461D88" w:rsidRPr="00170F6F" w:rsidRDefault="00461D88" w:rsidP="00C773E4">
            <w:pPr>
              <w:jc w:val="center"/>
              <w:rPr>
                <w:szCs w:val="22"/>
                <w:lang w:val="el-GR"/>
              </w:rPr>
            </w:pPr>
            <w:r w:rsidRPr="00170F6F">
              <w:rPr>
                <w:szCs w:val="22"/>
                <w:lang w:val="el-GR"/>
              </w:rPr>
              <w:t>(2,3-4,0)</w:t>
            </w:r>
          </w:p>
        </w:tc>
        <w:tc>
          <w:tcPr>
            <w:tcW w:w="2353" w:type="dxa"/>
            <w:vAlign w:val="center"/>
          </w:tcPr>
          <w:p w:rsidR="00461D88" w:rsidRPr="00170F6F" w:rsidRDefault="00461D88" w:rsidP="00C773E4">
            <w:pPr>
              <w:jc w:val="center"/>
              <w:rPr>
                <w:szCs w:val="22"/>
                <w:lang w:val="el-GR"/>
              </w:rPr>
            </w:pPr>
            <w:r w:rsidRPr="00170F6F">
              <w:rPr>
                <w:szCs w:val="22"/>
                <w:lang w:val="el-GR"/>
              </w:rPr>
              <w:t>25</w:t>
            </w:r>
          </w:p>
        </w:tc>
        <w:tc>
          <w:tcPr>
            <w:tcW w:w="2307" w:type="dxa"/>
            <w:vAlign w:val="center"/>
          </w:tcPr>
          <w:p w:rsidR="00461D88" w:rsidRPr="00170F6F" w:rsidRDefault="00461D88" w:rsidP="00C773E4">
            <w:pPr>
              <w:jc w:val="center"/>
              <w:rPr>
                <w:szCs w:val="22"/>
                <w:lang w:val="el-GR"/>
              </w:rPr>
            </w:pPr>
            <w:r w:rsidRPr="00170F6F">
              <w:rPr>
                <w:szCs w:val="22"/>
                <w:lang w:val="el-GR"/>
              </w:rPr>
              <w:t>24</w:t>
            </w:r>
          </w:p>
        </w:tc>
      </w:tr>
      <w:tr w:rsidR="00461D88" w:rsidRPr="00170F6F" w:rsidTr="00C773E4">
        <w:trPr>
          <w:jc w:val="center"/>
        </w:trPr>
        <w:tc>
          <w:tcPr>
            <w:tcW w:w="2315" w:type="dxa"/>
            <w:vAlign w:val="center"/>
          </w:tcPr>
          <w:p w:rsidR="00461D88" w:rsidRPr="00170F6F" w:rsidRDefault="00461D88" w:rsidP="00C773E4">
            <w:pPr>
              <w:jc w:val="center"/>
              <w:rPr>
                <w:szCs w:val="22"/>
                <w:lang w:val="el-GR"/>
              </w:rPr>
            </w:pPr>
            <w:r w:rsidRPr="00170F6F">
              <w:rPr>
                <w:szCs w:val="22"/>
                <w:lang w:val="el-GR"/>
              </w:rPr>
              <w:t>15-6</w:t>
            </w:r>
          </w:p>
        </w:tc>
        <w:tc>
          <w:tcPr>
            <w:tcW w:w="2312" w:type="dxa"/>
            <w:vAlign w:val="center"/>
          </w:tcPr>
          <w:p w:rsidR="00461D88" w:rsidRPr="00170F6F" w:rsidRDefault="00461D88" w:rsidP="00C773E4">
            <w:pPr>
              <w:jc w:val="center"/>
              <w:rPr>
                <w:szCs w:val="22"/>
                <w:lang w:val="el-GR"/>
              </w:rPr>
            </w:pPr>
            <w:r w:rsidRPr="00170F6F">
              <w:rPr>
                <w:szCs w:val="22"/>
                <w:lang w:val="el-GR"/>
              </w:rPr>
              <w:t>350-500</w:t>
            </w:r>
          </w:p>
          <w:p w:rsidR="00461D88" w:rsidRPr="00170F6F" w:rsidRDefault="00461D88" w:rsidP="00C773E4">
            <w:pPr>
              <w:jc w:val="center"/>
              <w:rPr>
                <w:szCs w:val="22"/>
                <w:lang w:val="el-GR"/>
              </w:rPr>
            </w:pPr>
            <w:r w:rsidRPr="00170F6F">
              <w:rPr>
                <w:szCs w:val="22"/>
                <w:lang w:val="el-GR"/>
              </w:rPr>
              <w:t>(4,0-5,6)</w:t>
            </w:r>
          </w:p>
        </w:tc>
        <w:tc>
          <w:tcPr>
            <w:tcW w:w="2353" w:type="dxa"/>
            <w:vAlign w:val="center"/>
          </w:tcPr>
          <w:p w:rsidR="00461D88" w:rsidRPr="00170F6F" w:rsidRDefault="00461D88" w:rsidP="00C773E4">
            <w:pPr>
              <w:jc w:val="center"/>
              <w:rPr>
                <w:szCs w:val="22"/>
                <w:lang w:val="el-GR"/>
              </w:rPr>
            </w:pPr>
            <w:r w:rsidRPr="00170F6F">
              <w:rPr>
                <w:szCs w:val="22"/>
                <w:lang w:val="el-GR"/>
              </w:rPr>
              <w:t>12,5</w:t>
            </w:r>
          </w:p>
        </w:tc>
        <w:tc>
          <w:tcPr>
            <w:tcW w:w="2307" w:type="dxa"/>
            <w:vAlign w:val="center"/>
          </w:tcPr>
          <w:p w:rsidR="00461D88" w:rsidRPr="00170F6F" w:rsidRDefault="00461D88" w:rsidP="00C773E4">
            <w:pPr>
              <w:jc w:val="center"/>
              <w:rPr>
                <w:szCs w:val="22"/>
                <w:lang w:val="el-GR"/>
              </w:rPr>
            </w:pPr>
            <w:r w:rsidRPr="00170F6F">
              <w:rPr>
                <w:szCs w:val="22"/>
                <w:lang w:val="el-GR"/>
              </w:rPr>
              <w:t>24</w:t>
            </w:r>
          </w:p>
        </w:tc>
      </w:tr>
      <w:tr w:rsidR="00461D88" w:rsidRPr="00170F6F" w:rsidTr="00C773E4">
        <w:trPr>
          <w:jc w:val="center"/>
        </w:trPr>
        <w:tc>
          <w:tcPr>
            <w:tcW w:w="2315" w:type="dxa"/>
            <w:vAlign w:val="center"/>
          </w:tcPr>
          <w:p w:rsidR="00461D88" w:rsidRPr="00170F6F" w:rsidRDefault="00461D88" w:rsidP="00C773E4">
            <w:pPr>
              <w:jc w:val="center"/>
              <w:rPr>
                <w:szCs w:val="22"/>
                <w:lang w:val="el-GR"/>
              </w:rPr>
            </w:pPr>
            <w:r w:rsidRPr="00170F6F">
              <w:rPr>
                <w:szCs w:val="22"/>
                <w:lang w:val="el-GR"/>
              </w:rPr>
              <w:t>&lt;5</w:t>
            </w:r>
          </w:p>
        </w:tc>
        <w:tc>
          <w:tcPr>
            <w:tcW w:w="2312" w:type="dxa"/>
            <w:vAlign w:val="center"/>
          </w:tcPr>
          <w:p w:rsidR="00461D88" w:rsidRPr="00170F6F" w:rsidRDefault="00461D88" w:rsidP="00C773E4">
            <w:pPr>
              <w:jc w:val="center"/>
              <w:rPr>
                <w:szCs w:val="22"/>
                <w:lang w:val="el-GR"/>
              </w:rPr>
            </w:pPr>
            <w:r w:rsidRPr="00170F6F">
              <w:rPr>
                <w:szCs w:val="22"/>
                <w:lang w:val="el-GR"/>
              </w:rPr>
              <w:t>&gt;500</w:t>
            </w:r>
          </w:p>
          <w:p w:rsidR="00461D88" w:rsidRPr="00170F6F" w:rsidRDefault="00461D88" w:rsidP="00C773E4">
            <w:pPr>
              <w:jc w:val="center"/>
              <w:rPr>
                <w:szCs w:val="22"/>
                <w:lang w:val="el-GR"/>
              </w:rPr>
            </w:pPr>
            <w:r w:rsidRPr="00170F6F">
              <w:rPr>
                <w:szCs w:val="22"/>
                <w:lang w:val="el-GR"/>
              </w:rPr>
              <w:t>(&gt;5,6)</w:t>
            </w:r>
          </w:p>
        </w:tc>
        <w:tc>
          <w:tcPr>
            <w:tcW w:w="2353" w:type="dxa"/>
            <w:vAlign w:val="center"/>
          </w:tcPr>
          <w:p w:rsidR="00461D88" w:rsidRPr="00170F6F" w:rsidRDefault="00461D88" w:rsidP="00C773E4">
            <w:pPr>
              <w:jc w:val="center"/>
              <w:rPr>
                <w:szCs w:val="22"/>
                <w:lang w:val="el-GR"/>
              </w:rPr>
            </w:pPr>
            <w:r w:rsidRPr="00170F6F">
              <w:rPr>
                <w:szCs w:val="22"/>
                <w:lang w:val="el-GR"/>
              </w:rPr>
              <w:t>12,5</w:t>
            </w:r>
          </w:p>
        </w:tc>
        <w:tc>
          <w:tcPr>
            <w:tcW w:w="2307" w:type="dxa"/>
            <w:vAlign w:val="center"/>
          </w:tcPr>
          <w:p w:rsidR="00461D88" w:rsidRPr="00170F6F" w:rsidRDefault="00461D88" w:rsidP="00C773E4">
            <w:pPr>
              <w:jc w:val="center"/>
              <w:rPr>
                <w:szCs w:val="22"/>
                <w:lang w:val="el-GR"/>
              </w:rPr>
            </w:pPr>
            <w:r w:rsidRPr="00170F6F">
              <w:rPr>
                <w:szCs w:val="22"/>
                <w:lang w:val="el-GR"/>
              </w:rPr>
              <w:t>48</w:t>
            </w:r>
          </w:p>
        </w:tc>
      </w:tr>
      <w:tr w:rsidR="00461D88" w:rsidRPr="003536AE" w:rsidTr="00C773E4">
        <w:trPr>
          <w:jc w:val="center"/>
        </w:trPr>
        <w:tc>
          <w:tcPr>
            <w:tcW w:w="9287" w:type="dxa"/>
            <w:gridSpan w:val="4"/>
            <w:vAlign w:val="center"/>
          </w:tcPr>
          <w:p w:rsidR="00461D88" w:rsidRPr="00170F6F" w:rsidRDefault="00461D88" w:rsidP="00C773E4">
            <w:pPr>
              <w:rPr>
                <w:szCs w:val="22"/>
                <w:lang w:val="el-GR"/>
              </w:rPr>
            </w:pPr>
            <w:r w:rsidRPr="00170F6F">
              <w:rPr>
                <w:szCs w:val="22"/>
                <w:lang w:val="el-GR"/>
              </w:rPr>
              <w:t xml:space="preserve">* Οι τιμές </w:t>
            </w:r>
            <w:proofErr w:type="spellStart"/>
            <w:r w:rsidRPr="00170F6F">
              <w:rPr>
                <w:szCs w:val="22"/>
                <w:lang w:val="el-GR"/>
              </w:rPr>
              <w:t>κρεατινίνης</w:t>
            </w:r>
            <w:proofErr w:type="spellEnd"/>
            <w:r w:rsidRPr="00170F6F">
              <w:rPr>
                <w:szCs w:val="22"/>
                <w:lang w:val="el-GR"/>
              </w:rPr>
              <w:t xml:space="preserve"> ορού είναι ενδεικτικές και ενδέχεται να μην αντιπροσωπεύουν ακριβώς τον ίδιο βαθμό μείωσης για όλους τους ασθενείς με έκπτωση της νεφρικής λειτουργίας.</w:t>
            </w:r>
          </w:p>
          <w:p w:rsidR="00461D88" w:rsidRPr="00170F6F" w:rsidRDefault="00461D88" w:rsidP="00C773E4">
            <w:pPr>
              <w:rPr>
                <w:szCs w:val="22"/>
                <w:lang w:val="el-GR"/>
              </w:rPr>
            </w:pPr>
            <w:r w:rsidRPr="00170F6F">
              <w:rPr>
                <w:szCs w:val="22"/>
                <w:lang w:val="el-GR"/>
              </w:rPr>
              <w:t>** Υπολογίζεται βάσει της επιφάνειας σώματος, ή μετράται.</w:t>
            </w:r>
          </w:p>
        </w:tc>
      </w:tr>
    </w:tbl>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Συνιστάται στενή κλινική παρακολούθηση για την ασφάλεια και την αποτελεσματικότητα.</w:t>
      </w:r>
    </w:p>
    <w:p w:rsidR="00461D88" w:rsidRPr="00170F6F" w:rsidRDefault="00461D88" w:rsidP="00461D88">
      <w:pPr>
        <w:rPr>
          <w:szCs w:val="22"/>
          <w:lang w:val="el-GR"/>
        </w:rPr>
      </w:pPr>
    </w:p>
    <w:p w:rsidR="00461D88" w:rsidRPr="00170F6F" w:rsidRDefault="00461D88" w:rsidP="00461D88">
      <w:pPr>
        <w:rPr>
          <w:szCs w:val="22"/>
          <w:u w:val="single"/>
          <w:lang w:val="el-GR"/>
        </w:rPr>
      </w:pPr>
      <w:r w:rsidRPr="00170F6F">
        <w:rPr>
          <w:szCs w:val="22"/>
          <w:u w:val="single"/>
          <w:lang w:val="el-GR"/>
        </w:rPr>
        <w:t xml:space="preserve">Πίνακας 4: Συνιστώμενες δόσεις </w:t>
      </w:r>
      <w:r w:rsidRPr="0099302B">
        <w:rPr>
          <w:szCs w:val="22"/>
          <w:u w:val="single"/>
          <w:lang w:val="el-GR"/>
        </w:rPr>
        <w:t xml:space="preserve">συντήρησης </w:t>
      </w:r>
      <w:r w:rsidR="0099302B" w:rsidRPr="0099302B">
        <w:rPr>
          <w:szCs w:val="22"/>
          <w:u w:val="single"/>
        </w:rPr>
        <w:t>Ceftazidime</w:t>
      </w:r>
      <w:r w:rsidR="0099302B" w:rsidRPr="0099302B">
        <w:rPr>
          <w:szCs w:val="22"/>
          <w:u w:val="single"/>
          <w:lang w:val="el-GR"/>
        </w:rPr>
        <w:t>/</w:t>
      </w:r>
      <w:r w:rsidR="0099302B" w:rsidRPr="0099302B">
        <w:rPr>
          <w:szCs w:val="22"/>
          <w:u w:val="single"/>
        </w:rPr>
        <w:t>Cooper</w:t>
      </w:r>
      <w:r w:rsidRPr="0099302B">
        <w:rPr>
          <w:szCs w:val="22"/>
          <w:u w:val="single"/>
          <w:lang w:val="el-GR"/>
        </w:rPr>
        <w:t xml:space="preserve"> σε</w:t>
      </w:r>
      <w:r w:rsidRPr="00170F6F">
        <w:rPr>
          <w:szCs w:val="22"/>
          <w:u w:val="single"/>
          <w:lang w:val="el-GR"/>
        </w:rPr>
        <w:t xml:space="preserve"> νεφρική δυσλειτουργία – συνεχής έγχυση</w:t>
      </w:r>
    </w:p>
    <w:p w:rsidR="00461D88" w:rsidRPr="00170F6F" w:rsidRDefault="00461D88" w:rsidP="00461D88">
      <w:pPr>
        <w:rPr>
          <w:szCs w:val="22"/>
          <w:u w:val="single"/>
          <w:lang w:val="el-GR"/>
        </w:rPr>
      </w:pPr>
    </w:p>
    <w:p w:rsidR="00461D88" w:rsidRPr="00170F6F" w:rsidRDefault="00461D88" w:rsidP="00461D88">
      <w:pPr>
        <w:keepNext/>
        <w:rPr>
          <w:i/>
          <w:szCs w:val="22"/>
        </w:rPr>
      </w:pPr>
      <w:r w:rsidRPr="00170F6F">
        <w:rPr>
          <w:i/>
          <w:szCs w:val="22"/>
          <w:lang w:val="el-GR"/>
        </w:rPr>
        <w:t>Ενήλικες και παιδιά</w:t>
      </w:r>
      <w:r w:rsidRPr="00170F6F">
        <w:rPr>
          <w:i/>
          <w:szCs w:val="22"/>
        </w:rPr>
        <w:t xml:space="preserve"> </w:t>
      </w:r>
      <w:r w:rsidRPr="00170F6F">
        <w:rPr>
          <w:i/>
          <w:szCs w:val="22"/>
        </w:rPr>
        <w:sym w:font="Symbol" w:char="F0B3"/>
      </w:r>
      <w:r w:rsidRPr="00170F6F">
        <w:rPr>
          <w:i/>
          <w:szCs w:val="22"/>
        </w:rPr>
        <w:t xml:space="preserve"> 40 kg </w:t>
      </w:r>
    </w:p>
    <w:p w:rsidR="00461D88" w:rsidRPr="00170F6F" w:rsidRDefault="00461D88" w:rsidP="00461D88">
      <w:pPr>
        <w:rPr>
          <w:szCs w:val="22"/>
          <w:u w:val="single"/>
        </w:rPr>
      </w:pPr>
    </w:p>
    <w:tbl>
      <w:tblPr>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312"/>
        <w:gridCol w:w="2931"/>
      </w:tblGrid>
      <w:tr w:rsidR="00461D88" w:rsidRPr="00170F6F" w:rsidTr="00C773E4">
        <w:trPr>
          <w:jc w:val="center"/>
        </w:trPr>
        <w:tc>
          <w:tcPr>
            <w:tcW w:w="3491" w:type="dxa"/>
            <w:vAlign w:val="center"/>
          </w:tcPr>
          <w:p w:rsidR="00461D88" w:rsidRPr="00170F6F" w:rsidRDefault="00461D88" w:rsidP="00C773E4">
            <w:pPr>
              <w:keepNext/>
              <w:jc w:val="center"/>
              <w:rPr>
                <w:szCs w:val="22"/>
              </w:rPr>
            </w:pPr>
            <w:r w:rsidRPr="00170F6F">
              <w:rPr>
                <w:szCs w:val="22"/>
                <w:lang w:val="el-GR"/>
              </w:rPr>
              <w:t xml:space="preserve">Κάθαρση </w:t>
            </w:r>
            <w:proofErr w:type="spellStart"/>
            <w:r w:rsidRPr="00170F6F">
              <w:rPr>
                <w:szCs w:val="22"/>
                <w:lang w:val="el-GR"/>
              </w:rPr>
              <w:t>κρεατινίνης</w:t>
            </w:r>
            <w:proofErr w:type="spellEnd"/>
          </w:p>
          <w:p w:rsidR="00461D88" w:rsidRPr="00170F6F" w:rsidRDefault="00461D88" w:rsidP="00C773E4">
            <w:pPr>
              <w:keepNext/>
              <w:jc w:val="center"/>
              <w:rPr>
                <w:szCs w:val="22"/>
              </w:rPr>
            </w:pPr>
            <w:r w:rsidRPr="00170F6F">
              <w:rPr>
                <w:szCs w:val="22"/>
              </w:rPr>
              <w:t>(ml/min)</w:t>
            </w:r>
          </w:p>
        </w:tc>
        <w:tc>
          <w:tcPr>
            <w:tcW w:w="2312" w:type="dxa"/>
            <w:vAlign w:val="center"/>
          </w:tcPr>
          <w:p w:rsidR="00461D88" w:rsidRPr="00170F6F" w:rsidRDefault="00461D88" w:rsidP="00C773E4">
            <w:pPr>
              <w:keepNext/>
              <w:jc w:val="center"/>
              <w:rPr>
                <w:szCs w:val="22"/>
                <w:lang w:val="el-GR"/>
              </w:rPr>
            </w:pPr>
            <w:r w:rsidRPr="00170F6F">
              <w:rPr>
                <w:szCs w:val="22"/>
                <w:lang w:val="el-GR"/>
              </w:rPr>
              <w:t xml:space="preserve">Κατά προσέγγιση κάθαρση </w:t>
            </w:r>
            <w:proofErr w:type="spellStart"/>
            <w:r w:rsidRPr="00170F6F">
              <w:rPr>
                <w:szCs w:val="22"/>
                <w:lang w:val="el-GR"/>
              </w:rPr>
              <w:t>κρεατινίνης</w:t>
            </w:r>
            <w:proofErr w:type="spellEnd"/>
          </w:p>
          <w:p w:rsidR="00461D88" w:rsidRPr="00170F6F" w:rsidRDefault="00461D88" w:rsidP="00C773E4">
            <w:pPr>
              <w:keepNext/>
              <w:jc w:val="center"/>
              <w:rPr>
                <w:szCs w:val="22"/>
                <w:lang w:val="el-GR"/>
              </w:rPr>
            </w:pPr>
            <w:r w:rsidRPr="00170F6F">
              <w:rPr>
                <w:szCs w:val="22"/>
                <w:lang w:val="el-GR"/>
              </w:rPr>
              <w:t>µ</w:t>
            </w:r>
            <w:proofErr w:type="spellStart"/>
            <w:r w:rsidRPr="00170F6F">
              <w:rPr>
                <w:szCs w:val="22"/>
                <w:lang w:val="el-GR"/>
              </w:rPr>
              <w:t>mol</w:t>
            </w:r>
            <w:proofErr w:type="spellEnd"/>
            <w:r w:rsidRPr="00170F6F">
              <w:rPr>
                <w:szCs w:val="22"/>
                <w:lang w:val="el-GR"/>
              </w:rPr>
              <w:t>/l (</w:t>
            </w:r>
            <w:proofErr w:type="spellStart"/>
            <w:r w:rsidRPr="00170F6F">
              <w:rPr>
                <w:szCs w:val="22"/>
                <w:lang w:val="el-GR"/>
              </w:rPr>
              <w:t>mg</w:t>
            </w:r>
            <w:proofErr w:type="spellEnd"/>
            <w:r w:rsidRPr="00170F6F">
              <w:rPr>
                <w:szCs w:val="22"/>
                <w:lang w:val="el-GR"/>
              </w:rPr>
              <w:t>/</w:t>
            </w:r>
            <w:proofErr w:type="spellStart"/>
            <w:r w:rsidRPr="00170F6F">
              <w:rPr>
                <w:szCs w:val="22"/>
                <w:lang w:val="el-GR"/>
              </w:rPr>
              <w:t>dl</w:t>
            </w:r>
            <w:proofErr w:type="spellEnd"/>
            <w:r w:rsidRPr="00170F6F">
              <w:rPr>
                <w:szCs w:val="22"/>
                <w:lang w:val="el-GR"/>
              </w:rPr>
              <w:t>)</w:t>
            </w:r>
          </w:p>
        </w:tc>
        <w:tc>
          <w:tcPr>
            <w:tcW w:w="2931" w:type="dxa"/>
            <w:vAlign w:val="center"/>
          </w:tcPr>
          <w:p w:rsidR="00461D88" w:rsidRPr="00170F6F" w:rsidRDefault="00461D88" w:rsidP="00C773E4">
            <w:pPr>
              <w:keepNext/>
              <w:jc w:val="center"/>
              <w:rPr>
                <w:szCs w:val="22"/>
              </w:rPr>
            </w:pPr>
            <w:r w:rsidRPr="00170F6F">
              <w:rPr>
                <w:szCs w:val="22"/>
                <w:lang w:val="el-GR"/>
              </w:rPr>
              <w:t>Συχνότητα χορήγησης δόσης (ωριαία)</w:t>
            </w:r>
          </w:p>
        </w:tc>
      </w:tr>
      <w:tr w:rsidR="00461D88" w:rsidRPr="003536AE" w:rsidTr="00C773E4">
        <w:trPr>
          <w:jc w:val="center"/>
        </w:trPr>
        <w:tc>
          <w:tcPr>
            <w:tcW w:w="3491" w:type="dxa"/>
            <w:vAlign w:val="center"/>
          </w:tcPr>
          <w:p w:rsidR="00461D88" w:rsidRPr="00170F6F" w:rsidRDefault="00461D88" w:rsidP="00C773E4">
            <w:pPr>
              <w:jc w:val="center"/>
              <w:rPr>
                <w:szCs w:val="22"/>
              </w:rPr>
            </w:pPr>
            <w:r w:rsidRPr="00170F6F">
              <w:rPr>
                <w:szCs w:val="22"/>
              </w:rPr>
              <w:t>50-31</w:t>
            </w:r>
          </w:p>
        </w:tc>
        <w:tc>
          <w:tcPr>
            <w:tcW w:w="2312" w:type="dxa"/>
            <w:vAlign w:val="center"/>
          </w:tcPr>
          <w:p w:rsidR="00461D88" w:rsidRPr="00170F6F" w:rsidRDefault="00461D88" w:rsidP="00C773E4">
            <w:pPr>
              <w:jc w:val="center"/>
              <w:rPr>
                <w:szCs w:val="22"/>
              </w:rPr>
            </w:pPr>
            <w:r w:rsidRPr="00170F6F">
              <w:rPr>
                <w:szCs w:val="22"/>
              </w:rPr>
              <w:t>150-200</w:t>
            </w:r>
          </w:p>
          <w:p w:rsidR="00461D88" w:rsidRPr="00170F6F" w:rsidRDefault="00461D88" w:rsidP="00C773E4">
            <w:pPr>
              <w:jc w:val="center"/>
              <w:rPr>
                <w:szCs w:val="22"/>
              </w:rPr>
            </w:pPr>
            <w:r w:rsidRPr="00170F6F">
              <w:rPr>
                <w:szCs w:val="22"/>
              </w:rPr>
              <w:t>(1</w:t>
            </w:r>
            <w:r w:rsidRPr="00170F6F">
              <w:rPr>
                <w:szCs w:val="22"/>
                <w:lang w:val="el-GR"/>
              </w:rPr>
              <w:t>,</w:t>
            </w:r>
            <w:r w:rsidRPr="00170F6F">
              <w:rPr>
                <w:szCs w:val="22"/>
              </w:rPr>
              <w:t>7-2</w:t>
            </w:r>
            <w:r w:rsidRPr="00170F6F">
              <w:rPr>
                <w:szCs w:val="22"/>
                <w:lang w:val="el-GR"/>
              </w:rPr>
              <w:t>,</w:t>
            </w:r>
            <w:r w:rsidRPr="00170F6F">
              <w:rPr>
                <w:szCs w:val="22"/>
              </w:rPr>
              <w:t>3)</w:t>
            </w:r>
          </w:p>
        </w:tc>
        <w:tc>
          <w:tcPr>
            <w:tcW w:w="2931" w:type="dxa"/>
            <w:vAlign w:val="center"/>
          </w:tcPr>
          <w:p w:rsidR="00461D88" w:rsidRPr="00170F6F" w:rsidRDefault="00461D88" w:rsidP="00C773E4">
            <w:pPr>
              <w:jc w:val="center"/>
              <w:rPr>
                <w:szCs w:val="22"/>
                <w:lang w:val="el-GR"/>
              </w:rPr>
            </w:pPr>
            <w:r w:rsidRPr="00170F6F">
              <w:rPr>
                <w:szCs w:val="22"/>
                <w:lang w:val="el-GR"/>
              </w:rPr>
              <w:t>Δόση φόρτισης 2</w:t>
            </w:r>
            <w:r w:rsidRPr="00170F6F">
              <w:rPr>
                <w:szCs w:val="22"/>
              </w:rPr>
              <w:t> g</w:t>
            </w:r>
            <w:r w:rsidRPr="00170F6F">
              <w:rPr>
                <w:szCs w:val="22"/>
                <w:lang w:val="el-GR"/>
              </w:rPr>
              <w:t xml:space="preserve"> και ακολούθως 1</w:t>
            </w:r>
            <w:r w:rsidRPr="00170F6F">
              <w:rPr>
                <w:szCs w:val="22"/>
              </w:rPr>
              <w:t> g</w:t>
            </w:r>
            <w:r w:rsidRPr="00170F6F">
              <w:rPr>
                <w:szCs w:val="22"/>
                <w:lang w:val="el-GR"/>
              </w:rPr>
              <w:t xml:space="preserve"> έως 3</w:t>
            </w:r>
            <w:r w:rsidRPr="00170F6F">
              <w:rPr>
                <w:szCs w:val="22"/>
              </w:rPr>
              <w:t> g</w:t>
            </w:r>
            <w:r w:rsidRPr="00170F6F">
              <w:rPr>
                <w:szCs w:val="22"/>
                <w:lang w:val="el-GR"/>
              </w:rPr>
              <w:t xml:space="preserve"> /24 ώρες</w:t>
            </w:r>
          </w:p>
        </w:tc>
      </w:tr>
      <w:tr w:rsidR="00461D88" w:rsidRPr="003536AE" w:rsidTr="00C773E4">
        <w:trPr>
          <w:jc w:val="center"/>
        </w:trPr>
        <w:tc>
          <w:tcPr>
            <w:tcW w:w="3491" w:type="dxa"/>
            <w:vAlign w:val="center"/>
          </w:tcPr>
          <w:p w:rsidR="00461D88" w:rsidRPr="00170F6F" w:rsidRDefault="00461D88" w:rsidP="00C773E4">
            <w:pPr>
              <w:jc w:val="center"/>
              <w:rPr>
                <w:szCs w:val="22"/>
              </w:rPr>
            </w:pPr>
            <w:r w:rsidRPr="00170F6F">
              <w:rPr>
                <w:szCs w:val="22"/>
              </w:rPr>
              <w:t>30-16</w:t>
            </w:r>
          </w:p>
        </w:tc>
        <w:tc>
          <w:tcPr>
            <w:tcW w:w="2312" w:type="dxa"/>
            <w:vAlign w:val="center"/>
          </w:tcPr>
          <w:p w:rsidR="00461D88" w:rsidRPr="00170F6F" w:rsidRDefault="00461D88" w:rsidP="00C773E4">
            <w:pPr>
              <w:jc w:val="center"/>
              <w:rPr>
                <w:szCs w:val="22"/>
              </w:rPr>
            </w:pPr>
            <w:r w:rsidRPr="00170F6F">
              <w:rPr>
                <w:szCs w:val="22"/>
              </w:rPr>
              <w:t>200-350</w:t>
            </w:r>
          </w:p>
          <w:p w:rsidR="00461D88" w:rsidRPr="00170F6F" w:rsidRDefault="00461D88" w:rsidP="00C773E4">
            <w:pPr>
              <w:jc w:val="center"/>
              <w:rPr>
                <w:szCs w:val="22"/>
              </w:rPr>
            </w:pPr>
            <w:r w:rsidRPr="00170F6F">
              <w:rPr>
                <w:szCs w:val="22"/>
              </w:rPr>
              <w:t>(2</w:t>
            </w:r>
            <w:r w:rsidRPr="00170F6F">
              <w:rPr>
                <w:szCs w:val="22"/>
                <w:lang w:val="el-GR"/>
              </w:rPr>
              <w:t>,</w:t>
            </w:r>
            <w:r w:rsidRPr="00170F6F">
              <w:rPr>
                <w:szCs w:val="22"/>
              </w:rPr>
              <w:t>3-4</w:t>
            </w:r>
            <w:r w:rsidRPr="00170F6F">
              <w:rPr>
                <w:szCs w:val="22"/>
                <w:lang w:val="el-GR"/>
              </w:rPr>
              <w:t>,</w:t>
            </w:r>
            <w:r w:rsidRPr="00170F6F">
              <w:rPr>
                <w:szCs w:val="22"/>
              </w:rPr>
              <w:t>0)</w:t>
            </w:r>
          </w:p>
        </w:tc>
        <w:tc>
          <w:tcPr>
            <w:tcW w:w="2931" w:type="dxa"/>
            <w:vAlign w:val="center"/>
          </w:tcPr>
          <w:p w:rsidR="00461D88" w:rsidRPr="00170F6F" w:rsidRDefault="00461D88" w:rsidP="00C773E4">
            <w:pPr>
              <w:jc w:val="center"/>
              <w:rPr>
                <w:szCs w:val="22"/>
                <w:lang w:val="el-GR"/>
              </w:rPr>
            </w:pPr>
            <w:r w:rsidRPr="00170F6F">
              <w:rPr>
                <w:szCs w:val="22"/>
                <w:lang w:val="el-GR"/>
              </w:rPr>
              <w:t>Δόση φόρτισης 2</w:t>
            </w:r>
            <w:r w:rsidRPr="00170F6F">
              <w:rPr>
                <w:szCs w:val="22"/>
              </w:rPr>
              <w:t> g</w:t>
            </w:r>
            <w:r w:rsidRPr="00170F6F">
              <w:rPr>
                <w:szCs w:val="22"/>
                <w:lang w:val="el-GR"/>
              </w:rPr>
              <w:t xml:space="preserve"> και ακολούθως 1</w:t>
            </w:r>
            <w:r w:rsidRPr="00170F6F">
              <w:rPr>
                <w:szCs w:val="22"/>
              </w:rPr>
              <w:t> g</w:t>
            </w:r>
            <w:r w:rsidRPr="00170F6F">
              <w:rPr>
                <w:szCs w:val="22"/>
                <w:lang w:val="el-GR"/>
              </w:rPr>
              <w:t>/24 ώρες</w:t>
            </w:r>
          </w:p>
        </w:tc>
      </w:tr>
      <w:tr w:rsidR="00461D88" w:rsidRPr="00170F6F" w:rsidTr="00C773E4">
        <w:trPr>
          <w:jc w:val="center"/>
        </w:trPr>
        <w:tc>
          <w:tcPr>
            <w:tcW w:w="3491" w:type="dxa"/>
            <w:vAlign w:val="center"/>
          </w:tcPr>
          <w:p w:rsidR="00461D88" w:rsidRPr="00170F6F" w:rsidRDefault="00461D88" w:rsidP="00C773E4">
            <w:pPr>
              <w:jc w:val="center"/>
              <w:rPr>
                <w:szCs w:val="22"/>
              </w:rPr>
            </w:pPr>
            <w:r w:rsidRPr="00170F6F">
              <w:rPr>
                <w:szCs w:val="22"/>
              </w:rPr>
              <w:t>≤15</w:t>
            </w:r>
          </w:p>
        </w:tc>
        <w:tc>
          <w:tcPr>
            <w:tcW w:w="2312" w:type="dxa"/>
            <w:vAlign w:val="center"/>
          </w:tcPr>
          <w:p w:rsidR="00461D88" w:rsidRPr="00170F6F" w:rsidRDefault="00461D88" w:rsidP="00C773E4">
            <w:pPr>
              <w:jc w:val="center"/>
              <w:rPr>
                <w:szCs w:val="22"/>
              </w:rPr>
            </w:pPr>
            <w:r w:rsidRPr="00170F6F">
              <w:rPr>
                <w:szCs w:val="22"/>
                <w:lang w:val="el-GR"/>
              </w:rPr>
              <w:t>&gt;</w:t>
            </w:r>
            <w:r w:rsidRPr="00170F6F">
              <w:rPr>
                <w:szCs w:val="22"/>
              </w:rPr>
              <w:t>350</w:t>
            </w:r>
          </w:p>
          <w:p w:rsidR="00461D88" w:rsidRPr="00170F6F" w:rsidRDefault="00461D88" w:rsidP="00C773E4">
            <w:pPr>
              <w:jc w:val="center"/>
              <w:rPr>
                <w:szCs w:val="22"/>
              </w:rPr>
            </w:pPr>
            <w:r w:rsidRPr="00170F6F">
              <w:rPr>
                <w:szCs w:val="22"/>
              </w:rPr>
              <w:t>(</w:t>
            </w:r>
            <w:r w:rsidRPr="00170F6F">
              <w:rPr>
                <w:szCs w:val="22"/>
                <w:lang w:val="el-GR"/>
              </w:rPr>
              <w:t>&gt;</w:t>
            </w:r>
            <w:r w:rsidRPr="00170F6F">
              <w:rPr>
                <w:szCs w:val="22"/>
              </w:rPr>
              <w:t>4</w:t>
            </w:r>
            <w:r w:rsidRPr="00170F6F">
              <w:rPr>
                <w:szCs w:val="22"/>
                <w:lang w:val="el-GR"/>
              </w:rPr>
              <w:t>,</w:t>
            </w:r>
            <w:r w:rsidRPr="00170F6F">
              <w:rPr>
                <w:szCs w:val="22"/>
              </w:rPr>
              <w:t>0)</w:t>
            </w:r>
          </w:p>
        </w:tc>
        <w:tc>
          <w:tcPr>
            <w:tcW w:w="2931" w:type="dxa"/>
            <w:vAlign w:val="center"/>
          </w:tcPr>
          <w:p w:rsidR="00461D88" w:rsidRPr="00170F6F" w:rsidRDefault="00461D88" w:rsidP="00C773E4">
            <w:pPr>
              <w:jc w:val="center"/>
              <w:rPr>
                <w:szCs w:val="22"/>
              </w:rPr>
            </w:pPr>
            <w:r w:rsidRPr="00170F6F">
              <w:rPr>
                <w:szCs w:val="22"/>
                <w:lang w:val="el-GR"/>
              </w:rPr>
              <w:t>Δεν αξιολογήθηκε</w:t>
            </w:r>
          </w:p>
        </w:tc>
      </w:tr>
    </w:tbl>
    <w:p w:rsidR="00461D88" w:rsidRPr="00170F6F" w:rsidRDefault="00461D88" w:rsidP="00461D88">
      <w:pPr>
        <w:rPr>
          <w:szCs w:val="22"/>
          <w:lang w:val="el-GR"/>
        </w:rPr>
      </w:pPr>
      <w:r w:rsidRPr="00170F6F">
        <w:rPr>
          <w:szCs w:val="22"/>
          <w:lang w:val="el-GR"/>
        </w:rPr>
        <w:t>Συνιστάται προσοχή στην επιλογή της δόσης</w:t>
      </w:r>
      <w:r w:rsidRPr="00170F6F">
        <w:rPr>
          <w:vanish/>
          <w:szCs w:val="22"/>
          <w:lang w:val="el-GR"/>
        </w:rPr>
        <w:cr/>
      </w:r>
      <w:r w:rsidRPr="00170F6F">
        <w:rPr>
          <w:szCs w:val="22"/>
          <w:lang w:val="el-GR"/>
        </w:rPr>
        <w:t xml:space="preserve">. Συνιστάται στενή κλινική παρακολούθηση για την ασφάλεια και την αποτελεσματικότητα. </w:t>
      </w:r>
    </w:p>
    <w:p w:rsidR="00461D88" w:rsidRPr="00170F6F" w:rsidRDefault="00461D88" w:rsidP="00461D88">
      <w:pPr>
        <w:rPr>
          <w:szCs w:val="22"/>
          <w:lang w:val="el-GR"/>
        </w:rPr>
      </w:pPr>
    </w:p>
    <w:p w:rsidR="00461D88" w:rsidRPr="00170F6F" w:rsidRDefault="00461D88" w:rsidP="00461D88">
      <w:pPr>
        <w:keepNext/>
        <w:rPr>
          <w:i/>
          <w:szCs w:val="22"/>
          <w:lang w:val="el-GR"/>
        </w:rPr>
      </w:pPr>
      <w:r w:rsidRPr="00170F6F">
        <w:rPr>
          <w:i/>
          <w:szCs w:val="22"/>
          <w:lang w:val="el-GR"/>
        </w:rPr>
        <w:t xml:space="preserve">Παιδιά &lt; 40 </w:t>
      </w:r>
      <w:r w:rsidRPr="00170F6F">
        <w:rPr>
          <w:i/>
          <w:szCs w:val="22"/>
        </w:rPr>
        <w:t>kg</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Η ασφάλεια και η αποτελεσματικότητα του </w:t>
      </w:r>
      <w:r w:rsidR="000E2E0A" w:rsidRPr="00D04B79">
        <w:rPr>
          <w:szCs w:val="22"/>
        </w:rPr>
        <w:t>Ceftazidime</w:t>
      </w:r>
      <w:r w:rsidR="000E2E0A" w:rsidRPr="00F74245">
        <w:rPr>
          <w:szCs w:val="22"/>
          <w:lang w:val="el-GR"/>
        </w:rPr>
        <w:t>/</w:t>
      </w:r>
      <w:r w:rsidR="000E2E0A" w:rsidRPr="00D04B79">
        <w:rPr>
          <w:szCs w:val="22"/>
        </w:rPr>
        <w:t>Cooper</w:t>
      </w:r>
      <w:r w:rsidRPr="00170F6F">
        <w:rPr>
          <w:szCs w:val="22"/>
          <w:lang w:val="el-GR"/>
        </w:rPr>
        <w:t xml:space="preserve"> χορηγούμενου ως συνεχή έγχυση σε παιδιά &lt; 40 </w:t>
      </w:r>
      <w:r w:rsidRPr="00170F6F">
        <w:rPr>
          <w:szCs w:val="22"/>
          <w:lang w:val="en-US"/>
        </w:rPr>
        <w:t>kg</w:t>
      </w:r>
      <w:r w:rsidRPr="00170F6F">
        <w:rPr>
          <w:szCs w:val="22"/>
          <w:lang w:val="el-GR"/>
        </w:rPr>
        <w:t xml:space="preserve"> με νεφρική δυσλειτουργία δεν έχει τεκμηριωθεί. Συνιστάται στενή κλινική παρακολούθηση για την ασφάλεια και την αποτελεσματικότητα.</w:t>
      </w:r>
    </w:p>
    <w:p w:rsidR="00461D88" w:rsidRPr="00170F6F" w:rsidRDefault="00461D88" w:rsidP="00461D88">
      <w:pPr>
        <w:rPr>
          <w:szCs w:val="22"/>
          <w:lang w:val="el-GR"/>
        </w:rPr>
      </w:pPr>
    </w:p>
    <w:p w:rsidR="00461D88" w:rsidRPr="00170F6F" w:rsidRDefault="00461D88" w:rsidP="00461D88">
      <w:pPr>
        <w:rPr>
          <w:color w:val="000000"/>
          <w:szCs w:val="22"/>
          <w:lang w:val="el-GR" w:eastAsia="en-GB"/>
        </w:rPr>
      </w:pPr>
      <w:r w:rsidRPr="00170F6F">
        <w:rPr>
          <w:color w:val="000000"/>
          <w:szCs w:val="22"/>
          <w:lang w:val="el-GR" w:eastAsia="en-GB"/>
        </w:rPr>
        <w:t xml:space="preserve">Εάν χρησιμοποιείται συνεχής έγχυση σε παιδιά με νεφρική δυσλειτουργία, η κάθαρση </w:t>
      </w:r>
      <w:proofErr w:type="spellStart"/>
      <w:r w:rsidRPr="00170F6F">
        <w:rPr>
          <w:color w:val="000000"/>
          <w:szCs w:val="22"/>
          <w:lang w:val="el-GR" w:eastAsia="en-GB"/>
        </w:rPr>
        <w:t>κρεατινίνης</w:t>
      </w:r>
      <w:proofErr w:type="spellEnd"/>
      <w:r w:rsidRPr="00170F6F">
        <w:rPr>
          <w:color w:val="000000"/>
          <w:szCs w:val="22"/>
          <w:lang w:val="el-GR" w:eastAsia="en-GB"/>
        </w:rPr>
        <w:t xml:space="preserve"> θα πρέπει να ρυθμίζεται ως προς το εμβαδόν επιφανείας σώματος ή την </w:t>
      </w:r>
      <w:proofErr w:type="spellStart"/>
      <w:r w:rsidRPr="00170F6F">
        <w:rPr>
          <w:color w:val="000000"/>
          <w:szCs w:val="22"/>
          <w:lang w:val="el-GR" w:eastAsia="en-GB"/>
        </w:rPr>
        <w:t>άλιπη</w:t>
      </w:r>
      <w:proofErr w:type="spellEnd"/>
      <w:r w:rsidRPr="00170F6F">
        <w:rPr>
          <w:color w:val="000000"/>
          <w:szCs w:val="22"/>
          <w:lang w:val="el-GR" w:eastAsia="en-GB"/>
        </w:rPr>
        <w:t xml:space="preserve"> μάζα σώματος.</w:t>
      </w:r>
    </w:p>
    <w:p w:rsidR="00461D88" w:rsidRPr="00170F6F" w:rsidRDefault="00461D88" w:rsidP="00461D88">
      <w:pPr>
        <w:rPr>
          <w:szCs w:val="22"/>
          <w:lang w:val="el-GR"/>
        </w:rPr>
      </w:pPr>
    </w:p>
    <w:p w:rsidR="00461D88" w:rsidRPr="00170F6F" w:rsidRDefault="00461D88" w:rsidP="00461D88">
      <w:pPr>
        <w:rPr>
          <w:szCs w:val="22"/>
          <w:u w:val="single"/>
          <w:lang w:val="el-GR"/>
        </w:rPr>
      </w:pPr>
      <w:r w:rsidRPr="00170F6F">
        <w:rPr>
          <w:szCs w:val="22"/>
          <w:u w:val="single"/>
          <w:lang w:val="el-GR"/>
        </w:rPr>
        <w:t>Αιμοκάθαρση</w:t>
      </w:r>
    </w:p>
    <w:p w:rsidR="00461D88" w:rsidRPr="00170F6F" w:rsidRDefault="00461D88" w:rsidP="00461D88">
      <w:pPr>
        <w:rPr>
          <w:b/>
          <w:szCs w:val="22"/>
          <w:lang w:val="el-GR"/>
        </w:rPr>
      </w:pPr>
    </w:p>
    <w:p w:rsidR="00461D88" w:rsidRPr="00170F6F" w:rsidRDefault="00461D88" w:rsidP="00461D88">
      <w:pPr>
        <w:rPr>
          <w:szCs w:val="22"/>
          <w:lang w:val="el-GR"/>
        </w:rPr>
      </w:pPr>
      <w:r w:rsidRPr="00170F6F">
        <w:rPr>
          <w:szCs w:val="22"/>
          <w:lang w:val="el-GR"/>
        </w:rPr>
        <w:t xml:space="preserve">Ο χρόνος </w:t>
      </w:r>
      <w:proofErr w:type="spellStart"/>
      <w:r w:rsidRPr="00170F6F">
        <w:rPr>
          <w:szCs w:val="22"/>
          <w:lang w:val="el-GR"/>
        </w:rPr>
        <w:t>ημιζωής</w:t>
      </w:r>
      <w:proofErr w:type="spellEnd"/>
      <w:r w:rsidRPr="00170F6F">
        <w:rPr>
          <w:szCs w:val="22"/>
          <w:lang w:val="el-GR"/>
        </w:rPr>
        <w:t xml:space="preserve"> στον ορό κατά τη διάρκεια αιμοκάθαρσης κυμαίνεται από 3 έως 5 ώρες.</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Μετά από κάθε περίοδο αιμοκάθαρσης, πρέπει να επαναλαμβάνεται η δόση συντήρησης της </w:t>
      </w:r>
      <w:proofErr w:type="spellStart"/>
      <w:r w:rsidRPr="00170F6F">
        <w:rPr>
          <w:szCs w:val="22"/>
          <w:lang w:val="el-GR"/>
        </w:rPr>
        <w:t>κεφταζιδίμης</w:t>
      </w:r>
      <w:proofErr w:type="spellEnd"/>
      <w:r w:rsidRPr="00170F6F">
        <w:rPr>
          <w:szCs w:val="22"/>
          <w:lang w:val="el-GR"/>
        </w:rPr>
        <w:t xml:space="preserve"> που συνιστάται στ</w:t>
      </w:r>
      <w:r w:rsidR="00AF763F">
        <w:rPr>
          <w:szCs w:val="22"/>
          <w:lang w:val="el-GR"/>
        </w:rPr>
        <w:t>ους</w:t>
      </w:r>
      <w:r w:rsidRPr="00170F6F">
        <w:rPr>
          <w:szCs w:val="22"/>
          <w:lang w:val="el-GR"/>
        </w:rPr>
        <w:t xml:space="preserve"> πίνακ</w:t>
      </w:r>
      <w:r w:rsidR="00AF763F">
        <w:rPr>
          <w:szCs w:val="22"/>
          <w:lang w:val="el-GR"/>
        </w:rPr>
        <w:t>ες</w:t>
      </w:r>
      <w:r w:rsidRPr="00170F6F">
        <w:rPr>
          <w:szCs w:val="22"/>
          <w:lang w:val="el-GR"/>
        </w:rPr>
        <w:t xml:space="preserve"> </w:t>
      </w:r>
      <w:r w:rsidR="00AF763F">
        <w:rPr>
          <w:szCs w:val="22"/>
          <w:lang w:val="el-GR"/>
        </w:rPr>
        <w:t>5 &amp; 6</w:t>
      </w:r>
      <w:r w:rsidRPr="00170F6F">
        <w:rPr>
          <w:szCs w:val="22"/>
          <w:lang w:val="el-GR"/>
        </w:rPr>
        <w:t>.</w:t>
      </w:r>
    </w:p>
    <w:p w:rsidR="00461D88" w:rsidRPr="00170F6F" w:rsidRDefault="00461D88" w:rsidP="00461D88">
      <w:pPr>
        <w:rPr>
          <w:szCs w:val="22"/>
          <w:lang w:val="el-GR"/>
        </w:rPr>
      </w:pPr>
    </w:p>
    <w:p w:rsidR="00461D88" w:rsidRPr="00170F6F" w:rsidRDefault="00461D88" w:rsidP="00461D88">
      <w:pPr>
        <w:rPr>
          <w:szCs w:val="22"/>
          <w:u w:val="single"/>
          <w:lang w:val="el-GR"/>
        </w:rPr>
      </w:pPr>
      <w:r w:rsidRPr="00170F6F">
        <w:rPr>
          <w:szCs w:val="22"/>
          <w:u w:val="single"/>
          <w:lang w:val="el-GR"/>
        </w:rPr>
        <w:t>Περιτοναϊκή αιμοκάθαρση</w:t>
      </w:r>
    </w:p>
    <w:p w:rsidR="00461D88" w:rsidRPr="00170F6F" w:rsidRDefault="00461D88" w:rsidP="00461D88">
      <w:pPr>
        <w:rPr>
          <w:b/>
          <w:szCs w:val="22"/>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μπορεί να χρησιμοποιηθεί σε ασθενείς που υποβάλλονται σε περιτοναϊκή αιμοκάθαρση ή συνεχή περιπατητική περιτοναϊκή αιμοκάθαρση (CAPD).</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Εκτός από την ενδοφλέβια χρήση, η </w:t>
      </w:r>
      <w:proofErr w:type="spellStart"/>
      <w:r w:rsidRPr="00170F6F">
        <w:rPr>
          <w:szCs w:val="22"/>
          <w:lang w:val="el-GR"/>
        </w:rPr>
        <w:t>κεφταζιδίμη</w:t>
      </w:r>
      <w:proofErr w:type="spellEnd"/>
      <w:r w:rsidRPr="00170F6F">
        <w:rPr>
          <w:szCs w:val="22"/>
          <w:lang w:val="el-GR"/>
        </w:rPr>
        <w:t xml:space="preserve"> είναι δυνατό να προστεθεί στο υγρό της αιμοκάθαρσης (συνήθως 125 έως 250 </w:t>
      </w:r>
      <w:proofErr w:type="spellStart"/>
      <w:r w:rsidRPr="00170F6F">
        <w:rPr>
          <w:szCs w:val="22"/>
          <w:lang w:val="el-GR"/>
        </w:rPr>
        <w:t>mg</w:t>
      </w:r>
      <w:proofErr w:type="spellEnd"/>
      <w:r w:rsidRPr="00170F6F">
        <w:rPr>
          <w:szCs w:val="22"/>
          <w:lang w:val="el-GR"/>
        </w:rPr>
        <w:t xml:space="preserve"> για 2 λίτρα διαλύματος αιμοκάθαρσης).</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Σε ασθενείς με νεφρική ανεπάρκεια που υποβάλλονται σε συνεχή </w:t>
      </w:r>
      <w:proofErr w:type="spellStart"/>
      <w:r w:rsidRPr="00170F6F">
        <w:rPr>
          <w:szCs w:val="22"/>
          <w:lang w:val="el-GR"/>
        </w:rPr>
        <w:t>αρτηριοφλεβική</w:t>
      </w:r>
      <w:proofErr w:type="spellEnd"/>
      <w:r w:rsidRPr="00170F6F">
        <w:rPr>
          <w:szCs w:val="22"/>
          <w:lang w:val="el-GR"/>
        </w:rPr>
        <w:t xml:space="preserve"> αιμοκάθαρση ή </w:t>
      </w:r>
      <w:proofErr w:type="spellStart"/>
      <w:r w:rsidRPr="00170F6F">
        <w:rPr>
          <w:szCs w:val="22"/>
          <w:lang w:val="el-GR"/>
        </w:rPr>
        <w:t>αιμοδιήθηση</w:t>
      </w:r>
      <w:proofErr w:type="spellEnd"/>
      <w:r w:rsidRPr="00170F6F">
        <w:rPr>
          <w:szCs w:val="22"/>
          <w:lang w:val="el-GR"/>
        </w:rPr>
        <w:t xml:space="preserve"> υψηλής ροής σε μονάδες εντατικής θεραπείας: 1 g ημερησίως ως εφάπαξ δόση ή σε διαιρεμένες δόσεις.  Σε ασθενείς που υποβάλλονται σε </w:t>
      </w:r>
      <w:proofErr w:type="spellStart"/>
      <w:r w:rsidRPr="00170F6F">
        <w:rPr>
          <w:szCs w:val="22"/>
          <w:lang w:val="el-GR"/>
        </w:rPr>
        <w:t>αιμοδιήθηση</w:t>
      </w:r>
      <w:proofErr w:type="spellEnd"/>
      <w:r w:rsidRPr="00170F6F">
        <w:rPr>
          <w:szCs w:val="22"/>
          <w:lang w:val="el-GR"/>
        </w:rPr>
        <w:t xml:space="preserve"> υψηλής ροής, πρέπει να χορηγείται η δόση που συνιστάται για ασθενείς με νεφρική δυσλειτουργία.</w:t>
      </w:r>
    </w:p>
    <w:p w:rsidR="00461D88" w:rsidRPr="00170F6F" w:rsidRDefault="00461D88" w:rsidP="00461D88">
      <w:pPr>
        <w:rPr>
          <w:szCs w:val="22"/>
          <w:lang w:val="el-GR"/>
        </w:rPr>
      </w:pPr>
    </w:p>
    <w:p w:rsidR="00461D88" w:rsidRPr="00170F6F" w:rsidRDefault="00461D88" w:rsidP="00461D88">
      <w:pPr>
        <w:rPr>
          <w:b/>
          <w:szCs w:val="22"/>
          <w:lang w:val="el-GR"/>
        </w:rPr>
      </w:pPr>
      <w:r w:rsidRPr="00170F6F">
        <w:rPr>
          <w:szCs w:val="22"/>
          <w:lang w:val="el-GR"/>
        </w:rPr>
        <w:t xml:space="preserve">Σε ασθενείς που υποβάλλονται σε </w:t>
      </w:r>
      <w:proofErr w:type="spellStart"/>
      <w:r w:rsidRPr="00170F6F">
        <w:rPr>
          <w:szCs w:val="22"/>
          <w:lang w:val="el-GR"/>
        </w:rPr>
        <w:t>φλεβοφλεβική</w:t>
      </w:r>
      <w:proofErr w:type="spellEnd"/>
      <w:r w:rsidRPr="00170F6F">
        <w:rPr>
          <w:szCs w:val="22"/>
          <w:lang w:val="el-GR"/>
        </w:rPr>
        <w:t xml:space="preserve"> </w:t>
      </w:r>
      <w:proofErr w:type="spellStart"/>
      <w:r w:rsidRPr="00170F6F">
        <w:rPr>
          <w:szCs w:val="22"/>
          <w:lang w:val="el-GR"/>
        </w:rPr>
        <w:t>αιμοδιήθηση</w:t>
      </w:r>
      <w:proofErr w:type="spellEnd"/>
      <w:r w:rsidRPr="00170F6F">
        <w:rPr>
          <w:szCs w:val="22"/>
          <w:lang w:val="el-GR"/>
        </w:rPr>
        <w:t xml:space="preserve"> και </w:t>
      </w:r>
      <w:proofErr w:type="spellStart"/>
      <w:r w:rsidRPr="00170F6F">
        <w:rPr>
          <w:szCs w:val="22"/>
          <w:lang w:val="el-GR"/>
        </w:rPr>
        <w:t>φλεβοφλεβική</w:t>
      </w:r>
      <w:proofErr w:type="spellEnd"/>
      <w:r w:rsidRPr="00170F6F">
        <w:rPr>
          <w:szCs w:val="22"/>
          <w:lang w:val="el-GR"/>
        </w:rPr>
        <w:t xml:space="preserve"> αιμοκάθαρση, πρέπει να χορηγούνται οι συνιστώμενες δόσεις που αναφέρονται στους πίνακες </w:t>
      </w:r>
      <w:r w:rsidR="00AF763F">
        <w:rPr>
          <w:szCs w:val="22"/>
          <w:lang w:val="el-GR"/>
        </w:rPr>
        <w:t>5 &amp; 6</w:t>
      </w:r>
      <w:r w:rsidRPr="00170F6F">
        <w:rPr>
          <w:szCs w:val="22"/>
          <w:lang w:val="el-GR"/>
        </w:rPr>
        <w:t>.</w:t>
      </w:r>
    </w:p>
    <w:p w:rsidR="00461D88" w:rsidRPr="00170F6F" w:rsidRDefault="00461D88" w:rsidP="00461D88">
      <w:pPr>
        <w:rPr>
          <w:szCs w:val="22"/>
          <w:lang w:val="el-GR"/>
        </w:rPr>
      </w:pPr>
    </w:p>
    <w:p w:rsidR="00461D88" w:rsidRPr="00170F6F" w:rsidRDefault="00461D88" w:rsidP="00461D88">
      <w:pPr>
        <w:keepNext/>
        <w:rPr>
          <w:szCs w:val="22"/>
          <w:lang w:val="el-GR"/>
        </w:rPr>
      </w:pPr>
      <w:r w:rsidRPr="00170F6F">
        <w:rPr>
          <w:szCs w:val="22"/>
          <w:u w:val="single"/>
          <w:lang w:val="el-GR"/>
        </w:rPr>
        <w:t xml:space="preserve">Πίνακας 5: Οδηγίες για τη δόση σε ασθενείς υπό συνεχή </w:t>
      </w:r>
      <w:proofErr w:type="spellStart"/>
      <w:r w:rsidRPr="00170F6F">
        <w:rPr>
          <w:szCs w:val="22"/>
          <w:u w:val="single"/>
          <w:lang w:val="el-GR"/>
        </w:rPr>
        <w:t>φλεβοφλεβική</w:t>
      </w:r>
      <w:proofErr w:type="spellEnd"/>
      <w:r w:rsidRPr="00170F6F">
        <w:rPr>
          <w:szCs w:val="22"/>
          <w:u w:val="single"/>
          <w:lang w:val="el-GR"/>
        </w:rPr>
        <w:t xml:space="preserve"> </w:t>
      </w:r>
      <w:proofErr w:type="spellStart"/>
      <w:r w:rsidRPr="00170F6F">
        <w:rPr>
          <w:szCs w:val="22"/>
          <w:u w:val="single"/>
          <w:lang w:val="el-GR"/>
        </w:rPr>
        <w:t>αιμοδιήθηση</w:t>
      </w:r>
      <w:proofErr w:type="spellEnd"/>
    </w:p>
    <w:p w:rsidR="00461D88" w:rsidRPr="00170F6F" w:rsidRDefault="00461D88" w:rsidP="00461D88">
      <w:pPr>
        <w:keepNext/>
        <w:rPr>
          <w:szCs w:val="22"/>
          <w:lang w:val="el-GR"/>
        </w:rPr>
      </w:pPr>
    </w:p>
    <w:tbl>
      <w:tblPr>
        <w:tblW w:w="0" w:type="auto"/>
        <w:tblInd w:w="108" w:type="dxa"/>
        <w:tblLayout w:type="fixed"/>
        <w:tblLook w:val="0000" w:firstRow="0" w:lastRow="0" w:firstColumn="0" w:lastColumn="0" w:noHBand="0" w:noVBand="0"/>
      </w:tblPr>
      <w:tblGrid>
        <w:gridCol w:w="1680"/>
        <w:gridCol w:w="1488"/>
        <w:gridCol w:w="1584"/>
        <w:gridCol w:w="1584"/>
        <w:gridCol w:w="1584"/>
      </w:tblGrid>
      <w:tr w:rsidR="00461D88" w:rsidRPr="003536AE" w:rsidTr="00C773E4">
        <w:trPr>
          <w:cantSplit/>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rPr>
                <w:szCs w:val="22"/>
                <w:lang w:val="el-GR"/>
              </w:rPr>
            </w:pPr>
            <w:r w:rsidRPr="00170F6F">
              <w:rPr>
                <w:szCs w:val="22"/>
                <w:lang w:val="el-GR"/>
              </w:rPr>
              <w:t xml:space="preserve">Υπολειμματική νεφρική λειτουργία (κάθαρση </w:t>
            </w:r>
            <w:proofErr w:type="spellStart"/>
            <w:r w:rsidRPr="00170F6F">
              <w:rPr>
                <w:szCs w:val="22"/>
                <w:lang w:val="el-GR"/>
              </w:rPr>
              <w:t>κρεατινίνης</w:t>
            </w:r>
            <w:proofErr w:type="spellEnd"/>
            <w:r w:rsidRPr="00170F6F">
              <w:rPr>
                <w:szCs w:val="22"/>
                <w:lang w:val="el-GR"/>
              </w:rPr>
              <w:t xml:space="preserve"> σε ml/λεπτό)</w:t>
            </w:r>
          </w:p>
        </w:tc>
        <w:tc>
          <w:tcPr>
            <w:tcW w:w="6240" w:type="dxa"/>
            <w:gridSpan w:val="4"/>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Δόση συντήρησης (</w:t>
            </w:r>
            <w:proofErr w:type="spellStart"/>
            <w:r w:rsidRPr="00170F6F">
              <w:rPr>
                <w:szCs w:val="22"/>
                <w:lang w:val="el-GR"/>
              </w:rPr>
              <w:t>mg</w:t>
            </w:r>
            <w:proofErr w:type="spellEnd"/>
            <w:r w:rsidRPr="00170F6F">
              <w:rPr>
                <w:szCs w:val="22"/>
                <w:lang w:val="el-GR"/>
              </w:rPr>
              <w:t xml:space="preserve">) για ρυθμό </w:t>
            </w:r>
            <w:proofErr w:type="spellStart"/>
            <w:r w:rsidRPr="00170F6F">
              <w:rPr>
                <w:szCs w:val="22"/>
                <w:lang w:val="el-GR"/>
              </w:rPr>
              <w:t>υπερδιήθησης</w:t>
            </w:r>
            <w:proofErr w:type="spellEnd"/>
            <w:r w:rsidRPr="00170F6F">
              <w:rPr>
                <w:szCs w:val="22"/>
                <w:lang w:val="el-GR"/>
              </w:rPr>
              <w:t xml:space="preserve"> (ml/λεπτό)</w:t>
            </w:r>
            <w:r w:rsidRPr="00170F6F">
              <w:rPr>
                <w:szCs w:val="22"/>
                <w:vertAlign w:val="superscript"/>
                <w:lang w:val="el-GR"/>
              </w:rPr>
              <w:t>1</w:t>
            </w:r>
            <w:r w:rsidRPr="00170F6F">
              <w:rPr>
                <w:szCs w:val="22"/>
                <w:lang w:val="el-GR"/>
              </w:rPr>
              <w:t>:</w:t>
            </w:r>
          </w:p>
        </w:tc>
      </w:tr>
      <w:tr w:rsidR="00461D88" w:rsidRPr="00170F6F" w:rsidTr="00C773E4">
        <w:trPr>
          <w:cantSplit/>
        </w:trPr>
        <w:tc>
          <w:tcPr>
            <w:tcW w:w="1680" w:type="dxa"/>
            <w:vMerge/>
            <w:tcBorders>
              <w:top w:val="nil"/>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16,7</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33,3</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750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15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750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20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500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jc w:val="center"/>
              <w:rPr>
                <w:szCs w:val="22"/>
                <w:lang w:val="el-GR"/>
              </w:rPr>
            </w:pPr>
            <w:r w:rsidRPr="00170F6F">
              <w:rPr>
                <w:szCs w:val="22"/>
                <w:lang w:val="el-GR"/>
              </w:rPr>
              <w:t>750</w:t>
            </w:r>
          </w:p>
        </w:tc>
      </w:tr>
      <w:tr w:rsidR="00461D88" w:rsidRPr="003536AE" w:rsidTr="00C773E4">
        <w:trPr>
          <w:cantSplit/>
        </w:trPr>
        <w:tc>
          <w:tcPr>
            <w:tcW w:w="7920" w:type="dxa"/>
            <w:gridSpan w:val="5"/>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keepNext/>
              <w:rPr>
                <w:szCs w:val="22"/>
                <w:lang w:val="el-GR"/>
              </w:rPr>
            </w:pPr>
            <w:r w:rsidRPr="00170F6F">
              <w:rPr>
                <w:szCs w:val="22"/>
                <w:vertAlign w:val="superscript"/>
                <w:lang w:val="el-GR"/>
              </w:rPr>
              <w:t xml:space="preserve">1 </w:t>
            </w:r>
            <w:r w:rsidRPr="00170F6F">
              <w:rPr>
                <w:szCs w:val="22"/>
                <w:lang w:val="el-GR"/>
              </w:rPr>
              <w:t>Η δόση συντήρησης πρέπει να χορηγείται κάθε 12 ώρες.</w:t>
            </w:r>
          </w:p>
        </w:tc>
      </w:tr>
    </w:tbl>
    <w:p w:rsidR="00461D88" w:rsidRPr="00170F6F" w:rsidRDefault="00461D88" w:rsidP="00461D88">
      <w:pPr>
        <w:rPr>
          <w:szCs w:val="22"/>
          <w:lang w:val="el-GR"/>
        </w:rPr>
      </w:pPr>
    </w:p>
    <w:p w:rsidR="00461D88" w:rsidRPr="00170F6F" w:rsidRDefault="00461D88" w:rsidP="00461D88">
      <w:pPr>
        <w:pStyle w:val="BridgeheadGDS"/>
        <w:rPr>
          <w:lang w:val="el-GR"/>
        </w:rPr>
      </w:pPr>
      <w:r w:rsidRPr="00170F6F">
        <w:rPr>
          <w:lang w:val="el-GR"/>
        </w:rPr>
        <w:t xml:space="preserve">Πίνακας 6: Οδηγίες για τη δόση Συνεχής </w:t>
      </w:r>
      <w:proofErr w:type="spellStart"/>
      <w:r w:rsidRPr="00170F6F">
        <w:rPr>
          <w:lang w:val="el-GR"/>
        </w:rPr>
        <w:t>φλεβοφλεβική</w:t>
      </w:r>
      <w:proofErr w:type="spellEnd"/>
      <w:r w:rsidRPr="00170F6F">
        <w:rPr>
          <w:lang w:val="el-GR"/>
        </w:rPr>
        <w:t xml:space="preserve"> αιμοκάθαρση</w:t>
      </w:r>
    </w:p>
    <w:tbl>
      <w:tblPr>
        <w:tblW w:w="0" w:type="auto"/>
        <w:tblInd w:w="108" w:type="dxa"/>
        <w:tblLayout w:type="fixed"/>
        <w:tblLook w:val="0000" w:firstRow="0" w:lastRow="0" w:firstColumn="0" w:lastColumn="0" w:noHBand="0" w:noVBand="0"/>
      </w:tblPr>
      <w:tblGrid>
        <w:gridCol w:w="1680"/>
        <w:gridCol w:w="935"/>
        <w:gridCol w:w="1055"/>
        <w:gridCol w:w="1067"/>
        <w:gridCol w:w="1067"/>
        <w:gridCol w:w="1055"/>
        <w:gridCol w:w="1055"/>
      </w:tblGrid>
      <w:tr w:rsidR="00461D88" w:rsidRPr="003536AE" w:rsidTr="00C773E4">
        <w:trPr>
          <w:cantSplit/>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rPr>
                <w:szCs w:val="22"/>
                <w:lang w:val="el-GR"/>
              </w:rPr>
            </w:pPr>
            <w:r w:rsidRPr="00170F6F">
              <w:rPr>
                <w:szCs w:val="22"/>
                <w:lang w:val="el-GR"/>
              </w:rPr>
              <w:t xml:space="preserve">Υπολειμματική νεφρική λειτουργία (κάθαρση </w:t>
            </w:r>
            <w:proofErr w:type="spellStart"/>
            <w:r w:rsidRPr="00170F6F">
              <w:rPr>
                <w:szCs w:val="22"/>
                <w:lang w:val="el-GR"/>
              </w:rPr>
              <w:t>κρεατινίνης</w:t>
            </w:r>
            <w:proofErr w:type="spellEnd"/>
            <w:r w:rsidRPr="00170F6F">
              <w:rPr>
                <w:szCs w:val="22"/>
                <w:lang w:val="el-GR"/>
              </w:rPr>
              <w:t xml:space="preserve"> σε ml/λεπτό)</w:t>
            </w:r>
          </w:p>
        </w:tc>
        <w:tc>
          <w:tcPr>
            <w:tcW w:w="6234" w:type="dxa"/>
            <w:gridSpan w:val="6"/>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Δόση συντήρησης (</w:t>
            </w:r>
            <w:proofErr w:type="spellStart"/>
            <w:r w:rsidRPr="00170F6F">
              <w:rPr>
                <w:szCs w:val="22"/>
                <w:lang w:val="el-GR"/>
              </w:rPr>
              <w:t>mg</w:t>
            </w:r>
            <w:proofErr w:type="spellEnd"/>
            <w:r w:rsidRPr="00170F6F">
              <w:rPr>
                <w:szCs w:val="22"/>
                <w:lang w:val="el-GR"/>
              </w:rPr>
              <w:t>) για παροχή διερχόμενης ουσίας</w:t>
            </w:r>
            <w:r w:rsidRPr="00170F6F">
              <w:rPr>
                <w:szCs w:val="22"/>
                <w:vertAlign w:val="superscript"/>
                <w:lang w:val="el-GR"/>
              </w:rPr>
              <w:t>1</w:t>
            </w:r>
            <w:r w:rsidRPr="00170F6F">
              <w:rPr>
                <w:szCs w:val="22"/>
                <w:lang w:val="el-GR"/>
              </w:rPr>
              <w:t>:</w:t>
            </w:r>
          </w:p>
        </w:tc>
      </w:tr>
      <w:tr w:rsidR="00461D88" w:rsidRPr="00170F6F" w:rsidTr="00C773E4">
        <w:trPr>
          <w:cantSplit/>
        </w:trPr>
        <w:tc>
          <w:tcPr>
            <w:tcW w:w="1680" w:type="dxa"/>
            <w:vMerge/>
            <w:tcBorders>
              <w:top w:val="nil"/>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 λίτρο/ώρα</w:t>
            </w:r>
          </w:p>
        </w:tc>
        <w:tc>
          <w:tcPr>
            <w:tcW w:w="3177" w:type="dxa"/>
            <w:gridSpan w:val="3"/>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2,0 λίτρα/ώρα</w:t>
            </w:r>
          </w:p>
        </w:tc>
      </w:tr>
      <w:tr w:rsidR="00461D88" w:rsidRPr="00170F6F" w:rsidTr="00C773E4">
        <w:trPr>
          <w:cantSplit/>
        </w:trPr>
        <w:tc>
          <w:tcPr>
            <w:tcW w:w="1680" w:type="dxa"/>
            <w:vMerge/>
            <w:tcBorders>
              <w:top w:val="nil"/>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 xml:space="preserve">Ρυθμός </w:t>
            </w:r>
            <w:proofErr w:type="spellStart"/>
            <w:r w:rsidRPr="00170F6F">
              <w:rPr>
                <w:szCs w:val="22"/>
                <w:lang w:val="el-GR"/>
              </w:rPr>
              <w:t>υπερδιήθησης</w:t>
            </w:r>
            <w:proofErr w:type="spellEnd"/>
            <w:r w:rsidRPr="00170F6F">
              <w:rPr>
                <w:szCs w:val="22"/>
                <w:lang w:val="el-GR"/>
              </w:rPr>
              <w:t xml:space="preserve"> (λίτρα/</w:t>
            </w:r>
            <w:proofErr w:type="spellStart"/>
            <w:r w:rsidRPr="00170F6F">
              <w:rPr>
                <w:szCs w:val="22"/>
                <w:lang w:val="el-GR"/>
              </w:rPr>
              <w:t>ώρ</w:t>
            </w:r>
            <w:proofErr w:type="spellEnd"/>
            <w:r w:rsidRPr="00170F6F">
              <w:rPr>
                <w:szCs w:val="22"/>
                <w:lang w:val="el-GR"/>
              </w:rPr>
              <w:t>α)</w:t>
            </w:r>
          </w:p>
        </w:tc>
        <w:tc>
          <w:tcPr>
            <w:tcW w:w="3177" w:type="dxa"/>
            <w:gridSpan w:val="3"/>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 xml:space="preserve">Ρυθμός </w:t>
            </w:r>
            <w:proofErr w:type="spellStart"/>
            <w:r w:rsidRPr="00170F6F">
              <w:rPr>
                <w:szCs w:val="22"/>
                <w:lang w:val="el-GR"/>
              </w:rPr>
              <w:t>υπερδιήθησης</w:t>
            </w:r>
            <w:proofErr w:type="spellEnd"/>
            <w:r w:rsidRPr="00170F6F">
              <w:rPr>
                <w:szCs w:val="22"/>
                <w:lang w:val="el-GR"/>
              </w:rPr>
              <w:t xml:space="preserve"> (λίτρα/</w:t>
            </w:r>
            <w:proofErr w:type="spellStart"/>
            <w:r w:rsidRPr="00170F6F">
              <w:rPr>
                <w:szCs w:val="22"/>
                <w:lang w:val="el-GR"/>
              </w:rPr>
              <w:t>ώρ</w:t>
            </w:r>
            <w:proofErr w:type="spellEnd"/>
            <w:r w:rsidRPr="00170F6F">
              <w:rPr>
                <w:szCs w:val="22"/>
                <w:lang w:val="el-GR"/>
              </w:rPr>
              <w:t>α)</w:t>
            </w:r>
          </w:p>
        </w:tc>
      </w:tr>
      <w:tr w:rsidR="00461D88" w:rsidRPr="00170F6F" w:rsidTr="00C773E4">
        <w:trPr>
          <w:cantSplit/>
        </w:trPr>
        <w:tc>
          <w:tcPr>
            <w:tcW w:w="1680" w:type="dxa"/>
            <w:vMerge/>
            <w:tcBorders>
              <w:top w:val="nil"/>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0,5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2,0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0,5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2,0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1000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15</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500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1000</w:t>
            </w:r>
          </w:p>
        </w:tc>
      </w:tr>
      <w:tr w:rsidR="00461D88" w:rsidRPr="00170F6F" w:rsidTr="00C773E4">
        <w:trPr>
          <w:cantSplit/>
        </w:trPr>
        <w:tc>
          <w:tcPr>
            <w:tcW w:w="168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20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750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1000</w:t>
            </w:r>
          </w:p>
        </w:tc>
      </w:tr>
      <w:tr w:rsidR="00461D88" w:rsidRPr="003536AE" w:rsidTr="00C773E4">
        <w:trPr>
          <w:cantSplit/>
        </w:trPr>
        <w:tc>
          <w:tcPr>
            <w:tcW w:w="7914" w:type="dxa"/>
            <w:gridSpan w:val="7"/>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rPr>
                <w:szCs w:val="22"/>
                <w:lang w:val="el-GR"/>
              </w:rPr>
            </w:pPr>
            <w:r w:rsidRPr="00170F6F">
              <w:rPr>
                <w:szCs w:val="22"/>
                <w:vertAlign w:val="superscript"/>
                <w:lang w:val="el-GR"/>
              </w:rPr>
              <w:t xml:space="preserve">1 </w:t>
            </w:r>
            <w:r w:rsidRPr="00170F6F">
              <w:rPr>
                <w:szCs w:val="22"/>
                <w:lang w:val="el-GR"/>
              </w:rPr>
              <w:t>Η δόση συντήρησης πρέπει να χορηγείται κάθε 12 ώρες.</w:t>
            </w:r>
          </w:p>
        </w:tc>
      </w:tr>
    </w:tbl>
    <w:p w:rsidR="00461D88" w:rsidRPr="00170F6F" w:rsidRDefault="00461D88" w:rsidP="00461D88">
      <w:pPr>
        <w:spacing w:after="120"/>
        <w:rPr>
          <w:szCs w:val="22"/>
          <w:lang w:val="el-GR"/>
        </w:rPr>
      </w:pPr>
    </w:p>
    <w:p w:rsidR="00461D88" w:rsidRPr="00170F6F" w:rsidRDefault="00461D88" w:rsidP="00461D88">
      <w:pPr>
        <w:rPr>
          <w:szCs w:val="22"/>
          <w:u w:val="single"/>
          <w:lang w:val="el-GR"/>
        </w:rPr>
      </w:pPr>
      <w:r w:rsidRPr="00170F6F">
        <w:rPr>
          <w:szCs w:val="22"/>
          <w:u w:val="single"/>
          <w:lang w:val="el-GR"/>
        </w:rPr>
        <w:t xml:space="preserve">Τρόπος χορήγησης </w:t>
      </w:r>
    </w:p>
    <w:p w:rsidR="00461D88" w:rsidRPr="00170F6F" w:rsidRDefault="00461D88" w:rsidP="00461D88">
      <w:pPr>
        <w:rPr>
          <w:szCs w:val="22"/>
          <w:lang w:val="el-GR"/>
        </w:rPr>
      </w:pPr>
    </w:p>
    <w:p w:rsidR="00BB273F" w:rsidRPr="00170F6F" w:rsidRDefault="00BB273F" w:rsidP="00BB273F">
      <w:pPr>
        <w:keepNext/>
        <w:tabs>
          <w:tab w:val="clear" w:pos="567"/>
          <w:tab w:val="left" w:pos="0"/>
        </w:tabs>
        <w:rPr>
          <w:szCs w:val="22"/>
          <w:lang w:val="el-GR"/>
        </w:rPr>
      </w:pPr>
      <w:r w:rsidRPr="00170F6F">
        <w:rPr>
          <w:szCs w:val="22"/>
          <w:lang w:val="el-GR"/>
        </w:rPr>
        <w:t xml:space="preserve">Η δόση εξαρτάται από τη σοβαρότητα, την ευαισθησία, την εστία και τον τύπο της λοίμωξης, καθώς και από την ηλικία και την κατάσταση της νεφρικής λειτουργίας του ασθενή. </w:t>
      </w:r>
    </w:p>
    <w:p w:rsidR="00BB273F" w:rsidRPr="00EC20DD" w:rsidRDefault="00BB273F" w:rsidP="00AF763F">
      <w:pPr>
        <w:rPr>
          <w:szCs w:val="22"/>
          <w:highlight w:val="lightGray"/>
          <w:lang w:val="el-GR"/>
        </w:rPr>
      </w:pPr>
    </w:p>
    <w:p w:rsidR="00AF763F" w:rsidRPr="00F74245" w:rsidRDefault="00AF763F" w:rsidP="00AF763F">
      <w:pPr>
        <w:rPr>
          <w:szCs w:val="22"/>
          <w:lang w:val="el-GR"/>
        </w:rPr>
      </w:pPr>
      <w:r w:rsidRPr="00F74245">
        <w:rPr>
          <w:szCs w:val="22"/>
          <w:lang w:val="el-GR"/>
        </w:rPr>
        <w:t xml:space="preserve">Το </w:t>
      </w:r>
      <w:r w:rsidR="00F74245" w:rsidRPr="00D04B79">
        <w:rPr>
          <w:szCs w:val="22"/>
        </w:rPr>
        <w:t>Ceftazidime</w:t>
      </w:r>
      <w:r w:rsidR="00F74245" w:rsidRPr="00F74245">
        <w:rPr>
          <w:szCs w:val="22"/>
          <w:lang w:val="el-GR"/>
        </w:rPr>
        <w:t>/</w:t>
      </w:r>
      <w:r w:rsidR="00F74245" w:rsidRPr="00D04B79">
        <w:rPr>
          <w:szCs w:val="22"/>
        </w:rPr>
        <w:t>Cooper</w:t>
      </w:r>
      <w:r w:rsidR="00F74245" w:rsidRPr="00F74245">
        <w:rPr>
          <w:szCs w:val="22"/>
          <w:lang w:val="el-GR"/>
        </w:rPr>
        <w:t xml:space="preserve"> </w:t>
      </w:r>
      <w:r w:rsidRPr="00F74245">
        <w:rPr>
          <w:szCs w:val="22"/>
          <w:lang w:val="el-GR"/>
        </w:rPr>
        <w:t>1</w:t>
      </w:r>
      <w:r w:rsidRPr="00F74245">
        <w:rPr>
          <w:szCs w:val="22"/>
        </w:rPr>
        <w:t>g</w:t>
      </w:r>
      <w:r w:rsidRPr="00F74245">
        <w:rPr>
          <w:szCs w:val="22"/>
          <w:lang w:val="el-GR"/>
        </w:rPr>
        <w:t xml:space="preserve"> πρέπει να χορηγείται με ενδοφλέβια ένεση ή έγχυση ή με βαθιά ενδομυϊκή ένεση. </w:t>
      </w:r>
    </w:p>
    <w:p w:rsidR="00461D88" w:rsidRPr="00170F6F" w:rsidRDefault="00461D88" w:rsidP="00461D88">
      <w:pPr>
        <w:rPr>
          <w:szCs w:val="22"/>
          <w:lang w:val="el-GR"/>
        </w:rPr>
      </w:pPr>
      <w:r w:rsidRPr="00170F6F">
        <w:rPr>
          <w:szCs w:val="22"/>
          <w:lang w:val="el-GR"/>
        </w:rPr>
        <w:t xml:space="preserve">Τα συνιστώμενα σημεία ενδομυϊκής ένεσης είναι το άνω έξω τεταρτημόριο του </w:t>
      </w:r>
      <w:r w:rsidRPr="00170F6F">
        <w:rPr>
          <w:i/>
          <w:szCs w:val="22"/>
          <w:lang w:val="el-GR"/>
        </w:rPr>
        <w:t xml:space="preserve">μέγιστου γλουτιαίου μυός </w:t>
      </w:r>
      <w:r w:rsidRPr="00170F6F">
        <w:rPr>
          <w:szCs w:val="22"/>
          <w:lang w:val="el-GR"/>
        </w:rPr>
        <w:t xml:space="preserve">ή το πλάγιο του μηρού. Τα διαλύματα </w:t>
      </w:r>
      <w:r w:rsidR="00F74245" w:rsidRPr="00D04B79">
        <w:rPr>
          <w:szCs w:val="22"/>
        </w:rPr>
        <w:t>Ceftazidime</w:t>
      </w:r>
      <w:r w:rsidR="00F74245" w:rsidRPr="00F74245">
        <w:rPr>
          <w:szCs w:val="22"/>
          <w:lang w:val="el-GR"/>
        </w:rPr>
        <w:t>/</w:t>
      </w:r>
      <w:r w:rsidR="00F74245" w:rsidRPr="00D04B79">
        <w:rPr>
          <w:szCs w:val="22"/>
        </w:rPr>
        <w:t>Cooper</w:t>
      </w:r>
      <w:r w:rsidRPr="00170F6F">
        <w:rPr>
          <w:szCs w:val="22"/>
          <w:lang w:val="el-GR"/>
        </w:rPr>
        <w:t xml:space="preserve"> είναι δυνατό να χορηγηθούν </w:t>
      </w:r>
      <w:r w:rsidRPr="00170F6F">
        <w:rPr>
          <w:szCs w:val="22"/>
          <w:lang w:val="el-GR"/>
        </w:rPr>
        <w:lastRenderedPageBreak/>
        <w:t xml:space="preserve">απευθείας σε φλέβα ή στο σύστημα παρεντερικής χορήγησης υγρών τα οποία ενδεχομένως λαμβάνει ο ασθενής.  </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Η καθιερωμένη συνιστώμενη οδός χορήγησης είναι με ενδοφλέβια διαλείπουσα ένεση ή συνεχή ενδοφλέβια έγχυση. Το ενδεχόμενο ενδομυϊκής χορήγησης μπορεί να εξετασθεί μόνο εάν η ενδοφλέβια οδός δεν είναι δυνατή ή λιγότερο κατάλληλη για τον ασθενή.</w:t>
      </w:r>
    </w:p>
    <w:p w:rsidR="00461D88" w:rsidRPr="00170F6F" w:rsidRDefault="00461D88" w:rsidP="00461D88">
      <w:pPr>
        <w:keepNext/>
        <w:tabs>
          <w:tab w:val="clear" w:pos="567"/>
          <w:tab w:val="left" w:pos="0"/>
        </w:tabs>
        <w:rPr>
          <w:szCs w:val="22"/>
          <w:lang w:val="el-GR"/>
        </w:rPr>
      </w:pPr>
    </w:p>
    <w:p w:rsidR="00BB273F" w:rsidRPr="00AF763F" w:rsidRDefault="00BB273F" w:rsidP="00BB273F">
      <w:pPr>
        <w:rPr>
          <w:szCs w:val="22"/>
          <w:lang w:val="el-GR"/>
        </w:rPr>
      </w:pPr>
      <w:r w:rsidRPr="00F74245">
        <w:rPr>
          <w:szCs w:val="22"/>
          <w:lang w:val="el-GR"/>
        </w:rPr>
        <w:t xml:space="preserve">Το </w:t>
      </w:r>
      <w:r w:rsidR="00F74245" w:rsidRPr="00F74245">
        <w:rPr>
          <w:szCs w:val="22"/>
        </w:rPr>
        <w:t>Ceftazidime</w:t>
      </w:r>
      <w:r w:rsidR="00F74245" w:rsidRPr="00F74245">
        <w:rPr>
          <w:szCs w:val="22"/>
          <w:lang w:val="el-GR"/>
        </w:rPr>
        <w:t>/</w:t>
      </w:r>
      <w:r w:rsidR="00F74245" w:rsidRPr="00F74245">
        <w:rPr>
          <w:szCs w:val="22"/>
        </w:rPr>
        <w:t>Cooper</w:t>
      </w:r>
      <w:r w:rsidR="00F74245" w:rsidRPr="00F74245">
        <w:rPr>
          <w:szCs w:val="22"/>
          <w:lang w:val="el-GR"/>
        </w:rPr>
        <w:t xml:space="preserve"> </w:t>
      </w:r>
      <w:r w:rsidRPr="00F74245">
        <w:rPr>
          <w:szCs w:val="22"/>
          <w:lang w:val="el-GR"/>
        </w:rPr>
        <w:t>2</w:t>
      </w:r>
      <w:r w:rsidRPr="00F74245">
        <w:rPr>
          <w:szCs w:val="22"/>
        </w:rPr>
        <w:t>g</w:t>
      </w:r>
      <w:r w:rsidRPr="00F74245">
        <w:rPr>
          <w:szCs w:val="22"/>
          <w:lang w:val="el-GR"/>
        </w:rPr>
        <w:t xml:space="preserve"> πρέπει να χορηγείται με ενδοφλέβια ένεση ή έγχυση.</w:t>
      </w:r>
    </w:p>
    <w:p w:rsidR="00550BAA" w:rsidRPr="00170F6F" w:rsidRDefault="00550BAA" w:rsidP="00550BAA">
      <w:pPr>
        <w:rPr>
          <w:szCs w:val="22"/>
          <w:lang w:val="el-GR"/>
        </w:rPr>
      </w:pPr>
      <w:r w:rsidRPr="00170F6F">
        <w:rPr>
          <w:szCs w:val="22"/>
          <w:lang w:val="el-GR"/>
        </w:rPr>
        <w:t xml:space="preserve">Τα διαλύματα </w:t>
      </w:r>
      <w:r w:rsidR="00F74245" w:rsidRPr="00D04B79">
        <w:rPr>
          <w:szCs w:val="22"/>
        </w:rPr>
        <w:t>Ceftazidime</w:t>
      </w:r>
      <w:r w:rsidR="00F74245" w:rsidRPr="00F74245">
        <w:rPr>
          <w:szCs w:val="22"/>
          <w:lang w:val="el-GR"/>
        </w:rPr>
        <w:t>/</w:t>
      </w:r>
      <w:r w:rsidR="00F74245" w:rsidRPr="00D04B79">
        <w:rPr>
          <w:szCs w:val="22"/>
        </w:rPr>
        <w:t>Cooper</w:t>
      </w:r>
      <w:r w:rsidRPr="00170F6F">
        <w:rPr>
          <w:szCs w:val="22"/>
          <w:lang w:val="el-GR"/>
        </w:rPr>
        <w:t xml:space="preserve"> είναι δυνατό να χορηγηθούν απευθείας σε φλέβα ή στο σύστημα παρεντερικής χορήγησης υγρών τα οποία ενδεχομένως λαμβάνει ο ασθενής.  Η καθιερωμένη συνιστώμενη οδός χορήγησης είναι με ενδοφλέβια διαλείπουσα ένεση ή συνεχή ενδοφλέβια έγχυση.</w:t>
      </w:r>
    </w:p>
    <w:p w:rsidR="005C1B7D" w:rsidRPr="00EC20DD" w:rsidRDefault="005C1B7D" w:rsidP="00461D88">
      <w:pPr>
        <w:ind w:left="567" w:hanging="567"/>
        <w:rPr>
          <w:b/>
          <w:szCs w:val="22"/>
          <w:lang w:val="el-GR"/>
        </w:rPr>
      </w:pPr>
    </w:p>
    <w:p w:rsidR="00461D88" w:rsidRPr="00170F6F" w:rsidRDefault="00461D88" w:rsidP="00461D88">
      <w:pPr>
        <w:ind w:left="567" w:hanging="567"/>
        <w:rPr>
          <w:b/>
          <w:szCs w:val="22"/>
          <w:lang w:val="el-GR"/>
        </w:rPr>
      </w:pPr>
      <w:r w:rsidRPr="00170F6F">
        <w:rPr>
          <w:b/>
          <w:szCs w:val="22"/>
          <w:lang w:val="el-GR"/>
        </w:rPr>
        <w:t>4.3</w:t>
      </w:r>
      <w:r w:rsidRPr="00170F6F">
        <w:rPr>
          <w:b/>
          <w:szCs w:val="22"/>
          <w:lang w:val="el-GR"/>
        </w:rPr>
        <w:tab/>
        <w:t>Αντενδείξεις</w:t>
      </w:r>
    </w:p>
    <w:p w:rsidR="00461D88" w:rsidRPr="00170F6F" w:rsidRDefault="00461D88" w:rsidP="00461D88">
      <w:pPr>
        <w:ind w:left="567" w:hanging="567"/>
        <w:rPr>
          <w:szCs w:val="22"/>
          <w:lang w:val="el-GR"/>
        </w:rPr>
      </w:pPr>
    </w:p>
    <w:p w:rsidR="00461D88" w:rsidRPr="00170F6F" w:rsidRDefault="00461D88" w:rsidP="00461D88">
      <w:pPr>
        <w:spacing w:after="120"/>
        <w:rPr>
          <w:szCs w:val="22"/>
          <w:lang w:val="el-GR"/>
        </w:rPr>
      </w:pPr>
      <w:r w:rsidRPr="00170F6F">
        <w:rPr>
          <w:szCs w:val="22"/>
          <w:lang w:val="el-GR"/>
        </w:rPr>
        <w:t xml:space="preserve">Υπερευαισθησία στην </w:t>
      </w:r>
      <w:proofErr w:type="spellStart"/>
      <w:r w:rsidRPr="00170F6F">
        <w:rPr>
          <w:szCs w:val="22"/>
          <w:lang w:val="el-GR"/>
        </w:rPr>
        <w:t>κεφταζιδίμη</w:t>
      </w:r>
      <w:proofErr w:type="spellEnd"/>
      <w:r w:rsidRPr="00170F6F">
        <w:rPr>
          <w:szCs w:val="22"/>
          <w:lang w:val="el-GR"/>
        </w:rPr>
        <w:t xml:space="preserve"> ή σε οποιαδήποτε άλλη </w:t>
      </w:r>
      <w:proofErr w:type="spellStart"/>
      <w:r w:rsidRPr="00170F6F">
        <w:rPr>
          <w:szCs w:val="22"/>
          <w:lang w:val="el-GR"/>
        </w:rPr>
        <w:t>κεφαλοσπορίνη</w:t>
      </w:r>
      <w:proofErr w:type="spellEnd"/>
      <w:r w:rsidRPr="00170F6F">
        <w:rPr>
          <w:szCs w:val="22"/>
          <w:lang w:val="el-GR"/>
        </w:rPr>
        <w:t xml:space="preserve"> ή σε κάποιο από τα έκδοχα</w:t>
      </w:r>
      <w:r w:rsidR="00AF763F">
        <w:rPr>
          <w:szCs w:val="22"/>
          <w:lang w:val="el-GR"/>
        </w:rPr>
        <w:t xml:space="preserve"> (αναφέρονται στην παράγραφο 6</w:t>
      </w:r>
      <w:r w:rsidR="00BB273F" w:rsidRPr="00BB273F">
        <w:rPr>
          <w:szCs w:val="22"/>
          <w:lang w:val="el-GR"/>
        </w:rPr>
        <w:t>.1</w:t>
      </w:r>
      <w:r w:rsidR="00AF763F">
        <w:rPr>
          <w:szCs w:val="22"/>
          <w:lang w:val="el-GR"/>
        </w:rPr>
        <w:t>)</w:t>
      </w:r>
      <w:r w:rsidRPr="00170F6F">
        <w:rPr>
          <w:szCs w:val="22"/>
          <w:lang w:val="el-GR"/>
        </w:rPr>
        <w:t>.</w:t>
      </w:r>
    </w:p>
    <w:p w:rsidR="00461D88" w:rsidRPr="00170F6F" w:rsidRDefault="00461D88" w:rsidP="00461D88">
      <w:pPr>
        <w:spacing w:after="120"/>
        <w:rPr>
          <w:szCs w:val="22"/>
          <w:lang w:val="el-GR"/>
        </w:rPr>
      </w:pPr>
      <w:r w:rsidRPr="00170F6F">
        <w:rPr>
          <w:szCs w:val="22"/>
          <w:lang w:val="el-GR"/>
        </w:rPr>
        <w:t xml:space="preserve">Ιστορικό οξείας υπερευαισθησίας (π.χ. </w:t>
      </w:r>
      <w:proofErr w:type="spellStart"/>
      <w:r w:rsidRPr="00170F6F">
        <w:rPr>
          <w:szCs w:val="22"/>
          <w:lang w:val="el-GR"/>
        </w:rPr>
        <w:t>αναφυλακτική</w:t>
      </w:r>
      <w:proofErr w:type="spellEnd"/>
      <w:r w:rsidRPr="00170F6F">
        <w:rPr>
          <w:szCs w:val="22"/>
          <w:lang w:val="el-GR"/>
        </w:rPr>
        <w:t xml:space="preserve"> αντίδραση) σε οποιοδήποτε άλλο τύπο βήτα </w:t>
      </w:r>
      <w:proofErr w:type="spellStart"/>
      <w:r w:rsidRPr="00170F6F">
        <w:rPr>
          <w:szCs w:val="22"/>
          <w:lang w:val="el-GR"/>
        </w:rPr>
        <w:t>λακτάμης</w:t>
      </w:r>
      <w:proofErr w:type="spellEnd"/>
      <w:r w:rsidRPr="00170F6F">
        <w:rPr>
          <w:szCs w:val="22"/>
          <w:lang w:val="el-GR"/>
        </w:rPr>
        <w:t xml:space="preserve"> (</w:t>
      </w:r>
      <w:proofErr w:type="spellStart"/>
      <w:r w:rsidRPr="00170F6F">
        <w:rPr>
          <w:szCs w:val="22"/>
          <w:lang w:val="el-GR"/>
        </w:rPr>
        <w:t>πενικιλλίνες</w:t>
      </w:r>
      <w:proofErr w:type="spellEnd"/>
      <w:r w:rsidRPr="00170F6F">
        <w:rPr>
          <w:szCs w:val="22"/>
          <w:lang w:val="el-GR"/>
        </w:rPr>
        <w:t xml:space="preserve">, </w:t>
      </w:r>
      <w:proofErr w:type="spellStart"/>
      <w:r w:rsidRPr="00170F6F">
        <w:rPr>
          <w:szCs w:val="22"/>
          <w:lang w:val="el-GR"/>
        </w:rPr>
        <w:t>μονοβακτάμες</w:t>
      </w:r>
      <w:proofErr w:type="spellEnd"/>
      <w:r w:rsidRPr="00170F6F">
        <w:rPr>
          <w:szCs w:val="22"/>
          <w:lang w:val="el-GR"/>
        </w:rPr>
        <w:t xml:space="preserve"> και </w:t>
      </w:r>
      <w:proofErr w:type="spellStart"/>
      <w:r w:rsidRPr="00170F6F">
        <w:rPr>
          <w:szCs w:val="22"/>
          <w:lang w:val="el-GR"/>
        </w:rPr>
        <w:t>καρβαπενέμες</w:t>
      </w:r>
      <w:proofErr w:type="spellEnd"/>
      <w:r w:rsidRPr="00170F6F">
        <w:rPr>
          <w:szCs w:val="22"/>
          <w:lang w:val="el-GR"/>
        </w:rPr>
        <w:t>).</w:t>
      </w:r>
    </w:p>
    <w:p w:rsidR="00461D88" w:rsidRPr="00170F6F" w:rsidRDefault="00461D88" w:rsidP="00461D88">
      <w:pPr>
        <w:rPr>
          <w:szCs w:val="22"/>
          <w:lang w:val="el-GR"/>
        </w:rPr>
      </w:pPr>
    </w:p>
    <w:p w:rsidR="00461D88" w:rsidRPr="00170F6F" w:rsidRDefault="00461D88" w:rsidP="00461D88">
      <w:pPr>
        <w:ind w:left="567" w:hanging="567"/>
        <w:rPr>
          <w:b/>
          <w:szCs w:val="22"/>
          <w:lang w:val="el-GR"/>
        </w:rPr>
      </w:pPr>
      <w:r w:rsidRPr="00170F6F">
        <w:rPr>
          <w:b/>
          <w:szCs w:val="22"/>
          <w:lang w:val="el-GR"/>
        </w:rPr>
        <w:t>4.4</w:t>
      </w:r>
      <w:r w:rsidRPr="00170F6F">
        <w:rPr>
          <w:b/>
          <w:szCs w:val="22"/>
          <w:lang w:val="el-GR"/>
        </w:rPr>
        <w:tab/>
        <w:t>Ειδικές προειδοποιήσεις και προφυλάξεις κατά τη χρήση</w:t>
      </w:r>
    </w:p>
    <w:p w:rsidR="00461D88" w:rsidRPr="00170F6F" w:rsidRDefault="00461D88" w:rsidP="00461D88">
      <w:pPr>
        <w:ind w:left="567" w:hanging="567"/>
        <w:rPr>
          <w:b/>
          <w:szCs w:val="22"/>
          <w:lang w:val="el-GR"/>
        </w:rPr>
      </w:pPr>
    </w:p>
    <w:p w:rsidR="005C1B7D" w:rsidRPr="004A1E0F" w:rsidRDefault="005C1B7D" w:rsidP="00461D88">
      <w:pPr>
        <w:tabs>
          <w:tab w:val="left" w:pos="0"/>
        </w:tabs>
        <w:jc w:val="both"/>
        <w:rPr>
          <w:szCs w:val="22"/>
          <w:u w:val="single"/>
          <w:lang w:val="el-GR"/>
        </w:rPr>
      </w:pPr>
      <w:r w:rsidRPr="004A1E0F">
        <w:rPr>
          <w:szCs w:val="22"/>
          <w:u w:val="single"/>
          <w:lang w:val="el-GR"/>
        </w:rPr>
        <w:t>Υπερευαισθησία</w:t>
      </w:r>
    </w:p>
    <w:p w:rsidR="00461D88" w:rsidRPr="00170F6F" w:rsidRDefault="00461D88" w:rsidP="00461D88">
      <w:pPr>
        <w:tabs>
          <w:tab w:val="left" w:pos="0"/>
        </w:tabs>
        <w:jc w:val="both"/>
        <w:rPr>
          <w:b/>
          <w:szCs w:val="22"/>
          <w:lang w:val="el-GR"/>
        </w:rPr>
      </w:pPr>
      <w:r w:rsidRPr="00170F6F">
        <w:rPr>
          <w:szCs w:val="22"/>
          <w:lang w:val="el-GR"/>
        </w:rPr>
        <w:t xml:space="preserve">Όπως με όλες τις βήτα </w:t>
      </w:r>
      <w:proofErr w:type="spellStart"/>
      <w:r w:rsidRPr="00170F6F">
        <w:rPr>
          <w:szCs w:val="22"/>
          <w:lang w:val="el-GR"/>
        </w:rPr>
        <w:t>λακτάμες</w:t>
      </w:r>
      <w:proofErr w:type="spellEnd"/>
      <w:r w:rsidRPr="00170F6F">
        <w:rPr>
          <w:szCs w:val="22"/>
          <w:lang w:val="el-GR"/>
        </w:rPr>
        <w:t xml:space="preserve">, έχουν αναφερθεί σοβαρές και περιστασιακά θανατηφόρες αντιδράσεις υπερευαισθησίας. Στην περίπτωση σοβαρών αντιδράσεων υπερευαισθησίας, η θεραπεία με </w:t>
      </w:r>
      <w:proofErr w:type="spellStart"/>
      <w:r w:rsidRPr="00170F6F">
        <w:rPr>
          <w:szCs w:val="22"/>
          <w:lang w:val="el-GR"/>
        </w:rPr>
        <w:t>κεφταζιδίμη</w:t>
      </w:r>
      <w:proofErr w:type="spellEnd"/>
      <w:r w:rsidRPr="00170F6F">
        <w:rPr>
          <w:szCs w:val="22"/>
          <w:lang w:val="el-GR"/>
        </w:rPr>
        <w:t xml:space="preserve"> πρέπει να διακοπή άμεσα και να εφαρμοστούν επαρκή μέτρα έκτακτης ανάγκης.</w:t>
      </w:r>
    </w:p>
    <w:p w:rsidR="00461D88" w:rsidRPr="00170F6F" w:rsidRDefault="00461D88" w:rsidP="00461D88">
      <w:pPr>
        <w:ind w:left="567" w:hanging="567"/>
        <w:rPr>
          <w:szCs w:val="22"/>
          <w:lang w:val="el-GR"/>
        </w:rPr>
      </w:pPr>
    </w:p>
    <w:p w:rsidR="00461D88" w:rsidRPr="00170F6F" w:rsidRDefault="00461D88" w:rsidP="00461D88">
      <w:pPr>
        <w:tabs>
          <w:tab w:val="clear" w:pos="567"/>
          <w:tab w:val="left" w:pos="0"/>
        </w:tabs>
        <w:rPr>
          <w:szCs w:val="22"/>
          <w:lang w:val="el-GR"/>
        </w:rPr>
      </w:pPr>
      <w:r w:rsidRPr="00170F6F">
        <w:rPr>
          <w:szCs w:val="22"/>
          <w:lang w:val="el-GR"/>
        </w:rPr>
        <w:t xml:space="preserve">Πριν από την έναρξη της θεραπείας, πρέπει να τεκμηριώνεται εάν ο ασθενής έχει ιστορικό οξείας αντίδρασης υπερευαισθησίας σε </w:t>
      </w:r>
      <w:proofErr w:type="spellStart"/>
      <w:r w:rsidRPr="00170F6F">
        <w:rPr>
          <w:szCs w:val="22"/>
          <w:lang w:val="el-GR"/>
        </w:rPr>
        <w:t>κεφταζιδίμη</w:t>
      </w:r>
      <w:proofErr w:type="spellEnd"/>
      <w:r w:rsidRPr="00170F6F">
        <w:rPr>
          <w:szCs w:val="22"/>
          <w:lang w:val="el-GR"/>
        </w:rPr>
        <w:t xml:space="preserve">, σε άλλες </w:t>
      </w:r>
      <w:proofErr w:type="spellStart"/>
      <w:r w:rsidRPr="00170F6F">
        <w:rPr>
          <w:szCs w:val="22"/>
          <w:lang w:val="el-GR"/>
        </w:rPr>
        <w:t>κεφαλοσπορίνες</w:t>
      </w:r>
      <w:proofErr w:type="spellEnd"/>
      <w:r w:rsidRPr="00170F6F">
        <w:rPr>
          <w:szCs w:val="22"/>
          <w:lang w:val="el-GR"/>
        </w:rPr>
        <w:t xml:space="preserve"> ή σε οποιοδήποτε άλλο τύπο βήτα </w:t>
      </w:r>
      <w:proofErr w:type="spellStart"/>
      <w:r w:rsidRPr="00170F6F">
        <w:rPr>
          <w:szCs w:val="22"/>
          <w:lang w:val="el-GR"/>
        </w:rPr>
        <w:t>λακτάμης</w:t>
      </w:r>
      <w:proofErr w:type="spellEnd"/>
      <w:r w:rsidRPr="00170F6F">
        <w:rPr>
          <w:szCs w:val="22"/>
          <w:lang w:val="el-GR"/>
        </w:rPr>
        <w:t xml:space="preserve">. Εφιστάται προσοχή σε περίπτωση χορήγησης </w:t>
      </w:r>
      <w:proofErr w:type="spellStart"/>
      <w:r w:rsidRPr="00170F6F">
        <w:rPr>
          <w:szCs w:val="22"/>
          <w:lang w:val="el-GR"/>
        </w:rPr>
        <w:t>κεφταζιδίμης</w:t>
      </w:r>
      <w:proofErr w:type="spellEnd"/>
      <w:r w:rsidRPr="00170F6F">
        <w:rPr>
          <w:szCs w:val="22"/>
          <w:lang w:val="el-GR"/>
        </w:rPr>
        <w:t xml:space="preserve"> σε ασθενείς που έχουν ιστορικό μη σοβαρής υπερευαισθησίας σε άλλες βήτα </w:t>
      </w:r>
      <w:proofErr w:type="spellStart"/>
      <w:r w:rsidRPr="00170F6F">
        <w:rPr>
          <w:szCs w:val="22"/>
          <w:lang w:val="el-GR"/>
        </w:rPr>
        <w:t>λακτάμες</w:t>
      </w:r>
      <w:proofErr w:type="spellEnd"/>
      <w:r w:rsidRPr="00170F6F">
        <w:rPr>
          <w:szCs w:val="22"/>
          <w:lang w:val="el-GR"/>
        </w:rPr>
        <w:t>.</w:t>
      </w:r>
    </w:p>
    <w:p w:rsidR="00461D88" w:rsidRPr="00170F6F" w:rsidRDefault="00461D88" w:rsidP="00461D88">
      <w:pPr>
        <w:rPr>
          <w:rStyle w:val="CSIchar"/>
          <w:rFonts w:eastAsia="Verdana"/>
          <w:szCs w:val="22"/>
          <w:lang w:val="el-GR"/>
        </w:rPr>
      </w:pPr>
    </w:p>
    <w:p w:rsidR="005C1B7D" w:rsidRPr="004A1E0F" w:rsidRDefault="004A1E0F" w:rsidP="005C1B7D">
      <w:pPr>
        <w:tabs>
          <w:tab w:val="left" w:pos="0"/>
        </w:tabs>
        <w:rPr>
          <w:szCs w:val="22"/>
          <w:u w:val="single"/>
          <w:lang w:val="el-GR"/>
        </w:rPr>
      </w:pPr>
      <w:r w:rsidRPr="004A1E0F">
        <w:rPr>
          <w:szCs w:val="22"/>
          <w:u w:val="single"/>
          <w:lang w:val="el-GR"/>
        </w:rPr>
        <w:t>Φάσμα δράσης</w:t>
      </w:r>
    </w:p>
    <w:p w:rsidR="00461D88" w:rsidRPr="00170F6F" w:rsidRDefault="00461D88" w:rsidP="00461D88">
      <w:pPr>
        <w:tabs>
          <w:tab w:val="left" w:pos="0"/>
        </w:tabs>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έχει ένα περιορισμένο φάσμα </w:t>
      </w:r>
      <w:proofErr w:type="spellStart"/>
      <w:r w:rsidRPr="00170F6F">
        <w:rPr>
          <w:szCs w:val="22"/>
          <w:lang w:val="el-GR"/>
        </w:rPr>
        <w:t>αντιβακτηριακής</w:t>
      </w:r>
      <w:proofErr w:type="spellEnd"/>
      <w:r w:rsidRPr="00170F6F">
        <w:rPr>
          <w:szCs w:val="22"/>
          <w:lang w:val="el-GR"/>
        </w:rPr>
        <w:t xml:space="preserve"> δράσης. Δεν είναι κατάλληλη για χρήση ως </w:t>
      </w:r>
      <w:proofErr w:type="spellStart"/>
      <w:r w:rsidRPr="00170F6F">
        <w:rPr>
          <w:szCs w:val="22"/>
          <w:lang w:val="el-GR"/>
        </w:rPr>
        <w:t>μονοθεραπεία</w:t>
      </w:r>
      <w:proofErr w:type="spellEnd"/>
      <w:r w:rsidRPr="00170F6F">
        <w:rPr>
          <w:szCs w:val="22"/>
          <w:lang w:val="el-GR"/>
        </w:rPr>
        <w:t xml:space="preserve"> για τη θεραπεία ορισμένων τύπων λοιμώξεων εκτός εάν το παθογόνο είναι ήδη γνωστό και τεκμηριωμένο ότι είναι ευαίσθητο ή υπάρχει πολύ μεγάλη υποψία ότι για </w:t>
      </w:r>
      <w:proofErr w:type="spellStart"/>
      <w:r w:rsidRPr="00170F6F">
        <w:rPr>
          <w:szCs w:val="22"/>
          <w:lang w:val="el-GR"/>
        </w:rPr>
        <w:t>το(α</w:t>
      </w:r>
      <w:proofErr w:type="spellEnd"/>
      <w:r w:rsidRPr="00170F6F">
        <w:rPr>
          <w:szCs w:val="22"/>
          <w:lang w:val="el-GR"/>
        </w:rPr>
        <w:t xml:space="preserve">) </w:t>
      </w:r>
      <w:proofErr w:type="spellStart"/>
      <w:r w:rsidRPr="00170F6F">
        <w:rPr>
          <w:szCs w:val="22"/>
          <w:lang w:val="el-GR"/>
        </w:rPr>
        <w:t>πιθανότερο(α</w:t>
      </w:r>
      <w:proofErr w:type="spellEnd"/>
      <w:r w:rsidRPr="00170F6F">
        <w:rPr>
          <w:szCs w:val="22"/>
          <w:lang w:val="el-GR"/>
        </w:rPr>
        <w:t xml:space="preserve">) </w:t>
      </w:r>
      <w:proofErr w:type="spellStart"/>
      <w:r w:rsidRPr="00170F6F">
        <w:rPr>
          <w:szCs w:val="22"/>
          <w:lang w:val="el-GR"/>
        </w:rPr>
        <w:t>παθογόνο(α</w:t>
      </w:r>
      <w:proofErr w:type="spellEnd"/>
      <w:r w:rsidRPr="00170F6F">
        <w:rPr>
          <w:szCs w:val="22"/>
          <w:lang w:val="el-GR"/>
        </w:rPr>
        <w:t xml:space="preserve">) θα είναι κατάλληλη η θεραπεία με </w:t>
      </w:r>
      <w:proofErr w:type="spellStart"/>
      <w:r w:rsidRPr="00170F6F">
        <w:rPr>
          <w:szCs w:val="22"/>
          <w:lang w:val="el-GR"/>
        </w:rPr>
        <w:t>κεφταζιδίμη</w:t>
      </w:r>
      <w:proofErr w:type="spellEnd"/>
      <w:r w:rsidRPr="00170F6F">
        <w:rPr>
          <w:szCs w:val="22"/>
          <w:lang w:val="el-GR"/>
        </w:rPr>
        <w:t xml:space="preserve">. Αυτό εφαρμόζεται ιδιαίτερα σε ασθενείς με βακτηριαιμία και κατά την θεραπεία </w:t>
      </w:r>
      <w:proofErr w:type="spellStart"/>
      <w:r w:rsidRPr="00170F6F">
        <w:rPr>
          <w:szCs w:val="22"/>
          <w:lang w:val="el-GR"/>
        </w:rPr>
        <w:t>βακτηριακής</w:t>
      </w:r>
      <w:proofErr w:type="spellEnd"/>
      <w:r w:rsidRPr="00170F6F">
        <w:rPr>
          <w:szCs w:val="22"/>
          <w:lang w:val="el-GR"/>
        </w:rPr>
        <w:t xml:space="preserve"> μηνιγγίτιδας, λοιμώξεων του δέρματος και των μαλακών μορίων και λοιμώξεων των οστών και των αρθρώσεων.  Επιπλέον, η </w:t>
      </w:r>
      <w:proofErr w:type="spellStart"/>
      <w:r w:rsidRPr="00170F6F">
        <w:rPr>
          <w:szCs w:val="22"/>
          <w:lang w:val="el-GR"/>
        </w:rPr>
        <w:t>κεφταζιδίμη</w:t>
      </w:r>
      <w:proofErr w:type="spellEnd"/>
      <w:r w:rsidRPr="00170F6F">
        <w:rPr>
          <w:szCs w:val="22"/>
          <w:lang w:val="el-GR"/>
        </w:rPr>
        <w:t xml:space="preserve"> είναι ευαίσθητη σε υδρόλυση σε αρκετές βήτα </w:t>
      </w:r>
      <w:proofErr w:type="spellStart"/>
      <w:r w:rsidRPr="00170F6F">
        <w:rPr>
          <w:szCs w:val="22"/>
          <w:lang w:val="el-GR"/>
        </w:rPr>
        <w:t>λακταμάσες</w:t>
      </w:r>
      <w:proofErr w:type="spellEnd"/>
      <w:r w:rsidRPr="00170F6F">
        <w:rPr>
          <w:szCs w:val="22"/>
          <w:lang w:val="el-GR"/>
        </w:rPr>
        <w:t xml:space="preserve"> ευρέως φάσματος (</w:t>
      </w:r>
      <w:r w:rsidRPr="00170F6F">
        <w:rPr>
          <w:szCs w:val="22"/>
        </w:rPr>
        <w:t>ESBLs</w:t>
      </w:r>
      <w:r w:rsidRPr="00170F6F">
        <w:rPr>
          <w:szCs w:val="22"/>
          <w:lang w:val="el-GR"/>
        </w:rPr>
        <w:t xml:space="preserve">). Επομένως, όταν επιλέγεται η </w:t>
      </w:r>
      <w:proofErr w:type="spellStart"/>
      <w:r w:rsidRPr="00170F6F">
        <w:rPr>
          <w:szCs w:val="22"/>
          <w:lang w:val="el-GR"/>
        </w:rPr>
        <w:t>κεφταζιδίμη</w:t>
      </w:r>
      <w:proofErr w:type="spellEnd"/>
      <w:r w:rsidRPr="00170F6F">
        <w:rPr>
          <w:szCs w:val="22"/>
          <w:lang w:val="el-GR"/>
        </w:rPr>
        <w:t xml:space="preserve"> ως θεραπεία, πρέπει να λαμβάνονται υπόψη οι πληροφορίες για τον </w:t>
      </w:r>
      <w:proofErr w:type="spellStart"/>
      <w:r w:rsidRPr="00170F6F">
        <w:rPr>
          <w:szCs w:val="22"/>
          <w:lang w:val="el-GR"/>
        </w:rPr>
        <w:t>επιπολασμό</w:t>
      </w:r>
      <w:proofErr w:type="spellEnd"/>
      <w:r w:rsidRPr="00170F6F">
        <w:rPr>
          <w:szCs w:val="22"/>
          <w:lang w:val="el-GR"/>
        </w:rPr>
        <w:t xml:space="preserve"> των οργανισμών που παράγουν </w:t>
      </w:r>
      <w:r w:rsidRPr="00170F6F">
        <w:rPr>
          <w:szCs w:val="22"/>
        </w:rPr>
        <w:t>ESBL</w:t>
      </w:r>
      <w:r w:rsidRPr="00170F6F">
        <w:rPr>
          <w:szCs w:val="22"/>
          <w:lang w:val="el-GR"/>
        </w:rPr>
        <w:t>.</w:t>
      </w:r>
    </w:p>
    <w:p w:rsidR="00461D88" w:rsidRPr="00170F6F" w:rsidRDefault="00461D88" w:rsidP="00461D88">
      <w:pPr>
        <w:pStyle w:val="listbull"/>
        <w:spacing w:after="0"/>
        <w:ind w:left="0" w:firstLine="0"/>
        <w:rPr>
          <w:sz w:val="22"/>
          <w:szCs w:val="22"/>
          <w:lang w:val="el-GR"/>
        </w:rPr>
      </w:pPr>
    </w:p>
    <w:p w:rsidR="004A1E0F" w:rsidRPr="004A1E0F" w:rsidRDefault="004A1E0F" w:rsidP="00461D88">
      <w:pPr>
        <w:pStyle w:val="listbull"/>
        <w:spacing w:after="0"/>
        <w:ind w:left="0" w:firstLine="0"/>
        <w:rPr>
          <w:sz w:val="22"/>
          <w:szCs w:val="22"/>
          <w:u w:val="single"/>
          <w:lang w:val="el-GR"/>
        </w:rPr>
      </w:pPr>
      <w:proofErr w:type="spellStart"/>
      <w:r w:rsidRPr="004A1E0F">
        <w:rPr>
          <w:sz w:val="22"/>
          <w:szCs w:val="22"/>
          <w:u w:val="single"/>
          <w:lang w:val="el-GR"/>
        </w:rPr>
        <w:t>Ψευδομεμβρανώδης</w:t>
      </w:r>
      <w:proofErr w:type="spellEnd"/>
      <w:r w:rsidRPr="004A1E0F">
        <w:rPr>
          <w:sz w:val="22"/>
          <w:szCs w:val="22"/>
          <w:u w:val="single"/>
          <w:lang w:val="el-GR"/>
        </w:rPr>
        <w:t xml:space="preserve"> κολίτιδα </w:t>
      </w:r>
    </w:p>
    <w:p w:rsidR="00461D88" w:rsidRPr="00170F6F" w:rsidRDefault="00461D88" w:rsidP="00461D88">
      <w:pPr>
        <w:pStyle w:val="listbull"/>
        <w:spacing w:after="0"/>
        <w:ind w:left="0" w:firstLine="0"/>
        <w:rPr>
          <w:rStyle w:val="CSIchar"/>
          <w:rFonts w:eastAsia="Verdana"/>
          <w:sz w:val="22"/>
          <w:szCs w:val="22"/>
          <w:lang w:val="el-GR"/>
        </w:rPr>
      </w:pPr>
      <w:r w:rsidRPr="00170F6F">
        <w:rPr>
          <w:sz w:val="22"/>
          <w:szCs w:val="22"/>
          <w:lang w:val="el-GR"/>
        </w:rPr>
        <w:t xml:space="preserve">Περιπτώσεις κολίτιδας σχετιζόμενης με τον </w:t>
      </w:r>
      <w:proofErr w:type="spellStart"/>
      <w:r w:rsidRPr="00170F6F">
        <w:rPr>
          <w:sz w:val="22"/>
          <w:szCs w:val="22"/>
          <w:lang w:val="el-GR"/>
        </w:rPr>
        <w:t>αντιβακτηριακό</w:t>
      </w:r>
      <w:proofErr w:type="spellEnd"/>
      <w:r w:rsidRPr="00170F6F">
        <w:rPr>
          <w:sz w:val="22"/>
          <w:szCs w:val="22"/>
          <w:lang w:val="el-GR"/>
        </w:rPr>
        <w:t xml:space="preserve"> παράγοντα και </w:t>
      </w:r>
      <w:proofErr w:type="spellStart"/>
      <w:r w:rsidRPr="00170F6F">
        <w:rPr>
          <w:sz w:val="22"/>
          <w:szCs w:val="22"/>
          <w:lang w:val="el-GR"/>
        </w:rPr>
        <w:t>ψευδομεμβρανώδους</w:t>
      </w:r>
      <w:proofErr w:type="spellEnd"/>
      <w:r w:rsidRPr="00170F6F">
        <w:rPr>
          <w:sz w:val="22"/>
          <w:szCs w:val="22"/>
          <w:lang w:val="el-GR"/>
        </w:rPr>
        <w:t xml:space="preserve"> κολίτιδας έχουν αναφερθεί με όλους σχεδόν τους </w:t>
      </w:r>
      <w:proofErr w:type="spellStart"/>
      <w:r w:rsidRPr="00170F6F">
        <w:rPr>
          <w:sz w:val="22"/>
          <w:szCs w:val="22"/>
          <w:lang w:val="el-GR"/>
        </w:rPr>
        <w:t>αντιβακτηριακούς</w:t>
      </w:r>
      <w:proofErr w:type="spellEnd"/>
      <w:r w:rsidRPr="00170F6F">
        <w:rPr>
          <w:sz w:val="22"/>
          <w:szCs w:val="22"/>
          <w:lang w:val="el-GR"/>
        </w:rPr>
        <w:t xml:space="preserve"> παράγοντες, περιλαμβανομένης της </w:t>
      </w:r>
      <w:proofErr w:type="spellStart"/>
      <w:r w:rsidRPr="00170F6F">
        <w:rPr>
          <w:sz w:val="22"/>
          <w:szCs w:val="22"/>
          <w:lang w:val="el-GR"/>
        </w:rPr>
        <w:t>κεφταζιδίμης</w:t>
      </w:r>
      <w:proofErr w:type="spellEnd"/>
      <w:r w:rsidRPr="00170F6F">
        <w:rPr>
          <w:sz w:val="22"/>
          <w:szCs w:val="22"/>
          <w:lang w:val="el-GR"/>
        </w:rPr>
        <w:t xml:space="preserve">. Οι περιπτώσεις αυτές ήταν από ήπιας μορφής έως απειλητικές για τη ζωή. Ως εκ τούτου, είναι σημαντικό να συνεκτιμηθεί αυτή η διάγνωση σε ασθενείς που παρουσιάζουν διάρροια κατά τη διάρκεια ή μετά τη χορήγηση </w:t>
      </w:r>
      <w:proofErr w:type="spellStart"/>
      <w:r w:rsidRPr="00170F6F">
        <w:rPr>
          <w:sz w:val="22"/>
          <w:szCs w:val="22"/>
          <w:lang w:val="el-GR"/>
        </w:rPr>
        <w:t>κεφταζιδίμης</w:t>
      </w:r>
      <w:proofErr w:type="spellEnd"/>
      <w:r w:rsidRPr="00170F6F">
        <w:rPr>
          <w:sz w:val="22"/>
          <w:szCs w:val="22"/>
          <w:lang w:val="el-GR"/>
        </w:rPr>
        <w:t xml:space="preserve"> (βλέπε παράγραφο 4.8). Θα πρέπει να εξετάζεται το ενδεχόμενο διακοπής της θεραπείας με </w:t>
      </w:r>
      <w:proofErr w:type="spellStart"/>
      <w:r w:rsidRPr="00170F6F">
        <w:rPr>
          <w:sz w:val="22"/>
          <w:szCs w:val="22"/>
          <w:lang w:val="el-GR"/>
        </w:rPr>
        <w:t>κεφταζιδίμη</w:t>
      </w:r>
      <w:proofErr w:type="spellEnd"/>
      <w:r w:rsidRPr="00170F6F">
        <w:rPr>
          <w:sz w:val="22"/>
          <w:szCs w:val="22"/>
          <w:lang w:val="el-GR"/>
        </w:rPr>
        <w:t xml:space="preserve"> και χορήγησης ειδικής αγωγής για </w:t>
      </w:r>
      <w:proofErr w:type="spellStart"/>
      <w:r w:rsidRPr="00170F6F">
        <w:rPr>
          <w:i/>
          <w:sz w:val="22"/>
          <w:szCs w:val="22"/>
          <w:lang w:val="el-GR"/>
        </w:rPr>
        <w:t>Clostridium</w:t>
      </w:r>
      <w:proofErr w:type="spellEnd"/>
      <w:r w:rsidRPr="00170F6F">
        <w:rPr>
          <w:i/>
          <w:sz w:val="22"/>
          <w:szCs w:val="22"/>
          <w:lang w:val="el-GR"/>
        </w:rPr>
        <w:t xml:space="preserve"> </w:t>
      </w:r>
      <w:proofErr w:type="spellStart"/>
      <w:r w:rsidRPr="00170F6F">
        <w:rPr>
          <w:i/>
          <w:sz w:val="22"/>
          <w:szCs w:val="22"/>
          <w:lang w:val="el-GR"/>
        </w:rPr>
        <w:t>difficile</w:t>
      </w:r>
      <w:proofErr w:type="spellEnd"/>
      <w:r w:rsidRPr="00170F6F">
        <w:rPr>
          <w:sz w:val="22"/>
          <w:szCs w:val="22"/>
          <w:lang w:val="el-GR"/>
        </w:rPr>
        <w:t xml:space="preserve">. Δεν πρέπει να χορηγούνται φαρμακευτικά προϊόντα που αναστέλλουν τον </w:t>
      </w:r>
      <w:proofErr w:type="spellStart"/>
      <w:r w:rsidRPr="00170F6F">
        <w:rPr>
          <w:sz w:val="22"/>
          <w:szCs w:val="22"/>
          <w:lang w:val="el-GR"/>
        </w:rPr>
        <w:t>περισταλτικότητα</w:t>
      </w:r>
      <w:proofErr w:type="spellEnd"/>
      <w:r w:rsidRPr="00170F6F">
        <w:rPr>
          <w:sz w:val="22"/>
          <w:szCs w:val="22"/>
          <w:lang w:val="el-GR"/>
        </w:rPr>
        <w:t xml:space="preserve"> του εντέρου.</w:t>
      </w:r>
    </w:p>
    <w:p w:rsidR="00461D88" w:rsidRPr="00170F6F" w:rsidRDefault="00461D88" w:rsidP="00461D88">
      <w:pPr>
        <w:rPr>
          <w:rStyle w:val="CSIchar"/>
          <w:rFonts w:eastAsia="Verdana"/>
          <w:szCs w:val="22"/>
          <w:lang w:val="el-GR"/>
        </w:rPr>
      </w:pPr>
    </w:p>
    <w:p w:rsidR="005C1B7D" w:rsidRPr="004A1E0F" w:rsidRDefault="004A1E0F" w:rsidP="005C1B7D">
      <w:pPr>
        <w:rPr>
          <w:szCs w:val="22"/>
          <w:u w:val="single"/>
          <w:lang w:val="el-GR"/>
        </w:rPr>
      </w:pPr>
      <w:r w:rsidRPr="004A1E0F">
        <w:rPr>
          <w:szCs w:val="22"/>
          <w:u w:val="single"/>
          <w:lang w:val="el-GR"/>
        </w:rPr>
        <w:t>Νεφρική λειτουργία</w:t>
      </w:r>
    </w:p>
    <w:p w:rsidR="003940A2" w:rsidRDefault="003940A2" w:rsidP="00461D88">
      <w:pPr>
        <w:rPr>
          <w:szCs w:val="22"/>
          <w:lang w:val="el-GR"/>
        </w:rPr>
      </w:pPr>
      <w:r w:rsidRPr="003940A2">
        <w:rPr>
          <w:szCs w:val="22"/>
          <w:lang w:val="el-GR"/>
        </w:rPr>
        <w:lastRenderedPageBreak/>
        <w:t xml:space="preserve">Η </w:t>
      </w:r>
      <w:proofErr w:type="spellStart"/>
      <w:r w:rsidRPr="003940A2">
        <w:rPr>
          <w:szCs w:val="22"/>
          <w:lang w:val="el-GR"/>
        </w:rPr>
        <w:t>συγχορήγηση</w:t>
      </w:r>
      <w:proofErr w:type="spellEnd"/>
      <w:r w:rsidRPr="003940A2">
        <w:rPr>
          <w:szCs w:val="22"/>
          <w:lang w:val="el-GR"/>
        </w:rPr>
        <w:t xml:space="preserve"> με υψηλές δόσεις </w:t>
      </w:r>
      <w:proofErr w:type="spellStart"/>
      <w:r w:rsidRPr="003940A2">
        <w:rPr>
          <w:szCs w:val="22"/>
          <w:lang w:val="el-GR"/>
        </w:rPr>
        <w:t>κεφαλοσπορινών</w:t>
      </w:r>
      <w:proofErr w:type="spellEnd"/>
      <w:r w:rsidRPr="003940A2">
        <w:rPr>
          <w:szCs w:val="22"/>
          <w:lang w:val="el-GR"/>
        </w:rPr>
        <w:t xml:space="preserve"> και </w:t>
      </w:r>
      <w:proofErr w:type="spellStart"/>
      <w:r w:rsidRPr="003940A2">
        <w:rPr>
          <w:szCs w:val="22"/>
          <w:lang w:val="el-GR"/>
        </w:rPr>
        <w:t>νεφροτοξικών</w:t>
      </w:r>
      <w:proofErr w:type="spellEnd"/>
      <w:r w:rsidRPr="003940A2">
        <w:rPr>
          <w:szCs w:val="22"/>
          <w:lang w:val="el-GR"/>
        </w:rPr>
        <w:t xml:space="preserve"> φαρμακευτικών προϊόντων, όπως οι </w:t>
      </w:r>
      <w:proofErr w:type="spellStart"/>
      <w:r w:rsidRPr="003940A2">
        <w:rPr>
          <w:szCs w:val="22"/>
          <w:lang w:val="el-GR"/>
        </w:rPr>
        <w:t>αμινογλυκοσίδες</w:t>
      </w:r>
      <w:proofErr w:type="spellEnd"/>
      <w:r w:rsidRPr="003940A2">
        <w:rPr>
          <w:szCs w:val="22"/>
          <w:lang w:val="el-GR"/>
        </w:rPr>
        <w:t xml:space="preserve"> ή ισχυρά διουρητικά (π.χ. </w:t>
      </w:r>
      <w:proofErr w:type="spellStart"/>
      <w:r w:rsidRPr="003940A2">
        <w:rPr>
          <w:szCs w:val="22"/>
          <w:lang w:val="el-GR"/>
        </w:rPr>
        <w:t>φουροσεμίδη</w:t>
      </w:r>
      <w:proofErr w:type="spellEnd"/>
      <w:r w:rsidRPr="003940A2">
        <w:rPr>
          <w:szCs w:val="22"/>
          <w:lang w:val="el-GR"/>
        </w:rPr>
        <w:t xml:space="preserve">), ενδέχεται να επηρεάσουν δυσμενώς τη νεφρική λειτουργία. </w:t>
      </w:r>
    </w:p>
    <w:p w:rsidR="003940A2" w:rsidRDefault="003940A2" w:rsidP="00461D88">
      <w:pPr>
        <w:rPr>
          <w:szCs w:val="22"/>
          <w:lang w:val="el-GR"/>
        </w:rPr>
      </w:pPr>
    </w:p>
    <w:p w:rsidR="003940A2" w:rsidRDefault="003940A2" w:rsidP="00461D88">
      <w:pPr>
        <w:rPr>
          <w:szCs w:val="22"/>
          <w:lang w:val="el-GR"/>
        </w:rPr>
      </w:pPr>
      <w:r w:rsidRPr="003940A2">
        <w:rPr>
          <w:szCs w:val="22"/>
          <w:lang w:val="el-GR"/>
        </w:rPr>
        <w:t xml:space="preserve">Η </w:t>
      </w:r>
      <w:proofErr w:type="spellStart"/>
      <w:r w:rsidRPr="003940A2">
        <w:rPr>
          <w:szCs w:val="22"/>
          <w:lang w:val="el-GR"/>
        </w:rPr>
        <w:t>κεφταζιδίμη</w:t>
      </w:r>
      <w:proofErr w:type="spellEnd"/>
      <w:r w:rsidRPr="003940A2">
        <w:rPr>
          <w:szCs w:val="22"/>
          <w:lang w:val="el-GR"/>
        </w:rPr>
        <w:t xml:space="preserve"> αποβάλλεται δια των νεφρών. Ως εκ τούτου, η δόση πρέπει να μειώνεται σε συνάρτηση με τον βαθμό της νεφρικής δυσλειτουργίας. Ασθενείς με νεφρική δυσλειτουργία θα πρέπει να παρακολουθούνται στενά τόσο για την ασφάλεια όσο και για την αποτελεσματικότητα. Έχουν αναφερθεί περιστασιακά νευρολογικά επακόλουθα, όταν η δόση δεν μειώθηκε σε ασθενείς με νεφρική δυσλειτουργία (βλέπε παραγράφους 4.2, 4.7 και 4.8).</w:t>
      </w:r>
    </w:p>
    <w:p w:rsidR="003940A2" w:rsidRDefault="003940A2" w:rsidP="00461D88">
      <w:pPr>
        <w:rPr>
          <w:szCs w:val="22"/>
          <w:lang w:val="el-GR"/>
        </w:rPr>
      </w:pPr>
    </w:p>
    <w:p w:rsidR="005C1B7D" w:rsidRPr="005C1B7D" w:rsidRDefault="004A1E0F" w:rsidP="005C1B7D">
      <w:pPr>
        <w:rPr>
          <w:szCs w:val="22"/>
          <w:u w:val="single"/>
          <w:lang w:val="el-GR"/>
        </w:rPr>
      </w:pPr>
      <w:proofErr w:type="spellStart"/>
      <w:r w:rsidRPr="00EC20DD">
        <w:rPr>
          <w:szCs w:val="22"/>
          <w:u w:val="single"/>
          <w:lang w:val="el-GR"/>
        </w:rPr>
        <w:t>Υπερανάπτυξη</w:t>
      </w:r>
      <w:proofErr w:type="spellEnd"/>
      <w:r w:rsidRPr="00EC20DD">
        <w:rPr>
          <w:szCs w:val="22"/>
          <w:u w:val="single"/>
          <w:lang w:val="el-GR"/>
        </w:rPr>
        <w:t xml:space="preserve"> μη ευαίσθητων οργανισμών</w:t>
      </w:r>
    </w:p>
    <w:p w:rsidR="003940A2" w:rsidRDefault="003940A2" w:rsidP="00461D88">
      <w:pPr>
        <w:rPr>
          <w:szCs w:val="22"/>
          <w:lang w:val="el-GR"/>
        </w:rPr>
      </w:pPr>
      <w:r w:rsidRPr="003940A2">
        <w:rPr>
          <w:szCs w:val="22"/>
          <w:lang w:val="el-GR"/>
        </w:rPr>
        <w:t xml:space="preserve">Η παρατεταμένη χρήση μπορεί να οδηγήσει σε </w:t>
      </w:r>
      <w:proofErr w:type="spellStart"/>
      <w:r w:rsidRPr="003940A2">
        <w:rPr>
          <w:szCs w:val="22"/>
          <w:lang w:val="el-GR"/>
        </w:rPr>
        <w:t>υπερανάπτυξη</w:t>
      </w:r>
      <w:proofErr w:type="spellEnd"/>
      <w:r w:rsidRPr="003940A2">
        <w:rPr>
          <w:szCs w:val="22"/>
          <w:lang w:val="el-GR"/>
        </w:rPr>
        <w:t xml:space="preserve"> ανθεκτικών μικροοργανισμών (π.χ. εντερόκοκκοι, μύκητες) λόγω της οποίας μπορεί να χρειαστεί προσωρινή διακοπή της αγωγής ή άλλα κατάλληλα μέτρα. Είναι απαραίτητη η επαναλαμβανόμενη αξιολόγηση της κατάστασης του ασθενή. </w:t>
      </w:r>
    </w:p>
    <w:p w:rsidR="003940A2" w:rsidRDefault="003940A2" w:rsidP="00461D88">
      <w:pPr>
        <w:rPr>
          <w:szCs w:val="22"/>
          <w:lang w:val="el-GR"/>
        </w:rPr>
      </w:pPr>
    </w:p>
    <w:p w:rsidR="005C1B7D" w:rsidRPr="005C1B7D" w:rsidRDefault="0021390B" w:rsidP="005C1B7D">
      <w:pPr>
        <w:rPr>
          <w:szCs w:val="22"/>
          <w:u w:val="single"/>
          <w:lang w:val="el-GR"/>
        </w:rPr>
      </w:pPr>
      <w:r>
        <w:rPr>
          <w:szCs w:val="22"/>
          <w:u w:val="single"/>
          <w:lang w:val="el-GR"/>
        </w:rPr>
        <w:t>Αλληλεπιδράσεις με εργαστηριακές εξετάσεις</w:t>
      </w: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δεν επηρεάζει τα </w:t>
      </w:r>
      <w:proofErr w:type="spellStart"/>
      <w:r w:rsidRPr="00170F6F">
        <w:rPr>
          <w:szCs w:val="22"/>
          <w:lang w:val="el-GR"/>
        </w:rPr>
        <w:t>ενζυματικά</w:t>
      </w:r>
      <w:proofErr w:type="spellEnd"/>
      <w:r w:rsidRPr="00170F6F">
        <w:rPr>
          <w:szCs w:val="22"/>
          <w:lang w:val="el-GR"/>
        </w:rPr>
        <w:t xml:space="preserve"> τεστ για </w:t>
      </w:r>
      <w:proofErr w:type="spellStart"/>
      <w:r w:rsidRPr="00170F6F">
        <w:rPr>
          <w:szCs w:val="22"/>
          <w:lang w:val="el-GR"/>
        </w:rPr>
        <w:t>γλυκοζουρία</w:t>
      </w:r>
      <w:proofErr w:type="spellEnd"/>
      <w:r w:rsidRPr="00170F6F">
        <w:rPr>
          <w:szCs w:val="22"/>
          <w:lang w:val="el-GR"/>
        </w:rPr>
        <w:t>, αλλά επηρεάζει ελαφρώς (ψευδώς θετικό αποτέλεσμα) τις μεθόδους με αναγωγή του χαλκού (</w:t>
      </w:r>
      <w:proofErr w:type="spellStart"/>
      <w:r w:rsidRPr="00170F6F">
        <w:rPr>
          <w:szCs w:val="22"/>
          <w:lang w:val="el-GR"/>
        </w:rPr>
        <w:t>Benedict</w:t>
      </w:r>
      <w:proofErr w:type="spellEnd"/>
      <w:r w:rsidRPr="00170F6F">
        <w:rPr>
          <w:szCs w:val="22"/>
          <w:lang w:val="el-GR"/>
        </w:rPr>
        <w:t xml:space="preserve">, </w:t>
      </w:r>
      <w:proofErr w:type="spellStart"/>
      <w:r w:rsidRPr="00170F6F">
        <w:rPr>
          <w:szCs w:val="22"/>
          <w:lang w:val="el-GR"/>
        </w:rPr>
        <w:t>Fehling</w:t>
      </w:r>
      <w:proofErr w:type="spellEnd"/>
      <w:r w:rsidRPr="00170F6F">
        <w:rPr>
          <w:szCs w:val="22"/>
          <w:lang w:val="el-GR"/>
        </w:rPr>
        <w:t xml:space="preserve">, </w:t>
      </w:r>
      <w:proofErr w:type="spellStart"/>
      <w:r w:rsidRPr="00170F6F">
        <w:rPr>
          <w:szCs w:val="22"/>
          <w:lang w:val="el-GR"/>
        </w:rPr>
        <w:t>Clinitest</w:t>
      </w:r>
      <w:proofErr w:type="spellEnd"/>
      <w:r w:rsidRPr="00170F6F">
        <w:rPr>
          <w:szCs w:val="22"/>
          <w:lang w:val="el-GR"/>
        </w:rPr>
        <w:t>).</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δεν επηρεάζει τη δοκιμασία αντίδρασης της </w:t>
      </w:r>
      <w:proofErr w:type="spellStart"/>
      <w:r w:rsidRPr="00170F6F">
        <w:rPr>
          <w:szCs w:val="22"/>
          <w:lang w:val="el-GR"/>
        </w:rPr>
        <w:t>κρεατινίνης</w:t>
      </w:r>
      <w:proofErr w:type="spellEnd"/>
      <w:r w:rsidRPr="00170F6F">
        <w:rPr>
          <w:szCs w:val="22"/>
          <w:lang w:val="el-GR"/>
        </w:rPr>
        <w:t xml:space="preserve"> με πικρικό οξύ σε αλκαλικό περιβάλλον.</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Θετικό αποτέλεσμα σε έλεγχο </w:t>
      </w:r>
      <w:proofErr w:type="spellStart"/>
      <w:r w:rsidRPr="00170F6F">
        <w:rPr>
          <w:szCs w:val="22"/>
          <w:lang w:val="el-GR"/>
        </w:rPr>
        <w:t>Coomb</w:t>
      </w:r>
      <w:proofErr w:type="spellEnd"/>
      <w:r w:rsidRPr="00170F6F">
        <w:rPr>
          <w:szCs w:val="22"/>
          <w:lang w:val="el-GR"/>
        </w:rPr>
        <w:t xml:space="preserve"> λόγω της χρήσης </w:t>
      </w:r>
      <w:proofErr w:type="spellStart"/>
      <w:r w:rsidRPr="00170F6F">
        <w:rPr>
          <w:szCs w:val="22"/>
          <w:lang w:val="el-GR"/>
        </w:rPr>
        <w:t>κεφταζιδίμης</w:t>
      </w:r>
      <w:proofErr w:type="spellEnd"/>
      <w:r w:rsidRPr="00170F6F">
        <w:rPr>
          <w:szCs w:val="22"/>
          <w:lang w:val="el-GR"/>
        </w:rPr>
        <w:t xml:space="preserve"> εμφανίζεται σε ποσοστό 5 % περίπου των ασθενών και μπορεί να επηρεάσει τη διασταύρωση του αίματος. </w:t>
      </w:r>
    </w:p>
    <w:p w:rsidR="00461D88" w:rsidRPr="00170F6F" w:rsidRDefault="00461D88" w:rsidP="00461D88">
      <w:pPr>
        <w:rPr>
          <w:szCs w:val="22"/>
          <w:lang w:val="el-GR"/>
        </w:rPr>
      </w:pPr>
    </w:p>
    <w:p w:rsidR="005C1B7D" w:rsidRPr="005C1B7D" w:rsidRDefault="0021390B" w:rsidP="005C1B7D">
      <w:pPr>
        <w:rPr>
          <w:szCs w:val="22"/>
          <w:u w:val="single"/>
          <w:lang w:val="el-GR"/>
        </w:rPr>
      </w:pPr>
      <w:r>
        <w:rPr>
          <w:szCs w:val="22"/>
          <w:u w:val="single"/>
          <w:lang w:val="el-GR"/>
        </w:rPr>
        <w:t>Περιεκτικότητα σε νάτριο</w:t>
      </w:r>
    </w:p>
    <w:p w:rsidR="00461D88" w:rsidRPr="003940A2" w:rsidRDefault="00461D88" w:rsidP="00461D88">
      <w:pPr>
        <w:numPr>
          <w:ilvl w:val="12"/>
          <w:numId w:val="0"/>
        </w:numPr>
        <w:tabs>
          <w:tab w:val="clear" w:pos="567"/>
        </w:tabs>
        <w:spacing w:line="240" w:lineRule="auto"/>
        <w:ind w:right="-2"/>
        <w:rPr>
          <w:noProof/>
          <w:szCs w:val="22"/>
          <w:lang w:val="el-GR"/>
        </w:rPr>
      </w:pPr>
      <w:r w:rsidRPr="003940A2">
        <w:rPr>
          <w:szCs w:val="22"/>
          <w:lang w:val="el-GR"/>
        </w:rPr>
        <w:t xml:space="preserve">Σημαντικές πληροφορίες σχετικά με </w:t>
      </w:r>
      <w:r w:rsidR="005C1B7D">
        <w:rPr>
          <w:szCs w:val="22"/>
          <w:lang w:val="el-GR"/>
        </w:rPr>
        <w:t>ένα από τα</w:t>
      </w:r>
      <w:r w:rsidRPr="003940A2">
        <w:rPr>
          <w:szCs w:val="22"/>
          <w:lang w:val="el-GR"/>
        </w:rPr>
        <w:t xml:space="preserve"> συστατικά του </w:t>
      </w:r>
      <w:proofErr w:type="spellStart"/>
      <w:r w:rsidR="00A07816">
        <w:rPr>
          <w:szCs w:val="22"/>
          <w:lang w:val="el-GR"/>
        </w:rPr>
        <w:t>Ceftazidime</w:t>
      </w:r>
      <w:proofErr w:type="spellEnd"/>
      <w:r w:rsidR="00A07816">
        <w:rPr>
          <w:szCs w:val="22"/>
          <w:lang w:val="el-GR"/>
        </w:rPr>
        <w:t>/</w:t>
      </w:r>
      <w:proofErr w:type="spellStart"/>
      <w:r w:rsidR="00A07816">
        <w:rPr>
          <w:szCs w:val="22"/>
          <w:lang w:val="el-GR"/>
        </w:rPr>
        <w:t>Cooper</w:t>
      </w:r>
      <w:proofErr w:type="spellEnd"/>
      <w:r w:rsidRPr="003940A2">
        <w:rPr>
          <w:szCs w:val="22"/>
          <w:lang w:val="el-GR"/>
        </w:rPr>
        <w:t>:</w:t>
      </w:r>
    </w:p>
    <w:p w:rsidR="00461D88" w:rsidRPr="003940A2" w:rsidRDefault="00461D88" w:rsidP="00461D88">
      <w:pPr>
        <w:numPr>
          <w:ilvl w:val="12"/>
          <w:numId w:val="0"/>
        </w:numPr>
        <w:tabs>
          <w:tab w:val="clear" w:pos="567"/>
        </w:tabs>
        <w:spacing w:line="240" w:lineRule="auto"/>
        <w:ind w:right="-2"/>
        <w:rPr>
          <w:noProof/>
          <w:szCs w:val="22"/>
          <w:lang w:val="el-GR"/>
        </w:rPr>
      </w:pPr>
    </w:p>
    <w:p w:rsidR="00461D88" w:rsidRPr="003940A2" w:rsidRDefault="00461D88" w:rsidP="00461D88">
      <w:pPr>
        <w:numPr>
          <w:ilvl w:val="12"/>
          <w:numId w:val="0"/>
        </w:numPr>
        <w:tabs>
          <w:tab w:val="clear" w:pos="567"/>
        </w:tabs>
        <w:spacing w:line="240" w:lineRule="auto"/>
        <w:ind w:right="-2"/>
        <w:outlineLvl w:val="0"/>
        <w:rPr>
          <w:noProof/>
          <w:szCs w:val="22"/>
          <w:lang w:val="el-GR"/>
        </w:rPr>
      </w:pPr>
      <w:proofErr w:type="spellStart"/>
      <w:r w:rsidRPr="003940A2">
        <w:rPr>
          <w:szCs w:val="22"/>
          <w:lang w:val="el-GR"/>
        </w:rPr>
        <w:t>Κόνις</w:t>
      </w:r>
      <w:proofErr w:type="spellEnd"/>
      <w:r w:rsidRPr="003940A2">
        <w:rPr>
          <w:szCs w:val="22"/>
          <w:lang w:val="el-GR"/>
        </w:rPr>
        <w:t xml:space="preserve"> για ενέσιμο διάλυμα ή διάλυμα προς έγχυση 1 g, </w:t>
      </w:r>
      <w:proofErr w:type="spellStart"/>
      <w:r w:rsidRPr="003940A2">
        <w:rPr>
          <w:szCs w:val="22"/>
          <w:lang w:val="el-GR"/>
        </w:rPr>
        <w:t>κόνις</w:t>
      </w:r>
      <w:proofErr w:type="spellEnd"/>
      <w:r w:rsidRPr="003940A2">
        <w:rPr>
          <w:szCs w:val="22"/>
          <w:lang w:val="el-GR"/>
        </w:rPr>
        <w:t xml:space="preserve"> για διάλυμα προς έγχυση 1 g</w:t>
      </w:r>
    </w:p>
    <w:p w:rsidR="00461D88" w:rsidRPr="003940A2" w:rsidRDefault="00461D88" w:rsidP="00461D88">
      <w:pPr>
        <w:numPr>
          <w:ilvl w:val="12"/>
          <w:numId w:val="0"/>
        </w:numPr>
        <w:spacing w:line="240" w:lineRule="auto"/>
        <w:ind w:right="-2"/>
        <w:outlineLvl w:val="0"/>
        <w:rPr>
          <w:noProof/>
          <w:szCs w:val="22"/>
          <w:lang w:val="el-GR"/>
        </w:rPr>
      </w:pPr>
      <w:r w:rsidRPr="003940A2">
        <w:rPr>
          <w:szCs w:val="22"/>
          <w:lang w:val="el-GR"/>
        </w:rPr>
        <w:t xml:space="preserve">Το </w:t>
      </w:r>
      <w:r w:rsidR="00F74245" w:rsidRPr="00D04B79">
        <w:rPr>
          <w:szCs w:val="22"/>
        </w:rPr>
        <w:t>Ceftazidime</w:t>
      </w:r>
      <w:r w:rsidR="00F74245" w:rsidRPr="00F74245">
        <w:rPr>
          <w:szCs w:val="22"/>
          <w:lang w:val="el-GR"/>
        </w:rPr>
        <w:t>/</w:t>
      </w:r>
      <w:r w:rsidR="00F74245" w:rsidRPr="00D04B79">
        <w:rPr>
          <w:szCs w:val="22"/>
        </w:rPr>
        <w:t>Cooper</w:t>
      </w:r>
      <w:r w:rsidRPr="003940A2">
        <w:rPr>
          <w:szCs w:val="22"/>
          <w:lang w:val="el-GR"/>
        </w:rPr>
        <w:t xml:space="preserve"> 1 g περιέχει 52 </w:t>
      </w:r>
      <w:proofErr w:type="spellStart"/>
      <w:r w:rsidRPr="003940A2">
        <w:rPr>
          <w:szCs w:val="22"/>
          <w:lang w:val="el-GR"/>
        </w:rPr>
        <w:t>mg</w:t>
      </w:r>
      <w:proofErr w:type="spellEnd"/>
      <w:r w:rsidRPr="003940A2">
        <w:rPr>
          <w:szCs w:val="22"/>
          <w:lang w:val="el-GR"/>
        </w:rPr>
        <w:t xml:space="preserve"> νατρίου ανά φιαλίδιο.</w:t>
      </w:r>
    </w:p>
    <w:p w:rsidR="00461D88" w:rsidRPr="003940A2" w:rsidRDefault="00461D88" w:rsidP="00461D88">
      <w:pPr>
        <w:numPr>
          <w:ilvl w:val="12"/>
          <w:numId w:val="0"/>
        </w:numPr>
        <w:spacing w:line="240" w:lineRule="auto"/>
        <w:ind w:right="-2"/>
        <w:outlineLvl w:val="0"/>
        <w:rPr>
          <w:noProof/>
          <w:szCs w:val="22"/>
          <w:lang w:val="el-GR"/>
        </w:rPr>
      </w:pPr>
    </w:p>
    <w:p w:rsidR="00461D88" w:rsidRPr="003940A2" w:rsidRDefault="00461D88" w:rsidP="00461D88">
      <w:pPr>
        <w:numPr>
          <w:ilvl w:val="12"/>
          <w:numId w:val="0"/>
        </w:numPr>
        <w:tabs>
          <w:tab w:val="clear" w:pos="567"/>
        </w:tabs>
        <w:spacing w:line="240" w:lineRule="auto"/>
        <w:ind w:right="-2"/>
        <w:outlineLvl w:val="0"/>
        <w:rPr>
          <w:noProof/>
          <w:szCs w:val="22"/>
          <w:lang w:val="el-GR"/>
        </w:rPr>
      </w:pPr>
      <w:proofErr w:type="spellStart"/>
      <w:r w:rsidRPr="003940A2">
        <w:rPr>
          <w:szCs w:val="22"/>
          <w:lang w:val="el-GR"/>
        </w:rPr>
        <w:t>Κόνις</w:t>
      </w:r>
      <w:proofErr w:type="spellEnd"/>
      <w:r w:rsidRPr="003940A2">
        <w:rPr>
          <w:szCs w:val="22"/>
          <w:lang w:val="el-GR"/>
        </w:rPr>
        <w:t xml:space="preserve"> για ενέσιμο διάλυμα ή διάλυμα προς έγχυση 2 g, </w:t>
      </w:r>
      <w:proofErr w:type="spellStart"/>
      <w:r w:rsidRPr="003940A2">
        <w:rPr>
          <w:szCs w:val="22"/>
          <w:lang w:val="el-GR"/>
        </w:rPr>
        <w:t>κόνις</w:t>
      </w:r>
      <w:proofErr w:type="spellEnd"/>
      <w:r w:rsidRPr="003940A2">
        <w:rPr>
          <w:szCs w:val="22"/>
          <w:lang w:val="el-GR"/>
        </w:rPr>
        <w:t xml:space="preserve"> για διάλυμα προς έγχυση 2 g</w:t>
      </w:r>
    </w:p>
    <w:p w:rsidR="00461D88" w:rsidRPr="003940A2" w:rsidRDefault="00461D88" w:rsidP="00461D88">
      <w:pPr>
        <w:numPr>
          <w:ilvl w:val="12"/>
          <w:numId w:val="0"/>
        </w:numPr>
        <w:tabs>
          <w:tab w:val="clear" w:pos="567"/>
        </w:tabs>
        <w:spacing w:line="240" w:lineRule="auto"/>
        <w:ind w:right="-2"/>
        <w:outlineLvl w:val="0"/>
        <w:rPr>
          <w:noProof/>
          <w:szCs w:val="22"/>
          <w:lang w:val="el-GR"/>
        </w:rPr>
      </w:pPr>
      <w:r w:rsidRPr="003940A2">
        <w:rPr>
          <w:szCs w:val="22"/>
          <w:lang w:val="el-GR"/>
        </w:rPr>
        <w:t xml:space="preserve">Το </w:t>
      </w:r>
      <w:r w:rsidR="00F74245" w:rsidRPr="00D04B79">
        <w:rPr>
          <w:szCs w:val="22"/>
        </w:rPr>
        <w:t>Ceftazidime</w:t>
      </w:r>
      <w:r w:rsidR="00F74245" w:rsidRPr="00F74245">
        <w:rPr>
          <w:szCs w:val="22"/>
          <w:lang w:val="el-GR"/>
        </w:rPr>
        <w:t>/</w:t>
      </w:r>
      <w:r w:rsidR="00F74245" w:rsidRPr="00D04B79">
        <w:rPr>
          <w:szCs w:val="22"/>
        </w:rPr>
        <w:t>Cooper</w:t>
      </w:r>
      <w:r w:rsidRPr="003940A2">
        <w:rPr>
          <w:szCs w:val="22"/>
          <w:lang w:val="el-GR"/>
        </w:rPr>
        <w:t xml:space="preserve"> 2 g περιέχει 104 </w:t>
      </w:r>
      <w:proofErr w:type="spellStart"/>
      <w:r w:rsidRPr="003940A2">
        <w:rPr>
          <w:szCs w:val="22"/>
          <w:lang w:val="el-GR"/>
        </w:rPr>
        <w:t>mg</w:t>
      </w:r>
      <w:proofErr w:type="spellEnd"/>
      <w:r w:rsidRPr="003940A2">
        <w:rPr>
          <w:szCs w:val="22"/>
          <w:lang w:val="el-GR"/>
        </w:rPr>
        <w:t xml:space="preserve"> νατρίου ανά φιαλίδιο.</w:t>
      </w:r>
    </w:p>
    <w:p w:rsidR="00461D88" w:rsidRPr="003940A2" w:rsidRDefault="00461D88" w:rsidP="00461D88">
      <w:pPr>
        <w:numPr>
          <w:ilvl w:val="12"/>
          <w:numId w:val="0"/>
        </w:numPr>
        <w:tabs>
          <w:tab w:val="clear" w:pos="567"/>
        </w:tabs>
        <w:spacing w:line="240" w:lineRule="auto"/>
        <w:ind w:right="-2"/>
        <w:outlineLvl w:val="0"/>
        <w:rPr>
          <w:noProof/>
          <w:szCs w:val="22"/>
          <w:lang w:val="el-GR"/>
        </w:rPr>
      </w:pPr>
    </w:p>
    <w:p w:rsidR="00461D88" w:rsidRPr="00170F6F" w:rsidRDefault="00461D88" w:rsidP="00461D88">
      <w:pPr>
        <w:numPr>
          <w:ilvl w:val="12"/>
          <w:numId w:val="0"/>
        </w:numPr>
        <w:tabs>
          <w:tab w:val="clear" w:pos="567"/>
        </w:tabs>
        <w:spacing w:line="240" w:lineRule="auto"/>
        <w:ind w:right="-2"/>
        <w:outlineLvl w:val="0"/>
        <w:rPr>
          <w:noProof/>
          <w:szCs w:val="22"/>
          <w:lang w:val="el-GR"/>
        </w:rPr>
      </w:pPr>
      <w:r w:rsidRPr="003940A2">
        <w:rPr>
          <w:szCs w:val="22"/>
          <w:lang w:val="el-GR"/>
        </w:rPr>
        <w:t>Αυτό θα πρέπει να λαμβάνεται υπόψη σε ασθενείς που ακολουθούν δίαιτα με ελεγχόμενη</w:t>
      </w:r>
      <w:r w:rsidRPr="00170F6F">
        <w:rPr>
          <w:szCs w:val="22"/>
          <w:lang w:val="el-GR"/>
        </w:rPr>
        <w:t xml:space="preserve"> περιεκτικότητα σε νάτριο.</w:t>
      </w:r>
    </w:p>
    <w:p w:rsidR="00461D88" w:rsidRPr="00170F6F" w:rsidRDefault="00461D88" w:rsidP="00461D88">
      <w:pPr>
        <w:rPr>
          <w:szCs w:val="22"/>
          <w:lang w:val="el-GR"/>
        </w:rPr>
      </w:pPr>
    </w:p>
    <w:p w:rsidR="00461D88" w:rsidRPr="00170F6F" w:rsidRDefault="00461D88" w:rsidP="00461D88">
      <w:pPr>
        <w:ind w:left="567" w:hanging="567"/>
        <w:rPr>
          <w:b/>
          <w:szCs w:val="22"/>
          <w:lang w:val="el-GR"/>
        </w:rPr>
      </w:pPr>
      <w:r w:rsidRPr="00170F6F">
        <w:rPr>
          <w:b/>
          <w:szCs w:val="22"/>
          <w:lang w:val="el-GR"/>
        </w:rPr>
        <w:t>4.5</w:t>
      </w:r>
      <w:r w:rsidRPr="00170F6F">
        <w:rPr>
          <w:b/>
          <w:szCs w:val="22"/>
          <w:lang w:val="el-GR"/>
        </w:rPr>
        <w:tab/>
        <w:t>Αλληλεπιδράσεις με άλλα φαρμακευτικά προϊόντα και άλλες μορφές αλληλεπίδρασης</w:t>
      </w:r>
    </w:p>
    <w:p w:rsidR="00461D88" w:rsidRPr="00170F6F" w:rsidRDefault="00461D88" w:rsidP="00461D88">
      <w:pPr>
        <w:ind w:left="567" w:hanging="567"/>
        <w:rPr>
          <w:szCs w:val="22"/>
          <w:lang w:val="el-GR"/>
        </w:rPr>
      </w:pPr>
    </w:p>
    <w:p w:rsidR="00461D88" w:rsidRPr="00170F6F" w:rsidRDefault="00461D88" w:rsidP="00461D88">
      <w:pPr>
        <w:rPr>
          <w:szCs w:val="22"/>
          <w:lang w:val="el-GR"/>
        </w:rPr>
      </w:pPr>
      <w:r w:rsidRPr="00170F6F">
        <w:rPr>
          <w:szCs w:val="22"/>
          <w:lang w:val="el-GR"/>
        </w:rPr>
        <w:t xml:space="preserve">Έχουν πραγματοποιηθεί μελέτες αλληλεπίδρασης μόνο με </w:t>
      </w:r>
      <w:proofErr w:type="spellStart"/>
      <w:r w:rsidRPr="00170F6F">
        <w:rPr>
          <w:szCs w:val="22"/>
          <w:lang w:val="el-GR"/>
        </w:rPr>
        <w:t>προβενεσίδη</w:t>
      </w:r>
      <w:proofErr w:type="spellEnd"/>
      <w:r w:rsidRPr="00170F6F">
        <w:rPr>
          <w:szCs w:val="22"/>
          <w:lang w:val="el-GR"/>
        </w:rPr>
        <w:t xml:space="preserve"> και </w:t>
      </w:r>
      <w:proofErr w:type="spellStart"/>
      <w:r w:rsidRPr="00170F6F">
        <w:rPr>
          <w:szCs w:val="22"/>
          <w:lang w:val="el-GR"/>
        </w:rPr>
        <w:t>φουροσεμίδη</w:t>
      </w:r>
      <w:proofErr w:type="spellEnd"/>
      <w:r w:rsidRPr="00170F6F">
        <w:rPr>
          <w:szCs w:val="22"/>
          <w:lang w:val="el-GR"/>
        </w:rPr>
        <w:t xml:space="preserve">. </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Η ταυτόχρονη χρήση υψηλών δόσεων </w:t>
      </w:r>
      <w:proofErr w:type="spellStart"/>
      <w:r w:rsidRPr="00170F6F">
        <w:rPr>
          <w:szCs w:val="22"/>
          <w:lang w:val="el-GR"/>
        </w:rPr>
        <w:t>νεφροτοξικών</w:t>
      </w:r>
      <w:proofErr w:type="spellEnd"/>
      <w:r w:rsidRPr="00170F6F">
        <w:rPr>
          <w:szCs w:val="22"/>
          <w:lang w:val="el-GR"/>
        </w:rPr>
        <w:t xml:space="preserve"> φαρμακευτικών προϊόντων μπορεί να επηρεάσει δυσμενώς τη νεφρική λειτουργία (βλέπε παράγραφο 4.4).</w:t>
      </w:r>
    </w:p>
    <w:p w:rsidR="00461D88" w:rsidRPr="00170F6F" w:rsidRDefault="00461D88" w:rsidP="00461D88">
      <w:pPr>
        <w:rPr>
          <w:szCs w:val="22"/>
          <w:lang w:val="el-GR"/>
        </w:rPr>
      </w:pPr>
    </w:p>
    <w:p w:rsidR="00461D88" w:rsidRDefault="00461D88" w:rsidP="00461D88">
      <w:pPr>
        <w:rPr>
          <w:szCs w:val="22"/>
          <w:lang w:val="el-GR"/>
        </w:rPr>
      </w:pPr>
      <w:r w:rsidRPr="003940A2">
        <w:rPr>
          <w:szCs w:val="22"/>
          <w:lang w:val="el-GR"/>
        </w:rPr>
        <w:t xml:space="preserve">Η </w:t>
      </w:r>
      <w:proofErr w:type="spellStart"/>
      <w:r w:rsidRPr="003940A2">
        <w:rPr>
          <w:szCs w:val="22"/>
          <w:lang w:val="el-GR"/>
        </w:rPr>
        <w:t>χλωραμφαινικόλη</w:t>
      </w:r>
      <w:proofErr w:type="spellEnd"/>
      <w:r w:rsidRPr="003940A2">
        <w:rPr>
          <w:szCs w:val="22"/>
          <w:lang w:val="el-GR"/>
        </w:rPr>
        <w:t xml:space="preserve"> έχει ανταγωνιστική δράση </w:t>
      </w:r>
      <w:proofErr w:type="spellStart"/>
      <w:r w:rsidRPr="003940A2">
        <w:rPr>
          <w:i/>
          <w:szCs w:val="22"/>
          <w:lang w:val="el-GR"/>
        </w:rPr>
        <w:t>in</w:t>
      </w:r>
      <w:proofErr w:type="spellEnd"/>
      <w:r w:rsidRPr="003940A2">
        <w:rPr>
          <w:i/>
          <w:szCs w:val="22"/>
          <w:lang w:val="el-GR"/>
        </w:rPr>
        <w:t xml:space="preserve"> </w:t>
      </w:r>
      <w:proofErr w:type="spellStart"/>
      <w:r w:rsidRPr="003940A2">
        <w:rPr>
          <w:i/>
          <w:szCs w:val="22"/>
          <w:lang w:val="el-GR"/>
        </w:rPr>
        <w:t>vitro</w:t>
      </w:r>
      <w:proofErr w:type="spellEnd"/>
      <w:r w:rsidRPr="003940A2">
        <w:rPr>
          <w:szCs w:val="22"/>
          <w:lang w:val="el-GR"/>
        </w:rPr>
        <w:t xml:space="preserve"> προς την </w:t>
      </w:r>
      <w:proofErr w:type="spellStart"/>
      <w:r w:rsidRPr="003940A2">
        <w:rPr>
          <w:szCs w:val="22"/>
          <w:lang w:val="el-GR"/>
        </w:rPr>
        <w:t>κεφταζιδίμη</w:t>
      </w:r>
      <w:proofErr w:type="spellEnd"/>
      <w:r w:rsidRPr="003940A2">
        <w:rPr>
          <w:szCs w:val="22"/>
          <w:lang w:val="el-GR"/>
        </w:rPr>
        <w:t xml:space="preserve"> και άλλες </w:t>
      </w:r>
      <w:proofErr w:type="spellStart"/>
      <w:r w:rsidRPr="003940A2">
        <w:rPr>
          <w:szCs w:val="22"/>
          <w:lang w:val="el-GR"/>
        </w:rPr>
        <w:t>κεφαλοσπορίνες</w:t>
      </w:r>
      <w:proofErr w:type="spellEnd"/>
      <w:r w:rsidRPr="003940A2">
        <w:rPr>
          <w:szCs w:val="22"/>
          <w:lang w:val="el-GR"/>
        </w:rPr>
        <w:t xml:space="preserve">. Η κλινική σημασία αυτού του ευρήματος δεν έχει εξακριβωθεί, αλλά </w:t>
      </w:r>
      <w:r w:rsidR="003940A2" w:rsidRPr="003940A2">
        <w:rPr>
          <w:szCs w:val="22"/>
          <w:lang w:val="el-GR"/>
        </w:rPr>
        <w:t xml:space="preserve">στη σύσταση για </w:t>
      </w:r>
      <w:proofErr w:type="spellStart"/>
      <w:r w:rsidR="003940A2" w:rsidRPr="003940A2">
        <w:rPr>
          <w:szCs w:val="22"/>
          <w:lang w:val="el-GR"/>
        </w:rPr>
        <w:t>συγχορήγηση</w:t>
      </w:r>
      <w:proofErr w:type="spellEnd"/>
      <w:r w:rsidR="003940A2" w:rsidRPr="003940A2">
        <w:rPr>
          <w:szCs w:val="22"/>
          <w:lang w:val="el-GR"/>
        </w:rPr>
        <w:t xml:space="preserve"> </w:t>
      </w:r>
      <w:proofErr w:type="spellStart"/>
      <w:r w:rsidR="003940A2" w:rsidRPr="003940A2">
        <w:rPr>
          <w:szCs w:val="22"/>
          <w:lang w:val="el-GR"/>
        </w:rPr>
        <w:t>κεφταζιδίμης</w:t>
      </w:r>
      <w:proofErr w:type="spellEnd"/>
      <w:r w:rsidR="003940A2" w:rsidRPr="003940A2">
        <w:rPr>
          <w:szCs w:val="22"/>
          <w:lang w:val="el-GR"/>
        </w:rPr>
        <w:t xml:space="preserve"> με </w:t>
      </w:r>
      <w:proofErr w:type="spellStart"/>
      <w:r w:rsidR="003940A2" w:rsidRPr="003940A2">
        <w:rPr>
          <w:szCs w:val="22"/>
          <w:lang w:val="el-GR"/>
        </w:rPr>
        <w:t>χλωραμφαινικόλη</w:t>
      </w:r>
      <w:proofErr w:type="spellEnd"/>
      <w:r w:rsidR="003940A2" w:rsidRPr="003940A2">
        <w:rPr>
          <w:szCs w:val="22"/>
          <w:lang w:val="el-GR"/>
        </w:rPr>
        <w:t>, θα πρέπει να λαμβάνεται υπόψη η πιθανότητα ανταγωνισμού.</w:t>
      </w:r>
    </w:p>
    <w:p w:rsidR="003940A2" w:rsidRPr="003940A2" w:rsidRDefault="003940A2" w:rsidP="00461D88">
      <w:pPr>
        <w:rPr>
          <w:szCs w:val="22"/>
          <w:lang w:val="el-GR"/>
        </w:rPr>
      </w:pPr>
    </w:p>
    <w:p w:rsidR="00461D88" w:rsidRPr="00170F6F" w:rsidRDefault="00461D88" w:rsidP="00461D88">
      <w:pPr>
        <w:ind w:left="567" w:hanging="567"/>
        <w:rPr>
          <w:b/>
          <w:szCs w:val="22"/>
          <w:lang w:val="el-GR"/>
        </w:rPr>
      </w:pPr>
      <w:r w:rsidRPr="003940A2">
        <w:rPr>
          <w:b/>
          <w:szCs w:val="22"/>
          <w:lang w:val="el-GR"/>
        </w:rPr>
        <w:t>4.</w:t>
      </w:r>
      <w:r w:rsidRPr="00170F6F">
        <w:rPr>
          <w:b/>
          <w:szCs w:val="22"/>
          <w:lang w:val="el-GR"/>
        </w:rPr>
        <w:t>6</w:t>
      </w:r>
      <w:r w:rsidRPr="00170F6F">
        <w:rPr>
          <w:b/>
          <w:szCs w:val="22"/>
          <w:lang w:val="el-GR"/>
        </w:rPr>
        <w:tab/>
        <w:t>Γονιμότητα, κύηση και γαλουχία</w:t>
      </w:r>
    </w:p>
    <w:p w:rsidR="00461D88" w:rsidRPr="00170F6F" w:rsidRDefault="00461D88" w:rsidP="00461D88">
      <w:pPr>
        <w:ind w:left="567" w:hanging="567"/>
        <w:rPr>
          <w:b/>
          <w:szCs w:val="22"/>
          <w:lang w:val="el-GR"/>
        </w:rPr>
      </w:pPr>
    </w:p>
    <w:p w:rsidR="00461D88" w:rsidRPr="00170F6F" w:rsidRDefault="00461D88" w:rsidP="00461D88">
      <w:pPr>
        <w:rPr>
          <w:noProof/>
          <w:szCs w:val="22"/>
          <w:u w:val="single"/>
          <w:lang w:val="el-GR"/>
        </w:rPr>
      </w:pPr>
      <w:r w:rsidRPr="00170F6F">
        <w:rPr>
          <w:szCs w:val="22"/>
          <w:u w:val="single"/>
          <w:lang w:val="el-GR"/>
        </w:rPr>
        <w:t>Κύηση</w:t>
      </w:r>
    </w:p>
    <w:p w:rsidR="00461D88" w:rsidRPr="00170F6F" w:rsidRDefault="00461D88" w:rsidP="00461D88">
      <w:pPr>
        <w:rPr>
          <w:noProof/>
          <w:szCs w:val="22"/>
          <w:u w:val="single"/>
          <w:lang w:val="el-GR"/>
        </w:rPr>
      </w:pPr>
    </w:p>
    <w:p w:rsidR="00461D88" w:rsidRPr="00170F6F" w:rsidRDefault="00461D88" w:rsidP="00461D88">
      <w:pPr>
        <w:rPr>
          <w:noProof/>
          <w:szCs w:val="22"/>
          <w:lang w:val="el-GR"/>
        </w:rPr>
      </w:pPr>
      <w:r w:rsidRPr="00170F6F">
        <w:rPr>
          <w:szCs w:val="22"/>
          <w:lang w:val="el-GR"/>
        </w:rPr>
        <w:t xml:space="preserve">Υπάρχουν περιορισμένα στοιχεία από τη χρήση </w:t>
      </w:r>
      <w:proofErr w:type="spellStart"/>
      <w:r w:rsidRPr="00170F6F">
        <w:rPr>
          <w:szCs w:val="22"/>
          <w:lang w:val="el-GR"/>
        </w:rPr>
        <w:t>κεφταζιδίμης</w:t>
      </w:r>
      <w:proofErr w:type="spellEnd"/>
      <w:r w:rsidRPr="00170F6F">
        <w:rPr>
          <w:szCs w:val="22"/>
          <w:lang w:val="el-GR"/>
        </w:rPr>
        <w:t xml:space="preserve"> σε έγκυες γυναίκες.</w:t>
      </w:r>
      <w:r w:rsidRPr="00170F6F">
        <w:rPr>
          <w:noProof/>
          <w:szCs w:val="22"/>
          <w:lang w:val="el-GR"/>
        </w:rPr>
        <w:t xml:space="preserve"> </w:t>
      </w:r>
      <w:r w:rsidRPr="00170F6F">
        <w:rPr>
          <w:szCs w:val="22"/>
          <w:lang w:val="el-GR"/>
        </w:rPr>
        <w:t>Μελέτες σε ζώα δεν κατέδειξαν άμεσες ή έμμεσες επιβλαβείς επιπτώσεις στην εγκυμοσύνη, στην ανάπτυξη του εμβρύου, στον τοκετό ή στη μεταγεννητική ανάπτυξη (βλέπε παράγραφο 5.3).</w:t>
      </w:r>
    </w:p>
    <w:p w:rsidR="00461D88" w:rsidRPr="00170F6F" w:rsidRDefault="00461D88" w:rsidP="00461D88">
      <w:pPr>
        <w:rPr>
          <w:noProof/>
          <w:szCs w:val="22"/>
          <w:lang w:val="el-GR"/>
        </w:rPr>
      </w:pPr>
    </w:p>
    <w:p w:rsidR="00461D88" w:rsidRPr="00170F6F" w:rsidRDefault="00461D88" w:rsidP="00461D88">
      <w:pPr>
        <w:tabs>
          <w:tab w:val="clear" w:pos="567"/>
          <w:tab w:val="left" w:pos="0"/>
        </w:tabs>
        <w:rPr>
          <w:noProof/>
          <w:szCs w:val="22"/>
          <w:lang w:val="el-GR"/>
        </w:rPr>
      </w:pPr>
      <w:r w:rsidRPr="00170F6F">
        <w:rPr>
          <w:szCs w:val="22"/>
          <w:lang w:val="el-GR"/>
        </w:rPr>
        <w:t xml:space="preserve">Το </w:t>
      </w:r>
      <w:proofErr w:type="spellStart"/>
      <w:r w:rsidR="00A07816">
        <w:rPr>
          <w:szCs w:val="22"/>
          <w:lang w:val="el-GR"/>
        </w:rPr>
        <w:t>Ceftazidime</w:t>
      </w:r>
      <w:proofErr w:type="spellEnd"/>
      <w:r w:rsidR="00A07816">
        <w:rPr>
          <w:szCs w:val="22"/>
          <w:lang w:val="el-GR"/>
        </w:rPr>
        <w:t>/</w:t>
      </w:r>
      <w:proofErr w:type="spellStart"/>
      <w:r w:rsidR="00A07816">
        <w:rPr>
          <w:szCs w:val="22"/>
          <w:lang w:val="el-GR"/>
        </w:rPr>
        <w:t>Cooper</w:t>
      </w:r>
      <w:proofErr w:type="spellEnd"/>
      <w:r w:rsidRPr="00170F6F">
        <w:rPr>
          <w:szCs w:val="22"/>
          <w:lang w:val="el-GR"/>
        </w:rPr>
        <w:t xml:space="preserve"> πρέπει να χορηγείται σε έγκυες γυναίκες μόνο εάν το όφελος </w:t>
      </w:r>
      <w:proofErr w:type="spellStart"/>
      <w:r w:rsidRPr="00170F6F">
        <w:rPr>
          <w:szCs w:val="22"/>
          <w:lang w:val="el-GR"/>
        </w:rPr>
        <w:t>υπερσκελίζει</w:t>
      </w:r>
      <w:proofErr w:type="spellEnd"/>
      <w:r w:rsidRPr="00170F6F">
        <w:rPr>
          <w:szCs w:val="22"/>
          <w:lang w:val="el-GR"/>
        </w:rPr>
        <w:t xml:space="preserve"> τον κίνδυνο.</w:t>
      </w:r>
    </w:p>
    <w:p w:rsidR="00461D88" w:rsidRPr="00170F6F" w:rsidRDefault="00461D88" w:rsidP="00461D88">
      <w:pPr>
        <w:ind w:left="567" w:hanging="567"/>
        <w:rPr>
          <w:noProof/>
          <w:szCs w:val="22"/>
          <w:lang w:val="el-GR"/>
        </w:rPr>
      </w:pPr>
    </w:p>
    <w:p w:rsidR="00461D88" w:rsidRPr="00170F6F" w:rsidRDefault="00461D88" w:rsidP="00461D88">
      <w:pPr>
        <w:rPr>
          <w:szCs w:val="22"/>
          <w:u w:val="single"/>
          <w:lang w:val="el-GR"/>
        </w:rPr>
      </w:pPr>
      <w:r w:rsidRPr="00170F6F">
        <w:rPr>
          <w:szCs w:val="22"/>
          <w:u w:val="single"/>
          <w:lang w:val="el-GR"/>
        </w:rPr>
        <w:t>Θηλασμός</w:t>
      </w:r>
    </w:p>
    <w:p w:rsidR="00461D88" w:rsidRPr="00170F6F" w:rsidRDefault="00461D88" w:rsidP="00461D88">
      <w:pPr>
        <w:rPr>
          <w:szCs w:val="22"/>
          <w:u w:val="single"/>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απεκκρίνεται στο μητρικό γάλα σε μικρές ποσότητες, ωστόσο, σε θεραπευτικές δόσεις </w:t>
      </w:r>
      <w:proofErr w:type="spellStart"/>
      <w:r w:rsidRPr="00170F6F">
        <w:rPr>
          <w:szCs w:val="22"/>
          <w:lang w:val="el-GR"/>
        </w:rPr>
        <w:t>κεφταζιδίμης</w:t>
      </w:r>
      <w:proofErr w:type="spellEnd"/>
      <w:r w:rsidRPr="00170F6F">
        <w:rPr>
          <w:szCs w:val="22"/>
          <w:lang w:val="el-GR"/>
        </w:rPr>
        <w:t xml:space="preserve"> δεν αναμένονται επιπτώσεις για το βρέφος που θηλάζει. Η </w:t>
      </w:r>
      <w:proofErr w:type="spellStart"/>
      <w:r w:rsidRPr="00170F6F">
        <w:rPr>
          <w:szCs w:val="22"/>
          <w:lang w:val="el-GR"/>
        </w:rPr>
        <w:t>κεφταζιδίμη</w:t>
      </w:r>
      <w:proofErr w:type="spellEnd"/>
      <w:r w:rsidRPr="00170F6F">
        <w:rPr>
          <w:szCs w:val="22"/>
          <w:lang w:val="el-GR"/>
        </w:rPr>
        <w:t xml:space="preserve"> μπορεί να χρησιμοποιηθεί κατά το θηλασμό. </w:t>
      </w:r>
    </w:p>
    <w:p w:rsidR="00461D88" w:rsidRPr="00170F6F" w:rsidRDefault="00461D88" w:rsidP="00461D88">
      <w:pPr>
        <w:rPr>
          <w:b/>
          <w:szCs w:val="22"/>
          <w:lang w:val="el-GR"/>
        </w:rPr>
      </w:pPr>
    </w:p>
    <w:p w:rsidR="00461D88" w:rsidRPr="00170F6F" w:rsidRDefault="00461D88" w:rsidP="00461D88">
      <w:pPr>
        <w:rPr>
          <w:szCs w:val="22"/>
          <w:u w:val="single"/>
          <w:lang w:val="el-GR"/>
        </w:rPr>
      </w:pPr>
      <w:r w:rsidRPr="00170F6F">
        <w:rPr>
          <w:szCs w:val="22"/>
          <w:u w:val="single"/>
          <w:lang w:val="el-GR"/>
        </w:rPr>
        <w:t>Γονιμότητα</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Δεν υπάρχουν διαθέσιμα δεδομένα.</w:t>
      </w:r>
    </w:p>
    <w:p w:rsidR="00461D88" w:rsidRPr="00170F6F" w:rsidRDefault="00461D88" w:rsidP="00461D88">
      <w:pPr>
        <w:rPr>
          <w:szCs w:val="22"/>
          <w:lang w:val="el-GR"/>
        </w:rPr>
      </w:pPr>
    </w:p>
    <w:p w:rsidR="00461D88" w:rsidRPr="00170F6F" w:rsidRDefault="00461D88" w:rsidP="00461D88">
      <w:pPr>
        <w:ind w:left="567" w:hanging="567"/>
        <w:rPr>
          <w:szCs w:val="22"/>
          <w:lang w:val="el-GR"/>
        </w:rPr>
      </w:pPr>
      <w:r w:rsidRPr="00170F6F">
        <w:rPr>
          <w:b/>
          <w:szCs w:val="22"/>
          <w:lang w:val="el-GR"/>
        </w:rPr>
        <w:t>4.7</w:t>
      </w:r>
      <w:r w:rsidRPr="00170F6F">
        <w:rPr>
          <w:b/>
          <w:szCs w:val="22"/>
          <w:lang w:val="el-GR"/>
        </w:rPr>
        <w:tab/>
        <w:t>Επιδράσεις στην ικανότητα οδήγησης και χειρισμού μηχανών</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Δεν πραγματοποιήθηκαν μελέτες σχετικά με την επίδραση στην ικανότητα οδήγησης και χειρισμού μηχανών. Ενδέχεται, ωστόσο, να εμφανιστούν ανεπιθύμητες ενέργειες (π.χ. ζάλη), οι οποίες επηρεάζουν την ικανότητα οδήγησης και χειρισμού μηχανών (βλέπε παράγραφο 4.8).</w:t>
      </w:r>
    </w:p>
    <w:p w:rsidR="00461D88" w:rsidRPr="00170F6F" w:rsidRDefault="00461D88" w:rsidP="00461D88">
      <w:pPr>
        <w:rPr>
          <w:szCs w:val="22"/>
          <w:lang w:val="el-GR"/>
        </w:rPr>
      </w:pPr>
    </w:p>
    <w:p w:rsidR="00461D88" w:rsidRPr="00170F6F" w:rsidRDefault="00461D88" w:rsidP="00461D88">
      <w:pPr>
        <w:tabs>
          <w:tab w:val="clear" w:pos="567"/>
        </w:tabs>
        <w:rPr>
          <w:b/>
          <w:szCs w:val="22"/>
          <w:lang w:val="el-GR"/>
        </w:rPr>
      </w:pPr>
      <w:r w:rsidRPr="00170F6F">
        <w:rPr>
          <w:b/>
          <w:szCs w:val="22"/>
          <w:lang w:val="el-GR"/>
        </w:rPr>
        <w:t>4.8</w:t>
      </w:r>
      <w:r w:rsidRPr="00170F6F">
        <w:rPr>
          <w:b/>
          <w:szCs w:val="22"/>
          <w:lang w:val="el-GR"/>
        </w:rPr>
        <w:tab/>
        <w:t>Ανεπιθύμητες ενέργειες</w:t>
      </w:r>
    </w:p>
    <w:p w:rsidR="00461D88" w:rsidRPr="00170F6F" w:rsidRDefault="00461D88" w:rsidP="00461D88">
      <w:pPr>
        <w:tabs>
          <w:tab w:val="clear" w:pos="567"/>
        </w:tabs>
        <w:rPr>
          <w:b/>
          <w:szCs w:val="22"/>
          <w:lang w:val="el-GR"/>
        </w:rPr>
      </w:pPr>
    </w:p>
    <w:p w:rsidR="00461D88" w:rsidRPr="00170F6F" w:rsidRDefault="00461D88" w:rsidP="00461D88">
      <w:pPr>
        <w:rPr>
          <w:szCs w:val="22"/>
          <w:lang w:val="el-GR"/>
        </w:rPr>
      </w:pPr>
      <w:r w:rsidRPr="00170F6F">
        <w:rPr>
          <w:szCs w:val="22"/>
          <w:lang w:val="el-GR"/>
        </w:rPr>
        <w:t xml:space="preserve">Οι πλέον συχνές ανεπιθύμητες αντιδράσεις είναι η </w:t>
      </w:r>
      <w:proofErr w:type="spellStart"/>
      <w:r w:rsidRPr="00170F6F">
        <w:rPr>
          <w:szCs w:val="22"/>
          <w:lang w:val="el-GR"/>
        </w:rPr>
        <w:t>ηωσινοφιλία</w:t>
      </w:r>
      <w:proofErr w:type="spellEnd"/>
      <w:r w:rsidRPr="00170F6F">
        <w:rPr>
          <w:szCs w:val="22"/>
          <w:lang w:val="el-GR"/>
        </w:rPr>
        <w:t xml:space="preserve">, </w:t>
      </w:r>
      <w:proofErr w:type="spellStart"/>
      <w:r w:rsidRPr="00170F6F">
        <w:rPr>
          <w:szCs w:val="22"/>
          <w:lang w:val="el-GR"/>
        </w:rPr>
        <w:t>θρομβοκυττάρωση</w:t>
      </w:r>
      <w:proofErr w:type="spellEnd"/>
      <w:r w:rsidRPr="00170F6F">
        <w:rPr>
          <w:szCs w:val="22"/>
          <w:lang w:val="el-GR"/>
        </w:rPr>
        <w:t xml:space="preserve">, φλεβίτιδα ή θρομβοφλεβίτιδα με ενδοφλέβια χορήγηση, διάρροια, παροδικές αυξήσεις των ηπατικών ενζύμων, </w:t>
      </w:r>
      <w:proofErr w:type="spellStart"/>
      <w:r w:rsidRPr="00170F6F">
        <w:rPr>
          <w:szCs w:val="22"/>
          <w:lang w:val="el-GR"/>
        </w:rPr>
        <w:t>κηλιδοβλατιδώδες</w:t>
      </w:r>
      <w:proofErr w:type="spellEnd"/>
      <w:r w:rsidRPr="00170F6F">
        <w:rPr>
          <w:szCs w:val="22"/>
          <w:lang w:val="el-GR"/>
        </w:rPr>
        <w:t xml:space="preserve"> ή </w:t>
      </w:r>
      <w:proofErr w:type="spellStart"/>
      <w:r w:rsidRPr="00170F6F">
        <w:rPr>
          <w:szCs w:val="22"/>
          <w:lang w:val="el-GR"/>
        </w:rPr>
        <w:t>κνιδωτικό</w:t>
      </w:r>
      <w:proofErr w:type="spellEnd"/>
      <w:r w:rsidRPr="00170F6F">
        <w:rPr>
          <w:szCs w:val="22"/>
          <w:lang w:val="el-GR"/>
        </w:rPr>
        <w:t xml:space="preserve"> εξάνθημα, άλγος και ή φλεγμονή μετά από ενδομυϊκή ένεση και θετική δοκιμασία </w:t>
      </w:r>
      <w:r w:rsidRPr="00170F6F">
        <w:rPr>
          <w:szCs w:val="22"/>
        </w:rPr>
        <w:t>Coomb</w:t>
      </w:r>
      <w:r w:rsidRPr="00170F6F">
        <w:rPr>
          <w:szCs w:val="22"/>
          <w:lang w:val="en-US"/>
        </w:rPr>
        <w:t>s</w:t>
      </w:r>
      <w:r w:rsidRPr="00170F6F">
        <w:rPr>
          <w:szCs w:val="22"/>
          <w:lang w:val="el-GR"/>
        </w:rPr>
        <w:t>.</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Για να εκτιμηθεί η συχνότητα εμφάνισης συχνών και όχι συχνών ανεπιθύμητων ενεργειών, χρησιμοποιήθηκαν στοιχεία από επιχορηγούμενες και μη κλινικές δοκιμές.  Οι συχνότητες που παρουσιάζονται για όλες τις υπόλοιπες ανεπιθύμητες ενέργειες εκτιμήθηκαν κυρίως χρησιμοποιώντας στοιχεία που συγκεντρώθηκαν μετά την κυκλοφορία του φαρμάκου και αφορούν το ποσοστό αναφορών και όχι την πραγματική συχνότητα. Εντός κάθε κατηγορίας συχνότητας εμφάνισης, οι ανεπιθύμητες ενέργειες παρατίθενται κατά φθίνουσα σειρά σοβαρότητας. Η ακόλουθη συνθήκη έχει χρησιμοποιηθεί για την κατηγοριοποίηση της συχνότητας των ανεπιθύμητων ενεργειών:</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Πολύ συχνές (≥ 1/10)</w:t>
      </w:r>
    </w:p>
    <w:p w:rsidR="00461D88" w:rsidRPr="00170F6F" w:rsidRDefault="00461D88" w:rsidP="00461D88">
      <w:pPr>
        <w:rPr>
          <w:noProof/>
          <w:szCs w:val="22"/>
          <w:lang w:val="el-GR"/>
        </w:rPr>
      </w:pPr>
      <w:r w:rsidRPr="00170F6F">
        <w:rPr>
          <w:szCs w:val="22"/>
          <w:lang w:val="el-GR"/>
        </w:rPr>
        <w:t>Συχνές (≥ 1/100 έως &lt; 1/10)</w:t>
      </w:r>
    </w:p>
    <w:p w:rsidR="00461D88" w:rsidRPr="00170F6F" w:rsidRDefault="00461D88" w:rsidP="00461D88">
      <w:pPr>
        <w:rPr>
          <w:noProof/>
          <w:szCs w:val="22"/>
          <w:lang w:val="el-GR"/>
        </w:rPr>
      </w:pPr>
      <w:r w:rsidRPr="00170F6F">
        <w:rPr>
          <w:szCs w:val="22"/>
          <w:lang w:val="el-GR"/>
        </w:rPr>
        <w:t>Όχι συχνές (≥ 1/1.000 έως &lt; 1/100)</w:t>
      </w:r>
    </w:p>
    <w:p w:rsidR="00461D88" w:rsidRPr="00170F6F" w:rsidRDefault="00461D88" w:rsidP="00461D88">
      <w:pPr>
        <w:rPr>
          <w:noProof/>
          <w:szCs w:val="22"/>
          <w:lang w:val="el-GR"/>
        </w:rPr>
      </w:pPr>
      <w:r w:rsidRPr="00170F6F">
        <w:rPr>
          <w:szCs w:val="22"/>
          <w:lang w:val="el-GR"/>
        </w:rPr>
        <w:t>Σπάνιες (≥</w:t>
      </w:r>
      <w:r w:rsidRPr="00170F6F">
        <w:rPr>
          <w:szCs w:val="22"/>
          <w:lang w:val="en-US"/>
        </w:rPr>
        <w:t> </w:t>
      </w:r>
      <w:r w:rsidRPr="00170F6F">
        <w:rPr>
          <w:szCs w:val="22"/>
          <w:lang w:val="el-GR"/>
        </w:rPr>
        <w:t>1/10.000 έως &lt;</w:t>
      </w:r>
      <w:r w:rsidRPr="00170F6F">
        <w:rPr>
          <w:szCs w:val="22"/>
          <w:lang w:val="en-US"/>
        </w:rPr>
        <w:t> </w:t>
      </w:r>
      <w:r w:rsidRPr="00170F6F">
        <w:rPr>
          <w:szCs w:val="22"/>
          <w:lang w:val="el-GR"/>
        </w:rPr>
        <w:t>1/1.000)</w:t>
      </w:r>
    </w:p>
    <w:p w:rsidR="00461D88" w:rsidRPr="00170F6F" w:rsidRDefault="00461D88" w:rsidP="00461D88">
      <w:pPr>
        <w:rPr>
          <w:noProof/>
          <w:szCs w:val="22"/>
          <w:lang w:val="el-GR"/>
        </w:rPr>
      </w:pPr>
      <w:r w:rsidRPr="00170F6F">
        <w:rPr>
          <w:szCs w:val="22"/>
          <w:lang w:val="el-GR"/>
        </w:rPr>
        <w:t>Πολύ σπάνιες (&lt;</w:t>
      </w:r>
      <w:r w:rsidRPr="00170F6F">
        <w:rPr>
          <w:szCs w:val="22"/>
          <w:lang w:val="en-US"/>
        </w:rPr>
        <w:t> </w:t>
      </w:r>
      <w:r w:rsidRPr="00170F6F">
        <w:rPr>
          <w:szCs w:val="22"/>
          <w:lang w:val="el-GR"/>
        </w:rPr>
        <w:t>1/10.000)</w:t>
      </w:r>
    </w:p>
    <w:p w:rsidR="00461D88" w:rsidRPr="00170F6F" w:rsidRDefault="00461D88" w:rsidP="00461D88">
      <w:pPr>
        <w:rPr>
          <w:noProof/>
          <w:szCs w:val="22"/>
          <w:lang w:val="el-GR"/>
        </w:rPr>
      </w:pPr>
      <w:r w:rsidRPr="00170F6F">
        <w:rPr>
          <w:noProof/>
          <w:szCs w:val="22"/>
          <w:lang w:val="el-GR"/>
        </w:rPr>
        <w:t>Μη γνωστές (</w:t>
      </w:r>
      <w:r w:rsidRPr="00170F6F">
        <w:rPr>
          <w:noProof/>
          <w:szCs w:val="22"/>
          <w:lang w:val="de-DE"/>
        </w:rPr>
        <w:t>δεν μπορούν να εκτιμηθούν με βάση τα διαθέσιμα δεδομένα</w:t>
      </w:r>
      <w:r w:rsidRPr="00170F6F">
        <w:rPr>
          <w:noProof/>
          <w:szCs w:val="22"/>
          <w:lang w:val="el-GR"/>
        </w:rPr>
        <w:t>)</w:t>
      </w:r>
    </w:p>
    <w:p w:rsidR="00461D88" w:rsidRPr="00170F6F" w:rsidRDefault="00461D88" w:rsidP="00461D88">
      <w:pPr>
        <w:rPr>
          <w:noProof/>
          <w:szCs w:val="22"/>
          <w:lang w:val="el-GR"/>
        </w:rPr>
      </w:pPr>
    </w:p>
    <w:p w:rsidR="00461D88" w:rsidRPr="00170F6F" w:rsidRDefault="00461D88" w:rsidP="00461D88">
      <w:pPr>
        <w:rPr>
          <w:noProof/>
          <w:szCs w:val="22"/>
          <w:lang w:val="el-GR"/>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45"/>
        <w:gridCol w:w="1944"/>
        <w:gridCol w:w="1680"/>
        <w:gridCol w:w="2160"/>
      </w:tblGrid>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lastRenderedPageBreak/>
              <w:t>Κατηγορία/ Οργανικό Σύστημα</w:t>
            </w:r>
          </w:p>
        </w:tc>
        <w:tc>
          <w:tcPr>
            <w:tcW w:w="2045"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Συχνές</w:t>
            </w: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Όχι συχνές</w:t>
            </w:r>
          </w:p>
        </w:tc>
        <w:tc>
          <w:tcPr>
            <w:tcW w:w="168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Πολύ σπάνιες</w:t>
            </w:r>
          </w:p>
        </w:tc>
        <w:tc>
          <w:tcPr>
            <w:tcW w:w="216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Μη γνωστές</w:t>
            </w:r>
          </w:p>
        </w:tc>
      </w:tr>
      <w:tr w:rsidR="00461D88" w:rsidRPr="003536AE"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Λοιμώξεις και παρασιτώσεις</w:t>
            </w:r>
          </w:p>
        </w:tc>
        <w:tc>
          <w:tcPr>
            <w:tcW w:w="2045" w:type="dxa"/>
          </w:tcPr>
          <w:p w:rsidR="00461D88" w:rsidRPr="00170F6F" w:rsidRDefault="00461D88" w:rsidP="00C773E4">
            <w:pPr>
              <w:pStyle w:val="tabletextNS"/>
              <w:keepNext/>
              <w:rPr>
                <w:rFonts w:ascii="Times New Roman" w:hAnsi="Times New Roman"/>
                <w:sz w:val="22"/>
                <w:szCs w:val="22"/>
                <w:lang w:val="el-GR"/>
              </w:rPr>
            </w:pPr>
          </w:p>
        </w:tc>
        <w:tc>
          <w:tcPr>
            <w:tcW w:w="1944"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Καντιντίαση</w:t>
            </w:r>
            <w:proofErr w:type="spellEnd"/>
            <w:r w:rsidRPr="00170F6F">
              <w:rPr>
                <w:rFonts w:ascii="Times New Roman" w:hAnsi="Times New Roman"/>
                <w:sz w:val="22"/>
                <w:szCs w:val="22"/>
                <w:lang w:val="el-GR"/>
              </w:rPr>
              <w:t xml:space="preserve"> (περιλαμβανομένης κολπίτιδας και στοματικής </w:t>
            </w:r>
            <w:proofErr w:type="spellStart"/>
            <w:r w:rsidRPr="00170F6F">
              <w:rPr>
                <w:rFonts w:ascii="Times New Roman" w:hAnsi="Times New Roman"/>
                <w:sz w:val="22"/>
                <w:szCs w:val="22"/>
                <w:lang w:val="el-GR"/>
              </w:rPr>
              <w:t>μονιλίασης</w:t>
            </w:r>
            <w:proofErr w:type="spellEnd"/>
            <w:r w:rsidRPr="00170F6F">
              <w:rPr>
                <w:rFonts w:ascii="Times New Roman" w:hAnsi="Times New Roman"/>
                <w:sz w:val="22"/>
                <w:szCs w:val="22"/>
                <w:lang w:val="el-GR"/>
              </w:rPr>
              <w:t>)</w:t>
            </w: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αιμοποιητικού και του λεμφικού συστήματος</w:t>
            </w:r>
          </w:p>
        </w:tc>
        <w:tc>
          <w:tcPr>
            <w:tcW w:w="2045"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Ηωσινοφιλία</w:t>
            </w:r>
            <w:proofErr w:type="spellEnd"/>
            <w:r w:rsidRPr="00170F6F">
              <w:rPr>
                <w:rFonts w:ascii="Times New Roman" w:hAnsi="Times New Roman"/>
                <w:sz w:val="22"/>
                <w:szCs w:val="22"/>
                <w:lang w:val="el-GR"/>
              </w:rPr>
              <w:t xml:space="preserve"> </w:t>
            </w:r>
            <w:proofErr w:type="spellStart"/>
            <w:r w:rsidRPr="00170F6F">
              <w:rPr>
                <w:rFonts w:ascii="Times New Roman" w:hAnsi="Times New Roman"/>
                <w:sz w:val="22"/>
                <w:szCs w:val="22"/>
                <w:lang w:val="el-GR"/>
              </w:rPr>
              <w:t>Θρομβοκυττάρωση</w:t>
            </w:r>
            <w:proofErr w:type="spellEnd"/>
          </w:p>
        </w:tc>
        <w:tc>
          <w:tcPr>
            <w:tcW w:w="1944"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Ουδετεροπενία</w:t>
            </w:r>
            <w:proofErr w:type="spellEnd"/>
            <w:r w:rsidRPr="00170F6F">
              <w:rPr>
                <w:rFonts w:ascii="Times New Roman" w:hAnsi="Times New Roman"/>
                <w:sz w:val="22"/>
                <w:szCs w:val="22"/>
                <w:lang w:val="el-GR"/>
              </w:rPr>
              <w:t xml:space="preserve"> </w:t>
            </w:r>
            <w:proofErr w:type="spellStart"/>
            <w:r w:rsidRPr="00170F6F">
              <w:rPr>
                <w:rFonts w:ascii="Times New Roman" w:hAnsi="Times New Roman"/>
                <w:sz w:val="22"/>
                <w:szCs w:val="22"/>
                <w:lang w:val="el-GR"/>
              </w:rPr>
              <w:t>Λευκοπενία</w:t>
            </w:r>
            <w:proofErr w:type="spellEnd"/>
          </w:p>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Θρομβοκυτταροπενία</w:t>
            </w:r>
            <w:proofErr w:type="spellEnd"/>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Ακοκκιοκυττάρωση</w:t>
            </w:r>
            <w:proofErr w:type="spellEnd"/>
            <w:r w:rsidRPr="00170F6F">
              <w:rPr>
                <w:rFonts w:ascii="Times New Roman" w:hAnsi="Times New Roman"/>
                <w:sz w:val="22"/>
                <w:szCs w:val="22"/>
                <w:lang w:val="el-GR"/>
              </w:rPr>
              <w:t xml:space="preserve"> Αιμολυτική αναιμία Λεμφοκυττάρωση</w:t>
            </w:r>
          </w:p>
        </w:tc>
      </w:tr>
      <w:tr w:rsidR="00461D88" w:rsidRPr="003536AE"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ανοσοποιητικού συστήματος</w:t>
            </w:r>
          </w:p>
        </w:tc>
        <w:tc>
          <w:tcPr>
            <w:tcW w:w="2045" w:type="dxa"/>
          </w:tcPr>
          <w:p w:rsidR="00461D88" w:rsidRPr="00170F6F" w:rsidRDefault="00461D88" w:rsidP="00C773E4">
            <w:pPr>
              <w:pStyle w:val="tabletextNS"/>
              <w:keepNext/>
              <w:rPr>
                <w:rFonts w:ascii="Times New Roman" w:hAnsi="Times New Roman"/>
                <w:sz w:val="22"/>
                <w:szCs w:val="22"/>
                <w:lang w:val="el-GR"/>
              </w:rPr>
            </w:pPr>
          </w:p>
        </w:tc>
        <w:tc>
          <w:tcPr>
            <w:tcW w:w="1944" w:type="dxa"/>
          </w:tcPr>
          <w:p w:rsidR="00461D88" w:rsidRPr="00170F6F" w:rsidRDefault="00461D88" w:rsidP="00C773E4">
            <w:pPr>
              <w:pStyle w:val="tabletextNS"/>
              <w:keepNext/>
              <w:rPr>
                <w:rFonts w:ascii="Times New Roman" w:hAnsi="Times New Roman"/>
                <w:sz w:val="22"/>
                <w:szCs w:val="22"/>
                <w:lang w:val="el-GR"/>
              </w:rPr>
            </w:pP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 xml:space="preserve">Αναφυλαξία (περιλαμβανομένου </w:t>
            </w:r>
            <w:proofErr w:type="spellStart"/>
            <w:r w:rsidRPr="00170F6F">
              <w:rPr>
                <w:rFonts w:ascii="Times New Roman" w:hAnsi="Times New Roman"/>
                <w:sz w:val="22"/>
                <w:szCs w:val="22"/>
                <w:lang w:val="el-GR"/>
              </w:rPr>
              <w:t>βρογχόσπασμου</w:t>
            </w:r>
            <w:proofErr w:type="spellEnd"/>
            <w:r w:rsidRPr="00170F6F">
              <w:rPr>
                <w:rFonts w:ascii="Times New Roman" w:hAnsi="Times New Roman"/>
                <w:sz w:val="22"/>
                <w:szCs w:val="22"/>
                <w:lang w:val="el-GR"/>
              </w:rPr>
              <w:t xml:space="preserve"> και/ή υπότασης) (βλέπε παράγραφο 4.4)</w:t>
            </w: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νευρικού συστήματος</w:t>
            </w:r>
          </w:p>
        </w:tc>
        <w:tc>
          <w:tcPr>
            <w:tcW w:w="2045" w:type="dxa"/>
          </w:tcPr>
          <w:p w:rsidR="00461D88" w:rsidRPr="00170F6F" w:rsidRDefault="00461D88" w:rsidP="00C773E4">
            <w:pPr>
              <w:pStyle w:val="tabletextNS"/>
              <w:keepNext/>
              <w:rPr>
                <w:rFonts w:ascii="Times New Roman" w:hAnsi="Times New Roman"/>
                <w:sz w:val="22"/>
                <w:szCs w:val="22"/>
                <w:lang w:val="el-GR"/>
              </w:rPr>
            </w:pP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Κεφαλαλγία</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Ζάλη</w:t>
            </w: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vertAlign w:val="superscript"/>
                <w:lang w:val="el-GR"/>
              </w:rPr>
            </w:pPr>
            <w:r w:rsidRPr="00170F6F">
              <w:rPr>
                <w:rFonts w:ascii="Times New Roman" w:hAnsi="Times New Roman"/>
                <w:sz w:val="22"/>
                <w:szCs w:val="22"/>
                <w:lang w:val="el-GR"/>
              </w:rPr>
              <w:t>Νευρολογικά επακόλουθα</w:t>
            </w:r>
            <w:r w:rsidRPr="00170F6F">
              <w:rPr>
                <w:rFonts w:ascii="Times New Roman" w:hAnsi="Times New Roman"/>
                <w:sz w:val="22"/>
                <w:szCs w:val="22"/>
                <w:vertAlign w:val="superscript"/>
                <w:lang w:val="el-GR"/>
              </w:rPr>
              <w:t>1</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Παραισθησία</w:t>
            </w:r>
          </w:p>
        </w:tc>
      </w:tr>
      <w:tr w:rsidR="00461D88" w:rsidRPr="003536AE"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Αγγειακές διαταραχές</w:t>
            </w:r>
          </w:p>
        </w:tc>
        <w:tc>
          <w:tcPr>
            <w:tcW w:w="2045"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Φλεβίτιδα ή θρομβοφλεβίτιδα με ενδοφλέβια χορήγηση</w:t>
            </w:r>
          </w:p>
        </w:tc>
        <w:tc>
          <w:tcPr>
            <w:tcW w:w="1944" w:type="dxa"/>
          </w:tcPr>
          <w:p w:rsidR="00461D88" w:rsidRPr="00170F6F" w:rsidRDefault="00461D88" w:rsidP="00C773E4">
            <w:pPr>
              <w:pStyle w:val="tabletextNS"/>
              <w:keepNext/>
              <w:rPr>
                <w:rFonts w:ascii="Times New Roman" w:hAnsi="Times New Roman"/>
                <w:sz w:val="22"/>
                <w:szCs w:val="22"/>
                <w:lang w:val="el-GR"/>
              </w:rPr>
            </w:pP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γαστρεντερικού</w:t>
            </w:r>
          </w:p>
        </w:tc>
        <w:tc>
          <w:tcPr>
            <w:tcW w:w="2045"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Διάρροια</w:t>
            </w: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 xml:space="preserve">Διάρροια και κολίτιδα σχετιζόμενη με τον </w:t>
            </w:r>
            <w:proofErr w:type="spellStart"/>
            <w:r w:rsidRPr="00170F6F">
              <w:rPr>
                <w:rFonts w:ascii="Times New Roman" w:hAnsi="Times New Roman"/>
                <w:sz w:val="22"/>
                <w:szCs w:val="22"/>
                <w:lang w:val="el-GR"/>
              </w:rPr>
              <w:t>αντιβακτηριακό</w:t>
            </w:r>
            <w:proofErr w:type="spellEnd"/>
            <w:r w:rsidRPr="00170F6F">
              <w:rPr>
                <w:rFonts w:ascii="Times New Roman" w:hAnsi="Times New Roman"/>
                <w:sz w:val="22"/>
                <w:szCs w:val="22"/>
                <w:lang w:val="el-GR"/>
              </w:rPr>
              <w:t xml:space="preserve"> παράγοντα</w:t>
            </w:r>
            <w:r w:rsidRPr="00170F6F">
              <w:rPr>
                <w:rFonts w:ascii="Times New Roman" w:hAnsi="Times New Roman"/>
                <w:sz w:val="22"/>
                <w:szCs w:val="22"/>
                <w:vertAlign w:val="superscript"/>
                <w:lang w:val="el-GR"/>
              </w:rPr>
              <w:t xml:space="preserve">2 </w:t>
            </w:r>
            <w:r w:rsidRPr="00170F6F">
              <w:rPr>
                <w:rFonts w:ascii="Times New Roman" w:hAnsi="Times New Roman"/>
                <w:sz w:val="22"/>
                <w:szCs w:val="22"/>
                <w:lang w:val="el-GR"/>
              </w:rPr>
              <w:t>(βλέπε παράγραφο 4.4)</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Κοιλιακό άλγος</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Ναυτία</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Έμετος</w:t>
            </w: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Κακή γεύση</w:t>
            </w: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ήπατος και των χοληφόρων</w:t>
            </w:r>
          </w:p>
        </w:tc>
        <w:tc>
          <w:tcPr>
            <w:tcW w:w="2045"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Παροδικές αυξήσεις ενός ή περισσότερων ηπατικών ενζύμων</w:t>
            </w:r>
            <w:r w:rsidRPr="00170F6F">
              <w:rPr>
                <w:rFonts w:ascii="Times New Roman" w:hAnsi="Times New Roman"/>
                <w:sz w:val="22"/>
                <w:szCs w:val="22"/>
                <w:vertAlign w:val="superscript"/>
                <w:lang w:val="el-GR"/>
              </w:rPr>
              <w:t>3</w:t>
            </w:r>
            <w:r w:rsidRPr="00170F6F">
              <w:rPr>
                <w:rFonts w:ascii="Times New Roman" w:hAnsi="Times New Roman"/>
                <w:sz w:val="22"/>
                <w:szCs w:val="22"/>
                <w:lang w:val="el-GR"/>
              </w:rPr>
              <w:t xml:space="preserve"> </w:t>
            </w:r>
          </w:p>
        </w:tc>
        <w:tc>
          <w:tcPr>
            <w:tcW w:w="1944" w:type="dxa"/>
          </w:tcPr>
          <w:p w:rsidR="00461D88" w:rsidRPr="00170F6F" w:rsidRDefault="00461D88" w:rsidP="00C773E4">
            <w:pPr>
              <w:pStyle w:val="tabletextNS"/>
              <w:keepNext/>
              <w:rPr>
                <w:rFonts w:ascii="Times New Roman" w:hAnsi="Times New Roman"/>
                <w:sz w:val="22"/>
                <w:szCs w:val="22"/>
                <w:lang w:val="el-GR"/>
              </w:rPr>
            </w:pP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Ίκτερος</w:t>
            </w:r>
          </w:p>
        </w:tc>
      </w:tr>
      <w:tr w:rsidR="00461D88" w:rsidRPr="003536AE"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του δέρματος και του υποδόριου ιστού</w:t>
            </w:r>
          </w:p>
        </w:tc>
        <w:tc>
          <w:tcPr>
            <w:tcW w:w="2045"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Κηλιδοβλατιδώδες</w:t>
            </w:r>
            <w:proofErr w:type="spellEnd"/>
            <w:r w:rsidRPr="00170F6F">
              <w:rPr>
                <w:rFonts w:ascii="Times New Roman" w:hAnsi="Times New Roman"/>
                <w:sz w:val="22"/>
                <w:szCs w:val="22"/>
                <w:lang w:val="el-GR"/>
              </w:rPr>
              <w:t xml:space="preserve"> ή </w:t>
            </w:r>
            <w:proofErr w:type="spellStart"/>
            <w:r w:rsidRPr="00170F6F">
              <w:rPr>
                <w:rFonts w:ascii="Times New Roman" w:hAnsi="Times New Roman"/>
                <w:sz w:val="22"/>
                <w:szCs w:val="22"/>
                <w:lang w:val="el-GR"/>
              </w:rPr>
              <w:t>κνιδωτικό</w:t>
            </w:r>
            <w:proofErr w:type="spellEnd"/>
            <w:r w:rsidRPr="00170F6F">
              <w:rPr>
                <w:rFonts w:ascii="Times New Roman" w:hAnsi="Times New Roman"/>
                <w:sz w:val="22"/>
                <w:szCs w:val="22"/>
                <w:lang w:val="el-GR"/>
              </w:rPr>
              <w:t xml:space="preserve"> εξάνθημα</w:t>
            </w: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Κνησμός</w:t>
            </w: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 xml:space="preserve">Τοξική επιδερμική </w:t>
            </w:r>
            <w:proofErr w:type="spellStart"/>
            <w:r w:rsidRPr="00170F6F">
              <w:rPr>
                <w:rFonts w:ascii="Times New Roman" w:hAnsi="Times New Roman"/>
                <w:sz w:val="22"/>
                <w:szCs w:val="22"/>
                <w:lang w:val="el-GR"/>
              </w:rPr>
              <w:t>νεκρόλυση</w:t>
            </w:r>
            <w:proofErr w:type="spellEnd"/>
            <w:r w:rsidRPr="00170F6F">
              <w:rPr>
                <w:rFonts w:ascii="Times New Roman" w:hAnsi="Times New Roman"/>
                <w:sz w:val="22"/>
                <w:szCs w:val="22"/>
                <w:lang w:val="el-GR"/>
              </w:rPr>
              <w:t xml:space="preserve"> </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 xml:space="preserve">Σύνδρομο </w:t>
            </w:r>
            <w:proofErr w:type="spellStart"/>
            <w:r w:rsidRPr="00170F6F">
              <w:rPr>
                <w:rFonts w:ascii="Times New Roman" w:hAnsi="Times New Roman"/>
                <w:sz w:val="22"/>
                <w:szCs w:val="22"/>
                <w:lang w:val="el-GR"/>
              </w:rPr>
              <w:t>Stevens</w:t>
            </w:r>
            <w:r w:rsidRPr="00170F6F">
              <w:rPr>
                <w:rFonts w:ascii="Times New Roman" w:hAnsi="Times New Roman"/>
                <w:sz w:val="22"/>
                <w:szCs w:val="22"/>
                <w:lang w:val="el-GR"/>
              </w:rPr>
              <w:noBreakHyphen/>
              <w:t>Johnson</w:t>
            </w:r>
            <w:proofErr w:type="spellEnd"/>
            <w:r w:rsidRPr="00170F6F">
              <w:rPr>
                <w:rFonts w:ascii="Times New Roman" w:hAnsi="Times New Roman"/>
                <w:sz w:val="22"/>
                <w:szCs w:val="22"/>
                <w:lang w:val="el-GR"/>
              </w:rPr>
              <w:t xml:space="preserve"> </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Πολύμορφο ερύθημα</w:t>
            </w:r>
          </w:p>
          <w:p w:rsidR="00461D88"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lang w:val="el-GR"/>
              </w:rPr>
              <w:t>Αγγειοοίδημα</w:t>
            </w:r>
            <w:proofErr w:type="spellEnd"/>
          </w:p>
          <w:p w:rsidR="005C1B7D" w:rsidRPr="001B71F2" w:rsidRDefault="001B71F2" w:rsidP="001B71F2">
            <w:pPr>
              <w:pStyle w:val="tabletextNS"/>
              <w:rPr>
                <w:rFonts w:ascii="Times New Roman" w:hAnsi="Times New Roman"/>
                <w:sz w:val="22"/>
                <w:szCs w:val="22"/>
                <w:lang w:val="el-GR"/>
              </w:rPr>
            </w:pPr>
            <w:r>
              <w:rPr>
                <w:rFonts w:ascii="Times New Roman" w:hAnsi="Times New Roman"/>
                <w:sz w:val="22"/>
                <w:szCs w:val="22"/>
                <w:lang w:val="el-GR"/>
              </w:rPr>
              <w:t>Φαρμακευτική α</w:t>
            </w:r>
            <w:r w:rsidRPr="001B71F2">
              <w:rPr>
                <w:rFonts w:ascii="Times New Roman" w:hAnsi="Times New Roman"/>
                <w:sz w:val="22"/>
                <w:szCs w:val="22"/>
                <w:lang w:val="el-GR"/>
              </w:rPr>
              <w:t xml:space="preserve">ντίδραση </w:t>
            </w:r>
            <w:r>
              <w:rPr>
                <w:rFonts w:ascii="Times New Roman" w:hAnsi="Times New Roman"/>
                <w:sz w:val="22"/>
                <w:szCs w:val="22"/>
                <w:lang w:val="el-GR"/>
              </w:rPr>
              <w:t>μ</w:t>
            </w:r>
            <w:r w:rsidRPr="001B71F2">
              <w:rPr>
                <w:rFonts w:ascii="Times New Roman" w:hAnsi="Times New Roman"/>
                <w:sz w:val="22"/>
                <w:szCs w:val="22"/>
                <w:lang w:val="el-GR"/>
              </w:rPr>
              <w:t xml:space="preserve">ε </w:t>
            </w:r>
            <w:proofErr w:type="spellStart"/>
            <w:r w:rsidRPr="001B71F2">
              <w:rPr>
                <w:rFonts w:ascii="Times New Roman" w:hAnsi="Times New Roman"/>
                <w:sz w:val="22"/>
                <w:szCs w:val="22"/>
                <w:lang w:val="el-GR"/>
              </w:rPr>
              <w:t>ηωσινοφιλία</w:t>
            </w:r>
            <w:proofErr w:type="spellEnd"/>
            <w:r w:rsidRPr="001B71F2">
              <w:rPr>
                <w:rFonts w:ascii="Times New Roman" w:hAnsi="Times New Roman"/>
                <w:sz w:val="22"/>
                <w:szCs w:val="22"/>
                <w:lang w:val="el-GR"/>
              </w:rPr>
              <w:t xml:space="preserve"> και συστηματικά συμπτώματα (</w:t>
            </w:r>
            <w:r w:rsidRPr="001B71F2">
              <w:rPr>
                <w:rFonts w:ascii="Times New Roman" w:hAnsi="Times New Roman"/>
                <w:sz w:val="22"/>
                <w:szCs w:val="22"/>
              </w:rPr>
              <w:t>DRESS</w:t>
            </w:r>
            <w:r w:rsidRPr="001B71F2">
              <w:rPr>
                <w:rFonts w:ascii="Times New Roman" w:hAnsi="Times New Roman"/>
                <w:sz w:val="22"/>
                <w:szCs w:val="22"/>
                <w:lang w:val="el-GR"/>
              </w:rPr>
              <w:t>)</w:t>
            </w:r>
            <w:r w:rsidR="005C1B7D" w:rsidRPr="001B71F2">
              <w:rPr>
                <w:rFonts w:ascii="Times New Roman" w:hAnsi="Times New Roman"/>
                <w:sz w:val="22"/>
                <w:szCs w:val="22"/>
                <w:vertAlign w:val="superscript"/>
                <w:lang w:val="el-GR"/>
              </w:rPr>
              <w:t>4</w:t>
            </w:r>
          </w:p>
        </w:tc>
      </w:tr>
      <w:tr w:rsidR="00461D88" w:rsidRPr="003536AE"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Διαταραχές των νεφρών και των ουροφόρων οδών</w:t>
            </w:r>
          </w:p>
        </w:tc>
        <w:tc>
          <w:tcPr>
            <w:tcW w:w="2045" w:type="dxa"/>
          </w:tcPr>
          <w:p w:rsidR="00461D88" w:rsidRPr="00170F6F" w:rsidRDefault="00461D88" w:rsidP="00C773E4">
            <w:pPr>
              <w:pStyle w:val="tabletextNS"/>
              <w:keepNext/>
              <w:rPr>
                <w:rFonts w:ascii="Times New Roman" w:hAnsi="Times New Roman"/>
                <w:sz w:val="22"/>
                <w:szCs w:val="22"/>
                <w:lang w:val="el-GR"/>
              </w:rPr>
            </w:pP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 xml:space="preserve">Παροδικές αυξήσεις της ουρίας αίματος, του αζώτου ουρίας αίματος και/ή της </w:t>
            </w:r>
            <w:proofErr w:type="spellStart"/>
            <w:r w:rsidRPr="00170F6F">
              <w:rPr>
                <w:rFonts w:ascii="Times New Roman" w:hAnsi="Times New Roman"/>
                <w:sz w:val="22"/>
                <w:szCs w:val="22"/>
                <w:lang w:val="el-GR"/>
              </w:rPr>
              <w:t>κρεατινίνης</w:t>
            </w:r>
            <w:proofErr w:type="spellEnd"/>
            <w:r w:rsidRPr="00170F6F">
              <w:rPr>
                <w:rFonts w:ascii="Times New Roman" w:hAnsi="Times New Roman"/>
                <w:sz w:val="22"/>
                <w:szCs w:val="22"/>
                <w:lang w:val="el-GR"/>
              </w:rPr>
              <w:t xml:space="preserve"> ορού</w:t>
            </w:r>
          </w:p>
        </w:tc>
        <w:tc>
          <w:tcPr>
            <w:tcW w:w="1680"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Διάμεση νεφρίτιδα</w:t>
            </w:r>
          </w:p>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t>Οξεία νεφρική ανεπάρκεια</w:t>
            </w:r>
          </w:p>
        </w:tc>
        <w:tc>
          <w:tcPr>
            <w:tcW w:w="2160" w:type="dxa"/>
          </w:tcPr>
          <w:p w:rsidR="00461D88" w:rsidRPr="00170F6F" w:rsidRDefault="00461D88" w:rsidP="00C773E4">
            <w:pPr>
              <w:pStyle w:val="tabletextNS"/>
              <w:keepNext/>
              <w:rPr>
                <w:rFonts w:ascii="Times New Roman" w:hAnsi="Times New Roman"/>
                <w:sz w:val="22"/>
                <w:szCs w:val="22"/>
                <w:lang w:val="el-GR"/>
              </w:rPr>
            </w:pP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u w:val="single"/>
                <w:lang w:val="el-GR"/>
              </w:rPr>
              <w:t xml:space="preserve">Γενικές διαταραχές και καταστάσεις της </w:t>
            </w:r>
            <w:r w:rsidRPr="00170F6F">
              <w:rPr>
                <w:rFonts w:ascii="Times New Roman" w:hAnsi="Times New Roman"/>
                <w:sz w:val="22"/>
                <w:szCs w:val="22"/>
                <w:u w:val="single"/>
                <w:lang w:val="el-GR"/>
              </w:rPr>
              <w:lastRenderedPageBreak/>
              <w:t>οδού χορήγησης</w:t>
            </w:r>
          </w:p>
        </w:tc>
        <w:tc>
          <w:tcPr>
            <w:tcW w:w="2045"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lastRenderedPageBreak/>
              <w:t xml:space="preserve">Άλγος και/ή φλεγμονή μετά την </w:t>
            </w:r>
            <w:r w:rsidRPr="00170F6F">
              <w:rPr>
                <w:rFonts w:ascii="Times New Roman" w:hAnsi="Times New Roman"/>
                <w:sz w:val="22"/>
                <w:szCs w:val="22"/>
                <w:lang w:val="el-GR"/>
              </w:rPr>
              <w:lastRenderedPageBreak/>
              <w:t>ενδομυϊκή ένεση</w:t>
            </w:r>
          </w:p>
        </w:tc>
        <w:tc>
          <w:tcPr>
            <w:tcW w:w="1944" w:type="dxa"/>
          </w:tcPr>
          <w:p w:rsidR="00461D88" w:rsidRPr="00170F6F" w:rsidRDefault="00461D88" w:rsidP="00C773E4">
            <w:pPr>
              <w:pStyle w:val="tabletextNS"/>
              <w:keepNext/>
              <w:rPr>
                <w:rFonts w:ascii="Times New Roman" w:hAnsi="Times New Roman"/>
                <w:sz w:val="22"/>
                <w:szCs w:val="22"/>
                <w:lang w:val="el-GR"/>
              </w:rPr>
            </w:pPr>
            <w:r w:rsidRPr="00170F6F">
              <w:rPr>
                <w:rFonts w:ascii="Times New Roman" w:hAnsi="Times New Roman"/>
                <w:sz w:val="22"/>
                <w:szCs w:val="22"/>
                <w:lang w:val="el-GR"/>
              </w:rPr>
              <w:lastRenderedPageBreak/>
              <w:t>Πυρετός</w:t>
            </w: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p>
        </w:tc>
      </w:tr>
      <w:tr w:rsidR="00461D88" w:rsidRPr="00170F6F" w:rsidTr="00C773E4">
        <w:tc>
          <w:tcPr>
            <w:tcW w:w="2044" w:type="dxa"/>
          </w:tcPr>
          <w:p w:rsidR="00461D88" w:rsidRPr="00170F6F" w:rsidRDefault="00461D88" w:rsidP="00C773E4">
            <w:pPr>
              <w:pStyle w:val="tabletextNS"/>
              <w:keepNext/>
              <w:rPr>
                <w:rFonts w:ascii="Times New Roman" w:hAnsi="Times New Roman"/>
                <w:sz w:val="22"/>
                <w:szCs w:val="22"/>
                <w:lang w:val="el-GR"/>
              </w:rPr>
            </w:pPr>
            <w:proofErr w:type="spellStart"/>
            <w:r w:rsidRPr="00170F6F">
              <w:rPr>
                <w:rFonts w:ascii="Times New Roman" w:hAnsi="Times New Roman"/>
                <w:sz w:val="22"/>
                <w:szCs w:val="22"/>
                <w:u w:val="single"/>
                <w:lang w:val="el-GR"/>
              </w:rPr>
              <w:lastRenderedPageBreak/>
              <w:t>Παρακλινικές</w:t>
            </w:r>
            <w:proofErr w:type="spellEnd"/>
            <w:r w:rsidRPr="00170F6F">
              <w:rPr>
                <w:rFonts w:ascii="Times New Roman" w:hAnsi="Times New Roman"/>
                <w:sz w:val="22"/>
                <w:szCs w:val="22"/>
                <w:u w:val="single"/>
                <w:lang w:val="el-GR"/>
              </w:rPr>
              <w:t xml:space="preserve"> εξετάσεις</w:t>
            </w:r>
          </w:p>
        </w:tc>
        <w:tc>
          <w:tcPr>
            <w:tcW w:w="2045" w:type="dxa"/>
          </w:tcPr>
          <w:p w:rsidR="00461D88" w:rsidRPr="00170F6F" w:rsidRDefault="00461D88" w:rsidP="005C1B7D">
            <w:pPr>
              <w:pStyle w:val="tabletextNS"/>
              <w:keepNext/>
              <w:rPr>
                <w:rFonts w:ascii="Times New Roman" w:hAnsi="Times New Roman"/>
                <w:sz w:val="22"/>
                <w:szCs w:val="22"/>
                <w:lang w:val="el-GR"/>
              </w:rPr>
            </w:pPr>
            <w:r w:rsidRPr="00170F6F">
              <w:rPr>
                <w:rFonts w:ascii="Times New Roman" w:hAnsi="Times New Roman"/>
                <w:sz w:val="22"/>
                <w:szCs w:val="22"/>
                <w:lang w:val="el-GR"/>
              </w:rPr>
              <w:t>Θετική δοκιμασία Coombs</w:t>
            </w:r>
            <w:r w:rsidR="005C1B7D" w:rsidRPr="005C1B7D">
              <w:rPr>
                <w:rFonts w:ascii="Times New Roman" w:hAnsi="Times New Roman"/>
                <w:sz w:val="22"/>
                <w:szCs w:val="22"/>
                <w:vertAlign w:val="superscript"/>
                <w:lang w:val="el-GR"/>
              </w:rPr>
              <w:t>5</w:t>
            </w:r>
          </w:p>
        </w:tc>
        <w:tc>
          <w:tcPr>
            <w:tcW w:w="1944" w:type="dxa"/>
          </w:tcPr>
          <w:p w:rsidR="00461D88" w:rsidRPr="00170F6F" w:rsidRDefault="00461D88" w:rsidP="00C773E4">
            <w:pPr>
              <w:pStyle w:val="tabletextNS"/>
              <w:keepNext/>
              <w:rPr>
                <w:rFonts w:ascii="Times New Roman" w:hAnsi="Times New Roman"/>
                <w:sz w:val="22"/>
                <w:szCs w:val="22"/>
                <w:lang w:val="el-GR"/>
              </w:rPr>
            </w:pPr>
          </w:p>
        </w:tc>
        <w:tc>
          <w:tcPr>
            <w:tcW w:w="1680" w:type="dxa"/>
          </w:tcPr>
          <w:p w:rsidR="00461D88" w:rsidRPr="00170F6F" w:rsidRDefault="00461D88" w:rsidP="00C773E4">
            <w:pPr>
              <w:pStyle w:val="tabletextNS"/>
              <w:keepNext/>
              <w:rPr>
                <w:rFonts w:ascii="Times New Roman" w:hAnsi="Times New Roman"/>
                <w:sz w:val="22"/>
                <w:szCs w:val="22"/>
                <w:lang w:val="el-GR"/>
              </w:rPr>
            </w:pPr>
          </w:p>
        </w:tc>
        <w:tc>
          <w:tcPr>
            <w:tcW w:w="2160" w:type="dxa"/>
          </w:tcPr>
          <w:p w:rsidR="00461D88" w:rsidRPr="00170F6F" w:rsidRDefault="00461D88" w:rsidP="00C773E4">
            <w:pPr>
              <w:pStyle w:val="tabletextNS"/>
              <w:keepNext/>
              <w:rPr>
                <w:rFonts w:ascii="Times New Roman" w:hAnsi="Times New Roman"/>
                <w:sz w:val="22"/>
                <w:szCs w:val="22"/>
                <w:lang w:val="el-GR"/>
              </w:rPr>
            </w:pPr>
          </w:p>
        </w:tc>
      </w:tr>
    </w:tbl>
    <w:p w:rsidR="00461D88" w:rsidRPr="00170F6F" w:rsidRDefault="00461D88" w:rsidP="00461D88">
      <w:pPr>
        <w:tabs>
          <w:tab w:val="clear" w:pos="567"/>
          <w:tab w:val="left" w:pos="142"/>
        </w:tabs>
        <w:ind w:left="142" w:hanging="142"/>
        <w:rPr>
          <w:szCs w:val="22"/>
          <w:lang w:val="el-GR"/>
        </w:rPr>
      </w:pPr>
      <w:r w:rsidRPr="00170F6F">
        <w:rPr>
          <w:szCs w:val="22"/>
          <w:vertAlign w:val="superscript"/>
          <w:lang w:val="el-GR"/>
        </w:rPr>
        <w:t>1</w:t>
      </w:r>
      <w:r w:rsidRPr="00170F6F">
        <w:rPr>
          <w:szCs w:val="22"/>
          <w:lang w:val="el-GR"/>
        </w:rPr>
        <w:t xml:space="preserve"> Υπάρχουν αναφορές νευρολογικών επακόλουθων, όπως τρόμος, </w:t>
      </w:r>
      <w:proofErr w:type="spellStart"/>
      <w:r w:rsidRPr="00170F6F">
        <w:rPr>
          <w:szCs w:val="22"/>
          <w:lang w:val="el-GR"/>
        </w:rPr>
        <w:t>μυοκλονία</w:t>
      </w:r>
      <w:proofErr w:type="spellEnd"/>
      <w:r w:rsidRPr="00170F6F">
        <w:rPr>
          <w:szCs w:val="22"/>
          <w:lang w:val="el-GR"/>
        </w:rPr>
        <w:t xml:space="preserve">, σπασμοί, εγκεφαλοπάθεια και κώμα, σε ασθενείς με νεφρική δυσλειτουργία στους οποίους η δόση του </w:t>
      </w:r>
      <w:proofErr w:type="spellStart"/>
      <w:r w:rsidR="00A07816">
        <w:rPr>
          <w:szCs w:val="22"/>
          <w:lang w:val="el-GR"/>
        </w:rPr>
        <w:t>Ceftazidime</w:t>
      </w:r>
      <w:proofErr w:type="spellEnd"/>
      <w:r w:rsidR="00A07816">
        <w:rPr>
          <w:szCs w:val="22"/>
          <w:lang w:val="el-GR"/>
        </w:rPr>
        <w:t>/</w:t>
      </w:r>
      <w:proofErr w:type="spellStart"/>
      <w:r w:rsidR="00A07816">
        <w:rPr>
          <w:szCs w:val="22"/>
          <w:lang w:val="el-GR"/>
        </w:rPr>
        <w:t>Cooper</w:t>
      </w:r>
      <w:proofErr w:type="spellEnd"/>
      <w:r w:rsidRPr="00170F6F">
        <w:rPr>
          <w:szCs w:val="22"/>
          <w:lang w:val="el-GR"/>
        </w:rPr>
        <w:t xml:space="preserve"> δεν μειώθηκε καταλλήλως.</w:t>
      </w:r>
    </w:p>
    <w:p w:rsidR="00461D88" w:rsidRPr="00170F6F" w:rsidRDefault="00461D88" w:rsidP="00461D88">
      <w:pPr>
        <w:tabs>
          <w:tab w:val="clear" w:pos="567"/>
          <w:tab w:val="left" w:pos="142"/>
        </w:tabs>
        <w:ind w:left="142" w:hanging="142"/>
        <w:rPr>
          <w:szCs w:val="22"/>
          <w:lang w:val="el-GR"/>
        </w:rPr>
      </w:pPr>
      <w:r w:rsidRPr="00170F6F">
        <w:rPr>
          <w:szCs w:val="22"/>
          <w:vertAlign w:val="superscript"/>
          <w:lang w:val="el-GR"/>
        </w:rPr>
        <w:t>2</w:t>
      </w:r>
      <w:r w:rsidRPr="00170F6F">
        <w:rPr>
          <w:szCs w:val="22"/>
          <w:lang w:val="el-GR"/>
        </w:rPr>
        <w:t xml:space="preserve"> Η διάρροια και η κολίτιδα οφείλονται ενδεχομένως σε </w:t>
      </w:r>
      <w:proofErr w:type="spellStart"/>
      <w:r w:rsidRPr="00170F6F">
        <w:rPr>
          <w:i/>
          <w:szCs w:val="22"/>
          <w:lang w:val="el-GR"/>
        </w:rPr>
        <w:t>Clostridium</w:t>
      </w:r>
      <w:proofErr w:type="spellEnd"/>
      <w:r w:rsidRPr="00170F6F">
        <w:rPr>
          <w:i/>
          <w:szCs w:val="22"/>
          <w:lang w:val="el-GR"/>
        </w:rPr>
        <w:t xml:space="preserve"> </w:t>
      </w:r>
      <w:proofErr w:type="spellStart"/>
      <w:r w:rsidRPr="00170F6F">
        <w:rPr>
          <w:i/>
          <w:szCs w:val="22"/>
          <w:lang w:val="el-GR"/>
        </w:rPr>
        <w:t>difficile</w:t>
      </w:r>
      <w:proofErr w:type="spellEnd"/>
      <w:r w:rsidRPr="00170F6F">
        <w:rPr>
          <w:szCs w:val="22"/>
          <w:lang w:val="el-GR"/>
        </w:rPr>
        <w:t xml:space="preserve"> και μπορεί να εκδηλωθούν ως </w:t>
      </w:r>
      <w:proofErr w:type="spellStart"/>
      <w:r w:rsidRPr="00170F6F">
        <w:rPr>
          <w:szCs w:val="22"/>
          <w:lang w:val="el-GR"/>
        </w:rPr>
        <w:t>ψευδομεμβρανώδης</w:t>
      </w:r>
      <w:proofErr w:type="spellEnd"/>
      <w:r w:rsidRPr="00170F6F">
        <w:rPr>
          <w:szCs w:val="22"/>
          <w:lang w:val="el-GR"/>
        </w:rPr>
        <w:t xml:space="preserve"> κολίτιδα.</w:t>
      </w:r>
    </w:p>
    <w:p w:rsidR="00461D88" w:rsidRPr="00170F6F" w:rsidRDefault="00461D88" w:rsidP="00461D88">
      <w:pPr>
        <w:ind w:left="567" w:hanging="567"/>
        <w:rPr>
          <w:szCs w:val="22"/>
          <w:lang w:val="el-GR"/>
        </w:rPr>
      </w:pPr>
      <w:r w:rsidRPr="00170F6F">
        <w:rPr>
          <w:szCs w:val="22"/>
          <w:vertAlign w:val="superscript"/>
          <w:lang w:val="el-GR"/>
        </w:rPr>
        <w:t>3</w:t>
      </w:r>
      <w:r w:rsidRPr="00170F6F">
        <w:rPr>
          <w:szCs w:val="22"/>
          <w:lang w:val="el-GR"/>
        </w:rPr>
        <w:t xml:space="preserve"> ALT (SGPT), AST (SOGT), LHD, GGT, αλκαλική </w:t>
      </w:r>
      <w:proofErr w:type="spellStart"/>
      <w:r w:rsidRPr="00170F6F">
        <w:rPr>
          <w:szCs w:val="22"/>
          <w:lang w:val="el-GR"/>
        </w:rPr>
        <w:t>φωσφατάση</w:t>
      </w:r>
      <w:proofErr w:type="spellEnd"/>
      <w:r w:rsidRPr="00170F6F">
        <w:rPr>
          <w:szCs w:val="22"/>
          <w:lang w:val="el-GR"/>
        </w:rPr>
        <w:t>.</w:t>
      </w:r>
    </w:p>
    <w:p w:rsidR="005C1B7D" w:rsidRPr="00932D3A" w:rsidRDefault="00461D88" w:rsidP="00461D88">
      <w:pPr>
        <w:tabs>
          <w:tab w:val="clear" w:pos="567"/>
          <w:tab w:val="left" w:pos="120"/>
        </w:tabs>
        <w:ind w:left="120" w:hanging="120"/>
        <w:rPr>
          <w:iCs/>
          <w:szCs w:val="22"/>
          <w:lang w:val="el-GR"/>
        </w:rPr>
      </w:pPr>
      <w:r w:rsidRPr="00932D3A">
        <w:rPr>
          <w:szCs w:val="22"/>
          <w:vertAlign w:val="superscript"/>
          <w:lang w:val="el-GR"/>
        </w:rPr>
        <w:t xml:space="preserve">4  </w:t>
      </w:r>
      <w:r w:rsidR="00932D3A" w:rsidRPr="00932D3A">
        <w:rPr>
          <w:szCs w:val="22"/>
          <w:lang w:val="el-GR"/>
        </w:rPr>
        <w:t xml:space="preserve">Υπήρξαν σπάνιες αναφορές όπου </w:t>
      </w:r>
      <w:r w:rsidR="00932D3A" w:rsidRPr="00932D3A">
        <w:rPr>
          <w:szCs w:val="22"/>
          <w:lang w:val="en-US"/>
        </w:rPr>
        <w:t>DRESS</w:t>
      </w:r>
      <w:r w:rsidR="00932D3A" w:rsidRPr="00932D3A">
        <w:rPr>
          <w:szCs w:val="22"/>
          <w:lang w:val="el-GR"/>
        </w:rPr>
        <w:t xml:space="preserve"> έχει συσχετιστεί με </w:t>
      </w:r>
      <w:r w:rsidR="00932D3A">
        <w:rPr>
          <w:szCs w:val="22"/>
          <w:lang w:val="el-GR"/>
        </w:rPr>
        <w:t xml:space="preserve">την </w:t>
      </w:r>
      <w:proofErr w:type="spellStart"/>
      <w:r w:rsidR="00932D3A">
        <w:rPr>
          <w:szCs w:val="22"/>
          <w:lang w:val="el-GR"/>
        </w:rPr>
        <w:t>κεφταζιδίμη</w:t>
      </w:r>
      <w:proofErr w:type="spellEnd"/>
      <w:r w:rsidR="005C1B7D" w:rsidRPr="00932D3A">
        <w:rPr>
          <w:iCs/>
          <w:szCs w:val="22"/>
          <w:lang w:val="el-GR"/>
        </w:rPr>
        <w:t>.</w:t>
      </w:r>
    </w:p>
    <w:p w:rsidR="00461D88" w:rsidRPr="00170F6F" w:rsidRDefault="005C1B7D" w:rsidP="00461D88">
      <w:pPr>
        <w:tabs>
          <w:tab w:val="clear" w:pos="567"/>
          <w:tab w:val="left" w:pos="120"/>
        </w:tabs>
        <w:ind w:left="120" w:hanging="120"/>
        <w:rPr>
          <w:szCs w:val="22"/>
          <w:lang w:val="el-GR"/>
        </w:rPr>
      </w:pPr>
      <w:r w:rsidRPr="005C1B7D">
        <w:rPr>
          <w:iCs/>
          <w:szCs w:val="22"/>
          <w:vertAlign w:val="superscript"/>
          <w:lang w:val="el-GR"/>
        </w:rPr>
        <w:t>5</w:t>
      </w:r>
      <w:r>
        <w:rPr>
          <w:iCs/>
          <w:szCs w:val="22"/>
          <w:lang w:val="el-GR"/>
        </w:rPr>
        <w:t xml:space="preserve"> </w:t>
      </w:r>
      <w:r w:rsidR="00461D88" w:rsidRPr="00170F6F">
        <w:rPr>
          <w:szCs w:val="22"/>
          <w:lang w:val="el-GR"/>
        </w:rPr>
        <w:t xml:space="preserve">Θετικό αποτέλεσμα σε δοκιμασία </w:t>
      </w:r>
      <w:proofErr w:type="spellStart"/>
      <w:r w:rsidR="00461D88" w:rsidRPr="00170F6F">
        <w:rPr>
          <w:szCs w:val="22"/>
          <w:lang w:val="el-GR"/>
        </w:rPr>
        <w:t>Coombs</w:t>
      </w:r>
      <w:proofErr w:type="spellEnd"/>
      <w:r w:rsidR="00461D88" w:rsidRPr="00170F6F">
        <w:rPr>
          <w:szCs w:val="22"/>
          <w:lang w:val="el-GR"/>
        </w:rPr>
        <w:t xml:space="preserve"> εμφανίζεται σε ποσοστό 5 % περίπου των ασθενών και μπορεί να επηρεάσει τη διασταύρωση αίματος.</w:t>
      </w:r>
    </w:p>
    <w:p w:rsidR="00461D88" w:rsidRPr="00170F6F" w:rsidRDefault="00461D88" w:rsidP="00461D88">
      <w:pPr>
        <w:ind w:left="567" w:hanging="567"/>
        <w:rPr>
          <w:b/>
          <w:szCs w:val="22"/>
          <w:lang w:val="el-GR"/>
        </w:rPr>
      </w:pPr>
    </w:p>
    <w:p w:rsidR="00575D6C" w:rsidRPr="00BB0C4F" w:rsidRDefault="00575D6C" w:rsidP="00575D6C">
      <w:pPr>
        <w:autoSpaceDE w:val="0"/>
        <w:autoSpaceDN w:val="0"/>
        <w:adjustRightInd w:val="0"/>
        <w:rPr>
          <w:szCs w:val="22"/>
          <w:u w:val="single"/>
          <w:lang w:val="el-GR"/>
        </w:rPr>
      </w:pPr>
      <w:r w:rsidRPr="00BB0C4F">
        <w:rPr>
          <w:noProof/>
          <w:szCs w:val="22"/>
          <w:u w:val="single"/>
          <w:lang w:val="el-GR"/>
        </w:rPr>
        <w:t>Αναφορά πιθανολογούμενων ανεπιθύμητων ενεργειών</w:t>
      </w:r>
    </w:p>
    <w:p w:rsidR="00575D6C" w:rsidRPr="0002194B" w:rsidRDefault="00575D6C" w:rsidP="00575D6C">
      <w:pPr>
        <w:rPr>
          <w:rFonts w:eastAsia="Calibri"/>
          <w:szCs w:val="22"/>
          <w:lang w:val="el-GR" w:eastAsia="zh-CN"/>
        </w:rPr>
      </w:pPr>
      <w:r w:rsidRPr="00BB0C4F">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BB0C4F">
        <w:rPr>
          <w:noProof/>
          <w:szCs w:val="22"/>
          <w:lang w:val="el-GR"/>
        </w:rPr>
        <w:t>.</w:t>
      </w:r>
      <w:r w:rsidRPr="00BB0C4F">
        <w:rPr>
          <w:szCs w:val="22"/>
          <w:lang w:val="el-GR"/>
        </w:rPr>
        <w:t xml:space="preserve"> Επιτρέπει τη συνεχή παρακολούθηση της σχέσης οφέλους-κινδύνου του φαρμακευτικού προϊόντος</w:t>
      </w:r>
      <w:r w:rsidRPr="00BB0C4F">
        <w:rPr>
          <w:noProof/>
          <w:szCs w:val="22"/>
          <w:lang w:val="el-GR"/>
        </w:rPr>
        <w:t>.</w:t>
      </w:r>
      <w:r w:rsidRPr="00BB0C4F">
        <w:rPr>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BB0C4F">
        <w:rPr>
          <w:color w:val="000000"/>
          <w:szCs w:val="22"/>
          <w:lang w:val="el-GR" w:eastAsia="en-GB" w:bidi="or-IN"/>
        </w:rPr>
        <w:t xml:space="preserve">στον </w:t>
      </w:r>
      <w:r w:rsidRPr="00BB06F8">
        <w:rPr>
          <w:rFonts w:eastAsia="Calibri"/>
          <w:noProof/>
          <w:szCs w:val="22"/>
          <w:lang w:val="el-GR" w:eastAsia="zh-CN"/>
        </w:rPr>
        <w:t>Εθνικό Οργανισμό Φαρμάκων</w:t>
      </w:r>
      <w:r w:rsidRPr="00F80257">
        <w:rPr>
          <w:rFonts w:eastAsia="Calibri"/>
          <w:noProof/>
          <w:szCs w:val="22"/>
          <w:lang w:val="el-GR" w:eastAsia="zh-CN"/>
        </w:rPr>
        <w:t xml:space="preserve"> </w:t>
      </w:r>
      <w:r w:rsidRPr="0002194B">
        <w:rPr>
          <w:rFonts w:eastAsia="Calibri"/>
          <w:noProof/>
          <w:szCs w:val="22"/>
          <w:lang w:val="el-GR" w:eastAsia="zh-CN"/>
        </w:rPr>
        <w:t>(</w:t>
      </w:r>
      <w:r w:rsidRPr="00BB06F8">
        <w:rPr>
          <w:rFonts w:eastAsia="Calibri"/>
          <w:noProof/>
          <w:szCs w:val="22"/>
          <w:lang w:val="el-GR" w:eastAsia="zh-CN"/>
        </w:rPr>
        <w:t>Μεσογείων 284</w:t>
      </w:r>
      <w:r w:rsidRPr="00A73DF3">
        <w:rPr>
          <w:rFonts w:eastAsia="Calibri"/>
          <w:noProof/>
          <w:szCs w:val="22"/>
          <w:lang w:val="el-GR" w:eastAsia="zh-CN"/>
        </w:rPr>
        <w:t xml:space="preserve">, </w:t>
      </w:r>
      <w:r w:rsidRPr="00BB06F8">
        <w:rPr>
          <w:rFonts w:eastAsia="Calibri"/>
          <w:noProof/>
          <w:szCs w:val="22"/>
          <w:lang w:eastAsia="zh-CN"/>
        </w:rPr>
        <w:t>GR</w:t>
      </w:r>
      <w:r w:rsidRPr="002B1B4D">
        <w:rPr>
          <w:rFonts w:eastAsia="Calibri"/>
          <w:noProof/>
          <w:szCs w:val="22"/>
          <w:lang w:val="el-GR" w:eastAsia="zh-CN"/>
        </w:rPr>
        <w:t xml:space="preserve">-15562 </w:t>
      </w:r>
      <w:r w:rsidRPr="00BB06F8">
        <w:rPr>
          <w:rFonts w:eastAsia="Calibri"/>
          <w:noProof/>
          <w:szCs w:val="22"/>
          <w:lang w:val="el-GR" w:eastAsia="zh-CN"/>
        </w:rPr>
        <w:t>Χολαργός, Αθήνα</w:t>
      </w:r>
      <w:r w:rsidRPr="00A73DF3">
        <w:rPr>
          <w:rFonts w:eastAsia="Calibri"/>
          <w:noProof/>
          <w:szCs w:val="22"/>
          <w:lang w:val="el-GR" w:eastAsia="zh-CN"/>
        </w:rPr>
        <w:t xml:space="preserve">, </w:t>
      </w:r>
      <w:r w:rsidRPr="00BB06F8">
        <w:rPr>
          <w:rFonts w:eastAsia="Calibri"/>
          <w:noProof/>
          <w:szCs w:val="22"/>
          <w:lang w:val="el-GR" w:eastAsia="zh-CN"/>
        </w:rPr>
        <w:t xml:space="preserve">Τηλ: + </w:t>
      </w:r>
      <w:r w:rsidRPr="002B1B4D">
        <w:rPr>
          <w:rFonts w:eastAsia="Calibri"/>
          <w:noProof/>
          <w:szCs w:val="22"/>
          <w:lang w:val="el-GR" w:eastAsia="zh-CN"/>
        </w:rPr>
        <w:t xml:space="preserve">30 </w:t>
      </w:r>
      <w:r w:rsidRPr="002B1B4D">
        <w:rPr>
          <w:rFonts w:eastAsia="Calibri"/>
          <w:szCs w:val="22"/>
          <w:lang w:val="el-GR" w:eastAsia="zh-CN"/>
        </w:rPr>
        <w:t>21 32040380/337</w:t>
      </w:r>
      <w:r w:rsidRPr="00A73DF3">
        <w:rPr>
          <w:rFonts w:eastAsia="Calibri"/>
          <w:szCs w:val="22"/>
          <w:lang w:val="el-GR" w:eastAsia="zh-CN"/>
        </w:rPr>
        <w:t xml:space="preserve">, </w:t>
      </w:r>
      <w:r w:rsidRPr="00BB06F8">
        <w:rPr>
          <w:rFonts w:eastAsia="Calibri"/>
          <w:lang w:val="el-GR" w:eastAsia="zh-CN"/>
        </w:rPr>
        <w:t>Φαξ</w:t>
      </w:r>
      <w:r w:rsidRPr="002B1B4D">
        <w:rPr>
          <w:rFonts w:eastAsia="Calibri"/>
          <w:noProof/>
          <w:szCs w:val="22"/>
          <w:lang w:val="el-GR" w:eastAsia="zh-CN"/>
        </w:rPr>
        <w:t xml:space="preserve">: + 30 </w:t>
      </w:r>
      <w:r w:rsidRPr="002B1B4D">
        <w:rPr>
          <w:rFonts w:eastAsia="Calibri"/>
          <w:szCs w:val="22"/>
          <w:lang w:val="el-GR" w:eastAsia="zh-CN"/>
        </w:rPr>
        <w:t>21 06549585</w:t>
      </w:r>
      <w:r w:rsidRPr="00A73DF3">
        <w:rPr>
          <w:rFonts w:eastAsia="Calibri"/>
          <w:noProof/>
          <w:szCs w:val="22"/>
          <w:lang w:val="el-GR" w:eastAsia="zh-CN"/>
        </w:rPr>
        <w:t xml:space="preserve">, </w:t>
      </w:r>
      <w:proofErr w:type="spellStart"/>
      <w:r w:rsidRPr="00BB06F8">
        <w:rPr>
          <w:rFonts w:eastAsia="Calibri"/>
          <w:lang w:val="el-GR" w:eastAsia="zh-CN"/>
        </w:rPr>
        <w:t>Ιστότοπος</w:t>
      </w:r>
      <w:proofErr w:type="spellEnd"/>
      <w:r w:rsidRPr="00A73DF3">
        <w:rPr>
          <w:rFonts w:eastAsia="Calibri"/>
          <w:noProof/>
          <w:szCs w:val="22"/>
          <w:lang w:val="el-GR" w:eastAsia="zh-CN"/>
        </w:rPr>
        <w:t xml:space="preserve">: </w:t>
      </w:r>
      <w:hyperlink r:id="rId8" w:history="1">
        <w:r w:rsidRPr="00BB06F8">
          <w:rPr>
            <w:rFonts w:eastAsia="Calibri"/>
            <w:color w:val="0000FF"/>
            <w:szCs w:val="22"/>
            <w:u w:val="single"/>
            <w:lang w:eastAsia="zh-CN"/>
          </w:rPr>
          <w:t>http</w:t>
        </w:r>
        <w:r w:rsidRPr="00A73DF3">
          <w:rPr>
            <w:rFonts w:eastAsia="Calibri"/>
            <w:color w:val="0000FF"/>
            <w:szCs w:val="22"/>
            <w:u w:val="single"/>
            <w:lang w:val="el-GR" w:eastAsia="zh-CN"/>
          </w:rPr>
          <w:t>://</w:t>
        </w:r>
        <w:r w:rsidRPr="00BB06F8">
          <w:rPr>
            <w:rFonts w:eastAsia="Calibri"/>
            <w:color w:val="0000FF"/>
            <w:szCs w:val="22"/>
            <w:u w:val="single"/>
            <w:lang w:eastAsia="zh-CN"/>
          </w:rPr>
          <w:t>www</w:t>
        </w:r>
        <w:r w:rsidRPr="00A73DF3">
          <w:rPr>
            <w:rFonts w:eastAsia="Calibri"/>
            <w:color w:val="0000FF"/>
            <w:szCs w:val="22"/>
            <w:u w:val="single"/>
            <w:lang w:val="el-GR" w:eastAsia="zh-CN"/>
          </w:rPr>
          <w:t>.</w:t>
        </w:r>
        <w:proofErr w:type="spellStart"/>
        <w:r w:rsidRPr="00BB06F8">
          <w:rPr>
            <w:rFonts w:eastAsia="Calibri"/>
            <w:color w:val="0000FF"/>
            <w:szCs w:val="22"/>
            <w:u w:val="single"/>
            <w:lang w:eastAsia="zh-CN"/>
          </w:rPr>
          <w:t>eof</w:t>
        </w:r>
        <w:proofErr w:type="spellEnd"/>
        <w:r w:rsidRPr="00A73DF3">
          <w:rPr>
            <w:rFonts w:eastAsia="Calibri"/>
            <w:color w:val="0000FF"/>
            <w:szCs w:val="22"/>
            <w:u w:val="single"/>
            <w:lang w:val="el-GR" w:eastAsia="zh-CN"/>
          </w:rPr>
          <w:t>.</w:t>
        </w:r>
        <w:r w:rsidRPr="00BB06F8">
          <w:rPr>
            <w:rFonts w:eastAsia="Calibri"/>
            <w:color w:val="0000FF"/>
            <w:szCs w:val="22"/>
            <w:u w:val="single"/>
            <w:lang w:eastAsia="zh-CN"/>
          </w:rPr>
          <w:t>gr</w:t>
        </w:r>
      </w:hyperlink>
      <w:r w:rsidRPr="0002194B">
        <w:rPr>
          <w:rFonts w:eastAsia="Calibri"/>
          <w:szCs w:val="22"/>
          <w:lang w:val="el-GR" w:eastAsia="zh-CN"/>
        </w:rPr>
        <w:t>).</w:t>
      </w:r>
    </w:p>
    <w:p w:rsidR="00575D6C" w:rsidRDefault="00575D6C" w:rsidP="00461D88">
      <w:pPr>
        <w:keepNext/>
        <w:ind w:left="567" w:hanging="567"/>
        <w:rPr>
          <w:b/>
          <w:szCs w:val="22"/>
          <w:lang w:val="el-GR"/>
        </w:rPr>
      </w:pPr>
    </w:p>
    <w:p w:rsidR="00461D88" w:rsidRPr="00170F6F" w:rsidRDefault="00461D88" w:rsidP="00461D88">
      <w:pPr>
        <w:keepNext/>
        <w:ind w:left="567" w:hanging="567"/>
        <w:rPr>
          <w:szCs w:val="22"/>
          <w:lang w:val="el-GR"/>
        </w:rPr>
      </w:pPr>
      <w:r w:rsidRPr="00170F6F">
        <w:rPr>
          <w:b/>
          <w:szCs w:val="22"/>
          <w:lang w:val="el-GR"/>
        </w:rPr>
        <w:t>4.9</w:t>
      </w:r>
      <w:r w:rsidRPr="00170F6F">
        <w:rPr>
          <w:b/>
          <w:szCs w:val="22"/>
          <w:lang w:val="el-GR"/>
        </w:rPr>
        <w:tab/>
      </w:r>
      <w:proofErr w:type="spellStart"/>
      <w:r w:rsidRPr="00170F6F">
        <w:rPr>
          <w:b/>
          <w:szCs w:val="22"/>
          <w:lang w:val="el-GR"/>
        </w:rPr>
        <w:t>Υπερδοσολογία</w:t>
      </w:r>
      <w:proofErr w:type="spellEnd"/>
    </w:p>
    <w:p w:rsidR="00461D88" w:rsidRPr="00170F6F" w:rsidRDefault="00461D88" w:rsidP="00461D88">
      <w:pPr>
        <w:keepNext/>
        <w:rPr>
          <w:szCs w:val="22"/>
          <w:lang w:val="el-GR"/>
        </w:rPr>
      </w:pPr>
    </w:p>
    <w:p w:rsidR="00461D88" w:rsidRPr="00170F6F" w:rsidRDefault="00461D88" w:rsidP="00461D88">
      <w:pPr>
        <w:keepNext/>
        <w:rPr>
          <w:szCs w:val="22"/>
          <w:lang w:val="el-GR"/>
        </w:rPr>
      </w:pPr>
      <w:r w:rsidRPr="00170F6F">
        <w:rPr>
          <w:szCs w:val="22"/>
          <w:lang w:val="el-GR"/>
        </w:rPr>
        <w:t xml:space="preserve">Η </w:t>
      </w:r>
      <w:proofErr w:type="spellStart"/>
      <w:r w:rsidRPr="00170F6F">
        <w:rPr>
          <w:szCs w:val="22"/>
          <w:lang w:val="el-GR"/>
        </w:rPr>
        <w:t>υπερδοσολογία</w:t>
      </w:r>
      <w:proofErr w:type="spellEnd"/>
      <w:r w:rsidRPr="00170F6F">
        <w:rPr>
          <w:szCs w:val="22"/>
          <w:lang w:val="el-GR"/>
        </w:rPr>
        <w:t xml:space="preserve"> μπορεί να οδηγήσει σε νευρολογικά επακόλουθα, όπως, μεταξύ άλλων, εγκεφαλοπάθεια, σπασμοί και κώμα.</w:t>
      </w:r>
    </w:p>
    <w:p w:rsidR="00461D88" w:rsidRPr="00170F6F" w:rsidRDefault="00461D88" w:rsidP="00461D88">
      <w:pPr>
        <w:keepNext/>
        <w:rPr>
          <w:szCs w:val="22"/>
          <w:lang w:val="el-GR"/>
        </w:rPr>
      </w:pPr>
    </w:p>
    <w:p w:rsidR="00461D88" w:rsidRPr="00170F6F" w:rsidRDefault="00461D88" w:rsidP="00461D88">
      <w:pPr>
        <w:keepNext/>
        <w:rPr>
          <w:szCs w:val="22"/>
          <w:lang w:val="el-GR"/>
        </w:rPr>
      </w:pPr>
      <w:r w:rsidRPr="00170F6F">
        <w:rPr>
          <w:szCs w:val="22"/>
          <w:lang w:val="el-GR"/>
        </w:rPr>
        <w:t xml:space="preserve">Συμπτώματα </w:t>
      </w:r>
      <w:proofErr w:type="spellStart"/>
      <w:r w:rsidRPr="00170F6F">
        <w:rPr>
          <w:szCs w:val="22"/>
          <w:lang w:val="el-GR"/>
        </w:rPr>
        <w:t>υπερδοσολογίας</w:t>
      </w:r>
      <w:proofErr w:type="spellEnd"/>
      <w:r w:rsidRPr="00170F6F">
        <w:rPr>
          <w:szCs w:val="22"/>
          <w:lang w:val="el-GR"/>
        </w:rPr>
        <w:t xml:space="preserve"> μπορεί να εκδηλωθούν εάν η δόση δεν μειώνεται καταλλήλως σε ασθενείς με νεφρική δυσλειτουργία (βλέπε παραγράφους 4.2 και 4.4).</w:t>
      </w:r>
    </w:p>
    <w:p w:rsidR="00461D88" w:rsidRPr="00170F6F" w:rsidRDefault="00461D88" w:rsidP="00461D88">
      <w:pPr>
        <w:keepNext/>
        <w:rPr>
          <w:szCs w:val="22"/>
          <w:lang w:val="el-GR"/>
        </w:rPr>
      </w:pPr>
    </w:p>
    <w:p w:rsidR="00461D88" w:rsidRPr="00170F6F" w:rsidRDefault="00461D88" w:rsidP="00461D88">
      <w:pPr>
        <w:keepNext/>
        <w:rPr>
          <w:szCs w:val="22"/>
          <w:lang w:val="el-GR"/>
        </w:rPr>
      </w:pPr>
      <w:r w:rsidRPr="00170F6F">
        <w:rPr>
          <w:szCs w:val="22"/>
          <w:lang w:val="el-GR"/>
        </w:rPr>
        <w:t xml:space="preserve">Οι συγκεντρώσεις </w:t>
      </w:r>
      <w:proofErr w:type="spellStart"/>
      <w:r w:rsidRPr="00170F6F">
        <w:rPr>
          <w:szCs w:val="22"/>
          <w:lang w:val="el-GR"/>
        </w:rPr>
        <w:t>κεφταζιδίμης</w:t>
      </w:r>
      <w:proofErr w:type="spellEnd"/>
      <w:r w:rsidRPr="00170F6F">
        <w:rPr>
          <w:szCs w:val="22"/>
          <w:lang w:val="el-GR"/>
        </w:rPr>
        <w:t xml:space="preserve"> στον ορό μπορεί να είναι μειωμένες κατά την αιμοκάθαρση ή την περιτοναϊκή αιμοκάθαρση.</w:t>
      </w:r>
    </w:p>
    <w:p w:rsidR="00461D88" w:rsidRPr="00170F6F" w:rsidRDefault="00461D88" w:rsidP="00461D88">
      <w:pPr>
        <w:rPr>
          <w:szCs w:val="22"/>
          <w:lang w:val="el-GR"/>
        </w:rPr>
      </w:pPr>
    </w:p>
    <w:p w:rsidR="00461D88" w:rsidRPr="00170F6F" w:rsidRDefault="00461D88" w:rsidP="00461D88">
      <w:pPr>
        <w:rPr>
          <w:szCs w:val="22"/>
          <w:lang w:val="el-GR"/>
        </w:rPr>
      </w:pPr>
    </w:p>
    <w:p w:rsidR="00461D88" w:rsidRPr="00170F6F" w:rsidRDefault="00461D88" w:rsidP="00461D88">
      <w:pPr>
        <w:keepNext/>
        <w:ind w:left="567" w:hanging="567"/>
        <w:rPr>
          <w:szCs w:val="22"/>
          <w:lang w:val="el-GR"/>
        </w:rPr>
      </w:pPr>
      <w:r w:rsidRPr="00170F6F">
        <w:rPr>
          <w:b/>
          <w:szCs w:val="22"/>
          <w:lang w:val="el-GR"/>
        </w:rPr>
        <w:t>5.</w:t>
      </w:r>
      <w:r w:rsidRPr="00170F6F">
        <w:rPr>
          <w:b/>
          <w:szCs w:val="22"/>
          <w:lang w:val="el-GR"/>
        </w:rPr>
        <w:tab/>
        <w:t>ΦΑΡΜΑΚΟΛΟΓΙΚΕΣ ΙΔΙΟΤΗΤΕΣ</w:t>
      </w:r>
    </w:p>
    <w:p w:rsidR="00461D88" w:rsidRPr="00170F6F" w:rsidRDefault="00461D88" w:rsidP="00461D88">
      <w:pPr>
        <w:keepNext/>
        <w:rPr>
          <w:b/>
          <w:szCs w:val="22"/>
          <w:lang w:val="el-GR"/>
        </w:rPr>
      </w:pPr>
    </w:p>
    <w:p w:rsidR="00461D88" w:rsidRPr="00170F6F" w:rsidRDefault="00461D88" w:rsidP="00461D88">
      <w:pPr>
        <w:keepNext/>
        <w:ind w:left="567" w:hanging="567"/>
        <w:rPr>
          <w:b/>
          <w:szCs w:val="22"/>
          <w:lang w:val="el-GR"/>
        </w:rPr>
      </w:pPr>
      <w:r w:rsidRPr="00170F6F">
        <w:rPr>
          <w:b/>
          <w:szCs w:val="22"/>
          <w:lang w:val="el-GR"/>
        </w:rPr>
        <w:t xml:space="preserve">5.1 </w:t>
      </w:r>
      <w:r w:rsidRPr="00170F6F">
        <w:rPr>
          <w:b/>
          <w:szCs w:val="22"/>
          <w:lang w:val="el-GR"/>
        </w:rPr>
        <w:tab/>
        <w:t>Φαρμακοδυναμικές ιδιότητες</w:t>
      </w:r>
    </w:p>
    <w:p w:rsidR="00461D88" w:rsidRPr="00170F6F" w:rsidRDefault="00461D88" w:rsidP="00461D88">
      <w:pPr>
        <w:keepNext/>
        <w:ind w:left="567" w:hanging="567"/>
        <w:rPr>
          <w:b/>
          <w:szCs w:val="22"/>
          <w:lang w:val="el-GR"/>
        </w:rPr>
      </w:pPr>
    </w:p>
    <w:p w:rsidR="00461D88" w:rsidRPr="00170F6F" w:rsidRDefault="00461D88" w:rsidP="00461D88">
      <w:pPr>
        <w:pStyle w:val="Web"/>
        <w:spacing w:before="0" w:beforeAutospacing="0" w:after="0"/>
        <w:rPr>
          <w:sz w:val="22"/>
          <w:szCs w:val="22"/>
          <w:lang w:val="el-GR"/>
        </w:rPr>
      </w:pPr>
      <w:proofErr w:type="spellStart"/>
      <w:r w:rsidRPr="00170F6F">
        <w:rPr>
          <w:sz w:val="22"/>
          <w:szCs w:val="22"/>
          <w:lang w:val="el-GR"/>
        </w:rPr>
        <w:t>Φαρμακοθεραπευτική</w:t>
      </w:r>
      <w:proofErr w:type="spellEnd"/>
      <w:r w:rsidRPr="00170F6F">
        <w:rPr>
          <w:sz w:val="22"/>
          <w:szCs w:val="22"/>
          <w:lang w:val="el-GR"/>
        </w:rPr>
        <w:t xml:space="preserve"> κατηγορία: </w:t>
      </w:r>
      <w:proofErr w:type="spellStart"/>
      <w:r w:rsidRPr="00170F6F">
        <w:rPr>
          <w:sz w:val="22"/>
          <w:szCs w:val="22"/>
          <w:lang w:val="el-GR"/>
        </w:rPr>
        <w:t>Αντιβακτηριακά</w:t>
      </w:r>
      <w:proofErr w:type="spellEnd"/>
      <w:r w:rsidRPr="00170F6F">
        <w:rPr>
          <w:sz w:val="22"/>
          <w:szCs w:val="22"/>
          <w:lang w:val="el-GR"/>
        </w:rPr>
        <w:t xml:space="preserve"> για συστηματική χρήση. </w:t>
      </w:r>
      <w:proofErr w:type="spellStart"/>
      <w:r w:rsidRPr="00170F6F">
        <w:rPr>
          <w:sz w:val="22"/>
          <w:szCs w:val="22"/>
          <w:lang w:val="el-GR"/>
        </w:rPr>
        <w:t>Κεφαλοσπορίνες</w:t>
      </w:r>
      <w:proofErr w:type="spellEnd"/>
      <w:r w:rsidRPr="00170F6F">
        <w:rPr>
          <w:sz w:val="22"/>
          <w:szCs w:val="22"/>
          <w:lang w:val="el-GR"/>
        </w:rPr>
        <w:t xml:space="preserve"> τρίτης γενιάς, κωδικός ATC: J01DD02. </w:t>
      </w:r>
    </w:p>
    <w:p w:rsidR="00461D88" w:rsidRPr="00170F6F" w:rsidRDefault="00461D88" w:rsidP="00461D88">
      <w:pPr>
        <w:pStyle w:val="Web"/>
        <w:spacing w:before="0" w:beforeAutospacing="0" w:after="0"/>
        <w:rPr>
          <w:sz w:val="22"/>
          <w:szCs w:val="22"/>
          <w:lang w:val="el-GR"/>
        </w:rPr>
      </w:pPr>
    </w:p>
    <w:p w:rsidR="00461D88" w:rsidRPr="00170F6F" w:rsidRDefault="00461D88" w:rsidP="00461D88">
      <w:pPr>
        <w:pStyle w:val="Web"/>
        <w:spacing w:before="0" w:beforeAutospacing="0" w:after="0"/>
        <w:rPr>
          <w:sz w:val="22"/>
          <w:szCs w:val="22"/>
          <w:u w:val="single"/>
          <w:lang w:val="el-GR"/>
        </w:rPr>
      </w:pPr>
      <w:r w:rsidRPr="00170F6F">
        <w:rPr>
          <w:sz w:val="22"/>
          <w:szCs w:val="22"/>
          <w:u w:val="single"/>
          <w:lang w:val="el-GR"/>
        </w:rPr>
        <w:t>Μηχανισμός δράσης</w:t>
      </w:r>
    </w:p>
    <w:p w:rsidR="00461D88" w:rsidRPr="00170F6F" w:rsidRDefault="00461D88" w:rsidP="00461D88">
      <w:pPr>
        <w:pStyle w:val="Web"/>
        <w:spacing w:before="0" w:beforeAutospacing="0" w:after="0"/>
        <w:rPr>
          <w:sz w:val="22"/>
          <w:szCs w:val="22"/>
          <w:u w:val="single"/>
          <w:lang w:val="el-GR"/>
        </w:rPr>
      </w:pPr>
    </w:p>
    <w:p w:rsidR="00461D88" w:rsidRPr="00170F6F" w:rsidRDefault="00461D88" w:rsidP="00461D88">
      <w:pPr>
        <w:tabs>
          <w:tab w:val="clear" w:pos="567"/>
        </w:tabs>
        <w:autoSpaceDE w:val="0"/>
        <w:autoSpaceDN w:val="0"/>
        <w:adjustRightInd w:val="0"/>
        <w:spacing w:line="240" w:lineRule="auto"/>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αναστέλλει τη σύνθεση του </w:t>
      </w:r>
      <w:proofErr w:type="spellStart"/>
      <w:r w:rsidRPr="00170F6F">
        <w:rPr>
          <w:szCs w:val="22"/>
          <w:lang w:val="el-GR"/>
        </w:rPr>
        <w:t>βακτηριακού</w:t>
      </w:r>
      <w:proofErr w:type="spellEnd"/>
      <w:r w:rsidRPr="00170F6F">
        <w:rPr>
          <w:szCs w:val="22"/>
          <w:lang w:val="el-GR"/>
        </w:rPr>
        <w:t xml:space="preserve"> κυτταρικού τοιχώματος μετά από σύνδεση σε </w:t>
      </w:r>
      <w:proofErr w:type="spellStart"/>
      <w:r w:rsidRPr="00170F6F">
        <w:rPr>
          <w:szCs w:val="22"/>
          <w:lang w:val="el-GR"/>
        </w:rPr>
        <w:t>πενικιλλινοδεσμευτικές</w:t>
      </w:r>
      <w:proofErr w:type="spellEnd"/>
      <w:r w:rsidRPr="00170F6F">
        <w:rPr>
          <w:szCs w:val="22"/>
          <w:lang w:val="el-GR"/>
        </w:rPr>
        <w:t xml:space="preserve"> πρωτεΐνες (PBP). Αυτό συνεπάγεται τη διακοπή της βιοσύνθεσης του κυτταρικού τοιχώματος (</w:t>
      </w:r>
      <w:proofErr w:type="spellStart"/>
      <w:r w:rsidRPr="00170F6F">
        <w:rPr>
          <w:szCs w:val="22"/>
          <w:lang w:val="el-GR"/>
        </w:rPr>
        <w:t>πεπτιδογλυκάνη</w:t>
      </w:r>
      <w:proofErr w:type="spellEnd"/>
      <w:r w:rsidRPr="00170F6F">
        <w:rPr>
          <w:szCs w:val="22"/>
          <w:lang w:val="el-GR"/>
        </w:rPr>
        <w:t xml:space="preserve">), που οδηγεί σε λύση και απόπτωση του </w:t>
      </w:r>
      <w:proofErr w:type="spellStart"/>
      <w:r w:rsidRPr="00170F6F">
        <w:rPr>
          <w:szCs w:val="22"/>
          <w:lang w:val="el-GR"/>
        </w:rPr>
        <w:t>βακτηριακού</w:t>
      </w:r>
      <w:proofErr w:type="spellEnd"/>
      <w:r w:rsidRPr="00170F6F">
        <w:rPr>
          <w:szCs w:val="22"/>
          <w:lang w:val="el-GR"/>
        </w:rPr>
        <w:t xml:space="preserve"> κυττάρου. </w:t>
      </w:r>
    </w:p>
    <w:p w:rsidR="00461D88" w:rsidRPr="00170F6F" w:rsidRDefault="00461D88" w:rsidP="00461D88">
      <w:pPr>
        <w:tabs>
          <w:tab w:val="clear" w:pos="567"/>
        </w:tabs>
        <w:autoSpaceDE w:val="0"/>
        <w:autoSpaceDN w:val="0"/>
        <w:adjustRightInd w:val="0"/>
        <w:spacing w:line="240" w:lineRule="auto"/>
        <w:rPr>
          <w:szCs w:val="22"/>
          <w:lang w:val="el-GR"/>
        </w:rPr>
      </w:pPr>
    </w:p>
    <w:p w:rsidR="00461D88" w:rsidRPr="00170F6F" w:rsidRDefault="00461D88" w:rsidP="00461D88">
      <w:pPr>
        <w:tabs>
          <w:tab w:val="clear" w:pos="567"/>
        </w:tabs>
        <w:autoSpaceDE w:val="0"/>
        <w:autoSpaceDN w:val="0"/>
        <w:adjustRightInd w:val="0"/>
        <w:spacing w:line="240" w:lineRule="auto"/>
        <w:rPr>
          <w:szCs w:val="22"/>
          <w:u w:val="single"/>
          <w:lang w:val="el-GR"/>
        </w:rPr>
      </w:pPr>
      <w:r w:rsidRPr="00170F6F">
        <w:rPr>
          <w:szCs w:val="22"/>
          <w:u w:val="single"/>
          <w:lang w:val="el-GR"/>
        </w:rPr>
        <w:t xml:space="preserve">Σχέση PK/PD </w:t>
      </w:r>
    </w:p>
    <w:p w:rsidR="00461D88" w:rsidRPr="00170F6F" w:rsidRDefault="00461D88" w:rsidP="00461D88">
      <w:pPr>
        <w:tabs>
          <w:tab w:val="clear" w:pos="567"/>
        </w:tabs>
        <w:autoSpaceDE w:val="0"/>
        <w:autoSpaceDN w:val="0"/>
        <w:adjustRightInd w:val="0"/>
        <w:spacing w:line="240" w:lineRule="auto"/>
        <w:rPr>
          <w:iCs/>
          <w:szCs w:val="22"/>
          <w:u w:val="single"/>
          <w:lang w:val="el-GR"/>
        </w:rPr>
      </w:pPr>
    </w:p>
    <w:p w:rsidR="00461D88" w:rsidRPr="00170F6F" w:rsidRDefault="00461D88" w:rsidP="00461D88">
      <w:pPr>
        <w:pStyle w:val="Web"/>
        <w:spacing w:before="0" w:beforeAutospacing="0" w:after="0"/>
        <w:rPr>
          <w:sz w:val="22"/>
          <w:szCs w:val="22"/>
          <w:lang w:val="el-GR"/>
        </w:rPr>
      </w:pPr>
      <w:r w:rsidRPr="00170F6F">
        <w:rPr>
          <w:sz w:val="22"/>
          <w:szCs w:val="22"/>
          <w:lang w:val="el-GR"/>
        </w:rPr>
        <w:t xml:space="preserve">Για τις </w:t>
      </w:r>
      <w:proofErr w:type="spellStart"/>
      <w:r w:rsidRPr="00170F6F">
        <w:rPr>
          <w:sz w:val="22"/>
          <w:szCs w:val="22"/>
          <w:lang w:val="el-GR"/>
        </w:rPr>
        <w:t>κεφαλοσπορίνες</w:t>
      </w:r>
      <w:proofErr w:type="spellEnd"/>
      <w:r w:rsidRPr="00170F6F">
        <w:rPr>
          <w:sz w:val="22"/>
          <w:szCs w:val="22"/>
          <w:lang w:val="el-GR"/>
        </w:rPr>
        <w:t xml:space="preserve">, ο σημαντικότερος δείκτης </w:t>
      </w:r>
      <w:proofErr w:type="spellStart"/>
      <w:r w:rsidRPr="00170F6F">
        <w:rPr>
          <w:sz w:val="22"/>
          <w:szCs w:val="22"/>
          <w:lang w:val="el-GR"/>
        </w:rPr>
        <w:t>φαρμακοκινητικής</w:t>
      </w:r>
      <w:r w:rsidRPr="00170F6F">
        <w:rPr>
          <w:sz w:val="22"/>
          <w:szCs w:val="22"/>
          <w:lang w:val="el-GR"/>
        </w:rPr>
        <w:noBreakHyphen/>
        <w:t>φαρμακοδυναμικής</w:t>
      </w:r>
      <w:proofErr w:type="spellEnd"/>
      <w:r w:rsidRPr="00170F6F">
        <w:rPr>
          <w:sz w:val="22"/>
          <w:szCs w:val="22"/>
          <w:lang w:val="el-GR"/>
        </w:rPr>
        <w:t xml:space="preserve"> που συσχετίζεται με </w:t>
      </w:r>
      <w:proofErr w:type="spellStart"/>
      <w:r w:rsidRPr="00170F6F">
        <w:rPr>
          <w:i/>
          <w:sz w:val="22"/>
          <w:szCs w:val="22"/>
          <w:lang w:val="el-GR"/>
        </w:rPr>
        <w:t>in</w:t>
      </w:r>
      <w:proofErr w:type="spellEnd"/>
      <w:r w:rsidRPr="00170F6F">
        <w:rPr>
          <w:i/>
          <w:sz w:val="22"/>
          <w:szCs w:val="22"/>
          <w:lang w:val="el-GR"/>
        </w:rPr>
        <w:t xml:space="preserve"> </w:t>
      </w:r>
      <w:proofErr w:type="spellStart"/>
      <w:r w:rsidRPr="00170F6F">
        <w:rPr>
          <w:i/>
          <w:sz w:val="22"/>
          <w:szCs w:val="22"/>
          <w:lang w:val="el-GR"/>
        </w:rPr>
        <w:t>vivo</w:t>
      </w:r>
      <w:proofErr w:type="spellEnd"/>
      <w:r w:rsidRPr="00170F6F">
        <w:rPr>
          <w:sz w:val="22"/>
          <w:szCs w:val="22"/>
          <w:lang w:val="el-GR"/>
        </w:rPr>
        <w:t xml:space="preserve"> αποτελεσματικότητα έχει αποδειχτεί ότι είναι το ποσοστό των μεσοδιαστημάτων μεταξύ των δόσεων στο οποίο η αδέσμευτη ποσότητα εξακολουθεί να είναι ανώτερη της ελάχιστης ανασταλτικής συγκέντρωσης (MIC) της </w:t>
      </w:r>
      <w:proofErr w:type="spellStart"/>
      <w:r w:rsidRPr="00170F6F">
        <w:rPr>
          <w:sz w:val="22"/>
          <w:szCs w:val="22"/>
          <w:lang w:val="el-GR"/>
        </w:rPr>
        <w:t>κεφταζιδίμης</w:t>
      </w:r>
      <w:proofErr w:type="spellEnd"/>
      <w:r w:rsidRPr="00170F6F">
        <w:rPr>
          <w:sz w:val="22"/>
          <w:szCs w:val="22"/>
          <w:lang w:val="el-GR"/>
        </w:rPr>
        <w:t xml:space="preserve"> για κάθε </w:t>
      </w:r>
      <w:proofErr w:type="spellStart"/>
      <w:r w:rsidRPr="00170F6F">
        <w:rPr>
          <w:sz w:val="22"/>
          <w:szCs w:val="22"/>
          <w:lang w:val="el-GR"/>
        </w:rPr>
        <w:t>στοχούμενο</w:t>
      </w:r>
      <w:proofErr w:type="spellEnd"/>
      <w:r w:rsidRPr="00170F6F">
        <w:rPr>
          <w:sz w:val="22"/>
          <w:szCs w:val="22"/>
          <w:lang w:val="el-GR"/>
        </w:rPr>
        <w:t xml:space="preserve"> είδος (δηλ. %T&gt;MIC).</w:t>
      </w:r>
    </w:p>
    <w:p w:rsidR="00461D88" w:rsidRPr="00170F6F" w:rsidRDefault="00461D88" w:rsidP="00461D88">
      <w:pPr>
        <w:pStyle w:val="Web"/>
        <w:spacing w:before="0" w:beforeAutospacing="0" w:after="0"/>
        <w:rPr>
          <w:sz w:val="22"/>
          <w:szCs w:val="22"/>
          <w:lang w:val="el-GR"/>
        </w:rPr>
      </w:pPr>
    </w:p>
    <w:p w:rsidR="00461D88" w:rsidRPr="00170F6F" w:rsidRDefault="00461D88" w:rsidP="00461D88">
      <w:pPr>
        <w:pStyle w:val="Web"/>
        <w:spacing w:before="0" w:beforeAutospacing="0" w:after="0"/>
        <w:rPr>
          <w:sz w:val="22"/>
          <w:szCs w:val="22"/>
          <w:u w:val="single"/>
          <w:lang w:val="el-GR"/>
        </w:rPr>
      </w:pPr>
      <w:r w:rsidRPr="00170F6F">
        <w:rPr>
          <w:sz w:val="22"/>
          <w:szCs w:val="22"/>
          <w:u w:val="single"/>
          <w:lang w:val="el-GR"/>
        </w:rPr>
        <w:t>Μηχανισμός ανθεκτικότητας</w:t>
      </w:r>
    </w:p>
    <w:p w:rsidR="00461D88" w:rsidRPr="00170F6F" w:rsidRDefault="00461D88" w:rsidP="00461D88">
      <w:pPr>
        <w:pStyle w:val="Web"/>
        <w:spacing w:before="0" w:beforeAutospacing="0" w:after="0"/>
        <w:rPr>
          <w:sz w:val="22"/>
          <w:szCs w:val="22"/>
          <w:u w:val="single"/>
          <w:lang w:val="el-GR"/>
        </w:rPr>
      </w:pPr>
    </w:p>
    <w:p w:rsidR="00461D88" w:rsidRPr="00170F6F" w:rsidRDefault="00461D88" w:rsidP="00461D88">
      <w:pPr>
        <w:pStyle w:val="Web"/>
        <w:spacing w:before="0" w:beforeAutospacing="0" w:after="0"/>
        <w:rPr>
          <w:sz w:val="22"/>
          <w:szCs w:val="22"/>
          <w:lang w:val="el-GR"/>
        </w:rPr>
      </w:pPr>
      <w:r w:rsidRPr="00170F6F">
        <w:rPr>
          <w:sz w:val="22"/>
          <w:szCs w:val="22"/>
          <w:lang w:val="el-GR"/>
        </w:rPr>
        <w:t xml:space="preserve">Η ανθεκτικότητα των βακτηρίων σε </w:t>
      </w:r>
      <w:proofErr w:type="spellStart"/>
      <w:r w:rsidRPr="00170F6F">
        <w:rPr>
          <w:sz w:val="22"/>
          <w:szCs w:val="22"/>
          <w:lang w:val="el-GR"/>
        </w:rPr>
        <w:t>κεφταζιδίμη</w:t>
      </w:r>
      <w:proofErr w:type="spellEnd"/>
      <w:r w:rsidRPr="00170F6F">
        <w:rPr>
          <w:sz w:val="22"/>
          <w:szCs w:val="22"/>
          <w:lang w:val="el-GR"/>
        </w:rPr>
        <w:t xml:space="preserve"> οφείλεται ενδεχομένως σε έναν ή περισσότερους από τους ακόλουθους μηχανισμούς: </w:t>
      </w:r>
    </w:p>
    <w:p w:rsidR="00461D88" w:rsidRPr="00170F6F" w:rsidRDefault="00461D88" w:rsidP="00461D88">
      <w:pPr>
        <w:pStyle w:val="Web"/>
        <w:numPr>
          <w:ilvl w:val="0"/>
          <w:numId w:val="10"/>
        </w:numPr>
        <w:spacing w:before="0" w:beforeAutospacing="0" w:after="0"/>
        <w:rPr>
          <w:sz w:val="22"/>
          <w:szCs w:val="22"/>
          <w:lang w:val="el-GR"/>
        </w:rPr>
      </w:pPr>
      <w:r w:rsidRPr="00170F6F">
        <w:rPr>
          <w:sz w:val="22"/>
          <w:szCs w:val="22"/>
          <w:lang w:val="el-GR"/>
        </w:rPr>
        <w:t xml:space="preserve">υδρόλυση από βήτα </w:t>
      </w:r>
      <w:proofErr w:type="spellStart"/>
      <w:r w:rsidRPr="00170F6F">
        <w:rPr>
          <w:sz w:val="22"/>
          <w:szCs w:val="22"/>
          <w:lang w:val="el-GR"/>
        </w:rPr>
        <w:t>λακταμάσες</w:t>
      </w:r>
      <w:proofErr w:type="spellEnd"/>
      <w:r w:rsidRPr="00170F6F">
        <w:rPr>
          <w:sz w:val="22"/>
          <w:szCs w:val="22"/>
          <w:lang w:val="el-GR"/>
        </w:rPr>
        <w:t xml:space="preserve">. Η </w:t>
      </w:r>
      <w:proofErr w:type="spellStart"/>
      <w:r w:rsidRPr="00170F6F">
        <w:rPr>
          <w:sz w:val="22"/>
          <w:szCs w:val="22"/>
          <w:lang w:val="el-GR"/>
        </w:rPr>
        <w:t>κεφταζιδίμη</w:t>
      </w:r>
      <w:proofErr w:type="spellEnd"/>
      <w:r w:rsidRPr="00170F6F">
        <w:rPr>
          <w:sz w:val="22"/>
          <w:szCs w:val="22"/>
          <w:lang w:val="el-GR"/>
        </w:rPr>
        <w:t xml:space="preserve"> </w:t>
      </w:r>
      <w:proofErr w:type="spellStart"/>
      <w:r w:rsidRPr="00170F6F">
        <w:rPr>
          <w:sz w:val="22"/>
          <w:szCs w:val="22"/>
          <w:lang w:val="el-GR"/>
        </w:rPr>
        <w:t>υδρολύεται</w:t>
      </w:r>
      <w:proofErr w:type="spellEnd"/>
      <w:r w:rsidRPr="00170F6F">
        <w:rPr>
          <w:sz w:val="22"/>
          <w:szCs w:val="22"/>
          <w:lang w:val="el-GR"/>
        </w:rPr>
        <w:t xml:space="preserve"> αποτελεσματικά από ευρέος φάσματος βήτα </w:t>
      </w:r>
      <w:proofErr w:type="spellStart"/>
      <w:r w:rsidRPr="00170F6F">
        <w:rPr>
          <w:sz w:val="22"/>
          <w:szCs w:val="22"/>
          <w:lang w:val="el-GR"/>
        </w:rPr>
        <w:t>λακταμάσες</w:t>
      </w:r>
      <w:proofErr w:type="spellEnd"/>
      <w:r w:rsidRPr="00170F6F">
        <w:rPr>
          <w:sz w:val="22"/>
          <w:szCs w:val="22"/>
          <w:lang w:val="el-GR"/>
        </w:rPr>
        <w:t xml:space="preserve"> (ESBL), όπως η οικογένεια SHV των ESBL και τα ένζυμα </w:t>
      </w:r>
      <w:proofErr w:type="spellStart"/>
      <w:r w:rsidRPr="00170F6F">
        <w:rPr>
          <w:sz w:val="22"/>
          <w:szCs w:val="22"/>
          <w:lang w:val="el-GR"/>
        </w:rPr>
        <w:t>AmpC</w:t>
      </w:r>
      <w:proofErr w:type="spellEnd"/>
      <w:r w:rsidRPr="00170F6F">
        <w:rPr>
          <w:sz w:val="22"/>
          <w:szCs w:val="22"/>
          <w:lang w:val="el-GR"/>
        </w:rPr>
        <w:t xml:space="preserve"> που μπορεί να είναι ενεργοποιημένα ή σταθερά κατασταλμένα σε ορισμένα αερόβια αρνητικά κατά </w:t>
      </w:r>
      <w:proofErr w:type="spellStart"/>
      <w:r w:rsidRPr="00170F6F">
        <w:rPr>
          <w:sz w:val="22"/>
          <w:szCs w:val="22"/>
          <w:lang w:val="el-GR"/>
        </w:rPr>
        <w:t>Gram</w:t>
      </w:r>
      <w:proofErr w:type="spellEnd"/>
      <w:r w:rsidRPr="00170F6F">
        <w:rPr>
          <w:sz w:val="22"/>
          <w:szCs w:val="22"/>
          <w:lang w:val="el-GR"/>
        </w:rPr>
        <w:t xml:space="preserve"> είδη βακτηρίων </w:t>
      </w:r>
    </w:p>
    <w:p w:rsidR="00461D88" w:rsidRPr="00170F6F" w:rsidRDefault="00461D88" w:rsidP="00461D88">
      <w:pPr>
        <w:pStyle w:val="Web"/>
        <w:numPr>
          <w:ilvl w:val="0"/>
          <w:numId w:val="10"/>
        </w:numPr>
        <w:spacing w:before="0" w:beforeAutospacing="0" w:after="0"/>
        <w:rPr>
          <w:sz w:val="22"/>
          <w:szCs w:val="22"/>
          <w:lang w:val="el-GR"/>
        </w:rPr>
      </w:pPr>
      <w:r w:rsidRPr="00170F6F">
        <w:rPr>
          <w:sz w:val="22"/>
          <w:szCs w:val="22"/>
          <w:lang w:val="el-GR"/>
        </w:rPr>
        <w:t xml:space="preserve">μειωμένη συγγένεια </w:t>
      </w:r>
      <w:proofErr w:type="spellStart"/>
      <w:r w:rsidRPr="00170F6F">
        <w:rPr>
          <w:sz w:val="22"/>
          <w:szCs w:val="22"/>
          <w:lang w:val="el-GR"/>
        </w:rPr>
        <w:t>πενικιλλινοδεσμευτικών</w:t>
      </w:r>
      <w:proofErr w:type="spellEnd"/>
      <w:r w:rsidRPr="00170F6F">
        <w:rPr>
          <w:sz w:val="22"/>
          <w:szCs w:val="22"/>
          <w:lang w:val="el-GR"/>
        </w:rPr>
        <w:t xml:space="preserve"> πρωτεϊνών προς τη </w:t>
      </w:r>
      <w:proofErr w:type="spellStart"/>
      <w:r w:rsidRPr="00170F6F">
        <w:rPr>
          <w:sz w:val="22"/>
          <w:szCs w:val="22"/>
          <w:lang w:val="el-GR"/>
        </w:rPr>
        <w:t>κεφταζιδίμη</w:t>
      </w:r>
      <w:proofErr w:type="spellEnd"/>
    </w:p>
    <w:p w:rsidR="00461D88" w:rsidRPr="00170F6F" w:rsidRDefault="00461D88" w:rsidP="00461D88">
      <w:pPr>
        <w:pStyle w:val="Web"/>
        <w:numPr>
          <w:ilvl w:val="0"/>
          <w:numId w:val="10"/>
        </w:numPr>
        <w:spacing w:before="0" w:beforeAutospacing="0" w:after="0"/>
        <w:rPr>
          <w:sz w:val="22"/>
          <w:szCs w:val="22"/>
          <w:lang w:val="el-GR"/>
        </w:rPr>
      </w:pPr>
      <w:proofErr w:type="spellStart"/>
      <w:r w:rsidRPr="00170F6F">
        <w:rPr>
          <w:sz w:val="22"/>
          <w:szCs w:val="22"/>
          <w:lang w:val="el-GR"/>
        </w:rPr>
        <w:t>αδιαπερατότητα</w:t>
      </w:r>
      <w:proofErr w:type="spellEnd"/>
      <w:r w:rsidRPr="00170F6F">
        <w:rPr>
          <w:sz w:val="22"/>
          <w:szCs w:val="22"/>
          <w:lang w:val="el-GR"/>
        </w:rPr>
        <w:t xml:space="preserve"> εξωτερικής μεμβράνης, που περιορίζει την πρόσβαση της </w:t>
      </w:r>
      <w:proofErr w:type="spellStart"/>
      <w:r w:rsidRPr="00170F6F">
        <w:rPr>
          <w:sz w:val="22"/>
          <w:szCs w:val="22"/>
          <w:lang w:val="el-GR"/>
        </w:rPr>
        <w:t>κεφταζιδίμης</w:t>
      </w:r>
      <w:proofErr w:type="spellEnd"/>
      <w:r w:rsidRPr="00170F6F">
        <w:rPr>
          <w:sz w:val="22"/>
          <w:szCs w:val="22"/>
          <w:lang w:val="el-GR"/>
        </w:rPr>
        <w:t xml:space="preserve"> σε </w:t>
      </w:r>
      <w:proofErr w:type="spellStart"/>
      <w:r w:rsidRPr="00170F6F">
        <w:rPr>
          <w:sz w:val="22"/>
          <w:szCs w:val="22"/>
          <w:lang w:val="el-GR"/>
        </w:rPr>
        <w:t>πενικιλλινοδεσμευτικές</w:t>
      </w:r>
      <w:proofErr w:type="spellEnd"/>
      <w:r w:rsidRPr="00170F6F">
        <w:rPr>
          <w:sz w:val="22"/>
          <w:szCs w:val="22"/>
          <w:lang w:val="el-GR"/>
        </w:rPr>
        <w:t xml:space="preserve"> πρωτεΐνες σε αρνητικούς κατά </w:t>
      </w:r>
      <w:proofErr w:type="spellStart"/>
      <w:r w:rsidRPr="00170F6F">
        <w:rPr>
          <w:sz w:val="22"/>
          <w:szCs w:val="22"/>
          <w:lang w:val="el-GR"/>
        </w:rPr>
        <w:t>Gram</w:t>
      </w:r>
      <w:proofErr w:type="spellEnd"/>
      <w:r w:rsidRPr="00170F6F">
        <w:rPr>
          <w:sz w:val="22"/>
          <w:szCs w:val="22"/>
          <w:lang w:val="el-GR"/>
        </w:rPr>
        <w:t xml:space="preserve"> μικροοργανισμούς</w:t>
      </w:r>
    </w:p>
    <w:p w:rsidR="00461D88" w:rsidRPr="00170F6F" w:rsidRDefault="00461D88" w:rsidP="00461D88">
      <w:pPr>
        <w:pStyle w:val="Web"/>
        <w:numPr>
          <w:ilvl w:val="0"/>
          <w:numId w:val="10"/>
        </w:numPr>
        <w:spacing w:before="0" w:beforeAutospacing="0" w:after="0"/>
        <w:rPr>
          <w:sz w:val="22"/>
          <w:szCs w:val="22"/>
          <w:lang w:val="el-GR"/>
        </w:rPr>
      </w:pPr>
      <w:proofErr w:type="spellStart"/>
      <w:r w:rsidRPr="00170F6F">
        <w:rPr>
          <w:sz w:val="22"/>
          <w:szCs w:val="22"/>
          <w:lang w:val="el-GR"/>
        </w:rPr>
        <w:t>βακτηριακές</w:t>
      </w:r>
      <w:proofErr w:type="spellEnd"/>
      <w:r w:rsidRPr="00170F6F">
        <w:rPr>
          <w:sz w:val="22"/>
          <w:szCs w:val="22"/>
          <w:lang w:val="el-GR"/>
        </w:rPr>
        <w:t xml:space="preserve"> αντλίες εκροής </w:t>
      </w:r>
    </w:p>
    <w:p w:rsidR="00461D88" w:rsidRPr="00170F6F" w:rsidRDefault="00461D88" w:rsidP="00461D88">
      <w:pPr>
        <w:pStyle w:val="Web"/>
        <w:spacing w:before="0" w:beforeAutospacing="0" w:after="0"/>
        <w:ind w:left="574"/>
        <w:rPr>
          <w:sz w:val="22"/>
          <w:szCs w:val="22"/>
          <w:lang w:val="el-GR"/>
        </w:rPr>
      </w:pPr>
    </w:p>
    <w:p w:rsidR="00461D88" w:rsidRPr="00170F6F" w:rsidRDefault="00461D88" w:rsidP="00461D88">
      <w:pPr>
        <w:pStyle w:val="Web"/>
        <w:spacing w:before="0" w:beforeAutospacing="0" w:after="0"/>
        <w:rPr>
          <w:sz w:val="22"/>
          <w:szCs w:val="22"/>
          <w:u w:val="single"/>
          <w:lang w:val="el-GR"/>
        </w:rPr>
      </w:pPr>
      <w:r w:rsidRPr="00170F6F">
        <w:rPr>
          <w:sz w:val="22"/>
          <w:szCs w:val="22"/>
          <w:u w:val="single"/>
          <w:lang w:val="el-GR"/>
        </w:rPr>
        <w:t>Οριακά σημεία</w:t>
      </w:r>
    </w:p>
    <w:p w:rsidR="00461D88" w:rsidRPr="00170F6F" w:rsidRDefault="00461D88" w:rsidP="00461D88">
      <w:pPr>
        <w:pStyle w:val="Web"/>
        <w:spacing w:before="0" w:beforeAutospacing="0" w:after="0"/>
        <w:rPr>
          <w:sz w:val="22"/>
          <w:szCs w:val="22"/>
          <w:u w:val="single"/>
          <w:lang w:val="el-GR"/>
        </w:rPr>
      </w:pPr>
    </w:p>
    <w:p w:rsidR="00461D88" w:rsidRPr="00170F6F" w:rsidRDefault="00461D88" w:rsidP="00461D88">
      <w:pPr>
        <w:pStyle w:val="Web"/>
        <w:spacing w:before="0" w:beforeAutospacing="0" w:after="0"/>
        <w:rPr>
          <w:sz w:val="22"/>
          <w:szCs w:val="22"/>
          <w:lang w:val="el-GR"/>
        </w:rPr>
      </w:pPr>
      <w:r w:rsidRPr="00170F6F">
        <w:rPr>
          <w:sz w:val="22"/>
          <w:szCs w:val="22"/>
          <w:lang w:val="el-GR"/>
        </w:rPr>
        <w:t xml:space="preserve">Τα οριακά σημεία ελάχιστης ανασταλτικής συγκέντρωσης (MIC) που έχουν καθοριστεί από την Ευρωπαϊκή Επιτροπή Δοκιμής της Ευαισθησίας σε </w:t>
      </w:r>
      <w:proofErr w:type="spellStart"/>
      <w:r w:rsidRPr="00170F6F">
        <w:rPr>
          <w:sz w:val="22"/>
          <w:szCs w:val="22"/>
          <w:lang w:val="el-GR"/>
        </w:rPr>
        <w:t>Αντιμικροβιακούς</w:t>
      </w:r>
      <w:proofErr w:type="spellEnd"/>
      <w:r w:rsidRPr="00170F6F">
        <w:rPr>
          <w:sz w:val="22"/>
          <w:szCs w:val="22"/>
          <w:lang w:val="el-GR"/>
        </w:rPr>
        <w:t xml:space="preserve"> Παράγοντες (EUCAST) είναι τα εξής: </w:t>
      </w:r>
    </w:p>
    <w:p w:rsidR="00461D88" w:rsidRPr="00170F6F" w:rsidRDefault="00461D88" w:rsidP="00461D88">
      <w:pPr>
        <w:pStyle w:val="Web"/>
        <w:spacing w:before="0" w:beforeAutospacing="0" w:after="0"/>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2126"/>
        <w:gridCol w:w="2126"/>
      </w:tblGrid>
      <w:tr w:rsidR="00461D88" w:rsidRPr="00170F6F" w:rsidTr="00C773E4">
        <w:trPr>
          <w:trHeight w:val="51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Μικροοργανισμός</w:t>
            </w:r>
          </w:p>
        </w:tc>
        <w:tc>
          <w:tcPr>
            <w:tcW w:w="6378" w:type="dxa"/>
            <w:gridSpan w:val="3"/>
            <w:tcBorders>
              <w:top w:val="single" w:sz="4" w:space="0" w:color="auto"/>
              <w:left w:val="single" w:sz="4" w:space="0" w:color="auto"/>
              <w:bottom w:val="single" w:sz="4" w:space="0" w:color="auto"/>
              <w:right w:val="single" w:sz="4" w:space="0" w:color="auto"/>
            </w:tcBorders>
          </w:tcPr>
          <w:p w:rsidR="00461D88" w:rsidRPr="00170F6F" w:rsidRDefault="00461D88" w:rsidP="00C773E4">
            <w:pPr>
              <w:jc w:val="center"/>
              <w:rPr>
                <w:szCs w:val="22"/>
                <w:lang w:val="el-GR"/>
              </w:rPr>
            </w:pPr>
            <w:r w:rsidRPr="00170F6F">
              <w:rPr>
                <w:szCs w:val="22"/>
                <w:lang w:val="el-GR"/>
              </w:rPr>
              <w:t>Οριακά σημεία (</w:t>
            </w:r>
            <w:proofErr w:type="spellStart"/>
            <w:r w:rsidRPr="00170F6F">
              <w:rPr>
                <w:szCs w:val="22"/>
                <w:lang w:val="el-GR"/>
              </w:rPr>
              <w:t>mg</w:t>
            </w:r>
            <w:proofErr w:type="spellEnd"/>
            <w:r w:rsidRPr="00170F6F">
              <w:rPr>
                <w:szCs w:val="22"/>
                <w:lang w:val="el-GR"/>
              </w:rPr>
              <w:t>/L)</w:t>
            </w:r>
          </w:p>
        </w:tc>
      </w:tr>
      <w:tr w:rsidR="00461D88" w:rsidRPr="00170F6F" w:rsidTr="00C773E4">
        <w:trPr>
          <w:trHeight w:val="51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b/>
                <w:szCs w:val="22"/>
                <w:lang w:val="el-G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b/>
                <w:szCs w:val="22"/>
                <w:lang w:val="el-GR"/>
              </w:rPr>
              <w:t>S</w:t>
            </w:r>
          </w:p>
        </w:tc>
        <w:tc>
          <w:tcPr>
            <w:tcW w:w="2126" w:type="dxa"/>
            <w:tcBorders>
              <w:top w:val="single" w:sz="4" w:space="0" w:color="auto"/>
              <w:left w:val="single" w:sz="4" w:space="0" w:color="auto"/>
              <w:bottom w:val="single" w:sz="4" w:space="0" w:color="auto"/>
              <w:right w:val="single" w:sz="4" w:space="0" w:color="auto"/>
            </w:tcBorders>
          </w:tcPr>
          <w:p w:rsidR="00461D88" w:rsidRPr="00170F6F" w:rsidRDefault="00461D88" w:rsidP="00C773E4">
            <w:pPr>
              <w:jc w:val="center"/>
              <w:rPr>
                <w:b/>
                <w:szCs w:val="22"/>
                <w:lang w:val="el-GR"/>
              </w:rPr>
            </w:pPr>
            <w:r w:rsidRPr="00170F6F">
              <w:rPr>
                <w:b/>
                <w:szCs w:val="22"/>
                <w:lang w:val="en-US"/>
              </w:rPr>
              <w:t>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b/>
                <w:szCs w:val="22"/>
                <w:lang w:val="el-GR"/>
              </w:rPr>
              <w:t>R</w:t>
            </w:r>
          </w:p>
        </w:tc>
      </w:tr>
      <w:tr w:rsidR="00461D88" w:rsidRPr="00170F6F" w:rsidTr="00C773E4">
        <w:trPr>
          <w:trHeight w:val="51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rPr>
                <w:szCs w:val="22"/>
                <w:lang w:val="el-GR"/>
              </w:rPr>
            </w:pPr>
            <w:proofErr w:type="spellStart"/>
            <w:r w:rsidRPr="00170F6F">
              <w:rPr>
                <w:szCs w:val="22"/>
                <w:lang w:val="el-GR"/>
              </w:rPr>
              <w:t>Εντεροβακτηρίδια</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 1</w:t>
            </w:r>
          </w:p>
        </w:tc>
        <w:tc>
          <w:tcPr>
            <w:tcW w:w="2126" w:type="dxa"/>
            <w:tcBorders>
              <w:top w:val="single" w:sz="4" w:space="0" w:color="auto"/>
              <w:left w:val="single" w:sz="4" w:space="0" w:color="auto"/>
              <w:bottom w:val="single" w:sz="4" w:space="0" w:color="auto"/>
              <w:right w:val="single" w:sz="4" w:space="0" w:color="auto"/>
            </w:tcBorders>
          </w:tcPr>
          <w:p w:rsidR="00461D88" w:rsidRPr="00170F6F" w:rsidRDefault="00461D88" w:rsidP="00C773E4">
            <w:pPr>
              <w:jc w:val="center"/>
              <w:rPr>
                <w:szCs w:val="22"/>
                <w:lang w:val="el-GR"/>
              </w:rPr>
            </w:pPr>
            <w:r w:rsidRPr="00170F6F">
              <w:rPr>
                <w:szCs w:val="22"/>
                <w:lang w:val="el-GR"/>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&gt; 848</w:t>
            </w:r>
          </w:p>
        </w:tc>
      </w:tr>
      <w:tr w:rsidR="00461D88" w:rsidRPr="00170F6F" w:rsidTr="00C773E4">
        <w:trPr>
          <w:trHeight w:val="519"/>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rPr>
                <w:szCs w:val="22"/>
                <w:lang w:val="el-GR"/>
              </w:rPr>
            </w:pPr>
            <w:proofErr w:type="spellStart"/>
            <w:r w:rsidRPr="00170F6F">
              <w:rPr>
                <w:i/>
                <w:szCs w:val="22"/>
                <w:lang w:val="el-GR"/>
              </w:rPr>
              <w:t>Pseudomonas</w:t>
            </w:r>
            <w:proofErr w:type="spellEnd"/>
            <w:r w:rsidRPr="00170F6F">
              <w:rPr>
                <w:i/>
                <w:szCs w:val="22"/>
                <w:lang w:val="el-GR"/>
              </w:rPr>
              <w:t xml:space="preserve"> </w:t>
            </w:r>
            <w:proofErr w:type="spellStart"/>
            <w:r w:rsidRPr="00170F6F">
              <w:rPr>
                <w:i/>
                <w:szCs w:val="22"/>
                <w:lang w:val="el-GR"/>
              </w:rPr>
              <w:t>aeruginosa</w:t>
            </w:r>
            <w:proofErr w:type="spellEnd"/>
            <w:r w:rsidRPr="00170F6F">
              <w:rPr>
                <w:szCs w:val="22"/>
                <w:lang w:val="el-GR"/>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 8</w:t>
            </w:r>
            <w:r w:rsidRPr="00170F6F">
              <w:rPr>
                <w:szCs w:val="22"/>
                <w:vertAlign w:val="superscript"/>
                <w:lang w:val="el-GR"/>
              </w:rPr>
              <w:t>1</w:t>
            </w:r>
          </w:p>
        </w:tc>
        <w:tc>
          <w:tcPr>
            <w:tcW w:w="2126" w:type="dxa"/>
            <w:tcBorders>
              <w:top w:val="single" w:sz="4" w:space="0" w:color="auto"/>
              <w:left w:val="single" w:sz="4" w:space="0" w:color="auto"/>
              <w:bottom w:val="single" w:sz="4" w:space="0" w:color="auto"/>
              <w:right w:val="single" w:sz="4" w:space="0" w:color="auto"/>
            </w:tcBorders>
          </w:tcPr>
          <w:p w:rsidR="00461D88" w:rsidRPr="00170F6F" w:rsidRDefault="00461D88" w:rsidP="00C773E4">
            <w:pPr>
              <w:jc w:val="center"/>
              <w:rPr>
                <w:szCs w:val="22"/>
                <w:lang w:val="el-GR"/>
              </w:rPr>
            </w:pPr>
            <w:r w:rsidRPr="00170F6F">
              <w:rPr>
                <w:szCs w:val="22"/>
                <w:lang w:val="el-G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&gt; 8</w:t>
            </w:r>
          </w:p>
        </w:tc>
      </w:tr>
      <w:tr w:rsidR="00461D88" w:rsidRPr="00170F6F" w:rsidTr="00C773E4">
        <w:trPr>
          <w:trHeight w:val="519"/>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rPr>
                <w:i/>
                <w:szCs w:val="22"/>
                <w:lang w:val="el-GR"/>
              </w:rPr>
            </w:pPr>
            <w:r w:rsidRPr="00170F6F">
              <w:rPr>
                <w:i/>
                <w:szCs w:val="22"/>
                <w:lang w:val="el-GR"/>
              </w:rPr>
              <w:t>Οριακά σημεία σχετιζόμενα με μη αναφερόμενα είδη</w:t>
            </w:r>
            <w:r w:rsidRPr="00170F6F">
              <w:rPr>
                <w:i/>
                <w:szCs w:val="22"/>
                <w:vertAlign w:val="superscript"/>
                <w:lang w:val="el-GR"/>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&lt;4</w:t>
            </w:r>
          </w:p>
        </w:tc>
        <w:tc>
          <w:tcPr>
            <w:tcW w:w="2126" w:type="dxa"/>
            <w:tcBorders>
              <w:top w:val="single" w:sz="4" w:space="0" w:color="auto"/>
              <w:left w:val="single" w:sz="4" w:space="0" w:color="auto"/>
              <w:bottom w:val="single" w:sz="4" w:space="0" w:color="auto"/>
              <w:right w:val="single" w:sz="4" w:space="0" w:color="auto"/>
            </w:tcBorders>
          </w:tcPr>
          <w:p w:rsidR="00461D88" w:rsidRPr="00170F6F" w:rsidRDefault="00461D88" w:rsidP="00C773E4">
            <w:pPr>
              <w:jc w:val="center"/>
              <w:rPr>
                <w:szCs w:val="22"/>
                <w:lang w:val="el-GR"/>
              </w:rPr>
            </w:pPr>
            <w:r w:rsidRPr="00170F6F">
              <w:rPr>
                <w:szCs w:val="22"/>
                <w:lang w:val="el-GR"/>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1D88" w:rsidRPr="00170F6F" w:rsidRDefault="00461D88" w:rsidP="00C773E4">
            <w:pPr>
              <w:jc w:val="center"/>
              <w:rPr>
                <w:szCs w:val="22"/>
                <w:lang w:val="el-GR"/>
              </w:rPr>
            </w:pPr>
            <w:r w:rsidRPr="00170F6F">
              <w:rPr>
                <w:szCs w:val="22"/>
                <w:lang w:val="el-GR"/>
              </w:rPr>
              <w:t>&gt; 8</w:t>
            </w:r>
          </w:p>
        </w:tc>
      </w:tr>
    </w:tbl>
    <w:p w:rsidR="00461D88" w:rsidRPr="00170F6F" w:rsidRDefault="00461D88" w:rsidP="00461D88">
      <w:pPr>
        <w:rPr>
          <w:szCs w:val="22"/>
          <w:lang w:val="el-GR"/>
        </w:rPr>
      </w:pPr>
      <w:proofErr w:type="spellStart"/>
      <w:r w:rsidRPr="00170F6F">
        <w:rPr>
          <w:szCs w:val="22"/>
          <w:lang w:val="el-GR"/>
        </w:rPr>
        <w:t>S=ευαίσθητος</w:t>
      </w:r>
      <w:proofErr w:type="spellEnd"/>
      <w:r w:rsidRPr="00170F6F">
        <w:rPr>
          <w:szCs w:val="22"/>
          <w:lang w:val="el-GR"/>
        </w:rPr>
        <w:t xml:space="preserve">, Ι= ενδιάμεσος, </w:t>
      </w:r>
      <w:proofErr w:type="spellStart"/>
      <w:r w:rsidRPr="00170F6F">
        <w:rPr>
          <w:szCs w:val="22"/>
          <w:lang w:val="el-GR"/>
        </w:rPr>
        <w:t>R=ανθεκτικός</w:t>
      </w:r>
      <w:proofErr w:type="spellEnd"/>
      <w:r w:rsidRPr="00170F6F">
        <w:rPr>
          <w:szCs w:val="22"/>
          <w:lang w:val="el-GR"/>
        </w:rPr>
        <w:t>.</w:t>
      </w:r>
    </w:p>
    <w:p w:rsidR="00461D88" w:rsidRPr="00170F6F" w:rsidRDefault="00461D88" w:rsidP="00461D88">
      <w:pPr>
        <w:rPr>
          <w:szCs w:val="22"/>
          <w:lang w:val="el-GR"/>
        </w:rPr>
      </w:pPr>
      <w:r w:rsidRPr="00170F6F">
        <w:rPr>
          <w:szCs w:val="22"/>
          <w:vertAlign w:val="superscript"/>
          <w:lang w:val="el-GR"/>
        </w:rPr>
        <w:t>1</w:t>
      </w:r>
      <w:r w:rsidRPr="00170F6F">
        <w:rPr>
          <w:szCs w:val="22"/>
          <w:lang w:val="el-GR"/>
        </w:rPr>
        <w:t xml:space="preserve"> Τα οριακά σημεία σχετίζονται με θεραπεία υψηλής δόσης (2 </w:t>
      </w:r>
      <w:r w:rsidRPr="00170F6F">
        <w:rPr>
          <w:szCs w:val="22"/>
          <w:lang w:val="en-US"/>
        </w:rPr>
        <w:t>g</w:t>
      </w:r>
      <w:r w:rsidRPr="00170F6F">
        <w:rPr>
          <w:szCs w:val="22"/>
          <w:lang w:val="el-GR"/>
        </w:rPr>
        <w:t xml:space="preserve"> </w:t>
      </w:r>
      <w:r w:rsidRPr="00170F6F">
        <w:rPr>
          <w:szCs w:val="22"/>
          <w:lang w:val="en-US"/>
        </w:rPr>
        <w:t>x</w:t>
      </w:r>
      <w:r w:rsidRPr="00170F6F">
        <w:rPr>
          <w:szCs w:val="22"/>
          <w:lang w:val="el-GR"/>
        </w:rPr>
        <w:t xml:space="preserve"> 3)</w:t>
      </w:r>
    </w:p>
    <w:p w:rsidR="00461D88" w:rsidRPr="00170F6F" w:rsidRDefault="00461D88" w:rsidP="00461D88">
      <w:pPr>
        <w:rPr>
          <w:szCs w:val="22"/>
          <w:lang w:val="el-GR"/>
        </w:rPr>
      </w:pPr>
      <w:r w:rsidRPr="00170F6F">
        <w:rPr>
          <w:szCs w:val="22"/>
          <w:vertAlign w:val="superscript"/>
          <w:lang w:val="el-GR"/>
        </w:rPr>
        <w:t xml:space="preserve">2 </w:t>
      </w:r>
      <w:r w:rsidRPr="00170F6F">
        <w:rPr>
          <w:szCs w:val="22"/>
          <w:lang w:val="el-GR"/>
        </w:rPr>
        <w:t xml:space="preserve">Τα οριακά σημεία σχετιζόμενα με μη αναφερόμενα είδη έχουν υπολογισθεί κυρίως βάσει </w:t>
      </w:r>
      <w:r w:rsidRPr="00170F6F">
        <w:rPr>
          <w:szCs w:val="22"/>
          <w:lang w:val="en-US"/>
        </w:rPr>
        <w:t>PK</w:t>
      </w:r>
      <w:r w:rsidRPr="00170F6F">
        <w:rPr>
          <w:szCs w:val="22"/>
          <w:lang w:val="el-GR"/>
        </w:rPr>
        <w:t>/</w:t>
      </w:r>
      <w:r w:rsidRPr="00170F6F">
        <w:rPr>
          <w:szCs w:val="22"/>
          <w:lang w:val="en-US"/>
        </w:rPr>
        <w:t>PD</w:t>
      </w:r>
      <w:r w:rsidRPr="00170F6F">
        <w:rPr>
          <w:szCs w:val="22"/>
          <w:lang w:val="el-GR"/>
        </w:rPr>
        <w:t xml:space="preserve"> δεδομένων και είναι ανεξάρτητα των κατανομών </w:t>
      </w:r>
      <w:r w:rsidRPr="00170F6F">
        <w:rPr>
          <w:szCs w:val="22"/>
        </w:rPr>
        <w:t>MIC</w:t>
      </w:r>
      <w:r w:rsidRPr="00170F6F">
        <w:rPr>
          <w:szCs w:val="22"/>
          <w:lang w:val="el-GR"/>
        </w:rPr>
        <w:t xml:space="preserve"> των συγκεκριμένων ειδών. Χρησιμοποιούνται μόνο για είδη που δεν αναφέρονται στον πίνακα ή στις υποσημειώσεις.</w:t>
      </w:r>
    </w:p>
    <w:p w:rsidR="00461D88" w:rsidRPr="00170F6F" w:rsidRDefault="00461D88" w:rsidP="00461D88">
      <w:pPr>
        <w:pStyle w:val="Web"/>
        <w:keepNext/>
        <w:spacing w:before="0" w:beforeAutospacing="0" w:after="0"/>
        <w:rPr>
          <w:sz w:val="22"/>
          <w:szCs w:val="22"/>
          <w:u w:val="single"/>
          <w:lang w:val="el-GR"/>
        </w:rPr>
      </w:pPr>
    </w:p>
    <w:p w:rsidR="00461D88" w:rsidRPr="00170F6F" w:rsidRDefault="00461D88" w:rsidP="00461D88">
      <w:pPr>
        <w:pStyle w:val="Web"/>
        <w:keepNext/>
        <w:spacing w:before="0" w:beforeAutospacing="0" w:after="0"/>
        <w:rPr>
          <w:sz w:val="22"/>
          <w:szCs w:val="22"/>
          <w:u w:val="single"/>
          <w:lang w:val="el-GR"/>
        </w:rPr>
      </w:pPr>
      <w:r w:rsidRPr="00170F6F">
        <w:rPr>
          <w:sz w:val="22"/>
          <w:szCs w:val="22"/>
          <w:u w:val="single"/>
          <w:lang w:val="el-GR"/>
        </w:rPr>
        <w:t>Μικροβιολογική ευαισθησία</w:t>
      </w:r>
    </w:p>
    <w:p w:rsidR="00461D88" w:rsidRPr="00170F6F" w:rsidRDefault="00461D88" w:rsidP="00461D88">
      <w:pPr>
        <w:pStyle w:val="Web"/>
        <w:keepNext/>
        <w:spacing w:before="0" w:beforeAutospacing="0" w:after="0"/>
        <w:rPr>
          <w:sz w:val="22"/>
          <w:szCs w:val="22"/>
          <w:u w:val="single"/>
          <w:lang w:val="el-GR"/>
        </w:rPr>
      </w:pPr>
    </w:p>
    <w:p w:rsidR="00461D88" w:rsidRPr="00170F6F" w:rsidRDefault="00461D88" w:rsidP="00461D88">
      <w:pPr>
        <w:pStyle w:val="Web"/>
        <w:keepNext/>
        <w:spacing w:before="0" w:beforeAutospacing="0" w:after="0"/>
        <w:rPr>
          <w:sz w:val="22"/>
          <w:szCs w:val="22"/>
          <w:lang w:val="el-GR"/>
        </w:rPr>
      </w:pPr>
      <w:r w:rsidRPr="00170F6F">
        <w:rPr>
          <w:sz w:val="22"/>
          <w:szCs w:val="22"/>
          <w:lang w:val="el-GR"/>
        </w:rPr>
        <w:t xml:space="preserve">Ο </w:t>
      </w:r>
      <w:proofErr w:type="spellStart"/>
      <w:r w:rsidRPr="00170F6F">
        <w:rPr>
          <w:sz w:val="22"/>
          <w:szCs w:val="22"/>
          <w:lang w:val="el-GR"/>
        </w:rPr>
        <w:t>επιπολασμός</w:t>
      </w:r>
      <w:proofErr w:type="spellEnd"/>
      <w:r w:rsidRPr="00170F6F">
        <w:rPr>
          <w:sz w:val="22"/>
          <w:szCs w:val="22"/>
          <w:lang w:val="el-GR"/>
        </w:rPr>
        <w:t xml:space="preserve"> επίκτητης ανθεκτικότητας ενδεχομένως ποικίλει ανάλογα με την περιοχή και τον χρόνο για συγκεκριμένα είδη, και τα τοπικά δεδομένα </w:t>
      </w:r>
      <w:proofErr w:type="spellStart"/>
      <w:r w:rsidRPr="00170F6F">
        <w:rPr>
          <w:sz w:val="22"/>
          <w:szCs w:val="22"/>
          <w:lang w:val="el-GR"/>
        </w:rPr>
        <w:t>ποσοστώνανθεκτικότητας</w:t>
      </w:r>
      <w:proofErr w:type="spellEnd"/>
      <w:r w:rsidRPr="00170F6F">
        <w:rPr>
          <w:sz w:val="22"/>
          <w:szCs w:val="22"/>
          <w:lang w:val="el-GR"/>
        </w:rPr>
        <w:t xml:space="preserve"> είναι επιθυμητά, κυρίως όταν χρειαστεί να θεραπευθούν σοβαρές λοιμώξεις. Όποτε κρίνεται απαραίτητο, θα πρέπει να ζητείται η συνδρομή ειδικού </w:t>
      </w:r>
      <w:proofErr w:type="spellStart"/>
      <w:r w:rsidRPr="00170F6F">
        <w:rPr>
          <w:sz w:val="22"/>
          <w:szCs w:val="22"/>
          <w:lang w:val="el-GR"/>
        </w:rPr>
        <w:t>λοιμωξιολόγου</w:t>
      </w:r>
      <w:proofErr w:type="spellEnd"/>
      <w:r w:rsidRPr="00170F6F">
        <w:rPr>
          <w:sz w:val="22"/>
          <w:szCs w:val="22"/>
          <w:lang w:val="el-GR"/>
        </w:rPr>
        <w:t xml:space="preserve">, όταν ο τοπικός </w:t>
      </w:r>
      <w:proofErr w:type="spellStart"/>
      <w:r w:rsidRPr="00170F6F">
        <w:rPr>
          <w:sz w:val="22"/>
          <w:szCs w:val="22"/>
          <w:lang w:val="el-GR"/>
        </w:rPr>
        <w:t>επιπολασμός</w:t>
      </w:r>
      <w:proofErr w:type="spellEnd"/>
      <w:r w:rsidRPr="00170F6F">
        <w:rPr>
          <w:sz w:val="22"/>
          <w:szCs w:val="22"/>
          <w:lang w:val="el-GR"/>
        </w:rPr>
        <w:t xml:space="preserve"> ανθεκτικότητας διακυβεύει τη χρησιμότητα της </w:t>
      </w:r>
      <w:proofErr w:type="spellStart"/>
      <w:r w:rsidRPr="00170F6F">
        <w:rPr>
          <w:sz w:val="22"/>
          <w:szCs w:val="22"/>
          <w:lang w:val="el-GR"/>
        </w:rPr>
        <w:t>κεφταζιδίμης</w:t>
      </w:r>
      <w:proofErr w:type="spellEnd"/>
      <w:r w:rsidRPr="00170F6F">
        <w:rPr>
          <w:sz w:val="22"/>
          <w:szCs w:val="22"/>
          <w:lang w:val="el-GR"/>
        </w:rPr>
        <w:t xml:space="preserve"> τουλάχιστον σε ορισμένους τύπους λοίμωξης.</w:t>
      </w:r>
    </w:p>
    <w:p w:rsidR="00461D88" w:rsidRPr="00170F6F" w:rsidRDefault="00461D88" w:rsidP="00461D88">
      <w:pPr>
        <w:pStyle w:val="Web"/>
        <w:keepNext/>
        <w:spacing w:before="0" w:beforeAutospacing="0" w:after="0"/>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61D88" w:rsidRPr="00170F6F" w:rsidTr="00C773E4">
        <w:tc>
          <w:tcPr>
            <w:tcW w:w="9287" w:type="dxa"/>
          </w:tcPr>
          <w:p w:rsidR="00461D88" w:rsidRPr="00170F6F" w:rsidRDefault="00461D88" w:rsidP="00C773E4">
            <w:pPr>
              <w:rPr>
                <w:szCs w:val="22"/>
                <w:lang w:val="el-GR"/>
              </w:rPr>
            </w:pPr>
            <w:r w:rsidRPr="00170F6F">
              <w:rPr>
                <w:szCs w:val="22"/>
                <w:u w:val="single"/>
                <w:lang w:val="el-GR"/>
              </w:rPr>
              <w:t>Συνήθως ευαίσθητα είδη</w:t>
            </w:r>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Θετικά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αερόβια</w:t>
            </w:r>
            <w:r w:rsidRPr="00EC20DD">
              <w:rPr>
                <w:color w:val="000000"/>
                <w:szCs w:val="22"/>
                <w:u w:val="single"/>
              </w:rPr>
              <w:t>:</w:t>
            </w:r>
          </w:p>
          <w:p w:rsidR="00461D88" w:rsidRPr="00575D6C" w:rsidRDefault="00461D88" w:rsidP="00C773E4">
            <w:pPr>
              <w:rPr>
                <w:color w:val="000000"/>
                <w:szCs w:val="22"/>
                <w:lang w:val="en-US" w:eastAsia="en-GB"/>
              </w:rPr>
            </w:pPr>
            <w:r w:rsidRPr="00575D6C">
              <w:rPr>
                <w:i/>
                <w:iCs/>
                <w:color w:val="000000"/>
                <w:szCs w:val="22"/>
                <w:lang w:val="en-US" w:eastAsia="en-GB"/>
              </w:rPr>
              <w:t>Streptococcus pyogenes</w:t>
            </w:r>
          </w:p>
          <w:p w:rsidR="00461D88" w:rsidRPr="00170F6F" w:rsidRDefault="00461D88" w:rsidP="00C773E4">
            <w:pPr>
              <w:rPr>
                <w:i/>
                <w:szCs w:val="22"/>
                <w:lang w:val="el-GR"/>
              </w:rPr>
            </w:pPr>
            <w:proofErr w:type="spellStart"/>
            <w:r w:rsidRPr="00170F6F">
              <w:rPr>
                <w:i/>
                <w:szCs w:val="22"/>
                <w:lang w:val="el-GR"/>
              </w:rPr>
              <w:t>Streptococcus</w:t>
            </w:r>
            <w:proofErr w:type="spellEnd"/>
            <w:r w:rsidRPr="00170F6F">
              <w:rPr>
                <w:i/>
                <w:szCs w:val="22"/>
                <w:lang w:val="el-GR"/>
              </w:rPr>
              <w:t xml:space="preserve"> </w:t>
            </w:r>
            <w:proofErr w:type="spellStart"/>
            <w:r w:rsidRPr="00170F6F">
              <w:rPr>
                <w:i/>
                <w:szCs w:val="22"/>
                <w:lang w:val="el-GR"/>
              </w:rPr>
              <w:t>agalactiae</w:t>
            </w:r>
            <w:proofErr w:type="spellEnd"/>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Αρνητικά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αερόβια</w:t>
            </w:r>
            <w:r w:rsidRPr="00EC20DD">
              <w:rPr>
                <w:color w:val="000000"/>
                <w:szCs w:val="22"/>
                <w:u w:val="single"/>
              </w:rPr>
              <w:t>:</w:t>
            </w:r>
          </w:p>
          <w:p w:rsidR="00461D88" w:rsidRPr="00EC20DD" w:rsidRDefault="00461D88" w:rsidP="00C773E4">
            <w:pPr>
              <w:rPr>
                <w:i/>
                <w:color w:val="000000"/>
                <w:szCs w:val="22"/>
                <w:lang w:eastAsia="en-GB"/>
              </w:rPr>
            </w:pPr>
            <w:proofErr w:type="spellStart"/>
            <w:r w:rsidRPr="00170F6F">
              <w:rPr>
                <w:i/>
                <w:color w:val="000000"/>
                <w:szCs w:val="22"/>
                <w:lang w:eastAsia="en-GB"/>
              </w:rPr>
              <w:t>Citrobacter</w:t>
            </w:r>
            <w:proofErr w:type="spellEnd"/>
            <w:r w:rsidRPr="00EC20DD">
              <w:rPr>
                <w:i/>
                <w:color w:val="000000"/>
                <w:szCs w:val="22"/>
                <w:lang w:eastAsia="en-GB"/>
              </w:rPr>
              <w:t xml:space="preserve"> </w:t>
            </w:r>
            <w:proofErr w:type="spellStart"/>
            <w:r w:rsidRPr="00170F6F">
              <w:rPr>
                <w:i/>
                <w:color w:val="000000"/>
                <w:szCs w:val="22"/>
                <w:lang w:eastAsia="en-GB"/>
              </w:rPr>
              <w:t>koseri</w:t>
            </w:r>
            <w:proofErr w:type="spellEnd"/>
          </w:p>
          <w:p w:rsidR="00461D88" w:rsidRPr="00170F6F" w:rsidRDefault="00461D88" w:rsidP="00C773E4">
            <w:pPr>
              <w:rPr>
                <w:szCs w:val="22"/>
                <w:lang w:val="en-US"/>
              </w:rPr>
            </w:pPr>
            <w:proofErr w:type="spellStart"/>
            <w:r w:rsidRPr="00170F6F">
              <w:rPr>
                <w:i/>
                <w:iCs/>
                <w:szCs w:val="22"/>
                <w:lang w:val="en-US"/>
              </w:rPr>
              <w:t>Haemophilus</w:t>
            </w:r>
            <w:proofErr w:type="spellEnd"/>
            <w:r w:rsidRPr="00170F6F">
              <w:rPr>
                <w:i/>
                <w:iCs/>
                <w:szCs w:val="22"/>
                <w:lang w:val="en-US"/>
              </w:rPr>
              <w:t xml:space="preserve"> </w:t>
            </w:r>
            <w:proofErr w:type="spellStart"/>
            <w:r w:rsidRPr="00170F6F">
              <w:rPr>
                <w:i/>
                <w:iCs/>
                <w:szCs w:val="22"/>
                <w:lang w:val="en-US"/>
              </w:rPr>
              <w:t>influenzae</w:t>
            </w:r>
            <w:proofErr w:type="spellEnd"/>
            <w:r w:rsidRPr="00170F6F">
              <w:rPr>
                <w:szCs w:val="22"/>
                <w:lang w:val="en-US"/>
              </w:rPr>
              <w:t xml:space="preserve"> </w:t>
            </w:r>
          </w:p>
          <w:p w:rsidR="00575D6C" w:rsidRPr="00EC20DD" w:rsidRDefault="00461D88" w:rsidP="00C773E4">
            <w:pPr>
              <w:rPr>
                <w:i/>
                <w:szCs w:val="22"/>
                <w:lang w:val="en-US"/>
              </w:rPr>
            </w:pPr>
            <w:r w:rsidRPr="00170F6F">
              <w:rPr>
                <w:i/>
                <w:szCs w:val="22"/>
              </w:rPr>
              <w:t xml:space="preserve">Moraxella </w:t>
            </w:r>
            <w:proofErr w:type="spellStart"/>
            <w:r w:rsidRPr="00170F6F">
              <w:rPr>
                <w:i/>
                <w:szCs w:val="22"/>
              </w:rPr>
              <w:t>catarrhalis</w:t>
            </w:r>
            <w:proofErr w:type="spellEnd"/>
          </w:p>
          <w:p w:rsidR="00461D88" w:rsidRPr="00170F6F" w:rsidRDefault="00461D88" w:rsidP="00C773E4">
            <w:pPr>
              <w:rPr>
                <w:i/>
                <w:szCs w:val="22"/>
                <w:lang w:val="en-US"/>
              </w:rPr>
            </w:pPr>
            <w:r w:rsidRPr="00170F6F">
              <w:rPr>
                <w:i/>
                <w:szCs w:val="22"/>
                <w:lang w:val="en-US"/>
              </w:rPr>
              <w:t xml:space="preserve">Neisseria </w:t>
            </w:r>
            <w:proofErr w:type="spellStart"/>
            <w:r w:rsidRPr="00170F6F">
              <w:rPr>
                <w:i/>
                <w:szCs w:val="22"/>
                <w:lang w:val="en-US"/>
              </w:rPr>
              <w:t>meningitidis</w:t>
            </w:r>
            <w:proofErr w:type="spellEnd"/>
          </w:p>
          <w:p w:rsidR="00575D6C" w:rsidRPr="00885285" w:rsidRDefault="00575D6C" w:rsidP="00575D6C">
            <w:pPr>
              <w:rPr>
                <w:i/>
                <w:szCs w:val="22"/>
              </w:rPr>
            </w:pPr>
            <w:proofErr w:type="spellStart"/>
            <w:r w:rsidRPr="0049684B">
              <w:rPr>
                <w:i/>
                <w:szCs w:val="22"/>
              </w:rPr>
              <w:t>Pasteurella</w:t>
            </w:r>
            <w:proofErr w:type="spellEnd"/>
            <w:r w:rsidRPr="0049684B">
              <w:rPr>
                <w:i/>
                <w:szCs w:val="22"/>
              </w:rPr>
              <w:t xml:space="preserve"> </w:t>
            </w:r>
            <w:proofErr w:type="spellStart"/>
            <w:r w:rsidRPr="0049684B">
              <w:rPr>
                <w:i/>
                <w:szCs w:val="22"/>
              </w:rPr>
              <w:t>multocida</w:t>
            </w:r>
            <w:proofErr w:type="spellEnd"/>
          </w:p>
          <w:p w:rsidR="00461D88" w:rsidRPr="00170F6F" w:rsidRDefault="00461D88" w:rsidP="00C773E4">
            <w:pPr>
              <w:rPr>
                <w:color w:val="000000"/>
                <w:szCs w:val="22"/>
                <w:lang w:val="en-US" w:eastAsia="en-GB"/>
              </w:rPr>
            </w:pPr>
            <w:r w:rsidRPr="00170F6F">
              <w:rPr>
                <w:i/>
                <w:iCs/>
                <w:color w:val="000000"/>
                <w:szCs w:val="22"/>
                <w:lang w:val="en-US" w:eastAsia="en-GB"/>
              </w:rPr>
              <w:t>Proteus mirabilis</w:t>
            </w:r>
          </w:p>
          <w:p w:rsidR="00461D88" w:rsidRPr="00170F6F" w:rsidRDefault="00461D88" w:rsidP="00C773E4">
            <w:pPr>
              <w:rPr>
                <w:szCs w:val="22"/>
                <w:lang w:val="en-US"/>
              </w:rPr>
            </w:pPr>
            <w:r w:rsidRPr="00170F6F">
              <w:rPr>
                <w:i/>
                <w:color w:val="000000"/>
                <w:szCs w:val="22"/>
                <w:lang w:val="en-US"/>
              </w:rPr>
              <w:t xml:space="preserve">Proteus spp. </w:t>
            </w:r>
            <w:r w:rsidRPr="00170F6F">
              <w:rPr>
                <w:color w:val="000000"/>
                <w:szCs w:val="22"/>
                <w:lang w:val="en-US"/>
              </w:rPr>
              <w:t>(</w:t>
            </w:r>
            <w:r w:rsidRPr="00170F6F">
              <w:rPr>
                <w:color w:val="000000"/>
                <w:szCs w:val="22"/>
                <w:lang w:val="el-GR"/>
              </w:rPr>
              <w:t>άλλα</w:t>
            </w:r>
            <w:r w:rsidRPr="00170F6F">
              <w:rPr>
                <w:color w:val="000000"/>
                <w:szCs w:val="22"/>
                <w:lang w:val="en-US"/>
              </w:rPr>
              <w:t xml:space="preserve">) </w:t>
            </w:r>
          </w:p>
          <w:p w:rsidR="00461D88" w:rsidRPr="00170F6F" w:rsidRDefault="00461D88" w:rsidP="00C773E4">
            <w:pPr>
              <w:rPr>
                <w:i/>
                <w:szCs w:val="22"/>
                <w:lang w:val="el-GR"/>
              </w:rPr>
            </w:pPr>
            <w:proofErr w:type="spellStart"/>
            <w:r w:rsidRPr="00170F6F">
              <w:rPr>
                <w:i/>
                <w:iCs/>
                <w:color w:val="000000"/>
                <w:szCs w:val="22"/>
                <w:lang w:val="el-GR" w:eastAsia="en-GB"/>
              </w:rPr>
              <w:t>Providencia</w:t>
            </w:r>
            <w:proofErr w:type="spellEnd"/>
            <w:r w:rsidRPr="00170F6F">
              <w:rPr>
                <w:color w:val="000000"/>
                <w:szCs w:val="22"/>
                <w:lang w:val="el-GR" w:eastAsia="en-GB"/>
              </w:rPr>
              <w:t xml:space="preserve"> </w:t>
            </w:r>
            <w:proofErr w:type="spellStart"/>
            <w:r w:rsidRPr="00170F6F">
              <w:rPr>
                <w:color w:val="000000"/>
                <w:szCs w:val="22"/>
                <w:lang w:val="el-GR" w:eastAsia="en-GB"/>
              </w:rPr>
              <w:t>spp</w:t>
            </w:r>
            <w:proofErr w:type="spellEnd"/>
            <w:r w:rsidRPr="00170F6F">
              <w:rPr>
                <w:color w:val="000000"/>
                <w:szCs w:val="22"/>
                <w:lang w:val="el-GR" w:eastAsia="en-GB"/>
              </w:rPr>
              <w:t xml:space="preserve">. </w:t>
            </w:r>
            <w:r w:rsidRPr="00170F6F">
              <w:rPr>
                <w:i/>
                <w:iCs/>
                <w:color w:val="000000"/>
                <w:szCs w:val="22"/>
                <w:lang w:val="el-GR" w:eastAsia="en-GB"/>
              </w:rPr>
              <w:t xml:space="preserve"> </w:t>
            </w:r>
          </w:p>
        </w:tc>
      </w:tr>
      <w:tr w:rsidR="00461D88" w:rsidRPr="003536AE" w:rsidTr="00C773E4">
        <w:tc>
          <w:tcPr>
            <w:tcW w:w="9287" w:type="dxa"/>
          </w:tcPr>
          <w:p w:rsidR="00461D88" w:rsidRPr="00170F6F" w:rsidRDefault="00461D88" w:rsidP="00C773E4">
            <w:pPr>
              <w:rPr>
                <w:szCs w:val="22"/>
                <w:lang w:val="el-GR"/>
              </w:rPr>
            </w:pPr>
            <w:r w:rsidRPr="00170F6F">
              <w:rPr>
                <w:szCs w:val="22"/>
                <w:u w:val="single"/>
                <w:lang w:val="el-GR"/>
              </w:rPr>
              <w:t>Είδη για τα οποία η επίκτητη ανθεκτικότητα μπορεί να αποτελέσει πρόβλημα</w:t>
            </w:r>
          </w:p>
        </w:tc>
      </w:tr>
      <w:tr w:rsidR="00461D88" w:rsidRPr="00170F6F" w:rsidTr="00C773E4">
        <w:tc>
          <w:tcPr>
            <w:tcW w:w="9287" w:type="dxa"/>
          </w:tcPr>
          <w:p w:rsidR="00461D88" w:rsidRPr="00170F6F" w:rsidRDefault="00461D88" w:rsidP="00C773E4">
            <w:pPr>
              <w:rPr>
                <w:color w:val="000000"/>
                <w:szCs w:val="22"/>
                <w:u w:val="single"/>
                <w:lang w:val="el-GR"/>
              </w:rPr>
            </w:pPr>
            <w:r w:rsidRPr="00170F6F">
              <w:rPr>
                <w:color w:val="000000"/>
                <w:szCs w:val="22"/>
                <w:u w:val="single"/>
                <w:lang w:val="el-GR"/>
              </w:rPr>
              <w:lastRenderedPageBreak/>
              <w:t xml:space="preserve">Αρνητικά κατά </w:t>
            </w:r>
            <w:proofErr w:type="spellStart"/>
            <w:r w:rsidRPr="00170F6F">
              <w:rPr>
                <w:color w:val="000000"/>
                <w:szCs w:val="22"/>
                <w:u w:val="single"/>
                <w:lang w:val="el-GR"/>
              </w:rPr>
              <w:t>Gram</w:t>
            </w:r>
            <w:proofErr w:type="spellEnd"/>
            <w:r w:rsidRPr="00170F6F">
              <w:rPr>
                <w:color w:val="000000"/>
                <w:szCs w:val="22"/>
                <w:u w:val="single"/>
                <w:lang w:val="el-GR"/>
              </w:rPr>
              <w:t xml:space="preserve"> αερόβια:</w:t>
            </w:r>
          </w:p>
          <w:p w:rsidR="00461D88" w:rsidRPr="00170F6F" w:rsidRDefault="00461D88" w:rsidP="00C773E4">
            <w:pPr>
              <w:rPr>
                <w:i/>
                <w:color w:val="000000"/>
                <w:szCs w:val="22"/>
                <w:lang w:val="el-GR"/>
              </w:rPr>
            </w:pPr>
            <w:r w:rsidRPr="00170F6F">
              <w:rPr>
                <w:i/>
                <w:iCs/>
                <w:color w:val="000000"/>
                <w:szCs w:val="22"/>
                <w:lang w:eastAsia="en-GB"/>
              </w:rPr>
              <w:t>Acinetobacter</w:t>
            </w:r>
            <w:r w:rsidRPr="00170F6F">
              <w:rPr>
                <w:i/>
                <w:iCs/>
                <w:color w:val="000000"/>
                <w:szCs w:val="22"/>
                <w:lang w:val="el-GR" w:eastAsia="en-GB"/>
              </w:rPr>
              <w:t xml:space="preserve"> </w:t>
            </w:r>
            <w:proofErr w:type="spellStart"/>
            <w:r w:rsidRPr="00170F6F">
              <w:rPr>
                <w:i/>
                <w:iCs/>
                <w:color w:val="000000"/>
                <w:szCs w:val="22"/>
                <w:lang w:eastAsia="en-GB"/>
              </w:rPr>
              <w:t>baumannii</w:t>
            </w:r>
            <w:proofErr w:type="spellEnd"/>
            <w:r w:rsidRPr="00170F6F">
              <w:rPr>
                <w:i/>
                <w:iCs/>
                <w:color w:val="000000"/>
                <w:szCs w:val="22"/>
                <w:lang w:val="el-GR" w:eastAsia="en-GB"/>
              </w:rPr>
              <w:t>+</w:t>
            </w:r>
          </w:p>
          <w:p w:rsidR="00461D88" w:rsidRPr="00170F6F" w:rsidRDefault="00461D88" w:rsidP="00C773E4">
            <w:pPr>
              <w:rPr>
                <w:iCs/>
                <w:color w:val="000000"/>
                <w:szCs w:val="22"/>
                <w:lang w:eastAsia="en-GB"/>
              </w:rPr>
            </w:pPr>
            <w:proofErr w:type="spellStart"/>
            <w:r w:rsidRPr="00170F6F">
              <w:rPr>
                <w:i/>
                <w:color w:val="000000"/>
                <w:szCs w:val="22"/>
                <w:lang w:eastAsia="en-GB"/>
              </w:rPr>
              <w:t>Burkholderia</w:t>
            </w:r>
            <w:proofErr w:type="spellEnd"/>
            <w:r w:rsidRPr="00170F6F">
              <w:rPr>
                <w:i/>
                <w:color w:val="000000"/>
                <w:szCs w:val="22"/>
                <w:lang w:eastAsia="en-GB"/>
              </w:rPr>
              <w:t xml:space="preserve"> </w:t>
            </w:r>
            <w:proofErr w:type="spellStart"/>
            <w:r w:rsidRPr="00170F6F">
              <w:rPr>
                <w:i/>
                <w:color w:val="000000"/>
                <w:szCs w:val="22"/>
                <w:lang w:eastAsia="en-GB"/>
              </w:rPr>
              <w:t>cepacia</w:t>
            </w:r>
            <w:proofErr w:type="spellEnd"/>
          </w:p>
          <w:p w:rsidR="00461D88" w:rsidRPr="00170F6F" w:rsidRDefault="00461D88" w:rsidP="00C773E4">
            <w:pPr>
              <w:rPr>
                <w:i/>
                <w:iCs/>
                <w:color w:val="000000"/>
                <w:szCs w:val="22"/>
                <w:lang w:eastAsia="en-GB"/>
              </w:rPr>
            </w:pPr>
            <w:proofErr w:type="spellStart"/>
            <w:r w:rsidRPr="00170F6F">
              <w:rPr>
                <w:i/>
                <w:iCs/>
                <w:color w:val="000000"/>
                <w:szCs w:val="22"/>
                <w:lang w:eastAsia="en-GB"/>
              </w:rPr>
              <w:t>Citrobacter</w:t>
            </w:r>
            <w:proofErr w:type="spellEnd"/>
            <w:r w:rsidRPr="00170F6F">
              <w:rPr>
                <w:iCs/>
                <w:color w:val="000000"/>
                <w:szCs w:val="22"/>
                <w:lang w:eastAsia="en-GB"/>
              </w:rPr>
              <w:t xml:space="preserve"> </w:t>
            </w:r>
            <w:proofErr w:type="spellStart"/>
            <w:r w:rsidRPr="00170F6F">
              <w:rPr>
                <w:i/>
                <w:iCs/>
                <w:color w:val="000000"/>
                <w:szCs w:val="22"/>
                <w:lang w:eastAsia="en-GB"/>
              </w:rPr>
              <w:t>freundii</w:t>
            </w:r>
            <w:proofErr w:type="spellEnd"/>
          </w:p>
          <w:p w:rsidR="00461D88" w:rsidRPr="00170F6F" w:rsidRDefault="00461D88" w:rsidP="00C773E4">
            <w:pPr>
              <w:rPr>
                <w:color w:val="000000"/>
                <w:szCs w:val="22"/>
                <w:lang w:eastAsia="en-GB"/>
              </w:rPr>
            </w:pPr>
            <w:r w:rsidRPr="00170F6F">
              <w:rPr>
                <w:i/>
                <w:iCs/>
                <w:color w:val="000000"/>
                <w:szCs w:val="22"/>
                <w:lang w:eastAsia="en-GB"/>
              </w:rPr>
              <w:t xml:space="preserve">Enterobacter </w:t>
            </w:r>
            <w:proofErr w:type="spellStart"/>
            <w:r w:rsidRPr="00170F6F">
              <w:rPr>
                <w:i/>
                <w:iCs/>
                <w:color w:val="000000"/>
                <w:szCs w:val="22"/>
                <w:lang w:eastAsia="en-GB"/>
              </w:rPr>
              <w:t>aerogenes</w:t>
            </w:r>
            <w:proofErr w:type="spellEnd"/>
          </w:p>
          <w:p w:rsidR="00461D88" w:rsidRPr="00170F6F" w:rsidRDefault="00461D88" w:rsidP="00C773E4">
            <w:pPr>
              <w:rPr>
                <w:color w:val="000000"/>
                <w:szCs w:val="22"/>
                <w:lang w:eastAsia="en-GB"/>
              </w:rPr>
            </w:pPr>
            <w:r w:rsidRPr="00170F6F">
              <w:rPr>
                <w:i/>
                <w:iCs/>
                <w:color w:val="000000"/>
                <w:szCs w:val="22"/>
                <w:lang w:eastAsia="en-GB"/>
              </w:rPr>
              <w:t>Enterobacter cloacae</w:t>
            </w:r>
            <w:r w:rsidRPr="00170F6F">
              <w:rPr>
                <w:i/>
                <w:color w:val="000000"/>
                <w:szCs w:val="22"/>
              </w:rPr>
              <w:t xml:space="preserve"> </w:t>
            </w:r>
          </w:p>
          <w:p w:rsidR="00461D88" w:rsidRPr="00170F6F" w:rsidRDefault="00461D88" w:rsidP="00C773E4">
            <w:pPr>
              <w:rPr>
                <w:color w:val="000000"/>
                <w:szCs w:val="22"/>
                <w:lang w:eastAsia="en-GB"/>
              </w:rPr>
            </w:pPr>
            <w:proofErr w:type="spellStart"/>
            <w:r w:rsidRPr="00170F6F">
              <w:rPr>
                <w:i/>
                <w:iCs/>
                <w:color w:val="000000"/>
                <w:szCs w:val="22"/>
                <w:lang w:eastAsia="en-GB"/>
              </w:rPr>
              <w:t>Klebsiella</w:t>
            </w:r>
            <w:proofErr w:type="spellEnd"/>
            <w:r w:rsidRPr="00170F6F">
              <w:rPr>
                <w:i/>
                <w:iCs/>
                <w:color w:val="000000"/>
                <w:szCs w:val="22"/>
                <w:lang w:eastAsia="en-GB"/>
              </w:rPr>
              <w:t xml:space="preserve"> pneumoniae</w:t>
            </w:r>
          </w:p>
          <w:p w:rsidR="00575D6C" w:rsidRPr="00885285" w:rsidRDefault="00575D6C" w:rsidP="00575D6C">
            <w:pPr>
              <w:keepNext/>
              <w:rPr>
                <w:color w:val="000000"/>
                <w:szCs w:val="22"/>
                <w:lang w:eastAsia="en-GB"/>
              </w:rPr>
            </w:pPr>
            <w:r w:rsidRPr="00885285">
              <w:rPr>
                <w:i/>
                <w:iCs/>
                <w:color w:val="000000"/>
                <w:szCs w:val="22"/>
                <w:lang w:eastAsia="en-GB"/>
              </w:rPr>
              <w:t>Escherichia coli</w:t>
            </w:r>
          </w:p>
          <w:p w:rsidR="00461D88" w:rsidRPr="00170F6F" w:rsidRDefault="00461D88" w:rsidP="00C773E4">
            <w:pPr>
              <w:rPr>
                <w:color w:val="000000"/>
                <w:szCs w:val="22"/>
                <w:lang w:eastAsia="en-GB"/>
              </w:rPr>
            </w:pPr>
            <w:proofErr w:type="spellStart"/>
            <w:r w:rsidRPr="00170F6F">
              <w:rPr>
                <w:i/>
                <w:iCs/>
                <w:color w:val="000000"/>
                <w:szCs w:val="22"/>
                <w:lang w:eastAsia="en-GB"/>
              </w:rPr>
              <w:t>Klebsiella</w:t>
            </w:r>
            <w:proofErr w:type="spellEnd"/>
            <w:r w:rsidRPr="00170F6F">
              <w:rPr>
                <w:i/>
                <w:iCs/>
                <w:color w:val="000000"/>
                <w:szCs w:val="22"/>
                <w:lang w:eastAsia="en-GB"/>
              </w:rPr>
              <w:t xml:space="preserve"> </w:t>
            </w:r>
            <w:r w:rsidRPr="00170F6F">
              <w:rPr>
                <w:iCs/>
                <w:color w:val="000000"/>
                <w:szCs w:val="22"/>
                <w:lang w:eastAsia="en-GB"/>
              </w:rPr>
              <w:t>spp.</w:t>
            </w:r>
            <w:r w:rsidRPr="00170F6F">
              <w:rPr>
                <w:i/>
                <w:iCs/>
                <w:color w:val="000000"/>
                <w:szCs w:val="22"/>
                <w:lang w:eastAsia="en-GB"/>
              </w:rPr>
              <w:t xml:space="preserve"> </w:t>
            </w:r>
            <w:r w:rsidRPr="00170F6F">
              <w:rPr>
                <w:color w:val="000000"/>
                <w:szCs w:val="22"/>
                <w:lang w:eastAsia="en-GB"/>
              </w:rPr>
              <w:t>(other)</w:t>
            </w:r>
          </w:p>
          <w:p w:rsidR="00461D88" w:rsidRPr="00170F6F" w:rsidRDefault="00461D88" w:rsidP="00C773E4">
            <w:pPr>
              <w:rPr>
                <w:color w:val="000000"/>
                <w:szCs w:val="22"/>
                <w:lang w:eastAsia="en-GB"/>
              </w:rPr>
            </w:pPr>
            <w:r w:rsidRPr="00170F6F">
              <w:rPr>
                <w:i/>
                <w:iCs/>
                <w:color w:val="000000"/>
                <w:szCs w:val="22"/>
                <w:lang w:eastAsia="en-GB"/>
              </w:rPr>
              <w:t>Pseudomonas aeruginosa</w:t>
            </w:r>
          </w:p>
          <w:p w:rsidR="00461D88" w:rsidRPr="00170F6F" w:rsidRDefault="00461D88" w:rsidP="00C773E4">
            <w:pPr>
              <w:rPr>
                <w:color w:val="000000"/>
                <w:szCs w:val="22"/>
                <w:lang w:eastAsia="en-GB"/>
              </w:rPr>
            </w:pPr>
            <w:proofErr w:type="spellStart"/>
            <w:r w:rsidRPr="00170F6F">
              <w:rPr>
                <w:i/>
                <w:iCs/>
                <w:color w:val="000000"/>
                <w:szCs w:val="22"/>
                <w:lang w:eastAsia="en-GB"/>
              </w:rPr>
              <w:t>Serratia</w:t>
            </w:r>
            <w:proofErr w:type="spellEnd"/>
            <w:r w:rsidRPr="00170F6F">
              <w:rPr>
                <w:color w:val="000000"/>
                <w:szCs w:val="22"/>
                <w:lang w:eastAsia="en-GB"/>
              </w:rPr>
              <w:t xml:space="preserve"> spp. </w:t>
            </w:r>
          </w:p>
          <w:p w:rsidR="00461D88" w:rsidRPr="00EC20DD" w:rsidRDefault="00461D88" w:rsidP="00C773E4">
            <w:pPr>
              <w:rPr>
                <w:i/>
                <w:iCs/>
                <w:color w:val="000000"/>
                <w:szCs w:val="22"/>
                <w:lang w:val="en-US" w:eastAsia="en-GB"/>
              </w:rPr>
            </w:pPr>
            <w:proofErr w:type="spellStart"/>
            <w:r w:rsidRPr="00170F6F">
              <w:rPr>
                <w:i/>
                <w:iCs/>
                <w:color w:val="000000"/>
                <w:szCs w:val="22"/>
                <w:lang w:eastAsia="en-GB"/>
              </w:rPr>
              <w:t>Morganella</w:t>
            </w:r>
            <w:proofErr w:type="spellEnd"/>
            <w:r w:rsidRPr="00170F6F">
              <w:rPr>
                <w:i/>
                <w:iCs/>
                <w:color w:val="000000"/>
                <w:szCs w:val="22"/>
                <w:lang w:eastAsia="en-GB"/>
              </w:rPr>
              <w:t xml:space="preserve"> </w:t>
            </w:r>
            <w:proofErr w:type="spellStart"/>
            <w:r w:rsidRPr="00170F6F">
              <w:rPr>
                <w:i/>
                <w:iCs/>
                <w:color w:val="000000"/>
                <w:szCs w:val="22"/>
                <w:lang w:eastAsia="en-GB"/>
              </w:rPr>
              <w:t>morganii</w:t>
            </w:r>
            <w:proofErr w:type="spellEnd"/>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Θετικά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αερόβια</w:t>
            </w:r>
            <w:r w:rsidRPr="00EC20DD">
              <w:rPr>
                <w:color w:val="000000"/>
                <w:szCs w:val="22"/>
                <w:u w:val="single"/>
              </w:rPr>
              <w:t>:</w:t>
            </w:r>
          </w:p>
          <w:p w:rsidR="00461D88" w:rsidRPr="00EC20DD" w:rsidRDefault="00461D88" w:rsidP="00C773E4">
            <w:pPr>
              <w:rPr>
                <w:color w:val="000000"/>
                <w:szCs w:val="22"/>
                <w:lang w:eastAsia="en-GB"/>
              </w:rPr>
            </w:pPr>
            <w:r w:rsidRPr="00EC20DD">
              <w:rPr>
                <w:i/>
                <w:iCs/>
                <w:color w:val="000000"/>
                <w:szCs w:val="22"/>
                <w:lang w:eastAsia="en-GB"/>
              </w:rPr>
              <w:t>Staphylococcus aureus£</w:t>
            </w:r>
          </w:p>
          <w:p w:rsidR="00461D88" w:rsidRPr="00EC20DD" w:rsidRDefault="00461D88" w:rsidP="00C773E4">
            <w:pPr>
              <w:rPr>
                <w:i/>
                <w:iCs/>
                <w:color w:val="000000"/>
                <w:szCs w:val="22"/>
                <w:lang w:val="en-US" w:eastAsia="en-GB"/>
              </w:rPr>
            </w:pPr>
            <w:r w:rsidRPr="00EC20DD">
              <w:rPr>
                <w:i/>
                <w:iCs/>
                <w:color w:val="000000"/>
                <w:szCs w:val="22"/>
                <w:lang w:val="en-US" w:eastAsia="en-GB"/>
              </w:rPr>
              <w:t>Streptococcus pneumoniae££</w:t>
            </w:r>
          </w:p>
          <w:p w:rsidR="00575D6C" w:rsidRPr="00EC20DD" w:rsidRDefault="00575D6C" w:rsidP="00C773E4">
            <w:pPr>
              <w:rPr>
                <w:color w:val="000000"/>
                <w:szCs w:val="22"/>
                <w:lang w:val="en-US" w:eastAsia="en-GB"/>
              </w:rPr>
            </w:pPr>
            <w:proofErr w:type="spellStart"/>
            <w:r w:rsidRPr="00D94687">
              <w:rPr>
                <w:i/>
                <w:color w:val="000000"/>
                <w:szCs w:val="22"/>
                <w:lang w:eastAsia="en-GB"/>
              </w:rPr>
              <w:t>Viridans</w:t>
            </w:r>
            <w:proofErr w:type="spellEnd"/>
            <w:r w:rsidRPr="00D94687">
              <w:rPr>
                <w:i/>
                <w:color w:val="000000"/>
                <w:szCs w:val="22"/>
                <w:lang w:eastAsia="en-GB"/>
              </w:rPr>
              <w:t xml:space="preserve"> group streptococcus</w:t>
            </w:r>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Θετικά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αναερόβια</w:t>
            </w:r>
            <w:r w:rsidRPr="00EC20DD">
              <w:rPr>
                <w:color w:val="000000"/>
                <w:szCs w:val="22"/>
                <w:u w:val="single"/>
              </w:rPr>
              <w:t>:</w:t>
            </w:r>
          </w:p>
          <w:p w:rsidR="00461D88" w:rsidRPr="00EC20DD" w:rsidRDefault="00461D88" w:rsidP="00C773E4">
            <w:pPr>
              <w:rPr>
                <w:color w:val="000000"/>
                <w:szCs w:val="22"/>
                <w:lang w:eastAsia="en-GB"/>
              </w:rPr>
            </w:pPr>
            <w:r w:rsidRPr="00EC20DD">
              <w:rPr>
                <w:i/>
                <w:iCs/>
                <w:szCs w:val="22"/>
              </w:rPr>
              <w:t>Clostridium perfringens</w:t>
            </w:r>
            <w:r w:rsidRPr="00EC20DD">
              <w:rPr>
                <w:color w:val="000000"/>
                <w:szCs w:val="22"/>
                <w:lang w:eastAsia="en-GB"/>
              </w:rPr>
              <w:t xml:space="preserve"> </w:t>
            </w:r>
          </w:p>
          <w:p w:rsidR="00461D88" w:rsidRPr="00170F6F" w:rsidRDefault="00461D88" w:rsidP="00C773E4">
            <w:pPr>
              <w:rPr>
                <w:szCs w:val="22"/>
                <w:lang w:val="en-US"/>
              </w:rPr>
            </w:pPr>
            <w:proofErr w:type="spellStart"/>
            <w:r w:rsidRPr="00170F6F">
              <w:rPr>
                <w:i/>
                <w:iCs/>
                <w:color w:val="000000"/>
                <w:szCs w:val="22"/>
                <w:lang w:val="en-US" w:eastAsia="en-GB"/>
              </w:rPr>
              <w:t>Peptostreptococcus</w:t>
            </w:r>
            <w:proofErr w:type="spellEnd"/>
            <w:r w:rsidRPr="00170F6F">
              <w:rPr>
                <w:i/>
                <w:iCs/>
                <w:color w:val="000000"/>
                <w:szCs w:val="22"/>
                <w:lang w:val="en-US" w:eastAsia="en-GB"/>
              </w:rPr>
              <w:t xml:space="preserve"> </w:t>
            </w:r>
            <w:r w:rsidRPr="00170F6F">
              <w:rPr>
                <w:iCs/>
                <w:color w:val="000000"/>
                <w:szCs w:val="22"/>
                <w:lang w:val="en-US" w:eastAsia="en-GB"/>
              </w:rPr>
              <w:t>spp.</w:t>
            </w:r>
          </w:p>
        </w:tc>
      </w:tr>
      <w:tr w:rsidR="00461D88" w:rsidRPr="00170F6F" w:rsidTr="00C773E4">
        <w:tc>
          <w:tcPr>
            <w:tcW w:w="9287" w:type="dxa"/>
          </w:tcPr>
          <w:p w:rsidR="00461D88" w:rsidRPr="00170F6F" w:rsidRDefault="00461D88" w:rsidP="00C773E4">
            <w:pPr>
              <w:rPr>
                <w:color w:val="000000"/>
                <w:szCs w:val="22"/>
                <w:u w:val="single"/>
                <w:lang w:val="en-US"/>
              </w:rPr>
            </w:pPr>
            <w:r w:rsidRPr="00170F6F">
              <w:rPr>
                <w:color w:val="000000"/>
                <w:szCs w:val="22"/>
                <w:u w:val="single"/>
                <w:lang w:val="el-GR"/>
              </w:rPr>
              <w:t>Αρνητικά</w:t>
            </w:r>
            <w:r w:rsidRPr="00170F6F">
              <w:rPr>
                <w:color w:val="000000"/>
                <w:szCs w:val="22"/>
                <w:u w:val="single"/>
                <w:lang w:val="en-US"/>
              </w:rPr>
              <w:t xml:space="preserve"> </w:t>
            </w:r>
            <w:r w:rsidRPr="00170F6F">
              <w:rPr>
                <w:color w:val="000000"/>
                <w:szCs w:val="22"/>
                <w:u w:val="single"/>
                <w:lang w:val="el-GR"/>
              </w:rPr>
              <w:t>κατά</w:t>
            </w:r>
            <w:r w:rsidRPr="00170F6F">
              <w:rPr>
                <w:color w:val="000000"/>
                <w:szCs w:val="22"/>
                <w:u w:val="single"/>
                <w:lang w:val="en-US"/>
              </w:rPr>
              <w:t xml:space="preserve"> Gram </w:t>
            </w:r>
            <w:r w:rsidRPr="00170F6F">
              <w:rPr>
                <w:color w:val="000000"/>
                <w:szCs w:val="22"/>
                <w:u w:val="single"/>
                <w:lang w:val="el-GR"/>
              </w:rPr>
              <w:t>αναερόβια</w:t>
            </w:r>
            <w:r w:rsidRPr="00170F6F">
              <w:rPr>
                <w:color w:val="000000"/>
                <w:szCs w:val="22"/>
                <w:u w:val="single"/>
                <w:lang w:val="en-US"/>
              </w:rPr>
              <w:t>:</w:t>
            </w:r>
          </w:p>
          <w:p w:rsidR="00461D88" w:rsidRPr="00170F6F" w:rsidRDefault="00461D88" w:rsidP="00C773E4">
            <w:pPr>
              <w:rPr>
                <w:szCs w:val="22"/>
                <w:lang w:val="en-US"/>
              </w:rPr>
            </w:pPr>
            <w:r w:rsidRPr="00170F6F">
              <w:rPr>
                <w:i/>
                <w:iCs/>
                <w:szCs w:val="22"/>
                <w:lang w:val="en-US"/>
              </w:rPr>
              <w:t>Fusobacterium</w:t>
            </w:r>
            <w:r w:rsidRPr="00170F6F">
              <w:rPr>
                <w:szCs w:val="22"/>
                <w:lang w:val="en-US"/>
              </w:rPr>
              <w:t xml:space="preserve"> spp.</w:t>
            </w:r>
          </w:p>
        </w:tc>
      </w:tr>
      <w:tr w:rsidR="00461D88" w:rsidRPr="00170F6F" w:rsidTr="00C773E4">
        <w:tc>
          <w:tcPr>
            <w:tcW w:w="9287" w:type="dxa"/>
          </w:tcPr>
          <w:p w:rsidR="00461D88" w:rsidRPr="00170F6F" w:rsidRDefault="00461D88" w:rsidP="00C773E4">
            <w:pPr>
              <w:rPr>
                <w:szCs w:val="22"/>
                <w:lang w:val="el-GR"/>
              </w:rPr>
            </w:pPr>
            <w:r w:rsidRPr="00170F6F">
              <w:rPr>
                <w:szCs w:val="22"/>
                <w:u w:val="single"/>
                <w:lang w:val="el-GR"/>
              </w:rPr>
              <w:t>Ενδογενώς ανθεκτικοί οργανισμοί</w:t>
            </w:r>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Θετικά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αερόβια</w:t>
            </w:r>
            <w:r w:rsidRPr="00EC20DD">
              <w:rPr>
                <w:color w:val="000000"/>
                <w:szCs w:val="22"/>
                <w:u w:val="single"/>
              </w:rPr>
              <w:t>:</w:t>
            </w:r>
          </w:p>
          <w:p w:rsidR="00461D88" w:rsidRPr="00EC20DD" w:rsidRDefault="00575D6C" w:rsidP="00C773E4">
            <w:pPr>
              <w:rPr>
                <w:color w:val="000000"/>
                <w:szCs w:val="22"/>
              </w:rPr>
            </w:pPr>
            <w:r w:rsidRPr="00885285">
              <w:rPr>
                <w:color w:val="000000"/>
                <w:szCs w:val="22"/>
                <w:lang w:eastAsia="en-GB"/>
              </w:rPr>
              <w:t>Enterococc</w:t>
            </w:r>
            <w:r>
              <w:rPr>
                <w:color w:val="000000"/>
                <w:szCs w:val="22"/>
                <w:lang w:eastAsia="en-GB"/>
              </w:rPr>
              <w:t>us</w:t>
            </w:r>
            <w:r w:rsidRPr="00EC20DD">
              <w:rPr>
                <w:color w:val="000000"/>
                <w:szCs w:val="22"/>
                <w:lang w:eastAsia="en-GB"/>
              </w:rPr>
              <w:t xml:space="preserve"> </w:t>
            </w:r>
            <w:r>
              <w:rPr>
                <w:color w:val="000000"/>
                <w:szCs w:val="22"/>
                <w:lang w:eastAsia="en-GB"/>
              </w:rPr>
              <w:t>spp</w:t>
            </w:r>
            <w:r w:rsidRPr="00EC20DD">
              <w:rPr>
                <w:color w:val="000000"/>
                <w:szCs w:val="22"/>
              </w:rPr>
              <w:t>.</w:t>
            </w:r>
            <w:r w:rsidR="00461D88" w:rsidRPr="00EC20DD">
              <w:rPr>
                <w:color w:val="000000"/>
                <w:szCs w:val="22"/>
              </w:rPr>
              <w:t xml:space="preserve"> </w:t>
            </w:r>
            <w:r w:rsidR="00461D88" w:rsidRPr="00170F6F">
              <w:rPr>
                <w:color w:val="000000"/>
                <w:szCs w:val="22"/>
                <w:lang w:val="el-GR"/>
              </w:rPr>
              <w:t>περιλαμβανομένου</w:t>
            </w:r>
            <w:r w:rsidR="00461D88" w:rsidRPr="00EC20DD">
              <w:rPr>
                <w:color w:val="000000"/>
                <w:szCs w:val="22"/>
              </w:rPr>
              <w:t xml:space="preserve"> </w:t>
            </w:r>
            <w:r w:rsidR="00461D88" w:rsidRPr="00170F6F">
              <w:rPr>
                <w:color w:val="000000"/>
                <w:szCs w:val="22"/>
                <w:lang w:val="el-GR"/>
              </w:rPr>
              <w:t>του</w:t>
            </w:r>
            <w:r w:rsidR="00461D88" w:rsidRPr="00EC20DD">
              <w:rPr>
                <w:color w:val="000000"/>
                <w:szCs w:val="22"/>
              </w:rPr>
              <w:t xml:space="preserve"> </w:t>
            </w:r>
            <w:r w:rsidR="00461D88" w:rsidRPr="00EC20DD">
              <w:rPr>
                <w:i/>
                <w:color w:val="000000"/>
                <w:szCs w:val="22"/>
              </w:rPr>
              <w:t xml:space="preserve">Enterococcus </w:t>
            </w:r>
            <w:proofErr w:type="spellStart"/>
            <w:r w:rsidR="00461D88" w:rsidRPr="00EC20DD">
              <w:rPr>
                <w:i/>
                <w:color w:val="000000"/>
                <w:szCs w:val="22"/>
              </w:rPr>
              <w:t>faecalis</w:t>
            </w:r>
            <w:proofErr w:type="spellEnd"/>
            <w:r w:rsidR="00461D88" w:rsidRPr="00EC20DD">
              <w:rPr>
                <w:i/>
                <w:color w:val="000000"/>
                <w:szCs w:val="22"/>
              </w:rPr>
              <w:t xml:space="preserve"> </w:t>
            </w:r>
            <w:r w:rsidR="00461D88" w:rsidRPr="00170F6F">
              <w:rPr>
                <w:color w:val="000000"/>
                <w:szCs w:val="22"/>
                <w:lang w:val="el-GR"/>
              </w:rPr>
              <w:t>και</w:t>
            </w:r>
            <w:r w:rsidR="00461D88" w:rsidRPr="00EC20DD">
              <w:rPr>
                <w:color w:val="000000"/>
                <w:szCs w:val="22"/>
              </w:rPr>
              <w:t xml:space="preserve"> </w:t>
            </w:r>
            <w:r w:rsidR="00461D88" w:rsidRPr="00170F6F">
              <w:rPr>
                <w:color w:val="000000"/>
                <w:szCs w:val="22"/>
                <w:lang w:val="el-GR"/>
              </w:rPr>
              <w:t>του</w:t>
            </w:r>
            <w:r w:rsidR="00461D88" w:rsidRPr="00EC20DD">
              <w:rPr>
                <w:color w:val="000000"/>
                <w:szCs w:val="22"/>
              </w:rPr>
              <w:t xml:space="preserve"> </w:t>
            </w:r>
            <w:r w:rsidR="00461D88" w:rsidRPr="00EC20DD">
              <w:rPr>
                <w:i/>
                <w:color w:val="000000"/>
                <w:szCs w:val="22"/>
              </w:rPr>
              <w:t xml:space="preserve">Enterococcus </w:t>
            </w:r>
            <w:proofErr w:type="spellStart"/>
            <w:r w:rsidR="00461D88" w:rsidRPr="00EC20DD">
              <w:rPr>
                <w:i/>
                <w:color w:val="000000"/>
                <w:szCs w:val="22"/>
              </w:rPr>
              <w:t>faecium</w:t>
            </w:r>
            <w:proofErr w:type="spellEnd"/>
          </w:p>
          <w:p w:rsidR="00461D88" w:rsidRPr="00170F6F" w:rsidRDefault="00461D88" w:rsidP="00C773E4">
            <w:pPr>
              <w:rPr>
                <w:szCs w:val="22"/>
                <w:lang w:val="el-GR"/>
              </w:rPr>
            </w:pPr>
            <w:proofErr w:type="spellStart"/>
            <w:r w:rsidRPr="00170F6F">
              <w:rPr>
                <w:i/>
                <w:iCs/>
                <w:color w:val="000000"/>
                <w:szCs w:val="22"/>
                <w:lang w:val="el-GR" w:eastAsia="en-GB"/>
              </w:rPr>
              <w:t>Listeria</w:t>
            </w:r>
            <w:proofErr w:type="spellEnd"/>
            <w:r w:rsidRPr="00170F6F">
              <w:rPr>
                <w:i/>
                <w:iCs/>
                <w:color w:val="000000"/>
                <w:szCs w:val="22"/>
                <w:lang w:val="el-GR" w:eastAsia="en-GB"/>
              </w:rPr>
              <w:t xml:space="preserve"> </w:t>
            </w:r>
            <w:proofErr w:type="spellStart"/>
            <w:r w:rsidRPr="00170F6F">
              <w:rPr>
                <w:iCs/>
                <w:color w:val="000000"/>
                <w:szCs w:val="22"/>
                <w:lang w:val="el-GR" w:eastAsia="en-GB"/>
              </w:rPr>
              <w:t>spp</w:t>
            </w:r>
            <w:proofErr w:type="spellEnd"/>
            <w:r w:rsidRPr="00170F6F">
              <w:rPr>
                <w:iCs/>
                <w:color w:val="000000"/>
                <w:szCs w:val="22"/>
                <w:lang w:val="el-GR" w:eastAsia="en-GB"/>
              </w:rPr>
              <w:t>.</w:t>
            </w:r>
          </w:p>
        </w:tc>
      </w:tr>
      <w:tr w:rsidR="00461D88" w:rsidRPr="00170F6F"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Θετικά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αναερόβια</w:t>
            </w:r>
            <w:r w:rsidRPr="00EC20DD">
              <w:rPr>
                <w:color w:val="000000"/>
                <w:szCs w:val="22"/>
                <w:u w:val="single"/>
              </w:rPr>
              <w:t>:</w:t>
            </w:r>
          </w:p>
          <w:p w:rsidR="00461D88" w:rsidRPr="00EC20DD" w:rsidRDefault="00461D88" w:rsidP="00C773E4">
            <w:pPr>
              <w:rPr>
                <w:szCs w:val="22"/>
              </w:rPr>
            </w:pPr>
            <w:r w:rsidRPr="00EC20DD">
              <w:rPr>
                <w:i/>
                <w:iCs/>
                <w:szCs w:val="22"/>
              </w:rPr>
              <w:t>Clostridium difficile</w:t>
            </w:r>
          </w:p>
        </w:tc>
      </w:tr>
      <w:tr w:rsidR="00461D88" w:rsidRPr="003536AE" w:rsidTr="00C773E4">
        <w:tc>
          <w:tcPr>
            <w:tcW w:w="9287" w:type="dxa"/>
          </w:tcPr>
          <w:p w:rsidR="00461D88" w:rsidRPr="00EC20DD" w:rsidRDefault="00461D88" w:rsidP="00C773E4">
            <w:pPr>
              <w:rPr>
                <w:color w:val="000000"/>
                <w:szCs w:val="22"/>
                <w:u w:val="single"/>
              </w:rPr>
            </w:pPr>
            <w:r w:rsidRPr="00170F6F">
              <w:rPr>
                <w:color w:val="000000"/>
                <w:szCs w:val="22"/>
                <w:u w:val="single"/>
                <w:lang w:val="el-GR"/>
              </w:rPr>
              <w:t>Αρνητικά</w:t>
            </w:r>
            <w:r w:rsidRPr="00EC20DD">
              <w:rPr>
                <w:color w:val="000000"/>
                <w:szCs w:val="22"/>
                <w:u w:val="single"/>
              </w:rPr>
              <w:t xml:space="preserve"> </w:t>
            </w:r>
            <w:r w:rsidRPr="00170F6F">
              <w:rPr>
                <w:color w:val="000000"/>
                <w:szCs w:val="22"/>
                <w:u w:val="single"/>
                <w:lang w:val="el-GR"/>
              </w:rPr>
              <w:t>κατά</w:t>
            </w:r>
            <w:r w:rsidRPr="00EC20DD">
              <w:rPr>
                <w:color w:val="000000"/>
                <w:szCs w:val="22"/>
                <w:u w:val="single"/>
              </w:rPr>
              <w:t xml:space="preserve"> Gram </w:t>
            </w:r>
            <w:r w:rsidRPr="00170F6F">
              <w:rPr>
                <w:color w:val="000000"/>
                <w:szCs w:val="22"/>
                <w:u w:val="single"/>
                <w:lang w:val="el-GR"/>
              </w:rPr>
              <w:t>αναερόβια</w:t>
            </w:r>
            <w:r w:rsidRPr="00EC20DD">
              <w:rPr>
                <w:color w:val="000000"/>
                <w:szCs w:val="22"/>
                <w:u w:val="single"/>
              </w:rPr>
              <w:t>:</w:t>
            </w:r>
          </w:p>
          <w:p w:rsidR="00461D88" w:rsidRPr="00170F6F" w:rsidRDefault="00461D88" w:rsidP="00C773E4">
            <w:pPr>
              <w:rPr>
                <w:szCs w:val="22"/>
                <w:lang w:val="el-GR"/>
              </w:rPr>
            </w:pPr>
            <w:proofErr w:type="spellStart"/>
            <w:r w:rsidRPr="00EC20DD">
              <w:rPr>
                <w:i/>
                <w:szCs w:val="22"/>
              </w:rPr>
              <w:t>Bacteroides</w:t>
            </w:r>
            <w:proofErr w:type="spellEnd"/>
            <w:r w:rsidRPr="00EC20DD">
              <w:rPr>
                <w:szCs w:val="22"/>
              </w:rPr>
              <w:t xml:space="preserve"> spp. </w:t>
            </w:r>
            <w:r w:rsidRPr="00170F6F">
              <w:rPr>
                <w:szCs w:val="22"/>
                <w:lang w:val="el-GR"/>
              </w:rPr>
              <w:t xml:space="preserve">(πολλά στελέχη </w:t>
            </w:r>
            <w:proofErr w:type="spellStart"/>
            <w:r w:rsidRPr="00170F6F">
              <w:rPr>
                <w:i/>
                <w:szCs w:val="22"/>
                <w:lang w:val="el-GR"/>
              </w:rPr>
              <w:t>Bacteroides</w:t>
            </w:r>
            <w:proofErr w:type="spellEnd"/>
            <w:r w:rsidRPr="00170F6F">
              <w:rPr>
                <w:i/>
                <w:szCs w:val="22"/>
                <w:lang w:val="el-GR"/>
              </w:rPr>
              <w:t xml:space="preserve"> </w:t>
            </w:r>
            <w:proofErr w:type="spellStart"/>
            <w:r w:rsidRPr="00170F6F">
              <w:rPr>
                <w:i/>
                <w:szCs w:val="22"/>
                <w:lang w:val="el-GR"/>
              </w:rPr>
              <w:t>fragilis</w:t>
            </w:r>
            <w:proofErr w:type="spellEnd"/>
            <w:r w:rsidRPr="00170F6F">
              <w:rPr>
                <w:szCs w:val="22"/>
                <w:lang w:val="el-GR"/>
              </w:rPr>
              <w:t xml:space="preserve"> είναι ανθεκτικά).</w:t>
            </w:r>
          </w:p>
        </w:tc>
      </w:tr>
      <w:tr w:rsidR="00461D88" w:rsidRPr="00170F6F" w:rsidTr="00C773E4">
        <w:tc>
          <w:tcPr>
            <w:tcW w:w="9287" w:type="dxa"/>
          </w:tcPr>
          <w:p w:rsidR="00461D88" w:rsidRPr="00170F6F" w:rsidRDefault="00461D88" w:rsidP="00C773E4">
            <w:pPr>
              <w:rPr>
                <w:color w:val="000000"/>
                <w:szCs w:val="22"/>
                <w:u w:val="single"/>
                <w:lang w:val="en-US"/>
              </w:rPr>
            </w:pPr>
            <w:r w:rsidRPr="00170F6F">
              <w:rPr>
                <w:color w:val="000000"/>
                <w:szCs w:val="22"/>
                <w:u w:val="single"/>
                <w:lang w:val="el-GR"/>
              </w:rPr>
              <w:t>Άλλα</w:t>
            </w:r>
            <w:r w:rsidRPr="00170F6F">
              <w:rPr>
                <w:color w:val="000000"/>
                <w:szCs w:val="22"/>
                <w:u w:val="single"/>
                <w:lang w:val="en-US"/>
              </w:rPr>
              <w:t>:</w:t>
            </w:r>
          </w:p>
          <w:p w:rsidR="00461D88" w:rsidRPr="00170F6F" w:rsidRDefault="00461D88" w:rsidP="00C773E4">
            <w:pPr>
              <w:rPr>
                <w:color w:val="000000"/>
                <w:szCs w:val="22"/>
                <w:lang w:val="en-US" w:eastAsia="en-GB"/>
              </w:rPr>
            </w:pPr>
            <w:r w:rsidRPr="00170F6F">
              <w:rPr>
                <w:i/>
                <w:iCs/>
                <w:color w:val="000000"/>
                <w:szCs w:val="22"/>
                <w:lang w:val="en-US" w:eastAsia="en-GB"/>
              </w:rPr>
              <w:t xml:space="preserve">Chlamydia </w:t>
            </w:r>
            <w:r w:rsidRPr="00170F6F">
              <w:rPr>
                <w:color w:val="000000"/>
                <w:szCs w:val="22"/>
                <w:lang w:val="en-US" w:eastAsia="en-GB"/>
              </w:rPr>
              <w:t>spp.</w:t>
            </w:r>
          </w:p>
          <w:p w:rsidR="00461D88" w:rsidRPr="00170F6F" w:rsidRDefault="00461D88" w:rsidP="00C773E4">
            <w:pPr>
              <w:rPr>
                <w:color w:val="000000"/>
                <w:szCs w:val="22"/>
                <w:lang w:val="en-US" w:eastAsia="en-GB"/>
              </w:rPr>
            </w:pPr>
            <w:r w:rsidRPr="00170F6F">
              <w:rPr>
                <w:i/>
                <w:iCs/>
                <w:color w:val="000000"/>
                <w:szCs w:val="22"/>
                <w:lang w:val="en-US" w:eastAsia="en-GB"/>
              </w:rPr>
              <w:t>Mycoplasma</w:t>
            </w:r>
            <w:r w:rsidRPr="00170F6F">
              <w:rPr>
                <w:color w:val="000000"/>
                <w:szCs w:val="22"/>
                <w:lang w:val="en-US" w:eastAsia="en-GB"/>
              </w:rPr>
              <w:t xml:space="preserve"> spp.</w:t>
            </w:r>
          </w:p>
          <w:p w:rsidR="00461D88" w:rsidRPr="00170F6F" w:rsidRDefault="00461D88" w:rsidP="00C773E4">
            <w:pPr>
              <w:rPr>
                <w:szCs w:val="22"/>
                <w:lang w:val="el-GR"/>
              </w:rPr>
            </w:pPr>
            <w:proofErr w:type="spellStart"/>
            <w:r w:rsidRPr="00170F6F">
              <w:rPr>
                <w:i/>
                <w:iCs/>
                <w:szCs w:val="22"/>
                <w:lang w:val="el-GR"/>
              </w:rPr>
              <w:t>Legionella</w:t>
            </w:r>
            <w:proofErr w:type="spellEnd"/>
            <w:r w:rsidRPr="00170F6F">
              <w:rPr>
                <w:szCs w:val="22"/>
                <w:lang w:val="el-GR"/>
              </w:rPr>
              <w:t xml:space="preserve"> </w:t>
            </w:r>
            <w:proofErr w:type="spellStart"/>
            <w:r w:rsidRPr="00170F6F">
              <w:rPr>
                <w:szCs w:val="22"/>
                <w:lang w:val="el-GR"/>
              </w:rPr>
              <w:t>spp</w:t>
            </w:r>
            <w:proofErr w:type="spellEnd"/>
            <w:r w:rsidRPr="00170F6F">
              <w:rPr>
                <w:szCs w:val="22"/>
                <w:lang w:val="el-GR"/>
              </w:rPr>
              <w:t>.</w:t>
            </w:r>
          </w:p>
        </w:tc>
      </w:tr>
      <w:tr w:rsidR="00461D88" w:rsidRPr="003536AE" w:rsidTr="00C773E4">
        <w:tc>
          <w:tcPr>
            <w:tcW w:w="9287" w:type="dxa"/>
          </w:tcPr>
          <w:p w:rsidR="00461D88" w:rsidRPr="00170F6F" w:rsidRDefault="00461D88" w:rsidP="00C773E4">
            <w:pPr>
              <w:rPr>
                <w:noProof/>
                <w:szCs w:val="22"/>
                <w:lang w:val="el-GR"/>
              </w:rPr>
            </w:pPr>
            <w:r w:rsidRPr="00170F6F">
              <w:rPr>
                <w:szCs w:val="22"/>
                <w:vertAlign w:val="superscript"/>
                <w:lang w:val="el-GR"/>
              </w:rPr>
              <w:t>£</w:t>
            </w:r>
            <w:r w:rsidRPr="00170F6F">
              <w:rPr>
                <w:szCs w:val="22"/>
                <w:lang w:val="el-GR"/>
              </w:rPr>
              <w:t xml:space="preserve"> Τα στελέχη S </w:t>
            </w:r>
            <w:proofErr w:type="spellStart"/>
            <w:r w:rsidRPr="00170F6F">
              <w:rPr>
                <w:szCs w:val="22"/>
                <w:lang w:val="el-GR"/>
              </w:rPr>
              <w:t>aureus</w:t>
            </w:r>
            <w:proofErr w:type="spellEnd"/>
            <w:r w:rsidRPr="00170F6F">
              <w:rPr>
                <w:szCs w:val="22"/>
                <w:lang w:val="el-GR"/>
              </w:rPr>
              <w:t xml:space="preserve"> που είναι ευαίσθητα στη </w:t>
            </w:r>
            <w:proofErr w:type="spellStart"/>
            <w:r w:rsidRPr="00170F6F">
              <w:rPr>
                <w:szCs w:val="22"/>
                <w:lang w:val="el-GR"/>
              </w:rPr>
              <w:t>μεθικιλλίνη</w:t>
            </w:r>
            <w:proofErr w:type="spellEnd"/>
            <w:r w:rsidRPr="00170F6F">
              <w:rPr>
                <w:szCs w:val="22"/>
                <w:lang w:val="el-GR"/>
              </w:rPr>
              <w:t xml:space="preserve"> θεωρείται ότι έχουν ενδογενή χαμηλή ευαισθησία σε </w:t>
            </w:r>
            <w:proofErr w:type="spellStart"/>
            <w:r w:rsidRPr="00170F6F">
              <w:rPr>
                <w:szCs w:val="22"/>
                <w:lang w:val="el-GR"/>
              </w:rPr>
              <w:t>κεφταζιδίμη</w:t>
            </w:r>
            <w:proofErr w:type="spellEnd"/>
            <w:r w:rsidRPr="00170F6F">
              <w:rPr>
                <w:szCs w:val="22"/>
                <w:lang w:val="el-GR"/>
              </w:rPr>
              <w:t>.</w:t>
            </w:r>
            <w:r w:rsidRPr="00170F6F">
              <w:rPr>
                <w:noProof/>
                <w:szCs w:val="22"/>
                <w:lang w:val="el-GR"/>
              </w:rPr>
              <w:t xml:space="preserve"> </w:t>
            </w:r>
            <w:r w:rsidRPr="00170F6F">
              <w:rPr>
                <w:szCs w:val="22"/>
                <w:lang w:val="el-GR"/>
              </w:rPr>
              <w:t xml:space="preserve">Όλα τα ανθεκτικά στη </w:t>
            </w:r>
            <w:proofErr w:type="spellStart"/>
            <w:r w:rsidRPr="00170F6F">
              <w:rPr>
                <w:szCs w:val="22"/>
                <w:lang w:val="el-GR"/>
              </w:rPr>
              <w:t>μεθικιλλίνη</w:t>
            </w:r>
            <w:proofErr w:type="spellEnd"/>
            <w:r w:rsidRPr="00170F6F">
              <w:rPr>
                <w:szCs w:val="22"/>
                <w:lang w:val="el-GR"/>
              </w:rPr>
              <w:t xml:space="preserve"> στελέχη S </w:t>
            </w:r>
            <w:proofErr w:type="spellStart"/>
            <w:r w:rsidRPr="00170F6F">
              <w:rPr>
                <w:szCs w:val="22"/>
                <w:lang w:val="el-GR"/>
              </w:rPr>
              <w:t>aureus</w:t>
            </w:r>
            <w:proofErr w:type="spellEnd"/>
            <w:r w:rsidRPr="00170F6F">
              <w:rPr>
                <w:szCs w:val="22"/>
                <w:lang w:val="el-GR"/>
              </w:rPr>
              <w:t xml:space="preserve"> είναι ανθεκτικά σε </w:t>
            </w:r>
            <w:proofErr w:type="spellStart"/>
            <w:r w:rsidRPr="00170F6F">
              <w:rPr>
                <w:szCs w:val="22"/>
                <w:lang w:val="el-GR"/>
              </w:rPr>
              <w:t>κεφταζιδίμη</w:t>
            </w:r>
            <w:proofErr w:type="spellEnd"/>
            <w:r w:rsidRPr="00170F6F">
              <w:rPr>
                <w:szCs w:val="22"/>
                <w:lang w:val="el-GR"/>
              </w:rPr>
              <w:t>.</w:t>
            </w:r>
          </w:p>
          <w:p w:rsidR="00461D88" w:rsidRPr="00170F6F" w:rsidRDefault="00461D88" w:rsidP="00C773E4">
            <w:pPr>
              <w:rPr>
                <w:noProof/>
                <w:szCs w:val="22"/>
                <w:lang w:val="el-GR"/>
              </w:rPr>
            </w:pPr>
          </w:p>
          <w:p w:rsidR="00461D88" w:rsidRPr="00170F6F" w:rsidRDefault="00461D88" w:rsidP="00C773E4">
            <w:pPr>
              <w:rPr>
                <w:noProof/>
                <w:szCs w:val="22"/>
                <w:lang w:val="el-GR"/>
              </w:rPr>
            </w:pPr>
            <w:r w:rsidRPr="00170F6F">
              <w:rPr>
                <w:szCs w:val="22"/>
                <w:vertAlign w:val="superscript"/>
                <w:lang w:val="el-GR"/>
              </w:rPr>
              <w:t xml:space="preserve">££ </w:t>
            </w:r>
            <w:r w:rsidRPr="00170F6F">
              <w:rPr>
                <w:szCs w:val="22"/>
                <w:lang w:val="el-GR"/>
              </w:rPr>
              <w:t xml:space="preserve">Τα στελέχη S </w:t>
            </w:r>
            <w:proofErr w:type="spellStart"/>
            <w:r w:rsidRPr="00170F6F">
              <w:rPr>
                <w:szCs w:val="22"/>
                <w:lang w:val="el-GR"/>
              </w:rPr>
              <w:t>pneumoniae</w:t>
            </w:r>
            <w:proofErr w:type="spellEnd"/>
            <w:r w:rsidRPr="00170F6F">
              <w:rPr>
                <w:szCs w:val="22"/>
                <w:lang w:val="el-GR"/>
              </w:rPr>
              <w:t xml:space="preserve"> που έχουν ενδιάμεση ευαισθησία ή είναι ανθεκτικά σε </w:t>
            </w:r>
            <w:proofErr w:type="spellStart"/>
            <w:r w:rsidRPr="00170F6F">
              <w:rPr>
                <w:szCs w:val="22"/>
                <w:lang w:val="el-GR"/>
              </w:rPr>
              <w:t>πενικιλλίνη</w:t>
            </w:r>
            <w:proofErr w:type="spellEnd"/>
            <w:r w:rsidRPr="00170F6F">
              <w:rPr>
                <w:szCs w:val="22"/>
                <w:lang w:val="el-GR"/>
              </w:rPr>
              <w:t xml:space="preserve"> αναμένεται ότι θα έχουν τουλάχιστον μειωμένη ευαισθησία σε </w:t>
            </w:r>
            <w:proofErr w:type="spellStart"/>
            <w:r w:rsidRPr="00170F6F">
              <w:rPr>
                <w:szCs w:val="22"/>
                <w:lang w:val="el-GR"/>
              </w:rPr>
              <w:t>κεφταζιδίμη</w:t>
            </w:r>
            <w:proofErr w:type="spellEnd"/>
            <w:r w:rsidRPr="00170F6F">
              <w:rPr>
                <w:szCs w:val="22"/>
                <w:lang w:val="el-GR"/>
              </w:rPr>
              <w:t xml:space="preserve">. </w:t>
            </w:r>
          </w:p>
          <w:p w:rsidR="00461D88" w:rsidRPr="00170F6F" w:rsidRDefault="00461D88" w:rsidP="00C773E4">
            <w:pPr>
              <w:rPr>
                <w:i/>
                <w:color w:val="000000"/>
                <w:szCs w:val="22"/>
                <w:lang w:val="el-GR" w:eastAsia="en-GB"/>
              </w:rPr>
            </w:pPr>
          </w:p>
          <w:p w:rsidR="00461D88" w:rsidRPr="00170F6F" w:rsidRDefault="00461D88" w:rsidP="00C773E4">
            <w:pPr>
              <w:rPr>
                <w:noProof/>
                <w:szCs w:val="22"/>
                <w:lang w:val="el-GR"/>
              </w:rPr>
            </w:pPr>
            <w:r w:rsidRPr="00170F6F">
              <w:rPr>
                <w:noProof/>
                <w:szCs w:val="22"/>
                <w:lang w:val="el-GR"/>
              </w:rPr>
              <w:t>+ Υψηλές συχνότητες αντοχής ε΄χουν παρατηρηθεί σε μία ή περισσότερες περιοχές/χώρες εντός της ΕΕ.</w:t>
            </w:r>
          </w:p>
          <w:p w:rsidR="00461D88" w:rsidRPr="00170F6F" w:rsidRDefault="00461D88" w:rsidP="00C773E4">
            <w:pPr>
              <w:rPr>
                <w:color w:val="000000"/>
                <w:szCs w:val="22"/>
                <w:lang w:val="el-GR" w:eastAsia="en-GB"/>
              </w:rPr>
            </w:pPr>
          </w:p>
        </w:tc>
      </w:tr>
    </w:tbl>
    <w:p w:rsidR="00461D88" w:rsidRPr="00170F6F" w:rsidRDefault="00461D88" w:rsidP="00461D88">
      <w:pPr>
        <w:ind w:left="567" w:hanging="567"/>
        <w:rPr>
          <w:b/>
          <w:szCs w:val="22"/>
          <w:lang w:val="el-GR"/>
        </w:rPr>
      </w:pPr>
    </w:p>
    <w:p w:rsidR="00461D88" w:rsidRPr="00170F6F" w:rsidRDefault="00461D88" w:rsidP="00461D88">
      <w:pPr>
        <w:ind w:left="567" w:hanging="567"/>
        <w:rPr>
          <w:b/>
          <w:szCs w:val="22"/>
          <w:lang w:val="el-GR"/>
        </w:rPr>
      </w:pPr>
      <w:r w:rsidRPr="00170F6F">
        <w:rPr>
          <w:b/>
          <w:szCs w:val="22"/>
          <w:lang w:val="el-GR"/>
        </w:rPr>
        <w:t>5.2</w:t>
      </w:r>
      <w:r w:rsidRPr="00170F6F">
        <w:rPr>
          <w:b/>
          <w:szCs w:val="22"/>
          <w:lang w:val="el-GR"/>
        </w:rPr>
        <w:tab/>
      </w:r>
      <w:proofErr w:type="spellStart"/>
      <w:r w:rsidRPr="00170F6F">
        <w:rPr>
          <w:b/>
          <w:szCs w:val="22"/>
          <w:lang w:val="el-GR"/>
        </w:rPr>
        <w:t>Φαρμακοκινητικές</w:t>
      </w:r>
      <w:proofErr w:type="spellEnd"/>
      <w:r w:rsidRPr="00170F6F">
        <w:rPr>
          <w:b/>
          <w:szCs w:val="22"/>
          <w:lang w:val="el-GR"/>
        </w:rPr>
        <w:t xml:space="preserve"> ιδιότητες</w:t>
      </w:r>
    </w:p>
    <w:p w:rsidR="00461D88" w:rsidRPr="00170F6F" w:rsidRDefault="00461D88" w:rsidP="00461D88">
      <w:pPr>
        <w:ind w:left="567" w:hanging="567"/>
        <w:rPr>
          <w:b/>
          <w:szCs w:val="22"/>
          <w:lang w:val="el-GR"/>
        </w:rPr>
      </w:pPr>
    </w:p>
    <w:p w:rsidR="00461D88" w:rsidRPr="00170F6F" w:rsidRDefault="00461D88" w:rsidP="00461D88">
      <w:pPr>
        <w:ind w:left="567" w:hanging="567"/>
        <w:rPr>
          <w:szCs w:val="22"/>
          <w:u w:val="single"/>
          <w:lang w:val="el-GR"/>
        </w:rPr>
      </w:pPr>
      <w:r w:rsidRPr="00170F6F">
        <w:rPr>
          <w:szCs w:val="22"/>
          <w:u w:val="single"/>
          <w:lang w:val="el-GR"/>
        </w:rPr>
        <w:t>Απορρόφηση</w:t>
      </w:r>
    </w:p>
    <w:p w:rsidR="00461D88" w:rsidRPr="00170F6F" w:rsidRDefault="00461D88" w:rsidP="00461D88">
      <w:pPr>
        <w:ind w:left="567" w:hanging="567"/>
        <w:rPr>
          <w:b/>
          <w:szCs w:val="22"/>
          <w:lang w:val="el-GR"/>
        </w:rPr>
      </w:pPr>
    </w:p>
    <w:p w:rsidR="00461D88" w:rsidRPr="00170F6F" w:rsidRDefault="00461D88" w:rsidP="00461D88">
      <w:pPr>
        <w:tabs>
          <w:tab w:val="clear" w:pos="567"/>
          <w:tab w:val="left" w:pos="0"/>
        </w:tabs>
        <w:rPr>
          <w:szCs w:val="22"/>
          <w:lang w:val="el-GR"/>
        </w:rPr>
      </w:pPr>
      <w:r w:rsidRPr="00170F6F">
        <w:rPr>
          <w:szCs w:val="22"/>
          <w:lang w:val="el-GR"/>
        </w:rPr>
        <w:t>Κατόπιν ενδομυϊκής χορήγησης 500 </w:t>
      </w:r>
      <w:proofErr w:type="spellStart"/>
      <w:r w:rsidRPr="00170F6F">
        <w:rPr>
          <w:szCs w:val="22"/>
          <w:lang w:val="el-GR"/>
        </w:rPr>
        <w:t>mg</w:t>
      </w:r>
      <w:proofErr w:type="spellEnd"/>
      <w:r w:rsidRPr="00170F6F">
        <w:rPr>
          <w:szCs w:val="22"/>
          <w:lang w:val="el-GR"/>
        </w:rPr>
        <w:t xml:space="preserve"> και 1 g </w:t>
      </w:r>
      <w:proofErr w:type="spellStart"/>
      <w:r w:rsidRPr="00170F6F">
        <w:rPr>
          <w:szCs w:val="22"/>
          <w:lang w:val="el-GR"/>
        </w:rPr>
        <w:t>κεφταζιδίμης</w:t>
      </w:r>
      <w:proofErr w:type="spellEnd"/>
      <w:r w:rsidRPr="00170F6F">
        <w:rPr>
          <w:szCs w:val="22"/>
          <w:lang w:val="el-GR"/>
        </w:rPr>
        <w:t>, τα μέγιστα επίπεδα στο πλάσμα 18 και 37 </w:t>
      </w:r>
      <w:proofErr w:type="spellStart"/>
      <w:r w:rsidRPr="00170F6F">
        <w:rPr>
          <w:szCs w:val="22"/>
          <w:lang w:val="el-GR"/>
        </w:rPr>
        <w:t>mg</w:t>
      </w:r>
      <w:proofErr w:type="spellEnd"/>
      <w:r w:rsidRPr="00170F6F">
        <w:rPr>
          <w:szCs w:val="22"/>
          <w:lang w:val="el-GR"/>
        </w:rPr>
        <w:t xml:space="preserve">/l αντίστοιχα, επιτυγχάνονται ταχέως. Πέντε λεπτά μετά από ενδοφλέβια ένεση </w:t>
      </w:r>
      <w:proofErr w:type="spellStart"/>
      <w:r w:rsidRPr="00170F6F">
        <w:rPr>
          <w:szCs w:val="22"/>
          <w:lang w:val="el-GR"/>
        </w:rPr>
        <w:t>bolus</w:t>
      </w:r>
      <w:proofErr w:type="spellEnd"/>
      <w:r w:rsidRPr="00170F6F">
        <w:rPr>
          <w:szCs w:val="22"/>
          <w:lang w:val="el-GR"/>
        </w:rPr>
        <w:t xml:space="preserve"> 500 </w:t>
      </w:r>
      <w:proofErr w:type="spellStart"/>
      <w:r w:rsidRPr="00170F6F">
        <w:rPr>
          <w:szCs w:val="22"/>
          <w:lang w:val="el-GR"/>
        </w:rPr>
        <w:t>mg</w:t>
      </w:r>
      <w:proofErr w:type="spellEnd"/>
      <w:r w:rsidRPr="00170F6F">
        <w:rPr>
          <w:szCs w:val="22"/>
          <w:lang w:val="el-GR"/>
        </w:rPr>
        <w:t>, 1 g ή 2 g, τα επίπεδα στο πλάσμα είναι 46, 87 και 170 </w:t>
      </w:r>
      <w:proofErr w:type="spellStart"/>
      <w:r w:rsidRPr="00170F6F">
        <w:rPr>
          <w:szCs w:val="22"/>
          <w:lang w:val="el-GR"/>
        </w:rPr>
        <w:t>mg</w:t>
      </w:r>
      <w:proofErr w:type="spellEnd"/>
      <w:r w:rsidRPr="00170F6F">
        <w:rPr>
          <w:szCs w:val="22"/>
          <w:lang w:val="el-GR"/>
        </w:rPr>
        <w:t xml:space="preserve">/l, αντίστοιχα. Η κινητική της </w:t>
      </w:r>
      <w:proofErr w:type="spellStart"/>
      <w:r w:rsidRPr="00170F6F">
        <w:rPr>
          <w:szCs w:val="22"/>
          <w:lang w:val="el-GR"/>
        </w:rPr>
        <w:t>κεφταζιδίμης</w:t>
      </w:r>
      <w:proofErr w:type="spellEnd"/>
      <w:r w:rsidRPr="00170F6F">
        <w:rPr>
          <w:szCs w:val="22"/>
          <w:lang w:val="el-GR"/>
        </w:rPr>
        <w:t xml:space="preserve"> είναι γραμμική εντός ενός εύρους μονής δόσης 0,5 έως 2</w:t>
      </w:r>
      <w:r w:rsidRPr="00170F6F">
        <w:rPr>
          <w:szCs w:val="22"/>
        </w:rPr>
        <w:t> g</w:t>
      </w:r>
      <w:r w:rsidRPr="00170F6F">
        <w:rPr>
          <w:szCs w:val="22"/>
          <w:lang w:val="el-GR"/>
        </w:rPr>
        <w:t xml:space="preserve"> μετά από ενδοφλέβια ή ενδομυϊκή χορήγηση.</w:t>
      </w:r>
    </w:p>
    <w:p w:rsidR="00461D88" w:rsidRPr="00170F6F" w:rsidRDefault="00461D88" w:rsidP="00461D88">
      <w:pPr>
        <w:tabs>
          <w:tab w:val="clear" w:pos="567"/>
          <w:tab w:val="left" w:pos="0"/>
        </w:tabs>
        <w:rPr>
          <w:szCs w:val="22"/>
          <w:lang w:val="el-GR"/>
        </w:rPr>
      </w:pPr>
    </w:p>
    <w:p w:rsidR="00FC2EE4" w:rsidRPr="003536AE" w:rsidRDefault="00FC2EE4" w:rsidP="00461D88">
      <w:pPr>
        <w:tabs>
          <w:tab w:val="clear" w:pos="567"/>
          <w:tab w:val="left" w:pos="0"/>
        </w:tabs>
        <w:rPr>
          <w:szCs w:val="22"/>
          <w:u w:val="single"/>
          <w:lang w:val="el-GR"/>
        </w:rPr>
      </w:pPr>
    </w:p>
    <w:p w:rsidR="00461D88" w:rsidRPr="00170F6F" w:rsidRDefault="00461D88" w:rsidP="00461D88">
      <w:pPr>
        <w:tabs>
          <w:tab w:val="clear" w:pos="567"/>
          <w:tab w:val="left" w:pos="0"/>
        </w:tabs>
        <w:rPr>
          <w:szCs w:val="22"/>
          <w:u w:val="single"/>
          <w:lang w:val="el-GR"/>
        </w:rPr>
      </w:pPr>
      <w:r w:rsidRPr="00170F6F">
        <w:rPr>
          <w:szCs w:val="22"/>
          <w:u w:val="single"/>
          <w:lang w:val="el-GR"/>
        </w:rPr>
        <w:lastRenderedPageBreak/>
        <w:t>Κατανομή</w:t>
      </w:r>
    </w:p>
    <w:p w:rsidR="00461D88" w:rsidRPr="00170F6F" w:rsidRDefault="00461D88" w:rsidP="00461D88">
      <w:pPr>
        <w:tabs>
          <w:tab w:val="clear" w:pos="567"/>
          <w:tab w:val="left" w:pos="0"/>
        </w:tabs>
        <w:rPr>
          <w:b/>
          <w:szCs w:val="22"/>
          <w:lang w:val="el-GR"/>
        </w:rPr>
      </w:pPr>
    </w:p>
    <w:p w:rsidR="00461D88" w:rsidRPr="00170F6F" w:rsidRDefault="00461D88" w:rsidP="00461D88">
      <w:pPr>
        <w:tabs>
          <w:tab w:val="clear" w:pos="567"/>
          <w:tab w:val="left" w:pos="0"/>
        </w:tabs>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συνδέεται με πρωτεΐνες του ορού σε χαμηλό ποσοστό, περίπου 10 %. Συγκεντρώσεις ανώτερες της MIC για κοινά παθογόνα μπορεί να επιτευχθούν σε ιστούς όπως τα οστά, η καρδιά, η χολή, τα πτύελα, το υδατοειδές υγρό, το αρθρικό, πλευριτικό και περιτοναϊκό υγρό. Η </w:t>
      </w:r>
      <w:proofErr w:type="spellStart"/>
      <w:r w:rsidRPr="00170F6F">
        <w:rPr>
          <w:szCs w:val="22"/>
          <w:lang w:val="el-GR"/>
        </w:rPr>
        <w:t>κεφταζιδίμη</w:t>
      </w:r>
      <w:proofErr w:type="spellEnd"/>
      <w:r w:rsidRPr="00170F6F">
        <w:rPr>
          <w:szCs w:val="22"/>
          <w:lang w:val="el-GR"/>
        </w:rPr>
        <w:t xml:space="preserve"> διέρχεται άμεσα τον πλακούντα και απεκκρίνεται στο μητρικό γάλα. Η διείσδυση του ακέραιου </w:t>
      </w:r>
      <w:proofErr w:type="spellStart"/>
      <w:r w:rsidRPr="00170F6F">
        <w:rPr>
          <w:szCs w:val="22"/>
          <w:lang w:val="el-GR"/>
        </w:rPr>
        <w:t>αιματοεγκεφαλικού</w:t>
      </w:r>
      <w:proofErr w:type="spellEnd"/>
      <w:r w:rsidRPr="00170F6F">
        <w:rPr>
          <w:szCs w:val="22"/>
          <w:lang w:val="el-GR"/>
        </w:rPr>
        <w:t xml:space="preserve"> φραγμού είναι ελάχιστη, με αποτέλεσμα </w:t>
      </w:r>
      <w:proofErr w:type="spellStart"/>
      <w:r w:rsidRPr="00170F6F">
        <w:rPr>
          <w:szCs w:val="22"/>
          <w:lang w:val="el-GR"/>
        </w:rPr>
        <w:t>οισυγκεντρώσεις</w:t>
      </w:r>
      <w:proofErr w:type="spellEnd"/>
      <w:r w:rsidRPr="00170F6F">
        <w:rPr>
          <w:szCs w:val="22"/>
          <w:lang w:val="el-GR"/>
        </w:rPr>
        <w:t xml:space="preserve"> της </w:t>
      </w:r>
      <w:proofErr w:type="spellStart"/>
      <w:r w:rsidRPr="00170F6F">
        <w:rPr>
          <w:szCs w:val="22"/>
          <w:lang w:val="el-GR"/>
        </w:rPr>
        <w:t>κεφταζιδίμης</w:t>
      </w:r>
      <w:proofErr w:type="spellEnd"/>
      <w:r w:rsidRPr="00170F6F">
        <w:rPr>
          <w:szCs w:val="22"/>
          <w:lang w:val="el-GR"/>
        </w:rPr>
        <w:t xml:space="preserve"> στο ΕΝΥ όταν δεν υπάρχει φλεγμονή να παραμένουν χαμηλές. Ωστόσο, συγκεντρώσεις 4 έως 20 </w:t>
      </w:r>
      <w:proofErr w:type="spellStart"/>
      <w:r w:rsidRPr="00170F6F">
        <w:rPr>
          <w:szCs w:val="22"/>
          <w:lang w:val="el-GR"/>
        </w:rPr>
        <w:t>mg</w:t>
      </w:r>
      <w:proofErr w:type="spellEnd"/>
      <w:r w:rsidRPr="00170F6F">
        <w:rPr>
          <w:szCs w:val="22"/>
          <w:lang w:val="el-GR"/>
        </w:rPr>
        <w:t>/l ή μεγαλύτερες εντοπίζονται στο ΕΝΥ όταν υπάρχει φλεγμονή στις μήνιγγες.</w:t>
      </w:r>
    </w:p>
    <w:p w:rsidR="00461D88" w:rsidRPr="00170F6F" w:rsidRDefault="00461D88" w:rsidP="00461D88">
      <w:pPr>
        <w:tabs>
          <w:tab w:val="clear" w:pos="567"/>
          <w:tab w:val="left" w:pos="0"/>
        </w:tabs>
        <w:rPr>
          <w:szCs w:val="22"/>
          <w:lang w:val="el-GR"/>
        </w:rPr>
      </w:pPr>
    </w:p>
    <w:p w:rsidR="00461D88" w:rsidRPr="00170F6F" w:rsidRDefault="00461D88" w:rsidP="00461D88">
      <w:pPr>
        <w:tabs>
          <w:tab w:val="clear" w:pos="567"/>
          <w:tab w:val="left" w:pos="0"/>
        </w:tabs>
        <w:rPr>
          <w:szCs w:val="22"/>
          <w:u w:val="single"/>
          <w:lang w:val="el-GR"/>
        </w:rPr>
      </w:pPr>
      <w:proofErr w:type="spellStart"/>
      <w:r w:rsidRPr="00170F6F">
        <w:rPr>
          <w:szCs w:val="22"/>
          <w:u w:val="single"/>
          <w:lang w:val="el-GR"/>
        </w:rPr>
        <w:t>Βιομετασχηματισμός</w:t>
      </w:r>
      <w:proofErr w:type="spellEnd"/>
    </w:p>
    <w:p w:rsidR="00461D88" w:rsidRPr="00170F6F" w:rsidRDefault="00461D88" w:rsidP="00461D88">
      <w:pPr>
        <w:tabs>
          <w:tab w:val="clear" w:pos="567"/>
          <w:tab w:val="left" w:pos="0"/>
        </w:tabs>
        <w:rPr>
          <w:b/>
          <w:szCs w:val="22"/>
          <w:lang w:val="el-GR"/>
        </w:rPr>
      </w:pPr>
    </w:p>
    <w:p w:rsidR="00461D88" w:rsidRPr="00170F6F" w:rsidRDefault="00461D88" w:rsidP="00461D88">
      <w:pPr>
        <w:tabs>
          <w:tab w:val="clear" w:pos="567"/>
          <w:tab w:val="left" w:pos="0"/>
        </w:tabs>
        <w:rPr>
          <w:b/>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δεν μεταβολίζεται.</w:t>
      </w:r>
    </w:p>
    <w:p w:rsidR="00461D88" w:rsidRPr="00170F6F" w:rsidRDefault="00461D88" w:rsidP="00461D88">
      <w:pPr>
        <w:tabs>
          <w:tab w:val="clear" w:pos="567"/>
          <w:tab w:val="left" w:pos="0"/>
        </w:tabs>
        <w:rPr>
          <w:b/>
          <w:szCs w:val="22"/>
          <w:lang w:val="el-GR"/>
        </w:rPr>
      </w:pPr>
    </w:p>
    <w:p w:rsidR="00461D88" w:rsidRPr="00170F6F" w:rsidRDefault="00461D88" w:rsidP="00461D88">
      <w:pPr>
        <w:ind w:left="567" w:hanging="567"/>
        <w:rPr>
          <w:szCs w:val="22"/>
          <w:u w:val="single"/>
          <w:lang w:val="el-GR"/>
        </w:rPr>
      </w:pPr>
      <w:r w:rsidRPr="00170F6F">
        <w:rPr>
          <w:szCs w:val="22"/>
          <w:u w:val="single"/>
          <w:lang w:val="el-GR"/>
        </w:rPr>
        <w:t>Αποβολή</w:t>
      </w:r>
    </w:p>
    <w:p w:rsidR="00461D88" w:rsidRPr="00170F6F" w:rsidRDefault="00461D88" w:rsidP="00461D88">
      <w:pPr>
        <w:ind w:left="567" w:hanging="567"/>
        <w:rPr>
          <w:b/>
          <w:szCs w:val="22"/>
          <w:lang w:val="el-GR"/>
        </w:rPr>
      </w:pPr>
    </w:p>
    <w:p w:rsidR="00461D88" w:rsidRPr="00170F6F" w:rsidRDefault="00461D88" w:rsidP="00461D88">
      <w:pPr>
        <w:rPr>
          <w:szCs w:val="22"/>
          <w:lang w:val="el-GR"/>
        </w:rPr>
      </w:pPr>
      <w:r w:rsidRPr="00170F6F">
        <w:rPr>
          <w:szCs w:val="22"/>
          <w:lang w:val="el-GR"/>
        </w:rPr>
        <w:t xml:space="preserve">Μετά από παρεντερική χορήγηση, οι συγκεντρώσεις στο πλάσμα φθίνουν με χρόνο </w:t>
      </w:r>
      <w:proofErr w:type="spellStart"/>
      <w:r w:rsidRPr="00170F6F">
        <w:rPr>
          <w:szCs w:val="22"/>
          <w:lang w:val="el-GR"/>
        </w:rPr>
        <w:t>ημιζωής</w:t>
      </w:r>
      <w:proofErr w:type="spellEnd"/>
      <w:r w:rsidRPr="00170F6F">
        <w:rPr>
          <w:szCs w:val="22"/>
          <w:lang w:val="el-GR"/>
        </w:rPr>
        <w:t xml:space="preserve"> περίπου 2 ώρες. Η </w:t>
      </w:r>
      <w:proofErr w:type="spellStart"/>
      <w:r w:rsidRPr="00170F6F">
        <w:rPr>
          <w:szCs w:val="22"/>
          <w:lang w:val="el-GR"/>
        </w:rPr>
        <w:t>κεφταζιδίμη</w:t>
      </w:r>
      <w:proofErr w:type="spellEnd"/>
      <w:r w:rsidRPr="00170F6F">
        <w:rPr>
          <w:szCs w:val="22"/>
          <w:lang w:val="el-GR"/>
        </w:rPr>
        <w:t xml:space="preserve"> απεκκρίνεται αμετάβλητη στα ούρα μέσω </w:t>
      </w:r>
      <w:proofErr w:type="spellStart"/>
      <w:r w:rsidRPr="00170F6F">
        <w:rPr>
          <w:szCs w:val="22"/>
          <w:lang w:val="el-GR"/>
        </w:rPr>
        <w:t>σπειραματικής</w:t>
      </w:r>
      <w:proofErr w:type="spellEnd"/>
      <w:r w:rsidRPr="00170F6F">
        <w:rPr>
          <w:szCs w:val="22"/>
          <w:lang w:val="el-GR"/>
        </w:rPr>
        <w:t xml:space="preserve"> διήθησης. Ποσοστό 80 με 90 % της δόσης ανακτάται στα ούρα μέσα σε 24 ώρες. Λιγότερο από 1 % απεκκρίνεται δια της χολής.</w:t>
      </w:r>
    </w:p>
    <w:p w:rsidR="00461D88" w:rsidRPr="00170F6F" w:rsidRDefault="00461D88" w:rsidP="00461D88">
      <w:pPr>
        <w:ind w:left="567" w:hanging="567"/>
        <w:rPr>
          <w:b/>
          <w:szCs w:val="22"/>
          <w:lang w:val="el-GR"/>
        </w:rPr>
      </w:pPr>
    </w:p>
    <w:p w:rsidR="00461D88" w:rsidRPr="00170F6F" w:rsidRDefault="00461D88" w:rsidP="00461D88">
      <w:pPr>
        <w:ind w:left="567" w:hanging="567"/>
        <w:rPr>
          <w:szCs w:val="22"/>
          <w:u w:val="single"/>
          <w:lang w:val="el-GR"/>
        </w:rPr>
      </w:pPr>
      <w:r w:rsidRPr="00170F6F">
        <w:rPr>
          <w:szCs w:val="22"/>
          <w:u w:val="single"/>
          <w:lang w:val="el-GR"/>
        </w:rPr>
        <w:t>Ειδικοί πληθυσμοί ασθενών</w:t>
      </w:r>
    </w:p>
    <w:p w:rsidR="00461D88" w:rsidRPr="00170F6F" w:rsidRDefault="00461D88" w:rsidP="00461D88">
      <w:pPr>
        <w:ind w:left="567" w:hanging="567"/>
        <w:rPr>
          <w:szCs w:val="22"/>
          <w:u w:val="single"/>
          <w:lang w:val="el-GR"/>
        </w:rPr>
      </w:pPr>
    </w:p>
    <w:p w:rsidR="00461D88" w:rsidRPr="00170F6F" w:rsidRDefault="00461D88" w:rsidP="00461D88">
      <w:pPr>
        <w:ind w:left="567" w:hanging="567"/>
        <w:rPr>
          <w:i/>
          <w:szCs w:val="22"/>
          <w:lang w:val="el-GR"/>
        </w:rPr>
      </w:pPr>
      <w:r w:rsidRPr="00170F6F">
        <w:rPr>
          <w:i/>
          <w:szCs w:val="22"/>
          <w:lang w:val="el-GR"/>
        </w:rPr>
        <w:t>Νεφρική δυσλειτουργία</w:t>
      </w:r>
    </w:p>
    <w:p w:rsidR="00461D88" w:rsidRPr="00170F6F" w:rsidRDefault="00461D88" w:rsidP="00461D88">
      <w:pPr>
        <w:ind w:left="567" w:hanging="567"/>
        <w:rPr>
          <w:szCs w:val="22"/>
          <w:u w:val="single"/>
          <w:lang w:val="el-GR"/>
        </w:rPr>
      </w:pPr>
    </w:p>
    <w:p w:rsidR="00461D88" w:rsidRPr="00170F6F" w:rsidRDefault="00461D88" w:rsidP="00461D88">
      <w:pPr>
        <w:pStyle w:val="Web"/>
        <w:spacing w:before="0" w:beforeAutospacing="0" w:after="0"/>
        <w:rPr>
          <w:sz w:val="22"/>
          <w:szCs w:val="22"/>
          <w:lang w:val="el-GR"/>
        </w:rPr>
      </w:pPr>
      <w:r w:rsidRPr="00170F6F">
        <w:rPr>
          <w:sz w:val="22"/>
          <w:szCs w:val="22"/>
          <w:lang w:val="el-GR"/>
        </w:rPr>
        <w:t xml:space="preserve">Η αποβολή της </w:t>
      </w:r>
      <w:proofErr w:type="spellStart"/>
      <w:r w:rsidRPr="00170F6F">
        <w:rPr>
          <w:sz w:val="22"/>
          <w:szCs w:val="22"/>
          <w:lang w:val="el-GR"/>
        </w:rPr>
        <w:t>κεφταζιδίμης</w:t>
      </w:r>
      <w:proofErr w:type="spellEnd"/>
      <w:r w:rsidRPr="00170F6F">
        <w:rPr>
          <w:sz w:val="22"/>
          <w:szCs w:val="22"/>
          <w:lang w:val="el-GR"/>
        </w:rPr>
        <w:t xml:space="preserve"> είναι περιορισμένη σε ασθενείς με νεφρική δυσλειτουργία και η δόση θα πρέπει να μειώνεται (βλέπε παράγραφο 4.2).</w:t>
      </w:r>
    </w:p>
    <w:p w:rsidR="00461D88" w:rsidRPr="00170F6F" w:rsidRDefault="00461D88" w:rsidP="00461D88">
      <w:pPr>
        <w:pStyle w:val="Web"/>
        <w:spacing w:before="0" w:beforeAutospacing="0" w:after="0"/>
        <w:rPr>
          <w:i/>
          <w:sz w:val="22"/>
          <w:szCs w:val="22"/>
          <w:lang w:val="el-GR"/>
        </w:rPr>
      </w:pPr>
    </w:p>
    <w:p w:rsidR="00461D88" w:rsidRPr="00170F6F" w:rsidRDefault="00461D88" w:rsidP="00461D88">
      <w:pPr>
        <w:pStyle w:val="Web"/>
        <w:spacing w:before="0" w:beforeAutospacing="0" w:after="0"/>
        <w:rPr>
          <w:i/>
          <w:sz w:val="22"/>
          <w:szCs w:val="22"/>
          <w:lang w:val="el-GR"/>
        </w:rPr>
      </w:pPr>
      <w:r w:rsidRPr="00170F6F">
        <w:rPr>
          <w:i/>
          <w:sz w:val="22"/>
          <w:szCs w:val="22"/>
          <w:lang w:val="el-GR"/>
        </w:rPr>
        <w:t>Ηπατική δυσλειτουργία</w:t>
      </w:r>
    </w:p>
    <w:p w:rsidR="00461D88" w:rsidRPr="00170F6F" w:rsidRDefault="00461D88" w:rsidP="00461D88">
      <w:pPr>
        <w:pStyle w:val="Web"/>
        <w:spacing w:before="0" w:beforeAutospacing="0" w:after="0"/>
        <w:rPr>
          <w:sz w:val="22"/>
          <w:szCs w:val="22"/>
          <w:lang w:val="el-GR"/>
        </w:rPr>
      </w:pPr>
    </w:p>
    <w:p w:rsidR="00461D88" w:rsidRPr="00170F6F" w:rsidRDefault="00461D88" w:rsidP="00461D88">
      <w:pPr>
        <w:pStyle w:val="Web"/>
        <w:spacing w:before="0" w:beforeAutospacing="0" w:after="0"/>
        <w:rPr>
          <w:sz w:val="22"/>
          <w:szCs w:val="22"/>
          <w:lang w:val="el-GR"/>
        </w:rPr>
      </w:pPr>
      <w:r w:rsidRPr="00170F6F">
        <w:rPr>
          <w:sz w:val="22"/>
          <w:szCs w:val="22"/>
          <w:lang w:val="el-GR"/>
        </w:rPr>
        <w:t xml:space="preserve">Η ύπαρξη ήπιας έως μέτριας ηπατικής δυσλειτουργίας δεν είχε επίδραση στη </w:t>
      </w:r>
      <w:proofErr w:type="spellStart"/>
      <w:r w:rsidRPr="00170F6F">
        <w:rPr>
          <w:sz w:val="22"/>
          <w:szCs w:val="22"/>
          <w:lang w:val="el-GR"/>
        </w:rPr>
        <w:t>φαρμακοκινητική</w:t>
      </w:r>
      <w:proofErr w:type="spellEnd"/>
      <w:r w:rsidRPr="00170F6F">
        <w:rPr>
          <w:sz w:val="22"/>
          <w:szCs w:val="22"/>
          <w:lang w:val="el-GR"/>
        </w:rPr>
        <w:t xml:space="preserve"> της </w:t>
      </w:r>
      <w:proofErr w:type="spellStart"/>
      <w:r w:rsidRPr="00170F6F">
        <w:rPr>
          <w:sz w:val="22"/>
          <w:szCs w:val="22"/>
          <w:lang w:val="el-GR"/>
        </w:rPr>
        <w:t>κεφταζιδίμης</w:t>
      </w:r>
      <w:proofErr w:type="spellEnd"/>
      <w:r w:rsidRPr="00170F6F">
        <w:rPr>
          <w:sz w:val="22"/>
          <w:szCs w:val="22"/>
          <w:lang w:val="el-GR"/>
        </w:rPr>
        <w:t xml:space="preserve"> σε άτομα που έλαβαν 2 </w:t>
      </w:r>
      <w:r w:rsidRPr="00170F6F">
        <w:rPr>
          <w:sz w:val="22"/>
          <w:szCs w:val="22"/>
          <w:lang w:val="en-US"/>
        </w:rPr>
        <w:t>g</w:t>
      </w:r>
      <w:r w:rsidRPr="00170F6F">
        <w:rPr>
          <w:sz w:val="22"/>
          <w:szCs w:val="22"/>
          <w:lang w:val="el-GR"/>
        </w:rPr>
        <w:t xml:space="preserve"> ενδοφλεβίως κάθε 8 ώρες επί 5 ημέρες  υπό τον όρο ότι δεν υπήρχε έκπτωση της νεφρικής λειτουργίας (βλέπε παράγραφο 4.2).</w:t>
      </w:r>
    </w:p>
    <w:p w:rsidR="00461D88" w:rsidRPr="00170F6F" w:rsidRDefault="00461D88" w:rsidP="00461D88">
      <w:pPr>
        <w:pStyle w:val="Web"/>
        <w:spacing w:before="0" w:beforeAutospacing="0" w:after="0"/>
        <w:rPr>
          <w:sz w:val="22"/>
          <w:szCs w:val="22"/>
          <w:lang w:val="el-GR"/>
        </w:rPr>
      </w:pPr>
    </w:p>
    <w:p w:rsidR="00461D88" w:rsidRPr="00170F6F" w:rsidRDefault="00461D88" w:rsidP="00461D88">
      <w:pPr>
        <w:rPr>
          <w:i/>
          <w:szCs w:val="22"/>
          <w:lang w:val="el-GR"/>
        </w:rPr>
      </w:pPr>
      <w:r w:rsidRPr="00170F6F">
        <w:rPr>
          <w:i/>
          <w:szCs w:val="22"/>
          <w:lang w:val="el-GR"/>
        </w:rPr>
        <w:t>Ηλικιωμένοι</w:t>
      </w:r>
    </w:p>
    <w:p w:rsidR="00461D88" w:rsidRPr="00170F6F" w:rsidRDefault="00461D88" w:rsidP="00461D88">
      <w:pPr>
        <w:rPr>
          <w:b/>
          <w:szCs w:val="22"/>
          <w:lang w:val="el-GR"/>
        </w:rPr>
      </w:pPr>
    </w:p>
    <w:p w:rsidR="00461D88" w:rsidRPr="00170F6F" w:rsidRDefault="00461D88" w:rsidP="00461D88">
      <w:pPr>
        <w:rPr>
          <w:szCs w:val="22"/>
          <w:lang w:val="el-GR"/>
        </w:rPr>
      </w:pPr>
      <w:r w:rsidRPr="00170F6F">
        <w:rPr>
          <w:szCs w:val="22"/>
          <w:lang w:val="el-GR"/>
        </w:rPr>
        <w:t xml:space="preserve">Η περιορισμένη κάθαρση που παρατηρείται σε ηλικιωμένους ασθενείς οφειλόταν κυρίως στη σχετιζόμενη με την ηλικία μείωση της νεφρικής κάθαρσης της </w:t>
      </w:r>
      <w:proofErr w:type="spellStart"/>
      <w:r w:rsidRPr="00170F6F">
        <w:rPr>
          <w:szCs w:val="22"/>
          <w:lang w:val="el-GR"/>
        </w:rPr>
        <w:t>κεφταζιδίμης</w:t>
      </w:r>
      <w:proofErr w:type="spellEnd"/>
      <w:r w:rsidRPr="00170F6F">
        <w:rPr>
          <w:szCs w:val="22"/>
          <w:lang w:val="el-GR"/>
        </w:rPr>
        <w:t xml:space="preserve">. Ο μέσος χρόνος </w:t>
      </w:r>
      <w:proofErr w:type="spellStart"/>
      <w:r w:rsidRPr="00170F6F">
        <w:rPr>
          <w:szCs w:val="22"/>
          <w:lang w:val="el-GR"/>
        </w:rPr>
        <w:t>ημιζωής</w:t>
      </w:r>
      <w:proofErr w:type="spellEnd"/>
      <w:r w:rsidRPr="00170F6F">
        <w:rPr>
          <w:szCs w:val="22"/>
          <w:lang w:val="el-GR"/>
        </w:rPr>
        <w:t xml:space="preserve"> αποβολής κυμαίνεται από 3,5 έως 4 ώρες μετά από εφάπαξ ή επαναλαμβανόμενη για 7 ημέρες δις ημερησίως ενδοφλέβια ένεση </w:t>
      </w:r>
      <w:proofErr w:type="spellStart"/>
      <w:r w:rsidRPr="00170F6F">
        <w:rPr>
          <w:szCs w:val="22"/>
          <w:lang w:val="el-GR"/>
        </w:rPr>
        <w:t>bolus</w:t>
      </w:r>
      <w:proofErr w:type="spellEnd"/>
      <w:r w:rsidRPr="00170F6F">
        <w:rPr>
          <w:szCs w:val="22"/>
          <w:lang w:val="el-GR"/>
        </w:rPr>
        <w:t xml:space="preserve"> 2 g σε ηλικιωμένους ηλικίας 80 ετών και άνω.</w:t>
      </w:r>
    </w:p>
    <w:p w:rsidR="00461D88" w:rsidRPr="00170F6F" w:rsidRDefault="00461D88" w:rsidP="00461D88">
      <w:pPr>
        <w:rPr>
          <w:szCs w:val="22"/>
          <w:lang w:val="el-GR"/>
        </w:rPr>
      </w:pPr>
    </w:p>
    <w:p w:rsidR="00461D88" w:rsidRPr="00170F6F" w:rsidRDefault="00461D88" w:rsidP="00461D88">
      <w:pPr>
        <w:rPr>
          <w:i/>
          <w:szCs w:val="22"/>
          <w:lang w:val="el-GR"/>
        </w:rPr>
      </w:pPr>
      <w:r w:rsidRPr="00170F6F">
        <w:rPr>
          <w:i/>
          <w:szCs w:val="22"/>
          <w:lang w:val="el-GR"/>
        </w:rPr>
        <w:t>Παιδιατρικός πληθυσμός</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Ο χρόνος </w:t>
      </w:r>
      <w:proofErr w:type="spellStart"/>
      <w:r w:rsidRPr="00170F6F">
        <w:rPr>
          <w:szCs w:val="22"/>
          <w:lang w:val="el-GR"/>
        </w:rPr>
        <w:t>ημιζωής</w:t>
      </w:r>
      <w:proofErr w:type="spellEnd"/>
      <w:r w:rsidRPr="00170F6F">
        <w:rPr>
          <w:szCs w:val="22"/>
          <w:lang w:val="el-GR"/>
        </w:rPr>
        <w:t xml:space="preserve"> της </w:t>
      </w:r>
      <w:proofErr w:type="spellStart"/>
      <w:r w:rsidRPr="00170F6F">
        <w:rPr>
          <w:szCs w:val="22"/>
          <w:lang w:val="el-GR"/>
        </w:rPr>
        <w:t>κεφταζιδίμης</w:t>
      </w:r>
      <w:proofErr w:type="spellEnd"/>
      <w:r w:rsidRPr="00170F6F">
        <w:rPr>
          <w:szCs w:val="22"/>
          <w:lang w:val="el-GR"/>
        </w:rPr>
        <w:t xml:space="preserve"> είναι επιμηκυμένος κατά 4,5 έως 7,5 ώρες σε πρόωρα και </w:t>
      </w:r>
      <w:proofErr w:type="spellStart"/>
      <w:r w:rsidRPr="00170F6F">
        <w:rPr>
          <w:szCs w:val="22"/>
          <w:lang w:val="el-GR"/>
        </w:rPr>
        <w:t>τελειόμηνα</w:t>
      </w:r>
      <w:proofErr w:type="spellEnd"/>
      <w:r w:rsidRPr="00170F6F">
        <w:rPr>
          <w:szCs w:val="22"/>
          <w:lang w:val="el-GR"/>
        </w:rPr>
        <w:t xml:space="preserve"> νεογνά μετά από δόσεις 25 έως 30 </w:t>
      </w:r>
      <w:proofErr w:type="spellStart"/>
      <w:r w:rsidRPr="00170F6F">
        <w:rPr>
          <w:szCs w:val="22"/>
          <w:lang w:val="el-GR"/>
        </w:rPr>
        <w:t>mg</w:t>
      </w:r>
      <w:proofErr w:type="spellEnd"/>
      <w:r w:rsidRPr="00170F6F">
        <w:rPr>
          <w:szCs w:val="22"/>
          <w:lang w:val="el-GR"/>
        </w:rPr>
        <w:t>/</w:t>
      </w:r>
      <w:proofErr w:type="spellStart"/>
      <w:r w:rsidRPr="00170F6F">
        <w:rPr>
          <w:szCs w:val="22"/>
          <w:lang w:val="el-GR"/>
        </w:rPr>
        <w:t>kg</w:t>
      </w:r>
      <w:proofErr w:type="spellEnd"/>
      <w:r w:rsidRPr="00170F6F">
        <w:rPr>
          <w:szCs w:val="22"/>
          <w:lang w:val="el-GR"/>
        </w:rPr>
        <w:t xml:space="preserve">. Όμως, από την ηλικία των 2 μηνών, ο χρόνος </w:t>
      </w:r>
      <w:proofErr w:type="spellStart"/>
      <w:r w:rsidRPr="00170F6F">
        <w:rPr>
          <w:szCs w:val="22"/>
          <w:lang w:val="el-GR"/>
        </w:rPr>
        <w:t>ημιζωής</w:t>
      </w:r>
      <w:proofErr w:type="spellEnd"/>
      <w:r w:rsidRPr="00170F6F">
        <w:rPr>
          <w:szCs w:val="22"/>
          <w:lang w:val="el-GR"/>
        </w:rPr>
        <w:t xml:space="preserve"> δεν διαφέρει σε σύγκριση με τους ενήλικες. </w:t>
      </w:r>
    </w:p>
    <w:p w:rsidR="00461D88" w:rsidRPr="00170F6F" w:rsidRDefault="00461D88" w:rsidP="00461D88">
      <w:pPr>
        <w:rPr>
          <w:b/>
          <w:szCs w:val="22"/>
          <w:lang w:val="el-GR"/>
        </w:rPr>
      </w:pPr>
    </w:p>
    <w:p w:rsidR="00461D88" w:rsidRPr="00170F6F" w:rsidRDefault="00461D88" w:rsidP="00461D88">
      <w:pPr>
        <w:ind w:left="567" w:hanging="567"/>
        <w:rPr>
          <w:szCs w:val="22"/>
          <w:lang w:val="el-GR"/>
        </w:rPr>
      </w:pPr>
      <w:r w:rsidRPr="00170F6F">
        <w:rPr>
          <w:b/>
          <w:szCs w:val="22"/>
          <w:lang w:val="el-GR"/>
        </w:rPr>
        <w:t>5.3</w:t>
      </w:r>
      <w:r w:rsidRPr="00170F6F">
        <w:rPr>
          <w:b/>
          <w:szCs w:val="22"/>
          <w:lang w:val="el-GR"/>
        </w:rPr>
        <w:tab/>
      </w:r>
      <w:proofErr w:type="spellStart"/>
      <w:r w:rsidRPr="00170F6F">
        <w:rPr>
          <w:b/>
          <w:szCs w:val="22"/>
          <w:lang w:val="el-GR"/>
        </w:rPr>
        <w:t>Προκλινικά</w:t>
      </w:r>
      <w:proofErr w:type="spellEnd"/>
      <w:r w:rsidRPr="00170F6F">
        <w:rPr>
          <w:b/>
          <w:szCs w:val="22"/>
          <w:lang w:val="el-GR"/>
        </w:rPr>
        <w:t xml:space="preserve"> δεδομένα για την ασφάλεια</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Τα μη κλινικά δεδομένα δεν αποκαλύπτουν ιδιαίτερο κίνδυνο για τον άνθρωπο με βάση τις μελέτες φαρμακολογικής ασφάλειας, τοξικότητας επαναλαμβανόμενων δόσεων, </w:t>
      </w:r>
      <w:proofErr w:type="spellStart"/>
      <w:r w:rsidRPr="00170F6F">
        <w:rPr>
          <w:szCs w:val="22"/>
          <w:lang w:val="el-GR"/>
        </w:rPr>
        <w:t>γονοτοξικότητας</w:t>
      </w:r>
      <w:proofErr w:type="spellEnd"/>
      <w:r w:rsidRPr="00170F6F">
        <w:rPr>
          <w:szCs w:val="22"/>
          <w:lang w:val="el-GR"/>
        </w:rPr>
        <w:t xml:space="preserve"> και τοξικότητας στην αναπαραγωγική ικανότητα. Δεν έχουν διεξαχθεί μελέτες </w:t>
      </w:r>
      <w:proofErr w:type="spellStart"/>
      <w:r w:rsidRPr="00170F6F">
        <w:rPr>
          <w:szCs w:val="22"/>
          <w:lang w:val="el-GR"/>
        </w:rPr>
        <w:t>καρκινογενετικότητας</w:t>
      </w:r>
      <w:proofErr w:type="spellEnd"/>
      <w:r w:rsidRPr="00170F6F">
        <w:rPr>
          <w:szCs w:val="22"/>
          <w:lang w:val="el-GR"/>
        </w:rPr>
        <w:t xml:space="preserve"> με </w:t>
      </w:r>
      <w:proofErr w:type="spellStart"/>
      <w:r w:rsidRPr="00170F6F">
        <w:rPr>
          <w:szCs w:val="22"/>
          <w:lang w:val="el-GR"/>
        </w:rPr>
        <w:t>κεφταζιδίμη</w:t>
      </w:r>
      <w:proofErr w:type="spellEnd"/>
      <w:r w:rsidRPr="00170F6F">
        <w:rPr>
          <w:szCs w:val="22"/>
          <w:lang w:val="el-GR"/>
        </w:rPr>
        <w:t>.</w:t>
      </w:r>
    </w:p>
    <w:p w:rsidR="00461D88" w:rsidRPr="00170F6F" w:rsidRDefault="00461D88" w:rsidP="00461D88">
      <w:pPr>
        <w:rPr>
          <w:b/>
          <w:szCs w:val="22"/>
          <w:lang w:val="el-GR"/>
        </w:rPr>
      </w:pPr>
    </w:p>
    <w:p w:rsidR="00461D88" w:rsidRPr="00170F6F" w:rsidRDefault="00461D88" w:rsidP="00461D88">
      <w:pPr>
        <w:rPr>
          <w:b/>
          <w:szCs w:val="22"/>
          <w:lang w:val="el-GR"/>
        </w:rPr>
      </w:pPr>
    </w:p>
    <w:p w:rsidR="00461D88" w:rsidRPr="00170F6F" w:rsidRDefault="00461D88" w:rsidP="00461D88">
      <w:pPr>
        <w:ind w:left="567" w:hanging="567"/>
        <w:rPr>
          <w:b/>
          <w:szCs w:val="22"/>
          <w:lang w:val="el-GR"/>
        </w:rPr>
      </w:pPr>
      <w:r w:rsidRPr="00170F6F">
        <w:rPr>
          <w:b/>
          <w:szCs w:val="22"/>
          <w:lang w:val="el-GR"/>
        </w:rPr>
        <w:t>6.</w:t>
      </w:r>
      <w:r w:rsidRPr="00170F6F">
        <w:rPr>
          <w:b/>
          <w:szCs w:val="22"/>
          <w:lang w:val="el-GR"/>
        </w:rPr>
        <w:tab/>
        <w:t>ΦΑΡΜΑΚΕΥΤΙΚΕΣ ΠΛΗΡΟΦΟΡΙΕΣ</w:t>
      </w:r>
    </w:p>
    <w:p w:rsidR="00461D88" w:rsidRPr="00170F6F" w:rsidRDefault="00461D88" w:rsidP="00461D88">
      <w:pPr>
        <w:rPr>
          <w:b/>
          <w:szCs w:val="22"/>
          <w:lang w:val="el-GR"/>
        </w:rPr>
      </w:pPr>
    </w:p>
    <w:p w:rsidR="00461D88" w:rsidRPr="00170F6F" w:rsidRDefault="00461D88" w:rsidP="00461D88">
      <w:pPr>
        <w:ind w:left="567" w:hanging="567"/>
        <w:rPr>
          <w:b/>
          <w:szCs w:val="22"/>
          <w:lang w:val="el-GR"/>
        </w:rPr>
      </w:pPr>
      <w:r w:rsidRPr="00170F6F">
        <w:rPr>
          <w:b/>
          <w:szCs w:val="22"/>
          <w:lang w:val="el-GR"/>
        </w:rPr>
        <w:t>6.1</w:t>
      </w:r>
      <w:r w:rsidRPr="00170F6F">
        <w:rPr>
          <w:b/>
          <w:szCs w:val="22"/>
          <w:lang w:val="el-GR"/>
        </w:rPr>
        <w:tab/>
        <w:t>Κατάλογος εκδόχων</w:t>
      </w:r>
    </w:p>
    <w:p w:rsidR="00461D88" w:rsidRPr="00C22BC3" w:rsidRDefault="00461D88" w:rsidP="00461D88">
      <w:pPr>
        <w:rPr>
          <w:szCs w:val="22"/>
          <w:lang w:val="el-GR"/>
        </w:rPr>
      </w:pPr>
    </w:p>
    <w:p w:rsidR="00C22BC3" w:rsidRPr="00C22BC3" w:rsidRDefault="00C22BC3" w:rsidP="00C22BC3">
      <w:pPr>
        <w:ind w:right="-99"/>
        <w:outlineLvl w:val="0"/>
        <w:rPr>
          <w:snapToGrid w:val="0"/>
          <w:lang w:val="el-GR"/>
        </w:rPr>
      </w:pPr>
      <w:proofErr w:type="gramStart"/>
      <w:r w:rsidRPr="00C22BC3">
        <w:rPr>
          <w:snapToGrid w:val="0"/>
        </w:rPr>
        <w:t>Sodium</w:t>
      </w:r>
      <w:r w:rsidRPr="00C22BC3">
        <w:rPr>
          <w:snapToGrid w:val="0"/>
          <w:lang w:val="el-GR"/>
        </w:rPr>
        <w:t xml:space="preserve"> </w:t>
      </w:r>
      <w:r w:rsidRPr="00C22BC3">
        <w:rPr>
          <w:snapToGrid w:val="0"/>
        </w:rPr>
        <w:t>carbonate</w:t>
      </w:r>
      <w:r w:rsidRPr="00C22BC3">
        <w:rPr>
          <w:snapToGrid w:val="0"/>
          <w:lang w:val="el-GR"/>
        </w:rPr>
        <w:t xml:space="preserve"> </w:t>
      </w:r>
      <w:r w:rsidRPr="00C22BC3">
        <w:rPr>
          <w:snapToGrid w:val="0"/>
        </w:rPr>
        <w:t>anhydrous</w:t>
      </w:r>
      <w:r w:rsidRPr="00C22BC3">
        <w:rPr>
          <w:snapToGrid w:val="0"/>
          <w:lang w:val="el-GR"/>
        </w:rPr>
        <w:t>.</w:t>
      </w:r>
      <w:proofErr w:type="gramEnd"/>
    </w:p>
    <w:p w:rsidR="00C22BC3" w:rsidRPr="00C22BC3" w:rsidRDefault="00C22BC3">
      <w:pPr>
        <w:ind w:left="567" w:hanging="567"/>
        <w:rPr>
          <w:b/>
          <w:szCs w:val="22"/>
          <w:lang w:val="el-GR"/>
        </w:rPr>
      </w:pPr>
    </w:p>
    <w:p w:rsidR="00461D88" w:rsidRPr="00C22BC3" w:rsidRDefault="00461D88" w:rsidP="00461D88">
      <w:pPr>
        <w:ind w:left="567" w:hanging="567"/>
        <w:rPr>
          <w:b/>
          <w:szCs w:val="22"/>
          <w:lang w:val="el-GR"/>
        </w:rPr>
      </w:pPr>
      <w:r w:rsidRPr="00C22BC3">
        <w:rPr>
          <w:b/>
          <w:szCs w:val="22"/>
          <w:lang w:val="el-GR"/>
        </w:rPr>
        <w:t>6.2</w:t>
      </w:r>
      <w:r w:rsidRPr="00C22BC3">
        <w:rPr>
          <w:b/>
          <w:szCs w:val="22"/>
          <w:lang w:val="el-GR"/>
        </w:rPr>
        <w:tab/>
        <w:t>Ασυμβατότητες</w:t>
      </w:r>
    </w:p>
    <w:p w:rsidR="00461D88" w:rsidRPr="00C22BC3" w:rsidRDefault="00461D88" w:rsidP="00461D88">
      <w:pPr>
        <w:ind w:left="567" w:hanging="567"/>
        <w:rPr>
          <w:szCs w:val="22"/>
          <w:lang w:val="el-GR"/>
        </w:rPr>
      </w:pPr>
    </w:p>
    <w:p w:rsidR="00F10725" w:rsidRPr="00C22BC3" w:rsidRDefault="00F10725" w:rsidP="00F10725">
      <w:pPr>
        <w:pStyle w:val="a6"/>
        <w:ind w:right="-99"/>
        <w:jc w:val="left"/>
        <w:rPr>
          <w:b w:val="0"/>
          <w:lang w:val="el-GR"/>
        </w:rPr>
      </w:pPr>
      <w:r w:rsidRPr="00C22BC3">
        <w:rPr>
          <w:b w:val="0"/>
          <w:lang w:val="el-GR"/>
        </w:rPr>
        <w:t xml:space="preserve">Τα διαλύματα </w:t>
      </w:r>
      <w:proofErr w:type="spellStart"/>
      <w:r w:rsidRPr="00C22BC3">
        <w:rPr>
          <w:b w:val="0"/>
          <w:lang w:val="el-GR"/>
        </w:rPr>
        <w:t>κεφταζιδίμης</w:t>
      </w:r>
      <w:proofErr w:type="spellEnd"/>
      <w:r w:rsidRPr="00C22BC3">
        <w:rPr>
          <w:b w:val="0"/>
          <w:lang w:val="el-GR"/>
        </w:rPr>
        <w:t>, όπως όλα τα διαλύματα των β-</w:t>
      </w:r>
      <w:proofErr w:type="spellStart"/>
      <w:r w:rsidRPr="00C22BC3">
        <w:rPr>
          <w:b w:val="0"/>
          <w:lang w:val="el-GR"/>
        </w:rPr>
        <w:t>λακταμικών</w:t>
      </w:r>
      <w:proofErr w:type="spellEnd"/>
      <w:r w:rsidRPr="00C22BC3">
        <w:rPr>
          <w:b w:val="0"/>
          <w:lang w:val="el-GR"/>
        </w:rPr>
        <w:t xml:space="preserve"> αντιβιοτικών, δεν θα πρέπει να προστεθούν σε διαλύματα </w:t>
      </w:r>
      <w:proofErr w:type="spellStart"/>
      <w:r w:rsidRPr="00C22BC3">
        <w:rPr>
          <w:b w:val="0"/>
          <w:lang w:val="el-GR"/>
        </w:rPr>
        <w:t>αμινογλυκοσιδών</w:t>
      </w:r>
      <w:proofErr w:type="spellEnd"/>
      <w:r w:rsidRPr="00C22BC3">
        <w:rPr>
          <w:b w:val="0"/>
          <w:lang w:val="el-GR"/>
        </w:rPr>
        <w:t xml:space="preserve"> λόγω πιθανής αλληλεπίδρασης. Εάν ωστόσο ενδείκνυται ταυτόχρονη θεραπεία </w:t>
      </w:r>
      <w:proofErr w:type="spellStart"/>
      <w:r w:rsidRPr="00C22BC3">
        <w:rPr>
          <w:b w:val="0"/>
          <w:lang w:val="el-GR"/>
        </w:rPr>
        <w:t>κεφταζιδίμης</w:t>
      </w:r>
      <w:proofErr w:type="spellEnd"/>
      <w:r w:rsidRPr="00C22BC3">
        <w:rPr>
          <w:b w:val="0"/>
          <w:lang w:val="el-GR"/>
        </w:rPr>
        <w:t xml:space="preserve"> και μιας </w:t>
      </w:r>
      <w:proofErr w:type="spellStart"/>
      <w:r w:rsidRPr="00C22BC3">
        <w:rPr>
          <w:b w:val="0"/>
          <w:lang w:val="el-GR"/>
        </w:rPr>
        <w:t>αμινογλυκοσίδης</w:t>
      </w:r>
      <w:proofErr w:type="spellEnd"/>
      <w:r w:rsidRPr="00C22BC3">
        <w:rPr>
          <w:b w:val="0"/>
          <w:lang w:val="el-GR"/>
        </w:rPr>
        <w:t xml:space="preserve"> το καθένα από τα αντιβιοτικά αυτά θα πρέπει να χορηγηθεί σε διαφορετικές περιοχές του σώματος (βλέπε επίσης παραγράφους 4.2 και 4.5).</w:t>
      </w:r>
    </w:p>
    <w:p w:rsidR="00F10725" w:rsidRPr="00C22BC3" w:rsidRDefault="00F10725" w:rsidP="00F10725">
      <w:pPr>
        <w:ind w:right="-99"/>
        <w:rPr>
          <w:snapToGrid w:val="0"/>
          <w:lang w:val="el-GR"/>
        </w:rPr>
      </w:pPr>
      <w:r w:rsidRPr="00C22BC3">
        <w:rPr>
          <w:snapToGrid w:val="0"/>
        </w:rPr>
        <w:t>H</w:t>
      </w:r>
      <w:r w:rsidRPr="00C22BC3">
        <w:rPr>
          <w:snapToGrid w:val="0"/>
          <w:lang w:val="el-GR"/>
        </w:rPr>
        <w:t xml:space="preserve"> </w:t>
      </w:r>
      <w:proofErr w:type="spellStart"/>
      <w:r w:rsidRPr="00C22BC3">
        <w:rPr>
          <w:snapToGrid w:val="0"/>
          <w:lang w:val="el-GR"/>
        </w:rPr>
        <w:t>κεφταζιδίμη</w:t>
      </w:r>
      <w:proofErr w:type="spellEnd"/>
      <w:r w:rsidRPr="00C22BC3">
        <w:rPr>
          <w:snapToGrid w:val="0"/>
          <w:lang w:val="el-GR"/>
        </w:rPr>
        <w:t xml:space="preserve"> είναι λιγότερο σταθερή στο ενέσιμο διάλυμα </w:t>
      </w:r>
      <w:proofErr w:type="spellStart"/>
      <w:r w:rsidRPr="00C22BC3">
        <w:rPr>
          <w:snapToGrid w:val="0"/>
          <w:lang w:val="el-GR"/>
        </w:rPr>
        <w:t>διττανθρακικού</w:t>
      </w:r>
      <w:proofErr w:type="spellEnd"/>
      <w:r w:rsidRPr="00C22BC3">
        <w:rPr>
          <w:snapToGrid w:val="0"/>
          <w:lang w:val="el-GR"/>
        </w:rPr>
        <w:t xml:space="preserve"> νατρίου </w:t>
      </w:r>
      <w:proofErr w:type="gramStart"/>
      <w:r w:rsidRPr="00C22BC3">
        <w:rPr>
          <w:snapToGrid w:val="0"/>
          <w:lang w:val="el-GR"/>
        </w:rPr>
        <w:t>απ</w:t>
      </w:r>
      <w:proofErr w:type="gramEnd"/>
      <w:r w:rsidRPr="00C22BC3">
        <w:rPr>
          <w:snapToGrid w:val="0"/>
          <w:lang w:val="el-GR"/>
        </w:rPr>
        <w:t xml:space="preserve">' ότι στα άλλα ενέσιμα διαλύματα που χορηγούνται ενδοφλέβια. Γι' αυτό και το ανώτερο διάλυμα δεν συνιστάται σαν διαλυτικό μέσο. </w:t>
      </w:r>
    </w:p>
    <w:p w:rsidR="00C22BC3" w:rsidRPr="00EC20DD" w:rsidRDefault="00C22BC3" w:rsidP="00F10725">
      <w:pPr>
        <w:ind w:right="-99"/>
        <w:rPr>
          <w:snapToGrid w:val="0"/>
          <w:lang w:val="el-GR"/>
        </w:rPr>
      </w:pPr>
    </w:p>
    <w:p w:rsidR="00F10725" w:rsidRPr="00C22BC3" w:rsidRDefault="00F10725" w:rsidP="00F10725">
      <w:pPr>
        <w:ind w:right="-99"/>
        <w:rPr>
          <w:snapToGrid w:val="0"/>
          <w:lang w:val="el-GR"/>
        </w:rPr>
      </w:pPr>
      <w:r w:rsidRPr="00C22BC3">
        <w:rPr>
          <w:snapToGrid w:val="0"/>
          <w:lang w:val="el-GR"/>
        </w:rPr>
        <w:t xml:space="preserve">Καθίζηση έχει αναφερθεί όταν η </w:t>
      </w:r>
      <w:proofErr w:type="spellStart"/>
      <w:r w:rsidRPr="00C22BC3">
        <w:rPr>
          <w:snapToGrid w:val="0"/>
          <w:lang w:val="el-GR"/>
        </w:rPr>
        <w:t>βανκομυκίνη</w:t>
      </w:r>
      <w:proofErr w:type="spellEnd"/>
      <w:r w:rsidRPr="00C22BC3">
        <w:rPr>
          <w:snapToGrid w:val="0"/>
          <w:lang w:val="el-GR"/>
        </w:rPr>
        <w:t xml:space="preserve"> έχει προστεθεί σε διάλυμα μαζί με την </w:t>
      </w:r>
      <w:proofErr w:type="spellStart"/>
      <w:r w:rsidRPr="00C22BC3">
        <w:rPr>
          <w:snapToGrid w:val="0"/>
          <w:lang w:val="el-GR"/>
        </w:rPr>
        <w:t>κεφταζιδίμη</w:t>
      </w:r>
      <w:proofErr w:type="spellEnd"/>
      <w:r w:rsidRPr="00C22BC3">
        <w:rPr>
          <w:snapToGrid w:val="0"/>
          <w:lang w:val="el-GR"/>
        </w:rPr>
        <w:t xml:space="preserve">. Γι' αυτό χρειάζεται προσοχή στην  σύγχρονη χορήγησή τους. </w:t>
      </w:r>
    </w:p>
    <w:p w:rsidR="00461D88" w:rsidRPr="00C22BC3" w:rsidRDefault="00461D88" w:rsidP="00461D88">
      <w:pPr>
        <w:rPr>
          <w:szCs w:val="22"/>
          <w:lang w:val="el-GR"/>
        </w:rPr>
      </w:pPr>
    </w:p>
    <w:p w:rsidR="00461D88" w:rsidRPr="00C22BC3" w:rsidRDefault="00461D88" w:rsidP="00461D88">
      <w:pPr>
        <w:ind w:left="567" w:hanging="567"/>
        <w:rPr>
          <w:b/>
          <w:szCs w:val="22"/>
          <w:lang w:val="el-GR"/>
        </w:rPr>
      </w:pPr>
      <w:r w:rsidRPr="00C22BC3">
        <w:rPr>
          <w:b/>
          <w:szCs w:val="22"/>
          <w:lang w:val="el-GR"/>
        </w:rPr>
        <w:t>6.3</w:t>
      </w:r>
      <w:r w:rsidRPr="00C22BC3">
        <w:rPr>
          <w:b/>
          <w:szCs w:val="22"/>
          <w:lang w:val="el-GR"/>
        </w:rPr>
        <w:tab/>
        <w:t>Διάρκεια ζωής</w:t>
      </w:r>
    </w:p>
    <w:p w:rsidR="00461D88" w:rsidRPr="00C22BC3" w:rsidRDefault="00461D88" w:rsidP="00461D88">
      <w:pPr>
        <w:ind w:left="567" w:hanging="567"/>
        <w:rPr>
          <w:b/>
          <w:szCs w:val="22"/>
          <w:lang w:val="el-GR"/>
        </w:rPr>
      </w:pPr>
    </w:p>
    <w:p w:rsidR="00F10725" w:rsidRPr="00C22BC3" w:rsidRDefault="00F74245" w:rsidP="00F10725">
      <w:pPr>
        <w:ind w:right="-99"/>
        <w:rPr>
          <w:snapToGrid w:val="0"/>
          <w:lang w:val="el-GR"/>
        </w:rPr>
      </w:pPr>
      <w:r>
        <w:rPr>
          <w:snapToGrid w:val="0"/>
          <w:lang w:val="el-GR"/>
        </w:rPr>
        <w:t xml:space="preserve">24 μήνες </w:t>
      </w:r>
    </w:p>
    <w:p w:rsidR="00461D88" w:rsidRPr="00C22BC3" w:rsidRDefault="00461D88" w:rsidP="00461D88">
      <w:pPr>
        <w:rPr>
          <w:szCs w:val="22"/>
          <w:lang w:val="el-GR"/>
        </w:rPr>
      </w:pPr>
    </w:p>
    <w:p w:rsidR="00461D88" w:rsidRPr="00C22BC3" w:rsidRDefault="00461D88" w:rsidP="00461D88">
      <w:pPr>
        <w:ind w:left="567" w:hanging="567"/>
        <w:rPr>
          <w:b/>
          <w:szCs w:val="22"/>
          <w:lang w:val="el-GR"/>
        </w:rPr>
      </w:pPr>
      <w:r w:rsidRPr="00C22BC3">
        <w:rPr>
          <w:b/>
          <w:szCs w:val="22"/>
          <w:lang w:val="el-GR"/>
        </w:rPr>
        <w:t>6.4</w:t>
      </w:r>
      <w:r w:rsidRPr="00C22BC3">
        <w:rPr>
          <w:b/>
          <w:szCs w:val="22"/>
          <w:lang w:val="el-GR"/>
        </w:rPr>
        <w:tab/>
        <w:t>Ιδιαίτερες προφυλάξεις κατά την φύλαξη του προϊόντος</w:t>
      </w:r>
    </w:p>
    <w:p w:rsidR="00461D88" w:rsidRPr="00C22BC3" w:rsidRDefault="00461D88" w:rsidP="00461D88">
      <w:pPr>
        <w:rPr>
          <w:i/>
          <w:iCs/>
          <w:szCs w:val="22"/>
          <w:lang w:val="el-GR"/>
        </w:rPr>
      </w:pPr>
    </w:p>
    <w:p w:rsidR="003536AE" w:rsidRPr="003536AE" w:rsidRDefault="003536AE" w:rsidP="003536AE">
      <w:pPr>
        <w:ind w:right="-99"/>
        <w:rPr>
          <w:snapToGrid w:val="0"/>
          <w:lang w:val="el-GR"/>
        </w:rPr>
      </w:pPr>
      <w:r>
        <w:rPr>
          <w:snapToGrid w:val="0"/>
          <w:lang w:val="el-GR"/>
        </w:rPr>
        <w:t xml:space="preserve">Να φυλάσσεται σε θερμοκρασία μικρότερη των </w:t>
      </w:r>
      <w:r w:rsidRPr="003536AE">
        <w:rPr>
          <w:snapToGrid w:val="0"/>
          <w:lang w:val="el-GR"/>
        </w:rPr>
        <w:t xml:space="preserve"> 25</w:t>
      </w:r>
      <w:r>
        <w:rPr>
          <w:snapToGrid w:val="0"/>
          <w:lang w:val="el-GR"/>
        </w:rPr>
        <w:t xml:space="preserve"> </w:t>
      </w:r>
      <w:proofErr w:type="spellStart"/>
      <w:r>
        <w:rPr>
          <w:snapToGrid w:val="0"/>
          <w:vertAlign w:val="superscript"/>
          <w:lang w:val="el-GR"/>
        </w:rPr>
        <w:t>ο</w:t>
      </w:r>
      <w:r w:rsidRPr="003536AE">
        <w:rPr>
          <w:snapToGrid w:val="0"/>
          <w:lang w:val="el-GR"/>
        </w:rPr>
        <w:t>C</w:t>
      </w:r>
      <w:proofErr w:type="spellEnd"/>
      <w:r w:rsidRPr="003536AE">
        <w:rPr>
          <w:snapToGrid w:val="0"/>
          <w:lang w:val="el-GR"/>
        </w:rPr>
        <w:t xml:space="preserve"> στην αρχική συσκευασία ώστε να προστατεύεται από το φως. </w:t>
      </w:r>
    </w:p>
    <w:p w:rsidR="003536AE" w:rsidRPr="003536AE" w:rsidRDefault="003536AE" w:rsidP="003536AE">
      <w:pPr>
        <w:ind w:right="-99"/>
        <w:rPr>
          <w:snapToGrid w:val="0"/>
          <w:lang w:val="el-GR"/>
        </w:rPr>
      </w:pPr>
      <w:r w:rsidRPr="003536AE">
        <w:rPr>
          <w:snapToGrid w:val="0"/>
          <w:lang w:val="el-GR"/>
        </w:rPr>
        <w:t xml:space="preserve">Μετά την ανασύσταση: Διατηρείται για 24 ώρες  σε </w:t>
      </w:r>
      <w:r>
        <w:rPr>
          <w:snapToGrid w:val="0"/>
          <w:lang w:val="el-GR"/>
        </w:rPr>
        <w:t xml:space="preserve">θερμοκρασία μικρότερη των </w:t>
      </w:r>
      <w:r w:rsidRPr="003536AE">
        <w:rPr>
          <w:snapToGrid w:val="0"/>
          <w:lang w:val="el-GR"/>
        </w:rPr>
        <w:t xml:space="preserve"> 25</w:t>
      </w:r>
      <w:r>
        <w:rPr>
          <w:snapToGrid w:val="0"/>
          <w:lang w:val="el-GR"/>
        </w:rPr>
        <w:t xml:space="preserve"> </w:t>
      </w:r>
      <w:proofErr w:type="spellStart"/>
      <w:r>
        <w:rPr>
          <w:snapToGrid w:val="0"/>
          <w:vertAlign w:val="superscript"/>
          <w:lang w:val="el-GR"/>
        </w:rPr>
        <w:t>ο</w:t>
      </w:r>
      <w:r w:rsidRPr="003536AE">
        <w:rPr>
          <w:snapToGrid w:val="0"/>
          <w:lang w:val="el-GR"/>
        </w:rPr>
        <w:t>C</w:t>
      </w:r>
      <w:proofErr w:type="spellEnd"/>
      <w:r w:rsidRPr="003536AE">
        <w:rPr>
          <w:snapToGrid w:val="0"/>
          <w:lang w:val="el-GR"/>
        </w:rPr>
        <w:t xml:space="preserve"> </w:t>
      </w:r>
      <w:r>
        <w:rPr>
          <w:snapToGrid w:val="0"/>
          <w:lang w:val="el-GR"/>
        </w:rPr>
        <w:t xml:space="preserve"> </w:t>
      </w:r>
      <w:r w:rsidRPr="003536AE">
        <w:rPr>
          <w:snapToGrid w:val="0"/>
          <w:lang w:val="el-GR"/>
        </w:rPr>
        <w:t>ή 7 ημέρες στο ψυγείο σε θερμοκρασία (2-8</w:t>
      </w:r>
      <w:r>
        <w:rPr>
          <w:snapToGrid w:val="0"/>
          <w:lang w:val="el-GR"/>
        </w:rPr>
        <w:t xml:space="preserve"> </w:t>
      </w:r>
      <w:proofErr w:type="spellStart"/>
      <w:r>
        <w:rPr>
          <w:snapToGrid w:val="0"/>
          <w:vertAlign w:val="superscript"/>
          <w:lang w:val="el-GR"/>
        </w:rPr>
        <w:t>ο</w:t>
      </w:r>
      <w:r w:rsidRPr="003536AE">
        <w:rPr>
          <w:snapToGrid w:val="0"/>
          <w:lang w:val="el-GR"/>
        </w:rPr>
        <w:t>C</w:t>
      </w:r>
      <w:proofErr w:type="spellEnd"/>
      <w:r w:rsidRPr="003536AE">
        <w:rPr>
          <w:snapToGrid w:val="0"/>
          <w:lang w:val="el-GR"/>
        </w:rPr>
        <w:t>) με προστασία από το φως. Γενικά συνιστάται η άμεση χορήγηση.</w:t>
      </w:r>
    </w:p>
    <w:p w:rsidR="003536AE" w:rsidRDefault="003536AE" w:rsidP="003536AE">
      <w:pPr>
        <w:rPr>
          <w:sz w:val="24"/>
          <w:szCs w:val="24"/>
          <w:lang w:val="el-GR"/>
        </w:rPr>
      </w:pPr>
    </w:p>
    <w:p w:rsidR="00461D88" w:rsidRPr="00C22BC3" w:rsidRDefault="00461D88" w:rsidP="00461D88">
      <w:pPr>
        <w:rPr>
          <w:noProof/>
          <w:szCs w:val="22"/>
          <w:lang w:val="el-GR"/>
        </w:rPr>
      </w:pPr>
    </w:p>
    <w:p w:rsidR="00461D88" w:rsidRPr="00C22BC3" w:rsidRDefault="00461D88" w:rsidP="00461D88">
      <w:pPr>
        <w:numPr>
          <w:ilvl w:val="1"/>
          <w:numId w:val="2"/>
        </w:numPr>
        <w:rPr>
          <w:b/>
          <w:szCs w:val="22"/>
          <w:lang w:val="el-GR"/>
        </w:rPr>
      </w:pPr>
      <w:r w:rsidRPr="00C22BC3">
        <w:rPr>
          <w:b/>
          <w:szCs w:val="22"/>
          <w:lang w:val="el-GR"/>
        </w:rPr>
        <w:t xml:space="preserve">Φύση και συστατικά του </w:t>
      </w:r>
      <w:proofErr w:type="spellStart"/>
      <w:r w:rsidRPr="00C22BC3">
        <w:rPr>
          <w:b/>
          <w:szCs w:val="22"/>
          <w:lang w:val="el-GR"/>
        </w:rPr>
        <w:t>περιέκτη</w:t>
      </w:r>
      <w:proofErr w:type="spellEnd"/>
    </w:p>
    <w:p w:rsidR="00461D88" w:rsidRPr="00C22BC3" w:rsidRDefault="00461D88" w:rsidP="00461D88">
      <w:pPr>
        <w:rPr>
          <w:szCs w:val="22"/>
          <w:lang w:val="el-GR"/>
        </w:rPr>
      </w:pPr>
    </w:p>
    <w:p w:rsidR="00F10725" w:rsidRPr="00C22BC3" w:rsidRDefault="00F74245" w:rsidP="00F10725">
      <w:pPr>
        <w:ind w:right="-99"/>
        <w:outlineLvl w:val="0"/>
        <w:rPr>
          <w:snapToGrid w:val="0"/>
          <w:lang w:val="el-GR"/>
        </w:rPr>
      </w:pPr>
      <w:r w:rsidRPr="00F74245">
        <w:rPr>
          <w:szCs w:val="22"/>
          <w:lang w:val="el-GR"/>
        </w:rPr>
        <w:t xml:space="preserve">Γυάλινο φιαλίδιο, το οποίο φέρει ελαστικό πώμα και αποσπώμενο </w:t>
      </w:r>
      <w:proofErr w:type="spellStart"/>
      <w:r w:rsidRPr="00F74245">
        <w:rPr>
          <w:szCs w:val="22"/>
          <w:lang w:val="el-GR"/>
        </w:rPr>
        <w:t>επίπωμα</w:t>
      </w:r>
      <w:proofErr w:type="spellEnd"/>
      <w:r w:rsidRPr="00F74245">
        <w:rPr>
          <w:szCs w:val="22"/>
          <w:lang w:val="el-GR"/>
        </w:rPr>
        <w:t xml:space="preserve"> αλουμινίου (τύπου </w:t>
      </w:r>
      <w:r w:rsidRPr="00D04B79">
        <w:rPr>
          <w:szCs w:val="22"/>
        </w:rPr>
        <w:t>flip</w:t>
      </w:r>
      <w:r w:rsidRPr="00F74245">
        <w:rPr>
          <w:szCs w:val="22"/>
          <w:lang w:val="el-GR"/>
        </w:rPr>
        <w:t>-</w:t>
      </w:r>
      <w:r w:rsidRPr="00D04B79">
        <w:rPr>
          <w:szCs w:val="22"/>
        </w:rPr>
        <w:t>off</w:t>
      </w:r>
      <w:r w:rsidRPr="00F74245">
        <w:rPr>
          <w:szCs w:val="22"/>
          <w:lang w:val="el-GR"/>
        </w:rPr>
        <w:t>)</w:t>
      </w:r>
      <w:r w:rsidR="00F10725" w:rsidRPr="00C22BC3">
        <w:rPr>
          <w:snapToGrid w:val="0"/>
          <w:lang w:val="el-GR"/>
        </w:rPr>
        <w:t>.</w:t>
      </w:r>
    </w:p>
    <w:p w:rsidR="00F10725" w:rsidRPr="00C22BC3" w:rsidRDefault="00F10725" w:rsidP="00F10725">
      <w:pPr>
        <w:ind w:left="567" w:hanging="567"/>
        <w:outlineLvl w:val="0"/>
        <w:rPr>
          <w:b/>
          <w:szCs w:val="22"/>
          <w:lang w:val="el-GR"/>
        </w:rPr>
      </w:pPr>
    </w:p>
    <w:p w:rsidR="00461D88" w:rsidRPr="00C22BC3" w:rsidRDefault="00461D88" w:rsidP="00F10725">
      <w:pPr>
        <w:ind w:left="567" w:hanging="567"/>
        <w:outlineLvl w:val="0"/>
        <w:rPr>
          <w:szCs w:val="22"/>
          <w:lang w:val="el-GR"/>
        </w:rPr>
      </w:pPr>
      <w:r w:rsidRPr="00C22BC3">
        <w:rPr>
          <w:b/>
          <w:szCs w:val="22"/>
          <w:lang w:val="el-GR"/>
        </w:rPr>
        <w:t>6.6</w:t>
      </w:r>
      <w:r w:rsidRPr="00C22BC3">
        <w:rPr>
          <w:b/>
          <w:szCs w:val="22"/>
          <w:lang w:val="el-GR"/>
        </w:rPr>
        <w:tab/>
        <w:t>Ιδιαίτερες προφυλάξεις απόρριψης και άλλος χειρισμός</w:t>
      </w:r>
    </w:p>
    <w:p w:rsidR="00461D88" w:rsidRPr="00C22BC3" w:rsidRDefault="00461D88" w:rsidP="00F10725">
      <w:pPr>
        <w:rPr>
          <w:szCs w:val="22"/>
          <w:lang w:val="el-GR"/>
        </w:rPr>
      </w:pPr>
    </w:p>
    <w:p w:rsidR="00461D88" w:rsidRPr="00C22BC3" w:rsidRDefault="00461D88" w:rsidP="00F10725">
      <w:pPr>
        <w:rPr>
          <w:szCs w:val="22"/>
          <w:lang w:val="el-GR"/>
        </w:rPr>
      </w:pPr>
      <w:r w:rsidRPr="00C22BC3">
        <w:rPr>
          <w:szCs w:val="22"/>
          <w:lang w:val="el-GR"/>
        </w:rPr>
        <w:t xml:space="preserve">Όλα τα μεγέθη φιαλιδίων </w:t>
      </w:r>
      <w:proofErr w:type="spellStart"/>
      <w:r w:rsidR="00A07816">
        <w:rPr>
          <w:szCs w:val="22"/>
          <w:lang w:val="el-GR"/>
        </w:rPr>
        <w:t>Ceftazidime</w:t>
      </w:r>
      <w:proofErr w:type="spellEnd"/>
      <w:r w:rsidR="00A07816">
        <w:rPr>
          <w:szCs w:val="22"/>
          <w:lang w:val="el-GR"/>
        </w:rPr>
        <w:t>/</w:t>
      </w:r>
      <w:proofErr w:type="spellStart"/>
      <w:r w:rsidR="00A07816">
        <w:rPr>
          <w:szCs w:val="22"/>
          <w:lang w:val="el-GR"/>
        </w:rPr>
        <w:t>Cooper</w:t>
      </w:r>
      <w:proofErr w:type="spellEnd"/>
      <w:r w:rsidRPr="00C22BC3">
        <w:rPr>
          <w:szCs w:val="22"/>
          <w:lang w:val="el-GR"/>
        </w:rPr>
        <w:t xml:space="preserve"> παρέχονται υπό μειωμένη πίεση. Καθώς διαλύεται το προϊόν, απελευθερώνεται διοξείδιο του άνθρακα και αναπτύσσεται θετική πίεση. Μικρές φυσαλίδες διοξειδίου του άνθρακα στο ανασυσταθέν διάλυμα πρέπει να αγνοούνται.</w:t>
      </w:r>
    </w:p>
    <w:p w:rsidR="00461D88" w:rsidRPr="00C22BC3" w:rsidRDefault="00461D88" w:rsidP="00461D88">
      <w:pPr>
        <w:rPr>
          <w:szCs w:val="22"/>
          <w:lang w:val="el-GR"/>
        </w:rPr>
      </w:pPr>
    </w:p>
    <w:p w:rsidR="00461D88" w:rsidRPr="00C22BC3" w:rsidRDefault="00461D88" w:rsidP="00461D88">
      <w:pPr>
        <w:rPr>
          <w:szCs w:val="22"/>
          <w:u w:val="single"/>
          <w:lang w:val="el-GR"/>
        </w:rPr>
      </w:pPr>
      <w:r w:rsidRPr="00C22BC3">
        <w:rPr>
          <w:szCs w:val="22"/>
          <w:u w:val="single"/>
          <w:lang w:val="el-GR"/>
        </w:rPr>
        <w:t>Οδηγίες για την ανασύσταση</w:t>
      </w:r>
    </w:p>
    <w:p w:rsidR="00461D88" w:rsidRPr="00C22BC3" w:rsidRDefault="00461D88" w:rsidP="00461D88">
      <w:pPr>
        <w:rPr>
          <w:szCs w:val="22"/>
          <w:lang w:val="el-GR"/>
        </w:rPr>
      </w:pPr>
    </w:p>
    <w:p w:rsidR="00461D88" w:rsidRPr="00170F6F" w:rsidRDefault="00461D88" w:rsidP="00461D88">
      <w:pPr>
        <w:rPr>
          <w:szCs w:val="22"/>
          <w:lang w:val="el-GR"/>
        </w:rPr>
      </w:pPr>
      <w:r w:rsidRPr="00C22BC3">
        <w:rPr>
          <w:szCs w:val="22"/>
          <w:lang w:val="el-GR"/>
        </w:rPr>
        <w:t>Ανατρέξτε στον πίνακα για τους όγκους προσθήκης και τις συγκεντρώσεις διαλύματος, που μπορεί να</w:t>
      </w:r>
      <w:r w:rsidRPr="00170F6F">
        <w:rPr>
          <w:szCs w:val="22"/>
          <w:lang w:val="el-GR"/>
        </w:rPr>
        <w:t xml:space="preserve"> χρησιμεύσουν όταν απαιτούνται κλασματικές δόσεις.</w:t>
      </w:r>
    </w:p>
    <w:p w:rsidR="00461D88" w:rsidRPr="00170F6F" w:rsidRDefault="00461D88" w:rsidP="00461D88">
      <w:pPr>
        <w:rPr>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2496"/>
        <w:gridCol w:w="2250"/>
        <w:gridCol w:w="2340"/>
      </w:tblGrid>
      <w:tr w:rsidR="00461D88" w:rsidRPr="003536AE" w:rsidTr="00C773E4">
        <w:trPr>
          <w:cantSplit/>
        </w:trPr>
        <w:tc>
          <w:tcPr>
            <w:tcW w:w="4048" w:type="dxa"/>
            <w:gridSpan w:val="2"/>
            <w:shd w:val="clear" w:color="auto" w:fill="auto"/>
          </w:tcPr>
          <w:p w:rsidR="00461D88" w:rsidRPr="00170F6F" w:rsidRDefault="00461D88" w:rsidP="00C773E4">
            <w:pPr>
              <w:rPr>
                <w:szCs w:val="22"/>
                <w:lang w:val="el-GR"/>
              </w:rPr>
            </w:pPr>
            <w:r w:rsidRPr="00170F6F">
              <w:rPr>
                <w:szCs w:val="22"/>
                <w:lang w:val="el-GR"/>
              </w:rPr>
              <w:t>Μέγεθος φιαλιδίου</w:t>
            </w:r>
          </w:p>
        </w:tc>
        <w:tc>
          <w:tcPr>
            <w:tcW w:w="2250" w:type="dxa"/>
            <w:shd w:val="clear" w:color="auto" w:fill="auto"/>
          </w:tcPr>
          <w:p w:rsidR="00461D88" w:rsidRPr="00170F6F" w:rsidRDefault="00461D88" w:rsidP="00C773E4">
            <w:pPr>
              <w:rPr>
                <w:szCs w:val="22"/>
                <w:lang w:val="el-GR"/>
              </w:rPr>
            </w:pPr>
            <w:r w:rsidRPr="00170F6F">
              <w:rPr>
                <w:szCs w:val="22"/>
                <w:lang w:val="el-GR"/>
              </w:rPr>
              <w:t>Ποσότητα αραιωτικού που πρέπει να προστίθεται (ml)</w:t>
            </w:r>
          </w:p>
        </w:tc>
        <w:tc>
          <w:tcPr>
            <w:tcW w:w="2340" w:type="dxa"/>
            <w:shd w:val="clear" w:color="auto" w:fill="auto"/>
          </w:tcPr>
          <w:p w:rsidR="00461D88" w:rsidRPr="00170F6F" w:rsidRDefault="00461D88" w:rsidP="00C773E4">
            <w:pPr>
              <w:rPr>
                <w:szCs w:val="22"/>
                <w:lang w:val="el-GR"/>
              </w:rPr>
            </w:pPr>
            <w:r w:rsidRPr="00170F6F">
              <w:rPr>
                <w:szCs w:val="22"/>
                <w:lang w:val="el-GR"/>
              </w:rPr>
              <w:t>Συγκέντρωση κατά προσέγγιση (</w:t>
            </w:r>
            <w:proofErr w:type="spellStart"/>
            <w:r w:rsidRPr="00170F6F">
              <w:rPr>
                <w:szCs w:val="22"/>
                <w:lang w:val="el-GR"/>
              </w:rPr>
              <w:t>mg</w:t>
            </w:r>
            <w:proofErr w:type="spellEnd"/>
            <w:r w:rsidRPr="00170F6F">
              <w:rPr>
                <w:szCs w:val="22"/>
                <w:lang w:val="el-GR"/>
              </w:rPr>
              <w:t>/ml)</w:t>
            </w:r>
          </w:p>
        </w:tc>
      </w:tr>
      <w:tr w:rsidR="00461D88" w:rsidRPr="003536AE" w:rsidTr="00C773E4">
        <w:trPr>
          <w:cantSplit/>
        </w:trPr>
        <w:tc>
          <w:tcPr>
            <w:tcW w:w="8638" w:type="dxa"/>
            <w:gridSpan w:val="4"/>
            <w:shd w:val="clear" w:color="auto" w:fill="auto"/>
          </w:tcPr>
          <w:p w:rsidR="00461D88" w:rsidRPr="003940A2" w:rsidRDefault="00461D88" w:rsidP="00C773E4">
            <w:pPr>
              <w:rPr>
                <w:szCs w:val="22"/>
                <w:lang w:val="el-GR"/>
              </w:rPr>
            </w:pPr>
            <w:proofErr w:type="spellStart"/>
            <w:r w:rsidRPr="003940A2">
              <w:rPr>
                <w:szCs w:val="22"/>
                <w:lang w:val="el-GR"/>
              </w:rPr>
              <w:t>Κόνις</w:t>
            </w:r>
            <w:proofErr w:type="spellEnd"/>
            <w:r w:rsidRPr="003940A2">
              <w:rPr>
                <w:szCs w:val="22"/>
                <w:lang w:val="el-GR"/>
              </w:rPr>
              <w:t xml:space="preserve"> για ενέσιμο διάλυμα ή διάλυμα προς έγχυση 1 g</w:t>
            </w:r>
          </w:p>
        </w:tc>
      </w:tr>
      <w:tr w:rsidR="00461D88" w:rsidRPr="003940A2" w:rsidTr="00C773E4">
        <w:trPr>
          <w:cantSplit/>
        </w:trPr>
        <w:tc>
          <w:tcPr>
            <w:tcW w:w="1552" w:type="dxa"/>
            <w:shd w:val="clear" w:color="auto" w:fill="auto"/>
          </w:tcPr>
          <w:p w:rsidR="00461D88" w:rsidRPr="003940A2" w:rsidRDefault="00461D88" w:rsidP="00C773E4">
            <w:pPr>
              <w:rPr>
                <w:szCs w:val="22"/>
                <w:lang w:val="el-GR"/>
              </w:rPr>
            </w:pPr>
            <w:r w:rsidRPr="003940A2">
              <w:rPr>
                <w:szCs w:val="22"/>
                <w:lang w:val="el-GR"/>
              </w:rPr>
              <w:t>1 g</w:t>
            </w:r>
          </w:p>
          <w:p w:rsidR="00461D88" w:rsidRPr="003940A2" w:rsidRDefault="00461D88" w:rsidP="00C773E4">
            <w:pPr>
              <w:rPr>
                <w:szCs w:val="22"/>
                <w:lang w:val="el-GR"/>
              </w:rPr>
            </w:pPr>
          </w:p>
        </w:tc>
        <w:tc>
          <w:tcPr>
            <w:tcW w:w="2496" w:type="dxa"/>
            <w:shd w:val="clear" w:color="auto" w:fill="auto"/>
          </w:tcPr>
          <w:p w:rsidR="00461D88" w:rsidRPr="003940A2" w:rsidRDefault="00461D88" w:rsidP="00C773E4">
            <w:pPr>
              <w:rPr>
                <w:szCs w:val="22"/>
                <w:lang w:val="el-GR"/>
              </w:rPr>
            </w:pPr>
            <w:r w:rsidRPr="003940A2">
              <w:rPr>
                <w:szCs w:val="22"/>
                <w:lang w:val="el-GR"/>
              </w:rPr>
              <w:t>Ενδομυϊκή ένεση</w:t>
            </w:r>
          </w:p>
          <w:p w:rsidR="00461D88" w:rsidRPr="003940A2" w:rsidRDefault="00461D88" w:rsidP="00C773E4">
            <w:pPr>
              <w:rPr>
                <w:szCs w:val="22"/>
                <w:lang w:val="el-GR"/>
              </w:rPr>
            </w:pPr>
            <w:r w:rsidRPr="003940A2">
              <w:rPr>
                <w:szCs w:val="22"/>
                <w:lang w:val="el-GR"/>
              </w:rPr>
              <w:t xml:space="preserve">Ενδοφλέβια ένεση </w:t>
            </w:r>
            <w:proofErr w:type="spellStart"/>
            <w:r w:rsidRPr="003940A2">
              <w:rPr>
                <w:szCs w:val="22"/>
                <w:lang w:val="el-GR"/>
              </w:rPr>
              <w:t>bolus</w:t>
            </w:r>
            <w:proofErr w:type="spellEnd"/>
          </w:p>
          <w:p w:rsidR="00461D88" w:rsidRPr="003940A2" w:rsidRDefault="00461D88" w:rsidP="00C773E4">
            <w:pPr>
              <w:rPr>
                <w:szCs w:val="22"/>
                <w:lang w:val="el-GR"/>
              </w:rPr>
            </w:pPr>
            <w:r w:rsidRPr="003940A2">
              <w:rPr>
                <w:szCs w:val="22"/>
                <w:lang w:val="el-GR"/>
              </w:rPr>
              <w:t>Ενδοφλέβια έγχυση</w:t>
            </w:r>
          </w:p>
        </w:tc>
        <w:tc>
          <w:tcPr>
            <w:tcW w:w="2250" w:type="dxa"/>
            <w:shd w:val="clear" w:color="auto" w:fill="auto"/>
          </w:tcPr>
          <w:p w:rsidR="00461D88" w:rsidRPr="003940A2" w:rsidRDefault="00461D88" w:rsidP="00C773E4">
            <w:pPr>
              <w:rPr>
                <w:szCs w:val="22"/>
                <w:lang w:val="el-GR"/>
              </w:rPr>
            </w:pPr>
            <w:r w:rsidRPr="003940A2">
              <w:rPr>
                <w:szCs w:val="22"/>
                <w:lang w:val="el-GR"/>
              </w:rPr>
              <w:t>3 ml</w:t>
            </w:r>
          </w:p>
          <w:p w:rsidR="00461D88" w:rsidRPr="003940A2" w:rsidRDefault="00461D88" w:rsidP="00C773E4">
            <w:pPr>
              <w:rPr>
                <w:szCs w:val="22"/>
                <w:lang w:val="el-GR"/>
              </w:rPr>
            </w:pPr>
            <w:r w:rsidRPr="003940A2">
              <w:rPr>
                <w:szCs w:val="22"/>
                <w:lang w:val="el-GR"/>
              </w:rPr>
              <w:t>10 ml</w:t>
            </w:r>
          </w:p>
          <w:p w:rsidR="00461D88" w:rsidRPr="003940A2" w:rsidRDefault="00461D88" w:rsidP="00C773E4">
            <w:pPr>
              <w:rPr>
                <w:szCs w:val="22"/>
                <w:lang w:val="el-GR"/>
              </w:rPr>
            </w:pPr>
            <w:r w:rsidRPr="003940A2">
              <w:rPr>
                <w:szCs w:val="22"/>
                <w:lang w:val="el-GR"/>
              </w:rPr>
              <w:t>50 ml*</w:t>
            </w:r>
          </w:p>
        </w:tc>
        <w:tc>
          <w:tcPr>
            <w:tcW w:w="2340" w:type="dxa"/>
            <w:shd w:val="clear" w:color="auto" w:fill="auto"/>
          </w:tcPr>
          <w:p w:rsidR="00461D88" w:rsidRPr="003940A2" w:rsidRDefault="00461D88" w:rsidP="00C773E4">
            <w:pPr>
              <w:rPr>
                <w:szCs w:val="22"/>
                <w:lang w:val="el-GR"/>
              </w:rPr>
            </w:pPr>
            <w:r w:rsidRPr="003940A2">
              <w:rPr>
                <w:szCs w:val="22"/>
                <w:lang w:val="el-GR"/>
              </w:rPr>
              <w:t>260</w:t>
            </w:r>
          </w:p>
          <w:p w:rsidR="00461D88" w:rsidRPr="003940A2" w:rsidRDefault="00461D88" w:rsidP="00C773E4">
            <w:pPr>
              <w:rPr>
                <w:szCs w:val="22"/>
                <w:lang w:val="el-GR"/>
              </w:rPr>
            </w:pPr>
            <w:r w:rsidRPr="003940A2">
              <w:rPr>
                <w:szCs w:val="22"/>
                <w:lang w:val="el-GR"/>
              </w:rPr>
              <w:t>90</w:t>
            </w:r>
          </w:p>
          <w:p w:rsidR="00461D88" w:rsidRPr="003940A2" w:rsidRDefault="00461D88" w:rsidP="00C773E4">
            <w:pPr>
              <w:rPr>
                <w:szCs w:val="22"/>
                <w:lang w:val="el-GR"/>
              </w:rPr>
            </w:pPr>
            <w:r w:rsidRPr="003940A2">
              <w:rPr>
                <w:szCs w:val="22"/>
                <w:lang w:val="el-GR"/>
              </w:rPr>
              <w:t>20</w:t>
            </w:r>
          </w:p>
        </w:tc>
      </w:tr>
      <w:tr w:rsidR="00461D88" w:rsidRPr="003536AE" w:rsidTr="00C773E4">
        <w:trPr>
          <w:cantSplit/>
        </w:trPr>
        <w:tc>
          <w:tcPr>
            <w:tcW w:w="8638" w:type="dxa"/>
            <w:gridSpan w:val="4"/>
            <w:shd w:val="clear" w:color="auto" w:fill="auto"/>
          </w:tcPr>
          <w:p w:rsidR="00461D88" w:rsidRPr="003940A2" w:rsidRDefault="00461D88" w:rsidP="00C773E4">
            <w:pPr>
              <w:rPr>
                <w:szCs w:val="22"/>
                <w:lang w:val="el-GR"/>
              </w:rPr>
            </w:pPr>
            <w:proofErr w:type="spellStart"/>
            <w:r w:rsidRPr="003940A2">
              <w:rPr>
                <w:szCs w:val="22"/>
                <w:lang w:val="el-GR"/>
              </w:rPr>
              <w:t>Κόνις</w:t>
            </w:r>
            <w:proofErr w:type="spellEnd"/>
            <w:r w:rsidRPr="003940A2">
              <w:rPr>
                <w:szCs w:val="22"/>
                <w:lang w:val="el-GR"/>
              </w:rPr>
              <w:t xml:space="preserve"> για ενέσιμο διάλυμα ή διάλυμα προς έγχυση 2 g</w:t>
            </w:r>
          </w:p>
        </w:tc>
      </w:tr>
      <w:tr w:rsidR="00461D88" w:rsidRPr="00170F6F" w:rsidTr="00C773E4">
        <w:trPr>
          <w:cantSplit/>
        </w:trPr>
        <w:tc>
          <w:tcPr>
            <w:tcW w:w="1552" w:type="dxa"/>
            <w:shd w:val="clear" w:color="auto" w:fill="auto"/>
          </w:tcPr>
          <w:p w:rsidR="00461D88" w:rsidRPr="003940A2" w:rsidRDefault="00461D88" w:rsidP="00C773E4">
            <w:pPr>
              <w:rPr>
                <w:szCs w:val="22"/>
                <w:lang w:val="el-GR"/>
              </w:rPr>
            </w:pPr>
            <w:r w:rsidRPr="003940A2">
              <w:rPr>
                <w:szCs w:val="22"/>
                <w:lang w:val="el-GR"/>
              </w:rPr>
              <w:t>2 g</w:t>
            </w:r>
          </w:p>
          <w:p w:rsidR="00461D88" w:rsidRPr="003940A2" w:rsidRDefault="00461D88" w:rsidP="00C773E4">
            <w:pPr>
              <w:rPr>
                <w:szCs w:val="22"/>
                <w:lang w:val="el-GR"/>
              </w:rPr>
            </w:pPr>
          </w:p>
        </w:tc>
        <w:tc>
          <w:tcPr>
            <w:tcW w:w="2496" w:type="dxa"/>
            <w:shd w:val="clear" w:color="auto" w:fill="auto"/>
          </w:tcPr>
          <w:p w:rsidR="00461D88" w:rsidRPr="003940A2" w:rsidRDefault="00461D88" w:rsidP="00C773E4">
            <w:pPr>
              <w:rPr>
                <w:szCs w:val="22"/>
                <w:lang w:val="el-GR"/>
              </w:rPr>
            </w:pPr>
            <w:r w:rsidRPr="003940A2">
              <w:rPr>
                <w:szCs w:val="22"/>
                <w:lang w:val="el-GR"/>
              </w:rPr>
              <w:t xml:space="preserve">Ενδοφλέβια ένεση </w:t>
            </w:r>
            <w:proofErr w:type="spellStart"/>
            <w:r w:rsidRPr="003940A2">
              <w:rPr>
                <w:szCs w:val="22"/>
                <w:lang w:val="el-GR"/>
              </w:rPr>
              <w:t>bolus</w:t>
            </w:r>
            <w:proofErr w:type="spellEnd"/>
          </w:p>
          <w:p w:rsidR="00461D88" w:rsidRPr="003940A2" w:rsidRDefault="00461D88" w:rsidP="00C773E4">
            <w:pPr>
              <w:rPr>
                <w:szCs w:val="22"/>
                <w:lang w:val="el-GR"/>
              </w:rPr>
            </w:pPr>
            <w:r w:rsidRPr="003940A2">
              <w:rPr>
                <w:szCs w:val="22"/>
                <w:lang w:val="el-GR"/>
              </w:rPr>
              <w:t>Ενδοφλέβια έγχυση</w:t>
            </w:r>
          </w:p>
        </w:tc>
        <w:tc>
          <w:tcPr>
            <w:tcW w:w="2250" w:type="dxa"/>
            <w:shd w:val="clear" w:color="auto" w:fill="auto"/>
          </w:tcPr>
          <w:p w:rsidR="00461D88" w:rsidRPr="003940A2" w:rsidRDefault="00461D88" w:rsidP="00C773E4">
            <w:pPr>
              <w:rPr>
                <w:szCs w:val="22"/>
                <w:lang w:val="el-GR"/>
              </w:rPr>
            </w:pPr>
            <w:r w:rsidRPr="003940A2">
              <w:rPr>
                <w:szCs w:val="22"/>
                <w:lang w:val="el-GR"/>
              </w:rPr>
              <w:t>10 ml</w:t>
            </w:r>
          </w:p>
          <w:p w:rsidR="00461D88" w:rsidRPr="003940A2" w:rsidRDefault="00461D88" w:rsidP="00C773E4">
            <w:pPr>
              <w:rPr>
                <w:szCs w:val="22"/>
                <w:lang w:val="el-GR"/>
              </w:rPr>
            </w:pPr>
            <w:r w:rsidRPr="003940A2">
              <w:rPr>
                <w:szCs w:val="22"/>
                <w:lang w:val="el-GR"/>
              </w:rPr>
              <w:t xml:space="preserve">50 ml* </w:t>
            </w:r>
          </w:p>
        </w:tc>
        <w:tc>
          <w:tcPr>
            <w:tcW w:w="2340" w:type="dxa"/>
            <w:shd w:val="clear" w:color="auto" w:fill="auto"/>
          </w:tcPr>
          <w:p w:rsidR="00461D88" w:rsidRPr="003940A2" w:rsidRDefault="00461D88" w:rsidP="00C773E4">
            <w:pPr>
              <w:rPr>
                <w:szCs w:val="22"/>
                <w:lang w:val="el-GR"/>
              </w:rPr>
            </w:pPr>
            <w:r w:rsidRPr="003940A2">
              <w:rPr>
                <w:szCs w:val="22"/>
                <w:lang w:val="el-GR"/>
              </w:rPr>
              <w:t>170</w:t>
            </w:r>
          </w:p>
          <w:p w:rsidR="00461D88" w:rsidRPr="003940A2" w:rsidRDefault="00461D88" w:rsidP="00C773E4">
            <w:pPr>
              <w:rPr>
                <w:szCs w:val="22"/>
                <w:lang w:val="el-GR"/>
              </w:rPr>
            </w:pPr>
            <w:r w:rsidRPr="003940A2">
              <w:rPr>
                <w:szCs w:val="22"/>
                <w:lang w:val="el-GR"/>
              </w:rPr>
              <w:t>40</w:t>
            </w:r>
          </w:p>
        </w:tc>
      </w:tr>
    </w:tbl>
    <w:p w:rsidR="00461D88" w:rsidRPr="00170F6F" w:rsidRDefault="00461D88" w:rsidP="00461D88">
      <w:pPr>
        <w:rPr>
          <w:szCs w:val="22"/>
          <w:lang w:val="el-GR"/>
        </w:rPr>
      </w:pPr>
      <w:r w:rsidRPr="00170F6F">
        <w:rPr>
          <w:szCs w:val="22"/>
          <w:lang w:val="el-GR"/>
        </w:rPr>
        <w:lastRenderedPageBreak/>
        <w:t>* Σημείωση: Η προσθήκη πρέπει να γίνεται σε δύο στάδια</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Το χρώμα των διαλυμάτων ποικίλλει από ανοικτό κίτρινο έως πορτοκαλί ανάλογα με τη συγκέντρωση, το μέσο αραίωσης και τις συνθήκες φύλαξης. Σύμφωνα με τις διατυπωθείσες συστάσεις, η δραστικότητα του προϊόντος δεν επηρεάζεται δυσμενώς από αυτές τις χρωματικές παραλλαγές.</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σε συγκεντρώσεις από 1 </w:t>
      </w:r>
      <w:proofErr w:type="spellStart"/>
      <w:r w:rsidRPr="00170F6F">
        <w:rPr>
          <w:szCs w:val="22"/>
          <w:lang w:val="el-GR"/>
        </w:rPr>
        <w:t>mg</w:t>
      </w:r>
      <w:proofErr w:type="spellEnd"/>
      <w:r w:rsidRPr="00170F6F">
        <w:rPr>
          <w:szCs w:val="22"/>
          <w:lang w:val="el-GR"/>
        </w:rPr>
        <w:t>/ml έως 40 </w:t>
      </w:r>
      <w:proofErr w:type="spellStart"/>
      <w:r w:rsidRPr="00170F6F">
        <w:rPr>
          <w:szCs w:val="22"/>
          <w:lang w:val="el-GR"/>
        </w:rPr>
        <w:t>mg</w:t>
      </w:r>
      <w:proofErr w:type="spellEnd"/>
      <w:r w:rsidRPr="00170F6F">
        <w:rPr>
          <w:szCs w:val="22"/>
          <w:lang w:val="el-GR"/>
        </w:rPr>
        <w:t>/ml είναι συμβατή με:</w:t>
      </w:r>
    </w:p>
    <w:p w:rsidR="00461D88" w:rsidRPr="00170F6F" w:rsidRDefault="00461D88" w:rsidP="00461D88">
      <w:pPr>
        <w:rPr>
          <w:szCs w:val="22"/>
          <w:lang w:val="el-GR"/>
        </w:rPr>
      </w:pP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χλωριούχο νάτριο 9 </w:t>
      </w:r>
      <w:proofErr w:type="spellStart"/>
      <w:r w:rsidRPr="00170F6F">
        <w:rPr>
          <w:sz w:val="22"/>
          <w:szCs w:val="22"/>
          <w:lang w:val="el-GR"/>
        </w:rPr>
        <w:t>mg</w:t>
      </w:r>
      <w:proofErr w:type="spellEnd"/>
      <w:r w:rsidRPr="00170F6F">
        <w:rPr>
          <w:sz w:val="22"/>
          <w:szCs w:val="22"/>
          <w:lang w:val="el-GR"/>
        </w:rPr>
        <w:t>/ml (0,9 %) ενέσιμο διάλυμα</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ένεση γαλακτικού νατρίου M/6</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διάλυμα </w:t>
      </w:r>
      <w:proofErr w:type="spellStart"/>
      <w:r w:rsidRPr="00170F6F">
        <w:rPr>
          <w:sz w:val="22"/>
          <w:szCs w:val="22"/>
          <w:lang w:val="el-GR"/>
        </w:rPr>
        <w:t>Hartmann</w:t>
      </w:r>
      <w:proofErr w:type="spellEnd"/>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χλωριούχο νάτριο 0,225 % και 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χλωριούχο νάτριο 0,45 % και 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χλωριούχο νάτριο 0,9 % και 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χλωριούχο νάτριο 0,18 % και ένεση </w:t>
      </w:r>
      <w:proofErr w:type="spellStart"/>
      <w:r w:rsidRPr="00170F6F">
        <w:rPr>
          <w:sz w:val="22"/>
          <w:szCs w:val="22"/>
          <w:lang w:val="el-GR"/>
        </w:rPr>
        <w:t>δεξτρόζης</w:t>
      </w:r>
      <w:proofErr w:type="spellEnd"/>
      <w:r w:rsidRPr="00170F6F">
        <w:rPr>
          <w:sz w:val="22"/>
          <w:szCs w:val="22"/>
          <w:lang w:val="el-GR"/>
        </w:rPr>
        <w:t xml:space="preserve"> 4 %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δεξτρόζης</w:t>
      </w:r>
      <w:proofErr w:type="spellEnd"/>
      <w:r w:rsidRPr="00170F6F">
        <w:rPr>
          <w:sz w:val="22"/>
          <w:szCs w:val="22"/>
          <w:lang w:val="el-GR"/>
        </w:rPr>
        <w:t xml:space="preserve"> 10 %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δεξτράνης</w:t>
      </w:r>
      <w:proofErr w:type="spellEnd"/>
      <w:r w:rsidRPr="00170F6F">
        <w:rPr>
          <w:sz w:val="22"/>
          <w:szCs w:val="22"/>
          <w:lang w:val="el-GR"/>
        </w:rPr>
        <w:t xml:space="preserve"> 40 10 % σε ένεση χλωριούχου νατρίου 0,9 %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δεξτράνης</w:t>
      </w:r>
      <w:proofErr w:type="spellEnd"/>
      <w:r w:rsidRPr="00170F6F">
        <w:rPr>
          <w:sz w:val="22"/>
          <w:szCs w:val="22"/>
          <w:lang w:val="el-GR"/>
        </w:rPr>
        <w:t xml:space="preserve"> 40 10 % σε 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δεξτράνης</w:t>
      </w:r>
      <w:proofErr w:type="spellEnd"/>
      <w:r w:rsidRPr="00170F6F">
        <w:rPr>
          <w:sz w:val="22"/>
          <w:szCs w:val="22"/>
          <w:lang w:val="el-GR"/>
        </w:rPr>
        <w:t xml:space="preserve"> 70 6 % σε ένεση χλωριούχου νατρίου 0,9 % </w:t>
      </w:r>
    </w:p>
    <w:p w:rsidR="00461D88" w:rsidRPr="00170F6F" w:rsidRDefault="00461D88" w:rsidP="00461D88">
      <w:pPr>
        <w:pStyle w:val="listindentnospace"/>
        <w:numPr>
          <w:ilvl w:val="0"/>
          <w:numId w:val="11"/>
        </w:numPr>
        <w:tabs>
          <w:tab w:val="clear" w:pos="432"/>
          <w:tab w:val="num" w:pos="567"/>
        </w:tabs>
        <w:rPr>
          <w:sz w:val="22"/>
          <w:szCs w:val="22"/>
          <w:lang w:val="el-GR"/>
        </w:rPr>
      </w:pPr>
      <w:r w:rsidRPr="00170F6F">
        <w:rPr>
          <w:sz w:val="22"/>
          <w:szCs w:val="22"/>
          <w:lang w:val="el-GR"/>
        </w:rPr>
        <w:t xml:space="preserve">ένεση </w:t>
      </w:r>
      <w:proofErr w:type="spellStart"/>
      <w:r w:rsidRPr="00170F6F">
        <w:rPr>
          <w:sz w:val="22"/>
          <w:szCs w:val="22"/>
          <w:lang w:val="el-GR"/>
        </w:rPr>
        <w:t>δεξτράνης</w:t>
      </w:r>
      <w:proofErr w:type="spellEnd"/>
      <w:r w:rsidRPr="00170F6F">
        <w:rPr>
          <w:sz w:val="22"/>
          <w:szCs w:val="22"/>
          <w:lang w:val="el-GR"/>
        </w:rPr>
        <w:t xml:space="preserve"> 70 6 % σε ένεση </w:t>
      </w:r>
      <w:proofErr w:type="spellStart"/>
      <w:r w:rsidRPr="00170F6F">
        <w:rPr>
          <w:sz w:val="22"/>
          <w:szCs w:val="22"/>
          <w:lang w:val="el-GR"/>
        </w:rPr>
        <w:t>δεξτρόζης</w:t>
      </w:r>
      <w:proofErr w:type="spellEnd"/>
      <w:r w:rsidRPr="00170F6F">
        <w:rPr>
          <w:sz w:val="22"/>
          <w:szCs w:val="22"/>
          <w:lang w:val="el-GR"/>
        </w:rPr>
        <w:t xml:space="preserve"> 5 % </w:t>
      </w:r>
    </w:p>
    <w:p w:rsidR="00461D88" w:rsidRPr="00170F6F" w:rsidRDefault="00461D88" w:rsidP="00461D88">
      <w:pPr>
        <w:pStyle w:val="ListEnd"/>
        <w:rPr>
          <w:sz w:val="22"/>
          <w:szCs w:val="22"/>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σε συγκεντρώσεις από 0,05 </w:t>
      </w:r>
      <w:proofErr w:type="spellStart"/>
      <w:r w:rsidRPr="00170F6F">
        <w:rPr>
          <w:szCs w:val="22"/>
          <w:lang w:val="el-GR"/>
        </w:rPr>
        <w:t>mg</w:t>
      </w:r>
      <w:proofErr w:type="spellEnd"/>
      <w:r w:rsidRPr="00170F6F">
        <w:rPr>
          <w:szCs w:val="22"/>
          <w:lang w:val="el-GR"/>
        </w:rPr>
        <w:t>/ml έως 0,25 </w:t>
      </w:r>
      <w:proofErr w:type="spellStart"/>
      <w:r w:rsidRPr="00170F6F">
        <w:rPr>
          <w:szCs w:val="22"/>
          <w:lang w:val="el-GR"/>
        </w:rPr>
        <w:t>mg</w:t>
      </w:r>
      <w:proofErr w:type="spellEnd"/>
      <w:r w:rsidRPr="00170F6F">
        <w:rPr>
          <w:szCs w:val="22"/>
          <w:lang w:val="el-GR"/>
        </w:rPr>
        <w:t xml:space="preserve">/ml είναι συμβατή με υγρό </w:t>
      </w:r>
      <w:proofErr w:type="spellStart"/>
      <w:r w:rsidRPr="00170F6F">
        <w:rPr>
          <w:szCs w:val="22"/>
          <w:lang w:val="el-GR"/>
        </w:rPr>
        <w:t>ενδοπεριτοναϊκής</w:t>
      </w:r>
      <w:proofErr w:type="spellEnd"/>
      <w:r w:rsidRPr="00170F6F">
        <w:rPr>
          <w:szCs w:val="22"/>
          <w:lang w:val="el-GR"/>
        </w:rPr>
        <w:t xml:space="preserve"> αιμοκάθαρσης (γαλακτικό).</w:t>
      </w:r>
    </w:p>
    <w:p w:rsidR="00461D88" w:rsidRPr="00170F6F" w:rsidRDefault="00461D88" w:rsidP="00461D88">
      <w:pPr>
        <w:rPr>
          <w:szCs w:val="22"/>
          <w:lang w:val="el-GR"/>
        </w:rPr>
      </w:pPr>
    </w:p>
    <w:p w:rsidR="00461D88" w:rsidRPr="00170F6F" w:rsidRDefault="00461D88" w:rsidP="00461D88">
      <w:pPr>
        <w:rPr>
          <w:szCs w:val="22"/>
          <w:lang w:val="el-GR"/>
        </w:rPr>
      </w:pPr>
      <w:r w:rsidRPr="00170F6F">
        <w:rPr>
          <w:szCs w:val="22"/>
          <w:lang w:val="el-GR"/>
        </w:rPr>
        <w:t xml:space="preserve">Η </w:t>
      </w:r>
      <w:proofErr w:type="spellStart"/>
      <w:r w:rsidRPr="00170F6F">
        <w:rPr>
          <w:szCs w:val="22"/>
          <w:lang w:val="el-GR"/>
        </w:rPr>
        <w:t>κεφταζιδίμη</w:t>
      </w:r>
      <w:proofErr w:type="spellEnd"/>
      <w:r w:rsidRPr="00170F6F">
        <w:rPr>
          <w:szCs w:val="22"/>
          <w:lang w:val="el-GR"/>
        </w:rPr>
        <w:t xml:space="preserve"> μπορεί να ανασυσταθεί για ενδομυϊκή χρήση με ένεση υδροχλωρικής </w:t>
      </w:r>
      <w:proofErr w:type="spellStart"/>
      <w:r w:rsidRPr="00170F6F">
        <w:rPr>
          <w:szCs w:val="22"/>
          <w:lang w:val="el-GR"/>
        </w:rPr>
        <w:t>λιδοκαΐνης</w:t>
      </w:r>
      <w:proofErr w:type="spellEnd"/>
      <w:r w:rsidRPr="00170F6F">
        <w:rPr>
          <w:szCs w:val="22"/>
          <w:lang w:val="el-GR"/>
        </w:rPr>
        <w:t xml:space="preserve"> 0,5 % ή 1 %.</w:t>
      </w:r>
    </w:p>
    <w:p w:rsidR="00461D88" w:rsidRPr="00170F6F" w:rsidRDefault="00461D88" w:rsidP="00461D88">
      <w:pPr>
        <w:pStyle w:val="ListEnd"/>
        <w:rPr>
          <w:sz w:val="22"/>
          <w:szCs w:val="22"/>
          <w:lang w:val="el-GR"/>
        </w:rPr>
      </w:pPr>
    </w:p>
    <w:p w:rsidR="00461D88" w:rsidRPr="00170F6F" w:rsidRDefault="00461D88" w:rsidP="00461D88">
      <w:pPr>
        <w:rPr>
          <w:szCs w:val="22"/>
          <w:lang w:val="el-GR"/>
        </w:rPr>
      </w:pPr>
      <w:r w:rsidRPr="00F60AC7">
        <w:rPr>
          <w:szCs w:val="22"/>
          <w:lang w:val="el-GR"/>
        </w:rPr>
        <w:t>Το περιεχόμενο ενός φιαλιδίου 500 </w:t>
      </w:r>
      <w:proofErr w:type="spellStart"/>
      <w:r w:rsidRPr="00F60AC7">
        <w:rPr>
          <w:szCs w:val="22"/>
          <w:lang w:val="el-GR"/>
        </w:rPr>
        <w:t>mg</w:t>
      </w:r>
      <w:proofErr w:type="spellEnd"/>
      <w:r w:rsidRPr="00F60AC7">
        <w:rPr>
          <w:szCs w:val="22"/>
          <w:lang w:val="el-GR"/>
        </w:rPr>
        <w:t xml:space="preserve"> </w:t>
      </w:r>
      <w:proofErr w:type="spellStart"/>
      <w:r w:rsidRPr="00F60AC7">
        <w:rPr>
          <w:szCs w:val="22"/>
          <w:lang w:val="el-GR"/>
        </w:rPr>
        <w:t>κεφταζιδίμης</w:t>
      </w:r>
      <w:proofErr w:type="spellEnd"/>
      <w:r w:rsidRPr="00F60AC7">
        <w:rPr>
          <w:szCs w:val="22"/>
          <w:lang w:val="el-GR"/>
        </w:rPr>
        <w:t xml:space="preserve"> για ένεση, </w:t>
      </w:r>
      <w:proofErr w:type="spellStart"/>
      <w:r w:rsidRPr="00F60AC7">
        <w:rPr>
          <w:szCs w:val="22"/>
          <w:lang w:val="el-GR"/>
        </w:rPr>
        <w:t>ανασυσταμένο</w:t>
      </w:r>
      <w:proofErr w:type="spellEnd"/>
      <w:r w:rsidRPr="00F60AC7">
        <w:rPr>
          <w:szCs w:val="22"/>
          <w:lang w:val="el-GR"/>
        </w:rPr>
        <w:t xml:space="preserve"> με 1,5 ml ύδατος για ενέσεις, μπορεί να προστεθεί σε ένεση </w:t>
      </w:r>
      <w:proofErr w:type="spellStart"/>
      <w:r w:rsidRPr="00F60AC7">
        <w:rPr>
          <w:szCs w:val="22"/>
          <w:lang w:val="el-GR"/>
        </w:rPr>
        <w:t>μετρονιδαζόλης</w:t>
      </w:r>
      <w:proofErr w:type="spellEnd"/>
      <w:r w:rsidRPr="00F60AC7">
        <w:rPr>
          <w:szCs w:val="22"/>
          <w:lang w:val="el-GR"/>
        </w:rPr>
        <w:t xml:space="preserve"> (500 </w:t>
      </w:r>
      <w:proofErr w:type="spellStart"/>
      <w:r w:rsidRPr="00F60AC7">
        <w:rPr>
          <w:szCs w:val="22"/>
          <w:lang w:val="el-GR"/>
        </w:rPr>
        <w:t>mg</w:t>
      </w:r>
      <w:proofErr w:type="spellEnd"/>
      <w:r w:rsidRPr="00F60AC7">
        <w:rPr>
          <w:szCs w:val="22"/>
          <w:lang w:val="el-GR"/>
        </w:rPr>
        <w:t xml:space="preserve"> σε 100 ml) και τα δύο συστατικά διατηρούν τη δραστικότητά τους.</w:t>
      </w:r>
    </w:p>
    <w:p w:rsidR="00461D88" w:rsidRPr="00170F6F" w:rsidRDefault="00461D88" w:rsidP="00461D88">
      <w:pPr>
        <w:rPr>
          <w:szCs w:val="22"/>
          <w:lang w:val="el-GR"/>
        </w:rPr>
      </w:pPr>
    </w:p>
    <w:p w:rsidR="00461D88" w:rsidRPr="00170F6F" w:rsidRDefault="007C3E42" w:rsidP="00461D88">
      <w:pPr>
        <w:rPr>
          <w:szCs w:val="22"/>
          <w:lang w:val="el-GR"/>
        </w:rPr>
      </w:pPr>
      <w:proofErr w:type="spellStart"/>
      <w:r w:rsidRPr="00B52FB5">
        <w:rPr>
          <w:szCs w:val="22"/>
          <w:lang w:val="el-GR"/>
        </w:rPr>
        <w:t>Κ</w:t>
      </w:r>
      <w:r w:rsidR="00461D88" w:rsidRPr="00B52FB5">
        <w:rPr>
          <w:szCs w:val="22"/>
          <w:lang w:val="el-GR"/>
        </w:rPr>
        <w:t>όνις</w:t>
      </w:r>
      <w:proofErr w:type="spellEnd"/>
      <w:r w:rsidR="00461D88" w:rsidRPr="00B52FB5">
        <w:rPr>
          <w:szCs w:val="22"/>
          <w:lang w:val="el-GR"/>
        </w:rPr>
        <w:t xml:space="preserve"> για ενέσιμο διάλυμα ή διάλυμα προς έγχυση 1 g, 2 g:</w:t>
      </w:r>
    </w:p>
    <w:p w:rsidR="00B17E12" w:rsidRPr="00EC20DD" w:rsidRDefault="00B17E12" w:rsidP="00461D88">
      <w:pPr>
        <w:rPr>
          <w:szCs w:val="22"/>
          <w:u w:val="single"/>
          <w:lang w:val="el-GR"/>
        </w:rPr>
      </w:pPr>
    </w:p>
    <w:p w:rsidR="00461D88" w:rsidRPr="00170F6F" w:rsidRDefault="00461D88" w:rsidP="00461D88">
      <w:pPr>
        <w:rPr>
          <w:szCs w:val="22"/>
          <w:u w:val="single"/>
          <w:lang w:val="el-GR"/>
        </w:rPr>
      </w:pPr>
      <w:r w:rsidRPr="00170F6F">
        <w:rPr>
          <w:szCs w:val="22"/>
          <w:u w:val="single"/>
          <w:lang w:val="el-GR"/>
        </w:rPr>
        <w:t xml:space="preserve">Προετοιμασία διαλυμάτων για ένεση </w:t>
      </w:r>
      <w:proofErr w:type="spellStart"/>
      <w:r w:rsidRPr="00170F6F">
        <w:rPr>
          <w:szCs w:val="22"/>
          <w:u w:val="single"/>
          <w:lang w:val="el-GR"/>
        </w:rPr>
        <w:t>bolus</w:t>
      </w:r>
      <w:proofErr w:type="spellEnd"/>
      <w:r w:rsidRPr="00170F6F">
        <w:rPr>
          <w:szCs w:val="22"/>
          <w:u w:val="single"/>
          <w:lang w:val="el-GR"/>
        </w:rPr>
        <w:t xml:space="preserve"> </w:t>
      </w:r>
    </w:p>
    <w:p w:rsidR="00461D88" w:rsidRPr="00170F6F" w:rsidRDefault="00461D88" w:rsidP="00461D88">
      <w:pPr>
        <w:rPr>
          <w:szCs w:val="22"/>
          <w:lang w:val="el-GR"/>
        </w:rPr>
      </w:pPr>
    </w:p>
    <w:p w:rsidR="00461D88" w:rsidRPr="00170F6F" w:rsidRDefault="00461D88" w:rsidP="00461D88">
      <w:pPr>
        <w:numPr>
          <w:ilvl w:val="0"/>
          <w:numId w:val="9"/>
        </w:numPr>
        <w:tabs>
          <w:tab w:val="clear" w:pos="567"/>
        </w:tabs>
        <w:rPr>
          <w:szCs w:val="22"/>
          <w:lang w:val="el-GR"/>
        </w:rPr>
      </w:pPr>
      <w:r w:rsidRPr="00170F6F">
        <w:rPr>
          <w:szCs w:val="22"/>
          <w:lang w:val="el-GR"/>
        </w:rPr>
        <w:t xml:space="preserve">Εισαγάγετε τη βελόνα της σύριγγας μέσω του πώματος του φιαλιδίου και </w:t>
      </w:r>
      <w:proofErr w:type="spellStart"/>
      <w:r w:rsidRPr="00170F6F">
        <w:rPr>
          <w:szCs w:val="22"/>
          <w:lang w:val="el-GR"/>
        </w:rPr>
        <w:t>εγχύστε</w:t>
      </w:r>
      <w:proofErr w:type="spellEnd"/>
      <w:r w:rsidRPr="00170F6F">
        <w:rPr>
          <w:szCs w:val="22"/>
          <w:lang w:val="el-GR"/>
        </w:rPr>
        <w:t xml:space="preserve"> τον συνιστώμενο όγκο αραιωτικού.  Το κενό αέρος υποβοηθά ενδεχομένως την είσοδο του αραιωτικού.  Αποσύρετε τη βελόνα της σύριγγας.</w:t>
      </w:r>
    </w:p>
    <w:p w:rsidR="00461D88" w:rsidRPr="00170F6F" w:rsidRDefault="00461D88" w:rsidP="00461D88">
      <w:pPr>
        <w:numPr>
          <w:ilvl w:val="0"/>
          <w:numId w:val="9"/>
        </w:numPr>
        <w:tabs>
          <w:tab w:val="clear" w:pos="567"/>
        </w:tabs>
        <w:rPr>
          <w:szCs w:val="22"/>
          <w:lang w:val="el-GR"/>
        </w:rPr>
      </w:pPr>
      <w:r w:rsidRPr="00170F6F">
        <w:rPr>
          <w:szCs w:val="22"/>
          <w:lang w:val="el-GR"/>
        </w:rPr>
        <w:t>Ανακινήστε για διάλυση: απελευθερώνεται διοξείδιο του άνθρακα και παράγεται ένα διαυγές διάλυμα σε περίπου 1 με 2 λεπτά.</w:t>
      </w:r>
    </w:p>
    <w:p w:rsidR="00461D88" w:rsidRPr="00170F6F" w:rsidRDefault="00461D88" w:rsidP="00461D88">
      <w:pPr>
        <w:numPr>
          <w:ilvl w:val="0"/>
          <w:numId w:val="9"/>
        </w:numPr>
        <w:tabs>
          <w:tab w:val="clear" w:pos="567"/>
        </w:tabs>
        <w:rPr>
          <w:szCs w:val="22"/>
          <w:lang w:val="el-GR"/>
        </w:rPr>
      </w:pPr>
      <w:r w:rsidRPr="00170F6F">
        <w:rPr>
          <w:szCs w:val="22"/>
          <w:lang w:val="el-GR"/>
        </w:rPr>
        <w:t>Αναστρέψτε το φιαλίδιο. Έχοντας πλήρως πατημένο το έμβολο της σύριγγας, εισαγάγετε τη βελόνα μέσω του πώματος του φιαλιδίου και αναρροφήστε όλο το διάλυμα στη σύριγγα (η πίεση στο φιαλίδιο υποβοηθά ενδεχομένως την άντληση). Βεβαιωθείτε ότι η βελόνα παραμένει μέσα στο διάλυμα και δεν εισέρχεται στον χώρο της κεφαλής. Το διάλυμα που αντλείται μπορεί να περιέχει μικρές φυσαλίδες διοξειδίου του άνθρακα, οι οποίες πρέπει να αγνοούνται.</w:t>
      </w:r>
    </w:p>
    <w:p w:rsidR="00461D88" w:rsidRPr="00170F6F" w:rsidRDefault="00461D88" w:rsidP="00461D88">
      <w:pPr>
        <w:tabs>
          <w:tab w:val="clear" w:pos="567"/>
        </w:tabs>
        <w:rPr>
          <w:szCs w:val="22"/>
          <w:lang w:val="el-GR"/>
        </w:rPr>
      </w:pPr>
    </w:p>
    <w:p w:rsidR="00461D88" w:rsidRPr="00170F6F" w:rsidRDefault="00461D88" w:rsidP="00461D88">
      <w:pPr>
        <w:tabs>
          <w:tab w:val="clear" w:pos="567"/>
        </w:tabs>
        <w:rPr>
          <w:szCs w:val="22"/>
          <w:lang w:val="el-GR"/>
        </w:rPr>
      </w:pPr>
      <w:r w:rsidRPr="00170F6F">
        <w:rPr>
          <w:szCs w:val="22"/>
          <w:lang w:val="el-GR"/>
        </w:rPr>
        <w:t xml:space="preserve">Τα διαλύματα είναι δυνατό να χορηγηθούν απευθείας σε φλέβα ή στο σύστημα </w:t>
      </w:r>
      <w:proofErr w:type="spellStart"/>
      <w:r w:rsidRPr="00170F6F">
        <w:rPr>
          <w:szCs w:val="22"/>
          <w:lang w:val="el-GR"/>
        </w:rPr>
        <w:t>πρεντερικής</w:t>
      </w:r>
      <w:proofErr w:type="spellEnd"/>
      <w:r w:rsidRPr="00170F6F">
        <w:rPr>
          <w:szCs w:val="22"/>
          <w:lang w:val="el-GR"/>
        </w:rPr>
        <w:t xml:space="preserve"> χορήγησης υγρών που ενδεχομένως λαμβάνει ο ασθενής. Η </w:t>
      </w:r>
      <w:proofErr w:type="spellStart"/>
      <w:r w:rsidRPr="00170F6F">
        <w:rPr>
          <w:szCs w:val="22"/>
          <w:lang w:val="el-GR"/>
        </w:rPr>
        <w:t>κεφταζιδίμη</w:t>
      </w:r>
      <w:proofErr w:type="spellEnd"/>
      <w:r w:rsidRPr="00170F6F">
        <w:rPr>
          <w:szCs w:val="22"/>
          <w:lang w:val="el-GR"/>
        </w:rPr>
        <w:t xml:space="preserve"> είναι συμβατή με τα ενδοφλέβια υγρά που χρησιμοποιούνται συνήθως.</w:t>
      </w:r>
    </w:p>
    <w:p w:rsidR="00461D88" w:rsidRPr="00170F6F" w:rsidRDefault="00461D88" w:rsidP="00461D88">
      <w:pPr>
        <w:rPr>
          <w:szCs w:val="22"/>
          <w:highlight w:val="lightGray"/>
          <w:lang w:val="el-GR"/>
        </w:rPr>
      </w:pPr>
    </w:p>
    <w:p w:rsidR="00461D88" w:rsidRPr="00B52FB5" w:rsidRDefault="00461D88" w:rsidP="00461D88">
      <w:pPr>
        <w:rPr>
          <w:szCs w:val="22"/>
          <w:u w:val="single"/>
          <w:lang w:val="el-GR"/>
        </w:rPr>
      </w:pPr>
      <w:proofErr w:type="spellStart"/>
      <w:r w:rsidRPr="00B52FB5">
        <w:rPr>
          <w:szCs w:val="22"/>
          <w:lang w:val="el-GR"/>
        </w:rPr>
        <w:t>Κόνις</w:t>
      </w:r>
      <w:proofErr w:type="spellEnd"/>
      <w:r w:rsidRPr="00B52FB5">
        <w:rPr>
          <w:szCs w:val="22"/>
          <w:lang w:val="el-GR"/>
        </w:rPr>
        <w:t xml:space="preserve"> για ενέσιμο διάλυμα ή διάλυμα προς έγχυση 1 g, 2 g:</w:t>
      </w:r>
    </w:p>
    <w:p w:rsidR="00B17E12" w:rsidRPr="00EC20DD" w:rsidRDefault="00B17E12" w:rsidP="00461D88">
      <w:pPr>
        <w:rPr>
          <w:szCs w:val="22"/>
          <w:u w:val="single"/>
          <w:lang w:val="el-GR"/>
        </w:rPr>
      </w:pPr>
    </w:p>
    <w:p w:rsidR="00461D88" w:rsidRPr="00B52FB5" w:rsidRDefault="00461D88" w:rsidP="00461D88">
      <w:pPr>
        <w:rPr>
          <w:szCs w:val="22"/>
          <w:u w:val="single"/>
          <w:lang w:val="el-GR"/>
        </w:rPr>
      </w:pPr>
      <w:r w:rsidRPr="00B52FB5">
        <w:rPr>
          <w:szCs w:val="22"/>
          <w:u w:val="single"/>
          <w:lang w:val="el-GR"/>
        </w:rPr>
        <w:t xml:space="preserve">Προετοιμασία διαλυμάτων για ενδοφλέβια ένεση από τυπικό φιαλίδιο </w:t>
      </w:r>
      <w:proofErr w:type="spellStart"/>
      <w:r w:rsidRPr="00B52FB5">
        <w:rPr>
          <w:szCs w:val="22"/>
          <w:u w:val="single"/>
          <w:lang w:val="el-GR"/>
        </w:rPr>
        <w:t>κεφταζιδίμης</w:t>
      </w:r>
      <w:proofErr w:type="spellEnd"/>
      <w:r w:rsidRPr="00B52FB5">
        <w:rPr>
          <w:szCs w:val="22"/>
          <w:u w:val="single"/>
          <w:lang w:val="el-GR"/>
        </w:rPr>
        <w:t xml:space="preserve"> για ένεση (μίνι σάκος ή σετ τύπου </w:t>
      </w:r>
      <w:proofErr w:type="spellStart"/>
      <w:r w:rsidRPr="00B52FB5">
        <w:rPr>
          <w:szCs w:val="22"/>
          <w:u w:val="single"/>
          <w:lang w:val="el-GR"/>
        </w:rPr>
        <w:t>πιπέτας</w:t>
      </w:r>
      <w:proofErr w:type="spellEnd"/>
      <w:r w:rsidRPr="00B52FB5">
        <w:rPr>
          <w:szCs w:val="22"/>
          <w:u w:val="single"/>
          <w:lang w:val="el-GR"/>
        </w:rPr>
        <w:t>):</w:t>
      </w:r>
    </w:p>
    <w:p w:rsidR="00461D88" w:rsidRPr="00B52FB5" w:rsidRDefault="00461D88" w:rsidP="00461D88">
      <w:pPr>
        <w:rPr>
          <w:szCs w:val="22"/>
          <w:lang w:val="el-GR"/>
        </w:rPr>
      </w:pPr>
    </w:p>
    <w:p w:rsidR="00461D88" w:rsidRPr="00B52FB5" w:rsidRDefault="00461D88" w:rsidP="00461D88">
      <w:pPr>
        <w:rPr>
          <w:szCs w:val="22"/>
          <w:lang w:val="el-GR"/>
        </w:rPr>
      </w:pPr>
      <w:r w:rsidRPr="00B52FB5">
        <w:rPr>
          <w:szCs w:val="22"/>
          <w:lang w:val="el-GR"/>
        </w:rPr>
        <w:t>Ετοιμάστε το διάλυμα χρησιμοποιώντας συνολικά 50 ml συμβατού αραιωτικού, κάνοντας την προσθήκη σε ΔΥΟ στάδια όπως παρακάτω.</w:t>
      </w:r>
    </w:p>
    <w:p w:rsidR="00461D88" w:rsidRPr="00B52FB5" w:rsidRDefault="00461D88" w:rsidP="00461D88">
      <w:pPr>
        <w:rPr>
          <w:szCs w:val="22"/>
          <w:lang w:val="el-GR"/>
        </w:rPr>
      </w:pPr>
    </w:p>
    <w:p w:rsidR="00461D88" w:rsidRPr="00B52FB5" w:rsidRDefault="00461D88" w:rsidP="00461D88">
      <w:pPr>
        <w:pStyle w:val="listnumnospace"/>
        <w:numPr>
          <w:ilvl w:val="0"/>
          <w:numId w:val="8"/>
        </w:numPr>
        <w:rPr>
          <w:sz w:val="22"/>
          <w:szCs w:val="22"/>
          <w:lang w:val="el-GR"/>
        </w:rPr>
      </w:pPr>
      <w:r w:rsidRPr="00B52FB5">
        <w:rPr>
          <w:sz w:val="22"/>
          <w:szCs w:val="22"/>
          <w:lang w:val="el-GR"/>
        </w:rPr>
        <w:t>Εισαγάγετε τη βελόνα της σύριγγας μέσω του πώματος του φιαλιδί</w:t>
      </w:r>
      <w:r w:rsidR="007C3E42" w:rsidRPr="00B52FB5">
        <w:rPr>
          <w:sz w:val="22"/>
          <w:szCs w:val="22"/>
          <w:lang w:val="el-GR"/>
        </w:rPr>
        <w:t xml:space="preserve">ου και </w:t>
      </w:r>
      <w:proofErr w:type="spellStart"/>
      <w:r w:rsidR="007C3E42" w:rsidRPr="00B52FB5">
        <w:rPr>
          <w:sz w:val="22"/>
          <w:szCs w:val="22"/>
          <w:lang w:val="el-GR"/>
        </w:rPr>
        <w:t>εγχύστε</w:t>
      </w:r>
      <w:proofErr w:type="spellEnd"/>
      <w:r w:rsidR="007C3E42" w:rsidRPr="00B52FB5">
        <w:rPr>
          <w:sz w:val="22"/>
          <w:szCs w:val="22"/>
          <w:lang w:val="el-GR"/>
        </w:rPr>
        <w:t xml:space="preserve"> 10 ml αραιωτικού</w:t>
      </w:r>
      <w:r w:rsidRPr="00B52FB5">
        <w:rPr>
          <w:sz w:val="22"/>
          <w:szCs w:val="22"/>
          <w:lang w:val="el-GR"/>
        </w:rPr>
        <w:t>.</w:t>
      </w:r>
    </w:p>
    <w:p w:rsidR="00461D88" w:rsidRPr="00B52FB5" w:rsidRDefault="00461D88" w:rsidP="00461D88">
      <w:pPr>
        <w:pStyle w:val="listnumnospace"/>
        <w:numPr>
          <w:ilvl w:val="0"/>
          <w:numId w:val="8"/>
        </w:numPr>
        <w:rPr>
          <w:sz w:val="22"/>
          <w:szCs w:val="22"/>
          <w:lang w:val="el-GR"/>
        </w:rPr>
      </w:pPr>
      <w:r w:rsidRPr="00B52FB5">
        <w:rPr>
          <w:sz w:val="22"/>
          <w:szCs w:val="22"/>
          <w:lang w:val="el-GR"/>
        </w:rPr>
        <w:t>Αποσύρετε τη βελόνα και ανακινήστε το φιαλίδιο για να παραχθεί ένα διαυγές διάλυμα.</w:t>
      </w:r>
    </w:p>
    <w:p w:rsidR="00461D88" w:rsidRPr="00B52FB5" w:rsidRDefault="00461D88" w:rsidP="00461D88">
      <w:pPr>
        <w:pStyle w:val="listnumnospace"/>
        <w:numPr>
          <w:ilvl w:val="0"/>
          <w:numId w:val="8"/>
        </w:numPr>
        <w:rPr>
          <w:sz w:val="22"/>
          <w:szCs w:val="22"/>
          <w:lang w:val="el-GR"/>
        </w:rPr>
      </w:pPr>
      <w:r w:rsidRPr="00B52FB5">
        <w:rPr>
          <w:sz w:val="22"/>
          <w:szCs w:val="22"/>
          <w:lang w:val="el-GR"/>
        </w:rPr>
        <w:t>Μην εισαγάγετε βελόνα ανακούφισης αερίου μέχρι να διαλυθεί το προϊόν.  Εισαγάγετε βελόνα ανακούφισης αερίου μέσω του πώματος του φιαλιδίου για να ανακουφιστεί η εσωτερική πίεση.</w:t>
      </w:r>
    </w:p>
    <w:p w:rsidR="00461D88" w:rsidRPr="00B52FB5" w:rsidRDefault="00461D88" w:rsidP="00461D88">
      <w:pPr>
        <w:pStyle w:val="listnumnospace"/>
        <w:numPr>
          <w:ilvl w:val="0"/>
          <w:numId w:val="8"/>
        </w:numPr>
        <w:rPr>
          <w:sz w:val="22"/>
          <w:szCs w:val="22"/>
          <w:lang w:val="el-GR"/>
        </w:rPr>
      </w:pPr>
      <w:r w:rsidRPr="00B52FB5">
        <w:rPr>
          <w:sz w:val="22"/>
          <w:szCs w:val="22"/>
          <w:lang w:val="el-GR"/>
        </w:rPr>
        <w:t xml:space="preserve">Μεταφέρετε το ανασυσταθέν διάλυμα σε τελικό φορέα (π.χ. μίνι σάκος ή σετ τύπου </w:t>
      </w:r>
      <w:proofErr w:type="spellStart"/>
      <w:r w:rsidRPr="00B52FB5">
        <w:rPr>
          <w:sz w:val="22"/>
          <w:szCs w:val="22"/>
          <w:lang w:val="el-GR"/>
        </w:rPr>
        <w:t>πιπέτας</w:t>
      </w:r>
      <w:proofErr w:type="spellEnd"/>
      <w:r w:rsidRPr="00B52FB5">
        <w:rPr>
          <w:sz w:val="22"/>
          <w:szCs w:val="22"/>
          <w:lang w:val="el-GR"/>
        </w:rPr>
        <w:t>) παράγοντας συνολικό όγκο τουλάχιστον 50 ml και χορηγήστε με ενδοφλέβια έγχυση επί 15 έως 30 λεπτά.</w:t>
      </w:r>
    </w:p>
    <w:p w:rsidR="00461D88" w:rsidRPr="00B52FB5" w:rsidRDefault="00461D88" w:rsidP="00461D88">
      <w:pPr>
        <w:pStyle w:val="ListEnd"/>
        <w:rPr>
          <w:sz w:val="22"/>
          <w:szCs w:val="22"/>
          <w:lang w:val="el-GR"/>
        </w:rPr>
      </w:pPr>
    </w:p>
    <w:p w:rsidR="00461D88" w:rsidRPr="00170F6F" w:rsidRDefault="00461D88" w:rsidP="00461D88">
      <w:pPr>
        <w:rPr>
          <w:szCs w:val="22"/>
          <w:lang w:val="el-GR"/>
        </w:rPr>
      </w:pPr>
      <w:r w:rsidRPr="00B52FB5">
        <w:rPr>
          <w:szCs w:val="22"/>
          <w:lang w:val="el-GR"/>
        </w:rPr>
        <w:t>Σημείωση: Για να διατηρηθεί η στειρότητα του προϊόντος, είναι σημαντικό να μην εισαχθεί η βελόνα ανακούφισης αερίου μέσω του πώματος του φιαλιδίου πριν διαλυθεί το προϊόν.</w:t>
      </w:r>
    </w:p>
    <w:p w:rsidR="00461D88" w:rsidRPr="00170F6F" w:rsidRDefault="00461D88" w:rsidP="00461D88">
      <w:pPr>
        <w:tabs>
          <w:tab w:val="clear" w:pos="567"/>
        </w:tabs>
        <w:rPr>
          <w:szCs w:val="22"/>
          <w:highlight w:val="lightGray"/>
          <w:lang w:val="el-GR"/>
        </w:rPr>
      </w:pPr>
    </w:p>
    <w:p w:rsidR="00461D88" w:rsidRPr="00170F6F" w:rsidRDefault="00461D88" w:rsidP="00461D88">
      <w:pPr>
        <w:rPr>
          <w:szCs w:val="22"/>
          <w:lang w:val="el-GR"/>
        </w:rPr>
      </w:pPr>
      <w:r w:rsidRPr="00170F6F">
        <w:rPr>
          <w:szCs w:val="22"/>
          <w:lang w:val="el-GR"/>
        </w:rPr>
        <w:t xml:space="preserve">Κάθε </w:t>
      </w:r>
      <w:r w:rsidR="00F11D1C">
        <w:rPr>
          <w:szCs w:val="22"/>
          <w:lang w:val="el-GR"/>
        </w:rPr>
        <w:t xml:space="preserve">φαρμακευτικό </w:t>
      </w:r>
      <w:r w:rsidRPr="00170F6F">
        <w:rPr>
          <w:szCs w:val="22"/>
          <w:lang w:val="el-GR"/>
        </w:rPr>
        <w:t>προϊόν που δεν έχει χρησιμοποιηθεί ή υπόλειμμα πρέπει να απορριφθεί σύμφωνα με τις κατά τόπους ισχύουσες σχετικές διατάξεις.</w:t>
      </w:r>
    </w:p>
    <w:p w:rsidR="00461D88" w:rsidRPr="00170F6F" w:rsidRDefault="00461D88" w:rsidP="00461D88">
      <w:pPr>
        <w:rPr>
          <w:szCs w:val="22"/>
          <w:lang w:val="el-GR"/>
        </w:rPr>
      </w:pPr>
    </w:p>
    <w:p w:rsidR="00461D88" w:rsidRPr="00170F6F" w:rsidRDefault="00461D88" w:rsidP="00461D88">
      <w:pPr>
        <w:rPr>
          <w:szCs w:val="22"/>
          <w:lang w:val="el-GR"/>
        </w:rPr>
      </w:pPr>
    </w:p>
    <w:p w:rsidR="00461D88" w:rsidRPr="00170F6F" w:rsidRDefault="00461D88" w:rsidP="00461D88">
      <w:pPr>
        <w:ind w:left="567" w:hanging="567"/>
        <w:rPr>
          <w:szCs w:val="22"/>
          <w:lang w:val="el-GR"/>
        </w:rPr>
      </w:pPr>
      <w:r w:rsidRPr="00170F6F">
        <w:rPr>
          <w:b/>
          <w:szCs w:val="22"/>
          <w:lang w:val="el-GR"/>
        </w:rPr>
        <w:t>7.</w:t>
      </w:r>
      <w:r w:rsidRPr="00170F6F">
        <w:rPr>
          <w:b/>
          <w:szCs w:val="22"/>
          <w:lang w:val="el-GR"/>
        </w:rPr>
        <w:tab/>
        <w:t>ΚΑΤΟΧΟΣ ΤΗΣ ΑΔΕΙΑΣ ΚΥΚΛΟΦΟΡΙΑΣ</w:t>
      </w:r>
    </w:p>
    <w:p w:rsidR="00461D88" w:rsidRPr="00170F6F" w:rsidRDefault="00461D88" w:rsidP="00461D88">
      <w:pPr>
        <w:rPr>
          <w:szCs w:val="22"/>
          <w:lang w:val="el-GR"/>
        </w:rPr>
      </w:pPr>
    </w:p>
    <w:p w:rsidR="00F60AC7" w:rsidRPr="00D04B79" w:rsidRDefault="00F60AC7" w:rsidP="00F60AC7">
      <w:pPr>
        <w:pStyle w:val="af4"/>
        <w:rPr>
          <w:rFonts w:ascii="Times New Roman" w:hAnsi="Times New Roman"/>
        </w:rPr>
      </w:pPr>
      <w:r w:rsidRPr="00D04B79">
        <w:rPr>
          <w:rFonts w:ascii="Times New Roman" w:hAnsi="Times New Roman"/>
        </w:rPr>
        <w:t>ΚΟΠΕΡ Α.Ε.</w:t>
      </w:r>
    </w:p>
    <w:p w:rsidR="00F60AC7" w:rsidRPr="00D04B79" w:rsidRDefault="00F60AC7" w:rsidP="00F60AC7">
      <w:pPr>
        <w:pStyle w:val="af4"/>
        <w:rPr>
          <w:rFonts w:ascii="Times New Roman" w:hAnsi="Times New Roman"/>
        </w:rPr>
      </w:pPr>
      <w:r w:rsidRPr="00D04B79">
        <w:rPr>
          <w:rFonts w:ascii="Times New Roman" w:hAnsi="Times New Roman"/>
        </w:rPr>
        <w:t>Αριστοβούλου 64, 11853, Αθήνα</w:t>
      </w:r>
    </w:p>
    <w:p w:rsidR="00F60AC7" w:rsidRPr="00D04B79" w:rsidRDefault="00F60AC7" w:rsidP="00F60AC7">
      <w:pPr>
        <w:pStyle w:val="af4"/>
        <w:rPr>
          <w:rFonts w:ascii="Times New Roman" w:hAnsi="Times New Roman"/>
        </w:rPr>
      </w:pPr>
      <w:proofErr w:type="spellStart"/>
      <w:r w:rsidRPr="00D04B79">
        <w:rPr>
          <w:rFonts w:ascii="Times New Roman" w:hAnsi="Times New Roman"/>
        </w:rPr>
        <w:t>Τηλ</w:t>
      </w:r>
      <w:proofErr w:type="spellEnd"/>
      <w:r w:rsidRPr="00D04B79">
        <w:rPr>
          <w:rFonts w:ascii="Times New Roman" w:hAnsi="Times New Roman"/>
        </w:rPr>
        <w:t>: 2103462108</w:t>
      </w:r>
    </w:p>
    <w:p w:rsidR="00F60AC7" w:rsidRPr="00D04B79" w:rsidRDefault="00F60AC7" w:rsidP="00F60AC7">
      <w:pPr>
        <w:pStyle w:val="af4"/>
        <w:rPr>
          <w:rFonts w:ascii="Times New Roman" w:hAnsi="Times New Roman"/>
        </w:rPr>
      </w:pPr>
      <w:r w:rsidRPr="00D04B79">
        <w:rPr>
          <w:rFonts w:ascii="Times New Roman" w:hAnsi="Times New Roman"/>
          <w:lang w:val="en-US"/>
        </w:rPr>
        <w:t>Fax</w:t>
      </w:r>
      <w:r w:rsidRPr="00D04B79">
        <w:rPr>
          <w:rFonts w:ascii="Times New Roman" w:hAnsi="Times New Roman"/>
        </w:rPr>
        <w:t>: 2103461611</w:t>
      </w:r>
    </w:p>
    <w:p w:rsidR="00F60AC7" w:rsidRPr="00D04B79" w:rsidRDefault="00F60AC7" w:rsidP="00F60AC7">
      <w:pPr>
        <w:pStyle w:val="af4"/>
        <w:rPr>
          <w:rFonts w:ascii="Times New Roman" w:hAnsi="Times New Roman"/>
        </w:rPr>
      </w:pPr>
      <w:proofErr w:type="gramStart"/>
      <w:r w:rsidRPr="00D04B79">
        <w:rPr>
          <w:rFonts w:ascii="Times New Roman" w:hAnsi="Times New Roman"/>
          <w:lang w:val="en-US"/>
        </w:rPr>
        <w:t>email</w:t>
      </w:r>
      <w:proofErr w:type="gramEnd"/>
      <w:r w:rsidRPr="00D04B79">
        <w:rPr>
          <w:rFonts w:ascii="Times New Roman" w:hAnsi="Times New Roman"/>
        </w:rPr>
        <w:t xml:space="preserve">: </w:t>
      </w:r>
      <w:hyperlink r:id="rId9" w:history="1">
        <w:r w:rsidRPr="00D04B79">
          <w:rPr>
            <w:rStyle w:val="-"/>
            <w:rFonts w:ascii="Times New Roman" w:eastAsia="TimesNewRomanPSMT" w:hAnsi="Times New Roman"/>
            <w:lang w:val="en-US"/>
          </w:rPr>
          <w:t>info</w:t>
        </w:r>
        <w:r w:rsidRPr="00D04B79">
          <w:rPr>
            <w:rStyle w:val="-"/>
            <w:rFonts w:ascii="Times New Roman" w:eastAsia="TimesNewRomanPSMT" w:hAnsi="Times New Roman"/>
          </w:rPr>
          <w:t>@</w:t>
        </w:r>
        <w:proofErr w:type="spellStart"/>
        <w:r w:rsidRPr="00D04B79">
          <w:rPr>
            <w:rStyle w:val="-"/>
            <w:rFonts w:ascii="Times New Roman" w:eastAsia="TimesNewRomanPSMT" w:hAnsi="Times New Roman"/>
            <w:lang w:val="en-US"/>
          </w:rPr>
          <w:t>koper</w:t>
        </w:r>
        <w:proofErr w:type="spellEnd"/>
        <w:r w:rsidRPr="00D04B79">
          <w:rPr>
            <w:rStyle w:val="-"/>
            <w:rFonts w:ascii="Times New Roman" w:eastAsia="TimesNewRomanPSMT" w:hAnsi="Times New Roman"/>
          </w:rPr>
          <w:t>.</w:t>
        </w:r>
        <w:r w:rsidRPr="00D04B79">
          <w:rPr>
            <w:rStyle w:val="-"/>
            <w:rFonts w:ascii="Times New Roman" w:eastAsia="TimesNewRomanPSMT" w:hAnsi="Times New Roman"/>
            <w:lang w:val="en-US"/>
          </w:rPr>
          <w:t>gr</w:t>
        </w:r>
      </w:hyperlink>
    </w:p>
    <w:p w:rsidR="00461D88" w:rsidRPr="007C3E42" w:rsidRDefault="00461D88" w:rsidP="00461D88">
      <w:pPr>
        <w:rPr>
          <w:szCs w:val="22"/>
          <w:lang w:val="el-GR"/>
        </w:rPr>
      </w:pPr>
    </w:p>
    <w:p w:rsidR="00461D88" w:rsidRPr="007C3E42" w:rsidRDefault="00461D88" w:rsidP="00461D88">
      <w:pPr>
        <w:rPr>
          <w:szCs w:val="22"/>
          <w:lang w:val="el-GR"/>
        </w:rPr>
      </w:pPr>
    </w:p>
    <w:p w:rsidR="00461D88" w:rsidRPr="00170F6F" w:rsidRDefault="00461D88" w:rsidP="00461D88">
      <w:pPr>
        <w:ind w:left="567" w:hanging="567"/>
        <w:rPr>
          <w:b/>
          <w:szCs w:val="22"/>
          <w:lang w:val="el-GR"/>
        </w:rPr>
      </w:pPr>
      <w:r w:rsidRPr="00170F6F">
        <w:rPr>
          <w:b/>
          <w:szCs w:val="22"/>
          <w:lang w:val="el-GR"/>
        </w:rPr>
        <w:t>8.</w:t>
      </w:r>
      <w:r w:rsidRPr="00170F6F">
        <w:rPr>
          <w:b/>
          <w:szCs w:val="22"/>
          <w:lang w:val="el-GR"/>
        </w:rPr>
        <w:tab/>
        <w:t>ΑΡΙΘΜΟΣ(ΟΙ) ΑΔΕΙΑΣ ΚΥΚΛΟΦΟΡΙΑΣ</w:t>
      </w:r>
    </w:p>
    <w:p w:rsidR="00461D88" w:rsidRPr="00170F6F" w:rsidRDefault="00461D88" w:rsidP="00461D88">
      <w:pPr>
        <w:rPr>
          <w:i/>
          <w:szCs w:val="22"/>
          <w:lang w:val="el-GR"/>
        </w:rPr>
      </w:pPr>
    </w:p>
    <w:p w:rsidR="00461D88" w:rsidRPr="00170F6F" w:rsidRDefault="00461D88" w:rsidP="00461D88">
      <w:pPr>
        <w:rPr>
          <w:szCs w:val="22"/>
          <w:lang w:val="el-GR"/>
        </w:rPr>
      </w:pPr>
    </w:p>
    <w:p w:rsidR="00461D88" w:rsidRPr="00170F6F" w:rsidRDefault="00461D88" w:rsidP="00461D88">
      <w:pPr>
        <w:rPr>
          <w:szCs w:val="22"/>
          <w:lang w:val="el-GR"/>
        </w:rPr>
      </w:pPr>
    </w:p>
    <w:p w:rsidR="00461D88" w:rsidRPr="00170F6F" w:rsidRDefault="00461D88" w:rsidP="00461D88">
      <w:pPr>
        <w:ind w:left="567" w:hanging="567"/>
        <w:rPr>
          <w:szCs w:val="22"/>
          <w:lang w:val="el-GR"/>
        </w:rPr>
      </w:pPr>
      <w:r w:rsidRPr="00170F6F">
        <w:rPr>
          <w:b/>
          <w:szCs w:val="22"/>
          <w:lang w:val="el-GR"/>
        </w:rPr>
        <w:t>9.</w:t>
      </w:r>
      <w:r w:rsidRPr="00170F6F">
        <w:rPr>
          <w:b/>
          <w:szCs w:val="22"/>
          <w:lang w:val="el-GR"/>
        </w:rPr>
        <w:tab/>
        <w:t>ΗΜΕΡΟΜΗΝΙΑ ΠΡΩΤΗΣ ΕΓΚΡΙΣΗΣ / ΑΝΑΝΕΩΣΗΣ ΤΗΣ ΑΔΕΙΑΣ</w:t>
      </w:r>
    </w:p>
    <w:p w:rsidR="00461D88" w:rsidRPr="007C3E42" w:rsidRDefault="00461D88" w:rsidP="00461D88">
      <w:pPr>
        <w:rPr>
          <w:i/>
          <w:szCs w:val="22"/>
          <w:lang w:val="el-GR"/>
        </w:rPr>
      </w:pPr>
    </w:p>
    <w:p w:rsidR="00461D88" w:rsidRPr="003536AE" w:rsidRDefault="00461D88" w:rsidP="00461D88">
      <w:pPr>
        <w:rPr>
          <w:szCs w:val="22"/>
          <w:lang w:val="el-GR"/>
        </w:rPr>
      </w:pPr>
    </w:p>
    <w:p w:rsidR="007C3E42" w:rsidRPr="003536AE" w:rsidRDefault="007C3E42" w:rsidP="00461D88">
      <w:pPr>
        <w:rPr>
          <w:szCs w:val="22"/>
          <w:lang w:val="el-GR"/>
        </w:rPr>
      </w:pPr>
    </w:p>
    <w:p w:rsidR="00461D88" w:rsidRPr="00170F6F" w:rsidRDefault="00461D88" w:rsidP="00461D88">
      <w:pPr>
        <w:ind w:left="567" w:hanging="567"/>
        <w:rPr>
          <w:b/>
          <w:szCs w:val="22"/>
          <w:lang w:val="el-GR"/>
        </w:rPr>
      </w:pPr>
      <w:r w:rsidRPr="00170F6F">
        <w:rPr>
          <w:b/>
          <w:szCs w:val="22"/>
          <w:lang w:val="el-GR"/>
        </w:rPr>
        <w:t>10.</w:t>
      </w:r>
      <w:r w:rsidRPr="00170F6F">
        <w:rPr>
          <w:b/>
          <w:szCs w:val="22"/>
          <w:lang w:val="el-GR"/>
        </w:rPr>
        <w:tab/>
        <w:t>ΗΜΕΡΟΜΗΝΙΑ ΑΝΑΘΕΩΡΗΣΗΣ ΤΟΥ ΚΕΙΜΕΝΟΥ</w:t>
      </w:r>
    </w:p>
    <w:sectPr w:rsidR="00461D88" w:rsidRPr="00170F6F" w:rsidSect="00C773E4">
      <w:footerReference w:type="default" r:id="rId10"/>
      <w:footerReference w:type="first" r:id="rId11"/>
      <w:endnotePr>
        <w:numFmt w:val="decimal"/>
      </w:endnotePr>
      <w:pgSz w:w="11907" w:h="16840" w:code="9"/>
      <w:pgMar w:top="1134" w:right="1347" w:bottom="1134" w:left="1418"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F1" w:rsidRDefault="00D903F1">
      <w:r>
        <w:separator/>
      </w:r>
    </w:p>
  </w:endnote>
  <w:endnote w:type="continuationSeparator" w:id="0">
    <w:p w:rsidR="00D903F1" w:rsidRDefault="00D9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2B" w:rsidRDefault="00D52CD2">
    <w:pPr>
      <w:pStyle w:val="a4"/>
      <w:tabs>
        <w:tab w:val="clear" w:pos="8930"/>
        <w:tab w:val="right" w:pos="8931"/>
      </w:tabs>
      <w:ind w:right="96"/>
      <w:jc w:val="center"/>
    </w:pPr>
    <w:r>
      <w:fldChar w:fldCharType="begin"/>
    </w:r>
    <w:r w:rsidR="0099302B">
      <w:instrText xml:space="preserve"> EQ </w:instrText>
    </w:r>
    <w:r>
      <w:fldChar w:fldCharType="end"/>
    </w:r>
    <w:r>
      <w:rPr>
        <w:rStyle w:val="a5"/>
        <w:rFonts w:cs="Arial"/>
      </w:rPr>
      <w:fldChar w:fldCharType="begin"/>
    </w:r>
    <w:r w:rsidR="0099302B">
      <w:rPr>
        <w:rStyle w:val="a5"/>
        <w:rFonts w:cs="Arial"/>
      </w:rPr>
      <w:instrText xml:space="preserve">PAGE  </w:instrText>
    </w:r>
    <w:r>
      <w:rPr>
        <w:rStyle w:val="a5"/>
        <w:rFonts w:cs="Arial"/>
      </w:rPr>
      <w:fldChar w:fldCharType="separate"/>
    </w:r>
    <w:r w:rsidR="000C09AC">
      <w:rPr>
        <w:rStyle w:val="a5"/>
        <w:rFonts w:cs="Arial"/>
        <w:noProof/>
      </w:rPr>
      <w:t>2</w:t>
    </w:r>
    <w:r>
      <w:rPr>
        <w:rStyle w:val="a5"/>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2B" w:rsidRDefault="00D52CD2">
    <w:pPr>
      <w:pStyle w:val="a4"/>
      <w:tabs>
        <w:tab w:val="clear" w:pos="8930"/>
        <w:tab w:val="right" w:pos="8931"/>
      </w:tabs>
      <w:ind w:right="96"/>
      <w:jc w:val="center"/>
    </w:pPr>
    <w:r>
      <w:fldChar w:fldCharType="begin"/>
    </w:r>
    <w:r w:rsidR="0099302B">
      <w:instrText xml:space="preserve"> EQ </w:instrText>
    </w:r>
    <w:r>
      <w:fldChar w:fldCharType="end"/>
    </w:r>
    <w:r>
      <w:rPr>
        <w:rStyle w:val="a5"/>
        <w:rFonts w:cs="Arial"/>
      </w:rPr>
      <w:fldChar w:fldCharType="begin"/>
    </w:r>
    <w:r w:rsidR="0099302B">
      <w:rPr>
        <w:rStyle w:val="a5"/>
        <w:rFonts w:cs="Arial"/>
      </w:rPr>
      <w:instrText xml:space="preserve">PAGE  </w:instrText>
    </w:r>
    <w:r>
      <w:rPr>
        <w:rStyle w:val="a5"/>
        <w:rFonts w:cs="Arial"/>
      </w:rPr>
      <w:fldChar w:fldCharType="separate"/>
    </w:r>
    <w:r w:rsidR="000C09AC">
      <w:rPr>
        <w:rStyle w:val="a5"/>
        <w:rFonts w:cs="Arial"/>
        <w:noProof/>
      </w:rPr>
      <w:t>1</w:t>
    </w:r>
    <w:r>
      <w:rPr>
        <w:rStyle w:val="a5"/>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F1" w:rsidRDefault="00D903F1">
      <w:r>
        <w:separator/>
      </w:r>
    </w:p>
  </w:footnote>
  <w:footnote w:type="continuationSeparator" w:id="0">
    <w:p w:rsidR="00D903F1" w:rsidRDefault="00D90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24"/>
    <w:multiLevelType w:val="hybridMultilevel"/>
    <w:tmpl w:val="4544C4BC"/>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2">
    <w:nsid w:val="0B3469C5"/>
    <w:multiLevelType w:val="hybridMultilevel"/>
    <w:tmpl w:val="E4482CD2"/>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3C1D2D"/>
    <w:multiLevelType w:val="hybridMultilevel"/>
    <w:tmpl w:val="EE26B80A"/>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67C75"/>
    <w:multiLevelType w:val="hybridMultilevel"/>
    <w:tmpl w:val="B58A190A"/>
    <w:lvl w:ilvl="0" w:tplc="40EE3CAC">
      <w:start w:val="1"/>
      <w:numFmt w:val="bullet"/>
      <w:lvlText w:val=""/>
      <w:lvlJc w:val="left"/>
      <w:pPr>
        <w:tabs>
          <w:tab w:val="num" w:pos="574"/>
        </w:tabs>
        <w:ind w:left="574" w:hanging="432"/>
      </w:pPr>
      <w:rPr>
        <w:rFonts w:ascii="Symbol" w:hAnsi="Symbol" w:hint="default"/>
        <w:color w:val="auto"/>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5">
    <w:nsid w:val="0DED63FE"/>
    <w:multiLevelType w:val="hybridMultilevel"/>
    <w:tmpl w:val="874269DC"/>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6F6CF7"/>
    <w:multiLevelType w:val="hybridMultilevel"/>
    <w:tmpl w:val="043CC4B4"/>
    <w:lvl w:ilvl="0" w:tplc="40EE3CAC">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8">
    <w:nsid w:val="21FD2CCB"/>
    <w:multiLevelType w:val="hybridMultilevel"/>
    <w:tmpl w:val="334EBDAA"/>
    <w:lvl w:ilvl="0" w:tplc="40EE3CAC">
      <w:start w:val="1"/>
      <w:numFmt w:val="bullet"/>
      <w:lvlText w:val=""/>
      <w:lvlJc w:val="left"/>
      <w:pPr>
        <w:tabs>
          <w:tab w:val="num" w:pos="1425"/>
        </w:tabs>
        <w:ind w:left="1425"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A00ED1"/>
    <w:multiLevelType w:val="hybridMultilevel"/>
    <w:tmpl w:val="C0A89380"/>
    <w:lvl w:ilvl="0" w:tplc="34726082">
      <w:start w:val="1"/>
      <w:numFmt w:val="decimal"/>
      <w:pStyle w:val="listnumnospac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541609"/>
    <w:multiLevelType w:val="hybridMultilevel"/>
    <w:tmpl w:val="367800D2"/>
    <w:lvl w:ilvl="0" w:tplc="B67645EC">
      <w:start w:val="1"/>
      <w:numFmt w:val="decimal"/>
      <w:lvlText w:val="%1."/>
      <w:lvlJc w:val="left"/>
      <w:pPr>
        <w:tabs>
          <w:tab w:val="num" w:pos="570"/>
        </w:tabs>
        <w:ind w:left="570" w:hanging="57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CD7999"/>
    <w:multiLevelType w:val="hybridMultilevel"/>
    <w:tmpl w:val="578E5B5A"/>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2F5EE8"/>
    <w:multiLevelType w:val="hybridMultilevel"/>
    <w:tmpl w:val="7CD206CC"/>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C831EAB"/>
    <w:multiLevelType w:val="hybridMultilevel"/>
    <w:tmpl w:val="57C48618"/>
    <w:lvl w:ilvl="0" w:tplc="B024E716">
      <w:start w:val="1"/>
      <w:numFmt w:val="bullet"/>
      <w:pStyle w:val="LUTOlist-bullets"/>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4E57AD"/>
    <w:multiLevelType w:val="hybridMultilevel"/>
    <w:tmpl w:val="83BE8E54"/>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447"/>
        </w:tabs>
        <w:ind w:left="447" w:hanging="360"/>
      </w:pPr>
      <w:rPr>
        <w:rFonts w:ascii="Courier New" w:hAnsi="Courier New" w:cs="Courier New" w:hint="default"/>
      </w:rPr>
    </w:lvl>
    <w:lvl w:ilvl="2" w:tplc="08090005" w:tentative="1">
      <w:start w:val="1"/>
      <w:numFmt w:val="bullet"/>
      <w:lvlText w:val=""/>
      <w:lvlJc w:val="left"/>
      <w:pPr>
        <w:tabs>
          <w:tab w:val="num" w:pos="1167"/>
        </w:tabs>
        <w:ind w:left="1167" w:hanging="360"/>
      </w:pPr>
      <w:rPr>
        <w:rFonts w:ascii="Wingdings" w:hAnsi="Wingdings" w:hint="default"/>
      </w:rPr>
    </w:lvl>
    <w:lvl w:ilvl="3" w:tplc="08090001" w:tentative="1">
      <w:start w:val="1"/>
      <w:numFmt w:val="bullet"/>
      <w:lvlText w:val=""/>
      <w:lvlJc w:val="left"/>
      <w:pPr>
        <w:tabs>
          <w:tab w:val="num" w:pos="1887"/>
        </w:tabs>
        <w:ind w:left="1887" w:hanging="360"/>
      </w:pPr>
      <w:rPr>
        <w:rFonts w:ascii="Symbol" w:hAnsi="Symbol" w:hint="default"/>
      </w:rPr>
    </w:lvl>
    <w:lvl w:ilvl="4" w:tplc="08090003" w:tentative="1">
      <w:start w:val="1"/>
      <w:numFmt w:val="bullet"/>
      <w:lvlText w:val="o"/>
      <w:lvlJc w:val="left"/>
      <w:pPr>
        <w:tabs>
          <w:tab w:val="num" w:pos="2607"/>
        </w:tabs>
        <w:ind w:left="2607" w:hanging="360"/>
      </w:pPr>
      <w:rPr>
        <w:rFonts w:ascii="Courier New" w:hAnsi="Courier New" w:cs="Courier New" w:hint="default"/>
      </w:rPr>
    </w:lvl>
    <w:lvl w:ilvl="5" w:tplc="08090005" w:tentative="1">
      <w:start w:val="1"/>
      <w:numFmt w:val="bullet"/>
      <w:lvlText w:val=""/>
      <w:lvlJc w:val="left"/>
      <w:pPr>
        <w:tabs>
          <w:tab w:val="num" w:pos="3327"/>
        </w:tabs>
        <w:ind w:left="3327" w:hanging="360"/>
      </w:pPr>
      <w:rPr>
        <w:rFonts w:ascii="Wingdings" w:hAnsi="Wingdings" w:hint="default"/>
      </w:rPr>
    </w:lvl>
    <w:lvl w:ilvl="6" w:tplc="08090001" w:tentative="1">
      <w:start w:val="1"/>
      <w:numFmt w:val="bullet"/>
      <w:lvlText w:val=""/>
      <w:lvlJc w:val="left"/>
      <w:pPr>
        <w:tabs>
          <w:tab w:val="num" w:pos="4047"/>
        </w:tabs>
        <w:ind w:left="4047" w:hanging="360"/>
      </w:pPr>
      <w:rPr>
        <w:rFonts w:ascii="Symbol" w:hAnsi="Symbol" w:hint="default"/>
      </w:rPr>
    </w:lvl>
    <w:lvl w:ilvl="7" w:tplc="08090003" w:tentative="1">
      <w:start w:val="1"/>
      <w:numFmt w:val="bullet"/>
      <w:lvlText w:val="o"/>
      <w:lvlJc w:val="left"/>
      <w:pPr>
        <w:tabs>
          <w:tab w:val="num" w:pos="4767"/>
        </w:tabs>
        <w:ind w:left="4767" w:hanging="360"/>
      </w:pPr>
      <w:rPr>
        <w:rFonts w:ascii="Courier New" w:hAnsi="Courier New" w:cs="Courier New" w:hint="default"/>
      </w:rPr>
    </w:lvl>
    <w:lvl w:ilvl="8" w:tplc="08090005" w:tentative="1">
      <w:start w:val="1"/>
      <w:numFmt w:val="bullet"/>
      <w:lvlText w:val=""/>
      <w:lvlJc w:val="left"/>
      <w:pPr>
        <w:tabs>
          <w:tab w:val="num" w:pos="5487"/>
        </w:tabs>
        <w:ind w:left="5487" w:hanging="360"/>
      </w:pPr>
      <w:rPr>
        <w:rFonts w:ascii="Wingdings" w:hAnsi="Wingdings" w:hint="default"/>
      </w:rPr>
    </w:lvl>
  </w:abstractNum>
  <w:abstractNum w:abstractNumId="16">
    <w:nsid w:val="4CA21DEB"/>
    <w:multiLevelType w:val="hybridMultilevel"/>
    <w:tmpl w:val="D944984E"/>
    <w:lvl w:ilvl="0" w:tplc="40EE3CAC">
      <w:start w:val="1"/>
      <w:numFmt w:val="bullet"/>
      <w:lvlText w:val=""/>
      <w:lvlJc w:val="left"/>
      <w:pPr>
        <w:tabs>
          <w:tab w:val="num" w:pos="432"/>
        </w:tabs>
        <w:ind w:left="432" w:hanging="432"/>
      </w:pPr>
      <w:rPr>
        <w:rFonts w:ascii="Symbol" w:hAnsi="Symbol" w:hint="default"/>
        <w:color w:val="auto"/>
      </w:rPr>
    </w:lvl>
    <w:lvl w:ilvl="1" w:tplc="67F0E116">
      <w:start w:val="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D962DD8"/>
    <w:multiLevelType w:val="hybridMultilevel"/>
    <w:tmpl w:val="D95057AC"/>
    <w:lvl w:ilvl="0" w:tplc="744625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51E61"/>
    <w:multiLevelType w:val="hybridMultilevel"/>
    <w:tmpl w:val="70C0DEEC"/>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9D27B9"/>
    <w:multiLevelType w:val="hybridMultilevel"/>
    <w:tmpl w:val="609CA140"/>
    <w:lvl w:ilvl="0" w:tplc="E8BAF01E">
      <w:start w:val="1"/>
      <w:numFmt w:val="bullet"/>
      <w:lvlText w:val=""/>
      <w:lvlJc w:val="left"/>
      <w:pPr>
        <w:tabs>
          <w:tab w:val="num" w:pos="1353"/>
        </w:tabs>
        <w:ind w:left="1353"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C95DEB"/>
    <w:multiLevelType w:val="hybridMultilevel"/>
    <w:tmpl w:val="8A545D78"/>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B56C73"/>
    <w:multiLevelType w:val="hybridMultilevel"/>
    <w:tmpl w:val="BA32C580"/>
    <w:lvl w:ilvl="0" w:tplc="7C30C234">
      <w:start w:val="2"/>
      <w:numFmt w:val="decimal"/>
      <w:lvlText w:val="%1."/>
      <w:lvlJc w:val="left"/>
      <w:pPr>
        <w:tabs>
          <w:tab w:val="num" w:pos="570"/>
        </w:tabs>
        <w:ind w:left="570" w:hanging="570"/>
      </w:pPr>
      <w:rPr>
        <w:rFonts w:hint="default"/>
        <w:b/>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097EF8"/>
    <w:multiLevelType w:val="multilevel"/>
    <w:tmpl w:val="A02E932A"/>
    <w:numStyleLink w:val="BulletsAgency"/>
  </w:abstractNum>
  <w:abstractNum w:abstractNumId="23">
    <w:nsid w:val="61D03A88"/>
    <w:multiLevelType w:val="hybridMultilevel"/>
    <w:tmpl w:val="742EA8CC"/>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5DC0509"/>
    <w:multiLevelType w:val="hybridMultilevel"/>
    <w:tmpl w:val="AE6A9220"/>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AB6DD0"/>
    <w:multiLevelType w:val="hybridMultilevel"/>
    <w:tmpl w:val="03F8C266"/>
    <w:lvl w:ilvl="0" w:tplc="40EE3CAC">
      <w:start w:val="1"/>
      <w:numFmt w:val="bullet"/>
      <w:lvlText w:val=""/>
      <w:lvlJc w:val="left"/>
      <w:pPr>
        <w:tabs>
          <w:tab w:val="num" w:pos="1425"/>
        </w:tabs>
        <w:ind w:left="1425"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B090CFA"/>
    <w:multiLevelType w:val="hybridMultilevel"/>
    <w:tmpl w:val="15EA0D92"/>
    <w:lvl w:ilvl="0" w:tplc="744625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277AFC"/>
    <w:multiLevelType w:val="hybridMultilevel"/>
    <w:tmpl w:val="8598BCC8"/>
    <w:lvl w:ilvl="0" w:tplc="40EE3CAC">
      <w:start w:val="1"/>
      <w:numFmt w:val="bullet"/>
      <w:lvlText w:val=""/>
      <w:lvlJc w:val="left"/>
      <w:pPr>
        <w:tabs>
          <w:tab w:val="num" w:pos="1425"/>
        </w:tabs>
        <w:ind w:left="1425"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891A2F"/>
    <w:multiLevelType w:val="hybridMultilevel"/>
    <w:tmpl w:val="51A0E4AC"/>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5F5BAD"/>
    <w:multiLevelType w:val="hybridMultilevel"/>
    <w:tmpl w:val="C7F21766"/>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1"/>
  </w:num>
  <w:num w:numId="4">
    <w:abstractNumId w:val="10"/>
  </w:num>
  <w:num w:numId="5">
    <w:abstractNumId w:val="7"/>
  </w:num>
  <w:num w:numId="6">
    <w:abstractNumId w:val="9"/>
  </w:num>
  <w:num w:numId="7">
    <w:abstractNumId w:val="18"/>
  </w:num>
  <w:num w:numId="8">
    <w:abstractNumId w:val="23"/>
  </w:num>
  <w:num w:numId="9">
    <w:abstractNumId w:val="5"/>
  </w:num>
  <w:num w:numId="10">
    <w:abstractNumId w:val="4"/>
  </w:num>
  <w:num w:numId="11">
    <w:abstractNumId w:val="12"/>
  </w:num>
  <w:num w:numId="12">
    <w:abstractNumId w:val="30"/>
  </w:num>
  <w:num w:numId="13">
    <w:abstractNumId w:val="14"/>
  </w:num>
  <w:num w:numId="14">
    <w:abstractNumId w:val="6"/>
  </w:num>
  <w:num w:numId="15">
    <w:abstractNumId w:val="8"/>
  </w:num>
  <w:num w:numId="16">
    <w:abstractNumId w:val="25"/>
  </w:num>
  <w:num w:numId="17">
    <w:abstractNumId w:val="28"/>
  </w:num>
  <w:num w:numId="18">
    <w:abstractNumId w:val="16"/>
  </w:num>
  <w:num w:numId="19">
    <w:abstractNumId w:val="11"/>
  </w:num>
  <w:num w:numId="20">
    <w:abstractNumId w:val="29"/>
  </w:num>
  <w:num w:numId="21">
    <w:abstractNumId w:val="20"/>
  </w:num>
  <w:num w:numId="22">
    <w:abstractNumId w:val="3"/>
  </w:num>
  <w:num w:numId="23">
    <w:abstractNumId w:val="2"/>
  </w:num>
  <w:num w:numId="24">
    <w:abstractNumId w:val="15"/>
  </w:num>
  <w:num w:numId="25">
    <w:abstractNumId w:val="19"/>
  </w:num>
  <w:num w:numId="26">
    <w:abstractNumId w:val="0"/>
  </w:num>
  <w:num w:numId="27">
    <w:abstractNumId w:val="1"/>
  </w:num>
  <w:num w:numId="28">
    <w:abstractNumId w:val="22"/>
  </w:num>
  <w:num w:numId="29">
    <w:abstractNumId w:val="17"/>
  </w:num>
  <w:num w:numId="30">
    <w:abstractNumId w:val="27"/>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D"/>
    <w:rsid w:val="00004720"/>
    <w:rsid w:val="00012805"/>
    <w:rsid w:val="000246DF"/>
    <w:rsid w:val="00064802"/>
    <w:rsid w:val="00093100"/>
    <w:rsid w:val="000A1161"/>
    <w:rsid w:val="000A470B"/>
    <w:rsid w:val="000B3231"/>
    <w:rsid w:val="000C09AC"/>
    <w:rsid w:val="000C4492"/>
    <w:rsid w:val="000E2E0A"/>
    <w:rsid w:val="0010223D"/>
    <w:rsid w:val="001038D6"/>
    <w:rsid w:val="001107C6"/>
    <w:rsid w:val="001144D7"/>
    <w:rsid w:val="00136A47"/>
    <w:rsid w:val="001524F8"/>
    <w:rsid w:val="00157421"/>
    <w:rsid w:val="001602DF"/>
    <w:rsid w:val="00170CE5"/>
    <w:rsid w:val="00170F6F"/>
    <w:rsid w:val="0018642A"/>
    <w:rsid w:val="001B71F2"/>
    <w:rsid w:val="001C152A"/>
    <w:rsid w:val="001E1391"/>
    <w:rsid w:val="001E2BD6"/>
    <w:rsid w:val="001F010A"/>
    <w:rsid w:val="002059B1"/>
    <w:rsid w:val="00205A5D"/>
    <w:rsid w:val="0021390B"/>
    <w:rsid w:val="00220339"/>
    <w:rsid w:val="00223C6A"/>
    <w:rsid w:val="00264E77"/>
    <w:rsid w:val="00274F17"/>
    <w:rsid w:val="002A020E"/>
    <w:rsid w:val="002A3EFD"/>
    <w:rsid w:val="002B1544"/>
    <w:rsid w:val="0030791B"/>
    <w:rsid w:val="003224E0"/>
    <w:rsid w:val="0032250D"/>
    <w:rsid w:val="003536AE"/>
    <w:rsid w:val="0036468F"/>
    <w:rsid w:val="0036696A"/>
    <w:rsid w:val="0037553F"/>
    <w:rsid w:val="00381848"/>
    <w:rsid w:val="00391653"/>
    <w:rsid w:val="003940A2"/>
    <w:rsid w:val="003D0C35"/>
    <w:rsid w:val="003E5070"/>
    <w:rsid w:val="003F4CF9"/>
    <w:rsid w:val="00410282"/>
    <w:rsid w:val="004126AB"/>
    <w:rsid w:val="00420E7C"/>
    <w:rsid w:val="00447BA5"/>
    <w:rsid w:val="00461D88"/>
    <w:rsid w:val="00466EE4"/>
    <w:rsid w:val="004743EA"/>
    <w:rsid w:val="004764D3"/>
    <w:rsid w:val="004833C4"/>
    <w:rsid w:val="004A1E0F"/>
    <w:rsid w:val="004E0F12"/>
    <w:rsid w:val="004F1ADB"/>
    <w:rsid w:val="00513795"/>
    <w:rsid w:val="00545A64"/>
    <w:rsid w:val="00550BAA"/>
    <w:rsid w:val="00575D6C"/>
    <w:rsid w:val="005951AE"/>
    <w:rsid w:val="005B7559"/>
    <w:rsid w:val="005C1B7D"/>
    <w:rsid w:val="005C6E57"/>
    <w:rsid w:val="005D635B"/>
    <w:rsid w:val="005E20E4"/>
    <w:rsid w:val="00614414"/>
    <w:rsid w:val="00664AA8"/>
    <w:rsid w:val="006A7409"/>
    <w:rsid w:val="006B3717"/>
    <w:rsid w:val="006B7CCA"/>
    <w:rsid w:val="006F74CC"/>
    <w:rsid w:val="00701B6F"/>
    <w:rsid w:val="00707DAA"/>
    <w:rsid w:val="00735A1A"/>
    <w:rsid w:val="00754E68"/>
    <w:rsid w:val="00766984"/>
    <w:rsid w:val="007801AD"/>
    <w:rsid w:val="007A1568"/>
    <w:rsid w:val="007A675C"/>
    <w:rsid w:val="007C3E42"/>
    <w:rsid w:val="007D2EA8"/>
    <w:rsid w:val="007F169E"/>
    <w:rsid w:val="008078A8"/>
    <w:rsid w:val="00813ECD"/>
    <w:rsid w:val="00816557"/>
    <w:rsid w:val="0081756A"/>
    <w:rsid w:val="00827232"/>
    <w:rsid w:val="0084081A"/>
    <w:rsid w:val="00847AE7"/>
    <w:rsid w:val="00863B82"/>
    <w:rsid w:val="008802C1"/>
    <w:rsid w:val="00887D3B"/>
    <w:rsid w:val="008A0B61"/>
    <w:rsid w:val="008A150D"/>
    <w:rsid w:val="008A40C0"/>
    <w:rsid w:val="008A5A98"/>
    <w:rsid w:val="008B5BE1"/>
    <w:rsid w:val="008D18F9"/>
    <w:rsid w:val="008E26D7"/>
    <w:rsid w:val="008E49B1"/>
    <w:rsid w:val="00905698"/>
    <w:rsid w:val="009065C4"/>
    <w:rsid w:val="00922284"/>
    <w:rsid w:val="00932D3A"/>
    <w:rsid w:val="009669BB"/>
    <w:rsid w:val="00977D23"/>
    <w:rsid w:val="00980C2B"/>
    <w:rsid w:val="0098377E"/>
    <w:rsid w:val="00985C80"/>
    <w:rsid w:val="00987C12"/>
    <w:rsid w:val="0099302B"/>
    <w:rsid w:val="00994395"/>
    <w:rsid w:val="009A17BA"/>
    <w:rsid w:val="009C4E6B"/>
    <w:rsid w:val="009D4F2D"/>
    <w:rsid w:val="009D6D68"/>
    <w:rsid w:val="009E28A5"/>
    <w:rsid w:val="009E45C1"/>
    <w:rsid w:val="009F6323"/>
    <w:rsid w:val="00A07816"/>
    <w:rsid w:val="00A27CD4"/>
    <w:rsid w:val="00A37332"/>
    <w:rsid w:val="00A41D59"/>
    <w:rsid w:val="00A500CC"/>
    <w:rsid w:val="00A72858"/>
    <w:rsid w:val="00AB3863"/>
    <w:rsid w:val="00AC0625"/>
    <w:rsid w:val="00AD5160"/>
    <w:rsid w:val="00AF763F"/>
    <w:rsid w:val="00B02B9D"/>
    <w:rsid w:val="00B05659"/>
    <w:rsid w:val="00B147A6"/>
    <w:rsid w:val="00B17854"/>
    <w:rsid w:val="00B17E12"/>
    <w:rsid w:val="00B22618"/>
    <w:rsid w:val="00B26FE8"/>
    <w:rsid w:val="00B3521F"/>
    <w:rsid w:val="00B52FB5"/>
    <w:rsid w:val="00B71A99"/>
    <w:rsid w:val="00B94F7B"/>
    <w:rsid w:val="00BA6227"/>
    <w:rsid w:val="00BB273F"/>
    <w:rsid w:val="00BB4E68"/>
    <w:rsid w:val="00BB7641"/>
    <w:rsid w:val="00BB7F98"/>
    <w:rsid w:val="00BD3B3C"/>
    <w:rsid w:val="00C020A2"/>
    <w:rsid w:val="00C22BC3"/>
    <w:rsid w:val="00C33514"/>
    <w:rsid w:val="00C773E4"/>
    <w:rsid w:val="00C81A1B"/>
    <w:rsid w:val="00C835E3"/>
    <w:rsid w:val="00CD46FF"/>
    <w:rsid w:val="00CF382B"/>
    <w:rsid w:val="00D50569"/>
    <w:rsid w:val="00D52CD2"/>
    <w:rsid w:val="00D64689"/>
    <w:rsid w:val="00D903F1"/>
    <w:rsid w:val="00DA5CA8"/>
    <w:rsid w:val="00DA6BEC"/>
    <w:rsid w:val="00DC0CD2"/>
    <w:rsid w:val="00DC4ACB"/>
    <w:rsid w:val="00E0571B"/>
    <w:rsid w:val="00E0592A"/>
    <w:rsid w:val="00E06A4B"/>
    <w:rsid w:val="00E25A0A"/>
    <w:rsid w:val="00E561FE"/>
    <w:rsid w:val="00E632A7"/>
    <w:rsid w:val="00E753DF"/>
    <w:rsid w:val="00E772D4"/>
    <w:rsid w:val="00E91A36"/>
    <w:rsid w:val="00EA03AC"/>
    <w:rsid w:val="00EA2F50"/>
    <w:rsid w:val="00EA4323"/>
    <w:rsid w:val="00EC20DD"/>
    <w:rsid w:val="00ED20FE"/>
    <w:rsid w:val="00ED6483"/>
    <w:rsid w:val="00EE61B0"/>
    <w:rsid w:val="00F10725"/>
    <w:rsid w:val="00F11D1C"/>
    <w:rsid w:val="00F35942"/>
    <w:rsid w:val="00F478C4"/>
    <w:rsid w:val="00F5507A"/>
    <w:rsid w:val="00F60AC7"/>
    <w:rsid w:val="00F74245"/>
    <w:rsid w:val="00FA4551"/>
    <w:rsid w:val="00FC2EE4"/>
    <w:rsid w:val="00FC4346"/>
    <w:rsid w:val="00FE0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7BA"/>
    <w:pPr>
      <w:tabs>
        <w:tab w:val="left" w:pos="567"/>
      </w:tabs>
      <w:spacing w:line="260" w:lineRule="exact"/>
    </w:pPr>
    <w:rPr>
      <w:sz w:val="22"/>
      <w:lang w:val="en-GB" w:eastAsia="en-US"/>
    </w:rPr>
  </w:style>
  <w:style w:type="paragraph" w:styleId="1">
    <w:name w:val="heading 1"/>
    <w:basedOn w:val="a"/>
    <w:next w:val="a"/>
    <w:link w:val="1Char"/>
    <w:qFormat/>
    <w:rsid w:val="00447BA5"/>
    <w:pPr>
      <w:spacing w:before="240" w:after="120"/>
      <w:ind w:left="357" w:hanging="357"/>
      <w:outlineLvl w:val="0"/>
    </w:pPr>
    <w:rPr>
      <w:b/>
      <w:caps/>
      <w:sz w:val="26"/>
      <w:lang w:val="en-US"/>
    </w:rPr>
  </w:style>
  <w:style w:type="paragraph" w:styleId="2">
    <w:name w:val="heading 2"/>
    <w:basedOn w:val="a"/>
    <w:next w:val="a"/>
    <w:link w:val="2Char"/>
    <w:qFormat/>
    <w:rsid w:val="00447BA5"/>
    <w:pPr>
      <w:keepNext/>
      <w:spacing w:before="240" w:after="60"/>
      <w:outlineLvl w:val="1"/>
    </w:pPr>
    <w:rPr>
      <w:rFonts w:ascii="Helvetica" w:hAnsi="Helvetica"/>
      <w:b/>
      <w:i/>
      <w:sz w:val="24"/>
    </w:rPr>
  </w:style>
  <w:style w:type="paragraph" w:styleId="3">
    <w:name w:val="heading 3"/>
    <w:basedOn w:val="a"/>
    <w:next w:val="a"/>
    <w:link w:val="3Char"/>
    <w:qFormat/>
    <w:rsid w:val="00447BA5"/>
    <w:pPr>
      <w:keepNext/>
      <w:keepLines/>
      <w:spacing w:before="120" w:after="80"/>
      <w:outlineLvl w:val="2"/>
    </w:pPr>
    <w:rPr>
      <w:b/>
      <w:kern w:val="28"/>
      <w:sz w:val="24"/>
      <w:lang w:val="en-US"/>
    </w:rPr>
  </w:style>
  <w:style w:type="paragraph" w:styleId="4">
    <w:name w:val="heading 4"/>
    <w:basedOn w:val="a"/>
    <w:next w:val="a"/>
    <w:link w:val="4Char"/>
    <w:qFormat/>
    <w:rsid w:val="00447BA5"/>
    <w:pPr>
      <w:keepNext/>
      <w:jc w:val="both"/>
      <w:outlineLvl w:val="3"/>
    </w:pPr>
    <w:rPr>
      <w:b/>
      <w:noProof/>
    </w:rPr>
  </w:style>
  <w:style w:type="paragraph" w:styleId="5">
    <w:name w:val="heading 5"/>
    <w:basedOn w:val="a"/>
    <w:next w:val="a"/>
    <w:link w:val="5Char"/>
    <w:qFormat/>
    <w:rsid w:val="00447BA5"/>
    <w:pPr>
      <w:keepNext/>
      <w:jc w:val="both"/>
      <w:outlineLvl w:val="4"/>
    </w:pPr>
    <w:rPr>
      <w:noProof/>
    </w:rPr>
  </w:style>
  <w:style w:type="paragraph" w:styleId="6">
    <w:name w:val="heading 6"/>
    <w:basedOn w:val="a"/>
    <w:next w:val="a"/>
    <w:link w:val="6Char"/>
    <w:qFormat/>
    <w:rsid w:val="00447BA5"/>
    <w:pPr>
      <w:keepNext/>
      <w:tabs>
        <w:tab w:val="left" w:pos="-720"/>
        <w:tab w:val="left" w:pos="4536"/>
      </w:tabs>
      <w:suppressAutoHyphens/>
      <w:outlineLvl w:val="5"/>
    </w:pPr>
    <w:rPr>
      <w:i/>
    </w:rPr>
  </w:style>
  <w:style w:type="paragraph" w:styleId="7">
    <w:name w:val="heading 7"/>
    <w:basedOn w:val="a"/>
    <w:next w:val="a"/>
    <w:link w:val="7Char"/>
    <w:qFormat/>
    <w:rsid w:val="00447BA5"/>
    <w:pPr>
      <w:keepNext/>
      <w:tabs>
        <w:tab w:val="left" w:pos="-720"/>
        <w:tab w:val="left" w:pos="4536"/>
      </w:tabs>
      <w:suppressAutoHyphens/>
      <w:jc w:val="both"/>
      <w:outlineLvl w:val="6"/>
    </w:pPr>
    <w:rPr>
      <w:i/>
    </w:rPr>
  </w:style>
  <w:style w:type="paragraph" w:styleId="8">
    <w:name w:val="heading 8"/>
    <w:basedOn w:val="a"/>
    <w:next w:val="a"/>
    <w:link w:val="8Char"/>
    <w:qFormat/>
    <w:rsid w:val="00447BA5"/>
    <w:pPr>
      <w:keepNext/>
      <w:ind w:left="567" w:hanging="567"/>
      <w:jc w:val="both"/>
      <w:outlineLvl w:val="7"/>
    </w:pPr>
    <w:rPr>
      <w:b/>
      <w:i/>
    </w:rPr>
  </w:style>
  <w:style w:type="paragraph" w:styleId="9">
    <w:name w:val="heading 9"/>
    <w:basedOn w:val="a"/>
    <w:next w:val="a"/>
    <w:link w:val="9Char"/>
    <w:qFormat/>
    <w:rsid w:val="00447BA5"/>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47BA5"/>
    <w:rPr>
      <w:b/>
      <w:caps/>
      <w:sz w:val="26"/>
      <w:lang w:val="en-US" w:eastAsia="en-US"/>
    </w:rPr>
  </w:style>
  <w:style w:type="character" w:customStyle="1" w:styleId="2Char">
    <w:name w:val="Επικεφαλίδα 2 Char"/>
    <w:link w:val="2"/>
    <w:rsid w:val="00447BA5"/>
    <w:rPr>
      <w:rFonts w:ascii="Helvetica" w:hAnsi="Helvetica"/>
      <w:b/>
      <w:i/>
      <w:sz w:val="24"/>
      <w:lang w:eastAsia="en-US"/>
    </w:rPr>
  </w:style>
  <w:style w:type="character" w:customStyle="1" w:styleId="3Char">
    <w:name w:val="Επικεφαλίδα 3 Char"/>
    <w:link w:val="3"/>
    <w:rsid w:val="00447BA5"/>
    <w:rPr>
      <w:b/>
      <w:kern w:val="28"/>
      <w:sz w:val="24"/>
      <w:lang w:val="en-US" w:eastAsia="en-US"/>
    </w:rPr>
  </w:style>
  <w:style w:type="character" w:customStyle="1" w:styleId="4Char">
    <w:name w:val="Επικεφαλίδα 4 Char"/>
    <w:link w:val="4"/>
    <w:rsid w:val="00447BA5"/>
    <w:rPr>
      <w:b/>
      <w:noProof/>
      <w:sz w:val="22"/>
      <w:lang w:eastAsia="en-US"/>
    </w:rPr>
  </w:style>
  <w:style w:type="character" w:customStyle="1" w:styleId="5Char">
    <w:name w:val="Επικεφαλίδα 5 Char"/>
    <w:link w:val="5"/>
    <w:rsid w:val="00447BA5"/>
    <w:rPr>
      <w:noProof/>
      <w:sz w:val="22"/>
      <w:lang w:eastAsia="en-US"/>
    </w:rPr>
  </w:style>
  <w:style w:type="character" w:customStyle="1" w:styleId="6Char">
    <w:name w:val="Επικεφαλίδα 6 Char"/>
    <w:link w:val="6"/>
    <w:rsid w:val="00447BA5"/>
    <w:rPr>
      <w:i/>
      <w:sz w:val="22"/>
      <w:lang w:eastAsia="en-US"/>
    </w:rPr>
  </w:style>
  <w:style w:type="character" w:customStyle="1" w:styleId="7Char">
    <w:name w:val="Επικεφαλίδα 7 Char"/>
    <w:link w:val="7"/>
    <w:rsid w:val="00447BA5"/>
    <w:rPr>
      <w:i/>
      <w:sz w:val="22"/>
      <w:lang w:eastAsia="en-US"/>
    </w:rPr>
  </w:style>
  <w:style w:type="character" w:customStyle="1" w:styleId="8Char">
    <w:name w:val="Επικεφαλίδα 8 Char"/>
    <w:link w:val="8"/>
    <w:rsid w:val="00447BA5"/>
    <w:rPr>
      <w:b/>
      <w:i/>
      <w:sz w:val="22"/>
      <w:lang w:eastAsia="en-US"/>
    </w:rPr>
  </w:style>
  <w:style w:type="character" w:customStyle="1" w:styleId="9Char">
    <w:name w:val="Επικεφαλίδα 9 Char"/>
    <w:link w:val="9"/>
    <w:rsid w:val="00447BA5"/>
    <w:rPr>
      <w:b/>
      <w:i/>
      <w:sz w:val="22"/>
      <w:lang w:eastAsia="en-US"/>
    </w:rPr>
  </w:style>
  <w:style w:type="paragraph" w:customStyle="1" w:styleId="10">
    <w:name w:val="Κεφαλίδα1"/>
    <w:rsid w:val="009A17BA"/>
    <w:pPr>
      <w:suppressAutoHyphens/>
      <w:spacing w:line="260" w:lineRule="exact"/>
    </w:pPr>
    <w:rPr>
      <w:rFonts w:ascii="Arial" w:hAnsi="Arial"/>
      <w:b/>
      <w:u w:val="single"/>
      <w:lang w:val="en-GB" w:eastAsia="en-US"/>
    </w:rPr>
  </w:style>
  <w:style w:type="paragraph" w:customStyle="1" w:styleId="11">
    <w:name w:val="Υποσέλιδο1"/>
    <w:rsid w:val="009A17BA"/>
    <w:rPr>
      <w:rFonts w:ascii="Arial" w:hAnsi="Arial"/>
      <w:sz w:val="16"/>
      <w:lang w:val="en-GB" w:eastAsia="en-US"/>
    </w:rPr>
  </w:style>
  <w:style w:type="paragraph" w:styleId="a3">
    <w:name w:val="header"/>
    <w:basedOn w:val="a"/>
    <w:rsid w:val="009A17BA"/>
    <w:pPr>
      <w:tabs>
        <w:tab w:val="clear" w:pos="567"/>
        <w:tab w:val="center" w:pos="4153"/>
        <w:tab w:val="right" w:pos="8306"/>
      </w:tabs>
      <w:spacing w:line="240" w:lineRule="auto"/>
    </w:pPr>
    <w:rPr>
      <w:rFonts w:ascii="Arial" w:hAnsi="Arial"/>
      <w:sz w:val="20"/>
    </w:rPr>
  </w:style>
  <w:style w:type="paragraph" w:styleId="a4">
    <w:name w:val="footer"/>
    <w:basedOn w:val="a"/>
    <w:rsid w:val="009A17BA"/>
    <w:pPr>
      <w:tabs>
        <w:tab w:val="clear" w:pos="567"/>
        <w:tab w:val="center" w:pos="4536"/>
        <w:tab w:val="center" w:pos="8930"/>
      </w:tabs>
      <w:spacing w:line="240" w:lineRule="auto"/>
    </w:pPr>
    <w:rPr>
      <w:rFonts w:ascii="Arial" w:hAnsi="Arial"/>
      <w:sz w:val="16"/>
    </w:rPr>
  </w:style>
  <w:style w:type="character" w:styleId="a5">
    <w:name w:val="page number"/>
    <w:basedOn w:val="a0"/>
    <w:rsid w:val="009A17BA"/>
  </w:style>
  <w:style w:type="paragraph" w:styleId="a6">
    <w:name w:val="Body Text"/>
    <w:basedOn w:val="a"/>
    <w:rsid w:val="009A17BA"/>
    <w:pPr>
      <w:numPr>
        <w:ilvl w:val="12"/>
      </w:numPr>
      <w:jc w:val="center"/>
    </w:pPr>
    <w:rPr>
      <w:b/>
    </w:rPr>
  </w:style>
  <w:style w:type="paragraph" w:styleId="a7">
    <w:name w:val="footnote text"/>
    <w:basedOn w:val="a"/>
    <w:semiHidden/>
    <w:rsid w:val="009A17BA"/>
    <w:rPr>
      <w:sz w:val="20"/>
    </w:rPr>
  </w:style>
  <w:style w:type="character" w:styleId="a8">
    <w:name w:val="footnote reference"/>
    <w:semiHidden/>
    <w:rsid w:val="009A17BA"/>
    <w:rPr>
      <w:vertAlign w:val="superscript"/>
    </w:rPr>
  </w:style>
  <w:style w:type="character" w:styleId="a9">
    <w:name w:val="annotation reference"/>
    <w:semiHidden/>
    <w:rsid w:val="009A17BA"/>
    <w:rPr>
      <w:sz w:val="16"/>
      <w:szCs w:val="16"/>
    </w:rPr>
  </w:style>
  <w:style w:type="paragraph" w:styleId="aa">
    <w:name w:val="annotation text"/>
    <w:basedOn w:val="a"/>
    <w:semiHidden/>
    <w:rsid w:val="009A17BA"/>
    <w:rPr>
      <w:sz w:val="20"/>
    </w:rPr>
  </w:style>
  <w:style w:type="paragraph" w:styleId="ab">
    <w:name w:val="annotation subject"/>
    <w:basedOn w:val="aa"/>
    <w:next w:val="aa"/>
    <w:semiHidden/>
    <w:rsid w:val="009A17BA"/>
    <w:rPr>
      <w:b/>
      <w:bCs/>
    </w:rPr>
  </w:style>
  <w:style w:type="paragraph" w:styleId="ac">
    <w:name w:val="Balloon Text"/>
    <w:basedOn w:val="a"/>
    <w:semiHidden/>
    <w:rsid w:val="009A17BA"/>
    <w:rPr>
      <w:rFonts w:ascii="Tahoma" w:hAnsi="Tahoma" w:cs="Tahoma"/>
      <w:sz w:val="16"/>
      <w:szCs w:val="16"/>
    </w:rPr>
  </w:style>
  <w:style w:type="paragraph" w:customStyle="1" w:styleId="BodytextAgency">
    <w:name w:val="Body text (Agency)"/>
    <w:basedOn w:val="a"/>
    <w:link w:val="BodytextAgencyChar"/>
    <w:rsid w:val="00BD3B3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BD3B3C"/>
    <w:rPr>
      <w:rFonts w:ascii="Verdana" w:eastAsia="Verdana" w:hAnsi="Verdana" w:cs="Verdana"/>
      <w:sz w:val="18"/>
      <w:szCs w:val="18"/>
      <w:lang w:val="en-GB" w:eastAsia="en-GB" w:bidi="ar-SA"/>
    </w:rPr>
  </w:style>
  <w:style w:type="paragraph" w:customStyle="1" w:styleId="No-numheading1Agency">
    <w:name w:val="No-num heading 1 (Agency)"/>
    <w:basedOn w:val="a"/>
    <w:next w:val="BodytextAgency"/>
    <w:link w:val="No-numheading1AgencyChar"/>
    <w:rsid w:val="00BD3B3C"/>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character" w:customStyle="1" w:styleId="No-numheading1AgencyChar">
    <w:name w:val="No-num heading 1 (Agency) Char"/>
    <w:link w:val="No-numheading1Agency"/>
    <w:rsid w:val="00BD3B3C"/>
    <w:rPr>
      <w:rFonts w:ascii="Verdana" w:eastAsia="Verdana" w:hAnsi="Verdana" w:cs="Arial"/>
      <w:b/>
      <w:bCs/>
      <w:kern w:val="32"/>
      <w:sz w:val="27"/>
      <w:szCs w:val="27"/>
      <w:lang w:val="en-GB" w:eastAsia="en-GB" w:bidi="ar-SA"/>
    </w:rPr>
  </w:style>
  <w:style w:type="paragraph" w:customStyle="1" w:styleId="No-numheading2Agency">
    <w:name w:val="No-num heading 2 (Agency)"/>
    <w:basedOn w:val="a"/>
    <w:next w:val="BodytextAgency"/>
    <w:link w:val="No-numheading2AgencyChar"/>
    <w:rsid w:val="00BD3B3C"/>
    <w:pPr>
      <w:keepNext/>
      <w:tabs>
        <w:tab w:val="clear" w:pos="567"/>
      </w:tabs>
      <w:spacing w:before="280" w:after="220" w:line="240" w:lineRule="auto"/>
      <w:outlineLvl w:val="1"/>
    </w:pPr>
    <w:rPr>
      <w:rFonts w:ascii="Verdana" w:eastAsia="Verdana" w:hAnsi="Verdana" w:cs="Arial"/>
      <w:b/>
      <w:bCs/>
      <w:i/>
      <w:kern w:val="32"/>
      <w:szCs w:val="22"/>
      <w:lang w:eastAsia="en-GB"/>
    </w:rPr>
  </w:style>
  <w:style w:type="character" w:customStyle="1" w:styleId="No-numheading2AgencyChar">
    <w:name w:val="No-num heading 2 (Agency) Char"/>
    <w:link w:val="No-numheading2Agency"/>
    <w:rsid w:val="00BD3B3C"/>
    <w:rPr>
      <w:rFonts w:ascii="Verdana" w:eastAsia="Verdana" w:hAnsi="Verdana" w:cs="Arial"/>
      <w:b/>
      <w:bCs/>
      <w:i/>
      <w:kern w:val="32"/>
      <w:sz w:val="22"/>
      <w:szCs w:val="22"/>
      <w:lang w:val="en-GB" w:eastAsia="en-GB" w:bidi="ar-SA"/>
    </w:rPr>
  </w:style>
  <w:style w:type="paragraph" w:styleId="ad">
    <w:name w:val="Body Text Indent"/>
    <w:basedOn w:val="a"/>
    <w:link w:val="Char"/>
    <w:rsid w:val="00447BA5"/>
    <w:pPr>
      <w:tabs>
        <w:tab w:val="clear" w:pos="567"/>
      </w:tabs>
      <w:autoSpaceDE w:val="0"/>
      <w:autoSpaceDN w:val="0"/>
      <w:adjustRightInd w:val="0"/>
      <w:spacing w:line="240" w:lineRule="auto"/>
      <w:ind w:left="720"/>
      <w:jc w:val="both"/>
    </w:pPr>
    <w:rPr>
      <w:szCs w:val="22"/>
      <w:lang w:eastAsia="en-GB"/>
    </w:rPr>
  </w:style>
  <w:style w:type="character" w:customStyle="1" w:styleId="Char">
    <w:name w:val="Σώμα κείμενου με εσοχή Char"/>
    <w:link w:val="ad"/>
    <w:rsid w:val="00447BA5"/>
    <w:rPr>
      <w:sz w:val="22"/>
      <w:szCs w:val="22"/>
    </w:rPr>
  </w:style>
  <w:style w:type="paragraph" w:styleId="30">
    <w:name w:val="Body Text 3"/>
    <w:basedOn w:val="a"/>
    <w:link w:val="3Char0"/>
    <w:rsid w:val="00447BA5"/>
    <w:pPr>
      <w:tabs>
        <w:tab w:val="clear" w:pos="567"/>
      </w:tabs>
      <w:autoSpaceDE w:val="0"/>
      <w:autoSpaceDN w:val="0"/>
      <w:adjustRightInd w:val="0"/>
      <w:spacing w:line="240" w:lineRule="auto"/>
      <w:jc w:val="both"/>
    </w:pPr>
    <w:rPr>
      <w:color w:val="0000FF"/>
      <w:szCs w:val="22"/>
      <w:lang w:eastAsia="en-GB"/>
    </w:rPr>
  </w:style>
  <w:style w:type="character" w:customStyle="1" w:styleId="3Char0">
    <w:name w:val="Σώμα κείμενου 3 Char"/>
    <w:link w:val="30"/>
    <w:rsid w:val="00447BA5"/>
    <w:rPr>
      <w:color w:val="0000FF"/>
      <w:sz w:val="22"/>
      <w:szCs w:val="22"/>
    </w:rPr>
  </w:style>
  <w:style w:type="paragraph" w:styleId="20">
    <w:name w:val="Body Text Indent 2"/>
    <w:basedOn w:val="a"/>
    <w:link w:val="2Char0"/>
    <w:rsid w:val="00447BA5"/>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character" w:customStyle="1" w:styleId="2Char0">
    <w:name w:val="Σώμα κείμενου με εσοχή 2 Char"/>
    <w:link w:val="20"/>
    <w:rsid w:val="00447BA5"/>
    <w:rPr>
      <w:b/>
      <w:bCs/>
      <w:color w:val="0000FF"/>
      <w:sz w:val="22"/>
      <w:szCs w:val="22"/>
      <w:lang w:eastAsia="en-US"/>
    </w:rPr>
  </w:style>
  <w:style w:type="paragraph" w:styleId="21">
    <w:name w:val="Body Text 2"/>
    <w:basedOn w:val="a"/>
    <w:link w:val="2Char1"/>
    <w:rsid w:val="00447BA5"/>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customStyle="1" w:styleId="2Char1">
    <w:name w:val="Σώμα κείμενου 2 Char"/>
    <w:link w:val="21"/>
    <w:rsid w:val="00447BA5"/>
    <w:rPr>
      <w:b/>
      <w:bCs/>
      <w:color w:val="0000FF"/>
      <w:sz w:val="22"/>
      <w:szCs w:val="22"/>
      <w:u w:val="single"/>
      <w:lang w:eastAsia="en-US"/>
    </w:rPr>
  </w:style>
  <w:style w:type="paragraph" w:customStyle="1" w:styleId="EMEAEnBodyText">
    <w:name w:val="EMEA En Body Text"/>
    <w:basedOn w:val="a"/>
    <w:rsid w:val="00447BA5"/>
    <w:pPr>
      <w:tabs>
        <w:tab w:val="clear" w:pos="567"/>
      </w:tabs>
      <w:spacing w:before="120" w:after="120" w:line="240" w:lineRule="auto"/>
      <w:jc w:val="both"/>
    </w:pPr>
    <w:rPr>
      <w:lang w:val="en-US"/>
    </w:rPr>
  </w:style>
  <w:style w:type="paragraph" w:styleId="ae">
    <w:name w:val="Document Map"/>
    <w:basedOn w:val="a"/>
    <w:link w:val="Char0"/>
    <w:rsid w:val="00447BA5"/>
    <w:pPr>
      <w:shd w:val="clear" w:color="auto" w:fill="000080"/>
    </w:pPr>
    <w:rPr>
      <w:rFonts w:ascii="Tahoma" w:hAnsi="Tahoma" w:cs="Tahoma"/>
    </w:rPr>
  </w:style>
  <w:style w:type="character" w:customStyle="1" w:styleId="Char0">
    <w:name w:val="Χάρτης εγγράφου Char"/>
    <w:link w:val="ae"/>
    <w:rsid w:val="00447BA5"/>
    <w:rPr>
      <w:rFonts w:ascii="Tahoma" w:hAnsi="Tahoma" w:cs="Tahoma"/>
      <w:sz w:val="22"/>
      <w:shd w:val="clear" w:color="auto" w:fill="000080"/>
      <w:lang w:eastAsia="en-US"/>
    </w:rPr>
  </w:style>
  <w:style w:type="paragraph" w:customStyle="1" w:styleId="AHeader1">
    <w:name w:val="AHeader 1"/>
    <w:basedOn w:val="a"/>
    <w:rsid w:val="00447BA5"/>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rsid w:val="00447BA5"/>
    <w:pPr>
      <w:numPr>
        <w:ilvl w:val="1"/>
      </w:numPr>
      <w:tabs>
        <w:tab w:val="clear" w:pos="709"/>
        <w:tab w:val="num" w:pos="360"/>
      </w:tabs>
    </w:pPr>
    <w:rPr>
      <w:sz w:val="22"/>
    </w:rPr>
  </w:style>
  <w:style w:type="paragraph" w:customStyle="1" w:styleId="AHeader3">
    <w:name w:val="AHeader 3"/>
    <w:basedOn w:val="AHeader2"/>
    <w:rsid w:val="00447BA5"/>
    <w:pPr>
      <w:numPr>
        <w:ilvl w:val="2"/>
      </w:numPr>
      <w:tabs>
        <w:tab w:val="clear" w:pos="1276"/>
        <w:tab w:val="num" w:pos="360"/>
      </w:tabs>
    </w:pPr>
  </w:style>
  <w:style w:type="paragraph" w:customStyle="1" w:styleId="AHeader2abc">
    <w:name w:val="AHeader 2 abc"/>
    <w:basedOn w:val="AHeader3"/>
    <w:rsid w:val="00447BA5"/>
    <w:pPr>
      <w:numPr>
        <w:ilvl w:val="3"/>
      </w:numPr>
      <w:tabs>
        <w:tab w:val="clear" w:pos="1276"/>
        <w:tab w:val="num" w:pos="360"/>
      </w:tabs>
      <w:jc w:val="both"/>
    </w:pPr>
    <w:rPr>
      <w:b w:val="0"/>
      <w:bCs w:val="0"/>
    </w:rPr>
  </w:style>
  <w:style w:type="paragraph" w:customStyle="1" w:styleId="AHeader3abc">
    <w:name w:val="AHeader 3 abc"/>
    <w:basedOn w:val="AHeader2abc"/>
    <w:rsid w:val="00447BA5"/>
    <w:pPr>
      <w:numPr>
        <w:ilvl w:val="4"/>
      </w:numPr>
      <w:tabs>
        <w:tab w:val="clear" w:pos="1701"/>
        <w:tab w:val="num" w:pos="360"/>
      </w:tabs>
    </w:pPr>
  </w:style>
  <w:style w:type="paragraph" w:styleId="31">
    <w:name w:val="Body Text Indent 3"/>
    <w:basedOn w:val="a"/>
    <w:link w:val="3Char1"/>
    <w:rsid w:val="00447BA5"/>
    <w:pPr>
      <w:tabs>
        <w:tab w:val="left" w:pos="1134"/>
      </w:tabs>
      <w:autoSpaceDE w:val="0"/>
      <w:autoSpaceDN w:val="0"/>
      <w:adjustRightInd w:val="0"/>
      <w:ind w:left="633"/>
      <w:jc w:val="both"/>
    </w:pPr>
    <w:rPr>
      <w:szCs w:val="21"/>
    </w:rPr>
  </w:style>
  <w:style w:type="character" w:customStyle="1" w:styleId="3Char1">
    <w:name w:val="Σώμα κείμενου με εσοχή 3 Char"/>
    <w:link w:val="31"/>
    <w:rsid w:val="00447BA5"/>
    <w:rPr>
      <w:sz w:val="22"/>
      <w:szCs w:val="21"/>
      <w:lang w:eastAsia="en-US"/>
    </w:rPr>
  </w:style>
  <w:style w:type="paragraph" w:customStyle="1" w:styleId="Default">
    <w:name w:val="Default"/>
    <w:rsid w:val="00447BA5"/>
    <w:pPr>
      <w:autoSpaceDE w:val="0"/>
      <w:autoSpaceDN w:val="0"/>
      <w:adjustRightInd w:val="0"/>
    </w:pPr>
    <w:rPr>
      <w:lang w:val="en-US" w:eastAsia="en-US"/>
    </w:rPr>
  </w:style>
  <w:style w:type="character" w:customStyle="1" w:styleId="CSIchar">
    <w:name w:val="CSIchar"/>
    <w:rsid w:val="00447BA5"/>
    <w:rPr>
      <w:bdr w:val="none" w:sz="0" w:space="0" w:color="auto"/>
      <w:shd w:val="clear" w:color="auto" w:fill="CCCCCC"/>
    </w:rPr>
  </w:style>
  <w:style w:type="paragraph" w:styleId="af">
    <w:name w:val="endnote text"/>
    <w:basedOn w:val="a"/>
    <w:link w:val="Char1"/>
    <w:rsid w:val="00447BA5"/>
    <w:pPr>
      <w:spacing w:line="240" w:lineRule="auto"/>
    </w:pPr>
  </w:style>
  <w:style w:type="character" w:customStyle="1" w:styleId="Char1">
    <w:name w:val="Κείμενο σημείωσης τέλους Char"/>
    <w:link w:val="af"/>
    <w:rsid w:val="00447BA5"/>
    <w:rPr>
      <w:sz w:val="22"/>
      <w:lang w:eastAsia="en-US"/>
    </w:rPr>
  </w:style>
  <w:style w:type="paragraph" w:customStyle="1" w:styleId="tabletextNS">
    <w:name w:val="table:textNS"/>
    <w:basedOn w:val="a"/>
    <w:rsid w:val="00447BA5"/>
    <w:pPr>
      <w:tabs>
        <w:tab w:val="clear" w:pos="567"/>
      </w:tabs>
      <w:spacing w:line="240" w:lineRule="auto"/>
    </w:pPr>
    <w:rPr>
      <w:rFonts w:ascii="Arial Narrow" w:hAnsi="Arial Narrow"/>
      <w:sz w:val="24"/>
    </w:rPr>
  </w:style>
  <w:style w:type="table" w:styleId="af0">
    <w:name w:val="Table Grid"/>
    <w:basedOn w:val="a1"/>
    <w:rsid w:val="0044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d">
    <w:name w:val="List End"/>
    <w:basedOn w:val="a"/>
    <w:autoRedefine/>
    <w:rsid w:val="00447BA5"/>
    <w:pPr>
      <w:shd w:val="clear" w:color="000000" w:fill="FFFFFF"/>
      <w:tabs>
        <w:tab w:val="clear" w:pos="567"/>
      </w:tabs>
      <w:spacing w:line="240" w:lineRule="auto"/>
    </w:pPr>
    <w:rPr>
      <w:sz w:val="24"/>
      <w:szCs w:val="24"/>
    </w:rPr>
  </w:style>
  <w:style w:type="paragraph" w:customStyle="1" w:styleId="listindentnospace">
    <w:name w:val="list:indentnospace"/>
    <w:basedOn w:val="a"/>
    <w:rsid w:val="00447BA5"/>
    <w:pPr>
      <w:tabs>
        <w:tab w:val="clear" w:pos="567"/>
      </w:tabs>
      <w:spacing w:line="240" w:lineRule="auto"/>
      <w:ind w:left="567"/>
    </w:pPr>
    <w:rPr>
      <w:sz w:val="24"/>
    </w:rPr>
  </w:style>
  <w:style w:type="paragraph" w:styleId="Web">
    <w:name w:val="Normal (Web)"/>
    <w:basedOn w:val="a"/>
    <w:rsid w:val="00447BA5"/>
    <w:pPr>
      <w:tabs>
        <w:tab w:val="clear" w:pos="567"/>
      </w:tabs>
      <w:spacing w:before="100" w:beforeAutospacing="1" w:after="58" w:line="240" w:lineRule="auto"/>
    </w:pPr>
    <w:rPr>
      <w:color w:val="000000"/>
      <w:sz w:val="24"/>
      <w:szCs w:val="24"/>
      <w:lang w:eastAsia="en-GB"/>
    </w:rPr>
  </w:style>
  <w:style w:type="paragraph" w:customStyle="1" w:styleId="NoNumHead4">
    <w:name w:val="NoNum:Head4"/>
    <w:basedOn w:val="a"/>
    <w:next w:val="a"/>
    <w:autoRedefine/>
    <w:rsid w:val="00447BA5"/>
    <w:pPr>
      <w:keepNext/>
      <w:tabs>
        <w:tab w:val="clear" w:pos="567"/>
      </w:tabs>
      <w:spacing w:before="120" w:line="240" w:lineRule="auto"/>
      <w:outlineLvl w:val="0"/>
    </w:pPr>
    <w:rPr>
      <w:b/>
      <w:szCs w:val="22"/>
    </w:rPr>
  </w:style>
  <w:style w:type="paragraph" w:customStyle="1" w:styleId="BridgeheadGDS">
    <w:name w:val="Bridgehead GDS"/>
    <w:basedOn w:val="a"/>
    <w:autoRedefine/>
    <w:rsid w:val="00447BA5"/>
    <w:pPr>
      <w:keepNext/>
      <w:tabs>
        <w:tab w:val="clear" w:pos="567"/>
      </w:tabs>
      <w:spacing w:after="240" w:line="240" w:lineRule="auto"/>
      <w:outlineLvl w:val="0"/>
    </w:pPr>
    <w:rPr>
      <w:szCs w:val="22"/>
      <w:u w:val="single"/>
    </w:rPr>
  </w:style>
  <w:style w:type="paragraph" w:customStyle="1" w:styleId="listnumnospace">
    <w:name w:val="list:numnospace"/>
    <w:basedOn w:val="a"/>
    <w:rsid w:val="00447BA5"/>
    <w:pPr>
      <w:numPr>
        <w:numId w:val="6"/>
      </w:numPr>
      <w:tabs>
        <w:tab w:val="clear" w:pos="720"/>
      </w:tabs>
      <w:spacing w:line="240" w:lineRule="auto"/>
      <w:ind w:left="567" w:hanging="567"/>
    </w:pPr>
    <w:rPr>
      <w:sz w:val="24"/>
    </w:rPr>
  </w:style>
  <w:style w:type="paragraph" w:customStyle="1" w:styleId="LUTOlist-bullets">
    <w:name w:val="LUTO list - bullets"/>
    <w:basedOn w:val="a"/>
    <w:rsid w:val="00447BA5"/>
    <w:pPr>
      <w:numPr>
        <w:numId w:val="13"/>
      </w:numPr>
      <w:tabs>
        <w:tab w:val="clear" w:pos="567"/>
      </w:tabs>
      <w:spacing w:line="240" w:lineRule="auto"/>
    </w:pPr>
    <w:rPr>
      <w:sz w:val="24"/>
      <w:lang w:eastAsia="en-GB"/>
    </w:rPr>
  </w:style>
  <w:style w:type="paragraph" w:customStyle="1" w:styleId="CharChar1CharCharCharCharCharChar1CharCharCharCharCharChar">
    <w:name w:val="Char Char1 Char Char Char Char Char Char1 Char Char Char Char Char Char"/>
    <w:basedOn w:val="a"/>
    <w:rsid w:val="00447BA5"/>
    <w:pPr>
      <w:widowControl w:val="0"/>
      <w:tabs>
        <w:tab w:val="clear" w:pos="567"/>
      </w:tabs>
      <w:adjustRightInd w:val="0"/>
      <w:spacing w:after="160" w:line="240" w:lineRule="exact"/>
      <w:jc w:val="both"/>
      <w:textAlignment w:val="baseline"/>
    </w:pPr>
    <w:rPr>
      <w:rFonts w:ascii="Verdana" w:eastAsia="SimSun" w:hAnsi="Verdana"/>
      <w:sz w:val="20"/>
      <w:lang w:val="en-US" w:eastAsia="zh-CN"/>
    </w:rPr>
  </w:style>
  <w:style w:type="paragraph" w:customStyle="1" w:styleId="CharChar2">
    <w:name w:val="Char Char2"/>
    <w:basedOn w:val="a"/>
    <w:rsid w:val="00447BA5"/>
    <w:pPr>
      <w:widowControl w:val="0"/>
      <w:tabs>
        <w:tab w:val="clear" w:pos="567"/>
      </w:tabs>
      <w:adjustRightInd w:val="0"/>
      <w:spacing w:after="160" w:line="240" w:lineRule="exact"/>
      <w:jc w:val="both"/>
      <w:textAlignment w:val="baseline"/>
    </w:pPr>
    <w:rPr>
      <w:rFonts w:ascii="Verdana" w:eastAsia="SimSun" w:hAnsi="Verdana"/>
      <w:sz w:val="20"/>
      <w:lang w:val="en-US" w:eastAsia="zh-CN"/>
    </w:rPr>
  </w:style>
  <w:style w:type="paragraph" w:customStyle="1" w:styleId="listbull">
    <w:name w:val="list:bull"/>
    <w:basedOn w:val="a"/>
    <w:rsid w:val="00447BA5"/>
    <w:pPr>
      <w:tabs>
        <w:tab w:val="clear" w:pos="567"/>
      </w:tabs>
      <w:spacing w:after="120" w:line="240" w:lineRule="auto"/>
      <w:ind w:left="283" w:hanging="283"/>
    </w:pPr>
    <w:rPr>
      <w:sz w:val="24"/>
      <w:szCs w:val="24"/>
    </w:rPr>
  </w:style>
  <w:style w:type="paragraph" w:styleId="af1">
    <w:name w:val="List Paragraph"/>
    <w:basedOn w:val="a"/>
    <w:uiPriority w:val="34"/>
    <w:qFormat/>
    <w:rsid w:val="00447BA5"/>
    <w:pPr>
      <w:ind w:left="720"/>
      <w:contextualSpacing/>
    </w:pPr>
  </w:style>
  <w:style w:type="character" w:customStyle="1" w:styleId="tw4winMark">
    <w:name w:val="tw4winMark"/>
    <w:rsid w:val="00461D88"/>
    <w:rPr>
      <w:rFonts w:ascii="Courier New" w:hAnsi="Courier New"/>
      <w:vanish/>
      <w:color w:val="800080"/>
      <w:vertAlign w:val="subscript"/>
    </w:rPr>
  </w:style>
  <w:style w:type="character" w:customStyle="1" w:styleId="Char2">
    <w:name w:val="Ημερομηνία Char"/>
    <w:link w:val="af2"/>
    <w:rsid w:val="00461D88"/>
    <w:rPr>
      <w:sz w:val="22"/>
      <w:lang w:val="en-GB" w:eastAsia="en-US"/>
    </w:rPr>
  </w:style>
  <w:style w:type="paragraph" w:styleId="af2">
    <w:name w:val="Date"/>
    <w:basedOn w:val="a"/>
    <w:next w:val="a"/>
    <w:link w:val="Char2"/>
    <w:rsid w:val="00461D88"/>
  </w:style>
  <w:style w:type="character" w:styleId="af3">
    <w:name w:val="Emphasis"/>
    <w:aliases w:val="Heading 2 Char Char Char"/>
    <w:qFormat/>
    <w:rsid w:val="00170F6F"/>
    <w:rPr>
      <w:rFonts w:cs="Times New Roman"/>
      <w:i/>
      <w:iCs/>
    </w:rPr>
  </w:style>
  <w:style w:type="numbering" w:customStyle="1" w:styleId="BulletsAgency">
    <w:name w:val="Bullets (Agency)"/>
    <w:rsid w:val="00170F6F"/>
    <w:pPr>
      <w:numPr>
        <w:numId w:val="27"/>
      </w:numPr>
    </w:pPr>
  </w:style>
  <w:style w:type="character" w:styleId="-">
    <w:name w:val="Hyperlink"/>
    <w:uiPriority w:val="99"/>
    <w:rsid w:val="00F60AC7"/>
    <w:rPr>
      <w:color w:val="0066CC"/>
      <w:u w:val="single"/>
    </w:rPr>
  </w:style>
  <w:style w:type="paragraph" w:styleId="af4">
    <w:name w:val="No Spacing"/>
    <w:uiPriority w:val="1"/>
    <w:qFormat/>
    <w:rsid w:val="00F60AC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7BA"/>
    <w:pPr>
      <w:tabs>
        <w:tab w:val="left" w:pos="567"/>
      </w:tabs>
      <w:spacing w:line="260" w:lineRule="exact"/>
    </w:pPr>
    <w:rPr>
      <w:sz w:val="22"/>
      <w:lang w:val="en-GB" w:eastAsia="en-US"/>
    </w:rPr>
  </w:style>
  <w:style w:type="paragraph" w:styleId="1">
    <w:name w:val="heading 1"/>
    <w:basedOn w:val="a"/>
    <w:next w:val="a"/>
    <w:link w:val="1Char"/>
    <w:qFormat/>
    <w:rsid w:val="00447BA5"/>
    <w:pPr>
      <w:spacing w:before="240" w:after="120"/>
      <w:ind w:left="357" w:hanging="357"/>
      <w:outlineLvl w:val="0"/>
    </w:pPr>
    <w:rPr>
      <w:b/>
      <w:caps/>
      <w:sz w:val="26"/>
      <w:lang w:val="en-US"/>
    </w:rPr>
  </w:style>
  <w:style w:type="paragraph" w:styleId="2">
    <w:name w:val="heading 2"/>
    <w:basedOn w:val="a"/>
    <w:next w:val="a"/>
    <w:link w:val="2Char"/>
    <w:qFormat/>
    <w:rsid w:val="00447BA5"/>
    <w:pPr>
      <w:keepNext/>
      <w:spacing w:before="240" w:after="60"/>
      <w:outlineLvl w:val="1"/>
    </w:pPr>
    <w:rPr>
      <w:rFonts w:ascii="Helvetica" w:hAnsi="Helvetica"/>
      <w:b/>
      <w:i/>
      <w:sz w:val="24"/>
    </w:rPr>
  </w:style>
  <w:style w:type="paragraph" w:styleId="3">
    <w:name w:val="heading 3"/>
    <w:basedOn w:val="a"/>
    <w:next w:val="a"/>
    <w:link w:val="3Char"/>
    <w:qFormat/>
    <w:rsid w:val="00447BA5"/>
    <w:pPr>
      <w:keepNext/>
      <w:keepLines/>
      <w:spacing w:before="120" w:after="80"/>
      <w:outlineLvl w:val="2"/>
    </w:pPr>
    <w:rPr>
      <w:b/>
      <w:kern w:val="28"/>
      <w:sz w:val="24"/>
      <w:lang w:val="en-US"/>
    </w:rPr>
  </w:style>
  <w:style w:type="paragraph" w:styleId="4">
    <w:name w:val="heading 4"/>
    <w:basedOn w:val="a"/>
    <w:next w:val="a"/>
    <w:link w:val="4Char"/>
    <w:qFormat/>
    <w:rsid w:val="00447BA5"/>
    <w:pPr>
      <w:keepNext/>
      <w:jc w:val="both"/>
      <w:outlineLvl w:val="3"/>
    </w:pPr>
    <w:rPr>
      <w:b/>
      <w:noProof/>
    </w:rPr>
  </w:style>
  <w:style w:type="paragraph" w:styleId="5">
    <w:name w:val="heading 5"/>
    <w:basedOn w:val="a"/>
    <w:next w:val="a"/>
    <w:link w:val="5Char"/>
    <w:qFormat/>
    <w:rsid w:val="00447BA5"/>
    <w:pPr>
      <w:keepNext/>
      <w:jc w:val="both"/>
      <w:outlineLvl w:val="4"/>
    </w:pPr>
    <w:rPr>
      <w:noProof/>
    </w:rPr>
  </w:style>
  <w:style w:type="paragraph" w:styleId="6">
    <w:name w:val="heading 6"/>
    <w:basedOn w:val="a"/>
    <w:next w:val="a"/>
    <w:link w:val="6Char"/>
    <w:qFormat/>
    <w:rsid w:val="00447BA5"/>
    <w:pPr>
      <w:keepNext/>
      <w:tabs>
        <w:tab w:val="left" w:pos="-720"/>
        <w:tab w:val="left" w:pos="4536"/>
      </w:tabs>
      <w:suppressAutoHyphens/>
      <w:outlineLvl w:val="5"/>
    </w:pPr>
    <w:rPr>
      <w:i/>
    </w:rPr>
  </w:style>
  <w:style w:type="paragraph" w:styleId="7">
    <w:name w:val="heading 7"/>
    <w:basedOn w:val="a"/>
    <w:next w:val="a"/>
    <w:link w:val="7Char"/>
    <w:qFormat/>
    <w:rsid w:val="00447BA5"/>
    <w:pPr>
      <w:keepNext/>
      <w:tabs>
        <w:tab w:val="left" w:pos="-720"/>
        <w:tab w:val="left" w:pos="4536"/>
      </w:tabs>
      <w:suppressAutoHyphens/>
      <w:jc w:val="both"/>
      <w:outlineLvl w:val="6"/>
    </w:pPr>
    <w:rPr>
      <w:i/>
    </w:rPr>
  </w:style>
  <w:style w:type="paragraph" w:styleId="8">
    <w:name w:val="heading 8"/>
    <w:basedOn w:val="a"/>
    <w:next w:val="a"/>
    <w:link w:val="8Char"/>
    <w:qFormat/>
    <w:rsid w:val="00447BA5"/>
    <w:pPr>
      <w:keepNext/>
      <w:ind w:left="567" w:hanging="567"/>
      <w:jc w:val="both"/>
      <w:outlineLvl w:val="7"/>
    </w:pPr>
    <w:rPr>
      <w:b/>
      <w:i/>
    </w:rPr>
  </w:style>
  <w:style w:type="paragraph" w:styleId="9">
    <w:name w:val="heading 9"/>
    <w:basedOn w:val="a"/>
    <w:next w:val="a"/>
    <w:link w:val="9Char"/>
    <w:qFormat/>
    <w:rsid w:val="00447BA5"/>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47BA5"/>
    <w:rPr>
      <w:b/>
      <w:caps/>
      <w:sz w:val="26"/>
      <w:lang w:val="en-US" w:eastAsia="en-US"/>
    </w:rPr>
  </w:style>
  <w:style w:type="character" w:customStyle="1" w:styleId="2Char">
    <w:name w:val="Επικεφαλίδα 2 Char"/>
    <w:link w:val="2"/>
    <w:rsid w:val="00447BA5"/>
    <w:rPr>
      <w:rFonts w:ascii="Helvetica" w:hAnsi="Helvetica"/>
      <w:b/>
      <w:i/>
      <w:sz w:val="24"/>
      <w:lang w:eastAsia="en-US"/>
    </w:rPr>
  </w:style>
  <w:style w:type="character" w:customStyle="1" w:styleId="3Char">
    <w:name w:val="Επικεφαλίδα 3 Char"/>
    <w:link w:val="3"/>
    <w:rsid w:val="00447BA5"/>
    <w:rPr>
      <w:b/>
      <w:kern w:val="28"/>
      <w:sz w:val="24"/>
      <w:lang w:val="en-US" w:eastAsia="en-US"/>
    </w:rPr>
  </w:style>
  <w:style w:type="character" w:customStyle="1" w:styleId="4Char">
    <w:name w:val="Επικεφαλίδα 4 Char"/>
    <w:link w:val="4"/>
    <w:rsid w:val="00447BA5"/>
    <w:rPr>
      <w:b/>
      <w:noProof/>
      <w:sz w:val="22"/>
      <w:lang w:eastAsia="en-US"/>
    </w:rPr>
  </w:style>
  <w:style w:type="character" w:customStyle="1" w:styleId="5Char">
    <w:name w:val="Επικεφαλίδα 5 Char"/>
    <w:link w:val="5"/>
    <w:rsid w:val="00447BA5"/>
    <w:rPr>
      <w:noProof/>
      <w:sz w:val="22"/>
      <w:lang w:eastAsia="en-US"/>
    </w:rPr>
  </w:style>
  <w:style w:type="character" w:customStyle="1" w:styleId="6Char">
    <w:name w:val="Επικεφαλίδα 6 Char"/>
    <w:link w:val="6"/>
    <w:rsid w:val="00447BA5"/>
    <w:rPr>
      <w:i/>
      <w:sz w:val="22"/>
      <w:lang w:eastAsia="en-US"/>
    </w:rPr>
  </w:style>
  <w:style w:type="character" w:customStyle="1" w:styleId="7Char">
    <w:name w:val="Επικεφαλίδα 7 Char"/>
    <w:link w:val="7"/>
    <w:rsid w:val="00447BA5"/>
    <w:rPr>
      <w:i/>
      <w:sz w:val="22"/>
      <w:lang w:eastAsia="en-US"/>
    </w:rPr>
  </w:style>
  <w:style w:type="character" w:customStyle="1" w:styleId="8Char">
    <w:name w:val="Επικεφαλίδα 8 Char"/>
    <w:link w:val="8"/>
    <w:rsid w:val="00447BA5"/>
    <w:rPr>
      <w:b/>
      <w:i/>
      <w:sz w:val="22"/>
      <w:lang w:eastAsia="en-US"/>
    </w:rPr>
  </w:style>
  <w:style w:type="character" w:customStyle="1" w:styleId="9Char">
    <w:name w:val="Επικεφαλίδα 9 Char"/>
    <w:link w:val="9"/>
    <w:rsid w:val="00447BA5"/>
    <w:rPr>
      <w:b/>
      <w:i/>
      <w:sz w:val="22"/>
      <w:lang w:eastAsia="en-US"/>
    </w:rPr>
  </w:style>
  <w:style w:type="paragraph" w:customStyle="1" w:styleId="10">
    <w:name w:val="Κεφαλίδα1"/>
    <w:rsid w:val="009A17BA"/>
    <w:pPr>
      <w:suppressAutoHyphens/>
      <w:spacing w:line="260" w:lineRule="exact"/>
    </w:pPr>
    <w:rPr>
      <w:rFonts w:ascii="Arial" w:hAnsi="Arial"/>
      <w:b/>
      <w:u w:val="single"/>
      <w:lang w:val="en-GB" w:eastAsia="en-US"/>
    </w:rPr>
  </w:style>
  <w:style w:type="paragraph" w:customStyle="1" w:styleId="11">
    <w:name w:val="Υποσέλιδο1"/>
    <w:rsid w:val="009A17BA"/>
    <w:rPr>
      <w:rFonts w:ascii="Arial" w:hAnsi="Arial"/>
      <w:sz w:val="16"/>
      <w:lang w:val="en-GB" w:eastAsia="en-US"/>
    </w:rPr>
  </w:style>
  <w:style w:type="paragraph" w:styleId="a3">
    <w:name w:val="header"/>
    <w:basedOn w:val="a"/>
    <w:rsid w:val="009A17BA"/>
    <w:pPr>
      <w:tabs>
        <w:tab w:val="clear" w:pos="567"/>
        <w:tab w:val="center" w:pos="4153"/>
        <w:tab w:val="right" w:pos="8306"/>
      </w:tabs>
      <w:spacing w:line="240" w:lineRule="auto"/>
    </w:pPr>
    <w:rPr>
      <w:rFonts w:ascii="Arial" w:hAnsi="Arial"/>
      <w:sz w:val="20"/>
    </w:rPr>
  </w:style>
  <w:style w:type="paragraph" w:styleId="a4">
    <w:name w:val="footer"/>
    <w:basedOn w:val="a"/>
    <w:rsid w:val="009A17BA"/>
    <w:pPr>
      <w:tabs>
        <w:tab w:val="clear" w:pos="567"/>
        <w:tab w:val="center" w:pos="4536"/>
        <w:tab w:val="center" w:pos="8930"/>
      </w:tabs>
      <w:spacing w:line="240" w:lineRule="auto"/>
    </w:pPr>
    <w:rPr>
      <w:rFonts w:ascii="Arial" w:hAnsi="Arial"/>
      <w:sz w:val="16"/>
    </w:rPr>
  </w:style>
  <w:style w:type="character" w:styleId="a5">
    <w:name w:val="page number"/>
    <w:basedOn w:val="a0"/>
    <w:rsid w:val="009A17BA"/>
  </w:style>
  <w:style w:type="paragraph" w:styleId="a6">
    <w:name w:val="Body Text"/>
    <w:basedOn w:val="a"/>
    <w:rsid w:val="009A17BA"/>
    <w:pPr>
      <w:numPr>
        <w:ilvl w:val="12"/>
      </w:numPr>
      <w:jc w:val="center"/>
    </w:pPr>
    <w:rPr>
      <w:b/>
    </w:rPr>
  </w:style>
  <w:style w:type="paragraph" w:styleId="a7">
    <w:name w:val="footnote text"/>
    <w:basedOn w:val="a"/>
    <w:semiHidden/>
    <w:rsid w:val="009A17BA"/>
    <w:rPr>
      <w:sz w:val="20"/>
    </w:rPr>
  </w:style>
  <w:style w:type="character" w:styleId="a8">
    <w:name w:val="footnote reference"/>
    <w:semiHidden/>
    <w:rsid w:val="009A17BA"/>
    <w:rPr>
      <w:vertAlign w:val="superscript"/>
    </w:rPr>
  </w:style>
  <w:style w:type="character" w:styleId="a9">
    <w:name w:val="annotation reference"/>
    <w:semiHidden/>
    <w:rsid w:val="009A17BA"/>
    <w:rPr>
      <w:sz w:val="16"/>
      <w:szCs w:val="16"/>
    </w:rPr>
  </w:style>
  <w:style w:type="paragraph" w:styleId="aa">
    <w:name w:val="annotation text"/>
    <w:basedOn w:val="a"/>
    <w:semiHidden/>
    <w:rsid w:val="009A17BA"/>
    <w:rPr>
      <w:sz w:val="20"/>
    </w:rPr>
  </w:style>
  <w:style w:type="paragraph" w:styleId="ab">
    <w:name w:val="annotation subject"/>
    <w:basedOn w:val="aa"/>
    <w:next w:val="aa"/>
    <w:semiHidden/>
    <w:rsid w:val="009A17BA"/>
    <w:rPr>
      <w:b/>
      <w:bCs/>
    </w:rPr>
  </w:style>
  <w:style w:type="paragraph" w:styleId="ac">
    <w:name w:val="Balloon Text"/>
    <w:basedOn w:val="a"/>
    <w:semiHidden/>
    <w:rsid w:val="009A17BA"/>
    <w:rPr>
      <w:rFonts w:ascii="Tahoma" w:hAnsi="Tahoma" w:cs="Tahoma"/>
      <w:sz w:val="16"/>
      <w:szCs w:val="16"/>
    </w:rPr>
  </w:style>
  <w:style w:type="paragraph" w:customStyle="1" w:styleId="BodytextAgency">
    <w:name w:val="Body text (Agency)"/>
    <w:basedOn w:val="a"/>
    <w:link w:val="BodytextAgencyChar"/>
    <w:rsid w:val="00BD3B3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BD3B3C"/>
    <w:rPr>
      <w:rFonts w:ascii="Verdana" w:eastAsia="Verdana" w:hAnsi="Verdana" w:cs="Verdana"/>
      <w:sz w:val="18"/>
      <w:szCs w:val="18"/>
      <w:lang w:val="en-GB" w:eastAsia="en-GB" w:bidi="ar-SA"/>
    </w:rPr>
  </w:style>
  <w:style w:type="paragraph" w:customStyle="1" w:styleId="No-numheading1Agency">
    <w:name w:val="No-num heading 1 (Agency)"/>
    <w:basedOn w:val="a"/>
    <w:next w:val="BodytextAgency"/>
    <w:link w:val="No-numheading1AgencyChar"/>
    <w:rsid w:val="00BD3B3C"/>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character" w:customStyle="1" w:styleId="No-numheading1AgencyChar">
    <w:name w:val="No-num heading 1 (Agency) Char"/>
    <w:link w:val="No-numheading1Agency"/>
    <w:rsid w:val="00BD3B3C"/>
    <w:rPr>
      <w:rFonts w:ascii="Verdana" w:eastAsia="Verdana" w:hAnsi="Verdana" w:cs="Arial"/>
      <w:b/>
      <w:bCs/>
      <w:kern w:val="32"/>
      <w:sz w:val="27"/>
      <w:szCs w:val="27"/>
      <w:lang w:val="en-GB" w:eastAsia="en-GB" w:bidi="ar-SA"/>
    </w:rPr>
  </w:style>
  <w:style w:type="paragraph" w:customStyle="1" w:styleId="No-numheading2Agency">
    <w:name w:val="No-num heading 2 (Agency)"/>
    <w:basedOn w:val="a"/>
    <w:next w:val="BodytextAgency"/>
    <w:link w:val="No-numheading2AgencyChar"/>
    <w:rsid w:val="00BD3B3C"/>
    <w:pPr>
      <w:keepNext/>
      <w:tabs>
        <w:tab w:val="clear" w:pos="567"/>
      </w:tabs>
      <w:spacing w:before="280" w:after="220" w:line="240" w:lineRule="auto"/>
      <w:outlineLvl w:val="1"/>
    </w:pPr>
    <w:rPr>
      <w:rFonts w:ascii="Verdana" w:eastAsia="Verdana" w:hAnsi="Verdana" w:cs="Arial"/>
      <w:b/>
      <w:bCs/>
      <w:i/>
      <w:kern w:val="32"/>
      <w:szCs w:val="22"/>
      <w:lang w:eastAsia="en-GB"/>
    </w:rPr>
  </w:style>
  <w:style w:type="character" w:customStyle="1" w:styleId="No-numheading2AgencyChar">
    <w:name w:val="No-num heading 2 (Agency) Char"/>
    <w:link w:val="No-numheading2Agency"/>
    <w:rsid w:val="00BD3B3C"/>
    <w:rPr>
      <w:rFonts w:ascii="Verdana" w:eastAsia="Verdana" w:hAnsi="Verdana" w:cs="Arial"/>
      <w:b/>
      <w:bCs/>
      <w:i/>
      <w:kern w:val="32"/>
      <w:sz w:val="22"/>
      <w:szCs w:val="22"/>
      <w:lang w:val="en-GB" w:eastAsia="en-GB" w:bidi="ar-SA"/>
    </w:rPr>
  </w:style>
  <w:style w:type="paragraph" w:styleId="ad">
    <w:name w:val="Body Text Indent"/>
    <w:basedOn w:val="a"/>
    <w:link w:val="Char"/>
    <w:rsid w:val="00447BA5"/>
    <w:pPr>
      <w:tabs>
        <w:tab w:val="clear" w:pos="567"/>
      </w:tabs>
      <w:autoSpaceDE w:val="0"/>
      <w:autoSpaceDN w:val="0"/>
      <w:adjustRightInd w:val="0"/>
      <w:spacing w:line="240" w:lineRule="auto"/>
      <w:ind w:left="720"/>
      <w:jc w:val="both"/>
    </w:pPr>
    <w:rPr>
      <w:szCs w:val="22"/>
      <w:lang w:eastAsia="en-GB"/>
    </w:rPr>
  </w:style>
  <w:style w:type="character" w:customStyle="1" w:styleId="Char">
    <w:name w:val="Σώμα κείμενου με εσοχή Char"/>
    <w:link w:val="ad"/>
    <w:rsid w:val="00447BA5"/>
    <w:rPr>
      <w:sz w:val="22"/>
      <w:szCs w:val="22"/>
    </w:rPr>
  </w:style>
  <w:style w:type="paragraph" w:styleId="30">
    <w:name w:val="Body Text 3"/>
    <w:basedOn w:val="a"/>
    <w:link w:val="3Char0"/>
    <w:rsid w:val="00447BA5"/>
    <w:pPr>
      <w:tabs>
        <w:tab w:val="clear" w:pos="567"/>
      </w:tabs>
      <w:autoSpaceDE w:val="0"/>
      <w:autoSpaceDN w:val="0"/>
      <w:adjustRightInd w:val="0"/>
      <w:spacing w:line="240" w:lineRule="auto"/>
      <w:jc w:val="both"/>
    </w:pPr>
    <w:rPr>
      <w:color w:val="0000FF"/>
      <w:szCs w:val="22"/>
      <w:lang w:eastAsia="en-GB"/>
    </w:rPr>
  </w:style>
  <w:style w:type="character" w:customStyle="1" w:styleId="3Char0">
    <w:name w:val="Σώμα κείμενου 3 Char"/>
    <w:link w:val="30"/>
    <w:rsid w:val="00447BA5"/>
    <w:rPr>
      <w:color w:val="0000FF"/>
      <w:sz w:val="22"/>
      <w:szCs w:val="22"/>
    </w:rPr>
  </w:style>
  <w:style w:type="paragraph" w:styleId="20">
    <w:name w:val="Body Text Indent 2"/>
    <w:basedOn w:val="a"/>
    <w:link w:val="2Char0"/>
    <w:rsid w:val="00447BA5"/>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character" w:customStyle="1" w:styleId="2Char0">
    <w:name w:val="Σώμα κείμενου με εσοχή 2 Char"/>
    <w:link w:val="20"/>
    <w:rsid w:val="00447BA5"/>
    <w:rPr>
      <w:b/>
      <w:bCs/>
      <w:color w:val="0000FF"/>
      <w:sz w:val="22"/>
      <w:szCs w:val="22"/>
      <w:lang w:eastAsia="en-US"/>
    </w:rPr>
  </w:style>
  <w:style w:type="paragraph" w:styleId="21">
    <w:name w:val="Body Text 2"/>
    <w:basedOn w:val="a"/>
    <w:link w:val="2Char1"/>
    <w:rsid w:val="00447BA5"/>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customStyle="1" w:styleId="2Char1">
    <w:name w:val="Σώμα κείμενου 2 Char"/>
    <w:link w:val="21"/>
    <w:rsid w:val="00447BA5"/>
    <w:rPr>
      <w:b/>
      <w:bCs/>
      <w:color w:val="0000FF"/>
      <w:sz w:val="22"/>
      <w:szCs w:val="22"/>
      <w:u w:val="single"/>
      <w:lang w:eastAsia="en-US"/>
    </w:rPr>
  </w:style>
  <w:style w:type="paragraph" w:customStyle="1" w:styleId="EMEAEnBodyText">
    <w:name w:val="EMEA En Body Text"/>
    <w:basedOn w:val="a"/>
    <w:rsid w:val="00447BA5"/>
    <w:pPr>
      <w:tabs>
        <w:tab w:val="clear" w:pos="567"/>
      </w:tabs>
      <w:spacing w:before="120" w:after="120" w:line="240" w:lineRule="auto"/>
      <w:jc w:val="both"/>
    </w:pPr>
    <w:rPr>
      <w:lang w:val="en-US"/>
    </w:rPr>
  </w:style>
  <w:style w:type="paragraph" w:styleId="ae">
    <w:name w:val="Document Map"/>
    <w:basedOn w:val="a"/>
    <w:link w:val="Char0"/>
    <w:rsid w:val="00447BA5"/>
    <w:pPr>
      <w:shd w:val="clear" w:color="auto" w:fill="000080"/>
    </w:pPr>
    <w:rPr>
      <w:rFonts w:ascii="Tahoma" w:hAnsi="Tahoma" w:cs="Tahoma"/>
    </w:rPr>
  </w:style>
  <w:style w:type="character" w:customStyle="1" w:styleId="Char0">
    <w:name w:val="Χάρτης εγγράφου Char"/>
    <w:link w:val="ae"/>
    <w:rsid w:val="00447BA5"/>
    <w:rPr>
      <w:rFonts w:ascii="Tahoma" w:hAnsi="Tahoma" w:cs="Tahoma"/>
      <w:sz w:val="22"/>
      <w:shd w:val="clear" w:color="auto" w:fill="000080"/>
      <w:lang w:eastAsia="en-US"/>
    </w:rPr>
  </w:style>
  <w:style w:type="paragraph" w:customStyle="1" w:styleId="AHeader1">
    <w:name w:val="AHeader 1"/>
    <w:basedOn w:val="a"/>
    <w:rsid w:val="00447BA5"/>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rsid w:val="00447BA5"/>
    <w:pPr>
      <w:numPr>
        <w:ilvl w:val="1"/>
      </w:numPr>
      <w:tabs>
        <w:tab w:val="clear" w:pos="709"/>
        <w:tab w:val="num" w:pos="360"/>
      </w:tabs>
    </w:pPr>
    <w:rPr>
      <w:sz w:val="22"/>
    </w:rPr>
  </w:style>
  <w:style w:type="paragraph" w:customStyle="1" w:styleId="AHeader3">
    <w:name w:val="AHeader 3"/>
    <w:basedOn w:val="AHeader2"/>
    <w:rsid w:val="00447BA5"/>
    <w:pPr>
      <w:numPr>
        <w:ilvl w:val="2"/>
      </w:numPr>
      <w:tabs>
        <w:tab w:val="clear" w:pos="1276"/>
        <w:tab w:val="num" w:pos="360"/>
      </w:tabs>
    </w:pPr>
  </w:style>
  <w:style w:type="paragraph" w:customStyle="1" w:styleId="AHeader2abc">
    <w:name w:val="AHeader 2 abc"/>
    <w:basedOn w:val="AHeader3"/>
    <w:rsid w:val="00447BA5"/>
    <w:pPr>
      <w:numPr>
        <w:ilvl w:val="3"/>
      </w:numPr>
      <w:tabs>
        <w:tab w:val="clear" w:pos="1276"/>
        <w:tab w:val="num" w:pos="360"/>
      </w:tabs>
      <w:jc w:val="both"/>
    </w:pPr>
    <w:rPr>
      <w:b w:val="0"/>
      <w:bCs w:val="0"/>
    </w:rPr>
  </w:style>
  <w:style w:type="paragraph" w:customStyle="1" w:styleId="AHeader3abc">
    <w:name w:val="AHeader 3 abc"/>
    <w:basedOn w:val="AHeader2abc"/>
    <w:rsid w:val="00447BA5"/>
    <w:pPr>
      <w:numPr>
        <w:ilvl w:val="4"/>
      </w:numPr>
      <w:tabs>
        <w:tab w:val="clear" w:pos="1701"/>
        <w:tab w:val="num" w:pos="360"/>
      </w:tabs>
    </w:pPr>
  </w:style>
  <w:style w:type="paragraph" w:styleId="31">
    <w:name w:val="Body Text Indent 3"/>
    <w:basedOn w:val="a"/>
    <w:link w:val="3Char1"/>
    <w:rsid w:val="00447BA5"/>
    <w:pPr>
      <w:tabs>
        <w:tab w:val="left" w:pos="1134"/>
      </w:tabs>
      <w:autoSpaceDE w:val="0"/>
      <w:autoSpaceDN w:val="0"/>
      <w:adjustRightInd w:val="0"/>
      <w:ind w:left="633"/>
      <w:jc w:val="both"/>
    </w:pPr>
    <w:rPr>
      <w:szCs w:val="21"/>
    </w:rPr>
  </w:style>
  <w:style w:type="character" w:customStyle="1" w:styleId="3Char1">
    <w:name w:val="Σώμα κείμενου με εσοχή 3 Char"/>
    <w:link w:val="31"/>
    <w:rsid w:val="00447BA5"/>
    <w:rPr>
      <w:sz w:val="22"/>
      <w:szCs w:val="21"/>
      <w:lang w:eastAsia="en-US"/>
    </w:rPr>
  </w:style>
  <w:style w:type="paragraph" w:customStyle="1" w:styleId="Default">
    <w:name w:val="Default"/>
    <w:rsid w:val="00447BA5"/>
    <w:pPr>
      <w:autoSpaceDE w:val="0"/>
      <w:autoSpaceDN w:val="0"/>
      <w:adjustRightInd w:val="0"/>
    </w:pPr>
    <w:rPr>
      <w:lang w:val="en-US" w:eastAsia="en-US"/>
    </w:rPr>
  </w:style>
  <w:style w:type="character" w:customStyle="1" w:styleId="CSIchar">
    <w:name w:val="CSIchar"/>
    <w:rsid w:val="00447BA5"/>
    <w:rPr>
      <w:bdr w:val="none" w:sz="0" w:space="0" w:color="auto"/>
      <w:shd w:val="clear" w:color="auto" w:fill="CCCCCC"/>
    </w:rPr>
  </w:style>
  <w:style w:type="paragraph" w:styleId="af">
    <w:name w:val="endnote text"/>
    <w:basedOn w:val="a"/>
    <w:link w:val="Char1"/>
    <w:rsid w:val="00447BA5"/>
    <w:pPr>
      <w:spacing w:line="240" w:lineRule="auto"/>
    </w:pPr>
  </w:style>
  <w:style w:type="character" w:customStyle="1" w:styleId="Char1">
    <w:name w:val="Κείμενο σημείωσης τέλους Char"/>
    <w:link w:val="af"/>
    <w:rsid w:val="00447BA5"/>
    <w:rPr>
      <w:sz w:val="22"/>
      <w:lang w:eastAsia="en-US"/>
    </w:rPr>
  </w:style>
  <w:style w:type="paragraph" w:customStyle="1" w:styleId="tabletextNS">
    <w:name w:val="table:textNS"/>
    <w:basedOn w:val="a"/>
    <w:rsid w:val="00447BA5"/>
    <w:pPr>
      <w:tabs>
        <w:tab w:val="clear" w:pos="567"/>
      </w:tabs>
      <w:spacing w:line="240" w:lineRule="auto"/>
    </w:pPr>
    <w:rPr>
      <w:rFonts w:ascii="Arial Narrow" w:hAnsi="Arial Narrow"/>
      <w:sz w:val="24"/>
    </w:rPr>
  </w:style>
  <w:style w:type="table" w:styleId="af0">
    <w:name w:val="Table Grid"/>
    <w:basedOn w:val="a1"/>
    <w:rsid w:val="0044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d">
    <w:name w:val="List End"/>
    <w:basedOn w:val="a"/>
    <w:autoRedefine/>
    <w:rsid w:val="00447BA5"/>
    <w:pPr>
      <w:shd w:val="clear" w:color="000000" w:fill="FFFFFF"/>
      <w:tabs>
        <w:tab w:val="clear" w:pos="567"/>
      </w:tabs>
      <w:spacing w:line="240" w:lineRule="auto"/>
    </w:pPr>
    <w:rPr>
      <w:sz w:val="24"/>
      <w:szCs w:val="24"/>
    </w:rPr>
  </w:style>
  <w:style w:type="paragraph" w:customStyle="1" w:styleId="listindentnospace">
    <w:name w:val="list:indentnospace"/>
    <w:basedOn w:val="a"/>
    <w:rsid w:val="00447BA5"/>
    <w:pPr>
      <w:tabs>
        <w:tab w:val="clear" w:pos="567"/>
      </w:tabs>
      <w:spacing w:line="240" w:lineRule="auto"/>
      <w:ind w:left="567"/>
    </w:pPr>
    <w:rPr>
      <w:sz w:val="24"/>
    </w:rPr>
  </w:style>
  <w:style w:type="paragraph" w:styleId="Web">
    <w:name w:val="Normal (Web)"/>
    <w:basedOn w:val="a"/>
    <w:rsid w:val="00447BA5"/>
    <w:pPr>
      <w:tabs>
        <w:tab w:val="clear" w:pos="567"/>
      </w:tabs>
      <w:spacing w:before="100" w:beforeAutospacing="1" w:after="58" w:line="240" w:lineRule="auto"/>
    </w:pPr>
    <w:rPr>
      <w:color w:val="000000"/>
      <w:sz w:val="24"/>
      <w:szCs w:val="24"/>
      <w:lang w:eastAsia="en-GB"/>
    </w:rPr>
  </w:style>
  <w:style w:type="paragraph" w:customStyle="1" w:styleId="NoNumHead4">
    <w:name w:val="NoNum:Head4"/>
    <w:basedOn w:val="a"/>
    <w:next w:val="a"/>
    <w:autoRedefine/>
    <w:rsid w:val="00447BA5"/>
    <w:pPr>
      <w:keepNext/>
      <w:tabs>
        <w:tab w:val="clear" w:pos="567"/>
      </w:tabs>
      <w:spacing w:before="120" w:line="240" w:lineRule="auto"/>
      <w:outlineLvl w:val="0"/>
    </w:pPr>
    <w:rPr>
      <w:b/>
      <w:szCs w:val="22"/>
    </w:rPr>
  </w:style>
  <w:style w:type="paragraph" w:customStyle="1" w:styleId="BridgeheadGDS">
    <w:name w:val="Bridgehead GDS"/>
    <w:basedOn w:val="a"/>
    <w:autoRedefine/>
    <w:rsid w:val="00447BA5"/>
    <w:pPr>
      <w:keepNext/>
      <w:tabs>
        <w:tab w:val="clear" w:pos="567"/>
      </w:tabs>
      <w:spacing w:after="240" w:line="240" w:lineRule="auto"/>
      <w:outlineLvl w:val="0"/>
    </w:pPr>
    <w:rPr>
      <w:szCs w:val="22"/>
      <w:u w:val="single"/>
    </w:rPr>
  </w:style>
  <w:style w:type="paragraph" w:customStyle="1" w:styleId="listnumnospace">
    <w:name w:val="list:numnospace"/>
    <w:basedOn w:val="a"/>
    <w:rsid w:val="00447BA5"/>
    <w:pPr>
      <w:numPr>
        <w:numId w:val="6"/>
      </w:numPr>
      <w:tabs>
        <w:tab w:val="clear" w:pos="720"/>
      </w:tabs>
      <w:spacing w:line="240" w:lineRule="auto"/>
      <w:ind w:left="567" w:hanging="567"/>
    </w:pPr>
    <w:rPr>
      <w:sz w:val="24"/>
    </w:rPr>
  </w:style>
  <w:style w:type="paragraph" w:customStyle="1" w:styleId="LUTOlist-bullets">
    <w:name w:val="LUTO list - bullets"/>
    <w:basedOn w:val="a"/>
    <w:rsid w:val="00447BA5"/>
    <w:pPr>
      <w:numPr>
        <w:numId w:val="13"/>
      </w:numPr>
      <w:tabs>
        <w:tab w:val="clear" w:pos="567"/>
      </w:tabs>
      <w:spacing w:line="240" w:lineRule="auto"/>
    </w:pPr>
    <w:rPr>
      <w:sz w:val="24"/>
      <w:lang w:eastAsia="en-GB"/>
    </w:rPr>
  </w:style>
  <w:style w:type="paragraph" w:customStyle="1" w:styleId="CharChar1CharCharCharCharCharChar1CharCharCharCharCharChar">
    <w:name w:val="Char Char1 Char Char Char Char Char Char1 Char Char Char Char Char Char"/>
    <w:basedOn w:val="a"/>
    <w:rsid w:val="00447BA5"/>
    <w:pPr>
      <w:widowControl w:val="0"/>
      <w:tabs>
        <w:tab w:val="clear" w:pos="567"/>
      </w:tabs>
      <w:adjustRightInd w:val="0"/>
      <w:spacing w:after="160" w:line="240" w:lineRule="exact"/>
      <w:jc w:val="both"/>
      <w:textAlignment w:val="baseline"/>
    </w:pPr>
    <w:rPr>
      <w:rFonts w:ascii="Verdana" w:eastAsia="SimSun" w:hAnsi="Verdana"/>
      <w:sz w:val="20"/>
      <w:lang w:val="en-US" w:eastAsia="zh-CN"/>
    </w:rPr>
  </w:style>
  <w:style w:type="paragraph" w:customStyle="1" w:styleId="CharChar2">
    <w:name w:val="Char Char2"/>
    <w:basedOn w:val="a"/>
    <w:rsid w:val="00447BA5"/>
    <w:pPr>
      <w:widowControl w:val="0"/>
      <w:tabs>
        <w:tab w:val="clear" w:pos="567"/>
      </w:tabs>
      <w:adjustRightInd w:val="0"/>
      <w:spacing w:after="160" w:line="240" w:lineRule="exact"/>
      <w:jc w:val="both"/>
      <w:textAlignment w:val="baseline"/>
    </w:pPr>
    <w:rPr>
      <w:rFonts w:ascii="Verdana" w:eastAsia="SimSun" w:hAnsi="Verdana"/>
      <w:sz w:val="20"/>
      <w:lang w:val="en-US" w:eastAsia="zh-CN"/>
    </w:rPr>
  </w:style>
  <w:style w:type="paragraph" w:customStyle="1" w:styleId="listbull">
    <w:name w:val="list:bull"/>
    <w:basedOn w:val="a"/>
    <w:rsid w:val="00447BA5"/>
    <w:pPr>
      <w:tabs>
        <w:tab w:val="clear" w:pos="567"/>
      </w:tabs>
      <w:spacing w:after="120" w:line="240" w:lineRule="auto"/>
      <w:ind w:left="283" w:hanging="283"/>
    </w:pPr>
    <w:rPr>
      <w:sz w:val="24"/>
      <w:szCs w:val="24"/>
    </w:rPr>
  </w:style>
  <w:style w:type="paragraph" w:styleId="af1">
    <w:name w:val="List Paragraph"/>
    <w:basedOn w:val="a"/>
    <w:uiPriority w:val="34"/>
    <w:qFormat/>
    <w:rsid w:val="00447BA5"/>
    <w:pPr>
      <w:ind w:left="720"/>
      <w:contextualSpacing/>
    </w:pPr>
  </w:style>
  <w:style w:type="character" w:customStyle="1" w:styleId="tw4winMark">
    <w:name w:val="tw4winMark"/>
    <w:rsid w:val="00461D88"/>
    <w:rPr>
      <w:rFonts w:ascii="Courier New" w:hAnsi="Courier New"/>
      <w:vanish/>
      <w:color w:val="800080"/>
      <w:vertAlign w:val="subscript"/>
    </w:rPr>
  </w:style>
  <w:style w:type="character" w:customStyle="1" w:styleId="Char2">
    <w:name w:val="Ημερομηνία Char"/>
    <w:link w:val="af2"/>
    <w:rsid w:val="00461D88"/>
    <w:rPr>
      <w:sz w:val="22"/>
      <w:lang w:val="en-GB" w:eastAsia="en-US"/>
    </w:rPr>
  </w:style>
  <w:style w:type="paragraph" w:styleId="af2">
    <w:name w:val="Date"/>
    <w:basedOn w:val="a"/>
    <w:next w:val="a"/>
    <w:link w:val="Char2"/>
    <w:rsid w:val="00461D88"/>
  </w:style>
  <w:style w:type="character" w:styleId="af3">
    <w:name w:val="Emphasis"/>
    <w:aliases w:val="Heading 2 Char Char Char"/>
    <w:qFormat/>
    <w:rsid w:val="00170F6F"/>
    <w:rPr>
      <w:rFonts w:cs="Times New Roman"/>
      <w:i/>
      <w:iCs/>
    </w:rPr>
  </w:style>
  <w:style w:type="numbering" w:customStyle="1" w:styleId="BulletsAgency">
    <w:name w:val="Bullets (Agency)"/>
    <w:rsid w:val="00170F6F"/>
    <w:pPr>
      <w:numPr>
        <w:numId w:val="27"/>
      </w:numPr>
    </w:pPr>
  </w:style>
  <w:style w:type="character" w:styleId="-">
    <w:name w:val="Hyperlink"/>
    <w:uiPriority w:val="99"/>
    <w:rsid w:val="00F60AC7"/>
    <w:rPr>
      <w:color w:val="0066CC"/>
      <w:u w:val="single"/>
    </w:rPr>
  </w:style>
  <w:style w:type="paragraph" w:styleId="af4">
    <w:name w:val="No Spacing"/>
    <w:uiPriority w:val="1"/>
    <w:qFormat/>
    <w:rsid w:val="00F60A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0370">
      <w:bodyDiv w:val="1"/>
      <w:marLeft w:val="0"/>
      <w:marRight w:val="0"/>
      <w:marTop w:val="0"/>
      <w:marBottom w:val="0"/>
      <w:divBdr>
        <w:top w:val="none" w:sz="0" w:space="0" w:color="auto"/>
        <w:left w:val="none" w:sz="0" w:space="0" w:color="auto"/>
        <w:bottom w:val="none" w:sz="0" w:space="0" w:color="auto"/>
        <w:right w:val="none" w:sz="0" w:space="0" w:color="auto"/>
      </w:divBdr>
    </w:div>
    <w:div w:id="681863452">
      <w:bodyDiv w:val="1"/>
      <w:marLeft w:val="0"/>
      <w:marRight w:val="0"/>
      <w:marTop w:val="0"/>
      <w:marBottom w:val="0"/>
      <w:divBdr>
        <w:top w:val="none" w:sz="0" w:space="0" w:color="auto"/>
        <w:left w:val="none" w:sz="0" w:space="0" w:color="auto"/>
        <w:bottom w:val="none" w:sz="0" w:space="0" w:color="auto"/>
        <w:right w:val="none" w:sz="0" w:space="0" w:color="auto"/>
      </w:divBdr>
    </w:div>
    <w:div w:id="13869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ope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5610</Words>
  <Characters>30298</Characters>
  <Application>Microsoft Office Word</Application>
  <DocSecurity>0</DocSecurity>
  <Lines>252</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Amalgamated annex I_20 Oct 2010</vt:lpstr>
      <vt:lpstr>Amalgamated annex I_20 Oct 2010</vt:lpstr>
    </vt:vector>
  </TitlesOfParts>
  <Company>EMEA</Company>
  <LinksUpToDate>false</LinksUpToDate>
  <CharactersWithSpaces>35837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Amalgamated annex I_20 Oct 2010</dc:title>
  <dc:subject>Product Information-EMEA/250007/2009</dc:subject>
  <dc:creator>Nikolaos Priftis</dc:creator>
  <cp:lastModifiedBy>ΘΑΛΑΣΣΙΝΟΥ ΜΑΡΙΑ</cp:lastModifiedBy>
  <cp:revision>2</cp:revision>
  <cp:lastPrinted>2016-12-22T07:28:00Z</cp:lastPrinted>
  <dcterms:created xsi:type="dcterms:W3CDTF">2017-05-24T07:08:00Z</dcterms:created>
  <dcterms:modified xsi:type="dcterms:W3CDTF">2017-05-24T07:08:00Z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Information-EMEA/250007/2009</vt:lpwstr>
  </property>
  <property fmtid="{D5CDD505-2E9C-101B-9397-08002B2CF9AE}" pid="6" name="DM_Title">
    <vt:lpwstr/>
  </property>
  <property fmtid="{D5CDD505-2E9C-101B-9397-08002B2CF9AE}" pid="7" name="DM_Language">
    <vt:lpwstr/>
  </property>
  <property fmtid="{D5CDD505-2E9C-101B-9397-08002B2CF9AE}" pid="8" name="DM_Owner">
    <vt:lpwstr>Auzina-Vundere Agnese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250007</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Product Information</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2009</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emea_module">
    <vt:lpwstr/>
  </property>
  <property fmtid="{D5CDD505-2E9C-101B-9397-08002B2CF9AE}" pid="31" name="DM_emea_procedure_ref">
    <vt:lpwstr>EMEA/H/REF/000</vt:lpwstr>
  </property>
  <property fmtid="{D5CDD505-2E9C-101B-9397-08002B2CF9AE}" pid="32" name="DM_emea_domain">
    <vt:lpwstr>H</vt:lpwstr>
  </property>
  <property fmtid="{D5CDD505-2E9C-101B-9397-08002B2CF9AE}" pid="33" name="DM_emea_procedure">
    <vt:lpwstr>REF</vt:lpwstr>
  </property>
  <property fmtid="{D5CDD505-2E9C-101B-9397-08002B2CF9AE}" pid="34" name="DM_emea_procedure_type">
    <vt:lpwstr/>
  </property>
  <property fmtid="{D5CDD505-2E9C-101B-9397-08002B2CF9AE}" pid="35" name="DM_emea_procedure_number">
    <vt:lpwstr/>
  </property>
  <property fmtid="{D5CDD505-2E9C-101B-9397-08002B2CF9AE}" pid="36" name="DM_emea_product_number">
    <vt:lpwstr>000</vt:lpwstr>
  </property>
  <property fmtid="{D5CDD505-2E9C-101B-9397-08002B2CF9AE}" pid="37" name="DM_emea_product_substance">
    <vt:lpwstr>Fortum</vt:lpwstr>
  </property>
  <property fmtid="{D5CDD505-2E9C-101B-9397-08002B2CF9AE}" pid="38" name="DM_emea_par_dist">
    <vt:lpwstr/>
  </property>
  <property fmtid="{D5CDD505-2E9C-101B-9397-08002B2CF9AE}" pid="39" name="DM_Version">
    <vt:lpwstr>CURRENT,1.0</vt:lpwstr>
  </property>
  <property fmtid="{D5CDD505-2E9C-101B-9397-08002B2CF9AE}" pid="40" name="DM_Name">
    <vt:lpwstr>Amalgamated annex I_20 Oct 2010</vt:lpwstr>
  </property>
  <property fmtid="{D5CDD505-2E9C-101B-9397-08002B2CF9AE}" pid="41" name="DM_Creation_Date">
    <vt:lpwstr>25/10/2010 10:29:23</vt:lpwstr>
  </property>
  <property fmtid="{D5CDD505-2E9C-101B-9397-08002B2CF9AE}" pid="42" name="DM_Modify_Date">
    <vt:lpwstr>25/10/2010 10:29:26</vt:lpwstr>
  </property>
  <property fmtid="{D5CDD505-2E9C-101B-9397-08002B2CF9AE}" pid="43" name="DM_Creator_Name">
    <vt:lpwstr>Hesse Iris</vt:lpwstr>
  </property>
  <property fmtid="{D5CDD505-2E9C-101B-9397-08002B2CF9AE}" pid="44" name="DM_Modifier_Name">
    <vt:lpwstr>Hesse Iris</vt:lpwstr>
  </property>
  <property fmtid="{D5CDD505-2E9C-101B-9397-08002B2CF9AE}" pid="45" name="DM_Type">
    <vt:lpwstr>emea_document</vt:lpwstr>
  </property>
  <property fmtid="{D5CDD505-2E9C-101B-9397-08002B2CF9AE}" pid="46" name="DM_DocRefId">
    <vt:lpwstr>EMA/667983/2010</vt:lpwstr>
  </property>
  <property fmtid="{D5CDD505-2E9C-101B-9397-08002B2CF9AE}" pid="47" name="DM_Category">
    <vt:lpwstr>General</vt:lpwstr>
  </property>
  <property fmtid="{D5CDD505-2E9C-101B-9397-08002B2CF9AE}" pid="48" name="DM_Path">
    <vt:lpwstr>/01. Evaluation of Medicine/Referrals/H - Article 30/Fortum-1006/03 Evaluation/05 Updated Annex I/Final from MAH (+RO)</vt:lpwstr>
  </property>
  <property fmtid="{D5CDD505-2E9C-101B-9397-08002B2CF9AE}" pid="49" name="DM_emea_doc_ref_id">
    <vt:lpwstr>EMA/667983/2010</vt:lpwstr>
  </property>
  <property fmtid="{D5CDD505-2E9C-101B-9397-08002B2CF9AE}" pid="50" name="DM_Modifer_Name">
    <vt:lpwstr>Hesse Iris</vt:lpwstr>
  </property>
  <property fmtid="{D5CDD505-2E9C-101B-9397-08002B2CF9AE}" pid="51" name="DM_Modified_Date">
    <vt:lpwstr>25/10/2010 10:29:26</vt:lpwstr>
  </property>
</Properties>
</file>