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444" w:rsidRPr="000A3201" w:rsidRDefault="00865444" w:rsidP="00CA658D">
      <w:pPr>
        <w:pStyle w:val="a3"/>
        <w:rPr>
          <w:sz w:val="22"/>
          <w:szCs w:val="22"/>
        </w:rPr>
      </w:pPr>
      <w:r w:rsidRPr="000A3201">
        <w:rPr>
          <w:sz w:val="22"/>
          <w:szCs w:val="22"/>
        </w:rPr>
        <w:t>ΠΕΡΙΛΗΨΗ ΤΩΝ ΧΑΡΑΚΤΗΡΙΣΤΙΚΩΝ ΤΟΥ ΠΡΟΪΟΝΤΟΣ</w:t>
      </w:r>
    </w:p>
    <w:p w:rsidR="00865444" w:rsidRPr="000A3201" w:rsidRDefault="00865444" w:rsidP="00865444">
      <w:pPr>
        <w:rPr>
          <w:sz w:val="22"/>
          <w:szCs w:val="22"/>
        </w:rPr>
      </w:pPr>
    </w:p>
    <w:p w:rsidR="00865444" w:rsidRPr="000A3201" w:rsidRDefault="00865444" w:rsidP="00865444">
      <w:pPr>
        <w:numPr>
          <w:ilvl w:val="0"/>
          <w:numId w:val="3"/>
        </w:numPr>
        <w:ind w:left="0" w:firstLine="0"/>
        <w:rPr>
          <w:b/>
          <w:bCs/>
          <w:sz w:val="22"/>
          <w:szCs w:val="22"/>
        </w:rPr>
      </w:pPr>
      <w:r w:rsidRPr="000A3201">
        <w:rPr>
          <w:b/>
          <w:sz w:val="22"/>
          <w:szCs w:val="22"/>
        </w:rPr>
        <w:t>ΟΝΟΜΑΣΙΑ ΤΟΥ ΦΑΡΜΑΚΕΥΤΙΚΟΥ ΠΡΟΪΟΝΤΟΣ</w:t>
      </w:r>
    </w:p>
    <w:p w:rsidR="00865444" w:rsidRPr="000A3201" w:rsidRDefault="00865444" w:rsidP="00865444">
      <w:pPr>
        <w:rPr>
          <w:sz w:val="22"/>
          <w:szCs w:val="22"/>
        </w:rPr>
      </w:pPr>
    </w:p>
    <w:p w:rsidR="00865444" w:rsidRPr="000A3201" w:rsidRDefault="00865444" w:rsidP="00865444">
      <w:pPr>
        <w:rPr>
          <w:sz w:val="22"/>
          <w:szCs w:val="22"/>
        </w:rPr>
      </w:pPr>
      <w:r w:rsidRPr="000A3201">
        <w:rPr>
          <w:sz w:val="22"/>
          <w:szCs w:val="22"/>
        </w:rPr>
        <w:tab/>
      </w:r>
      <w:bookmarkStart w:id="0" w:name="_GoBack"/>
      <w:bookmarkEnd w:id="0"/>
      <w:r w:rsidR="00DE42E0">
        <w:rPr>
          <w:sz w:val="22"/>
          <w:szCs w:val="22"/>
          <w:lang w:val="en-US"/>
        </w:rPr>
        <w:t>MIRTAZAPINE</w:t>
      </w:r>
      <w:r w:rsidR="00DE42E0" w:rsidRPr="009A118F">
        <w:rPr>
          <w:sz w:val="22"/>
          <w:szCs w:val="22"/>
        </w:rPr>
        <w:t>/</w:t>
      </w:r>
      <w:r w:rsidR="00DE42E0">
        <w:rPr>
          <w:sz w:val="22"/>
          <w:szCs w:val="22"/>
          <w:lang w:val="en-US"/>
        </w:rPr>
        <w:t>MYLAN</w:t>
      </w:r>
      <w:r w:rsidRPr="000A3201">
        <w:rPr>
          <w:sz w:val="22"/>
          <w:szCs w:val="22"/>
        </w:rPr>
        <w:t xml:space="preserve"> 30 </w:t>
      </w:r>
      <w:r w:rsidRPr="000A3201">
        <w:rPr>
          <w:sz w:val="22"/>
          <w:szCs w:val="22"/>
          <w:lang w:val="en-US"/>
        </w:rPr>
        <w:t>mg</w:t>
      </w:r>
      <w:r w:rsidRPr="000A3201">
        <w:rPr>
          <w:sz w:val="22"/>
          <w:szCs w:val="22"/>
        </w:rPr>
        <w:t xml:space="preserve"> </w:t>
      </w:r>
      <w:r w:rsidR="00343764" w:rsidRPr="000A3201">
        <w:rPr>
          <w:sz w:val="22"/>
          <w:szCs w:val="22"/>
        </w:rPr>
        <w:t xml:space="preserve">Επικαλυμμένα με λεπτό </w:t>
      </w:r>
      <w:proofErr w:type="spellStart"/>
      <w:r w:rsidR="00343764" w:rsidRPr="000A3201">
        <w:rPr>
          <w:sz w:val="22"/>
          <w:szCs w:val="22"/>
        </w:rPr>
        <w:t>υμένιο</w:t>
      </w:r>
      <w:proofErr w:type="spellEnd"/>
      <w:r w:rsidR="00343764" w:rsidRPr="000A3201">
        <w:rPr>
          <w:sz w:val="22"/>
          <w:szCs w:val="22"/>
        </w:rPr>
        <w:t xml:space="preserve"> </w:t>
      </w:r>
      <w:r w:rsidRPr="000A3201">
        <w:rPr>
          <w:sz w:val="22"/>
          <w:szCs w:val="22"/>
        </w:rPr>
        <w:t>δισκία</w:t>
      </w:r>
    </w:p>
    <w:p w:rsidR="00865444" w:rsidRPr="000A3201" w:rsidRDefault="00865444" w:rsidP="00865444">
      <w:pPr>
        <w:rPr>
          <w:sz w:val="22"/>
          <w:szCs w:val="22"/>
        </w:rPr>
      </w:pPr>
      <w:r w:rsidRPr="000A3201">
        <w:rPr>
          <w:sz w:val="22"/>
          <w:szCs w:val="22"/>
        </w:rPr>
        <w:tab/>
      </w:r>
      <w:r w:rsidRPr="000A3201">
        <w:rPr>
          <w:sz w:val="22"/>
          <w:szCs w:val="22"/>
        </w:rPr>
        <w:tab/>
      </w:r>
    </w:p>
    <w:p w:rsidR="00865444" w:rsidRPr="000A3201" w:rsidRDefault="00865444" w:rsidP="00865444">
      <w:pPr>
        <w:rPr>
          <w:sz w:val="22"/>
          <w:szCs w:val="22"/>
        </w:rPr>
      </w:pPr>
    </w:p>
    <w:p w:rsidR="00865444" w:rsidRPr="000A3201" w:rsidRDefault="00865444" w:rsidP="00865444">
      <w:pPr>
        <w:numPr>
          <w:ilvl w:val="0"/>
          <w:numId w:val="3"/>
        </w:numPr>
        <w:spacing w:line="360" w:lineRule="auto"/>
        <w:ind w:left="0" w:firstLine="0"/>
        <w:rPr>
          <w:b/>
          <w:sz w:val="22"/>
          <w:szCs w:val="22"/>
        </w:rPr>
      </w:pPr>
      <w:r w:rsidRPr="000A3201">
        <w:rPr>
          <w:b/>
          <w:sz w:val="22"/>
          <w:szCs w:val="22"/>
        </w:rPr>
        <w:t>ΠΟΙΟΤΙΚΗ ΚΑΙ ΠΟΣΟΤΙΚΗ ΣΥΝΘΕΣΗ</w:t>
      </w:r>
    </w:p>
    <w:p w:rsidR="00865444" w:rsidRPr="000A3201" w:rsidRDefault="00865444" w:rsidP="00865444">
      <w:pPr>
        <w:ind w:left="720"/>
        <w:rPr>
          <w:sz w:val="22"/>
          <w:szCs w:val="22"/>
        </w:rPr>
      </w:pPr>
      <w:r w:rsidRPr="000A3201">
        <w:rPr>
          <w:sz w:val="22"/>
          <w:szCs w:val="22"/>
        </w:rPr>
        <w:t xml:space="preserve">Κάθε επικαλυμμένο με λεπτό υμένιο δισκίο περιέχει 30 mg μιρταζαπίνης. </w:t>
      </w:r>
    </w:p>
    <w:p w:rsidR="00F03406" w:rsidRPr="000A3201" w:rsidRDefault="00F03406" w:rsidP="00865444">
      <w:pPr>
        <w:ind w:left="720"/>
        <w:rPr>
          <w:sz w:val="22"/>
          <w:szCs w:val="22"/>
        </w:rPr>
      </w:pPr>
    </w:p>
    <w:p w:rsidR="00F03406" w:rsidRPr="00886FF3" w:rsidRDefault="00AD5E88" w:rsidP="00F03406">
      <w:pPr>
        <w:pStyle w:val="a4"/>
        <w:rPr>
          <w:sz w:val="22"/>
          <w:szCs w:val="22"/>
          <w:u w:val="single"/>
          <w:lang w:val="el-GR"/>
        </w:rPr>
      </w:pPr>
      <w:r w:rsidRPr="00AD5E88">
        <w:rPr>
          <w:sz w:val="22"/>
          <w:szCs w:val="22"/>
          <w:u w:val="single"/>
          <w:lang w:val="el-GR"/>
        </w:rPr>
        <w:t>Έκδοχ</w:t>
      </w:r>
      <w:r w:rsidR="00886FF3">
        <w:rPr>
          <w:sz w:val="22"/>
          <w:szCs w:val="22"/>
          <w:u w:val="single"/>
          <w:lang w:val="el-GR"/>
        </w:rPr>
        <w:t>α</w:t>
      </w:r>
      <w:r w:rsidRPr="00AD5E88">
        <w:rPr>
          <w:sz w:val="22"/>
          <w:szCs w:val="22"/>
          <w:u w:val="single"/>
          <w:lang w:val="el-GR"/>
        </w:rPr>
        <w:t xml:space="preserve"> με γνωστές δράσεις:</w:t>
      </w:r>
    </w:p>
    <w:p w:rsidR="00F03406" w:rsidRPr="000A3201" w:rsidRDefault="00C95290" w:rsidP="00F03406">
      <w:pPr>
        <w:pStyle w:val="a4"/>
        <w:rPr>
          <w:sz w:val="22"/>
          <w:szCs w:val="22"/>
          <w:lang w:val="el-GR"/>
        </w:rPr>
      </w:pPr>
      <w:r w:rsidRPr="000A3201">
        <w:rPr>
          <w:sz w:val="22"/>
          <w:szCs w:val="22"/>
          <w:lang w:val="el-GR"/>
        </w:rPr>
        <w:t>Κάθε δισκίο περιέχει 226,</w:t>
      </w:r>
      <w:r w:rsidR="00F03406" w:rsidRPr="000A3201">
        <w:rPr>
          <w:sz w:val="22"/>
          <w:szCs w:val="22"/>
          <w:lang w:val="el-GR"/>
        </w:rPr>
        <w:t xml:space="preserve">5 </w:t>
      </w:r>
      <w:r w:rsidR="00F03406" w:rsidRPr="000A3201">
        <w:rPr>
          <w:sz w:val="22"/>
          <w:szCs w:val="22"/>
        </w:rPr>
        <w:t>mg</w:t>
      </w:r>
      <w:r w:rsidR="00F03406" w:rsidRPr="000A3201">
        <w:rPr>
          <w:sz w:val="22"/>
          <w:szCs w:val="22"/>
          <w:lang w:val="el-GR"/>
        </w:rPr>
        <w:t xml:space="preserve"> </w:t>
      </w:r>
      <w:r w:rsidR="009E2844" w:rsidRPr="000A3201">
        <w:rPr>
          <w:sz w:val="22"/>
          <w:szCs w:val="22"/>
          <w:lang w:val="el-GR"/>
        </w:rPr>
        <w:t xml:space="preserve">λακτόζης άνυδρης και 1,8 </w:t>
      </w:r>
      <w:r w:rsidR="009E2844" w:rsidRPr="000A3201">
        <w:rPr>
          <w:sz w:val="22"/>
          <w:szCs w:val="22"/>
        </w:rPr>
        <w:t>mg</w:t>
      </w:r>
      <w:r w:rsidR="009E2844" w:rsidRPr="000A3201">
        <w:rPr>
          <w:sz w:val="22"/>
          <w:szCs w:val="22"/>
          <w:lang w:val="el-GR"/>
        </w:rPr>
        <w:t xml:space="preserve"> λακτόζης μονοϋδρικής.</w:t>
      </w:r>
    </w:p>
    <w:p w:rsidR="00CE0A94" w:rsidRPr="000A3201" w:rsidRDefault="00CE0A94" w:rsidP="00F03406">
      <w:pPr>
        <w:pStyle w:val="a4"/>
        <w:rPr>
          <w:sz w:val="22"/>
          <w:szCs w:val="22"/>
          <w:lang w:val="el-GR"/>
        </w:rPr>
      </w:pPr>
    </w:p>
    <w:p w:rsidR="00F03406" w:rsidRPr="000A3201" w:rsidRDefault="00C95290" w:rsidP="00F03406">
      <w:pPr>
        <w:ind w:left="720"/>
        <w:rPr>
          <w:sz w:val="22"/>
          <w:szCs w:val="22"/>
        </w:rPr>
      </w:pPr>
      <w:r w:rsidRPr="000A3201">
        <w:rPr>
          <w:sz w:val="22"/>
          <w:szCs w:val="22"/>
        </w:rPr>
        <w:t>Για τον πλήρη κατάλογο των εκδόχων, βλ</w:t>
      </w:r>
      <w:r w:rsidR="00BE4DF4" w:rsidRPr="000A3201">
        <w:rPr>
          <w:sz w:val="22"/>
          <w:szCs w:val="22"/>
        </w:rPr>
        <w:t>.</w:t>
      </w:r>
      <w:r w:rsidRPr="000A3201">
        <w:rPr>
          <w:sz w:val="22"/>
          <w:szCs w:val="22"/>
        </w:rPr>
        <w:t xml:space="preserve"> παράγραφο 6.1</w:t>
      </w:r>
      <w:r w:rsidR="00F03406" w:rsidRPr="000A3201">
        <w:rPr>
          <w:sz w:val="22"/>
          <w:szCs w:val="22"/>
        </w:rPr>
        <w:t>.</w:t>
      </w:r>
    </w:p>
    <w:p w:rsidR="00865444" w:rsidRPr="000A3201" w:rsidRDefault="00865444" w:rsidP="00865444">
      <w:pPr>
        <w:ind w:left="720" w:hanging="720"/>
        <w:rPr>
          <w:sz w:val="22"/>
          <w:szCs w:val="22"/>
        </w:rPr>
      </w:pPr>
    </w:p>
    <w:p w:rsidR="00F03406" w:rsidRPr="000A3201" w:rsidRDefault="00F03406" w:rsidP="00865444">
      <w:pPr>
        <w:ind w:left="720" w:hanging="720"/>
        <w:rPr>
          <w:sz w:val="22"/>
          <w:szCs w:val="22"/>
        </w:rPr>
      </w:pPr>
    </w:p>
    <w:p w:rsidR="00865444" w:rsidRPr="000A3201" w:rsidRDefault="00865444" w:rsidP="00865444">
      <w:pPr>
        <w:ind w:left="720" w:hanging="720"/>
        <w:rPr>
          <w:b/>
          <w:bCs/>
          <w:sz w:val="22"/>
          <w:szCs w:val="22"/>
        </w:rPr>
      </w:pPr>
      <w:r w:rsidRPr="000A3201">
        <w:rPr>
          <w:b/>
          <w:bCs/>
          <w:sz w:val="22"/>
          <w:szCs w:val="22"/>
        </w:rPr>
        <w:t xml:space="preserve">3. </w:t>
      </w:r>
      <w:r w:rsidRPr="000A3201">
        <w:rPr>
          <w:b/>
          <w:bCs/>
          <w:sz w:val="22"/>
          <w:szCs w:val="22"/>
        </w:rPr>
        <w:tab/>
        <w:t>ΦΑΡΜΑΚΟΤΕΧΝΙΚΗ ΜΟΡΦΗ</w:t>
      </w:r>
    </w:p>
    <w:p w:rsidR="00865444" w:rsidRPr="000A3201" w:rsidRDefault="00865444" w:rsidP="00865444">
      <w:pPr>
        <w:ind w:left="720" w:hanging="720"/>
        <w:rPr>
          <w:sz w:val="22"/>
          <w:szCs w:val="22"/>
        </w:rPr>
      </w:pPr>
    </w:p>
    <w:p w:rsidR="00865444" w:rsidRPr="000A3201" w:rsidRDefault="00865444" w:rsidP="00865444">
      <w:pPr>
        <w:ind w:left="720"/>
        <w:rPr>
          <w:sz w:val="22"/>
          <w:szCs w:val="22"/>
        </w:rPr>
      </w:pPr>
      <w:r w:rsidRPr="000A3201">
        <w:rPr>
          <w:sz w:val="22"/>
          <w:szCs w:val="22"/>
        </w:rPr>
        <w:t>Επικαλυμμένο με λεπτό υμένιο δισκίο.</w:t>
      </w:r>
    </w:p>
    <w:p w:rsidR="00865444" w:rsidRPr="000A3201" w:rsidRDefault="00865444" w:rsidP="00865444">
      <w:pPr>
        <w:ind w:left="720" w:hanging="720"/>
        <w:rPr>
          <w:sz w:val="22"/>
          <w:szCs w:val="22"/>
        </w:rPr>
      </w:pPr>
    </w:p>
    <w:p w:rsidR="00865444" w:rsidRPr="000A3201" w:rsidRDefault="00865444" w:rsidP="00865444">
      <w:pPr>
        <w:ind w:left="720"/>
        <w:rPr>
          <w:sz w:val="22"/>
          <w:szCs w:val="22"/>
        </w:rPr>
      </w:pPr>
      <w:r w:rsidRPr="000A3201">
        <w:rPr>
          <w:sz w:val="22"/>
          <w:szCs w:val="22"/>
        </w:rPr>
        <w:t>Αμφίκυρτο,</w:t>
      </w:r>
      <w:r w:rsidR="00CE0A94" w:rsidRPr="000A3201">
        <w:rPr>
          <w:sz w:val="22"/>
          <w:szCs w:val="22"/>
        </w:rPr>
        <w:t xml:space="preserve"> </w:t>
      </w:r>
      <w:r w:rsidR="00534F66">
        <w:rPr>
          <w:rStyle w:val="aa"/>
        </w:rPr>
        <w:commentReference w:id="1"/>
      </w:r>
      <w:r w:rsidR="00CE0A94" w:rsidRPr="000A3201">
        <w:rPr>
          <w:sz w:val="22"/>
          <w:szCs w:val="22"/>
        </w:rPr>
        <w:t xml:space="preserve"> </w:t>
      </w:r>
      <w:r w:rsidRPr="000A3201">
        <w:rPr>
          <w:sz w:val="22"/>
          <w:szCs w:val="22"/>
        </w:rPr>
        <w:t>ανοιχτού κίτρινου χρώματος επικαλυμμένο με λεπτό υμένιο δισκίο, το οποίο φέρει ανάγλυφα τα διακριτικά “MR διαχωριστική γραμμή 30” στη μια πλευρά και “G” στην άλλη.</w:t>
      </w:r>
    </w:p>
    <w:p w:rsidR="001876B8" w:rsidRPr="000A3201" w:rsidRDefault="001876B8" w:rsidP="00865444">
      <w:pPr>
        <w:ind w:left="720"/>
        <w:rPr>
          <w:sz w:val="22"/>
          <w:szCs w:val="22"/>
        </w:rPr>
      </w:pPr>
    </w:p>
    <w:p w:rsidR="00BE4DF4" w:rsidRPr="000A3201" w:rsidRDefault="00BE4DF4" w:rsidP="00865444">
      <w:pPr>
        <w:ind w:left="720"/>
        <w:rPr>
          <w:sz w:val="22"/>
          <w:szCs w:val="22"/>
        </w:rPr>
      </w:pPr>
      <w:r w:rsidRPr="000A3201">
        <w:rPr>
          <w:sz w:val="22"/>
          <w:szCs w:val="22"/>
        </w:rPr>
        <w:t>Η εγκοπή χρησιμεύει μόνο για να διευκολύνει τη θραύση του δισκίου και την κατάποσή του και όχι για τον διαχωρισμό σε ίσες δόσεις.</w:t>
      </w:r>
    </w:p>
    <w:p w:rsidR="00865444" w:rsidRPr="000A3201" w:rsidRDefault="00865444" w:rsidP="00865444">
      <w:pPr>
        <w:ind w:left="567"/>
        <w:rPr>
          <w:sz w:val="22"/>
          <w:szCs w:val="22"/>
        </w:rPr>
      </w:pPr>
    </w:p>
    <w:p w:rsidR="00865444" w:rsidRPr="000A3201" w:rsidRDefault="00865444" w:rsidP="00865444">
      <w:pPr>
        <w:ind w:left="567"/>
        <w:rPr>
          <w:sz w:val="22"/>
          <w:szCs w:val="22"/>
        </w:rPr>
      </w:pPr>
    </w:p>
    <w:p w:rsidR="00865444" w:rsidRPr="000A3201" w:rsidRDefault="00865444" w:rsidP="00865444">
      <w:pPr>
        <w:ind w:left="720" w:hanging="720"/>
        <w:rPr>
          <w:b/>
          <w:bCs/>
          <w:sz w:val="22"/>
          <w:szCs w:val="22"/>
        </w:rPr>
      </w:pPr>
      <w:r w:rsidRPr="000A3201">
        <w:rPr>
          <w:b/>
          <w:bCs/>
          <w:sz w:val="22"/>
          <w:szCs w:val="22"/>
        </w:rPr>
        <w:t>4.</w:t>
      </w:r>
      <w:r w:rsidRPr="000A3201">
        <w:rPr>
          <w:b/>
          <w:bCs/>
          <w:sz w:val="22"/>
          <w:szCs w:val="22"/>
        </w:rPr>
        <w:tab/>
      </w:r>
      <w:r w:rsidR="00D63773" w:rsidRPr="000A3201">
        <w:rPr>
          <w:b/>
          <w:noProof/>
          <w:sz w:val="22"/>
          <w:szCs w:val="22"/>
        </w:rPr>
        <w:t>ΚΛΙΝΙΚΕΣ ΠΛΗΡΟΦΟΡΙΕΣ</w:t>
      </w:r>
      <w:r w:rsidR="00D63773" w:rsidRPr="000A3201" w:rsidDel="00D63773">
        <w:rPr>
          <w:b/>
          <w:bCs/>
          <w:sz w:val="22"/>
          <w:szCs w:val="22"/>
        </w:rPr>
        <w:t xml:space="preserve"> </w:t>
      </w:r>
    </w:p>
    <w:p w:rsidR="00865444" w:rsidRPr="000A3201" w:rsidRDefault="00865444" w:rsidP="00865444">
      <w:pPr>
        <w:ind w:left="720" w:hanging="720"/>
        <w:rPr>
          <w:sz w:val="22"/>
          <w:szCs w:val="22"/>
        </w:rPr>
      </w:pPr>
    </w:p>
    <w:p w:rsidR="00865444" w:rsidRPr="000A3201" w:rsidRDefault="00865444" w:rsidP="00865444">
      <w:pPr>
        <w:rPr>
          <w:b/>
          <w:bCs/>
          <w:sz w:val="22"/>
          <w:szCs w:val="22"/>
        </w:rPr>
      </w:pPr>
      <w:r w:rsidRPr="000A3201">
        <w:rPr>
          <w:b/>
          <w:bCs/>
          <w:sz w:val="22"/>
          <w:szCs w:val="22"/>
        </w:rPr>
        <w:t>4.1</w:t>
      </w:r>
      <w:r w:rsidRPr="000A3201">
        <w:rPr>
          <w:b/>
          <w:bCs/>
          <w:sz w:val="22"/>
          <w:szCs w:val="22"/>
        </w:rPr>
        <w:tab/>
        <w:t>Θεραπευτικές ενδείξεις</w:t>
      </w:r>
    </w:p>
    <w:p w:rsidR="00865444" w:rsidRPr="000A3201" w:rsidRDefault="00865444" w:rsidP="00865444">
      <w:pPr>
        <w:rPr>
          <w:sz w:val="22"/>
          <w:szCs w:val="22"/>
        </w:rPr>
      </w:pPr>
    </w:p>
    <w:p w:rsidR="00865444" w:rsidRPr="000A3201" w:rsidRDefault="00077899" w:rsidP="00865444">
      <w:pPr>
        <w:ind w:left="720"/>
        <w:rPr>
          <w:sz w:val="22"/>
          <w:szCs w:val="22"/>
        </w:rPr>
      </w:pPr>
      <w:r w:rsidRPr="000A3201">
        <w:rPr>
          <w:sz w:val="22"/>
          <w:szCs w:val="22"/>
        </w:rPr>
        <w:t>Θεραπεία των επεισοδίων μείζονος κατάθλιψης.</w:t>
      </w:r>
      <w:r w:rsidR="00F03406" w:rsidRPr="000A3201">
        <w:rPr>
          <w:sz w:val="22"/>
          <w:szCs w:val="22"/>
        </w:rPr>
        <w:t xml:space="preserve"> </w:t>
      </w:r>
    </w:p>
    <w:p w:rsidR="00865444" w:rsidRPr="000A3201" w:rsidRDefault="00865444" w:rsidP="00865444">
      <w:pPr>
        <w:rPr>
          <w:sz w:val="22"/>
          <w:szCs w:val="22"/>
        </w:rPr>
      </w:pPr>
    </w:p>
    <w:p w:rsidR="00865444" w:rsidRPr="000A3201" w:rsidRDefault="00865444" w:rsidP="00865444">
      <w:pPr>
        <w:rPr>
          <w:b/>
          <w:bCs/>
          <w:sz w:val="22"/>
          <w:szCs w:val="22"/>
        </w:rPr>
      </w:pPr>
      <w:r w:rsidRPr="000A3201">
        <w:rPr>
          <w:b/>
          <w:bCs/>
          <w:sz w:val="22"/>
          <w:szCs w:val="22"/>
        </w:rPr>
        <w:t>4.2</w:t>
      </w:r>
      <w:r w:rsidRPr="000A3201">
        <w:rPr>
          <w:b/>
          <w:bCs/>
          <w:sz w:val="22"/>
          <w:szCs w:val="22"/>
        </w:rPr>
        <w:tab/>
        <w:t>Δοσολογία και τρόπος χορήγησης</w:t>
      </w:r>
    </w:p>
    <w:p w:rsidR="00865444" w:rsidRPr="000A3201" w:rsidRDefault="00865444" w:rsidP="00865444">
      <w:pPr>
        <w:ind w:left="720"/>
        <w:rPr>
          <w:sz w:val="22"/>
          <w:szCs w:val="22"/>
        </w:rPr>
      </w:pPr>
      <w:r w:rsidRPr="000A3201">
        <w:rPr>
          <w:sz w:val="22"/>
          <w:szCs w:val="22"/>
        </w:rPr>
        <w:t xml:space="preserve"> </w:t>
      </w:r>
    </w:p>
    <w:p w:rsidR="00886FF3" w:rsidRPr="00886FF3" w:rsidRDefault="00AD5E88" w:rsidP="00986FCD">
      <w:pPr>
        <w:ind w:left="720"/>
        <w:rPr>
          <w:sz w:val="22"/>
          <w:szCs w:val="22"/>
          <w:u w:val="single"/>
        </w:rPr>
      </w:pPr>
      <w:r w:rsidRPr="00AD5E88">
        <w:rPr>
          <w:sz w:val="22"/>
          <w:szCs w:val="22"/>
          <w:u w:val="single"/>
        </w:rPr>
        <w:t>Δοσολογία</w:t>
      </w:r>
    </w:p>
    <w:p w:rsidR="00886FF3" w:rsidRDefault="00886FF3" w:rsidP="00986FCD">
      <w:pPr>
        <w:ind w:left="720"/>
        <w:rPr>
          <w:sz w:val="22"/>
          <w:szCs w:val="22"/>
        </w:rPr>
      </w:pPr>
    </w:p>
    <w:p w:rsidR="00986FCD" w:rsidRPr="00886FF3" w:rsidRDefault="00AD5E88" w:rsidP="00986FCD">
      <w:pPr>
        <w:ind w:left="720"/>
        <w:rPr>
          <w:i/>
          <w:sz w:val="22"/>
          <w:szCs w:val="22"/>
        </w:rPr>
      </w:pPr>
      <w:r w:rsidRPr="00AD5E88">
        <w:rPr>
          <w:i/>
          <w:sz w:val="22"/>
          <w:szCs w:val="22"/>
        </w:rPr>
        <w:t>Ενήλικες</w:t>
      </w:r>
    </w:p>
    <w:p w:rsidR="00F03406" w:rsidRPr="000A3201" w:rsidRDefault="00986FCD" w:rsidP="00986FCD">
      <w:pPr>
        <w:ind w:left="720"/>
        <w:rPr>
          <w:sz w:val="22"/>
          <w:szCs w:val="22"/>
        </w:rPr>
      </w:pPr>
      <w:r w:rsidRPr="000A3201">
        <w:rPr>
          <w:sz w:val="22"/>
          <w:szCs w:val="22"/>
        </w:rPr>
        <w:t xml:space="preserve">Η αποτελεσματική ημερήσια δόση κυμαίνεται συνήθως μεταξύ 15 και 45 </w:t>
      </w:r>
      <w:r w:rsidRPr="000A3201">
        <w:rPr>
          <w:sz w:val="22"/>
          <w:szCs w:val="22"/>
          <w:lang w:val="en-US"/>
        </w:rPr>
        <w:t>mg</w:t>
      </w:r>
      <w:r w:rsidRPr="000A3201">
        <w:rPr>
          <w:sz w:val="22"/>
          <w:szCs w:val="22"/>
        </w:rPr>
        <w:t xml:space="preserve">: η δόση έναρξης είναι 15 ή 30 </w:t>
      </w:r>
      <w:r w:rsidRPr="000A3201">
        <w:rPr>
          <w:sz w:val="22"/>
          <w:szCs w:val="22"/>
          <w:lang w:val="en-US"/>
        </w:rPr>
        <w:t>mg</w:t>
      </w:r>
      <w:r w:rsidRPr="000A3201">
        <w:rPr>
          <w:sz w:val="22"/>
          <w:szCs w:val="22"/>
        </w:rPr>
        <w:t>.</w:t>
      </w:r>
      <w:r w:rsidR="00343764" w:rsidRPr="000A3201">
        <w:rPr>
          <w:sz w:val="22"/>
          <w:szCs w:val="22"/>
        </w:rPr>
        <w:t xml:space="preserve"> </w:t>
      </w:r>
      <w:r w:rsidRPr="000A3201">
        <w:rPr>
          <w:sz w:val="22"/>
          <w:szCs w:val="22"/>
        </w:rPr>
        <w:t>Η μιρταζαπίνη αρχίζει να έχει αποτέλεσμα μετά από 1-2 εβδομάδες θεραπείας. Αγωγή με επαρκές δοσολογικό σχήμα παρουσιάζει θεραπευτική απάντηση σε διάστημα 2-4 εβδομάδων. Σε περίπτωση ανεπαρκούς ανταπόκρισης</w:t>
      </w:r>
      <w:r w:rsidR="00343764" w:rsidRPr="000A3201">
        <w:rPr>
          <w:sz w:val="22"/>
          <w:szCs w:val="22"/>
        </w:rPr>
        <w:t>,</w:t>
      </w:r>
      <w:r w:rsidRPr="000A3201">
        <w:rPr>
          <w:sz w:val="22"/>
          <w:szCs w:val="22"/>
        </w:rPr>
        <w:t xml:space="preserve"> η δοσολογία μπορεί να αυξηθεί ως </w:t>
      </w:r>
      <w:r w:rsidR="00173D8C">
        <w:rPr>
          <w:sz w:val="22"/>
          <w:szCs w:val="22"/>
        </w:rPr>
        <w:t>τη μέγιστη</w:t>
      </w:r>
      <w:r w:rsidRPr="000A3201">
        <w:rPr>
          <w:sz w:val="22"/>
          <w:szCs w:val="22"/>
        </w:rPr>
        <w:t xml:space="preserve">. Αν δεν επιτευχθεί θετική ανταπόκριση σε διάστημα άλλων 2-4 εβδομάδων, τότε η αγωγή πρέπει να διακόπτεται. </w:t>
      </w:r>
    </w:p>
    <w:p w:rsidR="00886FF3" w:rsidRPr="00886FF3" w:rsidRDefault="00886FF3" w:rsidP="00886FF3">
      <w:pPr>
        <w:ind w:left="720"/>
        <w:rPr>
          <w:sz w:val="22"/>
          <w:szCs w:val="22"/>
        </w:rPr>
      </w:pPr>
    </w:p>
    <w:p w:rsidR="00886FF3" w:rsidRPr="00886FF3" w:rsidRDefault="0040608F" w:rsidP="0040608F">
      <w:pPr>
        <w:ind w:left="720"/>
        <w:rPr>
          <w:sz w:val="22"/>
          <w:szCs w:val="22"/>
        </w:rPr>
      </w:pPr>
      <w:r w:rsidRPr="0040608F">
        <w:rPr>
          <w:rFonts w:hint="eastAsia"/>
          <w:sz w:val="22"/>
          <w:szCs w:val="22"/>
        </w:rPr>
        <w:t>Οι</w:t>
      </w:r>
      <w:r w:rsidRPr="0040608F">
        <w:rPr>
          <w:sz w:val="22"/>
          <w:szCs w:val="22"/>
        </w:rPr>
        <w:t xml:space="preserve"> </w:t>
      </w:r>
      <w:r w:rsidRPr="0040608F">
        <w:rPr>
          <w:rFonts w:hint="eastAsia"/>
          <w:sz w:val="22"/>
          <w:szCs w:val="22"/>
        </w:rPr>
        <w:t>ασθενείς</w:t>
      </w:r>
      <w:r w:rsidRPr="0040608F">
        <w:rPr>
          <w:sz w:val="22"/>
          <w:szCs w:val="22"/>
        </w:rPr>
        <w:t xml:space="preserve"> </w:t>
      </w:r>
      <w:r w:rsidRPr="0040608F">
        <w:rPr>
          <w:rFonts w:hint="eastAsia"/>
          <w:sz w:val="22"/>
          <w:szCs w:val="22"/>
        </w:rPr>
        <w:t>με</w:t>
      </w:r>
      <w:r w:rsidRPr="0040608F">
        <w:rPr>
          <w:sz w:val="22"/>
          <w:szCs w:val="22"/>
        </w:rPr>
        <w:t xml:space="preserve"> </w:t>
      </w:r>
      <w:r w:rsidRPr="0040608F">
        <w:rPr>
          <w:rFonts w:hint="eastAsia"/>
          <w:sz w:val="22"/>
          <w:szCs w:val="22"/>
        </w:rPr>
        <w:t>κατάθλιψη</w:t>
      </w:r>
      <w:r w:rsidRPr="0040608F">
        <w:rPr>
          <w:sz w:val="22"/>
          <w:szCs w:val="22"/>
        </w:rPr>
        <w:t xml:space="preserve"> </w:t>
      </w:r>
      <w:r w:rsidRPr="0040608F">
        <w:rPr>
          <w:rFonts w:hint="eastAsia"/>
          <w:sz w:val="22"/>
          <w:szCs w:val="22"/>
        </w:rPr>
        <w:t>πρέπει</w:t>
      </w:r>
      <w:r w:rsidRPr="0040608F">
        <w:rPr>
          <w:sz w:val="22"/>
          <w:szCs w:val="22"/>
        </w:rPr>
        <w:t xml:space="preserve"> </w:t>
      </w:r>
      <w:r w:rsidRPr="0040608F">
        <w:rPr>
          <w:rFonts w:hint="eastAsia"/>
          <w:sz w:val="22"/>
          <w:szCs w:val="22"/>
        </w:rPr>
        <w:t>να</w:t>
      </w:r>
      <w:r w:rsidRPr="0040608F">
        <w:rPr>
          <w:sz w:val="22"/>
          <w:szCs w:val="22"/>
        </w:rPr>
        <w:t xml:space="preserve"> </w:t>
      </w:r>
      <w:r w:rsidRPr="0040608F">
        <w:rPr>
          <w:rFonts w:hint="eastAsia"/>
          <w:sz w:val="22"/>
          <w:szCs w:val="22"/>
        </w:rPr>
        <w:t>λαμβάνουν</w:t>
      </w:r>
      <w:r w:rsidRPr="0040608F">
        <w:rPr>
          <w:sz w:val="22"/>
          <w:szCs w:val="22"/>
        </w:rPr>
        <w:t xml:space="preserve"> </w:t>
      </w:r>
      <w:r w:rsidRPr="0040608F">
        <w:rPr>
          <w:rFonts w:hint="eastAsia"/>
          <w:sz w:val="22"/>
          <w:szCs w:val="22"/>
        </w:rPr>
        <w:t>θεραπεία</w:t>
      </w:r>
      <w:r w:rsidRPr="0040608F">
        <w:rPr>
          <w:sz w:val="22"/>
          <w:szCs w:val="22"/>
        </w:rPr>
        <w:t xml:space="preserve"> </w:t>
      </w:r>
      <w:r w:rsidRPr="0040608F">
        <w:rPr>
          <w:rFonts w:hint="eastAsia"/>
          <w:sz w:val="22"/>
          <w:szCs w:val="22"/>
        </w:rPr>
        <w:t>για</w:t>
      </w:r>
      <w:r w:rsidRPr="0040608F">
        <w:rPr>
          <w:sz w:val="22"/>
          <w:szCs w:val="22"/>
        </w:rPr>
        <w:t xml:space="preserve"> </w:t>
      </w:r>
      <w:r w:rsidRPr="0040608F">
        <w:rPr>
          <w:rFonts w:hint="eastAsia"/>
          <w:sz w:val="22"/>
          <w:szCs w:val="22"/>
        </w:rPr>
        <w:t>επαρκές</w:t>
      </w:r>
      <w:r w:rsidRPr="0040608F">
        <w:rPr>
          <w:sz w:val="22"/>
          <w:szCs w:val="22"/>
        </w:rPr>
        <w:t xml:space="preserve"> </w:t>
      </w:r>
      <w:r w:rsidRPr="0040608F">
        <w:rPr>
          <w:rFonts w:hint="eastAsia"/>
          <w:sz w:val="22"/>
          <w:szCs w:val="22"/>
        </w:rPr>
        <w:t>χρονικό</w:t>
      </w:r>
      <w:r w:rsidRPr="0040608F">
        <w:rPr>
          <w:sz w:val="22"/>
          <w:szCs w:val="22"/>
        </w:rPr>
        <w:t xml:space="preserve"> </w:t>
      </w:r>
      <w:r w:rsidRPr="0040608F">
        <w:rPr>
          <w:rFonts w:hint="eastAsia"/>
          <w:sz w:val="22"/>
          <w:szCs w:val="22"/>
        </w:rPr>
        <w:t>διάστημα</w:t>
      </w:r>
      <w:r w:rsidRPr="0040608F">
        <w:rPr>
          <w:sz w:val="22"/>
          <w:szCs w:val="22"/>
        </w:rPr>
        <w:t>,</w:t>
      </w:r>
      <w:r>
        <w:rPr>
          <w:sz w:val="22"/>
          <w:szCs w:val="22"/>
        </w:rPr>
        <w:t xml:space="preserve"> </w:t>
      </w:r>
      <w:r w:rsidRPr="0040608F">
        <w:rPr>
          <w:rFonts w:hint="eastAsia"/>
          <w:sz w:val="22"/>
          <w:szCs w:val="22"/>
        </w:rPr>
        <w:t>τουλάχιστον</w:t>
      </w:r>
      <w:r w:rsidRPr="0040608F">
        <w:rPr>
          <w:sz w:val="22"/>
          <w:szCs w:val="22"/>
        </w:rPr>
        <w:t xml:space="preserve"> </w:t>
      </w:r>
      <w:r w:rsidRPr="0040608F">
        <w:rPr>
          <w:rFonts w:hint="eastAsia"/>
          <w:sz w:val="22"/>
          <w:szCs w:val="22"/>
        </w:rPr>
        <w:t>για</w:t>
      </w:r>
      <w:r w:rsidRPr="0040608F">
        <w:rPr>
          <w:sz w:val="22"/>
          <w:szCs w:val="22"/>
        </w:rPr>
        <w:t xml:space="preserve"> 6 </w:t>
      </w:r>
      <w:r w:rsidRPr="0040608F">
        <w:rPr>
          <w:rFonts w:hint="eastAsia"/>
          <w:sz w:val="22"/>
          <w:szCs w:val="22"/>
        </w:rPr>
        <w:t>μήνες</w:t>
      </w:r>
      <w:r w:rsidRPr="0040608F">
        <w:rPr>
          <w:sz w:val="22"/>
          <w:szCs w:val="22"/>
        </w:rPr>
        <w:t xml:space="preserve">, </w:t>
      </w:r>
      <w:r w:rsidRPr="0040608F">
        <w:rPr>
          <w:rFonts w:hint="eastAsia"/>
          <w:sz w:val="22"/>
          <w:szCs w:val="22"/>
        </w:rPr>
        <w:t>για</w:t>
      </w:r>
      <w:r w:rsidRPr="0040608F">
        <w:rPr>
          <w:sz w:val="22"/>
          <w:szCs w:val="22"/>
        </w:rPr>
        <w:t xml:space="preserve"> </w:t>
      </w:r>
      <w:r w:rsidRPr="0040608F">
        <w:rPr>
          <w:rFonts w:hint="eastAsia"/>
          <w:sz w:val="22"/>
          <w:szCs w:val="22"/>
        </w:rPr>
        <w:t>να</w:t>
      </w:r>
      <w:r w:rsidRPr="0040608F">
        <w:rPr>
          <w:sz w:val="22"/>
          <w:szCs w:val="22"/>
        </w:rPr>
        <w:t xml:space="preserve"> </w:t>
      </w:r>
      <w:r w:rsidRPr="0040608F">
        <w:rPr>
          <w:rFonts w:hint="eastAsia"/>
          <w:sz w:val="22"/>
          <w:szCs w:val="22"/>
        </w:rPr>
        <w:t>διασφαλίζεται</w:t>
      </w:r>
      <w:r w:rsidRPr="0040608F">
        <w:rPr>
          <w:sz w:val="22"/>
          <w:szCs w:val="22"/>
        </w:rPr>
        <w:t xml:space="preserve"> </w:t>
      </w:r>
      <w:r w:rsidRPr="0040608F">
        <w:rPr>
          <w:rFonts w:hint="eastAsia"/>
          <w:sz w:val="22"/>
          <w:szCs w:val="22"/>
        </w:rPr>
        <w:t>ότι</w:t>
      </w:r>
      <w:r w:rsidRPr="0040608F">
        <w:rPr>
          <w:sz w:val="22"/>
          <w:szCs w:val="22"/>
        </w:rPr>
        <w:t xml:space="preserve"> </w:t>
      </w:r>
      <w:r w:rsidRPr="0040608F">
        <w:rPr>
          <w:rFonts w:hint="eastAsia"/>
          <w:sz w:val="22"/>
          <w:szCs w:val="22"/>
        </w:rPr>
        <w:t>είναι</w:t>
      </w:r>
      <w:r w:rsidRPr="0040608F">
        <w:rPr>
          <w:sz w:val="22"/>
          <w:szCs w:val="22"/>
        </w:rPr>
        <w:t xml:space="preserve"> </w:t>
      </w:r>
      <w:r w:rsidRPr="0040608F">
        <w:rPr>
          <w:rFonts w:hint="eastAsia"/>
          <w:sz w:val="22"/>
          <w:szCs w:val="22"/>
        </w:rPr>
        <w:t>ελεύθεροι</w:t>
      </w:r>
      <w:r w:rsidRPr="0040608F">
        <w:rPr>
          <w:sz w:val="22"/>
          <w:szCs w:val="22"/>
        </w:rPr>
        <w:t xml:space="preserve"> </w:t>
      </w:r>
      <w:r w:rsidRPr="0040608F">
        <w:rPr>
          <w:rFonts w:hint="eastAsia"/>
          <w:sz w:val="22"/>
          <w:szCs w:val="22"/>
        </w:rPr>
        <w:t>συμπτωμάτων</w:t>
      </w:r>
      <w:r w:rsidRPr="0040608F">
        <w:rPr>
          <w:sz w:val="22"/>
          <w:szCs w:val="22"/>
        </w:rPr>
        <w:t xml:space="preserve">. </w:t>
      </w:r>
    </w:p>
    <w:p w:rsidR="00886FF3" w:rsidRPr="00886FF3" w:rsidRDefault="00886FF3" w:rsidP="00886FF3">
      <w:pPr>
        <w:ind w:left="720"/>
        <w:rPr>
          <w:sz w:val="22"/>
          <w:szCs w:val="22"/>
        </w:rPr>
      </w:pPr>
    </w:p>
    <w:p w:rsidR="00F03406" w:rsidRDefault="0040608F" w:rsidP="0040608F">
      <w:pPr>
        <w:ind w:left="720"/>
        <w:rPr>
          <w:sz w:val="22"/>
          <w:szCs w:val="22"/>
        </w:rPr>
      </w:pPr>
      <w:r w:rsidRPr="0040608F">
        <w:rPr>
          <w:rFonts w:hint="eastAsia"/>
          <w:sz w:val="22"/>
          <w:szCs w:val="22"/>
        </w:rPr>
        <w:t>Συνιστάται</w:t>
      </w:r>
      <w:r w:rsidRPr="0040608F">
        <w:rPr>
          <w:sz w:val="22"/>
          <w:szCs w:val="22"/>
        </w:rPr>
        <w:t xml:space="preserve"> </w:t>
      </w:r>
      <w:r w:rsidRPr="0040608F">
        <w:rPr>
          <w:rFonts w:hint="eastAsia"/>
          <w:sz w:val="22"/>
          <w:szCs w:val="22"/>
        </w:rPr>
        <w:t>η</w:t>
      </w:r>
      <w:r w:rsidRPr="0040608F">
        <w:rPr>
          <w:sz w:val="22"/>
          <w:szCs w:val="22"/>
        </w:rPr>
        <w:t xml:space="preserve"> </w:t>
      </w:r>
      <w:r w:rsidRPr="0040608F">
        <w:rPr>
          <w:rFonts w:hint="eastAsia"/>
          <w:sz w:val="22"/>
          <w:szCs w:val="22"/>
        </w:rPr>
        <w:t>θεραπεία</w:t>
      </w:r>
      <w:r w:rsidRPr="0040608F">
        <w:rPr>
          <w:sz w:val="22"/>
          <w:szCs w:val="22"/>
        </w:rPr>
        <w:t xml:space="preserve"> </w:t>
      </w:r>
      <w:r w:rsidRPr="0040608F">
        <w:rPr>
          <w:rFonts w:hint="eastAsia"/>
          <w:sz w:val="22"/>
          <w:szCs w:val="22"/>
        </w:rPr>
        <w:t>με</w:t>
      </w:r>
      <w:r w:rsidRPr="0040608F">
        <w:rPr>
          <w:sz w:val="22"/>
          <w:szCs w:val="22"/>
        </w:rPr>
        <w:t xml:space="preserve"> </w:t>
      </w:r>
      <w:r w:rsidRPr="0040608F">
        <w:rPr>
          <w:rFonts w:hint="eastAsia"/>
          <w:sz w:val="22"/>
          <w:szCs w:val="22"/>
        </w:rPr>
        <w:t>μιρταζαπίνη</w:t>
      </w:r>
      <w:r w:rsidRPr="0040608F">
        <w:rPr>
          <w:sz w:val="22"/>
          <w:szCs w:val="22"/>
        </w:rPr>
        <w:t xml:space="preserve"> </w:t>
      </w:r>
      <w:r w:rsidRPr="0040608F">
        <w:rPr>
          <w:rFonts w:hint="eastAsia"/>
          <w:sz w:val="22"/>
          <w:szCs w:val="22"/>
        </w:rPr>
        <w:t>να</w:t>
      </w:r>
      <w:r w:rsidRPr="0040608F">
        <w:rPr>
          <w:sz w:val="22"/>
          <w:szCs w:val="22"/>
        </w:rPr>
        <w:t xml:space="preserve"> </w:t>
      </w:r>
      <w:r w:rsidRPr="0040608F">
        <w:rPr>
          <w:rFonts w:hint="eastAsia"/>
          <w:sz w:val="22"/>
          <w:szCs w:val="22"/>
        </w:rPr>
        <w:t>διακόπτεται</w:t>
      </w:r>
      <w:r w:rsidRPr="0040608F">
        <w:rPr>
          <w:sz w:val="22"/>
          <w:szCs w:val="22"/>
        </w:rPr>
        <w:t xml:space="preserve"> </w:t>
      </w:r>
      <w:r w:rsidRPr="0040608F">
        <w:rPr>
          <w:rFonts w:hint="eastAsia"/>
          <w:sz w:val="22"/>
          <w:szCs w:val="22"/>
        </w:rPr>
        <w:t>σταδιακά</w:t>
      </w:r>
      <w:r w:rsidRPr="0040608F">
        <w:rPr>
          <w:sz w:val="22"/>
          <w:szCs w:val="22"/>
        </w:rPr>
        <w:t xml:space="preserve"> </w:t>
      </w:r>
      <w:r w:rsidRPr="0040608F">
        <w:rPr>
          <w:rFonts w:hint="eastAsia"/>
          <w:sz w:val="22"/>
          <w:szCs w:val="22"/>
        </w:rPr>
        <w:t>για</w:t>
      </w:r>
      <w:r w:rsidRPr="0040608F">
        <w:rPr>
          <w:sz w:val="22"/>
          <w:szCs w:val="22"/>
        </w:rPr>
        <w:t xml:space="preserve"> </w:t>
      </w:r>
      <w:r w:rsidRPr="0040608F">
        <w:rPr>
          <w:rFonts w:hint="eastAsia"/>
          <w:sz w:val="22"/>
          <w:szCs w:val="22"/>
        </w:rPr>
        <w:t>να</w:t>
      </w:r>
      <w:r w:rsidRPr="0040608F">
        <w:rPr>
          <w:sz w:val="22"/>
          <w:szCs w:val="22"/>
        </w:rPr>
        <w:t xml:space="preserve"> </w:t>
      </w:r>
      <w:r w:rsidRPr="0040608F">
        <w:rPr>
          <w:rFonts w:hint="eastAsia"/>
          <w:sz w:val="22"/>
          <w:szCs w:val="22"/>
        </w:rPr>
        <w:t>αποφευχθούν</w:t>
      </w:r>
      <w:r w:rsidRPr="0040608F">
        <w:rPr>
          <w:sz w:val="22"/>
          <w:szCs w:val="22"/>
        </w:rPr>
        <w:t xml:space="preserve"> </w:t>
      </w:r>
      <w:r w:rsidRPr="0040608F">
        <w:rPr>
          <w:rFonts w:hint="eastAsia"/>
          <w:sz w:val="22"/>
          <w:szCs w:val="22"/>
        </w:rPr>
        <w:t>συμπτώματα</w:t>
      </w:r>
      <w:r>
        <w:rPr>
          <w:sz w:val="22"/>
          <w:szCs w:val="22"/>
        </w:rPr>
        <w:t xml:space="preserve"> </w:t>
      </w:r>
      <w:r w:rsidRPr="0040608F">
        <w:rPr>
          <w:rFonts w:hint="eastAsia"/>
          <w:sz w:val="22"/>
          <w:szCs w:val="22"/>
        </w:rPr>
        <w:t>απόσυρσης</w:t>
      </w:r>
      <w:r w:rsidRPr="0040608F">
        <w:rPr>
          <w:sz w:val="22"/>
          <w:szCs w:val="22"/>
        </w:rPr>
        <w:t xml:space="preserve"> (</w:t>
      </w:r>
      <w:r>
        <w:rPr>
          <w:rFonts w:hint="eastAsia"/>
          <w:sz w:val="22"/>
          <w:szCs w:val="22"/>
        </w:rPr>
        <w:t>βλ</w:t>
      </w:r>
      <w:r>
        <w:rPr>
          <w:sz w:val="22"/>
          <w:szCs w:val="22"/>
        </w:rPr>
        <w:t>.</w:t>
      </w:r>
      <w:r w:rsidRPr="0040608F">
        <w:rPr>
          <w:sz w:val="22"/>
          <w:szCs w:val="22"/>
        </w:rPr>
        <w:t xml:space="preserve"> </w:t>
      </w:r>
      <w:r w:rsidRPr="0040608F">
        <w:rPr>
          <w:rFonts w:hint="eastAsia"/>
          <w:sz w:val="22"/>
          <w:szCs w:val="22"/>
        </w:rPr>
        <w:t>παράγραφο</w:t>
      </w:r>
      <w:r w:rsidRPr="0040608F">
        <w:rPr>
          <w:sz w:val="22"/>
          <w:szCs w:val="22"/>
        </w:rPr>
        <w:t xml:space="preserve"> 4.4). </w:t>
      </w:r>
    </w:p>
    <w:p w:rsidR="00886FF3" w:rsidRPr="00886FF3" w:rsidRDefault="00886FF3" w:rsidP="00F03406">
      <w:pPr>
        <w:ind w:left="720"/>
        <w:rPr>
          <w:i/>
          <w:sz w:val="22"/>
          <w:szCs w:val="22"/>
        </w:rPr>
      </w:pPr>
    </w:p>
    <w:p w:rsidR="00986FCD" w:rsidRPr="00886FF3" w:rsidRDefault="00AD5E88" w:rsidP="00986FCD">
      <w:pPr>
        <w:ind w:left="720"/>
        <w:rPr>
          <w:i/>
          <w:sz w:val="22"/>
          <w:szCs w:val="22"/>
        </w:rPr>
      </w:pPr>
      <w:r w:rsidRPr="00AD5E88">
        <w:rPr>
          <w:i/>
          <w:sz w:val="22"/>
          <w:szCs w:val="22"/>
        </w:rPr>
        <w:lastRenderedPageBreak/>
        <w:t>Υπερήλικες</w:t>
      </w:r>
    </w:p>
    <w:p w:rsidR="00986FCD" w:rsidRPr="000A3201" w:rsidRDefault="00986FCD" w:rsidP="00986FCD">
      <w:pPr>
        <w:ind w:left="720"/>
        <w:rPr>
          <w:sz w:val="22"/>
          <w:szCs w:val="22"/>
        </w:rPr>
      </w:pPr>
      <w:r w:rsidRPr="000A3201">
        <w:rPr>
          <w:sz w:val="22"/>
          <w:szCs w:val="22"/>
        </w:rPr>
        <w:t xml:space="preserve">Η συνιστώμενη δόση είναι η ίδια με αυτή των ενηλίκων. </w:t>
      </w:r>
      <w:r w:rsidR="00173D8C">
        <w:rPr>
          <w:sz w:val="22"/>
          <w:szCs w:val="22"/>
        </w:rPr>
        <w:t>Στους υπερήλικες</w:t>
      </w:r>
      <w:r w:rsidR="00343764" w:rsidRPr="000A3201">
        <w:rPr>
          <w:sz w:val="22"/>
          <w:szCs w:val="22"/>
        </w:rPr>
        <w:t>, η</w:t>
      </w:r>
      <w:r w:rsidRPr="000A3201">
        <w:rPr>
          <w:sz w:val="22"/>
          <w:szCs w:val="22"/>
        </w:rPr>
        <w:t xml:space="preserve"> αύξηση της δόσης πρέπει να γίνεται κάτω από στενή παρακολούθηση ώστε να επιτευχθεί ικανοποιητική απόκριση στη θεραπεία με ασφαλή τρόπο.</w:t>
      </w:r>
    </w:p>
    <w:p w:rsidR="00986FCD" w:rsidRPr="000A3201" w:rsidRDefault="00986FCD" w:rsidP="00986FCD">
      <w:pPr>
        <w:ind w:left="720"/>
        <w:rPr>
          <w:sz w:val="22"/>
          <w:szCs w:val="22"/>
        </w:rPr>
      </w:pPr>
    </w:p>
    <w:p w:rsidR="00986FCD" w:rsidRPr="00886FF3" w:rsidRDefault="00AD5E88" w:rsidP="00986FCD">
      <w:pPr>
        <w:ind w:left="720"/>
        <w:rPr>
          <w:i/>
          <w:sz w:val="22"/>
          <w:szCs w:val="22"/>
        </w:rPr>
      </w:pPr>
      <w:r w:rsidRPr="00AD5E88">
        <w:rPr>
          <w:i/>
          <w:sz w:val="22"/>
          <w:szCs w:val="22"/>
        </w:rPr>
        <w:t>Παιδιατρικός πληθυσμός</w:t>
      </w:r>
    </w:p>
    <w:p w:rsidR="00986FCD" w:rsidRPr="000A3201" w:rsidRDefault="001D0BB1" w:rsidP="00986FCD">
      <w:pPr>
        <w:ind w:left="720"/>
        <w:rPr>
          <w:sz w:val="22"/>
          <w:szCs w:val="22"/>
        </w:rPr>
      </w:pPr>
      <w:r w:rsidRPr="000A3201">
        <w:rPr>
          <w:sz w:val="22"/>
          <w:szCs w:val="22"/>
        </w:rPr>
        <w:t xml:space="preserve">Η μιρταζαπίνη </w:t>
      </w:r>
      <w:r w:rsidR="00986FCD" w:rsidRPr="000A3201">
        <w:rPr>
          <w:sz w:val="22"/>
          <w:szCs w:val="22"/>
        </w:rPr>
        <w:t>δεν πρέπει να χρησιμοποιείται σε παιδιά και εφήβους κάτω τω</w:t>
      </w:r>
      <w:r w:rsidR="00343764" w:rsidRPr="000A3201">
        <w:rPr>
          <w:sz w:val="22"/>
          <w:szCs w:val="22"/>
        </w:rPr>
        <w:t>ν 18 ετών, επειδή δεν καταδείχτηκε αποτελεσματικότητα σε δύο βραχυχρόνιες κλινικές μελέτες (βλ</w:t>
      </w:r>
      <w:r w:rsidR="00BE4DF4" w:rsidRPr="000A3201">
        <w:rPr>
          <w:sz w:val="22"/>
          <w:szCs w:val="22"/>
        </w:rPr>
        <w:t>.</w:t>
      </w:r>
      <w:r w:rsidR="00343764" w:rsidRPr="000A3201">
        <w:rPr>
          <w:sz w:val="22"/>
          <w:szCs w:val="22"/>
        </w:rPr>
        <w:t xml:space="preserve"> παράγραφο 5.1) και λόγω ζητημάτων ασφαλείας (βλ</w:t>
      </w:r>
      <w:r w:rsidR="00BE4DF4" w:rsidRPr="000A3201">
        <w:rPr>
          <w:sz w:val="22"/>
          <w:szCs w:val="22"/>
        </w:rPr>
        <w:t>.</w:t>
      </w:r>
      <w:r w:rsidR="00343764" w:rsidRPr="000A3201">
        <w:rPr>
          <w:sz w:val="22"/>
          <w:szCs w:val="22"/>
        </w:rPr>
        <w:t xml:space="preserve"> παραγράφους 4.4, 4.8 και 5.1).</w:t>
      </w:r>
    </w:p>
    <w:p w:rsidR="00986FCD" w:rsidRPr="000A3201" w:rsidRDefault="00986FCD" w:rsidP="00986FCD">
      <w:pPr>
        <w:ind w:left="720"/>
        <w:rPr>
          <w:sz w:val="22"/>
          <w:szCs w:val="22"/>
        </w:rPr>
      </w:pPr>
    </w:p>
    <w:p w:rsidR="00986FCD" w:rsidRPr="00886FF3" w:rsidRDefault="00AD5E88" w:rsidP="00986FCD">
      <w:pPr>
        <w:ind w:left="720"/>
        <w:rPr>
          <w:i/>
          <w:sz w:val="22"/>
          <w:szCs w:val="22"/>
        </w:rPr>
      </w:pPr>
      <w:r w:rsidRPr="00AD5E88">
        <w:rPr>
          <w:i/>
          <w:sz w:val="22"/>
          <w:szCs w:val="22"/>
        </w:rPr>
        <w:t>Ασθενείς με νεφρική δυσλειτουργία</w:t>
      </w:r>
    </w:p>
    <w:p w:rsidR="00F03406" w:rsidRPr="000A3201" w:rsidRDefault="00986FCD" w:rsidP="00986FCD">
      <w:pPr>
        <w:ind w:left="720"/>
        <w:rPr>
          <w:sz w:val="22"/>
          <w:szCs w:val="22"/>
        </w:rPr>
      </w:pPr>
      <w:r w:rsidRPr="000A3201">
        <w:rPr>
          <w:sz w:val="22"/>
          <w:szCs w:val="22"/>
        </w:rPr>
        <w:t>Η κάθαρση της μιρταζαπίνης μπορεί να επιβραδυνθεί σε ασθενείς με μέτρ</w:t>
      </w:r>
      <w:r w:rsidR="00876655" w:rsidRPr="000A3201">
        <w:rPr>
          <w:sz w:val="22"/>
          <w:szCs w:val="22"/>
        </w:rPr>
        <w:t>ια έως σοβαρή νεφρική δυσλειτουργία</w:t>
      </w:r>
      <w:r w:rsidRPr="000A3201">
        <w:rPr>
          <w:sz w:val="22"/>
          <w:szCs w:val="22"/>
        </w:rPr>
        <w:t xml:space="preserve"> (κάθαρση της κρεατινίνης &lt;40 </w:t>
      </w:r>
      <w:r w:rsidRPr="000A3201">
        <w:rPr>
          <w:sz w:val="22"/>
          <w:szCs w:val="22"/>
          <w:lang w:val="en-US"/>
        </w:rPr>
        <w:t>ml</w:t>
      </w:r>
      <w:r w:rsidRPr="000A3201">
        <w:rPr>
          <w:sz w:val="22"/>
          <w:szCs w:val="22"/>
        </w:rPr>
        <w:t>/</w:t>
      </w:r>
      <w:r w:rsidRPr="000A3201">
        <w:rPr>
          <w:sz w:val="22"/>
          <w:szCs w:val="22"/>
          <w:lang w:val="en-US"/>
        </w:rPr>
        <w:t>min</w:t>
      </w:r>
      <w:r w:rsidRPr="000A3201">
        <w:rPr>
          <w:sz w:val="22"/>
          <w:szCs w:val="22"/>
        </w:rPr>
        <w:t xml:space="preserve">). Αυτό πρέπει να λαμβάνεται υπ' όψη όταν </w:t>
      </w:r>
      <w:r w:rsidR="001D0BB1" w:rsidRPr="000A3201">
        <w:rPr>
          <w:sz w:val="22"/>
          <w:szCs w:val="22"/>
        </w:rPr>
        <w:t xml:space="preserve">η μιρταζαπίνη </w:t>
      </w:r>
      <w:r w:rsidRPr="000A3201">
        <w:rPr>
          <w:sz w:val="22"/>
          <w:szCs w:val="22"/>
        </w:rPr>
        <w:t xml:space="preserve">πρόκειται να συνταγογραφηθεί σε </w:t>
      </w:r>
      <w:r w:rsidR="000A28BD" w:rsidRPr="000A3201">
        <w:rPr>
          <w:sz w:val="22"/>
          <w:szCs w:val="22"/>
        </w:rPr>
        <w:t xml:space="preserve">αυτή την </w:t>
      </w:r>
      <w:r w:rsidRPr="000A3201">
        <w:rPr>
          <w:sz w:val="22"/>
          <w:szCs w:val="22"/>
        </w:rPr>
        <w:t>κατηγορία ασθενών (βλ</w:t>
      </w:r>
      <w:r w:rsidR="00311CD4" w:rsidRPr="000A3201">
        <w:rPr>
          <w:sz w:val="22"/>
          <w:szCs w:val="22"/>
        </w:rPr>
        <w:t>.</w:t>
      </w:r>
      <w:r w:rsidRPr="000A3201">
        <w:rPr>
          <w:sz w:val="22"/>
          <w:szCs w:val="22"/>
        </w:rPr>
        <w:t xml:space="preserve"> παράγραφο 4.4). </w:t>
      </w:r>
    </w:p>
    <w:p w:rsidR="00F03406" w:rsidRPr="000A3201" w:rsidRDefault="00F03406" w:rsidP="00F03406">
      <w:pPr>
        <w:ind w:left="720"/>
        <w:rPr>
          <w:sz w:val="22"/>
          <w:szCs w:val="22"/>
        </w:rPr>
      </w:pPr>
    </w:p>
    <w:p w:rsidR="00986FCD" w:rsidRPr="00886FF3" w:rsidRDefault="00AD5E88" w:rsidP="00986FCD">
      <w:pPr>
        <w:ind w:left="720"/>
        <w:rPr>
          <w:i/>
          <w:sz w:val="22"/>
          <w:szCs w:val="22"/>
        </w:rPr>
      </w:pPr>
      <w:r w:rsidRPr="00AD5E88">
        <w:rPr>
          <w:i/>
          <w:sz w:val="22"/>
          <w:szCs w:val="22"/>
        </w:rPr>
        <w:t>Ασθενείς με ηπατική δυσλειτουργία</w:t>
      </w:r>
    </w:p>
    <w:p w:rsidR="00865444" w:rsidRPr="000A3201" w:rsidRDefault="00986FCD" w:rsidP="00986FCD">
      <w:pPr>
        <w:ind w:left="720"/>
        <w:rPr>
          <w:sz w:val="22"/>
          <w:szCs w:val="22"/>
        </w:rPr>
      </w:pPr>
      <w:r w:rsidRPr="000A3201">
        <w:rPr>
          <w:sz w:val="22"/>
          <w:szCs w:val="22"/>
        </w:rPr>
        <w:t>Η κάθαρση της μιρταζαπίνης μπορεί να επιβραδυνθεί σ</w:t>
      </w:r>
      <w:r w:rsidR="009E3844" w:rsidRPr="000A3201">
        <w:rPr>
          <w:sz w:val="22"/>
          <w:szCs w:val="22"/>
        </w:rPr>
        <w:t>ε ασθενείς με ηπατική δυσλειτουργία</w:t>
      </w:r>
      <w:r w:rsidRPr="000A3201">
        <w:rPr>
          <w:sz w:val="22"/>
          <w:szCs w:val="22"/>
        </w:rPr>
        <w:t xml:space="preserve">. Αυτό πρέπει να λαμβάνεται υπ' όψη όταν </w:t>
      </w:r>
      <w:r w:rsidR="001D0BB1" w:rsidRPr="000A3201">
        <w:rPr>
          <w:sz w:val="22"/>
          <w:szCs w:val="22"/>
        </w:rPr>
        <w:t xml:space="preserve">η μιρταζαπίνη </w:t>
      </w:r>
      <w:r w:rsidRPr="000A3201">
        <w:rPr>
          <w:sz w:val="22"/>
          <w:szCs w:val="22"/>
        </w:rPr>
        <w:t xml:space="preserve">πρόκειται να συνταγογραφηθεί σε </w:t>
      </w:r>
      <w:r w:rsidR="009E3844" w:rsidRPr="000A3201">
        <w:rPr>
          <w:sz w:val="22"/>
          <w:szCs w:val="22"/>
        </w:rPr>
        <w:t xml:space="preserve">αυτή την </w:t>
      </w:r>
      <w:r w:rsidRPr="000A3201">
        <w:rPr>
          <w:sz w:val="22"/>
          <w:szCs w:val="22"/>
        </w:rPr>
        <w:t>κατηγορία ασθενών, ειδικά σε ασθενείς με σοβαρή ηπατική</w:t>
      </w:r>
      <w:r w:rsidR="009E3844" w:rsidRPr="000A3201">
        <w:rPr>
          <w:sz w:val="22"/>
          <w:szCs w:val="22"/>
        </w:rPr>
        <w:t xml:space="preserve"> δυσλειτουργία</w:t>
      </w:r>
      <w:r w:rsidRPr="000A3201">
        <w:rPr>
          <w:sz w:val="22"/>
          <w:szCs w:val="22"/>
        </w:rPr>
        <w:t xml:space="preserve">, καθώς δεν υπάρχουν μελέτες σε </w:t>
      </w:r>
      <w:r w:rsidR="009E3844" w:rsidRPr="000A3201">
        <w:rPr>
          <w:sz w:val="22"/>
          <w:szCs w:val="22"/>
        </w:rPr>
        <w:t xml:space="preserve">ασθενείς με σοβαρή ηπατική δυσλειτουργία </w:t>
      </w:r>
      <w:r w:rsidRPr="000A3201">
        <w:rPr>
          <w:sz w:val="22"/>
          <w:szCs w:val="22"/>
        </w:rPr>
        <w:t>(βλ</w:t>
      </w:r>
      <w:r w:rsidR="00311CD4" w:rsidRPr="000A3201">
        <w:rPr>
          <w:sz w:val="22"/>
          <w:szCs w:val="22"/>
        </w:rPr>
        <w:t>.</w:t>
      </w:r>
      <w:r w:rsidRPr="000A3201">
        <w:rPr>
          <w:sz w:val="22"/>
          <w:szCs w:val="22"/>
        </w:rPr>
        <w:t xml:space="preserve"> παράγραφο 4.4).</w:t>
      </w:r>
    </w:p>
    <w:p w:rsidR="00886FF3" w:rsidRPr="00AA1AB4" w:rsidRDefault="00886FF3" w:rsidP="00886FF3">
      <w:pPr>
        <w:ind w:left="720"/>
        <w:rPr>
          <w:sz w:val="22"/>
          <w:szCs w:val="22"/>
        </w:rPr>
      </w:pPr>
    </w:p>
    <w:p w:rsidR="00886FF3" w:rsidRPr="0040608F" w:rsidRDefault="0040608F" w:rsidP="00886FF3">
      <w:pPr>
        <w:ind w:left="720"/>
        <w:rPr>
          <w:sz w:val="22"/>
          <w:szCs w:val="22"/>
          <w:u w:val="single"/>
        </w:rPr>
      </w:pPr>
      <w:r>
        <w:rPr>
          <w:sz w:val="22"/>
          <w:szCs w:val="22"/>
          <w:u w:val="single"/>
        </w:rPr>
        <w:t>Τρόπος χορήγησης</w:t>
      </w:r>
    </w:p>
    <w:p w:rsidR="00886FF3" w:rsidRDefault="00865444" w:rsidP="00CE3401">
      <w:pPr>
        <w:pStyle w:val="a7"/>
        <w:ind w:left="720"/>
        <w:rPr>
          <w:sz w:val="22"/>
          <w:szCs w:val="22"/>
          <w:lang w:val="el-GR"/>
        </w:rPr>
      </w:pPr>
      <w:r w:rsidRPr="000A3201">
        <w:rPr>
          <w:sz w:val="22"/>
          <w:szCs w:val="22"/>
          <w:lang w:val="el-GR"/>
        </w:rPr>
        <w:t xml:space="preserve">Επειδή η ημίσεια ζωή της αποβολής της μιρταζαπίνης είναι 20 - 40 ώρες, η μιρταζαπίνη είναι κατάλληλη για άπαξ ημερήσια χορήγηση. Ενδείκνυται να χορηγείται ως μία εφάπαξ </w:t>
      </w:r>
      <w:r w:rsidR="00F03406" w:rsidRPr="000A3201">
        <w:rPr>
          <w:sz w:val="22"/>
          <w:szCs w:val="22"/>
          <w:lang w:val="el-GR"/>
        </w:rPr>
        <w:t xml:space="preserve">βραδινή </w:t>
      </w:r>
      <w:r w:rsidRPr="000A3201">
        <w:rPr>
          <w:sz w:val="22"/>
          <w:szCs w:val="22"/>
          <w:lang w:val="el-GR"/>
        </w:rPr>
        <w:t xml:space="preserve">δόση, πριν από την ώρα της βραδινής κατάκλισης. </w:t>
      </w:r>
    </w:p>
    <w:p w:rsidR="00886FF3" w:rsidRDefault="00886FF3" w:rsidP="00CE3401">
      <w:pPr>
        <w:pStyle w:val="a7"/>
        <w:ind w:left="720"/>
        <w:rPr>
          <w:sz w:val="22"/>
          <w:szCs w:val="22"/>
          <w:lang w:val="el-GR"/>
        </w:rPr>
      </w:pPr>
    </w:p>
    <w:p w:rsidR="009E3844" w:rsidRPr="000A3201" w:rsidRDefault="001D0BB1" w:rsidP="00CE3401">
      <w:pPr>
        <w:pStyle w:val="a7"/>
        <w:ind w:left="720"/>
        <w:rPr>
          <w:sz w:val="22"/>
          <w:szCs w:val="22"/>
          <w:lang w:val="el-GR"/>
        </w:rPr>
      </w:pPr>
      <w:r w:rsidRPr="000A3201">
        <w:rPr>
          <w:sz w:val="22"/>
          <w:szCs w:val="22"/>
          <w:lang w:val="el-GR"/>
        </w:rPr>
        <w:t xml:space="preserve">Η μιρταζαπίνη </w:t>
      </w:r>
      <w:r w:rsidR="00986FCD" w:rsidRPr="000A3201">
        <w:rPr>
          <w:sz w:val="22"/>
          <w:szCs w:val="22"/>
          <w:lang w:val="el-GR"/>
        </w:rPr>
        <w:t xml:space="preserve">μπορεί επίσης να χορηγηθεί σε δύο ισομερώς κατανεμημένες δόσεις (μία φορά το πρωί και μία φορά το βράδυ, </w:t>
      </w:r>
      <w:r w:rsidR="009E3844" w:rsidRPr="000A3201">
        <w:rPr>
          <w:sz w:val="22"/>
          <w:szCs w:val="22"/>
          <w:lang w:val="el-GR"/>
        </w:rPr>
        <w:t xml:space="preserve">ενώ </w:t>
      </w:r>
      <w:r w:rsidR="00986FCD" w:rsidRPr="000A3201">
        <w:rPr>
          <w:sz w:val="22"/>
          <w:szCs w:val="22"/>
          <w:lang w:val="el-GR"/>
        </w:rPr>
        <w:t xml:space="preserve">η υψηλότερη δόση </w:t>
      </w:r>
      <w:r w:rsidR="009E3844" w:rsidRPr="000A3201">
        <w:rPr>
          <w:sz w:val="22"/>
          <w:szCs w:val="22"/>
          <w:lang w:val="el-GR"/>
        </w:rPr>
        <w:t>πρέπει να λαμβάνεται το βράδυ).</w:t>
      </w:r>
    </w:p>
    <w:p w:rsidR="00886FF3" w:rsidRDefault="00886FF3" w:rsidP="00CE3401">
      <w:pPr>
        <w:pStyle w:val="a7"/>
        <w:ind w:left="720"/>
        <w:rPr>
          <w:sz w:val="22"/>
          <w:szCs w:val="22"/>
          <w:lang w:val="el-GR"/>
        </w:rPr>
      </w:pPr>
    </w:p>
    <w:p w:rsidR="00865444" w:rsidRPr="000A3201" w:rsidRDefault="00986FCD" w:rsidP="00CE3401">
      <w:pPr>
        <w:pStyle w:val="a7"/>
        <w:ind w:left="720"/>
        <w:rPr>
          <w:sz w:val="22"/>
          <w:szCs w:val="22"/>
          <w:lang w:val="el-GR"/>
        </w:rPr>
      </w:pPr>
      <w:r w:rsidRPr="000A3201">
        <w:rPr>
          <w:sz w:val="22"/>
          <w:szCs w:val="22"/>
          <w:lang w:val="el-GR"/>
        </w:rPr>
        <w:t>Τα δισκία</w:t>
      </w:r>
      <w:r w:rsidR="001D0BB1" w:rsidRPr="000A3201">
        <w:rPr>
          <w:sz w:val="22"/>
          <w:szCs w:val="22"/>
          <w:lang w:val="el-GR"/>
        </w:rPr>
        <w:t xml:space="preserve"> </w:t>
      </w:r>
      <w:r w:rsidR="009E3844" w:rsidRPr="000A3201">
        <w:rPr>
          <w:sz w:val="22"/>
          <w:szCs w:val="22"/>
          <w:lang w:val="el-GR"/>
        </w:rPr>
        <w:t>πρέπει να λαμβάνονται</w:t>
      </w:r>
      <w:r w:rsidRPr="000A3201">
        <w:rPr>
          <w:sz w:val="22"/>
          <w:szCs w:val="22"/>
          <w:lang w:val="el-GR"/>
        </w:rPr>
        <w:t xml:space="preserve"> από το στόμα, με κάποιο υγρό και να καταπίνονται αμάσητα.</w:t>
      </w:r>
      <w:r w:rsidRPr="000A3201" w:rsidDel="00CE3401">
        <w:rPr>
          <w:sz w:val="22"/>
          <w:szCs w:val="22"/>
          <w:lang w:val="el-GR"/>
        </w:rPr>
        <w:t xml:space="preserve"> </w:t>
      </w:r>
    </w:p>
    <w:p w:rsidR="00865444" w:rsidRPr="000A3201" w:rsidRDefault="00865444" w:rsidP="00865444">
      <w:pPr>
        <w:rPr>
          <w:sz w:val="22"/>
          <w:szCs w:val="22"/>
        </w:rPr>
      </w:pPr>
    </w:p>
    <w:p w:rsidR="00865444" w:rsidRPr="000A3201" w:rsidRDefault="00865444" w:rsidP="00865444">
      <w:pPr>
        <w:rPr>
          <w:b/>
          <w:bCs/>
          <w:sz w:val="22"/>
          <w:szCs w:val="22"/>
        </w:rPr>
      </w:pPr>
      <w:r w:rsidRPr="000A3201">
        <w:rPr>
          <w:b/>
          <w:bCs/>
          <w:sz w:val="22"/>
          <w:szCs w:val="22"/>
        </w:rPr>
        <w:t>4.3</w:t>
      </w:r>
      <w:r w:rsidRPr="000A3201">
        <w:rPr>
          <w:b/>
          <w:bCs/>
          <w:sz w:val="22"/>
          <w:szCs w:val="22"/>
        </w:rPr>
        <w:tab/>
        <w:t>Αντενδείξεις</w:t>
      </w:r>
    </w:p>
    <w:p w:rsidR="00865444" w:rsidRPr="000A3201" w:rsidRDefault="00865444" w:rsidP="00865444">
      <w:pPr>
        <w:rPr>
          <w:sz w:val="22"/>
          <w:szCs w:val="22"/>
        </w:rPr>
      </w:pPr>
    </w:p>
    <w:p w:rsidR="003E35AE" w:rsidRPr="000A3201" w:rsidRDefault="00865444" w:rsidP="00FB035F">
      <w:pPr>
        <w:ind w:left="720"/>
        <w:rPr>
          <w:sz w:val="22"/>
          <w:szCs w:val="22"/>
        </w:rPr>
      </w:pPr>
      <w:r w:rsidRPr="000A3201">
        <w:rPr>
          <w:sz w:val="22"/>
          <w:szCs w:val="22"/>
        </w:rPr>
        <w:t xml:space="preserve">Υπερευαισθησία στη </w:t>
      </w:r>
      <w:r w:rsidR="00282146" w:rsidRPr="000A3201">
        <w:rPr>
          <w:sz w:val="22"/>
          <w:szCs w:val="22"/>
        </w:rPr>
        <w:t xml:space="preserve">δραστική ουσία </w:t>
      </w:r>
      <w:r w:rsidRPr="000A3201">
        <w:rPr>
          <w:sz w:val="22"/>
          <w:szCs w:val="22"/>
        </w:rPr>
        <w:t>ή σε κάποιο από τα έκδοχα</w:t>
      </w:r>
      <w:r w:rsidR="00886FF3">
        <w:rPr>
          <w:sz w:val="22"/>
          <w:szCs w:val="22"/>
        </w:rPr>
        <w:t xml:space="preserve"> που αναφέρονται στην παράγραφο 6.1</w:t>
      </w:r>
      <w:r w:rsidRPr="000A3201">
        <w:rPr>
          <w:sz w:val="22"/>
          <w:szCs w:val="22"/>
        </w:rPr>
        <w:t xml:space="preserve">. </w:t>
      </w:r>
    </w:p>
    <w:p w:rsidR="00865444" w:rsidRPr="000A3201" w:rsidRDefault="00FB035F" w:rsidP="00FB035F">
      <w:pPr>
        <w:ind w:left="720"/>
        <w:rPr>
          <w:sz w:val="22"/>
          <w:szCs w:val="22"/>
        </w:rPr>
      </w:pPr>
      <w:proofErr w:type="spellStart"/>
      <w:r w:rsidRPr="000A3201">
        <w:rPr>
          <w:sz w:val="22"/>
          <w:szCs w:val="22"/>
        </w:rPr>
        <w:t>Συγχορήγηση</w:t>
      </w:r>
      <w:proofErr w:type="spellEnd"/>
      <w:r w:rsidRPr="000A3201">
        <w:rPr>
          <w:sz w:val="22"/>
          <w:szCs w:val="22"/>
        </w:rPr>
        <w:t xml:space="preserve"> της </w:t>
      </w:r>
      <w:proofErr w:type="spellStart"/>
      <w:r w:rsidRPr="000A3201">
        <w:rPr>
          <w:sz w:val="22"/>
          <w:szCs w:val="22"/>
        </w:rPr>
        <w:t>μιρταζαπίνης</w:t>
      </w:r>
      <w:proofErr w:type="spellEnd"/>
      <w:r w:rsidR="00475D86" w:rsidRPr="000A3201">
        <w:rPr>
          <w:sz w:val="22"/>
          <w:szCs w:val="22"/>
        </w:rPr>
        <w:t xml:space="preserve"> με αναστολείς της μονο-</w:t>
      </w:r>
      <w:r w:rsidRPr="000A3201">
        <w:rPr>
          <w:sz w:val="22"/>
          <w:szCs w:val="22"/>
        </w:rPr>
        <w:t>αμινοξειδάσης (ΜΑΟ) (βλ</w:t>
      </w:r>
      <w:r w:rsidR="00311CD4" w:rsidRPr="000A3201">
        <w:rPr>
          <w:sz w:val="22"/>
          <w:szCs w:val="22"/>
        </w:rPr>
        <w:t>.</w:t>
      </w:r>
      <w:r w:rsidRPr="000A3201">
        <w:rPr>
          <w:sz w:val="22"/>
          <w:szCs w:val="22"/>
        </w:rPr>
        <w:t xml:space="preserve"> παράγραφο 4.5).</w:t>
      </w:r>
    </w:p>
    <w:p w:rsidR="00865444" w:rsidRPr="000A3201" w:rsidRDefault="00865444" w:rsidP="00865444">
      <w:pPr>
        <w:rPr>
          <w:sz w:val="22"/>
          <w:szCs w:val="22"/>
        </w:rPr>
      </w:pPr>
    </w:p>
    <w:p w:rsidR="00865444" w:rsidRPr="000A3201" w:rsidRDefault="00865444" w:rsidP="00865444">
      <w:pPr>
        <w:rPr>
          <w:b/>
          <w:bCs/>
          <w:sz w:val="22"/>
          <w:szCs w:val="22"/>
        </w:rPr>
      </w:pPr>
      <w:r w:rsidRPr="000A3201">
        <w:rPr>
          <w:b/>
          <w:bCs/>
          <w:sz w:val="22"/>
          <w:szCs w:val="22"/>
        </w:rPr>
        <w:t>4.4</w:t>
      </w:r>
      <w:r w:rsidRPr="000A3201">
        <w:rPr>
          <w:b/>
          <w:bCs/>
          <w:sz w:val="22"/>
          <w:szCs w:val="22"/>
        </w:rPr>
        <w:tab/>
        <w:t xml:space="preserve">Ειδικές προειδοποιήσεις και προφυλάξεις κατά τη χρήση </w:t>
      </w:r>
    </w:p>
    <w:p w:rsidR="00865444" w:rsidRPr="000A3201" w:rsidRDefault="00865444" w:rsidP="00865444">
      <w:pPr>
        <w:rPr>
          <w:sz w:val="22"/>
          <w:szCs w:val="22"/>
        </w:rPr>
      </w:pPr>
    </w:p>
    <w:p w:rsidR="0021323B" w:rsidRPr="009A118F" w:rsidRDefault="00173D8C" w:rsidP="00865444">
      <w:pPr>
        <w:pStyle w:val="a7"/>
        <w:ind w:left="720"/>
        <w:rPr>
          <w:sz w:val="22"/>
          <w:szCs w:val="22"/>
          <w:lang w:val="el-GR"/>
          <w:rPrChange w:id="2" w:author="ΘΑΛΑΣΣΙΝΟΥ ΜΑΡΙΑ" w:date="2016-11-07T09:57:00Z">
            <w:rPr>
              <w:sz w:val="22"/>
              <w:szCs w:val="22"/>
            </w:rPr>
          </w:rPrChange>
        </w:rPr>
      </w:pPr>
      <w:r w:rsidRPr="009A118F">
        <w:rPr>
          <w:sz w:val="22"/>
          <w:szCs w:val="22"/>
          <w:lang w:val="el-GR"/>
          <w:rPrChange w:id="3" w:author="ΘΑΛΑΣΣΙΝΟΥ ΜΑΡΙΑ" w:date="2016-11-07T09:57:00Z">
            <w:rPr>
              <w:sz w:val="22"/>
              <w:szCs w:val="22"/>
            </w:rPr>
          </w:rPrChange>
        </w:rPr>
        <w:t>Παιδιατρικός πληθυσμός</w:t>
      </w:r>
    </w:p>
    <w:p w:rsidR="00475D86" w:rsidRPr="000A3201" w:rsidRDefault="00865444" w:rsidP="00865444">
      <w:pPr>
        <w:pStyle w:val="a7"/>
        <w:ind w:left="720"/>
        <w:rPr>
          <w:sz w:val="22"/>
          <w:szCs w:val="22"/>
          <w:lang w:val="el-GR" w:eastAsia="el-GR"/>
        </w:rPr>
      </w:pPr>
      <w:r w:rsidRPr="000A3201">
        <w:rPr>
          <w:sz w:val="22"/>
          <w:szCs w:val="22"/>
          <w:lang w:val="el-GR" w:eastAsia="el-GR"/>
        </w:rPr>
        <w:t xml:space="preserve">Η </w:t>
      </w:r>
      <w:proofErr w:type="spellStart"/>
      <w:r w:rsidRPr="000A3201">
        <w:rPr>
          <w:sz w:val="22"/>
          <w:szCs w:val="22"/>
          <w:lang w:val="el-GR" w:eastAsia="el-GR"/>
        </w:rPr>
        <w:t>μιρταζαπίνη</w:t>
      </w:r>
      <w:proofErr w:type="spellEnd"/>
      <w:r w:rsidRPr="000A3201">
        <w:rPr>
          <w:sz w:val="22"/>
          <w:szCs w:val="22"/>
          <w:lang w:val="el-GR" w:eastAsia="el-GR"/>
        </w:rPr>
        <w:t xml:space="preserve"> δεν πρέπει να χρησιμοποιείται στην θεραπευτική αγωγή παιδιών και εφήβων ηλικίας κάτω των 18 ετών.</w:t>
      </w:r>
    </w:p>
    <w:p w:rsidR="00C87673" w:rsidRDefault="00C87673" w:rsidP="00865444">
      <w:pPr>
        <w:pStyle w:val="a7"/>
        <w:ind w:left="720"/>
        <w:rPr>
          <w:sz w:val="22"/>
          <w:szCs w:val="22"/>
          <w:lang w:val="el-GR" w:eastAsia="el-GR"/>
        </w:rPr>
      </w:pPr>
    </w:p>
    <w:p w:rsidR="00865444" w:rsidRPr="000A3201" w:rsidRDefault="00865444" w:rsidP="00865444">
      <w:pPr>
        <w:pStyle w:val="a7"/>
        <w:ind w:left="720"/>
        <w:rPr>
          <w:sz w:val="22"/>
          <w:szCs w:val="22"/>
          <w:lang w:val="el-GR" w:eastAsia="el-GR"/>
        </w:rPr>
      </w:pPr>
      <w:r w:rsidRPr="000A3201">
        <w:rPr>
          <w:sz w:val="22"/>
          <w:szCs w:val="22"/>
          <w:lang w:val="el-GR" w:eastAsia="el-GR"/>
        </w:rPr>
        <w:t xml:space="preserve">Κατά τη διάρκεια κλινικών μελετών έχουν παρατηρηθεί συχνότερα αυτοκτονική συμπεριφορά (απόπειρες αυτοκτονίας και αυτοκτονικές σκέψεις) και εχθρότητα (κυρίως επιθετικότητα, εναντιωτική συμπεριφορά και θυμός) σε παιδιά και σε εφήβους που έλαβαν θεραπεία με αντικαταθλιπτικά, σε σύγκριση με τα παιδιά και τους εφήβους που έλαβαν το εικονικό φάρμακο (placebo). Εάν ωστόσο, λόγω κλινικής αναγκαιότητας, ληφθεί η απόφαση να ακολουθηθεί η θεραπευτική αγωγή, ο </w:t>
      </w:r>
      <w:r w:rsidRPr="000A3201">
        <w:rPr>
          <w:sz w:val="22"/>
          <w:szCs w:val="22"/>
          <w:lang w:val="el-GR" w:eastAsia="el-GR"/>
        </w:rPr>
        <w:lastRenderedPageBreak/>
        <w:t>ασθενής θα πρέπει να παρακολουθείται με προσοχή για τυχόν εμφάνιση αυτοκτονικών συμπτωμάτων. Επιπρόσθετα, υπάρχει έλλειψη δεδομένων ασφαλείας από μακροχρόνια χρήση σε παιδιά και σε εφήβους αναφορικά με την ανάπτυξη, την ωρίμανση και τη νοητική ανάπτυξη</w:t>
      </w:r>
      <w:r w:rsidR="00475D86" w:rsidRPr="000A3201">
        <w:rPr>
          <w:sz w:val="22"/>
          <w:szCs w:val="22"/>
          <w:lang w:val="el-GR" w:eastAsia="el-GR"/>
        </w:rPr>
        <w:t>,</w:t>
      </w:r>
      <w:r w:rsidRPr="000A3201">
        <w:rPr>
          <w:sz w:val="22"/>
          <w:szCs w:val="22"/>
          <w:lang w:val="el-GR" w:eastAsia="el-GR"/>
        </w:rPr>
        <w:t xml:space="preserve"> καθώς και την ανάπτυξη της συμπεριφοράς.</w:t>
      </w:r>
    </w:p>
    <w:p w:rsidR="00865444" w:rsidRPr="000A3201" w:rsidRDefault="00865444" w:rsidP="00865444">
      <w:pPr>
        <w:ind w:left="720"/>
        <w:rPr>
          <w:sz w:val="22"/>
          <w:szCs w:val="22"/>
        </w:rPr>
      </w:pPr>
    </w:p>
    <w:p w:rsidR="00FB035F" w:rsidRPr="00AA1AB4" w:rsidRDefault="00C369FF" w:rsidP="009E2844">
      <w:pPr>
        <w:autoSpaceDE w:val="0"/>
        <w:autoSpaceDN w:val="0"/>
        <w:adjustRightInd w:val="0"/>
        <w:spacing w:before="34"/>
        <w:ind w:firstLine="720"/>
        <w:rPr>
          <w:color w:val="000000"/>
          <w:sz w:val="22"/>
          <w:szCs w:val="22"/>
          <w:u w:val="single"/>
        </w:rPr>
      </w:pPr>
      <w:r w:rsidRPr="00AA1AB4">
        <w:rPr>
          <w:color w:val="000000"/>
          <w:sz w:val="22"/>
          <w:szCs w:val="22"/>
          <w:u w:val="single"/>
        </w:rPr>
        <w:t>Αυτοκτονία/ αυτοκτονικές σκέψεις ή κλινική επιδείνωση</w:t>
      </w:r>
    </w:p>
    <w:p w:rsidR="00FB035F" w:rsidRPr="000A3201" w:rsidRDefault="00FB035F" w:rsidP="009E2844">
      <w:pPr>
        <w:autoSpaceDE w:val="0"/>
        <w:autoSpaceDN w:val="0"/>
        <w:adjustRightInd w:val="0"/>
        <w:spacing w:line="250" w:lineRule="exact"/>
        <w:ind w:left="720"/>
        <w:rPr>
          <w:color w:val="000000"/>
          <w:sz w:val="22"/>
          <w:szCs w:val="22"/>
        </w:rPr>
      </w:pPr>
      <w:r w:rsidRPr="000A3201">
        <w:rPr>
          <w:color w:val="000000"/>
          <w:sz w:val="22"/>
          <w:szCs w:val="22"/>
        </w:rPr>
        <w:t xml:space="preserve">Η κατάθλιψη συνδέεται με έναν αυξημένο κίνδυνο αυτοκτονικών σκέψεων, αυτοτραυματισμού και αυτοκτονίας (συμβάντα σχετικά με αυτοκτονία). Αυτός ο κίνδυνος </w:t>
      </w:r>
      <w:r w:rsidR="00475D86" w:rsidRPr="000A3201">
        <w:rPr>
          <w:color w:val="000000"/>
          <w:sz w:val="22"/>
          <w:szCs w:val="22"/>
        </w:rPr>
        <w:t xml:space="preserve">παραμένει </w:t>
      </w:r>
      <w:r w:rsidRPr="000A3201">
        <w:rPr>
          <w:color w:val="000000"/>
          <w:sz w:val="22"/>
          <w:szCs w:val="22"/>
        </w:rPr>
        <w:t>μέχρι</w:t>
      </w:r>
      <w:r w:rsidR="00475D86" w:rsidRPr="000A3201">
        <w:rPr>
          <w:color w:val="000000"/>
          <w:sz w:val="22"/>
          <w:szCs w:val="22"/>
        </w:rPr>
        <w:t>ς</w:t>
      </w:r>
      <w:r w:rsidRPr="000A3201">
        <w:rPr>
          <w:color w:val="000000"/>
          <w:sz w:val="22"/>
          <w:szCs w:val="22"/>
        </w:rPr>
        <w:t xml:space="preserve"> ότου παρουσιαστεί σημαντική ύφεση των συμπτωμάτων. Καθώς η βελτίωση μπορεί να μην παρουσιαστεί κατά τις πρώτες εβδομάδες της θεραπείας ή και περισσότερο, οι ασθενείς θα πρέπει να παρακολουθούνται στενά μέχρι ότου παρουσιαστεί μία τέτοια βελτίωση. Η κλινική εμπειρία είναι ότι γενικά ο κίνδυνος αυτοκτονίας μπορεί να αυξηθεί στα πρώτα στάδια της ανάρρωσης.</w:t>
      </w:r>
    </w:p>
    <w:p w:rsidR="00FB035F" w:rsidRPr="000A3201" w:rsidRDefault="00FB035F" w:rsidP="00FB035F">
      <w:pPr>
        <w:autoSpaceDE w:val="0"/>
        <w:autoSpaceDN w:val="0"/>
        <w:adjustRightInd w:val="0"/>
        <w:spacing w:line="250" w:lineRule="exact"/>
        <w:rPr>
          <w:color w:val="000000"/>
          <w:sz w:val="22"/>
          <w:szCs w:val="22"/>
        </w:rPr>
      </w:pPr>
    </w:p>
    <w:p w:rsidR="00FB035F" w:rsidRPr="000A3201" w:rsidRDefault="00FB035F" w:rsidP="009E2844">
      <w:pPr>
        <w:autoSpaceDE w:val="0"/>
        <w:autoSpaceDN w:val="0"/>
        <w:adjustRightInd w:val="0"/>
        <w:spacing w:line="250" w:lineRule="exact"/>
        <w:ind w:left="720"/>
        <w:rPr>
          <w:color w:val="000000"/>
          <w:sz w:val="22"/>
          <w:szCs w:val="22"/>
        </w:rPr>
      </w:pPr>
      <w:r w:rsidRPr="000A3201">
        <w:rPr>
          <w:color w:val="000000"/>
          <w:sz w:val="22"/>
          <w:szCs w:val="22"/>
        </w:rPr>
        <w:t>Ασθενείς με ιστορικό συμβάντων σχετικών με αυτοκτονία ή εκείνοι που εμφανίζουν σε σημαντικό βαθμό αυτοκτονικό ιδεασμό πριν την έναρξη της αγωγής είναι γνωστό ότι βρίσκονται σε μεγαλύτερο κίνδυνο για αυτοκτονικές σκέψεις ή απόπειρες αυτοκτονίας, και θα πρέπει να παρακολουθούνται με προσοχή κατά τη διάρκεια της θεραπείας. Μία μετα</w:t>
      </w:r>
      <w:r w:rsidR="001D0BB1" w:rsidRPr="000A3201">
        <w:rPr>
          <w:color w:val="000000"/>
          <w:sz w:val="22"/>
          <w:szCs w:val="22"/>
        </w:rPr>
        <w:t>-α</w:t>
      </w:r>
      <w:r w:rsidRPr="000A3201">
        <w:rPr>
          <w:color w:val="000000"/>
          <w:sz w:val="22"/>
          <w:szCs w:val="22"/>
        </w:rPr>
        <w:t>νάλυση ελεγχόμενων με εικονικό φάρμακο κλινικών μελετών αντικαταθλιπτικών φαρμάκων σε ενήλικες με ψυχιατρικές διαταραχές έδειξε ένα μεγ</w:t>
      </w:r>
      <w:r w:rsidR="003F0562" w:rsidRPr="000A3201">
        <w:rPr>
          <w:color w:val="000000"/>
          <w:sz w:val="22"/>
          <w:szCs w:val="22"/>
        </w:rPr>
        <w:t>αλύτερο κίνδυνο αυτοκτονικής συμπεριφοράς</w:t>
      </w:r>
      <w:r w:rsidRPr="000A3201">
        <w:rPr>
          <w:color w:val="000000"/>
          <w:sz w:val="22"/>
          <w:szCs w:val="22"/>
        </w:rPr>
        <w:t xml:space="preserve"> με αντικαταθλιπτικά συγκριτικά με το εικονικό φάρμακο σε ασθενείς κάτω των 25 ετών.</w:t>
      </w:r>
    </w:p>
    <w:p w:rsidR="00C87673" w:rsidRDefault="00C87673" w:rsidP="009E2844">
      <w:pPr>
        <w:autoSpaceDE w:val="0"/>
        <w:autoSpaceDN w:val="0"/>
        <w:adjustRightInd w:val="0"/>
        <w:spacing w:line="250" w:lineRule="exact"/>
        <w:ind w:left="720"/>
        <w:rPr>
          <w:color w:val="000000"/>
          <w:sz w:val="22"/>
          <w:szCs w:val="22"/>
        </w:rPr>
      </w:pPr>
    </w:p>
    <w:p w:rsidR="00FB035F" w:rsidRPr="000A3201" w:rsidRDefault="00FB035F" w:rsidP="009E2844">
      <w:pPr>
        <w:autoSpaceDE w:val="0"/>
        <w:autoSpaceDN w:val="0"/>
        <w:adjustRightInd w:val="0"/>
        <w:spacing w:line="250" w:lineRule="exact"/>
        <w:ind w:left="720"/>
        <w:rPr>
          <w:color w:val="000000"/>
          <w:sz w:val="22"/>
          <w:szCs w:val="22"/>
        </w:rPr>
      </w:pPr>
      <w:r w:rsidRPr="000A3201">
        <w:rPr>
          <w:color w:val="000000"/>
          <w:sz w:val="22"/>
          <w:szCs w:val="22"/>
        </w:rPr>
        <w:t>Στενή επίβλεψη των ασθενών και ιδιαίτερα εκείνων με μεγαλύτερο κίνδυνο θα πρέπει να συνοδεύει τη θεραπεία</w:t>
      </w:r>
      <w:r w:rsidR="003F0562" w:rsidRPr="000A3201">
        <w:rPr>
          <w:color w:val="000000"/>
          <w:sz w:val="22"/>
          <w:szCs w:val="22"/>
        </w:rPr>
        <w:t xml:space="preserve"> με τα αντικαταθλιπτικά,</w:t>
      </w:r>
      <w:r w:rsidRPr="000A3201">
        <w:rPr>
          <w:color w:val="000000"/>
          <w:sz w:val="22"/>
          <w:szCs w:val="22"/>
        </w:rPr>
        <w:t xml:space="preserve"> ειδικά στην </w:t>
      </w:r>
      <w:r w:rsidR="003F0562" w:rsidRPr="000A3201">
        <w:rPr>
          <w:color w:val="000000"/>
          <w:sz w:val="22"/>
          <w:szCs w:val="22"/>
        </w:rPr>
        <w:t xml:space="preserve">αρχική φάση </w:t>
      </w:r>
      <w:r w:rsidRPr="000A3201">
        <w:rPr>
          <w:color w:val="000000"/>
          <w:sz w:val="22"/>
          <w:szCs w:val="22"/>
        </w:rPr>
        <w:t>της αγωγή</w:t>
      </w:r>
      <w:r w:rsidR="00147B4D" w:rsidRPr="000A3201">
        <w:rPr>
          <w:color w:val="000000"/>
          <w:sz w:val="22"/>
          <w:szCs w:val="22"/>
        </w:rPr>
        <w:t>ς και μετά από αλλαγές δόσεων. Οι α</w:t>
      </w:r>
      <w:r w:rsidRPr="000A3201">
        <w:rPr>
          <w:color w:val="000000"/>
          <w:sz w:val="22"/>
          <w:szCs w:val="22"/>
        </w:rPr>
        <w:t>σθενείς (και όσοι φροντίζουν τους ασθενείς) πρέπει να έχουν προειδοποιηθεί για την ανάγκη παρακολούθ</w:t>
      </w:r>
      <w:r w:rsidR="003F0562" w:rsidRPr="000A3201">
        <w:rPr>
          <w:color w:val="000000"/>
          <w:sz w:val="22"/>
          <w:szCs w:val="22"/>
        </w:rPr>
        <w:t>ησης κάθε ενδεχόμενης κλινικής επιδείνωσης</w:t>
      </w:r>
      <w:r w:rsidRPr="000A3201">
        <w:rPr>
          <w:color w:val="000000"/>
          <w:sz w:val="22"/>
          <w:szCs w:val="22"/>
        </w:rPr>
        <w:t xml:space="preserve">, αυτοκτονικής συμπεριφοράς ή </w:t>
      </w:r>
      <w:r w:rsidR="003F0562" w:rsidRPr="000A3201">
        <w:rPr>
          <w:color w:val="000000"/>
          <w:sz w:val="22"/>
          <w:szCs w:val="22"/>
        </w:rPr>
        <w:t xml:space="preserve">αυτοκτονικών </w:t>
      </w:r>
      <w:r w:rsidRPr="000A3201">
        <w:rPr>
          <w:color w:val="000000"/>
          <w:sz w:val="22"/>
          <w:szCs w:val="22"/>
        </w:rPr>
        <w:t xml:space="preserve">σκέψεων και ασυνήθιστων αλλαγών στη συμπεριφορά και να αναζητούν αμέσως ιατρική συμβουλή εάν </w:t>
      </w:r>
      <w:r w:rsidR="003F0562" w:rsidRPr="000A3201">
        <w:rPr>
          <w:color w:val="000000"/>
          <w:sz w:val="22"/>
          <w:szCs w:val="22"/>
        </w:rPr>
        <w:t xml:space="preserve">εμφανιστούν </w:t>
      </w:r>
      <w:r w:rsidRPr="000A3201">
        <w:rPr>
          <w:color w:val="000000"/>
          <w:sz w:val="22"/>
          <w:szCs w:val="22"/>
        </w:rPr>
        <w:t xml:space="preserve">τέτοια συμπτώματα. </w:t>
      </w:r>
    </w:p>
    <w:p w:rsidR="00FB035F" w:rsidRPr="000A3201" w:rsidRDefault="00FB035F" w:rsidP="00FB035F">
      <w:pPr>
        <w:autoSpaceDE w:val="0"/>
        <w:autoSpaceDN w:val="0"/>
        <w:adjustRightInd w:val="0"/>
        <w:spacing w:line="250" w:lineRule="exact"/>
        <w:rPr>
          <w:color w:val="000000"/>
          <w:sz w:val="22"/>
          <w:szCs w:val="22"/>
        </w:rPr>
      </w:pPr>
    </w:p>
    <w:p w:rsidR="00FB035F" w:rsidRPr="000A3201" w:rsidRDefault="00FB035F" w:rsidP="009E2844">
      <w:pPr>
        <w:autoSpaceDE w:val="0"/>
        <w:autoSpaceDN w:val="0"/>
        <w:adjustRightInd w:val="0"/>
        <w:spacing w:line="250" w:lineRule="exact"/>
        <w:ind w:left="720"/>
        <w:rPr>
          <w:color w:val="000000"/>
          <w:sz w:val="22"/>
          <w:szCs w:val="22"/>
        </w:rPr>
      </w:pPr>
      <w:r w:rsidRPr="000A3201">
        <w:rPr>
          <w:color w:val="000000"/>
          <w:sz w:val="22"/>
          <w:szCs w:val="22"/>
        </w:rPr>
        <w:t xml:space="preserve">Αναφορικά με την πιθανότητα αυτοκτονίας, ιδιαίτερα κατά την έναρξη της θεραπείας, μόνο μία περιορισμένη ποσότητα </w:t>
      </w:r>
      <w:proofErr w:type="spellStart"/>
      <w:r w:rsidR="001D0BB1" w:rsidRPr="000A3201">
        <w:rPr>
          <w:color w:val="000000"/>
          <w:sz w:val="22"/>
          <w:szCs w:val="22"/>
        </w:rPr>
        <w:t>μιρταζαπίνης</w:t>
      </w:r>
      <w:proofErr w:type="spellEnd"/>
      <w:r w:rsidRPr="000A3201">
        <w:rPr>
          <w:color w:val="000000"/>
          <w:sz w:val="22"/>
          <w:szCs w:val="22"/>
        </w:rPr>
        <w:t xml:space="preserve"> θα πρέπει να δίδεται στους ασθενείς</w:t>
      </w:r>
      <w:r w:rsidR="00C87673">
        <w:rPr>
          <w:color w:val="000000"/>
          <w:sz w:val="22"/>
          <w:szCs w:val="22"/>
        </w:rPr>
        <w:t xml:space="preserve"> </w:t>
      </w:r>
      <w:r w:rsidR="00173D8C">
        <w:rPr>
          <w:color w:val="000000"/>
          <w:sz w:val="22"/>
          <w:szCs w:val="22"/>
        </w:rPr>
        <w:t>στα πλαίσια της ορθής αντιμετώπισης των ασθενών, προκειμένου να μειωθεί ο κίνδυνος υπερδοσολογίας</w:t>
      </w:r>
      <w:r w:rsidRPr="000A3201">
        <w:rPr>
          <w:color w:val="000000"/>
          <w:sz w:val="22"/>
          <w:szCs w:val="22"/>
        </w:rPr>
        <w:t>.</w:t>
      </w:r>
    </w:p>
    <w:p w:rsidR="00FB035F" w:rsidRPr="000A3201" w:rsidRDefault="00FB035F" w:rsidP="00FB035F">
      <w:pPr>
        <w:autoSpaceDE w:val="0"/>
        <w:autoSpaceDN w:val="0"/>
        <w:adjustRightInd w:val="0"/>
        <w:spacing w:line="240" w:lineRule="exact"/>
        <w:rPr>
          <w:sz w:val="22"/>
          <w:szCs w:val="22"/>
        </w:rPr>
      </w:pPr>
    </w:p>
    <w:p w:rsidR="00FB035F" w:rsidRPr="00AA1AB4" w:rsidRDefault="00C369FF" w:rsidP="00FB035F">
      <w:pPr>
        <w:ind w:left="720"/>
        <w:rPr>
          <w:color w:val="000000"/>
          <w:sz w:val="22"/>
          <w:szCs w:val="22"/>
          <w:u w:val="single"/>
        </w:rPr>
      </w:pPr>
      <w:r w:rsidRPr="00AA1AB4">
        <w:rPr>
          <w:color w:val="000000"/>
          <w:sz w:val="22"/>
          <w:szCs w:val="22"/>
          <w:u w:val="single"/>
        </w:rPr>
        <w:t>Καταστολή του μυελού των οστών</w:t>
      </w:r>
    </w:p>
    <w:p w:rsidR="00865444" w:rsidRPr="000A3201" w:rsidRDefault="00865444" w:rsidP="0070587B">
      <w:pPr>
        <w:ind w:left="720"/>
        <w:rPr>
          <w:sz w:val="22"/>
          <w:szCs w:val="22"/>
        </w:rPr>
      </w:pPr>
      <w:r w:rsidRPr="000A3201">
        <w:rPr>
          <w:sz w:val="22"/>
          <w:szCs w:val="22"/>
        </w:rPr>
        <w:t xml:space="preserve">Κατά τη διάρκεια της θεραπείας με μιρταζαπίνη έχει αναφερθεί καταστολή του μυελού των οστών που συνήθως εμφανίζεται ως κοκκιοκυτταροπενία ή ακοκκιοκυτταραιμία. Αντιστρεπτή ακοκκιοκυτταραιμία έχει επίσης αναφερθεί σπάνια σε κλινικές μελέτες με μιρταζαπίνη. </w:t>
      </w:r>
      <w:r w:rsidR="00FB035F" w:rsidRPr="000A3201">
        <w:rPr>
          <w:sz w:val="22"/>
          <w:szCs w:val="22"/>
        </w:rPr>
        <w:t xml:space="preserve">Στην περίοδο μετά την κυκλοφορία </w:t>
      </w:r>
      <w:r w:rsidR="001D0BB1" w:rsidRPr="000A3201">
        <w:rPr>
          <w:sz w:val="22"/>
          <w:szCs w:val="22"/>
        </w:rPr>
        <w:t>της μιρταζαπίνης</w:t>
      </w:r>
      <w:r w:rsidR="00FB035F" w:rsidRPr="000A3201">
        <w:rPr>
          <w:sz w:val="22"/>
          <w:szCs w:val="22"/>
        </w:rPr>
        <w:t xml:space="preserve"> πολύ σπάνια έχουν αναφερθεί περιπτώσεις ακοκκιοκυτταραιμίας, οι περισσότερες αναστρέψιμες</w:t>
      </w:r>
      <w:r w:rsidR="003F0562" w:rsidRPr="000A3201">
        <w:rPr>
          <w:sz w:val="22"/>
          <w:szCs w:val="22"/>
        </w:rPr>
        <w:t>,</w:t>
      </w:r>
      <w:r w:rsidR="00FB035F" w:rsidRPr="000A3201">
        <w:rPr>
          <w:sz w:val="22"/>
          <w:szCs w:val="22"/>
        </w:rPr>
        <w:t xml:space="preserve"> αλλά και μερικές θανατηφόρες. Οι θανατηφόρες περιπτώσεις αφορούσαν κυρίως </w:t>
      </w:r>
      <w:r w:rsidR="003F0562" w:rsidRPr="000A3201">
        <w:rPr>
          <w:sz w:val="22"/>
          <w:szCs w:val="22"/>
        </w:rPr>
        <w:t xml:space="preserve">σε </w:t>
      </w:r>
      <w:r w:rsidR="00FB035F" w:rsidRPr="000A3201">
        <w:rPr>
          <w:sz w:val="22"/>
          <w:szCs w:val="22"/>
        </w:rPr>
        <w:t>ασθενείς με ηλικία άνω των 65</w:t>
      </w:r>
      <w:r w:rsidR="00C8181E" w:rsidRPr="000A3201">
        <w:rPr>
          <w:sz w:val="22"/>
          <w:szCs w:val="22"/>
        </w:rPr>
        <w:t xml:space="preserve">. </w:t>
      </w:r>
      <w:r w:rsidRPr="000A3201">
        <w:rPr>
          <w:sz w:val="22"/>
          <w:szCs w:val="22"/>
        </w:rPr>
        <w:t>Ο γιατρός θα πρέπει να είναι σε εγρήγορση για τον εντοπισμό συμπτωμάτων όπως είναι ο πυρετός, η κυνάγχη, η στοματίτιδα ή άλλα σημεία λοίμωξης. Σε περίπτωση που εμφανιστούν τέτοιου τύπου συμπτώματα, η θεραπεία πρέπει να διακοπεί και πρέπει να διεξαχθεί αιματολογικός έλεγχος.</w:t>
      </w:r>
    </w:p>
    <w:p w:rsidR="00865444" w:rsidRPr="000A3201" w:rsidRDefault="00865444" w:rsidP="00865444">
      <w:pPr>
        <w:ind w:left="720"/>
        <w:rPr>
          <w:sz w:val="22"/>
          <w:szCs w:val="22"/>
        </w:rPr>
      </w:pPr>
    </w:p>
    <w:p w:rsidR="0095179C" w:rsidRPr="00AA1AB4" w:rsidRDefault="00C369FF" w:rsidP="0095179C">
      <w:pPr>
        <w:ind w:left="720"/>
        <w:rPr>
          <w:sz w:val="22"/>
          <w:szCs w:val="22"/>
          <w:u w:val="single"/>
        </w:rPr>
      </w:pPr>
      <w:r w:rsidRPr="00AA1AB4">
        <w:rPr>
          <w:sz w:val="22"/>
          <w:szCs w:val="22"/>
          <w:u w:val="single"/>
        </w:rPr>
        <w:t>Ίκτερος</w:t>
      </w:r>
    </w:p>
    <w:p w:rsidR="00C8181E" w:rsidRPr="000A3201" w:rsidRDefault="0095179C" w:rsidP="0095179C">
      <w:pPr>
        <w:ind w:left="720"/>
        <w:rPr>
          <w:sz w:val="22"/>
          <w:szCs w:val="22"/>
        </w:rPr>
      </w:pPr>
      <w:r w:rsidRPr="000A3201">
        <w:rPr>
          <w:sz w:val="22"/>
          <w:szCs w:val="22"/>
        </w:rPr>
        <w:t>Η αγωγή πρέπει να διακόπτεται εάν εμφανιστεί ίκτερος.</w:t>
      </w:r>
    </w:p>
    <w:p w:rsidR="00C8181E" w:rsidRPr="000A3201" w:rsidRDefault="00C8181E" w:rsidP="00C8181E">
      <w:pPr>
        <w:ind w:left="720"/>
        <w:rPr>
          <w:sz w:val="22"/>
          <w:szCs w:val="22"/>
        </w:rPr>
      </w:pPr>
    </w:p>
    <w:p w:rsidR="00C8181E" w:rsidRPr="00AA1AB4" w:rsidRDefault="00C369FF" w:rsidP="00C8181E">
      <w:pPr>
        <w:ind w:left="720"/>
        <w:rPr>
          <w:sz w:val="22"/>
          <w:szCs w:val="22"/>
          <w:u w:val="single"/>
        </w:rPr>
      </w:pPr>
      <w:r w:rsidRPr="00AA1AB4">
        <w:rPr>
          <w:sz w:val="22"/>
          <w:szCs w:val="22"/>
          <w:u w:val="single"/>
        </w:rPr>
        <w:t>Καταστάσεις που χρειάζονται παρακολούθηση</w:t>
      </w:r>
    </w:p>
    <w:p w:rsidR="00865444" w:rsidRPr="000A3201" w:rsidRDefault="00865444" w:rsidP="00C8181E">
      <w:pPr>
        <w:ind w:left="720"/>
        <w:rPr>
          <w:sz w:val="22"/>
          <w:szCs w:val="22"/>
        </w:rPr>
      </w:pPr>
      <w:r w:rsidRPr="000A3201">
        <w:rPr>
          <w:sz w:val="22"/>
          <w:szCs w:val="22"/>
        </w:rPr>
        <w:t>Απαιτείται προσεκτική δοσολόγηση, καθώς και τακτική και στενή παρακολούθηση των ασθενών με:</w:t>
      </w:r>
    </w:p>
    <w:p w:rsidR="00865444" w:rsidRPr="000A3201" w:rsidRDefault="00865444" w:rsidP="003F0562">
      <w:pPr>
        <w:pStyle w:val="2"/>
        <w:ind w:left="1134"/>
        <w:rPr>
          <w:sz w:val="22"/>
          <w:szCs w:val="22"/>
          <w:lang w:val="el-GR"/>
        </w:rPr>
      </w:pPr>
      <w:r w:rsidRPr="000A3201">
        <w:rPr>
          <w:sz w:val="22"/>
          <w:szCs w:val="22"/>
          <w:lang w:val="el-GR"/>
        </w:rPr>
        <w:lastRenderedPageBreak/>
        <w:t>-</w:t>
      </w:r>
      <w:r w:rsidRPr="000A3201">
        <w:rPr>
          <w:sz w:val="22"/>
          <w:szCs w:val="22"/>
          <w:lang w:val="el-GR"/>
        </w:rPr>
        <w:tab/>
        <w:t>επιληψία και οργανικό εγκεφαλικό σύνδρομο</w:t>
      </w:r>
      <w:r w:rsidR="002D6528" w:rsidRPr="000A3201">
        <w:rPr>
          <w:sz w:val="22"/>
          <w:szCs w:val="22"/>
          <w:lang w:val="el-GR"/>
        </w:rPr>
        <w:t xml:space="preserve">: Μολονότι η κλινική εμπειρία δείχνει ότι οι επιληπτικές κρίσεις είναι σπάνιες κατά την αγωγή με μιρταζαπίνη, όπως και με άλλα αντικαταθλιπτικά, </w:t>
      </w:r>
      <w:r w:rsidR="001D0BB1" w:rsidRPr="000A3201">
        <w:rPr>
          <w:sz w:val="22"/>
          <w:szCs w:val="22"/>
          <w:lang w:val="el-GR"/>
        </w:rPr>
        <w:t xml:space="preserve">η μιρταζαπίνη </w:t>
      </w:r>
      <w:r w:rsidR="002D6528" w:rsidRPr="000A3201">
        <w:rPr>
          <w:sz w:val="22"/>
          <w:szCs w:val="22"/>
          <w:lang w:val="el-GR"/>
        </w:rPr>
        <w:t>θα πρέπει να ξεκινά προσεκτικά σε ασθενείς με ιστορικό κρίσεων. Η θεραπεία πρέπει να σταματήσει εάν κάποιος ασθενής εμφανίσει κρίσεις ή όταν υπάρχει αύξηση στη συχνότητα των κρίσεων.</w:t>
      </w:r>
    </w:p>
    <w:p w:rsidR="00865444" w:rsidRPr="000A3201" w:rsidRDefault="00865444" w:rsidP="00865444">
      <w:pPr>
        <w:pStyle w:val="2"/>
        <w:ind w:left="1440"/>
        <w:rPr>
          <w:sz w:val="22"/>
          <w:szCs w:val="22"/>
          <w:lang w:val="el-GR"/>
        </w:rPr>
      </w:pPr>
    </w:p>
    <w:p w:rsidR="000156CC" w:rsidRPr="000A3201" w:rsidRDefault="00865444" w:rsidP="009B1371">
      <w:pPr>
        <w:ind w:left="1080" w:hanging="360"/>
        <w:rPr>
          <w:sz w:val="22"/>
          <w:szCs w:val="22"/>
        </w:rPr>
      </w:pPr>
      <w:r w:rsidRPr="000A3201">
        <w:rPr>
          <w:sz w:val="22"/>
          <w:szCs w:val="22"/>
        </w:rPr>
        <w:t xml:space="preserve">- </w:t>
      </w:r>
      <w:r w:rsidRPr="000A3201">
        <w:rPr>
          <w:sz w:val="22"/>
          <w:szCs w:val="22"/>
        </w:rPr>
        <w:tab/>
        <w:t xml:space="preserve">ηπατική </w:t>
      </w:r>
      <w:r w:rsidR="00AA4CF9" w:rsidRPr="000A3201">
        <w:rPr>
          <w:sz w:val="22"/>
          <w:szCs w:val="22"/>
        </w:rPr>
        <w:t>δυσλειτουργία</w:t>
      </w:r>
      <w:r w:rsidR="00C8181E" w:rsidRPr="000A3201">
        <w:rPr>
          <w:sz w:val="22"/>
          <w:szCs w:val="22"/>
        </w:rPr>
        <w:t xml:space="preserve">: </w:t>
      </w:r>
      <w:r w:rsidR="00AA4CF9" w:rsidRPr="000A3201">
        <w:rPr>
          <w:sz w:val="22"/>
          <w:szCs w:val="22"/>
        </w:rPr>
        <w:t xml:space="preserve">Μετά από μια εφάπαξ από του στόματος δόση 15 </w:t>
      </w:r>
      <w:r w:rsidR="00AA4CF9" w:rsidRPr="000A3201">
        <w:rPr>
          <w:sz w:val="22"/>
          <w:szCs w:val="22"/>
          <w:lang w:val="en-US"/>
        </w:rPr>
        <w:t>mg</w:t>
      </w:r>
      <w:r w:rsidR="00AA4CF9" w:rsidRPr="000A3201">
        <w:rPr>
          <w:sz w:val="22"/>
          <w:szCs w:val="22"/>
        </w:rPr>
        <w:t xml:space="preserve"> μιρταζαπίνης, η κάθαρση της μιρταζαπίνης είχε κατά προσέγγιση μειωθεί κατά 35% σε ασθενείς με ήπ</w:t>
      </w:r>
      <w:r w:rsidR="00F75990" w:rsidRPr="000A3201">
        <w:rPr>
          <w:sz w:val="22"/>
          <w:szCs w:val="22"/>
        </w:rPr>
        <w:t>ια έως μέτρια ηπατική δυσλειτουργία</w:t>
      </w:r>
      <w:r w:rsidR="00AA4CF9" w:rsidRPr="000A3201">
        <w:rPr>
          <w:sz w:val="22"/>
          <w:szCs w:val="22"/>
        </w:rPr>
        <w:t xml:space="preserve">, σε σύγκριση με ασθενείς με φυσιολογική ηπατική λειτουργία. Η μέση συγκέντρωση της μιρταζαπίνης στο πλάσμα είχε αυξηθεί </w:t>
      </w:r>
      <w:r w:rsidR="00F75990" w:rsidRPr="000A3201">
        <w:rPr>
          <w:sz w:val="22"/>
          <w:szCs w:val="22"/>
        </w:rPr>
        <w:t xml:space="preserve">περίπου </w:t>
      </w:r>
      <w:r w:rsidR="00AA4CF9" w:rsidRPr="000A3201">
        <w:rPr>
          <w:sz w:val="22"/>
          <w:szCs w:val="22"/>
        </w:rPr>
        <w:t>κατά 55%.</w:t>
      </w:r>
      <w:r w:rsidR="00AA4CF9" w:rsidRPr="000A3201" w:rsidDel="00C8181E">
        <w:rPr>
          <w:sz w:val="22"/>
          <w:szCs w:val="22"/>
        </w:rPr>
        <w:t xml:space="preserve"> </w:t>
      </w:r>
    </w:p>
    <w:p w:rsidR="00261943" w:rsidRPr="000A3201" w:rsidRDefault="00261943" w:rsidP="009B1371">
      <w:pPr>
        <w:ind w:left="1080" w:hanging="360"/>
        <w:rPr>
          <w:sz w:val="22"/>
          <w:szCs w:val="22"/>
        </w:rPr>
      </w:pPr>
    </w:p>
    <w:p w:rsidR="00C8181E" w:rsidRPr="000A3201" w:rsidRDefault="00C8181E" w:rsidP="009B1371">
      <w:pPr>
        <w:ind w:left="1080" w:hanging="360"/>
        <w:rPr>
          <w:sz w:val="22"/>
          <w:szCs w:val="22"/>
        </w:rPr>
      </w:pPr>
      <w:r w:rsidRPr="000A3201">
        <w:rPr>
          <w:sz w:val="22"/>
          <w:szCs w:val="22"/>
        </w:rPr>
        <w:t xml:space="preserve">- </w:t>
      </w:r>
      <w:r w:rsidRPr="000A3201">
        <w:rPr>
          <w:sz w:val="22"/>
          <w:szCs w:val="22"/>
        </w:rPr>
        <w:tab/>
      </w:r>
      <w:r w:rsidR="00FA5768" w:rsidRPr="000A3201">
        <w:rPr>
          <w:sz w:val="22"/>
          <w:szCs w:val="22"/>
        </w:rPr>
        <w:t>νεφρική δυσλειτουργία</w:t>
      </w:r>
      <w:r w:rsidR="00B45A94" w:rsidRPr="000A3201">
        <w:rPr>
          <w:sz w:val="22"/>
          <w:szCs w:val="22"/>
        </w:rPr>
        <w:t xml:space="preserve">: Μετά από μια εφάπαξ από του στόματος δόση 15 </w:t>
      </w:r>
      <w:r w:rsidR="00B45A94" w:rsidRPr="000A3201">
        <w:rPr>
          <w:sz w:val="22"/>
          <w:szCs w:val="22"/>
          <w:lang w:val="en-US"/>
        </w:rPr>
        <w:t>mg</w:t>
      </w:r>
      <w:r w:rsidR="00B45A94" w:rsidRPr="000A3201">
        <w:rPr>
          <w:sz w:val="22"/>
          <w:szCs w:val="22"/>
        </w:rPr>
        <w:t xml:space="preserve"> μιρταζαπίνης, σε ασθενείς με μέτρια (κάθαρση κρεατινίνης &lt;40 </w:t>
      </w:r>
      <w:r w:rsidR="00B45A94" w:rsidRPr="000A3201">
        <w:rPr>
          <w:sz w:val="22"/>
          <w:szCs w:val="22"/>
          <w:lang w:val="en-US"/>
        </w:rPr>
        <w:t>ml</w:t>
      </w:r>
      <w:r w:rsidR="00B45A94" w:rsidRPr="000A3201">
        <w:rPr>
          <w:sz w:val="22"/>
          <w:szCs w:val="22"/>
        </w:rPr>
        <w:t>/</w:t>
      </w:r>
      <w:r w:rsidR="00B45A94" w:rsidRPr="000A3201">
        <w:rPr>
          <w:sz w:val="22"/>
          <w:szCs w:val="22"/>
          <w:lang w:val="en-US"/>
        </w:rPr>
        <w:t>min</w:t>
      </w:r>
      <w:r w:rsidR="00B45A94" w:rsidRPr="000A3201">
        <w:rPr>
          <w:sz w:val="22"/>
          <w:szCs w:val="22"/>
        </w:rPr>
        <w:t>)</w:t>
      </w:r>
      <w:r w:rsidR="00F75990" w:rsidRPr="000A3201">
        <w:rPr>
          <w:sz w:val="22"/>
          <w:szCs w:val="22"/>
        </w:rPr>
        <w:t xml:space="preserve"> και</w:t>
      </w:r>
      <w:r w:rsidR="00B45A94" w:rsidRPr="000A3201">
        <w:rPr>
          <w:sz w:val="22"/>
          <w:szCs w:val="22"/>
        </w:rPr>
        <w:t xml:space="preserve"> σοβαρή (κάθαρση κρεατινίνης </w:t>
      </w:r>
      <w:r w:rsidR="00F75990" w:rsidRPr="000A3201">
        <w:rPr>
          <w:sz w:val="22"/>
          <w:szCs w:val="22"/>
        </w:rPr>
        <w:t xml:space="preserve">≤ </w:t>
      </w:r>
      <w:r w:rsidR="00B45A94" w:rsidRPr="000A3201">
        <w:rPr>
          <w:sz w:val="22"/>
          <w:szCs w:val="22"/>
        </w:rPr>
        <w:t xml:space="preserve">10 </w:t>
      </w:r>
      <w:r w:rsidR="00B45A94" w:rsidRPr="000A3201">
        <w:rPr>
          <w:sz w:val="22"/>
          <w:szCs w:val="22"/>
          <w:lang w:val="en-US"/>
        </w:rPr>
        <w:t>ml</w:t>
      </w:r>
      <w:r w:rsidR="00B45A94" w:rsidRPr="000A3201">
        <w:rPr>
          <w:sz w:val="22"/>
          <w:szCs w:val="22"/>
        </w:rPr>
        <w:t>/</w:t>
      </w:r>
      <w:r w:rsidR="00B45A94" w:rsidRPr="000A3201">
        <w:rPr>
          <w:sz w:val="22"/>
          <w:szCs w:val="22"/>
          <w:lang w:val="en-US"/>
        </w:rPr>
        <w:t>min</w:t>
      </w:r>
      <w:r w:rsidR="00B45A94" w:rsidRPr="000A3201">
        <w:rPr>
          <w:sz w:val="22"/>
          <w:szCs w:val="22"/>
        </w:rPr>
        <w:t>) νεφρική</w:t>
      </w:r>
      <w:r w:rsidR="00F75990" w:rsidRPr="000A3201">
        <w:rPr>
          <w:sz w:val="22"/>
          <w:szCs w:val="22"/>
        </w:rPr>
        <w:t xml:space="preserve"> δυσλειτουργία</w:t>
      </w:r>
      <w:r w:rsidR="00B45A94" w:rsidRPr="000A3201">
        <w:rPr>
          <w:sz w:val="22"/>
          <w:szCs w:val="22"/>
        </w:rPr>
        <w:t>, η κάθαρση της μιρταζαπίνης μειώθηκε</w:t>
      </w:r>
      <w:r w:rsidR="00F75990" w:rsidRPr="000A3201">
        <w:rPr>
          <w:sz w:val="22"/>
          <w:szCs w:val="22"/>
        </w:rPr>
        <w:t xml:space="preserve"> περίπου</w:t>
      </w:r>
      <w:r w:rsidR="00B45A94" w:rsidRPr="000A3201">
        <w:rPr>
          <w:sz w:val="22"/>
          <w:szCs w:val="22"/>
        </w:rPr>
        <w:t xml:space="preserve"> κατά 30 % και 50 % αντίστοιχα</w:t>
      </w:r>
      <w:r w:rsidR="00F75990" w:rsidRPr="000A3201">
        <w:rPr>
          <w:sz w:val="22"/>
          <w:szCs w:val="22"/>
        </w:rPr>
        <w:t>,</w:t>
      </w:r>
      <w:r w:rsidR="00B45A94" w:rsidRPr="000A3201">
        <w:rPr>
          <w:sz w:val="22"/>
          <w:szCs w:val="22"/>
        </w:rPr>
        <w:t xml:space="preserve"> σε σύγκριση με ασθενείς με φυσιολογική νεφρική λειτουργία. Η μέση συγκέντρωση της μιρταζαπίνης στο πλάσμα είχε αυξηθεί κατά </w:t>
      </w:r>
      <w:r w:rsidR="00F75990" w:rsidRPr="000A3201">
        <w:rPr>
          <w:sz w:val="22"/>
          <w:szCs w:val="22"/>
        </w:rPr>
        <w:t xml:space="preserve">περίπου </w:t>
      </w:r>
      <w:r w:rsidR="00B45A94" w:rsidRPr="000A3201">
        <w:rPr>
          <w:sz w:val="22"/>
          <w:szCs w:val="22"/>
        </w:rPr>
        <w:t xml:space="preserve">55 % και 115 % αντιστοίχως. Καμία σημαντική διαφορά δε βρέθηκε σε ασθενείς με ήπια νεφρική </w:t>
      </w:r>
      <w:r w:rsidR="00F75990" w:rsidRPr="000A3201">
        <w:rPr>
          <w:sz w:val="22"/>
          <w:szCs w:val="22"/>
        </w:rPr>
        <w:t xml:space="preserve">δυσλειτουργία </w:t>
      </w:r>
      <w:r w:rsidR="00B45A94" w:rsidRPr="000A3201">
        <w:rPr>
          <w:sz w:val="22"/>
          <w:szCs w:val="22"/>
        </w:rPr>
        <w:t xml:space="preserve">(κάθαρση κρεατινίνης &lt;80 </w:t>
      </w:r>
      <w:r w:rsidR="00B45A94" w:rsidRPr="000A3201">
        <w:rPr>
          <w:sz w:val="22"/>
          <w:szCs w:val="22"/>
          <w:lang w:val="en-US"/>
        </w:rPr>
        <w:t>ml</w:t>
      </w:r>
      <w:r w:rsidR="00B45A94" w:rsidRPr="000A3201">
        <w:rPr>
          <w:sz w:val="22"/>
          <w:szCs w:val="22"/>
        </w:rPr>
        <w:t>/</w:t>
      </w:r>
      <w:r w:rsidR="00B45A94" w:rsidRPr="000A3201">
        <w:rPr>
          <w:sz w:val="22"/>
          <w:szCs w:val="22"/>
          <w:lang w:val="en-US"/>
        </w:rPr>
        <w:t>min</w:t>
      </w:r>
      <w:r w:rsidR="00B45A94" w:rsidRPr="000A3201">
        <w:rPr>
          <w:sz w:val="22"/>
          <w:szCs w:val="22"/>
        </w:rPr>
        <w:t>) σε σύγκριση με την ομάδα ελέγχου</w:t>
      </w:r>
      <w:r w:rsidR="00261943" w:rsidRPr="000A3201">
        <w:rPr>
          <w:sz w:val="22"/>
          <w:szCs w:val="22"/>
        </w:rPr>
        <w:t>.</w:t>
      </w:r>
    </w:p>
    <w:p w:rsidR="00865444" w:rsidRPr="000A3201" w:rsidRDefault="00865444" w:rsidP="001B0BF1">
      <w:pPr>
        <w:tabs>
          <w:tab w:val="left" w:pos="1134"/>
        </w:tabs>
        <w:ind w:left="720"/>
        <w:rPr>
          <w:sz w:val="22"/>
          <w:szCs w:val="22"/>
        </w:rPr>
      </w:pPr>
    </w:p>
    <w:p w:rsidR="00865444" w:rsidRPr="000A3201" w:rsidRDefault="00865444" w:rsidP="001B0BF1">
      <w:pPr>
        <w:tabs>
          <w:tab w:val="left" w:pos="1134"/>
        </w:tabs>
        <w:ind w:left="1134" w:hanging="425"/>
        <w:rPr>
          <w:sz w:val="22"/>
          <w:szCs w:val="22"/>
        </w:rPr>
      </w:pPr>
      <w:r w:rsidRPr="000A3201">
        <w:rPr>
          <w:sz w:val="22"/>
          <w:szCs w:val="22"/>
        </w:rPr>
        <w:t xml:space="preserve">- </w:t>
      </w:r>
      <w:r w:rsidRPr="000A3201">
        <w:rPr>
          <w:sz w:val="22"/>
          <w:szCs w:val="22"/>
        </w:rPr>
        <w:tab/>
        <w:t xml:space="preserve">καρδιακές παθήσεις όπως διαταραχές της αγωγιμότητας, στηθάγχη και πρόσφατο έμφραγμα του μυοκαρδίου, όπου θα πρέπει να λαμβάνονται οι συνήθεις προφυλάξεις και η συγχορήγηση με άλλα φάρμακα θα πρέπει να γίνεται με προσοχή. </w:t>
      </w:r>
    </w:p>
    <w:p w:rsidR="00865444" w:rsidRPr="000A3201" w:rsidRDefault="00865444" w:rsidP="001B0BF1">
      <w:pPr>
        <w:tabs>
          <w:tab w:val="left" w:pos="1134"/>
        </w:tabs>
        <w:ind w:left="1440" w:hanging="720"/>
        <w:rPr>
          <w:sz w:val="22"/>
          <w:szCs w:val="22"/>
        </w:rPr>
      </w:pPr>
    </w:p>
    <w:p w:rsidR="00865444" w:rsidRPr="000A3201" w:rsidRDefault="00865444" w:rsidP="001B0BF1">
      <w:pPr>
        <w:tabs>
          <w:tab w:val="left" w:pos="1134"/>
        </w:tabs>
        <w:ind w:left="720"/>
        <w:rPr>
          <w:sz w:val="22"/>
          <w:szCs w:val="22"/>
        </w:rPr>
      </w:pPr>
      <w:r w:rsidRPr="000A3201">
        <w:rPr>
          <w:sz w:val="22"/>
          <w:szCs w:val="22"/>
        </w:rPr>
        <w:t xml:space="preserve">- </w:t>
      </w:r>
      <w:r w:rsidRPr="000A3201">
        <w:rPr>
          <w:sz w:val="22"/>
          <w:szCs w:val="22"/>
        </w:rPr>
        <w:tab/>
      </w:r>
      <w:r w:rsidR="00B45A94" w:rsidRPr="000A3201">
        <w:rPr>
          <w:sz w:val="22"/>
          <w:szCs w:val="22"/>
        </w:rPr>
        <w:t>χαμηλή αρτηριακή πίεση</w:t>
      </w:r>
    </w:p>
    <w:p w:rsidR="00261943" w:rsidRPr="000A3201" w:rsidRDefault="00261943" w:rsidP="00865444">
      <w:pPr>
        <w:ind w:left="720"/>
        <w:rPr>
          <w:sz w:val="22"/>
          <w:szCs w:val="22"/>
        </w:rPr>
      </w:pPr>
    </w:p>
    <w:p w:rsidR="00261943" w:rsidRPr="000A3201" w:rsidRDefault="00B45A94" w:rsidP="00466B88">
      <w:pPr>
        <w:numPr>
          <w:ilvl w:val="0"/>
          <w:numId w:val="12"/>
        </w:numPr>
        <w:rPr>
          <w:sz w:val="22"/>
          <w:szCs w:val="22"/>
        </w:rPr>
      </w:pPr>
      <w:r w:rsidRPr="000A3201">
        <w:rPr>
          <w:sz w:val="22"/>
          <w:szCs w:val="22"/>
        </w:rPr>
        <w:t>σακχαρώδη διαβήτη: Σε ασθενείς με διαβήτη</w:t>
      </w:r>
      <w:r w:rsidR="00CC18D2" w:rsidRPr="000A3201">
        <w:rPr>
          <w:sz w:val="22"/>
          <w:szCs w:val="22"/>
        </w:rPr>
        <w:t>,</w:t>
      </w:r>
      <w:r w:rsidRPr="000A3201">
        <w:rPr>
          <w:sz w:val="22"/>
          <w:szCs w:val="22"/>
        </w:rPr>
        <w:t xml:space="preserve"> τα αντικαταθλιπτικά μπορεί να μεταβάλλουν το γλυκαιμικό έλεγχο. Η ινσουλίνη και/ή </w:t>
      </w:r>
      <w:r w:rsidR="00CC18D2" w:rsidRPr="000A3201">
        <w:rPr>
          <w:sz w:val="22"/>
          <w:szCs w:val="22"/>
        </w:rPr>
        <w:t xml:space="preserve">η </w:t>
      </w:r>
      <w:r w:rsidRPr="000A3201">
        <w:rPr>
          <w:sz w:val="22"/>
          <w:szCs w:val="22"/>
        </w:rPr>
        <w:t xml:space="preserve">δοσολογία </w:t>
      </w:r>
      <w:r w:rsidR="00CC18D2" w:rsidRPr="000A3201">
        <w:rPr>
          <w:sz w:val="22"/>
          <w:szCs w:val="22"/>
        </w:rPr>
        <w:t xml:space="preserve">των </w:t>
      </w:r>
      <w:r w:rsidR="00147B4D" w:rsidRPr="000A3201">
        <w:rPr>
          <w:sz w:val="22"/>
          <w:szCs w:val="22"/>
        </w:rPr>
        <w:t xml:space="preserve">από του στόματος </w:t>
      </w:r>
      <w:r w:rsidR="00CC18D2" w:rsidRPr="000A3201">
        <w:rPr>
          <w:sz w:val="22"/>
          <w:szCs w:val="22"/>
        </w:rPr>
        <w:t xml:space="preserve">υπογλυκαιμικών παραγόντων </w:t>
      </w:r>
      <w:r w:rsidRPr="000A3201">
        <w:rPr>
          <w:sz w:val="22"/>
          <w:szCs w:val="22"/>
        </w:rPr>
        <w:t>μπορεί να χρειαστεί να προσαρμοστεί και συστήνεται στενή παρακολούθηση.</w:t>
      </w:r>
    </w:p>
    <w:p w:rsidR="00865444" w:rsidRPr="000A3201" w:rsidRDefault="00865444" w:rsidP="00865444">
      <w:pPr>
        <w:ind w:left="720"/>
        <w:rPr>
          <w:sz w:val="22"/>
          <w:szCs w:val="22"/>
        </w:rPr>
      </w:pPr>
    </w:p>
    <w:p w:rsidR="00865444" w:rsidRPr="000A3201" w:rsidRDefault="001B0BF1" w:rsidP="00865444">
      <w:pPr>
        <w:ind w:left="720"/>
        <w:rPr>
          <w:sz w:val="22"/>
          <w:szCs w:val="22"/>
        </w:rPr>
      </w:pPr>
      <w:r w:rsidRPr="000A3201">
        <w:rPr>
          <w:sz w:val="22"/>
          <w:szCs w:val="22"/>
        </w:rPr>
        <w:t>Ό</w:t>
      </w:r>
      <w:r w:rsidR="00865444" w:rsidRPr="000A3201">
        <w:rPr>
          <w:sz w:val="22"/>
          <w:szCs w:val="22"/>
        </w:rPr>
        <w:t>πως και με τα άλλα αντικαταθλιπτικά φάρμακα, πρέπει να λαμβάνονται υπόψη τα ακόλουθα:</w:t>
      </w:r>
    </w:p>
    <w:p w:rsidR="00865444" w:rsidRPr="000A3201" w:rsidRDefault="00865444" w:rsidP="00865444">
      <w:pPr>
        <w:pStyle w:val="2"/>
        <w:ind w:left="1440"/>
        <w:rPr>
          <w:sz w:val="22"/>
          <w:szCs w:val="22"/>
          <w:lang w:val="el-GR"/>
        </w:rPr>
      </w:pPr>
      <w:r w:rsidRPr="000A3201">
        <w:rPr>
          <w:sz w:val="22"/>
          <w:szCs w:val="22"/>
          <w:lang w:val="el-GR"/>
        </w:rPr>
        <w:t xml:space="preserve">- </w:t>
      </w:r>
      <w:r w:rsidRPr="000A3201">
        <w:rPr>
          <w:sz w:val="22"/>
          <w:szCs w:val="22"/>
          <w:lang w:val="el-GR"/>
        </w:rPr>
        <w:tab/>
        <w:t>τα ψυχωσικά συμπτώματα μπορεί να επιδεινωθούν όταν χορηγούνται αντικαταθλιπτικά σε ασθενείς με σχιζοφρένεια ή άλλες ψυχωσικές διαταραχές. Οι παρανοϊκές σκέψεις μπορεί να ενταθούν</w:t>
      </w:r>
      <w:r w:rsidR="00CC18D2" w:rsidRPr="000A3201">
        <w:rPr>
          <w:sz w:val="22"/>
          <w:szCs w:val="22"/>
          <w:lang w:val="el-GR"/>
        </w:rPr>
        <w:t>.</w:t>
      </w:r>
    </w:p>
    <w:p w:rsidR="00865444" w:rsidRPr="000A3201" w:rsidRDefault="00865444" w:rsidP="00865444">
      <w:pPr>
        <w:pStyle w:val="2"/>
        <w:ind w:left="1440"/>
        <w:rPr>
          <w:sz w:val="22"/>
          <w:szCs w:val="22"/>
          <w:lang w:val="el-GR"/>
        </w:rPr>
      </w:pPr>
    </w:p>
    <w:p w:rsidR="00865444" w:rsidRPr="000A3201" w:rsidRDefault="00865444" w:rsidP="00865444">
      <w:pPr>
        <w:ind w:left="1440" w:hanging="720"/>
        <w:rPr>
          <w:sz w:val="22"/>
          <w:szCs w:val="22"/>
        </w:rPr>
      </w:pPr>
      <w:r w:rsidRPr="000A3201">
        <w:rPr>
          <w:sz w:val="22"/>
          <w:szCs w:val="22"/>
        </w:rPr>
        <w:t xml:space="preserve">- </w:t>
      </w:r>
      <w:r w:rsidRPr="000A3201">
        <w:rPr>
          <w:sz w:val="22"/>
          <w:szCs w:val="22"/>
        </w:rPr>
        <w:tab/>
        <w:t xml:space="preserve">όταν αντιμετωπίζεται θεραπευτικά η καταθλιπτική φάση </w:t>
      </w:r>
      <w:r w:rsidR="000156CC" w:rsidRPr="000A3201">
        <w:rPr>
          <w:sz w:val="22"/>
          <w:szCs w:val="22"/>
        </w:rPr>
        <w:t xml:space="preserve">της </w:t>
      </w:r>
      <w:r w:rsidR="00CC18D2" w:rsidRPr="000A3201">
        <w:rPr>
          <w:sz w:val="22"/>
          <w:szCs w:val="22"/>
        </w:rPr>
        <w:t>διπολικής διαταραχής</w:t>
      </w:r>
      <w:r w:rsidRPr="000A3201">
        <w:rPr>
          <w:sz w:val="22"/>
          <w:szCs w:val="22"/>
        </w:rPr>
        <w:t>, η νόσος μπορεί να μεταπέσει στη φάση μανίας</w:t>
      </w:r>
      <w:r w:rsidR="001B0BF1" w:rsidRPr="000A3201">
        <w:rPr>
          <w:sz w:val="22"/>
          <w:szCs w:val="22"/>
        </w:rPr>
        <w:t xml:space="preserve">. </w:t>
      </w:r>
      <w:r w:rsidR="00DE012A" w:rsidRPr="000A3201">
        <w:rPr>
          <w:sz w:val="22"/>
          <w:szCs w:val="22"/>
        </w:rPr>
        <w:t>Ασθενείς με ιστορικό μανίας/ υπομανίας πρέπει να παρακολουθούνται στενά. Η μιρταζαπίνη πρέπει να διακόπτεται όταν κάποιος ασθενής εισέλθει στη φάση μανίας.</w:t>
      </w:r>
    </w:p>
    <w:p w:rsidR="00865444" w:rsidRPr="000A3201" w:rsidRDefault="00865444" w:rsidP="00865444">
      <w:pPr>
        <w:ind w:left="1440" w:hanging="720"/>
        <w:rPr>
          <w:sz w:val="22"/>
          <w:szCs w:val="22"/>
        </w:rPr>
      </w:pPr>
      <w:r w:rsidRPr="000A3201">
        <w:rPr>
          <w:sz w:val="22"/>
          <w:szCs w:val="22"/>
        </w:rPr>
        <w:t xml:space="preserve">  </w:t>
      </w:r>
    </w:p>
    <w:p w:rsidR="00865444" w:rsidRPr="000A3201" w:rsidRDefault="00865444" w:rsidP="00865444">
      <w:pPr>
        <w:numPr>
          <w:ilvl w:val="0"/>
          <w:numId w:val="4"/>
        </w:numPr>
        <w:tabs>
          <w:tab w:val="clear" w:pos="720"/>
          <w:tab w:val="num" w:pos="1440"/>
        </w:tabs>
        <w:ind w:left="1440"/>
        <w:rPr>
          <w:sz w:val="22"/>
          <w:szCs w:val="22"/>
        </w:rPr>
      </w:pPr>
      <w:r w:rsidRPr="000A3201">
        <w:rPr>
          <w:sz w:val="22"/>
          <w:szCs w:val="22"/>
        </w:rPr>
        <w:t xml:space="preserve">αν και </w:t>
      </w:r>
      <w:r w:rsidR="001B0BF1" w:rsidRPr="000A3201">
        <w:rPr>
          <w:sz w:val="22"/>
          <w:szCs w:val="22"/>
        </w:rPr>
        <w:t>η</w:t>
      </w:r>
      <w:r w:rsidR="00DE012A" w:rsidRPr="000A3201">
        <w:rPr>
          <w:sz w:val="22"/>
          <w:szCs w:val="22"/>
        </w:rPr>
        <w:t xml:space="preserve"> μιρταζαπίνη</w:t>
      </w:r>
      <w:r w:rsidR="00DE012A" w:rsidRPr="000A3201">
        <w:rPr>
          <w:color w:val="000000"/>
          <w:sz w:val="22"/>
          <w:szCs w:val="22"/>
        </w:rPr>
        <w:t xml:space="preserve"> </w:t>
      </w:r>
      <w:r w:rsidR="00DE012A" w:rsidRPr="000A3201">
        <w:rPr>
          <w:sz w:val="22"/>
          <w:szCs w:val="22"/>
        </w:rPr>
        <w:t xml:space="preserve">δεν προκαλεί εξάρτηση, η </w:t>
      </w:r>
      <w:r w:rsidR="00CC18D2" w:rsidRPr="000A3201">
        <w:rPr>
          <w:sz w:val="22"/>
          <w:szCs w:val="22"/>
        </w:rPr>
        <w:t>εμπειρία μετά την κυκλοφορία της</w:t>
      </w:r>
      <w:r w:rsidR="00DE012A" w:rsidRPr="000A3201">
        <w:rPr>
          <w:sz w:val="22"/>
          <w:szCs w:val="22"/>
        </w:rPr>
        <w:t xml:space="preserve"> δείχνει ότι η απότομη διακοπή της θεραπείας μετά από μακροχρόνια χορήγηση μπορεί μερικές φορές να έχει σαν αποτέλεσμα συμπτώματα απόσυρσης. Στη</w:t>
      </w:r>
      <w:r w:rsidR="00CC18D2" w:rsidRPr="000A3201">
        <w:rPr>
          <w:sz w:val="22"/>
          <w:szCs w:val="22"/>
        </w:rPr>
        <w:t>ν πλειονότητά</w:t>
      </w:r>
      <w:r w:rsidR="00DE012A" w:rsidRPr="000A3201">
        <w:rPr>
          <w:sz w:val="22"/>
          <w:szCs w:val="22"/>
        </w:rPr>
        <w:t xml:space="preserve"> τους τα συμπτώματα απόσυρσης είναι ήπια και περιορίζονται από μόνα τους. Ανάμεσα στα διάφορα αναφερόμενα συμπτώματα απόσυρσης</w:t>
      </w:r>
      <w:r w:rsidR="00CC18D2" w:rsidRPr="000A3201">
        <w:rPr>
          <w:sz w:val="22"/>
          <w:szCs w:val="22"/>
        </w:rPr>
        <w:t>,</w:t>
      </w:r>
      <w:r w:rsidR="00DE012A" w:rsidRPr="000A3201">
        <w:rPr>
          <w:sz w:val="22"/>
          <w:szCs w:val="22"/>
        </w:rPr>
        <w:t xml:space="preserve"> η ζάλη, η διέγερση, το άγχος, </w:t>
      </w:r>
      <w:r w:rsidR="00CC18D2" w:rsidRPr="000A3201">
        <w:rPr>
          <w:sz w:val="22"/>
          <w:szCs w:val="22"/>
        </w:rPr>
        <w:t xml:space="preserve">η κεφαλαλγία </w:t>
      </w:r>
      <w:r w:rsidR="00DE012A" w:rsidRPr="000A3201">
        <w:rPr>
          <w:sz w:val="22"/>
          <w:szCs w:val="22"/>
        </w:rPr>
        <w:t>και η ναυτία αναφέρονται πιο συχνά. Παρ</w:t>
      </w:r>
      <w:r w:rsidR="00CC18D2" w:rsidRPr="000A3201">
        <w:rPr>
          <w:sz w:val="22"/>
          <w:szCs w:val="22"/>
        </w:rPr>
        <w:t>’</w:t>
      </w:r>
      <w:r w:rsidR="00147B4D" w:rsidRPr="000A3201">
        <w:rPr>
          <w:sz w:val="22"/>
          <w:szCs w:val="22"/>
        </w:rPr>
        <w:t xml:space="preserve"> </w:t>
      </w:r>
      <w:r w:rsidR="00DE012A" w:rsidRPr="000A3201">
        <w:rPr>
          <w:sz w:val="22"/>
          <w:szCs w:val="22"/>
        </w:rPr>
        <w:t xml:space="preserve">ότι έχουν αναφερθεί ως συμπτώματα απόσυρσης, θα πρέπει να γίνει αντιληπτό ότι αυτά τα </w:t>
      </w:r>
      <w:r w:rsidR="00DE012A" w:rsidRPr="000A3201">
        <w:rPr>
          <w:sz w:val="22"/>
          <w:szCs w:val="22"/>
        </w:rPr>
        <w:lastRenderedPageBreak/>
        <w:t>συμπτώματα μπορεί να σχετίζ</w:t>
      </w:r>
      <w:r w:rsidR="00CC18D2" w:rsidRPr="000A3201">
        <w:rPr>
          <w:sz w:val="22"/>
          <w:szCs w:val="22"/>
        </w:rPr>
        <w:t>ονται με την υποκείμενη νόσο</w:t>
      </w:r>
      <w:r w:rsidR="00DE012A" w:rsidRPr="000A3201">
        <w:rPr>
          <w:sz w:val="22"/>
          <w:szCs w:val="22"/>
        </w:rPr>
        <w:t>. Όπως συστήνεται στην παράγραφο 4.2</w:t>
      </w:r>
      <w:r w:rsidR="00CC18D2" w:rsidRPr="000A3201">
        <w:rPr>
          <w:sz w:val="22"/>
          <w:szCs w:val="22"/>
        </w:rPr>
        <w:t>,</w:t>
      </w:r>
      <w:r w:rsidR="00DE012A" w:rsidRPr="000A3201">
        <w:rPr>
          <w:sz w:val="22"/>
          <w:szCs w:val="22"/>
        </w:rPr>
        <w:t xml:space="preserve"> είναι προτιμότερο να διακόπτεται </w:t>
      </w:r>
      <w:r w:rsidR="00CC18D2" w:rsidRPr="000A3201">
        <w:rPr>
          <w:sz w:val="22"/>
          <w:szCs w:val="22"/>
        </w:rPr>
        <w:t xml:space="preserve">σταδιακά </w:t>
      </w:r>
      <w:r w:rsidR="00DE012A" w:rsidRPr="000A3201">
        <w:rPr>
          <w:sz w:val="22"/>
          <w:szCs w:val="22"/>
        </w:rPr>
        <w:t xml:space="preserve">η αγωγή με </w:t>
      </w:r>
      <w:r w:rsidR="00CA658D" w:rsidRPr="000A3201">
        <w:rPr>
          <w:sz w:val="22"/>
          <w:szCs w:val="22"/>
        </w:rPr>
        <w:t xml:space="preserve">τη </w:t>
      </w:r>
      <w:r w:rsidR="00DE012A" w:rsidRPr="000A3201">
        <w:rPr>
          <w:sz w:val="22"/>
          <w:szCs w:val="22"/>
        </w:rPr>
        <w:t xml:space="preserve">μιρταζαπίνη. </w:t>
      </w:r>
    </w:p>
    <w:p w:rsidR="001B0BF1" w:rsidRPr="000A3201" w:rsidRDefault="001B0BF1" w:rsidP="001B0BF1">
      <w:pPr>
        <w:ind w:left="720"/>
        <w:rPr>
          <w:sz w:val="22"/>
          <w:szCs w:val="22"/>
        </w:rPr>
      </w:pPr>
    </w:p>
    <w:p w:rsidR="001B0BF1" w:rsidRPr="000A3201" w:rsidRDefault="00723C9D" w:rsidP="001B0BF1">
      <w:pPr>
        <w:pStyle w:val="2"/>
        <w:numPr>
          <w:ilvl w:val="0"/>
          <w:numId w:val="13"/>
        </w:numPr>
        <w:tabs>
          <w:tab w:val="clear" w:pos="1080"/>
          <w:tab w:val="num" w:pos="1418"/>
        </w:tabs>
        <w:ind w:left="1418"/>
        <w:rPr>
          <w:sz w:val="22"/>
          <w:szCs w:val="22"/>
          <w:lang w:val="el-GR"/>
        </w:rPr>
      </w:pPr>
      <w:commentRangeStart w:id="4"/>
      <w:r w:rsidRPr="00723C9D">
        <w:rPr>
          <w:sz w:val="22"/>
          <w:szCs w:val="22"/>
          <w:lang w:val="el-GR"/>
        </w:rPr>
        <w:t>π</w:t>
      </w:r>
      <w:commentRangeEnd w:id="4"/>
      <w:r>
        <w:rPr>
          <w:rStyle w:val="aa"/>
          <w:lang w:val="el-GR" w:eastAsia="el-GR"/>
        </w:rPr>
        <w:commentReference w:id="4"/>
      </w:r>
      <w:r w:rsidR="005B3864" w:rsidRPr="000A3201">
        <w:rPr>
          <w:sz w:val="22"/>
          <w:szCs w:val="22"/>
          <w:lang w:val="el-GR"/>
        </w:rPr>
        <w:t>ροσοχή πρέπει να δίδεται σε ασθενείς με διαταραχές της ούρησης, όπως υπερτροφία του προστάτη και σε ασθενείς με οξύ γλαύκωμα κλειστής γωνίας και</w:t>
      </w:r>
      <w:r w:rsidR="00AF6F23" w:rsidRPr="000A3201">
        <w:rPr>
          <w:sz w:val="22"/>
          <w:szCs w:val="22"/>
          <w:lang w:val="el-GR"/>
        </w:rPr>
        <w:t xml:space="preserve"> αυξημένη ενδοφθάλμια πίεση (αν και</w:t>
      </w:r>
      <w:r w:rsidR="005B3864" w:rsidRPr="000A3201">
        <w:rPr>
          <w:sz w:val="22"/>
          <w:szCs w:val="22"/>
          <w:lang w:val="el-GR"/>
        </w:rPr>
        <w:t xml:space="preserve"> υπάρχει μικρή πιθανότητα προβλημάτων με </w:t>
      </w:r>
      <w:r w:rsidR="00AF6F23" w:rsidRPr="000A3201">
        <w:rPr>
          <w:sz w:val="22"/>
          <w:szCs w:val="22"/>
          <w:lang w:val="el-GR"/>
        </w:rPr>
        <w:t xml:space="preserve">τη </w:t>
      </w:r>
      <w:r w:rsidR="005B3864" w:rsidRPr="000A3201">
        <w:rPr>
          <w:sz w:val="22"/>
          <w:szCs w:val="22"/>
          <w:lang w:val="el-GR"/>
        </w:rPr>
        <w:t>μιρταζαπίνη</w:t>
      </w:r>
      <w:r w:rsidR="005B3864" w:rsidRPr="000A3201">
        <w:rPr>
          <w:color w:val="000000"/>
          <w:sz w:val="22"/>
          <w:szCs w:val="22"/>
          <w:lang w:val="el-GR" w:eastAsia="el-GR"/>
        </w:rPr>
        <w:t xml:space="preserve"> </w:t>
      </w:r>
      <w:r w:rsidR="005B3864" w:rsidRPr="000A3201">
        <w:rPr>
          <w:sz w:val="22"/>
          <w:szCs w:val="22"/>
          <w:lang w:val="el-GR"/>
        </w:rPr>
        <w:t xml:space="preserve">εξαιτίας της πολύ ασθενούς αντιχολινεργικής δράσης της). </w:t>
      </w:r>
    </w:p>
    <w:p w:rsidR="001B0BF1" w:rsidRPr="000A3201" w:rsidRDefault="001B0BF1" w:rsidP="001B0BF1">
      <w:pPr>
        <w:pStyle w:val="2"/>
        <w:tabs>
          <w:tab w:val="num" w:pos="1418"/>
        </w:tabs>
        <w:ind w:left="1418" w:firstLine="0"/>
        <w:rPr>
          <w:sz w:val="22"/>
          <w:szCs w:val="22"/>
          <w:lang w:val="el-GR"/>
        </w:rPr>
      </w:pPr>
    </w:p>
    <w:p w:rsidR="00327A1C" w:rsidRPr="00327A1C" w:rsidRDefault="001B0BF1" w:rsidP="00327A1C">
      <w:pPr>
        <w:tabs>
          <w:tab w:val="num" w:pos="1418"/>
        </w:tabs>
        <w:ind w:left="1418" w:hanging="360"/>
        <w:rPr>
          <w:sz w:val="22"/>
          <w:szCs w:val="22"/>
        </w:rPr>
      </w:pPr>
      <w:r w:rsidRPr="000A3201">
        <w:rPr>
          <w:sz w:val="22"/>
          <w:szCs w:val="22"/>
        </w:rPr>
        <w:t xml:space="preserve">- </w:t>
      </w:r>
      <w:r w:rsidRPr="000A3201">
        <w:rPr>
          <w:sz w:val="22"/>
          <w:szCs w:val="22"/>
        </w:rPr>
        <w:tab/>
      </w:r>
      <w:commentRangeStart w:id="5"/>
      <w:proofErr w:type="spellStart"/>
      <w:r w:rsidR="00723C9D" w:rsidRPr="00723C9D">
        <w:rPr>
          <w:sz w:val="22"/>
          <w:szCs w:val="22"/>
        </w:rPr>
        <w:t>α</w:t>
      </w:r>
      <w:commentRangeEnd w:id="5"/>
      <w:r w:rsidR="00723C9D">
        <w:rPr>
          <w:rStyle w:val="aa"/>
        </w:rPr>
        <w:commentReference w:id="5"/>
      </w:r>
      <w:r w:rsidR="005B3864" w:rsidRPr="000A3201">
        <w:rPr>
          <w:sz w:val="22"/>
          <w:szCs w:val="22"/>
        </w:rPr>
        <w:t>καθησία</w:t>
      </w:r>
      <w:proofErr w:type="spellEnd"/>
      <w:r w:rsidR="005B3864" w:rsidRPr="000A3201">
        <w:rPr>
          <w:sz w:val="22"/>
          <w:szCs w:val="22"/>
        </w:rPr>
        <w:t>/ψυχοκινητική ανησυχία: Η χρήση αντικαταθλιπτικών έχει συσχετιστεί με την ανάπτυξη ακαθησίας, η οποία χαρακτηρίζεται από μια υποκειμενικά δυσάρεστη ή ενοχλητική ανησυχία και ανάγκη για κίνηση</w:t>
      </w:r>
      <w:r w:rsidR="00AF6F23" w:rsidRPr="000A3201">
        <w:rPr>
          <w:sz w:val="22"/>
          <w:szCs w:val="22"/>
        </w:rPr>
        <w:t>,</w:t>
      </w:r>
      <w:r w:rsidR="005B3864" w:rsidRPr="000A3201">
        <w:rPr>
          <w:sz w:val="22"/>
          <w:szCs w:val="22"/>
        </w:rPr>
        <w:t xml:space="preserve"> η οποία συχνά συνοδεύεται </w:t>
      </w:r>
      <w:r w:rsidR="00AF6F23" w:rsidRPr="000A3201">
        <w:rPr>
          <w:sz w:val="22"/>
          <w:szCs w:val="22"/>
        </w:rPr>
        <w:t xml:space="preserve">από </w:t>
      </w:r>
      <w:r w:rsidR="005B3864" w:rsidRPr="000A3201">
        <w:rPr>
          <w:sz w:val="22"/>
          <w:szCs w:val="22"/>
        </w:rPr>
        <w:t>ανικανότητα του ασθενούς να καθίσει ή να μείνει ακίνητος. Αυτό είναι πιο πιθανό να συμβεί μέσα στις πρώτες εβδομάδες θεραπείας. Σε ασθενείς που ανέπτυξαν αυτά τα συμπτώματα, η αύξηση της δόσης μπορεί να είναι επιβλαβής.</w:t>
      </w:r>
      <w:r w:rsidR="00327A1C" w:rsidRPr="00327A1C">
        <w:t xml:space="preserve"> </w:t>
      </w:r>
    </w:p>
    <w:p w:rsidR="00327A1C" w:rsidRPr="00327A1C" w:rsidRDefault="00327A1C" w:rsidP="00327A1C">
      <w:pPr>
        <w:tabs>
          <w:tab w:val="num" w:pos="1418"/>
        </w:tabs>
        <w:ind w:left="1418" w:hanging="360"/>
        <w:rPr>
          <w:sz w:val="22"/>
          <w:szCs w:val="22"/>
        </w:rPr>
      </w:pPr>
    </w:p>
    <w:p w:rsidR="00865444" w:rsidRDefault="00327A1C" w:rsidP="00327A1C">
      <w:pPr>
        <w:tabs>
          <w:tab w:val="num" w:pos="1418"/>
        </w:tabs>
        <w:ind w:left="1418" w:hanging="360"/>
        <w:rPr>
          <w:sz w:val="22"/>
          <w:szCs w:val="22"/>
        </w:rPr>
      </w:pPr>
      <w:r w:rsidRPr="00327A1C">
        <w:rPr>
          <w:sz w:val="22"/>
          <w:szCs w:val="22"/>
        </w:rPr>
        <w:t>-</w:t>
      </w:r>
      <w:r w:rsidRPr="00327A1C">
        <w:rPr>
          <w:sz w:val="22"/>
          <w:szCs w:val="22"/>
        </w:rPr>
        <w:tab/>
      </w:r>
      <w:r w:rsidR="00173D8C">
        <w:rPr>
          <w:sz w:val="22"/>
          <w:szCs w:val="22"/>
        </w:rPr>
        <w:t xml:space="preserve">Παράταση του διαστήματος </w:t>
      </w:r>
      <w:r w:rsidRPr="00327A1C">
        <w:rPr>
          <w:sz w:val="22"/>
          <w:szCs w:val="22"/>
        </w:rPr>
        <w:t xml:space="preserve">QT: </w:t>
      </w:r>
      <w:r w:rsidR="00173D8C">
        <w:rPr>
          <w:sz w:val="22"/>
          <w:szCs w:val="22"/>
        </w:rPr>
        <w:t xml:space="preserve">Έχουν αναφερθεί με χρήση μετά από την κυκλοφορία της μιρταζαπίνης περιστατικά παράτασης του διαστήματος </w:t>
      </w:r>
      <w:r w:rsidRPr="00327A1C">
        <w:rPr>
          <w:sz w:val="22"/>
          <w:szCs w:val="22"/>
        </w:rPr>
        <w:t>QT</w:t>
      </w:r>
      <w:r w:rsidR="00173D8C">
        <w:rPr>
          <w:sz w:val="22"/>
          <w:szCs w:val="22"/>
        </w:rPr>
        <w:t>, κοιλιακής ταχυκαρδίας δίκην ριπιδίου</w:t>
      </w:r>
      <w:r w:rsidRPr="00327A1C">
        <w:rPr>
          <w:sz w:val="22"/>
          <w:szCs w:val="22"/>
        </w:rPr>
        <w:t xml:space="preserve"> </w:t>
      </w:r>
      <w:r w:rsidR="00173D8C">
        <w:rPr>
          <w:sz w:val="22"/>
          <w:szCs w:val="22"/>
        </w:rPr>
        <w:t>(</w:t>
      </w:r>
      <w:r w:rsidRPr="00327A1C">
        <w:rPr>
          <w:sz w:val="22"/>
          <w:szCs w:val="22"/>
        </w:rPr>
        <w:t>torsades de pointes</w:t>
      </w:r>
      <w:r w:rsidR="00173D8C">
        <w:rPr>
          <w:sz w:val="22"/>
          <w:szCs w:val="22"/>
        </w:rPr>
        <w:t>)</w:t>
      </w:r>
      <w:r w:rsidRPr="00327A1C">
        <w:rPr>
          <w:sz w:val="22"/>
          <w:szCs w:val="22"/>
        </w:rPr>
        <w:t>,</w:t>
      </w:r>
      <w:r w:rsidR="00173D8C">
        <w:rPr>
          <w:sz w:val="22"/>
          <w:szCs w:val="22"/>
        </w:rPr>
        <w:t xml:space="preserve"> κοιλιακή ταχυκαρδία και αιφνίδιος θάνατος. Οι αναφορές στην πλειονότητά τους συνδέονταν με υπερδοσολογία ή με ασθενείς που είχαν άλλους παράγοντες κινδύνου για παράταση του διαστήματος</w:t>
      </w:r>
      <w:r w:rsidRPr="00327A1C">
        <w:rPr>
          <w:sz w:val="22"/>
          <w:szCs w:val="22"/>
        </w:rPr>
        <w:t xml:space="preserve"> QT</w:t>
      </w:r>
      <w:r w:rsidR="00D13B55">
        <w:rPr>
          <w:sz w:val="22"/>
          <w:szCs w:val="22"/>
        </w:rPr>
        <w:t>, περιλαμβανομένης της ταυτόχρονης χρήσης φαρμάκων που παρατείνουν το</w:t>
      </w:r>
      <w:r w:rsidRPr="00327A1C">
        <w:rPr>
          <w:sz w:val="22"/>
          <w:szCs w:val="22"/>
        </w:rPr>
        <w:t xml:space="preserve"> QTc</w:t>
      </w:r>
      <w:r w:rsidR="00D13B55">
        <w:rPr>
          <w:sz w:val="22"/>
          <w:szCs w:val="22"/>
        </w:rPr>
        <w:t xml:space="preserve"> (βλ. παράγραφο</w:t>
      </w:r>
      <w:r w:rsidRPr="00327A1C">
        <w:rPr>
          <w:sz w:val="22"/>
          <w:szCs w:val="22"/>
        </w:rPr>
        <w:t xml:space="preserve"> 4.5</w:t>
      </w:r>
      <w:r w:rsidR="00D13B55">
        <w:rPr>
          <w:sz w:val="22"/>
          <w:szCs w:val="22"/>
        </w:rPr>
        <w:t xml:space="preserve"> και παράγραφο</w:t>
      </w:r>
      <w:r w:rsidRPr="00327A1C">
        <w:rPr>
          <w:sz w:val="22"/>
          <w:szCs w:val="22"/>
        </w:rPr>
        <w:t xml:space="preserve"> 4.9).</w:t>
      </w:r>
      <w:r w:rsidR="00D13B55">
        <w:rPr>
          <w:sz w:val="22"/>
          <w:szCs w:val="22"/>
        </w:rPr>
        <w:t xml:space="preserve"> Θα πρέπει να επιδεικνύεται προσοχή όταν η μιρταζαπίνη χορηγείται σε ασθενείς με διαγνωσμένη καρδιαγγειακή νόσο ή οικογενειακό ιστορικό παράτασης του διαστήματος</w:t>
      </w:r>
      <w:r w:rsidRPr="00327A1C">
        <w:rPr>
          <w:sz w:val="22"/>
          <w:szCs w:val="22"/>
        </w:rPr>
        <w:t xml:space="preserve"> QT</w:t>
      </w:r>
      <w:r w:rsidR="00D13B55">
        <w:rPr>
          <w:sz w:val="22"/>
          <w:szCs w:val="22"/>
        </w:rPr>
        <w:t>, καθώς και κατά την ταυτόχρονη χρήση με άλλα φαρμακευτικά προϊόντα που θεωρείται ότι παρατείνουν το διάστημα</w:t>
      </w:r>
      <w:r w:rsidRPr="00327A1C">
        <w:rPr>
          <w:sz w:val="22"/>
          <w:szCs w:val="22"/>
        </w:rPr>
        <w:t xml:space="preserve"> QTc.</w:t>
      </w:r>
    </w:p>
    <w:p w:rsidR="00865444" w:rsidRPr="000A3201" w:rsidRDefault="00865444" w:rsidP="006417B5">
      <w:pPr>
        <w:pStyle w:val="a7"/>
        <w:ind w:left="1418"/>
        <w:rPr>
          <w:sz w:val="22"/>
          <w:szCs w:val="22"/>
          <w:lang w:val="el-GR" w:eastAsia="el-GR"/>
        </w:rPr>
      </w:pPr>
    </w:p>
    <w:p w:rsidR="00251683" w:rsidRPr="000A3201" w:rsidRDefault="00251683" w:rsidP="006417B5">
      <w:pPr>
        <w:tabs>
          <w:tab w:val="left" w:pos="709"/>
        </w:tabs>
        <w:ind w:left="709"/>
        <w:rPr>
          <w:sz w:val="22"/>
          <w:szCs w:val="22"/>
          <w:u w:val="single"/>
        </w:rPr>
      </w:pPr>
      <w:r w:rsidRPr="000A3201">
        <w:rPr>
          <w:sz w:val="22"/>
          <w:szCs w:val="22"/>
          <w:u w:val="single"/>
        </w:rPr>
        <w:t>Υπονατριαιμία</w:t>
      </w:r>
    </w:p>
    <w:p w:rsidR="001B0BF1" w:rsidRPr="000A3201" w:rsidRDefault="00251683" w:rsidP="006417B5">
      <w:pPr>
        <w:tabs>
          <w:tab w:val="left" w:pos="709"/>
        </w:tabs>
        <w:ind w:left="709"/>
        <w:rPr>
          <w:sz w:val="22"/>
          <w:szCs w:val="22"/>
        </w:rPr>
      </w:pPr>
      <w:r w:rsidRPr="000A3201">
        <w:rPr>
          <w:sz w:val="22"/>
          <w:szCs w:val="22"/>
        </w:rPr>
        <w:t xml:space="preserve">Υπονατριαιμία, πιθανότατα εξαιτίας της </w:t>
      </w:r>
      <w:r w:rsidR="00CA658D" w:rsidRPr="000A3201">
        <w:rPr>
          <w:sz w:val="22"/>
          <w:szCs w:val="22"/>
        </w:rPr>
        <w:t xml:space="preserve">απρόσφορης </w:t>
      </w:r>
      <w:r w:rsidRPr="000A3201">
        <w:rPr>
          <w:sz w:val="22"/>
          <w:szCs w:val="22"/>
        </w:rPr>
        <w:t>έκκρισης της αντι-διουρητικής ορμόνης (</w:t>
      </w:r>
      <w:r w:rsidRPr="000A3201">
        <w:rPr>
          <w:sz w:val="22"/>
          <w:szCs w:val="22"/>
          <w:lang w:val="en-US"/>
        </w:rPr>
        <w:t>SIADH</w:t>
      </w:r>
      <w:r w:rsidRPr="000A3201">
        <w:rPr>
          <w:sz w:val="22"/>
          <w:szCs w:val="22"/>
        </w:rPr>
        <w:t xml:space="preserve">), έχει αναφερθεί πολύ σπάνια με τη χρήση της μιρταζαπίνης. Προσοχή απαιτείται με τους ασθενείς που βρίσκονται σε κίνδυνο, όπως </w:t>
      </w:r>
      <w:r w:rsidR="00FA676A" w:rsidRPr="000A3201">
        <w:rPr>
          <w:sz w:val="22"/>
          <w:szCs w:val="22"/>
        </w:rPr>
        <w:t xml:space="preserve">είναι οι </w:t>
      </w:r>
      <w:r w:rsidRPr="000A3201">
        <w:rPr>
          <w:sz w:val="22"/>
          <w:szCs w:val="22"/>
        </w:rPr>
        <w:t xml:space="preserve">ηλικιωμένοι ασθενείς ή </w:t>
      </w:r>
      <w:r w:rsidR="00FA676A" w:rsidRPr="000A3201">
        <w:rPr>
          <w:sz w:val="22"/>
          <w:szCs w:val="22"/>
        </w:rPr>
        <w:t xml:space="preserve">οι </w:t>
      </w:r>
      <w:r w:rsidRPr="000A3201">
        <w:rPr>
          <w:sz w:val="22"/>
          <w:szCs w:val="22"/>
        </w:rPr>
        <w:t>ασθενείς στους οποίους συγχορηγούνται φάρμακα τα οποία είναι γνωστό ότι προκαλούν υπονατριαιμία</w:t>
      </w:r>
      <w:r w:rsidRPr="000A3201">
        <w:rPr>
          <w:sz w:val="22"/>
          <w:szCs w:val="22"/>
          <w:u w:val="single"/>
        </w:rPr>
        <w:t xml:space="preserve">. </w:t>
      </w:r>
    </w:p>
    <w:p w:rsidR="001B0BF1" w:rsidRPr="000A3201" w:rsidRDefault="001B0BF1" w:rsidP="006417B5">
      <w:pPr>
        <w:tabs>
          <w:tab w:val="left" w:pos="709"/>
        </w:tabs>
        <w:ind w:left="709"/>
        <w:rPr>
          <w:sz w:val="22"/>
          <w:szCs w:val="22"/>
        </w:rPr>
      </w:pPr>
    </w:p>
    <w:p w:rsidR="00251683" w:rsidRPr="000A3201" w:rsidRDefault="00251683" w:rsidP="006417B5">
      <w:pPr>
        <w:tabs>
          <w:tab w:val="left" w:pos="709"/>
        </w:tabs>
        <w:ind w:left="709"/>
        <w:rPr>
          <w:sz w:val="22"/>
          <w:szCs w:val="22"/>
          <w:u w:val="single"/>
        </w:rPr>
      </w:pPr>
      <w:r w:rsidRPr="000A3201">
        <w:rPr>
          <w:sz w:val="22"/>
          <w:szCs w:val="22"/>
          <w:u w:val="single"/>
        </w:rPr>
        <w:t>Σεροτονινεργικό σύνδρομο</w:t>
      </w:r>
    </w:p>
    <w:p w:rsidR="001B0BF1" w:rsidRPr="000A3201" w:rsidRDefault="00251683" w:rsidP="006417B5">
      <w:pPr>
        <w:tabs>
          <w:tab w:val="left" w:pos="709"/>
        </w:tabs>
        <w:ind w:left="709"/>
        <w:rPr>
          <w:sz w:val="22"/>
          <w:szCs w:val="22"/>
        </w:rPr>
      </w:pPr>
      <w:r w:rsidRPr="000A3201">
        <w:rPr>
          <w:sz w:val="22"/>
          <w:szCs w:val="22"/>
        </w:rPr>
        <w:t>Αλληλεπί</w:t>
      </w:r>
      <w:r w:rsidR="00FA676A" w:rsidRPr="000A3201">
        <w:rPr>
          <w:sz w:val="22"/>
          <w:szCs w:val="22"/>
        </w:rPr>
        <w:t>δραση με σεροτονινεργικές δραστικές ουσίες</w:t>
      </w:r>
      <w:r w:rsidRPr="000A3201">
        <w:rPr>
          <w:sz w:val="22"/>
          <w:szCs w:val="22"/>
        </w:rPr>
        <w:t>: σεροτονινεργικό σύνδρομο μπορεί να εμφανιστεί όταν εκλεκτικοί αναστολείς επαναπρόσληψης σεροτονίνης (</w:t>
      </w:r>
      <w:r w:rsidRPr="000A3201">
        <w:rPr>
          <w:sz w:val="22"/>
          <w:szCs w:val="22"/>
          <w:lang w:val="en-US"/>
        </w:rPr>
        <w:t>SSRIs</w:t>
      </w:r>
      <w:r w:rsidRPr="000A3201">
        <w:rPr>
          <w:sz w:val="22"/>
          <w:szCs w:val="22"/>
        </w:rPr>
        <w:t xml:space="preserve">) </w:t>
      </w:r>
      <w:r w:rsidR="00FA676A" w:rsidRPr="000A3201">
        <w:rPr>
          <w:sz w:val="22"/>
          <w:szCs w:val="22"/>
        </w:rPr>
        <w:t xml:space="preserve">χρησιμοποιούνται </w:t>
      </w:r>
      <w:r w:rsidRPr="000A3201">
        <w:rPr>
          <w:sz w:val="22"/>
          <w:szCs w:val="22"/>
        </w:rPr>
        <w:t xml:space="preserve">σε συνδυασμό με </w:t>
      </w:r>
      <w:r w:rsidR="00FA676A" w:rsidRPr="000A3201">
        <w:rPr>
          <w:sz w:val="22"/>
          <w:szCs w:val="22"/>
        </w:rPr>
        <w:t>άλλες σεροτονινεργικές δραστικές ουσίες</w:t>
      </w:r>
      <w:r w:rsidRPr="000A3201">
        <w:rPr>
          <w:sz w:val="22"/>
          <w:szCs w:val="22"/>
        </w:rPr>
        <w:t xml:space="preserve"> (βλ</w:t>
      </w:r>
      <w:r w:rsidR="002D5AF1" w:rsidRPr="000A3201">
        <w:rPr>
          <w:sz w:val="22"/>
          <w:szCs w:val="22"/>
        </w:rPr>
        <w:t>.</w:t>
      </w:r>
      <w:r w:rsidRPr="000A3201">
        <w:rPr>
          <w:sz w:val="22"/>
          <w:szCs w:val="22"/>
        </w:rPr>
        <w:t xml:space="preserve"> παράγραφο 4.5). Τα συμπτώματα του σεροτονινεργικού συνδρόμου μπορεί να είναι υπερθερμία, </w:t>
      </w:r>
      <w:r w:rsidR="00FA676A" w:rsidRPr="000A3201">
        <w:rPr>
          <w:sz w:val="22"/>
          <w:szCs w:val="22"/>
        </w:rPr>
        <w:t>δυσκαμψία, μυόκλωνος</w:t>
      </w:r>
      <w:r w:rsidRPr="000A3201">
        <w:rPr>
          <w:sz w:val="22"/>
          <w:szCs w:val="22"/>
        </w:rPr>
        <w:t xml:space="preserve">, αστάθεια </w:t>
      </w:r>
      <w:r w:rsidR="00FA676A" w:rsidRPr="000A3201">
        <w:rPr>
          <w:sz w:val="22"/>
          <w:szCs w:val="22"/>
        </w:rPr>
        <w:t xml:space="preserve">του αυτόνομου νευρικού συστήματος </w:t>
      </w:r>
      <w:r w:rsidRPr="000A3201">
        <w:rPr>
          <w:sz w:val="22"/>
          <w:szCs w:val="22"/>
        </w:rPr>
        <w:t xml:space="preserve">με πιθανές </w:t>
      </w:r>
      <w:r w:rsidR="00FA676A" w:rsidRPr="000A3201">
        <w:rPr>
          <w:sz w:val="22"/>
          <w:szCs w:val="22"/>
        </w:rPr>
        <w:t xml:space="preserve">ταχείες </w:t>
      </w:r>
      <w:r w:rsidRPr="000A3201">
        <w:rPr>
          <w:sz w:val="22"/>
          <w:szCs w:val="22"/>
        </w:rPr>
        <w:t>διακ</w:t>
      </w:r>
      <w:r w:rsidR="00FA676A" w:rsidRPr="000A3201">
        <w:rPr>
          <w:sz w:val="22"/>
          <w:szCs w:val="22"/>
        </w:rPr>
        <w:t>υμάνσεις των ζωτικών σημείων</w:t>
      </w:r>
      <w:r w:rsidRPr="000A3201">
        <w:rPr>
          <w:sz w:val="22"/>
          <w:szCs w:val="22"/>
        </w:rPr>
        <w:t>,</w:t>
      </w:r>
      <w:r w:rsidR="00147B4D" w:rsidRPr="000A3201">
        <w:rPr>
          <w:sz w:val="22"/>
          <w:szCs w:val="22"/>
        </w:rPr>
        <w:t xml:space="preserve"> αλλαγή της νοητικής κατάστασης</w:t>
      </w:r>
      <w:r w:rsidRPr="000A3201">
        <w:rPr>
          <w:sz w:val="22"/>
          <w:szCs w:val="22"/>
        </w:rPr>
        <w:t xml:space="preserve"> που περιλαμβάνει σύγχυση, ευερεθιστότητα και με μεγάλη διέγ</w:t>
      </w:r>
      <w:r w:rsidR="00FA676A" w:rsidRPr="000A3201">
        <w:rPr>
          <w:sz w:val="22"/>
          <w:szCs w:val="22"/>
        </w:rPr>
        <w:t>ερση που εξελίσσεται σε παραλήρημα</w:t>
      </w:r>
      <w:r w:rsidRPr="000A3201">
        <w:rPr>
          <w:sz w:val="22"/>
          <w:szCs w:val="22"/>
        </w:rPr>
        <w:t xml:space="preserve"> και κώμα.</w:t>
      </w:r>
      <w:r w:rsidR="00262EA2" w:rsidRPr="000A3201">
        <w:rPr>
          <w:sz w:val="22"/>
          <w:szCs w:val="22"/>
          <w:u w:val="single"/>
          <w:lang w:eastAsia="en-US"/>
        </w:rPr>
        <w:t xml:space="preserve"> </w:t>
      </w:r>
      <w:r w:rsidR="00C369FF" w:rsidRPr="00AA1AB4">
        <w:rPr>
          <w:sz w:val="22"/>
          <w:szCs w:val="22"/>
          <w:lang w:eastAsia="en-US"/>
        </w:rPr>
        <w:t>Συνιστάται προσοχή και απαιτείται στενότερη κλινική παρακολούθηση όταν αυτές οι δραστικές ουσίες λαμβάνονται σε συνδυασμό με μιρταζαπίνη. Η θεραπεία με τη μιρταζαπίνη</w:t>
      </w:r>
      <w:r w:rsidR="00C369FF" w:rsidRPr="00AA1AB4">
        <w:rPr>
          <w:sz w:val="22"/>
          <w:szCs w:val="22"/>
        </w:rPr>
        <w:t xml:space="preserve"> θα πρέπει να διακόπτεται εάν σημειωθούν τα παραπάνω συμβάντα και θα πρέπει να ξεκινά</w:t>
      </w:r>
      <w:r w:rsidR="00311EC6" w:rsidRPr="000A3201">
        <w:rPr>
          <w:sz w:val="22"/>
          <w:szCs w:val="22"/>
          <w:u w:val="single"/>
        </w:rPr>
        <w:t xml:space="preserve"> </w:t>
      </w:r>
      <w:r w:rsidR="00C369FF" w:rsidRPr="00AA1AB4">
        <w:rPr>
          <w:sz w:val="22"/>
          <w:szCs w:val="22"/>
        </w:rPr>
        <w:t>υποστηρικτική συμπτωματική θεραπεία.</w:t>
      </w:r>
      <w:r w:rsidRPr="000A3201">
        <w:rPr>
          <w:sz w:val="22"/>
          <w:szCs w:val="22"/>
        </w:rPr>
        <w:t xml:space="preserve"> Από την εμπειρία μετά την κυκλοφορία φαίνεται ότι το σεροτονινεργικό σύνδρομο εμφανίζεται πολύ σπάνια σε ασθενείς που </w:t>
      </w:r>
      <w:r w:rsidR="00FC2377" w:rsidRPr="000A3201">
        <w:rPr>
          <w:sz w:val="22"/>
          <w:szCs w:val="22"/>
        </w:rPr>
        <w:t xml:space="preserve">λαμβάνουν αγωγή </w:t>
      </w:r>
      <w:r w:rsidRPr="000A3201">
        <w:rPr>
          <w:sz w:val="22"/>
          <w:szCs w:val="22"/>
        </w:rPr>
        <w:t>μόνο με μιρταζαπίνη (βλ</w:t>
      </w:r>
      <w:r w:rsidR="00311EC6" w:rsidRPr="000A3201">
        <w:rPr>
          <w:sz w:val="22"/>
          <w:szCs w:val="22"/>
        </w:rPr>
        <w:t>.</w:t>
      </w:r>
      <w:r w:rsidRPr="000A3201">
        <w:rPr>
          <w:sz w:val="22"/>
          <w:szCs w:val="22"/>
        </w:rPr>
        <w:t xml:space="preserve"> παράγραφο 4.8).</w:t>
      </w:r>
      <w:r w:rsidR="001B0BF1" w:rsidRPr="000A3201">
        <w:rPr>
          <w:sz w:val="22"/>
          <w:szCs w:val="22"/>
        </w:rPr>
        <w:t xml:space="preserve"> </w:t>
      </w:r>
    </w:p>
    <w:p w:rsidR="001B0BF1" w:rsidRPr="000A3201" w:rsidRDefault="001B0BF1" w:rsidP="006417B5">
      <w:pPr>
        <w:tabs>
          <w:tab w:val="left" w:pos="709"/>
        </w:tabs>
        <w:ind w:left="709"/>
        <w:rPr>
          <w:sz w:val="22"/>
          <w:szCs w:val="22"/>
          <w:u w:val="single"/>
        </w:rPr>
      </w:pPr>
    </w:p>
    <w:p w:rsidR="00251683" w:rsidRPr="000A3201" w:rsidRDefault="00D13B55" w:rsidP="006417B5">
      <w:pPr>
        <w:tabs>
          <w:tab w:val="left" w:pos="709"/>
        </w:tabs>
        <w:ind w:left="709"/>
        <w:rPr>
          <w:sz w:val="22"/>
          <w:szCs w:val="22"/>
          <w:u w:val="single"/>
        </w:rPr>
      </w:pPr>
      <w:r>
        <w:rPr>
          <w:sz w:val="22"/>
          <w:szCs w:val="22"/>
          <w:u w:val="single"/>
        </w:rPr>
        <w:t>Υπερήλικες</w:t>
      </w:r>
    </w:p>
    <w:p w:rsidR="001B0BF1" w:rsidRPr="000A3201" w:rsidRDefault="00251683" w:rsidP="006417B5">
      <w:pPr>
        <w:tabs>
          <w:tab w:val="left" w:pos="709"/>
        </w:tabs>
        <w:ind w:left="709"/>
        <w:rPr>
          <w:sz w:val="22"/>
          <w:szCs w:val="22"/>
        </w:rPr>
      </w:pPr>
      <w:r w:rsidRPr="000A3201">
        <w:rPr>
          <w:sz w:val="22"/>
          <w:szCs w:val="22"/>
        </w:rPr>
        <w:lastRenderedPageBreak/>
        <w:t xml:space="preserve">Οι </w:t>
      </w:r>
      <w:r w:rsidR="00D13B55">
        <w:rPr>
          <w:sz w:val="22"/>
          <w:szCs w:val="22"/>
        </w:rPr>
        <w:t>υπερήλικες</w:t>
      </w:r>
      <w:r w:rsidRPr="000A3201">
        <w:rPr>
          <w:sz w:val="22"/>
          <w:szCs w:val="22"/>
        </w:rPr>
        <w:t xml:space="preserve"> είναι συχνά περισσότερο ευαίσθητοι, ιδιαίτερα όσο αφορά στις ανεπιθύμητες ενέργειες των αντικαταθλιπτικών. Κατά τη διάρκεια των κλι</w:t>
      </w:r>
      <w:r w:rsidR="001D0BB1" w:rsidRPr="000A3201">
        <w:rPr>
          <w:sz w:val="22"/>
          <w:szCs w:val="22"/>
        </w:rPr>
        <w:t>νικών μελετών με μιρταζαπίνη</w:t>
      </w:r>
      <w:r w:rsidRPr="000A3201">
        <w:rPr>
          <w:sz w:val="22"/>
          <w:szCs w:val="22"/>
        </w:rPr>
        <w:t>, δεν παρατηρήθηκαν περισσότερες ανεπιθύμητες ενέργειες στους ηλικιωμένους ασθενείς σε σύγκριση με άλλες ηλικιακές ομάδες.</w:t>
      </w:r>
    </w:p>
    <w:p w:rsidR="001B0BF1" w:rsidRPr="000A3201" w:rsidRDefault="001B0BF1" w:rsidP="001B0BF1">
      <w:pPr>
        <w:ind w:left="720"/>
        <w:rPr>
          <w:sz w:val="22"/>
          <w:szCs w:val="22"/>
        </w:rPr>
      </w:pPr>
    </w:p>
    <w:p w:rsidR="001B0BF1" w:rsidRPr="000A3201" w:rsidRDefault="00A33084" w:rsidP="001B0BF1">
      <w:pPr>
        <w:ind w:left="720"/>
        <w:rPr>
          <w:sz w:val="22"/>
          <w:szCs w:val="22"/>
          <w:u w:val="single"/>
        </w:rPr>
      </w:pPr>
      <w:r w:rsidRPr="000A3201">
        <w:rPr>
          <w:sz w:val="22"/>
          <w:szCs w:val="22"/>
          <w:u w:val="single"/>
        </w:rPr>
        <w:t>Λακτόζη</w:t>
      </w:r>
    </w:p>
    <w:p w:rsidR="00865444" w:rsidRPr="000A3201" w:rsidRDefault="00A33084" w:rsidP="001B0BF1">
      <w:pPr>
        <w:ind w:left="720"/>
        <w:rPr>
          <w:sz w:val="22"/>
          <w:szCs w:val="22"/>
        </w:rPr>
      </w:pPr>
      <w:r w:rsidRPr="000A3201">
        <w:rPr>
          <w:sz w:val="22"/>
          <w:szCs w:val="22"/>
        </w:rPr>
        <w:t>Αυτό το φαρμακευτικό προϊόν περιέχει λακτόζη</w:t>
      </w:r>
      <w:r w:rsidR="001B0BF1" w:rsidRPr="000A3201">
        <w:rPr>
          <w:sz w:val="22"/>
          <w:szCs w:val="22"/>
        </w:rPr>
        <w:t xml:space="preserve">. </w:t>
      </w:r>
      <w:r w:rsidR="00865444" w:rsidRPr="000A3201">
        <w:rPr>
          <w:sz w:val="22"/>
          <w:szCs w:val="22"/>
        </w:rPr>
        <w:t xml:space="preserve">Ασθενείς με σπάνια κληρονομικά προβλήματα δυσανεξίας στη γαλακτόζη, ανεπάρκειας Lapp λακτάσης ή δυσαπορρόφησης γλυκόζης - γαλακτόζης δεν θα πρέπει να λαμβάνουν αυτό το φαρμακευτικό προϊόν.  </w:t>
      </w:r>
    </w:p>
    <w:p w:rsidR="00865444" w:rsidRPr="000A3201" w:rsidRDefault="00865444" w:rsidP="00865444">
      <w:pPr>
        <w:ind w:left="720"/>
        <w:rPr>
          <w:sz w:val="22"/>
          <w:szCs w:val="22"/>
        </w:rPr>
      </w:pPr>
    </w:p>
    <w:p w:rsidR="00865444" w:rsidRPr="000A3201" w:rsidRDefault="00865444" w:rsidP="00865444">
      <w:pPr>
        <w:ind w:left="720" w:hanging="720"/>
        <w:rPr>
          <w:b/>
          <w:sz w:val="22"/>
          <w:szCs w:val="22"/>
        </w:rPr>
      </w:pPr>
      <w:r w:rsidRPr="000A3201">
        <w:rPr>
          <w:b/>
          <w:sz w:val="22"/>
          <w:szCs w:val="22"/>
        </w:rPr>
        <w:t>4.5</w:t>
      </w:r>
      <w:r w:rsidRPr="000A3201">
        <w:rPr>
          <w:b/>
          <w:sz w:val="22"/>
          <w:szCs w:val="22"/>
        </w:rPr>
        <w:tab/>
        <w:t xml:space="preserve">Αλληλεπιδράσεις με άλλα φαρμακευτικά προϊόντα και άλλες μορφές αλληλεπίδρασης </w:t>
      </w:r>
    </w:p>
    <w:p w:rsidR="00865444" w:rsidRPr="000A3201" w:rsidRDefault="00865444" w:rsidP="00865444">
      <w:pPr>
        <w:rPr>
          <w:sz w:val="22"/>
          <w:szCs w:val="22"/>
        </w:rPr>
      </w:pPr>
    </w:p>
    <w:p w:rsidR="00865444" w:rsidRPr="00AA1AB4" w:rsidRDefault="00C369FF" w:rsidP="00865444">
      <w:pPr>
        <w:widowControl w:val="0"/>
        <w:autoSpaceDE w:val="0"/>
        <w:autoSpaceDN w:val="0"/>
        <w:adjustRightInd w:val="0"/>
        <w:spacing w:line="273" w:lineRule="atLeast"/>
        <w:ind w:left="567"/>
        <w:rPr>
          <w:iCs/>
          <w:sz w:val="22"/>
          <w:szCs w:val="22"/>
          <w:u w:val="single"/>
        </w:rPr>
      </w:pPr>
      <w:r w:rsidRPr="00AA1AB4">
        <w:rPr>
          <w:iCs/>
          <w:sz w:val="22"/>
          <w:szCs w:val="22"/>
          <w:u w:val="single"/>
        </w:rPr>
        <w:t>Φαρμακοδυναμικές αλληλεπιδράσεις</w:t>
      </w:r>
    </w:p>
    <w:p w:rsidR="00865444" w:rsidRPr="000A3201" w:rsidRDefault="00865444" w:rsidP="00865444">
      <w:pPr>
        <w:widowControl w:val="0"/>
        <w:autoSpaceDE w:val="0"/>
        <w:autoSpaceDN w:val="0"/>
        <w:adjustRightInd w:val="0"/>
        <w:spacing w:line="273" w:lineRule="atLeast"/>
        <w:ind w:left="567"/>
        <w:rPr>
          <w:i/>
          <w:iCs/>
          <w:sz w:val="22"/>
          <w:szCs w:val="22"/>
          <w:u w:val="single"/>
        </w:rPr>
      </w:pPr>
    </w:p>
    <w:p w:rsidR="00F87A3E" w:rsidRPr="000A3201" w:rsidRDefault="00865444" w:rsidP="00F87A3E">
      <w:pPr>
        <w:widowControl w:val="0"/>
        <w:autoSpaceDE w:val="0"/>
        <w:autoSpaceDN w:val="0"/>
        <w:adjustRightInd w:val="0"/>
        <w:spacing w:line="268" w:lineRule="atLeast"/>
        <w:ind w:left="567"/>
        <w:rPr>
          <w:sz w:val="22"/>
          <w:szCs w:val="22"/>
        </w:rPr>
      </w:pPr>
      <w:r w:rsidRPr="000A3201">
        <w:rPr>
          <w:sz w:val="22"/>
          <w:szCs w:val="22"/>
        </w:rPr>
        <w:t>Η μιρταζαπίνη δεν πρέπει να χορηγείται ταυτόχρονα με αναστολείς ΜΑΟ ή εντός δύο εβδομάδων μετά από τη διακοπή της θεραπείας με αναστολείς ΜΑΟ.</w:t>
      </w:r>
      <w:r w:rsidR="00F87A3E" w:rsidRPr="000A3201">
        <w:rPr>
          <w:sz w:val="22"/>
          <w:szCs w:val="22"/>
          <w:lang w:eastAsia="en-US"/>
        </w:rPr>
        <w:t xml:space="preserve"> </w:t>
      </w:r>
      <w:r w:rsidR="00276EA1" w:rsidRPr="000A3201">
        <w:rPr>
          <w:sz w:val="22"/>
          <w:szCs w:val="22"/>
          <w:lang w:eastAsia="en-US"/>
        </w:rPr>
        <w:t xml:space="preserve">Σε αντίθετη περίπτωση, </w:t>
      </w:r>
      <w:r w:rsidR="00FC2377" w:rsidRPr="000A3201">
        <w:rPr>
          <w:sz w:val="22"/>
          <w:szCs w:val="22"/>
          <w:lang w:eastAsia="en-US"/>
        </w:rPr>
        <w:t xml:space="preserve">πρέπει να παρέλθει </w:t>
      </w:r>
      <w:r w:rsidR="00276EA1" w:rsidRPr="000A3201">
        <w:rPr>
          <w:sz w:val="22"/>
          <w:szCs w:val="22"/>
          <w:lang w:eastAsia="en-US"/>
        </w:rPr>
        <w:t>διάστημα δύο εβδομάδων πριν ο ασθενής που διέκοψε τη θεραπεία με μιρταζαπίνη λάβει θεραπεία με αναστολείς ΜΑΟ (βλ</w:t>
      </w:r>
      <w:r w:rsidR="00311EC6" w:rsidRPr="000A3201">
        <w:rPr>
          <w:sz w:val="22"/>
          <w:szCs w:val="22"/>
          <w:lang w:eastAsia="en-US"/>
        </w:rPr>
        <w:t>.</w:t>
      </w:r>
      <w:r w:rsidR="00276EA1" w:rsidRPr="000A3201">
        <w:rPr>
          <w:sz w:val="22"/>
          <w:szCs w:val="22"/>
          <w:lang w:eastAsia="en-US"/>
        </w:rPr>
        <w:t xml:space="preserve"> παράγραφο 4.3).</w:t>
      </w:r>
      <w:r w:rsidR="00F87A3E" w:rsidRPr="000A3201">
        <w:rPr>
          <w:sz w:val="22"/>
          <w:szCs w:val="22"/>
        </w:rPr>
        <w:t xml:space="preserve"> </w:t>
      </w:r>
    </w:p>
    <w:p w:rsidR="00F87A3E" w:rsidRPr="000A3201" w:rsidRDefault="00276EA1" w:rsidP="00F87A3E">
      <w:pPr>
        <w:widowControl w:val="0"/>
        <w:autoSpaceDE w:val="0"/>
        <w:autoSpaceDN w:val="0"/>
        <w:adjustRightInd w:val="0"/>
        <w:spacing w:line="268" w:lineRule="atLeast"/>
        <w:ind w:left="567"/>
        <w:rPr>
          <w:sz w:val="22"/>
          <w:szCs w:val="22"/>
        </w:rPr>
      </w:pPr>
      <w:r w:rsidRPr="000A3201">
        <w:rPr>
          <w:sz w:val="22"/>
          <w:szCs w:val="22"/>
        </w:rPr>
        <w:t xml:space="preserve">Επιπρόσθετα, όπως και με τους </w:t>
      </w:r>
      <w:r w:rsidRPr="000A3201">
        <w:rPr>
          <w:sz w:val="22"/>
          <w:szCs w:val="22"/>
          <w:lang w:val="en-US"/>
        </w:rPr>
        <w:t>SSRIs</w:t>
      </w:r>
      <w:r w:rsidRPr="000A3201">
        <w:rPr>
          <w:sz w:val="22"/>
          <w:szCs w:val="22"/>
        </w:rPr>
        <w:t>,</w:t>
      </w:r>
      <w:r w:rsidR="00FC2377" w:rsidRPr="000A3201">
        <w:rPr>
          <w:sz w:val="22"/>
          <w:szCs w:val="22"/>
        </w:rPr>
        <w:t xml:space="preserve"> η συγχορήγηση με άλλες σεροτονινεργικές δραστικές ουσίες </w:t>
      </w:r>
      <w:r w:rsidR="00BD52EB" w:rsidRPr="000A3201">
        <w:rPr>
          <w:sz w:val="22"/>
          <w:szCs w:val="22"/>
        </w:rPr>
        <w:t>(</w:t>
      </w:r>
      <w:r w:rsidR="00BD52EB" w:rsidRPr="000A3201">
        <w:rPr>
          <w:sz w:val="22"/>
          <w:szCs w:val="22"/>
          <w:lang w:val="en-US"/>
        </w:rPr>
        <w:t>L</w:t>
      </w:r>
      <w:r w:rsidR="00BD52EB" w:rsidRPr="000A3201">
        <w:rPr>
          <w:sz w:val="22"/>
          <w:szCs w:val="22"/>
        </w:rPr>
        <w:t xml:space="preserve">-τριπτοφάνη, τριπτάνες, τραμαδόλη, λινεζολίδη, </w:t>
      </w:r>
      <w:r w:rsidR="00327A1C">
        <w:rPr>
          <w:sz w:val="22"/>
          <w:szCs w:val="22"/>
        </w:rPr>
        <w:t xml:space="preserve">κυανό μεθυλενίου, </w:t>
      </w:r>
      <w:r w:rsidR="00BD52EB" w:rsidRPr="000A3201">
        <w:rPr>
          <w:sz w:val="22"/>
          <w:szCs w:val="22"/>
          <w:lang w:val="en-US"/>
        </w:rPr>
        <w:t>SSRIs</w:t>
      </w:r>
      <w:r w:rsidR="00BD52EB" w:rsidRPr="000A3201">
        <w:rPr>
          <w:sz w:val="22"/>
          <w:szCs w:val="22"/>
        </w:rPr>
        <w:t xml:space="preserve">, </w:t>
      </w:r>
      <w:r w:rsidR="00FC2377" w:rsidRPr="000A3201">
        <w:rPr>
          <w:sz w:val="22"/>
          <w:szCs w:val="22"/>
        </w:rPr>
        <w:t>βενλαφ</w:t>
      </w:r>
      <w:r w:rsidR="00BD52EB" w:rsidRPr="000A3201">
        <w:rPr>
          <w:sz w:val="22"/>
          <w:szCs w:val="22"/>
        </w:rPr>
        <w:t>αξίνη, λίθιο</w:t>
      </w:r>
      <w:r w:rsidRPr="000A3201">
        <w:rPr>
          <w:sz w:val="22"/>
          <w:szCs w:val="22"/>
        </w:rPr>
        <w:t xml:space="preserve"> και </w:t>
      </w:r>
      <w:r w:rsidR="00BD52EB" w:rsidRPr="000A3201">
        <w:rPr>
          <w:sz w:val="22"/>
          <w:szCs w:val="22"/>
        </w:rPr>
        <w:t xml:space="preserve">σκευάσματα με </w:t>
      </w:r>
      <w:r w:rsidRPr="000A3201">
        <w:rPr>
          <w:sz w:val="22"/>
          <w:szCs w:val="22"/>
          <w:lang w:val="en-US"/>
        </w:rPr>
        <w:t>St</w:t>
      </w:r>
      <w:r w:rsidRPr="000A3201">
        <w:rPr>
          <w:sz w:val="22"/>
          <w:szCs w:val="22"/>
        </w:rPr>
        <w:t xml:space="preserve">. </w:t>
      </w:r>
      <w:r w:rsidRPr="000A3201">
        <w:rPr>
          <w:sz w:val="22"/>
          <w:szCs w:val="22"/>
          <w:lang w:val="en-US"/>
        </w:rPr>
        <w:t>John</w:t>
      </w:r>
      <w:r w:rsidRPr="000A3201">
        <w:rPr>
          <w:sz w:val="22"/>
          <w:szCs w:val="22"/>
        </w:rPr>
        <w:t>'</w:t>
      </w:r>
      <w:r w:rsidRPr="000A3201">
        <w:rPr>
          <w:sz w:val="22"/>
          <w:szCs w:val="22"/>
          <w:lang w:val="en-US"/>
        </w:rPr>
        <w:t>s</w:t>
      </w:r>
      <w:r w:rsidRPr="000A3201">
        <w:rPr>
          <w:sz w:val="22"/>
          <w:szCs w:val="22"/>
        </w:rPr>
        <w:t xml:space="preserve"> </w:t>
      </w:r>
      <w:r w:rsidRPr="000A3201">
        <w:rPr>
          <w:sz w:val="22"/>
          <w:szCs w:val="22"/>
          <w:lang w:val="en-US"/>
        </w:rPr>
        <w:t>Wort</w:t>
      </w:r>
      <w:r w:rsidRPr="000A3201">
        <w:rPr>
          <w:sz w:val="22"/>
          <w:szCs w:val="22"/>
        </w:rPr>
        <w:t xml:space="preserve"> -</w:t>
      </w:r>
      <w:proofErr w:type="spellStart"/>
      <w:r w:rsidRPr="000A3201">
        <w:rPr>
          <w:sz w:val="22"/>
          <w:szCs w:val="22"/>
          <w:lang w:val="en-US"/>
        </w:rPr>
        <w:t>Hypericum</w:t>
      </w:r>
      <w:proofErr w:type="spellEnd"/>
      <w:r w:rsidRPr="000A3201">
        <w:rPr>
          <w:sz w:val="22"/>
          <w:szCs w:val="22"/>
        </w:rPr>
        <w:t xml:space="preserve"> </w:t>
      </w:r>
      <w:proofErr w:type="spellStart"/>
      <w:r w:rsidRPr="000A3201">
        <w:rPr>
          <w:sz w:val="22"/>
          <w:szCs w:val="22"/>
          <w:lang w:val="en-US"/>
        </w:rPr>
        <w:t>perforatum</w:t>
      </w:r>
      <w:proofErr w:type="spellEnd"/>
      <w:r w:rsidRPr="000A3201">
        <w:rPr>
          <w:sz w:val="22"/>
          <w:szCs w:val="22"/>
        </w:rPr>
        <w:t xml:space="preserve">-) μπορεί να οδηγήσει σε εμφάνιση </w:t>
      </w:r>
      <w:proofErr w:type="spellStart"/>
      <w:r w:rsidRPr="000A3201">
        <w:rPr>
          <w:sz w:val="22"/>
          <w:szCs w:val="22"/>
        </w:rPr>
        <w:t>σεροτονινεργικού</w:t>
      </w:r>
      <w:proofErr w:type="spellEnd"/>
      <w:r w:rsidRPr="000A3201">
        <w:rPr>
          <w:sz w:val="22"/>
          <w:szCs w:val="22"/>
        </w:rPr>
        <w:t xml:space="preserve"> τύπου ενεργειών (</w:t>
      </w:r>
      <w:proofErr w:type="spellStart"/>
      <w:r w:rsidRPr="000A3201">
        <w:rPr>
          <w:sz w:val="22"/>
          <w:szCs w:val="22"/>
        </w:rPr>
        <w:t>σεροτονινεργικό</w:t>
      </w:r>
      <w:proofErr w:type="spellEnd"/>
      <w:r w:rsidRPr="000A3201">
        <w:rPr>
          <w:sz w:val="22"/>
          <w:szCs w:val="22"/>
        </w:rPr>
        <w:t xml:space="preserve"> σύνδρομο: βλ</w:t>
      </w:r>
      <w:r w:rsidR="00311EC6" w:rsidRPr="000A3201">
        <w:rPr>
          <w:sz w:val="22"/>
          <w:szCs w:val="22"/>
        </w:rPr>
        <w:t>.</w:t>
      </w:r>
      <w:r w:rsidRPr="000A3201">
        <w:rPr>
          <w:sz w:val="22"/>
          <w:szCs w:val="22"/>
        </w:rPr>
        <w:t xml:space="preserve"> παράγραφο 4.4). Συνιστάται προσοχή και είναι απαραίτητη </w:t>
      </w:r>
      <w:r w:rsidR="00FC2377" w:rsidRPr="000A3201">
        <w:rPr>
          <w:sz w:val="22"/>
          <w:szCs w:val="22"/>
        </w:rPr>
        <w:t xml:space="preserve">στενότερη </w:t>
      </w:r>
      <w:r w:rsidRPr="000A3201">
        <w:rPr>
          <w:sz w:val="22"/>
          <w:szCs w:val="22"/>
        </w:rPr>
        <w:t xml:space="preserve">παρακολούθηση όταν αυτές οι </w:t>
      </w:r>
      <w:r w:rsidR="00FC2377" w:rsidRPr="000A3201">
        <w:rPr>
          <w:sz w:val="22"/>
          <w:szCs w:val="22"/>
        </w:rPr>
        <w:t xml:space="preserve">δραστικές </w:t>
      </w:r>
      <w:r w:rsidRPr="000A3201">
        <w:rPr>
          <w:sz w:val="22"/>
          <w:szCs w:val="22"/>
        </w:rPr>
        <w:t>ουσίες συνδυάζονται με τη μιρταζαπίνη.</w:t>
      </w:r>
    </w:p>
    <w:p w:rsidR="00865444" w:rsidRPr="000A3201" w:rsidRDefault="00865444" w:rsidP="00865444">
      <w:pPr>
        <w:widowControl w:val="0"/>
        <w:autoSpaceDE w:val="0"/>
        <w:autoSpaceDN w:val="0"/>
        <w:adjustRightInd w:val="0"/>
        <w:spacing w:line="268" w:lineRule="atLeast"/>
        <w:ind w:left="567"/>
        <w:rPr>
          <w:sz w:val="22"/>
          <w:szCs w:val="22"/>
        </w:rPr>
      </w:pPr>
    </w:p>
    <w:p w:rsidR="00865444" w:rsidRPr="000A3201" w:rsidRDefault="00865444" w:rsidP="00865444">
      <w:pPr>
        <w:widowControl w:val="0"/>
        <w:autoSpaceDE w:val="0"/>
        <w:autoSpaceDN w:val="0"/>
        <w:adjustRightInd w:val="0"/>
        <w:spacing w:line="268" w:lineRule="atLeast"/>
        <w:ind w:left="567"/>
        <w:rPr>
          <w:sz w:val="22"/>
          <w:szCs w:val="22"/>
        </w:rPr>
      </w:pPr>
      <w:r w:rsidRPr="000A3201">
        <w:rPr>
          <w:sz w:val="22"/>
          <w:szCs w:val="22"/>
        </w:rPr>
        <w:t>Η μιρταζαπίνη μπορεί να ενισχύσει την κατασταλτική δράση των βενζοδιαζεπινών και των άλλων κατασταλτικών φαρμάκων</w:t>
      </w:r>
      <w:r w:rsidR="00F87A3E" w:rsidRPr="000A3201">
        <w:rPr>
          <w:sz w:val="22"/>
          <w:szCs w:val="22"/>
        </w:rPr>
        <w:t xml:space="preserve"> </w:t>
      </w:r>
      <w:r w:rsidR="00F11EB9" w:rsidRPr="000A3201">
        <w:rPr>
          <w:sz w:val="22"/>
          <w:szCs w:val="22"/>
        </w:rPr>
        <w:t xml:space="preserve">(πιο συγκεκριμένα των περισσότερων αντιψυχωσικών, αντιϊσταμινικών Η1 ανταγωνιστών και των οπιοειδών). </w:t>
      </w:r>
      <w:r w:rsidRPr="000A3201">
        <w:rPr>
          <w:sz w:val="22"/>
          <w:szCs w:val="22"/>
        </w:rPr>
        <w:t xml:space="preserve">Απαιτείται προσοχή όταν αυτά τα </w:t>
      </w:r>
      <w:r w:rsidR="00F11EB9" w:rsidRPr="000A3201">
        <w:rPr>
          <w:sz w:val="22"/>
          <w:szCs w:val="22"/>
        </w:rPr>
        <w:t xml:space="preserve">φαρμακευτικά προϊόντα </w:t>
      </w:r>
      <w:r w:rsidRPr="000A3201">
        <w:rPr>
          <w:sz w:val="22"/>
          <w:szCs w:val="22"/>
        </w:rPr>
        <w:t>συνταγογραφούνται μαζί με μιρταζαπίνη.</w:t>
      </w:r>
    </w:p>
    <w:p w:rsidR="00865444" w:rsidRPr="000A3201" w:rsidRDefault="00865444" w:rsidP="00865444">
      <w:pPr>
        <w:widowControl w:val="0"/>
        <w:autoSpaceDE w:val="0"/>
        <w:autoSpaceDN w:val="0"/>
        <w:adjustRightInd w:val="0"/>
        <w:spacing w:line="268" w:lineRule="atLeast"/>
        <w:ind w:left="567"/>
        <w:rPr>
          <w:sz w:val="22"/>
          <w:szCs w:val="22"/>
        </w:rPr>
      </w:pPr>
    </w:p>
    <w:p w:rsidR="00865444" w:rsidRPr="000A3201" w:rsidRDefault="00865444" w:rsidP="00865444">
      <w:pPr>
        <w:widowControl w:val="0"/>
        <w:autoSpaceDE w:val="0"/>
        <w:autoSpaceDN w:val="0"/>
        <w:adjustRightInd w:val="0"/>
        <w:spacing w:line="273" w:lineRule="atLeast"/>
        <w:ind w:left="567"/>
        <w:rPr>
          <w:sz w:val="22"/>
          <w:szCs w:val="22"/>
        </w:rPr>
      </w:pPr>
      <w:r w:rsidRPr="000A3201">
        <w:rPr>
          <w:sz w:val="22"/>
          <w:szCs w:val="22"/>
        </w:rPr>
        <w:t>Η μιρταζαπίνη μπορεί να ενισχύσει την κατασταλτική δράση του οινοπνεύματος στο ΚΝΣ. Πρέπει να συστήνεται στους ασθενείς να αποφεύγουν τη χρήση οινοπνευματωδών ποτών</w:t>
      </w:r>
      <w:r w:rsidR="00F87A3E" w:rsidRPr="000A3201">
        <w:rPr>
          <w:sz w:val="22"/>
          <w:szCs w:val="22"/>
          <w:lang w:eastAsia="en-US"/>
        </w:rPr>
        <w:t xml:space="preserve"> </w:t>
      </w:r>
      <w:r w:rsidR="0061454C" w:rsidRPr="000A3201">
        <w:rPr>
          <w:sz w:val="22"/>
          <w:szCs w:val="22"/>
          <w:lang w:eastAsia="en-US"/>
        </w:rPr>
        <w:t>όσο λαμβάνουν μιρταζαπίνη.</w:t>
      </w:r>
    </w:p>
    <w:p w:rsidR="00F87A3E" w:rsidRPr="000A3201" w:rsidRDefault="00F87A3E" w:rsidP="00F87A3E">
      <w:pPr>
        <w:widowControl w:val="0"/>
        <w:autoSpaceDE w:val="0"/>
        <w:autoSpaceDN w:val="0"/>
        <w:adjustRightInd w:val="0"/>
        <w:spacing w:line="273" w:lineRule="atLeast"/>
        <w:ind w:left="567"/>
        <w:rPr>
          <w:sz w:val="22"/>
          <w:szCs w:val="22"/>
        </w:rPr>
      </w:pPr>
    </w:p>
    <w:p w:rsidR="00865444" w:rsidRPr="000A3201" w:rsidRDefault="0061454C" w:rsidP="00F87A3E">
      <w:pPr>
        <w:widowControl w:val="0"/>
        <w:autoSpaceDE w:val="0"/>
        <w:autoSpaceDN w:val="0"/>
        <w:adjustRightInd w:val="0"/>
        <w:spacing w:line="273" w:lineRule="atLeast"/>
        <w:ind w:left="567"/>
        <w:rPr>
          <w:sz w:val="22"/>
          <w:szCs w:val="22"/>
        </w:rPr>
      </w:pPr>
      <w:r w:rsidRPr="000A3201">
        <w:rPr>
          <w:sz w:val="22"/>
          <w:szCs w:val="22"/>
        </w:rPr>
        <w:t>Χορήγηση μιρταζαπίνη</w:t>
      </w:r>
      <w:r w:rsidR="00F31746" w:rsidRPr="000A3201">
        <w:rPr>
          <w:sz w:val="22"/>
          <w:szCs w:val="22"/>
        </w:rPr>
        <w:t>ς εφ</w:t>
      </w:r>
      <w:r w:rsidRPr="000A3201">
        <w:rPr>
          <w:sz w:val="22"/>
          <w:szCs w:val="22"/>
        </w:rPr>
        <w:t xml:space="preserve">άπαξ ημερησίως σε δόση 30 </w:t>
      </w:r>
      <w:r w:rsidRPr="000A3201">
        <w:rPr>
          <w:sz w:val="22"/>
          <w:szCs w:val="22"/>
          <w:lang w:val="en-US"/>
        </w:rPr>
        <w:t>mg</w:t>
      </w:r>
      <w:r w:rsidRPr="000A3201">
        <w:rPr>
          <w:sz w:val="22"/>
          <w:szCs w:val="22"/>
        </w:rPr>
        <w:t xml:space="preserve"> προκάλεσε μικρή αλλά στατιστικά σημαντική αύξηση του </w:t>
      </w:r>
      <w:r w:rsidRPr="000A3201">
        <w:rPr>
          <w:sz w:val="22"/>
          <w:szCs w:val="22"/>
          <w:lang w:val="en-US"/>
        </w:rPr>
        <w:t>INR</w:t>
      </w:r>
      <w:r w:rsidRPr="000A3201">
        <w:rPr>
          <w:sz w:val="22"/>
          <w:szCs w:val="22"/>
        </w:rPr>
        <w:t xml:space="preserve"> σε </w:t>
      </w:r>
      <w:r w:rsidR="00F31746" w:rsidRPr="000A3201">
        <w:rPr>
          <w:sz w:val="22"/>
          <w:szCs w:val="22"/>
        </w:rPr>
        <w:t xml:space="preserve">άτομα </w:t>
      </w:r>
      <w:r w:rsidRPr="000A3201">
        <w:rPr>
          <w:sz w:val="22"/>
          <w:szCs w:val="22"/>
        </w:rPr>
        <w:t xml:space="preserve">που ελάμβαναν βαρφαρίνη. </w:t>
      </w:r>
      <w:r w:rsidR="00F31746" w:rsidRPr="000A3201">
        <w:rPr>
          <w:sz w:val="22"/>
          <w:szCs w:val="22"/>
        </w:rPr>
        <w:t xml:space="preserve">Καθώς </w:t>
      </w:r>
      <w:r w:rsidRPr="000A3201">
        <w:rPr>
          <w:sz w:val="22"/>
          <w:szCs w:val="22"/>
        </w:rPr>
        <w:t>με υψηλότερες δόσεις μιρταζαπίνης</w:t>
      </w:r>
      <w:r w:rsidR="00F31746" w:rsidRPr="000A3201">
        <w:rPr>
          <w:sz w:val="22"/>
          <w:szCs w:val="22"/>
        </w:rPr>
        <w:t xml:space="preserve"> δεν μπορεί να αποκλειστεί</w:t>
      </w:r>
      <w:r w:rsidRPr="000A3201">
        <w:rPr>
          <w:sz w:val="22"/>
          <w:szCs w:val="22"/>
        </w:rPr>
        <w:t xml:space="preserve"> μια πιο έντονη επίδραση</w:t>
      </w:r>
      <w:r w:rsidR="00F31746" w:rsidRPr="000A3201">
        <w:rPr>
          <w:sz w:val="22"/>
          <w:szCs w:val="22"/>
        </w:rPr>
        <w:t>, συστήνεται</w:t>
      </w:r>
      <w:r w:rsidRPr="000A3201">
        <w:rPr>
          <w:sz w:val="22"/>
          <w:szCs w:val="22"/>
        </w:rPr>
        <w:t xml:space="preserve"> να παρακολουθείται το </w:t>
      </w:r>
      <w:r w:rsidRPr="000A3201">
        <w:rPr>
          <w:sz w:val="22"/>
          <w:szCs w:val="22"/>
          <w:lang w:val="en-US"/>
        </w:rPr>
        <w:t>INR</w:t>
      </w:r>
      <w:r w:rsidRPr="000A3201">
        <w:rPr>
          <w:sz w:val="22"/>
          <w:szCs w:val="22"/>
        </w:rPr>
        <w:t xml:space="preserve"> σε ταυτόχρονη αγωγή βαρφαρίνης και μιρταζαπίνης.</w:t>
      </w:r>
    </w:p>
    <w:p w:rsidR="00327A1C" w:rsidRPr="007476FC" w:rsidRDefault="00327A1C" w:rsidP="00327A1C">
      <w:pPr>
        <w:ind w:left="567"/>
        <w:rPr>
          <w:sz w:val="22"/>
          <w:szCs w:val="22"/>
        </w:rPr>
      </w:pPr>
    </w:p>
    <w:p w:rsidR="00327A1C" w:rsidRPr="007476FC" w:rsidRDefault="00D13B55" w:rsidP="00327A1C">
      <w:pPr>
        <w:ind w:left="567"/>
        <w:rPr>
          <w:sz w:val="22"/>
          <w:szCs w:val="22"/>
        </w:rPr>
      </w:pPr>
      <w:r>
        <w:rPr>
          <w:spacing w:val="2"/>
          <w:sz w:val="22"/>
          <w:szCs w:val="22"/>
        </w:rPr>
        <w:t>Ο κίνδυνος παράτασης του διαστήματος</w:t>
      </w:r>
      <w:r w:rsidR="00327A1C" w:rsidRPr="007476FC">
        <w:rPr>
          <w:spacing w:val="1"/>
          <w:sz w:val="22"/>
          <w:szCs w:val="22"/>
        </w:rPr>
        <w:t xml:space="preserve"> </w:t>
      </w:r>
      <w:r w:rsidR="00327A1C" w:rsidRPr="007476FC">
        <w:rPr>
          <w:spacing w:val="-1"/>
          <w:sz w:val="22"/>
          <w:szCs w:val="22"/>
        </w:rPr>
        <w:t>Q</w:t>
      </w:r>
      <w:r w:rsidR="00327A1C" w:rsidRPr="007476FC">
        <w:rPr>
          <w:sz w:val="22"/>
          <w:szCs w:val="22"/>
        </w:rPr>
        <w:t>T</w:t>
      </w:r>
      <w:r>
        <w:rPr>
          <w:sz w:val="22"/>
          <w:szCs w:val="22"/>
        </w:rPr>
        <w:t xml:space="preserve"> και/ή κοιλιακών αρρυθμιών</w:t>
      </w:r>
      <w:r w:rsidR="00327A1C" w:rsidRPr="007476FC">
        <w:rPr>
          <w:spacing w:val="2"/>
          <w:sz w:val="22"/>
          <w:szCs w:val="22"/>
        </w:rPr>
        <w:t xml:space="preserve"> </w:t>
      </w:r>
      <w:r>
        <w:rPr>
          <w:spacing w:val="2"/>
          <w:sz w:val="22"/>
          <w:szCs w:val="22"/>
        </w:rPr>
        <w:t>(π.χ.</w:t>
      </w:r>
      <w:r w:rsidR="00327A1C" w:rsidRPr="007476FC">
        <w:rPr>
          <w:sz w:val="22"/>
          <w:szCs w:val="22"/>
        </w:rPr>
        <w:t xml:space="preserve"> </w:t>
      </w:r>
      <w:r w:rsidR="00327A1C" w:rsidRPr="007476FC">
        <w:rPr>
          <w:spacing w:val="2"/>
          <w:sz w:val="22"/>
          <w:szCs w:val="22"/>
        </w:rPr>
        <w:t>t</w:t>
      </w:r>
      <w:r w:rsidR="00327A1C" w:rsidRPr="007476FC">
        <w:rPr>
          <w:sz w:val="22"/>
          <w:szCs w:val="22"/>
        </w:rPr>
        <w:t>o</w:t>
      </w:r>
      <w:r w:rsidR="00327A1C" w:rsidRPr="007476FC">
        <w:rPr>
          <w:spacing w:val="1"/>
          <w:sz w:val="22"/>
          <w:szCs w:val="22"/>
        </w:rPr>
        <w:t>r</w:t>
      </w:r>
      <w:r w:rsidR="00327A1C" w:rsidRPr="007476FC">
        <w:rPr>
          <w:sz w:val="22"/>
          <w:szCs w:val="22"/>
        </w:rPr>
        <w:t>sades</w:t>
      </w:r>
      <w:r w:rsidR="00327A1C" w:rsidRPr="007476FC">
        <w:rPr>
          <w:spacing w:val="1"/>
          <w:sz w:val="22"/>
          <w:szCs w:val="22"/>
        </w:rPr>
        <w:t xml:space="preserve"> </w:t>
      </w:r>
      <w:r w:rsidR="00327A1C" w:rsidRPr="007476FC">
        <w:rPr>
          <w:sz w:val="22"/>
          <w:szCs w:val="22"/>
        </w:rPr>
        <w:t>de</w:t>
      </w:r>
      <w:r w:rsidR="00327A1C" w:rsidRPr="007476FC">
        <w:rPr>
          <w:spacing w:val="1"/>
          <w:sz w:val="22"/>
          <w:szCs w:val="22"/>
        </w:rPr>
        <w:t xml:space="preserve"> </w:t>
      </w:r>
      <w:r w:rsidR="00327A1C" w:rsidRPr="007476FC">
        <w:rPr>
          <w:sz w:val="22"/>
          <w:szCs w:val="22"/>
        </w:rPr>
        <w:t>po</w:t>
      </w:r>
      <w:r w:rsidR="00327A1C" w:rsidRPr="007476FC">
        <w:rPr>
          <w:spacing w:val="1"/>
          <w:sz w:val="22"/>
          <w:szCs w:val="22"/>
        </w:rPr>
        <w:t>i</w:t>
      </w:r>
      <w:r w:rsidR="00327A1C" w:rsidRPr="007476FC">
        <w:rPr>
          <w:sz w:val="22"/>
          <w:szCs w:val="22"/>
        </w:rPr>
        <w:t>n</w:t>
      </w:r>
      <w:r w:rsidR="00327A1C" w:rsidRPr="007476FC">
        <w:rPr>
          <w:spacing w:val="1"/>
          <w:sz w:val="22"/>
          <w:szCs w:val="22"/>
        </w:rPr>
        <w:t>t</w:t>
      </w:r>
      <w:r w:rsidR="00327A1C" w:rsidRPr="007476FC">
        <w:rPr>
          <w:sz w:val="22"/>
          <w:szCs w:val="22"/>
        </w:rPr>
        <w:t>es)</w:t>
      </w:r>
      <w:r>
        <w:rPr>
          <w:sz w:val="22"/>
          <w:szCs w:val="22"/>
        </w:rPr>
        <w:t xml:space="preserve"> μπορεί να αυξηθεί από την ταυτόχρονη χρήση φαρμάκων που παρατείνουν το διάστημα</w:t>
      </w:r>
      <w:r w:rsidR="00327A1C" w:rsidRPr="007476FC">
        <w:rPr>
          <w:spacing w:val="1"/>
          <w:sz w:val="22"/>
          <w:szCs w:val="22"/>
        </w:rPr>
        <w:t xml:space="preserve"> </w:t>
      </w:r>
      <w:r w:rsidR="00327A1C" w:rsidRPr="007476FC">
        <w:rPr>
          <w:spacing w:val="-1"/>
          <w:sz w:val="22"/>
          <w:szCs w:val="22"/>
        </w:rPr>
        <w:t>Q</w:t>
      </w:r>
      <w:r w:rsidR="00327A1C" w:rsidRPr="007476FC">
        <w:rPr>
          <w:spacing w:val="2"/>
          <w:sz w:val="22"/>
          <w:szCs w:val="22"/>
        </w:rPr>
        <w:t>T</w:t>
      </w:r>
      <w:r w:rsidR="00327A1C" w:rsidRPr="007476FC">
        <w:rPr>
          <w:sz w:val="22"/>
          <w:szCs w:val="22"/>
        </w:rPr>
        <w:t>c</w:t>
      </w:r>
      <w:r>
        <w:rPr>
          <w:sz w:val="22"/>
          <w:szCs w:val="22"/>
        </w:rPr>
        <w:t xml:space="preserve"> (π.χ. μερικά αντιψυχωσικά και αντιβιοτικά</w:t>
      </w:r>
      <w:r w:rsidR="00327A1C" w:rsidRPr="007476FC">
        <w:rPr>
          <w:spacing w:val="1"/>
          <w:sz w:val="22"/>
          <w:szCs w:val="22"/>
        </w:rPr>
        <w:t>)</w:t>
      </w:r>
      <w:r w:rsidR="00327A1C" w:rsidRPr="007476FC">
        <w:rPr>
          <w:sz w:val="22"/>
          <w:szCs w:val="22"/>
        </w:rPr>
        <w:t>.</w:t>
      </w:r>
    </w:p>
    <w:p w:rsidR="00865444" w:rsidRPr="000A3201" w:rsidRDefault="00865444" w:rsidP="00865444">
      <w:pPr>
        <w:widowControl w:val="0"/>
        <w:autoSpaceDE w:val="0"/>
        <w:autoSpaceDN w:val="0"/>
        <w:adjustRightInd w:val="0"/>
        <w:spacing w:line="273" w:lineRule="atLeast"/>
        <w:ind w:left="567"/>
        <w:rPr>
          <w:sz w:val="22"/>
          <w:szCs w:val="22"/>
        </w:rPr>
      </w:pPr>
    </w:p>
    <w:p w:rsidR="00865444" w:rsidRPr="00AA1AB4" w:rsidRDefault="00C369FF" w:rsidP="00865444">
      <w:pPr>
        <w:widowControl w:val="0"/>
        <w:autoSpaceDE w:val="0"/>
        <w:autoSpaceDN w:val="0"/>
        <w:adjustRightInd w:val="0"/>
        <w:spacing w:line="288" w:lineRule="atLeast"/>
        <w:ind w:left="567"/>
        <w:rPr>
          <w:iCs/>
          <w:sz w:val="22"/>
          <w:szCs w:val="22"/>
          <w:u w:val="single"/>
        </w:rPr>
      </w:pPr>
      <w:r w:rsidRPr="00AA1AB4">
        <w:rPr>
          <w:iCs/>
          <w:sz w:val="22"/>
          <w:szCs w:val="22"/>
          <w:u w:val="single"/>
        </w:rPr>
        <w:t>Φαρμακοκινητικές αλληλεπιδράσεις</w:t>
      </w:r>
    </w:p>
    <w:p w:rsidR="00865444" w:rsidRPr="000A3201" w:rsidRDefault="00865444" w:rsidP="00865444">
      <w:pPr>
        <w:widowControl w:val="0"/>
        <w:autoSpaceDE w:val="0"/>
        <w:autoSpaceDN w:val="0"/>
        <w:adjustRightInd w:val="0"/>
        <w:spacing w:line="288" w:lineRule="atLeast"/>
        <w:ind w:left="567"/>
        <w:rPr>
          <w:i/>
          <w:iCs/>
          <w:sz w:val="22"/>
          <w:szCs w:val="22"/>
          <w:u w:val="single"/>
        </w:rPr>
      </w:pPr>
    </w:p>
    <w:p w:rsidR="00F87A3E" w:rsidRPr="000A3201" w:rsidRDefault="0061454C" w:rsidP="00865444">
      <w:pPr>
        <w:widowControl w:val="0"/>
        <w:autoSpaceDE w:val="0"/>
        <w:autoSpaceDN w:val="0"/>
        <w:adjustRightInd w:val="0"/>
        <w:spacing w:line="268" w:lineRule="atLeast"/>
        <w:ind w:left="567"/>
        <w:rPr>
          <w:sz w:val="22"/>
          <w:szCs w:val="22"/>
        </w:rPr>
      </w:pPr>
      <w:r w:rsidRPr="000A3201">
        <w:rPr>
          <w:sz w:val="22"/>
          <w:szCs w:val="22"/>
        </w:rPr>
        <w:t xml:space="preserve">Η καρβαμαζεπίνη και η φαινυτοΐνη, επαγωγείς του </w:t>
      </w:r>
      <w:r w:rsidRPr="000A3201">
        <w:rPr>
          <w:sz w:val="22"/>
          <w:szCs w:val="22"/>
          <w:lang w:val="en-US"/>
        </w:rPr>
        <w:t>CYP</w:t>
      </w:r>
      <w:r w:rsidRPr="000A3201">
        <w:rPr>
          <w:sz w:val="22"/>
          <w:szCs w:val="22"/>
        </w:rPr>
        <w:t>3</w:t>
      </w:r>
      <w:r w:rsidRPr="000A3201">
        <w:rPr>
          <w:sz w:val="22"/>
          <w:szCs w:val="22"/>
          <w:lang w:val="en-US"/>
        </w:rPr>
        <w:t>A</w:t>
      </w:r>
      <w:r w:rsidRPr="000A3201">
        <w:rPr>
          <w:sz w:val="22"/>
          <w:szCs w:val="22"/>
        </w:rPr>
        <w:t>4, αυξάνουν την κάθαρση της μιρταζαπίνης περίπου στο διπλάσιο, με απ</w:t>
      </w:r>
      <w:r w:rsidR="00917F45" w:rsidRPr="000A3201">
        <w:rPr>
          <w:sz w:val="22"/>
          <w:szCs w:val="22"/>
        </w:rPr>
        <w:t xml:space="preserve">οτέλεσμα μείωση στη μέση </w:t>
      </w:r>
      <w:r w:rsidR="00917F45" w:rsidRPr="000A3201">
        <w:rPr>
          <w:sz w:val="22"/>
          <w:szCs w:val="22"/>
        </w:rPr>
        <w:lastRenderedPageBreak/>
        <w:t>συγκέντρωση</w:t>
      </w:r>
      <w:r w:rsidRPr="000A3201">
        <w:rPr>
          <w:sz w:val="22"/>
          <w:szCs w:val="22"/>
        </w:rPr>
        <w:t xml:space="preserve"> της μιρταζαπίνης στο πλάσμα κατά 60% και 45%</w:t>
      </w:r>
      <w:r w:rsidR="00917F45" w:rsidRPr="000A3201">
        <w:rPr>
          <w:sz w:val="22"/>
          <w:szCs w:val="22"/>
        </w:rPr>
        <w:t>,</w:t>
      </w:r>
      <w:r w:rsidRPr="000A3201">
        <w:rPr>
          <w:sz w:val="22"/>
          <w:szCs w:val="22"/>
        </w:rPr>
        <w:t xml:space="preserve"> αντίστοιχα. Όταν η καρβαμαζεπίνη ή </w:t>
      </w:r>
      <w:r w:rsidR="00917F45" w:rsidRPr="000A3201">
        <w:rPr>
          <w:sz w:val="22"/>
          <w:szCs w:val="22"/>
        </w:rPr>
        <w:t xml:space="preserve">κάποιος </w:t>
      </w:r>
      <w:r w:rsidRPr="000A3201">
        <w:rPr>
          <w:sz w:val="22"/>
          <w:szCs w:val="22"/>
        </w:rPr>
        <w:t>άλλος επαγωγέας του ηπατικού μεταβολισμού (όπως η ριφαμπικίνη) προστεθεί σε αγωγή με μιρταζαπίνη, μπορεί η δόση της μιρταζαπίνη</w:t>
      </w:r>
      <w:r w:rsidR="00311EC6" w:rsidRPr="000A3201">
        <w:rPr>
          <w:sz w:val="22"/>
          <w:szCs w:val="22"/>
        </w:rPr>
        <w:t>ς</w:t>
      </w:r>
      <w:r w:rsidRPr="000A3201">
        <w:rPr>
          <w:sz w:val="22"/>
          <w:szCs w:val="22"/>
        </w:rPr>
        <w:t xml:space="preserve"> να χρειαστεί να αυξηθεί. Εάν διακοπεί αγωγή με φαρμακευτικό προϊόν</w:t>
      </w:r>
      <w:r w:rsidR="00917F45" w:rsidRPr="000A3201">
        <w:rPr>
          <w:sz w:val="22"/>
          <w:szCs w:val="22"/>
        </w:rPr>
        <w:t xml:space="preserve"> αυτής της κατηγορίας</w:t>
      </w:r>
      <w:r w:rsidRPr="000A3201">
        <w:rPr>
          <w:sz w:val="22"/>
          <w:szCs w:val="22"/>
        </w:rPr>
        <w:t xml:space="preserve">, μπορεί να είναι απαραίτητο να μειωθεί η δόση της μιρταζαπίνης. </w:t>
      </w:r>
    </w:p>
    <w:p w:rsidR="00F87A3E" w:rsidRPr="000A3201" w:rsidRDefault="00F87A3E" w:rsidP="00865444">
      <w:pPr>
        <w:widowControl w:val="0"/>
        <w:autoSpaceDE w:val="0"/>
        <w:autoSpaceDN w:val="0"/>
        <w:adjustRightInd w:val="0"/>
        <w:spacing w:line="268" w:lineRule="atLeast"/>
        <w:ind w:left="567"/>
        <w:rPr>
          <w:sz w:val="22"/>
          <w:szCs w:val="22"/>
        </w:rPr>
      </w:pPr>
    </w:p>
    <w:p w:rsidR="00865444" w:rsidRPr="000A3201" w:rsidRDefault="00865444" w:rsidP="0061454C">
      <w:pPr>
        <w:widowControl w:val="0"/>
        <w:autoSpaceDE w:val="0"/>
        <w:autoSpaceDN w:val="0"/>
        <w:adjustRightInd w:val="0"/>
        <w:spacing w:line="268" w:lineRule="atLeast"/>
        <w:ind w:left="567"/>
        <w:rPr>
          <w:sz w:val="22"/>
          <w:szCs w:val="22"/>
        </w:rPr>
      </w:pPr>
      <w:r w:rsidRPr="000A3201">
        <w:rPr>
          <w:sz w:val="22"/>
          <w:szCs w:val="22"/>
        </w:rPr>
        <w:t xml:space="preserve">Η ταυτόχρονη χορήγηση κετοκοναζόλης, η οποία αποτελεί έναν ισχυρό αναστολέα του </w:t>
      </w:r>
      <w:r w:rsidRPr="000A3201">
        <w:rPr>
          <w:sz w:val="22"/>
          <w:szCs w:val="22"/>
          <w:lang w:val="en-US"/>
        </w:rPr>
        <w:t>CYP</w:t>
      </w:r>
      <w:r w:rsidRPr="000A3201">
        <w:rPr>
          <w:sz w:val="22"/>
          <w:szCs w:val="22"/>
        </w:rPr>
        <w:t>3</w:t>
      </w:r>
      <w:r w:rsidRPr="000A3201">
        <w:rPr>
          <w:sz w:val="22"/>
          <w:szCs w:val="22"/>
          <w:lang w:val="en-US"/>
        </w:rPr>
        <w:t>A</w:t>
      </w:r>
      <w:r w:rsidRPr="000A3201">
        <w:rPr>
          <w:sz w:val="22"/>
          <w:szCs w:val="22"/>
        </w:rPr>
        <w:t xml:space="preserve">4, αύξησε τα μέγιστα επίπεδα της μιρταζαπίνης στο πλάσμα και το εμβαδόν κάτω από την καμπύλη </w:t>
      </w:r>
      <w:r w:rsidRPr="000A3201">
        <w:rPr>
          <w:sz w:val="22"/>
          <w:szCs w:val="22"/>
          <w:lang w:val="en-US"/>
        </w:rPr>
        <w:t>AUC</w:t>
      </w:r>
      <w:r w:rsidRPr="000A3201">
        <w:rPr>
          <w:sz w:val="22"/>
          <w:szCs w:val="22"/>
        </w:rPr>
        <w:t xml:space="preserve"> της μιρταζαπίνης κατά περίπου 40</w:t>
      </w:r>
      <w:r w:rsidR="00917F45" w:rsidRPr="000A3201">
        <w:rPr>
          <w:sz w:val="22"/>
          <w:szCs w:val="22"/>
        </w:rPr>
        <w:t>%</w:t>
      </w:r>
      <w:r w:rsidRPr="000A3201">
        <w:rPr>
          <w:sz w:val="22"/>
          <w:szCs w:val="22"/>
        </w:rPr>
        <w:t xml:space="preserve"> και 50%, αντίστοιχα. </w:t>
      </w:r>
    </w:p>
    <w:p w:rsidR="00865444" w:rsidRPr="000A3201" w:rsidRDefault="00865444" w:rsidP="00865444">
      <w:pPr>
        <w:widowControl w:val="0"/>
        <w:autoSpaceDE w:val="0"/>
        <w:autoSpaceDN w:val="0"/>
        <w:adjustRightInd w:val="0"/>
        <w:spacing w:line="264" w:lineRule="atLeast"/>
        <w:ind w:left="567"/>
        <w:rPr>
          <w:sz w:val="22"/>
          <w:szCs w:val="22"/>
        </w:rPr>
      </w:pPr>
    </w:p>
    <w:p w:rsidR="00865444" w:rsidRPr="000A3201" w:rsidRDefault="00865444" w:rsidP="00865444">
      <w:pPr>
        <w:widowControl w:val="0"/>
        <w:autoSpaceDE w:val="0"/>
        <w:autoSpaceDN w:val="0"/>
        <w:adjustRightInd w:val="0"/>
        <w:spacing w:line="268" w:lineRule="atLeast"/>
        <w:ind w:left="567"/>
        <w:rPr>
          <w:sz w:val="22"/>
          <w:szCs w:val="22"/>
        </w:rPr>
      </w:pPr>
      <w:r w:rsidRPr="000A3201">
        <w:rPr>
          <w:sz w:val="22"/>
          <w:szCs w:val="22"/>
        </w:rPr>
        <w:t>Όταν χορηγηθεί ταυτόχρονα σιμετιδίνη</w:t>
      </w:r>
      <w:r w:rsidR="00F87A3E" w:rsidRPr="000A3201">
        <w:rPr>
          <w:sz w:val="22"/>
          <w:szCs w:val="22"/>
        </w:rPr>
        <w:t xml:space="preserve"> (</w:t>
      </w:r>
      <w:r w:rsidR="0061454C" w:rsidRPr="000A3201">
        <w:rPr>
          <w:sz w:val="22"/>
          <w:szCs w:val="22"/>
        </w:rPr>
        <w:t xml:space="preserve">ασθενής αναστολέας του </w:t>
      </w:r>
      <w:r w:rsidR="0061454C" w:rsidRPr="000A3201">
        <w:rPr>
          <w:sz w:val="22"/>
          <w:szCs w:val="22"/>
          <w:lang w:val="en-US"/>
        </w:rPr>
        <w:t>CYP</w:t>
      </w:r>
      <w:r w:rsidR="00917F45" w:rsidRPr="000A3201">
        <w:rPr>
          <w:sz w:val="22"/>
          <w:szCs w:val="22"/>
        </w:rPr>
        <w:t xml:space="preserve"> </w:t>
      </w:r>
      <w:r w:rsidR="0061454C" w:rsidRPr="000A3201">
        <w:rPr>
          <w:sz w:val="22"/>
          <w:szCs w:val="22"/>
        </w:rPr>
        <w:t>1</w:t>
      </w:r>
      <w:r w:rsidR="0061454C" w:rsidRPr="000A3201">
        <w:rPr>
          <w:sz w:val="22"/>
          <w:szCs w:val="22"/>
          <w:lang w:val="en-US"/>
        </w:rPr>
        <w:t>A</w:t>
      </w:r>
      <w:r w:rsidR="0061454C" w:rsidRPr="000A3201">
        <w:rPr>
          <w:sz w:val="22"/>
          <w:szCs w:val="22"/>
        </w:rPr>
        <w:t xml:space="preserve">2, </w:t>
      </w:r>
      <w:r w:rsidR="0061454C" w:rsidRPr="000A3201">
        <w:rPr>
          <w:sz w:val="22"/>
          <w:szCs w:val="22"/>
          <w:lang w:val="en-US"/>
        </w:rPr>
        <w:t>CYP</w:t>
      </w:r>
      <w:r w:rsidR="00917F45" w:rsidRPr="000A3201">
        <w:rPr>
          <w:sz w:val="22"/>
          <w:szCs w:val="22"/>
        </w:rPr>
        <w:t xml:space="preserve"> </w:t>
      </w:r>
      <w:r w:rsidR="0061454C" w:rsidRPr="000A3201">
        <w:rPr>
          <w:sz w:val="22"/>
          <w:szCs w:val="22"/>
        </w:rPr>
        <w:t>2</w:t>
      </w:r>
      <w:r w:rsidR="0061454C" w:rsidRPr="000A3201">
        <w:rPr>
          <w:sz w:val="22"/>
          <w:szCs w:val="22"/>
          <w:lang w:val="en-US"/>
        </w:rPr>
        <w:t>D</w:t>
      </w:r>
      <w:r w:rsidR="0061454C" w:rsidRPr="000A3201">
        <w:rPr>
          <w:sz w:val="22"/>
          <w:szCs w:val="22"/>
        </w:rPr>
        <w:t xml:space="preserve">6 και </w:t>
      </w:r>
      <w:r w:rsidR="0061454C" w:rsidRPr="000A3201">
        <w:rPr>
          <w:sz w:val="22"/>
          <w:szCs w:val="22"/>
          <w:lang w:val="en-US"/>
        </w:rPr>
        <w:t>CYP</w:t>
      </w:r>
      <w:r w:rsidR="00917F45" w:rsidRPr="000A3201">
        <w:rPr>
          <w:sz w:val="22"/>
          <w:szCs w:val="22"/>
        </w:rPr>
        <w:t xml:space="preserve"> </w:t>
      </w:r>
      <w:r w:rsidR="0061454C" w:rsidRPr="000A3201">
        <w:rPr>
          <w:sz w:val="22"/>
          <w:szCs w:val="22"/>
        </w:rPr>
        <w:t>3</w:t>
      </w:r>
      <w:r w:rsidR="0061454C" w:rsidRPr="000A3201">
        <w:rPr>
          <w:sz w:val="22"/>
          <w:szCs w:val="22"/>
          <w:lang w:val="en-US"/>
        </w:rPr>
        <w:t>A</w:t>
      </w:r>
      <w:r w:rsidR="0061454C" w:rsidRPr="000A3201">
        <w:rPr>
          <w:sz w:val="22"/>
          <w:szCs w:val="22"/>
        </w:rPr>
        <w:t xml:space="preserve">4) </w:t>
      </w:r>
      <w:r w:rsidR="00917F45" w:rsidRPr="000A3201">
        <w:rPr>
          <w:sz w:val="22"/>
          <w:szCs w:val="22"/>
        </w:rPr>
        <w:t xml:space="preserve">και </w:t>
      </w:r>
      <w:r w:rsidR="0061454C" w:rsidRPr="000A3201">
        <w:rPr>
          <w:sz w:val="22"/>
          <w:szCs w:val="22"/>
        </w:rPr>
        <w:t xml:space="preserve">μιρταζαπίνη, η μέση συγκέντρωση της μιρταζαπίνης στο πλάσμα μπορεί να αυξηθεί περισσότερο από 50%. Προσοχή πρέπει να δίδεται και πιθανότατα να χρειάζεται μείωση της δόσης όταν η μιρταζαπίνη συγχορηγείται με ισχυρούς αναστολείς του </w:t>
      </w:r>
      <w:r w:rsidR="0061454C" w:rsidRPr="000A3201">
        <w:rPr>
          <w:sz w:val="22"/>
          <w:szCs w:val="22"/>
          <w:lang w:val="en-US"/>
        </w:rPr>
        <w:t>CYP</w:t>
      </w:r>
      <w:r w:rsidR="0061454C" w:rsidRPr="000A3201">
        <w:rPr>
          <w:sz w:val="22"/>
          <w:szCs w:val="22"/>
        </w:rPr>
        <w:t>3</w:t>
      </w:r>
      <w:r w:rsidR="0061454C" w:rsidRPr="000A3201">
        <w:rPr>
          <w:sz w:val="22"/>
          <w:szCs w:val="22"/>
          <w:lang w:val="en-US"/>
        </w:rPr>
        <w:t>A</w:t>
      </w:r>
      <w:r w:rsidR="0061454C" w:rsidRPr="000A3201">
        <w:rPr>
          <w:sz w:val="22"/>
          <w:szCs w:val="22"/>
        </w:rPr>
        <w:t xml:space="preserve">4, αναστολείς </w:t>
      </w:r>
      <w:r w:rsidR="0061454C" w:rsidRPr="000A3201">
        <w:rPr>
          <w:sz w:val="22"/>
          <w:szCs w:val="22"/>
          <w:lang w:val="en-US"/>
        </w:rPr>
        <w:t>HIV</w:t>
      </w:r>
      <w:r w:rsidR="0061454C" w:rsidRPr="000A3201">
        <w:rPr>
          <w:sz w:val="22"/>
          <w:szCs w:val="22"/>
        </w:rPr>
        <w:t xml:space="preserve"> πρωτεάσης, αντιμυκητιασικά τύπου αζόλης, ερυθρομυκίνη, σιμετιδίνη ή νεφαζοδόνη.</w:t>
      </w:r>
      <w:r w:rsidR="00F87A3E" w:rsidRPr="000A3201">
        <w:rPr>
          <w:sz w:val="22"/>
          <w:szCs w:val="22"/>
        </w:rPr>
        <w:t xml:space="preserve"> </w:t>
      </w:r>
    </w:p>
    <w:p w:rsidR="00865444" w:rsidRPr="000A3201" w:rsidRDefault="00865444" w:rsidP="00865444">
      <w:pPr>
        <w:widowControl w:val="0"/>
        <w:autoSpaceDE w:val="0"/>
        <w:autoSpaceDN w:val="0"/>
        <w:adjustRightInd w:val="0"/>
        <w:spacing w:line="273" w:lineRule="atLeast"/>
        <w:ind w:left="567"/>
        <w:rPr>
          <w:sz w:val="22"/>
          <w:szCs w:val="22"/>
        </w:rPr>
      </w:pPr>
    </w:p>
    <w:p w:rsidR="00865444" w:rsidRDefault="00F87A3E" w:rsidP="00865444">
      <w:pPr>
        <w:widowControl w:val="0"/>
        <w:autoSpaceDE w:val="0"/>
        <w:autoSpaceDN w:val="0"/>
        <w:adjustRightInd w:val="0"/>
        <w:spacing w:line="273" w:lineRule="atLeast"/>
        <w:ind w:left="567"/>
        <w:rPr>
          <w:rStyle w:val="FontStyle49"/>
          <w:sz w:val="22"/>
          <w:szCs w:val="22"/>
        </w:rPr>
      </w:pPr>
      <w:r w:rsidRPr="000A3201">
        <w:rPr>
          <w:sz w:val="22"/>
          <w:szCs w:val="22"/>
        </w:rPr>
        <w:t>Μ</w:t>
      </w:r>
      <w:r w:rsidR="00865444" w:rsidRPr="000A3201">
        <w:rPr>
          <w:sz w:val="22"/>
          <w:szCs w:val="22"/>
        </w:rPr>
        <w:t>ελέτες αλληλεπίδρασης</w:t>
      </w:r>
      <w:r w:rsidRPr="000A3201">
        <w:rPr>
          <w:sz w:val="22"/>
          <w:szCs w:val="22"/>
        </w:rPr>
        <w:t xml:space="preserve"> </w:t>
      </w:r>
      <w:r w:rsidR="004E2399" w:rsidRPr="000A3201">
        <w:rPr>
          <w:rStyle w:val="FontStyle49"/>
          <w:sz w:val="22"/>
          <w:szCs w:val="22"/>
        </w:rPr>
        <w:t xml:space="preserve">δεν έδειξαν σχετική φαρμακοκινητική αλληλεπίδραση </w:t>
      </w:r>
      <w:r w:rsidR="00917F45" w:rsidRPr="000A3201">
        <w:rPr>
          <w:rStyle w:val="FontStyle49"/>
          <w:sz w:val="22"/>
          <w:szCs w:val="22"/>
        </w:rPr>
        <w:t xml:space="preserve">κατά την </w:t>
      </w:r>
      <w:r w:rsidR="004E2399" w:rsidRPr="000A3201">
        <w:rPr>
          <w:rStyle w:val="FontStyle49"/>
          <w:sz w:val="22"/>
          <w:szCs w:val="22"/>
        </w:rPr>
        <w:t>ταυτόχρονη χορήγηση μιρταζαπίνης με παροξετίνη, αμιτριπτυλίνη, ρισπεριδόνη ή λίθιο.</w:t>
      </w:r>
    </w:p>
    <w:p w:rsidR="00723C9D" w:rsidRDefault="00723C9D" w:rsidP="00865444">
      <w:pPr>
        <w:widowControl w:val="0"/>
        <w:autoSpaceDE w:val="0"/>
        <w:autoSpaceDN w:val="0"/>
        <w:adjustRightInd w:val="0"/>
        <w:spacing w:line="273" w:lineRule="atLeast"/>
        <w:ind w:left="567"/>
        <w:rPr>
          <w:rStyle w:val="FontStyle49"/>
          <w:sz w:val="22"/>
          <w:szCs w:val="22"/>
        </w:rPr>
      </w:pPr>
      <w:commentRangeStart w:id="6"/>
    </w:p>
    <w:p w:rsidR="00723C9D" w:rsidRPr="00723C9D" w:rsidRDefault="00723C9D" w:rsidP="00865444">
      <w:pPr>
        <w:widowControl w:val="0"/>
        <w:autoSpaceDE w:val="0"/>
        <w:autoSpaceDN w:val="0"/>
        <w:adjustRightInd w:val="0"/>
        <w:spacing w:line="273" w:lineRule="atLeast"/>
        <w:ind w:left="567"/>
        <w:rPr>
          <w:sz w:val="22"/>
          <w:szCs w:val="22"/>
          <w:u w:val="single"/>
        </w:rPr>
      </w:pPr>
      <w:r w:rsidRPr="00723C9D">
        <w:rPr>
          <w:sz w:val="22"/>
          <w:szCs w:val="22"/>
          <w:u w:val="single"/>
        </w:rPr>
        <w:t>Παιδιατρικός πληθυσμός</w:t>
      </w:r>
    </w:p>
    <w:p w:rsidR="00723C9D" w:rsidRPr="000A3201" w:rsidRDefault="00723C9D" w:rsidP="00865444">
      <w:pPr>
        <w:widowControl w:val="0"/>
        <w:autoSpaceDE w:val="0"/>
        <w:autoSpaceDN w:val="0"/>
        <w:adjustRightInd w:val="0"/>
        <w:spacing w:line="273" w:lineRule="atLeast"/>
        <w:ind w:left="567"/>
        <w:rPr>
          <w:sz w:val="22"/>
          <w:szCs w:val="22"/>
        </w:rPr>
      </w:pPr>
      <w:r>
        <w:rPr>
          <w:sz w:val="22"/>
          <w:szCs w:val="22"/>
        </w:rPr>
        <w:t>Μελέτες αλληλεπίδρασης έχουν διεξαχθεί μόνο σε ενήλικες.</w:t>
      </w:r>
    </w:p>
    <w:commentRangeEnd w:id="6"/>
    <w:p w:rsidR="00865444" w:rsidRPr="000A3201" w:rsidRDefault="00723C9D" w:rsidP="00865444">
      <w:pPr>
        <w:pStyle w:val="a4"/>
        <w:ind w:left="0"/>
        <w:rPr>
          <w:sz w:val="22"/>
          <w:szCs w:val="22"/>
          <w:lang w:val="el-GR"/>
        </w:rPr>
      </w:pPr>
      <w:r>
        <w:rPr>
          <w:rStyle w:val="aa"/>
          <w:lang w:val="el-GR" w:eastAsia="el-GR"/>
        </w:rPr>
        <w:commentReference w:id="6"/>
      </w:r>
    </w:p>
    <w:p w:rsidR="00865444" w:rsidRPr="000A3201" w:rsidRDefault="00865444" w:rsidP="000D7B81">
      <w:pPr>
        <w:pStyle w:val="a4"/>
        <w:tabs>
          <w:tab w:val="left" w:pos="567"/>
        </w:tabs>
        <w:ind w:left="0"/>
        <w:rPr>
          <w:b/>
          <w:bCs/>
          <w:sz w:val="22"/>
          <w:szCs w:val="22"/>
          <w:lang w:val="el-GR"/>
        </w:rPr>
      </w:pPr>
      <w:r w:rsidRPr="000A3201">
        <w:rPr>
          <w:b/>
          <w:bCs/>
          <w:sz w:val="22"/>
          <w:szCs w:val="22"/>
          <w:lang w:val="el-GR"/>
        </w:rPr>
        <w:t>4.6</w:t>
      </w:r>
      <w:r w:rsidRPr="000A3201">
        <w:rPr>
          <w:b/>
          <w:bCs/>
          <w:sz w:val="22"/>
          <w:szCs w:val="22"/>
          <w:lang w:val="el-GR"/>
        </w:rPr>
        <w:tab/>
      </w:r>
      <w:r w:rsidR="00F87A3E" w:rsidRPr="000A3201">
        <w:rPr>
          <w:b/>
          <w:bCs/>
          <w:sz w:val="22"/>
          <w:szCs w:val="22"/>
          <w:lang w:val="el-GR"/>
        </w:rPr>
        <w:t>Γονιμότητα, κ</w:t>
      </w:r>
      <w:r w:rsidRPr="000A3201">
        <w:rPr>
          <w:b/>
          <w:bCs/>
          <w:sz w:val="22"/>
          <w:szCs w:val="22"/>
          <w:lang w:val="el-GR"/>
        </w:rPr>
        <w:t>ύηση και γαλουχία</w:t>
      </w:r>
    </w:p>
    <w:p w:rsidR="00865444" w:rsidRPr="000A3201" w:rsidRDefault="00865444" w:rsidP="00865444">
      <w:pPr>
        <w:pStyle w:val="a4"/>
        <w:ind w:left="0"/>
        <w:rPr>
          <w:sz w:val="22"/>
          <w:szCs w:val="22"/>
          <w:lang w:val="el-GR"/>
        </w:rPr>
      </w:pPr>
    </w:p>
    <w:p w:rsidR="00327A1C" w:rsidRPr="00327A1C" w:rsidRDefault="00AD5E88" w:rsidP="00865444">
      <w:pPr>
        <w:widowControl w:val="0"/>
        <w:autoSpaceDE w:val="0"/>
        <w:autoSpaceDN w:val="0"/>
        <w:adjustRightInd w:val="0"/>
        <w:spacing w:line="268" w:lineRule="atLeast"/>
        <w:ind w:left="567"/>
        <w:rPr>
          <w:sz w:val="22"/>
          <w:szCs w:val="22"/>
          <w:u w:val="single"/>
        </w:rPr>
      </w:pPr>
      <w:r w:rsidRPr="00AD5E88">
        <w:rPr>
          <w:sz w:val="22"/>
          <w:szCs w:val="22"/>
          <w:u w:val="single"/>
        </w:rPr>
        <w:t>Εγκυμοσύνη</w:t>
      </w:r>
    </w:p>
    <w:p w:rsidR="00106FE9" w:rsidRPr="000A3201" w:rsidRDefault="004E2399" w:rsidP="00865444">
      <w:pPr>
        <w:widowControl w:val="0"/>
        <w:autoSpaceDE w:val="0"/>
        <w:autoSpaceDN w:val="0"/>
        <w:adjustRightInd w:val="0"/>
        <w:spacing w:line="268" w:lineRule="atLeast"/>
        <w:ind w:left="567"/>
        <w:rPr>
          <w:sz w:val="22"/>
          <w:szCs w:val="22"/>
        </w:rPr>
      </w:pPr>
      <w:r w:rsidRPr="000A3201">
        <w:rPr>
          <w:sz w:val="22"/>
          <w:szCs w:val="22"/>
        </w:rPr>
        <w:t>Περιορισμένα δεδομένα για τη χρήση της μιρταζαπίνης σε έγκυες γυναίκες δεν δείχνουν αυξημένο κίνδυνο συγγενών ανωμαλιών</w:t>
      </w:r>
      <w:r w:rsidR="00106FE9" w:rsidRPr="000A3201">
        <w:rPr>
          <w:sz w:val="22"/>
          <w:szCs w:val="22"/>
        </w:rPr>
        <w:t xml:space="preserve">. </w:t>
      </w:r>
      <w:r w:rsidR="00865444" w:rsidRPr="000A3201">
        <w:rPr>
          <w:sz w:val="22"/>
          <w:szCs w:val="22"/>
        </w:rPr>
        <w:t xml:space="preserve">Μελέτες που έγιναν σε ζώα δεν έδειξαν </w:t>
      </w:r>
      <w:r w:rsidR="004A4EB8" w:rsidRPr="000A3201">
        <w:rPr>
          <w:sz w:val="22"/>
          <w:szCs w:val="22"/>
        </w:rPr>
        <w:t xml:space="preserve">κλινικά σημαντική </w:t>
      </w:r>
      <w:r w:rsidR="00865444" w:rsidRPr="000A3201">
        <w:rPr>
          <w:sz w:val="22"/>
          <w:szCs w:val="22"/>
        </w:rPr>
        <w:t>τερατογόνο δράση</w:t>
      </w:r>
      <w:r w:rsidR="004A4EB8" w:rsidRPr="000A3201">
        <w:rPr>
          <w:sz w:val="22"/>
          <w:szCs w:val="22"/>
        </w:rPr>
        <w:t>, αλλά παρατηρήθηκ</w:t>
      </w:r>
      <w:r w:rsidR="00FB5528" w:rsidRPr="000A3201">
        <w:rPr>
          <w:sz w:val="22"/>
          <w:szCs w:val="22"/>
        </w:rPr>
        <w:t xml:space="preserve">αν τοξικές επιδράσεις στην ανάπτυξη </w:t>
      </w:r>
      <w:r w:rsidR="00865444" w:rsidRPr="000A3201">
        <w:rPr>
          <w:sz w:val="22"/>
          <w:szCs w:val="22"/>
        </w:rPr>
        <w:t>(βλ</w:t>
      </w:r>
      <w:r w:rsidR="00311EC6" w:rsidRPr="000A3201">
        <w:rPr>
          <w:sz w:val="22"/>
          <w:szCs w:val="22"/>
        </w:rPr>
        <w:t>.</w:t>
      </w:r>
      <w:r w:rsidR="00865444" w:rsidRPr="000A3201">
        <w:rPr>
          <w:sz w:val="22"/>
          <w:szCs w:val="22"/>
        </w:rPr>
        <w:t xml:space="preserve"> </w:t>
      </w:r>
      <w:r w:rsidR="00106FE9" w:rsidRPr="000A3201">
        <w:rPr>
          <w:sz w:val="22"/>
          <w:szCs w:val="22"/>
        </w:rPr>
        <w:t xml:space="preserve">παράγραφο </w:t>
      </w:r>
      <w:r w:rsidR="00865444" w:rsidRPr="000A3201">
        <w:rPr>
          <w:sz w:val="22"/>
          <w:szCs w:val="22"/>
        </w:rPr>
        <w:t xml:space="preserve">5.3). </w:t>
      </w:r>
    </w:p>
    <w:p w:rsidR="00865444" w:rsidRPr="000A3201" w:rsidRDefault="00865444" w:rsidP="00865444">
      <w:pPr>
        <w:widowControl w:val="0"/>
        <w:autoSpaceDE w:val="0"/>
        <w:autoSpaceDN w:val="0"/>
        <w:adjustRightInd w:val="0"/>
        <w:spacing w:line="268" w:lineRule="atLeast"/>
        <w:ind w:left="567"/>
        <w:rPr>
          <w:sz w:val="22"/>
          <w:szCs w:val="22"/>
        </w:rPr>
      </w:pPr>
    </w:p>
    <w:p w:rsidR="00865444" w:rsidRPr="000A3201" w:rsidRDefault="00865444" w:rsidP="00865444">
      <w:pPr>
        <w:autoSpaceDE w:val="0"/>
        <w:autoSpaceDN w:val="0"/>
        <w:adjustRightInd w:val="0"/>
        <w:ind w:left="540"/>
        <w:rPr>
          <w:sz w:val="22"/>
          <w:szCs w:val="22"/>
        </w:rPr>
      </w:pPr>
      <w:r w:rsidRPr="000A3201">
        <w:rPr>
          <w:sz w:val="22"/>
          <w:szCs w:val="22"/>
        </w:rPr>
        <w:t>Τα ε</w:t>
      </w:r>
      <w:r w:rsidR="00262EA2" w:rsidRPr="000A3201">
        <w:rPr>
          <w:sz w:val="22"/>
          <w:szCs w:val="22"/>
        </w:rPr>
        <w:t>πιδημιολογικά δεδομένα υποδ</w:t>
      </w:r>
      <w:r w:rsidRPr="000A3201">
        <w:rPr>
          <w:sz w:val="22"/>
          <w:szCs w:val="22"/>
        </w:rPr>
        <w:t>ηλώνουν</w:t>
      </w:r>
      <w:r w:rsidR="00262EA2" w:rsidRPr="000A3201">
        <w:rPr>
          <w:sz w:val="22"/>
          <w:szCs w:val="22"/>
        </w:rPr>
        <w:t xml:space="preserve"> ότι η χρήση SSRIs κατά τη διάρκεια της κύησης, ιδίως στα τελευταία στάδια, ενδέχεται να αυξήσει τον κίνδυνο εμμένουσας πνευμονικής υπέρτασης </w:t>
      </w:r>
      <w:r w:rsidRPr="000A3201">
        <w:rPr>
          <w:sz w:val="22"/>
          <w:szCs w:val="22"/>
        </w:rPr>
        <w:t xml:space="preserve">του νεογνού </w:t>
      </w:r>
      <w:r w:rsidR="00262EA2" w:rsidRPr="000A3201">
        <w:rPr>
          <w:sz w:val="22"/>
          <w:szCs w:val="22"/>
        </w:rPr>
        <w:t>(</w:t>
      </w:r>
      <w:r w:rsidR="00262EA2" w:rsidRPr="000A3201">
        <w:rPr>
          <w:sz w:val="22"/>
          <w:szCs w:val="22"/>
          <w:lang w:val="en-US"/>
        </w:rPr>
        <w:t>PPHN</w:t>
      </w:r>
      <w:r w:rsidR="00262EA2" w:rsidRPr="000A3201">
        <w:rPr>
          <w:sz w:val="22"/>
          <w:szCs w:val="22"/>
        </w:rPr>
        <w:t xml:space="preserve">). Παρ’ όλο που δεν έχουν διεξαχθεί μελέτες που να ερευνούν πιθανή σχέση της </w:t>
      </w:r>
      <w:r w:rsidR="00262EA2" w:rsidRPr="000A3201">
        <w:rPr>
          <w:sz w:val="22"/>
          <w:szCs w:val="22"/>
          <w:lang w:val="en-US"/>
        </w:rPr>
        <w:t>PPHN</w:t>
      </w:r>
      <w:r w:rsidR="00262EA2" w:rsidRPr="000A3201">
        <w:rPr>
          <w:sz w:val="22"/>
          <w:szCs w:val="22"/>
        </w:rPr>
        <w:t xml:space="preserve"> με τη θεραπεία με </w:t>
      </w:r>
      <w:r w:rsidRPr="000A3201">
        <w:rPr>
          <w:sz w:val="22"/>
          <w:szCs w:val="22"/>
        </w:rPr>
        <w:t>μιρταζαπίνη,</w:t>
      </w:r>
      <w:r w:rsidR="00262EA2" w:rsidRPr="000A3201">
        <w:rPr>
          <w:sz w:val="22"/>
          <w:szCs w:val="22"/>
        </w:rPr>
        <w:t xml:space="preserve"> ο παραπάνω δυνητικός κίνδυνος δεν μπορεί να αποκλειστεί, λαμβάνοντας υπόψη τον σχετιζόμενο μηχανισμό δράσης (</w:t>
      </w:r>
      <w:r w:rsidRPr="000A3201">
        <w:rPr>
          <w:sz w:val="22"/>
          <w:szCs w:val="22"/>
        </w:rPr>
        <w:t xml:space="preserve">αύξηση των συγκεντρώσεων </w:t>
      </w:r>
      <w:r w:rsidR="00262EA2" w:rsidRPr="000A3201">
        <w:rPr>
          <w:sz w:val="22"/>
          <w:szCs w:val="22"/>
        </w:rPr>
        <w:t>σεροτονίνης).</w:t>
      </w:r>
    </w:p>
    <w:p w:rsidR="00C369FF" w:rsidRDefault="00C369FF">
      <w:pPr>
        <w:widowControl w:val="0"/>
        <w:autoSpaceDE w:val="0"/>
        <w:autoSpaceDN w:val="0"/>
        <w:adjustRightInd w:val="0"/>
        <w:ind w:left="567"/>
        <w:rPr>
          <w:sz w:val="22"/>
          <w:szCs w:val="22"/>
        </w:rPr>
      </w:pPr>
    </w:p>
    <w:p w:rsidR="00C369FF" w:rsidRDefault="00A04DB5">
      <w:pPr>
        <w:widowControl w:val="0"/>
        <w:autoSpaceDE w:val="0"/>
        <w:autoSpaceDN w:val="0"/>
        <w:adjustRightInd w:val="0"/>
        <w:ind w:left="567"/>
        <w:rPr>
          <w:sz w:val="22"/>
          <w:szCs w:val="22"/>
        </w:rPr>
      </w:pPr>
      <w:r w:rsidRPr="000A3201">
        <w:rPr>
          <w:sz w:val="22"/>
          <w:szCs w:val="22"/>
        </w:rPr>
        <w:t xml:space="preserve">Η χορήγηση σε εγκύους πρέπει να πραγματοποιείται με </w:t>
      </w:r>
      <w:r w:rsidR="00FB5528" w:rsidRPr="000A3201">
        <w:rPr>
          <w:sz w:val="22"/>
          <w:szCs w:val="22"/>
        </w:rPr>
        <w:t>προσοχή. Εάν</w:t>
      </w:r>
      <w:r w:rsidRPr="000A3201">
        <w:rPr>
          <w:sz w:val="22"/>
          <w:szCs w:val="22"/>
        </w:rPr>
        <w:t xml:space="preserve"> η μιρταζαπίνη χρησιμοποιείται μέχρι, ή λίγο πριν τον τοκετό, συνιστάται παρακολούθηση του νεογνού για ανίχνευση πιθανών συμπτωμάτων απόσυρσης.</w:t>
      </w:r>
    </w:p>
    <w:p w:rsidR="00C369FF" w:rsidRDefault="00C369FF">
      <w:pPr>
        <w:widowControl w:val="0"/>
        <w:autoSpaceDE w:val="0"/>
        <w:autoSpaceDN w:val="0"/>
        <w:adjustRightInd w:val="0"/>
        <w:ind w:left="567"/>
        <w:rPr>
          <w:sz w:val="22"/>
          <w:szCs w:val="22"/>
        </w:rPr>
      </w:pPr>
    </w:p>
    <w:p w:rsidR="00C369FF" w:rsidRDefault="00AD5E88">
      <w:pPr>
        <w:widowControl w:val="0"/>
        <w:autoSpaceDE w:val="0"/>
        <w:autoSpaceDN w:val="0"/>
        <w:adjustRightInd w:val="0"/>
        <w:ind w:left="567"/>
        <w:rPr>
          <w:sz w:val="22"/>
          <w:szCs w:val="22"/>
          <w:u w:val="single"/>
        </w:rPr>
      </w:pPr>
      <w:r w:rsidRPr="00AD5E88">
        <w:rPr>
          <w:sz w:val="22"/>
          <w:szCs w:val="22"/>
          <w:u w:val="single"/>
        </w:rPr>
        <w:t>Θηλασμός</w:t>
      </w:r>
    </w:p>
    <w:p w:rsidR="00C369FF" w:rsidRDefault="005C7BAD">
      <w:pPr>
        <w:widowControl w:val="0"/>
        <w:autoSpaceDE w:val="0"/>
        <w:autoSpaceDN w:val="0"/>
        <w:adjustRightInd w:val="0"/>
        <w:ind w:left="567"/>
        <w:rPr>
          <w:sz w:val="22"/>
          <w:szCs w:val="22"/>
        </w:rPr>
      </w:pPr>
      <w:r w:rsidRPr="000A3201">
        <w:rPr>
          <w:sz w:val="22"/>
          <w:szCs w:val="22"/>
        </w:rPr>
        <w:t>Μελέτες σε ζώ</w:t>
      </w:r>
      <w:r w:rsidR="00FB5528" w:rsidRPr="000A3201">
        <w:rPr>
          <w:sz w:val="22"/>
          <w:szCs w:val="22"/>
        </w:rPr>
        <w:t xml:space="preserve">α και περιορισμένα δεδομένα από </w:t>
      </w:r>
      <w:r w:rsidRPr="000A3201">
        <w:rPr>
          <w:sz w:val="22"/>
          <w:szCs w:val="22"/>
        </w:rPr>
        <w:t xml:space="preserve">ανθρώπους έχουν δείξει </w:t>
      </w:r>
      <w:r w:rsidR="00FB5528" w:rsidRPr="000A3201">
        <w:rPr>
          <w:sz w:val="22"/>
          <w:szCs w:val="22"/>
        </w:rPr>
        <w:t>απ</w:t>
      </w:r>
      <w:r w:rsidRPr="000A3201">
        <w:rPr>
          <w:sz w:val="22"/>
          <w:szCs w:val="22"/>
        </w:rPr>
        <w:t xml:space="preserve">έκκριση της μιρταζαπίνης στο </w:t>
      </w:r>
      <w:r w:rsidR="00945674" w:rsidRPr="000A3201">
        <w:rPr>
          <w:sz w:val="22"/>
          <w:szCs w:val="22"/>
        </w:rPr>
        <w:t xml:space="preserve">μητρικό </w:t>
      </w:r>
      <w:r w:rsidRPr="000A3201">
        <w:rPr>
          <w:sz w:val="22"/>
          <w:szCs w:val="22"/>
        </w:rPr>
        <w:t xml:space="preserve">γάλα σε πολύ μικρές ποσότητες. Η απόφαση για την συνέχιση/διακοπή του θηλασμού ή τη συνέχιση/διακοπή της θεραπείας με μιρταζαπίνη πρέπει να </w:t>
      </w:r>
      <w:r w:rsidR="00945674" w:rsidRPr="000A3201">
        <w:rPr>
          <w:sz w:val="22"/>
          <w:szCs w:val="22"/>
        </w:rPr>
        <w:t xml:space="preserve">λαμβάνει </w:t>
      </w:r>
      <w:r w:rsidR="00FB5528" w:rsidRPr="000A3201">
        <w:rPr>
          <w:sz w:val="22"/>
          <w:szCs w:val="22"/>
        </w:rPr>
        <w:t>υπόψιν</w:t>
      </w:r>
      <w:r w:rsidRPr="000A3201">
        <w:rPr>
          <w:sz w:val="22"/>
          <w:szCs w:val="22"/>
        </w:rPr>
        <w:t xml:space="preserve"> το όφελος του θηλασμού για το παιδί και το όφελος της θεραπείας με μιρταζαπίνη για τη γυναίκα</w:t>
      </w:r>
      <w:r w:rsidR="00106FE9" w:rsidRPr="000A3201">
        <w:rPr>
          <w:sz w:val="22"/>
          <w:szCs w:val="22"/>
        </w:rPr>
        <w:t xml:space="preserve">. </w:t>
      </w:r>
    </w:p>
    <w:p w:rsidR="00C369FF" w:rsidRDefault="00C369FF">
      <w:pPr>
        <w:widowControl w:val="0"/>
        <w:autoSpaceDE w:val="0"/>
        <w:autoSpaceDN w:val="0"/>
        <w:adjustRightInd w:val="0"/>
        <w:ind w:left="567"/>
        <w:rPr>
          <w:sz w:val="22"/>
          <w:szCs w:val="22"/>
        </w:rPr>
      </w:pPr>
    </w:p>
    <w:p w:rsidR="00327A1C" w:rsidRPr="00AA1AB4" w:rsidRDefault="00D13B55" w:rsidP="00D13B55">
      <w:pPr>
        <w:pStyle w:val="a4"/>
        <w:ind w:left="567"/>
        <w:rPr>
          <w:sz w:val="22"/>
          <w:szCs w:val="22"/>
          <w:u w:val="single"/>
          <w:lang w:val="el-GR"/>
        </w:rPr>
      </w:pPr>
      <w:r>
        <w:rPr>
          <w:sz w:val="22"/>
          <w:szCs w:val="22"/>
          <w:u w:val="single"/>
          <w:lang w:val="el-GR"/>
        </w:rPr>
        <w:t>Γονιμότητα</w:t>
      </w:r>
      <w:r w:rsidR="00327A1C" w:rsidRPr="00AA1AB4">
        <w:rPr>
          <w:sz w:val="22"/>
          <w:szCs w:val="22"/>
          <w:u w:val="single"/>
          <w:lang w:val="el-GR"/>
        </w:rPr>
        <w:t xml:space="preserve"> </w:t>
      </w:r>
    </w:p>
    <w:p w:rsidR="00C369FF" w:rsidRDefault="00D13B55">
      <w:pPr>
        <w:widowControl w:val="0"/>
        <w:autoSpaceDE w:val="0"/>
        <w:autoSpaceDN w:val="0"/>
        <w:adjustRightInd w:val="0"/>
        <w:ind w:left="567"/>
        <w:rPr>
          <w:sz w:val="22"/>
          <w:szCs w:val="22"/>
        </w:rPr>
      </w:pPr>
      <w:r>
        <w:rPr>
          <w:sz w:val="22"/>
          <w:szCs w:val="22"/>
        </w:rPr>
        <w:t xml:space="preserve">Οι μη-κλινικές μελέτες αναπαραγωγικής τοξικότητας που πραγματοποιήθηκαν στα </w:t>
      </w:r>
      <w:r>
        <w:rPr>
          <w:sz w:val="22"/>
          <w:szCs w:val="22"/>
        </w:rPr>
        <w:lastRenderedPageBreak/>
        <w:t>ζώα δεν έδειξαν επιδράσεις στη γονιμότητα</w:t>
      </w:r>
      <w:r w:rsidR="00327A1C" w:rsidRPr="007476FC">
        <w:rPr>
          <w:sz w:val="22"/>
          <w:szCs w:val="22"/>
        </w:rPr>
        <w:t>.</w:t>
      </w:r>
    </w:p>
    <w:p w:rsidR="00865444" w:rsidRPr="000A3201" w:rsidRDefault="00865444" w:rsidP="00865444">
      <w:pPr>
        <w:pStyle w:val="a4"/>
        <w:rPr>
          <w:sz w:val="22"/>
          <w:szCs w:val="22"/>
          <w:lang w:val="el-GR"/>
        </w:rPr>
      </w:pPr>
    </w:p>
    <w:p w:rsidR="00865444" w:rsidRPr="000A3201" w:rsidRDefault="00865444" w:rsidP="000D7B81">
      <w:pPr>
        <w:tabs>
          <w:tab w:val="left" w:pos="567"/>
        </w:tabs>
        <w:rPr>
          <w:b/>
          <w:sz w:val="22"/>
          <w:szCs w:val="22"/>
        </w:rPr>
      </w:pPr>
      <w:r w:rsidRPr="000A3201">
        <w:rPr>
          <w:b/>
          <w:sz w:val="22"/>
          <w:szCs w:val="22"/>
        </w:rPr>
        <w:t>4.7</w:t>
      </w:r>
      <w:r w:rsidRPr="000A3201">
        <w:rPr>
          <w:b/>
          <w:sz w:val="22"/>
          <w:szCs w:val="22"/>
        </w:rPr>
        <w:tab/>
        <w:t>Επιδράσεις στην ικανότητα οδήγησης και χειρισμού μηχανημάτων</w:t>
      </w:r>
    </w:p>
    <w:p w:rsidR="00865444" w:rsidRPr="000A3201" w:rsidRDefault="00865444" w:rsidP="00865444">
      <w:pPr>
        <w:rPr>
          <w:sz w:val="22"/>
          <w:szCs w:val="22"/>
        </w:rPr>
      </w:pPr>
    </w:p>
    <w:p w:rsidR="00865444" w:rsidRPr="000A3201" w:rsidRDefault="00924F67" w:rsidP="00865444">
      <w:pPr>
        <w:widowControl w:val="0"/>
        <w:autoSpaceDE w:val="0"/>
        <w:autoSpaceDN w:val="0"/>
        <w:adjustRightInd w:val="0"/>
        <w:spacing w:line="268" w:lineRule="atLeast"/>
        <w:ind w:left="567"/>
        <w:rPr>
          <w:sz w:val="22"/>
          <w:szCs w:val="22"/>
        </w:rPr>
      </w:pPr>
      <w:r w:rsidRPr="000A3201">
        <w:rPr>
          <w:sz w:val="22"/>
          <w:szCs w:val="22"/>
        </w:rPr>
        <w:t>Η μιρταζαπίνη έχει μικρή έως μέτρια επίδραση στην ικανότητα οδήγησης και χειρισμού μηχανών.</w:t>
      </w:r>
      <w:r w:rsidR="001153F6" w:rsidRPr="000A3201">
        <w:rPr>
          <w:sz w:val="22"/>
          <w:szCs w:val="22"/>
        </w:rPr>
        <w:t xml:space="preserve"> Η μιρταζαπίνη</w:t>
      </w:r>
      <w:r w:rsidRPr="000A3201">
        <w:rPr>
          <w:sz w:val="22"/>
          <w:szCs w:val="22"/>
        </w:rPr>
        <w:t xml:space="preserve"> μπορεί να μειώσει την ικανότητα προσοχής και τον βαθμό εγρήγορσης (ιδιαίτερα στην αρχική φάση της θεραπείας). Οι ασθενείς πρέπει να αποφεύγουν την εκτέλεση δυνητικά επικίνδυνων εργασιών, που απαιτούν εγρήγορση και αυξημένη συγκέντρωση, όπως η οδήγηση </w:t>
      </w:r>
      <w:r w:rsidR="00FB5528" w:rsidRPr="000A3201">
        <w:rPr>
          <w:sz w:val="22"/>
          <w:szCs w:val="22"/>
        </w:rPr>
        <w:t xml:space="preserve">οχημάτων </w:t>
      </w:r>
      <w:r w:rsidRPr="000A3201">
        <w:rPr>
          <w:sz w:val="22"/>
          <w:szCs w:val="22"/>
        </w:rPr>
        <w:t xml:space="preserve">ή ο χειρισμός μηχανημάτων, οποιαδήποτε χρονική στιγμή εφόσον επηρεάζονται. </w:t>
      </w:r>
    </w:p>
    <w:p w:rsidR="00865444" w:rsidRPr="000A3201" w:rsidRDefault="00865444" w:rsidP="00865444">
      <w:pPr>
        <w:pStyle w:val="a4"/>
        <w:ind w:left="0"/>
        <w:rPr>
          <w:b/>
          <w:bCs/>
          <w:sz w:val="22"/>
          <w:szCs w:val="22"/>
          <w:lang w:val="el-GR"/>
        </w:rPr>
      </w:pPr>
    </w:p>
    <w:p w:rsidR="00865444" w:rsidRPr="000A3201" w:rsidRDefault="00865444" w:rsidP="00865444">
      <w:pPr>
        <w:pStyle w:val="a4"/>
        <w:ind w:left="0"/>
        <w:rPr>
          <w:b/>
          <w:bCs/>
          <w:sz w:val="22"/>
          <w:szCs w:val="22"/>
          <w:lang w:val="el-GR"/>
        </w:rPr>
      </w:pPr>
      <w:r w:rsidRPr="000A3201">
        <w:rPr>
          <w:b/>
          <w:bCs/>
          <w:sz w:val="22"/>
          <w:szCs w:val="22"/>
          <w:lang w:val="el-GR"/>
        </w:rPr>
        <w:t>4.8</w:t>
      </w:r>
      <w:r w:rsidRPr="000A3201">
        <w:rPr>
          <w:b/>
          <w:bCs/>
          <w:sz w:val="22"/>
          <w:szCs w:val="22"/>
          <w:lang w:val="el-GR"/>
        </w:rPr>
        <w:tab/>
        <w:t>Ανεπιθύμητες ενέργειες</w:t>
      </w:r>
    </w:p>
    <w:p w:rsidR="00865444" w:rsidRPr="000A3201" w:rsidRDefault="00865444" w:rsidP="00865444">
      <w:pPr>
        <w:rPr>
          <w:sz w:val="22"/>
          <w:szCs w:val="22"/>
        </w:rPr>
      </w:pPr>
    </w:p>
    <w:p w:rsidR="00865444" w:rsidRPr="000A3201" w:rsidRDefault="00865444" w:rsidP="00865444">
      <w:pPr>
        <w:widowControl w:val="0"/>
        <w:autoSpaceDE w:val="0"/>
        <w:autoSpaceDN w:val="0"/>
        <w:adjustRightInd w:val="0"/>
        <w:spacing w:line="268" w:lineRule="atLeast"/>
        <w:ind w:left="567"/>
        <w:rPr>
          <w:sz w:val="22"/>
          <w:szCs w:val="22"/>
        </w:rPr>
      </w:pPr>
      <w:r w:rsidRPr="000A3201">
        <w:rPr>
          <w:sz w:val="22"/>
          <w:szCs w:val="22"/>
        </w:rPr>
        <w:t>Οι καταθλιπτικοί ασθενείς εμφανίζουν σειρά συμπτωμάτων που σχετίζονται με την ίδια τη νόσο. Επομένως μερικές φορές είναι δύσκολο να προσδιοριστεί ποια συμπτώματα προκαλούνται από την ίδια τη νόσο και ποια είναι αποτέλεσμα της θεραπείας με μιρταζαπίνη.</w:t>
      </w:r>
    </w:p>
    <w:p w:rsidR="00C01610" w:rsidRPr="000A3201" w:rsidRDefault="00C01610" w:rsidP="00C01610">
      <w:pPr>
        <w:widowControl w:val="0"/>
        <w:autoSpaceDE w:val="0"/>
        <w:autoSpaceDN w:val="0"/>
        <w:adjustRightInd w:val="0"/>
        <w:spacing w:line="268" w:lineRule="atLeast"/>
        <w:ind w:left="567"/>
        <w:rPr>
          <w:sz w:val="22"/>
          <w:szCs w:val="22"/>
        </w:rPr>
      </w:pPr>
    </w:p>
    <w:p w:rsidR="00DD62ED" w:rsidRPr="000A3201" w:rsidRDefault="00DD62ED" w:rsidP="00C01610">
      <w:pPr>
        <w:widowControl w:val="0"/>
        <w:autoSpaceDE w:val="0"/>
        <w:autoSpaceDN w:val="0"/>
        <w:adjustRightInd w:val="0"/>
        <w:spacing w:line="268" w:lineRule="atLeast"/>
        <w:ind w:left="567"/>
        <w:rPr>
          <w:sz w:val="22"/>
          <w:szCs w:val="22"/>
        </w:rPr>
      </w:pPr>
      <w:r w:rsidRPr="000A3201">
        <w:rPr>
          <w:sz w:val="22"/>
          <w:szCs w:val="22"/>
        </w:rPr>
        <w:t>Οι ανεπιθύμητες ενέργειες που αναφέρονται πιο συχνά, συμβαίνουν σε περισσότερο από το 5% των ασθενών που λαμβάνουν μιρταζαπίνη και συμμετέχουν στις τυχαιοποιημένες ελεγχόμενες με εικονικό φάρμακο κλινικές μελέτες (βλ</w:t>
      </w:r>
      <w:r w:rsidR="00311EC6" w:rsidRPr="000A3201">
        <w:rPr>
          <w:sz w:val="22"/>
          <w:szCs w:val="22"/>
        </w:rPr>
        <w:t>.</w:t>
      </w:r>
      <w:r w:rsidRPr="000A3201">
        <w:rPr>
          <w:sz w:val="22"/>
          <w:szCs w:val="22"/>
        </w:rPr>
        <w:t xml:space="preserve"> παρακάτω) είναι η υπνηλία, η καταστολή, η ξηροστομία, η αύξηση του σωματικού βάρους, η αύξηση της όρεξης, η ζάλη και η κόπωση. </w:t>
      </w:r>
    </w:p>
    <w:p w:rsidR="00C01610" w:rsidRPr="000A3201" w:rsidRDefault="00C01610" w:rsidP="00C01610">
      <w:pPr>
        <w:widowControl w:val="0"/>
        <w:autoSpaceDE w:val="0"/>
        <w:autoSpaceDN w:val="0"/>
        <w:adjustRightInd w:val="0"/>
        <w:spacing w:line="268" w:lineRule="atLeast"/>
        <w:ind w:left="567"/>
        <w:rPr>
          <w:sz w:val="22"/>
          <w:szCs w:val="22"/>
        </w:rPr>
      </w:pPr>
    </w:p>
    <w:p w:rsidR="00C01610" w:rsidRPr="000A3201" w:rsidRDefault="00DD62ED" w:rsidP="00C01610">
      <w:pPr>
        <w:widowControl w:val="0"/>
        <w:autoSpaceDE w:val="0"/>
        <w:autoSpaceDN w:val="0"/>
        <w:adjustRightInd w:val="0"/>
        <w:spacing w:line="268" w:lineRule="atLeast"/>
        <w:ind w:left="567"/>
        <w:rPr>
          <w:sz w:val="22"/>
          <w:szCs w:val="22"/>
        </w:rPr>
      </w:pPr>
      <w:r w:rsidRPr="000A3201">
        <w:rPr>
          <w:sz w:val="22"/>
          <w:szCs w:val="22"/>
        </w:rPr>
        <w:t>Όλες οι τυχαιοποιημένες</w:t>
      </w:r>
      <w:r w:rsidR="004C0822" w:rsidRPr="000A3201">
        <w:rPr>
          <w:sz w:val="22"/>
          <w:szCs w:val="22"/>
        </w:rPr>
        <w:t>,</w:t>
      </w:r>
      <w:r w:rsidRPr="000A3201">
        <w:rPr>
          <w:sz w:val="22"/>
          <w:szCs w:val="22"/>
        </w:rPr>
        <w:t xml:space="preserve"> ελεγχόμενες με εικονικό φάρμακο κλινικές μελέτες σε ασθενείς (συμπεριλαμβανομένων και άλλων ενδείξεων εκτός από διαταραχές μείζονος κατάθλιψης)</w:t>
      </w:r>
      <w:r w:rsidR="004C0822" w:rsidRPr="000A3201">
        <w:rPr>
          <w:sz w:val="22"/>
          <w:szCs w:val="22"/>
        </w:rPr>
        <w:t>,</w:t>
      </w:r>
      <w:r w:rsidRPr="000A3201">
        <w:rPr>
          <w:sz w:val="22"/>
          <w:szCs w:val="22"/>
        </w:rPr>
        <w:t xml:space="preserve"> έχουν αξιολογηθεί για τις ανεπιθύμητες ενέργειες της μιρταζαπίνης. Η μετα-ανάλυση αφορά </w:t>
      </w:r>
      <w:r w:rsidR="004C0822" w:rsidRPr="000A3201">
        <w:rPr>
          <w:sz w:val="22"/>
          <w:szCs w:val="22"/>
        </w:rPr>
        <w:t xml:space="preserve">σε </w:t>
      </w:r>
      <w:r w:rsidRPr="000A3201">
        <w:rPr>
          <w:sz w:val="22"/>
          <w:szCs w:val="22"/>
        </w:rPr>
        <w:t xml:space="preserve">20 κλινικές μελέτες, με </w:t>
      </w:r>
      <w:r w:rsidR="004C0822" w:rsidRPr="000A3201">
        <w:rPr>
          <w:sz w:val="22"/>
          <w:szCs w:val="22"/>
        </w:rPr>
        <w:t xml:space="preserve">προγραμματισμένη </w:t>
      </w:r>
      <w:r w:rsidRPr="000A3201">
        <w:rPr>
          <w:sz w:val="22"/>
          <w:szCs w:val="22"/>
        </w:rPr>
        <w:t>διάρκεια θεραπείας μέχρι 12 εβδομάδες, με 1501 ασθενείς (134</w:t>
      </w:r>
      <w:r w:rsidR="004C0822" w:rsidRPr="000A3201">
        <w:rPr>
          <w:sz w:val="22"/>
          <w:szCs w:val="22"/>
        </w:rPr>
        <w:t xml:space="preserve"> ανθρωπο-έτη</w:t>
      </w:r>
      <w:r w:rsidRPr="000A3201">
        <w:rPr>
          <w:sz w:val="22"/>
          <w:szCs w:val="22"/>
        </w:rPr>
        <w:t xml:space="preserve">) που λάμβαναν δόσεις μιρταζαπίνης μέχρι 60 </w:t>
      </w:r>
      <w:r w:rsidRPr="000A3201">
        <w:rPr>
          <w:sz w:val="22"/>
          <w:szCs w:val="22"/>
          <w:lang w:val="en-US"/>
        </w:rPr>
        <w:t>mg</w:t>
      </w:r>
      <w:r w:rsidRPr="000A3201">
        <w:rPr>
          <w:sz w:val="22"/>
          <w:szCs w:val="22"/>
        </w:rPr>
        <w:t xml:space="preserve"> και με 850 ασθενείς (79</w:t>
      </w:r>
      <w:r w:rsidR="004C0822" w:rsidRPr="000A3201">
        <w:rPr>
          <w:sz w:val="22"/>
          <w:szCs w:val="22"/>
        </w:rPr>
        <w:t xml:space="preserve"> ανθρωπο-έτη</w:t>
      </w:r>
      <w:r w:rsidRPr="000A3201">
        <w:rPr>
          <w:sz w:val="22"/>
          <w:szCs w:val="22"/>
        </w:rPr>
        <w:t xml:space="preserve">) που ελάμβαναν εικονικό φάρμακο. Οι παρατάσεις αυτών των κλινικών μελετών έχουν εξαιρεθεί ώστε να διατηρηθεί η συγκρισιμότητα με το εικονικό φάρμακο. </w:t>
      </w:r>
    </w:p>
    <w:p w:rsidR="00C01610" w:rsidRPr="000A3201" w:rsidRDefault="00C01610" w:rsidP="00C01610">
      <w:pPr>
        <w:widowControl w:val="0"/>
        <w:autoSpaceDE w:val="0"/>
        <w:autoSpaceDN w:val="0"/>
        <w:adjustRightInd w:val="0"/>
        <w:spacing w:line="268" w:lineRule="atLeast"/>
        <w:ind w:left="567"/>
        <w:rPr>
          <w:b/>
          <w:sz w:val="22"/>
          <w:szCs w:val="22"/>
        </w:rPr>
      </w:pPr>
    </w:p>
    <w:p w:rsidR="00C01610" w:rsidRPr="000A3201" w:rsidRDefault="00E7373A" w:rsidP="00C01610">
      <w:pPr>
        <w:widowControl w:val="0"/>
        <w:autoSpaceDE w:val="0"/>
        <w:autoSpaceDN w:val="0"/>
        <w:adjustRightInd w:val="0"/>
        <w:spacing w:line="268" w:lineRule="atLeast"/>
        <w:ind w:left="567"/>
        <w:rPr>
          <w:sz w:val="22"/>
          <w:szCs w:val="22"/>
        </w:rPr>
      </w:pPr>
      <w:r w:rsidRPr="000A3201">
        <w:rPr>
          <w:sz w:val="22"/>
          <w:szCs w:val="22"/>
        </w:rPr>
        <w:t>Ο πίνακας 1 δείχνει ανά κατηγορίες τη συχνότητα εμφάνισης των ανεπιθύμητων ενεργειών</w:t>
      </w:r>
      <w:r w:rsidR="004C0822" w:rsidRPr="000A3201">
        <w:rPr>
          <w:sz w:val="22"/>
          <w:szCs w:val="22"/>
        </w:rPr>
        <w:t>,</w:t>
      </w:r>
      <w:r w:rsidRPr="000A3201">
        <w:rPr>
          <w:sz w:val="22"/>
          <w:szCs w:val="22"/>
        </w:rPr>
        <w:t xml:space="preserve"> οι οποίες παρουσιάστηκαν στις κλινικές μελέτες </w:t>
      </w:r>
      <w:r w:rsidR="004C0822" w:rsidRPr="000A3201">
        <w:rPr>
          <w:sz w:val="22"/>
          <w:szCs w:val="22"/>
        </w:rPr>
        <w:t>σε στατιστικώς σημαντικό βαθμό</w:t>
      </w:r>
      <w:r w:rsidRPr="000A3201">
        <w:rPr>
          <w:sz w:val="22"/>
          <w:szCs w:val="22"/>
        </w:rPr>
        <w:t xml:space="preserve"> συχνότερα κατά τη θεραπεία με </w:t>
      </w:r>
      <w:r w:rsidR="001D0BB1" w:rsidRPr="000A3201">
        <w:rPr>
          <w:sz w:val="22"/>
          <w:szCs w:val="22"/>
        </w:rPr>
        <w:t xml:space="preserve">μιρταζαπίνη </w:t>
      </w:r>
      <w:r w:rsidR="004C0822" w:rsidRPr="000A3201">
        <w:rPr>
          <w:sz w:val="22"/>
          <w:szCs w:val="22"/>
        </w:rPr>
        <w:t>απ’</w:t>
      </w:r>
      <w:r w:rsidRPr="000A3201">
        <w:rPr>
          <w:sz w:val="22"/>
          <w:szCs w:val="22"/>
        </w:rPr>
        <w:t xml:space="preserve"> ότι με το εικονικό φάρμακο, καθώς και τις ανεπιθύμητες ενέργειες που αναφέρθηκαν αυθόρμητα. </w:t>
      </w:r>
      <w:r w:rsidR="004C0822" w:rsidRPr="000A3201">
        <w:rPr>
          <w:sz w:val="22"/>
          <w:szCs w:val="22"/>
        </w:rPr>
        <w:t xml:space="preserve">Οι συχνότητες των ανεπιθύμητων ενεργειών που προέκυψαν από τις αυθόρμητες αναφορές βασίζονται στη συχνότητα με την οποία αυτά τα συμβάντα αναφέρθηκαν κατά τις κλινικές μελέτες. </w:t>
      </w:r>
      <w:r w:rsidRPr="000A3201">
        <w:rPr>
          <w:sz w:val="22"/>
          <w:szCs w:val="22"/>
        </w:rPr>
        <w:t xml:space="preserve">Οι </w:t>
      </w:r>
      <w:r w:rsidR="004C0822" w:rsidRPr="000A3201">
        <w:rPr>
          <w:sz w:val="22"/>
          <w:szCs w:val="22"/>
        </w:rPr>
        <w:t>συχνότητες των ανεπιθύμητων ενεργειών που αναφέρθηκαν αυθόρμητα και</w:t>
      </w:r>
      <w:r w:rsidRPr="000A3201">
        <w:rPr>
          <w:sz w:val="22"/>
          <w:szCs w:val="22"/>
        </w:rPr>
        <w:t xml:space="preserve"> για τις οποίες δεν υπάρχει αντίστοιχη αναφορά ότι παρατηρήθηκαν στις </w:t>
      </w:r>
      <w:r w:rsidR="004C0822" w:rsidRPr="000A3201">
        <w:rPr>
          <w:sz w:val="22"/>
          <w:szCs w:val="22"/>
        </w:rPr>
        <w:t xml:space="preserve">τυχαιοποιημένες, </w:t>
      </w:r>
      <w:r w:rsidRPr="000A3201">
        <w:rPr>
          <w:sz w:val="22"/>
          <w:szCs w:val="22"/>
        </w:rPr>
        <w:t>ελεγχόμενες με εικονικό φάρμακο κλινικές μελέτες με τη μιρταζαπίνη, κατηγοριοποιήθηκαν ως «μη γνωστές».</w:t>
      </w:r>
    </w:p>
    <w:p w:rsidR="00865444" w:rsidRPr="000A3201" w:rsidRDefault="00865444" w:rsidP="00C01610">
      <w:pPr>
        <w:widowControl w:val="0"/>
        <w:autoSpaceDE w:val="0"/>
        <w:autoSpaceDN w:val="0"/>
        <w:adjustRightInd w:val="0"/>
        <w:spacing w:line="268" w:lineRule="atLeast"/>
        <w:ind w:left="567"/>
        <w:rPr>
          <w:sz w:val="22"/>
          <w:szCs w:val="22"/>
        </w:rPr>
      </w:pPr>
    </w:p>
    <w:p w:rsidR="001B3CFB" w:rsidRPr="000A3201" w:rsidRDefault="001B3CFB" w:rsidP="001B3CFB">
      <w:pPr>
        <w:widowControl w:val="0"/>
        <w:autoSpaceDE w:val="0"/>
        <w:autoSpaceDN w:val="0"/>
        <w:adjustRightInd w:val="0"/>
        <w:spacing w:line="268" w:lineRule="atLeast"/>
        <w:rPr>
          <w:sz w:val="22"/>
          <w:szCs w:val="22"/>
        </w:rPr>
      </w:pPr>
    </w:p>
    <w:p w:rsidR="001B3CFB" w:rsidRDefault="001B3CFB" w:rsidP="001B3CFB">
      <w:pPr>
        <w:widowControl w:val="0"/>
        <w:autoSpaceDE w:val="0"/>
        <w:autoSpaceDN w:val="0"/>
        <w:adjustRightInd w:val="0"/>
        <w:spacing w:line="268" w:lineRule="atLeast"/>
        <w:ind w:left="567"/>
        <w:rPr>
          <w:sz w:val="22"/>
          <w:szCs w:val="22"/>
        </w:rPr>
      </w:pPr>
      <w:proofErr w:type="spellStart"/>
      <w:proofErr w:type="gramStart"/>
      <w:r w:rsidRPr="000A3201">
        <w:rPr>
          <w:sz w:val="22"/>
          <w:szCs w:val="22"/>
          <w:lang w:val="en-GB"/>
        </w:rPr>
        <w:t>Πίν</w:t>
      </w:r>
      <w:proofErr w:type="spellEnd"/>
      <w:r w:rsidRPr="000A3201">
        <w:rPr>
          <w:sz w:val="22"/>
          <w:szCs w:val="22"/>
          <w:lang w:val="en-GB"/>
        </w:rPr>
        <w:t>ακας 1.</w:t>
      </w:r>
      <w:proofErr w:type="gramEnd"/>
      <w:r w:rsidRPr="000A3201">
        <w:rPr>
          <w:sz w:val="22"/>
          <w:szCs w:val="22"/>
          <w:lang w:val="en-GB"/>
        </w:rPr>
        <w:t xml:space="preserve"> </w:t>
      </w:r>
      <w:proofErr w:type="spellStart"/>
      <w:r w:rsidRPr="000A3201">
        <w:rPr>
          <w:sz w:val="22"/>
          <w:szCs w:val="22"/>
          <w:lang w:val="en-GB"/>
        </w:rPr>
        <w:t>Ανε</w:t>
      </w:r>
      <w:proofErr w:type="spellEnd"/>
      <w:r w:rsidRPr="000A3201">
        <w:rPr>
          <w:sz w:val="22"/>
          <w:szCs w:val="22"/>
          <w:lang w:val="en-GB"/>
        </w:rPr>
        <w:t xml:space="preserve">πιθύμητες </w:t>
      </w:r>
      <w:proofErr w:type="spellStart"/>
      <w:r w:rsidRPr="000A3201">
        <w:rPr>
          <w:sz w:val="22"/>
          <w:szCs w:val="22"/>
          <w:lang w:val="en-GB"/>
        </w:rPr>
        <w:t>ενέργειες</w:t>
      </w:r>
      <w:proofErr w:type="spellEnd"/>
      <w:r w:rsidRPr="000A3201">
        <w:rPr>
          <w:sz w:val="22"/>
          <w:szCs w:val="22"/>
          <w:lang w:val="en-GB"/>
        </w:rPr>
        <w:t xml:space="preserve"> </w:t>
      </w:r>
      <w:proofErr w:type="spellStart"/>
      <w:r w:rsidRPr="000A3201">
        <w:rPr>
          <w:sz w:val="22"/>
          <w:szCs w:val="22"/>
          <w:lang w:val="en-GB"/>
        </w:rPr>
        <w:t>της</w:t>
      </w:r>
      <w:proofErr w:type="spellEnd"/>
      <w:r w:rsidRPr="000A3201">
        <w:rPr>
          <w:sz w:val="22"/>
          <w:szCs w:val="22"/>
        </w:rPr>
        <w:t xml:space="preserve"> μιρταζαπίνης</w:t>
      </w:r>
    </w:p>
    <w:p w:rsidR="00327A1C" w:rsidRPr="000A3201" w:rsidRDefault="00327A1C" w:rsidP="001B3CFB">
      <w:pPr>
        <w:widowControl w:val="0"/>
        <w:autoSpaceDE w:val="0"/>
        <w:autoSpaceDN w:val="0"/>
        <w:adjustRightInd w:val="0"/>
        <w:spacing w:line="268" w:lineRule="atLeast"/>
        <w:ind w:left="567"/>
        <w:rPr>
          <w:sz w:val="22"/>
          <w:szCs w:val="22"/>
        </w:rPr>
      </w:pP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620"/>
        <w:gridCol w:w="1620"/>
        <w:gridCol w:w="1620"/>
        <w:gridCol w:w="1535"/>
        <w:gridCol w:w="2065"/>
      </w:tblGrid>
      <w:tr w:rsidR="0028741C" w:rsidRPr="000A3201">
        <w:tc>
          <w:tcPr>
            <w:tcW w:w="1620" w:type="dxa"/>
          </w:tcPr>
          <w:p w:rsidR="009560AF" w:rsidRPr="000A3201" w:rsidRDefault="009560AF" w:rsidP="009560AF">
            <w:pPr>
              <w:rPr>
                <w:b/>
                <w:bCs/>
                <w:sz w:val="22"/>
                <w:szCs w:val="22"/>
              </w:rPr>
            </w:pPr>
            <w:r w:rsidRPr="000A3201">
              <w:rPr>
                <w:b/>
                <w:bCs/>
                <w:sz w:val="22"/>
                <w:szCs w:val="22"/>
              </w:rPr>
              <w:t>Κατηγορία/</w:t>
            </w:r>
          </w:p>
          <w:p w:rsidR="009560AF" w:rsidRPr="000A3201" w:rsidRDefault="009560AF" w:rsidP="009560AF">
            <w:pPr>
              <w:rPr>
                <w:b/>
                <w:bCs/>
                <w:sz w:val="22"/>
                <w:szCs w:val="22"/>
              </w:rPr>
            </w:pPr>
            <w:r w:rsidRPr="000A3201">
              <w:rPr>
                <w:b/>
                <w:bCs/>
                <w:sz w:val="22"/>
                <w:szCs w:val="22"/>
              </w:rPr>
              <w:t>Οργανικό</w:t>
            </w:r>
          </w:p>
          <w:p w:rsidR="0028741C" w:rsidRPr="000A3201" w:rsidRDefault="009560AF" w:rsidP="009560AF">
            <w:pPr>
              <w:rPr>
                <w:b/>
                <w:bCs/>
                <w:sz w:val="22"/>
                <w:szCs w:val="22"/>
              </w:rPr>
            </w:pPr>
            <w:r w:rsidRPr="000A3201">
              <w:rPr>
                <w:b/>
                <w:bCs/>
                <w:sz w:val="22"/>
                <w:szCs w:val="22"/>
              </w:rPr>
              <w:t xml:space="preserve">σύστημα </w:t>
            </w:r>
          </w:p>
        </w:tc>
        <w:tc>
          <w:tcPr>
            <w:tcW w:w="1620" w:type="dxa"/>
          </w:tcPr>
          <w:p w:rsidR="005B23C3" w:rsidRPr="000A3201" w:rsidRDefault="009560AF" w:rsidP="009560AF">
            <w:pPr>
              <w:rPr>
                <w:b/>
                <w:bCs/>
                <w:sz w:val="22"/>
                <w:szCs w:val="22"/>
                <w:lang w:val="en-US"/>
              </w:rPr>
            </w:pPr>
            <w:r w:rsidRPr="000A3201">
              <w:rPr>
                <w:b/>
                <w:bCs/>
                <w:sz w:val="22"/>
                <w:szCs w:val="22"/>
              </w:rPr>
              <w:t>Πολύ συχνές</w:t>
            </w:r>
          </w:p>
          <w:p w:rsidR="0028741C" w:rsidRPr="000A3201" w:rsidRDefault="0028741C" w:rsidP="009560AF">
            <w:pPr>
              <w:rPr>
                <w:b/>
                <w:bCs/>
                <w:sz w:val="22"/>
                <w:szCs w:val="22"/>
              </w:rPr>
            </w:pPr>
            <w:r w:rsidRPr="000A3201">
              <w:rPr>
                <w:b/>
                <w:bCs/>
                <w:sz w:val="22"/>
                <w:szCs w:val="22"/>
              </w:rPr>
              <w:t xml:space="preserve"> (</w:t>
            </w:r>
            <w:r w:rsidR="00327A1C" w:rsidRPr="004C5D09">
              <w:rPr>
                <w:b/>
                <w:bCs/>
                <w:sz w:val="22"/>
                <w:szCs w:val="22"/>
              </w:rPr>
              <w:t xml:space="preserve">≥ </w:t>
            </w:r>
            <w:r w:rsidRPr="000A3201">
              <w:rPr>
                <w:b/>
                <w:bCs/>
                <w:sz w:val="22"/>
                <w:szCs w:val="22"/>
              </w:rPr>
              <w:t>1/10)</w:t>
            </w:r>
          </w:p>
        </w:tc>
        <w:tc>
          <w:tcPr>
            <w:tcW w:w="1620" w:type="dxa"/>
          </w:tcPr>
          <w:p w:rsidR="0028741C" w:rsidRPr="000A3201" w:rsidRDefault="00EF79B7" w:rsidP="009B0960">
            <w:pPr>
              <w:rPr>
                <w:b/>
                <w:bCs/>
                <w:sz w:val="22"/>
                <w:szCs w:val="22"/>
                <w:lang w:val="en-US"/>
              </w:rPr>
            </w:pPr>
            <w:r w:rsidRPr="000A3201">
              <w:rPr>
                <w:b/>
                <w:bCs/>
                <w:sz w:val="22"/>
                <w:szCs w:val="22"/>
              </w:rPr>
              <w:t>Συχνές</w:t>
            </w:r>
          </w:p>
          <w:p w:rsidR="0028741C" w:rsidRPr="000A3201" w:rsidRDefault="0028741C" w:rsidP="009B0960">
            <w:pPr>
              <w:rPr>
                <w:b/>
                <w:bCs/>
                <w:sz w:val="22"/>
                <w:szCs w:val="22"/>
              </w:rPr>
            </w:pPr>
            <w:r w:rsidRPr="000A3201">
              <w:rPr>
                <w:b/>
                <w:bCs/>
                <w:sz w:val="22"/>
                <w:szCs w:val="22"/>
              </w:rPr>
              <w:t xml:space="preserve"> (&gt;1/100</w:t>
            </w:r>
            <w:r w:rsidR="00327A1C">
              <w:rPr>
                <w:b/>
                <w:bCs/>
                <w:sz w:val="22"/>
                <w:szCs w:val="22"/>
              </w:rPr>
              <w:t xml:space="preserve"> έως</w:t>
            </w:r>
            <w:r w:rsidRPr="000A3201">
              <w:rPr>
                <w:b/>
                <w:bCs/>
                <w:sz w:val="22"/>
                <w:szCs w:val="22"/>
              </w:rPr>
              <w:t xml:space="preserve"> &lt;1/10)</w:t>
            </w:r>
          </w:p>
        </w:tc>
        <w:tc>
          <w:tcPr>
            <w:tcW w:w="1620" w:type="dxa"/>
          </w:tcPr>
          <w:p w:rsidR="0028741C" w:rsidRPr="000A3201" w:rsidRDefault="00CA75FC" w:rsidP="009B0960">
            <w:pPr>
              <w:rPr>
                <w:b/>
                <w:bCs/>
                <w:sz w:val="22"/>
                <w:szCs w:val="22"/>
                <w:lang w:val="en-US"/>
              </w:rPr>
            </w:pPr>
            <w:r w:rsidRPr="000A3201">
              <w:rPr>
                <w:rStyle w:val="FontStyle48"/>
                <w:sz w:val="22"/>
                <w:szCs w:val="22"/>
              </w:rPr>
              <w:t>Ό</w:t>
            </w:r>
            <w:r w:rsidR="00EF79B7" w:rsidRPr="000A3201">
              <w:rPr>
                <w:rStyle w:val="FontStyle48"/>
                <w:sz w:val="22"/>
                <w:szCs w:val="22"/>
              </w:rPr>
              <w:t>χι συχνές</w:t>
            </w:r>
          </w:p>
          <w:p w:rsidR="0028741C" w:rsidRPr="000A3201" w:rsidRDefault="002F1D33" w:rsidP="009B0960">
            <w:pPr>
              <w:rPr>
                <w:b/>
                <w:bCs/>
                <w:sz w:val="22"/>
                <w:szCs w:val="22"/>
              </w:rPr>
            </w:pPr>
            <w:r w:rsidRPr="000A3201">
              <w:rPr>
                <w:b/>
                <w:bCs/>
                <w:sz w:val="22"/>
                <w:szCs w:val="22"/>
              </w:rPr>
              <w:t>(&gt;1/1.</w:t>
            </w:r>
            <w:r w:rsidR="0028741C" w:rsidRPr="000A3201">
              <w:rPr>
                <w:b/>
                <w:bCs/>
                <w:sz w:val="22"/>
                <w:szCs w:val="22"/>
              </w:rPr>
              <w:t>000</w:t>
            </w:r>
            <w:r w:rsidR="00327A1C">
              <w:rPr>
                <w:b/>
                <w:bCs/>
                <w:sz w:val="22"/>
                <w:szCs w:val="22"/>
              </w:rPr>
              <w:t xml:space="preserve"> έως</w:t>
            </w:r>
          </w:p>
          <w:p w:rsidR="0028741C" w:rsidRPr="000A3201" w:rsidRDefault="0028741C" w:rsidP="009B0960">
            <w:pPr>
              <w:rPr>
                <w:b/>
                <w:bCs/>
                <w:sz w:val="22"/>
                <w:szCs w:val="22"/>
              </w:rPr>
            </w:pPr>
            <w:r w:rsidRPr="000A3201">
              <w:rPr>
                <w:b/>
                <w:bCs/>
                <w:sz w:val="22"/>
                <w:szCs w:val="22"/>
              </w:rPr>
              <w:t>&lt;1/100)</w:t>
            </w:r>
          </w:p>
        </w:tc>
        <w:tc>
          <w:tcPr>
            <w:tcW w:w="1535" w:type="dxa"/>
          </w:tcPr>
          <w:p w:rsidR="0028741C" w:rsidRPr="000A3201" w:rsidRDefault="00EF79B7" w:rsidP="009B0960">
            <w:pPr>
              <w:rPr>
                <w:b/>
                <w:bCs/>
                <w:sz w:val="22"/>
                <w:szCs w:val="22"/>
                <w:lang w:val="en-US"/>
              </w:rPr>
            </w:pPr>
            <w:r w:rsidRPr="000A3201">
              <w:rPr>
                <w:b/>
                <w:bCs/>
                <w:sz w:val="22"/>
                <w:szCs w:val="22"/>
              </w:rPr>
              <w:t>Σπάνιες</w:t>
            </w:r>
          </w:p>
          <w:p w:rsidR="0028741C" w:rsidRPr="000A3201" w:rsidRDefault="0028741C" w:rsidP="009B0960">
            <w:pPr>
              <w:rPr>
                <w:b/>
                <w:bCs/>
                <w:sz w:val="22"/>
                <w:szCs w:val="22"/>
              </w:rPr>
            </w:pPr>
            <w:r w:rsidRPr="000A3201">
              <w:rPr>
                <w:b/>
                <w:bCs/>
                <w:sz w:val="22"/>
                <w:szCs w:val="22"/>
              </w:rPr>
              <w:t>(&gt;1/10</w:t>
            </w:r>
            <w:r w:rsidR="002F1D33" w:rsidRPr="000A3201">
              <w:rPr>
                <w:b/>
                <w:bCs/>
                <w:sz w:val="22"/>
                <w:szCs w:val="22"/>
              </w:rPr>
              <w:t>.</w:t>
            </w:r>
            <w:r w:rsidRPr="000A3201">
              <w:rPr>
                <w:b/>
                <w:bCs/>
                <w:sz w:val="22"/>
                <w:szCs w:val="22"/>
              </w:rPr>
              <w:t xml:space="preserve">000 </w:t>
            </w:r>
            <w:r w:rsidR="00327A1C">
              <w:rPr>
                <w:b/>
                <w:bCs/>
                <w:sz w:val="22"/>
                <w:szCs w:val="22"/>
              </w:rPr>
              <w:t xml:space="preserve">έως </w:t>
            </w:r>
            <w:r w:rsidRPr="000A3201">
              <w:rPr>
                <w:b/>
                <w:bCs/>
                <w:sz w:val="22"/>
                <w:szCs w:val="22"/>
              </w:rPr>
              <w:t>&lt;1/1</w:t>
            </w:r>
            <w:r w:rsidR="002F1D33" w:rsidRPr="000A3201">
              <w:rPr>
                <w:b/>
                <w:bCs/>
                <w:sz w:val="22"/>
                <w:szCs w:val="22"/>
              </w:rPr>
              <w:t>.</w:t>
            </w:r>
            <w:r w:rsidRPr="000A3201">
              <w:rPr>
                <w:b/>
                <w:bCs/>
                <w:sz w:val="22"/>
                <w:szCs w:val="22"/>
              </w:rPr>
              <w:t>000)</w:t>
            </w:r>
          </w:p>
        </w:tc>
        <w:tc>
          <w:tcPr>
            <w:tcW w:w="2065" w:type="dxa"/>
          </w:tcPr>
          <w:p w:rsidR="0028741C" w:rsidRPr="000A3201" w:rsidRDefault="00EF79B7" w:rsidP="00D13B55">
            <w:pPr>
              <w:rPr>
                <w:b/>
                <w:bCs/>
                <w:sz w:val="22"/>
                <w:szCs w:val="22"/>
              </w:rPr>
            </w:pPr>
            <w:r w:rsidRPr="000A3201">
              <w:rPr>
                <w:b/>
                <w:bCs/>
                <w:sz w:val="22"/>
                <w:szCs w:val="22"/>
              </w:rPr>
              <w:t>Μη γνωστ</w:t>
            </w:r>
            <w:r w:rsidR="00327A1C">
              <w:rPr>
                <w:b/>
                <w:bCs/>
                <w:sz w:val="22"/>
                <w:szCs w:val="22"/>
              </w:rPr>
              <w:t>έ</w:t>
            </w:r>
            <w:r w:rsidRPr="000A3201">
              <w:rPr>
                <w:b/>
                <w:bCs/>
                <w:sz w:val="22"/>
                <w:szCs w:val="22"/>
              </w:rPr>
              <w:t xml:space="preserve">ς </w:t>
            </w:r>
            <w:r w:rsidR="00327A1C" w:rsidRPr="00D13B55">
              <w:rPr>
                <w:bCs/>
                <w:sz w:val="22"/>
                <w:szCs w:val="22"/>
              </w:rPr>
              <w:t>(</w:t>
            </w:r>
            <w:r w:rsidR="00D13B55">
              <w:rPr>
                <w:noProof/>
                <w:sz w:val="22"/>
                <w:szCs w:val="22"/>
              </w:rPr>
              <w:t>δεν μπορούν να εκτιμηθούν από τα διαθέσιμα δεδομένα</w:t>
            </w:r>
            <w:r w:rsidR="00327A1C" w:rsidRPr="007476FC">
              <w:rPr>
                <w:noProof/>
                <w:sz w:val="22"/>
                <w:szCs w:val="22"/>
              </w:rPr>
              <w:t>)</w:t>
            </w:r>
          </w:p>
        </w:tc>
      </w:tr>
      <w:tr w:rsidR="0028741C" w:rsidRPr="000A3201">
        <w:tc>
          <w:tcPr>
            <w:tcW w:w="1620" w:type="dxa"/>
          </w:tcPr>
          <w:p w:rsidR="00EF79B7" w:rsidRPr="000A3201" w:rsidRDefault="00EF79B7" w:rsidP="00EF79B7">
            <w:pPr>
              <w:rPr>
                <w:sz w:val="22"/>
                <w:szCs w:val="22"/>
              </w:rPr>
            </w:pPr>
            <w:r w:rsidRPr="000A3201">
              <w:rPr>
                <w:sz w:val="22"/>
                <w:szCs w:val="22"/>
              </w:rPr>
              <w:lastRenderedPageBreak/>
              <w:t>Διαταραχές του</w:t>
            </w:r>
          </w:p>
          <w:p w:rsidR="0028741C" w:rsidRPr="000A3201" w:rsidRDefault="002F1D33" w:rsidP="00EF79B7">
            <w:pPr>
              <w:rPr>
                <w:sz w:val="22"/>
                <w:szCs w:val="22"/>
              </w:rPr>
            </w:pPr>
            <w:r w:rsidRPr="000A3201">
              <w:rPr>
                <w:sz w:val="22"/>
                <w:szCs w:val="22"/>
              </w:rPr>
              <w:t>α</w:t>
            </w:r>
            <w:r w:rsidR="00EF79B7" w:rsidRPr="000A3201">
              <w:rPr>
                <w:sz w:val="22"/>
                <w:szCs w:val="22"/>
              </w:rPr>
              <w:t>ιμοποιητικού και του λεμφικού συστήματος</w:t>
            </w:r>
          </w:p>
        </w:tc>
        <w:tc>
          <w:tcPr>
            <w:tcW w:w="1620" w:type="dxa"/>
          </w:tcPr>
          <w:p w:rsidR="0028741C" w:rsidRPr="000A3201" w:rsidRDefault="0028741C" w:rsidP="009B0960">
            <w:pPr>
              <w:rPr>
                <w:sz w:val="22"/>
                <w:szCs w:val="22"/>
              </w:rPr>
            </w:pPr>
          </w:p>
        </w:tc>
        <w:tc>
          <w:tcPr>
            <w:tcW w:w="1620" w:type="dxa"/>
          </w:tcPr>
          <w:p w:rsidR="0028741C" w:rsidRPr="000A3201" w:rsidRDefault="0028741C" w:rsidP="009B0960">
            <w:pPr>
              <w:rPr>
                <w:sz w:val="22"/>
                <w:szCs w:val="22"/>
              </w:rPr>
            </w:pPr>
          </w:p>
        </w:tc>
        <w:tc>
          <w:tcPr>
            <w:tcW w:w="1620" w:type="dxa"/>
          </w:tcPr>
          <w:p w:rsidR="0028741C" w:rsidRPr="000A3201" w:rsidRDefault="0028741C" w:rsidP="009B0960">
            <w:pPr>
              <w:rPr>
                <w:sz w:val="22"/>
                <w:szCs w:val="22"/>
              </w:rPr>
            </w:pPr>
          </w:p>
        </w:tc>
        <w:tc>
          <w:tcPr>
            <w:tcW w:w="1535" w:type="dxa"/>
          </w:tcPr>
          <w:p w:rsidR="0028741C" w:rsidRPr="000A3201" w:rsidRDefault="0028741C" w:rsidP="009B0960">
            <w:pPr>
              <w:tabs>
                <w:tab w:val="num" w:pos="432"/>
              </w:tabs>
              <w:rPr>
                <w:sz w:val="22"/>
                <w:szCs w:val="22"/>
              </w:rPr>
            </w:pPr>
          </w:p>
        </w:tc>
        <w:tc>
          <w:tcPr>
            <w:tcW w:w="2065" w:type="dxa"/>
          </w:tcPr>
          <w:p w:rsidR="0028741C" w:rsidRPr="000A3201" w:rsidRDefault="00DE3AEB" w:rsidP="001D2AB9">
            <w:pPr>
              <w:numPr>
                <w:ilvl w:val="0"/>
                <w:numId w:val="40"/>
              </w:numPr>
              <w:ind w:left="232" w:hanging="283"/>
              <w:rPr>
                <w:sz w:val="22"/>
                <w:szCs w:val="22"/>
              </w:rPr>
            </w:pPr>
            <w:r w:rsidRPr="000A3201">
              <w:rPr>
                <w:sz w:val="22"/>
                <w:szCs w:val="22"/>
              </w:rPr>
              <w:t>Καταστολή του μυ</w:t>
            </w:r>
            <w:r w:rsidR="002F1D33" w:rsidRPr="000A3201">
              <w:rPr>
                <w:sz w:val="22"/>
                <w:szCs w:val="22"/>
              </w:rPr>
              <w:t>ελού των οστών (κοκκιοκυτ</w:t>
            </w:r>
            <w:r w:rsidR="00CA75FC" w:rsidRPr="000A3201">
              <w:rPr>
                <w:sz w:val="22"/>
                <w:szCs w:val="22"/>
              </w:rPr>
              <w:t>τ</w:t>
            </w:r>
            <w:r w:rsidR="002F1D33" w:rsidRPr="000A3201">
              <w:rPr>
                <w:sz w:val="22"/>
                <w:szCs w:val="22"/>
              </w:rPr>
              <w:t>αρο</w:t>
            </w:r>
            <w:r w:rsidR="00D13B55">
              <w:rPr>
                <w:sz w:val="22"/>
                <w:szCs w:val="22"/>
              </w:rPr>
              <w:t>-</w:t>
            </w:r>
            <w:r w:rsidR="002F1D33" w:rsidRPr="000A3201">
              <w:rPr>
                <w:sz w:val="22"/>
                <w:szCs w:val="22"/>
              </w:rPr>
              <w:t>πενία, ακκοκιο</w:t>
            </w:r>
            <w:r w:rsidR="00C54610">
              <w:rPr>
                <w:sz w:val="22"/>
                <w:szCs w:val="22"/>
              </w:rPr>
              <w:t>-</w:t>
            </w:r>
            <w:r w:rsidR="002F1D33" w:rsidRPr="000A3201">
              <w:rPr>
                <w:sz w:val="22"/>
                <w:szCs w:val="22"/>
              </w:rPr>
              <w:t>κυτ</w:t>
            </w:r>
            <w:r w:rsidR="00CA75FC" w:rsidRPr="000A3201">
              <w:rPr>
                <w:sz w:val="22"/>
                <w:szCs w:val="22"/>
              </w:rPr>
              <w:t>τ</w:t>
            </w:r>
            <w:r w:rsidR="002F1D33" w:rsidRPr="000A3201">
              <w:rPr>
                <w:sz w:val="22"/>
                <w:szCs w:val="22"/>
              </w:rPr>
              <w:t>αρ</w:t>
            </w:r>
            <w:r w:rsidR="00CA75FC" w:rsidRPr="000A3201">
              <w:rPr>
                <w:sz w:val="22"/>
                <w:szCs w:val="22"/>
              </w:rPr>
              <w:t>αιμία</w:t>
            </w:r>
            <w:r w:rsidR="002F1D33" w:rsidRPr="000A3201">
              <w:rPr>
                <w:sz w:val="22"/>
                <w:szCs w:val="22"/>
              </w:rPr>
              <w:t xml:space="preserve">, απλαστική αναιμία και </w:t>
            </w:r>
            <w:r w:rsidR="00262932" w:rsidRPr="000A3201">
              <w:rPr>
                <w:sz w:val="22"/>
                <w:szCs w:val="22"/>
              </w:rPr>
              <w:t>θρομβοπενία</w:t>
            </w:r>
            <w:r w:rsidR="00CA75FC" w:rsidRPr="000A3201">
              <w:rPr>
                <w:sz w:val="22"/>
                <w:szCs w:val="22"/>
              </w:rPr>
              <w:t>)</w:t>
            </w:r>
          </w:p>
          <w:p w:rsidR="0028741C" w:rsidRPr="000A3201" w:rsidRDefault="00DE3AEB" w:rsidP="001D2AB9">
            <w:pPr>
              <w:numPr>
                <w:ilvl w:val="0"/>
                <w:numId w:val="40"/>
              </w:numPr>
              <w:ind w:left="232" w:hanging="283"/>
              <w:rPr>
                <w:sz w:val="22"/>
                <w:szCs w:val="22"/>
              </w:rPr>
            </w:pPr>
            <w:r w:rsidRPr="000A3201">
              <w:rPr>
                <w:sz w:val="22"/>
                <w:szCs w:val="22"/>
              </w:rPr>
              <w:t>Ηωσινοφιλία</w:t>
            </w:r>
            <w:r w:rsidR="0028741C" w:rsidRPr="000A3201">
              <w:rPr>
                <w:sz w:val="22"/>
                <w:szCs w:val="22"/>
              </w:rPr>
              <w:t>,</w:t>
            </w:r>
          </w:p>
        </w:tc>
      </w:tr>
      <w:tr w:rsidR="0028741C" w:rsidRPr="000A3201">
        <w:tc>
          <w:tcPr>
            <w:tcW w:w="1620" w:type="dxa"/>
          </w:tcPr>
          <w:p w:rsidR="00EF79B7" w:rsidRPr="000A3201" w:rsidRDefault="00EF79B7" w:rsidP="00EF79B7">
            <w:pPr>
              <w:rPr>
                <w:sz w:val="22"/>
                <w:szCs w:val="22"/>
              </w:rPr>
            </w:pPr>
            <w:r w:rsidRPr="000A3201">
              <w:rPr>
                <w:sz w:val="22"/>
                <w:szCs w:val="22"/>
              </w:rPr>
              <w:t>Διαταραχές του</w:t>
            </w:r>
          </w:p>
          <w:p w:rsidR="0028741C" w:rsidRPr="000A3201" w:rsidRDefault="00EF79B7" w:rsidP="00EF79B7">
            <w:pPr>
              <w:rPr>
                <w:sz w:val="22"/>
                <w:szCs w:val="22"/>
              </w:rPr>
            </w:pPr>
            <w:r w:rsidRPr="000A3201">
              <w:rPr>
                <w:sz w:val="22"/>
                <w:szCs w:val="22"/>
              </w:rPr>
              <w:t xml:space="preserve">ενδοκρινικού συστήματος </w:t>
            </w:r>
          </w:p>
        </w:tc>
        <w:tc>
          <w:tcPr>
            <w:tcW w:w="1620" w:type="dxa"/>
          </w:tcPr>
          <w:p w:rsidR="0028741C" w:rsidRPr="000A3201" w:rsidRDefault="0028741C" w:rsidP="009B0960">
            <w:pPr>
              <w:ind w:left="-108"/>
              <w:rPr>
                <w:sz w:val="22"/>
                <w:szCs w:val="22"/>
              </w:rPr>
            </w:pPr>
          </w:p>
        </w:tc>
        <w:tc>
          <w:tcPr>
            <w:tcW w:w="1620" w:type="dxa"/>
          </w:tcPr>
          <w:p w:rsidR="0028741C" w:rsidRPr="000A3201" w:rsidDel="00284D79" w:rsidRDefault="0028741C" w:rsidP="009B0960">
            <w:pPr>
              <w:ind w:left="-108"/>
              <w:rPr>
                <w:sz w:val="22"/>
                <w:szCs w:val="22"/>
              </w:rPr>
            </w:pPr>
          </w:p>
        </w:tc>
        <w:tc>
          <w:tcPr>
            <w:tcW w:w="1620" w:type="dxa"/>
          </w:tcPr>
          <w:p w:rsidR="0028741C" w:rsidRPr="000A3201" w:rsidRDefault="0028741C" w:rsidP="009B0960">
            <w:pPr>
              <w:ind w:left="-108"/>
              <w:rPr>
                <w:sz w:val="22"/>
                <w:szCs w:val="22"/>
              </w:rPr>
            </w:pPr>
          </w:p>
        </w:tc>
        <w:tc>
          <w:tcPr>
            <w:tcW w:w="1535" w:type="dxa"/>
          </w:tcPr>
          <w:p w:rsidR="0028741C" w:rsidRPr="000A3201" w:rsidDel="00F53FE4" w:rsidRDefault="0028741C" w:rsidP="009B0960">
            <w:pPr>
              <w:tabs>
                <w:tab w:val="num" w:pos="432"/>
              </w:tabs>
              <w:rPr>
                <w:sz w:val="22"/>
                <w:szCs w:val="22"/>
              </w:rPr>
            </w:pPr>
          </w:p>
        </w:tc>
        <w:tc>
          <w:tcPr>
            <w:tcW w:w="2065" w:type="dxa"/>
          </w:tcPr>
          <w:p w:rsidR="0028741C" w:rsidRPr="000A3201" w:rsidRDefault="00FA749A" w:rsidP="001D2AB9">
            <w:pPr>
              <w:numPr>
                <w:ilvl w:val="0"/>
                <w:numId w:val="40"/>
              </w:numPr>
              <w:ind w:left="232" w:hanging="283"/>
              <w:rPr>
                <w:sz w:val="22"/>
                <w:szCs w:val="22"/>
              </w:rPr>
            </w:pPr>
            <w:r w:rsidRPr="000A3201">
              <w:rPr>
                <w:sz w:val="22"/>
                <w:szCs w:val="22"/>
              </w:rPr>
              <w:t>Απρόσφορη</w:t>
            </w:r>
            <w:r w:rsidR="001D2AB9" w:rsidRPr="000A3201">
              <w:rPr>
                <w:sz w:val="22"/>
                <w:szCs w:val="22"/>
              </w:rPr>
              <w:t xml:space="preserve"> έκκριση της αντι</w:t>
            </w:r>
            <w:r w:rsidR="00DE3AEB" w:rsidRPr="000A3201">
              <w:rPr>
                <w:sz w:val="22"/>
                <w:szCs w:val="22"/>
              </w:rPr>
              <w:t xml:space="preserve">διουρητικής ορμόνης </w:t>
            </w:r>
          </w:p>
        </w:tc>
      </w:tr>
      <w:tr w:rsidR="0028741C" w:rsidRPr="000A3201">
        <w:tc>
          <w:tcPr>
            <w:tcW w:w="1620" w:type="dxa"/>
          </w:tcPr>
          <w:p w:rsidR="00EF79B7" w:rsidRPr="000A3201" w:rsidRDefault="00EF79B7" w:rsidP="00EF79B7">
            <w:pPr>
              <w:rPr>
                <w:sz w:val="22"/>
                <w:szCs w:val="22"/>
              </w:rPr>
            </w:pPr>
            <w:r w:rsidRPr="000A3201">
              <w:rPr>
                <w:sz w:val="22"/>
                <w:szCs w:val="22"/>
              </w:rPr>
              <w:t>Διαταραχές του</w:t>
            </w:r>
          </w:p>
          <w:p w:rsidR="0028741C" w:rsidRPr="000A3201" w:rsidRDefault="00EF79B7" w:rsidP="00EF79B7">
            <w:pPr>
              <w:rPr>
                <w:sz w:val="22"/>
                <w:szCs w:val="22"/>
              </w:rPr>
            </w:pPr>
            <w:r w:rsidRPr="000A3201">
              <w:rPr>
                <w:sz w:val="22"/>
                <w:szCs w:val="22"/>
              </w:rPr>
              <w:t xml:space="preserve">μεταβολισμού και της θρέψης </w:t>
            </w:r>
          </w:p>
        </w:tc>
        <w:tc>
          <w:tcPr>
            <w:tcW w:w="1620" w:type="dxa"/>
          </w:tcPr>
          <w:p w:rsidR="0028741C" w:rsidRPr="000A3201" w:rsidRDefault="00DE3AEB" w:rsidP="001D2AB9">
            <w:pPr>
              <w:numPr>
                <w:ilvl w:val="0"/>
                <w:numId w:val="35"/>
              </w:numPr>
              <w:tabs>
                <w:tab w:val="left" w:pos="192"/>
              </w:tabs>
              <w:ind w:left="192" w:right="220" w:hanging="192"/>
              <w:rPr>
                <w:sz w:val="22"/>
                <w:szCs w:val="22"/>
              </w:rPr>
            </w:pPr>
            <w:r w:rsidRPr="000A3201">
              <w:rPr>
                <w:rStyle w:val="FontStyle49"/>
                <w:sz w:val="22"/>
                <w:szCs w:val="22"/>
              </w:rPr>
              <w:t>Αύξηση του σωματικού βάρους</w:t>
            </w:r>
            <w:r w:rsidRPr="000A3201">
              <w:rPr>
                <w:rStyle w:val="FontStyle49"/>
                <w:sz w:val="22"/>
                <w:szCs w:val="22"/>
                <w:vertAlign w:val="superscript"/>
              </w:rPr>
              <w:t>1</w:t>
            </w:r>
          </w:p>
          <w:p w:rsidR="0028741C" w:rsidRPr="000A3201" w:rsidRDefault="002C13BD" w:rsidP="001D2AB9">
            <w:pPr>
              <w:numPr>
                <w:ilvl w:val="0"/>
                <w:numId w:val="35"/>
              </w:numPr>
              <w:tabs>
                <w:tab w:val="left" w:pos="192"/>
              </w:tabs>
              <w:ind w:left="192" w:right="220" w:hanging="192"/>
              <w:rPr>
                <w:sz w:val="22"/>
                <w:szCs w:val="22"/>
              </w:rPr>
            </w:pPr>
            <w:r w:rsidRPr="000A3201">
              <w:rPr>
                <w:sz w:val="22"/>
                <w:szCs w:val="22"/>
              </w:rPr>
              <w:t xml:space="preserve">Αυξημένη όρεξη </w:t>
            </w:r>
            <w:r w:rsidR="0028741C" w:rsidRPr="000A3201">
              <w:rPr>
                <w:sz w:val="22"/>
                <w:szCs w:val="22"/>
                <w:vertAlign w:val="superscript"/>
              </w:rPr>
              <w:t>1</w:t>
            </w:r>
          </w:p>
        </w:tc>
        <w:tc>
          <w:tcPr>
            <w:tcW w:w="1620" w:type="dxa"/>
          </w:tcPr>
          <w:p w:rsidR="0028741C" w:rsidRPr="000A3201" w:rsidDel="00284D79" w:rsidRDefault="0028741C" w:rsidP="009B0960">
            <w:pPr>
              <w:ind w:left="-108"/>
              <w:rPr>
                <w:sz w:val="22"/>
                <w:szCs w:val="22"/>
              </w:rPr>
            </w:pPr>
          </w:p>
        </w:tc>
        <w:tc>
          <w:tcPr>
            <w:tcW w:w="1620" w:type="dxa"/>
          </w:tcPr>
          <w:p w:rsidR="0028741C" w:rsidRPr="000A3201" w:rsidRDefault="0028741C" w:rsidP="009B0960">
            <w:pPr>
              <w:ind w:left="-108"/>
              <w:rPr>
                <w:sz w:val="22"/>
                <w:szCs w:val="22"/>
              </w:rPr>
            </w:pPr>
          </w:p>
        </w:tc>
        <w:tc>
          <w:tcPr>
            <w:tcW w:w="1535" w:type="dxa"/>
          </w:tcPr>
          <w:p w:rsidR="0028741C" w:rsidRPr="000A3201" w:rsidDel="00F53FE4" w:rsidRDefault="0028741C" w:rsidP="009B0960">
            <w:pPr>
              <w:tabs>
                <w:tab w:val="num" w:pos="432"/>
              </w:tabs>
              <w:ind w:left="72"/>
              <w:rPr>
                <w:sz w:val="22"/>
                <w:szCs w:val="22"/>
              </w:rPr>
            </w:pPr>
          </w:p>
        </w:tc>
        <w:tc>
          <w:tcPr>
            <w:tcW w:w="2065" w:type="dxa"/>
          </w:tcPr>
          <w:p w:rsidR="0028741C" w:rsidRPr="000A3201" w:rsidRDefault="009F5055" w:rsidP="001D2AB9">
            <w:pPr>
              <w:numPr>
                <w:ilvl w:val="0"/>
                <w:numId w:val="40"/>
              </w:numPr>
              <w:ind w:left="232" w:hanging="232"/>
              <w:rPr>
                <w:sz w:val="22"/>
                <w:szCs w:val="22"/>
              </w:rPr>
            </w:pPr>
            <w:r w:rsidRPr="000A3201">
              <w:rPr>
                <w:sz w:val="22"/>
                <w:szCs w:val="22"/>
              </w:rPr>
              <w:t xml:space="preserve">Υπονατριαιμία </w:t>
            </w:r>
          </w:p>
        </w:tc>
      </w:tr>
      <w:tr w:rsidR="0028741C" w:rsidRPr="000A3201">
        <w:tc>
          <w:tcPr>
            <w:tcW w:w="1620" w:type="dxa"/>
          </w:tcPr>
          <w:p w:rsidR="0028741C" w:rsidRPr="000A3201" w:rsidRDefault="00140FC9" w:rsidP="00140FC9">
            <w:pPr>
              <w:rPr>
                <w:sz w:val="22"/>
                <w:szCs w:val="22"/>
              </w:rPr>
            </w:pPr>
            <w:r w:rsidRPr="000A3201">
              <w:rPr>
                <w:sz w:val="22"/>
                <w:szCs w:val="22"/>
              </w:rPr>
              <w:t>Ψυχιατρικές διαταραχές</w:t>
            </w:r>
          </w:p>
        </w:tc>
        <w:tc>
          <w:tcPr>
            <w:tcW w:w="1620" w:type="dxa"/>
          </w:tcPr>
          <w:p w:rsidR="0028741C" w:rsidRPr="000A3201" w:rsidRDefault="0028741C" w:rsidP="00F006C8">
            <w:pPr>
              <w:ind w:left="192" w:right="220"/>
              <w:rPr>
                <w:sz w:val="22"/>
                <w:szCs w:val="22"/>
              </w:rPr>
            </w:pPr>
          </w:p>
        </w:tc>
        <w:tc>
          <w:tcPr>
            <w:tcW w:w="1620" w:type="dxa"/>
          </w:tcPr>
          <w:p w:rsidR="0028741C" w:rsidRPr="000A3201" w:rsidRDefault="00CD205D" w:rsidP="0028741C">
            <w:pPr>
              <w:numPr>
                <w:ilvl w:val="0"/>
                <w:numId w:val="15"/>
              </w:numPr>
              <w:tabs>
                <w:tab w:val="clear" w:pos="360"/>
                <w:tab w:val="num" w:pos="72"/>
              </w:tabs>
              <w:ind w:left="72" w:hanging="180"/>
              <w:rPr>
                <w:sz w:val="22"/>
                <w:szCs w:val="22"/>
              </w:rPr>
            </w:pPr>
            <w:r w:rsidRPr="000A3201">
              <w:rPr>
                <w:sz w:val="22"/>
                <w:szCs w:val="22"/>
              </w:rPr>
              <w:t xml:space="preserve">Μη φυσιολογικά όνειρα </w:t>
            </w:r>
          </w:p>
          <w:p w:rsidR="0028741C" w:rsidRPr="000A3201" w:rsidRDefault="00CD205D" w:rsidP="0028741C">
            <w:pPr>
              <w:numPr>
                <w:ilvl w:val="0"/>
                <w:numId w:val="15"/>
              </w:numPr>
              <w:tabs>
                <w:tab w:val="clear" w:pos="360"/>
                <w:tab w:val="num" w:pos="72"/>
              </w:tabs>
              <w:ind w:left="72" w:hanging="180"/>
              <w:rPr>
                <w:sz w:val="22"/>
                <w:szCs w:val="22"/>
              </w:rPr>
            </w:pPr>
            <w:r w:rsidRPr="000A3201">
              <w:rPr>
                <w:sz w:val="22"/>
                <w:szCs w:val="22"/>
              </w:rPr>
              <w:t>Σύγχυση</w:t>
            </w:r>
          </w:p>
          <w:p w:rsidR="0028741C" w:rsidRPr="000A3201" w:rsidRDefault="00CD205D" w:rsidP="0028741C">
            <w:pPr>
              <w:numPr>
                <w:ilvl w:val="0"/>
                <w:numId w:val="15"/>
              </w:numPr>
              <w:tabs>
                <w:tab w:val="clear" w:pos="360"/>
                <w:tab w:val="num" w:pos="72"/>
              </w:tabs>
              <w:ind w:left="72" w:hanging="180"/>
              <w:rPr>
                <w:sz w:val="22"/>
                <w:szCs w:val="22"/>
              </w:rPr>
            </w:pPr>
            <w:r w:rsidRPr="000A3201">
              <w:rPr>
                <w:sz w:val="22"/>
                <w:szCs w:val="22"/>
              </w:rPr>
              <w:t>Άγχος</w:t>
            </w:r>
            <w:r w:rsidR="0028741C" w:rsidRPr="000A3201">
              <w:rPr>
                <w:sz w:val="22"/>
                <w:szCs w:val="22"/>
              </w:rPr>
              <w:t xml:space="preserve"> </w:t>
            </w:r>
            <w:r w:rsidR="0028741C" w:rsidRPr="000A3201">
              <w:rPr>
                <w:sz w:val="22"/>
                <w:szCs w:val="22"/>
                <w:vertAlign w:val="superscript"/>
              </w:rPr>
              <w:t>2,5</w:t>
            </w:r>
          </w:p>
          <w:p w:rsidR="0028741C" w:rsidRPr="000A3201" w:rsidDel="00284D79" w:rsidRDefault="00F06E28" w:rsidP="0028741C">
            <w:pPr>
              <w:numPr>
                <w:ilvl w:val="0"/>
                <w:numId w:val="16"/>
              </w:numPr>
              <w:tabs>
                <w:tab w:val="clear" w:pos="720"/>
                <w:tab w:val="num" w:pos="72"/>
              </w:tabs>
              <w:ind w:left="72" w:hanging="180"/>
              <w:rPr>
                <w:sz w:val="22"/>
                <w:szCs w:val="22"/>
              </w:rPr>
            </w:pPr>
            <w:r w:rsidRPr="000A3201">
              <w:rPr>
                <w:sz w:val="22"/>
                <w:szCs w:val="22"/>
              </w:rPr>
              <w:t>Αϋπνία</w:t>
            </w:r>
            <w:r w:rsidR="0028741C" w:rsidRPr="000A3201">
              <w:rPr>
                <w:sz w:val="22"/>
                <w:szCs w:val="22"/>
              </w:rPr>
              <w:t xml:space="preserve"> </w:t>
            </w:r>
            <w:r w:rsidR="0028741C" w:rsidRPr="000A3201">
              <w:rPr>
                <w:sz w:val="22"/>
                <w:szCs w:val="22"/>
                <w:vertAlign w:val="superscript"/>
              </w:rPr>
              <w:t>3,5</w:t>
            </w:r>
          </w:p>
        </w:tc>
        <w:tc>
          <w:tcPr>
            <w:tcW w:w="1620" w:type="dxa"/>
          </w:tcPr>
          <w:p w:rsidR="0028741C" w:rsidRPr="000A3201" w:rsidRDefault="001C40C0" w:rsidP="0028741C">
            <w:pPr>
              <w:numPr>
                <w:ilvl w:val="0"/>
                <w:numId w:val="15"/>
              </w:numPr>
              <w:tabs>
                <w:tab w:val="clear" w:pos="360"/>
                <w:tab w:val="num" w:pos="72"/>
              </w:tabs>
              <w:ind w:left="-108" w:hanging="17"/>
              <w:rPr>
                <w:sz w:val="22"/>
                <w:szCs w:val="22"/>
              </w:rPr>
            </w:pPr>
            <w:r w:rsidRPr="000A3201">
              <w:rPr>
                <w:sz w:val="22"/>
                <w:szCs w:val="22"/>
              </w:rPr>
              <w:t>Εφιάλτες</w:t>
            </w:r>
            <w:r w:rsidR="0028741C" w:rsidRPr="000A3201">
              <w:rPr>
                <w:sz w:val="22"/>
                <w:szCs w:val="22"/>
              </w:rPr>
              <w:t xml:space="preserve"> </w:t>
            </w:r>
            <w:r w:rsidR="0028741C" w:rsidRPr="000A3201">
              <w:rPr>
                <w:sz w:val="22"/>
                <w:szCs w:val="22"/>
                <w:vertAlign w:val="superscript"/>
              </w:rPr>
              <w:t>2</w:t>
            </w:r>
          </w:p>
          <w:p w:rsidR="0028741C" w:rsidRPr="000A3201" w:rsidRDefault="001C40C0" w:rsidP="0028741C">
            <w:pPr>
              <w:numPr>
                <w:ilvl w:val="0"/>
                <w:numId w:val="15"/>
              </w:numPr>
              <w:tabs>
                <w:tab w:val="clear" w:pos="360"/>
                <w:tab w:val="num" w:pos="72"/>
              </w:tabs>
              <w:ind w:left="-108" w:hanging="17"/>
              <w:rPr>
                <w:sz w:val="22"/>
                <w:szCs w:val="22"/>
              </w:rPr>
            </w:pPr>
            <w:r w:rsidRPr="000A3201">
              <w:rPr>
                <w:sz w:val="22"/>
                <w:szCs w:val="22"/>
              </w:rPr>
              <w:t>Mανία</w:t>
            </w:r>
          </w:p>
          <w:p w:rsidR="0028741C" w:rsidRPr="000A3201" w:rsidRDefault="001C40C0" w:rsidP="0028741C">
            <w:pPr>
              <w:numPr>
                <w:ilvl w:val="0"/>
                <w:numId w:val="15"/>
              </w:numPr>
              <w:tabs>
                <w:tab w:val="clear" w:pos="360"/>
                <w:tab w:val="num" w:pos="72"/>
              </w:tabs>
              <w:ind w:left="-108" w:hanging="17"/>
              <w:rPr>
                <w:sz w:val="22"/>
                <w:szCs w:val="22"/>
              </w:rPr>
            </w:pPr>
            <w:r w:rsidRPr="000A3201">
              <w:rPr>
                <w:sz w:val="22"/>
                <w:szCs w:val="22"/>
              </w:rPr>
              <w:t>Διέγερση</w:t>
            </w:r>
            <w:r w:rsidR="0028741C" w:rsidRPr="000A3201">
              <w:rPr>
                <w:sz w:val="22"/>
                <w:szCs w:val="22"/>
              </w:rPr>
              <w:t xml:space="preserve"> </w:t>
            </w:r>
            <w:r w:rsidR="0028741C" w:rsidRPr="000A3201">
              <w:rPr>
                <w:sz w:val="22"/>
                <w:szCs w:val="22"/>
                <w:vertAlign w:val="superscript"/>
              </w:rPr>
              <w:t>2</w:t>
            </w:r>
          </w:p>
          <w:p w:rsidR="00C369FF" w:rsidRDefault="001C40C0">
            <w:pPr>
              <w:numPr>
                <w:ilvl w:val="0"/>
                <w:numId w:val="15"/>
              </w:numPr>
              <w:tabs>
                <w:tab w:val="clear" w:pos="360"/>
                <w:tab w:val="num" w:pos="72"/>
              </w:tabs>
              <w:ind w:left="-108" w:right="-84" w:hanging="17"/>
              <w:rPr>
                <w:sz w:val="22"/>
                <w:szCs w:val="22"/>
              </w:rPr>
            </w:pPr>
            <w:r w:rsidRPr="000A3201">
              <w:rPr>
                <w:sz w:val="22"/>
                <w:szCs w:val="22"/>
              </w:rPr>
              <w:t>Ψευδαισθήσεις</w:t>
            </w:r>
          </w:p>
          <w:p w:rsidR="0028741C" w:rsidRPr="000A3201" w:rsidRDefault="001C40C0" w:rsidP="001C40C0">
            <w:pPr>
              <w:numPr>
                <w:ilvl w:val="0"/>
                <w:numId w:val="16"/>
              </w:numPr>
              <w:tabs>
                <w:tab w:val="clear" w:pos="720"/>
                <w:tab w:val="num" w:pos="72"/>
              </w:tabs>
              <w:ind w:left="72" w:hanging="180"/>
              <w:rPr>
                <w:sz w:val="22"/>
                <w:szCs w:val="22"/>
              </w:rPr>
            </w:pPr>
            <w:r w:rsidRPr="000A3201">
              <w:rPr>
                <w:sz w:val="22"/>
                <w:szCs w:val="22"/>
              </w:rPr>
              <w:t xml:space="preserve">Ψυχοκινητική ανησυχία </w:t>
            </w:r>
            <w:r w:rsidR="0028741C" w:rsidRPr="000A3201">
              <w:rPr>
                <w:sz w:val="22"/>
                <w:szCs w:val="22"/>
              </w:rPr>
              <w:t>(</w:t>
            </w:r>
            <w:r w:rsidRPr="000A3201">
              <w:rPr>
                <w:sz w:val="22"/>
                <w:szCs w:val="22"/>
              </w:rPr>
              <w:t xml:space="preserve">συμπ. </w:t>
            </w:r>
            <w:r w:rsidR="00CA75FC" w:rsidRPr="000A3201">
              <w:rPr>
                <w:sz w:val="22"/>
                <w:szCs w:val="22"/>
              </w:rPr>
              <w:t>α</w:t>
            </w:r>
            <w:r w:rsidRPr="000A3201">
              <w:rPr>
                <w:sz w:val="22"/>
                <w:szCs w:val="22"/>
              </w:rPr>
              <w:t xml:space="preserve">καθησίας, υπερκινησίας) </w:t>
            </w:r>
          </w:p>
        </w:tc>
        <w:tc>
          <w:tcPr>
            <w:tcW w:w="1535" w:type="dxa"/>
          </w:tcPr>
          <w:p w:rsidR="00C369FF" w:rsidRDefault="000D5376">
            <w:pPr>
              <w:numPr>
                <w:ilvl w:val="0"/>
                <w:numId w:val="15"/>
              </w:numPr>
              <w:tabs>
                <w:tab w:val="clear" w:pos="360"/>
                <w:tab w:val="num" w:pos="72"/>
              </w:tabs>
              <w:ind w:left="-108" w:right="-108" w:firstLine="0"/>
              <w:rPr>
                <w:sz w:val="22"/>
                <w:szCs w:val="22"/>
              </w:rPr>
            </w:pPr>
            <w:r w:rsidRPr="000A3201">
              <w:rPr>
                <w:sz w:val="22"/>
                <w:szCs w:val="22"/>
              </w:rPr>
              <w:t>Επιθετικότητα</w:t>
            </w:r>
          </w:p>
          <w:p w:rsidR="0028741C" w:rsidRPr="000A3201" w:rsidDel="00F53FE4" w:rsidRDefault="0028741C" w:rsidP="009B0960">
            <w:pPr>
              <w:tabs>
                <w:tab w:val="num" w:pos="432"/>
              </w:tabs>
              <w:rPr>
                <w:sz w:val="22"/>
                <w:szCs w:val="22"/>
              </w:rPr>
            </w:pPr>
          </w:p>
        </w:tc>
        <w:tc>
          <w:tcPr>
            <w:tcW w:w="2065" w:type="dxa"/>
          </w:tcPr>
          <w:p w:rsidR="0028741C" w:rsidRPr="000A3201" w:rsidRDefault="009F5055" w:rsidP="001D2AB9">
            <w:pPr>
              <w:numPr>
                <w:ilvl w:val="0"/>
                <w:numId w:val="39"/>
              </w:numPr>
              <w:ind w:left="232"/>
              <w:rPr>
                <w:sz w:val="22"/>
                <w:szCs w:val="22"/>
              </w:rPr>
            </w:pPr>
            <w:r w:rsidRPr="000A3201">
              <w:rPr>
                <w:sz w:val="22"/>
                <w:szCs w:val="22"/>
              </w:rPr>
              <w:t xml:space="preserve">Αυτοκτονικός ιδεασμός </w:t>
            </w:r>
            <w:r w:rsidR="0028741C" w:rsidRPr="000A3201">
              <w:rPr>
                <w:sz w:val="22"/>
                <w:szCs w:val="22"/>
                <w:vertAlign w:val="superscript"/>
              </w:rPr>
              <w:t>6</w:t>
            </w:r>
          </w:p>
          <w:p w:rsidR="0028741C" w:rsidRPr="000A3201" w:rsidRDefault="009F5055" w:rsidP="001D2AB9">
            <w:pPr>
              <w:numPr>
                <w:ilvl w:val="0"/>
                <w:numId w:val="39"/>
              </w:numPr>
              <w:ind w:left="34" w:hanging="162"/>
              <w:rPr>
                <w:sz w:val="22"/>
                <w:szCs w:val="22"/>
              </w:rPr>
            </w:pPr>
            <w:r w:rsidRPr="000A3201">
              <w:rPr>
                <w:sz w:val="22"/>
                <w:szCs w:val="22"/>
              </w:rPr>
              <w:t>Αυτοκτονική συμπεριφορά</w:t>
            </w:r>
            <w:r w:rsidR="0028741C" w:rsidRPr="000A3201">
              <w:rPr>
                <w:sz w:val="22"/>
                <w:szCs w:val="22"/>
              </w:rPr>
              <w:t xml:space="preserve"> </w:t>
            </w:r>
            <w:r w:rsidR="0028741C" w:rsidRPr="000A3201">
              <w:rPr>
                <w:sz w:val="22"/>
                <w:szCs w:val="22"/>
                <w:vertAlign w:val="superscript"/>
              </w:rPr>
              <w:t>6</w:t>
            </w:r>
          </w:p>
        </w:tc>
      </w:tr>
      <w:tr w:rsidR="0028741C" w:rsidRPr="000A3201">
        <w:tc>
          <w:tcPr>
            <w:tcW w:w="1620" w:type="dxa"/>
          </w:tcPr>
          <w:p w:rsidR="0028741C" w:rsidRPr="000A3201" w:rsidRDefault="00140FC9" w:rsidP="00140FC9">
            <w:pPr>
              <w:rPr>
                <w:sz w:val="22"/>
                <w:szCs w:val="22"/>
              </w:rPr>
            </w:pPr>
            <w:r w:rsidRPr="000A3201">
              <w:rPr>
                <w:sz w:val="22"/>
                <w:szCs w:val="22"/>
              </w:rPr>
              <w:t>Διαταραχές του νευρικού συστήματος</w:t>
            </w:r>
          </w:p>
        </w:tc>
        <w:tc>
          <w:tcPr>
            <w:tcW w:w="1620" w:type="dxa"/>
          </w:tcPr>
          <w:p w:rsidR="00C369FF" w:rsidRDefault="004D4DBD">
            <w:pPr>
              <w:numPr>
                <w:ilvl w:val="0"/>
                <w:numId w:val="36"/>
              </w:numPr>
              <w:ind w:left="192" w:right="-63" w:hanging="192"/>
              <w:rPr>
                <w:sz w:val="22"/>
                <w:szCs w:val="22"/>
              </w:rPr>
            </w:pPr>
            <w:r w:rsidRPr="000A3201">
              <w:rPr>
                <w:sz w:val="22"/>
                <w:szCs w:val="22"/>
              </w:rPr>
              <w:t>Υπνηλία</w:t>
            </w:r>
            <w:r w:rsidR="0028741C" w:rsidRPr="000A3201">
              <w:rPr>
                <w:sz w:val="22"/>
                <w:szCs w:val="22"/>
              </w:rPr>
              <w:t xml:space="preserve"> </w:t>
            </w:r>
            <w:r w:rsidR="0028741C" w:rsidRPr="000A3201">
              <w:rPr>
                <w:sz w:val="22"/>
                <w:szCs w:val="22"/>
                <w:vertAlign w:val="superscript"/>
              </w:rPr>
              <w:t>1,4</w:t>
            </w:r>
          </w:p>
          <w:p w:rsidR="00C369FF" w:rsidRDefault="004D4DBD">
            <w:pPr>
              <w:numPr>
                <w:ilvl w:val="0"/>
                <w:numId w:val="36"/>
              </w:numPr>
              <w:ind w:left="192" w:hanging="192"/>
              <w:rPr>
                <w:sz w:val="22"/>
                <w:szCs w:val="22"/>
              </w:rPr>
            </w:pPr>
            <w:r w:rsidRPr="000A3201">
              <w:rPr>
                <w:sz w:val="22"/>
                <w:szCs w:val="22"/>
              </w:rPr>
              <w:t>Καταστολή</w:t>
            </w:r>
            <w:r w:rsidR="0028741C" w:rsidRPr="000A3201">
              <w:rPr>
                <w:sz w:val="22"/>
                <w:szCs w:val="22"/>
                <w:vertAlign w:val="superscript"/>
              </w:rPr>
              <w:t>1,4</w:t>
            </w:r>
          </w:p>
          <w:p w:rsidR="00C369FF" w:rsidRDefault="004D4DBD">
            <w:pPr>
              <w:numPr>
                <w:ilvl w:val="0"/>
                <w:numId w:val="36"/>
              </w:numPr>
              <w:ind w:left="192" w:right="-63" w:hanging="192"/>
              <w:rPr>
                <w:sz w:val="22"/>
                <w:szCs w:val="22"/>
              </w:rPr>
            </w:pPr>
            <w:r w:rsidRPr="000A3201">
              <w:rPr>
                <w:sz w:val="22"/>
                <w:szCs w:val="22"/>
              </w:rPr>
              <w:t>Κεφαλαλγία</w:t>
            </w:r>
            <w:r w:rsidR="0028741C" w:rsidRPr="000A3201">
              <w:rPr>
                <w:sz w:val="22"/>
                <w:szCs w:val="22"/>
                <w:vertAlign w:val="superscript"/>
              </w:rPr>
              <w:t>2</w:t>
            </w:r>
          </w:p>
        </w:tc>
        <w:tc>
          <w:tcPr>
            <w:tcW w:w="1620" w:type="dxa"/>
          </w:tcPr>
          <w:p w:rsidR="0028741C" w:rsidRPr="000A3201" w:rsidRDefault="001C40C0" w:rsidP="0028741C">
            <w:pPr>
              <w:numPr>
                <w:ilvl w:val="0"/>
                <w:numId w:val="16"/>
              </w:numPr>
              <w:tabs>
                <w:tab w:val="clear" w:pos="720"/>
                <w:tab w:val="num" w:pos="72"/>
              </w:tabs>
              <w:ind w:left="72" w:hanging="180"/>
              <w:rPr>
                <w:sz w:val="22"/>
                <w:szCs w:val="22"/>
              </w:rPr>
            </w:pPr>
            <w:r w:rsidRPr="000A3201">
              <w:rPr>
                <w:sz w:val="22"/>
                <w:szCs w:val="22"/>
              </w:rPr>
              <w:t>Λήθαργος</w:t>
            </w:r>
            <w:r w:rsidR="0028741C" w:rsidRPr="000A3201">
              <w:rPr>
                <w:sz w:val="22"/>
                <w:szCs w:val="22"/>
              </w:rPr>
              <w:t xml:space="preserve"> </w:t>
            </w:r>
            <w:r w:rsidR="0028741C" w:rsidRPr="000A3201">
              <w:rPr>
                <w:sz w:val="22"/>
                <w:szCs w:val="22"/>
                <w:vertAlign w:val="superscript"/>
              </w:rPr>
              <w:t>1</w:t>
            </w:r>
          </w:p>
          <w:p w:rsidR="0028741C" w:rsidRPr="000A3201" w:rsidRDefault="001C40C0" w:rsidP="0028741C">
            <w:pPr>
              <w:numPr>
                <w:ilvl w:val="0"/>
                <w:numId w:val="16"/>
              </w:numPr>
              <w:tabs>
                <w:tab w:val="clear" w:pos="720"/>
                <w:tab w:val="num" w:pos="72"/>
              </w:tabs>
              <w:ind w:left="72" w:hanging="180"/>
              <w:rPr>
                <w:sz w:val="22"/>
                <w:szCs w:val="22"/>
              </w:rPr>
            </w:pPr>
            <w:r w:rsidRPr="000A3201">
              <w:rPr>
                <w:sz w:val="22"/>
                <w:szCs w:val="22"/>
              </w:rPr>
              <w:t>Ζάλη</w:t>
            </w:r>
          </w:p>
          <w:p w:rsidR="0028741C" w:rsidRPr="000A3201" w:rsidRDefault="001C40C0" w:rsidP="0028741C">
            <w:pPr>
              <w:numPr>
                <w:ilvl w:val="0"/>
                <w:numId w:val="16"/>
              </w:numPr>
              <w:tabs>
                <w:tab w:val="clear" w:pos="720"/>
                <w:tab w:val="num" w:pos="72"/>
              </w:tabs>
              <w:ind w:left="72" w:hanging="180"/>
              <w:rPr>
                <w:sz w:val="22"/>
                <w:szCs w:val="22"/>
              </w:rPr>
            </w:pPr>
            <w:r w:rsidRPr="000A3201">
              <w:rPr>
                <w:sz w:val="22"/>
                <w:szCs w:val="22"/>
              </w:rPr>
              <w:t>Τρόμος</w:t>
            </w:r>
          </w:p>
        </w:tc>
        <w:tc>
          <w:tcPr>
            <w:tcW w:w="1620" w:type="dxa"/>
          </w:tcPr>
          <w:p w:rsidR="0028741C" w:rsidRPr="000A3201" w:rsidRDefault="00A86579" w:rsidP="0028741C">
            <w:pPr>
              <w:numPr>
                <w:ilvl w:val="0"/>
                <w:numId w:val="16"/>
              </w:numPr>
              <w:tabs>
                <w:tab w:val="clear" w:pos="720"/>
                <w:tab w:val="num" w:pos="72"/>
              </w:tabs>
              <w:ind w:left="72" w:hanging="180"/>
              <w:rPr>
                <w:sz w:val="22"/>
                <w:szCs w:val="22"/>
              </w:rPr>
            </w:pPr>
            <w:r w:rsidRPr="000A3201">
              <w:rPr>
                <w:sz w:val="22"/>
                <w:szCs w:val="22"/>
              </w:rPr>
              <w:t>Παραισθησία</w:t>
            </w:r>
            <w:r w:rsidR="0028741C" w:rsidRPr="000A3201">
              <w:rPr>
                <w:sz w:val="22"/>
                <w:szCs w:val="22"/>
              </w:rPr>
              <w:t xml:space="preserve"> </w:t>
            </w:r>
            <w:r w:rsidR="0028741C" w:rsidRPr="000A3201">
              <w:rPr>
                <w:sz w:val="22"/>
                <w:szCs w:val="22"/>
                <w:vertAlign w:val="superscript"/>
              </w:rPr>
              <w:t>2</w:t>
            </w:r>
          </w:p>
          <w:p w:rsidR="0028741C" w:rsidRPr="000A3201" w:rsidRDefault="00A86579" w:rsidP="0028741C">
            <w:pPr>
              <w:numPr>
                <w:ilvl w:val="0"/>
                <w:numId w:val="16"/>
              </w:numPr>
              <w:tabs>
                <w:tab w:val="clear" w:pos="720"/>
                <w:tab w:val="num" w:pos="72"/>
              </w:tabs>
              <w:ind w:left="72" w:hanging="180"/>
              <w:rPr>
                <w:sz w:val="22"/>
                <w:szCs w:val="22"/>
              </w:rPr>
            </w:pPr>
            <w:r w:rsidRPr="000A3201">
              <w:rPr>
                <w:sz w:val="22"/>
                <w:szCs w:val="22"/>
              </w:rPr>
              <w:t>Σύνδρομο ανήσυχων κνημών</w:t>
            </w:r>
          </w:p>
          <w:p w:rsidR="0028741C" w:rsidRPr="000A3201" w:rsidRDefault="00A86579" w:rsidP="0028741C">
            <w:pPr>
              <w:numPr>
                <w:ilvl w:val="0"/>
                <w:numId w:val="16"/>
              </w:numPr>
              <w:tabs>
                <w:tab w:val="clear" w:pos="720"/>
                <w:tab w:val="num" w:pos="72"/>
              </w:tabs>
              <w:ind w:left="72" w:hanging="180"/>
              <w:rPr>
                <w:sz w:val="22"/>
                <w:szCs w:val="22"/>
              </w:rPr>
            </w:pPr>
            <w:r w:rsidRPr="000A3201">
              <w:rPr>
                <w:sz w:val="22"/>
                <w:szCs w:val="22"/>
              </w:rPr>
              <w:t>Συγκοπή</w:t>
            </w:r>
          </w:p>
        </w:tc>
        <w:tc>
          <w:tcPr>
            <w:tcW w:w="1535" w:type="dxa"/>
          </w:tcPr>
          <w:p w:rsidR="0028741C" w:rsidRPr="000A3201" w:rsidRDefault="0028741C" w:rsidP="00F006C8">
            <w:pPr>
              <w:numPr>
                <w:ilvl w:val="0"/>
                <w:numId w:val="19"/>
              </w:numPr>
              <w:tabs>
                <w:tab w:val="clear" w:pos="360"/>
                <w:tab w:val="num" w:pos="151"/>
                <w:tab w:val="num" w:pos="435"/>
              </w:tabs>
              <w:ind w:left="432" w:hanging="432"/>
              <w:rPr>
                <w:sz w:val="22"/>
                <w:szCs w:val="22"/>
              </w:rPr>
            </w:pPr>
            <w:r w:rsidRPr="000A3201">
              <w:rPr>
                <w:sz w:val="22"/>
                <w:szCs w:val="22"/>
              </w:rPr>
              <w:t>M</w:t>
            </w:r>
            <w:r w:rsidR="004D4DBD" w:rsidRPr="000A3201">
              <w:rPr>
                <w:sz w:val="22"/>
                <w:szCs w:val="22"/>
              </w:rPr>
              <w:t>υόκλωνος</w:t>
            </w:r>
            <w:r w:rsidR="004D4DBD" w:rsidRPr="000A3201">
              <w:rPr>
                <w:sz w:val="22"/>
                <w:szCs w:val="22"/>
                <w:shd w:val="clear" w:color="auto" w:fill="FFFF00"/>
              </w:rPr>
              <w:t xml:space="preserve"> </w:t>
            </w:r>
          </w:p>
        </w:tc>
        <w:tc>
          <w:tcPr>
            <w:tcW w:w="2065" w:type="dxa"/>
          </w:tcPr>
          <w:p w:rsidR="00C369FF" w:rsidRDefault="009F5055">
            <w:pPr>
              <w:numPr>
                <w:ilvl w:val="0"/>
                <w:numId w:val="39"/>
              </w:numPr>
              <w:ind w:left="232" w:hanging="340"/>
              <w:rPr>
                <w:sz w:val="22"/>
                <w:szCs w:val="22"/>
              </w:rPr>
            </w:pPr>
            <w:r w:rsidRPr="000A3201">
              <w:rPr>
                <w:sz w:val="22"/>
                <w:szCs w:val="22"/>
              </w:rPr>
              <w:t>Σπασμοί (</w:t>
            </w:r>
            <w:r w:rsidR="00C54610">
              <w:rPr>
                <w:sz w:val="22"/>
                <w:szCs w:val="22"/>
              </w:rPr>
              <w:t>κρίσεις</w:t>
            </w:r>
            <w:r w:rsidRPr="000A3201">
              <w:rPr>
                <w:sz w:val="22"/>
                <w:szCs w:val="22"/>
              </w:rPr>
              <w:t>)</w:t>
            </w:r>
          </w:p>
          <w:p w:rsidR="0028741C" w:rsidRPr="000A3201" w:rsidRDefault="009F5055" w:rsidP="00945674">
            <w:pPr>
              <w:numPr>
                <w:ilvl w:val="0"/>
                <w:numId w:val="39"/>
              </w:numPr>
              <w:ind w:left="175" w:hanging="284"/>
              <w:rPr>
                <w:sz w:val="22"/>
                <w:szCs w:val="22"/>
              </w:rPr>
            </w:pPr>
            <w:r w:rsidRPr="000A3201">
              <w:rPr>
                <w:sz w:val="22"/>
                <w:szCs w:val="22"/>
              </w:rPr>
              <w:t xml:space="preserve">Σεροτονινεργικό σύνδρομο </w:t>
            </w:r>
          </w:p>
          <w:p w:rsidR="00C369FF" w:rsidRDefault="009F5055">
            <w:pPr>
              <w:numPr>
                <w:ilvl w:val="0"/>
                <w:numId w:val="39"/>
              </w:numPr>
              <w:ind w:left="232" w:hanging="340"/>
              <w:rPr>
                <w:sz w:val="22"/>
                <w:szCs w:val="22"/>
              </w:rPr>
            </w:pPr>
            <w:r w:rsidRPr="000A3201">
              <w:rPr>
                <w:sz w:val="22"/>
                <w:szCs w:val="22"/>
              </w:rPr>
              <w:t>Παραισθησία στοματική</w:t>
            </w:r>
          </w:p>
          <w:p w:rsidR="00C369FF" w:rsidRDefault="009F5055">
            <w:pPr>
              <w:numPr>
                <w:ilvl w:val="0"/>
                <w:numId w:val="39"/>
              </w:numPr>
              <w:ind w:left="232" w:hanging="340"/>
              <w:rPr>
                <w:sz w:val="22"/>
                <w:szCs w:val="22"/>
              </w:rPr>
            </w:pPr>
            <w:r w:rsidRPr="000A3201">
              <w:rPr>
                <w:sz w:val="22"/>
                <w:szCs w:val="22"/>
              </w:rPr>
              <w:t xml:space="preserve">Δυσαρθρία </w:t>
            </w:r>
          </w:p>
        </w:tc>
      </w:tr>
      <w:tr w:rsidR="0028741C" w:rsidRPr="000A3201">
        <w:tc>
          <w:tcPr>
            <w:tcW w:w="1620" w:type="dxa"/>
          </w:tcPr>
          <w:p w:rsidR="0028741C" w:rsidRPr="000A3201" w:rsidRDefault="00036A71" w:rsidP="00036A71">
            <w:pPr>
              <w:rPr>
                <w:sz w:val="22"/>
                <w:szCs w:val="22"/>
              </w:rPr>
            </w:pPr>
            <w:r w:rsidRPr="000A3201">
              <w:rPr>
                <w:sz w:val="22"/>
                <w:szCs w:val="22"/>
              </w:rPr>
              <w:t>Αγγειακές διαταραχές</w:t>
            </w:r>
          </w:p>
        </w:tc>
        <w:tc>
          <w:tcPr>
            <w:tcW w:w="1620" w:type="dxa"/>
          </w:tcPr>
          <w:p w:rsidR="0028741C" w:rsidRPr="000A3201" w:rsidRDefault="0028741C" w:rsidP="009B0960">
            <w:pPr>
              <w:ind w:left="-108"/>
              <w:rPr>
                <w:sz w:val="22"/>
                <w:szCs w:val="22"/>
              </w:rPr>
            </w:pPr>
          </w:p>
        </w:tc>
        <w:tc>
          <w:tcPr>
            <w:tcW w:w="1620" w:type="dxa"/>
          </w:tcPr>
          <w:p w:rsidR="0028741C" w:rsidRPr="000A3201" w:rsidRDefault="0028741C" w:rsidP="004D4DBD">
            <w:pPr>
              <w:numPr>
                <w:ilvl w:val="0"/>
                <w:numId w:val="21"/>
              </w:numPr>
              <w:tabs>
                <w:tab w:val="clear" w:pos="720"/>
                <w:tab w:val="num" w:pos="72"/>
              </w:tabs>
              <w:ind w:left="72" w:hanging="180"/>
              <w:rPr>
                <w:sz w:val="22"/>
                <w:szCs w:val="22"/>
              </w:rPr>
            </w:pPr>
            <w:r w:rsidRPr="000A3201">
              <w:rPr>
                <w:sz w:val="22"/>
                <w:szCs w:val="22"/>
              </w:rPr>
              <w:t>O</w:t>
            </w:r>
            <w:r w:rsidR="004D4DBD" w:rsidRPr="000A3201">
              <w:rPr>
                <w:sz w:val="22"/>
                <w:szCs w:val="22"/>
              </w:rPr>
              <w:t xml:space="preserve">ρθοστατική υπόταση </w:t>
            </w:r>
          </w:p>
        </w:tc>
        <w:tc>
          <w:tcPr>
            <w:tcW w:w="1620" w:type="dxa"/>
          </w:tcPr>
          <w:p w:rsidR="0028741C" w:rsidRPr="000A3201" w:rsidDel="00F53FE4" w:rsidRDefault="004D4DBD" w:rsidP="0028741C">
            <w:pPr>
              <w:numPr>
                <w:ilvl w:val="0"/>
                <w:numId w:val="15"/>
              </w:numPr>
              <w:tabs>
                <w:tab w:val="clear" w:pos="360"/>
                <w:tab w:val="num" w:pos="72"/>
              </w:tabs>
              <w:ind w:left="72" w:hanging="180"/>
              <w:rPr>
                <w:sz w:val="22"/>
                <w:szCs w:val="22"/>
              </w:rPr>
            </w:pPr>
            <w:r w:rsidRPr="000A3201">
              <w:rPr>
                <w:sz w:val="22"/>
                <w:szCs w:val="22"/>
              </w:rPr>
              <w:t>Υπόταση</w:t>
            </w:r>
            <w:r w:rsidR="0028741C" w:rsidRPr="000A3201">
              <w:rPr>
                <w:sz w:val="22"/>
                <w:szCs w:val="22"/>
              </w:rPr>
              <w:t xml:space="preserve"> </w:t>
            </w:r>
            <w:r w:rsidR="0028741C" w:rsidRPr="000A3201">
              <w:rPr>
                <w:sz w:val="22"/>
                <w:szCs w:val="22"/>
                <w:vertAlign w:val="superscript"/>
              </w:rPr>
              <w:t>2</w:t>
            </w:r>
          </w:p>
        </w:tc>
        <w:tc>
          <w:tcPr>
            <w:tcW w:w="1535" w:type="dxa"/>
          </w:tcPr>
          <w:p w:rsidR="0028741C" w:rsidRPr="000A3201" w:rsidDel="00F53FE4" w:rsidRDefault="0028741C" w:rsidP="00262932">
            <w:pPr>
              <w:tabs>
                <w:tab w:val="num" w:pos="151"/>
                <w:tab w:val="num" w:pos="435"/>
              </w:tabs>
              <w:ind w:left="72" w:hanging="139"/>
              <w:rPr>
                <w:sz w:val="22"/>
                <w:szCs w:val="22"/>
              </w:rPr>
            </w:pPr>
          </w:p>
        </w:tc>
        <w:tc>
          <w:tcPr>
            <w:tcW w:w="2065" w:type="dxa"/>
          </w:tcPr>
          <w:p w:rsidR="0028741C" w:rsidRPr="000A3201" w:rsidRDefault="0028741C" w:rsidP="001D2AB9">
            <w:pPr>
              <w:ind w:left="232"/>
              <w:rPr>
                <w:sz w:val="22"/>
                <w:szCs w:val="22"/>
              </w:rPr>
            </w:pPr>
          </w:p>
        </w:tc>
      </w:tr>
      <w:tr w:rsidR="0028741C" w:rsidRPr="000A3201">
        <w:tc>
          <w:tcPr>
            <w:tcW w:w="1620" w:type="dxa"/>
          </w:tcPr>
          <w:p w:rsidR="00036A71" w:rsidRPr="000A3201" w:rsidRDefault="00036A71" w:rsidP="00036A71">
            <w:pPr>
              <w:rPr>
                <w:sz w:val="22"/>
                <w:szCs w:val="22"/>
              </w:rPr>
            </w:pPr>
            <w:r w:rsidRPr="000A3201">
              <w:rPr>
                <w:sz w:val="22"/>
                <w:szCs w:val="22"/>
              </w:rPr>
              <w:t>Διαταραχές του</w:t>
            </w:r>
          </w:p>
          <w:p w:rsidR="0028741C" w:rsidRPr="000A3201" w:rsidRDefault="009650F5" w:rsidP="00036A71">
            <w:pPr>
              <w:rPr>
                <w:sz w:val="22"/>
                <w:szCs w:val="22"/>
              </w:rPr>
            </w:pPr>
            <w:r w:rsidRPr="000A3201">
              <w:rPr>
                <w:sz w:val="22"/>
                <w:szCs w:val="22"/>
              </w:rPr>
              <w:t>γ</w:t>
            </w:r>
            <w:r w:rsidR="00036A71" w:rsidRPr="000A3201">
              <w:rPr>
                <w:sz w:val="22"/>
                <w:szCs w:val="22"/>
              </w:rPr>
              <w:t>αστρεντερικού</w:t>
            </w:r>
            <w:r w:rsidR="00767BAA" w:rsidRPr="000A3201">
              <w:rPr>
                <w:sz w:val="22"/>
                <w:szCs w:val="22"/>
              </w:rPr>
              <w:t xml:space="preserve"> συστήματος</w:t>
            </w:r>
            <w:r w:rsidR="00036A71" w:rsidRPr="000A3201">
              <w:rPr>
                <w:sz w:val="22"/>
                <w:szCs w:val="22"/>
              </w:rPr>
              <w:t xml:space="preserve"> </w:t>
            </w:r>
          </w:p>
        </w:tc>
        <w:tc>
          <w:tcPr>
            <w:tcW w:w="1620" w:type="dxa"/>
          </w:tcPr>
          <w:p w:rsidR="0028741C" w:rsidRPr="000A3201" w:rsidRDefault="004D4DBD" w:rsidP="004D4DBD">
            <w:pPr>
              <w:numPr>
                <w:ilvl w:val="0"/>
                <w:numId w:val="21"/>
              </w:numPr>
              <w:tabs>
                <w:tab w:val="clear" w:pos="720"/>
                <w:tab w:val="num" w:pos="72"/>
              </w:tabs>
              <w:ind w:left="72" w:hanging="180"/>
              <w:rPr>
                <w:sz w:val="22"/>
                <w:szCs w:val="22"/>
              </w:rPr>
            </w:pPr>
            <w:r w:rsidRPr="000A3201">
              <w:rPr>
                <w:sz w:val="22"/>
                <w:szCs w:val="22"/>
              </w:rPr>
              <w:t>Ξηροστομία</w:t>
            </w:r>
          </w:p>
        </w:tc>
        <w:tc>
          <w:tcPr>
            <w:tcW w:w="1620" w:type="dxa"/>
          </w:tcPr>
          <w:p w:rsidR="0028741C" w:rsidRPr="000A3201" w:rsidRDefault="00A64775" w:rsidP="0028741C">
            <w:pPr>
              <w:numPr>
                <w:ilvl w:val="0"/>
                <w:numId w:val="21"/>
              </w:numPr>
              <w:tabs>
                <w:tab w:val="clear" w:pos="720"/>
                <w:tab w:val="num" w:pos="72"/>
              </w:tabs>
              <w:ind w:left="72" w:hanging="180"/>
              <w:rPr>
                <w:sz w:val="22"/>
                <w:szCs w:val="22"/>
              </w:rPr>
            </w:pPr>
            <w:r w:rsidRPr="000A3201">
              <w:rPr>
                <w:sz w:val="22"/>
                <w:szCs w:val="22"/>
              </w:rPr>
              <w:t>Ναυτία</w:t>
            </w:r>
            <w:r w:rsidR="0028741C" w:rsidRPr="000A3201">
              <w:rPr>
                <w:sz w:val="22"/>
                <w:szCs w:val="22"/>
                <w:vertAlign w:val="superscript"/>
              </w:rPr>
              <w:t xml:space="preserve"> 3</w:t>
            </w:r>
          </w:p>
          <w:p w:rsidR="0028741C" w:rsidRPr="000A3201" w:rsidRDefault="00A64775" w:rsidP="0028741C">
            <w:pPr>
              <w:numPr>
                <w:ilvl w:val="0"/>
                <w:numId w:val="21"/>
              </w:numPr>
              <w:tabs>
                <w:tab w:val="clear" w:pos="720"/>
                <w:tab w:val="num" w:pos="72"/>
              </w:tabs>
              <w:ind w:left="72" w:hanging="180"/>
              <w:rPr>
                <w:sz w:val="22"/>
                <w:szCs w:val="22"/>
              </w:rPr>
            </w:pPr>
            <w:r w:rsidRPr="000A3201">
              <w:rPr>
                <w:sz w:val="22"/>
                <w:szCs w:val="22"/>
              </w:rPr>
              <w:t>Διάρροια</w:t>
            </w:r>
            <w:r w:rsidR="0028741C" w:rsidRPr="000A3201">
              <w:rPr>
                <w:sz w:val="22"/>
                <w:szCs w:val="22"/>
              </w:rPr>
              <w:t xml:space="preserve"> </w:t>
            </w:r>
            <w:r w:rsidR="0028741C" w:rsidRPr="000A3201">
              <w:rPr>
                <w:sz w:val="22"/>
                <w:szCs w:val="22"/>
                <w:vertAlign w:val="superscript"/>
              </w:rPr>
              <w:t>2</w:t>
            </w:r>
          </w:p>
          <w:p w:rsidR="0028741C" w:rsidRPr="00723C9D" w:rsidRDefault="00A64775" w:rsidP="0028741C">
            <w:pPr>
              <w:numPr>
                <w:ilvl w:val="0"/>
                <w:numId w:val="21"/>
              </w:numPr>
              <w:tabs>
                <w:tab w:val="clear" w:pos="720"/>
                <w:tab w:val="num" w:pos="72"/>
              </w:tabs>
              <w:ind w:left="72" w:hanging="180"/>
              <w:rPr>
                <w:sz w:val="22"/>
                <w:szCs w:val="22"/>
              </w:rPr>
            </w:pPr>
            <w:r w:rsidRPr="000A3201">
              <w:rPr>
                <w:sz w:val="22"/>
                <w:szCs w:val="22"/>
              </w:rPr>
              <w:t>Έμετος</w:t>
            </w:r>
            <w:r w:rsidR="0028741C" w:rsidRPr="000A3201">
              <w:rPr>
                <w:sz w:val="22"/>
                <w:szCs w:val="22"/>
              </w:rPr>
              <w:t xml:space="preserve"> </w:t>
            </w:r>
            <w:r w:rsidR="0028741C" w:rsidRPr="000A3201">
              <w:rPr>
                <w:sz w:val="22"/>
                <w:szCs w:val="22"/>
                <w:vertAlign w:val="superscript"/>
              </w:rPr>
              <w:t>2</w:t>
            </w:r>
          </w:p>
          <w:p w:rsidR="00723C9D" w:rsidRPr="00815399" w:rsidRDefault="00723C9D" w:rsidP="0028741C">
            <w:pPr>
              <w:numPr>
                <w:ilvl w:val="0"/>
                <w:numId w:val="21"/>
              </w:numPr>
              <w:tabs>
                <w:tab w:val="clear" w:pos="720"/>
                <w:tab w:val="num" w:pos="72"/>
              </w:tabs>
              <w:ind w:left="72" w:hanging="180"/>
              <w:rPr>
                <w:sz w:val="20"/>
                <w:szCs w:val="20"/>
              </w:rPr>
            </w:pPr>
            <w:commentRangeStart w:id="7"/>
            <w:r w:rsidRPr="00815399">
              <w:rPr>
                <w:sz w:val="20"/>
                <w:szCs w:val="20"/>
              </w:rPr>
              <w:t>Δυσκοιλιότητα</w:t>
            </w:r>
            <w:r w:rsidR="00815399" w:rsidRPr="00815399">
              <w:rPr>
                <w:sz w:val="20"/>
                <w:szCs w:val="20"/>
                <w:vertAlign w:val="superscript"/>
              </w:rPr>
              <w:t>1</w:t>
            </w:r>
            <w:commentRangeEnd w:id="7"/>
            <w:r w:rsidR="00815399">
              <w:rPr>
                <w:rStyle w:val="aa"/>
              </w:rPr>
              <w:commentReference w:id="7"/>
            </w:r>
          </w:p>
        </w:tc>
        <w:tc>
          <w:tcPr>
            <w:tcW w:w="1620" w:type="dxa"/>
          </w:tcPr>
          <w:p w:rsidR="0028741C" w:rsidRPr="000A3201" w:rsidRDefault="004D4DBD" w:rsidP="004D4DBD">
            <w:pPr>
              <w:numPr>
                <w:ilvl w:val="0"/>
                <w:numId w:val="15"/>
              </w:numPr>
              <w:tabs>
                <w:tab w:val="clear" w:pos="360"/>
                <w:tab w:val="num" w:pos="72"/>
              </w:tabs>
              <w:ind w:left="72" w:hanging="180"/>
              <w:rPr>
                <w:sz w:val="22"/>
                <w:szCs w:val="22"/>
              </w:rPr>
            </w:pPr>
            <w:r w:rsidRPr="000A3201">
              <w:rPr>
                <w:sz w:val="22"/>
                <w:szCs w:val="22"/>
              </w:rPr>
              <w:t xml:space="preserve">Στοματική υπαισθησία </w:t>
            </w:r>
          </w:p>
        </w:tc>
        <w:tc>
          <w:tcPr>
            <w:tcW w:w="1535" w:type="dxa"/>
          </w:tcPr>
          <w:p w:rsidR="00C369FF" w:rsidRDefault="003E35AE">
            <w:pPr>
              <w:numPr>
                <w:ilvl w:val="0"/>
                <w:numId w:val="15"/>
              </w:numPr>
              <w:tabs>
                <w:tab w:val="clear" w:pos="360"/>
                <w:tab w:val="num" w:pos="9"/>
              </w:tabs>
              <w:ind w:left="9" w:right="-108" w:hanging="141"/>
              <w:rPr>
                <w:sz w:val="22"/>
                <w:szCs w:val="22"/>
              </w:rPr>
            </w:pPr>
            <w:r w:rsidRPr="000A3201">
              <w:rPr>
                <w:sz w:val="22"/>
                <w:szCs w:val="22"/>
              </w:rPr>
              <w:t>Παγκρεατίτιδα</w:t>
            </w:r>
          </w:p>
        </w:tc>
        <w:tc>
          <w:tcPr>
            <w:tcW w:w="2065" w:type="dxa"/>
          </w:tcPr>
          <w:p w:rsidR="00C369FF" w:rsidRDefault="00E36A5E">
            <w:pPr>
              <w:numPr>
                <w:ilvl w:val="0"/>
                <w:numId w:val="38"/>
              </w:numPr>
              <w:ind w:left="232" w:hanging="340"/>
              <w:rPr>
                <w:sz w:val="22"/>
                <w:szCs w:val="22"/>
              </w:rPr>
            </w:pPr>
            <w:r w:rsidRPr="000A3201">
              <w:rPr>
                <w:sz w:val="22"/>
                <w:szCs w:val="22"/>
              </w:rPr>
              <w:t>Οίδημα στόματος</w:t>
            </w:r>
          </w:p>
          <w:p w:rsidR="00C369FF" w:rsidRDefault="00834F37">
            <w:pPr>
              <w:numPr>
                <w:ilvl w:val="0"/>
                <w:numId w:val="38"/>
              </w:numPr>
              <w:ind w:left="232" w:hanging="340"/>
              <w:rPr>
                <w:sz w:val="22"/>
                <w:szCs w:val="22"/>
              </w:rPr>
            </w:pPr>
            <w:r w:rsidRPr="000A3201">
              <w:rPr>
                <w:sz w:val="22"/>
                <w:szCs w:val="22"/>
              </w:rPr>
              <w:t xml:space="preserve">Αυξημένη σιελόρροια </w:t>
            </w:r>
          </w:p>
        </w:tc>
      </w:tr>
      <w:tr w:rsidR="0028741C" w:rsidRPr="000A3201">
        <w:tc>
          <w:tcPr>
            <w:tcW w:w="1620" w:type="dxa"/>
          </w:tcPr>
          <w:p w:rsidR="0028741C" w:rsidRPr="000A3201" w:rsidRDefault="000D5376" w:rsidP="000D5376">
            <w:pPr>
              <w:rPr>
                <w:sz w:val="22"/>
                <w:szCs w:val="22"/>
              </w:rPr>
            </w:pPr>
            <w:r w:rsidRPr="000A3201">
              <w:rPr>
                <w:sz w:val="22"/>
                <w:szCs w:val="22"/>
              </w:rPr>
              <w:t xml:space="preserve">Διαταραχές του ήπατος και των χοληφόρων </w:t>
            </w:r>
          </w:p>
        </w:tc>
        <w:tc>
          <w:tcPr>
            <w:tcW w:w="1620" w:type="dxa"/>
          </w:tcPr>
          <w:p w:rsidR="0028741C" w:rsidRPr="000A3201" w:rsidRDefault="0028741C" w:rsidP="009B0960">
            <w:pPr>
              <w:tabs>
                <w:tab w:val="num" w:pos="72"/>
                <w:tab w:val="left" w:pos="552"/>
              </w:tabs>
              <w:ind w:left="72" w:hanging="72"/>
              <w:rPr>
                <w:sz w:val="22"/>
                <w:szCs w:val="22"/>
              </w:rPr>
            </w:pPr>
          </w:p>
        </w:tc>
        <w:tc>
          <w:tcPr>
            <w:tcW w:w="1620" w:type="dxa"/>
          </w:tcPr>
          <w:p w:rsidR="0028741C" w:rsidRPr="000A3201" w:rsidRDefault="0028741C" w:rsidP="009B0960">
            <w:pPr>
              <w:ind w:left="-108"/>
              <w:rPr>
                <w:sz w:val="22"/>
                <w:szCs w:val="22"/>
              </w:rPr>
            </w:pPr>
          </w:p>
        </w:tc>
        <w:tc>
          <w:tcPr>
            <w:tcW w:w="1620" w:type="dxa"/>
          </w:tcPr>
          <w:p w:rsidR="0028741C" w:rsidRPr="000A3201" w:rsidRDefault="0028741C" w:rsidP="009B0960">
            <w:pPr>
              <w:rPr>
                <w:sz w:val="22"/>
                <w:szCs w:val="22"/>
              </w:rPr>
            </w:pPr>
          </w:p>
        </w:tc>
        <w:tc>
          <w:tcPr>
            <w:tcW w:w="1535" w:type="dxa"/>
          </w:tcPr>
          <w:p w:rsidR="00C369FF" w:rsidRDefault="006E2F47">
            <w:pPr>
              <w:numPr>
                <w:ilvl w:val="0"/>
                <w:numId w:val="15"/>
              </w:numPr>
              <w:tabs>
                <w:tab w:val="clear" w:pos="360"/>
                <w:tab w:val="num" w:pos="-132"/>
                <w:tab w:val="num" w:pos="435"/>
              </w:tabs>
              <w:ind w:left="9" w:right="-108" w:hanging="141"/>
              <w:rPr>
                <w:sz w:val="22"/>
                <w:szCs w:val="22"/>
              </w:rPr>
            </w:pPr>
            <w:r w:rsidRPr="000A3201">
              <w:rPr>
                <w:sz w:val="22"/>
                <w:szCs w:val="22"/>
              </w:rPr>
              <w:t>Αυξημένη δράση τρανσαμινασών στον ορό</w:t>
            </w:r>
          </w:p>
        </w:tc>
        <w:tc>
          <w:tcPr>
            <w:tcW w:w="2065" w:type="dxa"/>
          </w:tcPr>
          <w:p w:rsidR="0028741C" w:rsidRPr="000A3201" w:rsidRDefault="0028741C" w:rsidP="00741A0A">
            <w:pPr>
              <w:tabs>
                <w:tab w:val="num" w:pos="90"/>
              </w:tabs>
              <w:ind w:left="90" w:hanging="141"/>
              <w:rPr>
                <w:sz w:val="22"/>
                <w:szCs w:val="22"/>
              </w:rPr>
            </w:pPr>
          </w:p>
        </w:tc>
      </w:tr>
      <w:tr w:rsidR="0028741C" w:rsidRPr="000A3201">
        <w:tc>
          <w:tcPr>
            <w:tcW w:w="1620" w:type="dxa"/>
          </w:tcPr>
          <w:p w:rsidR="0028741C" w:rsidRPr="000A3201" w:rsidRDefault="00767BAA" w:rsidP="002F1D33">
            <w:pPr>
              <w:rPr>
                <w:sz w:val="22"/>
                <w:szCs w:val="22"/>
              </w:rPr>
            </w:pPr>
            <w:r w:rsidRPr="000A3201">
              <w:rPr>
                <w:sz w:val="22"/>
                <w:szCs w:val="22"/>
              </w:rPr>
              <w:t xml:space="preserve">Διαταραχές του </w:t>
            </w:r>
            <w:r w:rsidR="002F1D33" w:rsidRPr="000A3201">
              <w:rPr>
                <w:sz w:val="22"/>
                <w:szCs w:val="22"/>
              </w:rPr>
              <w:t>δέρματος και του υποδόριου ιστού</w:t>
            </w:r>
          </w:p>
        </w:tc>
        <w:tc>
          <w:tcPr>
            <w:tcW w:w="1620" w:type="dxa"/>
          </w:tcPr>
          <w:p w:rsidR="0028741C" w:rsidRPr="000A3201" w:rsidRDefault="0028741C" w:rsidP="009B0960">
            <w:pPr>
              <w:tabs>
                <w:tab w:val="num" w:pos="72"/>
                <w:tab w:val="left" w:pos="552"/>
              </w:tabs>
              <w:ind w:left="72" w:hanging="72"/>
              <w:rPr>
                <w:sz w:val="22"/>
                <w:szCs w:val="22"/>
              </w:rPr>
            </w:pPr>
          </w:p>
        </w:tc>
        <w:tc>
          <w:tcPr>
            <w:tcW w:w="1620" w:type="dxa"/>
          </w:tcPr>
          <w:p w:rsidR="0028741C" w:rsidRPr="000A3201" w:rsidRDefault="00A04904" w:rsidP="00A04904">
            <w:pPr>
              <w:numPr>
                <w:ilvl w:val="0"/>
                <w:numId w:val="22"/>
              </w:numPr>
              <w:tabs>
                <w:tab w:val="clear" w:pos="720"/>
                <w:tab w:val="num" w:pos="72"/>
              </w:tabs>
              <w:ind w:left="72" w:hanging="180"/>
              <w:rPr>
                <w:sz w:val="22"/>
                <w:szCs w:val="22"/>
              </w:rPr>
            </w:pPr>
            <w:r w:rsidRPr="000A3201">
              <w:rPr>
                <w:color w:val="000000"/>
                <w:sz w:val="22"/>
                <w:szCs w:val="22"/>
              </w:rPr>
              <w:t>Εξάνθημα</w:t>
            </w:r>
            <w:r w:rsidRPr="000A3201">
              <w:rPr>
                <w:sz w:val="22"/>
                <w:szCs w:val="22"/>
              </w:rPr>
              <w:t xml:space="preserve"> </w:t>
            </w:r>
            <w:r w:rsidR="0028741C" w:rsidRPr="000A3201">
              <w:rPr>
                <w:sz w:val="22"/>
                <w:szCs w:val="22"/>
                <w:vertAlign w:val="superscript"/>
              </w:rPr>
              <w:t>2</w:t>
            </w:r>
          </w:p>
        </w:tc>
        <w:tc>
          <w:tcPr>
            <w:tcW w:w="1620" w:type="dxa"/>
          </w:tcPr>
          <w:p w:rsidR="0028741C" w:rsidRPr="000A3201" w:rsidRDefault="0028741C" w:rsidP="009B0960">
            <w:pPr>
              <w:rPr>
                <w:sz w:val="22"/>
                <w:szCs w:val="22"/>
              </w:rPr>
            </w:pPr>
          </w:p>
        </w:tc>
        <w:tc>
          <w:tcPr>
            <w:tcW w:w="1535" w:type="dxa"/>
          </w:tcPr>
          <w:p w:rsidR="0028741C" w:rsidRPr="000A3201" w:rsidRDefault="0028741C" w:rsidP="009B0960">
            <w:pPr>
              <w:tabs>
                <w:tab w:val="num" w:pos="432"/>
              </w:tabs>
              <w:ind w:left="72"/>
              <w:rPr>
                <w:sz w:val="22"/>
                <w:szCs w:val="22"/>
              </w:rPr>
            </w:pPr>
          </w:p>
        </w:tc>
        <w:tc>
          <w:tcPr>
            <w:tcW w:w="2065" w:type="dxa"/>
          </w:tcPr>
          <w:p w:rsidR="0028741C" w:rsidRPr="000A3201" w:rsidRDefault="0030311B" w:rsidP="00741A0A">
            <w:pPr>
              <w:numPr>
                <w:ilvl w:val="0"/>
                <w:numId w:val="15"/>
              </w:numPr>
              <w:tabs>
                <w:tab w:val="clear" w:pos="360"/>
                <w:tab w:val="num" w:pos="90"/>
              </w:tabs>
              <w:ind w:left="90" w:hanging="141"/>
              <w:rPr>
                <w:sz w:val="22"/>
                <w:szCs w:val="22"/>
              </w:rPr>
            </w:pPr>
            <w:r w:rsidRPr="000A3201">
              <w:rPr>
                <w:sz w:val="22"/>
                <w:szCs w:val="22"/>
              </w:rPr>
              <w:t>Σύνδρομο Stevens-Johnson</w:t>
            </w:r>
          </w:p>
          <w:p w:rsidR="0028741C" w:rsidRPr="000A3201" w:rsidRDefault="006D7E65" w:rsidP="00327A1C">
            <w:pPr>
              <w:numPr>
                <w:ilvl w:val="0"/>
                <w:numId w:val="15"/>
              </w:numPr>
              <w:tabs>
                <w:tab w:val="clear" w:pos="360"/>
                <w:tab w:val="num" w:pos="90"/>
                <w:tab w:val="left" w:pos="362"/>
              </w:tabs>
              <w:ind w:left="90" w:hanging="90"/>
              <w:rPr>
                <w:sz w:val="22"/>
                <w:szCs w:val="22"/>
              </w:rPr>
            </w:pPr>
            <w:r w:rsidRPr="000A3201">
              <w:rPr>
                <w:sz w:val="22"/>
                <w:szCs w:val="22"/>
              </w:rPr>
              <w:t>Δερματίτιδα πομφολυγώδης</w:t>
            </w:r>
          </w:p>
          <w:p w:rsidR="0028741C" w:rsidRPr="000A3201" w:rsidRDefault="006D7E65" w:rsidP="00741A0A">
            <w:pPr>
              <w:numPr>
                <w:ilvl w:val="0"/>
                <w:numId w:val="15"/>
              </w:numPr>
              <w:tabs>
                <w:tab w:val="clear" w:pos="360"/>
                <w:tab w:val="num" w:pos="90"/>
              </w:tabs>
              <w:ind w:left="90" w:hanging="141"/>
              <w:rPr>
                <w:sz w:val="22"/>
                <w:szCs w:val="22"/>
              </w:rPr>
            </w:pPr>
            <w:r w:rsidRPr="000A3201">
              <w:rPr>
                <w:sz w:val="22"/>
                <w:szCs w:val="22"/>
              </w:rPr>
              <w:t xml:space="preserve">Πολύμορφο ερύθημα </w:t>
            </w:r>
          </w:p>
          <w:p w:rsidR="0028741C" w:rsidRPr="000A3201" w:rsidRDefault="0028741C" w:rsidP="00741A0A">
            <w:pPr>
              <w:numPr>
                <w:ilvl w:val="0"/>
                <w:numId w:val="15"/>
              </w:numPr>
              <w:tabs>
                <w:tab w:val="clear" w:pos="360"/>
                <w:tab w:val="num" w:pos="90"/>
                <w:tab w:val="num" w:pos="432"/>
              </w:tabs>
              <w:ind w:left="90" w:hanging="141"/>
              <w:rPr>
                <w:sz w:val="22"/>
                <w:szCs w:val="22"/>
              </w:rPr>
            </w:pPr>
            <w:r w:rsidRPr="000A3201">
              <w:rPr>
                <w:sz w:val="22"/>
                <w:szCs w:val="22"/>
              </w:rPr>
              <w:t>T</w:t>
            </w:r>
            <w:r w:rsidR="00466900" w:rsidRPr="000A3201">
              <w:rPr>
                <w:sz w:val="22"/>
                <w:szCs w:val="22"/>
              </w:rPr>
              <w:t>οξική επιδερμική νεκρόλυση</w:t>
            </w:r>
          </w:p>
        </w:tc>
      </w:tr>
      <w:tr w:rsidR="0028741C" w:rsidRPr="000A3201">
        <w:tc>
          <w:tcPr>
            <w:tcW w:w="1620" w:type="dxa"/>
          </w:tcPr>
          <w:p w:rsidR="00F53FE5" w:rsidRPr="000A3201" w:rsidRDefault="00F53FE5" w:rsidP="00F53FE5">
            <w:pPr>
              <w:rPr>
                <w:sz w:val="22"/>
                <w:szCs w:val="22"/>
              </w:rPr>
            </w:pPr>
            <w:r w:rsidRPr="000A3201">
              <w:rPr>
                <w:sz w:val="22"/>
                <w:szCs w:val="22"/>
              </w:rPr>
              <w:lastRenderedPageBreak/>
              <w:t>Διαταραχές του</w:t>
            </w:r>
          </w:p>
          <w:p w:rsidR="00F53FE5" w:rsidRPr="000A3201" w:rsidRDefault="00F53FE5" w:rsidP="00F53FE5">
            <w:pPr>
              <w:rPr>
                <w:sz w:val="22"/>
                <w:szCs w:val="22"/>
              </w:rPr>
            </w:pPr>
            <w:r w:rsidRPr="000A3201">
              <w:rPr>
                <w:sz w:val="22"/>
                <w:szCs w:val="22"/>
              </w:rPr>
              <w:t>μυοσκελετικού</w:t>
            </w:r>
          </w:p>
          <w:p w:rsidR="0028741C" w:rsidRPr="000A3201" w:rsidRDefault="00F53FE5" w:rsidP="00F53FE5">
            <w:pPr>
              <w:rPr>
                <w:sz w:val="22"/>
                <w:szCs w:val="22"/>
              </w:rPr>
            </w:pPr>
            <w:r w:rsidRPr="000A3201">
              <w:rPr>
                <w:sz w:val="22"/>
                <w:szCs w:val="22"/>
              </w:rPr>
              <w:t>συστήματος και του συνδετικού ιστού</w:t>
            </w:r>
          </w:p>
        </w:tc>
        <w:tc>
          <w:tcPr>
            <w:tcW w:w="1620" w:type="dxa"/>
          </w:tcPr>
          <w:p w:rsidR="0028741C" w:rsidRPr="000A3201" w:rsidRDefault="0028741C" w:rsidP="009B0960">
            <w:pPr>
              <w:tabs>
                <w:tab w:val="num" w:pos="72"/>
                <w:tab w:val="left" w:pos="552"/>
              </w:tabs>
              <w:ind w:left="72" w:hanging="72"/>
              <w:rPr>
                <w:sz w:val="22"/>
                <w:szCs w:val="22"/>
              </w:rPr>
            </w:pPr>
          </w:p>
        </w:tc>
        <w:tc>
          <w:tcPr>
            <w:tcW w:w="1620" w:type="dxa"/>
          </w:tcPr>
          <w:p w:rsidR="0028741C" w:rsidRPr="000A3201" w:rsidRDefault="00B22B6E" w:rsidP="001D2AB9">
            <w:pPr>
              <w:numPr>
                <w:ilvl w:val="0"/>
                <w:numId w:val="37"/>
              </w:numPr>
              <w:tabs>
                <w:tab w:val="clear" w:pos="360"/>
                <w:tab w:val="num" w:pos="131"/>
              </w:tabs>
              <w:rPr>
                <w:sz w:val="22"/>
                <w:szCs w:val="22"/>
              </w:rPr>
            </w:pPr>
            <w:r w:rsidRPr="000A3201">
              <w:rPr>
                <w:sz w:val="22"/>
                <w:szCs w:val="22"/>
              </w:rPr>
              <w:t xml:space="preserve">Αρθραλγία </w:t>
            </w:r>
          </w:p>
          <w:p w:rsidR="0028741C" w:rsidRPr="000A3201" w:rsidRDefault="00B22B6E" w:rsidP="001D2AB9">
            <w:pPr>
              <w:numPr>
                <w:ilvl w:val="0"/>
                <w:numId w:val="37"/>
              </w:numPr>
              <w:tabs>
                <w:tab w:val="clear" w:pos="360"/>
                <w:tab w:val="num" w:pos="131"/>
              </w:tabs>
              <w:rPr>
                <w:sz w:val="22"/>
                <w:szCs w:val="22"/>
              </w:rPr>
            </w:pPr>
            <w:r w:rsidRPr="000A3201">
              <w:rPr>
                <w:sz w:val="22"/>
                <w:szCs w:val="22"/>
              </w:rPr>
              <w:t xml:space="preserve">Μυαλγία </w:t>
            </w:r>
          </w:p>
          <w:p w:rsidR="0028741C" w:rsidRPr="000A3201" w:rsidRDefault="00B22B6E" w:rsidP="001D2AB9">
            <w:pPr>
              <w:numPr>
                <w:ilvl w:val="0"/>
                <w:numId w:val="37"/>
              </w:numPr>
              <w:tabs>
                <w:tab w:val="clear" w:pos="360"/>
                <w:tab w:val="num" w:pos="131"/>
              </w:tabs>
              <w:rPr>
                <w:sz w:val="22"/>
                <w:szCs w:val="22"/>
              </w:rPr>
            </w:pPr>
            <w:r w:rsidRPr="000A3201">
              <w:rPr>
                <w:sz w:val="22"/>
                <w:szCs w:val="22"/>
              </w:rPr>
              <w:t>Οσφυαλγία</w:t>
            </w:r>
            <w:r w:rsidR="0028741C" w:rsidRPr="000A3201">
              <w:rPr>
                <w:sz w:val="22"/>
                <w:szCs w:val="22"/>
                <w:vertAlign w:val="superscript"/>
              </w:rPr>
              <w:t>1</w:t>
            </w:r>
          </w:p>
        </w:tc>
        <w:tc>
          <w:tcPr>
            <w:tcW w:w="1620" w:type="dxa"/>
          </w:tcPr>
          <w:p w:rsidR="0028741C" w:rsidRPr="000A3201" w:rsidRDefault="0028741C" w:rsidP="009B0960">
            <w:pPr>
              <w:rPr>
                <w:sz w:val="22"/>
                <w:szCs w:val="22"/>
              </w:rPr>
            </w:pPr>
          </w:p>
        </w:tc>
        <w:tc>
          <w:tcPr>
            <w:tcW w:w="1535" w:type="dxa"/>
          </w:tcPr>
          <w:p w:rsidR="0028741C" w:rsidRPr="000A3201" w:rsidRDefault="0028741C" w:rsidP="009B0960">
            <w:pPr>
              <w:tabs>
                <w:tab w:val="num" w:pos="432"/>
              </w:tabs>
              <w:ind w:left="72"/>
              <w:rPr>
                <w:sz w:val="22"/>
                <w:szCs w:val="22"/>
              </w:rPr>
            </w:pPr>
          </w:p>
        </w:tc>
        <w:tc>
          <w:tcPr>
            <w:tcW w:w="2065" w:type="dxa"/>
          </w:tcPr>
          <w:p w:rsidR="0028741C" w:rsidRPr="00815399" w:rsidRDefault="00815399" w:rsidP="00815399">
            <w:pPr>
              <w:pStyle w:val="ad"/>
              <w:numPr>
                <w:ilvl w:val="0"/>
                <w:numId w:val="37"/>
              </w:numPr>
              <w:tabs>
                <w:tab w:val="clear" w:pos="360"/>
                <w:tab w:val="num" w:pos="175"/>
              </w:tabs>
              <w:rPr>
                <w:sz w:val="22"/>
                <w:szCs w:val="22"/>
              </w:rPr>
            </w:pPr>
            <w:commentRangeStart w:id="8"/>
            <w:r>
              <w:rPr>
                <w:sz w:val="22"/>
                <w:szCs w:val="22"/>
              </w:rPr>
              <w:t>Ραβδομυόλυση</w:t>
            </w:r>
            <w:commentRangeEnd w:id="8"/>
            <w:r>
              <w:rPr>
                <w:rStyle w:val="aa"/>
              </w:rPr>
              <w:commentReference w:id="8"/>
            </w:r>
          </w:p>
        </w:tc>
      </w:tr>
      <w:tr w:rsidR="00815399" w:rsidRPr="000A3201">
        <w:tc>
          <w:tcPr>
            <w:tcW w:w="1620" w:type="dxa"/>
          </w:tcPr>
          <w:p w:rsidR="00815399" w:rsidRPr="000A3201" w:rsidRDefault="00815399" w:rsidP="00F53FE5">
            <w:pPr>
              <w:rPr>
                <w:sz w:val="22"/>
                <w:szCs w:val="22"/>
              </w:rPr>
            </w:pPr>
            <w:commentRangeStart w:id="9"/>
            <w:r>
              <w:rPr>
                <w:sz w:val="22"/>
                <w:szCs w:val="22"/>
              </w:rPr>
              <w:t>Διαταραχές των νεφρών και των ουροφόρων οδών</w:t>
            </w:r>
          </w:p>
        </w:tc>
        <w:tc>
          <w:tcPr>
            <w:tcW w:w="1620" w:type="dxa"/>
          </w:tcPr>
          <w:p w:rsidR="00815399" w:rsidRPr="000A3201" w:rsidRDefault="00815399" w:rsidP="009B0960">
            <w:pPr>
              <w:tabs>
                <w:tab w:val="num" w:pos="72"/>
                <w:tab w:val="left" w:pos="552"/>
              </w:tabs>
              <w:ind w:left="72" w:hanging="72"/>
              <w:rPr>
                <w:sz w:val="22"/>
                <w:szCs w:val="22"/>
              </w:rPr>
            </w:pPr>
          </w:p>
        </w:tc>
        <w:tc>
          <w:tcPr>
            <w:tcW w:w="1620" w:type="dxa"/>
          </w:tcPr>
          <w:p w:rsidR="00815399" w:rsidRPr="000A3201" w:rsidRDefault="00815399" w:rsidP="00815399">
            <w:pPr>
              <w:rPr>
                <w:sz w:val="22"/>
                <w:szCs w:val="22"/>
              </w:rPr>
            </w:pPr>
          </w:p>
        </w:tc>
        <w:tc>
          <w:tcPr>
            <w:tcW w:w="1620" w:type="dxa"/>
          </w:tcPr>
          <w:p w:rsidR="00815399" w:rsidRPr="000A3201" w:rsidRDefault="00815399" w:rsidP="009B0960">
            <w:pPr>
              <w:rPr>
                <w:sz w:val="22"/>
                <w:szCs w:val="22"/>
              </w:rPr>
            </w:pPr>
          </w:p>
        </w:tc>
        <w:tc>
          <w:tcPr>
            <w:tcW w:w="1535" w:type="dxa"/>
          </w:tcPr>
          <w:p w:rsidR="00815399" w:rsidRPr="000A3201" w:rsidRDefault="00815399" w:rsidP="009B0960">
            <w:pPr>
              <w:tabs>
                <w:tab w:val="num" w:pos="432"/>
              </w:tabs>
              <w:ind w:left="72"/>
              <w:rPr>
                <w:sz w:val="22"/>
                <w:szCs w:val="22"/>
              </w:rPr>
            </w:pPr>
          </w:p>
        </w:tc>
        <w:tc>
          <w:tcPr>
            <w:tcW w:w="2065" w:type="dxa"/>
          </w:tcPr>
          <w:p w:rsidR="00815399" w:rsidRDefault="00815399" w:rsidP="00815399">
            <w:pPr>
              <w:pStyle w:val="ad"/>
              <w:numPr>
                <w:ilvl w:val="0"/>
                <w:numId w:val="37"/>
              </w:numPr>
              <w:tabs>
                <w:tab w:val="clear" w:pos="360"/>
                <w:tab w:val="num" w:pos="175"/>
              </w:tabs>
              <w:rPr>
                <w:sz w:val="22"/>
                <w:szCs w:val="22"/>
              </w:rPr>
            </w:pPr>
            <w:r>
              <w:rPr>
                <w:sz w:val="22"/>
                <w:szCs w:val="22"/>
              </w:rPr>
              <w:t>Κατακράτηση ούρων</w:t>
            </w:r>
            <w:commentRangeEnd w:id="9"/>
            <w:r>
              <w:rPr>
                <w:rStyle w:val="aa"/>
              </w:rPr>
              <w:commentReference w:id="9"/>
            </w:r>
          </w:p>
        </w:tc>
      </w:tr>
      <w:tr w:rsidR="0028741C" w:rsidRPr="000A3201">
        <w:tc>
          <w:tcPr>
            <w:tcW w:w="1620" w:type="dxa"/>
          </w:tcPr>
          <w:p w:rsidR="00F53FE5" w:rsidRPr="000A3201" w:rsidRDefault="00F53FE5" w:rsidP="00F53FE5">
            <w:pPr>
              <w:rPr>
                <w:sz w:val="22"/>
                <w:szCs w:val="22"/>
              </w:rPr>
            </w:pPr>
            <w:r w:rsidRPr="000A3201">
              <w:rPr>
                <w:sz w:val="22"/>
                <w:szCs w:val="22"/>
              </w:rPr>
              <w:t>Γενικές διαταραχές και</w:t>
            </w:r>
            <w:r w:rsidR="000D5376" w:rsidRPr="000A3201">
              <w:rPr>
                <w:sz w:val="22"/>
                <w:szCs w:val="22"/>
              </w:rPr>
              <w:t xml:space="preserve"> </w:t>
            </w:r>
            <w:r w:rsidRPr="000A3201">
              <w:rPr>
                <w:sz w:val="22"/>
                <w:szCs w:val="22"/>
              </w:rPr>
              <w:t>καταστάσεις της οδού</w:t>
            </w:r>
          </w:p>
          <w:p w:rsidR="0028741C" w:rsidRPr="000A3201" w:rsidRDefault="00F53FE5" w:rsidP="00F53FE5">
            <w:pPr>
              <w:rPr>
                <w:sz w:val="22"/>
                <w:szCs w:val="22"/>
              </w:rPr>
            </w:pPr>
            <w:r w:rsidRPr="000A3201">
              <w:rPr>
                <w:sz w:val="22"/>
                <w:szCs w:val="22"/>
              </w:rPr>
              <w:t>χορήγησης</w:t>
            </w:r>
          </w:p>
        </w:tc>
        <w:tc>
          <w:tcPr>
            <w:tcW w:w="1620" w:type="dxa"/>
          </w:tcPr>
          <w:p w:rsidR="0028741C" w:rsidRPr="000A3201" w:rsidRDefault="0028741C" w:rsidP="009B0960">
            <w:pPr>
              <w:tabs>
                <w:tab w:val="num" w:pos="432"/>
              </w:tabs>
              <w:rPr>
                <w:sz w:val="22"/>
                <w:szCs w:val="22"/>
              </w:rPr>
            </w:pPr>
          </w:p>
        </w:tc>
        <w:tc>
          <w:tcPr>
            <w:tcW w:w="1620" w:type="dxa"/>
          </w:tcPr>
          <w:p w:rsidR="0028741C" w:rsidRPr="000A3201" w:rsidRDefault="00B22B6E" w:rsidP="001D2AB9">
            <w:pPr>
              <w:numPr>
                <w:ilvl w:val="0"/>
                <w:numId w:val="41"/>
              </w:numPr>
              <w:tabs>
                <w:tab w:val="clear" w:pos="360"/>
                <w:tab w:val="num" w:pos="131"/>
              </w:tabs>
              <w:ind w:left="131" w:hanging="131"/>
              <w:rPr>
                <w:sz w:val="22"/>
                <w:szCs w:val="22"/>
              </w:rPr>
            </w:pPr>
            <w:r w:rsidRPr="000A3201">
              <w:rPr>
                <w:sz w:val="22"/>
                <w:szCs w:val="22"/>
              </w:rPr>
              <w:t>Περιφερικό οίδημα</w:t>
            </w:r>
            <w:r w:rsidR="0028741C" w:rsidRPr="000A3201">
              <w:rPr>
                <w:sz w:val="22"/>
                <w:szCs w:val="22"/>
              </w:rPr>
              <w:t xml:space="preserve"> </w:t>
            </w:r>
            <w:r w:rsidR="0028741C" w:rsidRPr="000A3201">
              <w:rPr>
                <w:sz w:val="22"/>
                <w:szCs w:val="22"/>
                <w:vertAlign w:val="superscript"/>
              </w:rPr>
              <w:t>1</w:t>
            </w:r>
          </w:p>
          <w:p w:rsidR="0028741C" w:rsidRPr="000A3201" w:rsidRDefault="00B22B6E" w:rsidP="001D2AB9">
            <w:pPr>
              <w:numPr>
                <w:ilvl w:val="0"/>
                <w:numId w:val="41"/>
              </w:numPr>
              <w:tabs>
                <w:tab w:val="clear" w:pos="360"/>
                <w:tab w:val="num" w:pos="131"/>
              </w:tabs>
              <w:rPr>
                <w:sz w:val="22"/>
                <w:szCs w:val="22"/>
              </w:rPr>
            </w:pPr>
            <w:r w:rsidRPr="000A3201">
              <w:rPr>
                <w:sz w:val="22"/>
                <w:szCs w:val="22"/>
              </w:rPr>
              <w:t xml:space="preserve">Κόπωση </w:t>
            </w:r>
          </w:p>
        </w:tc>
        <w:tc>
          <w:tcPr>
            <w:tcW w:w="1620" w:type="dxa"/>
          </w:tcPr>
          <w:p w:rsidR="0028741C" w:rsidRPr="000A3201" w:rsidRDefault="0028741C" w:rsidP="009B0960">
            <w:pPr>
              <w:rPr>
                <w:sz w:val="22"/>
                <w:szCs w:val="22"/>
              </w:rPr>
            </w:pPr>
          </w:p>
        </w:tc>
        <w:tc>
          <w:tcPr>
            <w:tcW w:w="1535" w:type="dxa"/>
          </w:tcPr>
          <w:p w:rsidR="0028741C" w:rsidRPr="000A3201" w:rsidRDefault="0028741C" w:rsidP="009B0960">
            <w:pPr>
              <w:tabs>
                <w:tab w:val="num" w:pos="432"/>
              </w:tabs>
              <w:rPr>
                <w:sz w:val="22"/>
                <w:szCs w:val="22"/>
              </w:rPr>
            </w:pPr>
          </w:p>
        </w:tc>
        <w:tc>
          <w:tcPr>
            <w:tcW w:w="2065" w:type="dxa"/>
          </w:tcPr>
          <w:p w:rsidR="00327A1C" w:rsidRDefault="00FA749A" w:rsidP="00FA749A">
            <w:pPr>
              <w:numPr>
                <w:ilvl w:val="0"/>
                <w:numId w:val="23"/>
              </w:numPr>
              <w:tabs>
                <w:tab w:val="clear" w:pos="720"/>
                <w:tab w:val="num" w:pos="72"/>
              </w:tabs>
              <w:ind w:left="72" w:hanging="180"/>
              <w:rPr>
                <w:sz w:val="22"/>
                <w:szCs w:val="22"/>
              </w:rPr>
            </w:pPr>
            <w:r w:rsidRPr="000A3201">
              <w:rPr>
                <w:sz w:val="22"/>
                <w:szCs w:val="22"/>
              </w:rPr>
              <w:t>Υπνοβασία</w:t>
            </w:r>
          </w:p>
          <w:p w:rsidR="00327A1C" w:rsidRDefault="00D13B55" w:rsidP="00FA749A">
            <w:pPr>
              <w:numPr>
                <w:ilvl w:val="0"/>
                <w:numId w:val="23"/>
              </w:numPr>
              <w:tabs>
                <w:tab w:val="clear" w:pos="720"/>
                <w:tab w:val="num" w:pos="72"/>
              </w:tabs>
              <w:ind w:left="72" w:hanging="180"/>
              <w:rPr>
                <w:sz w:val="22"/>
                <w:szCs w:val="22"/>
              </w:rPr>
            </w:pPr>
            <w:r>
              <w:rPr>
                <w:sz w:val="22"/>
                <w:szCs w:val="22"/>
              </w:rPr>
              <w:t>Γενικευμένο οίδημα</w:t>
            </w:r>
          </w:p>
          <w:p w:rsidR="00C369FF" w:rsidRDefault="00D13B55">
            <w:pPr>
              <w:numPr>
                <w:ilvl w:val="0"/>
                <w:numId w:val="23"/>
              </w:numPr>
              <w:tabs>
                <w:tab w:val="clear" w:pos="720"/>
                <w:tab w:val="num" w:pos="72"/>
              </w:tabs>
              <w:ind w:left="72" w:hanging="180"/>
              <w:rPr>
                <w:sz w:val="22"/>
                <w:szCs w:val="22"/>
              </w:rPr>
            </w:pPr>
            <w:r>
              <w:rPr>
                <w:sz w:val="22"/>
                <w:szCs w:val="22"/>
              </w:rPr>
              <w:t>Εντοπισμένο οίδημα</w:t>
            </w:r>
            <w:r w:rsidR="00FA749A" w:rsidRPr="000A3201">
              <w:rPr>
                <w:sz w:val="22"/>
                <w:szCs w:val="22"/>
              </w:rPr>
              <w:t xml:space="preserve"> </w:t>
            </w:r>
          </w:p>
        </w:tc>
      </w:tr>
      <w:tr w:rsidR="00815399" w:rsidRPr="000A3201">
        <w:tc>
          <w:tcPr>
            <w:tcW w:w="1620" w:type="dxa"/>
          </w:tcPr>
          <w:p w:rsidR="00815399" w:rsidRPr="000A3201" w:rsidRDefault="00815399" w:rsidP="00F53FE5">
            <w:pPr>
              <w:rPr>
                <w:sz w:val="22"/>
                <w:szCs w:val="22"/>
              </w:rPr>
            </w:pPr>
            <w:commentRangeStart w:id="10"/>
            <w:r>
              <w:rPr>
                <w:sz w:val="22"/>
                <w:szCs w:val="22"/>
              </w:rPr>
              <w:t>Παρακλινικές εξετάσεις</w:t>
            </w:r>
          </w:p>
        </w:tc>
        <w:tc>
          <w:tcPr>
            <w:tcW w:w="1620" w:type="dxa"/>
          </w:tcPr>
          <w:p w:rsidR="00815399" w:rsidRPr="000A3201" w:rsidRDefault="00815399" w:rsidP="009B0960">
            <w:pPr>
              <w:tabs>
                <w:tab w:val="num" w:pos="432"/>
              </w:tabs>
              <w:rPr>
                <w:sz w:val="22"/>
                <w:szCs w:val="22"/>
              </w:rPr>
            </w:pPr>
          </w:p>
        </w:tc>
        <w:tc>
          <w:tcPr>
            <w:tcW w:w="1620" w:type="dxa"/>
          </w:tcPr>
          <w:p w:rsidR="00815399" w:rsidRPr="000A3201" w:rsidRDefault="00815399" w:rsidP="00815399">
            <w:pPr>
              <w:ind w:left="131"/>
              <w:rPr>
                <w:sz w:val="22"/>
                <w:szCs w:val="22"/>
              </w:rPr>
            </w:pPr>
          </w:p>
        </w:tc>
        <w:tc>
          <w:tcPr>
            <w:tcW w:w="1620" w:type="dxa"/>
          </w:tcPr>
          <w:p w:rsidR="00815399" w:rsidRPr="000A3201" w:rsidRDefault="00815399" w:rsidP="009B0960">
            <w:pPr>
              <w:rPr>
                <w:sz w:val="22"/>
                <w:szCs w:val="22"/>
              </w:rPr>
            </w:pPr>
          </w:p>
        </w:tc>
        <w:tc>
          <w:tcPr>
            <w:tcW w:w="1535" w:type="dxa"/>
          </w:tcPr>
          <w:p w:rsidR="00815399" w:rsidRPr="000A3201" w:rsidRDefault="00815399" w:rsidP="009B0960">
            <w:pPr>
              <w:tabs>
                <w:tab w:val="num" w:pos="432"/>
              </w:tabs>
              <w:rPr>
                <w:sz w:val="22"/>
                <w:szCs w:val="22"/>
              </w:rPr>
            </w:pPr>
          </w:p>
        </w:tc>
        <w:tc>
          <w:tcPr>
            <w:tcW w:w="2065" w:type="dxa"/>
          </w:tcPr>
          <w:p w:rsidR="00815399" w:rsidRPr="000A3201" w:rsidRDefault="00815399" w:rsidP="00FA749A">
            <w:pPr>
              <w:numPr>
                <w:ilvl w:val="0"/>
                <w:numId w:val="23"/>
              </w:numPr>
              <w:tabs>
                <w:tab w:val="clear" w:pos="720"/>
                <w:tab w:val="num" w:pos="72"/>
              </w:tabs>
              <w:ind w:left="72" w:hanging="180"/>
              <w:rPr>
                <w:sz w:val="22"/>
                <w:szCs w:val="22"/>
              </w:rPr>
            </w:pPr>
            <w:r>
              <w:rPr>
                <w:sz w:val="22"/>
                <w:szCs w:val="22"/>
              </w:rPr>
              <w:t>Αυξημένη κινάση κρεατινίνης</w:t>
            </w:r>
            <w:commentRangeEnd w:id="10"/>
            <w:r>
              <w:rPr>
                <w:rStyle w:val="aa"/>
              </w:rPr>
              <w:commentReference w:id="10"/>
            </w:r>
          </w:p>
        </w:tc>
      </w:tr>
    </w:tbl>
    <w:p w:rsidR="00C369FF" w:rsidRDefault="00AD5E88">
      <w:pPr>
        <w:widowControl w:val="0"/>
        <w:autoSpaceDE w:val="0"/>
        <w:autoSpaceDN w:val="0"/>
        <w:adjustRightInd w:val="0"/>
        <w:ind w:left="567"/>
        <w:rPr>
          <w:sz w:val="22"/>
          <w:szCs w:val="22"/>
        </w:rPr>
      </w:pPr>
      <w:r w:rsidRPr="00AD5E88">
        <w:rPr>
          <w:sz w:val="22"/>
          <w:szCs w:val="22"/>
          <w:vertAlign w:val="superscript"/>
        </w:rPr>
        <w:t>1.</w:t>
      </w:r>
      <w:r w:rsidR="00A04904" w:rsidRPr="000A3201">
        <w:rPr>
          <w:sz w:val="22"/>
          <w:szCs w:val="22"/>
        </w:rPr>
        <w:t xml:space="preserve"> </w:t>
      </w:r>
      <w:r w:rsidR="000A0C36" w:rsidRPr="000A3201">
        <w:rPr>
          <w:sz w:val="22"/>
          <w:szCs w:val="22"/>
        </w:rPr>
        <w:t xml:space="preserve">Στις κλινικές μελέτες αυτά τα συμβάντα </w:t>
      </w:r>
      <w:r w:rsidR="00AA532B" w:rsidRPr="000A3201">
        <w:rPr>
          <w:sz w:val="22"/>
          <w:szCs w:val="22"/>
        </w:rPr>
        <w:t xml:space="preserve">παρουσιάστηκαν </w:t>
      </w:r>
      <w:r w:rsidR="000A0C36" w:rsidRPr="000A3201">
        <w:rPr>
          <w:sz w:val="22"/>
          <w:szCs w:val="22"/>
        </w:rPr>
        <w:t xml:space="preserve">σε στατιστικώς σημαντικό βαθμό </w:t>
      </w:r>
      <w:r w:rsidR="0094479D" w:rsidRPr="000A3201">
        <w:rPr>
          <w:sz w:val="22"/>
          <w:szCs w:val="22"/>
        </w:rPr>
        <w:t>συχνότερα κατά τη θεραπεία με τη μιρταζ</w:t>
      </w:r>
      <w:r w:rsidR="00CA75FC" w:rsidRPr="000A3201">
        <w:rPr>
          <w:sz w:val="22"/>
          <w:szCs w:val="22"/>
        </w:rPr>
        <w:t>α</w:t>
      </w:r>
      <w:r w:rsidR="0094479D" w:rsidRPr="000A3201">
        <w:rPr>
          <w:sz w:val="22"/>
          <w:szCs w:val="22"/>
        </w:rPr>
        <w:t>πίνη</w:t>
      </w:r>
      <w:r w:rsidR="000A0C36" w:rsidRPr="000A3201">
        <w:rPr>
          <w:sz w:val="22"/>
          <w:szCs w:val="22"/>
        </w:rPr>
        <w:t xml:space="preserve"> απ’</w:t>
      </w:r>
      <w:r w:rsidR="00945674" w:rsidRPr="000A3201">
        <w:rPr>
          <w:sz w:val="22"/>
          <w:szCs w:val="22"/>
        </w:rPr>
        <w:t xml:space="preserve"> </w:t>
      </w:r>
      <w:r w:rsidR="00AA532B" w:rsidRPr="000A3201">
        <w:rPr>
          <w:sz w:val="22"/>
          <w:szCs w:val="22"/>
        </w:rPr>
        <w:t>ότι με το εικονικό φάρμακο.</w:t>
      </w:r>
    </w:p>
    <w:p w:rsidR="00C369FF" w:rsidRDefault="00AD5E88">
      <w:pPr>
        <w:widowControl w:val="0"/>
        <w:autoSpaceDE w:val="0"/>
        <w:autoSpaceDN w:val="0"/>
        <w:adjustRightInd w:val="0"/>
        <w:ind w:left="567"/>
        <w:rPr>
          <w:sz w:val="22"/>
          <w:szCs w:val="22"/>
        </w:rPr>
      </w:pPr>
      <w:r w:rsidRPr="00AD5E88">
        <w:rPr>
          <w:sz w:val="22"/>
          <w:szCs w:val="22"/>
          <w:vertAlign w:val="superscript"/>
        </w:rPr>
        <w:t>2.</w:t>
      </w:r>
      <w:r w:rsidR="00327A1C">
        <w:rPr>
          <w:sz w:val="22"/>
          <w:szCs w:val="22"/>
        </w:rPr>
        <w:t xml:space="preserve"> </w:t>
      </w:r>
      <w:r w:rsidR="00AA532B" w:rsidRPr="000A3201">
        <w:rPr>
          <w:sz w:val="22"/>
          <w:szCs w:val="22"/>
        </w:rPr>
        <w:t xml:space="preserve">Στις κλινικές μελέτες </w:t>
      </w:r>
      <w:r w:rsidR="000A0C36" w:rsidRPr="000A3201">
        <w:rPr>
          <w:sz w:val="22"/>
          <w:szCs w:val="22"/>
        </w:rPr>
        <w:t xml:space="preserve">αυτά τα συμβάντα παρουσιάστηκαν </w:t>
      </w:r>
      <w:r w:rsidR="00AA532B" w:rsidRPr="000A3201">
        <w:rPr>
          <w:sz w:val="22"/>
          <w:szCs w:val="22"/>
        </w:rPr>
        <w:t xml:space="preserve">συχνότερα κατά τη θεραπεία με </w:t>
      </w:r>
      <w:r w:rsidR="0094479D" w:rsidRPr="000A3201">
        <w:rPr>
          <w:sz w:val="22"/>
          <w:szCs w:val="22"/>
        </w:rPr>
        <w:t>τ</w:t>
      </w:r>
      <w:r w:rsidR="00485E86" w:rsidRPr="000A3201">
        <w:rPr>
          <w:sz w:val="22"/>
          <w:szCs w:val="22"/>
        </w:rPr>
        <w:t>ο</w:t>
      </w:r>
      <w:r w:rsidR="0094479D" w:rsidRPr="000A3201">
        <w:rPr>
          <w:sz w:val="22"/>
          <w:szCs w:val="22"/>
        </w:rPr>
        <w:t xml:space="preserve"> </w:t>
      </w:r>
      <w:r w:rsidR="00485E86" w:rsidRPr="000A3201">
        <w:rPr>
          <w:sz w:val="22"/>
          <w:szCs w:val="22"/>
        </w:rPr>
        <w:t>εικονικό φάρμακο</w:t>
      </w:r>
      <w:r w:rsidR="0094479D" w:rsidRPr="000A3201">
        <w:rPr>
          <w:sz w:val="22"/>
          <w:szCs w:val="22"/>
        </w:rPr>
        <w:t xml:space="preserve"> </w:t>
      </w:r>
      <w:r w:rsidR="000A0C36" w:rsidRPr="000A3201">
        <w:rPr>
          <w:sz w:val="22"/>
          <w:szCs w:val="22"/>
        </w:rPr>
        <w:t>απ’</w:t>
      </w:r>
      <w:r w:rsidR="000156CC" w:rsidRPr="000A3201">
        <w:rPr>
          <w:sz w:val="22"/>
          <w:szCs w:val="22"/>
        </w:rPr>
        <w:t xml:space="preserve"> </w:t>
      </w:r>
      <w:r w:rsidR="00AA532B" w:rsidRPr="000A3201">
        <w:rPr>
          <w:sz w:val="22"/>
          <w:szCs w:val="22"/>
        </w:rPr>
        <w:t>ότι με τ</w:t>
      </w:r>
      <w:r w:rsidR="00485E86" w:rsidRPr="000A3201">
        <w:rPr>
          <w:sz w:val="22"/>
          <w:szCs w:val="22"/>
        </w:rPr>
        <w:t>η</w:t>
      </w:r>
      <w:r w:rsidR="00AA532B" w:rsidRPr="000A3201">
        <w:rPr>
          <w:sz w:val="22"/>
          <w:szCs w:val="22"/>
        </w:rPr>
        <w:t xml:space="preserve"> </w:t>
      </w:r>
      <w:r w:rsidR="00485E86" w:rsidRPr="000A3201">
        <w:rPr>
          <w:sz w:val="22"/>
          <w:szCs w:val="22"/>
        </w:rPr>
        <w:t>μιρταζαπίνη</w:t>
      </w:r>
      <w:r w:rsidR="00AA532B" w:rsidRPr="000A3201">
        <w:rPr>
          <w:sz w:val="22"/>
          <w:szCs w:val="22"/>
        </w:rPr>
        <w:t xml:space="preserve">, όχι όμως </w:t>
      </w:r>
      <w:r w:rsidR="00945674" w:rsidRPr="000A3201">
        <w:rPr>
          <w:sz w:val="22"/>
          <w:szCs w:val="22"/>
        </w:rPr>
        <w:t xml:space="preserve">συχνότερα </w:t>
      </w:r>
      <w:r w:rsidR="000A0C36" w:rsidRPr="000A3201">
        <w:rPr>
          <w:sz w:val="22"/>
          <w:szCs w:val="22"/>
        </w:rPr>
        <w:t>σε στατιστικώς σημαντικό βαθμό</w:t>
      </w:r>
      <w:r w:rsidR="008B7A30" w:rsidRPr="000A3201">
        <w:rPr>
          <w:sz w:val="22"/>
          <w:szCs w:val="22"/>
        </w:rPr>
        <w:t>.</w:t>
      </w:r>
    </w:p>
    <w:p w:rsidR="00C369FF" w:rsidRDefault="00C369FF">
      <w:pPr>
        <w:widowControl w:val="0"/>
        <w:autoSpaceDE w:val="0"/>
        <w:autoSpaceDN w:val="0"/>
        <w:adjustRightInd w:val="0"/>
        <w:ind w:left="567"/>
        <w:rPr>
          <w:sz w:val="22"/>
          <w:szCs w:val="22"/>
        </w:rPr>
      </w:pPr>
      <w:r w:rsidRPr="00AA1AB4">
        <w:rPr>
          <w:sz w:val="22"/>
          <w:szCs w:val="22"/>
          <w:vertAlign w:val="superscript"/>
        </w:rPr>
        <w:t>3.</w:t>
      </w:r>
      <w:r w:rsidR="008B7A30" w:rsidRPr="000A3201">
        <w:rPr>
          <w:sz w:val="22"/>
          <w:szCs w:val="22"/>
        </w:rPr>
        <w:t xml:space="preserve"> </w:t>
      </w:r>
      <w:r w:rsidR="00AA532B" w:rsidRPr="000A3201">
        <w:rPr>
          <w:sz w:val="22"/>
          <w:szCs w:val="22"/>
        </w:rPr>
        <w:t xml:space="preserve">Στις κλινικές μελέτες </w:t>
      </w:r>
      <w:r w:rsidR="000A0C36" w:rsidRPr="000A3201">
        <w:rPr>
          <w:sz w:val="22"/>
          <w:szCs w:val="22"/>
        </w:rPr>
        <w:t xml:space="preserve">αυτά τα συμβάντα παρουσιάστηκαν σε στατιστικώς σημαντικό βαθμό </w:t>
      </w:r>
      <w:r w:rsidR="00AA532B" w:rsidRPr="000A3201">
        <w:rPr>
          <w:sz w:val="22"/>
          <w:szCs w:val="22"/>
        </w:rPr>
        <w:t>συχνότερα κατά τη θεραπεία με τ</w:t>
      </w:r>
      <w:r w:rsidR="000A0C36" w:rsidRPr="000A3201">
        <w:rPr>
          <w:sz w:val="22"/>
          <w:szCs w:val="22"/>
        </w:rPr>
        <w:t>ο εικονικό φάρμακο απ’ ό</w:t>
      </w:r>
      <w:r w:rsidR="001D0BB1" w:rsidRPr="000A3201">
        <w:rPr>
          <w:sz w:val="22"/>
          <w:szCs w:val="22"/>
        </w:rPr>
        <w:t>τι με τη μιρταζαπίνη</w:t>
      </w:r>
      <w:r w:rsidR="00AA532B" w:rsidRPr="000A3201">
        <w:rPr>
          <w:sz w:val="22"/>
          <w:szCs w:val="22"/>
        </w:rPr>
        <w:t>.</w:t>
      </w:r>
    </w:p>
    <w:p w:rsidR="00C369FF" w:rsidRDefault="00C369FF">
      <w:pPr>
        <w:widowControl w:val="0"/>
        <w:autoSpaceDE w:val="0"/>
        <w:autoSpaceDN w:val="0"/>
        <w:adjustRightInd w:val="0"/>
        <w:ind w:left="567"/>
        <w:rPr>
          <w:sz w:val="22"/>
          <w:szCs w:val="22"/>
        </w:rPr>
      </w:pPr>
      <w:r w:rsidRPr="00AA1AB4">
        <w:rPr>
          <w:sz w:val="22"/>
          <w:szCs w:val="22"/>
          <w:vertAlign w:val="superscript"/>
        </w:rPr>
        <w:t>4.</w:t>
      </w:r>
      <w:r w:rsidR="00AA532B" w:rsidRPr="000A3201">
        <w:rPr>
          <w:color w:val="000000"/>
          <w:sz w:val="22"/>
          <w:szCs w:val="22"/>
        </w:rPr>
        <w:t xml:space="preserve"> </w:t>
      </w:r>
      <w:r w:rsidR="00AA532B" w:rsidRPr="000A3201">
        <w:rPr>
          <w:sz w:val="22"/>
          <w:szCs w:val="22"/>
        </w:rPr>
        <w:t>Σημείωση: η μείωση της δόση</w:t>
      </w:r>
      <w:r w:rsidR="000A0C36" w:rsidRPr="000A3201">
        <w:rPr>
          <w:sz w:val="22"/>
          <w:szCs w:val="22"/>
        </w:rPr>
        <w:t xml:space="preserve">ς γενικά δεν οδηγεί σε μειωμένη </w:t>
      </w:r>
      <w:r w:rsidR="00AA532B" w:rsidRPr="000A3201">
        <w:rPr>
          <w:sz w:val="22"/>
          <w:szCs w:val="22"/>
        </w:rPr>
        <w:t>υπνηλία/ καταστολή αλλά μπορεί να θέσει σε κίνδυνο την αποτελεσματικότητα</w:t>
      </w:r>
      <w:r w:rsidR="000A0C36" w:rsidRPr="000A3201">
        <w:rPr>
          <w:sz w:val="22"/>
          <w:szCs w:val="22"/>
        </w:rPr>
        <w:t xml:space="preserve"> του αντικαταθλιπτικού</w:t>
      </w:r>
      <w:r w:rsidR="008B7A30" w:rsidRPr="000A3201">
        <w:rPr>
          <w:sz w:val="22"/>
          <w:szCs w:val="22"/>
        </w:rPr>
        <w:t>.</w:t>
      </w:r>
    </w:p>
    <w:p w:rsidR="00C369FF" w:rsidRDefault="00C369FF">
      <w:pPr>
        <w:widowControl w:val="0"/>
        <w:autoSpaceDE w:val="0"/>
        <w:autoSpaceDN w:val="0"/>
        <w:adjustRightInd w:val="0"/>
        <w:ind w:left="567"/>
        <w:rPr>
          <w:sz w:val="22"/>
          <w:szCs w:val="22"/>
        </w:rPr>
      </w:pPr>
      <w:r w:rsidRPr="00AA1AB4">
        <w:rPr>
          <w:sz w:val="22"/>
          <w:szCs w:val="22"/>
          <w:vertAlign w:val="superscript"/>
        </w:rPr>
        <w:t>5.</w:t>
      </w:r>
      <w:r w:rsidR="008B7A30" w:rsidRPr="000A3201">
        <w:rPr>
          <w:sz w:val="22"/>
          <w:szCs w:val="22"/>
        </w:rPr>
        <w:t xml:space="preserve"> </w:t>
      </w:r>
      <w:r w:rsidR="00865444" w:rsidRPr="000A3201">
        <w:rPr>
          <w:sz w:val="22"/>
          <w:szCs w:val="22"/>
        </w:rPr>
        <w:t>Γενικά κατά τη θεραπεία με αντικαταθλιπτικά</w:t>
      </w:r>
      <w:r w:rsidR="000A0C36" w:rsidRPr="000A3201">
        <w:rPr>
          <w:sz w:val="22"/>
          <w:szCs w:val="22"/>
        </w:rPr>
        <w:t>,</w:t>
      </w:r>
      <w:r w:rsidR="00865444" w:rsidRPr="000A3201">
        <w:rPr>
          <w:sz w:val="22"/>
          <w:szCs w:val="22"/>
        </w:rPr>
        <w:t xml:space="preserve"> μπορεί να παρουσιαστούν ή να επιδεινωθούν το άγχος και η αϋπνία (τα οποία μπορεί να είναι συμπτώματα της κατάθλιψης). Κατά τη θεραπεία με τη μιρταζαπίνη, αναφέρθηκε εμφάνιση ή επιδείνωση του άγχους και της αϋπνίας. </w:t>
      </w:r>
    </w:p>
    <w:p w:rsidR="00C369FF" w:rsidRDefault="00C369FF">
      <w:pPr>
        <w:widowControl w:val="0"/>
        <w:autoSpaceDE w:val="0"/>
        <w:autoSpaceDN w:val="0"/>
        <w:adjustRightInd w:val="0"/>
        <w:ind w:left="567"/>
        <w:rPr>
          <w:sz w:val="22"/>
          <w:szCs w:val="22"/>
        </w:rPr>
      </w:pPr>
      <w:r w:rsidRPr="00AA1AB4">
        <w:rPr>
          <w:sz w:val="22"/>
          <w:szCs w:val="22"/>
          <w:vertAlign w:val="superscript"/>
        </w:rPr>
        <w:t>6.</w:t>
      </w:r>
      <w:r w:rsidR="008B7A30" w:rsidRPr="000A3201">
        <w:rPr>
          <w:sz w:val="22"/>
          <w:szCs w:val="22"/>
        </w:rPr>
        <w:t xml:space="preserve"> </w:t>
      </w:r>
      <w:r w:rsidR="00865444" w:rsidRPr="000A3201">
        <w:rPr>
          <w:sz w:val="22"/>
          <w:szCs w:val="22"/>
        </w:rPr>
        <w:t>Κατά τη διάρκεια της θεραπευτικής αγωγής της μιρταζαπίνης ή λίγο μετά από τη διακοπή της θεραπείας έχουν αναφερθεί περιστατικά αυτοκτονικού ιδεασμού και αυτοκτονική συμπεριφορά (βλ</w:t>
      </w:r>
      <w:r w:rsidR="00CA75FC" w:rsidRPr="000A3201">
        <w:rPr>
          <w:sz w:val="22"/>
          <w:szCs w:val="22"/>
        </w:rPr>
        <w:t>.</w:t>
      </w:r>
      <w:r w:rsidR="00865444" w:rsidRPr="000A3201">
        <w:rPr>
          <w:sz w:val="22"/>
          <w:szCs w:val="22"/>
        </w:rPr>
        <w:t xml:space="preserve"> παράγραφο 4.4).</w:t>
      </w:r>
    </w:p>
    <w:p w:rsidR="00C369FF" w:rsidRDefault="00C369FF">
      <w:pPr>
        <w:widowControl w:val="0"/>
        <w:autoSpaceDE w:val="0"/>
        <w:autoSpaceDN w:val="0"/>
        <w:adjustRightInd w:val="0"/>
        <w:ind w:left="567"/>
        <w:rPr>
          <w:sz w:val="22"/>
          <w:szCs w:val="22"/>
        </w:rPr>
      </w:pPr>
    </w:p>
    <w:p w:rsidR="00C369FF" w:rsidRDefault="000A0C36">
      <w:pPr>
        <w:widowControl w:val="0"/>
        <w:autoSpaceDE w:val="0"/>
        <w:autoSpaceDN w:val="0"/>
        <w:adjustRightInd w:val="0"/>
        <w:ind w:left="567"/>
        <w:rPr>
          <w:sz w:val="22"/>
          <w:szCs w:val="22"/>
        </w:rPr>
      </w:pPr>
      <w:r w:rsidRPr="000A3201">
        <w:rPr>
          <w:sz w:val="22"/>
          <w:szCs w:val="22"/>
        </w:rPr>
        <w:t>Σε εργαστηριακές εξετάσεις σε</w:t>
      </w:r>
      <w:r w:rsidR="002731FE" w:rsidRPr="000A3201">
        <w:rPr>
          <w:sz w:val="22"/>
          <w:szCs w:val="22"/>
        </w:rPr>
        <w:t xml:space="preserve"> κλινικές μελέτες</w:t>
      </w:r>
      <w:r w:rsidRPr="000A3201">
        <w:rPr>
          <w:sz w:val="22"/>
          <w:szCs w:val="22"/>
        </w:rPr>
        <w:t>,</w:t>
      </w:r>
      <w:r w:rsidR="002731FE" w:rsidRPr="000A3201">
        <w:rPr>
          <w:sz w:val="22"/>
          <w:szCs w:val="22"/>
        </w:rPr>
        <w:t xml:space="preserve"> παρατηρήθηκαν παροδικές αυξήσεις σ</w:t>
      </w:r>
      <w:r w:rsidR="00500DB5" w:rsidRPr="000A3201">
        <w:rPr>
          <w:sz w:val="22"/>
          <w:szCs w:val="22"/>
        </w:rPr>
        <w:t>τις τρανσαμινάσες και στην γ</w:t>
      </w:r>
      <w:r w:rsidR="002731FE" w:rsidRPr="000A3201">
        <w:rPr>
          <w:sz w:val="22"/>
          <w:szCs w:val="22"/>
        </w:rPr>
        <w:t>-γλουταμυλτ</w:t>
      </w:r>
      <w:r w:rsidR="00500DB5" w:rsidRPr="000A3201">
        <w:rPr>
          <w:sz w:val="22"/>
          <w:szCs w:val="22"/>
        </w:rPr>
        <w:t xml:space="preserve">ρανσφεράση (ωστόσο σχετιζόμενα ανεπιθύμητα συμβάντα </w:t>
      </w:r>
      <w:r w:rsidR="002731FE" w:rsidRPr="000A3201">
        <w:rPr>
          <w:sz w:val="22"/>
          <w:szCs w:val="22"/>
        </w:rPr>
        <w:t xml:space="preserve">δεν έχουν αναφερθεί </w:t>
      </w:r>
      <w:r w:rsidR="00500DB5" w:rsidRPr="000A3201">
        <w:rPr>
          <w:sz w:val="22"/>
          <w:szCs w:val="22"/>
        </w:rPr>
        <w:t>σε στατιστικώς σημαντικό βαθμό</w:t>
      </w:r>
      <w:r w:rsidR="001D0BB1" w:rsidRPr="000A3201">
        <w:rPr>
          <w:sz w:val="22"/>
          <w:szCs w:val="22"/>
        </w:rPr>
        <w:t xml:space="preserve"> συχνότερα με τη μιρταζαπίνη</w:t>
      </w:r>
      <w:r w:rsidR="002731FE" w:rsidRPr="000A3201">
        <w:rPr>
          <w:sz w:val="22"/>
          <w:szCs w:val="22"/>
        </w:rPr>
        <w:t xml:space="preserve"> </w:t>
      </w:r>
      <w:r w:rsidR="00500DB5" w:rsidRPr="000A3201">
        <w:rPr>
          <w:sz w:val="22"/>
          <w:szCs w:val="22"/>
        </w:rPr>
        <w:t xml:space="preserve">απ’ </w:t>
      </w:r>
      <w:r w:rsidR="002731FE" w:rsidRPr="000A3201">
        <w:rPr>
          <w:sz w:val="22"/>
          <w:szCs w:val="22"/>
        </w:rPr>
        <w:t>ότι με το εικονικό φάρμακο)</w:t>
      </w:r>
      <w:r w:rsidR="008B7A30" w:rsidRPr="000A3201">
        <w:rPr>
          <w:sz w:val="22"/>
          <w:szCs w:val="22"/>
        </w:rPr>
        <w:t>.</w:t>
      </w:r>
    </w:p>
    <w:p w:rsidR="00C369FF" w:rsidRDefault="00C369FF">
      <w:pPr>
        <w:widowControl w:val="0"/>
        <w:autoSpaceDE w:val="0"/>
        <w:autoSpaceDN w:val="0"/>
        <w:adjustRightInd w:val="0"/>
        <w:ind w:left="567"/>
        <w:rPr>
          <w:sz w:val="22"/>
          <w:szCs w:val="22"/>
        </w:rPr>
      </w:pPr>
    </w:p>
    <w:p w:rsidR="00C369FF" w:rsidRPr="00AA1AB4" w:rsidRDefault="00C369FF">
      <w:pPr>
        <w:widowControl w:val="0"/>
        <w:autoSpaceDE w:val="0"/>
        <w:autoSpaceDN w:val="0"/>
        <w:adjustRightInd w:val="0"/>
        <w:ind w:left="567"/>
        <w:rPr>
          <w:sz w:val="22"/>
          <w:szCs w:val="22"/>
          <w:u w:val="single"/>
        </w:rPr>
      </w:pPr>
      <w:r w:rsidRPr="00AA1AB4">
        <w:rPr>
          <w:sz w:val="22"/>
          <w:szCs w:val="22"/>
          <w:u w:val="single"/>
        </w:rPr>
        <w:t>Παιδιατρικός πληθυσμός</w:t>
      </w:r>
    </w:p>
    <w:p w:rsidR="00C369FF" w:rsidRDefault="001556CD">
      <w:pPr>
        <w:widowControl w:val="0"/>
        <w:autoSpaceDE w:val="0"/>
        <w:autoSpaceDN w:val="0"/>
        <w:adjustRightInd w:val="0"/>
        <w:ind w:left="567"/>
        <w:rPr>
          <w:sz w:val="22"/>
          <w:szCs w:val="22"/>
        </w:rPr>
      </w:pPr>
      <w:r w:rsidRPr="000A3201">
        <w:rPr>
          <w:sz w:val="22"/>
          <w:szCs w:val="22"/>
        </w:rPr>
        <w:t>Τα ακόλουθα ανεπιθύμητα συμβάντα έχουν παρατηρηθεί συχνά σε κλινικές μελέτες που έγιναν σε παιδιά: αύξηση σωματικού βάρους, κνίδωση και υπερτριγλυκεριδαιμία (βλ</w:t>
      </w:r>
      <w:r w:rsidR="00CA75FC" w:rsidRPr="000A3201">
        <w:rPr>
          <w:sz w:val="22"/>
          <w:szCs w:val="22"/>
        </w:rPr>
        <w:t>.</w:t>
      </w:r>
      <w:r w:rsidRPr="000A3201">
        <w:rPr>
          <w:sz w:val="22"/>
          <w:szCs w:val="22"/>
        </w:rPr>
        <w:t xml:space="preserve"> επίσης παράγραφο </w:t>
      </w:r>
      <w:r w:rsidR="008B7A30" w:rsidRPr="000A3201">
        <w:rPr>
          <w:sz w:val="22"/>
          <w:szCs w:val="22"/>
        </w:rPr>
        <w:t>5.1).</w:t>
      </w:r>
    </w:p>
    <w:p w:rsidR="0079359A" w:rsidRPr="000A3201" w:rsidRDefault="0079359A" w:rsidP="008B7A30">
      <w:pPr>
        <w:widowControl w:val="0"/>
        <w:autoSpaceDE w:val="0"/>
        <w:autoSpaceDN w:val="0"/>
        <w:adjustRightInd w:val="0"/>
        <w:spacing w:line="292" w:lineRule="atLeast"/>
        <w:ind w:left="567"/>
        <w:rPr>
          <w:sz w:val="22"/>
          <w:szCs w:val="22"/>
        </w:rPr>
      </w:pPr>
    </w:p>
    <w:p w:rsidR="0079359A" w:rsidRPr="000A3201" w:rsidRDefault="0079359A" w:rsidP="00327A1C">
      <w:pPr>
        <w:ind w:left="567"/>
        <w:rPr>
          <w:sz w:val="22"/>
          <w:szCs w:val="22"/>
          <w:u w:val="single"/>
        </w:rPr>
      </w:pPr>
      <w:r w:rsidRPr="000A3201">
        <w:rPr>
          <w:sz w:val="22"/>
          <w:szCs w:val="22"/>
          <w:u w:val="single"/>
        </w:rPr>
        <w:t>Αναφορά πιθανολογούμενων ανεπιθύμητων ενεργειών</w:t>
      </w:r>
    </w:p>
    <w:p w:rsidR="0079359A" w:rsidRPr="000A3201" w:rsidRDefault="0079359A" w:rsidP="00327A1C">
      <w:pPr>
        <w:ind w:left="567"/>
        <w:rPr>
          <w:sz w:val="22"/>
          <w:szCs w:val="22"/>
        </w:rPr>
      </w:pPr>
      <w:r w:rsidRPr="000A3201">
        <w:rPr>
          <w:sz w:val="22"/>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μέσω του εθνικού συστήματος αναφοράς: Εθνικός Οργανισμός Φαρμάκων, Μεσογείων 284, GR-15562 Χολαργός, Αθήνα. Τηλ: + 30 21 32040380/337, Φαξ: + 30 21 06549585, </w:t>
      </w:r>
      <w:proofErr w:type="spellStart"/>
      <w:r w:rsidRPr="000A3201">
        <w:rPr>
          <w:sz w:val="22"/>
          <w:szCs w:val="22"/>
        </w:rPr>
        <w:t>Ιστότοπος</w:t>
      </w:r>
      <w:proofErr w:type="spellEnd"/>
      <w:r w:rsidRPr="000A3201">
        <w:rPr>
          <w:sz w:val="22"/>
          <w:szCs w:val="22"/>
        </w:rPr>
        <w:t xml:space="preserve">: </w:t>
      </w:r>
      <w:hyperlink r:id="rId9" w:tooltip="blocked::http://www.eof.gr/" w:history="1">
        <w:r w:rsidRPr="000A3201">
          <w:rPr>
            <w:rStyle w:val="-"/>
            <w:sz w:val="22"/>
            <w:szCs w:val="22"/>
          </w:rPr>
          <w:t>http://www.eof.gr</w:t>
        </w:r>
      </w:hyperlink>
      <w:r w:rsidRPr="000A3201">
        <w:rPr>
          <w:sz w:val="22"/>
          <w:szCs w:val="22"/>
        </w:rPr>
        <w:t>.</w:t>
      </w:r>
    </w:p>
    <w:p w:rsidR="0079359A" w:rsidRPr="000A3201" w:rsidRDefault="0079359A" w:rsidP="00327A1C">
      <w:pPr>
        <w:widowControl w:val="0"/>
        <w:autoSpaceDE w:val="0"/>
        <w:autoSpaceDN w:val="0"/>
        <w:adjustRightInd w:val="0"/>
        <w:spacing w:line="292" w:lineRule="atLeast"/>
        <w:ind w:left="567"/>
        <w:rPr>
          <w:sz w:val="22"/>
          <w:szCs w:val="22"/>
        </w:rPr>
      </w:pPr>
    </w:p>
    <w:p w:rsidR="00865444" w:rsidRPr="000A3201" w:rsidRDefault="00865444" w:rsidP="00815399">
      <w:pPr>
        <w:numPr>
          <w:ilvl w:val="1"/>
          <w:numId w:val="1"/>
        </w:numPr>
        <w:tabs>
          <w:tab w:val="clear" w:pos="720"/>
          <w:tab w:val="num" w:pos="567"/>
        </w:tabs>
        <w:rPr>
          <w:b/>
          <w:bCs/>
          <w:sz w:val="22"/>
          <w:szCs w:val="22"/>
        </w:rPr>
      </w:pPr>
      <w:proofErr w:type="spellStart"/>
      <w:r w:rsidRPr="000A3201">
        <w:rPr>
          <w:b/>
          <w:bCs/>
          <w:sz w:val="22"/>
          <w:szCs w:val="22"/>
        </w:rPr>
        <w:t>Υπερδοσολογία</w:t>
      </w:r>
      <w:proofErr w:type="spellEnd"/>
    </w:p>
    <w:p w:rsidR="00865444" w:rsidRPr="000A3201" w:rsidRDefault="00865444" w:rsidP="00865444">
      <w:pPr>
        <w:rPr>
          <w:sz w:val="22"/>
          <w:szCs w:val="22"/>
        </w:rPr>
      </w:pPr>
    </w:p>
    <w:p w:rsidR="00865444" w:rsidRPr="000A3201" w:rsidRDefault="00865444" w:rsidP="00865444">
      <w:pPr>
        <w:widowControl w:val="0"/>
        <w:autoSpaceDE w:val="0"/>
        <w:autoSpaceDN w:val="0"/>
        <w:adjustRightInd w:val="0"/>
        <w:spacing w:line="264" w:lineRule="atLeast"/>
        <w:ind w:left="567"/>
        <w:rPr>
          <w:sz w:val="22"/>
          <w:szCs w:val="22"/>
        </w:rPr>
      </w:pPr>
      <w:r w:rsidRPr="000A3201">
        <w:rPr>
          <w:sz w:val="22"/>
          <w:szCs w:val="22"/>
        </w:rPr>
        <w:t>Η υπάρχουσα εμπειρία από την υπερδοσολογία μόνο μιρταζαπίνης δείχνει ότι τα συμπτώματα συνήθως είναι ήπια. Έχει αναφερθεί καταστολή του κεντρικού νευρικού συστήματος με αποπροσανατολισμό και παρατεταμένη καταστολή, συνοδευόμενα από ταχυκαρδία και ήπια υπέρταση ή υπόταση. Ωστόσο</w:t>
      </w:r>
      <w:r w:rsidR="00500DB5" w:rsidRPr="000A3201">
        <w:rPr>
          <w:sz w:val="22"/>
          <w:szCs w:val="22"/>
        </w:rPr>
        <w:t>,</w:t>
      </w:r>
      <w:r w:rsidRPr="000A3201">
        <w:rPr>
          <w:sz w:val="22"/>
          <w:szCs w:val="22"/>
        </w:rPr>
        <w:t xml:space="preserve"> υπάρχει πιθανότητα η έκβαση να είναι πιο σοβαρή (ακόμα και θανατηφόρος) αν ληφθούν δόσεις πολύ υψηλότερες από τη θεραπευτική δόση, ιδιαίτερα σε περίπτωση ταυτόχρονης υπερδοσολογίας διαφόρων φαρμάκων.</w:t>
      </w:r>
      <w:r w:rsidR="00327A1C">
        <w:rPr>
          <w:sz w:val="22"/>
          <w:szCs w:val="22"/>
        </w:rPr>
        <w:t xml:space="preserve"> </w:t>
      </w:r>
      <w:r w:rsidR="00C54610">
        <w:rPr>
          <w:sz w:val="22"/>
          <w:szCs w:val="22"/>
        </w:rPr>
        <w:t>Σε αυτά τα περιστατικά έχουν επίσης αναφερθεί παράταση του διαστήματος</w:t>
      </w:r>
      <w:r w:rsidR="00327A1C" w:rsidRPr="00AA1AB4">
        <w:rPr>
          <w:sz w:val="22"/>
          <w:szCs w:val="22"/>
        </w:rPr>
        <w:t xml:space="preserve"> </w:t>
      </w:r>
      <w:r w:rsidR="00327A1C" w:rsidRPr="007476FC">
        <w:rPr>
          <w:sz w:val="22"/>
          <w:szCs w:val="22"/>
          <w:lang w:val="en-US"/>
        </w:rPr>
        <w:t>QT</w:t>
      </w:r>
      <w:r w:rsidR="00C54610">
        <w:rPr>
          <w:sz w:val="22"/>
          <w:szCs w:val="22"/>
        </w:rPr>
        <w:t xml:space="preserve"> και κοιλιακή ταχυκαρδία δίκην ριπιδίου</w:t>
      </w:r>
      <w:r w:rsidR="00327A1C" w:rsidRPr="00AA1AB4">
        <w:rPr>
          <w:sz w:val="22"/>
          <w:szCs w:val="22"/>
        </w:rPr>
        <w:t xml:space="preserve"> </w:t>
      </w:r>
      <w:r w:rsidR="00C54610">
        <w:rPr>
          <w:sz w:val="22"/>
          <w:szCs w:val="22"/>
        </w:rPr>
        <w:t>(</w:t>
      </w:r>
      <w:r w:rsidR="00327A1C" w:rsidRPr="007476FC">
        <w:rPr>
          <w:sz w:val="22"/>
          <w:szCs w:val="22"/>
          <w:lang w:val="en-US"/>
        </w:rPr>
        <w:t>torsade</w:t>
      </w:r>
      <w:r w:rsidR="00327A1C" w:rsidRPr="00AA1AB4">
        <w:rPr>
          <w:sz w:val="22"/>
          <w:szCs w:val="22"/>
        </w:rPr>
        <w:t xml:space="preserve"> </w:t>
      </w:r>
      <w:r w:rsidR="00327A1C" w:rsidRPr="007476FC">
        <w:rPr>
          <w:sz w:val="22"/>
          <w:szCs w:val="22"/>
          <w:lang w:val="en-US"/>
        </w:rPr>
        <w:t>de</w:t>
      </w:r>
      <w:r w:rsidR="00327A1C" w:rsidRPr="00AA1AB4">
        <w:rPr>
          <w:sz w:val="22"/>
          <w:szCs w:val="22"/>
        </w:rPr>
        <w:t xml:space="preserve"> </w:t>
      </w:r>
      <w:r w:rsidR="00327A1C" w:rsidRPr="007476FC">
        <w:rPr>
          <w:sz w:val="22"/>
          <w:szCs w:val="22"/>
          <w:lang w:val="en-US"/>
        </w:rPr>
        <w:t>pointes</w:t>
      </w:r>
      <w:r w:rsidR="00C54610">
        <w:rPr>
          <w:sz w:val="22"/>
          <w:szCs w:val="22"/>
        </w:rPr>
        <w:t>)</w:t>
      </w:r>
      <w:r w:rsidR="00327A1C" w:rsidRPr="00AA1AB4">
        <w:rPr>
          <w:sz w:val="22"/>
          <w:szCs w:val="22"/>
        </w:rPr>
        <w:t>.</w:t>
      </w:r>
    </w:p>
    <w:p w:rsidR="00327A1C" w:rsidRDefault="00327A1C" w:rsidP="00865444">
      <w:pPr>
        <w:widowControl w:val="0"/>
        <w:autoSpaceDE w:val="0"/>
        <w:autoSpaceDN w:val="0"/>
        <w:adjustRightInd w:val="0"/>
        <w:spacing w:line="264" w:lineRule="atLeast"/>
        <w:ind w:left="567"/>
        <w:rPr>
          <w:sz w:val="22"/>
          <w:szCs w:val="22"/>
        </w:rPr>
      </w:pPr>
    </w:p>
    <w:p w:rsidR="00865444" w:rsidRPr="000A3201" w:rsidRDefault="002731FE" w:rsidP="00865444">
      <w:pPr>
        <w:widowControl w:val="0"/>
        <w:autoSpaceDE w:val="0"/>
        <w:autoSpaceDN w:val="0"/>
        <w:adjustRightInd w:val="0"/>
        <w:spacing w:line="264" w:lineRule="atLeast"/>
        <w:ind w:left="567"/>
        <w:rPr>
          <w:sz w:val="22"/>
          <w:szCs w:val="22"/>
        </w:rPr>
      </w:pPr>
      <w:r w:rsidRPr="000A3201">
        <w:rPr>
          <w:sz w:val="22"/>
          <w:szCs w:val="22"/>
        </w:rPr>
        <w:t>Σε περιπτώσεις υπερδοσολόγησης</w:t>
      </w:r>
      <w:r w:rsidR="00500DB5" w:rsidRPr="000A3201">
        <w:rPr>
          <w:sz w:val="22"/>
          <w:szCs w:val="22"/>
        </w:rPr>
        <w:t>,</w:t>
      </w:r>
      <w:r w:rsidRPr="000A3201">
        <w:rPr>
          <w:sz w:val="22"/>
          <w:szCs w:val="22"/>
        </w:rPr>
        <w:t xml:space="preserve"> θα πρέπει να χορηγείται κατάλληλη συμπτωματική και υποστηρικτική αγωγή των ζωτικών λειτουργιών. </w:t>
      </w:r>
      <w:r w:rsidR="00C54610">
        <w:rPr>
          <w:sz w:val="22"/>
          <w:szCs w:val="22"/>
        </w:rPr>
        <w:t>Θα πρέπει να διενεργείται παρακολούθηση με ΗΚΓ</w:t>
      </w:r>
      <w:r w:rsidR="00327A1C" w:rsidRPr="007476FC">
        <w:rPr>
          <w:sz w:val="22"/>
          <w:szCs w:val="22"/>
        </w:rPr>
        <w:t xml:space="preserve">. </w:t>
      </w:r>
      <w:r w:rsidR="00500DB5" w:rsidRPr="000A3201">
        <w:rPr>
          <w:sz w:val="22"/>
          <w:szCs w:val="22"/>
        </w:rPr>
        <w:t>Επίσης,</w:t>
      </w:r>
      <w:r w:rsidRPr="000A3201">
        <w:rPr>
          <w:sz w:val="22"/>
          <w:szCs w:val="22"/>
        </w:rPr>
        <w:t xml:space="preserve"> </w:t>
      </w:r>
      <w:r w:rsidR="00500DB5" w:rsidRPr="000A3201">
        <w:rPr>
          <w:sz w:val="22"/>
          <w:szCs w:val="22"/>
        </w:rPr>
        <w:t xml:space="preserve">πρέπει να εξετάζονται </w:t>
      </w:r>
      <w:r w:rsidRPr="000A3201">
        <w:rPr>
          <w:sz w:val="22"/>
          <w:szCs w:val="22"/>
        </w:rPr>
        <w:t xml:space="preserve">η χορήγηση ενεργού άνθρακα ή </w:t>
      </w:r>
      <w:r w:rsidR="00500DB5" w:rsidRPr="000A3201">
        <w:rPr>
          <w:sz w:val="22"/>
          <w:szCs w:val="22"/>
        </w:rPr>
        <w:t xml:space="preserve">η </w:t>
      </w:r>
      <w:r w:rsidRPr="000A3201">
        <w:rPr>
          <w:sz w:val="22"/>
          <w:szCs w:val="22"/>
        </w:rPr>
        <w:t xml:space="preserve">πλύση στομάχου. </w:t>
      </w:r>
    </w:p>
    <w:p w:rsidR="00865444" w:rsidRPr="00AA1AB4" w:rsidRDefault="00865444" w:rsidP="00865444">
      <w:pPr>
        <w:ind w:left="720"/>
        <w:rPr>
          <w:sz w:val="22"/>
          <w:szCs w:val="22"/>
        </w:rPr>
      </w:pPr>
    </w:p>
    <w:p w:rsidR="00815399" w:rsidRPr="00815399" w:rsidRDefault="00815399" w:rsidP="00815399">
      <w:pPr>
        <w:ind w:left="567"/>
        <w:rPr>
          <w:sz w:val="22"/>
          <w:szCs w:val="22"/>
          <w:u w:val="single"/>
        </w:rPr>
      </w:pPr>
      <w:commentRangeStart w:id="11"/>
      <w:r w:rsidRPr="00815399">
        <w:rPr>
          <w:sz w:val="22"/>
          <w:szCs w:val="22"/>
          <w:u w:val="single"/>
        </w:rPr>
        <w:t>Παιδιατρικός πληθυσμός</w:t>
      </w:r>
    </w:p>
    <w:p w:rsidR="00815399" w:rsidRDefault="00815399" w:rsidP="00815399">
      <w:pPr>
        <w:ind w:left="567"/>
        <w:rPr>
          <w:sz w:val="22"/>
          <w:szCs w:val="22"/>
        </w:rPr>
      </w:pPr>
      <w:r>
        <w:rPr>
          <w:sz w:val="22"/>
          <w:szCs w:val="22"/>
        </w:rPr>
        <w:t>Σε περίπτωση υπερδοσολογίας σε παιδιατρικούς ασθενείς, θα πρέπει να λαμβάνονται τα κατάλληλα μέτρα που περιγράφηκαν για τους ενήλικες.</w:t>
      </w:r>
    </w:p>
    <w:commentRangeEnd w:id="11"/>
    <w:p w:rsidR="00815399" w:rsidRPr="00815399" w:rsidRDefault="00912246" w:rsidP="00815399">
      <w:pPr>
        <w:ind w:left="567"/>
        <w:rPr>
          <w:sz w:val="22"/>
          <w:szCs w:val="22"/>
        </w:rPr>
      </w:pPr>
      <w:r>
        <w:rPr>
          <w:rStyle w:val="aa"/>
        </w:rPr>
        <w:commentReference w:id="11"/>
      </w:r>
    </w:p>
    <w:p w:rsidR="008B7A30" w:rsidRPr="000A3201" w:rsidRDefault="008B7A30" w:rsidP="00865444">
      <w:pPr>
        <w:ind w:left="720"/>
        <w:rPr>
          <w:sz w:val="22"/>
          <w:szCs w:val="22"/>
        </w:rPr>
      </w:pPr>
    </w:p>
    <w:p w:rsidR="00865444" w:rsidRPr="000A3201" w:rsidRDefault="00865444" w:rsidP="00815399">
      <w:pPr>
        <w:numPr>
          <w:ilvl w:val="0"/>
          <w:numId w:val="2"/>
        </w:numPr>
        <w:tabs>
          <w:tab w:val="clear" w:pos="720"/>
          <w:tab w:val="num" w:pos="567"/>
        </w:tabs>
        <w:rPr>
          <w:b/>
          <w:bCs/>
          <w:sz w:val="22"/>
          <w:szCs w:val="22"/>
        </w:rPr>
      </w:pPr>
      <w:r w:rsidRPr="000A3201">
        <w:rPr>
          <w:b/>
          <w:bCs/>
          <w:sz w:val="22"/>
          <w:szCs w:val="22"/>
        </w:rPr>
        <w:t>ΦΑΡΜΑΚΟΛΟΓΙΚΕΣ ΙΔΙΟΤΗΤΕΣ</w:t>
      </w:r>
    </w:p>
    <w:p w:rsidR="00865444" w:rsidRPr="000A3201" w:rsidRDefault="00865444" w:rsidP="00815399">
      <w:pPr>
        <w:tabs>
          <w:tab w:val="num" w:pos="567"/>
        </w:tabs>
        <w:rPr>
          <w:b/>
          <w:bCs/>
          <w:sz w:val="22"/>
          <w:szCs w:val="22"/>
        </w:rPr>
      </w:pPr>
    </w:p>
    <w:p w:rsidR="00865444" w:rsidRPr="000A3201" w:rsidRDefault="00865444" w:rsidP="00815399">
      <w:pPr>
        <w:numPr>
          <w:ilvl w:val="1"/>
          <w:numId w:val="14"/>
        </w:numPr>
        <w:tabs>
          <w:tab w:val="num" w:pos="567"/>
        </w:tabs>
        <w:ind w:left="709" w:hanging="709"/>
        <w:rPr>
          <w:b/>
          <w:bCs/>
          <w:sz w:val="22"/>
          <w:szCs w:val="22"/>
        </w:rPr>
      </w:pPr>
      <w:r w:rsidRPr="000A3201">
        <w:rPr>
          <w:b/>
          <w:bCs/>
          <w:sz w:val="22"/>
          <w:szCs w:val="22"/>
        </w:rPr>
        <w:t>Φαρμακοδυναμικές ιδιότητες</w:t>
      </w:r>
    </w:p>
    <w:p w:rsidR="00865444" w:rsidRPr="000A3201" w:rsidRDefault="00865444" w:rsidP="00865444">
      <w:pPr>
        <w:rPr>
          <w:b/>
          <w:bCs/>
          <w:sz w:val="22"/>
          <w:szCs w:val="22"/>
        </w:rPr>
      </w:pPr>
    </w:p>
    <w:p w:rsidR="00865444" w:rsidRPr="000A3201" w:rsidRDefault="00865444" w:rsidP="006C3A09">
      <w:pPr>
        <w:ind w:left="709"/>
        <w:rPr>
          <w:sz w:val="22"/>
          <w:szCs w:val="22"/>
        </w:rPr>
      </w:pPr>
      <w:r w:rsidRPr="000A3201">
        <w:rPr>
          <w:sz w:val="22"/>
          <w:szCs w:val="22"/>
        </w:rPr>
        <w:t xml:space="preserve">Φαρμακοθεραπευτική </w:t>
      </w:r>
      <w:r w:rsidR="009650F5" w:rsidRPr="000A3201">
        <w:rPr>
          <w:sz w:val="22"/>
          <w:szCs w:val="22"/>
        </w:rPr>
        <w:t xml:space="preserve">κατηγορία </w:t>
      </w:r>
      <w:r w:rsidRPr="000A3201">
        <w:rPr>
          <w:sz w:val="22"/>
          <w:szCs w:val="22"/>
        </w:rPr>
        <w:t xml:space="preserve">: </w:t>
      </w:r>
      <w:r w:rsidR="00327A1C" w:rsidRPr="000A3201">
        <w:rPr>
          <w:sz w:val="22"/>
          <w:szCs w:val="22"/>
        </w:rPr>
        <w:t>αντικαταθλιπτικά</w:t>
      </w:r>
      <w:r w:rsidR="007B53B0">
        <w:rPr>
          <w:sz w:val="22"/>
          <w:szCs w:val="22"/>
        </w:rPr>
        <w:t xml:space="preserve">, </w:t>
      </w:r>
      <w:r w:rsidR="008B7A30" w:rsidRPr="000A3201">
        <w:rPr>
          <w:sz w:val="22"/>
          <w:szCs w:val="22"/>
        </w:rPr>
        <w:t>άλλα α</w:t>
      </w:r>
      <w:r w:rsidRPr="000A3201">
        <w:rPr>
          <w:sz w:val="22"/>
          <w:szCs w:val="22"/>
        </w:rPr>
        <w:t>ντικαταθλιπτικ</w:t>
      </w:r>
      <w:r w:rsidR="008B7A30" w:rsidRPr="000A3201">
        <w:rPr>
          <w:sz w:val="22"/>
          <w:szCs w:val="22"/>
        </w:rPr>
        <w:t>ά</w:t>
      </w:r>
      <w:r w:rsidR="007B53B0">
        <w:rPr>
          <w:sz w:val="22"/>
          <w:szCs w:val="22"/>
        </w:rPr>
        <w:t>, κ</w:t>
      </w:r>
      <w:r w:rsidRPr="000A3201">
        <w:rPr>
          <w:sz w:val="22"/>
          <w:szCs w:val="22"/>
        </w:rPr>
        <w:t>ωδικός ATC: NO6AX11</w:t>
      </w:r>
    </w:p>
    <w:p w:rsidR="00865444" w:rsidRPr="000A3201" w:rsidRDefault="00865444" w:rsidP="006C3A09">
      <w:pPr>
        <w:ind w:left="709"/>
        <w:rPr>
          <w:sz w:val="22"/>
          <w:szCs w:val="22"/>
        </w:rPr>
      </w:pPr>
    </w:p>
    <w:p w:rsidR="007B53B0" w:rsidRPr="007476FC" w:rsidRDefault="007B53B0" w:rsidP="006C3A09">
      <w:pPr>
        <w:ind w:left="709"/>
        <w:rPr>
          <w:sz w:val="22"/>
          <w:szCs w:val="22"/>
        </w:rPr>
      </w:pPr>
      <w:r w:rsidRPr="007B53B0">
        <w:rPr>
          <w:sz w:val="22"/>
          <w:szCs w:val="22"/>
          <w:u w:val="single"/>
        </w:rPr>
        <w:t>Μηχανισμός δράσης</w:t>
      </w:r>
      <w:r>
        <w:rPr>
          <w:sz w:val="22"/>
          <w:szCs w:val="22"/>
          <w:u w:val="single"/>
        </w:rPr>
        <w:t>/</w:t>
      </w:r>
      <w:r w:rsidRPr="007B53B0">
        <w:rPr>
          <w:sz w:val="22"/>
          <w:szCs w:val="22"/>
          <w:u w:val="single"/>
          <w:lang w:eastAsia="en-US"/>
        </w:rPr>
        <w:t xml:space="preserve"> </w:t>
      </w:r>
      <w:r w:rsidR="000D7B81">
        <w:rPr>
          <w:sz w:val="22"/>
          <w:szCs w:val="22"/>
          <w:u w:val="single"/>
          <w:lang w:eastAsia="en-US"/>
        </w:rPr>
        <w:t>φ</w:t>
      </w:r>
      <w:r w:rsidRPr="007B53B0">
        <w:rPr>
          <w:sz w:val="22"/>
          <w:szCs w:val="22"/>
          <w:u w:val="single"/>
        </w:rPr>
        <w:t>αρμακοδυναμικές επιδράσεις</w:t>
      </w:r>
    </w:p>
    <w:p w:rsidR="00C369FF" w:rsidRDefault="00865444" w:rsidP="006C3A09">
      <w:pPr>
        <w:ind w:left="709"/>
        <w:rPr>
          <w:sz w:val="22"/>
          <w:szCs w:val="22"/>
        </w:rPr>
      </w:pPr>
      <w:r w:rsidRPr="000A3201">
        <w:rPr>
          <w:sz w:val="22"/>
          <w:szCs w:val="22"/>
        </w:rPr>
        <w:t>Η μιρταζαπίνη είναι ένας κεντρικά δρων ανταγωνιστής επί των α</w:t>
      </w:r>
      <w:r w:rsidRPr="000A3201">
        <w:rPr>
          <w:sz w:val="22"/>
          <w:szCs w:val="22"/>
          <w:vertAlign w:val="subscript"/>
        </w:rPr>
        <w:t>2</w:t>
      </w:r>
      <w:r w:rsidRPr="000A3201">
        <w:rPr>
          <w:sz w:val="22"/>
          <w:szCs w:val="22"/>
        </w:rPr>
        <w:t>-προσυναπτικών υποδοχέων, γεγονός που αυξάνει τη</w:t>
      </w:r>
      <w:r w:rsidR="008B7A30" w:rsidRPr="000A3201">
        <w:rPr>
          <w:sz w:val="22"/>
          <w:szCs w:val="22"/>
        </w:rPr>
        <w:t>ν κεντρική</w:t>
      </w:r>
      <w:r w:rsidRPr="000A3201">
        <w:rPr>
          <w:sz w:val="22"/>
          <w:szCs w:val="22"/>
        </w:rPr>
        <w:t xml:space="preserve"> νοραδρενεργική και σεροτονινεγική νευροδιαβίβαση. Η ενίσχυση της σεροτονινεργικής νευροδιαβίβασης γίνεται μέσω ειδικής δράσης των 5-ΗΤ</w:t>
      </w:r>
      <w:r w:rsidRPr="000A3201">
        <w:rPr>
          <w:sz w:val="22"/>
          <w:szCs w:val="22"/>
          <w:vertAlign w:val="subscript"/>
        </w:rPr>
        <w:t xml:space="preserve">1 </w:t>
      </w:r>
      <w:r w:rsidRPr="000A3201">
        <w:rPr>
          <w:sz w:val="22"/>
          <w:szCs w:val="22"/>
        </w:rPr>
        <w:t>υποδοχέων, επειδή η μιρταζαπίνη αποκλείει τους 5-ΗΤ</w:t>
      </w:r>
      <w:r w:rsidRPr="000A3201">
        <w:rPr>
          <w:sz w:val="22"/>
          <w:szCs w:val="22"/>
          <w:vertAlign w:val="subscript"/>
        </w:rPr>
        <w:t xml:space="preserve">2 </w:t>
      </w:r>
      <w:r w:rsidRPr="000A3201">
        <w:rPr>
          <w:sz w:val="22"/>
          <w:szCs w:val="22"/>
        </w:rPr>
        <w:t>και 5-ΗΤ</w:t>
      </w:r>
      <w:r w:rsidRPr="000A3201">
        <w:rPr>
          <w:sz w:val="22"/>
          <w:szCs w:val="22"/>
          <w:vertAlign w:val="subscript"/>
        </w:rPr>
        <w:t>3</w:t>
      </w:r>
      <w:r w:rsidRPr="000A3201">
        <w:rPr>
          <w:sz w:val="22"/>
          <w:szCs w:val="22"/>
        </w:rPr>
        <w:t xml:space="preserve"> υποδοχείς. Και τα δύο εναντιομερή της μιρταζαπίνης θεωρείται πως συνεισφέρουν στην αντικαταθλιπτική δράση, το S(+) εναντιομερές αποκλείοντας τους α</w:t>
      </w:r>
      <w:r w:rsidRPr="000A3201">
        <w:rPr>
          <w:sz w:val="22"/>
          <w:szCs w:val="22"/>
          <w:vertAlign w:val="subscript"/>
        </w:rPr>
        <w:t xml:space="preserve">2 </w:t>
      </w:r>
      <w:r w:rsidRPr="000A3201">
        <w:rPr>
          <w:sz w:val="22"/>
          <w:szCs w:val="22"/>
        </w:rPr>
        <w:t>και 5-ΗΤ</w:t>
      </w:r>
      <w:r w:rsidRPr="000A3201">
        <w:rPr>
          <w:sz w:val="22"/>
          <w:szCs w:val="22"/>
          <w:vertAlign w:val="subscript"/>
        </w:rPr>
        <w:t xml:space="preserve">2 </w:t>
      </w:r>
      <w:r w:rsidRPr="000A3201">
        <w:rPr>
          <w:sz w:val="22"/>
          <w:szCs w:val="22"/>
        </w:rPr>
        <w:t>υποδοχείς και το R(-) εναντιομερές αποκλείοντας τους 5-ΗΤ</w:t>
      </w:r>
      <w:r w:rsidRPr="000A3201">
        <w:rPr>
          <w:sz w:val="22"/>
          <w:szCs w:val="22"/>
          <w:vertAlign w:val="subscript"/>
        </w:rPr>
        <w:t xml:space="preserve">3 </w:t>
      </w:r>
      <w:r w:rsidRPr="000A3201">
        <w:rPr>
          <w:sz w:val="22"/>
          <w:szCs w:val="22"/>
        </w:rPr>
        <w:t>υποδοχείς.</w:t>
      </w:r>
    </w:p>
    <w:p w:rsidR="00C369FF" w:rsidRDefault="00C369FF" w:rsidP="00912246">
      <w:pPr>
        <w:ind w:left="709"/>
        <w:rPr>
          <w:sz w:val="22"/>
          <w:szCs w:val="22"/>
        </w:rPr>
      </w:pPr>
    </w:p>
    <w:p w:rsidR="00C369FF" w:rsidRDefault="007B53B0" w:rsidP="00912246">
      <w:pPr>
        <w:ind w:left="709"/>
        <w:rPr>
          <w:sz w:val="22"/>
          <w:szCs w:val="22"/>
        </w:rPr>
      </w:pPr>
      <w:r w:rsidRPr="007B53B0">
        <w:rPr>
          <w:sz w:val="22"/>
          <w:szCs w:val="22"/>
          <w:u w:val="single"/>
        </w:rPr>
        <w:t>Κλινική αποτελεσματικότητα και ασφάλεια</w:t>
      </w:r>
    </w:p>
    <w:p w:rsidR="00C369FF" w:rsidRDefault="00865444">
      <w:pPr>
        <w:ind w:left="720"/>
        <w:rPr>
          <w:sz w:val="22"/>
          <w:szCs w:val="22"/>
        </w:rPr>
      </w:pPr>
      <w:r w:rsidRPr="000A3201">
        <w:rPr>
          <w:sz w:val="22"/>
          <w:szCs w:val="22"/>
        </w:rPr>
        <w:t xml:space="preserve">Η μιρταζαπίνη είναι ανταγωνιστής των </w:t>
      </w:r>
      <w:r w:rsidRPr="000A3201">
        <w:rPr>
          <w:sz w:val="22"/>
          <w:szCs w:val="22"/>
          <w:lang w:val="en-US"/>
        </w:rPr>
        <w:t>H</w:t>
      </w:r>
      <w:r w:rsidRPr="000A3201">
        <w:rPr>
          <w:sz w:val="22"/>
          <w:szCs w:val="22"/>
        </w:rPr>
        <w:t xml:space="preserve">1 υποδοχέων της ισταμίνης, γεγονός που </w:t>
      </w:r>
      <w:r w:rsidR="008B7A30" w:rsidRPr="000A3201">
        <w:rPr>
          <w:sz w:val="22"/>
          <w:szCs w:val="22"/>
        </w:rPr>
        <w:t xml:space="preserve">συνδέεται με </w:t>
      </w:r>
      <w:r w:rsidR="000156CC" w:rsidRPr="000A3201">
        <w:rPr>
          <w:sz w:val="22"/>
          <w:szCs w:val="22"/>
        </w:rPr>
        <w:t xml:space="preserve">τις </w:t>
      </w:r>
      <w:r w:rsidRPr="000A3201">
        <w:rPr>
          <w:sz w:val="22"/>
          <w:szCs w:val="22"/>
        </w:rPr>
        <w:t>κατασταλτικ</w:t>
      </w:r>
      <w:r w:rsidR="001B3CFB" w:rsidRPr="000A3201">
        <w:rPr>
          <w:sz w:val="22"/>
          <w:szCs w:val="22"/>
        </w:rPr>
        <w:t>ές</w:t>
      </w:r>
      <w:r w:rsidRPr="000A3201">
        <w:rPr>
          <w:sz w:val="22"/>
          <w:szCs w:val="22"/>
        </w:rPr>
        <w:t xml:space="preserve"> της </w:t>
      </w:r>
      <w:r w:rsidR="001B3CFB" w:rsidRPr="000A3201">
        <w:rPr>
          <w:sz w:val="22"/>
          <w:szCs w:val="22"/>
        </w:rPr>
        <w:t>ιδιότητες</w:t>
      </w:r>
      <w:r w:rsidRPr="000A3201">
        <w:rPr>
          <w:sz w:val="22"/>
          <w:szCs w:val="22"/>
        </w:rPr>
        <w:t xml:space="preserve">. Στην πράξη δεν έχει καμία αντιχολινεργική δράση και, στις θεραπευτικές δόσεις, έχει </w:t>
      </w:r>
      <w:r w:rsidR="00C54610">
        <w:rPr>
          <w:sz w:val="22"/>
          <w:szCs w:val="22"/>
        </w:rPr>
        <w:t xml:space="preserve">μόνο περιορισμένες επιδράσεις (π.χ. </w:t>
      </w:r>
      <w:proofErr w:type="spellStart"/>
      <w:r w:rsidR="00C54610">
        <w:rPr>
          <w:sz w:val="22"/>
          <w:szCs w:val="22"/>
        </w:rPr>
        <w:t>ορθοστατική</w:t>
      </w:r>
      <w:proofErr w:type="spellEnd"/>
      <w:r w:rsidR="00C54610">
        <w:rPr>
          <w:sz w:val="22"/>
          <w:szCs w:val="22"/>
        </w:rPr>
        <w:t xml:space="preserve"> υπόταση</w:t>
      </w:r>
      <w:r w:rsidR="007B53B0" w:rsidRPr="00606983">
        <w:rPr>
          <w:sz w:val="22"/>
          <w:szCs w:val="22"/>
        </w:rPr>
        <w:t xml:space="preserve">) </w:t>
      </w:r>
      <w:r w:rsidRPr="000A3201">
        <w:rPr>
          <w:sz w:val="22"/>
          <w:szCs w:val="22"/>
        </w:rPr>
        <w:t>στο καρδιαγγειακό σύστημα.</w:t>
      </w:r>
    </w:p>
    <w:p w:rsidR="008B7A30" w:rsidRPr="000A3201" w:rsidRDefault="008B7A30" w:rsidP="007B53B0">
      <w:pPr>
        <w:ind w:left="720"/>
        <w:rPr>
          <w:sz w:val="22"/>
          <w:szCs w:val="22"/>
        </w:rPr>
      </w:pPr>
    </w:p>
    <w:p w:rsidR="008B7A30" w:rsidRPr="00AA1AB4" w:rsidRDefault="00C369FF" w:rsidP="007B53B0">
      <w:pPr>
        <w:ind w:left="720"/>
        <w:rPr>
          <w:sz w:val="22"/>
          <w:szCs w:val="22"/>
          <w:u w:val="single"/>
        </w:rPr>
      </w:pPr>
      <w:r w:rsidRPr="00AA1AB4">
        <w:rPr>
          <w:sz w:val="22"/>
          <w:szCs w:val="22"/>
          <w:u w:val="single"/>
        </w:rPr>
        <w:t>Παιδιατρικός πληθυσμός</w:t>
      </w:r>
    </w:p>
    <w:p w:rsidR="00C369FF" w:rsidRDefault="00DF7B68">
      <w:pPr>
        <w:ind w:left="720"/>
        <w:rPr>
          <w:sz w:val="22"/>
          <w:szCs w:val="22"/>
        </w:rPr>
      </w:pPr>
      <w:r w:rsidRPr="000A3201">
        <w:rPr>
          <w:sz w:val="22"/>
          <w:szCs w:val="22"/>
        </w:rPr>
        <w:t xml:space="preserve">Δύο τυχαιοποιημένες, διπλά τυφλές, ελεγχόμενες με εικονικό φάρμακο μελέτες σε παιδιά ηλικίας μεταξύ 7 και 18 ετών με μείζονα καταθλιπτική διαταραχή </w:t>
      </w:r>
      <w:r w:rsidR="008B7A30" w:rsidRPr="000A3201">
        <w:rPr>
          <w:sz w:val="22"/>
          <w:szCs w:val="22"/>
        </w:rPr>
        <w:t xml:space="preserve">(n=259) </w:t>
      </w:r>
      <w:r w:rsidRPr="000A3201">
        <w:rPr>
          <w:sz w:val="22"/>
          <w:szCs w:val="22"/>
        </w:rPr>
        <w:t>κατά τις οποίες χρησιμοποιήθηκε ευέλικτο δοσολογικό σχήμα για τις πρώτες 4 εβδομάδες (15-45mg μιρταζαπίνης</w:t>
      </w:r>
      <w:r w:rsidR="008B7A30" w:rsidRPr="000A3201">
        <w:rPr>
          <w:sz w:val="22"/>
          <w:szCs w:val="22"/>
        </w:rPr>
        <w:t xml:space="preserve">) </w:t>
      </w:r>
      <w:r w:rsidRPr="000A3201">
        <w:rPr>
          <w:sz w:val="22"/>
          <w:szCs w:val="22"/>
        </w:rPr>
        <w:t>ακολουθούμενο από σταθερό δοσολογικό σχήμα (15, 30 ή</w:t>
      </w:r>
      <w:r w:rsidR="008B7A30" w:rsidRPr="000A3201">
        <w:rPr>
          <w:sz w:val="22"/>
          <w:szCs w:val="22"/>
        </w:rPr>
        <w:t xml:space="preserve"> 45 mg </w:t>
      </w:r>
      <w:r w:rsidRPr="000A3201">
        <w:rPr>
          <w:sz w:val="22"/>
          <w:szCs w:val="22"/>
        </w:rPr>
        <w:t>μιρταζαπίνης</w:t>
      </w:r>
      <w:r w:rsidR="008B7A30" w:rsidRPr="000A3201">
        <w:rPr>
          <w:sz w:val="22"/>
          <w:szCs w:val="22"/>
        </w:rPr>
        <w:t xml:space="preserve">) </w:t>
      </w:r>
      <w:r w:rsidRPr="000A3201">
        <w:rPr>
          <w:sz w:val="22"/>
          <w:szCs w:val="22"/>
        </w:rPr>
        <w:t>για άλλες 4 εβδομάδες</w:t>
      </w:r>
      <w:r w:rsidR="00500DB5" w:rsidRPr="000A3201">
        <w:rPr>
          <w:sz w:val="22"/>
          <w:szCs w:val="22"/>
        </w:rPr>
        <w:t>,</w:t>
      </w:r>
      <w:r w:rsidRPr="000A3201">
        <w:rPr>
          <w:sz w:val="22"/>
          <w:szCs w:val="22"/>
        </w:rPr>
        <w:t xml:space="preserve"> δεν κατέδειξε σημαντικές διαφορές μεταξύ της μιρταζαπίνης και του εικονικού φαρμάκου στα κύρια και σε όλα τα δευτερεύοντα καταληκτικά σημεία. </w:t>
      </w:r>
      <w:r w:rsidR="00FF1FEF" w:rsidRPr="000A3201">
        <w:rPr>
          <w:sz w:val="22"/>
          <w:szCs w:val="22"/>
        </w:rPr>
        <w:t xml:space="preserve">Παρατηρήθηκε σημαντική αύξηση του σωματικού βάρους </w:t>
      </w:r>
      <w:r w:rsidR="008B7A30" w:rsidRPr="000A3201">
        <w:rPr>
          <w:sz w:val="22"/>
          <w:szCs w:val="22"/>
        </w:rPr>
        <w:t xml:space="preserve">(≥7%) </w:t>
      </w:r>
      <w:r w:rsidR="00FF1FEF" w:rsidRPr="000A3201">
        <w:rPr>
          <w:sz w:val="22"/>
          <w:szCs w:val="22"/>
        </w:rPr>
        <w:t>στο 48,</w:t>
      </w:r>
      <w:r w:rsidR="008B7A30" w:rsidRPr="000A3201">
        <w:rPr>
          <w:sz w:val="22"/>
          <w:szCs w:val="22"/>
        </w:rPr>
        <w:t xml:space="preserve">8% </w:t>
      </w:r>
      <w:r w:rsidR="00FF1FEF" w:rsidRPr="000A3201">
        <w:rPr>
          <w:sz w:val="22"/>
          <w:szCs w:val="22"/>
        </w:rPr>
        <w:t xml:space="preserve">των υποκειμένων που έλαβαν μιρταζαπίνη </w:t>
      </w:r>
      <w:r w:rsidR="00FF1FEF" w:rsidRPr="000A3201">
        <w:rPr>
          <w:sz w:val="22"/>
          <w:szCs w:val="22"/>
        </w:rPr>
        <w:lastRenderedPageBreak/>
        <w:t>συγκριτικά με 5,</w:t>
      </w:r>
      <w:r w:rsidR="008B7A30" w:rsidRPr="000A3201">
        <w:rPr>
          <w:sz w:val="22"/>
          <w:szCs w:val="22"/>
        </w:rPr>
        <w:t xml:space="preserve">7% </w:t>
      </w:r>
      <w:r w:rsidR="00FF1FEF" w:rsidRPr="000A3201">
        <w:rPr>
          <w:sz w:val="22"/>
          <w:szCs w:val="22"/>
        </w:rPr>
        <w:t xml:space="preserve">στο σκέλος του εικονικού φαρμάκου. </w:t>
      </w:r>
      <w:r w:rsidR="00500DB5" w:rsidRPr="000A3201">
        <w:rPr>
          <w:sz w:val="22"/>
          <w:szCs w:val="22"/>
        </w:rPr>
        <w:t>Επίσης,</w:t>
      </w:r>
      <w:r w:rsidR="00FF1FEF" w:rsidRPr="000A3201">
        <w:rPr>
          <w:sz w:val="22"/>
          <w:szCs w:val="22"/>
        </w:rPr>
        <w:t xml:space="preserve"> παρατηρήθηκαν συχνά κνίδωση (11,8% έναντι 6,</w:t>
      </w:r>
      <w:r w:rsidR="008B7A30" w:rsidRPr="000A3201">
        <w:rPr>
          <w:sz w:val="22"/>
          <w:szCs w:val="22"/>
        </w:rPr>
        <w:t xml:space="preserve">8%) </w:t>
      </w:r>
      <w:r w:rsidR="00FF1FEF" w:rsidRPr="000A3201">
        <w:rPr>
          <w:sz w:val="22"/>
          <w:szCs w:val="22"/>
        </w:rPr>
        <w:t xml:space="preserve">και υπερτριγλυκεριδαιμία (2,9% </w:t>
      </w:r>
      <w:r w:rsidR="00945674" w:rsidRPr="000A3201">
        <w:rPr>
          <w:sz w:val="22"/>
          <w:szCs w:val="22"/>
        </w:rPr>
        <w:t>έναντι</w:t>
      </w:r>
      <w:r w:rsidR="008B7A30" w:rsidRPr="000A3201">
        <w:rPr>
          <w:sz w:val="22"/>
          <w:szCs w:val="22"/>
        </w:rPr>
        <w:t xml:space="preserve"> 0%)</w:t>
      </w:r>
      <w:r w:rsidR="00FF1FEF" w:rsidRPr="000A3201">
        <w:rPr>
          <w:sz w:val="22"/>
          <w:szCs w:val="22"/>
        </w:rPr>
        <w:t>.</w:t>
      </w:r>
    </w:p>
    <w:p w:rsidR="00C369FF" w:rsidRDefault="00C369FF">
      <w:pPr>
        <w:ind w:left="720"/>
        <w:rPr>
          <w:sz w:val="22"/>
          <w:szCs w:val="22"/>
        </w:rPr>
      </w:pPr>
    </w:p>
    <w:p w:rsidR="00865444" w:rsidRPr="000A3201" w:rsidRDefault="00865444" w:rsidP="007B53B0">
      <w:pPr>
        <w:numPr>
          <w:ilvl w:val="1"/>
          <w:numId w:val="14"/>
        </w:numPr>
        <w:ind w:left="709" w:hanging="567"/>
        <w:rPr>
          <w:b/>
          <w:bCs/>
          <w:sz w:val="22"/>
          <w:szCs w:val="22"/>
        </w:rPr>
      </w:pPr>
      <w:r w:rsidRPr="000A3201">
        <w:rPr>
          <w:b/>
          <w:bCs/>
          <w:sz w:val="22"/>
          <w:szCs w:val="22"/>
        </w:rPr>
        <w:t xml:space="preserve">Φαρμακοκινητικές ιδιότητες </w:t>
      </w:r>
    </w:p>
    <w:p w:rsidR="00865444" w:rsidRPr="000A3201" w:rsidRDefault="00865444" w:rsidP="007B53B0">
      <w:pPr>
        <w:rPr>
          <w:sz w:val="22"/>
          <w:szCs w:val="22"/>
        </w:rPr>
      </w:pPr>
    </w:p>
    <w:p w:rsidR="00C369FF" w:rsidRDefault="00865444">
      <w:pPr>
        <w:ind w:left="720"/>
        <w:rPr>
          <w:sz w:val="22"/>
          <w:szCs w:val="22"/>
          <w:u w:val="single"/>
        </w:rPr>
      </w:pPr>
      <w:r w:rsidRPr="000A3201">
        <w:rPr>
          <w:sz w:val="22"/>
          <w:szCs w:val="22"/>
          <w:u w:val="single"/>
        </w:rPr>
        <w:t>Απορρόφηση</w:t>
      </w:r>
    </w:p>
    <w:p w:rsidR="00C369FF" w:rsidRDefault="00865444">
      <w:pPr>
        <w:pStyle w:val="a5"/>
        <w:tabs>
          <w:tab w:val="left" w:pos="2148"/>
        </w:tabs>
        <w:ind w:left="720"/>
        <w:jc w:val="left"/>
        <w:rPr>
          <w:sz w:val="22"/>
          <w:szCs w:val="22"/>
          <w:lang w:val="el-GR"/>
        </w:rPr>
      </w:pPr>
      <w:r w:rsidRPr="000A3201">
        <w:rPr>
          <w:sz w:val="22"/>
          <w:szCs w:val="22"/>
          <w:lang w:val="el-GR"/>
        </w:rPr>
        <w:t>Μετά την από του στόματος χορήγηση της μιρταζαπίνης, η δραστική ουσία μιρταζαπίνη απορροφάται γρήγορα και ικανοποιητικά (βιοδιαθεσιμότητα περίπου 50%) και τα μέγιστα επίπεδα στο πλάσμα επιτυγχάνονται μετά από 2 περίπου ώρες.</w:t>
      </w:r>
    </w:p>
    <w:p w:rsidR="00C369FF" w:rsidRDefault="00C369FF">
      <w:pPr>
        <w:pStyle w:val="a5"/>
        <w:tabs>
          <w:tab w:val="left" w:pos="2148"/>
        </w:tabs>
        <w:ind w:left="720"/>
        <w:jc w:val="left"/>
        <w:rPr>
          <w:sz w:val="22"/>
          <w:szCs w:val="22"/>
          <w:lang w:val="el-GR"/>
        </w:rPr>
      </w:pPr>
    </w:p>
    <w:p w:rsidR="00C369FF" w:rsidRDefault="00865444">
      <w:pPr>
        <w:pStyle w:val="a5"/>
        <w:tabs>
          <w:tab w:val="left" w:pos="2148"/>
        </w:tabs>
        <w:ind w:left="720"/>
        <w:jc w:val="left"/>
        <w:rPr>
          <w:sz w:val="22"/>
          <w:szCs w:val="22"/>
          <w:lang w:val="el-GR"/>
        </w:rPr>
      </w:pPr>
      <w:r w:rsidRPr="000A3201">
        <w:rPr>
          <w:sz w:val="22"/>
          <w:szCs w:val="22"/>
          <w:lang w:val="el-GR"/>
        </w:rPr>
        <w:t>Η πρόσληψη τροφής δεν επιδρά στη φαρμακοκινητική της μιρταζαπίνης.</w:t>
      </w:r>
    </w:p>
    <w:p w:rsidR="00C369FF" w:rsidRDefault="00C369FF">
      <w:pPr>
        <w:ind w:left="720"/>
        <w:rPr>
          <w:sz w:val="22"/>
          <w:szCs w:val="22"/>
        </w:rPr>
      </w:pPr>
    </w:p>
    <w:p w:rsidR="00C369FF" w:rsidRDefault="00865444">
      <w:pPr>
        <w:ind w:left="720"/>
        <w:rPr>
          <w:bCs/>
          <w:sz w:val="22"/>
          <w:szCs w:val="22"/>
          <w:u w:val="single"/>
        </w:rPr>
      </w:pPr>
      <w:r w:rsidRPr="000A3201">
        <w:rPr>
          <w:bCs/>
          <w:sz w:val="22"/>
          <w:szCs w:val="22"/>
          <w:u w:val="single"/>
        </w:rPr>
        <w:t>Κατανομή</w:t>
      </w:r>
    </w:p>
    <w:p w:rsidR="00C369FF" w:rsidRDefault="00865444">
      <w:pPr>
        <w:ind w:left="720"/>
        <w:rPr>
          <w:sz w:val="22"/>
          <w:szCs w:val="22"/>
        </w:rPr>
      </w:pPr>
      <w:r w:rsidRPr="000A3201">
        <w:rPr>
          <w:sz w:val="22"/>
          <w:szCs w:val="22"/>
        </w:rPr>
        <w:t xml:space="preserve">Ποσοστό περίπου 85 % της μιρταζαπίνης δεσμεύεται από τις πρωτεΐνες πλάσματος. </w:t>
      </w:r>
    </w:p>
    <w:p w:rsidR="007B53B0" w:rsidRDefault="007B53B0" w:rsidP="007B53B0">
      <w:pPr>
        <w:ind w:left="720"/>
        <w:rPr>
          <w:sz w:val="22"/>
          <w:szCs w:val="22"/>
          <w:u w:val="single"/>
        </w:rPr>
      </w:pPr>
    </w:p>
    <w:p w:rsidR="007B53B0" w:rsidRPr="00AA1AB4" w:rsidRDefault="00C54610" w:rsidP="007B53B0">
      <w:pPr>
        <w:ind w:left="720"/>
        <w:rPr>
          <w:sz w:val="22"/>
          <w:szCs w:val="22"/>
          <w:u w:val="single"/>
        </w:rPr>
      </w:pPr>
      <w:r>
        <w:rPr>
          <w:sz w:val="22"/>
          <w:szCs w:val="22"/>
          <w:u w:val="single"/>
        </w:rPr>
        <w:t>Βιομετασχηματισμός</w:t>
      </w:r>
    </w:p>
    <w:p w:rsidR="007B53B0" w:rsidRPr="000A3201" w:rsidRDefault="00C54610" w:rsidP="007B53B0">
      <w:pPr>
        <w:pStyle w:val="a7"/>
        <w:ind w:left="720"/>
        <w:rPr>
          <w:sz w:val="22"/>
          <w:szCs w:val="22"/>
          <w:lang w:val="el-GR"/>
        </w:rPr>
      </w:pPr>
      <w:r>
        <w:rPr>
          <w:sz w:val="22"/>
          <w:szCs w:val="22"/>
          <w:lang w:val="el-GR"/>
        </w:rPr>
        <w:t>Η βιομετασχηματισμός</w:t>
      </w:r>
      <w:r w:rsidR="007B53B0" w:rsidRPr="000A3201">
        <w:rPr>
          <w:sz w:val="22"/>
          <w:szCs w:val="22"/>
          <w:lang w:val="el-GR"/>
        </w:rPr>
        <w:t xml:space="preserve"> γίνεται κυρίως μέσω απομεθυλίωσης και οξείδωσης, οι οποίες ακολουθούνται από σύζευξη. Τα </w:t>
      </w:r>
      <w:proofErr w:type="spellStart"/>
      <w:r w:rsidR="007B53B0" w:rsidRPr="000A3201">
        <w:rPr>
          <w:i/>
          <w:sz w:val="22"/>
          <w:szCs w:val="22"/>
          <w:lang w:val="en-US"/>
        </w:rPr>
        <w:t>i</w:t>
      </w:r>
      <w:proofErr w:type="spellEnd"/>
      <w:r w:rsidR="007B53B0" w:rsidRPr="000A3201">
        <w:rPr>
          <w:i/>
          <w:iCs/>
          <w:sz w:val="22"/>
          <w:szCs w:val="22"/>
          <w:lang w:eastAsia="el-GR"/>
        </w:rPr>
        <w:t>n</w:t>
      </w:r>
      <w:r w:rsidR="007B53B0" w:rsidRPr="000A3201">
        <w:rPr>
          <w:i/>
          <w:iCs/>
          <w:sz w:val="22"/>
          <w:szCs w:val="22"/>
          <w:lang w:val="el-GR" w:eastAsia="el-GR"/>
        </w:rPr>
        <w:t xml:space="preserve"> </w:t>
      </w:r>
      <w:r w:rsidR="007B53B0" w:rsidRPr="000A3201">
        <w:rPr>
          <w:i/>
          <w:iCs/>
          <w:sz w:val="22"/>
          <w:szCs w:val="22"/>
          <w:lang w:eastAsia="el-GR"/>
        </w:rPr>
        <w:t>vitro</w:t>
      </w:r>
      <w:r w:rsidR="007B53B0" w:rsidRPr="000A3201">
        <w:rPr>
          <w:i/>
          <w:iCs/>
          <w:sz w:val="22"/>
          <w:szCs w:val="22"/>
          <w:lang w:val="el-GR" w:eastAsia="el-GR"/>
        </w:rPr>
        <w:t xml:space="preserve"> </w:t>
      </w:r>
      <w:r w:rsidR="007B53B0" w:rsidRPr="000A3201">
        <w:rPr>
          <w:sz w:val="22"/>
          <w:szCs w:val="22"/>
          <w:lang w:val="el-GR" w:eastAsia="el-GR"/>
        </w:rPr>
        <w:t xml:space="preserve">δεδομένα, από μελέτες σε ανθρώπινα ηπατικά μικροσωμάτια, δείχνουν ότι τα ένζυμα </w:t>
      </w:r>
      <w:r w:rsidR="007B53B0" w:rsidRPr="000A3201">
        <w:rPr>
          <w:sz w:val="22"/>
          <w:szCs w:val="22"/>
          <w:lang w:eastAsia="el-GR"/>
        </w:rPr>
        <w:t>CYP</w:t>
      </w:r>
      <w:r w:rsidR="007B53B0" w:rsidRPr="000A3201">
        <w:rPr>
          <w:sz w:val="22"/>
          <w:szCs w:val="22"/>
          <w:lang w:val="el-GR" w:eastAsia="el-GR"/>
        </w:rPr>
        <w:t>2</w:t>
      </w:r>
      <w:r w:rsidR="007B53B0" w:rsidRPr="000A3201">
        <w:rPr>
          <w:sz w:val="22"/>
          <w:szCs w:val="22"/>
          <w:lang w:eastAsia="el-GR"/>
        </w:rPr>
        <w:t>D</w:t>
      </w:r>
      <w:r w:rsidR="007B53B0" w:rsidRPr="000A3201">
        <w:rPr>
          <w:sz w:val="22"/>
          <w:szCs w:val="22"/>
          <w:lang w:val="el-GR" w:eastAsia="el-GR"/>
        </w:rPr>
        <w:t xml:space="preserve">6 και </w:t>
      </w:r>
      <w:r w:rsidR="007B53B0" w:rsidRPr="000A3201">
        <w:rPr>
          <w:sz w:val="22"/>
          <w:szCs w:val="22"/>
          <w:lang w:eastAsia="el-GR"/>
        </w:rPr>
        <w:t>CYP</w:t>
      </w:r>
      <w:r w:rsidR="007B53B0" w:rsidRPr="000A3201">
        <w:rPr>
          <w:sz w:val="22"/>
          <w:szCs w:val="22"/>
          <w:lang w:val="el-GR" w:eastAsia="el-GR"/>
        </w:rPr>
        <w:t>1</w:t>
      </w:r>
      <w:r w:rsidR="007B53B0" w:rsidRPr="000A3201">
        <w:rPr>
          <w:sz w:val="22"/>
          <w:szCs w:val="22"/>
          <w:lang w:eastAsia="el-GR"/>
        </w:rPr>
        <w:t>A</w:t>
      </w:r>
      <w:r w:rsidR="007B53B0" w:rsidRPr="000A3201">
        <w:rPr>
          <w:sz w:val="22"/>
          <w:szCs w:val="22"/>
          <w:lang w:val="el-GR" w:eastAsia="el-GR"/>
        </w:rPr>
        <w:t xml:space="preserve">2 του κυτοχρώματος </w:t>
      </w:r>
      <w:r w:rsidR="007B53B0" w:rsidRPr="000A3201">
        <w:rPr>
          <w:sz w:val="22"/>
          <w:szCs w:val="22"/>
          <w:lang w:eastAsia="el-GR"/>
        </w:rPr>
        <w:t>P</w:t>
      </w:r>
      <w:r w:rsidR="007B53B0" w:rsidRPr="000A3201">
        <w:rPr>
          <w:sz w:val="22"/>
          <w:szCs w:val="22"/>
          <w:lang w:val="el-GR" w:eastAsia="el-GR"/>
        </w:rPr>
        <w:t xml:space="preserve">450 συμμετέχουν στο σχηματισμό του 8-υδρόξυ μεταβολίτη της μιρταζαπίνης, ενώ το ένζυμο </w:t>
      </w:r>
      <w:r w:rsidR="007B53B0" w:rsidRPr="000A3201">
        <w:rPr>
          <w:sz w:val="22"/>
          <w:szCs w:val="22"/>
          <w:lang w:eastAsia="el-GR"/>
        </w:rPr>
        <w:t>CYP</w:t>
      </w:r>
      <w:r w:rsidR="007B53B0" w:rsidRPr="000A3201">
        <w:rPr>
          <w:sz w:val="22"/>
          <w:szCs w:val="22"/>
          <w:lang w:val="el-GR" w:eastAsia="el-GR"/>
        </w:rPr>
        <w:t>3Α4 θεωρείται υπεύθυνο για το σχηματισμό των μεταβολιτών Ν-απομέθυλο και Ν-οξειδίων. Ο απομεθυλιωμένος μεταβολίτης</w:t>
      </w:r>
      <w:r w:rsidR="007B53B0" w:rsidRPr="000A3201">
        <w:rPr>
          <w:sz w:val="22"/>
          <w:szCs w:val="22"/>
          <w:lang w:val="el-GR"/>
        </w:rPr>
        <w:t xml:space="preserve"> είναι φαρμακολογικά ενεργός και δείχνει να έχει φαρμακοκινητικό προφίλ όμοιο με εκείνο της μητρικής ουσίας.</w:t>
      </w:r>
    </w:p>
    <w:p w:rsidR="00C369FF" w:rsidRDefault="00C369FF">
      <w:pPr>
        <w:ind w:right="144"/>
        <w:rPr>
          <w:sz w:val="22"/>
          <w:szCs w:val="22"/>
        </w:rPr>
      </w:pPr>
    </w:p>
    <w:p w:rsidR="00C369FF" w:rsidRDefault="00865444">
      <w:pPr>
        <w:ind w:left="720" w:right="144"/>
        <w:rPr>
          <w:bCs/>
          <w:sz w:val="22"/>
          <w:szCs w:val="22"/>
          <w:u w:val="single"/>
        </w:rPr>
      </w:pPr>
      <w:r w:rsidRPr="000A3201">
        <w:rPr>
          <w:bCs/>
          <w:sz w:val="22"/>
          <w:szCs w:val="22"/>
          <w:u w:val="single"/>
        </w:rPr>
        <w:t>Αποβολή</w:t>
      </w:r>
    </w:p>
    <w:p w:rsidR="00865444" w:rsidRPr="000A3201" w:rsidRDefault="00865444" w:rsidP="007B53B0">
      <w:pPr>
        <w:pStyle w:val="a7"/>
        <w:ind w:left="720"/>
        <w:rPr>
          <w:sz w:val="22"/>
          <w:szCs w:val="22"/>
          <w:lang w:val="el-GR"/>
        </w:rPr>
      </w:pPr>
      <w:r w:rsidRPr="000A3201">
        <w:rPr>
          <w:sz w:val="22"/>
          <w:szCs w:val="22"/>
          <w:lang w:val="el-GR"/>
        </w:rPr>
        <w:t xml:space="preserve">Η </w:t>
      </w:r>
      <w:proofErr w:type="spellStart"/>
      <w:r w:rsidRPr="000A3201">
        <w:rPr>
          <w:sz w:val="22"/>
          <w:szCs w:val="22"/>
          <w:lang w:val="el-GR"/>
        </w:rPr>
        <w:t>μιρταζαπίνη</w:t>
      </w:r>
      <w:proofErr w:type="spellEnd"/>
      <w:r w:rsidRPr="000A3201">
        <w:rPr>
          <w:sz w:val="22"/>
          <w:szCs w:val="22"/>
          <w:lang w:val="el-GR"/>
        </w:rPr>
        <w:t xml:space="preserve"> μεταβολίζεται εκτενώς και αποβάλλεται με τα ούρα και τα κόπρανα εντός λίγων ημερών. Ο μέσος χρόνος ημίσειας ζωής της αποβολής είναι 20-40 ώρες. Έχουν καταγραφεί περιστασιακά μεγαλύτεροι χρόνοι ημίσειας ζωής, που φτάνουν τις 65 ώρες και σε νεαρούς άνδρες έχουν παρατηρηθεί χρόνοι ημίσειας ζωής που ήταν μικρότεροι. </w:t>
      </w:r>
      <w:r w:rsidR="005E0600" w:rsidRPr="000A3201">
        <w:rPr>
          <w:sz w:val="22"/>
          <w:szCs w:val="22"/>
          <w:lang w:val="el-GR"/>
        </w:rPr>
        <w:t>Ο χρόνος ημίσειας ζωής της αποβολής δικαιολογεί επαρκώς την άπαξ ημερήσια χορήγηση.</w:t>
      </w:r>
      <w:r w:rsidR="007B53B0" w:rsidRPr="00AA1AB4">
        <w:rPr>
          <w:sz w:val="22"/>
          <w:szCs w:val="22"/>
          <w:lang w:val="el-GR"/>
        </w:rPr>
        <w:t xml:space="preserve"> </w:t>
      </w:r>
      <w:r w:rsidR="00C54610" w:rsidRPr="00AA1AB4">
        <w:rPr>
          <w:sz w:val="22"/>
          <w:szCs w:val="22"/>
          <w:lang w:val="el-GR"/>
        </w:rPr>
        <w:t>Σταθερά επίπεδα</w:t>
      </w:r>
      <w:r w:rsidR="007B53B0" w:rsidRPr="00AA1AB4">
        <w:rPr>
          <w:sz w:val="22"/>
          <w:szCs w:val="22"/>
          <w:lang w:val="el-GR"/>
        </w:rPr>
        <w:t xml:space="preserve"> επιτυγχάνονται μετά από 3-4 ημέρες και δεν εμφανίζεται καμία περαιτέρω συσσώρευση.</w:t>
      </w:r>
    </w:p>
    <w:p w:rsidR="00C369FF" w:rsidRDefault="00C369FF">
      <w:pPr>
        <w:ind w:left="720"/>
        <w:rPr>
          <w:sz w:val="22"/>
          <w:szCs w:val="22"/>
        </w:rPr>
      </w:pPr>
    </w:p>
    <w:p w:rsidR="00C369FF" w:rsidRPr="00AA1AB4" w:rsidRDefault="00C54610">
      <w:pPr>
        <w:ind w:left="567" w:firstLine="153"/>
        <w:rPr>
          <w:sz w:val="22"/>
          <w:szCs w:val="22"/>
        </w:rPr>
      </w:pPr>
      <w:r>
        <w:rPr>
          <w:sz w:val="22"/>
          <w:szCs w:val="22"/>
          <w:u w:val="single"/>
        </w:rPr>
        <w:t>Γραμμικότητα</w:t>
      </w:r>
      <w:r w:rsidR="007B53B0" w:rsidRPr="00AA1AB4">
        <w:rPr>
          <w:sz w:val="22"/>
          <w:szCs w:val="22"/>
          <w:u w:val="single"/>
        </w:rPr>
        <w:t>/</w:t>
      </w:r>
      <w:r>
        <w:rPr>
          <w:sz w:val="22"/>
          <w:szCs w:val="22"/>
          <w:u w:val="single"/>
        </w:rPr>
        <w:t>μη-γραμμικότητα</w:t>
      </w:r>
    </w:p>
    <w:p w:rsidR="007B53B0" w:rsidRPr="000A3201" w:rsidRDefault="007B53B0" w:rsidP="007B53B0">
      <w:pPr>
        <w:ind w:left="720"/>
        <w:rPr>
          <w:sz w:val="22"/>
          <w:szCs w:val="22"/>
        </w:rPr>
      </w:pPr>
      <w:r w:rsidRPr="000A3201">
        <w:rPr>
          <w:sz w:val="22"/>
          <w:szCs w:val="22"/>
        </w:rPr>
        <w:t>Η μιρταζαπίνη παρουσιάζει γραμμική φαρμακοκινητική εντός του συνιστώμενου δοσολογικού εύρους.</w:t>
      </w:r>
    </w:p>
    <w:p w:rsidR="00C369FF" w:rsidRDefault="00C369FF">
      <w:pPr>
        <w:ind w:left="720"/>
        <w:rPr>
          <w:sz w:val="22"/>
          <w:szCs w:val="22"/>
        </w:rPr>
      </w:pPr>
    </w:p>
    <w:p w:rsidR="00C369FF" w:rsidRDefault="007B53B0">
      <w:pPr>
        <w:ind w:left="720"/>
        <w:rPr>
          <w:bCs/>
          <w:sz w:val="22"/>
          <w:szCs w:val="22"/>
          <w:u w:val="single"/>
        </w:rPr>
      </w:pPr>
      <w:r>
        <w:rPr>
          <w:bCs/>
          <w:sz w:val="22"/>
          <w:szCs w:val="22"/>
          <w:u w:val="single"/>
        </w:rPr>
        <w:t>Άλλοι ε</w:t>
      </w:r>
      <w:r w:rsidR="00865444" w:rsidRPr="000A3201">
        <w:rPr>
          <w:bCs/>
          <w:sz w:val="22"/>
          <w:szCs w:val="22"/>
          <w:u w:val="single"/>
        </w:rPr>
        <w:t xml:space="preserve">ιδικοί </w:t>
      </w:r>
      <w:r>
        <w:rPr>
          <w:bCs/>
          <w:sz w:val="22"/>
          <w:szCs w:val="22"/>
          <w:u w:val="single"/>
        </w:rPr>
        <w:t>π</w:t>
      </w:r>
      <w:r w:rsidR="00865444" w:rsidRPr="000A3201">
        <w:rPr>
          <w:bCs/>
          <w:sz w:val="22"/>
          <w:szCs w:val="22"/>
          <w:u w:val="single"/>
        </w:rPr>
        <w:t>ληθυσμοί</w:t>
      </w:r>
    </w:p>
    <w:p w:rsidR="00C369FF" w:rsidRDefault="00C369FF">
      <w:pPr>
        <w:ind w:left="720"/>
        <w:rPr>
          <w:sz w:val="22"/>
          <w:szCs w:val="22"/>
        </w:rPr>
      </w:pPr>
    </w:p>
    <w:p w:rsidR="00C369FF" w:rsidRDefault="00865444">
      <w:pPr>
        <w:ind w:left="720"/>
        <w:rPr>
          <w:sz w:val="22"/>
          <w:szCs w:val="22"/>
        </w:rPr>
      </w:pPr>
      <w:r w:rsidRPr="000A3201">
        <w:rPr>
          <w:sz w:val="22"/>
          <w:szCs w:val="22"/>
        </w:rPr>
        <w:t xml:space="preserve">Η κάθαρση της μιρταζαπίνης ενδέχεται να είναι ελαττωμένη ως αποτέλεσμα της νεφρικής ή της ηπατικής </w:t>
      </w:r>
      <w:r w:rsidR="007B53B0">
        <w:rPr>
          <w:sz w:val="22"/>
          <w:szCs w:val="22"/>
        </w:rPr>
        <w:t>δυσλειτουργίας.</w:t>
      </w:r>
      <w:r w:rsidRPr="000A3201">
        <w:rPr>
          <w:sz w:val="22"/>
          <w:szCs w:val="22"/>
        </w:rPr>
        <w:t>.</w:t>
      </w:r>
    </w:p>
    <w:p w:rsidR="00865444" w:rsidRPr="000A3201" w:rsidRDefault="00865444" w:rsidP="007B53B0">
      <w:pPr>
        <w:ind w:left="720"/>
        <w:rPr>
          <w:sz w:val="22"/>
          <w:szCs w:val="22"/>
        </w:rPr>
      </w:pPr>
    </w:p>
    <w:p w:rsidR="00865444" w:rsidRPr="000A3201" w:rsidRDefault="00865444" w:rsidP="007B53B0">
      <w:pPr>
        <w:numPr>
          <w:ilvl w:val="1"/>
          <w:numId w:val="14"/>
        </w:numPr>
        <w:ind w:left="709" w:hanging="567"/>
        <w:rPr>
          <w:b/>
          <w:bCs/>
          <w:sz w:val="22"/>
          <w:szCs w:val="22"/>
        </w:rPr>
      </w:pPr>
      <w:r w:rsidRPr="000A3201">
        <w:rPr>
          <w:b/>
          <w:bCs/>
          <w:sz w:val="22"/>
          <w:szCs w:val="22"/>
        </w:rPr>
        <w:t>Προκλινικά δεδομένα για την ασφάλεια</w:t>
      </w:r>
    </w:p>
    <w:p w:rsidR="00865444" w:rsidRPr="000A3201" w:rsidRDefault="00865444">
      <w:pPr>
        <w:rPr>
          <w:b/>
          <w:bCs/>
          <w:sz w:val="22"/>
          <w:szCs w:val="22"/>
        </w:rPr>
      </w:pPr>
    </w:p>
    <w:p w:rsidR="00D16A29" w:rsidRPr="000A3201" w:rsidRDefault="00865444">
      <w:pPr>
        <w:ind w:left="720"/>
        <w:rPr>
          <w:sz w:val="22"/>
          <w:szCs w:val="22"/>
        </w:rPr>
      </w:pPr>
      <w:r w:rsidRPr="000A3201">
        <w:rPr>
          <w:noProof/>
          <w:sz w:val="22"/>
          <w:szCs w:val="22"/>
        </w:rPr>
        <w:t xml:space="preserve">Τα </w:t>
      </w:r>
      <w:r w:rsidR="007B53B0">
        <w:rPr>
          <w:noProof/>
          <w:sz w:val="22"/>
          <w:szCs w:val="22"/>
        </w:rPr>
        <w:t xml:space="preserve">μη </w:t>
      </w:r>
      <w:r w:rsidRPr="000A3201">
        <w:rPr>
          <w:noProof/>
          <w:sz w:val="22"/>
          <w:szCs w:val="22"/>
        </w:rPr>
        <w:t>κλινικά δεδομένα δεν αποκαλύπτουν ιδιαίτερο κίνδυνο για τον άνθρωπο με βάση τις συμβατικές μελέτες φαρμακολογικής ασφάλειας,</w:t>
      </w:r>
      <w:r w:rsidRPr="007B53B0">
        <w:rPr>
          <w:noProof/>
          <w:sz w:val="22"/>
          <w:szCs w:val="22"/>
        </w:rPr>
        <w:t xml:space="preserve"> </w:t>
      </w:r>
      <w:r w:rsidRPr="000A3201">
        <w:rPr>
          <w:noProof/>
          <w:sz w:val="22"/>
          <w:szCs w:val="22"/>
        </w:rPr>
        <w:t xml:space="preserve">τοξικότητας επαναλαμβανόμενων δόσεων, </w:t>
      </w:r>
      <w:r w:rsidR="00FE341A" w:rsidRPr="000A3201">
        <w:rPr>
          <w:noProof/>
          <w:sz w:val="22"/>
          <w:szCs w:val="22"/>
        </w:rPr>
        <w:t>γονοτοξικότητας</w:t>
      </w:r>
      <w:r w:rsidR="00FE341A" w:rsidRPr="00762E0C">
        <w:rPr>
          <w:noProof/>
          <w:sz w:val="22"/>
          <w:szCs w:val="22"/>
        </w:rPr>
        <w:t>,</w:t>
      </w:r>
      <w:r w:rsidR="00FE341A">
        <w:rPr>
          <w:noProof/>
          <w:sz w:val="22"/>
          <w:szCs w:val="22"/>
        </w:rPr>
        <w:t xml:space="preserve"> </w:t>
      </w:r>
      <w:r w:rsidRPr="000A3201">
        <w:rPr>
          <w:noProof/>
          <w:sz w:val="22"/>
          <w:szCs w:val="22"/>
        </w:rPr>
        <w:t>ενδεχόμενης καρκινογόνου δράσης</w:t>
      </w:r>
      <w:r w:rsidR="009A41D4" w:rsidRPr="00762E0C">
        <w:rPr>
          <w:noProof/>
          <w:sz w:val="22"/>
          <w:szCs w:val="22"/>
        </w:rPr>
        <w:t>, τοξικότητας στην αναπ</w:t>
      </w:r>
      <w:r w:rsidR="009A41D4">
        <w:rPr>
          <w:noProof/>
          <w:sz w:val="22"/>
          <w:szCs w:val="22"/>
        </w:rPr>
        <w:t>αραγωγική ικανότητα</w:t>
      </w:r>
      <w:r w:rsidR="00912246" w:rsidRPr="00AA1AB4">
        <w:rPr>
          <w:noProof/>
          <w:sz w:val="22"/>
          <w:szCs w:val="22"/>
        </w:rPr>
        <w:t xml:space="preserve"> </w:t>
      </w:r>
      <w:commentRangeStart w:id="12"/>
      <w:r w:rsidR="00912246">
        <w:rPr>
          <w:noProof/>
          <w:sz w:val="22"/>
          <w:szCs w:val="22"/>
        </w:rPr>
        <w:t xml:space="preserve">και </w:t>
      </w:r>
      <w:r w:rsidR="006C3A09">
        <w:rPr>
          <w:noProof/>
          <w:sz w:val="22"/>
          <w:szCs w:val="22"/>
        </w:rPr>
        <w:t xml:space="preserve">την </w:t>
      </w:r>
      <w:r w:rsidR="00912246">
        <w:rPr>
          <w:noProof/>
          <w:sz w:val="22"/>
          <w:szCs w:val="22"/>
        </w:rPr>
        <w:t>ανάπτυξη</w:t>
      </w:r>
      <w:commentRangeEnd w:id="12"/>
      <w:r w:rsidR="00912246">
        <w:rPr>
          <w:rStyle w:val="aa"/>
        </w:rPr>
        <w:commentReference w:id="12"/>
      </w:r>
      <w:r w:rsidR="009A41D4" w:rsidRPr="00762E0C">
        <w:rPr>
          <w:noProof/>
          <w:sz w:val="22"/>
          <w:szCs w:val="22"/>
        </w:rPr>
        <w:t>.</w:t>
      </w:r>
    </w:p>
    <w:p w:rsidR="00D16A29" w:rsidRPr="000A3201" w:rsidRDefault="00D16A29">
      <w:pPr>
        <w:ind w:left="720"/>
        <w:rPr>
          <w:sz w:val="22"/>
          <w:szCs w:val="22"/>
        </w:rPr>
      </w:pPr>
    </w:p>
    <w:p w:rsidR="00D16A29" w:rsidRPr="000A3201" w:rsidRDefault="00865444">
      <w:pPr>
        <w:ind w:left="720"/>
        <w:rPr>
          <w:sz w:val="22"/>
          <w:szCs w:val="22"/>
        </w:rPr>
      </w:pPr>
      <w:r w:rsidRPr="000A3201">
        <w:rPr>
          <w:sz w:val="22"/>
          <w:szCs w:val="22"/>
        </w:rPr>
        <w:t xml:space="preserve">Σε μελέτες </w:t>
      </w:r>
      <w:r w:rsidR="00D16A29" w:rsidRPr="000A3201">
        <w:rPr>
          <w:sz w:val="22"/>
          <w:szCs w:val="22"/>
        </w:rPr>
        <w:t xml:space="preserve">τοξικότητας στην αναπαραγωγική ικανότητα </w:t>
      </w:r>
      <w:r w:rsidRPr="000A3201">
        <w:rPr>
          <w:sz w:val="22"/>
          <w:szCs w:val="22"/>
        </w:rPr>
        <w:t xml:space="preserve">σε αρουραίους και κουνέλια, δεν παρατηρήθηκε τερατογόνος δράση. </w:t>
      </w:r>
      <w:r w:rsidR="005C4605" w:rsidRPr="000A3201">
        <w:rPr>
          <w:sz w:val="22"/>
          <w:szCs w:val="22"/>
        </w:rPr>
        <w:t>Με έ</w:t>
      </w:r>
      <w:r w:rsidR="009B1371" w:rsidRPr="000A3201">
        <w:rPr>
          <w:sz w:val="22"/>
          <w:szCs w:val="22"/>
        </w:rPr>
        <w:t xml:space="preserve">κθεση σε διπλάσια δόση </w:t>
      </w:r>
      <w:r w:rsidR="005C4605" w:rsidRPr="000A3201">
        <w:rPr>
          <w:sz w:val="22"/>
          <w:szCs w:val="22"/>
        </w:rPr>
        <w:t>από τη μέγιστη θεραπευτική στον άνθρωπο</w:t>
      </w:r>
      <w:r w:rsidR="009B1371" w:rsidRPr="000A3201">
        <w:rPr>
          <w:sz w:val="22"/>
          <w:szCs w:val="22"/>
        </w:rPr>
        <w:t xml:space="preserve"> </w:t>
      </w:r>
      <w:r w:rsidR="00D16A29" w:rsidRPr="000A3201">
        <w:rPr>
          <w:sz w:val="22"/>
          <w:szCs w:val="22"/>
        </w:rPr>
        <w:t>υ</w:t>
      </w:r>
      <w:r w:rsidRPr="000A3201">
        <w:rPr>
          <w:sz w:val="22"/>
          <w:szCs w:val="22"/>
        </w:rPr>
        <w:t>πήρξε</w:t>
      </w:r>
      <w:r w:rsidR="005E49D9" w:rsidRPr="000A3201">
        <w:rPr>
          <w:sz w:val="22"/>
          <w:szCs w:val="22"/>
        </w:rPr>
        <w:t xml:space="preserve"> </w:t>
      </w:r>
      <w:r w:rsidRPr="000A3201">
        <w:rPr>
          <w:sz w:val="22"/>
          <w:szCs w:val="22"/>
        </w:rPr>
        <w:t>αύξηση της απώλειας εμβρύων μετά από την εμφύτευση, μείωση του βάρους των νεογνών και μείωση της επιβίωσης των νεογνών τις πρώτες τρεις ημέρες του θηλασμού</w:t>
      </w:r>
      <w:r w:rsidR="00D16A29" w:rsidRPr="000A3201">
        <w:rPr>
          <w:sz w:val="22"/>
          <w:szCs w:val="22"/>
        </w:rPr>
        <w:t xml:space="preserve"> στους αρουραίους</w:t>
      </w:r>
      <w:r w:rsidRPr="000A3201">
        <w:rPr>
          <w:sz w:val="22"/>
          <w:szCs w:val="22"/>
        </w:rPr>
        <w:t xml:space="preserve">. </w:t>
      </w:r>
    </w:p>
    <w:p w:rsidR="000F71A2" w:rsidRPr="000A3201" w:rsidRDefault="000F71A2">
      <w:pPr>
        <w:ind w:left="720"/>
        <w:rPr>
          <w:sz w:val="22"/>
          <w:szCs w:val="22"/>
        </w:rPr>
      </w:pPr>
    </w:p>
    <w:p w:rsidR="00865444" w:rsidRPr="000A3201" w:rsidRDefault="00865444">
      <w:pPr>
        <w:ind w:left="720"/>
        <w:rPr>
          <w:sz w:val="22"/>
          <w:szCs w:val="22"/>
        </w:rPr>
      </w:pPr>
      <w:r w:rsidRPr="000A3201">
        <w:rPr>
          <w:sz w:val="22"/>
          <w:szCs w:val="22"/>
        </w:rPr>
        <w:t>Σε σειρά δοκιμών γονιδιακών μεταλλάξεων ή χρωμοσωμικών βλαβών και βλαβών στο DNA, η μιρταζαπίνη δεν αποδείχτηκε γονοτοξική. Οι όγκοι του θυρεοειδούς αδένα που βρέθηκαν σε μία μελέτη καρκινογένεσης σε αρουραίους και τα ηπατοκυτταρικά νεοπλάσματα που βρέθηκαν σε μελέτη καρκινογένεσης σε ποντίκια, θεωρήθηκαν ευρήματα που αφορούν στο συγκεκριμένο είδος, μη-γονοτοξικά, σχετιζόμενα με τη μακρόχρονη θεραπεία επαγωγέων των ηπατικών ενζύμων σε υψηλές δόσεις.</w:t>
      </w:r>
    </w:p>
    <w:p w:rsidR="00865444" w:rsidRPr="000A3201" w:rsidRDefault="00865444">
      <w:pPr>
        <w:ind w:left="720"/>
        <w:rPr>
          <w:sz w:val="22"/>
          <w:szCs w:val="22"/>
        </w:rPr>
      </w:pPr>
    </w:p>
    <w:p w:rsidR="00C2075A" w:rsidRPr="000A3201" w:rsidRDefault="00C2075A">
      <w:pPr>
        <w:ind w:left="720"/>
        <w:rPr>
          <w:sz w:val="22"/>
          <w:szCs w:val="22"/>
        </w:rPr>
      </w:pPr>
    </w:p>
    <w:p w:rsidR="00865444" w:rsidRPr="000A3201" w:rsidRDefault="00865444">
      <w:pPr>
        <w:numPr>
          <w:ilvl w:val="0"/>
          <w:numId w:val="14"/>
        </w:numPr>
        <w:ind w:left="709" w:hanging="567"/>
        <w:rPr>
          <w:b/>
          <w:bCs/>
          <w:sz w:val="22"/>
          <w:szCs w:val="22"/>
        </w:rPr>
      </w:pPr>
      <w:r w:rsidRPr="000A3201">
        <w:rPr>
          <w:b/>
          <w:bCs/>
          <w:sz w:val="22"/>
          <w:szCs w:val="22"/>
        </w:rPr>
        <w:t>ΦΑΡΜΑΚΕΥΤΙΚΕΣ ΠΛΗΡΟΦΟΡΙΕΣ</w:t>
      </w:r>
    </w:p>
    <w:p w:rsidR="00865444" w:rsidRPr="000A3201" w:rsidRDefault="00865444">
      <w:pPr>
        <w:rPr>
          <w:sz w:val="22"/>
          <w:szCs w:val="22"/>
        </w:rPr>
      </w:pPr>
    </w:p>
    <w:p w:rsidR="00865444" w:rsidRPr="000A3201" w:rsidRDefault="00865444">
      <w:pPr>
        <w:numPr>
          <w:ilvl w:val="1"/>
          <w:numId w:val="14"/>
        </w:numPr>
        <w:ind w:left="709" w:hanging="567"/>
        <w:rPr>
          <w:b/>
          <w:bCs/>
          <w:sz w:val="22"/>
          <w:szCs w:val="22"/>
        </w:rPr>
      </w:pPr>
      <w:r w:rsidRPr="000A3201">
        <w:rPr>
          <w:b/>
          <w:bCs/>
          <w:sz w:val="22"/>
          <w:szCs w:val="22"/>
        </w:rPr>
        <w:t>Κατάλογος εκδόχων</w:t>
      </w:r>
    </w:p>
    <w:p w:rsidR="00865444" w:rsidRPr="000A3201" w:rsidRDefault="00865444">
      <w:pPr>
        <w:rPr>
          <w:sz w:val="22"/>
          <w:szCs w:val="22"/>
        </w:rPr>
      </w:pPr>
    </w:p>
    <w:p w:rsidR="00865444" w:rsidRPr="000A3201" w:rsidRDefault="00865444">
      <w:pPr>
        <w:pStyle w:val="a5"/>
        <w:ind w:firstLine="720"/>
        <w:jc w:val="left"/>
        <w:rPr>
          <w:b/>
          <w:sz w:val="22"/>
          <w:szCs w:val="22"/>
          <w:u w:val="single"/>
          <w:lang w:val="el-GR"/>
        </w:rPr>
      </w:pPr>
      <w:r w:rsidRPr="000A3201">
        <w:rPr>
          <w:b/>
          <w:sz w:val="22"/>
          <w:szCs w:val="22"/>
          <w:u w:val="single"/>
          <w:lang w:val="el-GR"/>
        </w:rPr>
        <w:t>Πυρήνας δισκίου</w:t>
      </w:r>
    </w:p>
    <w:p w:rsidR="00865444" w:rsidRPr="000A3201" w:rsidRDefault="00865444">
      <w:pPr>
        <w:pStyle w:val="a5"/>
        <w:ind w:firstLine="720"/>
        <w:jc w:val="left"/>
        <w:rPr>
          <w:sz w:val="22"/>
          <w:szCs w:val="22"/>
          <w:lang w:val="el-GR"/>
        </w:rPr>
      </w:pPr>
    </w:p>
    <w:p w:rsidR="00865444" w:rsidRPr="000A3201" w:rsidRDefault="00865444">
      <w:pPr>
        <w:pStyle w:val="a5"/>
        <w:ind w:firstLine="720"/>
        <w:jc w:val="left"/>
        <w:rPr>
          <w:sz w:val="22"/>
          <w:szCs w:val="22"/>
          <w:lang w:val="el-GR"/>
        </w:rPr>
      </w:pPr>
      <w:r w:rsidRPr="000A3201">
        <w:rPr>
          <w:sz w:val="22"/>
          <w:szCs w:val="22"/>
          <w:lang w:val="el-GR"/>
        </w:rPr>
        <w:t>Λακτόζη άνυδρη</w:t>
      </w:r>
    </w:p>
    <w:p w:rsidR="00865444" w:rsidRPr="000A3201" w:rsidRDefault="00865444">
      <w:pPr>
        <w:pStyle w:val="a5"/>
        <w:ind w:firstLine="720"/>
        <w:jc w:val="left"/>
        <w:rPr>
          <w:sz w:val="22"/>
          <w:szCs w:val="22"/>
          <w:lang w:val="el-GR"/>
        </w:rPr>
      </w:pPr>
      <w:r w:rsidRPr="000A3201">
        <w:rPr>
          <w:sz w:val="22"/>
          <w:szCs w:val="22"/>
          <w:lang w:val="el-GR"/>
        </w:rPr>
        <w:t>Άμυλο αραβοσίτου</w:t>
      </w:r>
    </w:p>
    <w:p w:rsidR="00865444" w:rsidRPr="000A3201" w:rsidRDefault="00865444">
      <w:pPr>
        <w:pStyle w:val="a5"/>
        <w:ind w:firstLine="720"/>
        <w:jc w:val="left"/>
        <w:rPr>
          <w:sz w:val="22"/>
          <w:szCs w:val="22"/>
          <w:lang w:val="el-GR"/>
        </w:rPr>
      </w:pPr>
      <w:r w:rsidRPr="000A3201">
        <w:rPr>
          <w:sz w:val="22"/>
          <w:szCs w:val="22"/>
          <w:lang w:val="el-GR"/>
        </w:rPr>
        <w:t>Πυριτίου οξείδιο</w:t>
      </w:r>
      <w:r w:rsidR="006417B5">
        <w:rPr>
          <w:sz w:val="22"/>
          <w:szCs w:val="22"/>
          <w:lang w:val="el-GR"/>
        </w:rPr>
        <w:t>,</w:t>
      </w:r>
      <w:r w:rsidRPr="000A3201">
        <w:rPr>
          <w:sz w:val="22"/>
          <w:szCs w:val="22"/>
          <w:lang w:val="el-GR"/>
        </w:rPr>
        <w:t xml:space="preserve"> κολλοειδές άνυδρο</w:t>
      </w:r>
    </w:p>
    <w:p w:rsidR="00865444" w:rsidRPr="000A3201" w:rsidRDefault="00865444">
      <w:pPr>
        <w:pStyle w:val="a5"/>
        <w:ind w:firstLine="720"/>
        <w:jc w:val="left"/>
        <w:rPr>
          <w:sz w:val="22"/>
          <w:szCs w:val="22"/>
          <w:lang w:val="el-GR"/>
        </w:rPr>
      </w:pPr>
      <w:r w:rsidRPr="000A3201">
        <w:rPr>
          <w:sz w:val="22"/>
          <w:szCs w:val="22"/>
          <w:lang w:val="el-GR"/>
        </w:rPr>
        <w:t xml:space="preserve">Υδροξυπροπυλο κυτταρίνη χαμηλής υποκατάστασης </w:t>
      </w:r>
    </w:p>
    <w:p w:rsidR="00865444" w:rsidRPr="000A3201" w:rsidRDefault="00865444">
      <w:pPr>
        <w:pStyle w:val="a5"/>
        <w:ind w:firstLine="720"/>
        <w:jc w:val="left"/>
        <w:rPr>
          <w:sz w:val="22"/>
          <w:szCs w:val="22"/>
          <w:lang w:val="el-GR"/>
        </w:rPr>
      </w:pPr>
      <w:r w:rsidRPr="000A3201">
        <w:rPr>
          <w:sz w:val="22"/>
          <w:szCs w:val="22"/>
          <w:lang w:val="el-GR"/>
        </w:rPr>
        <w:t xml:space="preserve">Μαγνήσιο στεατικό </w:t>
      </w:r>
    </w:p>
    <w:p w:rsidR="00865444" w:rsidRPr="000A3201" w:rsidRDefault="00865444">
      <w:pPr>
        <w:pStyle w:val="4"/>
        <w:rPr>
          <w:sz w:val="22"/>
          <w:szCs w:val="22"/>
          <w:lang w:val="el-GR"/>
        </w:rPr>
      </w:pPr>
    </w:p>
    <w:p w:rsidR="00865444" w:rsidRPr="000A3201" w:rsidRDefault="00865444">
      <w:pPr>
        <w:pStyle w:val="a5"/>
        <w:ind w:firstLine="720"/>
        <w:jc w:val="left"/>
        <w:rPr>
          <w:b/>
          <w:sz w:val="22"/>
          <w:szCs w:val="22"/>
          <w:u w:val="single"/>
          <w:lang w:val="el-GR"/>
        </w:rPr>
      </w:pPr>
      <w:r w:rsidRPr="000A3201">
        <w:rPr>
          <w:b/>
          <w:sz w:val="22"/>
          <w:szCs w:val="22"/>
          <w:u w:val="single"/>
          <w:lang w:val="el-GR"/>
        </w:rPr>
        <w:t>Επικάλυψη</w:t>
      </w:r>
    </w:p>
    <w:p w:rsidR="00865444" w:rsidRPr="000A3201" w:rsidRDefault="00865444">
      <w:pPr>
        <w:pStyle w:val="a5"/>
        <w:ind w:firstLine="720"/>
        <w:jc w:val="left"/>
        <w:rPr>
          <w:sz w:val="22"/>
          <w:szCs w:val="22"/>
          <w:lang w:val="el-GR"/>
        </w:rPr>
      </w:pPr>
    </w:p>
    <w:p w:rsidR="00865444" w:rsidRPr="000A3201" w:rsidRDefault="00865444">
      <w:pPr>
        <w:pStyle w:val="a5"/>
        <w:ind w:firstLine="720"/>
        <w:jc w:val="left"/>
        <w:rPr>
          <w:sz w:val="22"/>
          <w:szCs w:val="22"/>
          <w:lang w:val="el-GR"/>
        </w:rPr>
      </w:pPr>
      <w:r w:rsidRPr="000A3201">
        <w:rPr>
          <w:sz w:val="22"/>
          <w:szCs w:val="22"/>
          <w:lang w:val="el-GR"/>
        </w:rPr>
        <w:t xml:space="preserve">Τιτανίου διοξείδιο </w:t>
      </w:r>
      <w:r w:rsidRPr="000A3201">
        <w:rPr>
          <w:bCs/>
          <w:sz w:val="22"/>
          <w:szCs w:val="22"/>
          <w:lang w:val="el-GR"/>
        </w:rPr>
        <w:t>(</w:t>
      </w:r>
      <w:r w:rsidRPr="000A3201">
        <w:rPr>
          <w:bCs/>
          <w:sz w:val="22"/>
          <w:szCs w:val="22"/>
        </w:rPr>
        <w:t>E</w:t>
      </w:r>
      <w:r w:rsidRPr="000A3201">
        <w:rPr>
          <w:bCs/>
          <w:sz w:val="22"/>
          <w:szCs w:val="22"/>
          <w:lang w:val="el-GR"/>
        </w:rPr>
        <w:t>171)</w:t>
      </w:r>
    </w:p>
    <w:p w:rsidR="00865444" w:rsidRPr="000A3201" w:rsidRDefault="00865444">
      <w:pPr>
        <w:pStyle w:val="a5"/>
        <w:ind w:firstLine="720"/>
        <w:jc w:val="left"/>
        <w:rPr>
          <w:sz w:val="22"/>
          <w:szCs w:val="22"/>
          <w:lang w:val="el-GR"/>
        </w:rPr>
      </w:pPr>
      <w:r w:rsidRPr="000A3201">
        <w:rPr>
          <w:sz w:val="22"/>
          <w:szCs w:val="22"/>
          <w:lang w:val="el-GR"/>
        </w:rPr>
        <w:t xml:space="preserve">Λακτόζη μονοϋδρική </w:t>
      </w:r>
    </w:p>
    <w:p w:rsidR="00865444" w:rsidRPr="000A3201" w:rsidRDefault="00865444">
      <w:pPr>
        <w:pStyle w:val="a5"/>
        <w:ind w:firstLine="720"/>
        <w:jc w:val="left"/>
        <w:rPr>
          <w:sz w:val="22"/>
          <w:szCs w:val="22"/>
          <w:lang w:val="el-GR"/>
        </w:rPr>
      </w:pPr>
      <w:r w:rsidRPr="000A3201">
        <w:rPr>
          <w:sz w:val="22"/>
          <w:szCs w:val="22"/>
          <w:lang w:val="el-GR"/>
        </w:rPr>
        <w:t>Πολυαιθυλενογλυκόλη 4000</w:t>
      </w:r>
    </w:p>
    <w:p w:rsidR="00865444" w:rsidRPr="000A3201" w:rsidRDefault="00865444">
      <w:pPr>
        <w:pStyle w:val="a5"/>
        <w:ind w:firstLine="720"/>
        <w:jc w:val="left"/>
        <w:rPr>
          <w:sz w:val="22"/>
          <w:szCs w:val="22"/>
          <w:lang w:val="el-GR"/>
        </w:rPr>
      </w:pPr>
      <w:r w:rsidRPr="000A3201">
        <w:rPr>
          <w:sz w:val="22"/>
          <w:szCs w:val="22"/>
          <w:lang w:val="el-GR"/>
        </w:rPr>
        <w:t xml:space="preserve">Υπρομελλόζη </w:t>
      </w:r>
    </w:p>
    <w:p w:rsidR="00865444" w:rsidRPr="000A3201" w:rsidRDefault="00865444">
      <w:pPr>
        <w:pStyle w:val="a5"/>
        <w:ind w:firstLine="720"/>
        <w:jc w:val="left"/>
        <w:rPr>
          <w:bCs/>
          <w:sz w:val="22"/>
          <w:szCs w:val="22"/>
          <w:lang w:val="el-GR"/>
        </w:rPr>
      </w:pPr>
      <w:r w:rsidRPr="000A3201">
        <w:rPr>
          <w:sz w:val="22"/>
          <w:szCs w:val="22"/>
          <w:lang w:val="el-GR"/>
        </w:rPr>
        <w:t xml:space="preserve">Σιδήρου οξείδιο κίτρινο </w:t>
      </w:r>
      <w:r w:rsidRPr="000A3201">
        <w:rPr>
          <w:bCs/>
          <w:sz w:val="22"/>
          <w:szCs w:val="22"/>
          <w:lang w:val="el-GR"/>
        </w:rPr>
        <w:t>(</w:t>
      </w:r>
      <w:r w:rsidRPr="000A3201">
        <w:rPr>
          <w:bCs/>
          <w:sz w:val="22"/>
          <w:szCs w:val="22"/>
        </w:rPr>
        <w:t>E</w:t>
      </w:r>
      <w:r w:rsidRPr="000A3201">
        <w:rPr>
          <w:bCs/>
          <w:sz w:val="22"/>
          <w:szCs w:val="22"/>
          <w:lang w:val="el-GR"/>
        </w:rPr>
        <w:t>172)</w:t>
      </w:r>
    </w:p>
    <w:p w:rsidR="00865444" w:rsidRPr="000A3201" w:rsidRDefault="00865444">
      <w:pPr>
        <w:pStyle w:val="a5"/>
        <w:ind w:firstLine="720"/>
        <w:jc w:val="left"/>
        <w:rPr>
          <w:bCs/>
          <w:sz w:val="22"/>
          <w:szCs w:val="22"/>
          <w:lang w:val="el-GR"/>
        </w:rPr>
      </w:pPr>
      <w:r w:rsidRPr="000A3201">
        <w:rPr>
          <w:sz w:val="22"/>
          <w:szCs w:val="22"/>
          <w:lang w:val="el-GR"/>
        </w:rPr>
        <w:t xml:space="preserve">Σιδήρου οξείδιο ερυθρό </w:t>
      </w:r>
      <w:r w:rsidRPr="000A3201">
        <w:rPr>
          <w:bCs/>
          <w:sz w:val="22"/>
          <w:szCs w:val="22"/>
          <w:lang w:val="el-GR"/>
        </w:rPr>
        <w:t>(</w:t>
      </w:r>
      <w:r w:rsidRPr="000A3201">
        <w:rPr>
          <w:bCs/>
          <w:sz w:val="22"/>
          <w:szCs w:val="22"/>
        </w:rPr>
        <w:t>E</w:t>
      </w:r>
      <w:r w:rsidRPr="000A3201">
        <w:rPr>
          <w:bCs/>
          <w:sz w:val="22"/>
          <w:szCs w:val="22"/>
          <w:lang w:val="el-GR"/>
        </w:rPr>
        <w:t>172)</w:t>
      </w:r>
    </w:p>
    <w:p w:rsidR="00865444" w:rsidRPr="000A3201" w:rsidRDefault="00865444">
      <w:pPr>
        <w:pStyle w:val="a5"/>
        <w:ind w:firstLine="720"/>
        <w:jc w:val="left"/>
        <w:rPr>
          <w:sz w:val="22"/>
          <w:szCs w:val="22"/>
          <w:lang w:val="el-GR"/>
        </w:rPr>
      </w:pPr>
      <w:r w:rsidRPr="000A3201">
        <w:rPr>
          <w:sz w:val="22"/>
          <w:szCs w:val="22"/>
          <w:lang w:val="el-GR"/>
        </w:rPr>
        <w:t>Σιδήρου οξείδιο μέλαν</w:t>
      </w:r>
      <w:r w:rsidRPr="000A3201">
        <w:rPr>
          <w:bCs/>
          <w:sz w:val="22"/>
          <w:szCs w:val="22"/>
          <w:lang w:val="el-GR"/>
        </w:rPr>
        <w:t xml:space="preserve"> (</w:t>
      </w:r>
      <w:r w:rsidRPr="000A3201">
        <w:rPr>
          <w:bCs/>
          <w:sz w:val="22"/>
          <w:szCs w:val="22"/>
        </w:rPr>
        <w:t>E</w:t>
      </w:r>
      <w:r w:rsidRPr="000A3201">
        <w:rPr>
          <w:bCs/>
          <w:sz w:val="22"/>
          <w:szCs w:val="22"/>
          <w:lang w:val="el-GR"/>
        </w:rPr>
        <w:t>172)</w:t>
      </w:r>
    </w:p>
    <w:p w:rsidR="00865444" w:rsidRPr="000A3201" w:rsidRDefault="00865444">
      <w:pPr>
        <w:rPr>
          <w:b/>
          <w:bCs/>
          <w:sz w:val="22"/>
          <w:szCs w:val="22"/>
        </w:rPr>
      </w:pPr>
    </w:p>
    <w:p w:rsidR="00865444" w:rsidRPr="000A3201" w:rsidRDefault="00865444">
      <w:pPr>
        <w:numPr>
          <w:ilvl w:val="1"/>
          <w:numId w:val="14"/>
        </w:numPr>
        <w:ind w:left="709" w:hanging="709"/>
        <w:rPr>
          <w:b/>
          <w:bCs/>
          <w:sz w:val="22"/>
          <w:szCs w:val="22"/>
        </w:rPr>
      </w:pPr>
      <w:r w:rsidRPr="000A3201">
        <w:rPr>
          <w:b/>
          <w:bCs/>
          <w:sz w:val="22"/>
          <w:szCs w:val="22"/>
        </w:rPr>
        <w:t>Ασυμβατότητες</w:t>
      </w:r>
    </w:p>
    <w:p w:rsidR="00865444" w:rsidRPr="000A3201" w:rsidRDefault="00865444">
      <w:pPr>
        <w:rPr>
          <w:sz w:val="22"/>
          <w:szCs w:val="22"/>
        </w:rPr>
      </w:pPr>
    </w:p>
    <w:p w:rsidR="00865444" w:rsidRPr="000A3201" w:rsidRDefault="00865444">
      <w:pPr>
        <w:ind w:left="720"/>
        <w:rPr>
          <w:sz w:val="22"/>
          <w:szCs w:val="22"/>
        </w:rPr>
      </w:pPr>
      <w:r w:rsidRPr="000A3201">
        <w:rPr>
          <w:sz w:val="22"/>
          <w:szCs w:val="22"/>
        </w:rPr>
        <w:t>Δεν εφαρμόζεται.</w:t>
      </w:r>
    </w:p>
    <w:p w:rsidR="00865444" w:rsidRPr="000A3201" w:rsidRDefault="00865444">
      <w:pPr>
        <w:ind w:left="720"/>
        <w:rPr>
          <w:sz w:val="22"/>
          <w:szCs w:val="22"/>
        </w:rPr>
      </w:pPr>
    </w:p>
    <w:p w:rsidR="00865444" w:rsidRPr="000A3201" w:rsidRDefault="00865444">
      <w:pPr>
        <w:numPr>
          <w:ilvl w:val="1"/>
          <w:numId w:val="14"/>
        </w:numPr>
        <w:ind w:left="709" w:hanging="709"/>
        <w:rPr>
          <w:b/>
          <w:bCs/>
          <w:sz w:val="22"/>
          <w:szCs w:val="22"/>
        </w:rPr>
      </w:pPr>
      <w:r w:rsidRPr="000A3201">
        <w:rPr>
          <w:b/>
          <w:bCs/>
          <w:sz w:val="22"/>
          <w:szCs w:val="22"/>
        </w:rPr>
        <w:t>Διάρκεια ζωής</w:t>
      </w:r>
    </w:p>
    <w:p w:rsidR="00865444" w:rsidRPr="000A3201" w:rsidRDefault="00865444">
      <w:pPr>
        <w:rPr>
          <w:sz w:val="22"/>
          <w:szCs w:val="22"/>
        </w:rPr>
      </w:pPr>
    </w:p>
    <w:p w:rsidR="00865444" w:rsidRPr="000A3201" w:rsidRDefault="00865444">
      <w:pPr>
        <w:ind w:left="720"/>
        <w:rPr>
          <w:sz w:val="22"/>
          <w:szCs w:val="22"/>
        </w:rPr>
      </w:pPr>
      <w:r w:rsidRPr="000A3201">
        <w:rPr>
          <w:sz w:val="22"/>
          <w:szCs w:val="22"/>
          <w:lang w:val="en-US"/>
        </w:rPr>
        <w:t>3</w:t>
      </w:r>
      <w:r w:rsidRPr="000A3201">
        <w:rPr>
          <w:sz w:val="22"/>
          <w:szCs w:val="22"/>
        </w:rPr>
        <w:t xml:space="preserve"> χρόνια</w:t>
      </w:r>
    </w:p>
    <w:p w:rsidR="00865444" w:rsidRPr="000A3201" w:rsidRDefault="00865444">
      <w:pPr>
        <w:ind w:left="720"/>
        <w:rPr>
          <w:sz w:val="22"/>
          <w:szCs w:val="22"/>
        </w:rPr>
      </w:pPr>
    </w:p>
    <w:p w:rsidR="00865444" w:rsidRPr="000A3201" w:rsidRDefault="00865444">
      <w:pPr>
        <w:numPr>
          <w:ilvl w:val="1"/>
          <w:numId w:val="14"/>
        </w:numPr>
        <w:ind w:left="709" w:hanging="709"/>
        <w:rPr>
          <w:b/>
          <w:bCs/>
          <w:sz w:val="22"/>
          <w:szCs w:val="22"/>
        </w:rPr>
      </w:pPr>
      <w:r w:rsidRPr="000A3201">
        <w:rPr>
          <w:b/>
          <w:bCs/>
          <w:sz w:val="22"/>
          <w:szCs w:val="22"/>
        </w:rPr>
        <w:t>Ιδιαίτερες προφυλάξεις κατά τη φύλαξη</w:t>
      </w:r>
      <w:r w:rsidR="00851CF6" w:rsidRPr="000A3201">
        <w:rPr>
          <w:b/>
          <w:noProof/>
          <w:sz w:val="22"/>
          <w:szCs w:val="22"/>
          <w:lang w:eastAsia="en-US"/>
        </w:rPr>
        <w:t xml:space="preserve"> </w:t>
      </w:r>
      <w:r w:rsidR="00851CF6" w:rsidRPr="000A3201">
        <w:rPr>
          <w:b/>
          <w:bCs/>
          <w:sz w:val="22"/>
          <w:szCs w:val="22"/>
        </w:rPr>
        <w:t>του προϊόντος</w:t>
      </w:r>
    </w:p>
    <w:p w:rsidR="00865444" w:rsidRPr="000A3201" w:rsidRDefault="00865444">
      <w:pPr>
        <w:rPr>
          <w:sz w:val="22"/>
          <w:szCs w:val="22"/>
        </w:rPr>
      </w:pPr>
    </w:p>
    <w:p w:rsidR="00865444" w:rsidRPr="000A3201" w:rsidRDefault="00865444">
      <w:pPr>
        <w:ind w:left="720"/>
        <w:rPr>
          <w:sz w:val="22"/>
          <w:szCs w:val="22"/>
        </w:rPr>
      </w:pPr>
      <w:r w:rsidRPr="000A3201">
        <w:rPr>
          <w:sz w:val="22"/>
          <w:szCs w:val="22"/>
        </w:rPr>
        <w:t>Φυλάσσετε στην αρχική συσκευασία.</w:t>
      </w:r>
    </w:p>
    <w:p w:rsidR="00865444" w:rsidRPr="000A3201" w:rsidRDefault="00865444">
      <w:pPr>
        <w:ind w:left="720"/>
        <w:rPr>
          <w:sz w:val="22"/>
          <w:szCs w:val="22"/>
        </w:rPr>
      </w:pPr>
    </w:p>
    <w:p w:rsidR="00865444" w:rsidRPr="000A3201" w:rsidRDefault="00865444">
      <w:pPr>
        <w:pStyle w:val="1"/>
        <w:rPr>
          <w:sz w:val="22"/>
          <w:szCs w:val="22"/>
          <w:lang w:val="el-GR"/>
        </w:rPr>
      </w:pPr>
      <w:r w:rsidRPr="000A3201">
        <w:rPr>
          <w:sz w:val="22"/>
          <w:szCs w:val="22"/>
          <w:lang w:val="el-GR"/>
        </w:rPr>
        <w:t>Κυψέλες (</w:t>
      </w:r>
      <w:r w:rsidR="0056642B" w:rsidRPr="000A3201">
        <w:rPr>
          <w:sz w:val="22"/>
          <w:szCs w:val="22"/>
          <w:lang w:val="en-US"/>
        </w:rPr>
        <w:t>b</w:t>
      </w:r>
      <w:proofErr w:type="spellStart"/>
      <w:r w:rsidRPr="000A3201">
        <w:rPr>
          <w:sz w:val="22"/>
          <w:szCs w:val="22"/>
        </w:rPr>
        <w:t>listers</w:t>
      </w:r>
      <w:proofErr w:type="spellEnd"/>
      <w:r w:rsidRPr="000A3201">
        <w:rPr>
          <w:sz w:val="22"/>
          <w:szCs w:val="22"/>
          <w:lang w:val="el-GR"/>
        </w:rPr>
        <w:t>)</w:t>
      </w:r>
    </w:p>
    <w:p w:rsidR="00865444" w:rsidRPr="000A3201" w:rsidRDefault="006417B5">
      <w:pPr>
        <w:pStyle w:val="5"/>
        <w:rPr>
          <w:sz w:val="22"/>
          <w:szCs w:val="22"/>
          <w:lang w:val="el-GR"/>
        </w:rPr>
      </w:pPr>
      <w:r>
        <w:rPr>
          <w:sz w:val="22"/>
          <w:szCs w:val="22"/>
          <w:lang w:val="el-GR"/>
        </w:rPr>
        <w:t>Η</w:t>
      </w:r>
      <w:r w:rsidR="00865444" w:rsidRPr="000A3201">
        <w:rPr>
          <w:sz w:val="22"/>
          <w:szCs w:val="22"/>
          <w:lang w:val="el-GR"/>
        </w:rPr>
        <w:t xml:space="preserve"> κυψέλ</w:t>
      </w:r>
      <w:r>
        <w:rPr>
          <w:sz w:val="22"/>
          <w:szCs w:val="22"/>
          <w:lang w:val="el-GR"/>
        </w:rPr>
        <w:t>η</w:t>
      </w:r>
      <w:r w:rsidR="00865444" w:rsidRPr="000A3201">
        <w:rPr>
          <w:sz w:val="22"/>
          <w:szCs w:val="22"/>
          <w:lang w:val="el-GR"/>
        </w:rPr>
        <w:t xml:space="preserve"> (</w:t>
      </w:r>
      <w:r w:rsidR="00865444" w:rsidRPr="000A3201">
        <w:rPr>
          <w:sz w:val="22"/>
          <w:szCs w:val="22"/>
        </w:rPr>
        <w:t>blister</w:t>
      </w:r>
      <w:r w:rsidR="00865444" w:rsidRPr="000A3201">
        <w:rPr>
          <w:sz w:val="22"/>
          <w:szCs w:val="22"/>
          <w:lang w:val="el-GR"/>
        </w:rPr>
        <w:t>) πρέπει να φυλάσσ</w:t>
      </w:r>
      <w:r>
        <w:rPr>
          <w:sz w:val="22"/>
          <w:szCs w:val="22"/>
          <w:lang w:val="el-GR"/>
        </w:rPr>
        <w:t>ε</w:t>
      </w:r>
      <w:r w:rsidR="00865444" w:rsidRPr="000A3201">
        <w:rPr>
          <w:sz w:val="22"/>
          <w:szCs w:val="22"/>
          <w:lang w:val="el-GR"/>
        </w:rPr>
        <w:t xml:space="preserve">ται </w:t>
      </w:r>
      <w:r w:rsidR="005C4605" w:rsidRPr="000A3201">
        <w:rPr>
          <w:sz w:val="22"/>
          <w:szCs w:val="22"/>
          <w:lang w:val="el-GR"/>
        </w:rPr>
        <w:t>στο εξωτερικό χάρτινο κουτί</w:t>
      </w:r>
      <w:r w:rsidR="00865444" w:rsidRPr="000A3201">
        <w:rPr>
          <w:sz w:val="22"/>
          <w:szCs w:val="22"/>
          <w:lang w:val="el-GR"/>
        </w:rPr>
        <w:t xml:space="preserve">. </w:t>
      </w:r>
    </w:p>
    <w:p w:rsidR="00865444" w:rsidRPr="000A3201" w:rsidRDefault="00865444">
      <w:pPr>
        <w:ind w:left="720"/>
        <w:rPr>
          <w:sz w:val="22"/>
          <w:szCs w:val="22"/>
        </w:rPr>
      </w:pPr>
    </w:p>
    <w:p w:rsidR="00865444" w:rsidRPr="000A3201" w:rsidRDefault="00865444">
      <w:pPr>
        <w:pStyle w:val="1"/>
        <w:rPr>
          <w:sz w:val="22"/>
          <w:szCs w:val="22"/>
          <w:lang w:val="el-GR"/>
        </w:rPr>
      </w:pPr>
      <w:r w:rsidRPr="000A3201">
        <w:rPr>
          <w:sz w:val="22"/>
          <w:szCs w:val="22"/>
          <w:lang w:val="el-GR"/>
        </w:rPr>
        <w:t>Περιέκτες δισκίων</w:t>
      </w:r>
    </w:p>
    <w:p w:rsidR="00865444" w:rsidRPr="000A3201" w:rsidRDefault="00865444">
      <w:pPr>
        <w:ind w:left="720"/>
        <w:rPr>
          <w:sz w:val="22"/>
          <w:szCs w:val="22"/>
        </w:rPr>
      </w:pPr>
      <w:r w:rsidRPr="000A3201">
        <w:rPr>
          <w:sz w:val="22"/>
          <w:szCs w:val="22"/>
        </w:rPr>
        <w:t xml:space="preserve">Ο </w:t>
      </w:r>
      <w:proofErr w:type="spellStart"/>
      <w:r w:rsidRPr="000A3201">
        <w:rPr>
          <w:sz w:val="22"/>
          <w:szCs w:val="22"/>
        </w:rPr>
        <w:t>περιέκτ</w:t>
      </w:r>
      <w:r w:rsidR="006417B5">
        <w:rPr>
          <w:sz w:val="22"/>
          <w:szCs w:val="22"/>
        </w:rPr>
        <w:t>η</w:t>
      </w:r>
      <w:r w:rsidRPr="000A3201">
        <w:rPr>
          <w:sz w:val="22"/>
          <w:szCs w:val="22"/>
        </w:rPr>
        <w:t>ς</w:t>
      </w:r>
      <w:proofErr w:type="spellEnd"/>
      <w:r w:rsidRPr="000A3201">
        <w:rPr>
          <w:sz w:val="22"/>
          <w:szCs w:val="22"/>
        </w:rPr>
        <w:t xml:space="preserve"> των δισκίων πρέπει να φυλάσσ</w:t>
      </w:r>
      <w:r w:rsidR="006417B5">
        <w:rPr>
          <w:sz w:val="22"/>
          <w:szCs w:val="22"/>
        </w:rPr>
        <w:t>ε</w:t>
      </w:r>
      <w:r w:rsidRPr="000A3201">
        <w:rPr>
          <w:sz w:val="22"/>
          <w:szCs w:val="22"/>
        </w:rPr>
        <w:t>ται ερμητικά κλεισμένο</w:t>
      </w:r>
      <w:r w:rsidR="006417B5">
        <w:rPr>
          <w:sz w:val="22"/>
          <w:szCs w:val="22"/>
        </w:rPr>
        <w:t>ς</w:t>
      </w:r>
      <w:r w:rsidRPr="000A3201">
        <w:rPr>
          <w:sz w:val="22"/>
          <w:szCs w:val="22"/>
        </w:rPr>
        <w:t>.</w:t>
      </w:r>
    </w:p>
    <w:p w:rsidR="00865444" w:rsidRPr="000A3201" w:rsidRDefault="00865444">
      <w:pPr>
        <w:ind w:left="720"/>
        <w:rPr>
          <w:sz w:val="22"/>
          <w:szCs w:val="22"/>
        </w:rPr>
      </w:pPr>
    </w:p>
    <w:p w:rsidR="00865444" w:rsidRPr="000A3201" w:rsidRDefault="00865444">
      <w:pPr>
        <w:numPr>
          <w:ilvl w:val="1"/>
          <w:numId w:val="14"/>
        </w:numPr>
        <w:ind w:left="709" w:hanging="709"/>
        <w:rPr>
          <w:b/>
          <w:bCs/>
          <w:sz w:val="22"/>
          <w:szCs w:val="22"/>
        </w:rPr>
      </w:pPr>
      <w:r w:rsidRPr="000A3201">
        <w:rPr>
          <w:b/>
          <w:bCs/>
          <w:sz w:val="22"/>
          <w:szCs w:val="22"/>
        </w:rPr>
        <w:t>Φύση και συστατικά του περιέκτη</w:t>
      </w:r>
    </w:p>
    <w:p w:rsidR="00865444" w:rsidRPr="000A3201" w:rsidRDefault="00865444">
      <w:pPr>
        <w:rPr>
          <w:sz w:val="22"/>
          <w:szCs w:val="22"/>
        </w:rPr>
      </w:pPr>
    </w:p>
    <w:p w:rsidR="00865444" w:rsidRPr="000A3201" w:rsidRDefault="00865444">
      <w:pPr>
        <w:pStyle w:val="a4"/>
        <w:rPr>
          <w:sz w:val="22"/>
          <w:szCs w:val="22"/>
          <w:lang w:val="el-GR"/>
        </w:rPr>
      </w:pPr>
      <w:r w:rsidRPr="000A3201">
        <w:rPr>
          <w:sz w:val="22"/>
          <w:szCs w:val="22"/>
          <w:lang w:val="el-GR"/>
        </w:rPr>
        <w:t>Κυψέλες (</w:t>
      </w:r>
      <w:r w:rsidRPr="000A3201">
        <w:rPr>
          <w:sz w:val="22"/>
          <w:szCs w:val="22"/>
        </w:rPr>
        <w:t>b</w:t>
      </w:r>
      <w:proofErr w:type="spellStart"/>
      <w:r w:rsidRPr="000A3201">
        <w:rPr>
          <w:sz w:val="22"/>
          <w:szCs w:val="22"/>
          <w:lang w:val="en-US"/>
        </w:rPr>
        <w:t>listers</w:t>
      </w:r>
      <w:proofErr w:type="spellEnd"/>
      <w:r w:rsidRPr="000A3201">
        <w:rPr>
          <w:sz w:val="22"/>
          <w:szCs w:val="22"/>
          <w:lang w:val="el-GR"/>
        </w:rPr>
        <w:t xml:space="preserve">) από </w:t>
      </w:r>
      <w:r w:rsidRPr="000A3201">
        <w:rPr>
          <w:sz w:val="22"/>
          <w:szCs w:val="22"/>
        </w:rPr>
        <w:t>PVC</w:t>
      </w:r>
      <w:r w:rsidRPr="000A3201">
        <w:rPr>
          <w:sz w:val="22"/>
          <w:szCs w:val="22"/>
          <w:lang w:val="el-GR"/>
        </w:rPr>
        <w:t xml:space="preserve"> επικαλυμμένο με διάφανο στρώμα </w:t>
      </w:r>
      <w:proofErr w:type="spellStart"/>
      <w:r w:rsidRPr="000A3201">
        <w:rPr>
          <w:sz w:val="22"/>
          <w:szCs w:val="22"/>
        </w:rPr>
        <w:t>PVdC</w:t>
      </w:r>
      <w:proofErr w:type="spellEnd"/>
      <w:r w:rsidRPr="000A3201">
        <w:rPr>
          <w:sz w:val="22"/>
          <w:szCs w:val="22"/>
          <w:lang w:val="el-GR"/>
        </w:rPr>
        <w:t xml:space="preserve"> και φύλλο αλουμινίου ή αδιαφανείς </w:t>
      </w:r>
      <w:proofErr w:type="spellStart"/>
      <w:r w:rsidR="005C4605" w:rsidRPr="000A3201">
        <w:rPr>
          <w:sz w:val="22"/>
          <w:szCs w:val="22"/>
          <w:lang w:val="el-GR"/>
        </w:rPr>
        <w:t>περιέκτες</w:t>
      </w:r>
      <w:proofErr w:type="spellEnd"/>
      <w:r w:rsidR="005C4605" w:rsidRPr="000A3201">
        <w:rPr>
          <w:sz w:val="22"/>
          <w:szCs w:val="22"/>
          <w:lang w:val="el-GR"/>
        </w:rPr>
        <w:t xml:space="preserve"> δισκίων </w:t>
      </w:r>
      <w:r w:rsidRPr="000A3201">
        <w:rPr>
          <w:sz w:val="22"/>
          <w:szCs w:val="22"/>
          <w:lang w:val="el-GR"/>
        </w:rPr>
        <w:t>από πολυπροπυλένιο οι οποί</w:t>
      </w:r>
      <w:r w:rsidR="00945674" w:rsidRPr="000A3201">
        <w:rPr>
          <w:sz w:val="22"/>
          <w:szCs w:val="22"/>
          <w:lang w:val="el-GR"/>
        </w:rPr>
        <w:t>οι</w:t>
      </w:r>
      <w:r w:rsidRPr="000A3201">
        <w:rPr>
          <w:sz w:val="22"/>
          <w:szCs w:val="22"/>
          <w:lang w:val="el-GR"/>
        </w:rPr>
        <w:t xml:space="preserve"> φέρουν </w:t>
      </w:r>
      <w:r w:rsidRPr="000A3201">
        <w:rPr>
          <w:sz w:val="22"/>
          <w:szCs w:val="22"/>
          <w:lang w:val="el-GR"/>
        </w:rPr>
        <w:lastRenderedPageBreak/>
        <w:t xml:space="preserve">αδιαφανές πώμα από πολυαιθυλένιο και, προαιρετικά, περιέχουν </w:t>
      </w:r>
      <w:proofErr w:type="spellStart"/>
      <w:r w:rsidRPr="000A3201">
        <w:rPr>
          <w:sz w:val="22"/>
          <w:szCs w:val="22"/>
          <w:lang w:val="el-GR"/>
        </w:rPr>
        <w:t>πληρωτικό</w:t>
      </w:r>
      <w:proofErr w:type="spellEnd"/>
      <w:r w:rsidRPr="000A3201">
        <w:rPr>
          <w:sz w:val="22"/>
          <w:szCs w:val="22"/>
          <w:lang w:val="el-GR"/>
        </w:rPr>
        <w:t xml:space="preserve"> μέσο από πολυαιθυλένιο.</w:t>
      </w:r>
    </w:p>
    <w:p w:rsidR="00865444" w:rsidRPr="000A3201" w:rsidRDefault="00865444">
      <w:pPr>
        <w:ind w:left="720"/>
        <w:rPr>
          <w:sz w:val="22"/>
          <w:szCs w:val="22"/>
        </w:rPr>
      </w:pPr>
    </w:p>
    <w:p w:rsidR="00865444" w:rsidRPr="000A3201" w:rsidRDefault="00865444">
      <w:pPr>
        <w:ind w:left="720"/>
        <w:rPr>
          <w:sz w:val="22"/>
          <w:szCs w:val="22"/>
        </w:rPr>
      </w:pPr>
      <w:r w:rsidRPr="000A3201">
        <w:rPr>
          <w:sz w:val="22"/>
          <w:szCs w:val="22"/>
        </w:rPr>
        <w:t xml:space="preserve">Συσκευασίες των 10, 14, 20, 28, 30, 50, 100, 250 ή 500 επικαλυμμένων με λεπτό υμένιο δισκίων. </w:t>
      </w:r>
    </w:p>
    <w:p w:rsidR="00865444" w:rsidRPr="000A3201" w:rsidRDefault="00865444">
      <w:pPr>
        <w:ind w:left="720"/>
        <w:rPr>
          <w:sz w:val="22"/>
          <w:szCs w:val="22"/>
        </w:rPr>
      </w:pPr>
    </w:p>
    <w:p w:rsidR="00865444" w:rsidRPr="000A3201" w:rsidRDefault="00865444">
      <w:pPr>
        <w:pStyle w:val="a4"/>
        <w:rPr>
          <w:sz w:val="22"/>
          <w:szCs w:val="22"/>
          <w:lang w:val="el-GR"/>
        </w:rPr>
      </w:pPr>
      <w:r w:rsidRPr="000A3201">
        <w:rPr>
          <w:sz w:val="22"/>
          <w:szCs w:val="22"/>
          <w:lang w:val="el-GR"/>
        </w:rPr>
        <w:t>Μπορεί να μην κυκλοφορούν όλες οι συσκευασίες.</w:t>
      </w:r>
    </w:p>
    <w:p w:rsidR="00865444" w:rsidRPr="000A3201" w:rsidRDefault="00865444">
      <w:pPr>
        <w:pStyle w:val="a4"/>
        <w:rPr>
          <w:sz w:val="22"/>
          <w:szCs w:val="22"/>
          <w:lang w:val="el-GR"/>
        </w:rPr>
      </w:pPr>
    </w:p>
    <w:p w:rsidR="00865444" w:rsidRPr="000A3201" w:rsidRDefault="00865444">
      <w:pPr>
        <w:ind w:left="720"/>
        <w:rPr>
          <w:sz w:val="22"/>
          <w:szCs w:val="22"/>
        </w:rPr>
      </w:pPr>
      <w:r w:rsidRPr="00FE341A">
        <w:rPr>
          <w:sz w:val="22"/>
          <w:szCs w:val="22"/>
        </w:rPr>
        <w:t>Τα μεγέθη συσκευασίας που περιέχουν πάνω από 100 επικαλυμμένα με λεπτό υμένιο δισκία προορίζονται για νοσοκομειακή χρήση.</w:t>
      </w:r>
    </w:p>
    <w:p w:rsidR="00865444" w:rsidRPr="000A3201" w:rsidRDefault="00865444">
      <w:pPr>
        <w:rPr>
          <w:sz w:val="22"/>
          <w:szCs w:val="22"/>
        </w:rPr>
      </w:pPr>
    </w:p>
    <w:p w:rsidR="00865444" w:rsidRPr="000A3201" w:rsidRDefault="00865444">
      <w:pPr>
        <w:numPr>
          <w:ilvl w:val="1"/>
          <w:numId w:val="14"/>
        </w:numPr>
        <w:ind w:left="709" w:hanging="709"/>
        <w:rPr>
          <w:b/>
          <w:bCs/>
          <w:sz w:val="22"/>
          <w:szCs w:val="22"/>
        </w:rPr>
      </w:pPr>
      <w:r w:rsidRPr="000A3201">
        <w:rPr>
          <w:b/>
          <w:bCs/>
          <w:sz w:val="22"/>
          <w:szCs w:val="22"/>
        </w:rPr>
        <w:t>Οδηγίες χρήσης και χειρισμού</w:t>
      </w:r>
    </w:p>
    <w:p w:rsidR="00865444" w:rsidRPr="000A3201" w:rsidRDefault="00865444">
      <w:pPr>
        <w:rPr>
          <w:sz w:val="22"/>
          <w:szCs w:val="22"/>
        </w:rPr>
      </w:pPr>
    </w:p>
    <w:p w:rsidR="00865444" w:rsidRPr="000A3201" w:rsidRDefault="00865444">
      <w:pPr>
        <w:ind w:left="720"/>
        <w:rPr>
          <w:sz w:val="22"/>
          <w:szCs w:val="22"/>
        </w:rPr>
      </w:pPr>
      <w:r w:rsidRPr="000A3201">
        <w:rPr>
          <w:sz w:val="22"/>
          <w:szCs w:val="22"/>
        </w:rPr>
        <w:t>Καμία ειδική υποχρέωση.</w:t>
      </w:r>
    </w:p>
    <w:p w:rsidR="00865444" w:rsidRPr="000A3201" w:rsidRDefault="00865444">
      <w:pPr>
        <w:ind w:left="720"/>
        <w:rPr>
          <w:sz w:val="22"/>
          <w:szCs w:val="22"/>
        </w:rPr>
      </w:pPr>
    </w:p>
    <w:p w:rsidR="00D16A29" w:rsidRPr="000A3201" w:rsidRDefault="00D16A29">
      <w:pPr>
        <w:ind w:left="720"/>
        <w:rPr>
          <w:sz w:val="22"/>
          <w:szCs w:val="22"/>
        </w:rPr>
      </w:pPr>
    </w:p>
    <w:p w:rsidR="00865444" w:rsidRPr="000A3201" w:rsidRDefault="00865444">
      <w:pPr>
        <w:numPr>
          <w:ilvl w:val="0"/>
          <w:numId w:val="14"/>
        </w:numPr>
        <w:ind w:left="709" w:hanging="709"/>
        <w:rPr>
          <w:b/>
          <w:bCs/>
          <w:sz w:val="22"/>
          <w:szCs w:val="22"/>
        </w:rPr>
      </w:pPr>
      <w:r w:rsidRPr="000A3201">
        <w:rPr>
          <w:b/>
          <w:bCs/>
          <w:sz w:val="22"/>
          <w:szCs w:val="22"/>
        </w:rPr>
        <w:t>ΚΑΤΟΧΟΣ ΤΗΣ ΑΔΕΙΑΣ ΚΥΚΛΟΦΟΡΙΑΣ</w:t>
      </w:r>
    </w:p>
    <w:p w:rsidR="00865444" w:rsidRPr="000A3201" w:rsidRDefault="00865444">
      <w:pPr>
        <w:ind w:left="567"/>
        <w:jc w:val="both"/>
        <w:rPr>
          <w:b/>
          <w:bCs/>
          <w:sz w:val="22"/>
          <w:szCs w:val="22"/>
          <w:lang w:val="en-US"/>
        </w:rPr>
      </w:pPr>
    </w:p>
    <w:p w:rsidR="00865444" w:rsidRPr="000A3201" w:rsidRDefault="00865444">
      <w:pPr>
        <w:pStyle w:val="a5"/>
        <w:ind w:firstLine="567"/>
        <w:rPr>
          <w:b/>
          <w:sz w:val="22"/>
          <w:szCs w:val="22"/>
          <w:lang w:val="en-US"/>
        </w:rPr>
      </w:pPr>
      <w:proofErr w:type="spellStart"/>
      <w:r w:rsidRPr="000A3201">
        <w:rPr>
          <w:b/>
          <w:sz w:val="22"/>
          <w:szCs w:val="22"/>
        </w:rPr>
        <w:t>Δικ</w:t>
      </w:r>
      <w:proofErr w:type="spellEnd"/>
      <w:r w:rsidRPr="000A3201">
        <w:rPr>
          <w:b/>
          <w:sz w:val="22"/>
          <w:szCs w:val="22"/>
        </w:rPr>
        <w:t xml:space="preserve">αιούχος </w:t>
      </w:r>
      <w:proofErr w:type="spellStart"/>
      <w:r w:rsidRPr="000A3201">
        <w:rPr>
          <w:b/>
          <w:sz w:val="22"/>
          <w:szCs w:val="22"/>
        </w:rPr>
        <w:t>Προϊόντος</w:t>
      </w:r>
      <w:proofErr w:type="spellEnd"/>
      <w:r w:rsidRPr="000A3201">
        <w:rPr>
          <w:b/>
          <w:sz w:val="22"/>
          <w:szCs w:val="22"/>
          <w:lang w:val="en-US"/>
        </w:rPr>
        <w:t>:</w:t>
      </w:r>
    </w:p>
    <w:p w:rsidR="00865444" w:rsidRPr="000A3201" w:rsidRDefault="00865444">
      <w:pPr>
        <w:ind w:left="567"/>
        <w:jc w:val="both"/>
        <w:rPr>
          <w:b/>
          <w:bCs/>
          <w:sz w:val="22"/>
          <w:szCs w:val="22"/>
          <w:lang w:val="en-GB"/>
        </w:rPr>
      </w:pPr>
      <w:r w:rsidRPr="000A3201">
        <w:rPr>
          <w:b/>
          <w:bCs/>
          <w:sz w:val="22"/>
          <w:szCs w:val="22"/>
          <w:lang w:val="en-US"/>
        </w:rPr>
        <w:t>Generics</w:t>
      </w:r>
      <w:r w:rsidRPr="000A3201">
        <w:rPr>
          <w:b/>
          <w:bCs/>
          <w:sz w:val="22"/>
          <w:szCs w:val="22"/>
          <w:lang w:val="en-GB"/>
        </w:rPr>
        <w:t xml:space="preserve"> [</w:t>
      </w:r>
      <w:r w:rsidRPr="000A3201">
        <w:rPr>
          <w:b/>
          <w:bCs/>
          <w:sz w:val="22"/>
          <w:szCs w:val="22"/>
          <w:lang w:val="en-US"/>
        </w:rPr>
        <w:t>UK</w:t>
      </w:r>
      <w:r w:rsidRPr="000A3201">
        <w:rPr>
          <w:b/>
          <w:bCs/>
          <w:sz w:val="22"/>
          <w:szCs w:val="22"/>
          <w:lang w:val="en-GB"/>
        </w:rPr>
        <w:t xml:space="preserve">] </w:t>
      </w:r>
      <w:r w:rsidRPr="000A3201">
        <w:rPr>
          <w:b/>
          <w:bCs/>
          <w:sz w:val="22"/>
          <w:szCs w:val="22"/>
          <w:lang w:val="en-US"/>
        </w:rPr>
        <w:t>Ltd</w:t>
      </w:r>
      <w:r w:rsidR="00DE42E0">
        <w:rPr>
          <w:b/>
          <w:bCs/>
          <w:sz w:val="22"/>
          <w:szCs w:val="22"/>
          <w:lang w:val="en-US"/>
        </w:rPr>
        <w:t>-England</w:t>
      </w:r>
      <w:r w:rsidR="00591D83" w:rsidRPr="000A3201">
        <w:rPr>
          <w:b/>
          <w:bCs/>
          <w:sz w:val="22"/>
          <w:szCs w:val="22"/>
          <w:lang w:val="en-US"/>
        </w:rPr>
        <w:t>,</w:t>
      </w:r>
    </w:p>
    <w:p w:rsidR="00865444" w:rsidRPr="000A3201" w:rsidRDefault="00865444">
      <w:pPr>
        <w:jc w:val="both"/>
        <w:rPr>
          <w:sz w:val="22"/>
          <w:szCs w:val="22"/>
          <w:lang w:val="en-GB"/>
        </w:rPr>
      </w:pPr>
      <w:r w:rsidRPr="000A3201">
        <w:rPr>
          <w:sz w:val="22"/>
          <w:szCs w:val="22"/>
          <w:lang w:val="en-GB"/>
        </w:rPr>
        <w:t xml:space="preserve">          Station Close, Potters Bar </w:t>
      </w:r>
    </w:p>
    <w:p w:rsidR="00865444" w:rsidRPr="000A3201" w:rsidRDefault="00865444">
      <w:pPr>
        <w:jc w:val="both"/>
        <w:rPr>
          <w:sz w:val="22"/>
          <w:szCs w:val="22"/>
          <w:lang w:val="en-GB"/>
        </w:rPr>
      </w:pPr>
      <w:r w:rsidRPr="000A3201">
        <w:rPr>
          <w:sz w:val="22"/>
          <w:szCs w:val="22"/>
          <w:lang w:val="en-GB"/>
        </w:rPr>
        <w:t xml:space="preserve">          Hert</w:t>
      </w:r>
      <w:r w:rsidR="00DE42E0">
        <w:rPr>
          <w:sz w:val="22"/>
          <w:szCs w:val="22"/>
          <w:lang w:val="en-GB"/>
        </w:rPr>
        <w:t>s</w:t>
      </w:r>
      <w:r w:rsidRPr="000A3201">
        <w:rPr>
          <w:sz w:val="22"/>
          <w:szCs w:val="22"/>
          <w:lang w:val="en-GB"/>
        </w:rPr>
        <w:t xml:space="preserve"> EN6 1TL</w:t>
      </w:r>
    </w:p>
    <w:p w:rsidR="00865444" w:rsidRPr="000A3201" w:rsidRDefault="00865444">
      <w:pPr>
        <w:spacing w:before="33"/>
        <w:rPr>
          <w:b/>
          <w:sz w:val="22"/>
          <w:szCs w:val="22"/>
        </w:rPr>
      </w:pPr>
      <w:r w:rsidRPr="000A3201">
        <w:rPr>
          <w:sz w:val="22"/>
          <w:szCs w:val="22"/>
          <w:lang w:val="en-GB"/>
        </w:rPr>
        <w:t xml:space="preserve">          United</w:t>
      </w:r>
      <w:r w:rsidRPr="000A3201">
        <w:rPr>
          <w:sz w:val="22"/>
          <w:szCs w:val="22"/>
        </w:rPr>
        <w:t xml:space="preserve"> </w:t>
      </w:r>
      <w:r w:rsidRPr="000A3201">
        <w:rPr>
          <w:sz w:val="22"/>
          <w:szCs w:val="22"/>
          <w:lang w:val="en-GB"/>
        </w:rPr>
        <w:t>Kingdom</w:t>
      </w:r>
    </w:p>
    <w:p w:rsidR="00865444" w:rsidRPr="000A3201" w:rsidRDefault="00865444">
      <w:pPr>
        <w:ind w:left="567"/>
        <w:jc w:val="both"/>
        <w:rPr>
          <w:b/>
          <w:bCs/>
          <w:sz w:val="22"/>
          <w:szCs w:val="22"/>
        </w:rPr>
      </w:pPr>
    </w:p>
    <w:p w:rsidR="00865444" w:rsidRPr="000A3201" w:rsidRDefault="00865444">
      <w:pPr>
        <w:ind w:left="567"/>
        <w:jc w:val="both"/>
        <w:rPr>
          <w:b/>
          <w:bCs/>
          <w:sz w:val="22"/>
          <w:szCs w:val="22"/>
        </w:rPr>
      </w:pPr>
      <w:r w:rsidRPr="000A3201">
        <w:rPr>
          <w:b/>
          <w:bCs/>
          <w:sz w:val="22"/>
          <w:szCs w:val="22"/>
        </w:rPr>
        <w:t>Κάτοχος Άδειας Κυκλοφορίας:</w:t>
      </w:r>
    </w:p>
    <w:p w:rsidR="00865444" w:rsidRPr="000A3201" w:rsidRDefault="00865444">
      <w:pPr>
        <w:ind w:left="567"/>
        <w:jc w:val="both"/>
        <w:rPr>
          <w:b/>
          <w:sz w:val="22"/>
          <w:szCs w:val="22"/>
        </w:rPr>
      </w:pPr>
      <w:r w:rsidRPr="000A3201">
        <w:rPr>
          <w:b/>
          <w:sz w:val="22"/>
          <w:szCs w:val="22"/>
          <w:lang w:val="en-GB"/>
        </w:rPr>
        <w:t>Generics</w:t>
      </w:r>
      <w:r w:rsidRPr="000A3201">
        <w:rPr>
          <w:b/>
          <w:sz w:val="22"/>
          <w:szCs w:val="22"/>
        </w:rPr>
        <w:t xml:space="preserve"> </w:t>
      </w:r>
      <w:r w:rsidRPr="000A3201">
        <w:rPr>
          <w:b/>
          <w:sz w:val="22"/>
          <w:szCs w:val="22"/>
          <w:lang w:val="en-US"/>
        </w:rPr>
        <w:t>Pharma</w:t>
      </w:r>
      <w:r w:rsidRPr="000A3201">
        <w:rPr>
          <w:b/>
          <w:sz w:val="22"/>
          <w:szCs w:val="22"/>
        </w:rPr>
        <w:t xml:space="preserve"> </w:t>
      </w:r>
      <w:r w:rsidRPr="000A3201">
        <w:rPr>
          <w:b/>
          <w:sz w:val="22"/>
          <w:szCs w:val="22"/>
          <w:lang w:val="en-US"/>
        </w:rPr>
        <w:t>Hellas</w:t>
      </w:r>
      <w:r w:rsidRPr="000A3201">
        <w:rPr>
          <w:b/>
          <w:sz w:val="22"/>
          <w:szCs w:val="22"/>
        </w:rPr>
        <w:t xml:space="preserve"> </w:t>
      </w:r>
      <w:r w:rsidRPr="000A3201">
        <w:rPr>
          <w:b/>
          <w:sz w:val="22"/>
          <w:szCs w:val="22"/>
          <w:lang w:val="en-GB"/>
        </w:rPr>
        <w:t>Ltd</w:t>
      </w:r>
    </w:p>
    <w:p w:rsidR="00865444" w:rsidRPr="000A3201" w:rsidRDefault="00865444">
      <w:pPr>
        <w:ind w:left="567"/>
        <w:jc w:val="both"/>
        <w:rPr>
          <w:sz w:val="22"/>
          <w:szCs w:val="22"/>
        </w:rPr>
      </w:pPr>
      <w:r w:rsidRPr="000A3201">
        <w:rPr>
          <w:sz w:val="22"/>
          <w:szCs w:val="22"/>
        </w:rPr>
        <w:t>Λεωφόρος Βουλιαγμένης 577</w:t>
      </w:r>
      <w:r w:rsidRPr="000A3201">
        <w:rPr>
          <w:sz w:val="22"/>
          <w:szCs w:val="22"/>
          <w:vertAlign w:val="superscript"/>
        </w:rPr>
        <w:t>Α</w:t>
      </w:r>
      <w:r w:rsidRPr="000A3201">
        <w:rPr>
          <w:sz w:val="22"/>
          <w:szCs w:val="22"/>
        </w:rPr>
        <w:t xml:space="preserve"> </w:t>
      </w:r>
    </w:p>
    <w:p w:rsidR="00865444" w:rsidRPr="000A3201" w:rsidRDefault="00865444">
      <w:pPr>
        <w:ind w:left="567"/>
        <w:jc w:val="both"/>
        <w:rPr>
          <w:sz w:val="22"/>
          <w:szCs w:val="22"/>
          <w:lang w:val="en-GB"/>
        </w:rPr>
      </w:pPr>
      <w:r w:rsidRPr="000A3201">
        <w:rPr>
          <w:sz w:val="22"/>
          <w:szCs w:val="22"/>
          <w:lang w:val="en-GB"/>
        </w:rPr>
        <w:t xml:space="preserve">164 51 </w:t>
      </w:r>
      <w:r w:rsidRPr="000A3201">
        <w:rPr>
          <w:sz w:val="22"/>
          <w:szCs w:val="22"/>
        </w:rPr>
        <w:t>Αργυρούπολη</w:t>
      </w:r>
    </w:p>
    <w:p w:rsidR="00865444" w:rsidRPr="000A3201" w:rsidRDefault="00865444">
      <w:pPr>
        <w:pStyle w:val="a8"/>
        <w:tabs>
          <w:tab w:val="left" w:pos="720"/>
        </w:tabs>
        <w:ind w:left="540"/>
        <w:jc w:val="both"/>
        <w:rPr>
          <w:sz w:val="22"/>
          <w:szCs w:val="22"/>
          <w:lang w:val="en-US"/>
        </w:rPr>
      </w:pPr>
      <w:proofErr w:type="spellStart"/>
      <w:proofErr w:type="gramStart"/>
      <w:r w:rsidRPr="000A3201">
        <w:rPr>
          <w:sz w:val="22"/>
          <w:szCs w:val="22"/>
        </w:rPr>
        <w:t>τηλ</w:t>
      </w:r>
      <w:proofErr w:type="spellEnd"/>
      <w:proofErr w:type="gramEnd"/>
      <w:r w:rsidRPr="000A3201">
        <w:rPr>
          <w:sz w:val="22"/>
          <w:szCs w:val="22"/>
        </w:rPr>
        <w:t xml:space="preserve">: 210-9936410 </w:t>
      </w:r>
    </w:p>
    <w:p w:rsidR="00865444" w:rsidRPr="000A3201" w:rsidRDefault="00865444">
      <w:pPr>
        <w:rPr>
          <w:sz w:val="22"/>
          <w:szCs w:val="22"/>
        </w:rPr>
      </w:pPr>
    </w:p>
    <w:p w:rsidR="000F71A2" w:rsidRPr="000A3201" w:rsidRDefault="000F71A2">
      <w:pPr>
        <w:rPr>
          <w:sz w:val="22"/>
          <w:szCs w:val="22"/>
        </w:rPr>
      </w:pPr>
    </w:p>
    <w:p w:rsidR="00865444" w:rsidRPr="000A3201" w:rsidRDefault="00865444">
      <w:pPr>
        <w:numPr>
          <w:ilvl w:val="0"/>
          <w:numId w:val="14"/>
        </w:numPr>
        <w:ind w:left="567" w:hanging="567"/>
        <w:rPr>
          <w:b/>
          <w:bCs/>
          <w:sz w:val="22"/>
          <w:szCs w:val="22"/>
        </w:rPr>
      </w:pPr>
      <w:r w:rsidRPr="000A3201">
        <w:rPr>
          <w:b/>
          <w:bCs/>
          <w:sz w:val="22"/>
          <w:szCs w:val="22"/>
        </w:rPr>
        <w:t>ΑΡΙΘΜΟΣ(ΟΙ) ΑΔΕΙΑΣ ΚΥΚΛΟΦΟΡΙΑΣ</w:t>
      </w:r>
    </w:p>
    <w:p w:rsidR="00D16A29" w:rsidRPr="000A3201" w:rsidRDefault="00D16A29">
      <w:pPr>
        <w:ind w:firstLine="720"/>
        <w:jc w:val="both"/>
        <w:rPr>
          <w:sz w:val="22"/>
          <w:szCs w:val="22"/>
        </w:rPr>
      </w:pPr>
    </w:p>
    <w:p w:rsidR="00865444" w:rsidRPr="000A3201" w:rsidRDefault="00A008D7">
      <w:pPr>
        <w:ind w:firstLine="720"/>
        <w:jc w:val="both"/>
        <w:rPr>
          <w:sz w:val="22"/>
          <w:szCs w:val="22"/>
          <w:lang w:val="de-DE"/>
        </w:rPr>
      </w:pPr>
      <w:r w:rsidRPr="000A3201">
        <w:rPr>
          <w:sz w:val="22"/>
          <w:szCs w:val="22"/>
          <w:lang w:val="de-DE"/>
        </w:rPr>
        <w:t>51712/01-07-2013</w:t>
      </w:r>
    </w:p>
    <w:p w:rsidR="00865444" w:rsidRPr="000A3201" w:rsidRDefault="00865444">
      <w:pPr>
        <w:ind w:firstLine="720"/>
        <w:rPr>
          <w:sz w:val="22"/>
          <w:szCs w:val="22"/>
        </w:rPr>
      </w:pPr>
    </w:p>
    <w:p w:rsidR="000F71A2" w:rsidRPr="000A3201" w:rsidRDefault="000F71A2">
      <w:pPr>
        <w:ind w:firstLine="720"/>
        <w:rPr>
          <w:sz w:val="22"/>
          <w:szCs w:val="22"/>
        </w:rPr>
      </w:pPr>
    </w:p>
    <w:p w:rsidR="00865444" w:rsidRPr="000A3201" w:rsidRDefault="00865444">
      <w:pPr>
        <w:numPr>
          <w:ilvl w:val="0"/>
          <w:numId w:val="14"/>
        </w:numPr>
        <w:ind w:left="567" w:hanging="567"/>
        <w:rPr>
          <w:b/>
          <w:bCs/>
          <w:sz w:val="22"/>
          <w:szCs w:val="22"/>
        </w:rPr>
      </w:pPr>
      <w:r w:rsidRPr="000A3201">
        <w:rPr>
          <w:b/>
          <w:bCs/>
          <w:sz w:val="22"/>
          <w:szCs w:val="22"/>
        </w:rPr>
        <w:t xml:space="preserve">ΗΜΕΡΟΜΗΝΙΑ ΠΡΩΤΗΣ ΕΓΚΡΙΣΗΣ/ΑΝΑΝΕΩΣΗΣ ΤΗΣ ΑΔΕΙΑΣ </w:t>
      </w:r>
    </w:p>
    <w:p w:rsidR="00865444" w:rsidRPr="000A3201" w:rsidRDefault="00865444">
      <w:pPr>
        <w:ind w:firstLine="720"/>
        <w:rPr>
          <w:sz w:val="22"/>
          <w:szCs w:val="22"/>
        </w:rPr>
      </w:pPr>
    </w:p>
    <w:p w:rsidR="00865444" w:rsidRPr="000A3201" w:rsidRDefault="00865444">
      <w:pPr>
        <w:ind w:firstLine="720"/>
        <w:jc w:val="both"/>
        <w:rPr>
          <w:sz w:val="22"/>
          <w:szCs w:val="22"/>
        </w:rPr>
      </w:pPr>
      <w:r w:rsidRPr="000A3201">
        <w:rPr>
          <w:sz w:val="22"/>
          <w:szCs w:val="22"/>
          <w:lang w:val="de-DE"/>
        </w:rPr>
        <w:t>15</w:t>
      </w:r>
      <w:r w:rsidRPr="000A3201">
        <w:rPr>
          <w:sz w:val="22"/>
          <w:szCs w:val="22"/>
        </w:rPr>
        <w:t>-</w:t>
      </w:r>
      <w:r w:rsidRPr="000A3201">
        <w:rPr>
          <w:sz w:val="22"/>
          <w:szCs w:val="22"/>
          <w:lang w:val="de-DE"/>
        </w:rPr>
        <w:t>12</w:t>
      </w:r>
      <w:r w:rsidRPr="000A3201">
        <w:rPr>
          <w:sz w:val="22"/>
          <w:szCs w:val="22"/>
        </w:rPr>
        <w:t>-</w:t>
      </w:r>
      <w:r w:rsidRPr="000A3201">
        <w:rPr>
          <w:sz w:val="22"/>
          <w:szCs w:val="22"/>
          <w:lang w:val="de-DE"/>
        </w:rPr>
        <w:t>04</w:t>
      </w:r>
      <w:r w:rsidR="00A008D7" w:rsidRPr="000A3201">
        <w:rPr>
          <w:sz w:val="22"/>
          <w:szCs w:val="22"/>
          <w:lang w:val="de-DE"/>
        </w:rPr>
        <w:t>/01-07-2013</w:t>
      </w:r>
    </w:p>
    <w:p w:rsidR="00865444" w:rsidRPr="000A3201" w:rsidRDefault="00865444">
      <w:pPr>
        <w:ind w:firstLine="720"/>
        <w:rPr>
          <w:sz w:val="22"/>
          <w:szCs w:val="22"/>
        </w:rPr>
      </w:pPr>
    </w:p>
    <w:p w:rsidR="00865444" w:rsidRPr="000A3201" w:rsidRDefault="00865444" w:rsidP="00C30A54">
      <w:pPr>
        <w:numPr>
          <w:ilvl w:val="0"/>
          <w:numId w:val="14"/>
        </w:numPr>
        <w:ind w:left="567" w:hanging="567"/>
        <w:rPr>
          <w:b/>
          <w:bCs/>
          <w:sz w:val="22"/>
          <w:szCs w:val="22"/>
        </w:rPr>
      </w:pPr>
      <w:r w:rsidRPr="000A3201">
        <w:rPr>
          <w:b/>
          <w:bCs/>
          <w:sz w:val="22"/>
          <w:szCs w:val="22"/>
        </w:rPr>
        <w:t xml:space="preserve">ΗΜΕΡΟΜΗΝΙΑ ΑΝΑΘΕΩΡΗΣΗΣ ΤΟΥ ΚΕΙΜΕΝΟΥ </w:t>
      </w:r>
    </w:p>
    <w:p w:rsidR="00A008D7" w:rsidRPr="000A3201" w:rsidRDefault="00A008D7">
      <w:pPr>
        <w:rPr>
          <w:b/>
          <w:bCs/>
          <w:sz w:val="22"/>
          <w:szCs w:val="22"/>
          <w:lang w:val="en-US"/>
        </w:rPr>
      </w:pPr>
    </w:p>
    <w:p w:rsidR="00865444" w:rsidRPr="000A3201" w:rsidRDefault="00865444">
      <w:pPr>
        <w:rPr>
          <w:b/>
          <w:bCs/>
          <w:sz w:val="22"/>
          <w:szCs w:val="22"/>
          <w:lang w:val="en-US"/>
        </w:rPr>
      </w:pPr>
    </w:p>
    <w:p w:rsidR="00F57BBA" w:rsidRPr="000A3201" w:rsidRDefault="00F57BBA">
      <w:pPr>
        <w:rPr>
          <w:sz w:val="22"/>
          <w:szCs w:val="22"/>
        </w:rPr>
      </w:pPr>
    </w:p>
    <w:sectPr w:rsidR="00F57BBA" w:rsidRPr="000A3201" w:rsidSect="00262EA2">
      <w:footerReference w:type="even" r:id="rId10"/>
      <w:footerReference w:type="default" r:id="rId11"/>
      <w:pgSz w:w="11906" w:h="16838"/>
      <w:pgMar w:top="1440" w:right="1800" w:bottom="1440" w:left="1800"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nan" w:date="2015-05-06T16:05:00Z" w:initials="n">
    <w:p w:rsidR="00534F66" w:rsidRPr="0021323B" w:rsidRDefault="00534F66">
      <w:pPr>
        <w:pStyle w:val="ab"/>
      </w:pPr>
      <w:r>
        <w:rPr>
          <w:rStyle w:val="aa"/>
        </w:rPr>
        <w:annotationRef/>
      </w:r>
      <w:r>
        <w:t xml:space="preserve">Προστέθηκε με την </w:t>
      </w:r>
      <w:proofErr w:type="spellStart"/>
      <w:r>
        <w:rPr>
          <w:lang w:val="en-US"/>
        </w:rPr>
        <w:t>Var</w:t>
      </w:r>
      <w:proofErr w:type="spellEnd"/>
      <w:r>
        <w:t xml:space="preserve"> 45 και διαγράφηκε με την </w:t>
      </w:r>
      <w:proofErr w:type="spellStart"/>
      <w:r>
        <w:rPr>
          <w:lang w:val="en-US"/>
        </w:rPr>
        <w:t>Var</w:t>
      </w:r>
      <w:proofErr w:type="spellEnd"/>
      <w:r w:rsidRPr="0021323B">
        <w:t xml:space="preserve"> 46</w:t>
      </w:r>
    </w:p>
  </w:comment>
  <w:comment w:id="4" w:author="nan" w:date="2015-05-06T15:59:00Z" w:initials="n">
    <w:p w:rsidR="00723C9D" w:rsidRPr="00723C9D" w:rsidRDefault="00723C9D">
      <w:pPr>
        <w:pStyle w:val="ab"/>
        <w:rPr>
          <w:lang w:val="en-US"/>
        </w:rPr>
      </w:pPr>
      <w:r>
        <w:rPr>
          <w:rStyle w:val="aa"/>
        </w:rPr>
        <w:annotationRef/>
      </w:r>
      <w:proofErr w:type="spellStart"/>
      <w:r>
        <w:rPr>
          <w:lang w:val="en-US"/>
        </w:rPr>
        <w:t>Var</w:t>
      </w:r>
      <w:proofErr w:type="spellEnd"/>
      <w:r>
        <w:rPr>
          <w:lang w:val="en-US"/>
        </w:rPr>
        <w:t xml:space="preserve"> 46</w:t>
      </w:r>
    </w:p>
  </w:comment>
  <w:comment w:id="5" w:author="nan" w:date="2015-05-06T15:59:00Z" w:initials="n">
    <w:p w:rsidR="00723C9D" w:rsidRPr="00723C9D" w:rsidRDefault="00723C9D">
      <w:pPr>
        <w:pStyle w:val="ab"/>
        <w:rPr>
          <w:lang w:val="en-US"/>
        </w:rPr>
      </w:pPr>
      <w:r>
        <w:rPr>
          <w:rStyle w:val="aa"/>
        </w:rPr>
        <w:annotationRef/>
      </w:r>
      <w:proofErr w:type="spellStart"/>
      <w:proofErr w:type="gramStart"/>
      <w:r>
        <w:rPr>
          <w:lang w:val="en-US"/>
        </w:rPr>
        <w:t>Var</w:t>
      </w:r>
      <w:proofErr w:type="spellEnd"/>
      <w:r>
        <w:rPr>
          <w:lang w:val="en-US"/>
        </w:rPr>
        <w:t xml:space="preserve">  46</w:t>
      </w:r>
      <w:proofErr w:type="gramEnd"/>
    </w:p>
  </w:comment>
  <w:comment w:id="6" w:author="nan" w:date="2015-05-06T15:59:00Z" w:initials="n">
    <w:p w:rsidR="00723C9D" w:rsidRPr="00723C9D" w:rsidRDefault="00723C9D">
      <w:pPr>
        <w:pStyle w:val="ab"/>
        <w:rPr>
          <w:lang w:val="en-US"/>
        </w:rPr>
      </w:pPr>
      <w:r>
        <w:rPr>
          <w:rStyle w:val="aa"/>
        </w:rPr>
        <w:annotationRef/>
      </w:r>
      <w:proofErr w:type="spellStart"/>
      <w:r>
        <w:rPr>
          <w:lang w:val="en-US"/>
        </w:rPr>
        <w:t>Var</w:t>
      </w:r>
      <w:proofErr w:type="spellEnd"/>
      <w:r>
        <w:rPr>
          <w:lang w:val="en-US"/>
        </w:rPr>
        <w:t xml:space="preserve"> 46</w:t>
      </w:r>
    </w:p>
  </w:comment>
  <w:comment w:id="7" w:author="nan" w:date="2015-05-06T15:59:00Z" w:initials="n">
    <w:p w:rsidR="00815399" w:rsidRPr="00815399" w:rsidRDefault="00815399">
      <w:pPr>
        <w:pStyle w:val="ab"/>
        <w:rPr>
          <w:lang w:val="en-US"/>
        </w:rPr>
      </w:pPr>
      <w:r>
        <w:rPr>
          <w:rStyle w:val="aa"/>
        </w:rPr>
        <w:annotationRef/>
      </w:r>
      <w:proofErr w:type="spellStart"/>
      <w:r>
        <w:rPr>
          <w:lang w:val="en-US"/>
        </w:rPr>
        <w:t>Var</w:t>
      </w:r>
      <w:proofErr w:type="spellEnd"/>
      <w:r>
        <w:rPr>
          <w:lang w:val="en-US"/>
        </w:rPr>
        <w:t xml:space="preserve"> 46</w:t>
      </w:r>
    </w:p>
  </w:comment>
  <w:comment w:id="8" w:author="nan" w:date="2015-05-06T15:59:00Z" w:initials="n">
    <w:p w:rsidR="00815399" w:rsidRPr="00815399" w:rsidRDefault="00815399">
      <w:pPr>
        <w:pStyle w:val="ab"/>
        <w:rPr>
          <w:lang w:val="en-US"/>
        </w:rPr>
      </w:pPr>
      <w:r>
        <w:rPr>
          <w:rStyle w:val="aa"/>
        </w:rPr>
        <w:annotationRef/>
      </w:r>
      <w:proofErr w:type="spellStart"/>
      <w:r>
        <w:rPr>
          <w:lang w:val="en-US"/>
        </w:rPr>
        <w:t>Var</w:t>
      </w:r>
      <w:proofErr w:type="spellEnd"/>
      <w:r>
        <w:rPr>
          <w:lang w:val="en-US"/>
        </w:rPr>
        <w:t xml:space="preserve"> 46</w:t>
      </w:r>
    </w:p>
  </w:comment>
  <w:comment w:id="9" w:author="nan" w:date="2015-05-06T15:59:00Z" w:initials="n">
    <w:p w:rsidR="00815399" w:rsidRPr="00815399" w:rsidRDefault="00815399">
      <w:pPr>
        <w:pStyle w:val="ab"/>
        <w:rPr>
          <w:lang w:val="en-US"/>
        </w:rPr>
      </w:pPr>
      <w:r>
        <w:rPr>
          <w:rStyle w:val="aa"/>
        </w:rPr>
        <w:annotationRef/>
      </w:r>
      <w:proofErr w:type="spellStart"/>
      <w:r>
        <w:rPr>
          <w:lang w:val="en-US"/>
        </w:rPr>
        <w:t>Var</w:t>
      </w:r>
      <w:proofErr w:type="spellEnd"/>
      <w:r>
        <w:rPr>
          <w:lang w:val="en-US"/>
        </w:rPr>
        <w:t xml:space="preserve"> 46</w:t>
      </w:r>
    </w:p>
  </w:comment>
  <w:comment w:id="10" w:author="nan" w:date="2015-05-06T15:59:00Z" w:initials="n">
    <w:p w:rsidR="00815399" w:rsidRDefault="00815399">
      <w:pPr>
        <w:pStyle w:val="ab"/>
      </w:pPr>
      <w:r>
        <w:rPr>
          <w:rStyle w:val="aa"/>
        </w:rPr>
        <w:annotationRef/>
      </w:r>
      <w:proofErr w:type="spellStart"/>
      <w:r>
        <w:rPr>
          <w:lang w:val="en-US"/>
        </w:rPr>
        <w:t>Var</w:t>
      </w:r>
      <w:proofErr w:type="spellEnd"/>
      <w:r>
        <w:t xml:space="preserve"> 46</w:t>
      </w:r>
    </w:p>
  </w:comment>
  <w:comment w:id="11" w:author="nan" w:date="2015-05-06T15:59:00Z" w:initials="n">
    <w:p w:rsidR="00912246" w:rsidRPr="00912246" w:rsidRDefault="00912246">
      <w:pPr>
        <w:pStyle w:val="ab"/>
        <w:rPr>
          <w:lang w:val="en-US"/>
        </w:rPr>
      </w:pPr>
      <w:r>
        <w:rPr>
          <w:rStyle w:val="aa"/>
        </w:rPr>
        <w:annotationRef/>
      </w:r>
      <w:proofErr w:type="spellStart"/>
      <w:r>
        <w:rPr>
          <w:lang w:val="en-US"/>
        </w:rPr>
        <w:t>Var</w:t>
      </w:r>
      <w:proofErr w:type="spellEnd"/>
      <w:r>
        <w:rPr>
          <w:lang w:val="en-US"/>
        </w:rPr>
        <w:t xml:space="preserve"> 46</w:t>
      </w:r>
    </w:p>
  </w:comment>
  <w:comment w:id="12" w:author="nan" w:date="2015-05-06T15:59:00Z" w:initials="n">
    <w:p w:rsidR="00912246" w:rsidRPr="00912246" w:rsidRDefault="00912246">
      <w:pPr>
        <w:pStyle w:val="ab"/>
        <w:rPr>
          <w:lang w:val="en-US"/>
        </w:rPr>
      </w:pPr>
      <w:r>
        <w:rPr>
          <w:rStyle w:val="aa"/>
        </w:rPr>
        <w:annotationRef/>
      </w:r>
      <w:proofErr w:type="spellStart"/>
      <w:r>
        <w:rPr>
          <w:lang w:val="en-US"/>
        </w:rPr>
        <w:t>Var</w:t>
      </w:r>
      <w:proofErr w:type="spellEnd"/>
      <w:r>
        <w:rPr>
          <w:lang w:val="en-US"/>
        </w:rPr>
        <w:t xml:space="preserve"> 46</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66C1" w:rsidRDefault="000166C1">
      <w:r>
        <w:separator/>
      </w:r>
    </w:p>
  </w:endnote>
  <w:endnote w:type="continuationSeparator" w:id="0">
    <w:p w:rsidR="000166C1" w:rsidRDefault="0001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8C" w:rsidRDefault="00C369FF">
    <w:pPr>
      <w:pStyle w:val="a7"/>
      <w:framePr w:wrap="around" w:vAnchor="text" w:hAnchor="margin" w:xAlign="right" w:y="1"/>
      <w:rPr>
        <w:rStyle w:val="a6"/>
      </w:rPr>
    </w:pPr>
    <w:r>
      <w:rPr>
        <w:rStyle w:val="a6"/>
      </w:rPr>
      <w:fldChar w:fldCharType="begin"/>
    </w:r>
    <w:r w:rsidR="00173D8C">
      <w:rPr>
        <w:rStyle w:val="a6"/>
      </w:rPr>
      <w:instrText xml:space="preserve">PAGE  </w:instrText>
    </w:r>
    <w:r>
      <w:rPr>
        <w:rStyle w:val="a6"/>
      </w:rPr>
      <w:fldChar w:fldCharType="end"/>
    </w:r>
  </w:p>
  <w:p w:rsidR="00173D8C" w:rsidRDefault="00173D8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8C" w:rsidRDefault="00C369FF">
    <w:pPr>
      <w:pStyle w:val="a7"/>
      <w:framePr w:wrap="around" w:vAnchor="text" w:hAnchor="margin" w:xAlign="right" w:y="1"/>
      <w:rPr>
        <w:rStyle w:val="a6"/>
      </w:rPr>
    </w:pPr>
    <w:r>
      <w:rPr>
        <w:rStyle w:val="a6"/>
      </w:rPr>
      <w:fldChar w:fldCharType="begin"/>
    </w:r>
    <w:r w:rsidR="00173D8C">
      <w:rPr>
        <w:rStyle w:val="a6"/>
      </w:rPr>
      <w:instrText xml:space="preserve">PAGE  </w:instrText>
    </w:r>
    <w:r>
      <w:rPr>
        <w:rStyle w:val="a6"/>
      </w:rPr>
      <w:fldChar w:fldCharType="separate"/>
    </w:r>
    <w:r w:rsidR="009A118F">
      <w:rPr>
        <w:rStyle w:val="a6"/>
        <w:noProof/>
      </w:rPr>
      <w:t>1</w:t>
    </w:r>
    <w:r>
      <w:rPr>
        <w:rStyle w:val="a6"/>
      </w:rPr>
      <w:fldChar w:fldCharType="end"/>
    </w:r>
  </w:p>
  <w:p w:rsidR="00173D8C" w:rsidRDefault="00173D8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66C1" w:rsidRDefault="000166C1">
      <w:r>
        <w:separator/>
      </w:r>
    </w:p>
  </w:footnote>
  <w:footnote w:type="continuationSeparator" w:id="0">
    <w:p w:rsidR="000166C1" w:rsidRDefault="0001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C6EDA"/>
    <w:multiLevelType w:val="hybridMultilevel"/>
    <w:tmpl w:val="09BA6782"/>
    <w:lvl w:ilvl="0" w:tplc="566CFD3A">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7E501DA"/>
    <w:multiLevelType w:val="hybridMultilevel"/>
    <w:tmpl w:val="BD5873A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FA2BB0"/>
    <w:multiLevelType w:val="hybridMultilevel"/>
    <w:tmpl w:val="9AB8229C"/>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E602211"/>
    <w:multiLevelType w:val="hybridMultilevel"/>
    <w:tmpl w:val="E214B59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466E47"/>
    <w:multiLevelType w:val="hybridMultilevel"/>
    <w:tmpl w:val="9EE442A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7B5319A"/>
    <w:multiLevelType w:val="multilevel"/>
    <w:tmpl w:val="19B0CB6C"/>
    <w:lvl w:ilvl="0">
      <w:start w:val="4"/>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EB1D64"/>
    <w:multiLevelType w:val="hybridMultilevel"/>
    <w:tmpl w:val="658C068E"/>
    <w:lvl w:ilvl="0" w:tplc="04090005">
      <w:start w:val="1"/>
      <w:numFmt w:val="bullet"/>
      <w:lvlText w:val=""/>
      <w:lvlJc w:val="left"/>
      <w:pPr>
        <w:ind w:left="720" w:hanging="360"/>
      </w:pPr>
      <w:rPr>
        <w:rFonts w:ascii="Wingdings"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BF651AC"/>
    <w:multiLevelType w:val="hybridMultilevel"/>
    <w:tmpl w:val="C45EE2CE"/>
    <w:lvl w:ilvl="0" w:tplc="04090001">
      <w:start w:val="1"/>
      <w:numFmt w:val="bullet"/>
      <w:lvlText w:val=""/>
      <w:lvlJc w:val="left"/>
      <w:pPr>
        <w:tabs>
          <w:tab w:val="num" w:pos="360"/>
        </w:tabs>
        <w:ind w:left="360" w:hanging="360"/>
      </w:pPr>
      <w:rPr>
        <w:rFonts w:ascii="Symbol" w:hAnsi="Symbol" w:hint="default"/>
      </w:rPr>
    </w:lvl>
    <w:lvl w:ilvl="1" w:tplc="60DEA44A">
      <w:numFmt w:val="bullet"/>
      <w:lvlText w:val="-"/>
      <w:lvlJc w:val="left"/>
      <w:pPr>
        <w:tabs>
          <w:tab w:val="num" w:pos="1080"/>
        </w:tabs>
        <w:ind w:left="1080" w:hanging="360"/>
      </w:pPr>
      <w:rPr>
        <w:rFonts w:ascii="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216C528D"/>
    <w:multiLevelType w:val="hybridMultilevel"/>
    <w:tmpl w:val="47E0E95E"/>
    <w:lvl w:ilvl="0" w:tplc="04080001">
      <w:start w:val="1"/>
      <w:numFmt w:val="bullet"/>
      <w:lvlText w:val=""/>
      <w:lvlJc w:val="left"/>
      <w:pPr>
        <w:ind w:left="669" w:hanging="360"/>
      </w:pPr>
      <w:rPr>
        <w:rFonts w:ascii="Symbol" w:hAnsi="Symbol" w:hint="default"/>
      </w:rPr>
    </w:lvl>
    <w:lvl w:ilvl="1" w:tplc="04080003" w:tentative="1">
      <w:start w:val="1"/>
      <w:numFmt w:val="bullet"/>
      <w:lvlText w:val="o"/>
      <w:lvlJc w:val="left"/>
      <w:pPr>
        <w:ind w:left="1389" w:hanging="360"/>
      </w:pPr>
      <w:rPr>
        <w:rFonts w:ascii="Courier New" w:hAnsi="Courier New" w:cs="Courier New" w:hint="default"/>
      </w:rPr>
    </w:lvl>
    <w:lvl w:ilvl="2" w:tplc="04080005" w:tentative="1">
      <w:start w:val="1"/>
      <w:numFmt w:val="bullet"/>
      <w:lvlText w:val=""/>
      <w:lvlJc w:val="left"/>
      <w:pPr>
        <w:ind w:left="2109" w:hanging="360"/>
      </w:pPr>
      <w:rPr>
        <w:rFonts w:ascii="Wingdings" w:hAnsi="Wingdings" w:hint="default"/>
      </w:rPr>
    </w:lvl>
    <w:lvl w:ilvl="3" w:tplc="04080001" w:tentative="1">
      <w:start w:val="1"/>
      <w:numFmt w:val="bullet"/>
      <w:lvlText w:val=""/>
      <w:lvlJc w:val="left"/>
      <w:pPr>
        <w:ind w:left="2829" w:hanging="360"/>
      </w:pPr>
      <w:rPr>
        <w:rFonts w:ascii="Symbol" w:hAnsi="Symbol" w:hint="default"/>
      </w:rPr>
    </w:lvl>
    <w:lvl w:ilvl="4" w:tplc="04080003" w:tentative="1">
      <w:start w:val="1"/>
      <w:numFmt w:val="bullet"/>
      <w:lvlText w:val="o"/>
      <w:lvlJc w:val="left"/>
      <w:pPr>
        <w:ind w:left="3549" w:hanging="360"/>
      </w:pPr>
      <w:rPr>
        <w:rFonts w:ascii="Courier New" w:hAnsi="Courier New" w:cs="Courier New" w:hint="default"/>
      </w:rPr>
    </w:lvl>
    <w:lvl w:ilvl="5" w:tplc="04080005" w:tentative="1">
      <w:start w:val="1"/>
      <w:numFmt w:val="bullet"/>
      <w:lvlText w:val=""/>
      <w:lvlJc w:val="left"/>
      <w:pPr>
        <w:ind w:left="4269" w:hanging="360"/>
      </w:pPr>
      <w:rPr>
        <w:rFonts w:ascii="Wingdings" w:hAnsi="Wingdings" w:hint="default"/>
      </w:rPr>
    </w:lvl>
    <w:lvl w:ilvl="6" w:tplc="04080001" w:tentative="1">
      <w:start w:val="1"/>
      <w:numFmt w:val="bullet"/>
      <w:lvlText w:val=""/>
      <w:lvlJc w:val="left"/>
      <w:pPr>
        <w:ind w:left="4989" w:hanging="360"/>
      </w:pPr>
      <w:rPr>
        <w:rFonts w:ascii="Symbol" w:hAnsi="Symbol" w:hint="default"/>
      </w:rPr>
    </w:lvl>
    <w:lvl w:ilvl="7" w:tplc="04080003" w:tentative="1">
      <w:start w:val="1"/>
      <w:numFmt w:val="bullet"/>
      <w:lvlText w:val="o"/>
      <w:lvlJc w:val="left"/>
      <w:pPr>
        <w:ind w:left="5709" w:hanging="360"/>
      </w:pPr>
      <w:rPr>
        <w:rFonts w:ascii="Courier New" w:hAnsi="Courier New" w:cs="Courier New" w:hint="default"/>
      </w:rPr>
    </w:lvl>
    <w:lvl w:ilvl="8" w:tplc="04080005" w:tentative="1">
      <w:start w:val="1"/>
      <w:numFmt w:val="bullet"/>
      <w:lvlText w:val=""/>
      <w:lvlJc w:val="left"/>
      <w:pPr>
        <w:ind w:left="6429" w:hanging="360"/>
      </w:pPr>
      <w:rPr>
        <w:rFonts w:ascii="Wingdings" w:hAnsi="Wingdings" w:hint="default"/>
      </w:rPr>
    </w:lvl>
  </w:abstractNum>
  <w:abstractNum w:abstractNumId="9">
    <w:nsid w:val="25C0719B"/>
    <w:multiLevelType w:val="hybridMultilevel"/>
    <w:tmpl w:val="20C20E0E"/>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290E2CE4"/>
    <w:multiLevelType w:val="hybridMultilevel"/>
    <w:tmpl w:val="E550EF02"/>
    <w:lvl w:ilvl="0" w:tplc="04090005">
      <w:start w:val="1"/>
      <w:numFmt w:val="bullet"/>
      <w:lvlText w:val=""/>
      <w:lvlJc w:val="left"/>
      <w:pPr>
        <w:tabs>
          <w:tab w:val="num" w:pos="360"/>
        </w:tabs>
        <w:ind w:left="360" w:hanging="360"/>
      </w:pPr>
      <w:rPr>
        <w:rFonts w:ascii="Wingdings" w:hAnsi="Wingdings" w:cs="Times New Roman" w:hint="default"/>
      </w:rPr>
    </w:lvl>
    <w:lvl w:ilvl="1" w:tplc="60DEA44A">
      <w:numFmt w:val="bullet"/>
      <w:lvlText w:val="-"/>
      <w:lvlJc w:val="left"/>
      <w:pPr>
        <w:tabs>
          <w:tab w:val="num" w:pos="1512"/>
        </w:tabs>
        <w:ind w:left="1512" w:hanging="360"/>
      </w:pPr>
      <w:rPr>
        <w:rFonts w:ascii="Times New Roman" w:hAnsi="Times New Roman"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1">
    <w:nsid w:val="2A0F3292"/>
    <w:multiLevelType w:val="hybridMultilevel"/>
    <w:tmpl w:val="B25861D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nsid w:val="2D19472A"/>
    <w:multiLevelType w:val="hybridMultilevel"/>
    <w:tmpl w:val="CF08FD6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2D7B1424"/>
    <w:multiLevelType w:val="multilevel"/>
    <w:tmpl w:val="BBC062F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0CB1C47"/>
    <w:multiLevelType w:val="hybridMultilevel"/>
    <w:tmpl w:val="465803E8"/>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5">
    <w:nsid w:val="310E115A"/>
    <w:multiLevelType w:val="hybridMultilevel"/>
    <w:tmpl w:val="BC9C37A6"/>
    <w:lvl w:ilvl="0" w:tplc="04090001">
      <w:start w:val="1"/>
      <w:numFmt w:val="bullet"/>
      <w:lvlText w:val=""/>
      <w:lvlJc w:val="left"/>
      <w:pPr>
        <w:tabs>
          <w:tab w:val="num" w:pos="360"/>
        </w:tabs>
        <w:ind w:left="360" w:hanging="360"/>
      </w:pPr>
      <w:rPr>
        <w:rFonts w:ascii="Symbol" w:hAnsi="Symbol" w:hint="default"/>
      </w:rPr>
    </w:lvl>
    <w:lvl w:ilvl="1" w:tplc="60DEA44A">
      <w:numFmt w:val="bullet"/>
      <w:lvlText w:val="-"/>
      <w:lvlJc w:val="left"/>
      <w:pPr>
        <w:tabs>
          <w:tab w:val="num" w:pos="1512"/>
        </w:tabs>
        <w:ind w:left="1512" w:hanging="360"/>
      </w:pPr>
      <w:rPr>
        <w:rFonts w:ascii="Times New Roman" w:hAnsi="Times New Roman"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6">
    <w:nsid w:val="35BC2AC0"/>
    <w:multiLevelType w:val="hybridMultilevel"/>
    <w:tmpl w:val="6B32E3E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7">
    <w:nsid w:val="362C7418"/>
    <w:multiLevelType w:val="hybridMultilevel"/>
    <w:tmpl w:val="183E5B1C"/>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8">
    <w:nsid w:val="3A1E54CB"/>
    <w:multiLevelType w:val="hybridMultilevel"/>
    <w:tmpl w:val="10F03EB0"/>
    <w:lvl w:ilvl="0" w:tplc="4C803160">
      <w:start w:val="5"/>
      <w:numFmt w:val="decimal"/>
      <w:lvlText w:val="%1."/>
      <w:lvlJc w:val="left"/>
      <w:pPr>
        <w:tabs>
          <w:tab w:val="num" w:pos="720"/>
        </w:tabs>
        <w:ind w:left="720" w:hanging="720"/>
      </w:pPr>
      <w:rPr>
        <w:rFonts w:hint="default"/>
      </w:rPr>
    </w:lvl>
    <w:lvl w:ilvl="1" w:tplc="B1185330">
      <w:numFmt w:val="none"/>
      <w:lvlText w:val=""/>
      <w:lvlJc w:val="left"/>
      <w:pPr>
        <w:tabs>
          <w:tab w:val="num" w:pos="360"/>
        </w:tabs>
      </w:pPr>
    </w:lvl>
    <w:lvl w:ilvl="2" w:tplc="DA1611D4">
      <w:numFmt w:val="none"/>
      <w:lvlText w:val=""/>
      <w:lvlJc w:val="left"/>
      <w:pPr>
        <w:tabs>
          <w:tab w:val="num" w:pos="360"/>
        </w:tabs>
      </w:pPr>
    </w:lvl>
    <w:lvl w:ilvl="3" w:tplc="752CB98E">
      <w:numFmt w:val="none"/>
      <w:lvlText w:val=""/>
      <w:lvlJc w:val="left"/>
      <w:pPr>
        <w:tabs>
          <w:tab w:val="num" w:pos="360"/>
        </w:tabs>
      </w:pPr>
    </w:lvl>
    <w:lvl w:ilvl="4" w:tplc="10BC6C8C">
      <w:numFmt w:val="none"/>
      <w:lvlText w:val=""/>
      <w:lvlJc w:val="left"/>
      <w:pPr>
        <w:tabs>
          <w:tab w:val="num" w:pos="360"/>
        </w:tabs>
      </w:pPr>
    </w:lvl>
    <w:lvl w:ilvl="5" w:tplc="BB7291E6">
      <w:numFmt w:val="none"/>
      <w:lvlText w:val=""/>
      <w:lvlJc w:val="left"/>
      <w:pPr>
        <w:tabs>
          <w:tab w:val="num" w:pos="360"/>
        </w:tabs>
      </w:pPr>
    </w:lvl>
    <w:lvl w:ilvl="6" w:tplc="BE3CBF64">
      <w:numFmt w:val="none"/>
      <w:lvlText w:val=""/>
      <w:lvlJc w:val="left"/>
      <w:pPr>
        <w:tabs>
          <w:tab w:val="num" w:pos="360"/>
        </w:tabs>
      </w:pPr>
    </w:lvl>
    <w:lvl w:ilvl="7" w:tplc="D49ABFF2">
      <w:numFmt w:val="none"/>
      <w:lvlText w:val=""/>
      <w:lvlJc w:val="left"/>
      <w:pPr>
        <w:tabs>
          <w:tab w:val="num" w:pos="360"/>
        </w:tabs>
      </w:pPr>
    </w:lvl>
    <w:lvl w:ilvl="8" w:tplc="356E1698">
      <w:numFmt w:val="none"/>
      <w:lvlText w:val=""/>
      <w:lvlJc w:val="left"/>
      <w:pPr>
        <w:tabs>
          <w:tab w:val="num" w:pos="360"/>
        </w:tabs>
      </w:pPr>
    </w:lvl>
  </w:abstractNum>
  <w:abstractNum w:abstractNumId="19">
    <w:nsid w:val="3C430D77"/>
    <w:multiLevelType w:val="hybridMultilevel"/>
    <w:tmpl w:val="7C80DF2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D8F4B31"/>
    <w:multiLevelType w:val="hybridMultilevel"/>
    <w:tmpl w:val="5620807C"/>
    <w:lvl w:ilvl="0" w:tplc="CD2CB60A">
      <w:start w:val="4"/>
      <w:numFmt w:val="bullet"/>
      <w:lvlText w:val="-"/>
      <w:lvlJc w:val="left"/>
      <w:pPr>
        <w:ind w:left="1080" w:hanging="360"/>
      </w:pPr>
      <w:rPr>
        <w:rFonts w:ascii="Times New Roman" w:eastAsia="Times New Roman" w:hAnsi="Times New Roman" w:cs="Times New Roman" w:hint="default"/>
      </w:rPr>
    </w:lvl>
    <w:lvl w:ilvl="1" w:tplc="04080003" w:tentative="1">
      <w:start w:val="1"/>
      <w:numFmt w:val="bullet"/>
      <w:lvlText w:val="o"/>
      <w:lvlJc w:val="left"/>
      <w:pPr>
        <w:ind w:left="1800" w:hanging="360"/>
      </w:pPr>
      <w:rPr>
        <w:rFonts w:ascii="Courier New" w:hAnsi="Courier New" w:cs="Courier New" w:hint="default"/>
      </w:rPr>
    </w:lvl>
    <w:lvl w:ilvl="2" w:tplc="04080005" w:tentative="1">
      <w:start w:val="1"/>
      <w:numFmt w:val="bullet"/>
      <w:lvlText w:val=""/>
      <w:lvlJc w:val="left"/>
      <w:pPr>
        <w:ind w:left="2520" w:hanging="360"/>
      </w:pPr>
      <w:rPr>
        <w:rFonts w:ascii="Wingdings" w:hAnsi="Wingdings" w:hint="default"/>
      </w:rPr>
    </w:lvl>
    <w:lvl w:ilvl="3" w:tplc="04080001" w:tentative="1">
      <w:start w:val="1"/>
      <w:numFmt w:val="bullet"/>
      <w:lvlText w:val=""/>
      <w:lvlJc w:val="left"/>
      <w:pPr>
        <w:ind w:left="3240" w:hanging="360"/>
      </w:pPr>
      <w:rPr>
        <w:rFonts w:ascii="Symbol" w:hAnsi="Symbol" w:hint="default"/>
      </w:rPr>
    </w:lvl>
    <w:lvl w:ilvl="4" w:tplc="04080003" w:tentative="1">
      <w:start w:val="1"/>
      <w:numFmt w:val="bullet"/>
      <w:lvlText w:val="o"/>
      <w:lvlJc w:val="left"/>
      <w:pPr>
        <w:ind w:left="3960" w:hanging="360"/>
      </w:pPr>
      <w:rPr>
        <w:rFonts w:ascii="Courier New" w:hAnsi="Courier New" w:cs="Courier New" w:hint="default"/>
      </w:rPr>
    </w:lvl>
    <w:lvl w:ilvl="5" w:tplc="04080005" w:tentative="1">
      <w:start w:val="1"/>
      <w:numFmt w:val="bullet"/>
      <w:lvlText w:val=""/>
      <w:lvlJc w:val="left"/>
      <w:pPr>
        <w:ind w:left="4680" w:hanging="360"/>
      </w:pPr>
      <w:rPr>
        <w:rFonts w:ascii="Wingdings" w:hAnsi="Wingdings" w:hint="default"/>
      </w:rPr>
    </w:lvl>
    <w:lvl w:ilvl="6" w:tplc="04080001" w:tentative="1">
      <w:start w:val="1"/>
      <w:numFmt w:val="bullet"/>
      <w:lvlText w:val=""/>
      <w:lvlJc w:val="left"/>
      <w:pPr>
        <w:ind w:left="5400" w:hanging="360"/>
      </w:pPr>
      <w:rPr>
        <w:rFonts w:ascii="Symbol" w:hAnsi="Symbol" w:hint="default"/>
      </w:rPr>
    </w:lvl>
    <w:lvl w:ilvl="7" w:tplc="04080003" w:tentative="1">
      <w:start w:val="1"/>
      <w:numFmt w:val="bullet"/>
      <w:lvlText w:val="o"/>
      <w:lvlJc w:val="left"/>
      <w:pPr>
        <w:ind w:left="6120" w:hanging="360"/>
      </w:pPr>
      <w:rPr>
        <w:rFonts w:ascii="Courier New" w:hAnsi="Courier New" w:cs="Courier New" w:hint="default"/>
      </w:rPr>
    </w:lvl>
    <w:lvl w:ilvl="8" w:tplc="04080005" w:tentative="1">
      <w:start w:val="1"/>
      <w:numFmt w:val="bullet"/>
      <w:lvlText w:val=""/>
      <w:lvlJc w:val="left"/>
      <w:pPr>
        <w:ind w:left="6840" w:hanging="360"/>
      </w:pPr>
      <w:rPr>
        <w:rFonts w:ascii="Wingdings" w:hAnsi="Wingdings" w:hint="default"/>
      </w:rPr>
    </w:lvl>
  </w:abstractNum>
  <w:abstractNum w:abstractNumId="21">
    <w:nsid w:val="463E6FB1"/>
    <w:multiLevelType w:val="hybridMultilevel"/>
    <w:tmpl w:val="2FE0F14A"/>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2">
    <w:nsid w:val="47B10A59"/>
    <w:multiLevelType w:val="hybridMultilevel"/>
    <w:tmpl w:val="19F41546"/>
    <w:lvl w:ilvl="0" w:tplc="0408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47D74680"/>
    <w:multiLevelType w:val="hybridMultilevel"/>
    <w:tmpl w:val="A8403EA6"/>
    <w:lvl w:ilvl="0" w:tplc="04080001">
      <w:start w:val="1"/>
      <w:numFmt w:val="bullet"/>
      <w:lvlText w:val=""/>
      <w:lvlJc w:val="left"/>
      <w:pPr>
        <w:tabs>
          <w:tab w:val="num" w:pos="1287"/>
        </w:tabs>
        <w:ind w:left="1287" w:hanging="360"/>
      </w:pPr>
      <w:rPr>
        <w:rFonts w:ascii="Symbol" w:hAnsi="Symbol" w:hint="default"/>
      </w:rPr>
    </w:lvl>
    <w:lvl w:ilvl="1" w:tplc="04080003" w:tentative="1">
      <w:start w:val="1"/>
      <w:numFmt w:val="bullet"/>
      <w:lvlText w:val="o"/>
      <w:lvlJc w:val="left"/>
      <w:pPr>
        <w:tabs>
          <w:tab w:val="num" w:pos="2007"/>
        </w:tabs>
        <w:ind w:left="2007" w:hanging="360"/>
      </w:pPr>
      <w:rPr>
        <w:rFonts w:ascii="Courier New" w:hAnsi="Courier New" w:cs="Courier New" w:hint="default"/>
      </w:rPr>
    </w:lvl>
    <w:lvl w:ilvl="2" w:tplc="04080005" w:tentative="1">
      <w:start w:val="1"/>
      <w:numFmt w:val="bullet"/>
      <w:lvlText w:val=""/>
      <w:lvlJc w:val="left"/>
      <w:pPr>
        <w:tabs>
          <w:tab w:val="num" w:pos="2727"/>
        </w:tabs>
        <w:ind w:left="2727" w:hanging="360"/>
      </w:pPr>
      <w:rPr>
        <w:rFonts w:ascii="Wingdings" w:hAnsi="Wingdings" w:hint="default"/>
      </w:rPr>
    </w:lvl>
    <w:lvl w:ilvl="3" w:tplc="04080001" w:tentative="1">
      <w:start w:val="1"/>
      <w:numFmt w:val="bullet"/>
      <w:lvlText w:val=""/>
      <w:lvlJc w:val="left"/>
      <w:pPr>
        <w:tabs>
          <w:tab w:val="num" w:pos="3447"/>
        </w:tabs>
        <w:ind w:left="3447" w:hanging="360"/>
      </w:pPr>
      <w:rPr>
        <w:rFonts w:ascii="Symbol" w:hAnsi="Symbol" w:hint="default"/>
      </w:rPr>
    </w:lvl>
    <w:lvl w:ilvl="4" w:tplc="04080003" w:tentative="1">
      <w:start w:val="1"/>
      <w:numFmt w:val="bullet"/>
      <w:lvlText w:val="o"/>
      <w:lvlJc w:val="left"/>
      <w:pPr>
        <w:tabs>
          <w:tab w:val="num" w:pos="4167"/>
        </w:tabs>
        <w:ind w:left="4167" w:hanging="360"/>
      </w:pPr>
      <w:rPr>
        <w:rFonts w:ascii="Courier New" w:hAnsi="Courier New" w:cs="Courier New" w:hint="default"/>
      </w:rPr>
    </w:lvl>
    <w:lvl w:ilvl="5" w:tplc="04080005" w:tentative="1">
      <w:start w:val="1"/>
      <w:numFmt w:val="bullet"/>
      <w:lvlText w:val=""/>
      <w:lvlJc w:val="left"/>
      <w:pPr>
        <w:tabs>
          <w:tab w:val="num" w:pos="4887"/>
        </w:tabs>
        <w:ind w:left="4887" w:hanging="360"/>
      </w:pPr>
      <w:rPr>
        <w:rFonts w:ascii="Wingdings" w:hAnsi="Wingdings" w:hint="default"/>
      </w:rPr>
    </w:lvl>
    <w:lvl w:ilvl="6" w:tplc="04080001" w:tentative="1">
      <w:start w:val="1"/>
      <w:numFmt w:val="bullet"/>
      <w:lvlText w:val=""/>
      <w:lvlJc w:val="left"/>
      <w:pPr>
        <w:tabs>
          <w:tab w:val="num" w:pos="5607"/>
        </w:tabs>
        <w:ind w:left="5607" w:hanging="360"/>
      </w:pPr>
      <w:rPr>
        <w:rFonts w:ascii="Symbol" w:hAnsi="Symbol" w:hint="default"/>
      </w:rPr>
    </w:lvl>
    <w:lvl w:ilvl="7" w:tplc="04080003" w:tentative="1">
      <w:start w:val="1"/>
      <w:numFmt w:val="bullet"/>
      <w:lvlText w:val="o"/>
      <w:lvlJc w:val="left"/>
      <w:pPr>
        <w:tabs>
          <w:tab w:val="num" w:pos="6327"/>
        </w:tabs>
        <w:ind w:left="6327" w:hanging="360"/>
      </w:pPr>
      <w:rPr>
        <w:rFonts w:ascii="Courier New" w:hAnsi="Courier New" w:cs="Courier New" w:hint="default"/>
      </w:rPr>
    </w:lvl>
    <w:lvl w:ilvl="8" w:tplc="04080005" w:tentative="1">
      <w:start w:val="1"/>
      <w:numFmt w:val="bullet"/>
      <w:lvlText w:val=""/>
      <w:lvlJc w:val="left"/>
      <w:pPr>
        <w:tabs>
          <w:tab w:val="num" w:pos="7047"/>
        </w:tabs>
        <w:ind w:left="7047" w:hanging="360"/>
      </w:pPr>
      <w:rPr>
        <w:rFonts w:ascii="Wingdings" w:hAnsi="Wingdings" w:hint="default"/>
      </w:rPr>
    </w:lvl>
  </w:abstractNum>
  <w:abstractNum w:abstractNumId="24">
    <w:nsid w:val="4A347B40"/>
    <w:multiLevelType w:val="hybridMultilevel"/>
    <w:tmpl w:val="47B66258"/>
    <w:lvl w:ilvl="0" w:tplc="04080001">
      <w:start w:val="1"/>
      <w:numFmt w:val="bullet"/>
      <w:lvlText w:val=""/>
      <w:lvlJc w:val="left"/>
      <w:pPr>
        <w:ind w:left="612" w:hanging="360"/>
      </w:pPr>
      <w:rPr>
        <w:rFonts w:ascii="Symbol" w:hAnsi="Symbol" w:hint="default"/>
      </w:rPr>
    </w:lvl>
    <w:lvl w:ilvl="1" w:tplc="04080003" w:tentative="1">
      <w:start w:val="1"/>
      <w:numFmt w:val="bullet"/>
      <w:lvlText w:val="o"/>
      <w:lvlJc w:val="left"/>
      <w:pPr>
        <w:ind w:left="1332" w:hanging="360"/>
      </w:pPr>
      <w:rPr>
        <w:rFonts w:ascii="Courier New" w:hAnsi="Courier New" w:cs="Courier New" w:hint="default"/>
      </w:rPr>
    </w:lvl>
    <w:lvl w:ilvl="2" w:tplc="04080005" w:tentative="1">
      <w:start w:val="1"/>
      <w:numFmt w:val="bullet"/>
      <w:lvlText w:val=""/>
      <w:lvlJc w:val="left"/>
      <w:pPr>
        <w:ind w:left="2052" w:hanging="360"/>
      </w:pPr>
      <w:rPr>
        <w:rFonts w:ascii="Wingdings" w:hAnsi="Wingdings" w:hint="default"/>
      </w:rPr>
    </w:lvl>
    <w:lvl w:ilvl="3" w:tplc="04080001" w:tentative="1">
      <w:start w:val="1"/>
      <w:numFmt w:val="bullet"/>
      <w:lvlText w:val=""/>
      <w:lvlJc w:val="left"/>
      <w:pPr>
        <w:ind w:left="2772" w:hanging="360"/>
      </w:pPr>
      <w:rPr>
        <w:rFonts w:ascii="Symbol" w:hAnsi="Symbol" w:hint="default"/>
      </w:rPr>
    </w:lvl>
    <w:lvl w:ilvl="4" w:tplc="04080003" w:tentative="1">
      <w:start w:val="1"/>
      <w:numFmt w:val="bullet"/>
      <w:lvlText w:val="o"/>
      <w:lvlJc w:val="left"/>
      <w:pPr>
        <w:ind w:left="3492" w:hanging="360"/>
      </w:pPr>
      <w:rPr>
        <w:rFonts w:ascii="Courier New" w:hAnsi="Courier New" w:cs="Courier New" w:hint="default"/>
      </w:rPr>
    </w:lvl>
    <w:lvl w:ilvl="5" w:tplc="04080005" w:tentative="1">
      <w:start w:val="1"/>
      <w:numFmt w:val="bullet"/>
      <w:lvlText w:val=""/>
      <w:lvlJc w:val="left"/>
      <w:pPr>
        <w:ind w:left="4212" w:hanging="360"/>
      </w:pPr>
      <w:rPr>
        <w:rFonts w:ascii="Wingdings" w:hAnsi="Wingdings" w:hint="default"/>
      </w:rPr>
    </w:lvl>
    <w:lvl w:ilvl="6" w:tplc="04080001" w:tentative="1">
      <w:start w:val="1"/>
      <w:numFmt w:val="bullet"/>
      <w:lvlText w:val=""/>
      <w:lvlJc w:val="left"/>
      <w:pPr>
        <w:ind w:left="4932" w:hanging="360"/>
      </w:pPr>
      <w:rPr>
        <w:rFonts w:ascii="Symbol" w:hAnsi="Symbol" w:hint="default"/>
      </w:rPr>
    </w:lvl>
    <w:lvl w:ilvl="7" w:tplc="04080003" w:tentative="1">
      <w:start w:val="1"/>
      <w:numFmt w:val="bullet"/>
      <w:lvlText w:val="o"/>
      <w:lvlJc w:val="left"/>
      <w:pPr>
        <w:ind w:left="5652" w:hanging="360"/>
      </w:pPr>
      <w:rPr>
        <w:rFonts w:ascii="Courier New" w:hAnsi="Courier New" w:cs="Courier New" w:hint="default"/>
      </w:rPr>
    </w:lvl>
    <w:lvl w:ilvl="8" w:tplc="04080005" w:tentative="1">
      <w:start w:val="1"/>
      <w:numFmt w:val="bullet"/>
      <w:lvlText w:val=""/>
      <w:lvlJc w:val="left"/>
      <w:pPr>
        <w:ind w:left="6372" w:hanging="360"/>
      </w:pPr>
      <w:rPr>
        <w:rFonts w:ascii="Wingdings" w:hAnsi="Wingdings" w:hint="default"/>
      </w:rPr>
    </w:lvl>
  </w:abstractNum>
  <w:abstractNum w:abstractNumId="25">
    <w:nsid w:val="4D877844"/>
    <w:multiLevelType w:val="hybridMultilevel"/>
    <w:tmpl w:val="4126DC08"/>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55770744"/>
    <w:multiLevelType w:val="hybridMultilevel"/>
    <w:tmpl w:val="FC5C1832"/>
    <w:lvl w:ilvl="0" w:tplc="04090001">
      <w:start w:val="1"/>
      <w:numFmt w:val="bullet"/>
      <w:lvlText w:val=""/>
      <w:lvlJc w:val="left"/>
      <w:pPr>
        <w:tabs>
          <w:tab w:val="num" w:pos="720"/>
        </w:tabs>
        <w:ind w:left="720" w:hanging="360"/>
      </w:pPr>
      <w:rPr>
        <w:rFonts w:ascii="Symbol" w:hAnsi="Symbol"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27">
    <w:nsid w:val="5A6068CA"/>
    <w:multiLevelType w:val="hybridMultilevel"/>
    <w:tmpl w:val="D706A326"/>
    <w:lvl w:ilvl="0" w:tplc="04090005">
      <w:start w:val="1"/>
      <w:numFmt w:val="bullet"/>
      <w:lvlText w:val=""/>
      <w:lvlJc w:val="left"/>
      <w:pPr>
        <w:ind w:left="720" w:hanging="360"/>
      </w:pPr>
      <w:rPr>
        <w:rFonts w:ascii="Wingdings" w:hAnsi="Wingdings"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nsid w:val="610973B4"/>
    <w:multiLevelType w:val="hybridMultilevel"/>
    <w:tmpl w:val="349A5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9">
    <w:nsid w:val="62594272"/>
    <w:multiLevelType w:val="hybridMultilevel"/>
    <w:tmpl w:val="F5FEC7AE"/>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6798015A"/>
    <w:multiLevelType w:val="hybridMultilevel"/>
    <w:tmpl w:val="05D051C0"/>
    <w:lvl w:ilvl="0" w:tplc="04090005">
      <w:start w:val="1"/>
      <w:numFmt w:val="bullet"/>
      <w:lvlText w:val=""/>
      <w:lvlJc w:val="left"/>
      <w:pPr>
        <w:tabs>
          <w:tab w:val="num" w:pos="360"/>
        </w:tabs>
        <w:ind w:left="360" w:hanging="360"/>
      </w:pPr>
      <w:rPr>
        <w:rFonts w:ascii="Wingdings" w:hAnsi="Wingding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1">
    <w:nsid w:val="69B51A87"/>
    <w:multiLevelType w:val="hybridMultilevel"/>
    <w:tmpl w:val="C53077BA"/>
    <w:lvl w:ilvl="0" w:tplc="04090001">
      <w:start w:val="1"/>
      <w:numFmt w:val="bullet"/>
      <w:lvlText w:val=""/>
      <w:lvlJc w:val="left"/>
      <w:pPr>
        <w:tabs>
          <w:tab w:val="num" w:pos="360"/>
        </w:tabs>
        <w:ind w:left="360" w:hanging="360"/>
      </w:pPr>
      <w:rPr>
        <w:rFonts w:ascii="Symbol" w:hAnsi="Symbol" w:cs="Times New Roman"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Times New Roman" w:hint="default"/>
      </w:rPr>
    </w:lvl>
    <w:lvl w:ilvl="3" w:tplc="04090001">
      <w:start w:val="1"/>
      <w:numFmt w:val="bullet"/>
      <w:lvlText w:val=""/>
      <w:lvlJc w:val="left"/>
      <w:pPr>
        <w:tabs>
          <w:tab w:val="num" w:pos="2520"/>
        </w:tabs>
        <w:ind w:left="2520" w:hanging="360"/>
      </w:pPr>
      <w:rPr>
        <w:rFonts w:ascii="Symbol" w:hAnsi="Symbol" w:cs="Times New Roman"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Times New Roman" w:hint="default"/>
      </w:rPr>
    </w:lvl>
    <w:lvl w:ilvl="6" w:tplc="04090001">
      <w:start w:val="1"/>
      <w:numFmt w:val="bullet"/>
      <w:lvlText w:val=""/>
      <w:lvlJc w:val="left"/>
      <w:pPr>
        <w:tabs>
          <w:tab w:val="num" w:pos="4680"/>
        </w:tabs>
        <w:ind w:left="4680" w:hanging="360"/>
      </w:pPr>
      <w:rPr>
        <w:rFonts w:ascii="Symbol" w:hAnsi="Symbol" w:cs="Times New Roman"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Times New Roman" w:hint="default"/>
      </w:rPr>
    </w:lvl>
  </w:abstractNum>
  <w:abstractNum w:abstractNumId="32">
    <w:nsid w:val="6C59551A"/>
    <w:multiLevelType w:val="hybridMultilevel"/>
    <w:tmpl w:val="1876A962"/>
    <w:lvl w:ilvl="0" w:tplc="251023A0">
      <w:start w:val="4"/>
      <w:numFmt w:val="bullet"/>
      <w:lvlText w:val="-"/>
      <w:lvlJc w:val="left"/>
      <w:pPr>
        <w:tabs>
          <w:tab w:val="num" w:pos="1080"/>
        </w:tabs>
        <w:ind w:left="1080" w:hanging="360"/>
      </w:pPr>
      <w:rPr>
        <w:rFonts w:ascii="Times New Roman" w:eastAsia="Times New Roman" w:hAnsi="Times New Roman" w:cs="Times New Roman" w:hint="default"/>
      </w:rPr>
    </w:lvl>
    <w:lvl w:ilvl="1" w:tplc="04080003" w:tentative="1">
      <w:start w:val="1"/>
      <w:numFmt w:val="bullet"/>
      <w:lvlText w:val="o"/>
      <w:lvlJc w:val="left"/>
      <w:pPr>
        <w:tabs>
          <w:tab w:val="num" w:pos="1800"/>
        </w:tabs>
        <w:ind w:left="1800" w:hanging="360"/>
      </w:pPr>
      <w:rPr>
        <w:rFonts w:ascii="Courier New" w:hAnsi="Courier New" w:cs="Courier New" w:hint="default"/>
      </w:rPr>
    </w:lvl>
    <w:lvl w:ilvl="2" w:tplc="04080005" w:tentative="1">
      <w:start w:val="1"/>
      <w:numFmt w:val="bullet"/>
      <w:lvlText w:val=""/>
      <w:lvlJc w:val="left"/>
      <w:pPr>
        <w:tabs>
          <w:tab w:val="num" w:pos="2520"/>
        </w:tabs>
        <w:ind w:left="2520" w:hanging="360"/>
      </w:pPr>
      <w:rPr>
        <w:rFonts w:ascii="Wingdings" w:hAnsi="Wingdings" w:hint="default"/>
      </w:rPr>
    </w:lvl>
    <w:lvl w:ilvl="3" w:tplc="04080001" w:tentative="1">
      <w:start w:val="1"/>
      <w:numFmt w:val="bullet"/>
      <w:lvlText w:val=""/>
      <w:lvlJc w:val="left"/>
      <w:pPr>
        <w:tabs>
          <w:tab w:val="num" w:pos="3240"/>
        </w:tabs>
        <w:ind w:left="3240" w:hanging="360"/>
      </w:pPr>
      <w:rPr>
        <w:rFonts w:ascii="Symbol" w:hAnsi="Symbol" w:hint="default"/>
      </w:rPr>
    </w:lvl>
    <w:lvl w:ilvl="4" w:tplc="04080003" w:tentative="1">
      <w:start w:val="1"/>
      <w:numFmt w:val="bullet"/>
      <w:lvlText w:val="o"/>
      <w:lvlJc w:val="left"/>
      <w:pPr>
        <w:tabs>
          <w:tab w:val="num" w:pos="3960"/>
        </w:tabs>
        <w:ind w:left="3960" w:hanging="360"/>
      </w:pPr>
      <w:rPr>
        <w:rFonts w:ascii="Courier New" w:hAnsi="Courier New" w:cs="Courier New" w:hint="default"/>
      </w:rPr>
    </w:lvl>
    <w:lvl w:ilvl="5" w:tplc="04080005" w:tentative="1">
      <w:start w:val="1"/>
      <w:numFmt w:val="bullet"/>
      <w:lvlText w:val=""/>
      <w:lvlJc w:val="left"/>
      <w:pPr>
        <w:tabs>
          <w:tab w:val="num" w:pos="4680"/>
        </w:tabs>
        <w:ind w:left="4680" w:hanging="360"/>
      </w:pPr>
      <w:rPr>
        <w:rFonts w:ascii="Wingdings" w:hAnsi="Wingdings" w:hint="default"/>
      </w:rPr>
    </w:lvl>
    <w:lvl w:ilvl="6" w:tplc="04080001" w:tentative="1">
      <w:start w:val="1"/>
      <w:numFmt w:val="bullet"/>
      <w:lvlText w:val=""/>
      <w:lvlJc w:val="left"/>
      <w:pPr>
        <w:tabs>
          <w:tab w:val="num" w:pos="5400"/>
        </w:tabs>
        <w:ind w:left="5400" w:hanging="360"/>
      </w:pPr>
      <w:rPr>
        <w:rFonts w:ascii="Symbol" w:hAnsi="Symbol" w:hint="default"/>
      </w:rPr>
    </w:lvl>
    <w:lvl w:ilvl="7" w:tplc="04080003" w:tentative="1">
      <w:start w:val="1"/>
      <w:numFmt w:val="bullet"/>
      <w:lvlText w:val="o"/>
      <w:lvlJc w:val="left"/>
      <w:pPr>
        <w:tabs>
          <w:tab w:val="num" w:pos="6120"/>
        </w:tabs>
        <w:ind w:left="6120" w:hanging="360"/>
      </w:pPr>
      <w:rPr>
        <w:rFonts w:ascii="Courier New" w:hAnsi="Courier New" w:cs="Courier New" w:hint="default"/>
      </w:rPr>
    </w:lvl>
    <w:lvl w:ilvl="8" w:tplc="04080005" w:tentative="1">
      <w:start w:val="1"/>
      <w:numFmt w:val="bullet"/>
      <w:lvlText w:val=""/>
      <w:lvlJc w:val="left"/>
      <w:pPr>
        <w:tabs>
          <w:tab w:val="num" w:pos="6840"/>
        </w:tabs>
        <w:ind w:left="6840" w:hanging="360"/>
      </w:pPr>
      <w:rPr>
        <w:rFonts w:ascii="Wingdings" w:hAnsi="Wingdings" w:hint="default"/>
      </w:rPr>
    </w:lvl>
  </w:abstractNum>
  <w:abstractNum w:abstractNumId="33">
    <w:nsid w:val="715D45B4"/>
    <w:multiLevelType w:val="singleLevel"/>
    <w:tmpl w:val="A20ADDA2"/>
    <w:lvl w:ilvl="0">
      <w:start w:val="2"/>
      <w:numFmt w:val="bullet"/>
      <w:lvlText w:val="-"/>
      <w:lvlJc w:val="left"/>
      <w:pPr>
        <w:tabs>
          <w:tab w:val="num" w:pos="720"/>
        </w:tabs>
        <w:ind w:left="720" w:hanging="720"/>
      </w:pPr>
      <w:rPr>
        <w:rFonts w:hint="default"/>
      </w:rPr>
    </w:lvl>
  </w:abstractNum>
  <w:abstractNum w:abstractNumId="34">
    <w:nsid w:val="7B400A7B"/>
    <w:multiLevelType w:val="hybridMultilevel"/>
    <w:tmpl w:val="88524D4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5"/>
  </w:num>
  <w:num w:numId="2">
    <w:abstractNumId w:val="18"/>
  </w:num>
  <w:num w:numId="3">
    <w:abstractNumId w:val="14"/>
  </w:num>
  <w:num w:numId="4">
    <w:abstractNumId w:val="33"/>
  </w:num>
  <w:num w:numId="5">
    <w:abstractNumId w:val="32"/>
  </w:num>
  <w:num w:numId="6">
    <w:abstractNumId w:val="16"/>
  </w:num>
  <w:num w:numId="7">
    <w:abstractNumId w:val="21"/>
  </w:num>
  <w:num w:numId="8">
    <w:abstractNumId w:val="17"/>
  </w:num>
  <w:num w:numId="9">
    <w:abstractNumId w:val="26"/>
  </w:num>
  <w:num w:numId="10">
    <w:abstractNumId w:val="31"/>
  </w:num>
  <w:num w:numId="11">
    <w:abstractNumId w:val="23"/>
  </w:num>
  <w:num w:numId="12">
    <w:abstractNumId w:val="20"/>
  </w:num>
  <w:num w:numId="13">
    <w:abstractNumId w:val="0"/>
  </w:num>
  <w:num w:numId="14">
    <w:abstractNumId w:val="13"/>
  </w:num>
  <w:num w:numId="15">
    <w:abstractNumId w:val="3"/>
  </w:num>
  <w:num w:numId="16">
    <w:abstractNumId w:val="4"/>
  </w:num>
  <w:num w:numId="17">
    <w:abstractNumId w:val="15"/>
  </w:num>
  <w:num w:numId="18">
    <w:abstractNumId w:val="7"/>
  </w:num>
  <w:num w:numId="19">
    <w:abstractNumId w:val="1"/>
  </w:num>
  <w:num w:numId="20">
    <w:abstractNumId w:val="19"/>
  </w:num>
  <w:num w:numId="21">
    <w:abstractNumId w:val="29"/>
  </w:num>
  <w:num w:numId="22">
    <w:abstractNumId w:val="2"/>
  </w:num>
  <w:num w:numId="23">
    <w:abstractNumId w:val="25"/>
  </w:num>
  <w:num w:numId="24">
    <w:abstractNumId w:val="16"/>
  </w:num>
  <w:num w:numId="25">
    <w:abstractNumId w:val="23"/>
  </w:num>
  <w:num w:numId="26">
    <w:abstractNumId w:val="31"/>
  </w:num>
  <w:num w:numId="27">
    <w:abstractNumId w:val="21"/>
  </w:num>
  <w:num w:numId="28">
    <w:abstractNumId w:val="17"/>
  </w:num>
  <w:num w:numId="29">
    <w:abstractNumId w:val="26"/>
  </w:num>
  <w:num w:numId="30">
    <w:abstractNumId w:val="24"/>
  </w:num>
  <w:num w:numId="31">
    <w:abstractNumId w:val="10"/>
  </w:num>
  <w:num w:numId="32">
    <w:abstractNumId w:val="6"/>
  </w:num>
  <w:num w:numId="33">
    <w:abstractNumId w:val="27"/>
  </w:num>
  <w:num w:numId="34">
    <w:abstractNumId w:val="30"/>
  </w:num>
  <w:num w:numId="35">
    <w:abstractNumId w:val="28"/>
  </w:num>
  <w:num w:numId="36">
    <w:abstractNumId w:val="12"/>
  </w:num>
  <w:num w:numId="37">
    <w:abstractNumId w:val="22"/>
  </w:num>
  <w:num w:numId="38">
    <w:abstractNumId w:val="11"/>
  </w:num>
  <w:num w:numId="39">
    <w:abstractNumId w:val="34"/>
  </w:num>
  <w:num w:numId="40">
    <w:abstractNumId w:val="8"/>
  </w:num>
  <w:num w:numId="4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865444"/>
    <w:rsid w:val="000156CC"/>
    <w:rsid w:val="000166C1"/>
    <w:rsid w:val="00036A71"/>
    <w:rsid w:val="0006044E"/>
    <w:rsid w:val="0007279A"/>
    <w:rsid w:val="00077899"/>
    <w:rsid w:val="00092992"/>
    <w:rsid w:val="000A0C36"/>
    <w:rsid w:val="000A28BD"/>
    <w:rsid w:val="000A3201"/>
    <w:rsid w:val="000D5376"/>
    <w:rsid w:val="000D7B81"/>
    <w:rsid w:val="000F71A2"/>
    <w:rsid w:val="00106FE9"/>
    <w:rsid w:val="00110CEC"/>
    <w:rsid w:val="001141E9"/>
    <w:rsid w:val="00114CD2"/>
    <w:rsid w:val="001153F6"/>
    <w:rsid w:val="00122155"/>
    <w:rsid w:val="00140FC9"/>
    <w:rsid w:val="001459BF"/>
    <w:rsid w:val="00147B4D"/>
    <w:rsid w:val="001556CD"/>
    <w:rsid w:val="00173D8C"/>
    <w:rsid w:val="00181A50"/>
    <w:rsid w:val="001876B8"/>
    <w:rsid w:val="001B0BF1"/>
    <w:rsid w:val="001B3CFB"/>
    <w:rsid w:val="001C40C0"/>
    <w:rsid w:val="001D0BB1"/>
    <w:rsid w:val="001D2AB9"/>
    <w:rsid w:val="001D2E09"/>
    <w:rsid w:val="001D3A5B"/>
    <w:rsid w:val="00210396"/>
    <w:rsid w:val="0021323B"/>
    <w:rsid w:val="00216672"/>
    <w:rsid w:val="002372DC"/>
    <w:rsid w:val="00251683"/>
    <w:rsid w:val="00256891"/>
    <w:rsid w:val="00261943"/>
    <w:rsid w:val="00262932"/>
    <w:rsid w:val="00262EA2"/>
    <w:rsid w:val="002731FE"/>
    <w:rsid w:val="00276EA1"/>
    <w:rsid w:val="00282146"/>
    <w:rsid w:val="0028741C"/>
    <w:rsid w:val="002B282C"/>
    <w:rsid w:val="002C13BD"/>
    <w:rsid w:val="002D5AF1"/>
    <w:rsid w:val="002D6528"/>
    <w:rsid w:val="002F1D33"/>
    <w:rsid w:val="00302AF2"/>
    <w:rsid w:val="0030311B"/>
    <w:rsid w:val="00306E55"/>
    <w:rsid w:val="00311CD4"/>
    <w:rsid w:val="00311EC6"/>
    <w:rsid w:val="00327A1C"/>
    <w:rsid w:val="00343764"/>
    <w:rsid w:val="00380214"/>
    <w:rsid w:val="00387122"/>
    <w:rsid w:val="003E35AE"/>
    <w:rsid w:val="003F0562"/>
    <w:rsid w:val="003F75A4"/>
    <w:rsid w:val="0040608F"/>
    <w:rsid w:val="00452962"/>
    <w:rsid w:val="0045545F"/>
    <w:rsid w:val="00466900"/>
    <w:rsid w:val="00466B88"/>
    <w:rsid w:val="00475D86"/>
    <w:rsid w:val="004764F8"/>
    <w:rsid w:val="00483C5E"/>
    <w:rsid w:val="004851B6"/>
    <w:rsid w:val="00485E86"/>
    <w:rsid w:val="004A4EB8"/>
    <w:rsid w:val="004B4A7C"/>
    <w:rsid w:val="004C0822"/>
    <w:rsid w:val="004D1E95"/>
    <w:rsid w:val="004D4DBD"/>
    <w:rsid w:val="004E2399"/>
    <w:rsid w:val="004F27B5"/>
    <w:rsid w:val="00500DB5"/>
    <w:rsid w:val="005052C4"/>
    <w:rsid w:val="00516A4D"/>
    <w:rsid w:val="00531243"/>
    <w:rsid w:val="00534F66"/>
    <w:rsid w:val="00540463"/>
    <w:rsid w:val="00541BEE"/>
    <w:rsid w:val="005440DF"/>
    <w:rsid w:val="00556254"/>
    <w:rsid w:val="0056642B"/>
    <w:rsid w:val="00591D83"/>
    <w:rsid w:val="005B23C3"/>
    <w:rsid w:val="005B3864"/>
    <w:rsid w:val="005C4605"/>
    <w:rsid w:val="005C7BAD"/>
    <w:rsid w:val="005E0600"/>
    <w:rsid w:val="005E49D9"/>
    <w:rsid w:val="005F1D1F"/>
    <w:rsid w:val="00603805"/>
    <w:rsid w:val="006131F0"/>
    <w:rsid w:val="0061454C"/>
    <w:rsid w:val="00626365"/>
    <w:rsid w:val="006417B5"/>
    <w:rsid w:val="00686F5E"/>
    <w:rsid w:val="006A37E8"/>
    <w:rsid w:val="006A6170"/>
    <w:rsid w:val="006C3A09"/>
    <w:rsid w:val="006D5B52"/>
    <w:rsid w:val="006D7E65"/>
    <w:rsid w:val="006E2F47"/>
    <w:rsid w:val="0070587B"/>
    <w:rsid w:val="00723C9D"/>
    <w:rsid w:val="0072687B"/>
    <w:rsid w:val="00741A0A"/>
    <w:rsid w:val="0076214E"/>
    <w:rsid w:val="00767BAA"/>
    <w:rsid w:val="00787225"/>
    <w:rsid w:val="0079359A"/>
    <w:rsid w:val="007B2B25"/>
    <w:rsid w:val="007B53B0"/>
    <w:rsid w:val="007C37D9"/>
    <w:rsid w:val="007C7F28"/>
    <w:rsid w:val="00815399"/>
    <w:rsid w:val="00816BA2"/>
    <w:rsid w:val="00834F37"/>
    <w:rsid w:val="00844337"/>
    <w:rsid w:val="00851CF6"/>
    <w:rsid w:val="00864B6F"/>
    <w:rsid w:val="00865444"/>
    <w:rsid w:val="00865B63"/>
    <w:rsid w:val="00871A17"/>
    <w:rsid w:val="00872A94"/>
    <w:rsid w:val="00876655"/>
    <w:rsid w:val="0088125D"/>
    <w:rsid w:val="00886FF3"/>
    <w:rsid w:val="008B1A9C"/>
    <w:rsid w:val="008B7A30"/>
    <w:rsid w:val="008D71E8"/>
    <w:rsid w:val="008F088C"/>
    <w:rsid w:val="008F0B05"/>
    <w:rsid w:val="00912246"/>
    <w:rsid w:val="00917F45"/>
    <w:rsid w:val="00924F67"/>
    <w:rsid w:val="0094479D"/>
    <w:rsid w:val="00945674"/>
    <w:rsid w:val="0095179C"/>
    <w:rsid w:val="009560AF"/>
    <w:rsid w:val="009650F5"/>
    <w:rsid w:val="00976FA2"/>
    <w:rsid w:val="00986FCD"/>
    <w:rsid w:val="009A118F"/>
    <w:rsid w:val="009A41D4"/>
    <w:rsid w:val="009A4FB5"/>
    <w:rsid w:val="009B0960"/>
    <w:rsid w:val="009B1371"/>
    <w:rsid w:val="009E2844"/>
    <w:rsid w:val="009E3844"/>
    <w:rsid w:val="009F5055"/>
    <w:rsid w:val="009F72ED"/>
    <w:rsid w:val="00A001D9"/>
    <w:rsid w:val="00A008D7"/>
    <w:rsid w:val="00A04904"/>
    <w:rsid w:val="00A04DB5"/>
    <w:rsid w:val="00A310F3"/>
    <w:rsid w:val="00A33084"/>
    <w:rsid w:val="00A63822"/>
    <w:rsid w:val="00A64775"/>
    <w:rsid w:val="00A721FD"/>
    <w:rsid w:val="00A7528A"/>
    <w:rsid w:val="00A86579"/>
    <w:rsid w:val="00AA1AB4"/>
    <w:rsid w:val="00AA4CF9"/>
    <w:rsid w:val="00AA532B"/>
    <w:rsid w:val="00AB27BA"/>
    <w:rsid w:val="00AB39FA"/>
    <w:rsid w:val="00AD5E88"/>
    <w:rsid w:val="00AF5266"/>
    <w:rsid w:val="00AF6F23"/>
    <w:rsid w:val="00B12A03"/>
    <w:rsid w:val="00B22B6E"/>
    <w:rsid w:val="00B43F39"/>
    <w:rsid w:val="00B45A94"/>
    <w:rsid w:val="00B61733"/>
    <w:rsid w:val="00B72E21"/>
    <w:rsid w:val="00BA6834"/>
    <w:rsid w:val="00BD52EB"/>
    <w:rsid w:val="00BE4DF4"/>
    <w:rsid w:val="00BE78DC"/>
    <w:rsid w:val="00BF767A"/>
    <w:rsid w:val="00C01610"/>
    <w:rsid w:val="00C2075A"/>
    <w:rsid w:val="00C30A54"/>
    <w:rsid w:val="00C369FF"/>
    <w:rsid w:val="00C54610"/>
    <w:rsid w:val="00C74409"/>
    <w:rsid w:val="00C8181E"/>
    <w:rsid w:val="00C87673"/>
    <w:rsid w:val="00C95290"/>
    <w:rsid w:val="00CA658D"/>
    <w:rsid w:val="00CA75FC"/>
    <w:rsid w:val="00CC18D2"/>
    <w:rsid w:val="00CD205D"/>
    <w:rsid w:val="00CE0A94"/>
    <w:rsid w:val="00CE1FF6"/>
    <w:rsid w:val="00CE3401"/>
    <w:rsid w:val="00D10B82"/>
    <w:rsid w:val="00D13B55"/>
    <w:rsid w:val="00D16A29"/>
    <w:rsid w:val="00D63773"/>
    <w:rsid w:val="00D803B1"/>
    <w:rsid w:val="00DB0DEE"/>
    <w:rsid w:val="00DB711F"/>
    <w:rsid w:val="00DD62ED"/>
    <w:rsid w:val="00DE012A"/>
    <w:rsid w:val="00DE3AEB"/>
    <w:rsid w:val="00DE42E0"/>
    <w:rsid w:val="00DF7B68"/>
    <w:rsid w:val="00E05EFD"/>
    <w:rsid w:val="00E30BDB"/>
    <w:rsid w:val="00E36A5E"/>
    <w:rsid w:val="00E7373A"/>
    <w:rsid w:val="00ED683D"/>
    <w:rsid w:val="00EF79B7"/>
    <w:rsid w:val="00F006C8"/>
    <w:rsid w:val="00F03406"/>
    <w:rsid w:val="00F06E28"/>
    <w:rsid w:val="00F11EB9"/>
    <w:rsid w:val="00F12389"/>
    <w:rsid w:val="00F17080"/>
    <w:rsid w:val="00F31746"/>
    <w:rsid w:val="00F53FE5"/>
    <w:rsid w:val="00F57BBA"/>
    <w:rsid w:val="00F75990"/>
    <w:rsid w:val="00F87A3E"/>
    <w:rsid w:val="00F93666"/>
    <w:rsid w:val="00F96664"/>
    <w:rsid w:val="00FA5768"/>
    <w:rsid w:val="00FA676A"/>
    <w:rsid w:val="00FA749A"/>
    <w:rsid w:val="00FB035F"/>
    <w:rsid w:val="00FB5528"/>
    <w:rsid w:val="00FC2377"/>
    <w:rsid w:val="00FC3351"/>
    <w:rsid w:val="00FD6CFC"/>
    <w:rsid w:val="00FE341A"/>
    <w:rsid w:val="00FF1FE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5444"/>
    <w:rPr>
      <w:sz w:val="24"/>
      <w:szCs w:val="24"/>
    </w:rPr>
  </w:style>
  <w:style w:type="paragraph" w:styleId="1">
    <w:name w:val="heading 1"/>
    <w:basedOn w:val="a"/>
    <w:next w:val="a"/>
    <w:qFormat/>
    <w:rsid w:val="00865444"/>
    <w:pPr>
      <w:keepNext/>
      <w:ind w:left="720"/>
      <w:outlineLvl w:val="0"/>
    </w:pPr>
    <w:rPr>
      <w:u w:val="single"/>
      <w:lang w:val="en-GB" w:eastAsia="en-US"/>
    </w:rPr>
  </w:style>
  <w:style w:type="paragraph" w:styleId="3">
    <w:name w:val="heading 3"/>
    <w:basedOn w:val="a"/>
    <w:next w:val="a"/>
    <w:link w:val="3Char"/>
    <w:qFormat/>
    <w:rsid w:val="00865444"/>
    <w:pPr>
      <w:keepNext/>
      <w:jc w:val="both"/>
      <w:outlineLvl w:val="2"/>
    </w:pPr>
    <w:rPr>
      <w:i/>
      <w:lang w:val="en-GB" w:eastAsia="en-US"/>
    </w:rPr>
  </w:style>
  <w:style w:type="paragraph" w:styleId="4">
    <w:name w:val="heading 4"/>
    <w:basedOn w:val="a"/>
    <w:next w:val="a"/>
    <w:qFormat/>
    <w:rsid w:val="00865444"/>
    <w:pPr>
      <w:keepNext/>
      <w:ind w:left="720"/>
      <w:outlineLvl w:val="3"/>
    </w:pPr>
    <w:rPr>
      <w:b/>
      <w:bCs/>
      <w:u w:val="single"/>
      <w:lang w:val="en-GB" w:eastAsia="en-US"/>
    </w:rPr>
  </w:style>
  <w:style w:type="paragraph" w:styleId="5">
    <w:name w:val="heading 5"/>
    <w:basedOn w:val="a"/>
    <w:next w:val="a"/>
    <w:qFormat/>
    <w:rsid w:val="00865444"/>
    <w:pPr>
      <w:keepNext/>
      <w:ind w:left="720"/>
      <w:outlineLvl w:val="4"/>
    </w:pPr>
    <w:rPr>
      <w:lang w:val="en-GB" w:eastAsia="en-US"/>
    </w:rPr>
  </w:style>
  <w:style w:type="paragraph" w:styleId="6">
    <w:name w:val="heading 6"/>
    <w:basedOn w:val="a"/>
    <w:next w:val="a"/>
    <w:link w:val="6Char"/>
    <w:qFormat/>
    <w:rsid w:val="0070587B"/>
    <w:pPr>
      <w:spacing w:before="240" w:after="60"/>
      <w:outlineLvl w:val="5"/>
    </w:pPr>
    <w:rPr>
      <w:rFonts w:ascii="Calibri" w:hAnsi="Calibri"/>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rsid w:val="00865444"/>
    <w:pPr>
      <w:jc w:val="center"/>
    </w:pPr>
    <w:rPr>
      <w:b/>
      <w:bCs/>
      <w:sz w:val="28"/>
      <w:szCs w:val="28"/>
    </w:rPr>
  </w:style>
  <w:style w:type="paragraph" w:styleId="a4">
    <w:name w:val="Body Text Indent"/>
    <w:basedOn w:val="a"/>
    <w:rsid w:val="00865444"/>
    <w:pPr>
      <w:ind w:left="720"/>
    </w:pPr>
    <w:rPr>
      <w:lang w:val="en-GB" w:eastAsia="en-US"/>
    </w:rPr>
  </w:style>
  <w:style w:type="paragraph" w:styleId="2">
    <w:name w:val="Body Text Indent 2"/>
    <w:basedOn w:val="a"/>
    <w:rsid w:val="00865444"/>
    <w:pPr>
      <w:ind w:left="1080" w:hanging="360"/>
    </w:pPr>
    <w:rPr>
      <w:lang w:val="en-GB" w:eastAsia="en-US"/>
    </w:rPr>
  </w:style>
  <w:style w:type="paragraph" w:styleId="30">
    <w:name w:val="Body Text Indent 3"/>
    <w:basedOn w:val="a"/>
    <w:rsid w:val="00865444"/>
    <w:pPr>
      <w:ind w:left="3600"/>
    </w:pPr>
    <w:rPr>
      <w:lang w:val="en-GB" w:eastAsia="en-US"/>
    </w:rPr>
  </w:style>
  <w:style w:type="paragraph" w:styleId="a5">
    <w:name w:val="Body Text"/>
    <w:basedOn w:val="a"/>
    <w:rsid w:val="00865444"/>
    <w:pPr>
      <w:jc w:val="both"/>
    </w:pPr>
    <w:rPr>
      <w:lang w:val="en-GB" w:eastAsia="en-US"/>
    </w:rPr>
  </w:style>
  <w:style w:type="character" w:styleId="a6">
    <w:name w:val="page number"/>
    <w:basedOn w:val="a0"/>
    <w:rsid w:val="00865444"/>
  </w:style>
  <w:style w:type="paragraph" w:styleId="a7">
    <w:name w:val="footer"/>
    <w:basedOn w:val="a"/>
    <w:rsid w:val="00865444"/>
    <w:pPr>
      <w:tabs>
        <w:tab w:val="center" w:pos="4153"/>
        <w:tab w:val="right" w:pos="8306"/>
      </w:tabs>
    </w:pPr>
    <w:rPr>
      <w:lang w:val="en-GB" w:eastAsia="en-US"/>
    </w:rPr>
  </w:style>
  <w:style w:type="paragraph" w:styleId="a8">
    <w:name w:val="header"/>
    <w:basedOn w:val="a"/>
    <w:rsid w:val="00865444"/>
    <w:pPr>
      <w:tabs>
        <w:tab w:val="center" w:pos="4153"/>
        <w:tab w:val="right" w:pos="8306"/>
      </w:tabs>
    </w:pPr>
    <w:rPr>
      <w:szCs w:val="20"/>
      <w:lang w:val="en-GB"/>
    </w:rPr>
  </w:style>
  <w:style w:type="paragraph" w:styleId="a9">
    <w:name w:val="Balloon Text"/>
    <w:basedOn w:val="a"/>
    <w:link w:val="Char"/>
    <w:rsid w:val="00F03406"/>
    <w:rPr>
      <w:rFonts w:ascii="Tahoma" w:hAnsi="Tahoma"/>
      <w:sz w:val="16"/>
      <w:szCs w:val="16"/>
    </w:rPr>
  </w:style>
  <w:style w:type="character" w:customStyle="1" w:styleId="Char">
    <w:name w:val="Κείμενο πλαισίου Char"/>
    <w:link w:val="a9"/>
    <w:rsid w:val="00F03406"/>
    <w:rPr>
      <w:rFonts w:ascii="Tahoma" w:hAnsi="Tahoma" w:cs="Tahoma"/>
      <w:sz w:val="16"/>
      <w:szCs w:val="16"/>
    </w:rPr>
  </w:style>
  <w:style w:type="character" w:customStyle="1" w:styleId="6Char">
    <w:name w:val="Επικεφαλίδα 6 Char"/>
    <w:link w:val="6"/>
    <w:semiHidden/>
    <w:rsid w:val="0070587B"/>
    <w:rPr>
      <w:rFonts w:ascii="Calibri" w:eastAsia="Times New Roman" w:hAnsi="Calibri" w:cs="Times New Roman"/>
      <w:b/>
      <w:bCs/>
      <w:sz w:val="22"/>
      <w:szCs w:val="22"/>
    </w:rPr>
  </w:style>
  <w:style w:type="character" w:customStyle="1" w:styleId="FontStyle49">
    <w:name w:val="Font Style49"/>
    <w:uiPriority w:val="99"/>
    <w:rsid w:val="004E2399"/>
    <w:rPr>
      <w:rFonts w:ascii="Times New Roman" w:hAnsi="Times New Roman" w:cs="Times New Roman"/>
      <w:color w:val="000000"/>
      <w:sz w:val="20"/>
      <w:szCs w:val="20"/>
    </w:rPr>
  </w:style>
  <w:style w:type="character" w:customStyle="1" w:styleId="3Char">
    <w:name w:val="Επικεφαλίδα 3 Char"/>
    <w:link w:val="3"/>
    <w:rsid w:val="006A37E8"/>
    <w:rPr>
      <w:i/>
      <w:sz w:val="24"/>
      <w:szCs w:val="24"/>
      <w:lang w:val="en-GB" w:eastAsia="en-US"/>
    </w:rPr>
  </w:style>
  <w:style w:type="character" w:customStyle="1" w:styleId="FontStyle48">
    <w:name w:val="Font Style48"/>
    <w:uiPriority w:val="99"/>
    <w:rsid w:val="00EF79B7"/>
    <w:rPr>
      <w:rFonts w:ascii="Times New Roman" w:hAnsi="Times New Roman" w:cs="Times New Roman"/>
      <w:b/>
      <w:bCs/>
      <w:color w:val="000000"/>
      <w:sz w:val="20"/>
      <w:szCs w:val="20"/>
    </w:rPr>
  </w:style>
  <w:style w:type="character" w:styleId="-">
    <w:name w:val="Hyperlink"/>
    <w:uiPriority w:val="99"/>
    <w:unhideWhenUsed/>
    <w:rsid w:val="0079359A"/>
    <w:rPr>
      <w:color w:val="0000FF"/>
      <w:u w:val="single"/>
    </w:rPr>
  </w:style>
  <w:style w:type="character" w:styleId="aa">
    <w:name w:val="annotation reference"/>
    <w:basedOn w:val="a0"/>
    <w:rsid w:val="0006044E"/>
    <w:rPr>
      <w:sz w:val="16"/>
      <w:szCs w:val="16"/>
    </w:rPr>
  </w:style>
  <w:style w:type="paragraph" w:styleId="ab">
    <w:name w:val="annotation text"/>
    <w:basedOn w:val="a"/>
    <w:link w:val="Char0"/>
    <w:rsid w:val="0006044E"/>
    <w:rPr>
      <w:sz w:val="20"/>
      <w:szCs w:val="20"/>
    </w:rPr>
  </w:style>
  <w:style w:type="character" w:customStyle="1" w:styleId="Char0">
    <w:name w:val="Κείμενο σχολίου Char"/>
    <w:basedOn w:val="a0"/>
    <w:link w:val="ab"/>
    <w:rsid w:val="0006044E"/>
  </w:style>
  <w:style w:type="paragraph" w:styleId="ac">
    <w:name w:val="annotation subject"/>
    <w:basedOn w:val="ab"/>
    <w:next w:val="ab"/>
    <w:link w:val="Char1"/>
    <w:rsid w:val="0006044E"/>
    <w:rPr>
      <w:b/>
      <w:bCs/>
    </w:rPr>
  </w:style>
  <w:style w:type="character" w:customStyle="1" w:styleId="Char1">
    <w:name w:val="Θέμα σχολίου Char"/>
    <w:basedOn w:val="Char0"/>
    <w:link w:val="ac"/>
    <w:rsid w:val="0006044E"/>
    <w:rPr>
      <w:b/>
      <w:bCs/>
    </w:rPr>
  </w:style>
  <w:style w:type="paragraph" w:styleId="ad">
    <w:name w:val="List Paragraph"/>
    <w:basedOn w:val="a"/>
    <w:uiPriority w:val="34"/>
    <w:qFormat/>
    <w:rsid w:val="008153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1944184">
      <w:bodyDiv w:val="1"/>
      <w:marLeft w:val="0"/>
      <w:marRight w:val="0"/>
      <w:marTop w:val="0"/>
      <w:marBottom w:val="0"/>
      <w:divBdr>
        <w:top w:val="none" w:sz="0" w:space="0" w:color="auto"/>
        <w:left w:val="none" w:sz="0" w:space="0" w:color="auto"/>
        <w:bottom w:val="none" w:sz="0" w:space="0" w:color="auto"/>
        <w:right w:val="none" w:sz="0" w:space="0" w:color="auto"/>
      </w:divBdr>
    </w:div>
    <w:div w:id="1666518127">
      <w:bodyDiv w:val="1"/>
      <w:marLeft w:val="0"/>
      <w:marRight w:val="0"/>
      <w:marTop w:val="0"/>
      <w:marBottom w:val="0"/>
      <w:divBdr>
        <w:top w:val="none" w:sz="0" w:space="0" w:color="auto"/>
        <w:left w:val="none" w:sz="0" w:space="0" w:color="auto"/>
        <w:bottom w:val="none" w:sz="0" w:space="0" w:color="auto"/>
        <w:right w:val="none" w:sz="0" w:space="0" w:color="auto"/>
      </w:divBdr>
    </w:div>
    <w:div w:id="2062631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of.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498</TotalTime>
  <Pages>14</Pages>
  <Words>5217</Words>
  <Characters>28176</Characters>
  <Application>Microsoft Office Word</Application>
  <DocSecurity>0</DocSecurity>
  <Lines>234</Lines>
  <Paragraphs>66</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ΠΕΡΙΛΗΨΗ ΤΩΝ ΧΑΡΑΚΤΗΡΙΣΤΙΚΩΝ ΤΟΥ ΠΡΟΪΟΝΤΟΣ</vt:lpstr>
      <vt:lpstr>ΠΕΡΙΛΗΨΗ ΤΩΝ ΧΑΡΑΚΤΗΡΙΣΤΙΚΩΝ ΤΟΥ ΠΡΟΪΟΝΤΟΣ</vt:lpstr>
    </vt:vector>
  </TitlesOfParts>
  <Manager>KATERINA GONIDI</Manager>
  <Company>GLOBALSPC</Company>
  <LinksUpToDate>false</LinksUpToDate>
  <CharactersWithSpaces>33327</CharactersWithSpaces>
  <SharedDoc>false</SharedDoc>
  <HLinks>
    <vt:vector size="6" baseType="variant">
      <vt:variant>
        <vt:i4>6291555</vt:i4>
      </vt:variant>
      <vt:variant>
        <vt:i4>0</vt:i4>
      </vt:variant>
      <vt:variant>
        <vt:i4>0</vt:i4>
      </vt:variant>
      <vt:variant>
        <vt:i4>5</vt:i4>
      </vt:variant>
      <vt:variant>
        <vt:lpwstr>http://www.eof.gr/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ΠΕΡΙΛΗΨΗ ΤΩΝ ΧΑΡΑΚΤΗΡΙΣΤΙΚΩΝ ΤΟΥ ΠΡΟΪΟΝΤΟΣ</dc:title>
  <dc:subject/>
  <dc:creator>m306030</dc:creator>
  <cp:keywords/>
  <dc:description/>
  <cp:lastModifiedBy>ΘΑΛΑΣΣΙΝΟΥ ΜΑΡΙΑ</cp:lastModifiedBy>
  <cp:revision>22</cp:revision>
  <cp:lastPrinted>2012-04-17T07:54:00Z</cp:lastPrinted>
  <dcterms:created xsi:type="dcterms:W3CDTF">2015-04-27T10:00:00Z</dcterms:created>
  <dcterms:modified xsi:type="dcterms:W3CDTF">2016-11-07T07:58:00Z</dcterms:modified>
</cp:coreProperties>
</file>