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39" w:rsidRPr="0032564F" w:rsidRDefault="00F16739" w:rsidP="00045D24">
      <w:pPr>
        <w:rPr>
          <w:b/>
          <w:sz w:val="22"/>
          <w:szCs w:val="22"/>
          <w:lang w:val="el-GR"/>
        </w:rPr>
      </w:pPr>
      <w:bookmarkStart w:id="0" w:name="_GoBack"/>
      <w:bookmarkEnd w:id="0"/>
    </w:p>
    <w:p w:rsidR="00F16739" w:rsidRPr="0032564F" w:rsidRDefault="00F16739" w:rsidP="00EF6ACB">
      <w:pPr>
        <w:jc w:val="center"/>
        <w:rPr>
          <w:b/>
          <w:sz w:val="22"/>
          <w:szCs w:val="22"/>
          <w:lang w:val="el-GR"/>
        </w:rPr>
      </w:pPr>
      <w:r w:rsidRPr="0032564F">
        <w:rPr>
          <w:b/>
          <w:sz w:val="22"/>
          <w:szCs w:val="22"/>
          <w:lang w:val="el-GR"/>
        </w:rPr>
        <w:t>ΠΕΡΙΛΗΨΗ ΤΩΝ ΧΑΡΑΚΤΗΡΙΣΤΙΚΩΝ ΤΟΥ ΠΡΟΪΟΝΤΟΣ</w:t>
      </w:r>
    </w:p>
    <w:p w:rsidR="00F16739" w:rsidRPr="0032564F" w:rsidRDefault="00F16739" w:rsidP="00045D24">
      <w:pPr>
        <w:rPr>
          <w:b/>
          <w:sz w:val="22"/>
          <w:szCs w:val="22"/>
          <w:lang w:val="el-GR"/>
        </w:rPr>
      </w:pPr>
    </w:p>
    <w:p w:rsidR="00F16739" w:rsidRPr="0032564F" w:rsidRDefault="00F16739" w:rsidP="00045D24">
      <w:pPr>
        <w:rPr>
          <w:b/>
          <w:sz w:val="22"/>
          <w:szCs w:val="22"/>
          <w:lang w:val="el-GR"/>
        </w:rPr>
      </w:pPr>
    </w:p>
    <w:p w:rsidR="00F16739" w:rsidRPr="0032564F" w:rsidRDefault="00F16739" w:rsidP="00045D24">
      <w:pPr>
        <w:rPr>
          <w:b/>
          <w:sz w:val="22"/>
          <w:szCs w:val="22"/>
          <w:lang w:val="el-GR"/>
        </w:rPr>
      </w:pPr>
      <w:r w:rsidRPr="0032564F">
        <w:rPr>
          <w:b/>
          <w:sz w:val="22"/>
          <w:szCs w:val="22"/>
          <w:lang w:val="el-GR"/>
        </w:rPr>
        <w:t xml:space="preserve">1. </w:t>
      </w:r>
      <w:r w:rsidRPr="0032564F">
        <w:rPr>
          <w:b/>
          <w:sz w:val="22"/>
          <w:szCs w:val="22"/>
          <w:lang w:val="el-GR"/>
        </w:rPr>
        <w:tab/>
        <w:t>ΟΝΟΜΑΣΙΑ ΤΟΥ ΦΑΡΜΑΚΕΥΤΙΚΟΥ ΠΡΟΪΟΝΤΟΣ</w:t>
      </w:r>
    </w:p>
    <w:p w:rsidR="00F16739" w:rsidRPr="0032564F" w:rsidRDefault="00F16739" w:rsidP="00045D24">
      <w:pPr>
        <w:ind w:left="720"/>
        <w:rPr>
          <w:sz w:val="22"/>
          <w:szCs w:val="22"/>
          <w:lang w:val="el-GR"/>
        </w:rPr>
      </w:pPr>
    </w:p>
    <w:p w:rsidR="00F16739" w:rsidRPr="0032564F" w:rsidRDefault="00F16739" w:rsidP="00045D24">
      <w:pPr>
        <w:ind w:firstLine="720"/>
        <w:rPr>
          <w:sz w:val="22"/>
          <w:szCs w:val="22"/>
          <w:lang w:val="el-GR"/>
        </w:rPr>
      </w:pPr>
      <w:r w:rsidRPr="0032564F">
        <w:rPr>
          <w:sz w:val="22"/>
          <w:szCs w:val="22"/>
          <w:lang w:val="en-US"/>
        </w:rPr>
        <w:t>FLUOXETINE</w:t>
      </w:r>
      <w:r w:rsidRPr="0032564F">
        <w:rPr>
          <w:sz w:val="22"/>
          <w:szCs w:val="22"/>
          <w:lang w:val="el-GR"/>
        </w:rPr>
        <w:t xml:space="preserve"> / </w:t>
      </w:r>
      <w:r w:rsidRPr="0032564F">
        <w:rPr>
          <w:sz w:val="22"/>
          <w:szCs w:val="22"/>
          <w:lang w:val="en-US"/>
        </w:rPr>
        <w:t>GENERICS</w:t>
      </w:r>
      <w:r w:rsidRPr="0032564F">
        <w:rPr>
          <w:sz w:val="22"/>
          <w:szCs w:val="22"/>
          <w:lang w:val="el-GR"/>
        </w:rPr>
        <w:t xml:space="preserve"> 20 </w:t>
      </w:r>
      <w:r w:rsidRPr="0032564F">
        <w:rPr>
          <w:sz w:val="22"/>
          <w:szCs w:val="22"/>
          <w:lang w:val="en-US"/>
        </w:rPr>
        <w:t>mg</w:t>
      </w:r>
      <w:r w:rsidRPr="0032564F">
        <w:rPr>
          <w:sz w:val="22"/>
          <w:szCs w:val="22"/>
          <w:lang w:val="el-GR"/>
        </w:rPr>
        <w:t xml:space="preserve"> Καψάκια, </w:t>
      </w:r>
      <w:r w:rsidR="00D649DA">
        <w:rPr>
          <w:sz w:val="22"/>
          <w:szCs w:val="22"/>
          <w:lang w:val="el-GR"/>
        </w:rPr>
        <w:t>Σ</w:t>
      </w:r>
      <w:r w:rsidRPr="0032564F">
        <w:rPr>
          <w:sz w:val="22"/>
          <w:szCs w:val="22"/>
          <w:lang w:val="el-GR"/>
        </w:rPr>
        <w:t>κληρά</w:t>
      </w:r>
    </w:p>
    <w:p w:rsidR="00F16739" w:rsidRDefault="00F16739" w:rsidP="00045D24">
      <w:pPr>
        <w:rPr>
          <w:b/>
          <w:sz w:val="22"/>
          <w:szCs w:val="22"/>
          <w:lang w:val="el-GR"/>
        </w:rPr>
      </w:pPr>
    </w:p>
    <w:p w:rsidR="00045D24" w:rsidRPr="0032564F" w:rsidRDefault="00045D24" w:rsidP="00045D24">
      <w:pPr>
        <w:rPr>
          <w:b/>
          <w:sz w:val="22"/>
          <w:szCs w:val="22"/>
          <w:lang w:val="el-GR"/>
        </w:rPr>
      </w:pPr>
    </w:p>
    <w:p w:rsidR="00F16739" w:rsidRPr="0032564F" w:rsidRDefault="00F16739" w:rsidP="00045D24">
      <w:pPr>
        <w:rPr>
          <w:b/>
          <w:sz w:val="22"/>
          <w:szCs w:val="22"/>
          <w:lang w:val="el-GR"/>
        </w:rPr>
      </w:pPr>
      <w:r w:rsidRPr="0032564F">
        <w:rPr>
          <w:b/>
          <w:sz w:val="22"/>
          <w:szCs w:val="22"/>
          <w:lang w:val="el-GR"/>
        </w:rPr>
        <w:t>2.</w:t>
      </w:r>
      <w:r w:rsidRPr="0032564F">
        <w:rPr>
          <w:b/>
          <w:sz w:val="22"/>
          <w:szCs w:val="22"/>
          <w:lang w:val="el-GR"/>
        </w:rPr>
        <w:tab/>
        <w:t>ΠΟΙΟΤΙΚΗ ΚΑΙ ΠΟΣΟΤΙΚΗ ΣΥΝΘΕΣΗ</w:t>
      </w:r>
    </w:p>
    <w:p w:rsidR="00F16739" w:rsidRPr="0032564F" w:rsidRDefault="00F16739" w:rsidP="00045D24">
      <w:pPr>
        <w:rPr>
          <w:b/>
          <w:sz w:val="22"/>
          <w:szCs w:val="22"/>
          <w:lang w:val="el-GR"/>
        </w:rPr>
      </w:pPr>
    </w:p>
    <w:p w:rsidR="00F16739" w:rsidRPr="0032564F" w:rsidRDefault="00F16739" w:rsidP="00045D24">
      <w:pPr>
        <w:ind w:left="720"/>
        <w:rPr>
          <w:sz w:val="22"/>
          <w:szCs w:val="22"/>
          <w:lang w:val="el-GR"/>
        </w:rPr>
      </w:pPr>
      <w:r w:rsidRPr="0032564F">
        <w:rPr>
          <w:sz w:val="22"/>
          <w:szCs w:val="22"/>
          <w:lang w:val="el-GR"/>
        </w:rPr>
        <w:t>Κάθε καψάκιο περιέχει 20</w:t>
      </w:r>
      <w:r w:rsidRPr="0032564F">
        <w:rPr>
          <w:sz w:val="22"/>
          <w:szCs w:val="22"/>
        </w:rPr>
        <w:t>mg</w:t>
      </w:r>
      <w:r w:rsidRPr="0032564F">
        <w:rPr>
          <w:sz w:val="22"/>
          <w:szCs w:val="22"/>
          <w:lang w:val="el-GR"/>
        </w:rPr>
        <w:t xml:space="preserve"> φλουοξετίνης ως φλουοξετίνη υδροχλωρική.</w:t>
      </w:r>
      <w:r w:rsidRPr="0032564F" w:rsidDel="007D504B">
        <w:rPr>
          <w:sz w:val="22"/>
          <w:szCs w:val="22"/>
          <w:lang w:val="el-GR"/>
        </w:rPr>
        <w:t xml:space="preserve"> </w:t>
      </w:r>
    </w:p>
    <w:p w:rsidR="00F16739" w:rsidRPr="0032564F" w:rsidRDefault="00F16739" w:rsidP="00045D24">
      <w:pPr>
        <w:ind w:left="720"/>
        <w:rPr>
          <w:sz w:val="22"/>
          <w:szCs w:val="22"/>
          <w:lang w:val="el-GR"/>
        </w:rPr>
      </w:pPr>
    </w:p>
    <w:p w:rsidR="005B7F4A" w:rsidRDefault="00F16739" w:rsidP="00045D24">
      <w:pPr>
        <w:ind w:left="720"/>
        <w:rPr>
          <w:sz w:val="22"/>
          <w:szCs w:val="22"/>
          <w:lang w:val="en-US"/>
        </w:rPr>
      </w:pPr>
      <w:r w:rsidRPr="0032564F">
        <w:rPr>
          <w:sz w:val="22"/>
          <w:szCs w:val="22"/>
          <w:lang w:val="el-GR"/>
        </w:rPr>
        <w:t>Έκδοχο</w:t>
      </w:r>
      <w:r w:rsidR="004B0464" w:rsidRPr="0032564F">
        <w:rPr>
          <w:sz w:val="22"/>
          <w:szCs w:val="22"/>
          <w:lang w:val="el-GR"/>
        </w:rPr>
        <w:t xml:space="preserve"> με γνωστές δράσεις</w:t>
      </w:r>
      <w:r w:rsidRPr="0032564F">
        <w:rPr>
          <w:sz w:val="22"/>
          <w:szCs w:val="22"/>
          <w:lang w:val="el-GR"/>
        </w:rPr>
        <w:t xml:space="preserve">: </w:t>
      </w:r>
    </w:p>
    <w:p w:rsidR="00F16739" w:rsidRPr="00D649DA" w:rsidRDefault="00D649DA" w:rsidP="00045D24">
      <w:pPr>
        <w:ind w:left="720"/>
        <w:rPr>
          <w:sz w:val="22"/>
          <w:szCs w:val="22"/>
          <w:lang w:val="en-US"/>
        </w:rPr>
      </w:pPr>
      <w:r w:rsidRPr="00D649DA">
        <w:rPr>
          <w:sz w:val="22"/>
          <w:szCs w:val="22"/>
          <w:lang w:val="el-GR" w:eastAsia="en-US"/>
        </w:rPr>
        <w:t>Κάθε καψάκιο περιέχει</w:t>
      </w:r>
      <w:r w:rsidR="005B7F4A" w:rsidRPr="00D649DA">
        <w:rPr>
          <w:sz w:val="22"/>
          <w:szCs w:val="22"/>
          <w:lang w:eastAsia="en-US"/>
        </w:rPr>
        <w:t xml:space="preserve"> </w:t>
      </w:r>
      <w:r w:rsidR="00F16739" w:rsidRPr="00D649DA">
        <w:rPr>
          <w:sz w:val="22"/>
          <w:szCs w:val="22"/>
          <w:lang w:val="el-GR"/>
        </w:rPr>
        <w:t xml:space="preserve">139,64 </w:t>
      </w:r>
      <w:r w:rsidR="00F16739" w:rsidRPr="00D649DA">
        <w:rPr>
          <w:sz w:val="22"/>
          <w:szCs w:val="22"/>
        </w:rPr>
        <w:t>mg</w:t>
      </w:r>
      <w:r w:rsidR="00F16739" w:rsidRPr="00D649DA">
        <w:rPr>
          <w:sz w:val="22"/>
          <w:szCs w:val="22"/>
          <w:lang w:val="el-GR"/>
        </w:rPr>
        <w:t xml:space="preserve"> λακτόζης</w:t>
      </w:r>
      <w:r w:rsidR="005B7F4A" w:rsidRPr="00D649DA">
        <w:rPr>
          <w:sz w:val="22"/>
          <w:szCs w:val="22"/>
          <w:lang w:val="en-US"/>
        </w:rPr>
        <w:t>.</w:t>
      </w:r>
    </w:p>
    <w:p w:rsidR="004B0464" w:rsidRPr="0032564F" w:rsidRDefault="004B0464"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 xml:space="preserve">Για τον πλήρη κατάλογο των εκδόχων, </w:t>
      </w:r>
      <w:r w:rsidR="006A6C86">
        <w:rPr>
          <w:sz w:val="22"/>
          <w:szCs w:val="22"/>
          <w:lang w:val="el-GR"/>
        </w:rPr>
        <w:t xml:space="preserve">βλ. </w:t>
      </w:r>
      <w:r w:rsidRPr="0032564F">
        <w:rPr>
          <w:sz w:val="22"/>
          <w:szCs w:val="22"/>
          <w:lang w:val="el-GR"/>
        </w:rPr>
        <w:t>παράγραφο 6.1.</w:t>
      </w:r>
    </w:p>
    <w:p w:rsidR="00F16739" w:rsidRDefault="00F16739" w:rsidP="00045D24">
      <w:pPr>
        <w:rPr>
          <w:sz w:val="22"/>
          <w:szCs w:val="22"/>
          <w:lang w:val="el-GR"/>
        </w:rPr>
      </w:pPr>
    </w:p>
    <w:p w:rsidR="00045D24" w:rsidRPr="0032564F" w:rsidRDefault="00045D24" w:rsidP="00045D24">
      <w:pPr>
        <w:rPr>
          <w:sz w:val="22"/>
          <w:szCs w:val="22"/>
          <w:lang w:val="el-GR"/>
        </w:rPr>
      </w:pPr>
    </w:p>
    <w:p w:rsidR="00F16739" w:rsidRPr="0032564F" w:rsidRDefault="00F16739" w:rsidP="00045D24">
      <w:pPr>
        <w:numPr>
          <w:ilvl w:val="0"/>
          <w:numId w:val="2"/>
        </w:numPr>
        <w:tabs>
          <w:tab w:val="clear" w:pos="360"/>
          <w:tab w:val="num" w:pos="709"/>
        </w:tabs>
        <w:rPr>
          <w:b/>
          <w:sz w:val="22"/>
          <w:szCs w:val="22"/>
        </w:rPr>
      </w:pPr>
      <w:r w:rsidRPr="0032564F">
        <w:rPr>
          <w:b/>
          <w:sz w:val="22"/>
          <w:szCs w:val="22"/>
          <w:lang w:val="el-GR"/>
        </w:rPr>
        <w:t>ΦΑΡΜΑΚΕΥΤΙΚΗ ΜΟΡΦΗ</w:t>
      </w:r>
    </w:p>
    <w:p w:rsidR="00F16739" w:rsidRPr="0032564F" w:rsidRDefault="00F16739" w:rsidP="00045D24">
      <w:pPr>
        <w:rPr>
          <w:b/>
          <w:sz w:val="22"/>
          <w:szCs w:val="22"/>
          <w:lang w:val="el-GR"/>
        </w:rPr>
      </w:pPr>
    </w:p>
    <w:p w:rsidR="00F16739" w:rsidRPr="0032564F" w:rsidRDefault="00F16739" w:rsidP="00045D24">
      <w:pPr>
        <w:ind w:left="720"/>
        <w:rPr>
          <w:b/>
          <w:sz w:val="22"/>
          <w:szCs w:val="22"/>
          <w:lang w:val="el-GR"/>
        </w:rPr>
      </w:pPr>
      <w:r w:rsidRPr="0032564F">
        <w:rPr>
          <w:sz w:val="22"/>
          <w:szCs w:val="22"/>
          <w:lang w:val="el-GR"/>
        </w:rPr>
        <w:t>Καψάκιο, σκληρό</w:t>
      </w:r>
    </w:p>
    <w:p w:rsidR="004454FA" w:rsidRDefault="004454FA" w:rsidP="00045D24">
      <w:pPr>
        <w:ind w:left="720"/>
        <w:rPr>
          <w:sz w:val="22"/>
          <w:szCs w:val="22"/>
          <w:lang w:val="el-GR"/>
        </w:rPr>
      </w:pPr>
    </w:p>
    <w:p w:rsidR="00F16739" w:rsidRPr="0032564F" w:rsidRDefault="00F16739" w:rsidP="00045D24">
      <w:pPr>
        <w:ind w:left="720"/>
        <w:rPr>
          <w:rFonts w:eastAsia="Arial Unicode MS"/>
          <w:sz w:val="22"/>
          <w:szCs w:val="22"/>
          <w:lang w:val="el-GR"/>
        </w:rPr>
      </w:pPr>
      <w:r w:rsidRPr="0032564F">
        <w:rPr>
          <w:sz w:val="22"/>
          <w:szCs w:val="22"/>
          <w:lang w:val="el-GR"/>
        </w:rPr>
        <w:t xml:space="preserve">Σκληρό καψάκιο ζελατίνης με αδιαφανές σώμα χρώματος ανοιχτού πράσινου και αδιαφανές </w:t>
      </w:r>
      <w:r w:rsidR="006A6C86">
        <w:rPr>
          <w:sz w:val="22"/>
          <w:szCs w:val="22"/>
          <w:lang w:val="el-GR"/>
        </w:rPr>
        <w:t>πώμα</w:t>
      </w:r>
      <w:r w:rsidR="006A6C86" w:rsidRPr="0032564F">
        <w:rPr>
          <w:sz w:val="22"/>
          <w:szCs w:val="22"/>
          <w:lang w:val="el-GR"/>
        </w:rPr>
        <w:t xml:space="preserve"> </w:t>
      </w:r>
      <w:r w:rsidRPr="0032564F">
        <w:rPr>
          <w:sz w:val="22"/>
          <w:szCs w:val="22"/>
          <w:lang w:val="el-GR"/>
        </w:rPr>
        <w:t>χρώματος μωβ. Το σώμα του καψακίου φέρει την εντύπωση “</w:t>
      </w:r>
      <w:r w:rsidRPr="0032564F">
        <w:rPr>
          <w:sz w:val="22"/>
          <w:szCs w:val="22"/>
        </w:rPr>
        <w:t>FL</w:t>
      </w:r>
      <w:r w:rsidRPr="0032564F">
        <w:rPr>
          <w:sz w:val="22"/>
          <w:szCs w:val="22"/>
          <w:lang w:val="el-GR"/>
        </w:rPr>
        <w:t xml:space="preserve">20” και το </w:t>
      </w:r>
      <w:r w:rsidR="006A6C86">
        <w:rPr>
          <w:sz w:val="22"/>
          <w:szCs w:val="22"/>
          <w:lang w:val="el-GR"/>
        </w:rPr>
        <w:t>πώμα</w:t>
      </w:r>
      <w:r w:rsidR="006A6C86" w:rsidRPr="0032564F">
        <w:rPr>
          <w:sz w:val="22"/>
          <w:szCs w:val="22"/>
          <w:lang w:val="el-GR"/>
        </w:rPr>
        <w:t xml:space="preserve"> </w:t>
      </w:r>
      <w:r w:rsidRPr="0032564F">
        <w:rPr>
          <w:sz w:val="22"/>
          <w:szCs w:val="22"/>
          <w:lang w:val="el-GR"/>
        </w:rPr>
        <w:t xml:space="preserve">το σύμβολο “α” </w:t>
      </w:r>
      <w:r w:rsidRPr="0032564F">
        <w:rPr>
          <w:rFonts w:eastAsia="Arial Unicode MS"/>
          <w:sz w:val="22"/>
          <w:szCs w:val="22"/>
          <w:lang w:val="el-GR"/>
        </w:rPr>
        <w:t>με μελάνη χρώματος μαύρου.</w:t>
      </w:r>
    </w:p>
    <w:p w:rsidR="00F16739" w:rsidRDefault="00F16739" w:rsidP="00045D24">
      <w:pPr>
        <w:rPr>
          <w:sz w:val="22"/>
          <w:szCs w:val="22"/>
          <w:lang w:val="el-GR"/>
        </w:rPr>
      </w:pPr>
    </w:p>
    <w:p w:rsidR="00045D24" w:rsidRPr="0032564F" w:rsidRDefault="00045D24" w:rsidP="00045D24">
      <w:pPr>
        <w:rPr>
          <w:sz w:val="22"/>
          <w:szCs w:val="22"/>
          <w:lang w:val="el-GR"/>
        </w:rPr>
      </w:pPr>
    </w:p>
    <w:p w:rsidR="00F16739" w:rsidRPr="0032564F" w:rsidRDefault="00F16739" w:rsidP="00045D24">
      <w:pPr>
        <w:numPr>
          <w:ilvl w:val="0"/>
          <w:numId w:val="2"/>
        </w:numPr>
        <w:tabs>
          <w:tab w:val="clear" w:pos="360"/>
          <w:tab w:val="num" w:pos="709"/>
        </w:tabs>
        <w:rPr>
          <w:b/>
          <w:sz w:val="22"/>
          <w:szCs w:val="22"/>
        </w:rPr>
      </w:pPr>
      <w:r w:rsidRPr="0032564F">
        <w:rPr>
          <w:b/>
          <w:sz w:val="22"/>
          <w:szCs w:val="22"/>
          <w:lang w:val="el-GR"/>
        </w:rPr>
        <w:t>ΚΛΙΝΙΚΕΣ</w:t>
      </w:r>
      <w:r w:rsidRPr="0032564F">
        <w:rPr>
          <w:b/>
          <w:sz w:val="22"/>
          <w:szCs w:val="22"/>
        </w:rPr>
        <w:t xml:space="preserve"> </w:t>
      </w:r>
      <w:r w:rsidRPr="0032564F">
        <w:rPr>
          <w:b/>
          <w:sz w:val="22"/>
          <w:szCs w:val="22"/>
          <w:lang w:val="el-GR"/>
        </w:rPr>
        <w:t>ΠΛΗΡΟΦΟΡΙΕΣ</w:t>
      </w:r>
    </w:p>
    <w:p w:rsidR="00F16739" w:rsidRPr="0032564F" w:rsidRDefault="00F16739" w:rsidP="00045D24">
      <w:pPr>
        <w:rPr>
          <w:b/>
          <w:sz w:val="22"/>
          <w:szCs w:val="22"/>
        </w:rPr>
      </w:pPr>
    </w:p>
    <w:p w:rsidR="00F16739" w:rsidRPr="0032564F" w:rsidRDefault="00F16739" w:rsidP="00045D24">
      <w:pPr>
        <w:numPr>
          <w:ilvl w:val="1"/>
          <w:numId w:val="2"/>
        </w:numPr>
        <w:rPr>
          <w:b/>
          <w:sz w:val="22"/>
          <w:szCs w:val="22"/>
        </w:rPr>
      </w:pPr>
      <w:r w:rsidRPr="0032564F">
        <w:rPr>
          <w:b/>
          <w:sz w:val="22"/>
          <w:szCs w:val="22"/>
          <w:lang w:val="el-GR"/>
        </w:rPr>
        <w:t>Θεραπευτικές</w:t>
      </w:r>
      <w:r w:rsidRPr="0032564F">
        <w:rPr>
          <w:b/>
          <w:sz w:val="22"/>
          <w:szCs w:val="22"/>
        </w:rPr>
        <w:t xml:space="preserve"> </w:t>
      </w:r>
      <w:r w:rsidRPr="0032564F">
        <w:rPr>
          <w:b/>
          <w:sz w:val="22"/>
          <w:szCs w:val="22"/>
          <w:lang w:val="el-GR"/>
        </w:rPr>
        <w:t>ενδείξεις</w:t>
      </w:r>
    </w:p>
    <w:p w:rsidR="00F16739" w:rsidRPr="0032564F" w:rsidRDefault="00F16739" w:rsidP="00045D24">
      <w:pPr>
        <w:ind w:left="720"/>
        <w:rPr>
          <w:b/>
          <w:sz w:val="22"/>
          <w:szCs w:val="22"/>
        </w:rPr>
      </w:pPr>
    </w:p>
    <w:p w:rsidR="00F16739" w:rsidRPr="009B7D6B" w:rsidRDefault="00F16739" w:rsidP="00045D24">
      <w:pPr>
        <w:ind w:left="720"/>
        <w:rPr>
          <w:i/>
          <w:sz w:val="22"/>
          <w:szCs w:val="22"/>
          <w:lang w:val="el-GR"/>
        </w:rPr>
      </w:pPr>
      <w:r w:rsidRPr="009B7D6B">
        <w:rPr>
          <w:i/>
          <w:sz w:val="22"/>
          <w:szCs w:val="22"/>
          <w:lang w:val="el-GR"/>
        </w:rPr>
        <w:t>Ενήλικες:</w:t>
      </w:r>
    </w:p>
    <w:p w:rsidR="00F16739" w:rsidRPr="0032564F" w:rsidRDefault="00F16739" w:rsidP="00045D24">
      <w:pPr>
        <w:ind w:left="720"/>
        <w:rPr>
          <w:sz w:val="22"/>
          <w:szCs w:val="22"/>
          <w:lang w:val="el-GR"/>
        </w:rPr>
      </w:pPr>
      <w:r w:rsidRPr="0032564F">
        <w:rPr>
          <w:sz w:val="22"/>
          <w:szCs w:val="22"/>
          <w:lang w:val="el-GR"/>
        </w:rPr>
        <w:t>Μείζονα καταθλιπτικά επεισόδια.</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Ιδεοψυχαναγκαστική διαταραχή.</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Ψυχογενής βουλιμία: Η φλουοξετίνη ενδείκνυται ως συμπλήρωμα της ψυχοθεραπείας, για τη μείωση των επεισοδίων υπερβολικής πρόσληψης τροφής (</w:t>
      </w:r>
      <w:r w:rsidRPr="0032564F">
        <w:rPr>
          <w:sz w:val="22"/>
          <w:szCs w:val="22"/>
        </w:rPr>
        <w:t>Binge</w:t>
      </w:r>
      <w:r w:rsidRPr="0032564F">
        <w:rPr>
          <w:sz w:val="22"/>
          <w:szCs w:val="22"/>
          <w:lang w:val="el-GR"/>
        </w:rPr>
        <w:t>-</w:t>
      </w:r>
      <w:r w:rsidRPr="0032564F">
        <w:rPr>
          <w:sz w:val="22"/>
          <w:szCs w:val="22"/>
        </w:rPr>
        <w:t>eating</w:t>
      </w:r>
      <w:r w:rsidRPr="0032564F">
        <w:rPr>
          <w:sz w:val="22"/>
          <w:szCs w:val="22"/>
          <w:lang w:val="el-GR"/>
        </w:rPr>
        <w:t>) και των επεισοδίων διαταραχών συμπεριφοράς προς αντιρρόπηση των συνεπειών της υπερβολικής πρόσληψης τροφής.</w:t>
      </w:r>
    </w:p>
    <w:p w:rsidR="00F16739" w:rsidRPr="009B7D6B" w:rsidRDefault="00F16739" w:rsidP="00045D24">
      <w:pPr>
        <w:ind w:left="720"/>
        <w:rPr>
          <w:i/>
          <w:sz w:val="22"/>
          <w:szCs w:val="22"/>
          <w:lang w:val="el-GR"/>
        </w:rPr>
      </w:pPr>
    </w:p>
    <w:p w:rsidR="00F16739" w:rsidRPr="009B7D6B" w:rsidRDefault="00F16739" w:rsidP="00045D24">
      <w:pPr>
        <w:ind w:left="720"/>
        <w:rPr>
          <w:i/>
          <w:sz w:val="22"/>
          <w:szCs w:val="22"/>
          <w:lang w:val="el-GR"/>
        </w:rPr>
      </w:pPr>
      <w:r w:rsidRPr="009B7D6B">
        <w:rPr>
          <w:i/>
          <w:sz w:val="22"/>
          <w:szCs w:val="22"/>
          <w:lang w:val="el-GR"/>
        </w:rPr>
        <w:t>Παιδιά και έφηβοι ηλικίας 8 ετών και άνω:</w:t>
      </w:r>
    </w:p>
    <w:p w:rsidR="00F16739" w:rsidRPr="0032564F" w:rsidRDefault="006A6C86" w:rsidP="00045D24">
      <w:pPr>
        <w:ind w:left="720"/>
        <w:rPr>
          <w:sz w:val="22"/>
          <w:szCs w:val="22"/>
          <w:lang w:val="el-GR"/>
        </w:rPr>
      </w:pPr>
      <w:r>
        <w:rPr>
          <w:sz w:val="22"/>
          <w:szCs w:val="22"/>
          <w:lang w:val="el-GR"/>
        </w:rPr>
        <w:t xml:space="preserve">Μέτριο </w:t>
      </w:r>
      <w:r w:rsidR="00F16739" w:rsidRPr="0032564F">
        <w:rPr>
          <w:sz w:val="22"/>
          <w:szCs w:val="22"/>
          <w:lang w:val="el-GR"/>
        </w:rPr>
        <w:t xml:space="preserve">έως σοβαρό </w:t>
      </w:r>
      <w:r>
        <w:rPr>
          <w:sz w:val="22"/>
          <w:szCs w:val="22"/>
          <w:lang w:val="el-GR"/>
        </w:rPr>
        <w:t>μ</w:t>
      </w:r>
      <w:r w:rsidRPr="0032564F">
        <w:rPr>
          <w:sz w:val="22"/>
          <w:szCs w:val="22"/>
          <w:lang w:val="el-GR"/>
        </w:rPr>
        <w:t xml:space="preserve">είζον </w:t>
      </w:r>
      <w:r w:rsidR="00F16739" w:rsidRPr="0032564F">
        <w:rPr>
          <w:sz w:val="22"/>
          <w:szCs w:val="22"/>
          <w:lang w:val="el-GR"/>
        </w:rPr>
        <w:t>καταθλιπτικό επεισόδιο, εάν η κατάθλιψη δεν ανταποκρίνεται στην ψυχολογική θεραπεία έπειτα από 4-6 συνεδρίες. Φαρμακευτική αγωγή με αντικαταθλιπτικά θα πρέπει να χορηγείται σε παιδί ή σε νεαρό άτομο με μέτριας έως σοβαρής βαρύτητας κατάθλιψη, μόνο σε συνδυασμό με ταυτόχρονη ψυχολογική θεραπεία.</w:t>
      </w:r>
    </w:p>
    <w:p w:rsidR="00F16739" w:rsidRPr="0032564F" w:rsidRDefault="00F16739" w:rsidP="00045D24">
      <w:pPr>
        <w:rPr>
          <w:sz w:val="22"/>
          <w:szCs w:val="22"/>
          <w:lang w:val="el-GR"/>
        </w:rPr>
      </w:pPr>
    </w:p>
    <w:p w:rsidR="00F16739" w:rsidRPr="0032564F" w:rsidRDefault="00F16739" w:rsidP="00045D24">
      <w:pPr>
        <w:numPr>
          <w:ilvl w:val="1"/>
          <w:numId w:val="2"/>
        </w:numPr>
        <w:rPr>
          <w:b/>
          <w:sz w:val="22"/>
          <w:szCs w:val="22"/>
        </w:rPr>
      </w:pPr>
      <w:r w:rsidRPr="0032564F">
        <w:rPr>
          <w:b/>
          <w:sz w:val="22"/>
          <w:szCs w:val="22"/>
          <w:lang w:val="el-GR"/>
        </w:rPr>
        <w:t>Δοσολογία και τρόπος χορήγησης</w:t>
      </w:r>
    </w:p>
    <w:p w:rsidR="00F16739" w:rsidRPr="0032564F" w:rsidRDefault="00F16739" w:rsidP="00045D24">
      <w:pPr>
        <w:rPr>
          <w:b/>
          <w:sz w:val="22"/>
          <w:szCs w:val="22"/>
        </w:rPr>
      </w:pPr>
    </w:p>
    <w:p w:rsidR="005B7F4A" w:rsidRPr="005B7F4A" w:rsidRDefault="00D649DA" w:rsidP="005B7F4A">
      <w:pPr>
        <w:ind w:firstLine="720"/>
        <w:rPr>
          <w:sz w:val="22"/>
          <w:szCs w:val="22"/>
          <w:u w:val="single"/>
        </w:rPr>
      </w:pPr>
      <w:r>
        <w:rPr>
          <w:sz w:val="22"/>
          <w:szCs w:val="22"/>
          <w:u w:val="single"/>
          <w:lang w:val="el-GR"/>
        </w:rPr>
        <w:t>Δοσολογία</w:t>
      </w:r>
    </w:p>
    <w:p w:rsidR="00F16739" w:rsidRPr="0032564F" w:rsidRDefault="00F16739" w:rsidP="00045D24">
      <w:pPr>
        <w:ind w:firstLine="720"/>
        <w:rPr>
          <w:i/>
          <w:sz w:val="22"/>
          <w:szCs w:val="22"/>
          <w:lang w:val="el-GR"/>
        </w:rPr>
      </w:pPr>
    </w:p>
    <w:p w:rsidR="00F16739" w:rsidRPr="0032564F" w:rsidRDefault="00F16739" w:rsidP="00045D24">
      <w:pPr>
        <w:ind w:firstLine="720"/>
        <w:rPr>
          <w:sz w:val="22"/>
          <w:szCs w:val="22"/>
          <w:lang w:val="el-GR"/>
        </w:rPr>
      </w:pPr>
      <w:r w:rsidRPr="0032564F">
        <w:rPr>
          <w:i/>
          <w:sz w:val="22"/>
          <w:szCs w:val="22"/>
          <w:lang w:val="el-GR"/>
        </w:rPr>
        <w:t xml:space="preserve">Μείζονα καταθλιπτικά επεισόδια: </w:t>
      </w:r>
    </w:p>
    <w:p w:rsidR="00F16739" w:rsidRPr="0032564F" w:rsidRDefault="00F16739" w:rsidP="00045D24">
      <w:pPr>
        <w:ind w:left="720"/>
        <w:rPr>
          <w:sz w:val="22"/>
          <w:szCs w:val="22"/>
          <w:lang w:val="el-GR"/>
        </w:rPr>
      </w:pPr>
      <w:r w:rsidRPr="0032564F">
        <w:rPr>
          <w:sz w:val="22"/>
          <w:szCs w:val="22"/>
          <w:lang w:val="el-GR"/>
        </w:rPr>
        <w:lastRenderedPageBreak/>
        <w:t>Ενήλικες και ηλικιωμένοι: Η συνιστώμενη δόση είναι 20 </w:t>
      </w:r>
      <w:r w:rsidRPr="0032564F">
        <w:rPr>
          <w:sz w:val="22"/>
          <w:szCs w:val="22"/>
        </w:rPr>
        <w:t>mg</w:t>
      </w:r>
      <w:r w:rsidRPr="0032564F">
        <w:rPr>
          <w:sz w:val="22"/>
          <w:szCs w:val="22"/>
          <w:lang w:val="el-GR"/>
        </w:rPr>
        <w:t xml:space="preserve"> ημερησίως. Η δοσολογία θα πρέπει να επαναξιολογείται και να αναπροσαρμόζεται, εφόσον καταστεί αναγκαίο, μέσα σε 3 έως 4 εβδομάδες από την έναρξη της θεραπευτικής αγωγής και στη συνέχεια όποτε αυτό κρίνεται κλινικά αναγκαίο. Αν και, σε μερικούς ασθενείς που δεν ανταποκρίνονται επαρκώς στη δόση των 20 </w:t>
      </w:r>
      <w:r w:rsidRPr="0032564F">
        <w:rPr>
          <w:sz w:val="22"/>
          <w:szCs w:val="22"/>
        </w:rPr>
        <w:t>mg</w:t>
      </w:r>
      <w:r w:rsidRPr="0032564F">
        <w:rPr>
          <w:sz w:val="22"/>
          <w:szCs w:val="22"/>
          <w:lang w:val="el-GR"/>
        </w:rPr>
        <w:t xml:space="preserve">, η αύξηση της δοσολογίας πιθανά συνοδεύεται από αυξημένο ενδεχόμενο πρόκλησης ανεπιθύμητων ενεργειών, αύξηση της δοσολογίας είναι δυνατό να γίνει σταδιακά έως τη μέγιστη δόση των 60 </w:t>
      </w:r>
      <w:r w:rsidRPr="0032564F">
        <w:rPr>
          <w:sz w:val="22"/>
          <w:szCs w:val="22"/>
        </w:rPr>
        <w:t>mg</w:t>
      </w:r>
      <w:r w:rsidRPr="0032564F">
        <w:rPr>
          <w:sz w:val="22"/>
          <w:szCs w:val="22"/>
          <w:lang w:val="el-GR"/>
        </w:rPr>
        <w:t xml:space="preserve"> (</w:t>
      </w:r>
      <w:r w:rsidR="006A6C86">
        <w:rPr>
          <w:sz w:val="22"/>
          <w:szCs w:val="22"/>
          <w:lang w:val="el-GR"/>
        </w:rPr>
        <w:t xml:space="preserve">βλ. </w:t>
      </w:r>
      <w:r w:rsidRPr="0032564F">
        <w:rPr>
          <w:sz w:val="22"/>
          <w:szCs w:val="22"/>
          <w:lang w:val="el-GR"/>
        </w:rPr>
        <w:t>παράγραφο 5.1). Οι αναπροσαρμογές της δοσολογίας θα πρέπει να πραγματοποιούνται με προσοχή, σε εξατομικευμένη βάση για κάθε ασθενή, έτσι ώστε οι ασθενείς να συντηρούνται σε θεραπεία με τη χαμηλότερη δόση που έχει θεραπευτικό αποτέλεσμα.</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Οι ασθενείς που πάσχουν από κατάθλιψη θα πρέπει να λαμβάνουν θεραπεία για επαρκές χρονικό διάστημα διάρκειας τουλάχιστον 6 μηνών προκειμένου να διασφαλισθεί η πλήρης απουσία συμπτωμάτων.</w:t>
      </w:r>
    </w:p>
    <w:p w:rsidR="00F16739" w:rsidRPr="0032564F" w:rsidRDefault="00F16739" w:rsidP="00045D24">
      <w:pPr>
        <w:ind w:left="720"/>
        <w:rPr>
          <w:sz w:val="22"/>
          <w:szCs w:val="22"/>
          <w:lang w:val="el-GR"/>
        </w:rPr>
      </w:pPr>
    </w:p>
    <w:p w:rsidR="00F16739" w:rsidRPr="0032564F" w:rsidRDefault="00F16739" w:rsidP="00045D24">
      <w:pPr>
        <w:ind w:left="720"/>
        <w:rPr>
          <w:i/>
          <w:sz w:val="22"/>
          <w:szCs w:val="22"/>
          <w:lang w:val="el-GR"/>
        </w:rPr>
      </w:pPr>
      <w:r w:rsidRPr="0032564F">
        <w:rPr>
          <w:i/>
          <w:sz w:val="22"/>
          <w:szCs w:val="22"/>
          <w:lang w:val="el-GR"/>
        </w:rPr>
        <w:t>Ιδεοληπτική-Ψυχαναγκαστική Διαταραχή:</w:t>
      </w:r>
    </w:p>
    <w:p w:rsidR="00F16739" w:rsidRPr="0032564F" w:rsidRDefault="00F16739" w:rsidP="00045D24">
      <w:pPr>
        <w:ind w:left="720"/>
        <w:rPr>
          <w:sz w:val="22"/>
          <w:szCs w:val="22"/>
          <w:lang w:val="el-GR"/>
        </w:rPr>
      </w:pPr>
      <w:r w:rsidRPr="0032564F">
        <w:rPr>
          <w:sz w:val="22"/>
          <w:szCs w:val="22"/>
          <w:lang w:val="el-GR"/>
        </w:rPr>
        <w:t>Ενήλικες και ηλικιωμένοι: Η συνιστώμενη δόση είναι 20 </w:t>
      </w:r>
      <w:r w:rsidRPr="0032564F">
        <w:rPr>
          <w:sz w:val="22"/>
          <w:szCs w:val="22"/>
        </w:rPr>
        <w:t>mg</w:t>
      </w:r>
      <w:r w:rsidRPr="0032564F">
        <w:rPr>
          <w:sz w:val="22"/>
          <w:szCs w:val="22"/>
          <w:lang w:val="el-GR"/>
        </w:rPr>
        <w:t xml:space="preserve"> ημερησίως. Αν και η αύξηση της δοσολογίας πιθανά συνοδεύεται από αυξημένο ενδεχόμενο πρόκλησης ανεπιθύμητων ενεργειών, σε μερικούς ασθενείς, σταδιακή αύξηση της δόσης είναι δυνατή έως τα 60 </w:t>
      </w:r>
      <w:r w:rsidRPr="0032564F">
        <w:rPr>
          <w:sz w:val="22"/>
          <w:szCs w:val="22"/>
        </w:rPr>
        <w:t>mg</w:t>
      </w:r>
      <w:r w:rsidRPr="0032564F">
        <w:rPr>
          <w:sz w:val="22"/>
          <w:szCs w:val="22"/>
          <w:lang w:val="el-GR"/>
        </w:rPr>
        <w:t xml:space="preserve"> το ανώτατο μετά από δύο εβδομάδες χορήγησης χωρίς θεραπευτική ανταπόκριση στη δόση των 20 </w:t>
      </w:r>
      <w:r w:rsidRPr="0032564F">
        <w:rPr>
          <w:sz w:val="22"/>
          <w:szCs w:val="22"/>
        </w:rPr>
        <w:t>mg</w:t>
      </w:r>
      <w:r w:rsidRPr="0032564F">
        <w:rPr>
          <w:sz w:val="22"/>
          <w:szCs w:val="22"/>
          <w:lang w:val="el-GR"/>
        </w:rPr>
        <w:t>.</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Εάν δεν παρατηρηθεί κλινική βελτίωση εντός 10 εβδομάδων, θα πρέπει να επανεξετάζεται η χορήγηση αγωγής με φλουοξετίνη. Εάν διαπιστωθεί ικανοποιητική κλινική ανταπόκριση, η φαρμακευτική αγωγή είναι δυνατόν να συνεχιστεί σε δοσολογία προσαρμοσμένη σε εξατομικευμένο επίπεδο. Αν και δεν υπάρχουν συστηματικές μελέτες που να απαντούν στο ερώτημα του για πόσο χρόνο θα πρέπει να συνεχίζεται η αγωγή με τη φλουοξετίνη, η ιδεοψυχαναγκαστική διαταραχή είναι μία χρόνια κατάσταση, άρα κρίνεται σκόπιμη η συνέχιση της αγωγής, πέραν των 10 εβδομάδων, στους ασθενείς που έχουν ανταποκριθεί στη φαρμακευτική αυτή αγωγή. Συνιστάται η αναπροσαρμογή της δοσολογίας να πραγματοποιείται με προσοχή, σε εξατομικευμένο επίπεδο για κάθε ασθενή, ώστε να διατηρείται ο ασθενής στη χαμηλότερη αποτελεσματική δοσολογία. Η ανάγκη χορήγησης της φαρμακευτικής θεραπείας θα πρέπει να επανεκτιμάται περιοδικά. Ορισμένοι κλινικοί συνιστούν ταυτόχρονη ψυχοθεραπεία συμπεριφοράς στους ασθενείς στους οποίους έχει παρατηρηθεί κλινική βελτίωση με τη φαρμακοθεραπεία.</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Η μακροχρόνια αποτελεσματικότητα (πέραν των 24 εβδομάδων), δεν έχει επιβεβαιωθεί, στην ιδεοψυχαναγκαστική διαταραχή.</w:t>
      </w:r>
    </w:p>
    <w:p w:rsidR="00F16739" w:rsidRPr="0032564F" w:rsidRDefault="00F16739" w:rsidP="00045D24">
      <w:pPr>
        <w:ind w:left="720"/>
        <w:rPr>
          <w:i/>
          <w:sz w:val="22"/>
          <w:szCs w:val="22"/>
          <w:lang w:val="el-GR"/>
        </w:rPr>
      </w:pPr>
    </w:p>
    <w:p w:rsidR="005B7F4A" w:rsidRDefault="00F16739" w:rsidP="00045D24">
      <w:pPr>
        <w:ind w:left="720"/>
        <w:rPr>
          <w:sz w:val="22"/>
          <w:szCs w:val="22"/>
          <w:lang w:val="el-GR"/>
        </w:rPr>
      </w:pPr>
      <w:r w:rsidRPr="0032564F">
        <w:rPr>
          <w:i/>
          <w:sz w:val="22"/>
          <w:szCs w:val="22"/>
          <w:lang w:val="el-GR"/>
        </w:rPr>
        <w:t>Ψυχογενής βουλιμία</w:t>
      </w:r>
    </w:p>
    <w:p w:rsidR="00F16739" w:rsidRPr="0032564F" w:rsidRDefault="00F16739" w:rsidP="00045D24">
      <w:pPr>
        <w:ind w:left="720"/>
        <w:rPr>
          <w:sz w:val="22"/>
          <w:szCs w:val="22"/>
          <w:lang w:val="el-GR"/>
        </w:rPr>
      </w:pPr>
      <w:r w:rsidRPr="0032564F">
        <w:rPr>
          <w:sz w:val="22"/>
          <w:szCs w:val="22"/>
          <w:lang w:val="el-GR"/>
        </w:rPr>
        <w:t>Ενήλικες και ηλικιωμένοι: Συνιστάται μία δόση των 60 </w:t>
      </w:r>
      <w:r w:rsidRPr="0032564F">
        <w:rPr>
          <w:sz w:val="22"/>
          <w:szCs w:val="22"/>
        </w:rPr>
        <w:t>mg</w:t>
      </w:r>
      <w:r w:rsidRPr="0032564F">
        <w:rPr>
          <w:sz w:val="22"/>
          <w:szCs w:val="22"/>
          <w:lang w:val="el-GR"/>
        </w:rPr>
        <w:t xml:space="preserve"> ημερησίως. Η μακροχρόνια αποτελεσματικότητα (πέραν των 3 μηνών), δεν έχει επιβεβαιωθεί στην ψυχογενή βουλιμία.</w:t>
      </w:r>
    </w:p>
    <w:p w:rsidR="00F16739" w:rsidRPr="0032564F" w:rsidRDefault="00F16739" w:rsidP="00045D24">
      <w:pPr>
        <w:ind w:left="720"/>
        <w:rPr>
          <w:sz w:val="22"/>
          <w:szCs w:val="22"/>
          <w:lang w:val="el-GR"/>
        </w:rPr>
      </w:pPr>
    </w:p>
    <w:p w:rsidR="005B7F4A" w:rsidRDefault="00F16739" w:rsidP="00045D24">
      <w:pPr>
        <w:ind w:left="720"/>
        <w:rPr>
          <w:i/>
          <w:sz w:val="22"/>
          <w:szCs w:val="22"/>
          <w:lang w:val="el-GR"/>
        </w:rPr>
      </w:pPr>
      <w:r w:rsidRPr="0032564F">
        <w:rPr>
          <w:i/>
          <w:sz w:val="22"/>
          <w:szCs w:val="22"/>
          <w:lang w:val="el-GR"/>
        </w:rPr>
        <w:t xml:space="preserve">Όλες οι ενδείξεις: </w:t>
      </w:r>
    </w:p>
    <w:p w:rsidR="005B7F4A" w:rsidRDefault="005B7F4A" w:rsidP="005B7F4A">
      <w:pPr>
        <w:ind w:left="720"/>
        <w:rPr>
          <w:iCs/>
          <w:sz w:val="22"/>
          <w:szCs w:val="22"/>
          <w:lang w:val="el-GR"/>
        </w:rPr>
      </w:pPr>
    </w:p>
    <w:p w:rsidR="005B7F4A" w:rsidRPr="005B7F4A" w:rsidRDefault="00D649DA" w:rsidP="005B7F4A">
      <w:pPr>
        <w:ind w:left="720"/>
        <w:rPr>
          <w:i/>
          <w:iCs/>
          <w:sz w:val="22"/>
          <w:szCs w:val="22"/>
        </w:rPr>
      </w:pPr>
      <w:r>
        <w:rPr>
          <w:iCs/>
          <w:sz w:val="22"/>
          <w:szCs w:val="22"/>
          <w:lang w:val="el-GR"/>
        </w:rPr>
        <w:t>Ενήλικες</w:t>
      </w:r>
      <w:r w:rsidR="005B7F4A" w:rsidRPr="005B7F4A">
        <w:rPr>
          <w:iCs/>
          <w:sz w:val="22"/>
          <w:szCs w:val="22"/>
        </w:rPr>
        <w:t>:</w:t>
      </w:r>
      <w:r w:rsidR="005B7F4A" w:rsidRPr="005B7F4A">
        <w:rPr>
          <w:i/>
          <w:iCs/>
          <w:sz w:val="22"/>
          <w:szCs w:val="22"/>
        </w:rPr>
        <w:t xml:space="preserve"> </w:t>
      </w:r>
    </w:p>
    <w:p w:rsidR="00F16739" w:rsidRPr="0032564F" w:rsidRDefault="00F16739" w:rsidP="00045D24">
      <w:pPr>
        <w:ind w:left="720"/>
        <w:rPr>
          <w:sz w:val="22"/>
          <w:szCs w:val="22"/>
          <w:lang w:val="el-GR"/>
        </w:rPr>
      </w:pPr>
      <w:r w:rsidRPr="0032564F">
        <w:rPr>
          <w:sz w:val="22"/>
          <w:szCs w:val="22"/>
        </w:rPr>
        <w:t>H</w:t>
      </w:r>
      <w:r w:rsidRPr="0032564F">
        <w:rPr>
          <w:sz w:val="22"/>
          <w:szCs w:val="22"/>
          <w:lang w:val="el-GR"/>
        </w:rPr>
        <w:t xml:space="preserve"> συνιστώμενη δόση μπορεί να αυξηθεί ή να ελαττωθεί. Δόσεις άνω των 80 </w:t>
      </w:r>
      <w:r w:rsidRPr="0032564F">
        <w:rPr>
          <w:sz w:val="22"/>
          <w:szCs w:val="22"/>
        </w:rPr>
        <w:t>mg</w:t>
      </w:r>
      <w:r w:rsidRPr="0032564F">
        <w:rPr>
          <w:sz w:val="22"/>
          <w:szCs w:val="22"/>
          <w:lang w:val="el-GR"/>
        </w:rPr>
        <w:t>/ ημέρα δεν έχουν συστηματικά αξιολογηθεί.</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Η φλουοξετίνη είναι δυνατόν να χορηγηθεί ως εφάπαξ δόση ή σε διαιρεμένες δόσεις, κατά τη διάρκεια ή ανάμεσα στα γεύματα.</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lastRenderedPageBreak/>
        <w:t xml:space="preserve">Μετά τη διακοπή της χορήγησης του φαρμάκου, οι δραστικές </w:t>
      </w:r>
      <w:r w:rsidR="004B0464" w:rsidRPr="0032564F">
        <w:rPr>
          <w:sz w:val="22"/>
          <w:szCs w:val="22"/>
          <w:lang w:val="el-GR"/>
        </w:rPr>
        <w:t xml:space="preserve">φαρμακευτικές </w:t>
      </w:r>
      <w:r w:rsidRPr="0032564F">
        <w:rPr>
          <w:sz w:val="22"/>
          <w:szCs w:val="22"/>
          <w:lang w:val="el-GR"/>
        </w:rPr>
        <w:t xml:space="preserve">ουσίες παραμένουν στον οργανισμό του ασθενούς για εβδομάδες. Το γεγονός αυτό θα πρέπει να λαμβάνεται υπόψιν κατά την έναρξη ή διακοπή της φαρμακευτικής θεραπείας. </w:t>
      </w:r>
    </w:p>
    <w:p w:rsidR="00F16739" w:rsidRPr="0032564F" w:rsidRDefault="00F16739" w:rsidP="00045D24">
      <w:pPr>
        <w:ind w:left="720"/>
        <w:rPr>
          <w:sz w:val="22"/>
          <w:szCs w:val="22"/>
          <w:lang w:val="el-GR"/>
        </w:rPr>
      </w:pPr>
    </w:p>
    <w:p w:rsidR="00F16739" w:rsidRPr="005B7F4A" w:rsidRDefault="00F16739" w:rsidP="00045D24">
      <w:pPr>
        <w:ind w:left="720"/>
        <w:rPr>
          <w:sz w:val="22"/>
          <w:szCs w:val="22"/>
          <w:lang w:val="el-GR"/>
        </w:rPr>
      </w:pPr>
      <w:r w:rsidRPr="005B7F4A">
        <w:rPr>
          <w:sz w:val="22"/>
          <w:szCs w:val="22"/>
          <w:lang w:val="el-GR"/>
        </w:rPr>
        <w:t>Παιδιά και έφηβοι ηλικίας 8 ετών και άνω (μέτριο έως σοβαρό μείζον καταθλιπτικό επεισόδιο):</w:t>
      </w:r>
    </w:p>
    <w:p w:rsidR="00F16739" w:rsidRPr="0032564F" w:rsidRDefault="00F16739" w:rsidP="00045D24">
      <w:pPr>
        <w:ind w:left="720"/>
        <w:rPr>
          <w:sz w:val="22"/>
          <w:szCs w:val="22"/>
          <w:lang w:val="el-GR"/>
        </w:rPr>
      </w:pPr>
      <w:r w:rsidRPr="0032564F">
        <w:rPr>
          <w:sz w:val="22"/>
          <w:szCs w:val="22"/>
          <w:lang w:val="el-GR"/>
        </w:rPr>
        <w:t xml:space="preserve">Η θεραπευτική αγωγή θα πρέπει να ξεκινά και να τίθεται υπό την επίβλεψη ειδικού. Η εναρκτήρια δόση είναι 10 </w:t>
      </w:r>
      <w:r w:rsidRPr="0032564F">
        <w:rPr>
          <w:sz w:val="22"/>
          <w:szCs w:val="22"/>
        </w:rPr>
        <w:t>mg</w:t>
      </w:r>
      <w:r w:rsidRPr="0032564F">
        <w:rPr>
          <w:sz w:val="22"/>
          <w:szCs w:val="22"/>
          <w:lang w:val="el-GR"/>
        </w:rPr>
        <w:t xml:space="preserve">/ημέρα χορηγούμενη ως μια δόση 2,5 </w:t>
      </w:r>
      <w:r w:rsidRPr="0032564F">
        <w:rPr>
          <w:sz w:val="22"/>
          <w:szCs w:val="22"/>
        </w:rPr>
        <w:t>ml</w:t>
      </w:r>
      <w:r w:rsidRPr="0032564F">
        <w:rPr>
          <w:sz w:val="22"/>
          <w:szCs w:val="22"/>
          <w:lang w:val="el-GR"/>
        </w:rPr>
        <w:t xml:space="preserve"> υγρού σκευάσματος φλουοξετίνης. Οι αναπροσαρμογές της δόσης θα πρέπει να πραγματοποιούνται με προσοχή, σε εξατομικευμένη βάση, προκειμένου η θεραπεία του ασθενούς να διατηρείται στη χαμηλότερη αποτελεσματική δόση. Έπειτα από την παρέλευση μίας έως δύο εβδομάδων, η δόση μπορεί να αυξηθεί έως τα 20 </w:t>
      </w:r>
      <w:r w:rsidRPr="0032564F">
        <w:rPr>
          <w:sz w:val="22"/>
          <w:szCs w:val="22"/>
        </w:rPr>
        <w:t>mg</w:t>
      </w:r>
      <w:r w:rsidRPr="0032564F">
        <w:rPr>
          <w:sz w:val="22"/>
          <w:szCs w:val="22"/>
          <w:lang w:val="el-GR"/>
        </w:rPr>
        <w:t xml:space="preserve">/ημέρα. Υπάρχει ελάχιστη κλινική εμπειρία από τη χορήγηση ημερήσιων δόσεων που υπερβαίνουν τα 20 </w:t>
      </w:r>
      <w:r w:rsidRPr="0032564F">
        <w:rPr>
          <w:sz w:val="22"/>
          <w:szCs w:val="22"/>
        </w:rPr>
        <w:t>mg</w:t>
      </w:r>
      <w:r w:rsidRPr="0032564F">
        <w:rPr>
          <w:sz w:val="22"/>
          <w:szCs w:val="22"/>
          <w:lang w:val="el-GR"/>
        </w:rPr>
        <w:t>. Δεν υπάρχουν παρά μόνο περιορισμένα δεδομένα στην περίπτωση που η χρονική διάρκεια της αγωγής υπερβαίνει τις 9 εβδομάδες.</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Παιδιά με μικρότερο σωματικό βάρος:</w:t>
      </w:r>
    </w:p>
    <w:p w:rsidR="00F16739" w:rsidRPr="0032564F" w:rsidRDefault="00F16739" w:rsidP="00045D24">
      <w:pPr>
        <w:ind w:left="720"/>
        <w:rPr>
          <w:sz w:val="22"/>
          <w:szCs w:val="22"/>
          <w:lang w:val="el-GR"/>
        </w:rPr>
      </w:pPr>
      <w:r w:rsidRPr="0032564F">
        <w:rPr>
          <w:sz w:val="22"/>
          <w:szCs w:val="22"/>
          <w:lang w:val="el-GR"/>
        </w:rPr>
        <w:t>Λόγω των υψηλότερων επιπέδων στο πλάσμα σε παιδιά με μικρότερο σωματικό βάρος, το θεραπευτικό αποτέλεσμα μπορεί να επιτυγχάνεται με χαμηλότερες δόσεις (</w:t>
      </w:r>
      <w:r w:rsidR="006A6C86">
        <w:rPr>
          <w:sz w:val="22"/>
          <w:szCs w:val="22"/>
          <w:lang w:val="el-GR"/>
        </w:rPr>
        <w:t xml:space="preserve">βλ. </w:t>
      </w:r>
      <w:r w:rsidRPr="0032564F">
        <w:rPr>
          <w:sz w:val="22"/>
          <w:szCs w:val="22"/>
          <w:lang w:val="el-GR"/>
        </w:rPr>
        <w:t>παράγραφο 5.2).</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 xml:space="preserve">Για τους παιδιατρικούς ασθενείς που ανταποκρίνονται στη θεραπεία, η ανάγκη χορήγησης συνεχούς θεραπείας, θα πρέπει να επαναξιολογείται έπειτα από 6 μήνες. Στην περίπτωση που δε σημειωθεί κλινικό όφελος εντός 9 εβδομάδων, θα πρέπει να επαναξιολογείται η καταλληλότητα της χορηγούμενης θεραπευτικής αγωγής. </w:t>
      </w:r>
    </w:p>
    <w:p w:rsidR="00F16739" w:rsidRPr="0032564F" w:rsidRDefault="00F16739" w:rsidP="00045D24">
      <w:pPr>
        <w:ind w:left="720"/>
        <w:rPr>
          <w:sz w:val="22"/>
          <w:szCs w:val="22"/>
          <w:lang w:val="el-GR"/>
        </w:rPr>
      </w:pPr>
    </w:p>
    <w:p w:rsidR="005B7F4A" w:rsidRPr="005B7F4A" w:rsidRDefault="00F16739" w:rsidP="00045D24">
      <w:pPr>
        <w:ind w:left="720"/>
        <w:rPr>
          <w:sz w:val="22"/>
          <w:szCs w:val="22"/>
          <w:lang w:val="el-GR"/>
        </w:rPr>
      </w:pPr>
      <w:r w:rsidRPr="009B7D6B">
        <w:rPr>
          <w:sz w:val="22"/>
          <w:szCs w:val="22"/>
          <w:lang w:val="el-GR"/>
        </w:rPr>
        <w:t>Ηλικιωμένοι:</w:t>
      </w:r>
      <w:r w:rsidRPr="005B7F4A">
        <w:rPr>
          <w:sz w:val="22"/>
          <w:szCs w:val="22"/>
          <w:lang w:val="el-GR"/>
        </w:rPr>
        <w:t xml:space="preserve"> </w:t>
      </w:r>
    </w:p>
    <w:p w:rsidR="00F16739" w:rsidRPr="0032564F" w:rsidRDefault="00F16739" w:rsidP="00045D24">
      <w:pPr>
        <w:ind w:left="720"/>
        <w:rPr>
          <w:sz w:val="22"/>
          <w:szCs w:val="22"/>
          <w:lang w:val="el-GR"/>
        </w:rPr>
      </w:pPr>
      <w:r w:rsidRPr="0032564F">
        <w:rPr>
          <w:sz w:val="22"/>
          <w:szCs w:val="22"/>
          <w:lang w:val="el-GR"/>
        </w:rPr>
        <w:t>Συνιστάται προσοχή κατά την αύξηση της χορηγούμενης δοσολογίας και η χορηγούμενη ημερήσια δοσολογία δεν θα πρέπει γενικά να υπερβαίνει τα 40 </w:t>
      </w:r>
      <w:r w:rsidRPr="0032564F">
        <w:rPr>
          <w:sz w:val="22"/>
          <w:szCs w:val="22"/>
        </w:rPr>
        <w:t>mg</w:t>
      </w:r>
      <w:r w:rsidRPr="0032564F">
        <w:rPr>
          <w:sz w:val="22"/>
          <w:szCs w:val="22"/>
          <w:lang w:val="el-GR"/>
        </w:rPr>
        <w:t>. Η ανώτερη συνιστώμενη δόση είναι 60 </w:t>
      </w:r>
      <w:r w:rsidRPr="0032564F">
        <w:rPr>
          <w:sz w:val="22"/>
          <w:szCs w:val="22"/>
        </w:rPr>
        <w:t>mg</w:t>
      </w:r>
      <w:r w:rsidRPr="0032564F">
        <w:rPr>
          <w:sz w:val="22"/>
          <w:szCs w:val="22"/>
          <w:lang w:val="el-GR"/>
        </w:rPr>
        <w:t>/ ημέρα.</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 xml:space="preserve">Σε ασθενείς με ηπατική </w:t>
      </w:r>
      <w:r w:rsidR="00C350DF">
        <w:rPr>
          <w:sz w:val="22"/>
          <w:szCs w:val="22"/>
          <w:lang w:val="el-GR"/>
        </w:rPr>
        <w:t>δυσλειτουργία</w:t>
      </w:r>
      <w:r w:rsidR="00C350DF" w:rsidRPr="0032564F">
        <w:rPr>
          <w:sz w:val="22"/>
          <w:szCs w:val="22"/>
          <w:lang w:val="el-GR"/>
        </w:rPr>
        <w:t xml:space="preserve"> </w:t>
      </w:r>
      <w:r w:rsidRPr="0032564F">
        <w:rPr>
          <w:sz w:val="22"/>
          <w:szCs w:val="22"/>
          <w:lang w:val="el-GR"/>
        </w:rPr>
        <w:t>(</w:t>
      </w:r>
      <w:r w:rsidR="006A6C86">
        <w:rPr>
          <w:sz w:val="22"/>
          <w:szCs w:val="22"/>
          <w:lang w:val="el-GR"/>
        </w:rPr>
        <w:t xml:space="preserve">βλ. </w:t>
      </w:r>
      <w:r w:rsidRPr="0032564F">
        <w:rPr>
          <w:sz w:val="22"/>
          <w:szCs w:val="22"/>
          <w:lang w:val="el-GR"/>
        </w:rPr>
        <w:t>παρ</w:t>
      </w:r>
      <w:r w:rsidR="004B0464" w:rsidRPr="0032564F">
        <w:rPr>
          <w:sz w:val="22"/>
          <w:szCs w:val="22"/>
          <w:lang w:val="el-GR"/>
        </w:rPr>
        <w:t>άγραφο</w:t>
      </w:r>
      <w:r w:rsidRPr="0032564F">
        <w:rPr>
          <w:sz w:val="22"/>
          <w:szCs w:val="22"/>
          <w:lang w:val="el-GR"/>
        </w:rPr>
        <w:t xml:space="preserve"> 5.2) ή σε ασθενείς που λαμβάνουν εκ παραλλήλου άλλα φάρμακα που ενδέχεται να αλληλεπιδράσουν με τη φλουοξετίνη (</w:t>
      </w:r>
      <w:r w:rsidR="006A6C86">
        <w:rPr>
          <w:sz w:val="22"/>
          <w:szCs w:val="22"/>
          <w:lang w:val="el-GR"/>
        </w:rPr>
        <w:t xml:space="preserve">βλ. </w:t>
      </w:r>
      <w:r w:rsidRPr="0032564F">
        <w:rPr>
          <w:sz w:val="22"/>
          <w:szCs w:val="22"/>
          <w:lang w:val="el-GR"/>
        </w:rPr>
        <w:t>παρ</w:t>
      </w:r>
      <w:r w:rsidR="004B0464" w:rsidRPr="0032564F">
        <w:rPr>
          <w:sz w:val="22"/>
          <w:szCs w:val="22"/>
          <w:lang w:val="el-GR"/>
        </w:rPr>
        <w:t>άγραφο</w:t>
      </w:r>
      <w:r w:rsidRPr="0032564F">
        <w:rPr>
          <w:sz w:val="22"/>
          <w:szCs w:val="22"/>
          <w:lang w:val="el-GR"/>
        </w:rPr>
        <w:t xml:space="preserve"> 4.5), θα πρέπει να εξετασθεί το ενδεχόμενο χορήγησης μικρότερων δόσεων ή δοσολόγησης σε αραιότερα χρονικά διαστήματα (π.χ. 20 </w:t>
      </w:r>
      <w:r w:rsidRPr="0032564F">
        <w:rPr>
          <w:sz w:val="22"/>
          <w:szCs w:val="22"/>
        </w:rPr>
        <w:t>mg</w:t>
      </w:r>
      <w:r w:rsidRPr="0032564F">
        <w:rPr>
          <w:sz w:val="22"/>
          <w:szCs w:val="22"/>
          <w:lang w:val="el-GR"/>
        </w:rPr>
        <w:t xml:space="preserve"> κάθε δεύτερη μέρα).</w:t>
      </w:r>
    </w:p>
    <w:p w:rsidR="00F16739" w:rsidRPr="0032564F" w:rsidRDefault="00F16739" w:rsidP="00045D24">
      <w:pPr>
        <w:ind w:left="720"/>
        <w:rPr>
          <w:sz w:val="22"/>
          <w:szCs w:val="22"/>
          <w:lang w:val="el-GR"/>
        </w:rPr>
      </w:pPr>
    </w:p>
    <w:p w:rsidR="005B7F4A" w:rsidRDefault="00F16739" w:rsidP="00045D24">
      <w:pPr>
        <w:pStyle w:val="a6"/>
        <w:widowControl w:val="0"/>
        <w:autoSpaceDE w:val="0"/>
        <w:autoSpaceDN w:val="0"/>
        <w:adjustRightInd w:val="0"/>
        <w:ind w:left="720"/>
        <w:rPr>
          <w:b/>
          <w:bCs/>
          <w:i/>
          <w:sz w:val="22"/>
          <w:szCs w:val="22"/>
          <w:lang w:val="el-GR"/>
        </w:rPr>
      </w:pPr>
      <w:r w:rsidRPr="0032564F">
        <w:rPr>
          <w:bCs/>
          <w:i/>
          <w:sz w:val="22"/>
          <w:szCs w:val="22"/>
          <w:lang w:val="el-GR"/>
        </w:rPr>
        <w:t>Συμπτώματα απόσυρσης που σημειώνονται με τη διακοπή της φλουοξετίνης:</w:t>
      </w:r>
      <w:r w:rsidRPr="0032564F">
        <w:rPr>
          <w:b/>
          <w:bCs/>
          <w:i/>
          <w:sz w:val="22"/>
          <w:szCs w:val="22"/>
          <w:lang w:val="el-GR"/>
        </w:rPr>
        <w:t xml:space="preserve"> </w:t>
      </w:r>
    </w:p>
    <w:p w:rsidR="00F16739" w:rsidRPr="005B7F4A" w:rsidRDefault="00F16739" w:rsidP="00045D24">
      <w:pPr>
        <w:pStyle w:val="a6"/>
        <w:widowControl w:val="0"/>
        <w:autoSpaceDE w:val="0"/>
        <w:autoSpaceDN w:val="0"/>
        <w:adjustRightInd w:val="0"/>
        <w:ind w:left="720"/>
        <w:rPr>
          <w:sz w:val="22"/>
          <w:szCs w:val="22"/>
          <w:lang w:val="el-GR"/>
        </w:rPr>
      </w:pPr>
      <w:r w:rsidRPr="0032564F">
        <w:rPr>
          <w:sz w:val="22"/>
          <w:szCs w:val="22"/>
        </w:rPr>
        <w:t>H</w:t>
      </w:r>
      <w:r w:rsidRPr="0032564F">
        <w:rPr>
          <w:sz w:val="22"/>
          <w:szCs w:val="22"/>
          <w:lang w:val="el-GR"/>
        </w:rPr>
        <w:t xml:space="preserve"> αιφνίδια διακοπή της αγωγής θα πρέπει να αποφεύγεται. Όταν διακόπτεται η αγωγή με τη φλουοξετίνη, η δόση θα πρέπει να μειώνεται σταδιακά για χρονικό διάστημα τουλάχιστον μίας έως δύο εβδομάδων για τη μείωση του κινδύνου εμφάνισης πιθανών συμπτωμάτων απόσυρσης (</w:t>
      </w:r>
      <w:r w:rsidR="006A6C86">
        <w:rPr>
          <w:sz w:val="22"/>
          <w:szCs w:val="22"/>
          <w:lang w:val="el-GR"/>
        </w:rPr>
        <w:t xml:space="preserve">βλ. </w:t>
      </w:r>
      <w:r w:rsidR="00E66980">
        <w:rPr>
          <w:sz w:val="22"/>
          <w:szCs w:val="22"/>
          <w:lang w:val="el-GR"/>
        </w:rPr>
        <w:t>παράγραφο</w:t>
      </w:r>
      <w:r w:rsidRPr="0032564F">
        <w:rPr>
          <w:sz w:val="22"/>
          <w:szCs w:val="22"/>
          <w:lang w:val="el-GR"/>
        </w:rPr>
        <w:t xml:space="preserve"> 4.4 και</w:t>
      </w:r>
      <w:r w:rsidR="00E66980">
        <w:rPr>
          <w:sz w:val="22"/>
          <w:szCs w:val="22"/>
          <w:lang w:val="el-GR"/>
        </w:rPr>
        <w:t xml:space="preserve"> παράγραφο</w:t>
      </w:r>
      <w:r w:rsidRPr="0032564F">
        <w:rPr>
          <w:sz w:val="22"/>
          <w:szCs w:val="22"/>
          <w:lang w:val="el-GR"/>
        </w:rPr>
        <w:t xml:space="preserve"> 4.8). Εάν εμφανισθούν μη ανεκτά συμπτώματα με τη μείωση της δόσης ή με τη διακοπή της αγωγής, θα πρέπει να εξετάζεται το ενδεχόμενο επαναχορήγησης της δοσολογίας προ της διακοπής. Στη συνέχεια, ο ιατρός θα πρέπει να επιχειρήσει ελάττωση της </w:t>
      </w:r>
      <w:r w:rsidRPr="005B7F4A">
        <w:rPr>
          <w:sz w:val="22"/>
          <w:szCs w:val="22"/>
          <w:lang w:val="el-GR"/>
        </w:rPr>
        <w:t>δοσολογίας, αλλά με πλέον βαθμιαίο ρυθμό.</w:t>
      </w:r>
    </w:p>
    <w:p w:rsidR="005B7F4A" w:rsidRPr="005B7F4A" w:rsidRDefault="005B7F4A" w:rsidP="005B7F4A">
      <w:pPr>
        <w:pStyle w:val="MGGTextLeft"/>
        <w:rPr>
          <w:sz w:val="22"/>
          <w:szCs w:val="22"/>
        </w:rPr>
      </w:pPr>
      <w:r w:rsidRPr="00A1351E">
        <w:rPr>
          <w:sz w:val="22"/>
          <w:szCs w:val="22"/>
          <w:lang w:val="el-GR"/>
        </w:rPr>
        <w:tab/>
      </w:r>
    </w:p>
    <w:p w:rsidR="005B7F4A" w:rsidRPr="005B7F4A" w:rsidRDefault="00E66980" w:rsidP="005B7F4A">
      <w:pPr>
        <w:ind w:left="709"/>
        <w:rPr>
          <w:sz w:val="22"/>
          <w:szCs w:val="22"/>
          <w:u w:val="single"/>
          <w:lang w:eastAsia="en-US"/>
        </w:rPr>
      </w:pPr>
      <w:r>
        <w:rPr>
          <w:sz w:val="22"/>
          <w:szCs w:val="22"/>
          <w:u w:val="single"/>
          <w:lang w:val="el-GR" w:eastAsia="en-US"/>
        </w:rPr>
        <w:t>Τρόπος χορήγησης</w:t>
      </w:r>
      <w:r w:rsidR="005B7F4A" w:rsidRPr="005B7F4A">
        <w:rPr>
          <w:sz w:val="22"/>
          <w:szCs w:val="22"/>
          <w:u w:val="single"/>
          <w:lang w:eastAsia="en-US"/>
        </w:rPr>
        <w:t xml:space="preserve"> </w:t>
      </w:r>
    </w:p>
    <w:p w:rsidR="005B7F4A" w:rsidRPr="005B7F4A" w:rsidRDefault="005B7F4A" w:rsidP="005B7F4A">
      <w:pPr>
        <w:ind w:left="709"/>
        <w:rPr>
          <w:sz w:val="22"/>
          <w:szCs w:val="22"/>
          <w:lang w:eastAsia="en-US"/>
        </w:rPr>
      </w:pPr>
    </w:p>
    <w:p w:rsidR="005B7F4A" w:rsidRPr="005B7F4A" w:rsidRDefault="00D66ED9" w:rsidP="005B7F4A">
      <w:pPr>
        <w:ind w:left="709"/>
        <w:rPr>
          <w:sz w:val="22"/>
          <w:szCs w:val="22"/>
          <w:lang w:eastAsia="en-US"/>
        </w:rPr>
      </w:pPr>
      <w:r>
        <w:rPr>
          <w:sz w:val="22"/>
          <w:szCs w:val="22"/>
        </w:rPr>
        <w:t>Για από του στόματος χορήγηση</w:t>
      </w:r>
      <w:r w:rsidR="005B7F4A" w:rsidRPr="005B7F4A">
        <w:rPr>
          <w:sz w:val="22"/>
          <w:szCs w:val="22"/>
          <w:lang w:eastAsia="en-US"/>
        </w:rPr>
        <w:t>.</w:t>
      </w:r>
    </w:p>
    <w:p w:rsidR="005B7F4A" w:rsidRPr="0032564F" w:rsidRDefault="005B7F4A" w:rsidP="00045D24">
      <w:pPr>
        <w:rPr>
          <w:sz w:val="22"/>
          <w:szCs w:val="22"/>
          <w:lang w:val="el-GR"/>
        </w:rPr>
      </w:pPr>
    </w:p>
    <w:p w:rsidR="00F16739" w:rsidRPr="0032564F" w:rsidRDefault="00F16739" w:rsidP="00045D24">
      <w:pPr>
        <w:numPr>
          <w:ilvl w:val="1"/>
          <w:numId w:val="2"/>
        </w:numPr>
        <w:rPr>
          <w:b/>
          <w:sz w:val="22"/>
          <w:szCs w:val="22"/>
        </w:rPr>
      </w:pPr>
      <w:r w:rsidRPr="0032564F">
        <w:rPr>
          <w:b/>
          <w:sz w:val="22"/>
          <w:szCs w:val="22"/>
          <w:lang w:val="el-GR"/>
        </w:rPr>
        <w:t>Αντενδείξεις</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lastRenderedPageBreak/>
        <w:t xml:space="preserve">Υπερευαισθησία στη </w:t>
      </w:r>
      <w:r w:rsidR="004B0464" w:rsidRPr="0032564F">
        <w:rPr>
          <w:sz w:val="22"/>
          <w:szCs w:val="22"/>
          <w:lang w:val="el-GR"/>
        </w:rPr>
        <w:t>δραστική ουσία</w:t>
      </w:r>
      <w:r w:rsidR="00C350DF">
        <w:rPr>
          <w:sz w:val="22"/>
          <w:szCs w:val="22"/>
          <w:lang w:val="el-GR"/>
        </w:rPr>
        <w:t xml:space="preserve"> </w:t>
      </w:r>
      <w:r w:rsidRPr="0032564F">
        <w:rPr>
          <w:sz w:val="22"/>
          <w:szCs w:val="22"/>
          <w:lang w:val="el-GR"/>
        </w:rPr>
        <w:t>ή σε κάποιο από τα έκδοχα</w:t>
      </w:r>
      <w:r w:rsidR="004B0464" w:rsidRPr="0032564F">
        <w:rPr>
          <w:sz w:val="22"/>
          <w:szCs w:val="22"/>
          <w:lang w:val="el-GR"/>
        </w:rPr>
        <w:t xml:space="preserve"> </w:t>
      </w:r>
      <w:r w:rsidR="00E66980">
        <w:rPr>
          <w:sz w:val="22"/>
          <w:szCs w:val="22"/>
          <w:lang w:val="el-GR"/>
        </w:rPr>
        <w:t xml:space="preserve">που </w:t>
      </w:r>
      <w:r w:rsidR="004B0464" w:rsidRPr="0032564F">
        <w:rPr>
          <w:sz w:val="22"/>
          <w:szCs w:val="22"/>
          <w:lang w:val="el-GR"/>
        </w:rPr>
        <w:t>αναφέρονται στην παράγραφο 6.1</w:t>
      </w:r>
      <w:r w:rsidRPr="0032564F">
        <w:rPr>
          <w:sz w:val="22"/>
          <w:szCs w:val="22"/>
          <w:lang w:val="el-GR"/>
        </w:rPr>
        <w:t>.</w:t>
      </w:r>
    </w:p>
    <w:p w:rsidR="00F16739" w:rsidRPr="0032564F" w:rsidRDefault="00F16739" w:rsidP="00045D24">
      <w:pPr>
        <w:rPr>
          <w:b/>
          <w:sz w:val="22"/>
          <w:szCs w:val="22"/>
          <w:lang w:val="el-GR"/>
        </w:rPr>
      </w:pPr>
    </w:p>
    <w:p w:rsidR="00F16739" w:rsidRPr="0032564F" w:rsidRDefault="00F16739" w:rsidP="00045D24">
      <w:pPr>
        <w:ind w:left="720"/>
        <w:rPr>
          <w:sz w:val="22"/>
          <w:szCs w:val="22"/>
          <w:lang w:val="el-GR"/>
        </w:rPr>
      </w:pPr>
      <w:r w:rsidRPr="0032564F">
        <w:rPr>
          <w:i/>
          <w:sz w:val="22"/>
          <w:szCs w:val="22"/>
          <w:lang w:val="el-GR"/>
        </w:rPr>
        <w:t>Αναστολείς της Μονοαμινοξειδάσης (ΜΑΟΙ):</w:t>
      </w:r>
      <w:r w:rsidRPr="0032564F">
        <w:rPr>
          <w:sz w:val="22"/>
          <w:szCs w:val="22"/>
          <w:lang w:val="el-GR"/>
        </w:rPr>
        <w:t xml:space="preserve"> Έχουν αναφερθεί σοβαρές, μερικές φορές θανατηφόρες αντιδράσεις σε ασθενείς οι οποίοι ελάμβαναν έναν από τους εκλεκτικούς αναστολείς επαναπρόσληψης της σεροτονίνης (</w:t>
      </w:r>
      <w:r w:rsidRPr="0032564F">
        <w:rPr>
          <w:sz w:val="22"/>
          <w:szCs w:val="22"/>
        </w:rPr>
        <w:t>SSRI</w:t>
      </w:r>
      <w:r w:rsidRPr="0032564F">
        <w:rPr>
          <w:sz w:val="22"/>
          <w:szCs w:val="22"/>
          <w:lang w:val="el-GR"/>
        </w:rPr>
        <w:t xml:space="preserve">) σε συνδυασμό με έναν αναστολέα της </w:t>
      </w:r>
      <w:r w:rsidRPr="00DB5865">
        <w:rPr>
          <w:sz w:val="22"/>
          <w:szCs w:val="22"/>
          <w:lang w:val="el-GR"/>
        </w:rPr>
        <w:t xml:space="preserve">μονοαμινοοξειδάσης (ΜΑΟΙ), καθώς και σε ασθενείς οι οποίοι διέκοψαν τη λήψη του </w:t>
      </w:r>
      <w:r w:rsidRPr="00F965B9">
        <w:rPr>
          <w:sz w:val="22"/>
          <w:szCs w:val="22"/>
        </w:rPr>
        <w:t>SSRI</w:t>
      </w:r>
      <w:r w:rsidRPr="00D41E60">
        <w:rPr>
          <w:sz w:val="22"/>
          <w:szCs w:val="22"/>
          <w:lang w:val="el-GR"/>
        </w:rPr>
        <w:t xml:space="preserve"> και στη συνέχεια έλαβαν αμέσως ΜΑΟΙ. Η αγωγή με φλουοξετίνη θα πρέπει να αρχίζει</w:t>
      </w:r>
      <w:r w:rsidRPr="0032564F">
        <w:rPr>
          <w:sz w:val="22"/>
          <w:szCs w:val="22"/>
          <w:lang w:val="el-GR"/>
        </w:rPr>
        <w:t xml:space="preserve"> μόνο μετά την παρέλευση 2 εβδομάδων από τη διακοπή της αγωγής με μη-αναστρέψιμο ΜΑΟΙ και την επόμενη μέρα από τη διακοπή ενός αναστρέψιμου ΜΑΟΙ-Α.</w:t>
      </w:r>
    </w:p>
    <w:p w:rsidR="00F16739" w:rsidRPr="0032564F" w:rsidRDefault="00F16739" w:rsidP="00045D24">
      <w:pPr>
        <w:ind w:left="720" w:hanging="720"/>
        <w:rPr>
          <w:sz w:val="22"/>
          <w:szCs w:val="22"/>
          <w:lang w:val="el-GR"/>
        </w:rPr>
      </w:pPr>
    </w:p>
    <w:p w:rsidR="00F16739" w:rsidRPr="0032564F" w:rsidRDefault="00F16739" w:rsidP="00045D24">
      <w:pPr>
        <w:ind w:left="720"/>
        <w:rPr>
          <w:sz w:val="22"/>
          <w:szCs w:val="22"/>
          <w:lang w:val="el-GR"/>
        </w:rPr>
      </w:pPr>
      <w:r w:rsidRPr="0032564F">
        <w:rPr>
          <w:sz w:val="22"/>
          <w:szCs w:val="22"/>
          <w:lang w:val="el-GR"/>
        </w:rPr>
        <w:t xml:space="preserve">Σε ορισμένες περιπτώσεις εκδηλώθηκαν χαρακτηριστικά παρόμοια με εκείνα του συνδρόμου της σεροτονίνης (το οποίο είναι πιθανόν να προσομοιάζει ή να διαγνωσθεί σαν κακόηθες σύνδρομο από νευροληπτικά). Η κυπροεπταδίνη ή το νατριούχο δαντρολένιο ενδέχεται να ανακουφίσουν τους ασθενείς, οι οποίοι εμφανίζουν τέτοιου τύπου αντιδράσεις. Στα συμπτώματα της φαρμακευτικής αλληλεπίδρασης με αναστολέα μονοαμινοοξειδάσης (ΜΑΟΙ) περιλαμβάνονται: υπερθερμία, δυσκαμψία, μυοκλονία, αστάθεια του αυτόνομου νευρικού συστήματος με πιθανές ταχείες διακυμάνσεις των ζωτικών σημείων, μεταβολές </w:t>
      </w:r>
      <w:r w:rsidR="00C427D8">
        <w:rPr>
          <w:sz w:val="22"/>
          <w:szCs w:val="22"/>
          <w:lang w:val="el-GR"/>
        </w:rPr>
        <w:t>της ψυχικής κατάστασης</w:t>
      </w:r>
      <w:r w:rsidRPr="0032564F">
        <w:rPr>
          <w:sz w:val="22"/>
          <w:szCs w:val="22"/>
          <w:lang w:val="el-GR"/>
        </w:rPr>
        <w:t>, οι οποίες περιλαμβάνουν σύγχυση, ευερεθιστότητα και ακραία διέγερση, προοδευτικά εξελισσόμενη σε παραλήρημα και κώμα.</w:t>
      </w:r>
    </w:p>
    <w:p w:rsidR="00F16739" w:rsidRPr="0032564F" w:rsidRDefault="00F16739" w:rsidP="00045D24">
      <w:pPr>
        <w:rPr>
          <w:sz w:val="22"/>
          <w:szCs w:val="22"/>
          <w:lang w:val="el-GR"/>
        </w:rPr>
      </w:pPr>
    </w:p>
    <w:p w:rsidR="00F16739" w:rsidRPr="0032564F" w:rsidRDefault="00F16739" w:rsidP="00045D24">
      <w:pPr>
        <w:ind w:left="720"/>
        <w:rPr>
          <w:sz w:val="22"/>
          <w:szCs w:val="22"/>
          <w:lang w:val="el-GR"/>
        </w:rPr>
      </w:pPr>
      <w:r w:rsidRPr="0032564F">
        <w:rPr>
          <w:sz w:val="22"/>
          <w:szCs w:val="22"/>
          <w:lang w:val="el-GR"/>
        </w:rPr>
        <w:t>Ως εκ τούτου, η φλουοξετίνη αντενδείκνυται σε συνδυασμό με</w:t>
      </w:r>
      <w:r w:rsidR="009B5986">
        <w:rPr>
          <w:sz w:val="22"/>
          <w:szCs w:val="22"/>
          <w:lang w:val="el-GR"/>
        </w:rPr>
        <w:t xml:space="preserve"> </w:t>
      </w:r>
      <w:r w:rsidR="00E66980">
        <w:rPr>
          <w:sz w:val="22"/>
          <w:szCs w:val="22"/>
          <w:lang w:val="el-GR"/>
        </w:rPr>
        <w:t>μη-</w:t>
      </w:r>
      <w:r w:rsidR="009B5986">
        <w:rPr>
          <w:sz w:val="22"/>
          <w:szCs w:val="22"/>
          <w:lang w:val="el-GR"/>
        </w:rPr>
        <w:t xml:space="preserve">αναστρέψιμους, </w:t>
      </w:r>
      <w:r w:rsidRPr="0032564F">
        <w:rPr>
          <w:sz w:val="22"/>
          <w:szCs w:val="22"/>
          <w:lang w:val="el-GR"/>
        </w:rPr>
        <w:t xml:space="preserve"> μη-εκλεκτικ</w:t>
      </w:r>
      <w:r w:rsidR="009B5986">
        <w:rPr>
          <w:sz w:val="22"/>
          <w:szCs w:val="22"/>
          <w:lang w:val="el-GR"/>
        </w:rPr>
        <w:t>ούς</w:t>
      </w:r>
      <w:r w:rsidRPr="0032564F">
        <w:rPr>
          <w:sz w:val="22"/>
          <w:szCs w:val="22"/>
          <w:lang w:val="el-GR"/>
        </w:rPr>
        <w:t xml:space="preserve"> ΜΑΟΙ</w:t>
      </w:r>
      <w:r w:rsidR="009B5986">
        <w:rPr>
          <w:sz w:val="22"/>
          <w:szCs w:val="22"/>
          <w:lang w:val="en-US"/>
        </w:rPr>
        <w:t>s</w:t>
      </w:r>
      <w:r w:rsidR="00E66980">
        <w:rPr>
          <w:sz w:val="22"/>
          <w:szCs w:val="22"/>
          <w:lang w:val="el-GR"/>
        </w:rPr>
        <w:t xml:space="preserve"> (π.χ. ιπρονιαζίδη) (βλ. παράγραφο 4.5)</w:t>
      </w:r>
      <w:r w:rsidRPr="0032564F">
        <w:rPr>
          <w:sz w:val="22"/>
          <w:szCs w:val="22"/>
          <w:lang w:val="el-GR"/>
        </w:rPr>
        <w:t>. Παρομοίως, θα πρέπει να παρέρχονται τουλάχιστον 5 εβδομάδες μετά τη διακοπή της λήψης της φλουοξετίνης και προ της χορήγησης σκευάσματος ΜΑΟΙ. Εάν η φλουοξετίνη δίδεται σε χρόνια χορήγηση και/ή σε υψηλή δόση, απαιτείται η παρέλευση μεγαλύτερου χρονικού διαστήματος.</w:t>
      </w:r>
    </w:p>
    <w:p w:rsidR="009B5986" w:rsidRPr="00E66980" w:rsidRDefault="009B5986" w:rsidP="009B5986">
      <w:pPr>
        <w:rPr>
          <w:sz w:val="22"/>
          <w:szCs w:val="22"/>
          <w:lang w:eastAsia="en-US"/>
        </w:rPr>
      </w:pPr>
    </w:p>
    <w:p w:rsidR="009B5986" w:rsidRPr="00E66980" w:rsidRDefault="00E66980" w:rsidP="009B5986">
      <w:pPr>
        <w:ind w:left="720"/>
        <w:rPr>
          <w:sz w:val="22"/>
          <w:szCs w:val="22"/>
          <w:lang w:val="en-US" w:eastAsia="en-US"/>
        </w:rPr>
      </w:pPr>
      <w:r>
        <w:rPr>
          <w:sz w:val="22"/>
          <w:szCs w:val="22"/>
          <w:lang w:val="el-GR" w:eastAsia="en-US"/>
        </w:rPr>
        <w:t>Η φλουοξετίνη αντενδείκνυται σε συνδυασμό με μετοπρολόλη η οποία χρησιμοποιείται σε καρδιακή ανεπάρκεια (βλ. παράγραφο</w:t>
      </w:r>
      <w:r w:rsidR="009B5986" w:rsidRPr="00E66980">
        <w:rPr>
          <w:sz w:val="22"/>
          <w:szCs w:val="22"/>
          <w:lang w:val="en-US" w:eastAsia="en-US"/>
        </w:rPr>
        <w:t xml:space="preserve"> 4.5).</w:t>
      </w:r>
    </w:p>
    <w:p w:rsidR="00F16739" w:rsidRPr="00E66980" w:rsidRDefault="00F16739" w:rsidP="00045D24">
      <w:pPr>
        <w:pStyle w:val="a3"/>
        <w:ind w:left="0"/>
        <w:rPr>
          <w:b/>
          <w:sz w:val="22"/>
          <w:szCs w:val="22"/>
          <w:lang w:val="el-GR"/>
        </w:rPr>
      </w:pPr>
    </w:p>
    <w:p w:rsidR="00F16739" w:rsidRPr="0032564F" w:rsidRDefault="00F16739" w:rsidP="00045D24">
      <w:pPr>
        <w:pStyle w:val="a3"/>
        <w:numPr>
          <w:ilvl w:val="1"/>
          <w:numId w:val="2"/>
        </w:numPr>
        <w:rPr>
          <w:b/>
          <w:sz w:val="22"/>
          <w:szCs w:val="22"/>
          <w:lang w:val="el-GR"/>
        </w:rPr>
      </w:pPr>
      <w:r w:rsidRPr="0032564F">
        <w:rPr>
          <w:b/>
          <w:sz w:val="22"/>
          <w:szCs w:val="22"/>
          <w:lang w:val="el-GR"/>
        </w:rPr>
        <w:t xml:space="preserve">Ιδιαίτερες προειδοποιήσεις και ιδιαίτερες προφυλάξεις κατά τη χρήση </w:t>
      </w:r>
    </w:p>
    <w:p w:rsidR="00F16739" w:rsidRPr="0032564F" w:rsidRDefault="00F16739" w:rsidP="00045D24">
      <w:pPr>
        <w:ind w:left="720" w:hanging="720"/>
        <w:rPr>
          <w:b/>
          <w:sz w:val="22"/>
          <w:szCs w:val="22"/>
          <w:lang w:val="el-GR"/>
        </w:rPr>
      </w:pPr>
    </w:p>
    <w:p w:rsidR="00F16739" w:rsidRPr="009517CE" w:rsidRDefault="009517CE" w:rsidP="00045D24">
      <w:pPr>
        <w:ind w:left="720"/>
        <w:rPr>
          <w:b/>
          <w:sz w:val="22"/>
          <w:szCs w:val="22"/>
          <w:lang w:val="el-GR"/>
        </w:rPr>
      </w:pPr>
      <w:r>
        <w:rPr>
          <w:rFonts w:eastAsia="Arial"/>
          <w:i/>
          <w:spacing w:val="-1"/>
          <w:sz w:val="22"/>
          <w:szCs w:val="22"/>
          <w:u w:color="000000"/>
          <w:lang w:val="el-GR" w:eastAsia="en-US"/>
        </w:rPr>
        <w:t>Παιδιατρικός πληθυσμός</w:t>
      </w:r>
      <w:r w:rsidR="009B5986" w:rsidRPr="009517CE">
        <w:rPr>
          <w:rFonts w:eastAsia="Arial"/>
          <w:i/>
          <w:sz w:val="22"/>
          <w:szCs w:val="22"/>
          <w:u w:color="000000"/>
          <w:lang w:val="en-US" w:eastAsia="en-US"/>
        </w:rPr>
        <w:t xml:space="preserve"> </w:t>
      </w:r>
      <w:r w:rsidRPr="009517CE">
        <w:rPr>
          <w:rFonts w:eastAsia="Arial"/>
          <w:i/>
          <w:sz w:val="22"/>
          <w:szCs w:val="22"/>
          <w:lang w:val="en-US" w:eastAsia="en-US"/>
        </w:rPr>
        <w:t>–</w:t>
      </w:r>
      <w:r w:rsidR="009B5986" w:rsidRPr="009517CE">
        <w:rPr>
          <w:rFonts w:eastAsia="Arial"/>
          <w:i/>
          <w:spacing w:val="2"/>
          <w:sz w:val="22"/>
          <w:szCs w:val="22"/>
          <w:lang w:val="en-US" w:eastAsia="en-US"/>
        </w:rPr>
        <w:t xml:space="preserve"> </w:t>
      </w:r>
      <w:r w:rsidRPr="009517CE">
        <w:rPr>
          <w:rFonts w:eastAsia="Arial"/>
          <w:i/>
          <w:spacing w:val="2"/>
          <w:sz w:val="22"/>
          <w:szCs w:val="22"/>
          <w:lang w:val="el-GR" w:eastAsia="en-US"/>
        </w:rPr>
        <w:t>παιδιά και έφηβοι</w:t>
      </w:r>
      <w:r w:rsidR="009B5986" w:rsidRPr="009517CE">
        <w:rPr>
          <w:bCs/>
          <w:i/>
          <w:sz w:val="22"/>
          <w:szCs w:val="22"/>
          <w:lang w:eastAsia="en-US"/>
        </w:rPr>
        <w:t xml:space="preserve"> </w:t>
      </w:r>
      <w:r w:rsidR="00F16739" w:rsidRPr="00833771">
        <w:rPr>
          <w:i/>
          <w:sz w:val="22"/>
          <w:szCs w:val="22"/>
          <w:lang w:val="el-GR"/>
        </w:rPr>
        <w:t>κάτω των 18 ετών:</w:t>
      </w:r>
    </w:p>
    <w:p w:rsidR="00F16739" w:rsidRPr="0032564F" w:rsidRDefault="00F16739" w:rsidP="00045D24">
      <w:pPr>
        <w:ind w:left="720"/>
        <w:rPr>
          <w:sz w:val="22"/>
          <w:szCs w:val="22"/>
          <w:lang w:val="el-GR"/>
        </w:rPr>
      </w:pPr>
      <w:r w:rsidRPr="0032564F">
        <w:rPr>
          <w:sz w:val="22"/>
          <w:szCs w:val="22"/>
          <w:lang w:val="el-GR"/>
        </w:rPr>
        <w:t>Η εμφάνιση αυτοκτονικής συμπεριφοράς (απόπειρ</w:t>
      </w:r>
      <w:r w:rsidR="009B5986">
        <w:rPr>
          <w:sz w:val="22"/>
          <w:szCs w:val="22"/>
          <w:lang w:val="el-GR"/>
        </w:rPr>
        <w:t>α</w:t>
      </w:r>
      <w:r w:rsidRPr="0032564F">
        <w:rPr>
          <w:sz w:val="22"/>
          <w:szCs w:val="22"/>
          <w:lang w:val="el-GR"/>
        </w:rPr>
        <w:t xml:space="preserve"> αυτοκτονίας και σκέψεις αυτοκτονίας), καθώς και η εμφάνιση εχθρότητας (κυρίως επιθετικότητα, εναντιωτική συμπεριφορά και θυμός) παρατηρήθηκαν με μεγαλύτερη συχνότητα σε κλινικές δοκιμές με παιδιά και εφήβους που λάμβαναν αντικαταθλιπτικά σε σύγκριση με τους ασθενείς που λάμβαναν το εικονικό φάρμακο (</w:t>
      </w:r>
      <w:r w:rsidRPr="0032564F">
        <w:rPr>
          <w:sz w:val="22"/>
          <w:szCs w:val="22"/>
        </w:rPr>
        <w:t>placebo</w:t>
      </w:r>
      <w:r w:rsidRPr="0032564F">
        <w:rPr>
          <w:sz w:val="22"/>
          <w:szCs w:val="22"/>
          <w:lang w:val="el-GR"/>
        </w:rPr>
        <w:t>). Η φλουοξετίνη πρέπει να χρησιμοποιείται μόνο σε παιδιά και εφήβους ηλικίας 8 έως 18 ετών για τη θεραπεία των μειζόνων καταθλιπτικών επεισοδίων μέτριας έως σοβαρής βαρύτητας και δε θα πρέπει να χρησιμοποιείται σε άλλες ενδείξεις. Εντούτοις, εάν αποφασισθεί να χορηγηθεί σχετική αγωγή, λόγω κλινικής ανάγκης, ο ασθενής πρέπει να παρακολουθείται με προσοχή για την πιθανότητα εμφάνισης αυτοκτονικών συμπτωμάτων. Επιπλέον, είναι διαθέσιμα μόνο περιορισμένα στοιχεία αναφορικά με τις μακροχρόνιες επιδράσεις στην ασφάλεια σε παιδιά και εφήβους συμπεριλαμβανομένων επιδράσεων στη σωματική ανάπτυξη, στη σεξουαλική ωρίμανση, στη διανοητική, στη συναισθηματική ανάπτυξη και στην ανάπτυξη της συμπεριφοράς (</w:t>
      </w:r>
      <w:r w:rsidR="006A6C86">
        <w:rPr>
          <w:sz w:val="22"/>
          <w:szCs w:val="22"/>
          <w:lang w:val="el-GR"/>
        </w:rPr>
        <w:t xml:space="preserve">βλ. </w:t>
      </w:r>
      <w:r w:rsidRPr="0032564F">
        <w:rPr>
          <w:sz w:val="22"/>
          <w:szCs w:val="22"/>
          <w:lang w:val="el-GR"/>
        </w:rPr>
        <w:t>παράγραφο 5.3).</w:t>
      </w:r>
    </w:p>
    <w:p w:rsidR="00F16739" w:rsidRPr="0032564F" w:rsidRDefault="00F16739" w:rsidP="00045D24">
      <w:pPr>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t>Σε μία κλινική μελέτη διάρκειας 19 εβδομάδων, παρατηρήθηκε μείωση του ύψους και αύξηση του σωματικού βάρους στα παιδιά και τους εφήβους που έλαβαν αγωγή με φλουοξετίνη (</w:t>
      </w:r>
      <w:r w:rsidR="006A6C86">
        <w:rPr>
          <w:sz w:val="22"/>
          <w:szCs w:val="22"/>
          <w:lang w:val="el-GR"/>
        </w:rPr>
        <w:t xml:space="preserve">βλ. </w:t>
      </w:r>
      <w:r w:rsidRPr="0032564F">
        <w:rPr>
          <w:sz w:val="22"/>
          <w:szCs w:val="22"/>
          <w:lang w:val="el-GR"/>
        </w:rPr>
        <w:t xml:space="preserve">παράγραφο </w:t>
      </w:r>
      <w:r w:rsidR="009B5986">
        <w:rPr>
          <w:sz w:val="22"/>
          <w:szCs w:val="22"/>
          <w:lang w:val="el-GR"/>
        </w:rPr>
        <w:t>5.1</w:t>
      </w:r>
      <w:r w:rsidRPr="0032564F">
        <w:rPr>
          <w:sz w:val="22"/>
          <w:szCs w:val="22"/>
          <w:lang w:val="el-GR"/>
        </w:rPr>
        <w:t xml:space="preserve">). Δεν έχει τεκμηριωθεί το κατά πόσο </w:t>
      </w:r>
      <w:r w:rsidRPr="0032564F">
        <w:rPr>
          <w:sz w:val="22"/>
          <w:szCs w:val="22"/>
          <w:lang w:val="el-GR"/>
        </w:rPr>
        <w:lastRenderedPageBreak/>
        <w:t>σημειώνεται επίδραση στην επίτευξη φυσιολογικού ύψους κατά την ενηλικίωση. Δεν μπορεί να αποκλεισθεί η ενδεχόμενη επιβράδυνση της εφηβείας (</w:t>
      </w:r>
      <w:r w:rsidR="006A6C86">
        <w:rPr>
          <w:sz w:val="22"/>
          <w:szCs w:val="22"/>
          <w:lang w:val="el-GR"/>
        </w:rPr>
        <w:t xml:space="preserve">βλ. </w:t>
      </w:r>
      <w:r w:rsidRPr="0032564F">
        <w:rPr>
          <w:sz w:val="22"/>
          <w:szCs w:val="22"/>
          <w:lang w:val="el-GR"/>
        </w:rPr>
        <w:t xml:space="preserve">παραγράφους 5.3 και 4.8). Για το λόγο αυτό θα πρέπει να παρακολουθούνται η αύξηση και η ανάπτυξη κατά την εφηβεία (ύψος, σωματικό βάρος και στάδιο παιδιατρικής ανάπτυξης κατά </w:t>
      </w:r>
      <w:r w:rsidRPr="0032564F">
        <w:rPr>
          <w:sz w:val="22"/>
          <w:szCs w:val="22"/>
        </w:rPr>
        <w:t>TANNER</w:t>
      </w:r>
      <w:r w:rsidRPr="0032564F">
        <w:rPr>
          <w:sz w:val="22"/>
          <w:szCs w:val="22"/>
          <w:lang w:val="el-GR"/>
        </w:rPr>
        <w:t>) τόσο κατά τη διάρκεια όσο και μετά το πέρας της θεραπείας με τη φλουοξετίνη. Σε περίπτωση που σημειώνεται επιβράδυνση σε μία από αυτές τις δύο παραμέτρους, θα πρέπει να εξετάζεται η αναγκαιότητα παραπομπή</w:t>
      </w:r>
      <w:r w:rsidR="00C427D8">
        <w:rPr>
          <w:sz w:val="22"/>
          <w:szCs w:val="22"/>
          <w:lang w:val="el-GR"/>
        </w:rPr>
        <w:t>ς</w:t>
      </w:r>
      <w:r w:rsidRPr="0032564F">
        <w:rPr>
          <w:sz w:val="22"/>
          <w:szCs w:val="22"/>
          <w:lang w:val="el-GR"/>
        </w:rPr>
        <w:t xml:space="preserve"> του ασθενούς σε παιδίατρο.</w:t>
      </w:r>
    </w:p>
    <w:p w:rsidR="00F16739" w:rsidRPr="0032564F" w:rsidRDefault="00F16739" w:rsidP="00045D24">
      <w:pPr>
        <w:pStyle w:val="MGGTextLeft"/>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t>Κατά τη διάρκεια κλινικών παιδιατρικών μελετών αναφέρθηκαν συχνά μανία και υπομανία (</w:t>
      </w:r>
      <w:r w:rsidR="006A6C86">
        <w:rPr>
          <w:sz w:val="22"/>
          <w:szCs w:val="22"/>
          <w:lang w:val="el-GR"/>
        </w:rPr>
        <w:t xml:space="preserve">βλ. </w:t>
      </w:r>
      <w:r w:rsidRPr="0032564F">
        <w:rPr>
          <w:sz w:val="22"/>
          <w:szCs w:val="22"/>
          <w:lang w:val="el-GR"/>
        </w:rPr>
        <w:t xml:space="preserve">παράγραφο 4.8). Για το λόγο αυτό, συνιστάται τακτική παρακολούθηση για τυχόν εμφάνιση μανίας/υπομανίας. Η φλουοξετίνη θα πρέπει να διακόπτεται σε </w:t>
      </w:r>
      <w:r w:rsidR="009517CE">
        <w:rPr>
          <w:sz w:val="22"/>
          <w:szCs w:val="22"/>
          <w:lang w:val="el-GR"/>
        </w:rPr>
        <w:t xml:space="preserve">κάθε </w:t>
      </w:r>
      <w:r w:rsidRPr="0032564F">
        <w:rPr>
          <w:sz w:val="22"/>
          <w:szCs w:val="22"/>
          <w:lang w:val="el-GR"/>
        </w:rPr>
        <w:t>ασθενή που εισέρχεται σε φάση μανίας.</w:t>
      </w:r>
    </w:p>
    <w:p w:rsidR="00F16739" w:rsidRPr="0032564F" w:rsidRDefault="00F16739" w:rsidP="00045D24">
      <w:pPr>
        <w:pStyle w:val="MGGTextLeft"/>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t>Είναι σημαντικό, ο γιατρός που χορηγεί την αγωγή να συζητά επισταμένα με το παιδί/ νεαρό άτομο και/ ή τους γονείς του για τους κινδύνους και τα οφέλη της θεραπευτικής αγωγής.</w:t>
      </w:r>
    </w:p>
    <w:p w:rsidR="00F16739" w:rsidRPr="0032564F" w:rsidRDefault="00F16739" w:rsidP="00045D24">
      <w:pPr>
        <w:ind w:left="720"/>
        <w:rPr>
          <w:sz w:val="22"/>
          <w:szCs w:val="22"/>
          <w:lang w:val="el-GR"/>
        </w:rPr>
      </w:pPr>
    </w:p>
    <w:p w:rsidR="009B5986" w:rsidRDefault="00F16739" w:rsidP="00045D24">
      <w:pPr>
        <w:ind w:left="720"/>
        <w:rPr>
          <w:sz w:val="22"/>
          <w:szCs w:val="22"/>
          <w:lang w:val="el-GR"/>
        </w:rPr>
      </w:pPr>
      <w:r w:rsidRPr="0032564F">
        <w:rPr>
          <w:i/>
          <w:sz w:val="22"/>
          <w:szCs w:val="22"/>
          <w:lang w:val="el-GR"/>
        </w:rPr>
        <w:t>Εξάνθημα και αλλεργικές αντιδράσεις:</w:t>
      </w:r>
      <w:r w:rsidRPr="0032564F">
        <w:rPr>
          <w:sz w:val="22"/>
          <w:szCs w:val="22"/>
          <w:lang w:val="el-GR"/>
        </w:rPr>
        <w:t xml:space="preserve"> </w:t>
      </w:r>
    </w:p>
    <w:p w:rsidR="00F16739" w:rsidRPr="0032564F" w:rsidRDefault="00F16739" w:rsidP="00045D24">
      <w:pPr>
        <w:ind w:left="720"/>
        <w:rPr>
          <w:sz w:val="22"/>
          <w:szCs w:val="22"/>
          <w:lang w:val="el-GR"/>
        </w:rPr>
      </w:pPr>
      <w:r w:rsidRPr="0032564F">
        <w:rPr>
          <w:sz w:val="22"/>
          <w:szCs w:val="22"/>
          <w:lang w:val="el-GR"/>
        </w:rPr>
        <w:t>Εξάνθημα, αναφυλακτοειδή συμβάματα και προοδευτικά εξελισσόμενα συστηματικά συμβάματα, μερικές φορές σοβαρά (συμπεριλαμβανομένου του δέρματος, των νεφρών, του ήπατος ή των πνευμόνων) έχουν αναφερθεί. Η χορήγηση της φλουοξετίνης πρέπει να διακόπτεται εάν εμφανιστεί εξάνθημα ή άλλα αλλεργικά φαινόμενα, για τα οποία δεν μπορεί να προσδιοριστεί κάποιος άλλος αιτιολογικός παράγοντας.</w:t>
      </w:r>
    </w:p>
    <w:p w:rsidR="00F16739" w:rsidRPr="0032564F" w:rsidRDefault="00F16739" w:rsidP="00045D24">
      <w:pPr>
        <w:pStyle w:val="a3"/>
        <w:rPr>
          <w:sz w:val="22"/>
          <w:szCs w:val="22"/>
          <w:lang w:val="el-GR"/>
        </w:rPr>
      </w:pPr>
    </w:p>
    <w:p w:rsidR="009B5986" w:rsidRDefault="00F16739" w:rsidP="00045D24">
      <w:pPr>
        <w:ind w:left="720"/>
        <w:rPr>
          <w:i/>
          <w:sz w:val="22"/>
          <w:szCs w:val="22"/>
          <w:lang w:val="el-GR"/>
        </w:rPr>
      </w:pPr>
      <w:r w:rsidRPr="0032564F">
        <w:rPr>
          <w:i/>
          <w:sz w:val="22"/>
          <w:szCs w:val="22"/>
          <w:lang w:val="el-GR"/>
        </w:rPr>
        <w:t xml:space="preserve">Επιληπτικές κρίσεις: </w:t>
      </w:r>
    </w:p>
    <w:p w:rsidR="00F16739" w:rsidRPr="0032564F" w:rsidRDefault="00F16739" w:rsidP="00045D24">
      <w:pPr>
        <w:ind w:left="720"/>
        <w:rPr>
          <w:sz w:val="22"/>
          <w:szCs w:val="22"/>
          <w:lang w:val="el-GR"/>
        </w:rPr>
      </w:pPr>
      <w:r w:rsidRPr="0032564F">
        <w:rPr>
          <w:sz w:val="22"/>
          <w:szCs w:val="22"/>
          <w:lang w:val="el-GR"/>
        </w:rPr>
        <w:t>Οι επιληπτικές κρίσεις είναι ένας πιθανός κίνδυνος της αγωγής με αντικαταθλιπτικά φάρμακα. Επομένως, όπως συμβαίνει με άλλα αντικαταθλιπτικά, η φλουοξετίνη θα πρέπει να ξεκινά με προσοχή σε ασθενείς με ιστορικό εμφάνισης επιληπτικών κρίσεων. Η αγωγή θα πρέπει να διακόπτεται εάν εμφανιστούν επιληπτικές κρίσεις στον ασθενή ή εάν παρατηρηθεί αύξηση στη συχνότητα εμφάνισης αυτών. Η αγωγή με φλουοξετίνη θα πρέπει να αποφεύγεται σε ασθενείς με μη σταθεροποιημένες επιληπτικές διαταραχές/επιληψία, ενώ οι ασθενείς με ελεγχόμενη επιληψία θα πρέπει να παρακολουθούνται προσεκτικά</w:t>
      </w:r>
      <w:r w:rsidR="009B5986">
        <w:rPr>
          <w:sz w:val="22"/>
          <w:szCs w:val="22"/>
          <w:lang w:val="el-GR"/>
        </w:rPr>
        <w:t xml:space="preserve"> </w:t>
      </w:r>
      <w:r w:rsidR="009B5986" w:rsidRPr="009B5986">
        <w:rPr>
          <w:sz w:val="22"/>
          <w:szCs w:val="22"/>
        </w:rPr>
        <w:t>(</w:t>
      </w:r>
      <w:r w:rsidR="009517CE">
        <w:rPr>
          <w:sz w:val="22"/>
          <w:szCs w:val="22"/>
          <w:lang w:val="el-GR"/>
        </w:rPr>
        <w:t>βλ. παράγραφο</w:t>
      </w:r>
      <w:r w:rsidR="009B5986" w:rsidRPr="009B5986">
        <w:rPr>
          <w:sz w:val="22"/>
          <w:szCs w:val="22"/>
        </w:rPr>
        <w:t xml:space="preserve"> 4.5)</w:t>
      </w:r>
      <w:r w:rsidRPr="0032564F">
        <w:rPr>
          <w:sz w:val="22"/>
          <w:szCs w:val="22"/>
          <w:lang w:val="el-GR"/>
        </w:rPr>
        <w:t>.</w:t>
      </w:r>
    </w:p>
    <w:p w:rsidR="009B5986" w:rsidRPr="009B5986" w:rsidRDefault="009B5986" w:rsidP="009B5986">
      <w:pPr>
        <w:rPr>
          <w:sz w:val="22"/>
          <w:szCs w:val="22"/>
        </w:rPr>
      </w:pPr>
    </w:p>
    <w:p w:rsidR="00D66ED9" w:rsidRDefault="00D66ED9" w:rsidP="00D66ED9">
      <w:pPr>
        <w:ind w:left="720"/>
        <w:rPr>
          <w:i/>
          <w:sz w:val="22"/>
          <w:szCs w:val="22"/>
          <w:lang w:val="el-GR"/>
        </w:rPr>
      </w:pPr>
      <w:r w:rsidRPr="0032564F">
        <w:rPr>
          <w:i/>
          <w:sz w:val="22"/>
          <w:szCs w:val="22"/>
          <w:lang w:val="el-GR"/>
        </w:rPr>
        <w:t>Ηλεκτροσπασμοθεραπεία</w:t>
      </w:r>
      <w:r>
        <w:rPr>
          <w:i/>
          <w:sz w:val="22"/>
          <w:szCs w:val="22"/>
          <w:lang w:val="el-GR"/>
        </w:rPr>
        <w:t>:</w:t>
      </w:r>
    </w:p>
    <w:p w:rsidR="00D66ED9" w:rsidRPr="0032564F" w:rsidRDefault="00D66ED9" w:rsidP="00D66ED9">
      <w:pPr>
        <w:ind w:left="720"/>
        <w:rPr>
          <w:sz w:val="22"/>
          <w:szCs w:val="22"/>
          <w:lang w:val="el-GR"/>
        </w:rPr>
      </w:pPr>
      <w:r w:rsidRPr="0032564F">
        <w:rPr>
          <w:sz w:val="22"/>
          <w:szCs w:val="22"/>
          <w:lang w:val="el-GR"/>
        </w:rPr>
        <w:t>Έχουν υπάρξει σπάνιες αναφορές παρατεταμένων σπασμών σε ασθενείς υπό αγωγή με φλουοξετίνη, οι οποίοι υποβλήθηκαν σε ηλεκτροσπασμοθεραπεία, γι’ αυτό απαιτείται προσοχή.</w:t>
      </w:r>
    </w:p>
    <w:p w:rsidR="00F16739" w:rsidRPr="0032564F" w:rsidRDefault="00F16739" w:rsidP="00045D24">
      <w:pPr>
        <w:rPr>
          <w:sz w:val="22"/>
          <w:szCs w:val="22"/>
          <w:lang w:val="el-GR"/>
        </w:rPr>
      </w:pPr>
    </w:p>
    <w:p w:rsidR="009B5986" w:rsidRDefault="00F16739" w:rsidP="00045D24">
      <w:pPr>
        <w:ind w:left="720"/>
        <w:rPr>
          <w:i/>
          <w:sz w:val="22"/>
          <w:szCs w:val="22"/>
          <w:lang w:val="el-GR"/>
        </w:rPr>
      </w:pPr>
      <w:r w:rsidRPr="0032564F">
        <w:rPr>
          <w:i/>
          <w:sz w:val="22"/>
          <w:szCs w:val="22"/>
          <w:lang w:val="el-GR"/>
        </w:rPr>
        <w:t xml:space="preserve">Μανία: </w:t>
      </w:r>
    </w:p>
    <w:p w:rsidR="00F16739" w:rsidRPr="0032564F" w:rsidRDefault="00F16739" w:rsidP="00045D24">
      <w:pPr>
        <w:ind w:left="720"/>
        <w:rPr>
          <w:sz w:val="22"/>
          <w:szCs w:val="22"/>
          <w:lang w:val="el-GR"/>
        </w:rPr>
      </w:pPr>
      <w:r w:rsidRPr="0032564F">
        <w:rPr>
          <w:sz w:val="22"/>
          <w:szCs w:val="22"/>
          <w:lang w:val="el-GR"/>
        </w:rPr>
        <w:t>Απαιτείται προσοχή κατά τη χορήγηση αντικαταθλιπτικών φαρμάκων σε ασθενείς με ιστορικό μανίας/υπομανίας. Όπως συμβαίνει με όλα τα αντικαταθλιπτικά, η αγωγή με φλουοξετίνη θα πρέπει να διακόπτεται σε οποιονδήποτε ασθενή εισέρχεται σε μανιακή φάση.</w:t>
      </w:r>
    </w:p>
    <w:p w:rsidR="00F16739" w:rsidRPr="0032564F" w:rsidRDefault="00F16739" w:rsidP="00045D24">
      <w:pPr>
        <w:rPr>
          <w:sz w:val="22"/>
          <w:szCs w:val="22"/>
          <w:lang w:val="el-GR"/>
        </w:rPr>
      </w:pPr>
    </w:p>
    <w:p w:rsidR="009B5986" w:rsidRDefault="00F16739" w:rsidP="00045D24">
      <w:pPr>
        <w:ind w:left="720"/>
        <w:rPr>
          <w:i/>
          <w:sz w:val="22"/>
          <w:szCs w:val="22"/>
          <w:lang w:val="el-GR"/>
        </w:rPr>
      </w:pPr>
      <w:r w:rsidRPr="0032564F">
        <w:rPr>
          <w:i/>
          <w:sz w:val="22"/>
          <w:szCs w:val="22"/>
          <w:lang w:val="el-GR"/>
        </w:rPr>
        <w:t xml:space="preserve">Ηπατική/ </w:t>
      </w:r>
      <w:r w:rsidR="009B5986">
        <w:rPr>
          <w:i/>
          <w:sz w:val="22"/>
          <w:szCs w:val="22"/>
          <w:lang w:val="el-GR"/>
        </w:rPr>
        <w:t>ν</w:t>
      </w:r>
      <w:r w:rsidRPr="0032564F">
        <w:rPr>
          <w:i/>
          <w:sz w:val="22"/>
          <w:szCs w:val="22"/>
          <w:lang w:val="el-GR"/>
        </w:rPr>
        <w:t xml:space="preserve">εφρική </w:t>
      </w:r>
      <w:r w:rsidR="009B5986">
        <w:rPr>
          <w:i/>
          <w:sz w:val="22"/>
          <w:szCs w:val="22"/>
          <w:lang w:val="el-GR"/>
        </w:rPr>
        <w:t>λ</w:t>
      </w:r>
      <w:r w:rsidRPr="0032564F">
        <w:rPr>
          <w:i/>
          <w:sz w:val="22"/>
          <w:szCs w:val="22"/>
          <w:lang w:val="el-GR"/>
        </w:rPr>
        <w:t xml:space="preserve">ειτουργία: </w:t>
      </w:r>
    </w:p>
    <w:p w:rsidR="00F16739" w:rsidRPr="0032564F" w:rsidRDefault="00F16739" w:rsidP="00045D24">
      <w:pPr>
        <w:ind w:left="720"/>
        <w:rPr>
          <w:sz w:val="22"/>
          <w:szCs w:val="22"/>
          <w:lang w:val="el-GR"/>
        </w:rPr>
      </w:pPr>
      <w:r w:rsidRPr="0032564F">
        <w:rPr>
          <w:sz w:val="22"/>
          <w:szCs w:val="22"/>
        </w:rPr>
        <w:t>H</w:t>
      </w:r>
      <w:r w:rsidRPr="0032564F">
        <w:rPr>
          <w:sz w:val="22"/>
          <w:szCs w:val="22"/>
          <w:lang w:val="el-GR"/>
        </w:rPr>
        <w:t xml:space="preserve"> φλουοξετίνη μεταβολίζεται εκτεταμένα στο ήπαρ και απεκκρίνεται από τους νεφρούς. Μικρότερη δόση, π.χ. η χορήγηση κάθε δεύτερη ημέρα, συνιστάται σε ασθενείς με σημαντική ηπατική δυσλειτουργία. Κατά τη χορήγηση της φλουοξετίνης στη δόση των 20 </w:t>
      </w:r>
      <w:r w:rsidRPr="0032564F">
        <w:rPr>
          <w:sz w:val="22"/>
          <w:szCs w:val="22"/>
        </w:rPr>
        <w:t>mg</w:t>
      </w:r>
      <w:r w:rsidRPr="0032564F">
        <w:rPr>
          <w:sz w:val="22"/>
          <w:szCs w:val="22"/>
          <w:lang w:val="el-GR"/>
        </w:rPr>
        <w:t xml:space="preserve"> ημερησίως για 2 μήνες, σε ασθενείς με σοβαρή νεφρική ανεπάρκεια (</w:t>
      </w:r>
      <w:r w:rsidRPr="0032564F">
        <w:rPr>
          <w:sz w:val="22"/>
          <w:szCs w:val="22"/>
        </w:rPr>
        <w:t>GFR</w:t>
      </w:r>
      <w:r w:rsidRPr="0032564F">
        <w:rPr>
          <w:sz w:val="22"/>
          <w:szCs w:val="22"/>
          <w:lang w:val="el-GR"/>
        </w:rPr>
        <w:t xml:space="preserve"> &lt;</w:t>
      </w:r>
      <w:r w:rsidRPr="0032564F">
        <w:rPr>
          <w:sz w:val="22"/>
          <w:szCs w:val="22"/>
        </w:rPr>
        <w:t> </w:t>
      </w:r>
      <w:r w:rsidRPr="0032564F">
        <w:rPr>
          <w:sz w:val="22"/>
          <w:szCs w:val="22"/>
          <w:lang w:val="el-GR"/>
        </w:rPr>
        <w:t>10</w:t>
      </w:r>
      <w:r w:rsidRPr="0032564F">
        <w:rPr>
          <w:sz w:val="22"/>
          <w:szCs w:val="22"/>
        </w:rPr>
        <w:t> ml</w:t>
      </w:r>
      <w:r w:rsidRPr="0032564F">
        <w:rPr>
          <w:sz w:val="22"/>
          <w:szCs w:val="22"/>
          <w:lang w:val="el-GR"/>
        </w:rPr>
        <w:t>/</w:t>
      </w:r>
      <w:r w:rsidRPr="0032564F">
        <w:rPr>
          <w:sz w:val="22"/>
          <w:szCs w:val="22"/>
        </w:rPr>
        <w:t>min</w:t>
      </w:r>
      <w:r w:rsidRPr="0032564F">
        <w:rPr>
          <w:sz w:val="22"/>
          <w:szCs w:val="22"/>
          <w:lang w:val="el-GR"/>
        </w:rPr>
        <w:t xml:space="preserve">), οι οποίοι πρέπει να υποβάλλονται σε αιμοκάθαρση, δεν παρατηρήθηκαν διαφορές στα επίπεδα της φλουοξετίνης ή της νορφλουοξετίνης </w:t>
      </w:r>
      <w:r w:rsidRPr="0032564F">
        <w:rPr>
          <w:sz w:val="22"/>
          <w:szCs w:val="22"/>
          <w:lang w:val="el-GR"/>
        </w:rPr>
        <w:lastRenderedPageBreak/>
        <w:t>στο πλάσμα, σε σύγκριση με τις αντίστοιχες τιμές των ατόμων της ομάδας ελέγχου, με φυσιολογική νεφρική λειτουργία.</w:t>
      </w:r>
    </w:p>
    <w:p w:rsidR="00386E96" w:rsidRDefault="00386E96" w:rsidP="00386E96">
      <w:pPr>
        <w:ind w:firstLine="720"/>
        <w:rPr>
          <w:i/>
          <w:sz w:val="22"/>
          <w:szCs w:val="22"/>
          <w:lang w:val="el-GR"/>
        </w:rPr>
      </w:pPr>
    </w:p>
    <w:p w:rsidR="00386E96" w:rsidRDefault="00F204E1" w:rsidP="00386E96">
      <w:pPr>
        <w:ind w:firstLine="720"/>
        <w:rPr>
          <w:sz w:val="22"/>
          <w:szCs w:val="22"/>
          <w:lang w:val="el-GR"/>
        </w:rPr>
      </w:pPr>
      <w:r w:rsidRPr="0032564F">
        <w:rPr>
          <w:i/>
          <w:sz w:val="22"/>
          <w:szCs w:val="22"/>
          <w:lang w:val="el-GR"/>
        </w:rPr>
        <w:t>Ταμοξιφαίνη:</w:t>
      </w:r>
      <w:r w:rsidRPr="0032564F">
        <w:rPr>
          <w:sz w:val="22"/>
          <w:szCs w:val="22"/>
          <w:lang w:val="el-GR"/>
        </w:rPr>
        <w:t xml:space="preserve"> </w:t>
      </w:r>
    </w:p>
    <w:p w:rsidR="004B0464" w:rsidRPr="00045D24" w:rsidRDefault="00F204E1" w:rsidP="00386E96">
      <w:pPr>
        <w:ind w:left="709"/>
        <w:rPr>
          <w:sz w:val="22"/>
          <w:szCs w:val="22"/>
          <w:lang w:val="el-GR"/>
        </w:rPr>
      </w:pPr>
      <w:r w:rsidRPr="0032564F">
        <w:rPr>
          <w:sz w:val="22"/>
          <w:szCs w:val="22"/>
          <w:lang w:val="el-GR"/>
        </w:rPr>
        <w:t xml:space="preserve">Η φλουοξετίνη, ένας ισχυρός αναστολέας του </w:t>
      </w:r>
      <w:r w:rsidR="004B0464" w:rsidRPr="0032564F">
        <w:rPr>
          <w:sz w:val="22"/>
          <w:szCs w:val="22"/>
        </w:rPr>
        <w:t>CYP</w:t>
      </w:r>
      <w:r w:rsidR="004B0464" w:rsidRPr="00045D24">
        <w:rPr>
          <w:sz w:val="22"/>
          <w:szCs w:val="22"/>
          <w:lang w:val="el-GR"/>
        </w:rPr>
        <w:t>2</w:t>
      </w:r>
      <w:r w:rsidR="004B0464" w:rsidRPr="0032564F">
        <w:rPr>
          <w:sz w:val="22"/>
          <w:szCs w:val="22"/>
        </w:rPr>
        <w:t>D</w:t>
      </w:r>
      <w:r w:rsidR="004B0464" w:rsidRPr="00045D24">
        <w:rPr>
          <w:sz w:val="22"/>
          <w:szCs w:val="22"/>
          <w:lang w:val="el-GR"/>
        </w:rPr>
        <w:t xml:space="preserve">6, </w:t>
      </w:r>
      <w:r w:rsidRPr="0032564F">
        <w:rPr>
          <w:sz w:val="22"/>
          <w:szCs w:val="22"/>
          <w:lang w:val="el-GR"/>
        </w:rPr>
        <w:t>μπορεί να οδηγήσει σε μειωμένες συγκεντρώσεις ενδοξιφαίνης, ενός από του</w:t>
      </w:r>
      <w:r w:rsidR="003C4FA4">
        <w:rPr>
          <w:sz w:val="22"/>
          <w:szCs w:val="22"/>
          <w:lang w:val="el-GR"/>
        </w:rPr>
        <w:t>ς</w:t>
      </w:r>
      <w:r w:rsidRPr="0032564F">
        <w:rPr>
          <w:sz w:val="22"/>
          <w:szCs w:val="22"/>
          <w:lang w:val="el-GR"/>
        </w:rPr>
        <w:t xml:space="preserve"> πλέον </w:t>
      </w:r>
      <w:r w:rsidR="00E12547">
        <w:rPr>
          <w:sz w:val="22"/>
          <w:szCs w:val="22"/>
          <w:lang w:val="el-GR"/>
        </w:rPr>
        <w:t>δραστικούς</w:t>
      </w:r>
      <w:r w:rsidRPr="0032564F">
        <w:rPr>
          <w:sz w:val="22"/>
          <w:szCs w:val="22"/>
          <w:lang w:val="el-GR"/>
        </w:rPr>
        <w:t xml:space="preserve"> μεταβολίτες της ταμοξιφαίνης. Για το λόγο αυτό, θα πρέπει όπου αυτό είναι δυνατό, να αποφεύγεται η φλουοξετίνη κατά τη δι</w:t>
      </w:r>
      <w:r w:rsidR="003C4FA4">
        <w:rPr>
          <w:sz w:val="22"/>
          <w:szCs w:val="22"/>
          <w:lang w:val="el-GR"/>
        </w:rPr>
        <w:t>ά</w:t>
      </w:r>
      <w:r w:rsidRPr="0032564F">
        <w:rPr>
          <w:sz w:val="22"/>
          <w:szCs w:val="22"/>
          <w:lang w:val="el-GR"/>
        </w:rPr>
        <w:t xml:space="preserve">ρκεια της αγωγής με την ταμοξιφαίνη (βλ. παράγραφο </w:t>
      </w:r>
      <w:r w:rsidR="004B0464" w:rsidRPr="00045D24">
        <w:rPr>
          <w:sz w:val="22"/>
          <w:szCs w:val="22"/>
          <w:lang w:val="el-GR"/>
        </w:rPr>
        <w:t>4.5).</w:t>
      </w:r>
    </w:p>
    <w:p w:rsidR="00F16739" w:rsidRPr="00045D24" w:rsidRDefault="00F16739" w:rsidP="00045D24">
      <w:pPr>
        <w:rPr>
          <w:sz w:val="22"/>
          <w:szCs w:val="22"/>
          <w:lang w:val="el-GR"/>
        </w:rPr>
      </w:pPr>
    </w:p>
    <w:p w:rsidR="00386E96" w:rsidRPr="009B7D6B" w:rsidRDefault="002D37BD" w:rsidP="002D37BD">
      <w:pPr>
        <w:pStyle w:val="MGGTextLeft"/>
        <w:ind w:left="709"/>
        <w:rPr>
          <w:i/>
          <w:sz w:val="22"/>
          <w:szCs w:val="22"/>
          <w:lang w:val="el-GR"/>
        </w:rPr>
      </w:pPr>
      <w:r w:rsidRPr="009B7D6B">
        <w:rPr>
          <w:i/>
          <w:sz w:val="22"/>
          <w:szCs w:val="22"/>
        </w:rPr>
        <w:t xml:space="preserve">Καρδιαγγειακές επιδράσεις: </w:t>
      </w:r>
    </w:p>
    <w:p w:rsidR="002D37BD" w:rsidRPr="002D37BD" w:rsidRDefault="002D37BD" w:rsidP="002D37BD">
      <w:pPr>
        <w:pStyle w:val="MGGTextLeft"/>
        <w:ind w:left="709"/>
        <w:rPr>
          <w:sz w:val="22"/>
          <w:szCs w:val="22"/>
        </w:rPr>
      </w:pPr>
      <w:r w:rsidRPr="002D37BD">
        <w:rPr>
          <w:sz w:val="22"/>
          <w:szCs w:val="22"/>
        </w:rPr>
        <w:t>Έχουν αναφερθεί περιστατικά παράτασης του διαστήματος QT και κοιλιακή αρρυθμία συμπεριλαμβανομένης κοιλιακής ταχυκαρδίας δίκην ριπιδίου (torsade de pointes) κατά την περίοδο μετά από την κυκλοφορία του φαρμάκου (βλ. παραγράφους 4.5, 4.8 και 4.9).</w:t>
      </w:r>
    </w:p>
    <w:p w:rsidR="002D37BD" w:rsidRPr="002D37BD" w:rsidRDefault="002D37BD" w:rsidP="002D37BD">
      <w:pPr>
        <w:pStyle w:val="MGGTextLeft"/>
        <w:ind w:left="709"/>
        <w:rPr>
          <w:sz w:val="22"/>
          <w:szCs w:val="22"/>
        </w:rPr>
      </w:pPr>
    </w:p>
    <w:p w:rsidR="002D37BD" w:rsidRPr="002D37BD" w:rsidRDefault="002D37BD" w:rsidP="002D37BD">
      <w:pPr>
        <w:pStyle w:val="MGGTextLeft"/>
        <w:ind w:left="709"/>
        <w:rPr>
          <w:sz w:val="22"/>
          <w:szCs w:val="22"/>
        </w:rPr>
      </w:pPr>
      <w:r w:rsidRPr="002D37BD">
        <w:rPr>
          <w:sz w:val="22"/>
          <w:szCs w:val="22"/>
        </w:rPr>
        <w:t xml:space="preserve">Η φλουοξετίνη θα πρέπει να χρησιμοποιείται με προσοχή σε ασθενείς με καταστάσεις όπως συγγενές σύνδρομο παρατεταμμένου διαστήματος QT, οικογενειακό ιστορικό παράτασης του διαστήματος QT ή άλλες </w:t>
      </w:r>
      <w:r w:rsidR="002F3EE1">
        <w:rPr>
          <w:sz w:val="22"/>
          <w:szCs w:val="22"/>
          <w:lang w:val="el-GR"/>
        </w:rPr>
        <w:t xml:space="preserve">κλινικές </w:t>
      </w:r>
      <w:r w:rsidRPr="002D37BD">
        <w:rPr>
          <w:sz w:val="22"/>
          <w:szCs w:val="22"/>
        </w:rPr>
        <w:t>καταστάσεις που προδιαθέτουν σε αρρυθμίες (π.χ. υποκαλιαιμία, υπομαγνησιαιμία, βραδυκαρδία, οξύ έμφραγμα του μυοκαρδίου ή μη αντιρροπούμενη καρδιακή ανεπάρκεια) ή σε αυξημένη έκθεση στη φλουοξετίνη (π.χ. ηπατική δυσλειτουργία).</w:t>
      </w:r>
    </w:p>
    <w:p w:rsidR="002D37BD" w:rsidRPr="002D37BD" w:rsidRDefault="002D37BD" w:rsidP="002D37BD">
      <w:pPr>
        <w:pStyle w:val="MGGTextLeft"/>
        <w:ind w:left="709"/>
        <w:rPr>
          <w:sz w:val="22"/>
          <w:szCs w:val="22"/>
        </w:rPr>
      </w:pPr>
    </w:p>
    <w:p w:rsidR="007C2A68" w:rsidRPr="00CD257B" w:rsidRDefault="002D37BD" w:rsidP="002D37BD">
      <w:pPr>
        <w:pStyle w:val="MGGTextLeft"/>
        <w:ind w:left="709"/>
        <w:rPr>
          <w:sz w:val="22"/>
          <w:szCs w:val="22"/>
        </w:rPr>
      </w:pPr>
      <w:r w:rsidRPr="002D37BD">
        <w:rPr>
          <w:sz w:val="22"/>
          <w:szCs w:val="22"/>
        </w:rPr>
        <w:t>Εάν χορηγείται αγωγή σε ασθενείς με σταθεροποιημένη καρδιοπάθεια, θα πρέπει να εξετάζεται το ενδεχόμενο εκτίμησης με ΗΚΓ πριν από την έναρξη της θεραπείας. Εάν εμφανιστούν σημεία καρδιακής αρρυθμίας κατά τη διάρκεια της θεραπείας με φλουοξετίνη, θα πρέπει να αποσύρεται η θεραπεία και να διενεργείται ΗΚΓ.</w:t>
      </w:r>
    </w:p>
    <w:p w:rsidR="00F16739" w:rsidRPr="0032564F" w:rsidRDefault="00F16739" w:rsidP="00045D24">
      <w:pPr>
        <w:rPr>
          <w:sz w:val="22"/>
          <w:szCs w:val="22"/>
          <w:lang w:val="el-GR"/>
        </w:rPr>
      </w:pPr>
    </w:p>
    <w:p w:rsidR="00386E96" w:rsidRDefault="00F16739" w:rsidP="00045D24">
      <w:pPr>
        <w:ind w:left="720"/>
        <w:rPr>
          <w:i/>
          <w:sz w:val="22"/>
          <w:szCs w:val="22"/>
          <w:lang w:val="el-GR"/>
        </w:rPr>
      </w:pPr>
      <w:r w:rsidRPr="0032564F">
        <w:rPr>
          <w:i/>
          <w:sz w:val="22"/>
          <w:szCs w:val="22"/>
          <w:lang w:val="el-GR"/>
        </w:rPr>
        <w:t xml:space="preserve">Απώλεια βάρους: </w:t>
      </w:r>
    </w:p>
    <w:p w:rsidR="00F16739" w:rsidRPr="0032564F" w:rsidRDefault="00F16739" w:rsidP="00045D24">
      <w:pPr>
        <w:ind w:left="720"/>
        <w:rPr>
          <w:sz w:val="22"/>
          <w:szCs w:val="22"/>
          <w:lang w:val="el-GR"/>
        </w:rPr>
      </w:pPr>
      <w:r w:rsidRPr="0032564F">
        <w:rPr>
          <w:sz w:val="22"/>
          <w:szCs w:val="22"/>
          <w:lang w:val="el-GR"/>
        </w:rPr>
        <w:t>Απώλεια βάρους ενδέχεται να εμφανιστεί σε ασθενείς, οι οποίοι λαμβάνουν θεραπεία με φλουοξετίνη, αλλά αυτή είναι συνήθως ανάλογη του αρχικού βάρους σώματος.</w:t>
      </w:r>
    </w:p>
    <w:p w:rsidR="00F16739" w:rsidRPr="0032564F" w:rsidRDefault="00F16739" w:rsidP="00045D24">
      <w:pPr>
        <w:rPr>
          <w:sz w:val="22"/>
          <w:szCs w:val="22"/>
          <w:lang w:val="el-GR"/>
        </w:rPr>
      </w:pPr>
    </w:p>
    <w:p w:rsidR="00386E96" w:rsidRDefault="00F16739" w:rsidP="00045D24">
      <w:pPr>
        <w:ind w:left="720"/>
        <w:rPr>
          <w:sz w:val="22"/>
          <w:szCs w:val="22"/>
          <w:lang w:val="el-GR"/>
        </w:rPr>
      </w:pPr>
      <w:r w:rsidRPr="0032564F">
        <w:rPr>
          <w:i/>
          <w:sz w:val="22"/>
          <w:szCs w:val="22"/>
          <w:lang w:val="el-GR"/>
        </w:rPr>
        <w:t xml:space="preserve">Σακχαρώδης </w:t>
      </w:r>
      <w:r w:rsidR="00386E96">
        <w:rPr>
          <w:i/>
          <w:sz w:val="22"/>
          <w:szCs w:val="22"/>
          <w:lang w:val="el-GR"/>
        </w:rPr>
        <w:t>δ</w:t>
      </w:r>
      <w:r w:rsidRPr="0032564F">
        <w:rPr>
          <w:i/>
          <w:sz w:val="22"/>
          <w:szCs w:val="22"/>
          <w:lang w:val="el-GR"/>
        </w:rPr>
        <w:t>ιαβήτης:</w:t>
      </w:r>
      <w:r w:rsidRPr="0032564F">
        <w:rPr>
          <w:sz w:val="22"/>
          <w:szCs w:val="22"/>
          <w:lang w:val="el-GR"/>
        </w:rPr>
        <w:t xml:space="preserve"> </w:t>
      </w:r>
    </w:p>
    <w:p w:rsidR="00F16739" w:rsidRPr="0032564F" w:rsidRDefault="00F16739" w:rsidP="00045D24">
      <w:pPr>
        <w:ind w:left="720"/>
        <w:rPr>
          <w:sz w:val="22"/>
          <w:szCs w:val="22"/>
          <w:lang w:val="el-GR"/>
        </w:rPr>
      </w:pPr>
      <w:r w:rsidRPr="0032564F">
        <w:rPr>
          <w:sz w:val="22"/>
          <w:szCs w:val="22"/>
          <w:lang w:val="el-GR"/>
        </w:rPr>
        <w:t>Σε ασθενείς με σακχαρώδη διαβήτη, η θεραπεία με έναν εκλεκτικό αναστολέα επαναπρόσληψης της σεροτονίνης (</w:t>
      </w:r>
      <w:r w:rsidRPr="0032564F">
        <w:rPr>
          <w:sz w:val="22"/>
          <w:szCs w:val="22"/>
        </w:rPr>
        <w:t>SSRI</w:t>
      </w:r>
      <w:r w:rsidRPr="0032564F">
        <w:rPr>
          <w:sz w:val="22"/>
          <w:szCs w:val="22"/>
          <w:lang w:val="el-GR"/>
        </w:rPr>
        <w:t>) είναι πιθανό να μεταβάλλει το γλυκαιμικό έλεγχο. Υπογλυκαιμία έχει παρατηρηθεί κατά τη διάρκεια αγωγής με φλουοξετίνη και υπεργλυκαιμία μετά τη διακοπή της λήψης του φαρμάκου. Η δοσολογία της ινσουλίνης ή/και των από του στόματος υπογλυκαιμικών παραγόντων ενδέχεται να απαιτεί αναπροσαρμογή.</w:t>
      </w:r>
    </w:p>
    <w:p w:rsidR="00F16739" w:rsidRPr="0032564F" w:rsidRDefault="00F16739" w:rsidP="00045D24">
      <w:pPr>
        <w:pStyle w:val="9"/>
        <w:ind w:left="720" w:hanging="720"/>
      </w:pPr>
    </w:p>
    <w:p w:rsidR="00386E96" w:rsidRDefault="00F16739" w:rsidP="00045D24">
      <w:pPr>
        <w:ind w:left="720"/>
        <w:rPr>
          <w:sz w:val="22"/>
          <w:szCs w:val="22"/>
          <w:lang w:val="el-GR"/>
        </w:rPr>
      </w:pPr>
      <w:r w:rsidRPr="0032564F">
        <w:rPr>
          <w:i/>
          <w:sz w:val="22"/>
          <w:szCs w:val="22"/>
          <w:lang w:val="el-GR"/>
        </w:rPr>
        <w:t>Αυτοκτονία/ αυτοκτονικές σκέψεις ή κλινική επιδείνωση:</w:t>
      </w:r>
      <w:r w:rsidRPr="0032564F">
        <w:rPr>
          <w:sz w:val="22"/>
          <w:szCs w:val="22"/>
          <w:lang w:val="el-GR"/>
        </w:rPr>
        <w:t xml:space="preserve"> </w:t>
      </w:r>
    </w:p>
    <w:p w:rsidR="00F16739" w:rsidRPr="0032564F" w:rsidRDefault="00F16739" w:rsidP="00045D24">
      <w:pPr>
        <w:ind w:left="720"/>
        <w:rPr>
          <w:sz w:val="22"/>
          <w:szCs w:val="22"/>
          <w:lang w:val="el-GR"/>
        </w:rPr>
      </w:pPr>
      <w:r w:rsidRPr="0032564F">
        <w:rPr>
          <w:sz w:val="22"/>
          <w:szCs w:val="22"/>
          <w:lang w:val="el-GR"/>
        </w:rPr>
        <w:t>Η κατάθλιψη συσχετίζεται με αυξημένο κίνδυνο αυτοκτονικών σκέψεων, βλάβης του εαυτού και αυτοκτονίας (συμβάματα που σχετίζονται με αυτοκτονία). Ο κίνδυνος αυτός εμμένει μέχρι την εμφάνιση σημαντικής ύφεσης. Αφού η κλινική βελτίωση είναι πιθανόν να μην παρατηρηθεί κατά τη διάρκεια των λίγων πρώτων εβδομάδων ή περισσότερο της αγωγής, οι ασθενείς θα πρέπει να παρακολουθούνται στενά μέχρι την εμφάνιση μίας τέτοιας βελτίωσης. Είναι γενική κλινική εμπειρία ότι ο κίνδυνος για αυτοκτονία πιθανά αυξάνει στα πρώιμα στάδια της ύφεσης.</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 xml:space="preserve">Άλλες ψυχιατρικές καταστάσεις για τις οποίες η φλουοξετίνη συνταγογραφείται είναι πιθανό επίσης να σχετίζονται με αυξημένο κίνδυνο για συμβάματα σχετιζόμενα με αυτοκτονία. Επιπλέον, οι καταστάσεις αυτές μπορεί να συνυπάρχουν με μείζονα καταθλιπτική διαταραχή. Οι ίδιες προφυλάξεις που αναφέρθηκαν για τη θεραπεία ασθενών με μείζονα καταθλιπτική διαταραχή θα πρέπει για το λόγο αυτό να </w:t>
      </w:r>
      <w:r w:rsidRPr="0032564F">
        <w:rPr>
          <w:sz w:val="22"/>
          <w:szCs w:val="22"/>
          <w:lang w:val="el-GR"/>
        </w:rPr>
        <w:lastRenderedPageBreak/>
        <w:t>ακολουθούνται και κατά την αντιμετώπιση ασθενών με άλλες ψυχιατρικές διαταραχές.</w:t>
      </w:r>
    </w:p>
    <w:p w:rsidR="00F16739" w:rsidRPr="0032564F" w:rsidRDefault="00F16739" w:rsidP="00045D24">
      <w:pPr>
        <w:rPr>
          <w:sz w:val="22"/>
          <w:szCs w:val="22"/>
          <w:lang w:val="el-GR"/>
        </w:rPr>
      </w:pPr>
    </w:p>
    <w:p w:rsidR="00F16739" w:rsidRPr="0032564F" w:rsidRDefault="00F16739" w:rsidP="00045D24">
      <w:pPr>
        <w:ind w:left="720"/>
        <w:rPr>
          <w:sz w:val="22"/>
          <w:szCs w:val="22"/>
          <w:lang w:val="el-GR"/>
        </w:rPr>
      </w:pPr>
      <w:r w:rsidRPr="0032564F">
        <w:rPr>
          <w:sz w:val="22"/>
          <w:szCs w:val="22"/>
          <w:lang w:val="el-GR"/>
        </w:rPr>
        <w:t>Οι ασθενείς με αναμνηστικό συμβαμάτων που σχετίζονται με αυτοκτονία, ή εκείνοι που εκδηλώνουν σημαντικό βαθμό αυτοκτονικού ιδεασμού προ της εισαγωγής σε θεραπεία, ευρίσκονται σε μεγαλύτερο κίνδυνο για αυτοκτονικές σκέψεις ή απόπειρες αυτοκτονίας, και θα πρέπει να παρακολουθούνται στενά κατά τη διάρκεια της αγωγής. Μια μετα-ανάλυση ελεγχόμενων με εικονικό φάρμακο (</w:t>
      </w:r>
      <w:r w:rsidRPr="0032564F">
        <w:rPr>
          <w:sz w:val="22"/>
          <w:szCs w:val="22"/>
        </w:rPr>
        <w:t>placebo</w:t>
      </w:r>
      <w:r w:rsidRPr="0032564F">
        <w:rPr>
          <w:sz w:val="22"/>
          <w:szCs w:val="22"/>
          <w:lang w:val="el-GR"/>
        </w:rPr>
        <w:t>) κλινικών μελετών κατά τις οποίες χορηγήθηκαν αντικαταθλιπτικά, σε ενήλικες ασθενείς με ψυχιατρικές διαταραχές, κατέδειξε αυξημένο κίνδυνο αυτοκτονικής συμπεριφοράς στην περίπτωση που χορηγήθηκαν αντικαταθλιπτικά συγκριτικά με το εικονικό φάρμακο (</w:t>
      </w:r>
      <w:r w:rsidRPr="0032564F">
        <w:rPr>
          <w:sz w:val="22"/>
          <w:szCs w:val="22"/>
        </w:rPr>
        <w:t>placebo</w:t>
      </w:r>
      <w:r w:rsidRPr="0032564F">
        <w:rPr>
          <w:sz w:val="22"/>
          <w:szCs w:val="22"/>
          <w:lang w:val="el-GR"/>
        </w:rPr>
        <w:t>) στους ασθενείς ηλικίας κάτω των 25 ετών.</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Η φαρμακευτική θεραπευτική αγωγή θα πρέπει να συνοδεύεται από στενή παρακολούθηση των ασθενών και ως επί τω πλείστον εκείνων που διατρέχουν αυξημένο κίνδυνο και ιδιαίτερα κατά τα πρώιμα στάδια της θεραπείας και έπειτα από κάθε μεταβολή στη δοσολογία. Οι ασθενείς (και οι περιθάλποντες) θα πρέπει να γνωρίζουν για την ανάγκη προσεκτικής παρακολούθησης για την εμφάνιση κλινικής επιδείνωσης, αυτοκτονικής συμπεριφοράς ή σκέψεων και μη φυσιολογικών αλλαγών στην συμπεριφορά και θα πρέπει να αναζητούν ιατρική συμβουλή άμεσα εάν παρουσιαστούν τα συμπτώματα αυτά.</w:t>
      </w:r>
    </w:p>
    <w:p w:rsidR="00F16739" w:rsidRPr="0032564F" w:rsidRDefault="00F16739" w:rsidP="00045D24">
      <w:pPr>
        <w:pStyle w:val="9"/>
        <w:ind w:left="720" w:hanging="720"/>
      </w:pPr>
    </w:p>
    <w:p w:rsidR="00386E96" w:rsidRDefault="00F16739" w:rsidP="00045D24">
      <w:pPr>
        <w:pStyle w:val="9"/>
        <w:ind w:left="720"/>
        <w:rPr>
          <w:b w:val="0"/>
          <w:i w:val="0"/>
        </w:rPr>
      </w:pPr>
      <w:r w:rsidRPr="0032564F">
        <w:rPr>
          <w:b w:val="0"/>
        </w:rPr>
        <w:t>Ακαθησία/ ψυχοκινητική ανησυχία:</w:t>
      </w:r>
      <w:r w:rsidRPr="0032564F">
        <w:rPr>
          <w:b w:val="0"/>
          <w:i w:val="0"/>
        </w:rPr>
        <w:t xml:space="preserve"> </w:t>
      </w:r>
    </w:p>
    <w:p w:rsidR="00F16739" w:rsidRPr="0032564F" w:rsidRDefault="00F16739" w:rsidP="00045D24">
      <w:pPr>
        <w:pStyle w:val="9"/>
        <w:ind w:left="720"/>
        <w:rPr>
          <w:b w:val="0"/>
          <w:i w:val="0"/>
        </w:rPr>
      </w:pPr>
      <w:r w:rsidRPr="0032564F">
        <w:rPr>
          <w:b w:val="0"/>
          <w:i w:val="0"/>
        </w:rPr>
        <w:t xml:space="preserve">Η χρήση της φλουοξετίνης έχει συσχετισθεί με την ανάπτυξη ακαθησίας, η οποία χαρακτηρίζεται από ένα αίσθημα ανησυχίας το οποίο είναι για το άτομο αρκετά ή πολύ δυσάρεστο και από την ανάγκη να κινείται κανείς συχνά, η οποία συνοδεύεται από αδυναμία να σταθεί κανείς χωρίς να κινείται σε όρθια ή καθιστή θέση. Αυτό είναι πιθανότερο να παρατηρηθεί εντός των λίγων πρώτων εβδομάδων της αγωγής. Στους ασθενείς που εμφανίζουν τα συμπτώματα αυτά, η αύξηση της δόσης μπορεί να είναι επιβλαβής. </w:t>
      </w:r>
    </w:p>
    <w:p w:rsidR="00F16739" w:rsidRPr="0032564F" w:rsidRDefault="00F16739" w:rsidP="00045D24">
      <w:pPr>
        <w:rPr>
          <w:sz w:val="22"/>
          <w:szCs w:val="22"/>
          <w:lang w:val="el-GR"/>
        </w:rPr>
      </w:pPr>
    </w:p>
    <w:p w:rsidR="00386E96" w:rsidRDefault="00F16739" w:rsidP="00045D24">
      <w:pPr>
        <w:ind w:left="720"/>
        <w:rPr>
          <w:b/>
          <w:bCs/>
          <w:i/>
          <w:sz w:val="22"/>
          <w:szCs w:val="22"/>
          <w:lang w:val="el-GR"/>
        </w:rPr>
      </w:pPr>
      <w:r w:rsidRPr="0032564F">
        <w:rPr>
          <w:bCs/>
          <w:i/>
          <w:sz w:val="22"/>
          <w:szCs w:val="22"/>
          <w:lang w:val="el-GR"/>
        </w:rPr>
        <w:t xml:space="preserve">Συμπτώματα απόσυρσης που παρατηρούνται κατά τη διακοπή της θεραπείας με </w:t>
      </w:r>
      <w:r w:rsidRPr="0032564F">
        <w:rPr>
          <w:i/>
          <w:sz w:val="22"/>
          <w:szCs w:val="22"/>
          <w:lang w:val="el-GR"/>
        </w:rPr>
        <w:t>εκλεκτικούς αναστολείς επαναπρόσληψης της σεροτονίνης</w:t>
      </w:r>
      <w:r w:rsidRPr="0032564F">
        <w:rPr>
          <w:sz w:val="22"/>
          <w:szCs w:val="22"/>
          <w:lang w:val="el-GR"/>
        </w:rPr>
        <w:t xml:space="preserve"> (</w:t>
      </w:r>
      <w:r w:rsidRPr="0032564F">
        <w:rPr>
          <w:bCs/>
          <w:i/>
          <w:sz w:val="22"/>
          <w:szCs w:val="22"/>
        </w:rPr>
        <w:t>SSRIs</w:t>
      </w:r>
      <w:r w:rsidRPr="0032564F">
        <w:rPr>
          <w:bCs/>
          <w:i/>
          <w:sz w:val="22"/>
          <w:szCs w:val="22"/>
          <w:lang w:val="el-GR"/>
        </w:rPr>
        <w:t>):</w:t>
      </w:r>
      <w:r w:rsidRPr="0032564F">
        <w:rPr>
          <w:b/>
          <w:bCs/>
          <w:i/>
          <w:sz w:val="22"/>
          <w:szCs w:val="22"/>
          <w:lang w:val="el-GR"/>
        </w:rPr>
        <w:t xml:space="preserve"> </w:t>
      </w:r>
    </w:p>
    <w:p w:rsidR="00F16739" w:rsidRPr="0032564F" w:rsidRDefault="00F16739" w:rsidP="00045D24">
      <w:pPr>
        <w:ind w:left="720"/>
        <w:rPr>
          <w:sz w:val="22"/>
          <w:szCs w:val="22"/>
          <w:lang w:val="el-GR"/>
        </w:rPr>
      </w:pPr>
      <w:r w:rsidRPr="0032564F">
        <w:rPr>
          <w:sz w:val="22"/>
          <w:szCs w:val="22"/>
          <w:lang w:val="el-GR"/>
        </w:rPr>
        <w:t>Τα συμπτώματα απόσυρσης είναι συχνά όταν διακόπτεται η αγωγή, ιδιαιτέρως όταν η θεραπεία διακοπεί αιφνιδίως (</w:t>
      </w:r>
      <w:r w:rsidR="006A6C86">
        <w:rPr>
          <w:sz w:val="22"/>
          <w:szCs w:val="22"/>
          <w:lang w:val="el-GR"/>
        </w:rPr>
        <w:t xml:space="preserve">βλ. </w:t>
      </w:r>
      <w:r w:rsidRPr="0032564F">
        <w:rPr>
          <w:sz w:val="22"/>
          <w:szCs w:val="22"/>
          <w:lang w:val="el-GR"/>
        </w:rPr>
        <w:t>παράγραφο 4.8). Στις κλινικές μελέτες, ανεπιθύμητ</w:t>
      </w:r>
      <w:r w:rsidR="00F965B9">
        <w:rPr>
          <w:sz w:val="22"/>
          <w:szCs w:val="22"/>
          <w:lang w:val="el-GR"/>
        </w:rPr>
        <w:t>α</w:t>
      </w:r>
      <w:r w:rsidRPr="0032564F">
        <w:rPr>
          <w:sz w:val="22"/>
          <w:szCs w:val="22"/>
          <w:lang w:val="el-GR"/>
        </w:rPr>
        <w:t xml:space="preserve"> </w:t>
      </w:r>
      <w:r w:rsidR="00F965B9">
        <w:rPr>
          <w:sz w:val="22"/>
          <w:szCs w:val="22"/>
          <w:lang w:val="el-GR"/>
        </w:rPr>
        <w:t>συμβάντα</w:t>
      </w:r>
      <w:r w:rsidR="00F965B9" w:rsidRPr="0032564F">
        <w:rPr>
          <w:sz w:val="22"/>
          <w:szCs w:val="22"/>
          <w:lang w:val="el-GR"/>
        </w:rPr>
        <w:t xml:space="preserve"> </w:t>
      </w:r>
      <w:r w:rsidRPr="0032564F">
        <w:rPr>
          <w:sz w:val="22"/>
          <w:szCs w:val="22"/>
          <w:lang w:val="el-GR"/>
        </w:rPr>
        <w:t xml:space="preserve">μετά τη διακοπή της θεραπείας παρατηρήθηκαν περίπου στο 60% των ασθενών που έλαβαν αγωγή είτε με φλουοξετίνη είτε με </w:t>
      </w:r>
      <w:r w:rsidRPr="0032564F">
        <w:rPr>
          <w:sz w:val="22"/>
          <w:szCs w:val="22"/>
        </w:rPr>
        <w:t>placebo</w:t>
      </w:r>
      <w:r w:rsidRPr="0032564F">
        <w:rPr>
          <w:sz w:val="22"/>
          <w:szCs w:val="22"/>
          <w:lang w:val="el-GR"/>
        </w:rPr>
        <w:t xml:space="preserve">. </w:t>
      </w:r>
      <w:r w:rsidR="00F965B9">
        <w:rPr>
          <w:sz w:val="22"/>
          <w:szCs w:val="22"/>
          <w:lang w:val="el-GR"/>
        </w:rPr>
        <w:t>Αυτά τα ανεπιθύμητα συμβάντα</w:t>
      </w:r>
      <w:r w:rsidRPr="0032564F">
        <w:rPr>
          <w:sz w:val="22"/>
          <w:szCs w:val="22"/>
          <w:lang w:val="el-GR"/>
        </w:rPr>
        <w:t xml:space="preserve"> ήταν σοβαρ</w:t>
      </w:r>
      <w:r w:rsidR="00F965B9">
        <w:rPr>
          <w:sz w:val="22"/>
          <w:szCs w:val="22"/>
          <w:lang w:val="el-GR"/>
        </w:rPr>
        <w:t>ά</w:t>
      </w:r>
      <w:r w:rsidRPr="0032564F">
        <w:rPr>
          <w:sz w:val="22"/>
          <w:szCs w:val="22"/>
          <w:lang w:val="el-GR"/>
        </w:rPr>
        <w:t xml:space="preserve"> στο 17% στην ομάδα υπό φλουοξετίνη και στο 12% στην ομάδα υπό αγωγή με το </w:t>
      </w:r>
      <w:r w:rsidRPr="0032564F">
        <w:rPr>
          <w:sz w:val="22"/>
          <w:szCs w:val="22"/>
        </w:rPr>
        <w:t>placebo</w:t>
      </w:r>
      <w:r w:rsidRPr="0032564F">
        <w:rPr>
          <w:sz w:val="22"/>
          <w:szCs w:val="22"/>
          <w:lang w:val="el-GR"/>
        </w:rPr>
        <w:t>.</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sz w:val="22"/>
          <w:szCs w:val="22"/>
          <w:lang w:val="el-GR"/>
        </w:rPr>
        <w:t>Ο κίνδυνος εμφάνισης συμπτωμάτων απόσυρσης μπορεί να εξαρτάται από αρκετούς παράγοντες όπως η διάρκεια και η δόση της αγωγής καθώς και ο ρυθμός μείωσης της δόσης. Στα πλέον συνήθη συμπτώματα περιλαμβάνονται: ζάλη, διαταραχές αισθητικότητας (συμπεριλαμβανομένης της παραισθησίας), διαταραχές του ύπνου (συμπεριλαμβανομένης αϋπνίας και έντονων ονείρων), εξασθένιση, διέγερση ή άγχος, ναυτία και/ή έμετος, τρόμος και κεφαλαλγία. Γενικά τα συμπτώματα αυτά είναι ήπιας έως μέτριας έντασης, εντούτοις, σε μερικούς ασθενείς ενδέχεται να είναι σοβαρής έντασης. Συνήθως παρατηρούνται εντός των πρώτων λίγων ημερών μετά από τη διακοπή της αγωγής. Γενικά τα συμπτώματα αυτά είναι αυτοπεριοριζόμενα και συνήθως υποχωρούν μέσα σε χρονικό διάστημα 2 εβδομάδων, αν και σε ορισμένα άτομα μπορεί να είναι παρατεταμένα (2-3 μήνες ή περισσότερο). Επομένως συνιστάται η σταδιακή μείωση της φλου</w:t>
      </w:r>
      <w:r w:rsidR="00F965B9">
        <w:rPr>
          <w:sz w:val="22"/>
          <w:szCs w:val="22"/>
          <w:lang w:val="el-GR"/>
        </w:rPr>
        <w:t>ο</w:t>
      </w:r>
      <w:r w:rsidRPr="0032564F">
        <w:rPr>
          <w:sz w:val="22"/>
          <w:szCs w:val="22"/>
          <w:lang w:val="el-GR"/>
        </w:rPr>
        <w:t>ξετίνης κατά τη διακοπή της αγωγής για μία χρονική περίοδο τουλάχιστον μιας έως δύο εβδομάδων, ανάλογα με τις ανάγκες του ασθενούς (</w:t>
      </w:r>
      <w:r w:rsidR="006A6C86">
        <w:rPr>
          <w:sz w:val="22"/>
          <w:szCs w:val="22"/>
          <w:lang w:val="el-GR"/>
        </w:rPr>
        <w:t xml:space="preserve">βλ. </w:t>
      </w:r>
      <w:r w:rsidR="00386E96" w:rsidRPr="0032564F">
        <w:rPr>
          <w:sz w:val="22"/>
          <w:szCs w:val="22"/>
          <w:lang w:val="el-GR"/>
        </w:rPr>
        <w:t xml:space="preserve">παράγραφο 4.2 </w:t>
      </w:r>
      <w:r w:rsidRPr="0032564F">
        <w:rPr>
          <w:sz w:val="22"/>
          <w:szCs w:val="22"/>
          <w:lang w:val="el-GR"/>
        </w:rPr>
        <w:t>«Συμπτώματα απόσυρσης που παρατηρούνται με τη διακοπή της φλου</w:t>
      </w:r>
      <w:r w:rsidR="00F965B9">
        <w:rPr>
          <w:sz w:val="22"/>
          <w:szCs w:val="22"/>
          <w:lang w:val="el-GR"/>
        </w:rPr>
        <w:t>ο</w:t>
      </w:r>
      <w:r w:rsidRPr="0032564F">
        <w:rPr>
          <w:sz w:val="22"/>
          <w:szCs w:val="22"/>
          <w:lang w:val="el-GR"/>
        </w:rPr>
        <w:t>ξετίνης»).</w:t>
      </w:r>
    </w:p>
    <w:p w:rsidR="00F16739" w:rsidRPr="0032564F" w:rsidRDefault="00F16739" w:rsidP="00045D24">
      <w:pPr>
        <w:rPr>
          <w:sz w:val="22"/>
          <w:szCs w:val="22"/>
          <w:lang w:val="el-GR"/>
        </w:rPr>
      </w:pPr>
    </w:p>
    <w:p w:rsidR="00386E96" w:rsidRDefault="00F16739" w:rsidP="00045D24">
      <w:pPr>
        <w:ind w:left="720"/>
        <w:rPr>
          <w:i/>
          <w:sz w:val="22"/>
          <w:szCs w:val="22"/>
          <w:lang w:val="el-GR"/>
        </w:rPr>
      </w:pPr>
      <w:r w:rsidRPr="0032564F">
        <w:rPr>
          <w:i/>
          <w:sz w:val="22"/>
          <w:szCs w:val="22"/>
          <w:lang w:val="el-GR"/>
        </w:rPr>
        <w:t xml:space="preserve">Αιμορραγία: </w:t>
      </w:r>
    </w:p>
    <w:p w:rsidR="00F16739" w:rsidRPr="0032564F" w:rsidRDefault="00F16739" w:rsidP="00045D24">
      <w:pPr>
        <w:ind w:left="720"/>
        <w:rPr>
          <w:sz w:val="22"/>
          <w:szCs w:val="22"/>
          <w:lang w:val="el-GR"/>
        </w:rPr>
      </w:pPr>
      <w:r w:rsidRPr="0032564F">
        <w:rPr>
          <w:sz w:val="22"/>
          <w:szCs w:val="22"/>
          <w:lang w:val="el-GR"/>
        </w:rPr>
        <w:t>Επιφανειακές αιμορραγικές διαταραχές (όπως εκχυμώσεις και πορφύρα) έχουν αναφερθεί, σε ασθενείς υπό αγωγή με εκλεκτικούς αναστολείς επαναπρόσληψης της σεροτονίνης (</w:t>
      </w:r>
      <w:r w:rsidRPr="0032564F">
        <w:rPr>
          <w:sz w:val="22"/>
          <w:szCs w:val="22"/>
        </w:rPr>
        <w:t>SSRI</w:t>
      </w:r>
      <w:r w:rsidRPr="0032564F">
        <w:rPr>
          <w:sz w:val="22"/>
          <w:szCs w:val="22"/>
          <w:lang w:val="el-GR"/>
        </w:rPr>
        <w:t>). Η εκχύμωση έχει αναφερθεί σαν μη συχν</w:t>
      </w:r>
      <w:r w:rsidR="00370090">
        <w:rPr>
          <w:sz w:val="22"/>
          <w:szCs w:val="22"/>
          <w:lang w:val="el-GR"/>
        </w:rPr>
        <w:t>ό</w:t>
      </w:r>
      <w:r w:rsidRPr="0032564F">
        <w:rPr>
          <w:sz w:val="22"/>
          <w:szCs w:val="22"/>
          <w:lang w:val="el-GR"/>
        </w:rPr>
        <w:t xml:space="preserve"> ανεπιθύμητ</w:t>
      </w:r>
      <w:r w:rsidR="00370090">
        <w:rPr>
          <w:sz w:val="22"/>
          <w:szCs w:val="22"/>
          <w:lang w:val="el-GR"/>
        </w:rPr>
        <w:t>ο</w:t>
      </w:r>
      <w:r w:rsidRPr="0032564F">
        <w:rPr>
          <w:sz w:val="22"/>
          <w:szCs w:val="22"/>
          <w:lang w:val="el-GR"/>
        </w:rPr>
        <w:t xml:space="preserve"> </w:t>
      </w:r>
      <w:r w:rsidR="00370090">
        <w:rPr>
          <w:sz w:val="22"/>
          <w:szCs w:val="22"/>
          <w:lang w:val="el-GR"/>
        </w:rPr>
        <w:t>συμβάν</w:t>
      </w:r>
      <w:r w:rsidR="00370090" w:rsidRPr="0032564F">
        <w:rPr>
          <w:sz w:val="22"/>
          <w:szCs w:val="22"/>
          <w:lang w:val="el-GR"/>
        </w:rPr>
        <w:t xml:space="preserve"> </w:t>
      </w:r>
      <w:r w:rsidRPr="0032564F">
        <w:rPr>
          <w:sz w:val="22"/>
          <w:szCs w:val="22"/>
          <w:lang w:val="el-GR"/>
        </w:rPr>
        <w:t xml:space="preserve">κατά τη διάρκεια της αγωγής με φλουοξετίνη. Άλλες αιμορραγικές εκδηλώσεις (όπως γυναικολογικές αιμορραγίες, γαστρεντερικές αιμορραγίες και λοιπές επιφανειακές ή βλεννογονικές αιμορραγίες), έχουν αναφερθεί σπάνια. Συνιστάται προσοχή σε ασθενείς που λαμβάνουν αγωγή με </w:t>
      </w:r>
      <w:r w:rsidRPr="0032564F">
        <w:rPr>
          <w:sz w:val="22"/>
          <w:szCs w:val="22"/>
        </w:rPr>
        <w:t>SSRI</w:t>
      </w:r>
      <w:r w:rsidRPr="0032564F">
        <w:rPr>
          <w:sz w:val="22"/>
          <w:szCs w:val="22"/>
          <w:lang w:val="el-GR"/>
        </w:rPr>
        <w:t>’</w:t>
      </w:r>
      <w:r w:rsidRPr="0032564F">
        <w:rPr>
          <w:sz w:val="22"/>
          <w:szCs w:val="22"/>
        </w:rPr>
        <w:t>s</w:t>
      </w:r>
      <w:r w:rsidRPr="0032564F">
        <w:rPr>
          <w:sz w:val="22"/>
          <w:szCs w:val="22"/>
          <w:lang w:val="el-GR"/>
        </w:rPr>
        <w:t>, ιδιαίτερα με ταυτόχρονη λήψη από του στόματος αντιπηκτικών, φαρμάκων με γνωστή επίδραση στην αιμοπεταλιακή λειτουργία (π.χ. άτυπα αντιψυχωσικά όπως η κλοζαπίνη, οι φαινοθειαζίνες, τα περισσότερα τρικυκλικά αντικαταθλιπτικά, η ασπιρίνη, τα ΜΣΑΦ) ή άλλων φαρμάκων τα οποία είναι πιθανό να αυξάνουν τον κίνδυνο για αιμορραγία όπως επίσης σε ασθενείς με ιστορικό αιμορραγικών διαταραχών</w:t>
      </w:r>
      <w:r w:rsidR="00630980">
        <w:rPr>
          <w:sz w:val="22"/>
          <w:szCs w:val="22"/>
          <w:lang w:val="el-GR"/>
        </w:rPr>
        <w:t xml:space="preserve"> (βλ. παράγραφο 4.5)</w:t>
      </w:r>
      <w:r w:rsidRPr="0032564F">
        <w:rPr>
          <w:sz w:val="22"/>
          <w:szCs w:val="22"/>
          <w:lang w:val="el-GR"/>
        </w:rPr>
        <w:t>.</w:t>
      </w:r>
    </w:p>
    <w:p w:rsidR="00386E96" w:rsidRDefault="00386E96" w:rsidP="00386E96">
      <w:pPr>
        <w:rPr>
          <w:i/>
          <w:sz w:val="22"/>
          <w:szCs w:val="22"/>
          <w:lang w:val="el-GR"/>
        </w:rPr>
      </w:pPr>
    </w:p>
    <w:p w:rsidR="00386E96" w:rsidRDefault="004127B9" w:rsidP="00386E96">
      <w:pPr>
        <w:ind w:firstLine="720"/>
        <w:rPr>
          <w:sz w:val="22"/>
          <w:szCs w:val="22"/>
          <w:lang w:val="el-GR"/>
        </w:rPr>
      </w:pPr>
      <w:r w:rsidRPr="0032564F">
        <w:rPr>
          <w:i/>
          <w:sz w:val="22"/>
          <w:szCs w:val="22"/>
          <w:lang w:val="el-GR"/>
        </w:rPr>
        <w:t>Μυδρίαση</w:t>
      </w:r>
      <w:r w:rsidR="004B0464" w:rsidRPr="00045D24">
        <w:rPr>
          <w:sz w:val="22"/>
          <w:szCs w:val="22"/>
          <w:lang w:val="el-GR"/>
        </w:rPr>
        <w:t xml:space="preserve">: </w:t>
      </w:r>
    </w:p>
    <w:p w:rsidR="004B0464" w:rsidRPr="00045D24" w:rsidRDefault="00180676" w:rsidP="00386E96">
      <w:pPr>
        <w:ind w:left="720"/>
        <w:rPr>
          <w:sz w:val="22"/>
          <w:szCs w:val="22"/>
          <w:lang w:val="el-GR"/>
        </w:rPr>
      </w:pPr>
      <w:r w:rsidRPr="0032564F">
        <w:rPr>
          <w:sz w:val="22"/>
          <w:szCs w:val="22"/>
          <w:lang w:val="el-GR"/>
        </w:rPr>
        <w:t>Έχει αναφερθεί μυδρίαση συσχετιζόμενη με τη φλουοξετίνη. Για το λόγο αυτό, θα πρέπει να επιδεικνύεται προσοχή όταν η φλουοξετίνη συνταγογραφείται σε ασθενείς με αυξημένη ενδοφθάλμια πίεση ή με κίνδυνο να εμφανίσουν οξύ γλαύκωμα κλειστής γωνίας.</w:t>
      </w:r>
    </w:p>
    <w:p w:rsidR="004454FA" w:rsidRPr="00045D24" w:rsidRDefault="004454FA" w:rsidP="00045D24">
      <w:pPr>
        <w:rPr>
          <w:sz w:val="22"/>
          <w:szCs w:val="22"/>
          <w:lang w:val="el-GR"/>
        </w:rPr>
      </w:pPr>
    </w:p>
    <w:p w:rsidR="00386E96" w:rsidRDefault="00F16739" w:rsidP="00045D24">
      <w:pPr>
        <w:ind w:left="720"/>
        <w:rPr>
          <w:sz w:val="22"/>
          <w:szCs w:val="22"/>
          <w:lang w:val="el-GR"/>
        </w:rPr>
      </w:pPr>
      <w:r w:rsidRPr="0032564F">
        <w:rPr>
          <w:i/>
          <w:sz w:val="22"/>
          <w:szCs w:val="22"/>
          <w:lang w:val="el-GR"/>
        </w:rPr>
        <w:t>Λακτόζη:</w:t>
      </w:r>
      <w:r w:rsidRPr="0032564F">
        <w:rPr>
          <w:sz w:val="22"/>
          <w:szCs w:val="22"/>
          <w:lang w:val="el-GR"/>
        </w:rPr>
        <w:t xml:space="preserve"> </w:t>
      </w:r>
    </w:p>
    <w:p w:rsidR="00F16739" w:rsidRPr="0032564F" w:rsidRDefault="00F16739" w:rsidP="00045D24">
      <w:pPr>
        <w:ind w:left="720"/>
        <w:rPr>
          <w:sz w:val="22"/>
          <w:szCs w:val="22"/>
          <w:lang w:val="el-GR"/>
        </w:rPr>
      </w:pPr>
      <w:r w:rsidRPr="0032564F">
        <w:rPr>
          <w:sz w:val="22"/>
          <w:szCs w:val="22"/>
          <w:lang w:val="el-GR"/>
        </w:rPr>
        <w:t xml:space="preserve">Οι ασθενείς με σπάνια κληρονομικά προβλήματα δυσανεξίας στη γαλακτόζη, ανεπάρκειας </w:t>
      </w:r>
      <w:r w:rsidRPr="0032564F">
        <w:rPr>
          <w:sz w:val="22"/>
          <w:szCs w:val="22"/>
        </w:rPr>
        <w:t>Lapp</w:t>
      </w:r>
      <w:r w:rsidRPr="0032564F">
        <w:rPr>
          <w:sz w:val="22"/>
          <w:szCs w:val="22"/>
          <w:lang w:val="el-GR"/>
        </w:rPr>
        <w:t xml:space="preserve"> </w:t>
      </w:r>
      <w:r w:rsidRPr="00045D24">
        <w:rPr>
          <w:sz w:val="22"/>
          <w:szCs w:val="22"/>
          <w:lang w:val="el-GR"/>
        </w:rPr>
        <w:t>λακτόζης</w:t>
      </w:r>
      <w:r w:rsidRPr="0032564F">
        <w:rPr>
          <w:sz w:val="22"/>
          <w:szCs w:val="22"/>
          <w:lang w:val="el-GR"/>
        </w:rPr>
        <w:t xml:space="preserve"> ή δυσαπορρόφησης γλυκόζης – γαλακτόζης δε θα πρέπει να λαμβάνουν αυτό το φάρμακο.</w:t>
      </w:r>
    </w:p>
    <w:p w:rsidR="00386E96" w:rsidRPr="00386E96" w:rsidRDefault="00386E96" w:rsidP="00386E96">
      <w:pPr>
        <w:rPr>
          <w:sz w:val="22"/>
          <w:szCs w:val="22"/>
        </w:rPr>
      </w:pPr>
    </w:p>
    <w:p w:rsidR="00F16739" w:rsidRPr="0032564F" w:rsidRDefault="00630980" w:rsidP="00630980">
      <w:pPr>
        <w:ind w:left="720"/>
        <w:rPr>
          <w:sz w:val="22"/>
          <w:szCs w:val="22"/>
          <w:lang w:val="el-GR"/>
        </w:rPr>
      </w:pPr>
      <w:r>
        <w:rPr>
          <w:i/>
          <w:sz w:val="22"/>
          <w:szCs w:val="22"/>
          <w:lang w:val="el-GR"/>
        </w:rPr>
        <w:t>Σύνδρομο σεροτονίνης ή σύνδρομο που προσομοιάζει με το κακόηθες σύνδρομο από νευροληπτικά</w:t>
      </w:r>
      <w:r w:rsidR="00386E96" w:rsidRPr="00386E96">
        <w:rPr>
          <w:i/>
          <w:sz w:val="22"/>
          <w:szCs w:val="22"/>
        </w:rPr>
        <w:t>:</w:t>
      </w:r>
    </w:p>
    <w:p w:rsidR="00F16739" w:rsidRPr="0032564F" w:rsidRDefault="00F16739" w:rsidP="00045D24">
      <w:pPr>
        <w:ind w:left="720"/>
        <w:rPr>
          <w:sz w:val="22"/>
          <w:szCs w:val="22"/>
          <w:lang w:val="el-GR"/>
        </w:rPr>
      </w:pPr>
      <w:r w:rsidRPr="0032564F">
        <w:rPr>
          <w:sz w:val="22"/>
          <w:szCs w:val="22"/>
          <w:lang w:val="el-GR"/>
        </w:rPr>
        <w:t>Σπάνιες περιπτώσεις ανάπτυξης συνδρόμου σεροτονίνης ή συνδρόμου που προσομοιάζει με το κακόηθες σύνδρομο από νευροληπτικά, έχ</w:t>
      </w:r>
      <w:r w:rsidR="00630980">
        <w:rPr>
          <w:sz w:val="22"/>
          <w:szCs w:val="22"/>
          <w:lang w:val="el-GR"/>
        </w:rPr>
        <w:t>ουν</w:t>
      </w:r>
      <w:r w:rsidRPr="0032564F">
        <w:rPr>
          <w:sz w:val="22"/>
          <w:szCs w:val="22"/>
          <w:lang w:val="el-GR"/>
        </w:rPr>
        <w:t xml:space="preserve"> αναφερθεί σε ασθενείς υπό αγωγή με φλουοξετίνη, ιδιαίτερα όταν συγχορηγήθηκε με άλλα σεροτονινεργικά (μεταξύ των οποίων και η </w:t>
      </w:r>
      <w:r w:rsidRPr="0032564F">
        <w:rPr>
          <w:sz w:val="22"/>
          <w:szCs w:val="22"/>
        </w:rPr>
        <w:t>L</w:t>
      </w:r>
      <w:r w:rsidRPr="0032564F">
        <w:rPr>
          <w:sz w:val="22"/>
          <w:szCs w:val="22"/>
          <w:lang w:val="el-GR"/>
        </w:rPr>
        <w:t>-τρυπτοφάνη) και/ή νευροληπτικά φάρμακα</w:t>
      </w:r>
      <w:r w:rsidR="00386E96">
        <w:rPr>
          <w:sz w:val="22"/>
          <w:szCs w:val="22"/>
          <w:lang w:val="el-GR"/>
        </w:rPr>
        <w:t xml:space="preserve"> </w:t>
      </w:r>
      <w:r w:rsidR="00386E96" w:rsidRPr="00386E96">
        <w:rPr>
          <w:sz w:val="22"/>
          <w:szCs w:val="22"/>
        </w:rPr>
        <w:t>(</w:t>
      </w:r>
      <w:r w:rsidR="00630980">
        <w:rPr>
          <w:sz w:val="22"/>
          <w:szCs w:val="22"/>
          <w:lang w:val="el-GR"/>
        </w:rPr>
        <w:t>βλ. παράγραφο</w:t>
      </w:r>
      <w:r w:rsidR="00386E96" w:rsidRPr="00386E96">
        <w:rPr>
          <w:sz w:val="22"/>
          <w:szCs w:val="22"/>
        </w:rPr>
        <w:t xml:space="preserve"> 4.5)</w:t>
      </w:r>
      <w:r w:rsidRPr="0032564F">
        <w:rPr>
          <w:sz w:val="22"/>
          <w:szCs w:val="22"/>
          <w:lang w:val="el-GR"/>
        </w:rPr>
        <w:t xml:space="preserve">. Επειδή οι συνδρομές αυτές ενδέχεται να επιφέρουν σοβαρές και μερικές φορές απειλητικές για τη ζωή καταστάσεις, η αγωγή με φλουοξετίνη θα πρέπει να διακόπτεται εάν εμφανιστούν τέτοιες ενέργειες (χαρακτηριζόμενες από ομάδα συμπτωμάτων όπως υπερθερμία, δυσκαμψία, μυοκλονίες, αστάθεια του αυτόνομου νευρικού συστήματος με πιθανές ταχείες διακυμάνσεις των ζωτικών σημείων, μεταβολές </w:t>
      </w:r>
      <w:r w:rsidR="00370090">
        <w:rPr>
          <w:sz w:val="22"/>
          <w:szCs w:val="22"/>
          <w:lang w:val="el-GR"/>
        </w:rPr>
        <w:t>της ψυχικής κατάστασης</w:t>
      </w:r>
      <w:r w:rsidRPr="0032564F">
        <w:rPr>
          <w:sz w:val="22"/>
          <w:szCs w:val="22"/>
          <w:lang w:val="el-GR"/>
        </w:rPr>
        <w:t>, περιλαμβανομένης της σύγχυσης, της ευερεθιστότητας και της ακραίας διέγερσης που εξελίσσεται προοδευτικά σε παραλήρημα και κώμα) και θα πρέπει να ξεκινήσει υποστηρικτική συμπτωματική αγωγή.</w:t>
      </w:r>
    </w:p>
    <w:p w:rsidR="00F16739" w:rsidRPr="0032564F" w:rsidRDefault="00F16739" w:rsidP="00045D24">
      <w:pPr>
        <w:pStyle w:val="a3"/>
        <w:ind w:left="0"/>
        <w:rPr>
          <w:sz w:val="22"/>
          <w:szCs w:val="22"/>
          <w:lang w:val="el-GR"/>
        </w:rPr>
      </w:pPr>
    </w:p>
    <w:p w:rsidR="00F16739" w:rsidRPr="0032564F" w:rsidRDefault="00F16739" w:rsidP="00045D24">
      <w:pPr>
        <w:pStyle w:val="a3"/>
        <w:ind w:hanging="720"/>
        <w:rPr>
          <w:b/>
          <w:sz w:val="22"/>
          <w:szCs w:val="22"/>
          <w:lang w:val="el-GR"/>
        </w:rPr>
      </w:pPr>
      <w:r w:rsidRPr="0032564F">
        <w:rPr>
          <w:b/>
          <w:sz w:val="22"/>
          <w:szCs w:val="22"/>
          <w:lang w:val="el-GR"/>
        </w:rPr>
        <w:t>4.5</w:t>
      </w:r>
      <w:r w:rsidRPr="0032564F">
        <w:rPr>
          <w:b/>
          <w:sz w:val="22"/>
          <w:szCs w:val="22"/>
          <w:lang w:val="el-GR"/>
        </w:rPr>
        <w:tab/>
      </w:r>
      <w:r w:rsidRPr="0032564F">
        <w:rPr>
          <w:rStyle w:val="Char"/>
          <w:b/>
          <w:bCs/>
          <w:sz w:val="22"/>
          <w:szCs w:val="22"/>
          <w:lang w:val="el-GR"/>
        </w:rPr>
        <w:t>Αλληλεπίδραση με άλλα φαρμακευτικά προϊόντα και άλλες μορφές αλληλεπίδρασης</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32564F">
        <w:rPr>
          <w:i/>
          <w:sz w:val="22"/>
          <w:szCs w:val="22"/>
          <w:lang w:val="el-GR"/>
        </w:rPr>
        <w:t xml:space="preserve">Χρόνος Ημιζωής: </w:t>
      </w:r>
      <w:r w:rsidRPr="0032564F">
        <w:rPr>
          <w:sz w:val="22"/>
          <w:szCs w:val="22"/>
        </w:rPr>
        <w:t>H</w:t>
      </w:r>
      <w:r w:rsidRPr="0032564F">
        <w:rPr>
          <w:sz w:val="22"/>
          <w:szCs w:val="22"/>
          <w:lang w:val="el-GR"/>
        </w:rPr>
        <w:t xml:space="preserve"> μακρά ημιπερίοδος ζωής της φλουοξετίνης και της νορφλουοξετίνης θα πρέπει να λαμβάν</w:t>
      </w:r>
      <w:r w:rsidR="00630980">
        <w:rPr>
          <w:sz w:val="22"/>
          <w:szCs w:val="22"/>
          <w:lang w:val="el-GR"/>
        </w:rPr>
        <w:t>ον</w:t>
      </w:r>
      <w:r w:rsidRPr="0032564F">
        <w:rPr>
          <w:sz w:val="22"/>
          <w:szCs w:val="22"/>
          <w:lang w:val="el-GR"/>
        </w:rPr>
        <w:t>ται υπόψιν (</w:t>
      </w:r>
      <w:r w:rsidR="006A6C86">
        <w:rPr>
          <w:sz w:val="22"/>
          <w:szCs w:val="22"/>
          <w:lang w:val="el-GR"/>
        </w:rPr>
        <w:t xml:space="preserve">βλ. </w:t>
      </w:r>
      <w:r w:rsidR="00370090">
        <w:rPr>
          <w:sz w:val="22"/>
          <w:szCs w:val="22"/>
          <w:lang w:val="el-GR"/>
        </w:rPr>
        <w:t>παράγραφο 5.2</w:t>
      </w:r>
      <w:r w:rsidRPr="0032564F">
        <w:rPr>
          <w:sz w:val="22"/>
          <w:szCs w:val="22"/>
          <w:lang w:val="el-GR"/>
        </w:rPr>
        <w:t>) όταν εξετάζονται οι φαρμακοδυναμικές και οι φαρμακοκινητικές φαρμακευτικές αλληλεπιδράσεις (π.χ. μεταφορά από φλουοξετίνη σε άλλο αντικαταθλιπτικό).</w:t>
      </w:r>
    </w:p>
    <w:p w:rsidR="00F16739" w:rsidRPr="004454FA" w:rsidRDefault="00F16739" w:rsidP="00045D24">
      <w:pPr>
        <w:ind w:left="720"/>
        <w:rPr>
          <w:sz w:val="22"/>
          <w:szCs w:val="22"/>
          <w:lang w:val="el-GR"/>
        </w:rPr>
      </w:pPr>
    </w:p>
    <w:p w:rsidR="00A1351E" w:rsidRPr="00833771" w:rsidRDefault="00630980" w:rsidP="00A1351E">
      <w:pPr>
        <w:ind w:left="720"/>
        <w:rPr>
          <w:sz w:val="22"/>
          <w:szCs w:val="22"/>
          <w:lang w:val="en-US"/>
        </w:rPr>
      </w:pPr>
      <w:r w:rsidRPr="00833771">
        <w:rPr>
          <w:sz w:val="22"/>
          <w:szCs w:val="22"/>
          <w:u w:val="single"/>
          <w:lang w:val="el-GR"/>
        </w:rPr>
        <w:t>Συνδυασμοί που αντενδείκνυνται</w:t>
      </w:r>
    </w:p>
    <w:p w:rsidR="00A1351E" w:rsidRPr="00A1351E" w:rsidRDefault="00A1351E" w:rsidP="00A1351E">
      <w:pPr>
        <w:ind w:left="720"/>
        <w:rPr>
          <w:i/>
          <w:sz w:val="22"/>
          <w:szCs w:val="22"/>
          <w:lang w:val="en-US"/>
        </w:rPr>
      </w:pPr>
    </w:p>
    <w:p w:rsidR="00F16739" w:rsidRPr="0032564F" w:rsidRDefault="00630980" w:rsidP="00A1351E">
      <w:pPr>
        <w:ind w:left="720"/>
        <w:rPr>
          <w:sz w:val="22"/>
          <w:szCs w:val="22"/>
          <w:lang w:val="el-GR"/>
        </w:rPr>
      </w:pPr>
      <w:r>
        <w:rPr>
          <w:i/>
          <w:sz w:val="22"/>
          <w:szCs w:val="22"/>
          <w:lang w:val="el-GR"/>
        </w:rPr>
        <w:t>Μη-αναστρέψιμοι, μη-εκλεκτικοί αναστολείς της μονοαμινοξειδάσης</w:t>
      </w:r>
      <w:r w:rsidR="00A1351E" w:rsidRPr="00A1351E">
        <w:rPr>
          <w:i/>
          <w:iCs/>
          <w:sz w:val="22"/>
          <w:szCs w:val="22"/>
        </w:rPr>
        <w:t xml:space="preserve"> (MAOIs)</w:t>
      </w:r>
      <w:r w:rsidR="00A1351E" w:rsidRPr="00A1351E">
        <w:rPr>
          <w:i/>
          <w:sz w:val="22"/>
          <w:szCs w:val="22"/>
        </w:rPr>
        <w:t>:</w:t>
      </w:r>
      <w:r w:rsidR="00F16739" w:rsidRPr="0032564F">
        <w:rPr>
          <w:i/>
          <w:sz w:val="22"/>
          <w:szCs w:val="22"/>
          <w:lang w:val="el-GR"/>
        </w:rPr>
        <w:t xml:space="preserve"> </w:t>
      </w:r>
      <w:r w:rsidR="00F16739" w:rsidRPr="0032564F">
        <w:rPr>
          <w:sz w:val="22"/>
          <w:szCs w:val="22"/>
          <w:lang w:val="el-GR"/>
        </w:rPr>
        <w:t>(</w:t>
      </w:r>
      <w:r w:rsidR="006A6C86">
        <w:rPr>
          <w:sz w:val="22"/>
          <w:szCs w:val="22"/>
          <w:lang w:val="el-GR"/>
        </w:rPr>
        <w:t xml:space="preserve">βλ. </w:t>
      </w:r>
      <w:r w:rsidR="00F16739" w:rsidRPr="0032564F">
        <w:rPr>
          <w:sz w:val="22"/>
          <w:szCs w:val="22"/>
          <w:lang w:val="el-GR"/>
        </w:rPr>
        <w:t>παρ</w:t>
      </w:r>
      <w:r w:rsidR="004B0464" w:rsidRPr="0032564F">
        <w:rPr>
          <w:sz w:val="22"/>
          <w:szCs w:val="22"/>
          <w:lang w:val="el-GR"/>
        </w:rPr>
        <w:t>άγραφο</w:t>
      </w:r>
      <w:r w:rsidR="00D80E5D" w:rsidRPr="0032564F">
        <w:rPr>
          <w:sz w:val="22"/>
          <w:szCs w:val="22"/>
          <w:lang w:val="el-GR"/>
        </w:rPr>
        <w:t xml:space="preserve"> </w:t>
      </w:r>
      <w:r w:rsidR="00F16739" w:rsidRPr="0032564F">
        <w:rPr>
          <w:sz w:val="22"/>
          <w:szCs w:val="22"/>
          <w:lang w:val="el-GR"/>
        </w:rPr>
        <w:t>4.3)</w:t>
      </w:r>
    </w:p>
    <w:p w:rsidR="00A1351E" w:rsidRPr="00A1351E" w:rsidRDefault="00A1351E" w:rsidP="00045D24">
      <w:pPr>
        <w:ind w:left="720"/>
        <w:rPr>
          <w:iCs/>
          <w:sz w:val="22"/>
          <w:szCs w:val="22"/>
          <w:lang w:val="el-GR"/>
        </w:rPr>
      </w:pPr>
    </w:p>
    <w:p w:rsidR="00A1351E" w:rsidRPr="00A1351E" w:rsidRDefault="00630980" w:rsidP="00A1351E">
      <w:pPr>
        <w:pStyle w:val="MGGTextLeft"/>
        <w:ind w:left="720"/>
        <w:rPr>
          <w:rFonts w:eastAsia="Arial"/>
          <w:sz w:val="22"/>
          <w:szCs w:val="22"/>
        </w:rPr>
      </w:pPr>
      <w:r>
        <w:rPr>
          <w:rFonts w:eastAsia="Arial"/>
          <w:i/>
          <w:spacing w:val="-2"/>
          <w:sz w:val="22"/>
          <w:szCs w:val="22"/>
          <w:lang w:val="el-GR"/>
        </w:rPr>
        <w:lastRenderedPageBreak/>
        <w:t>Μετοπρολόλη χρησιμοποιούμενη σε καρδιακή ανεπάρκεια</w:t>
      </w:r>
      <w:r w:rsidR="00A1351E" w:rsidRPr="00A1351E">
        <w:rPr>
          <w:rFonts w:eastAsia="Arial"/>
          <w:i/>
          <w:sz w:val="22"/>
          <w:szCs w:val="22"/>
        </w:rPr>
        <w:t>:</w:t>
      </w:r>
      <w:r w:rsidR="00A1351E" w:rsidRPr="00A1351E">
        <w:rPr>
          <w:rFonts w:eastAsia="Arial"/>
          <w:i/>
          <w:spacing w:val="2"/>
          <w:sz w:val="22"/>
          <w:szCs w:val="22"/>
        </w:rPr>
        <w:t xml:space="preserve"> </w:t>
      </w:r>
      <w:r>
        <w:rPr>
          <w:rFonts w:eastAsia="Arial"/>
          <w:sz w:val="22"/>
          <w:szCs w:val="22"/>
          <w:lang w:val="el-GR"/>
        </w:rPr>
        <w:t>ο κίνδυνος εμφάνισης ανεπιθύμητων συμβάντων με την μετοπρολόλη συμπεριλαμβανομένης της έντονης βραδυκαρδίας, μπορεί να αυξηθεί λόγω αναστολής του μεταβολισμού της από την φλουοξετίνη</w:t>
      </w:r>
      <w:r w:rsidR="00CD3CD8">
        <w:rPr>
          <w:rFonts w:eastAsia="Arial"/>
          <w:sz w:val="22"/>
          <w:szCs w:val="22"/>
          <w:lang w:val="el-GR"/>
        </w:rPr>
        <w:t xml:space="preserve"> (βλ. παράγραφο</w:t>
      </w:r>
      <w:r w:rsidR="00A1351E" w:rsidRPr="00A1351E">
        <w:rPr>
          <w:rFonts w:eastAsia="Arial"/>
          <w:spacing w:val="1"/>
          <w:sz w:val="22"/>
          <w:szCs w:val="22"/>
        </w:rPr>
        <w:t xml:space="preserve"> </w:t>
      </w:r>
      <w:r w:rsidR="00A1351E" w:rsidRPr="00A1351E">
        <w:rPr>
          <w:rFonts w:eastAsia="Arial"/>
          <w:sz w:val="22"/>
          <w:szCs w:val="22"/>
        </w:rPr>
        <w:t>4</w:t>
      </w:r>
      <w:r w:rsidR="00A1351E" w:rsidRPr="00A1351E">
        <w:rPr>
          <w:rFonts w:eastAsia="Arial"/>
          <w:spacing w:val="1"/>
          <w:sz w:val="22"/>
          <w:szCs w:val="22"/>
        </w:rPr>
        <w:t>.</w:t>
      </w:r>
      <w:r w:rsidR="00A1351E" w:rsidRPr="00A1351E">
        <w:rPr>
          <w:rFonts w:eastAsia="Arial"/>
          <w:spacing w:val="-3"/>
          <w:sz w:val="22"/>
          <w:szCs w:val="22"/>
        </w:rPr>
        <w:t>3</w:t>
      </w:r>
      <w:r w:rsidR="00A1351E" w:rsidRPr="00A1351E">
        <w:rPr>
          <w:rFonts w:eastAsia="Arial"/>
          <w:spacing w:val="1"/>
          <w:sz w:val="22"/>
          <w:szCs w:val="22"/>
        </w:rPr>
        <w:t>)</w:t>
      </w:r>
      <w:r w:rsidR="00A1351E" w:rsidRPr="00A1351E">
        <w:rPr>
          <w:rFonts w:eastAsia="Arial"/>
          <w:sz w:val="22"/>
          <w:szCs w:val="22"/>
        </w:rPr>
        <w:t>.</w:t>
      </w:r>
    </w:p>
    <w:p w:rsidR="00A1351E" w:rsidRDefault="00A1351E" w:rsidP="00A1351E">
      <w:pPr>
        <w:pStyle w:val="MGGTextLeft"/>
      </w:pPr>
    </w:p>
    <w:p w:rsidR="00F16739" w:rsidRPr="0032564F" w:rsidRDefault="00F16739" w:rsidP="00045D24">
      <w:pPr>
        <w:ind w:left="720"/>
        <w:rPr>
          <w:sz w:val="22"/>
          <w:szCs w:val="22"/>
          <w:lang w:val="el-GR"/>
        </w:rPr>
      </w:pPr>
      <w:r w:rsidRPr="00833771">
        <w:rPr>
          <w:iCs/>
          <w:sz w:val="22"/>
          <w:szCs w:val="22"/>
          <w:u w:val="single"/>
          <w:lang w:val="el-GR"/>
        </w:rPr>
        <w:t>Μη-συνιστώμεν</w:t>
      </w:r>
      <w:r w:rsidR="00CD3CD8">
        <w:rPr>
          <w:iCs/>
          <w:sz w:val="22"/>
          <w:szCs w:val="22"/>
          <w:u w:val="single"/>
          <w:lang w:val="el-GR"/>
        </w:rPr>
        <w:t>οι</w:t>
      </w:r>
      <w:r w:rsidRPr="00833771">
        <w:rPr>
          <w:iCs/>
          <w:sz w:val="22"/>
          <w:szCs w:val="22"/>
          <w:u w:val="single"/>
          <w:lang w:val="el-GR"/>
        </w:rPr>
        <w:t xml:space="preserve"> </w:t>
      </w:r>
      <w:r w:rsidR="00CD3CD8">
        <w:rPr>
          <w:iCs/>
          <w:sz w:val="22"/>
          <w:szCs w:val="22"/>
          <w:u w:val="single"/>
          <w:lang w:val="el-GR"/>
        </w:rPr>
        <w:t>συνδυασμοί</w:t>
      </w:r>
      <w:r w:rsidRPr="0032564F">
        <w:rPr>
          <w:i/>
          <w:sz w:val="22"/>
          <w:szCs w:val="22"/>
          <w:lang w:val="el-GR"/>
        </w:rPr>
        <w:t xml:space="preserve"> </w:t>
      </w:r>
    </w:p>
    <w:p w:rsidR="00145E5D" w:rsidRPr="00045D24" w:rsidRDefault="00CD3CD8" w:rsidP="00045D24">
      <w:pPr>
        <w:spacing w:before="100" w:beforeAutospacing="1" w:after="75"/>
        <w:ind w:left="720"/>
        <w:rPr>
          <w:rFonts w:eastAsia="SimSun"/>
          <w:sz w:val="22"/>
          <w:szCs w:val="22"/>
          <w:lang w:val="el-GR" w:eastAsia="zh-CN"/>
        </w:rPr>
      </w:pPr>
      <w:r>
        <w:rPr>
          <w:rFonts w:eastAsia="SimSun"/>
          <w:i/>
          <w:sz w:val="22"/>
          <w:szCs w:val="22"/>
          <w:lang w:val="el-GR" w:eastAsia="zh-CN"/>
        </w:rPr>
        <w:t>Ταμοξιφαίνη</w:t>
      </w:r>
      <w:r w:rsidR="00A1351E" w:rsidRPr="00CD3CD8">
        <w:rPr>
          <w:rFonts w:eastAsia="SimSun"/>
          <w:i/>
          <w:sz w:val="22"/>
          <w:szCs w:val="22"/>
          <w:lang w:eastAsia="zh-CN"/>
        </w:rPr>
        <w:t>:</w:t>
      </w:r>
      <w:r w:rsidR="00A1351E" w:rsidRPr="00A1351E">
        <w:rPr>
          <w:rFonts w:eastAsia="SimSun"/>
          <w:sz w:val="24"/>
          <w:szCs w:val="24"/>
          <w:lang w:eastAsia="zh-CN"/>
        </w:rPr>
        <w:t xml:space="preserve"> </w:t>
      </w:r>
      <w:r w:rsidR="00180676" w:rsidRPr="0032564F">
        <w:rPr>
          <w:rFonts w:eastAsia="SimSun"/>
          <w:sz w:val="22"/>
          <w:szCs w:val="22"/>
          <w:lang w:val="el-GR" w:eastAsia="zh-CN"/>
        </w:rPr>
        <w:t xml:space="preserve">Έχει αναφερθεί στη βιβλιογραφία φαρμακοκινητική αλληλεπίδραση μεταξύ των αναστολέων του </w:t>
      </w:r>
      <w:r w:rsidR="00145E5D" w:rsidRPr="0032564F">
        <w:rPr>
          <w:rFonts w:eastAsia="SimSun"/>
          <w:sz w:val="22"/>
          <w:szCs w:val="22"/>
          <w:lang w:eastAsia="zh-CN"/>
        </w:rPr>
        <w:t>CYP</w:t>
      </w:r>
      <w:r w:rsidR="00145E5D" w:rsidRPr="00045D24">
        <w:rPr>
          <w:rFonts w:eastAsia="SimSun"/>
          <w:sz w:val="22"/>
          <w:szCs w:val="22"/>
          <w:lang w:val="el-GR" w:eastAsia="zh-CN"/>
        </w:rPr>
        <w:t>2</w:t>
      </w:r>
      <w:r w:rsidR="00145E5D" w:rsidRPr="0032564F">
        <w:rPr>
          <w:rFonts w:eastAsia="SimSun"/>
          <w:sz w:val="22"/>
          <w:szCs w:val="22"/>
          <w:lang w:eastAsia="zh-CN"/>
        </w:rPr>
        <w:t>D</w:t>
      </w:r>
      <w:r w:rsidR="00145E5D" w:rsidRPr="00045D24">
        <w:rPr>
          <w:rFonts w:eastAsia="SimSun"/>
          <w:sz w:val="22"/>
          <w:szCs w:val="22"/>
          <w:lang w:val="el-GR" w:eastAsia="zh-CN"/>
        </w:rPr>
        <w:t xml:space="preserve">6 </w:t>
      </w:r>
      <w:r w:rsidR="00180676" w:rsidRPr="0032564F">
        <w:rPr>
          <w:rFonts w:eastAsia="SimSun"/>
          <w:sz w:val="22"/>
          <w:szCs w:val="22"/>
          <w:lang w:val="el-GR" w:eastAsia="zh-CN"/>
        </w:rPr>
        <w:t xml:space="preserve">και της ταμοξιφαίνης που εμφανίζεται ως μείωση κατά </w:t>
      </w:r>
      <w:r w:rsidR="00145E5D" w:rsidRPr="00045D24">
        <w:rPr>
          <w:rFonts w:eastAsia="SimSun"/>
          <w:sz w:val="22"/>
          <w:szCs w:val="22"/>
          <w:lang w:val="el-GR" w:eastAsia="zh-CN"/>
        </w:rPr>
        <w:t xml:space="preserve">65-75% </w:t>
      </w:r>
      <w:r w:rsidR="00180676" w:rsidRPr="0032564F">
        <w:rPr>
          <w:rFonts w:eastAsia="SimSun"/>
          <w:sz w:val="22"/>
          <w:szCs w:val="22"/>
          <w:lang w:val="el-GR" w:eastAsia="zh-CN"/>
        </w:rPr>
        <w:t>στα επίπεδα πλάσματος μιας από τις πλέον δραστικές μορφές της ταμοξιφαίνης, δηλ. της ενδοξιφαίνης. Σε μερικές μελέτες αναφέρθηκε μειωμένη αποτελεσματικότητα της ταμοξιφαίνης με ταυτόχρονη χρήση της με μερικά αντικαταθλιπτικά της κατηγορίας των</w:t>
      </w:r>
      <w:r w:rsidR="00370090">
        <w:rPr>
          <w:rFonts w:eastAsia="SimSun"/>
          <w:sz w:val="22"/>
          <w:szCs w:val="22"/>
          <w:lang w:val="el-GR" w:eastAsia="zh-CN"/>
        </w:rPr>
        <w:t xml:space="preserve"> </w:t>
      </w:r>
      <w:r w:rsidR="00370090">
        <w:rPr>
          <w:rFonts w:eastAsia="SimSun"/>
          <w:sz w:val="22"/>
          <w:szCs w:val="22"/>
          <w:lang w:val="en-US" w:eastAsia="zh-CN"/>
        </w:rPr>
        <w:t>SSRIs</w:t>
      </w:r>
      <w:r w:rsidR="00145E5D" w:rsidRPr="00045D24">
        <w:rPr>
          <w:rFonts w:eastAsia="SimSun"/>
          <w:sz w:val="22"/>
          <w:szCs w:val="22"/>
          <w:lang w:val="el-GR" w:eastAsia="zh-CN"/>
        </w:rPr>
        <w:t xml:space="preserve">. </w:t>
      </w:r>
      <w:r w:rsidR="00B3728C" w:rsidRPr="0032564F">
        <w:rPr>
          <w:rFonts w:eastAsia="SimSun"/>
          <w:sz w:val="22"/>
          <w:szCs w:val="22"/>
          <w:lang w:val="el-GR" w:eastAsia="zh-CN"/>
        </w:rPr>
        <w:t xml:space="preserve">Επειδή δεν μπορεί να αποκλεισθεί το ενδεχόμενο μείωσης της </w:t>
      </w:r>
      <w:r w:rsidR="00415D90">
        <w:rPr>
          <w:rFonts w:eastAsia="SimSun"/>
          <w:sz w:val="22"/>
          <w:szCs w:val="22"/>
          <w:lang w:val="el-GR" w:eastAsia="zh-CN"/>
        </w:rPr>
        <w:t xml:space="preserve">δράσης της </w:t>
      </w:r>
      <w:r w:rsidR="00B3728C" w:rsidRPr="0032564F">
        <w:rPr>
          <w:rFonts w:eastAsia="SimSun"/>
          <w:sz w:val="22"/>
          <w:szCs w:val="22"/>
          <w:lang w:val="el-GR" w:eastAsia="zh-CN"/>
        </w:rPr>
        <w:t xml:space="preserve">ταμοξιφαίνης, η συγχορήγησή της με ισχυρούς αναστολείς του </w:t>
      </w:r>
      <w:r w:rsidR="00145E5D" w:rsidRPr="0032564F">
        <w:rPr>
          <w:rFonts w:eastAsia="SimSun"/>
          <w:sz w:val="22"/>
          <w:szCs w:val="22"/>
          <w:lang w:eastAsia="zh-CN"/>
        </w:rPr>
        <w:t>CYP</w:t>
      </w:r>
      <w:r w:rsidR="00145E5D" w:rsidRPr="00045D24">
        <w:rPr>
          <w:rFonts w:eastAsia="SimSun"/>
          <w:sz w:val="22"/>
          <w:szCs w:val="22"/>
          <w:lang w:val="el-GR" w:eastAsia="zh-CN"/>
        </w:rPr>
        <w:t>2</w:t>
      </w:r>
      <w:r w:rsidR="00145E5D" w:rsidRPr="0032564F">
        <w:rPr>
          <w:rFonts w:eastAsia="SimSun"/>
          <w:sz w:val="22"/>
          <w:szCs w:val="22"/>
          <w:lang w:eastAsia="zh-CN"/>
        </w:rPr>
        <w:t>D</w:t>
      </w:r>
      <w:r w:rsidR="00145E5D" w:rsidRPr="00045D24">
        <w:rPr>
          <w:rFonts w:eastAsia="SimSun"/>
          <w:sz w:val="22"/>
          <w:szCs w:val="22"/>
          <w:lang w:val="el-GR" w:eastAsia="zh-CN"/>
        </w:rPr>
        <w:t>6 (</w:t>
      </w:r>
      <w:r w:rsidR="00B3728C" w:rsidRPr="0032564F">
        <w:rPr>
          <w:rFonts w:eastAsia="SimSun"/>
          <w:sz w:val="22"/>
          <w:szCs w:val="22"/>
          <w:lang w:val="el-GR" w:eastAsia="zh-CN"/>
        </w:rPr>
        <w:t>συμπεριλαμβ</w:t>
      </w:r>
      <w:r w:rsidR="00415D90">
        <w:rPr>
          <w:rFonts w:eastAsia="SimSun"/>
          <w:sz w:val="22"/>
          <w:szCs w:val="22"/>
          <w:lang w:val="el-GR" w:eastAsia="zh-CN"/>
        </w:rPr>
        <w:t>ανομένης της φλουοξετίνης),</w:t>
      </w:r>
      <w:r w:rsidR="00B3728C" w:rsidRPr="0032564F">
        <w:rPr>
          <w:rFonts w:eastAsia="SimSun"/>
          <w:sz w:val="22"/>
          <w:szCs w:val="22"/>
          <w:lang w:val="el-GR" w:eastAsia="zh-CN"/>
        </w:rPr>
        <w:t xml:space="preserve"> θα πρέπει να αποφεύγεται όταν υπάρχει η δυνατότητα</w:t>
      </w:r>
      <w:r w:rsidR="00145E5D" w:rsidRPr="00045D24">
        <w:rPr>
          <w:rFonts w:eastAsia="SimSun"/>
          <w:sz w:val="22"/>
          <w:szCs w:val="22"/>
          <w:lang w:val="el-GR" w:eastAsia="zh-CN"/>
        </w:rPr>
        <w:t xml:space="preserve"> (</w:t>
      </w:r>
      <w:r w:rsidR="00B3728C" w:rsidRPr="0032564F">
        <w:rPr>
          <w:rFonts w:eastAsia="SimSun"/>
          <w:sz w:val="22"/>
          <w:szCs w:val="22"/>
          <w:lang w:val="el-GR" w:eastAsia="zh-CN"/>
        </w:rPr>
        <w:t>βλ. παράγραφο</w:t>
      </w:r>
      <w:r w:rsidR="00145E5D" w:rsidRPr="00045D24">
        <w:rPr>
          <w:rFonts w:eastAsia="SimSun"/>
          <w:sz w:val="22"/>
          <w:szCs w:val="22"/>
          <w:lang w:val="el-GR" w:eastAsia="zh-CN"/>
        </w:rPr>
        <w:t xml:space="preserve"> 4.4).</w:t>
      </w:r>
    </w:p>
    <w:p w:rsidR="00A1351E" w:rsidRPr="00A1351E" w:rsidRDefault="00A1351E" w:rsidP="00A1351E">
      <w:pPr>
        <w:pStyle w:val="MGGTextLeft"/>
      </w:pPr>
    </w:p>
    <w:p w:rsidR="00A1351E" w:rsidRPr="00A1351E" w:rsidRDefault="00D66ED9" w:rsidP="00A1351E">
      <w:pPr>
        <w:ind w:left="720"/>
        <w:rPr>
          <w:sz w:val="24"/>
          <w:szCs w:val="24"/>
          <w:lang w:eastAsia="en-US"/>
        </w:rPr>
      </w:pPr>
      <w:r>
        <w:rPr>
          <w:i/>
          <w:iCs/>
          <w:sz w:val="22"/>
          <w:szCs w:val="22"/>
        </w:rPr>
        <w:t xml:space="preserve">Αλκοόλ: </w:t>
      </w:r>
      <w:r>
        <w:rPr>
          <w:sz w:val="22"/>
          <w:szCs w:val="22"/>
        </w:rPr>
        <w:t xml:space="preserve">Στις τυπικές δοκιμασίες η φλουοξετίνη δεν προκάλεσε αύξηση των επιπέδων του αλκοόλ ή επίταση των επιδράσεών του. Εντούτοις, η λήψη αλκοόλ από ασθενείς υπό θεραπεία με SSRI δεν προτείνεται. </w:t>
      </w:r>
    </w:p>
    <w:p w:rsidR="00A1351E" w:rsidRPr="00CD3CD8" w:rsidRDefault="00A1351E" w:rsidP="00A1351E">
      <w:pPr>
        <w:rPr>
          <w:sz w:val="22"/>
          <w:szCs w:val="22"/>
          <w:lang w:eastAsia="en-US"/>
        </w:rPr>
      </w:pPr>
    </w:p>
    <w:p w:rsidR="00A1351E" w:rsidRPr="00CD3CD8" w:rsidRDefault="00A1351E" w:rsidP="00A1351E">
      <w:pPr>
        <w:ind w:left="720"/>
        <w:rPr>
          <w:sz w:val="22"/>
          <w:szCs w:val="22"/>
          <w:lang w:val="en-US" w:eastAsia="en-US"/>
        </w:rPr>
      </w:pPr>
      <w:r w:rsidRPr="00CD3CD8">
        <w:rPr>
          <w:i/>
          <w:sz w:val="22"/>
          <w:szCs w:val="22"/>
          <w:lang w:val="en-US" w:eastAsia="en-US"/>
        </w:rPr>
        <w:t xml:space="preserve">MAOI-A </w:t>
      </w:r>
      <w:r w:rsidR="00CD3CD8">
        <w:rPr>
          <w:i/>
          <w:sz w:val="22"/>
          <w:szCs w:val="22"/>
          <w:lang w:val="el-GR" w:eastAsia="en-US"/>
        </w:rPr>
        <w:t xml:space="preserve">συμπεριλαμβανομένων μοκλοβεμίδης, λινεζολίδης και </w:t>
      </w:r>
      <w:r w:rsidRPr="00CD3CD8">
        <w:rPr>
          <w:i/>
          <w:sz w:val="22"/>
          <w:szCs w:val="22"/>
          <w:lang w:val="en-US" w:eastAsia="en-US"/>
        </w:rPr>
        <w:t>methylthioninium chloride (</w:t>
      </w:r>
      <w:r w:rsidR="00CD3CD8">
        <w:rPr>
          <w:i/>
          <w:sz w:val="22"/>
          <w:szCs w:val="22"/>
          <w:lang w:val="el-GR" w:eastAsia="en-US"/>
        </w:rPr>
        <w:t>κυανό μεθυλενίου</w:t>
      </w:r>
      <w:r w:rsidRPr="00CD3CD8">
        <w:rPr>
          <w:i/>
          <w:sz w:val="22"/>
          <w:szCs w:val="22"/>
          <w:lang w:val="en-US" w:eastAsia="en-US"/>
        </w:rPr>
        <w:t xml:space="preserve">): </w:t>
      </w:r>
      <w:r w:rsidR="00CD3CD8">
        <w:rPr>
          <w:sz w:val="22"/>
          <w:szCs w:val="22"/>
          <w:lang w:val="el-GR" w:eastAsia="en-US"/>
        </w:rPr>
        <w:t>Κίνδυνος συνδρόμου σεροτονίνης συμπεριλαμβανομένων διάρροιας, ταχυκαρδίας, εφίδρωσης, τρόμου, σύγχυσης ή κώματος. Εάν δεν μπορεί να αποφευχθεί η ταυτόχρονη χρήση των παραπάνω δραστικών ουσιών με τη φλουοξετίνη, θα πρέπει να διενεργείται στενή κλινική παρακολούθηση και οι συγχορηγούμενοι φαρμακευτικοί παράγοντες θα πρέπει να ξεκινούν στις χαμηλότερες συνιστώμενες δόσεις (βλ. παράγραφο</w:t>
      </w:r>
      <w:r w:rsidRPr="00CD3CD8">
        <w:rPr>
          <w:sz w:val="22"/>
          <w:szCs w:val="22"/>
          <w:lang w:val="en-US" w:eastAsia="en-US"/>
        </w:rPr>
        <w:t xml:space="preserve"> 4.4).</w:t>
      </w:r>
      <w:r w:rsidR="00CD3CD8">
        <w:rPr>
          <w:sz w:val="22"/>
          <w:szCs w:val="22"/>
          <w:lang w:val="el-GR" w:eastAsia="en-US"/>
        </w:rPr>
        <w:t xml:space="preserve"> Η θεραπεία με τη φλουοξετίνη μπορεί να ξεκινήσει την επόμενη μέρα μετά τη διακοπή ενός αναστρέψιμου </w:t>
      </w:r>
      <w:r w:rsidRPr="00CD3CD8">
        <w:rPr>
          <w:sz w:val="22"/>
          <w:szCs w:val="22"/>
          <w:lang w:val="en-US" w:eastAsia="en-US"/>
        </w:rPr>
        <w:t>MAOI (</w:t>
      </w:r>
      <w:r w:rsidR="00960D94">
        <w:rPr>
          <w:sz w:val="22"/>
          <w:szCs w:val="22"/>
          <w:lang w:val="el-GR" w:eastAsia="en-US"/>
        </w:rPr>
        <w:t>π.χ. μοκλοβεμίδη</w:t>
      </w:r>
      <w:r w:rsidRPr="00CD3CD8">
        <w:rPr>
          <w:sz w:val="22"/>
          <w:szCs w:val="22"/>
          <w:lang w:val="en-US" w:eastAsia="en-US"/>
        </w:rPr>
        <w:t xml:space="preserve">). </w:t>
      </w:r>
    </w:p>
    <w:p w:rsidR="00D66ED9" w:rsidRPr="00CD3CD8" w:rsidRDefault="00D66ED9" w:rsidP="00A1351E">
      <w:pPr>
        <w:ind w:left="720"/>
        <w:rPr>
          <w:i/>
          <w:sz w:val="22"/>
          <w:szCs w:val="22"/>
          <w:lang w:val="el-GR" w:eastAsia="en-US"/>
        </w:rPr>
      </w:pPr>
    </w:p>
    <w:p w:rsidR="00A1351E" w:rsidRPr="00CD3CD8" w:rsidRDefault="00152C22" w:rsidP="00A1351E">
      <w:pPr>
        <w:ind w:left="720"/>
        <w:rPr>
          <w:sz w:val="22"/>
          <w:szCs w:val="22"/>
          <w:lang w:val="en-US" w:eastAsia="en-US"/>
        </w:rPr>
      </w:pPr>
      <w:r>
        <w:rPr>
          <w:i/>
          <w:sz w:val="22"/>
          <w:szCs w:val="22"/>
          <w:lang w:val="el-GR" w:eastAsia="en-US"/>
        </w:rPr>
        <w:t>Μεκιταζίνη</w:t>
      </w:r>
      <w:r w:rsidR="00A1351E" w:rsidRPr="00CD3CD8">
        <w:rPr>
          <w:i/>
          <w:sz w:val="22"/>
          <w:szCs w:val="22"/>
          <w:lang w:val="en-US" w:eastAsia="en-US"/>
        </w:rPr>
        <w:t xml:space="preserve">: </w:t>
      </w:r>
      <w:r>
        <w:rPr>
          <w:sz w:val="22"/>
          <w:szCs w:val="22"/>
          <w:lang w:val="el-GR" w:eastAsia="en-US"/>
        </w:rPr>
        <w:t>Ο κίνδυνος ανεπιθύμητων συμβάντων από τη μεκιταζίνη (όπως παράταση του διαστήματος</w:t>
      </w:r>
      <w:r w:rsidR="00A1351E" w:rsidRPr="00CD3CD8">
        <w:rPr>
          <w:sz w:val="22"/>
          <w:szCs w:val="22"/>
          <w:lang w:val="en-US" w:eastAsia="en-US"/>
        </w:rPr>
        <w:t xml:space="preserve"> QT)</w:t>
      </w:r>
      <w:r>
        <w:rPr>
          <w:sz w:val="22"/>
          <w:szCs w:val="22"/>
          <w:lang w:val="el-GR" w:eastAsia="en-US"/>
        </w:rPr>
        <w:t xml:space="preserve"> μπορεί να αυξηθεί λόγω αναστολής του μεταβολισμού της από τη φλουοξετίνη</w:t>
      </w:r>
      <w:r w:rsidR="00A1351E" w:rsidRPr="00CD3CD8">
        <w:rPr>
          <w:sz w:val="22"/>
          <w:szCs w:val="22"/>
          <w:lang w:val="en-US" w:eastAsia="en-US"/>
        </w:rPr>
        <w:t>.</w:t>
      </w:r>
    </w:p>
    <w:p w:rsidR="00A1351E" w:rsidRPr="00CD3CD8" w:rsidRDefault="00A1351E" w:rsidP="00A1351E">
      <w:pPr>
        <w:ind w:left="720"/>
        <w:rPr>
          <w:sz w:val="22"/>
          <w:szCs w:val="22"/>
          <w:lang w:eastAsia="en-US"/>
        </w:rPr>
      </w:pPr>
    </w:p>
    <w:p w:rsidR="00A1351E" w:rsidRPr="00CD3CD8" w:rsidRDefault="00152C22" w:rsidP="00A1351E">
      <w:pPr>
        <w:ind w:left="720"/>
        <w:rPr>
          <w:sz w:val="22"/>
          <w:szCs w:val="22"/>
          <w:lang w:eastAsia="en-US"/>
        </w:rPr>
      </w:pPr>
      <w:r>
        <w:rPr>
          <w:sz w:val="22"/>
          <w:szCs w:val="22"/>
          <w:u w:val="single"/>
          <w:lang w:val="el-GR" w:eastAsia="en-US"/>
        </w:rPr>
        <w:t>Συνδυασμοί που χρειάζονται προσοχή</w:t>
      </w:r>
    </w:p>
    <w:p w:rsidR="00A1351E" w:rsidRPr="00CD3CD8" w:rsidRDefault="00A1351E" w:rsidP="00A1351E">
      <w:pPr>
        <w:ind w:left="720"/>
        <w:rPr>
          <w:sz w:val="22"/>
          <w:szCs w:val="22"/>
          <w:lang w:eastAsia="en-US"/>
        </w:rPr>
      </w:pPr>
    </w:p>
    <w:p w:rsidR="00A1351E" w:rsidRPr="00D66ED9" w:rsidRDefault="00960D94" w:rsidP="00A1351E">
      <w:pPr>
        <w:ind w:left="720"/>
        <w:rPr>
          <w:sz w:val="24"/>
          <w:szCs w:val="24"/>
          <w:lang w:val="el-GR" w:eastAsia="en-US"/>
        </w:rPr>
      </w:pPr>
      <w:r>
        <w:rPr>
          <w:i/>
          <w:iCs/>
          <w:sz w:val="22"/>
          <w:szCs w:val="22"/>
        </w:rPr>
        <w:t>Φαινυτο</w:t>
      </w:r>
      <w:r>
        <w:rPr>
          <w:i/>
          <w:iCs/>
          <w:sz w:val="22"/>
          <w:szCs w:val="22"/>
          <w:lang w:val="el-GR"/>
        </w:rPr>
        <w:t>ΐ</w:t>
      </w:r>
      <w:r w:rsidR="00D66ED9">
        <w:rPr>
          <w:i/>
          <w:iCs/>
          <w:sz w:val="22"/>
          <w:szCs w:val="22"/>
        </w:rPr>
        <w:t xml:space="preserve">νη: </w:t>
      </w:r>
      <w:r w:rsidR="00D66ED9">
        <w:rPr>
          <w:sz w:val="22"/>
          <w:szCs w:val="22"/>
        </w:rPr>
        <w:t>Μεταβολές στα επίπε</w:t>
      </w:r>
      <w:r w:rsidR="00152C22">
        <w:rPr>
          <w:sz w:val="22"/>
          <w:szCs w:val="22"/>
        </w:rPr>
        <w:t xml:space="preserve">δα του φαρμάκου αυτού στο </w:t>
      </w:r>
      <w:r w:rsidR="00152C22">
        <w:rPr>
          <w:sz w:val="22"/>
          <w:szCs w:val="22"/>
          <w:lang w:val="el-GR"/>
        </w:rPr>
        <w:t>αίμα</w:t>
      </w:r>
      <w:r w:rsidR="00D66ED9">
        <w:rPr>
          <w:sz w:val="22"/>
          <w:szCs w:val="22"/>
        </w:rPr>
        <w:t xml:space="preserve"> έχουν παρατηρηθεί κατά τη συγχορήγηση με φλουοξετίνη. Σε ορισμένες περιπτώσεις έχουν αναφερθεί εκδηλώσεις τοξικότητας. Συνιστάται να εξετάζεται το ενδεχόμενο της συντηρητικής τιτλοποίησης της δόσης του συγχορηγούμενου φαρμάκου καθώς και η παρακολούθηση της κλινικής κατάστασης του ασθενούς.</w:t>
      </w:r>
    </w:p>
    <w:p w:rsidR="00A1351E" w:rsidRPr="00960D94" w:rsidRDefault="00A1351E" w:rsidP="00A1351E">
      <w:pPr>
        <w:ind w:left="720"/>
        <w:rPr>
          <w:sz w:val="22"/>
          <w:szCs w:val="22"/>
          <w:lang w:eastAsia="en-US"/>
        </w:rPr>
      </w:pPr>
    </w:p>
    <w:p w:rsidR="00A1351E" w:rsidRPr="00960D94" w:rsidRDefault="00D66ED9" w:rsidP="00A1351E">
      <w:pPr>
        <w:ind w:left="720"/>
        <w:rPr>
          <w:sz w:val="22"/>
          <w:szCs w:val="22"/>
          <w:lang w:eastAsia="en-US"/>
        </w:rPr>
      </w:pPr>
      <w:r w:rsidRPr="00960D94">
        <w:rPr>
          <w:i/>
          <w:iCs/>
          <w:sz w:val="22"/>
          <w:szCs w:val="22"/>
        </w:rPr>
        <w:t>Σεροτονινεργικά φάρμακα</w:t>
      </w:r>
      <w:r w:rsidRPr="00960D94">
        <w:rPr>
          <w:i/>
          <w:iCs/>
          <w:sz w:val="22"/>
          <w:szCs w:val="22"/>
          <w:lang w:val="el-GR"/>
        </w:rPr>
        <w:t xml:space="preserve"> </w:t>
      </w:r>
      <w:r w:rsidR="00A1351E" w:rsidRPr="00960D94">
        <w:rPr>
          <w:i/>
          <w:sz w:val="22"/>
          <w:szCs w:val="22"/>
          <w:lang w:eastAsia="en-US"/>
        </w:rPr>
        <w:t>(</w:t>
      </w:r>
      <w:r w:rsidR="00960D94">
        <w:rPr>
          <w:i/>
          <w:sz w:val="22"/>
          <w:szCs w:val="22"/>
          <w:lang w:val="el-GR" w:eastAsia="en-US"/>
        </w:rPr>
        <w:t>λίθιο, τραμαδόλη, τριπτάνες, τρυπτοφάνη, σελεγιλίνη</w:t>
      </w:r>
      <w:r w:rsidR="00A1351E" w:rsidRPr="00960D94">
        <w:rPr>
          <w:i/>
          <w:sz w:val="22"/>
          <w:szCs w:val="22"/>
          <w:lang w:eastAsia="en-US"/>
        </w:rPr>
        <w:t xml:space="preserve"> (MAOI-B), St. John’s wort (Hypericum perforatum)): </w:t>
      </w:r>
      <w:r w:rsidR="00152C22">
        <w:rPr>
          <w:sz w:val="22"/>
          <w:szCs w:val="22"/>
          <w:lang w:val="el-GR" w:eastAsia="en-US"/>
        </w:rPr>
        <w:t>Υπήρξαν αναφορές ήπιου συνδρόμου σεροτονίνης όταν οι</w:t>
      </w:r>
      <w:r w:rsidR="00A1351E" w:rsidRPr="00960D94">
        <w:rPr>
          <w:sz w:val="22"/>
          <w:szCs w:val="22"/>
          <w:lang w:eastAsia="en-US"/>
        </w:rPr>
        <w:t xml:space="preserve"> SSRIs</w:t>
      </w:r>
      <w:r w:rsidR="00152C22">
        <w:rPr>
          <w:sz w:val="22"/>
          <w:szCs w:val="22"/>
          <w:lang w:val="el-GR" w:eastAsia="en-US"/>
        </w:rPr>
        <w:t xml:space="preserve"> συγχορηγήθηκαν με φάρμακα που επίσης είχαν σεροτονινεργική δράση. Για το λόγο αυτό, η ταυτόχρονη χρήση της φλουοξετίνης με αυτά τα φάρμακα θα πρέπει να διενεργείται με προσοχή, καθώς και με στενότερη και συχνότερη κλινική παρακολούθηση</w:t>
      </w:r>
      <w:r w:rsidR="00A1351E" w:rsidRPr="00960D94">
        <w:rPr>
          <w:sz w:val="22"/>
          <w:szCs w:val="22"/>
          <w:lang w:eastAsia="en-US"/>
        </w:rPr>
        <w:t xml:space="preserve"> (</w:t>
      </w:r>
      <w:r w:rsidR="00960D94">
        <w:rPr>
          <w:sz w:val="22"/>
          <w:szCs w:val="22"/>
          <w:lang w:val="el-GR" w:eastAsia="en-US"/>
        </w:rPr>
        <w:t>βλ. παράγραφο</w:t>
      </w:r>
      <w:r w:rsidR="00A1351E" w:rsidRPr="00960D94">
        <w:rPr>
          <w:sz w:val="22"/>
          <w:szCs w:val="22"/>
          <w:lang w:eastAsia="en-US"/>
        </w:rPr>
        <w:t xml:space="preserve"> 4.4).</w:t>
      </w:r>
    </w:p>
    <w:p w:rsidR="00CC0C4A" w:rsidRPr="00CC0C4A" w:rsidRDefault="00152C22" w:rsidP="00CC0C4A">
      <w:pPr>
        <w:ind w:left="720"/>
        <w:rPr>
          <w:sz w:val="22"/>
          <w:szCs w:val="22"/>
        </w:rPr>
      </w:pPr>
      <w:r>
        <w:rPr>
          <w:sz w:val="22"/>
          <w:szCs w:val="22"/>
          <w:lang w:val="el-GR" w:eastAsia="en-US"/>
        </w:rPr>
        <w:t>Η συγχορήγηση με τριπτάνες ενέχει τον επιπλέον κίνδυνο στεφανιαίας αγγειοσύσπασης και υπέρτασης</w:t>
      </w:r>
      <w:r w:rsidR="00A1351E" w:rsidRPr="00960D94">
        <w:rPr>
          <w:sz w:val="22"/>
          <w:szCs w:val="22"/>
          <w:lang w:eastAsia="en-US"/>
        </w:rPr>
        <w:t>.</w:t>
      </w:r>
    </w:p>
    <w:p w:rsidR="004454FA" w:rsidRDefault="004454FA" w:rsidP="00CC0C4A">
      <w:pPr>
        <w:ind w:left="720"/>
        <w:rPr>
          <w:sz w:val="22"/>
          <w:szCs w:val="22"/>
          <w:lang w:val="el-GR"/>
        </w:rPr>
      </w:pPr>
    </w:p>
    <w:p w:rsidR="00722180" w:rsidRPr="00A1351E" w:rsidRDefault="00CC0C4A" w:rsidP="00CC0C4A">
      <w:pPr>
        <w:ind w:left="720"/>
        <w:rPr>
          <w:sz w:val="22"/>
          <w:szCs w:val="22"/>
        </w:rPr>
      </w:pPr>
      <w:r w:rsidRPr="009B7D6B">
        <w:rPr>
          <w:i/>
          <w:sz w:val="22"/>
          <w:szCs w:val="22"/>
        </w:rPr>
        <w:t>Παράταση του διαστήματος QT:</w:t>
      </w:r>
      <w:r w:rsidRPr="00CC0C4A">
        <w:rPr>
          <w:sz w:val="22"/>
          <w:szCs w:val="22"/>
        </w:rPr>
        <w:t xml:space="preserve"> Δεν έχουν πραγματοποιηθεί φαρμακοκινητικές και φαρμακοδυναμικές μελέτες μεταξύ της φλουοξετίνης και άλλων φαρμακευτικών </w:t>
      </w:r>
      <w:r w:rsidRPr="00CC0C4A">
        <w:rPr>
          <w:sz w:val="22"/>
          <w:szCs w:val="22"/>
        </w:rPr>
        <w:lastRenderedPageBreak/>
        <w:t>προϊόντων που παρατείνουν το διάστημα QT. Δεν μπορεί να αποκλεισθεί μία αθροιστική δράση της φλουοξετίνης και αυτών των φαρμακευτικών προϊόντων. Για το λόγο αυτό, η συγχορήγηση της φλουοξετίνης με φαρμακευτικά προϊόντα που παρατείνουν το διάστημα QT, όπως αντιαρρυθμικά τάξης IA και III, αντιψυχωσικά (π.χ. παράγωγα φαινοθειαζίνης, πιμοζίδη</w:t>
      </w:r>
      <w:r w:rsidR="005B4136">
        <w:rPr>
          <w:sz w:val="22"/>
          <w:szCs w:val="22"/>
        </w:rPr>
        <w:t>, αλλοπεριδόλη), τρικυκλικά αντ</w:t>
      </w:r>
      <w:r w:rsidR="005B4136">
        <w:rPr>
          <w:sz w:val="22"/>
          <w:szCs w:val="22"/>
          <w:lang w:val="el-GR"/>
        </w:rPr>
        <w:t>ι</w:t>
      </w:r>
      <w:r w:rsidRPr="00CC0C4A">
        <w:rPr>
          <w:sz w:val="22"/>
          <w:szCs w:val="22"/>
        </w:rPr>
        <w:t xml:space="preserve">καταθλιπτικά, ορισμένους αντιμικροβιακούς παράγοντες (π.χ. σπαρφλοξασίνη, μοξιφλοξασίνη, ερυθρομυκίνη IV, πενταμιδίνη), ανθελονοσιακή αγωγή ιδιαίτερα με αλοφαντρίνη, ορισμένα αντιισταμινικά (αστεμιζόλη, μιζολαστίνη) θα πρέπει να πραγματοποιείται με </w:t>
      </w:r>
      <w:r w:rsidRPr="00A1351E">
        <w:rPr>
          <w:sz w:val="22"/>
          <w:szCs w:val="22"/>
        </w:rPr>
        <w:t>προσοχή</w:t>
      </w:r>
      <w:r w:rsidR="00A1351E" w:rsidRPr="00A1351E">
        <w:rPr>
          <w:sz w:val="22"/>
          <w:szCs w:val="22"/>
          <w:lang w:val="el-GR"/>
        </w:rPr>
        <w:t xml:space="preserve"> </w:t>
      </w:r>
      <w:r w:rsidR="00A1351E" w:rsidRPr="00A1351E">
        <w:rPr>
          <w:sz w:val="22"/>
          <w:szCs w:val="22"/>
        </w:rPr>
        <w:t>(</w:t>
      </w:r>
      <w:r w:rsidR="00960D94">
        <w:rPr>
          <w:sz w:val="22"/>
          <w:szCs w:val="22"/>
          <w:lang w:val="el-GR"/>
        </w:rPr>
        <w:t>βλ. παραγράφους</w:t>
      </w:r>
      <w:r w:rsidR="00A1351E" w:rsidRPr="00A1351E">
        <w:rPr>
          <w:sz w:val="22"/>
          <w:szCs w:val="22"/>
        </w:rPr>
        <w:t xml:space="preserve"> 4.4, 4.8 </w:t>
      </w:r>
      <w:r w:rsidR="00960D94">
        <w:rPr>
          <w:sz w:val="22"/>
          <w:szCs w:val="22"/>
          <w:lang w:val="el-GR"/>
        </w:rPr>
        <w:t>και</w:t>
      </w:r>
      <w:r w:rsidR="00A1351E" w:rsidRPr="00A1351E">
        <w:rPr>
          <w:sz w:val="22"/>
          <w:szCs w:val="22"/>
        </w:rPr>
        <w:t xml:space="preserve"> 4.9)</w:t>
      </w:r>
      <w:r w:rsidRPr="00A1351E">
        <w:rPr>
          <w:sz w:val="22"/>
          <w:szCs w:val="22"/>
        </w:rPr>
        <w:t>.</w:t>
      </w:r>
    </w:p>
    <w:p w:rsidR="00A1351E" w:rsidRDefault="00A1351E" w:rsidP="00A1351E">
      <w:pPr>
        <w:ind w:left="720"/>
        <w:rPr>
          <w:i/>
          <w:sz w:val="22"/>
          <w:szCs w:val="22"/>
          <w:lang w:val="el-GR"/>
        </w:rPr>
      </w:pPr>
    </w:p>
    <w:p w:rsidR="00A1351E" w:rsidRPr="00A1351E" w:rsidRDefault="00152C22" w:rsidP="00A1351E">
      <w:pPr>
        <w:ind w:left="720"/>
        <w:rPr>
          <w:sz w:val="22"/>
          <w:szCs w:val="22"/>
        </w:rPr>
      </w:pPr>
      <w:r>
        <w:rPr>
          <w:i/>
          <w:sz w:val="22"/>
          <w:szCs w:val="22"/>
          <w:lang w:val="el-GR"/>
        </w:rPr>
        <w:t>Φάρμακα που επηρεάζουν την αιμόσταση</w:t>
      </w:r>
      <w:r w:rsidR="00A1351E" w:rsidRPr="00A1351E">
        <w:rPr>
          <w:i/>
          <w:sz w:val="22"/>
          <w:szCs w:val="22"/>
        </w:rPr>
        <w:t xml:space="preserve"> (</w:t>
      </w:r>
      <w:r>
        <w:rPr>
          <w:i/>
          <w:sz w:val="22"/>
          <w:szCs w:val="22"/>
          <w:lang w:val="el-GR"/>
        </w:rPr>
        <w:t>από του στόματος αντιπηκτικά, ανεξαρτήτως μηχανισμού δράσης, αντιαιμοπεταλιακά συμπεριλαμβανομένων ασπιρίνης και ΜΣΑΦ</w:t>
      </w:r>
      <w:r w:rsidR="00A1351E" w:rsidRPr="00A1351E">
        <w:rPr>
          <w:i/>
          <w:sz w:val="22"/>
          <w:szCs w:val="22"/>
        </w:rPr>
        <w:t xml:space="preserve">): </w:t>
      </w:r>
      <w:r w:rsidR="000D6A07">
        <w:rPr>
          <w:sz w:val="22"/>
          <w:szCs w:val="22"/>
          <w:lang w:val="el-GR"/>
        </w:rPr>
        <w:t>κίνδυνος αυξημένης αιμορραγίας. Θα πρέπει να διενεργείται κλινική παρακολούθηση και συχνότερη παρακολούθηση του</w:t>
      </w:r>
      <w:r w:rsidR="00A1351E" w:rsidRPr="00A1351E">
        <w:rPr>
          <w:sz w:val="22"/>
          <w:szCs w:val="22"/>
        </w:rPr>
        <w:t xml:space="preserve"> INR</w:t>
      </w:r>
      <w:r w:rsidR="000D6A07">
        <w:rPr>
          <w:sz w:val="22"/>
          <w:szCs w:val="22"/>
          <w:lang w:val="el-GR"/>
        </w:rPr>
        <w:t xml:space="preserve"> κατά τη συγχορήγηση με από του στόματος αντιπηκτικά. Κατά τη διάρκεια της θεραπείας με φλουοξετίνη και έπειτα από τη διακοπή της μπορεί να ενδείκνυται η αναπροσαρμογή της δόσης</w:t>
      </w:r>
      <w:r w:rsidR="00A1351E" w:rsidRPr="00A1351E">
        <w:rPr>
          <w:sz w:val="22"/>
          <w:szCs w:val="22"/>
        </w:rPr>
        <w:t xml:space="preserve"> (</w:t>
      </w:r>
      <w:r w:rsidR="00960D94">
        <w:rPr>
          <w:sz w:val="22"/>
          <w:szCs w:val="22"/>
          <w:lang w:val="el-GR"/>
        </w:rPr>
        <w:t>βλ. παραγράφους</w:t>
      </w:r>
      <w:r w:rsidR="00A1351E" w:rsidRPr="00A1351E">
        <w:rPr>
          <w:sz w:val="22"/>
          <w:szCs w:val="22"/>
        </w:rPr>
        <w:t xml:space="preserve"> 4.4 </w:t>
      </w:r>
      <w:r w:rsidR="00960D94">
        <w:rPr>
          <w:sz w:val="22"/>
          <w:szCs w:val="22"/>
          <w:lang w:val="el-GR"/>
        </w:rPr>
        <w:t>και</w:t>
      </w:r>
      <w:r w:rsidR="00A1351E" w:rsidRPr="00A1351E">
        <w:rPr>
          <w:sz w:val="22"/>
          <w:szCs w:val="22"/>
        </w:rPr>
        <w:t xml:space="preserve"> 4.8).</w:t>
      </w:r>
      <w:r w:rsidR="000D6A07">
        <w:rPr>
          <w:sz w:val="22"/>
          <w:szCs w:val="22"/>
          <w:lang w:val="el-GR"/>
        </w:rPr>
        <w:t xml:space="preserve"> Κατά τη θεραπεία με βαρφαρίνη θα πρέπει να διενεργείται προσεκτική παρακολούθηση της πηκτικότητας κατά την έναρξη ή τη διακοπή της φλουοξετίνης</w:t>
      </w:r>
      <w:r w:rsidR="00A1351E" w:rsidRPr="00A1351E">
        <w:rPr>
          <w:sz w:val="22"/>
          <w:szCs w:val="22"/>
        </w:rPr>
        <w:t xml:space="preserve"> (</w:t>
      </w:r>
      <w:r w:rsidR="00960D94">
        <w:rPr>
          <w:sz w:val="22"/>
          <w:szCs w:val="22"/>
          <w:lang w:val="el-GR"/>
        </w:rPr>
        <w:t>βλ. παράγραφο</w:t>
      </w:r>
      <w:r w:rsidR="00A1351E" w:rsidRPr="00A1351E">
        <w:rPr>
          <w:sz w:val="22"/>
          <w:szCs w:val="22"/>
        </w:rPr>
        <w:t xml:space="preserve"> 4.4, </w:t>
      </w:r>
      <w:r w:rsidR="00960D94">
        <w:rPr>
          <w:sz w:val="22"/>
          <w:szCs w:val="22"/>
          <w:lang w:val="el-GR"/>
        </w:rPr>
        <w:t>Αιμορραγία</w:t>
      </w:r>
      <w:r w:rsidR="00A1351E" w:rsidRPr="00A1351E">
        <w:rPr>
          <w:sz w:val="22"/>
          <w:szCs w:val="22"/>
        </w:rPr>
        <w:t>).</w:t>
      </w:r>
    </w:p>
    <w:p w:rsidR="00A1351E" w:rsidRPr="00A1351E" w:rsidRDefault="00A1351E" w:rsidP="00A1351E">
      <w:pPr>
        <w:ind w:left="720"/>
        <w:rPr>
          <w:sz w:val="22"/>
          <w:szCs w:val="22"/>
        </w:rPr>
      </w:pPr>
    </w:p>
    <w:p w:rsidR="00A1351E" w:rsidRPr="00A1351E" w:rsidRDefault="000D6A07" w:rsidP="00A1351E">
      <w:pPr>
        <w:ind w:left="720"/>
        <w:rPr>
          <w:sz w:val="22"/>
          <w:szCs w:val="22"/>
        </w:rPr>
      </w:pPr>
      <w:r>
        <w:rPr>
          <w:i/>
          <w:sz w:val="22"/>
          <w:szCs w:val="22"/>
          <w:lang w:val="el-GR"/>
        </w:rPr>
        <w:t>Σιπροεπταδίνη</w:t>
      </w:r>
      <w:r w:rsidR="00A1351E" w:rsidRPr="00A1351E">
        <w:rPr>
          <w:sz w:val="22"/>
          <w:szCs w:val="22"/>
        </w:rPr>
        <w:t xml:space="preserve">: </w:t>
      </w:r>
      <w:r>
        <w:rPr>
          <w:sz w:val="22"/>
          <w:szCs w:val="22"/>
          <w:lang w:val="el-GR"/>
        </w:rPr>
        <w:t>Υπάρχουν μεμονωμένες αναφορές περιστατικών μειωμένης αντικαταθλιπτικής δράσης της φλουοξετίνης όταν χρησιμοποιείται σε συνδυασμό με σιπροεπταδίνη</w:t>
      </w:r>
      <w:r w:rsidR="00A1351E" w:rsidRPr="00A1351E">
        <w:rPr>
          <w:sz w:val="22"/>
          <w:szCs w:val="22"/>
        </w:rPr>
        <w:t>.</w:t>
      </w:r>
    </w:p>
    <w:p w:rsidR="00A1351E" w:rsidRPr="00A1351E" w:rsidRDefault="00A1351E" w:rsidP="00A1351E">
      <w:pPr>
        <w:ind w:left="720"/>
        <w:rPr>
          <w:sz w:val="22"/>
          <w:szCs w:val="22"/>
        </w:rPr>
      </w:pPr>
    </w:p>
    <w:p w:rsidR="00A1351E" w:rsidRPr="00A1351E" w:rsidRDefault="000D6A07" w:rsidP="00A1351E">
      <w:pPr>
        <w:ind w:left="720"/>
        <w:rPr>
          <w:sz w:val="22"/>
          <w:szCs w:val="22"/>
        </w:rPr>
      </w:pPr>
      <w:r>
        <w:rPr>
          <w:i/>
          <w:sz w:val="22"/>
          <w:szCs w:val="22"/>
          <w:lang w:val="el-GR"/>
        </w:rPr>
        <w:t>Φάρμακα που προκαλούν υπονατριαιμία</w:t>
      </w:r>
      <w:r w:rsidR="00A1351E" w:rsidRPr="00A1351E">
        <w:rPr>
          <w:sz w:val="22"/>
          <w:szCs w:val="22"/>
        </w:rPr>
        <w:t xml:space="preserve">: </w:t>
      </w:r>
      <w:r>
        <w:rPr>
          <w:sz w:val="22"/>
          <w:szCs w:val="22"/>
          <w:lang w:val="el-GR"/>
        </w:rPr>
        <w:t xml:space="preserve">Η υπονατριαιμία αποτελεί μία ανεπιθύμητη ενέργεια της φλουοξετίνης. Η χρήση σε συνδυασμό με άλλους παράγοντες που συνδέονται με υπονατριαιμία </w:t>
      </w:r>
      <w:r w:rsidR="00A1351E" w:rsidRPr="00A1351E">
        <w:rPr>
          <w:sz w:val="22"/>
          <w:szCs w:val="22"/>
        </w:rPr>
        <w:t>(</w:t>
      </w:r>
      <w:r w:rsidR="00E12B3F">
        <w:rPr>
          <w:sz w:val="22"/>
          <w:szCs w:val="22"/>
          <w:lang w:val="el-GR"/>
        </w:rPr>
        <w:t>π.χ. διουρητικά, δεσμοπρε</w:t>
      </w:r>
      <w:r w:rsidR="00960D94">
        <w:rPr>
          <w:sz w:val="22"/>
          <w:szCs w:val="22"/>
          <w:lang w:val="el-GR"/>
        </w:rPr>
        <w:t>σίνη, καρβαμαζεπίνη και οξκαρβαζεπίνη</w:t>
      </w:r>
      <w:r w:rsidR="00A1351E" w:rsidRPr="00A1351E">
        <w:rPr>
          <w:sz w:val="22"/>
          <w:szCs w:val="22"/>
        </w:rPr>
        <w:t xml:space="preserve">) </w:t>
      </w:r>
      <w:r>
        <w:rPr>
          <w:sz w:val="22"/>
          <w:szCs w:val="22"/>
          <w:lang w:val="el-GR"/>
        </w:rPr>
        <w:t>μπορεί να οδηγήσει σε αυξημένο κίνδυνο</w:t>
      </w:r>
      <w:r w:rsidR="00A1351E" w:rsidRPr="00A1351E">
        <w:rPr>
          <w:sz w:val="22"/>
          <w:szCs w:val="22"/>
        </w:rPr>
        <w:t xml:space="preserve"> (</w:t>
      </w:r>
      <w:r w:rsidR="00960D94">
        <w:rPr>
          <w:sz w:val="22"/>
          <w:szCs w:val="22"/>
          <w:lang w:val="el-GR"/>
        </w:rPr>
        <w:t>βλ. παράγραφο</w:t>
      </w:r>
      <w:r w:rsidR="00A1351E" w:rsidRPr="00A1351E">
        <w:rPr>
          <w:sz w:val="22"/>
          <w:szCs w:val="22"/>
        </w:rPr>
        <w:t xml:space="preserve"> 4.8).</w:t>
      </w:r>
    </w:p>
    <w:p w:rsidR="00A1351E" w:rsidRPr="00A1351E" w:rsidRDefault="00A1351E" w:rsidP="00A1351E">
      <w:pPr>
        <w:ind w:left="720"/>
        <w:rPr>
          <w:sz w:val="22"/>
          <w:szCs w:val="22"/>
        </w:rPr>
      </w:pPr>
    </w:p>
    <w:p w:rsidR="00A1351E" w:rsidRPr="00A1351E" w:rsidRDefault="000D6A07" w:rsidP="00A1351E">
      <w:pPr>
        <w:ind w:left="720"/>
        <w:rPr>
          <w:sz w:val="22"/>
          <w:szCs w:val="22"/>
        </w:rPr>
      </w:pPr>
      <w:r>
        <w:rPr>
          <w:i/>
          <w:sz w:val="22"/>
          <w:szCs w:val="22"/>
          <w:lang w:val="el-GR"/>
        </w:rPr>
        <w:t>Φάρμακα που μειώνουν την ουδό των επιληπτικών σπασμών</w:t>
      </w:r>
      <w:r w:rsidR="00A1351E" w:rsidRPr="00A1351E">
        <w:rPr>
          <w:i/>
          <w:sz w:val="22"/>
          <w:szCs w:val="22"/>
        </w:rPr>
        <w:t xml:space="preserve">: </w:t>
      </w:r>
      <w:r>
        <w:rPr>
          <w:sz w:val="22"/>
          <w:szCs w:val="22"/>
          <w:lang w:val="el-GR"/>
        </w:rPr>
        <w:t>Οι επιληπτικές κρίσεις αποτελούν μία ανεπιθύμητη ενέργεια της φλουοξετίνης.</w:t>
      </w:r>
      <w:r w:rsidR="00A1351E" w:rsidRPr="00A1351E">
        <w:rPr>
          <w:sz w:val="22"/>
          <w:szCs w:val="22"/>
        </w:rPr>
        <w:t xml:space="preserve"> </w:t>
      </w:r>
      <w:r w:rsidR="003815EC">
        <w:rPr>
          <w:sz w:val="22"/>
          <w:szCs w:val="22"/>
          <w:lang w:val="el-GR"/>
        </w:rPr>
        <w:t>Η χρήση σε συνδυασμό με άλλους παράγοντες που μπορεί να ελαττώσουν την ουδό των επιληπτικών σπασμών</w:t>
      </w:r>
      <w:r w:rsidR="00A1351E" w:rsidRPr="00A1351E">
        <w:rPr>
          <w:sz w:val="22"/>
          <w:szCs w:val="22"/>
        </w:rPr>
        <w:t xml:space="preserve"> (</w:t>
      </w:r>
      <w:r w:rsidR="003815EC">
        <w:rPr>
          <w:sz w:val="22"/>
          <w:szCs w:val="22"/>
          <w:lang w:val="el-GR"/>
        </w:rPr>
        <w:t>για παράδειγμα τρικυκλικά αντικαταθλιπτικά</w:t>
      </w:r>
      <w:r w:rsidR="00960D94">
        <w:rPr>
          <w:sz w:val="22"/>
          <w:szCs w:val="22"/>
          <w:lang w:val="el-GR"/>
        </w:rPr>
        <w:t>, άλλοι</w:t>
      </w:r>
      <w:r w:rsidR="00A1351E" w:rsidRPr="00A1351E">
        <w:rPr>
          <w:sz w:val="22"/>
          <w:szCs w:val="22"/>
        </w:rPr>
        <w:t xml:space="preserve"> SSRIs,</w:t>
      </w:r>
      <w:r w:rsidR="00960D94">
        <w:rPr>
          <w:sz w:val="22"/>
          <w:szCs w:val="22"/>
          <w:lang w:val="el-GR"/>
        </w:rPr>
        <w:t xml:space="preserve"> φαινοθειαζίνες, βουτυροφαινόνες, μεφλοκίνη, χλωροκίνη, βουπροπιόνη, τραμαδόλη</w:t>
      </w:r>
      <w:r w:rsidR="00A1351E" w:rsidRPr="00A1351E">
        <w:rPr>
          <w:sz w:val="22"/>
          <w:szCs w:val="22"/>
        </w:rPr>
        <w:t xml:space="preserve">) </w:t>
      </w:r>
      <w:r w:rsidR="003815EC">
        <w:rPr>
          <w:sz w:val="22"/>
          <w:szCs w:val="22"/>
          <w:lang w:val="el-GR"/>
        </w:rPr>
        <w:t>μπορεί να οδηγήσει σε αυξημένο κίνδυνο</w:t>
      </w:r>
      <w:r w:rsidR="00A1351E" w:rsidRPr="00A1351E">
        <w:rPr>
          <w:sz w:val="22"/>
          <w:szCs w:val="22"/>
        </w:rPr>
        <w:t>.</w:t>
      </w:r>
    </w:p>
    <w:p w:rsidR="00A1351E" w:rsidRPr="00A1351E" w:rsidRDefault="00A1351E" w:rsidP="00A1351E">
      <w:pPr>
        <w:ind w:left="720"/>
        <w:rPr>
          <w:sz w:val="22"/>
          <w:szCs w:val="22"/>
        </w:rPr>
      </w:pPr>
    </w:p>
    <w:p w:rsidR="00A1351E" w:rsidRPr="00A1351E" w:rsidRDefault="003815EC" w:rsidP="00A1351E">
      <w:pPr>
        <w:ind w:left="720"/>
        <w:rPr>
          <w:sz w:val="22"/>
          <w:szCs w:val="22"/>
        </w:rPr>
      </w:pPr>
      <w:r>
        <w:rPr>
          <w:i/>
          <w:sz w:val="22"/>
          <w:szCs w:val="22"/>
          <w:lang w:val="el-GR"/>
        </w:rPr>
        <w:t>Άλλα φάρμακα που μεταβολίζονται από το</w:t>
      </w:r>
      <w:r w:rsidR="00A1351E" w:rsidRPr="00A1351E">
        <w:rPr>
          <w:i/>
          <w:sz w:val="22"/>
          <w:szCs w:val="22"/>
        </w:rPr>
        <w:t xml:space="preserve"> CYP2D6: </w:t>
      </w:r>
      <w:r>
        <w:rPr>
          <w:sz w:val="22"/>
          <w:szCs w:val="22"/>
          <w:lang w:val="el-GR"/>
        </w:rPr>
        <w:t>Η φλουοξετίνη είναι ένας ισχυρός αναστολέας του ενζύμου</w:t>
      </w:r>
      <w:r w:rsidR="00A1351E" w:rsidRPr="00A1351E">
        <w:rPr>
          <w:sz w:val="22"/>
          <w:szCs w:val="22"/>
        </w:rPr>
        <w:t xml:space="preserve"> CYP2D6</w:t>
      </w:r>
      <w:r>
        <w:rPr>
          <w:sz w:val="22"/>
          <w:szCs w:val="22"/>
          <w:lang w:val="el-GR"/>
        </w:rPr>
        <w:t xml:space="preserve">, συνεπώς η ταυτόχρονη θεραπεία με φάρμακα που επίσης μεταβολίζονται από αυτό το ενζυμικό σύστημα μπορεί να οδηγήσει σε φαρμακευτικές αλληλεπιδράσεις, κυρίως με φάρμακα που έχουν στενό θεραπευτικό δείκτη </w:t>
      </w:r>
      <w:r w:rsidR="00A1351E" w:rsidRPr="00A1351E">
        <w:rPr>
          <w:sz w:val="22"/>
          <w:szCs w:val="22"/>
        </w:rPr>
        <w:t>(</w:t>
      </w:r>
      <w:r w:rsidR="00A3649A">
        <w:rPr>
          <w:sz w:val="22"/>
          <w:szCs w:val="22"/>
          <w:lang w:val="el-GR"/>
        </w:rPr>
        <w:t>όπως φλεκαϊνίδη, προπαφαινόνη και νεμπιβολόλη</w:t>
      </w:r>
      <w:r w:rsidR="00A1351E" w:rsidRPr="00A1351E">
        <w:rPr>
          <w:sz w:val="22"/>
          <w:szCs w:val="22"/>
        </w:rPr>
        <w:t xml:space="preserve">) </w:t>
      </w:r>
      <w:r>
        <w:rPr>
          <w:sz w:val="22"/>
          <w:szCs w:val="22"/>
          <w:lang w:val="el-GR"/>
        </w:rPr>
        <w:t>καθώς και με φάρμακα στα οποία γίνεται τιτλοποίηση της δόσης και επίσης με</w:t>
      </w:r>
      <w:r w:rsidR="00A1351E" w:rsidRPr="00A1351E">
        <w:rPr>
          <w:sz w:val="22"/>
          <w:szCs w:val="22"/>
        </w:rPr>
        <w:t xml:space="preserve"> </w:t>
      </w:r>
      <w:r w:rsidR="00A3649A">
        <w:rPr>
          <w:sz w:val="22"/>
          <w:szCs w:val="22"/>
          <w:lang w:val="el-GR"/>
        </w:rPr>
        <w:t>ατομοξετίνη, καρβαμαζεπίνη, τρικυκλικά αντικαταθλιπτικά και ρισπεριδόνη</w:t>
      </w:r>
      <w:r w:rsidR="00A1351E" w:rsidRPr="00A1351E">
        <w:rPr>
          <w:sz w:val="22"/>
          <w:szCs w:val="22"/>
        </w:rPr>
        <w:t xml:space="preserve">. </w:t>
      </w:r>
      <w:r>
        <w:rPr>
          <w:sz w:val="22"/>
          <w:szCs w:val="22"/>
          <w:lang w:val="el-GR"/>
        </w:rPr>
        <w:t>Τα φάρμακα αυτά θα πρέπει να ξεκινούν ή η δόση τους να ρυθμίζεται στο κατώτερο όριο του δοσολογικού τους εύρους. Αυτό ισχύει επίσης στην περίπτωση που η φλουοξετίνη λήφθηκε εντός των προηγούμενων 5 εβδομάδων</w:t>
      </w:r>
      <w:r w:rsidR="00A1351E" w:rsidRPr="00A1351E">
        <w:rPr>
          <w:sz w:val="22"/>
          <w:szCs w:val="22"/>
        </w:rPr>
        <w:t>.</w:t>
      </w:r>
    </w:p>
    <w:p w:rsidR="00F16739" w:rsidRPr="0032564F" w:rsidRDefault="00F16739" w:rsidP="00045D24">
      <w:pPr>
        <w:ind w:left="720" w:hanging="720"/>
        <w:rPr>
          <w:sz w:val="22"/>
          <w:szCs w:val="22"/>
          <w:lang w:val="el-GR"/>
        </w:rPr>
      </w:pPr>
    </w:p>
    <w:p w:rsidR="00F16739" w:rsidRPr="0032564F" w:rsidRDefault="00F16739" w:rsidP="00045D24">
      <w:pPr>
        <w:rPr>
          <w:b/>
          <w:color w:val="000000"/>
          <w:sz w:val="22"/>
          <w:szCs w:val="22"/>
          <w:lang w:val="el-GR"/>
        </w:rPr>
      </w:pPr>
      <w:r w:rsidRPr="0032564F">
        <w:rPr>
          <w:b/>
          <w:color w:val="000000"/>
          <w:sz w:val="22"/>
          <w:szCs w:val="22"/>
          <w:lang w:val="el-GR"/>
        </w:rPr>
        <w:t>4.6</w:t>
      </w:r>
      <w:r w:rsidRPr="0032564F">
        <w:rPr>
          <w:b/>
          <w:color w:val="000000"/>
          <w:sz w:val="22"/>
          <w:szCs w:val="22"/>
          <w:lang w:val="el-GR"/>
        </w:rPr>
        <w:tab/>
      </w:r>
      <w:r w:rsidR="00A046F5" w:rsidRPr="0032564F">
        <w:rPr>
          <w:b/>
          <w:color w:val="000000"/>
          <w:sz w:val="22"/>
          <w:szCs w:val="22"/>
          <w:lang w:val="el-GR"/>
        </w:rPr>
        <w:t>Γονιμότητα, κ</w:t>
      </w:r>
      <w:r w:rsidRPr="0032564F">
        <w:rPr>
          <w:b/>
          <w:color w:val="000000"/>
          <w:sz w:val="22"/>
          <w:szCs w:val="22"/>
          <w:lang w:val="el-GR"/>
        </w:rPr>
        <w:t>ύηση και γαλουχία</w:t>
      </w:r>
    </w:p>
    <w:p w:rsidR="00F16739" w:rsidRPr="0032564F" w:rsidRDefault="00F16739" w:rsidP="00045D24">
      <w:pPr>
        <w:ind w:left="720"/>
        <w:rPr>
          <w:color w:val="000000"/>
          <w:sz w:val="22"/>
          <w:szCs w:val="22"/>
          <w:lang w:val="el-GR"/>
        </w:rPr>
      </w:pPr>
    </w:p>
    <w:p w:rsidR="00A046F5" w:rsidRPr="00415D90" w:rsidRDefault="00415D90" w:rsidP="00045D24">
      <w:pPr>
        <w:ind w:left="720"/>
        <w:rPr>
          <w:sz w:val="22"/>
          <w:szCs w:val="22"/>
          <w:lang w:val="el-GR"/>
        </w:rPr>
      </w:pPr>
      <w:r w:rsidRPr="00415D90">
        <w:rPr>
          <w:sz w:val="22"/>
          <w:szCs w:val="22"/>
          <w:u w:val="single"/>
          <w:lang w:val="el-GR"/>
        </w:rPr>
        <w:t>Εγκυμοσύνη</w:t>
      </w:r>
    </w:p>
    <w:p w:rsidR="00C81509" w:rsidRDefault="00C81509" w:rsidP="00045D24">
      <w:pPr>
        <w:ind w:left="720"/>
        <w:rPr>
          <w:sz w:val="22"/>
          <w:szCs w:val="22"/>
          <w:lang w:val="el-GR"/>
        </w:rPr>
      </w:pPr>
      <w:r w:rsidRPr="0032564F">
        <w:rPr>
          <w:sz w:val="22"/>
          <w:szCs w:val="22"/>
          <w:lang w:val="el-GR"/>
        </w:rPr>
        <w:t xml:space="preserve">Ορισμένες επιδημιολογικές μελέτες υποδηλώνουν αυξημένο κίνδυνο εμφάνισης καρδιαγγειακών ανωμαλιών που συσχετίζονται με τη χρήση της φλουοξετίνης κατά το πρώτο τρίμηνο της κύησης. Ο υποκείμενος μηχανισμός είναι άγνωστος. Επί του συνόλου, τα δεδομένα υποδηλώνουν πως η συχνότητα που αντιστοιχεί στον κίνδυνο γέννησης ενός βρέφους με καρδιαγγειακή ανωμαλία όταν η μητέρα εκτέθηκε σε </w:t>
      </w:r>
      <w:r w:rsidRPr="0032564F">
        <w:rPr>
          <w:sz w:val="22"/>
          <w:szCs w:val="22"/>
          <w:lang w:val="el-GR"/>
        </w:rPr>
        <w:lastRenderedPageBreak/>
        <w:t>φλουοξετίνη είναι περίπου 2/100, σε σύγκριση με αναμενόμενη συχνότητα περίπου 1/100 για αυτού του είδους τις ανωμαλίες στο γενικό πληθυσμό.</w:t>
      </w:r>
    </w:p>
    <w:p w:rsidR="00045D24" w:rsidRDefault="00045D24" w:rsidP="00045D24">
      <w:pPr>
        <w:ind w:left="720"/>
        <w:rPr>
          <w:sz w:val="22"/>
          <w:szCs w:val="22"/>
          <w:lang w:val="el-GR"/>
        </w:rPr>
      </w:pPr>
    </w:p>
    <w:p w:rsidR="000C3801" w:rsidRPr="000C3801" w:rsidRDefault="000C3801" w:rsidP="00045D24">
      <w:pPr>
        <w:ind w:left="720"/>
        <w:rPr>
          <w:sz w:val="22"/>
          <w:szCs w:val="22"/>
          <w:lang w:val="el-GR"/>
        </w:rPr>
      </w:pPr>
      <w:r w:rsidRPr="000C3801">
        <w:rPr>
          <w:sz w:val="22"/>
          <w:szCs w:val="22"/>
          <w:lang w:val="el-GR"/>
        </w:rPr>
        <w:t>Tα επιδημιολογικά δεδομένα υποδηλώνουν πως η χρήση των SSRIs κατά την κύηση, ιδιαίτερα κατά το τελικό στάδιο της κύησης, είναι πιθανό να αυξήσει τον κίνδυνο επίμονης πνευμονικής υπέρτασης του νεογνού (PPHN). Ο κίνδυνος που παρατηρήθηκε αφορούσε σε περίπου 5 περιστατικά ανά 1000 κυήσεις. Στο γενικό πληθυσμό, σημειώνονται 1 έως 2 περιστατικά PPHN ανά 1000 κυήσεις.</w:t>
      </w:r>
    </w:p>
    <w:p w:rsidR="00C81509" w:rsidRPr="00045D24" w:rsidRDefault="00C81509" w:rsidP="00045D24">
      <w:pPr>
        <w:rPr>
          <w:sz w:val="22"/>
          <w:szCs w:val="22"/>
          <w:lang w:val="el-GR"/>
        </w:rPr>
      </w:pPr>
    </w:p>
    <w:p w:rsidR="00C81509" w:rsidRPr="0032564F" w:rsidRDefault="00C81509" w:rsidP="00045D24">
      <w:pPr>
        <w:autoSpaceDE w:val="0"/>
        <w:autoSpaceDN w:val="0"/>
        <w:adjustRightInd w:val="0"/>
        <w:ind w:left="720"/>
        <w:rPr>
          <w:sz w:val="22"/>
          <w:szCs w:val="22"/>
          <w:lang w:val="el-GR"/>
        </w:rPr>
      </w:pPr>
      <w:r w:rsidRPr="0032564F">
        <w:rPr>
          <w:sz w:val="22"/>
          <w:szCs w:val="22"/>
          <w:lang w:val="el-GR"/>
        </w:rPr>
        <w:t xml:space="preserve">Επιπλέον, </w:t>
      </w:r>
      <w:r w:rsidR="00FA3633" w:rsidRPr="0032564F">
        <w:rPr>
          <w:sz w:val="22"/>
          <w:szCs w:val="22"/>
          <w:lang w:val="el-GR"/>
        </w:rPr>
        <w:t xml:space="preserve">παρόλο που </w:t>
      </w:r>
      <w:r w:rsidRPr="0032564F">
        <w:rPr>
          <w:sz w:val="22"/>
          <w:szCs w:val="22"/>
          <w:lang w:val="el-GR"/>
        </w:rPr>
        <w:t>η φλουοξετίνη χρησιμοποιείται κατά τη διάρκεια της κύησης, θα πρέπει να επιδεικνύεται προσοχή, ιδιαίτερα κατά το τελικό στάδιο της κύησης ή λίγο πριν την έναρξη του τοκετού, επειδή έχουν αναφερθεί οι ακόλουθες ανεπιθύμητες ενέργειες στα νεογνά: ευερεθιστότητα, τρόμος, υποτονία, επίμονο κλάμα, δυσκολία θηλασμού ή ύπνου. Αυτά τα συμπτώματα μπορεί να είναι ενδεικτικά είτε σεροτονινεργικών επιδράσεων ή συνδρόμου απόσυρσης. Ο χρόνος εμφάνισης και η διάρκεια αυτών των συμπτωμάτων ενδέχεται να σχετίζονται με τη μακρά ημιπερίοδο ζωής της φλουοξετίνης (4-6 ημέρες) και του ενεργού της μεταβολίτη, της νορ-φλουοξετίνης (4-16 ημέρες).</w:t>
      </w:r>
    </w:p>
    <w:p w:rsidR="00FA3633" w:rsidRPr="0032564F" w:rsidRDefault="00FA3633" w:rsidP="00045D24">
      <w:pPr>
        <w:autoSpaceDE w:val="0"/>
        <w:autoSpaceDN w:val="0"/>
        <w:adjustRightInd w:val="0"/>
        <w:ind w:left="720"/>
        <w:rPr>
          <w:sz w:val="22"/>
          <w:szCs w:val="22"/>
          <w:lang w:val="el-GR"/>
        </w:rPr>
      </w:pPr>
    </w:p>
    <w:p w:rsidR="00FA3633" w:rsidRPr="00045D24" w:rsidRDefault="00722180" w:rsidP="00045D24">
      <w:pPr>
        <w:pStyle w:val="MGGTextLeft"/>
        <w:ind w:firstLine="720"/>
        <w:rPr>
          <w:sz w:val="22"/>
          <w:szCs w:val="22"/>
          <w:u w:val="single"/>
          <w:lang w:val="el-GR"/>
        </w:rPr>
      </w:pPr>
      <w:r>
        <w:rPr>
          <w:iCs/>
          <w:sz w:val="22"/>
          <w:szCs w:val="22"/>
          <w:u w:val="single"/>
          <w:lang w:val="el-GR"/>
        </w:rPr>
        <w:t>Θηλασμός</w:t>
      </w:r>
    </w:p>
    <w:p w:rsidR="00FA3633" w:rsidRPr="00045D24" w:rsidRDefault="00D5452C" w:rsidP="00045D24">
      <w:pPr>
        <w:autoSpaceDE w:val="0"/>
        <w:autoSpaceDN w:val="0"/>
        <w:adjustRightInd w:val="0"/>
        <w:ind w:left="720"/>
        <w:rPr>
          <w:sz w:val="22"/>
          <w:szCs w:val="22"/>
          <w:lang w:val="el-GR"/>
        </w:rPr>
      </w:pPr>
      <w:r w:rsidRPr="0032564F">
        <w:rPr>
          <w:sz w:val="22"/>
          <w:szCs w:val="22"/>
          <w:lang w:val="el-GR"/>
        </w:rPr>
        <w:t xml:space="preserve">Είναι γνωστό ότι η φλουοξετίνη και ο μεταβολίτης της, νορφλουοξετίνη, απεκκρίνονται στο μητρικό γάλα. Ανεπιθύμητα συμβάντα έχουν αναφερθεί σε νεογνά που θηλάζουν. Εάν η θεραπεία με φλουοξετίνη θεωρείται απαραίτητη, θα πρέπει να εξετάζεται το ενδεχόμενο διακοπής της γαλουχίας, αλλά εάν συνεχιστεί η γαλουχία, θα πρέπει να συνταγογραφείται η χαμηλότερη αποτελεσματική δόση φλουοξετίνης. </w:t>
      </w:r>
    </w:p>
    <w:p w:rsidR="00FA3633" w:rsidRPr="00045D24" w:rsidRDefault="00FA3633" w:rsidP="00045D24">
      <w:pPr>
        <w:pStyle w:val="MGGTextLeft"/>
        <w:rPr>
          <w:sz w:val="22"/>
          <w:szCs w:val="22"/>
          <w:lang w:val="el-GR"/>
        </w:rPr>
      </w:pPr>
    </w:p>
    <w:p w:rsidR="00FA3633" w:rsidRPr="00045D24" w:rsidRDefault="00C61242" w:rsidP="00045D24">
      <w:pPr>
        <w:pStyle w:val="MGGTextLeft"/>
        <w:ind w:firstLine="720"/>
        <w:rPr>
          <w:sz w:val="22"/>
          <w:szCs w:val="22"/>
          <w:u w:val="single"/>
          <w:lang w:val="el-GR"/>
        </w:rPr>
      </w:pPr>
      <w:r w:rsidRPr="0032564F">
        <w:rPr>
          <w:sz w:val="22"/>
          <w:szCs w:val="22"/>
          <w:u w:val="single"/>
          <w:lang w:val="el-GR"/>
        </w:rPr>
        <w:t>Γονιμότητα</w:t>
      </w:r>
    </w:p>
    <w:p w:rsidR="00D5452C" w:rsidRPr="0032564F" w:rsidRDefault="00D5452C" w:rsidP="00045D24">
      <w:pPr>
        <w:ind w:left="720"/>
        <w:rPr>
          <w:sz w:val="22"/>
          <w:szCs w:val="22"/>
          <w:lang w:val="el-GR"/>
        </w:rPr>
      </w:pPr>
      <w:r w:rsidRPr="0032564F">
        <w:rPr>
          <w:sz w:val="22"/>
          <w:szCs w:val="22"/>
          <w:lang w:val="el-GR"/>
        </w:rPr>
        <w:t>Τα δεδομένα από μελέτες σε ζώα έδειξαν πως η φλουοξετίνη μπορεί να επηρεάσει την ποιότητα του σπέρματος (</w:t>
      </w:r>
      <w:r w:rsidR="006A6C86">
        <w:rPr>
          <w:sz w:val="22"/>
          <w:szCs w:val="22"/>
          <w:lang w:val="el-GR"/>
        </w:rPr>
        <w:t xml:space="preserve">βλ. </w:t>
      </w:r>
      <w:r w:rsidRPr="0032564F">
        <w:rPr>
          <w:sz w:val="22"/>
          <w:szCs w:val="22"/>
          <w:lang w:val="el-GR"/>
        </w:rPr>
        <w:t>παράγραφο 5.3).</w:t>
      </w:r>
    </w:p>
    <w:p w:rsidR="00D5452C" w:rsidRPr="0032564F" w:rsidRDefault="00D5452C" w:rsidP="00045D24">
      <w:pPr>
        <w:ind w:left="720"/>
        <w:rPr>
          <w:sz w:val="22"/>
          <w:szCs w:val="22"/>
          <w:lang w:val="el-GR"/>
        </w:rPr>
      </w:pPr>
      <w:r w:rsidRPr="0032564F">
        <w:rPr>
          <w:sz w:val="22"/>
          <w:szCs w:val="22"/>
          <w:lang w:val="el-GR"/>
        </w:rPr>
        <w:t>Οι αναφορές ανθρώπινων περιστατικών με μερικούς SSRIs έδειξαν πως η επίδραση στην ποιότητα του σπέρματος είναι αναστρέψιμη. Δεν έχει παρατηρηθεί μέχρι στιγμής επίπτωση στην ανθρώπινη γονιμότητα.</w:t>
      </w:r>
    </w:p>
    <w:p w:rsidR="00FA3633" w:rsidRPr="0032564F" w:rsidRDefault="00FA3633" w:rsidP="00045D24">
      <w:pPr>
        <w:autoSpaceDE w:val="0"/>
        <w:autoSpaceDN w:val="0"/>
        <w:adjustRightInd w:val="0"/>
        <w:ind w:left="720"/>
        <w:rPr>
          <w:sz w:val="22"/>
          <w:szCs w:val="22"/>
          <w:lang w:val="en-US"/>
        </w:rPr>
      </w:pPr>
    </w:p>
    <w:p w:rsidR="00F16739" w:rsidRPr="0032564F" w:rsidRDefault="00F16739" w:rsidP="00045D24">
      <w:pPr>
        <w:rPr>
          <w:b/>
          <w:sz w:val="22"/>
          <w:szCs w:val="22"/>
          <w:lang w:val="el-GR"/>
        </w:rPr>
      </w:pPr>
      <w:r w:rsidRPr="0032564F">
        <w:rPr>
          <w:b/>
          <w:sz w:val="22"/>
          <w:szCs w:val="22"/>
          <w:lang w:val="el-GR"/>
        </w:rPr>
        <w:t>4.7</w:t>
      </w:r>
      <w:r w:rsidRPr="0032564F">
        <w:rPr>
          <w:b/>
          <w:sz w:val="22"/>
          <w:szCs w:val="22"/>
          <w:lang w:val="el-GR"/>
        </w:rPr>
        <w:tab/>
        <w:t>Επιδράσεις στην ικανότητα οδήγησης και χειρισμού μηχανών</w:t>
      </w:r>
    </w:p>
    <w:p w:rsidR="00F16739" w:rsidRPr="0032564F" w:rsidRDefault="00F16739" w:rsidP="00045D24">
      <w:pPr>
        <w:ind w:left="540"/>
        <w:rPr>
          <w:sz w:val="22"/>
          <w:szCs w:val="22"/>
          <w:lang w:val="el-GR"/>
        </w:rPr>
      </w:pPr>
    </w:p>
    <w:p w:rsidR="00F16739" w:rsidRPr="0032564F" w:rsidRDefault="00B72E96" w:rsidP="00045D24">
      <w:pPr>
        <w:ind w:left="720"/>
        <w:rPr>
          <w:sz w:val="22"/>
          <w:szCs w:val="22"/>
          <w:lang w:val="el-GR"/>
        </w:rPr>
      </w:pPr>
      <w:r>
        <w:rPr>
          <w:sz w:val="22"/>
          <w:szCs w:val="22"/>
          <w:lang w:val="el-GR"/>
        </w:rPr>
        <w:t>Η φλουοξετίνη έχει μηδενική ή αμελητέα επίδραση στην ικανότητα οδήγησης και χειρισμού μηχανών</w:t>
      </w:r>
      <w:r w:rsidR="00A1351E" w:rsidRPr="00A1351E">
        <w:rPr>
          <w:sz w:val="22"/>
          <w:szCs w:val="22"/>
        </w:rPr>
        <w:t xml:space="preserve">. </w:t>
      </w:r>
      <w:r w:rsidR="00F16739" w:rsidRPr="0032564F">
        <w:rPr>
          <w:sz w:val="22"/>
          <w:szCs w:val="22"/>
          <w:lang w:val="el-GR"/>
        </w:rPr>
        <w:t xml:space="preserve">Αν και έχει δειχθεί ότι η </w:t>
      </w:r>
      <w:r w:rsidR="00F16739" w:rsidRPr="0032564F">
        <w:rPr>
          <w:color w:val="000000"/>
          <w:sz w:val="22"/>
          <w:szCs w:val="22"/>
          <w:lang w:val="el-GR"/>
        </w:rPr>
        <w:t>φλουοξετίνη</w:t>
      </w:r>
      <w:r w:rsidR="00F16739" w:rsidRPr="0032564F">
        <w:rPr>
          <w:sz w:val="22"/>
          <w:szCs w:val="22"/>
          <w:lang w:val="el-GR"/>
        </w:rPr>
        <w:t xml:space="preserve"> δεν επηρεάζει τις ψυχοκινητικές </w:t>
      </w:r>
      <w:r w:rsidR="00BA4D45" w:rsidRPr="0032564F">
        <w:rPr>
          <w:sz w:val="22"/>
          <w:szCs w:val="22"/>
          <w:lang w:val="el-GR"/>
        </w:rPr>
        <w:t>επιδόσεις</w:t>
      </w:r>
      <w:r w:rsidR="00F16739" w:rsidRPr="0032564F">
        <w:rPr>
          <w:sz w:val="22"/>
          <w:szCs w:val="22"/>
          <w:lang w:val="el-GR"/>
        </w:rPr>
        <w:t xml:space="preserve"> σε υγιείς εθελοντές, κάθε ψυχοδραστικό φάρμακο ενδέχεται να επηρεάσει την κρίση ή τις δεξιότητες. Οι ασθενείς θα πρέπει να ενημερώνονται ώστε να αποφεύγουν την οδήγηση των αυτοκινήτων ή το χειρισμό επικίνδυνων μηχανών, μέχρις ότου βεβαιωθούν επαρκώς ότι η απόδοσή τους δεν έχει επηρεαστεί.</w:t>
      </w:r>
    </w:p>
    <w:p w:rsidR="00F16739" w:rsidRPr="0032564F" w:rsidRDefault="00F16739" w:rsidP="00045D24">
      <w:pPr>
        <w:rPr>
          <w:sz w:val="22"/>
          <w:szCs w:val="22"/>
          <w:lang w:val="el-GR"/>
        </w:rPr>
      </w:pPr>
    </w:p>
    <w:p w:rsidR="00F16739" w:rsidRPr="0032564F" w:rsidRDefault="00F16739" w:rsidP="00045D24">
      <w:pPr>
        <w:rPr>
          <w:b/>
          <w:sz w:val="22"/>
          <w:szCs w:val="22"/>
          <w:lang w:val="el-GR"/>
        </w:rPr>
      </w:pPr>
      <w:r w:rsidRPr="0032564F">
        <w:rPr>
          <w:b/>
          <w:sz w:val="22"/>
          <w:szCs w:val="22"/>
          <w:lang w:val="el-GR"/>
        </w:rPr>
        <w:t>4.8</w:t>
      </w:r>
      <w:r w:rsidRPr="0032564F">
        <w:rPr>
          <w:b/>
          <w:sz w:val="22"/>
          <w:szCs w:val="22"/>
          <w:lang w:val="el-GR"/>
        </w:rPr>
        <w:tab/>
        <w:t>Ανεπιθύμητες ενέργειες</w:t>
      </w:r>
    </w:p>
    <w:p w:rsidR="00F16739" w:rsidRPr="0032564F" w:rsidRDefault="00F16739" w:rsidP="00045D24">
      <w:pPr>
        <w:ind w:left="720" w:hanging="720"/>
        <w:rPr>
          <w:sz w:val="22"/>
          <w:szCs w:val="22"/>
          <w:lang w:val="el-GR"/>
        </w:rPr>
      </w:pPr>
    </w:p>
    <w:p w:rsidR="00A1351E" w:rsidRPr="00833771" w:rsidRDefault="00636441" w:rsidP="00A1351E">
      <w:pPr>
        <w:pStyle w:val="a3"/>
        <w:rPr>
          <w:sz w:val="22"/>
          <w:szCs w:val="22"/>
          <w:u w:val="single"/>
          <w:lang w:val="en-US" w:eastAsia="en-US"/>
        </w:rPr>
      </w:pPr>
      <w:r w:rsidRPr="00833771">
        <w:rPr>
          <w:sz w:val="22"/>
          <w:szCs w:val="22"/>
          <w:u w:val="single"/>
          <w:lang w:val="el-GR" w:eastAsia="en-US"/>
        </w:rPr>
        <w:t>α</w:t>
      </w:r>
      <w:r w:rsidR="00A1351E" w:rsidRPr="00833771">
        <w:rPr>
          <w:sz w:val="22"/>
          <w:szCs w:val="22"/>
          <w:u w:val="single"/>
          <w:lang w:val="en-US" w:eastAsia="en-US"/>
        </w:rPr>
        <w:t xml:space="preserve">) </w:t>
      </w:r>
      <w:r w:rsidR="00B72E96" w:rsidRPr="00833771">
        <w:rPr>
          <w:sz w:val="22"/>
          <w:szCs w:val="22"/>
          <w:u w:val="single"/>
          <w:lang w:val="el-GR" w:eastAsia="en-US"/>
        </w:rPr>
        <w:t>Περίληψη του προφίλ ασφάλειας</w:t>
      </w:r>
    </w:p>
    <w:p w:rsidR="00A1351E" w:rsidRPr="00A1351E" w:rsidRDefault="00A1351E" w:rsidP="00A1351E">
      <w:pPr>
        <w:pStyle w:val="a3"/>
        <w:rPr>
          <w:sz w:val="22"/>
          <w:szCs w:val="22"/>
          <w:lang w:eastAsia="en-US"/>
        </w:rPr>
      </w:pPr>
    </w:p>
    <w:p w:rsidR="0077205A" w:rsidRPr="0032564F" w:rsidRDefault="00AF264D" w:rsidP="00045D24">
      <w:pPr>
        <w:pStyle w:val="a3"/>
        <w:rPr>
          <w:sz w:val="22"/>
          <w:szCs w:val="22"/>
          <w:lang w:val="el-GR"/>
        </w:rPr>
      </w:pPr>
      <w:r w:rsidRPr="0032564F">
        <w:rPr>
          <w:sz w:val="22"/>
          <w:szCs w:val="22"/>
          <w:lang w:val="el-GR" w:eastAsia="en-US"/>
        </w:rPr>
        <w:t>Οι ανεπιθύμητες ενέργειες που αναφέρθηκαν συχνότερα σε ασθενείς που έλαβαν θεραπεία με φλουοξετίνη ήταν κεφαλαλγία, ναυτία, αϋπνία, κόπωση και διάρροια.</w:t>
      </w:r>
      <w:r w:rsidR="00BA4D45" w:rsidRPr="00045D24">
        <w:rPr>
          <w:sz w:val="22"/>
          <w:szCs w:val="22"/>
          <w:lang w:val="el-GR" w:eastAsia="en-US"/>
        </w:rPr>
        <w:t xml:space="preserve"> </w:t>
      </w:r>
      <w:r w:rsidR="0077205A" w:rsidRPr="0032564F">
        <w:rPr>
          <w:sz w:val="22"/>
          <w:szCs w:val="22"/>
          <w:lang w:val="el-GR"/>
        </w:rPr>
        <w:t>Οι ανεπιθύμητες ενέργειες ενδέχεται να μειωθούν στην ένταση και στη συχνότητα εμφάνισής τους με τη συνέχιση της αγωγής και κατά κανόνα δεν οδηγούν σε διακοπή της.</w:t>
      </w:r>
    </w:p>
    <w:p w:rsidR="00BA4D45" w:rsidRPr="004119EB" w:rsidRDefault="00BA4D45" w:rsidP="00045D24">
      <w:pPr>
        <w:pStyle w:val="Default"/>
        <w:rPr>
          <w:rFonts w:eastAsia="Times New Roman"/>
          <w:color w:val="auto"/>
          <w:sz w:val="22"/>
          <w:szCs w:val="22"/>
          <w:lang w:val="el-GR" w:eastAsia="en-US"/>
        </w:rPr>
      </w:pPr>
    </w:p>
    <w:p w:rsidR="004119EB" w:rsidRPr="00833771" w:rsidRDefault="00636441" w:rsidP="004119EB">
      <w:pPr>
        <w:pStyle w:val="Default"/>
        <w:ind w:firstLine="720"/>
        <w:rPr>
          <w:rFonts w:eastAsia="Times New Roman"/>
          <w:color w:val="auto"/>
          <w:sz w:val="22"/>
          <w:szCs w:val="22"/>
          <w:u w:val="single"/>
          <w:lang w:eastAsia="en-US"/>
        </w:rPr>
      </w:pPr>
      <w:r w:rsidRPr="00833771">
        <w:rPr>
          <w:rFonts w:eastAsia="Arial"/>
          <w:position w:val="-1"/>
          <w:sz w:val="22"/>
          <w:szCs w:val="22"/>
          <w:u w:val="single"/>
          <w:lang w:val="el-GR"/>
        </w:rPr>
        <w:t>β</w:t>
      </w:r>
      <w:r w:rsidR="004119EB" w:rsidRPr="00833771">
        <w:rPr>
          <w:rFonts w:eastAsia="Arial"/>
          <w:position w:val="-1"/>
          <w:sz w:val="22"/>
          <w:szCs w:val="22"/>
          <w:u w:val="single"/>
        </w:rPr>
        <w:t xml:space="preserve">) </w:t>
      </w:r>
      <w:r w:rsidR="00B72E96" w:rsidRPr="00833771">
        <w:rPr>
          <w:rFonts w:eastAsia="Arial"/>
          <w:position w:val="-1"/>
          <w:sz w:val="22"/>
          <w:szCs w:val="22"/>
          <w:u w:val="single"/>
          <w:lang w:val="el-GR"/>
        </w:rPr>
        <w:t>Κατάλογος ανεπιθύμητων ενεργειών σε πίνακα</w:t>
      </w:r>
    </w:p>
    <w:p w:rsidR="004119EB" w:rsidRPr="00DC617F" w:rsidRDefault="004119EB" w:rsidP="004119EB">
      <w:pPr>
        <w:spacing w:before="16"/>
      </w:pPr>
    </w:p>
    <w:p w:rsidR="00BA4D45" w:rsidRPr="00045D24" w:rsidRDefault="00AF264D" w:rsidP="00045D24">
      <w:pPr>
        <w:pStyle w:val="Default"/>
        <w:ind w:left="720"/>
        <w:rPr>
          <w:rFonts w:eastAsia="Times New Roman"/>
          <w:color w:val="auto"/>
          <w:sz w:val="22"/>
          <w:szCs w:val="22"/>
          <w:lang w:val="el-GR" w:eastAsia="en-US"/>
        </w:rPr>
      </w:pPr>
      <w:r w:rsidRPr="0032564F">
        <w:rPr>
          <w:rFonts w:eastAsia="Times New Roman"/>
          <w:color w:val="auto"/>
          <w:sz w:val="22"/>
          <w:szCs w:val="22"/>
          <w:lang w:val="el-GR" w:eastAsia="en-US"/>
        </w:rPr>
        <w:lastRenderedPageBreak/>
        <w:t xml:space="preserve">Ο πίνακας που ακολουθεί περιέχει τις ανεπιθύμητες ενέργειες που παρατηρήθηκαν </w:t>
      </w:r>
      <w:r w:rsidR="00B72E96">
        <w:rPr>
          <w:rFonts w:eastAsia="Times New Roman"/>
          <w:color w:val="auto"/>
          <w:sz w:val="22"/>
          <w:szCs w:val="22"/>
          <w:lang w:val="el-GR" w:eastAsia="en-US"/>
        </w:rPr>
        <w:t>με τη θεραπεία της φλουοξετίνης σε ενηλίκους και σε παιδιατρικούς πληθυσμούς</w:t>
      </w:r>
      <w:r w:rsidRPr="0032564F">
        <w:rPr>
          <w:rFonts w:eastAsia="Times New Roman"/>
          <w:color w:val="auto"/>
          <w:sz w:val="22"/>
          <w:szCs w:val="22"/>
          <w:lang w:val="el-GR" w:eastAsia="en-US"/>
        </w:rPr>
        <w:t xml:space="preserve">. Κάποιες από αυτές τις ανεπιθύμητες ενέργειες είναι κοινές με άλλων </w:t>
      </w:r>
      <w:r w:rsidR="00BA4D45" w:rsidRPr="0032564F">
        <w:rPr>
          <w:rFonts w:eastAsia="Times New Roman"/>
          <w:color w:val="auto"/>
          <w:sz w:val="22"/>
          <w:szCs w:val="22"/>
          <w:lang w:eastAsia="en-US"/>
        </w:rPr>
        <w:t>SSRIs</w:t>
      </w:r>
      <w:r w:rsidR="00BA4D45" w:rsidRPr="00045D24">
        <w:rPr>
          <w:rFonts w:eastAsia="Times New Roman"/>
          <w:color w:val="auto"/>
          <w:sz w:val="22"/>
          <w:szCs w:val="22"/>
          <w:lang w:val="el-GR" w:eastAsia="en-US"/>
        </w:rPr>
        <w:t xml:space="preserve">. </w:t>
      </w:r>
    </w:p>
    <w:p w:rsidR="004119EB" w:rsidRPr="004119EB" w:rsidRDefault="004119EB" w:rsidP="004119EB">
      <w:pPr>
        <w:pStyle w:val="Default"/>
        <w:rPr>
          <w:sz w:val="22"/>
          <w:szCs w:val="22"/>
          <w:lang w:eastAsia="en-US"/>
        </w:rPr>
      </w:pPr>
    </w:p>
    <w:p w:rsidR="004119EB" w:rsidRPr="004119EB" w:rsidRDefault="00773A1B" w:rsidP="004119EB">
      <w:pPr>
        <w:pStyle w:val="Default"/>
        <w:ind w:left="720"/>
        <w:rPr>
          <w:sz w:val="22"/>
          <w:szCs w:val="22"/>
          <w:lang w:val="en-US" w:eastAsia="en-US"/>
        </w:rPr>
      </w:pPr>
      <w:r>
        <w:rPr>
          <w:sz w:val="22"/>
          <w:szCs w:val="22"/>
          <w:lang w:val="el-GR" w:eastAsia="en-US"/>
        </w:rPr>
        <w:t>Οι παρακάτω συχνότητες υπολογίστηκαν από κλινικές μελέτες σε ενήλικες</w:t>
      </w:r>
      <w:r w:rsidR="004119EB" w:rsidRPr="004119EB">
        <w:rPr>
          <w:sz w:val="22"/>
          <w:szCs w:val="22"/>
          <w:lang w:val="en-US" w:eastAsia="en-US"/>
        </w:rPr>
        <w:t xml:space="preserve"> (n = 9297) </w:t>
      </w:r>
      <w:r>
        <w:rPr>
          <w:sz w:val="22"/>
          <w:szCs w:val="22"/>
          <w:lang w:val="el-GR" w:eastAsia="en-US"/>
        </w:rPr>
        <w:t>και από αυθόρμητες αναφορές</w:t>
      </w:r>
      <w:r w:rsidR="004119EB" w:rsidRPr="004119EB">
        <w:rPr>
          <w:sz w:val="22"/>
          <w:szCs w:val="22"/>
          <w:lang w:val="en-US" w:eastAsia="en-US"/>
        </w:rPr>
        <w:t>.</w:t>
      </w:r>
    </w:p>
    <w:p w:rsidR="00BA4D45" w:rsidRPr="00045D24" w:rsidRDefault="00BA4D45" w:rsidP="00045D24">
      <w:pPr>
        <w:pStyle w:val="Default"/>
        <w:rPr>
          <w:rFonts w:eastAsia="Times New Roman"/>
          <w:color w:val="auto"/>
          <w:sz w:val="22"/>
          <w:szCs w:val="22"/>
          <w:lang w:val="el-GR" w:eastAsia="en-US"/>
        </w:rPr>
      </w:pPr>
    </w:p>
    <w:p w:rsidR="00BA4D45" w:rsidRPr="00045D24" w:rsidRDefault="00AF264D" w:rsidP="00045D24">
      <w:pPr>
        <w:pStyle w:val="Default"/>
        <w:ind w:left="720"/>
        <w:rPr>
          <w:rFonts w:eastAsia="Times New Roman"/>
          <w:color w:val="auto"/>
          <w:sz w:val="22"/>
          <w:szCs w:val="22"/>
          <w:lang w:val="el-GR" w:eastAsia="en-US"/>
        </w:rPr>
      </w:pPr>
      <w:r w:rsidRPr="0032564F">
        <w:rPr>
          <w:rFonts w:eastAsia="Times New Roman"/>
          <w:color w:val="auto"/>
          <w:sz w:val="22"/>
          <w:szCs w:val="22"/>
          <w:lang w:val="el-GR" w:eastAsia="en-US"/>
        </w:rPr>
        <w:t>Εκτίμηση συχνότητας εμφάνισης</w:t>
      </w:r>
      <w:r w:rsidR="00BA4D45" w:rsidRPr="00045D24">
        <w:rPr>
          <w:rFonts w:eastAsia="Times New Roman"/>
          <w:color w:val="auto"/>
          <w:sz w:val="22"/>
          <w:szCs w:val="22"/>
          <w:lang w:val="el-GR" w:eastAsia="en-US"/>
        </w:rPr>
        <w:t xml:space="preserve">: </w:t>
      </w:r>
      <w:r w:rsidR="00722E2B" w:rsidRPr="0032564F">
        <w:rPr>
          <w:rFonts w:eastAsia="Times New Roman"/>
          <w:color w:val="auto"/>
          <w:sz w:val="22"/>
          <w:szCs w:val="22"/>
          <w:lang w:val="el-GR" w:eastAsia="en-US"/>
        </w:rPr>
        <w:t>Πολύ συχνές</w:t>
      </w:r>
      <w:r w:rsidR="00BA4D45" w:rsidRPr="00045D24">
        <w:rPr>
          <w:rFonts w:eastAsia="Times New Roman"/>
          <w:color w:val="auto"/>
          <w:sz w:val="22"/>
          <w:szCs w:val="22"/>
          <w:lang w:val="el-GR" w:eastAsia="en-US"/>
        </w:rPr>
        <w:t xml:space="preserve"> (</w:t>
      </w:r>
      <w:r w:rsidR="00722180">
        <w:rPr>
          <w:rFonts w:eastAsia="Times New Roman"/>
          <w:color w:val="auto"/>
          <w:lang w:eastAsia="en-US"/>
        </w:rPr>
        <w:t>≥</w:t>
      </w:r>
      <w:r w:rsidR="00722180">
        <w:rPr>
          <w:rFonts w:eastAsia="Times New Roman"/>
          <w:color w:val="auto"/>
          <w:lang w:val="el-GR" w:eastAsia="en-US"/>
        </w:rPr>
        <w:t xml:space="preserve"> </w:t>
      </w:r>
      <w:r w:rsidR="00BA4D45" w:rsidRPr="00045D24">
        <w:rPr>
          <w:rFonts w:eastAsia="Times New Roman"/>
          <w:color w:val="auto"/>
          <w:sz w:val="22"/>
          <w:szCs w:val="22"/>
          <w:lang w:val="el-GR" w:eastAsia="en-US"/>
        </w:rPr>
        <w:t xml:space="preserve">1/10), </w:t>
      </w:r>
      <w:r w:rsidR="00722E2B" w:rsidRPr="0032564F">
        <w:rPr>
          <w:rFonts w:eastAsia="Times New Roman"/>
          <w:color w:val="auto"/>
          <w:sz w:val="22"/>
          <w:szCs w:val="22"/>
          <w:lang w:val="el-GR" w:eastAsia="en-US"/>
        </w:rPr>
        <w:t>συχνές</w:t>
      </w:r>
      <w:r w:rsidR="00BA4D45" w:rsidRPr="00045D24">
        <w:rPr>
          <w:rFonts w:eastAsia="Times New Roman"/>
          <w:color w:val="auto"/>
          <w:sz w:val="22"/>
          <w:szCs w:val="22"/>
          <w:lang w:val="el-GR" w:eastAsia="en-US"/>
        </w:rPr>
        <w:t xml:space="preserve"> (</w:t>
      </w:r>
      <w:r w:rsidR="00722180">
        <w:rPr>
          <w:rFonts w:eastAsia="Times New Roman"/>
          <w:color w:val="auto"/>
          <w:lang w:eastAsia="en-US"/>
        </w:rPr>
        <w:t>≥</w:t>
      </w:r>
      <w:r w:rsidR="00722180">
        <w:rPr>
          <w:rFonts w:eastAsia="Times New Roman"/>
          <w:color w:val="auto"/>
          <w:lang w:val="el-GR" w:eastAsia="en-US"/>
        </w:rPr>
        <w:t xml:space="preserve"> </w:t>
      </w:r>
      <w:r w:rsidR="00BA4D45" w:rsidRPr="00045D24">
        <w:rPr>
          <w:rFonts w:eastAsia="Times New Roman"/>
          <w:color w:val="auto"/>
          <w:sz w:val="22"/>
          <w:szCs w:val="22"/>
          <w:lang w:val="el-GR" w:eastAsia="en-US"/>
        </w:rPr>
        <w:t xml:space="preserve">1/100 </w:t>
      </w:r>
      <w:r w:rsidR="00722E2B" w:rsidRPr="0032564F">
        <w:rPr>
          <w:rFonts w:eastAsia="Times New Roman"/>
          <w:color w:val="auto"/>
          <w:sz w:val="22"/>
          <w:szCs w:val="22"/>
          <w:lang w:val="el-GR" w:eastAsia="en-US"/>
        </w:rPr>
        <w:t>έως</w:t>
      </w:r>
      <w:r w:rsidR="00BA4D45" w:rsidRPr="00045D24">
        <w:rPr>
          <w:rFonts w:eastAsia="Times New Roman"/>
          <w:color w:val="auto"/>
          <w:sz w:val="22"/>
          <w:szCs w:val="22"/>
          <w:lang w:val="el-GR" w:eastAsia="en-US"/>
        </w:rPr>
        <w:t xml:space="preserve"> </w:t>
      </w:r>
      <w:r w:rsidR="005B4136" w:rsidRPr="005B4136">
        <w:rPr>
          <w:rFonts w:eastAsia="Times New Roman"/>
          <w:color w:val="auto"/>
          <w:sz w:val="22"/>
          <w:szCs w:val="22"/>
          <w:lang w:eastAsia="en-US"/>
        </w:rPr>
        <w:t xml:space="preserve">&lt; </w:t>
      </w:r>
      <w:r w:rsidR="00BA4D45" w:rsidRPr="00045D24">
        <w:rPr>
          <w:rFonts w:eastAsia="Times New Roman"/>
          <w:color w:val="auto"/>
          <w:sz w:val="22"/>
          <w:szCs w:val="22"/>
          <w:lang w:val="el-GR" w:eastAsia="en-US"/>
        </w:rPr>
        <w:t xml:space="preserve">1/10), </w:t>
      </w:r>
      <w:r w:rsidR="00722E2B" w:rsidRPr="0032564F">
        <w:rPr>
          <w:rFonts w:eastAsia="Times New Roman"/>
          <w:color w:val="auto"/>
          <w:sz w:val="22"/>
          <w:szCs w:val="22"/>
          <w:lang w:val="el-GR" w:eastAsia="en-US"/>
        </w:rPr>
        <w:t>όχι συχνές</w:t>
      </w:r>
      <w:r w:rsidR="00BA4D45" w:rsidRPr="00045D24">
        <w:rPr>
          <w:rFonts w:eastAsia="Times New Roman"/>
          <w:color w:val="auto"/>
          <w:sz w:val="22"/>
          <w:szCs w:val="22"/>
          <w:lang w:val="el-GR" w:eastAsia="en-US"/>
        </w:rPr>
        <w:t xml:space="preserve"> (</w:t>
      </w:r>
      <w:r w:rsidR="00722180">
        <w:rPr>
          <w:rFonts w:eastAsia="Times New Roman"/>
          <w:color w:val="auto"/>
          <w:lang w:eastAsia="en-US"/>
        </w:rPr>
        <w:t>≥</w:t>
      </w:r>
      <w:r w:rsidR="00722180">
        <w:rPr>
          <w:rFonts w:eastAsia="Times New Roman"/>
          <w:color w:val="auto"/>
          <w:lang w:val="el-GR" w:eastAsia="en-US"/>
        </w:rPr>
        <w:t xml:space="preserve"> </w:t>
      </w:r>
      <w:r w:rsidR="00BA4D45" w:rsidRPr="00045D24">
        <w:rPr>
          <w:rFonts w:eastAsia="Times New Roman"/>
          <w:color w:val="auto"/>
          <w:sz w:val="22"/>
          <w:szCs w:val="22"/>
          <w:lang w:val="el-GR" w:eastAsia="en-US"/>
        </w:rPr>
        <w:t>1/1</w:t>
      </w:r>
      <w:r w:rsidR="00722E2B" w:rsidRPr="0032564F">
        <w:rPr>
          <w:rFonts w:eastAsia="Times New Roman"/>
          <w:color w:val="auto"/>
          <w:sz w:val="22"/>
          <w:szCs w:val="22"/>
          <w:lang w:val="el-GR" w:eastAsia="en-US"/>
        </w:rPr>
        <w:t>.</w:t>
      </w:r>
      <w:r w:rsidR="00BA4D45" w:rsidRPr="00045D24">
        <w:rPr>
          <w:rFonts w:eastAsia="Times New Roman"/>
          <w:color w:val="auto"/>
          <w:sz w:val="22"/>
          <w:szCs w:val="22"/>
          <w:lang w:val="el-GR" w:eastAsia="en-US"/>
        </w:rPr>
        <w:t xml:space="preserve">000 </w:t>
      </w:r>
      <w:r w:rsidR="00722E2B" w:rsidRPr="0032564F">
        <w:rPr>
          <w:rFonts w:eastAsia="Times New Roman"/>
          <w:color w:val="auto"/>
          <w:sz w:val="22"/>
          <w:szCs w:val="22"/>
          <w:lang w:val="el-GR" w:eastAsia="en-US"/>
        </w:rPr>
        <w:t>έως</w:t>
      </w:r>
      <w:r w:rsidR="00BA4D45" w:rsidRPr="00045D24">
        <w:rPr>
          <w:rFonts w:eastAsia="Times New Roman"/>
          <w:color w:val="auto"/>
          <w:sz w:val="22"/>
          <w:szCs w:val="22"/>
          <w:lang w:val="el-GR" w:eastAsia="en-US"/>
        </w:rPr>
        <w:t xml:space="preserve"> </w:t>
      </w:r>
      <w:r w:rsidR="005B4136" w:rsidRPr="005B4136">
        <w:rPr>
          <w:rFonts w:eastAsia="Times New Roman"/>
          <w:color w:val="auto"/>
          <w:sz w:val="22"/>
          <w:szCs w:val="22"/>
          <w:lang w:eastAsia="en-US"/>
        </w:rPr>
        <w:t xml:space="preserve">&lt; </w:t>
      </w:r>
      <w:r w:rsidR="00BA4D45" w:rsidRPr="00045D24">
        <w:rPr>
          <w:rFonts w:eastAsia="Times New Roman"/>
          <w:color w:val="auto"/>
          <w:sz w:val="22"/>
          <w:szCs w:val="22"/>
          <w:lang w:val="el-GR" w:eastAsia="en-US"/>
        </w:rPr>
        <w:t xml:space="preserve">1/100), </w:t>
      </w:r>
      <w:r w:rsidR="00722E2B" w:rsidRPr="0032564F">
        <w:rPr>
          <w:rFonts w:eastAsia="Times New Roman"/>
          <w:color w:val="auto"/>
          <w:sz w:val="22"/>
          <w:szCs w:val="22"/>
          <w:lang w:val="el-GR" w:eastAsia="en-US"/>
        </w:rPr>
        <w:t>σπάνιες</w:t>
      </w:r>
      <w:r w:rsidR="00BA4D45" w:rsidRPr="00045D24">
        <w:rPr>
          <w:rFonts w:eastAsia="Times New Roman"/>
          <w:color w:val="auto"/>
          <w:sz w:val="22"/>
          <w:szCs w:val="22"/>
          <w:lang w:val="el-GR" w:eastAsia="en-US"/>
        </w:rPr>
        <w:t xml:space="preserve"> (</w:t>
      </w:r>
      <w:r w:rsidR="00722180">
        <w:rPr>
          <w:rFonts w:eastAsia="Times New Roman"/>
          <w:color w:val="auto"/>
          <w:lang w:eastAsia="en-US"/>
        </w:rPr>
        <w:t>≥</w:t>
      </w:r>
      <w:r w:rsidR="00722180">
        <w:rPr>
          <w:rFonts w:eastAsia="Times New Roman"/>
          <w:color w:val="auto"/>
          <w:lang w:val="el-GR" w:eastAsia="en-US"/>
        </w:rPr>
        <w:t xml:space="preserve"> </w:t>
      </w:r>
      <w:r w:rsidR="00BA4D45" w:rsidRPr="00045D24">
        <w:rPr>
          <w:rFonts w:eastAsia="Times New Roman"/>
          <w:color w:val="auto"/>
          <w:sz w:val="22"/>
          <w:szCs w:val="22"/>
          <w:lang w:val="el-GR" w:eastAsia="en-US"/>
        </w:rPr>
        <w:t>1/10</w:t>
      </w:r>
      <w:r w:rsidR="00722E2B" w:rsidRPr="0032564F">
        <w:rPr>
          <w:rFonts w:eastAsia="Times New Roman"/>
          <w:color w:val="auto"/>
          <w:sz w:val="22"/>
          <w:szCs w:val="22"/>
          <w:lang w:val="el-GR" w:eastAsia="en-US"/>
        </w:rPr>
        <w:t>.</w:t>
      </w:r>
      <w:r w:rsidR="00BA4D45" w:rsidRPr="00045D24">
        <w:rPr>
          <w:rFonts w:eastAsia="Times New Roman"/>
          <w:color w:val="auto"/>
          <w:sz w:val="22"/>
          <w:szCs w:val="22"/>
          <w:lang w:val="el-GR" w:eastAsia="en-US"/>
        </w:rPr>
        <w:t xml:space="preserve">000 </w:t>
      </w:r>
      <w:r w:rsidR="00722E2B" w:rsidRPr="0032564F">
        <w:rPr>
          <w:rFonts w:eastAsia="Times New Roman"/>
          <w:color w:val="auto"/>
          <w:sz w:val="22"/>
          <w:szCs w:val="22"/>
          <w:lang w:val="el-GR" w:eastAsia="en-US"/>
        </w:rPr>
        <w:t>έως</w:t>
      </w:r>
      <w:r w:rsidR="00BA4D45" w:rsidRPr="00045D24">
        <w:rPr>
          <w:rFonts w:eastAsia="Times New Roman"/>
          <w:color w:val="auto"/>
          <w:sz w:val="22"/>
          <w:szCs w:val="22"/>
          <w:lang w:val="el-GR" w:eastAsia="en-US"/>
        </w:rPr>
        <w:t xml:space="preserve"> </w:t>
      </w:r>
      <w:r w:rsidR="005B4136" w:rsidRPr="005B4136">
        <w:rPr>
          <w:rFonts w:eastAsia="Times New Roman"/>
          <w:color w:val="auto"/>
          <w:sz w:val="22"/>
          <w:szCs w:val="22"/>
          <w:lang w:eastAsia="en-US"/>
        </w:rPr>
        <w:t xml:space="preserve">&lt; </w:t>
      </w:r>
      <w:r w:rsidR="00BA4D45" w:rsidRPr="00045D24">
        <w:rPr>
          <w:rFonts w:eastAsia="Times New Roman"/>
          <w:color w:val="auto"/>
          <w:sz w:val="22"/>
          <w:szCs w:val="22"/>
          <w:lang w:val="el-GR" w:eastAsia="en-US"/>
        </w:rPr>
        <w:t>1/1</w:t>
      </w:r>
      <w:r w:rsidR="00722E2B" w:rsidRPr="0032564F">
        <w:rPr>
          <w:rFonts w:eastAsia="Times New Roman"/>
          <w:color w:val="auto"/>
          <w:sz w:val="22"/>
          <w:szCs w:val="22"/>
          <w:lang w:val="el-GR" w:eastAsia="en-US"/>
        </w:rPr>
        <w:t>.</w:t>
      </w:r>
      <w:r w:rsidR="00BA4D45" w:rsidRPr="00045D24">
        <w:rPr>
          <w:rFonts w:eastAsia="Times New Roman"/>
          <w:color w:val="auto"/>
          <w:sz w:val="22"/>
          <w:szCs w:val="22"/>
          <w:lang w:val="el-GR" w:eastAsia="en-US"/>
        </w:rPr>
        <w:t xml:space="preserve">000), </w:t>
      </w:r>
      <w:r w:rsidR="00722E2B" w:rsidRPr="0032564F">
        <w:rPr>
          <w:rFonts w:eastAsia="Times New Roman"/>
          <w:color w:val="auto"/>
          <w:sz w:val="22"/>
          <w:szCs w:val="22"/>
          <w:lang w:val="el-GR" w:eastAsia="en-US"/>
        </w:rPr>
        <w:t>πολύ σπάνιες</w:t>
      </w:r>
      <w:r w:rsidR="00BA4D45" w:rsidRPr="00045D24">
        <w:rPr>
          <w:rFonts w:eastAsia="Times New Roman"/>
          <w:color w:val="auto"/>
          <w:sz w:val="22"/>
          <w:szCs w:val="22"/>
          <w:lang w:val="el-GR" w:eastAsia="en-US"/>
        </w:rPr>
        <w:t xml:space="preserve"> (&lt;1/10</w:t>
      </w:r>
      <w:r w:rsidR="00722E2B" w:rsidRPr="0032564F">
        <w:rPr>
          <w:rFonts w:eastAsia="Times New Roman"/>
          <w:color w:val="auto"/>
          <w:sz w:val="22"/>
          <w:szCs w:val="22"/>
          <w:lang w:val="el-GR" w:eastAsia="en-US"/>
        </w:rPr>
        <w:t>.</w:t>
      </w:r>
      <w:r w:rsidR="00BA4D45" w:rsidRPr="00045D24">
        <w:rPr>
          <w:rFonts w:eastAsia="Times New Roman"/>
          <w:color w:val="auto"/>
          <w:sz w:val="22"/>
          <w:szCs w:val="22"/>
          <w:lang w:val="el-GR" w:eastAsia="en-US"/>
        </w:rPr>
        <w:t xml:space="preserve">000), </w:t>
      </w:r>
      <w:r w:rsidR="00722E2B" w:rsidRPr="0032564F">
        <w:rPr>
          <w:rFonts w:eastAsia="Times New Roman"/>
          <w:color w:val="auto"/>
          <w:sz w:val="22"/>
          <w:szCs w:val="22"/>
          <w:lang w:val="el-GR" w:eastAsia="en-US"/>
        </w:rPr>
        <w:t>μη γνωστές</w:t>
      </w:r>
      <w:r w:rsidR="00BA4D45" w:rsidRPr="00045D24">
        <w:rPr>
          <w:rFonts w:eastAsia="Times New Roman"/>
          <w:color w:val="auto"/>
          <w:sz w:val="22"/>
          <w:szCs w:val="22"/>
          <w:lang w:val="el-GR" w:eastAsia="en-US"/>
        </w:rPr>
        <w:t xml:space="preserve"> (</w:t>
      </w:r>
      <w:r w:rsidR="00722E2B" w:rsidRPr="0032564F">
        <w:rPr>
          <w:rFonts w:eastAsia="Times New Roman"/>
          <w:color w:val="auto"/>
          <w:sz w:val="22"/>
          <w:szCs w:val="22"/>
          <w:lang w:val="el-GR" w:eastAsia="en-US"/>
        </w:rPr>
        <w:t>δεν μπορούν να εκτιμηθούν από τα διαθέσιμα δεδομένα</w:t>
      </w:r>
      <w:r w:rsidR="00BA4D45" w:rsidRPr="00045D24">
        <w:rPr>
          <w:rFonts w:eastAsia="Times New Roman"/>
          <w:color w:val="auto"/>
          <w:sz w:val="22"/>
          <w:szCs w:val="22"/>
          <w:lang w:val="el-GR" w:eastAsia="en-US"/>
        </w:rPr>
        <w:t xml:space="preserve">). </w:t>
      </w:r>
    </w:p>
    <w:p w:rsidR="00BA4D45" w:rsidRPr="00045D24" w:rsidRDefault="00BA4D45" w:rsidP="00045D24">
      <w:pPr>
        <w:pStyle w:val="Default"/>
        <w:rPr>
          <w:rFonts w:eastAsia="Times New Roman"/>
          <w:color w:val="auto"/>
          <w:sz w:val="22"/>
          <w:szCs w:val="22"/>
          <w:lang w:val="el-GR" w:eastAsia="en-US"/>
        </w:rPr>
      </w:pPr>
    </w:p>
    <w:p w:rsidR="00BA4D45" w:rsidRPr="0032564F" w:rsidRDefault="0032564F" w:rsidP="00045D24">
      <w:pPr>
        <w:pStyle w:val="MGGTextLeft"/>
        <w:ind w:left="720"/>
        <w:rPr>
          <w:sz w:val="22"/>
          <w:szCs w:val="22"/>
          <w:lang w:val="el-GR"/>
        </w:rPr>
      </w:pPr>
      <w:r w:rsidRPr="0032564F">
        <w:rPr>
          <w:sz w:val="22"/>
          <w:szCs w:val="22"/>
          <w:lang w:val="el-GR"/>
        </w:rPr>
        <w:t xml:space="preserve">Εντός κάθε κατηγορίας συχνότητας εμφάνισης, οι ανεπιθύμητες ενέργειες παρατίθενται κατά φθίνουσα σειρά σοβαρότητας. </w:t>
      </w:r>
    </w:p>
    <w:p w:rsidR="0032564F" w:rsidRPr="0032564F" w:rsidRDefault="0032564F" w:rsidP="00045D24">
      <w:pPr>
        <w:pStyle w:val="MGGTextLeft"/>
        <w:ind w:left="720"/>
        <w:rPr>
          <w:sz w:val="22"/>
          <w:szCs w:val="22"/>
          <w:lang w:val="el-GR"/>
        </w:rPr>
      </w:pPr>
    </w:p>
    <w:tbl>
      <w:tblPr>
        <w:tblW w:w="10025"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1693"/>
        <w:gridCol w:w="2041"/>
        <w:gridCol w:w="2356"/>
        <w:gridCol w:w="1185"/>
        <w:gridCol w:w="1440"/>
      </w:tblGrid>
      <w:tr w:rsidR="00CD33C3" w:rsidRPr="0032564F" w:rsidTr="00987B02">
        <w:trPr>
          <w:jc w:val="center"/>
        </w:trPr>
        <w:tc>
          <w:tcPr>
            <w:tcW w:w="1310" w:type="dxa"/>
            <w:shd w:val="clear" w:color="auto" w:fill="auto"/>
          </w:tcPr>
          <w:p w:rsidR="00BA4D45" w:rsidRPr="0032564F" w:rsidRDefault="00724DDC" w:rsidP="00045D24">
            <w:pPr>
              <w:pStyle w:val="MGGTextLeft"/>
              <w:rPr>
                <w:b/>
                <w:sz w:val="22"/>
                <w:szCs w:val="22"/>
                <w:lang w:val="el-GR"/>
              </w:rPr>
            </w:pPr>
            <w:r w:rsidRPr="0032564F">
              <w:rPr>
                <w:b/>
                <w:sz w:val="22"/>
                <w:szCs w:val="22"/>
                <w:lang w:val="el-GR"/>
              </w:rPr>
              <w:t>Πολύ συχνές</w:t>
            </w:r>
          </w:p>
        </w:tc>
        <w:tc>
          <w:tcPr>
            <w:tcW w:w="1693" w:type="dxa"/>
            <w:shd w:val="clear" w:color="auto" w:fill="auto"/>
          </w:tcPr>
          <w:p w:rsidR="00BA4D45" w:rsidRPr="0032564F" w:rsidRDefault="00724DDC" w:rsidP="00045D24">
            <w:pPr>
              <w:pStyle w:val="MGGTextLeft"/>
              <w:rPr>
                <w:b/>
                <w:sz w:val="22"/>
                <w:szCs w:val="22"/>
                <w:lang w:val="el-GR"/>
              </w:rPr>
            </w:pPr>
            <w:r w:rsidRPr="0032564F">
              <w:rPr>
                <w:b/>
                <w:sz w:val="22"/>
                <w:szCs w:val="22"/>
                <w:lang w:val="el-GR"/>
              </w:rPr>
              <w:t>Συχνές</w:t>
            </w:r>
          </w:p>
        </w:tc>
        <w:tc>
          <w:tcPr>
            <w:tcW w:w="2041" w:type="dxa"/>
            <w:shd w:val="clear" w:color="auto" w:fill="auto"/>
          </w:tcPr>
          <w:p w:rsidR="00BA4D45" w:rsidRPr="0032564F" w:rsidRDefault="00724DDC" w:rsidP="00045D24">
            <w:pPr>
              <w:pStyle w:val="MGGTextLeft"/>
              <w:rPr>
                <w:b/>
                <w:sz w:val="22"/>
                <w:szCs w:val="22"/>
                <w:lang w:val="el-GR"/>
              </w:rPr>
            </w:pPr>
            <w:r w:rsidRPr="0032564F">
              <w:rPr>
                <w:b/>
                <w:sz w:val="22"/>
                <w:szCs w:val="22"/>
                <w:lang w:val="el-GR"/>
              </w:rPr>
              <w:t>Όχι συχνές</w:t>
            </w:r>
          </w:p>
        </w:tc>
        <w:tc>
          <w:tcPr>
            <w:tcW w:w="1841" w:type="dxa"/>
            <w:shd w:val="clear" w:color="auto" w:fill="auto"/>
          </w:tcPr>
          <w:p w:rsidR="00BA4D45" w:rsidRPr="0032564F" w:rsidRDefault="00724DDC" w:rsidP="00045D24">
            <w:pPr>
              <w:pStyle w:val="MGGTextLeft"/>
              <w:rPr>
                <w:b/>
                <w:sz w:val="22"/>
                <w:szCs w:val="22"/>
                <w:lang w:val="el-GR"/>
              </w:rPr>
            </w:pPr>
            <w:r w:rsidRPr="0032564F">
              <w:rPr>
                <w:b/>
                <w:sz w:val="22"/>
                <w:szCs w:val="22"/>
                <w:lang w:val="el-GR"/>
              </w:rPr>
              <w:t>Σπάνιες</w:t>
            </w:r>
          </w:p>
        </w:tc>
        <w:tc>
          <w:tcPr>
            <w:tcW w:w="1412" w:type="dxa"/>
            <w:shd w:val="clear" w:color="auto" w:fill="auto"/>
          </w:tcPr>
          <w:p w:rsidR="00BA4D45" w:rsidRPr="0032564F" w:rsidRDefault="00BA4D45" w:rsidP="00045D24">
            <w:pPr>
              <w:pStyle w:val="MGGTextLeft"/>
              <w:rPr>
                <w:b/>
                <w:sz w:val="22"/>
                <w:szCs w:val="22"/>
                <w:lang w:val="el-GR"/>
              </w:rPr>
            </w:pPr>
          </w:p>
        </w:tc>
        <w:tc>
          <w:tcPr>
            <w:tcW w:w="1728" w:type="dxa"/>
            <w:shd w:val="clear" w:color="auto" w:fill="auto"/>
          </w:tcPr>
          <w:p w:rsidR="00BA4D45" w:rsidRPr="0032564F" w:rsidRDefault="00BA4D45" w:rsidP="00045D24">
            <w:pPr>
              <w:pStyle w:val="MGGTextLeft"/>
              <w:rPr>
                <w:b/>
                <w:sz w:val="22"/>
                <w:szCs w:val="22"/>
                <w:lang w:val="el-GR"/>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του αιμοποιητικού και του λεμφικού συστήματος</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3541A1" w:rsidRDefault="00BA4D45" w:rsidP="00045D24">
            <w:pPr>
              <w:pStyle w:val="MGGTextLeft"/>
              <w:rPr>
                <w:sz w:val="22"/>
                <w:szCs w:val="22"/>
                <w:lang w:val="el-GR"/>
              </w:rPr>
            </w:pPr>
          </w:p>
        </w:tc>
        <w:tc>
          <w:tcPr>
            <w:tcW w:w="2041" w:type="dxa"/>
            <w:shd w:val="clear" w:color="auto" w:fill="auto"/>
          </w:tcPr>
          <w:p w:rsidR="00BA4D45" w:rsidRPr="003541A1" w:rsidRDefault="00BA4D45" w:rsidP="00045D24">
            <w:pPr>
              <w:pStyle w:val="MGGTextLeft"/>
              <w:rPr>
                <w:sz w:val="22"/>
                <w:szCs w:val="22"/>
                <w:lang w:val="el-GR"/>
              </w:rPr>
            </w:pPr>
          </w:p>
        </w:tc>
        <w:tc>
          <w:tcPr>
            <w:tcW w:w="1841" w:type="dxa"/>
            <w:shd w:val="clear" w:color="auto" w:fill="auto"/>
          </w:tcPr>
          <w:p w:rsidR="004119EB" w:rsidRPr="004119EB" w:rsidRDefault="00A3649A" w:rsidP="004119EB">
            <w:pPr>
              <w:rPr>
                <w:sz w:val="22"/>
                <w:szCs w:val="22"/>
              </w:rPr>
            </w:pPr>
            <w:r>
              <w:rPr>
                <w:sz w:val="22"/>
                <w:szCs w:val="22"/>
                <w:lang w:val="el-GR"/>
              </w:rPr>
              <w:t>Θρομβοπενία</w:t>
            </w:r>
          </w:p>
          <w:p w:rsidR="004119EB" w:rsidRPr="004119EB" w:rsidRDefault="00A3649A" w:rsidP="004119EB">
            <w:pPr>
              <w:rPr>
                <w:sz w:val="22"/>
                <w:szCs w:val="22"/>
              </w:rPr>
            </w:pPr>
            <w:r>
              <w:rPr>
                <w:sz w:val="22"/>
                <w:szCs w:val="22"/>
                <w:lang w:val="el-GR"/>
              </w:rPr>
              <w:t>Ουδετεροπενία</w:t>
            </w:r>
          </w:p>
          <w:p w:rsidR="00BA4D45" w:rsidRPr="003541A1" w:rsidRDefault="00A3649A" w:rsidP="00A3649A">
            <w:pPr>
              <w:pStyle w:val="MGGTextLeft"/>
              <w:rPr>
                <w:sz w:val="22"/>
                <w:szCs w:val="22"/>
                <w:lang w:val="el-GR"/>
              </w:rPr>
            </w:pPr>
            <w:r>
              <w:rPr>
                <w:sz w:val="22"/>
                <w:szCs w:val="22"/>
                <w:lang w:val="el-GR"/>
              </w:rPr>
              <w:t>Λευκοπενία</w:t>
            </w:r>
          </w:p>
        </w:tc>
        <w:tc>
          <w:tcPr>
            <w:tcW w:w="1412" w:type="dxa"/>
            <w:shd w:val="clear" w:color="auto" w:fill="auto"/>
          </w:tcPr>
          <w:p w:rsidR="00BA4D45" w:rsidRPr="0032564F" w:rsidRDefault="00BA4D45" w:rsidP="00045D24">
            <w:pPr>
              <w:pStyle w:val="MGGTextLeft"/>
              <w:rPr>
                <w:sz w:val="22"/>
                <w:szCs w:val="22"/>
                <w:lang w:val="el-GR"/>
              </w:rPr>
            </w:pPr>
          </w:p>
        </w:tc>
        <w:tc>
          <w:tcPr>
            <w:tcW w:w="1728" w:type="dxa"/>
            <w:shd w:val="clear" w:color="auto" w:fill="auto"/>
          </w:tcPr>
          <w:p w:rsidR="00BA4D45" w:rsidRPr="0032564F" w:rsidRDefault="00BA4D45" w:rsidP="00045D24">
            <w:pPr>
              <w:pStyle w:val="MGGTextLeft"/>
              <w:rPr>
                <w:sz w:val="22"/>
                <w:szCs w:val="22"/>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Διαταραχές του ανοσοποιητικού συστήματος</w:t>
            </w:r>
          </w:p>
        </w:tc>
      </w:tr>
      <w:tr w:rsidR="00CD33C3" w:rsidRPr="0032564F" w:rsidTr="00987B02">
        <w:trPr>
          <w:jc w:val="center"/>
        </w:trPr>
        <w:tc>
          <w:tcPr>
            <w:tcW w:w="1310" w:type="dxa"/>
            <w:shd w:val="clear" w:color="auto" w:fill="auto"/>
          </w:tcPr>
          <w:p w:rsidR="00BA4D45" w:rsidRPr="0032564F" w:rsidRDefault="00BA4D45" w:rsidP="00045D24">
            <w:pPr>
              <w:pStyle w:val="MGGTextLeft"/>
              <w:rPr>
                <w:sz w:val="22"/>
                <w:szCs w:val="22"/>
              </w:rPr>
            </w:pPr>
          </w:p>
        </w:tc>
        <w:tc>
          <w:tcPr>
            <w:tcW w:w="1693" w:type="dxa"/>
            <w:shd w:val="clear" w:color="auto" w:fill="auto"/>
          </w:tcPr>
          <w:p w:rsidR="00BA4D45" w:rsidRPr="0032564F" w:rsidRDefault="00BA4D45" w:rsidP="00045D24">
            <w:pPr>
              <w:pStyle w:val="MGGTextLeft"/>
              <w:rPr>
                <w:sz w:val="22"/>
                <w:szCs w:val="22"/>
              </w:rPr>
            </w:pPr>
          </w:p>
        </w:tc>
        <w:tc>
          <w:tcPr>
            <w:tcW w:w="2041" w:type="dxa"/>
            <w:shd w:val="clear" w:color="auto" w:fill="auto"/>
          </w:tcPr>
          <w:p w:rsidR="00BA4D45" w:rsidRPr="0032564F" w:rsidRDefault="00BA4D45" w:rsidP="00045D24">
            <w:pPr>
              <w:pStyle w:val="MGGTextLeft"/>
              <w:rPr>
                <w:sz w:val="22"/>
                <w:szCs w:val="22"/>
              </w:rPr>
            </w:pPr>
          </w:p>
        </w:tc>
        <w:tc>
          <w:tcPr>
            <w:tcW w:w="1841" w:type="dxa"/>
            <w:shd w:val="clear" w:color="auto" w:fill="auto"/>
          </w:tcPr>
          <w:p w:rsidR="00BA4D45" w:rsidRPr="0032564F" w:rsidRDefault="00724DDC" w:rsidP="00045D24">
            <w:pPr>
              <w:pStyle w:val="MGGTextLeft"/>
              <w:rPr>
                <w:sz w:val="22"/>
                <w:szCs w:val="22"/>
              </w:rPr>
            </w:pPr>
            <w:r w:rsidRPr="0032564F">
              <w:rPr>
                <w:sz w:val="22"/>
                <w:szCs w:val="22"/>
                <w:lang w:val="el-GR"/>
              </w:rPr>
              <w:t>Αναφυλακτική αντίδραση</w:t>
            </w:r>
          </w:p>
          <w:p w:rsidR="00BA4D45" w:rsidRPr="0032564F" w:rsidRDefault="00724DDC" w:rsidP="00045D24">
            <w:pPr>
              <w:pStyle w:val="MGGTextLeft"/>
              <w:rPr>
                <w:sz w:val="22"/>
                <w:szCs w:val="22"/>
              </w:rPr>
            </w:pPr>
            <w:r w:rsidRPr="0032564F">
              <w:rPr>
                <w:sz w:val="22"/>
                <w:szCs w:val="22"/>
                <w:lang w:val="el-GR"/>
              </w:rPr>
              <w:t>Ορονοσία</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Διαταραχές του ενδοκρινικού συστήματος</w:t>
            </w:r>
          </w:p>
        </w:tc>
      </w:tr>
      <w:tr w:rsidR="00CD33C3" w:rsidRPr="0032564F" w:rsidTr="00987B02">
        <w:trPr>
          <w:jc w:val="center"/>
        </w:trPr>
        <w:tc>
          <w:tcPr>
            <w:tcW w:w="1310" w:type="dxa"/>
            <w:shd w:val="clear" w:color="auto" w:fill="auto"/>
          </w:tcPr>
          <w:p w:rsidR="00BA4D45" w:rsidRPr="0032564F" w:rsidRDefault="00BA4D45" w:rsidP="00045D24">
            <w:pPr>
              <w:pStyle w:val="MGGTextLeft"/>
              <w:rPr>
                <w:sz w:val="22"/>
                <w:szCs w:val="22"/>
              </w:rPr>
            </w:pPr>
          </w:p>
        </w:tc>
        <w:tc>
          <w:tcPr>
            <w:tcW w:w="1693" w:type="dxa"/>
            <w:shd w:val="clear" w:color="auto" w:fill="auto"/>
          </w:tcPr>
          <w:p w:rsidR="00BA4D45" w:rsidRPr="0032564F" w:rsidRDefault="00BA4D45" w:rsidP="00045D24">
            <w:pPr>
              <w:pStyle w:val="MGGTextLeft"/>
              <w:rPr>
                <w:sz w:val="22"/>
                <w:szCs w:val="22"/>
              </w:rPr>
            </w:pPr>
          </w:p>
        </w:tc>
        <w:tc>
          <w:tcPr>
            <w:tcW w:w="2041" w:type="dxa"/>
            <w:shd w:val="clear" w:color="auto" w:fill="auto"/>
          </w:tcPr>
          <w:p w:rsidR="00BA4D45" w:rsidRPr="0032564F" w:rsidRDefault="00BA4D45" w:rsidP="00045D24">
            <w:pPr>
              <w:pStyle w:val="MGGTextLeft"/>
              <w:rPr>
                <w:sz w:val="22"/>
                <w:szCs w:val="22"/>
              </w:rPr>
            </w:pPr>
          </w:p>
        </w:tc>
        <w:tc>
          <w:tcPr>
            <w:tcW w:w="1841" w:type="dxa"/>
            <w:shd w:val="clear" w:color="auto" w:fill="auto"/>
          </w:tcPr>
          <w:p w:rsidR="00BA4D45" w:rsidRPr="0032564F" w:rsidRDefault="004119EB" w:rsidP="00045D24">
            <w:pPr>
              <w:pStyle w:val="MGGTextLeft"/>
              <w:rPr>
                <w:sz w:val="22"/>
                <w:szCs w:val="22"/>
              </w:rPr>
            </w:pPr>
            <w:r w:rsidRPr="0032564F">
              <w:rPr>
                <w:sz w:val="22"/>
                <w:szCs w:val="22"/>
              </w:rPr>
              <w:t>Απρόσφορη έκκριση αντιδιουρητικής ορμόνης</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του μεταβολισμού και της θρέψης</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32564F" w:rsidRDefault="00724DDC" w:rsidP="00045D24">
            <w:pPr>
              <w:pStyle w:val="MGGTextLeft"/>
              <w:rPr>
                <w:sz w:val="22"/>
                <w:szCs w:val="22"/>
              </w:rPr>
            </w:pPr>
            <w:r w:rsidRPr="0032564F">
              <w:rPr>
                <w:sz w:val="22"/>
                <w:szCs w:val="22"/>
                <w:lang w:val="el-GR"/>
              </w:rPr>
              <w:t>Ελαττωμένη όρεξη</w:t>
            </w:r>
            <w:r w:rsidR="00BA4D45" w:rsidRPr="0032564F">
              <w:rPr>
                <w:sz w:val="22"/>
                <w:szCs w:val="22"/>
                <w:vertAlign w:val="superscript"/>
              </w:rPr>
              <w:t>1</w:t>
            </w:r>
          </w:p>
        </w:tc>
        <w:tc>
          <w:tcPr>
            <w:tcW w:w="2041" w:type="dxa"/>
            <w:shd w:val="clear" w:color="auto" w:fill="auto"/>
          </w:tcPr>
          <w:p w:rsidR="00BA4D45" w:rsidRPr="0032564F" w:rsidRDefault="00BA4D45" w:rsidP="00045D24">
            <w:pPr>
              <w:pStyle w:val="MGGTextLeft"/>
              <w:rPr>
                <w:sz w:val="22"/>
                <w:szCs w:val="22"/>
              </w:rPr>
            </w:pPr>
          </w:p>
        </w:tc>
        <w:tc>
          <w:tcPr>
            <w:tcW w:w="1841" w:type="dxa"/>
            <w:shd w:val="clear" w:color="auto" w:fill="auto"/>
          </w:tcPr>
          <w:p w:rsidR="00BA4D45" w:rsidRPr="0032564F" w:rsidRDefault="00724DDC" w:rsidP="00045D24">
            <w:pPr>
              <w:pStyle w:val="MGGTextLeft"/>
              <w:rPr>
                <w:sz w:val="22"/>
                <w:szCs w:val="22"/>
                <w:lang w:val="el-GR"/>
              </w:rPr>
            </w:pPr>
            <w:r w:rsidRPr="0032564F">
              <w:rPr>
                <w:sz w:val="22"/>
                <w:szCs w:val="22"/>
                <w:lang w:val="el-GR"/>
              </w:rPr>
              <w:t>Υπονατριαιμία</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Ψυχιατρικές διαταραχές</w:t>
            </w:r>
          </w:p>
        </w:tc>
      </w:tr>
      <w:tr w:rsidR="00CD33C3" w:rsidRPr="00045D24" w:rsidTr="00987B02">
        <w:trPr>
          <w:trHeight w:val="358"/>
          <w:jc w:val="center"/>
        </w:trPr>
        <w:tc>
          <w:tcPr>
            <w:tcW w:w="1310" w:type="dxa"/>
            <w:shd w:val="clear" w:color="auto" w:fill="auto"/>
          </w:tcPr>
          <w:p w:rsidR="00BA4D45" w:rsidRPr="0032564F" w:rsidRDefault="003E6CB2" w:rsidP="00045D24">
            <w:pPr>
              <w:rPr>
                <w:sz w:val="22"/>
                <w:szCs w:val="22"/>
              </w:rPr>
            </w:pPr>
            <w:r w:rsidRPr="0032564F">
              <w:rPr>
                <w:sz w:val="22"/>
                <w:szCs w:val="22"/>
                <w:lang w:val="el-GR"/>
              </w:rPr>
              <w:t>Αϋπνία</w:t>
            </w:r>
            <w:r w:rsidR="00BA4D45" w:rsidRPr="0032564F">
              <w:rPr>
                <w:sz w:val="22"/>
                <w:szCs w:val="22"/>
                <w:vertAlign w:val="superscript"/>
              </w:rPr>
              <w:t>2</w:t>
            </w:r>
          </w:p>
        </w:tc>
        <w:tc>
          <w:tcPr>
            <w:tcW w:w="1693" w:type="dxa"/>
            <w:shd w:val="clear" w:color="auto" w:fill="auto"/>
          </w:tcPr>
          <w:p w:rsidR="00BA4D45" w:rsidRPr="00045D24" w:rsidRDefault="00724DDC" w:rsidP="00045D24">
            <w:pPr>
              <w:rPr>
                <w:sz w:val="22"/>
                <w:szCs w:val="22"/>
                <w:lang w:val="el-GR"/>
              </w:rPr>
            </w:pPr>
            <w:r w:rsidRPr="0032564F">
              <w:rPr>
                <w:sz w:val="22"/>
                <w:szCs w:val="22"/>
                <w:lang w:val="el-GR"/>
              </w:rPr>
              <w:t>Άγχος</w:t>
            </w:r>
            <w:r w:rsidR="00BA4D45" w:rsidRPr="00045D24">
              <w:rPr>
                <w:sz w:val="22"/>
                <w:szCs w:val="22"/>
                <w:lang w:val="el-GR"/>
              </w:rPr>
              <w:t xml:space="preserve"> </w:t>
            </w:r>
          </w:p>
          <w:p w:rsidR="00BA4D45" w:rsidRPr="00045D24" w:rsidRDefault="00724DDC" w:rsidP="00045D24">
            <w:pPr>
              <w:rPr>
                <w:sz w:val="22"/>
                <w:szCs w:val="22"/>
                <w:lang w:val="el-GR"/>
              </w:rPr>
            </w:pPr>
            <w:r w:rsidRPr="0032564F">
              <w:rPr>
                <w:sz w:val="22"/>
                <w:szCs w:val="22"/>
                <w:lang w:val="el-GR"/>
              </w:rPr>
              <w:t>Νευρικότητα</w:t>
            </w:r>
            <w:r w:rsidR="00BA4D45" w:rsidRPr="00045D24">
              <w:rPr>
                <w:sz w:val="22"/>
                <w:szCs w:val="22"/>
                <w:lang w:val="el-GR"/>
              </w:rPr>
              <w:t xml:space="preserve"> </w:t>
            </w:r>
          </w:p>
          <w:p w:rsidR="00BA4D45" w:rsidRPr="00045D24" w:rsidRDefault="00724DDC" w:rsidP="00045D24">
            <w:pPr>
              <w:rPr>
                <w:sz w:val="22"/>
                <w:szCs w:val="22"/>
                <w:lang w:val="el-GR"/>
              </w:rPr>
            </w:pPr>
            <w:r w:rsidRPr="0032564F">
              <w:rPr>
                <w:sz w:val="22"/>
                <w:szCs w:val="22"/>
                <w:lang w:val="el-GR"/>
              </w:rPr>
              <w:t>Ανησυχία</w:t>
            </w:r>
            <w:r w:rsidR="00BA4D45" w:rsidRPr="00045D24">
              <w:rPr>
                <w:sz w:val="22"/>
                <w:szCs w:val="22"/>
                <w:lang w:val="el-GR"/>
              </w:rPr>
              <w:t xml:space="preserve"> </w:t>
            </w:r>
          </w:p>
          <w:p w:rsidR="00BA4D45" w:rsidRPr="00045D24" w:rsidRDefault="00724DDC" w:rsidP="00045D24">
            <w:pPr>
              <w:rPr>
                <w:sz w:val="22"/>
                <w:szCs w:val="22"/>
                <w:lang w:val="el-GR"/>
              </w:rPr>
            </w:pPr>
            <w:r w:rsidRPr="0032564F">
              <w:rPr>
                <w:sz w:val="22"/>
                <w:szCs w:val="22"/>
                <w:lang w:val="el-GR"/>
              </w:rPr>
              <w:t>Ένταση</w:t>
            </w:r>
            <w:r w:rsidR="00BA4D45" w:rsidRPr="00045D24">
              <w:rPr>
                <w:sz w:val="22"/>
                <w:szCs w:val="22"/>
                <w:lang w:val="el-GR"/>
              </w:rPr>
              <w:t xml:space="preserve"> </w:t>
            </w:r>
          </w:p>
          <w:p w:rsidR="00BA4D45" w:rsidRPr="00045D24" w:rsidRDefault="007F1BE5" w:rsidP="00045D24">
            <w:pPr>
              <w:rPr>
                <w:sz w:val="22"/>
                <w:szCs w:val="22"/>
                <w:lang w:val="el-GR"/>
              </w:rPr>
            </w:pPr>
            <w:r w:rsidRPr="00045D24">
              <w:rPr>
                <w:sz w:val="22"/>
                <w:szCs w:val="22"/>
                <w:lang w:val="el-GR"/>
              </w:rPr>
              <w:t>Γενετήσια ορμή μειωμένη</w:t>
            </w:r>
            <w:r w:rsidR="00773A1B">
              <w:rPr>
                <w:sz w:val="22"/>
                <w:szCs w:val="22"/>
                <w:vertAlign w:val="superscript"/>
                <w:lang w:val="el-GR"/>
              </w:rPr>
              <w:t>3</w:t>
            </w:r>
          </w:p>
          <w:p w:rsidR="00BA4D45" w:rsidRPr="00045D24" w:rsidRDefault="00722E2B" w:rsidP="00045D24">
            <w:pPr>
              <w:rPr>
                <w:sz w:val="22"/>
                <w:szCs w:val="22"/>
                <w:lang w:val="el-GR"/>
              </w:rPr>
            </w:pPr>
            <w:r w:rsidRPr="00045D24">
              <w:rPr>
                <w:sz w:val="22"/>
                <w:szCs w:val="22"/>
                <w:lang w:val="el-GR"/>
              </w:rPr>
              <w:t>Διαταραχή ύπνου</w:t>
            </w:r>
            <w:r w:rsidR="00BA4D45" w:rsidRPr="00045D24">
              <w:rPr>
                <w:sz w:val="22"/>
                <w:szCs w:val="22"/>
                <w:lang w:val="el-GR"/>
              </w:rPr>
              <w:t xml:space="preserve"> </w:t>
            </w:r>
          </w:p>
          <w:p w:rsidR="00BA4D45" w:rsidRPr="00045D24" w:rsidRDefault="00722E2B" w:rsidP="00045D24">
            <w:pPr>
              <w:rPr>
                <w:sz w:val="22"/>
                <w:szCs w:val="22"/>
                <w:lang w:val="el-GR"/>
              </w:rPr>
            </w:pPr>
            <w:r w:rsidRPr="0032564F">
              <w:rPr>
                <w:sz w:val="22"/>
                <w:szCs w:val="22"/>
                <w:lang w:val="el-GR"/>
              </w:rPr>
              <w:t>Μη φυσιολογικά όνειρα</w:t>
            </w:r>
            <w:r w:rsidR="00773A1B">
              <w:rPr>
                <w:sz w:val="22"/>
                <w:szCs w:val="22"/>
                <w:vertAlign w:val="superscript"/>
                <w:lang w:val="el-GR"/>
              </w:rPr>
              <w:t>4</w:t>
            </w:r>
          </w:p>
        </w:tc>
        <w:tc>
          <w:tcPr>
            <w:tcW w:w="2041" w:type="dxa"/>
            <w:shd w:val="clear" w:color="auto" w:fill="auto"/>
          </w:tcPr>
          <w:p w:rsidR="00BA4D45" w:rsidRPr="00045D24" w:rsidRDefault="002C792C" w:rsidP="00045D24">
            <w:pPr>
              <w:rPr>
                <w:sz w:val="22"/>
                <w:szCs w:val="22"/>
                <w:lang w:val="el-GR"/>
              </w:rPr>
            </w:pPr>
            <w:r w:rsidRPr="0032564F">
              <w:rPr>
                <w:sz w:val="22"/>
                <w:szCs w:val="22"/>
                <w:lang w:val="el-GR"/>
              </w:rPr>
              <w:t>Αποπροσωποποίηση</w:t>
            </w:r>
            <w:r w:rsidR="00BA4D45" w:rsidRPr="00045D24">
              <w:rPr>
                <w:sz w:val="22"/>
                <w:szCs w:val="22"/>
                <w:lang w:val="el-GR"/>
              </w:rPr>
              <w:t xml:space="preserve"> </w:t>
            </w:r>
          </w:p>
          <w:p w:rsidR="00BA4D45" w:rsidRPr="00045D24" w:rsidRDefault="002C792C" w:rsidP="00045D24">
            <w:pPr>
              <w:rPr>
                <w:sz w:val="22"/>
                <w:szCs w:val="22"/>
                <w:lang w:val="el-GR"/>
              </w:rPr>
            </w:pPr>
            <w:r w:rsidRPr="00045D24">
              <w:rPr>
                <w:sz w:val="22"/>
                <w:szCs w:val="22"/>
                <w:lang w:val="el-GR"/>
              </w:rPr>
              <w:t>Εξηρμένη συναισθηματική διάθεση</w:t>
            </w:r>
            <w:r w:rsidR="00BA4D45" w:rsidRPr="00045D24">
              <w:rPr>
                <w:sz w:val="22"/>
                <w:szCs w:val="22"/>
                <w:lang w:val="el-GR"/>
              </w:rPr>
              <w:t xml:space="preserve"> </w:t>
            </w:r>
          </w:p>
          <w:p w:rsidR="00BA4D45" w:rsidRPr="00045D24" w:rsidRDefault="002C792C" w:rsidP="00045D24">
            <w:pPr>
              <w:rPr>
                <w:sz w:val="22"/>
                <w:szCs w:val="22"/>
                <w:lang w:val="el-GR"/>
              </w:rPr>
            </w:pPr>
            <w:r w:rsidRPr="00045D24">
              <w:rPr>
                <w:sz w:val="22"/>
                <w:szCs w:val="22"/>
                <w:lang w:val="el-GR"/>
              </w:rPr>
              <w:t>Ευφορική συναισθηματική διάθεση</w:t>
            </w:r>
            <w:r w:rsidR="00BA4D45" w:rsidRPr="00045D24">
              <w:rPr>
                <w:sz w:val="22"/>
                <w:szCs w:val="22"/>
                <w:lang w:val="el-GR"/>
              </w:rPr>
              <w:t xml:space="preserve"> </w:t>
            </w:r>
          </w:p>
          <w:p w:rsidR="00BA4D45" w:rsidRPr="00045D24" w:rsidRDefault="002C792C" w:rsidP="00045D24">
            <w:pPr>
              <w:rPr>
                <w:sz w:val="22"/>
                <w:szCs w:val="22"/>
                <w:lang w:val="el-GR"/>
              </w:rPr>
            </w:pPr>
            <w:r w:rsidRPr="0032564F">
              <w:rPr>
                <w:sz w:val="22"/>
                <w:szCs w:val="22"/>
                <w:lang w:val="el-GR"/>
              </w:rPr>
              <w:t>Σκέψη μη φυσιολογική</w:t>
            </w:r>
            <w:r w:rsidR="00BA4D45" w:rsidRPr="00045D24">
              <w:rPr>
                <w:sz w:val="22"/>
                <w:szCs w:val="22"/>
                <w:lang w:val="el-GR"/>
              </w:rPr>
              <w:t xml:space="preserve"> </w:t>
            </w:r>
          </w:p>
          <w:p w:rsidR="00BA4D45" w:rsidRPr="00045D24" w:rsidRDefault="002C792C" w:rsidP="00045D24">
            <w:pPr>
              <w:rPr>
                <w:sz w:val="22"/>
                <w:szCs w:val="22"/>
                <w:lang w:val="el-GR"/>
              </w:rPr>
            </w:pPr>
            <w:r w:rsidRPr="0032564F">
              <w:rPr>
                <w:sz w:val="22"/>
                <w:szCs w:val="22"/>
                <w:lang w:val="el-GR"/>
              </w:rPr>
              <w:t>Οργασμός ανώμαλος</w:t>
            </w:r>
            <w:r w:rsidR="00BA4D45" w:rsidRPr="00045D24">
              <w:rPr>
                <w:sz w:val="22"/>
                <w:szCs w:val="22"/>
                <w:vertAlign w:val="superscript"/>
                <w:lang w:val="el-GR"/>
              </w:rPr>
              <w:t>5</w:t>
            </w:r>
          </w:p>
          <w:p w:rsidR="00BA4D45" w:rsidRDefault="002C792C" w:rsidP="00045D24">
            <w:pPr>
              <w:rPr>
                <w:sz w:val="22"/>
                <w:szCs w:val="22"/>
                <w:lang w:val="el-GR"/>
              </w:rPr>
            </w:pPr>
            <w:r w:rsidRPr="0032564F">
              <w:rPr>
                <w:sz w:val="22"/>
                <w:szCs w:val="22"/>
                <w:lang w:val="el-GR"/>
              </w:rPr>
              <w:t>Τριγμός των δοντιών</w:t>
            </w:r>
          </w:p>
          <w:p w:rsidR="004119EB" w:rsidRPr="00045D24" w:rsidRDefault="004119EB" w:rsidP="004119EB">
            <w:pPr>
              <w:rPr>
                <w:sz w:val="22"/>
                <w:szCs w:val="22"/>
                <w:lang w:val="el-GR"/>
              </w:rPr>
            </w:pPr>
            <w:r w:rsidRPr="0032564F">
              <w:rPr>
                <w:sz w:val="22"/>
                <w:szCs w:val="22"/>
                <w:lang w:val="el-GR"/>
              </w:rPr>
              <w:t>Αυτοκτονικές σκέψεις και συμπεριφορά</w:t>
            </w:r>
            <w:r w:rsidRPr="00045D24">
              <w:rPr>
                <w:sz w:val="22"/>
                <w:szCs w:val="22"/>
                <w:lang w:val="el-GR"/>
              </w:rPr>
              <w:t xml:space="preserve"> </w:t>
            </w:r>
            <w:r>
              <w:rPr>
                <w:sz w:val="22"/>
                <w:szCs w:val="22"/>
                <w:vertAlign w:val="superscript"/>
                <w:lang w:val="el-GR"/>
              </w:rPr>
              <w:t>6</w:t>
            </w:r>
          </w:p>
          <w:p w:rsidR="004119EB" w:rsidRPr="0032564F" w:rsidRDefault="004119EB" w:rsidP="00045D24">
            <w:pPr>
              <w:rPr>
                <w:sz w:val="22"/>
                <w:szCs w:val="22"/>
                <w:lang w:val="el-GR"/>
              </w:rPr>
            </w:pPr>
          </w:p>
        </w:tc>
        <w:tc>
          <w:tcPr>
            <w:tcW w:w="1841" w:type="dxa"/>
            <w:shd w:val="clear" w:color="auto" w:fill="auto"/>
          </w:tcPr>
          <w:p w:rsidR="00BA4D45" w:rsidRPr="00045D24" w:rsidRDefault="00724DDC" w:rsidP="00045D24">
            <w:pPr>
              <w:rPr>
                <w:sz w:val="22"/>
                <w:szCs w:val="22"/>
                <w:lang w:val="el-GR"/>
              </w:rPr>
            </w:pPr>
            <w:r w:rsidRPr="0032564F">
              <w:rPr>
                <w:sz w:val="22"/>
                <w:szCs w:val="22"/>
                <w:lang w:val="el-GR"/>
              </w:rPr>
              <w:t>Υπομανία</w:t>
            </w:r>
            <w:r w:rsidR="00BA4D45" w:rsidRPr="00045D24">
              <w:rPr>
                <w:sz w:val="22"/>
                <w:szCs w:val="22"/>
                <w:lang w:val="el-GR"/>
              </w:rPr>
              <w:t xml:space="preserve"> </w:t>
            </w:r>
          </w:p>
          <w:p w:rsidR="00BA4D45" w:rsidRPr="00045D24" w:rsidRDefault="00724DDC" w:rsidP="00045D24">
            <w:pPr>
              <w:rPr>
                <w:sz w:val="22"/>
                <w:szCs w:val="22"/>
                <w:lang w:val="el-GR"/>
              </w:rPr>
            </w:pPr>
            <w:r w:rsidRPr="0032564F">
              <w:rPr>
                <w:sz w:val="22"/>
                <w:szCs w:val="22"/>
                <w:lang w:val="el-GR"/>
              </w:rPr>
              <w:t>Μανία</w:t>
            </w:r>
            <w:r w:rsidR="00BA4D45" w:rsidRPr="00045D24">
              <w:rPr>
                <w:sz w:val="22"/>
                <w:szCs w:val="22"/>
                <w:lang w:val="el-GR"/>
              </w:rPr>
              <w:t xml:space="preserve"> </w:t>
            </w:r>
          </w:p>
          <w:p w:rsidR="00BA4D45" w:rsidRPr="00045D24" w:rsidRDefault="00724DDC" w:rsidP="00045D24">
            <w:pPr>
              <w:rPr>
                <w:sz w:val="22"/>
                <w:szCs w:val="22"/>
                <w:lang w:val="el-GR"/>
              </w:rPr>
            </w:pPr>
            <w:r w:rsidRPr="0032564F">
              <w:rPr>
                <w:sz w:val="22"/>
                <w:szCs w:val="22"/>
                <w:lang w:val="el-GR"/>
              </w:rPr>
              <w:t>Ψευδαισθήσεις</w:t>
            </w:r>
            <w:r w:rsidR="00BA4D45" w:rsidRPr="00045D24">
              <w:rPr>
                <w:sz w:val="22"/>
                <w:szCs w:val="22"/>
                <w:lang w:val="el-GR"/>
              </w:rPr>
              <w:t xml:space="preserve"> </w:t>
            </w:r>
          </w:p>
          <w:p w:rsidR="00BA4D45" w:rsidRPr="00045D24" w:rsidRDefault="00724DDC" w:rsidP="00045D24">
            <w:pPr>
              <w:rPr>
                <w:sz w:val="22"/>
                <w:szCs w:val="22"/>
                <w:lang w:val="el-GR"/>
              </w:rPr>
            </w:pPr>
            <w:r w:rsidRPr="0032564F">
              <w:rPr>
                <w:sz w:val="22"/>
                <w:szCs w:val="22"/>
                <w:lang w:val="el-GR"/>
              </w:rPr>
              <w:t>Διέγερση</w:t>
            </w:r>
            <w:r w:rsidR="00BA4D45" w:rsidRPr="00045D24">
              <w:rPr>
                <w:sz w:val="22"/>
                <w:szCs w:val="22"/>
                <w:lang w:val="el-GR"/>
              </w:rPr>
              <w:t xml:space="preserve"> </w:t>
            </w:r>
          </w:p>
          <w:p w:rsidR="004119EB" w:rsidRPr="00045D24" w:rsidRDefault="00724DDC" w:rsidP="004119EB">
            <w:pPr>
              <w:rPr>
                <w:sz w:val="22"/>
                <w:szCs w:val="22"/>
                <w:lang w:val="el-GR"/>
              </w:rPr>
            </w:pPr>
            <w:r w:rsidRPr="0032564F">
              <w:rPr>
                <w:sz w:val="22"/>
                <w:szCs w:val="22"/>
                <w:lang w:val="el-GR"/>
              </w:rPr>
              <w:t>Επεισόδια πανικού</w:t>
            </w:r>
            <w:r w:rsidR="004119EB" w:rsidRPr="00F44332">
              <w:t xml:space="preserve"> </w:t>
            </w:r>
            <w:r w:rsidR="004119EB" w:rsidRPr="0032564F">
              <w:rPr>
                <w:sz w:val="22"/>
                <w:szCs w:val="22"/>
                <w:lang w:val="el-GR"/>
              </w:rPr>
              <w:t>Σύγχυση</w:t>
            </w:r>
            <w:r w:rsidR="004119EB" w:rsidRPr="00045D24">
              <w:rPr>
                <w:sz w:val="22"/>
                <w:szCs w:val="22"/>
                <w:lang w:val="el-GR"/>
              </w:rPr>
              <w:t xml:space="preserve"> </w:t>
            </w:r>
          </w:p>
          <w:p w:rsidR="004119EB" w:rsidRPr="004119EB" w:rsidRDefault="004119EB" w:rsidP="004119EB">
            <w:pPr>
              <w:ind w:right="-20"/>
              <w:rPr>
                <w:sz w:val="22"/>
                <w:szCs w:val="22"/>
                <w:lang w:val="el-GR"/>
              </w:rPr>
            </w:pPr>
            <w:r>
              <w:rPr>
                <w:sz w:val="22"/>
                <w:szCs w:val="22"/>
                <w:lang w:val="el-GR"/>
              </w:rPr>
              <w:t>Δυσφημία</w:t>
            </w:r>
          </w:p>
          <w:p w:rsidR="00BA4D45" w:rsidRPr="00045D24" w:rsidRDefault="00A3649A" w:rsidP="00A3649A">
            <w:pPr>
              <w:rPr>
                <w:sz w:val="22"/>
                <w:szCs w:val="22"/>
                <w:lang w:val="el-GR"/>
              </w:rPr>
            </w:pPr>
            <w:r>
              <w:rPr>
                <w:sz w:val="22"/>
                <w:szCs w:val="22"/>
                <w:lang w:val="el-GR"/>
              </w:rPr>
              <w:t>Επιθετικότητα</w:t>
            </w:r>
          </w:p>
        </w:tc>
        <w:tc>
          <w:tcPr>
            <w:tcW w:w="1412" w:type="dxa"/>
            <w:shd w:val="clear" w:color="auto" w:fill="auto"/>
          </w:tcPr>
          <w:p w:rsidR="00BA4D45" w:rsidRPr="00045D24" w:rsidRDefault="00BA4D45" w:rsidP="00045D24">
            <w:pPr>
              <w:rPr>
                <w:sz w:val="22"/>
                <w:szCs w:val="22"/>
                <w:lang w:val="el-GR"/>
              </w:rPr>
            </w:pPr>
          </w:p>
        </w:tc>
        <w:tc>
          <w:tcPr>
            <w:tcW w:w="1728" w:type="dxa"/>
            <w:shd w:val="clear" w:color="auto" w:fill="auto"/>
          </w:tcPr>
          <w:p w:rsidR="00BA4D45" w:rsidRPr="00045D24" w:rsidRDefault="00BA4D45" w:rsidP="00045D24">
            <w:pPr>
              <w:rPr>
                <w:sz w:val="22"/>
                <w:szCs w:val="22"/>
                <w:lang w:val="el-GR"/>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Διαταραχές του νευρικού συστήματος</w:t>
            </w:r>
          </w:p>
        </w:tc>
      </w:tr>
      <w:tr w:rsidR="00CD33C3" w:rsidRPr="0032564F" w:rsidTr="00987B02">
        <w:trPr>
          <w:jc w:val="center"/>
        </w:trPr>
        <w:tc>
          <w:tcPr>
            <w:tcW w:w="1310" w:type="dxa"/>
            <w:shd w:val="clear" w:color="auto" w:fill="auto"/>
          </w:tcPr>
          <w:p w:rsidR="00BA4D45" w:rsidRPr="0032564F" w:rsidRDefault="00EB223B" w:rsidP="00045D24">
            <w:pPr>
              <w:pStyle w:val="MGGTextLeft"/>
              <w:rPr>
                <w:sz w:val="22"/>
                <w:szCs w:val="22"/>
                <w:lang w:val="el-GR"/>
              </w:rPr>
            </w:pPr>
            <w:r w:rsidRPr="0032564F">
              <w:rPr>
                <w:sz w:val="22"/>
                <w:szCs w:val="22"/>
                <w:lang w:val="el-GR"/>
              </w:rPr>
              <w:t>Κεφαλαλγία</w:t>
            </w:r>
          </w:p>
        </w:tc>
        <w:tc>
          <w:tcPr>
            <w:tcW w:w="1693" w:type="dxa"/>
            <w:shd w:val="clear" w:color="auto" w:fill="auto"/>
          </w:tcPr>
          <w:p w:rsidR="00BA4D45" w:rsidRPr="0032564F" w:rsidRDefault="00EB223B" w:rsidP="00045D24">
            <w:pPr>
              <w:pStyle w:val="MGGTextLeft"/>
              <w:rPr>
                <w:sz w:val="22"/>
                <w:szCs w:val="22"/>
                <w:lang w:val="el-GR"/>
              </w:rPr>
            </w:pPr>
            <w:r w:rsidRPr="00045D24">
              <w:rPr>
                <w:sz w:val="22"/>
                <w:szCs w:val="22"/>
                <w:lang w:val="el-GR"/>
              </w:rPr>
              <w:t>Διαταραχή στην προσοχή</w:t>
            </w:r>
          </w:p>
          <w:p w:rsidR="00BA4D45" w:rsidRPr="0032564F" w:rsidRDefault="00EB223B" w:rsidP="00045D24">
            <w:pPr>
              <w:pStyle w:val="MGGTextLeft"/>
              <w:rPr>
                <w:sz w:val="22"/>
                <w:szCs w:val="22"/>
                <w:lang w:val="el-GR"/>
              </w:rPr>
            </w:pPr>
            <w:r w:rsidRPr="0032564F">
              <w:rPr>
                <w:sz w:val="22"/>
                <w:szCs w:val="22"/>
                <w:lang w:val="el-GR"/>
              </w:rPr>
              <w:t>Ζάλη</w:t>
            </w:r>
          </w:p>
          <w:p w:rsidR="00BA4D45" w:rsidRPr="0032564F" w:rsidRDefault="00EB223B" w:rsidP="00045D24">
            <w:pPr>
              <w:pStyle w:val="MGGTextLeft"/>
              <w:rPr>
                <w:sz w:val="22"/>
                <w:szCs w:val="22"/>
                <w:lang w:val="el-GR"/>
              </w:rPr>
            </w:pPr>
            <w:r w:rsidRPr="0032564F">
              <w:rPr>
                <w:sz w:val="22"/>
                <w:szCs w:val="22"/>
                <w:lang w:val="el-GR"/>
              </w:rPr>
              <w:lastRenderedPageBreak/>
              <w:t>Δυσγευσία</w:t>
            </w:r>
          </w:p>
          <w:p w:rsidR="00BA4D45" w:rsidRPr="0032564F" w:rsidRDefault="00EB223B" w:rsidP="00045D24">
            <w:pPr>
              <w:pStyle w:val="MGGTextLeft"/>
              <w:rPr>
                <w:sz w:val="22"/>
                <w:szCs w:val="22"/>
                <w:lang w:val="el-GR"/>
              </w:rPr>
            </w:pPr>
            <w:r w:rsidRPr="0032564F">
              <w:rPr>
                <w:sz w:val="22"/>
                <w:szCs w:val="22"/>
                <w:lang w:val="el-GR"/>
              </w:rPr>
              <w:t>Λήθαργος</w:t>
            </w:r>
          </w:p>
          <w:p w:rsidR="00BA4D45" w:rsidRPr="00833771" w:rsidRDefault="00EB223B" w:rsidP="00045D24">
            <w:pPr>
              <w:pStyle w:val="MGGTextLeft"/>
              <w:rPr>
                <w:sz w:val="22"/>
                <w:szCs w:val="22"/>
                <w:lang w:val="el-GR"/>
              </w:rPr>
            </w:pPr>
            <w:r w:rsidRPr="0032564F">
              <w:rPr>
                <w:sz w:val="22"/>
                <w:szCs w:val="22"/>
                <w:lang w:val="el-GR"/>
              </w:rPr>
              <w:t>Υπνηλία</w:t>
            </w:r>
            <w:r w:rsidR="00773A1B">
              <w:rPr>
                <w:sz w:val="22"/>
                <w:szCs w:val="22"/>
                <w:vertAlign w:val="superscript"/>
                <w:lang w:val="el-GR"/>
              </w:rPr>
              <w:t>7</w:t>
            </w:r>
          </w:p>
          <w:p w:rsidR="00BA4D45" w:rsidRPr="0032564F" w:rsidRDefault="00EB223B" w:rsidP="00045D24">
            <w:pPr>
              <w:pStyle w:val="MGGTextLeft"/>
              <w:rPr>
                <w:sz w:val="22"/>
                <w:szCs w:val="22"/>
                <w:lang w:val="el-GR"/>
              </w:rPr>
            </w:pPr>
            <w:r w:rsidRPr="0032564F">
              <w:rPr>
                <w:sz w:val="22"/>
                <w:szCs w:val="22"/>
                <w:lang w:val="el-GR"/>
              </w:rPr>
              <w:t>Τρόμος</w:t>
            </w:r>
          </w:p>
        </w:tc>
        <w:tc>
          <w:tcPr>
            <w:tcW w:w="2041" w:type="dxa"/>
            <w:shd w:val="clear" w:color="auto" w:fill="auto"/>
          </w:tcPr>
          <w:p w:rsidR="00BA4D45" w:rsidRPr="0032564F" w:rsidRDefault="00EB223B" w:rsidP="00045D24">
            <w:pPr>
              <w:pStyle w:val="MGGTextLeft"/>
              <w:rPr>
                <w:sz w:val="22"/>
                <w:szCs w:val="22"/>
                <w:lang w:val="el-GR"/>
              </w:rPr>
            </w:pPr>
            <w:r w:rsidRPr="0032564F">
              <w:rPr>
                <w:sz w:val="22"/>
                <w:szCs w:val="22"/>
                <w:lang w:val="el-GR"/>
              </w:rPr>
              <w:lastRenderedPageBreak/>
              <w:t>Ψυχοκινητική υπερδραστηριότητα</w:t>
            </w:r>
          </w:p>
          <w:p w:rsidR="00BA4D45" w:rsidRPr="0032564F" w:rsidRDefault="00EB223B" w:rsidP="00045D24">
            <w:pPr>
              <w:pStyle w:val="MGGTextLeft"/>
              <w:rPr>
                <w:sz w:val="22"/>
                <w:szCs w:val="22"/>
                <w:lang w:val="el-GR"/>
              </w:rPr>
            </w:pPr>
            <w:r w:rsidRPr="0032564F">
              <w:rPr>
                <w:sz w:val="22"/>
                <w:szCs w:val="22"/>
                <w:lang w:val="el-GR"/>
              </w:rPr>
              <w:t>Δυσκινησία</w:t>
            </w:r>
          </w:p>
          <w:p w:rsidR="00BA4D45" w:rsidRPr="0032564F" w:rsidRDefault="00EB223B" w:rsidP="00045D24">
            <w:pPr>
              <w:pStyle w:val="MGGTextLeft"/>
              <w:rPr>
                <w:sz w:val="22"/>
                <w:szCs w:val="22"/>
                <w:lang w:val="el-GR"/>
              </w:rPr>
            </w:pPr>
            <w:r w:rsidRPr="0032564F">
              <w:rPr>
                <w:sz w:val="22"/>
                <w:szCs w:val="22"/>
                <w:lang w:val="el-GR"/>
              </w:rPr>
              <w:lastRenderedPageBreak/>
              <w:t>Αταξία</w:t>
            </w:r>
          </w:p>
          <w:p w:rsidR="00BA4D45" w:rsidRPr="0032564F" w:rsidRDefault="00EB223B" w:rsidP="00045D24">
            <w:pPr>
              <w:pStyle w:val="MGGTextLeft"/>
              <w:rPr>
                <w:sz w:val="22"/>
                <w:szCs w:val="22"/>
                <w:lang w:val="el-GR"/>
              </w:rPr>
            </w:pPr>
            <w:r w:rsidRPr="0032564F">
              <w:rPr>
                <w:sz w:val="22"/>
                <w:szCs w:val="22"/>
                <w:lang w:val="el-GR"/>
              </w:rPr>
              <w:t>Διαταραχή ισορροπίας</w:t>
            </w:r>
          </w:p>
          <w:p w:rsidR="00BA4D45" w:rsidRDefault="00EB223B" w:rsidP="00045D24">
            <w:pPr>
              <w:pStyle w:val="MGGTextLeft"/>
              <w:rPr>
                <w:sz w:val="22"/>
                <w:szCs w:val="22"/>
                <w:lang w:val="el-GR"/>
              </w:rPr>
            </w:pPr>
            <w:r w:rsidRPr="0032564F">
              <w:rPr>
                <w:sz w:val="22"/>
                <w:szCs w:val="22"/>
              </w:rPr>
              <w:t>Μυόκλωνος</w:t>
            </w:r>
          </w:p>
          <w:p w:rsidR="00773A1B" w:rsidRPr="00773A1B" w:rsidRDefault="00773A1B" w:rsidP="00045D24">
            <w:pPr>
              <w:pStyle w:val="MGGTextLeft"/>
              <w:rPr>
                <w:sz w:val="22"/>
                <w:szCs w:val="22"/>
                <w:lang w:val="el-GR"/>
              </w:rPr>
            </w:pPr>
            <w:r>
              <w:rPr>
                <w:sz w:val="22"/>
                <w:szCs w:val="22"/>
                <w:lang w:val="el-GR"/>
              </w:rPr>
              <w:t>Επηρεασμένη μνήμη</w:t>
            </w:r>
          </w:p>
        </w:tc>
        <w:tc>
          <w:tcPr>
            <w:tcW w:w="1841" w:type="dxa"/>
            <w:shd w:val="clear" w:color="auto" w:fill="auto"/>
          </w:tcPr>
          <w:p w:rsidR="00BA4D45" w:rsidRPr="0032564F" w:rsidRDefault="00EB223B" w:rsidP="00045D24">
            <w:pPr>
              <w:pStyle w:val="MGGTextLeft"/>
              <w:rPr>
                <w:sz w:val="22"/>
                <w:szCs w:val="22"/>
                <w:lang w:val="el-GR"/>
              </w:rPr>
            </w:pPr>
            <w:r w:rsidRPr="0032564F">
              <w:rPr>
                <w:sz w:val="22"/>
                <w:szCs w:val="22"/>
                <w:lang w:val="el-GR"/>
              </w:rPr>
              <w:lastRenderedPageBreak/>
              <w:t>Σπασμοί</w:t>
            </w:r>
          </w:p>
          <w:p w:rsidR="007A7485" w:rsidRPr="0032564F" w:rsidRDefault="00EB223B" w:rsidP="00045D24">
            <w:pPr>
              <w:pStyle w:val="MGGTextLeft"/>
              <w:rPr>
                <w:sz w:val="22"/>
                <w:szCs w:val="22"/>
                <w:lang w:val="el-GR"/>
              </w:rPr>
            </w:pPr>
            <w:r w:rsidRPr="0032564F">
              <w:rPr>
                <w:sz w:val="22"/>
                <w:szCs w:val="22"/>
                <w:lang w:val="el-GR"/>
              </w:rPr>
              <w:t>Ακαθησία</w:t>
            </w:r>
            <w:r w:rsidR="00BA4D45" w:rsidRPr="0032564F">
              <w:rPr>
                <w:sz w:val="22"/>
                <w:szCs w:val="22"/>
              </w:rPr>
              <w:t xml:space="preserve"> </w:t>
            </w:r>
          </w:p>
          <w:p w:rsidR="00773A1B" w:rsidRDefault="00EB223B" w:rsidP="00045D24">
            <w:pPr>
              <w:pStyle w:val="MGGTextLeft"/>
              <w:rPr>
                <w:sz w:val="22"/>
                <w:szCs w:val="22"/>
                <w:lang w:val="el-GR"/>
              </w:rPr>
            </w:pPr>
            <w:r w:rsidRPr="0032564F">
              <w:rPr>
                <w:sz w:val="22"/>
                <w:szCs w:val="22"/>
              </w:rPr>
              <w:t xml:space="preserve">Στοματογλωσσικό </w:t>
            </w:r>
            <w:r w:rsidRPr="0032564F">
              <w:rPr>
                <w:sz w:val="22"/>
                <w:szCs w:val="22"/>
              </w:rPr>
              <w:lastRenderedPageBreak/>
              <w:t>σύνδρομο</w:t>
            </w:r>
            <w:r w:rsidR="00773A1B" w:rsidRPr="0032564F">
              <w:rPr>
                <w:sz w:val="22"/>
                <w:szCs w:val="22"/>
                <w:lang w:val="el-GR"/>
              </w:rPr>
              <w:t xml:space="preserve"> </w:t>
            </w:r>
          </w:p>
          <w:p w:rsidR="00BA4D45" w:rsidRPr="0032564F" w:rsidRDefault="00773A1B" w:rsidP="00045D24">
            <w:pPr>
              <w:pStyle w:val="MGGTextLeft"/>
              <w:rPr>
                <w:sz w:val="22"/>
                <w:szCs w:val="22"/>
                <w:lang w:val="el-GR"/>
              </w:rPr>
            </w:pPr>
            <w:r w:rsidRPr="0032564F">
              <w:rPr>
                <w:sz w:val="22"/>
                <w:szCs w:val="22"/>
                <w:lang w:val="el-GR"/>
              </w:rPr>
              <w:t>Σύνδρομο σεροτονίνης</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p w:rsidR="00BA4D45" w:rsidRPr="0032564F" w:rsidRDefault="00BA4D45" w:rsidP="00045D24">
            <w:pPr>
              <w:pStyle w:val="MGGTextLeft"/>
              <w:rPr>
                <w:sz w:val="22"/>
                <w:szCs w:val="22"/>
                <w:lang w:val="el-GR"/>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lastRenderedPageBreak/>
              <w:t>Οφθαλμικές διαταραχές</w:t>
            </w:r>
          </w:p>
        </w:tc>
      </w:tr>
      <w:tr w:rsidR="00CD33C3" w:rsidRPr="0032564F" w:rsidTr="00987B02">
        <w:trPr>
          <w:jc w:val="center"/>
        </w:trPr>
        <w:tc>
          <w:tcPr>
            <w:tcW w:w="1310" w:type="dxa"/>
            <w:shd w:val="clear" w:color="auto" w:fill="auto"/>
          </w:tcPr>
          <w:p w:rsidR="00BA4D45" w:rsidRPr="0032564F" w:rsidRDefault="00BA4D45" w:rsidP="00045D24">
            <w:pPr>
              <w:pStyle w:val="MGGTextLeft"/>
              <w:rPr>
                <w:sz w:val="22"/>
                <w:szCs w:val="22"/>
              </w:rPr>
            </w:pPr>
          </w:p>
        </w:tc>
        <w:tc>
          <w:tcPr>
            <w:tcW w:w="1693" w:type="dxa"/>
            <w:shd w:val="clear" w:color="auto" w:fill="auto"/>
          </w:tcPr>
          <w:p w:rsidR="00BA4D45" w:rsidRPr="0032564F" w:rsidRDefault="00EB223B" w:rsidP="00045D24">
            <w:pPr>
              <w:pStyle w:val="MGGTextLeft"/>
              <w:rPr>
                <w:sz w:val="22"/>
                <w:szCs w:val="22"/>
                <w:lang w:val="el-GR"/>
              </w:rPr>
            </w:pPr>
            <w:r w:rsidRPr="0032564F">
              <w:rPr>
                <w:sz w:val="22"/>
                <w:szCs w:val="22"/>
              </w:rPr>
              <w:t>Όραση θαμπή</w:t>
            </w:r>
          </w:p>
        </w:tc>
        <w:tc>
          <w:tcPr>
            <w:tcW w:w="2041" w:type="dxa"/>
            <w:shd w:val="clear" w:color="auto" w:fill="auto"/>
          </w:tcPr>
          <w:p w:rsidR="00BA4D45" w:rsidRPr="0032564F" w:rsidRDefault="00EB223B" w:rsidP="00045D24">
            <w:pPr>
              <w:pStyle w:val="MGGTextLeft"/>
              <w:rPr>
                <w:sz w:val="22"/>
                <w:szCs w:val="22"/>
                <w:lang w:val="el-GR"/>
              </w:rPr>
            </w:pPr>
            <w:r w:rsidRPr="0032564F">
              <w:rPr>
                <w:sz w:val="22"/>
                <w:szCs w:val="22"/>
                <w:lang w:val="el-GR"/>
              </w:rPr>
              <w:t>Μυδρίαση</w:t>
            </w:r>
          </w:p>
        </w:tc>
        <w:tc>
          <w:tcPr>
            <w:tcW w:w="1841" w:type="dxa"/>
            <w:shd w:val="clear" w:color="auto" w:fill="auto"/>
          </w:tcPr>
          <w:p w:rsidR="00BA4D45" w:rsidRPr="0032564F" w:rsidRDefault="00BA4D45" w:rsidP="00045D24">
            <w:pPr>
              <w:pStyle w:val="MGGTextLeft"/>
              <w:rPr>
                <w:sz w:val="22"/>
                <w:szCs w:val="22"/>
              </w:rPr>
            </w:pP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του ωτός και του λαβυρίνθου</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3541A1" w:rsidRDefault="00BA4D45" w:rsidP="00045D24">
            <w:pPr>
              <w:pStyle w:val="MGGTextLeft"/>
              <w:rPr>
                <w:sz w:val="22"/>
                <w:szCs w:val="22"/>
                <w:lang w:val="el-GR"/>
              </w:rPr>
            </w:pPr>
          </w:p>
        </w:tc>
        <w:tc>
          <w:tcPr>
            <w:tcW w:w="2041" w:type="dxa"/>
            <w:shd w:val="clear" w:color="auto" w:fill="auto"/>
          </w:tcPr>
          <w:p w:rsidR="00BA4D45" w:rsidRPr="003541A1" w:rsidRDefault="004119EB" w:rsidP="00045D24">
            <w:pPr>
              <w:pStyle w:val="MGGTextLeft"/>
              <w:rPr>
                <w:sz w:val="22"/>
                <w:szCs w:val="22"/>
                <w:lang w:val="el-GR"/>
              </w:rPr>
            </w:pPr>
            <w:r w:rsidRPr="0032564F">
              <w:rPr>
                <w:sz w:val="22"/>
                <w:szCs w:val="22"/>
                <w:lang w:val="el-GR"/>
              </w:rPr>
              <w:t>Εμβοές</w:t>
            </w:r>
          </w:p>
        </w:tc>
        <w:tc>
          <w:tcPr>
            <w:tcW w:w="1841" w:type="dxa"/>
            <w:shd w:val="clear" w:color="auto" w:fill="auto"/>
          </w:tcPr>
          <w:p w:rsidR="00BA4D45" w:rsidRPr="003541A1" w:rsidRDefault="00BA4D45" w:rsidP="00045D24">
            <w:pPr>
              <w:pStyle w:val="MGGTextLeft"/>
              <w:rPr>
                <w:sz w:val="22"/>
                <w:szCs w:val="22"/>
                <w:lang w:val="el-GR"/>
              </w:rPr>
            </w:pPr>
          </w:p>
        </w:tc>
        <w:tc>
          <w:tcPr>
            <w:tcW w:w="1412" w:type="dxa"/>
            <w:shd w:val="clear" w:color="auto" w:fill="auto"/>
          </w:tcPr>
          <w:p w:rsidR="00BA4D45" w:rsidRPr="003541A1" w:rsidRDefault="00BA4D45" w:rsidP="00045D24">
            <w:pPr>
              <w:pStyle w:val="MGGTextLeft"/>
              <w:rPr>
                <w:sz w:val="22"/>
                <w:szCs w:val="22"/>
                <w:lang w:val="el-GR"/>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Καρδιακές διαταραχές</w:t>
            </w:r>
          </w:p>
        </w:tc>
      </w:tr>
      <w:tr w:rsidR="00CD33C3" w:rsidRPr="0032564F" w:rsidTr="00987B02">
        <w:trPr>
          <w:jc w:val="center"/>
        </w:trPr>
        <w:tc>
          <w:tcPr>
            <w:tcW w:w="1310" w:type="dxa"/>
            <w:shd w:val="clear" w:color="auto" w:fill="auto"/>
          </w:tcPr>
          <w:p w:rsidR="00BA4D45" w:rsidRPr="0032564F" w:rsidRDefault="00BA4D45" w:rsidP="00045D24">
            <w:pPr>
              <w:pStyle w:val="MGGTextLeft"/>
              <w:rPr>
                <w:sz w:val="22"/>
                <w:szCs w:val="22"/>
              </w:rPr>
            </w:pPr>
          </w:p>
        </w:tc>
        <w:tc>
          <w:tcPr>
            <w:tcW w:w="1693" w:type="dxa"/>
            <w:shd w:val="clear" w:color="auto" w:fill="auto"/>
          </w:tcPr>
          <w:p w:rsidR="00BA4D45" w:rsidRPr="0032564F" w:rsidRDefault="00EB223B" w:rsidP="00045D24">
            <w:pPr>
              <w:pStyle w:val="MGGTextLeft"/>
              <w:rPr>
                <w:sz w:val="22"/>
                <w:szCs w:val="22"/>
                <w:lang w:val="el-GR"/>
              </w:rPr>
            </w:pPr>
            <w:r w:rsidRPr="0032564F">
              <w:rPr>
                <w:sz w:val="22"/>
                <w:szCs w:val="22"/>
                <w:lang w:val="el-GR"/>
              </w:rPr>
              <w:t>Αίσθημα παλμών</w:t>
            </w:r>
          </w:p>
        </w:tc>
        <w:tc>
          <w:tcPr>
            <w:tcW w:w="2041" w:type="dxa"/>
            <w:shd w:val="clear" w:color="auto" w:fill="auto"/>
          </w:tcPr>
          <w:p w:rsidR="00BA4D45" w:rsidRPr="0032564F" w:rsidRDefault="00BA4D45" w:rsidP="00045D24">
            <w:pPr>
              <w:pStyle w:val="MGGTextLeft"/>
              <w:rPr>
                <w:sz w:val="22"/>
                <w:szCs w:val="22"/>
              </w:rPr>
            </w:pPr>
          </w:p>
        </w:tc>
        <w:tc>
          <w:tcPr>
            <w:tcW w:w="1841" w:type="dxa"/>
            <w:shd w:val="clear" w:color="auto" w:fill="auto"/>
          </w:tcPr>
          <w:p w:rsidR="00CC0C4A" w:rsidRPr="00CC0C4A" w:rsidRDefault="00CC0C4A" w:rsidP="00CC0C4A">
            <w:pPr>
              <w:pStyle w:val="MGGTextLeft"/>
              <w:rPr>
                <w:sz w:val="22"/>
                <w:szCs w:val="22"/>
                <w:lang w:val="en-US"/>
              </w:rPr>
            </w:pPr>
            <w:r w:rsidRPr="00CC0C4A">
              <w:rPr>
                <w:sz w:val="22"/>
                <w:szCs w:val="22"/>
                <w:lang w:val="el-GR"/>
              </w:rPr>
              <w:t xml:space="preserve">Κοιλιακή αρρυθμία συμπεριλαμβανομένης </w:t>
            </w:r>
            <w:r w:rsidR="005B4136" w:rsidRPr="005B4136">
              <w:rPr>
                <w:sz w:val="22"/>
                <w:szCs w:val="22"/>
              </w:rPr>
              <w:t>κοιλιακής ταχυκαρδίας δίκην ριπιδίου (torsade de pointes)</w:t>
            </w:r>
            <w:r w:rsidR="005B4136">
              <w:rPr>
                <w:sz w:val="22"/>
                <w:szCs w:val="22"/>
                <w:lang w:val="el-GR"/>
              </w:rPr>
              <w:t xml:space="preserve"> </w:t>
            </w:r>
          </w:p>
          <w:p w:rsidR="00CC0C4A" w:rsidRPr="00CC0C4A" w:rsidRDefault="00CC0C4A" w:rsidP="00CC0C4A">
            <w:pPr>
              <w:pStyle w:val="MGGTextLeft"/>
              <w:rPr>
                <w:sz w:val="22"/>
                <w:szCs w:val="22"/>
                <w:lang w:val="en-US"/>
              </w:rPr>
            </w:pPr>
          </w:p>
          <w:p w:rsidR="00BA4D45" w:rsidRPr="0032564F" w:rsidRDefault="00CC0C4A" w:rsidP="00CC0C4A">
            <w:pPr>
              <w:pStyle w:val="MGGTextLeft"/>
              <w:rPr>
                <w:sz w:val="22"/>
                <w:szCs w:val="22"/>
              </w:rPr>
            </w:pPr>
            <w:r w:rsidRPr="00CC0C4A">
              <w:rPr>
                <w:sz w:val="22"/>
                <w:szCs w:val="22"/>
                <w:lang w:val="el-GR"/>
              </w:rPr>
              <w:t xml:space="preserve">Παράταση του </w:t>
            </w:r>
            <w:r w:rsidRPr="00CC0C4A">
              <w:rPr>
                <w:sz w:val="22"/>
                <w:szCs w:val="22"/>
                <w:lang w:val="en-US"/>
              </w:rPr>
              <w:t>QT</w:t>
            </w:r>
            <w:r w:rsidRPr="00CC0C4A">
              <w:rPr>
                <w:sz w:val="22"/>
                <w:szCs w:val="22"/>
                <w:lang w:val="el-GR"/>
              </w:rPr>
              <w:t xml:space="preserve"> στο ηλεκτροκαρδιογράφημα</w:t>
            </w:r>
            <w:r w:rsidRPr="00CC0C4A">
              <w:rPr>
                <w:sz w:val="22"/>
                <w:szCs w:val="22"/>
              </w:rPr>
              <w:t xml:space="preserve"> </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Αγγειακές διαταραχές</w:t>
            </w:r>
          </w:p>
        </w:tc>
      </w:tr>
      <w:tr w:rsidR="00CD33C3" w:rsidRPr="0032564F" w:rsidTr="00987B02">
        <w:trPr>
          <w:jc w:val="center"/>
        </w:trPr>
        <w:tc>
          <w:tcPr>
            <w:tcW w:w="1310" w:type="dxa"/>
            <w:shd w:val="clear" w:color="auto" w:fill="auto"/>
          </w:tcPr>
          <w:p w:rsidR="00BA4D45" w:rsidRPr="0032564F" w:rsidRDefault="00BA4D45" w:rsidP="00045D24">
            <w:pPr>
              <w:pStyle w:val="MGGTextLeft"/>
              <w:rPr>
                <w:sz w:val="22"/>
                <w:szCs w:val="22"/>
              </w:rPr>
            </w:pPr>
          </w:p>
        </w:tc>
        <w:tc>
          <w:tcPr>
            <w:tcW w:w="1693" w:type="dxa"/>
            <w:shd w:val="clear" w:color="auto" w:fill="auto"/>
          </w:tcPr>
          <w:p w:rsidR="00BA4D45" w:rsidRPr="00833771" w:rsidRDefault="000C49A4" w:rsidP="00045D24">
            <w:pPr>
              <w:pStyle w:val="MGGTextLeft"/>
              <w:rPr>
                <w:sz w:val="22"/>
                <w:szCs w:val="22"/>
                <w:lang w:val="el-GR"/>
              </w:rPr>
            </w:pPr>
            <w:r w:rsidRPr="0032564F">
              <w:rPr>
                <w:sz w:val="22"/>
                <w:szCs w:val="22"/>
                <w:lang w:val="el-GR"/>
              </w:rPr>
              <w:t>Έξαψη</w:t>
            </w:r>
            <w:r w:rsidR="00773A1B">
              <w:rPr>
                <w:sz w:val="22"/>
                <w:szCs w:val="22"/>
                <w:vertAlign w:val="superscript"/>
                <w:lang w:val="el-GR"/>
              </w:rPr>
              <w:t>8</w:t>
            </w:r>
          </w:p>
        </w:tc>
        <w:tc>
          <w:tcPr>
            <w:tcW w:w="2041" w:type="dxa"/>
            <w:shd w:val="clear" w:color="auto" w:fill="auto"/>
          </w:tcPr>
          <w:p w:rsidR="00BA4D45" w:rsidRPr="0032564F" w:rsidRDefault="00EB223B" w:rsidP="00045D24">
            <w:pPr>
              <w:pStyle w:val="MGGTextLeft"/>
              <w:rPr>
                <w:sz w:val="22"/>
                <w:szCs w:val="22"/>
                <w:lang w:val="el-GR"/>
              </w:rPr>
            </w:pPr>
            <w:r w:rsidRPr="0032564F">
              <w:rPr>
                <w:sz w:val="22"/>
                <w:szCs w:val="22"/>
                <w:lang w:val="el-GR"/>
              </w:rPr>
              <w:t>Υπόταση</w:t>
            </w:r>
          </w:p>
        </w:tc>
        <w:tc>
          <w:tcPr>
            <w:tcW w:w="1841" w:type="dxa"/>
            <w:shd w:val="clear" w:color="auto" w:fill="auto"/>
          </w:tcPr>
          <w:p w:rsidR="00BA4D45" w:rsidRPr="0032564F" w:rsidRDefault="00EB223B" w:rsidP="00045D24">
            <w:pPr>
              <w:pStyle w:val="MGGTextLeft"/>
              <w:rPr>
                <w:sz w:val="22"/>
                <w:szCs w:val="22"/>
                <w:lang w:val="el-GR"/>
              </w:rPr>
            </w:pPr>
            <w:r w:rsidRPr="0032564F">
              <w:rPr>
                <w:sz w:val="22"/>
                <w:szCs w:val="22"/>
                <w:lang w:val="el-GR"/>
              </w:rPr>
              <w:t>Αγγειίτιδα</w:t>
            </w:r>
          </w:p>
          <w:p w:rsidR="00BA4D45" w:rsidRPr="0032564F" w:rsidRDefault="00EB223B" w:rsidP="00045D24">
            <w:pPr>
              <w:pStyle w:val="MGGTextLeft"/>
              <w:rPr>
                <w:sz w:val="22"/>
                <w:szCs w:val="22"/>
                <w:lang w:val="el-GR"/>
              </w:rPr>
            </w:pPr>
            <w:r w:rsidRPr="0032564F">
              <w:rPr>
                <w:sz w:val="22"/>
                <w:szCs w:val="22"/>
                <w:lang w:val="el-GR"/>
              </w:rPr>
              <w:t>Αγγειοδιαστολή</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του αναπνευστικού συστήματος, του θώρακα και του μεσοθωρακίου</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32564F" w:rsidRDefault="00EB223B" w:rsidP="00045D24">
            <w:pPr>
              <w:pStyle w:val="MGGTextLeft"/>
              <w:rPr>
                <w:sz w:val="22"/>
                <w:szCs w:val="22"/>
                <w:lang w:val="el-GR"/>
              </w:rPr>
            </w:pPr>
            <w:r w:rsidRPr="0032564F">
              <w:rPr>
                <w:sz w:val="22"/>
                <w:szCs w:val="22"/>
                <w:lang w:val="el-GR"/>
              </w:rPr>
              <w:t>Χασμουρητό</w:t>
            </w:r>
          </w:p>
        </w:tc>
        <w:tc>
          <w:tcPr>
            <w:tcW w:w="2041" w:type="dxa"/>
            <w:shd w:val="clear" w:color="auto" w:fill="auto"/>
          </w:tcPr>
          <w:p w:rsidR="00CD7CA6" w:rsidRDefault="00EB223B" w:rsidP="00045D24">
            <w:pPr>
              <w:pStyle w:val="MGGTextLeft"/>
              <w:rPr>
                <w:sz w:val="22"/>
                <w:szCs w:val="22"/>
                <w:lang w:val="el-GR"/>
              </w:rPr>
            </w:pPr>
            <w:r w:rsidRPr="0032564F">
              <w:rPr>
                <w:sz w:val="22"/>
                <w:szCs w:val="22"/>
                <w:lang w:val="el-GR"/>
              </w:rPr>
              <w:t>Δύσπνοια</w:t>
            </w:r>
            <w:r w:rsidR="00CD7CA6" w:rsidRPr="0032564F">
              <w:rPr>
                <w:sz w:val="22"/>
                <w:szCs w:val="22"/>
                <w:lang w:val="el-GR"/>
              </w:rPr>
              <w:t xml:space="preserve"> </w:t>
            </w:r>
          </w:p>
          <w:p w:rsidR="00BA4D45" w:rsidRPr="0032564F" w:rsidRDefault="00CD7CA6" w:rsidP="00045D24">
            <w:pPr>
              <w:pStyle w:val="MGGTextLeft"/>
              <w:rPr>
                <w:sz w:val="22"/>
                <w:szCs w:val="22"/>
                <w:lang w:val="el-GR"/>
              </w:rPr>
            </w:pPr>
            <w:r w:rsidRPr="0032564F">
              <w:rPr>
                <w:sz w:val="22"/>
                <w:szCs w:val="22"/>
                <w:lang w:val="el-GR"/>
              </w:rPr>
              <w:t>Επίσταξη</w:t>
            </w:r>
          </w:p>
        </w:tc>
        <w:tc>
          <w:tcPr>
            <w:tcW w:w="1841" w:type="dxa"/>
            <w:shd w:val="clear" w:color="auto" w:fill="auto"/>
          </w:tcPr>
          <w:p w:rsidR="004119EB" w:rsidRPr="00045D24" w:rsidRDefault="00EB223B" w:rsidP="004119EB">
            <w:pPr>
              <w:pStyle w:val="MGGTextLeft"/>
              <w:rPr>
                <w:sz w:val="22"/>
                <w:szCs w:val="22"/>
                <w:lang w:val="el-GR"/>
              </w:rPr>
            </w:pPr>
            <w:r w:rsidRPr="0032564F">
              <w:rPr>
                <w:sz w:val="22"/>
                <w:szCs w:val="22"/>
                <w:lang w:val="el-GR"/>
              </w:rPr>
              <w:t>Φαρυγγίτιδα</w:t>
            </w:r>
            <w:r w:rsidR="004119EB" w:rsidRPr="0032564F">
              <w:rPr>
                <w:sz w:val="22"/>
                <w:szCs w:val="22"/>
                <w:lang w:val="el-GR"/>
              </w:rPr>
              <w:t xml:space="preserve"> Πνευμονικά συμβάντα</w:t>
            </w:r>
            <w:r w:rsidR="004119EB" w:rsidRPr="00045D24">
              <w:rPr>
                <w:sz w:val="22"/>
                <w:szCs w:val="22"/>
                <w:lang w:val="el-GR"/>
              </w:rPr>
              <w:t xml:space="preserve"> (</w:t>
            </w:r>
            <w:r w:rsidR="004119EB" w:rsidRPr="0032564F">
              <w:rPr>
                <w:sz w:val="22"/>
                <w:szCs w:val="22"/>
                <w:lang w:val="el-GR"/>
              </w:rPr>
              <w:t>φλεγμονώδεις διαδικασίες ποικίλης ιστοπαθολογίας και/ή ίνωσης</w:t>
            </w:r>
            <w:r w:rsidR="004119EB" w:rsidRPr="00045D24">
              <w:rPr>
                <w:sz w:val="22"/>
                <w:szCs w:val="22"/>
                <w:lang w:val="el-GR"/>
              </w:rPr>
              <w:t>)</w:t>
            </w:r>
            <w:r w:rsidR="004119EB" w:rsidRPr="004119EB">
              <w:rPr>
                <w:sz w:val="22"/>
                <w:szCs w:val="22"/>
                <w:vertAlign w:val="superscript"/>
                <w:lang w:val="el-GR"/>
              </w:rPr>
              <w:t>9</w:t>
            </w:r>
          </w:p>
          <w:p w:rsidR="00BA4D45" w:rsidRPr="0032564F" w:rsidRDefault="00BA4D45" w:rsidP="00045D24">
            <w:pPr>
              <w:pStyle w:val="MGGTextLeft"/>
              <w:rPr>
                <w:sz w:val="22"/>
                <w:szCs w:val="22"/>
                <w:lang w:val="el-GR"/>
              </w:rPr>
            </w:pP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Διαταραχές του γαστρεντερικού συστήματος</w:t>
            </w:r>
          </w:p>
        </w:tc>
      </w:tr>
      <w:tr w:rsidR="00CD33C3" w:rsidRPr="0032564F" w:rsidTr="00987B02">
        <w:trPr>
          <w:jc w:val="center"/>
        </w:trPr>
        <w:tc>
          <w:tcPr>
            <w:tcW w:w="1310" w:type="dxa"/>
            <w:shd w:val="clear" w:color="auto" w:fill="auto"/>
          </w:tcPr>
          <w:p w:rsidR="00BA4D45" w:rsidRPr="0032564F" w:rsidRDefault="007A7485" w:rsidP="00045D24">
            <w:pPr>
              <w:pStyle w:val="MGGTextLeft"/>
              <w:rPr>
                <w:sz w:val="22"/>
                <w:szCs w:val="22"/>
              </w:rPr>
            </w:pPr>
            <w:r w:rsidRPr="0032564F">
              <w:rPr>
                <w:sz w:val="22"/>
                <w:szCs w:val="22"/>
                <w:lang w:val="el-GR"/>
              </w:rPr>
              <w:t>Διάρροια</w:t>
            </w:r>
          </w:p>
          <w:p w:rsidR="00BA4D45" w:rsidRPr="0032564F" w:rsidRDefault="007A7485" w:rsidP="00045D24">
            <w:pPr>
              <w:pStyle w:val="MGGTextLeft"/>
              <w:rPr>
                <w:sz w:val="22"/>
                <w:szCs w:val="22"/>
                <w:lang w:val="el-GR"/>
              </w:rPr>
            </w:pPr>
            <w:r w:rsidRPr="0032564F">
              <w:rPr>
                <w:sz w:val="22"/>
                <w:szCs w:val="22"/>
                <w:lang w:val="el-GR"/>
              </w:rPr>
              <w:t>Ναυτία</w:t>
            </w:r>
          </w:p>
        </w:tc>
        <w:tc>
          <w:tcPr>
            <w:tcW w:w="1693" w:type="dxa"/>
            <w:shd w:val="clear" w:color="auto" w:fill="auto"/>
          </w:tcPr>
          <w:p w:rsidR="00BA4D45" w:rsidRPr="0032564F" w:rsidRDefault="007A7485" w:rsidP="00045D24">
            <w:pPr>
              <w:pStyle w:val="MGGTextLeft"/>
              <w:rPr>
                <w:sz w:val="22"/>
                <w:szCs w:val="22"/>
                <w:lang w:val="el-GR"/>
              </w:rPr>
            </w:pPr>
            <w:r w:rsidRPr="0032564F">
              <w:rPr>
                <w:sz w:val="22"/>
                <w:szCs w:val="22"/>
                <w:lang w:val="el-GR"/>
              </w:rPr>
              <w:t>Έμετος</w:t>
            </w:r>
            <w:r w:rsidR="00BA4D45" w:rsidRPr="0032564F">
              <w:rPr>
                <w:sz w:val="22"/>
                <w:szCs w:val="22"/>
              </w:rPr>
              <w:t xml:space="preserve"> </w:t>
            </w:r>
            <w:r w:rsidRPr="0032564F">
              <w:rPr>
                <w:sz w:val="22"/>
                <w:szCs w:val="22"/>
                <w:lang w:val="el-GR"/>
              </w:rPr>
              <w:t>Δυσπεψία</w:t>
            </w:r>
          </w:p>
          <w:p w:rsidR="00BA4D45" w:rsidRPr="0032564F" w:rsidRDefault="007A7485" w:rsidP="00045D24">
            <w:pPr>
              <w:pStyle w:val="MGGTextLeft"/>
              <w:rPr>
                <w:sz w:val="22"/>
                <w:szCs w:val="22"/>
                <w:lang w:val="el-GR"/>
              </w:rPr>
            </w:pPr>
            <w:r w:rsidRPr="0032564F">
              <w:rPr>
                <w:sz w:val="22"/>
                <w:szCs w:val="22"/>
              </w:rPr>
              <w:t>Ξηροστομία</w:t>
            </w:r>
          </w:p>
        </w:tc>
        <w:tc>
          <w:tcPr>
            <w:tcW w:w="2041" w:type="dxa"/>
            <w:shd w:val="clear" w:color="auto" w:fill="auto"/>
          </w:tcPr>
          <w:p w:rsidR="00BA4D45" w:rsidRPr="00CD7CA6" w:rsidRDefault="007A7485" w:rsidP="00CD7CA6">
            <w:pPr>
              <w:pStyle w:val="MGGTextLeft"/>
              <w:rPr>
                <w:sz w:val="22"/>
                <w:szCs w:val="22"/>
                <w:lang w:val="el-GR"/>
              </w:rPr>
            </w:pPr>
            <w:r w:rsidRPr="0032564F">
              <w:rPr>
                <w:sz w:val="22"/>
                <w:szCs w:val="22"/>
                <w:lang w:val="el-GR"/>
              </w:rPr>
              <w:t>Δυσφαγία</w:t>
            </w:r>
            <w:r w:rsidR="00CD7CA6" w:rsidRPr="00F44332">
              <w:t xml:space="preserve"> </w:t>
            </w:r>
            <w:r w:rsidR="00CD7CA6" w:rsidRPr="0032564F">
              <w:rPr>
                <w:sz w:val="22"/>
                <w:szCs w:val="22"/>
              </w:rPr>
              <w:t>Αιμορραγία του γαστρεντερικού σωλήνα</w:t>
            </w:r>
            <w:r w:rsidR="00CD7CA6" w:rsidRPr="0032564F">
              <w:rPr>
                <w:sz w:val="22"/>
                <w:szCs w:val="22"/>
                <w:vertAlign w:val="superscript"/>
              </w:rPr>
              <w:t>1</w:t>
            </w:r>
            <w:r w:rsidR="00CD7CA6">
              <w:rPr>
                <w:sz w:val="22"/>
                <w:szCs w:val="22"/>
                <w:vertAlign w:val="superscript"/>
                <w:lang w:val="el-GR"/>
              </w:rPr>
              <w:t>0</w:t>
            </w:r>
          </w:p>
        </w:tc>
        <w:tc>
          <w:tcPr>
            <w:tcW w:w="1841" w:type="dxa"/>
            <w:shd w:val="clear" w:color="auto" w:fill="auto"/>
          </w:tcPr>
          <w:p w:rsidR="00BA4D45" w:rsidRPr="0032564F" w:rsidRDefault="007A7485" w:rsidP="00045D24">
            <w:pPr>
              <w:pStyle w:val="MGGTextLeft"/>
              <w:rPr>
                <w:sz w:val="22"/>
                <w:szCs w:val="22"/>
                <w:lang w:val="el-GR"/>
              </w:rPr>
            </w:pPr>
            <w:r w:rsidRPr="0032564F">
              <w:rPr>
                <w:sz w:val="22"/>
                <w:szCs w:val="22"/>
              </w:rPr>
              <w:t>Άλγος του οισοφάγου</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του ήπατος και των χοληφόρων</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3541A1" w:rsidRDefault="00BA4D45" w:rsidP="00045D24">
            <w:pPr>
              <w:pStyle w:val="MGGTextLeft"/>
              <w:rPr>
                <w:sz w:val="22"/>
                <w:szCs w:val="22"/>
                <w:lang w:val="el-GR"/>
              </w:rPr>
            </w:pPr>
          </w:p>
        </w:tc>
        <w:tc>
          <w:tcPr>
            <w:tcW w:w="2041" w:type="dxa"/>
            <w:shd w:val="clear" w:color="auto" w:fill="auto"/>
          </w:tcPr>
          <w:p w:rsidR="00BA4D45" w:rsidRPr="003541A1" w:rsidRDefault="00BA4D45" w:rsidP="00045D24">
            <w:pPr>
              <w:pStyle w:val="MGGTextLeft"/>
              <w:rPr>
                <w:sz w:val="22"/>
                <w:szCs w:val="22"/>
                <w:lang w:val="el-GR"/>
              </w:rPr>
            </w:pPr>
          </w:p>
        </w:tc>
        <w:tc>
          <w:tcPr>
            <w:tcW w:w="1841" w:type="dxa"/>
            <w:shd w:val="clear" w:color="auto" w:fill="auto"/>
          </w:tcPr>
          <w:p w:rsidR="00BA4D45" w:rsidRPr="003541A1" w:rsidRDefault="00CD7CA6" w:rsidP="00045D24">
            <w:pPr>
              <w:pStyle w:val="MGGTextLeft"/>
              <w:rPr>
                <w:sz w:val="22"/>
                <w:szCs w:val="22"/>
                <w:lang w:val="el-GR"/>
              </w:rPr>
            </w:pPr>
            <w:r>
              <w:rPr>
                <w:sz w:val="22"/>
                <w:szCs w:val="22"/>
                <w:lang w:val="el-GR"/>
              </w:rPr>
              <w:t>Ι</w:t>
            </w:r>
            <w:r w:rsidRPr="0032564F">
              <w:rPr>
                <w:sz w:val="22"/>
                <w:szCs w:val="22"/>
              </w:rPr>
              <w:t>διοσυγκρασιακή</w:t>
            </w:r>
            <w:r w:rsidRPr="0032564F">
              <w:rPr>
                <w:sz w:val="22"/>
                <w:szCs w:val="22"/>
                <w:lang w:val="el-GR"/>
              </w:rPr>
              <w:t xml:space="preserve"> ηπατίτιδα</w:t>
            </w:r>
          </w:p>
        </w:tc>
        <w:tc>
          <w:tcPr>
            <w:tcW w:w="1412" w:type="dxa"/>
            <w:shd w:val="clear" w:color="auto" w:fill="auto"/>
          </w:tcPr>
          <w:p w:rsidR="00BA4D45" w:rsidRPr="003541A1" w:rsidRDefault="00BA4D45" w:rsidP="00045D24">
            <w:pPr>
              <w:pStyle w:val="MGGTextLeft"/>
              <w:rPr>
                <w:sz w:val="22"/>
                <w:szCs w:val="22"/>
                <w:lang w:val="el-GR"/>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του δέρματος και του υποδόριου ιστού</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9B7D6B" w:rsidRDefault="00CD33C3" w:rsidP="00045D24">
            <w:pPr>
              <w:pStyle w:val="MGGTextLeft"/>
              <w:rPr>
                <w:sz w:val="22"/>
                <w:szCs w:val="22"/>
                <w:lang w:val="el-GR"/>
              </w:rPr>
            </w:pPr>
            <w:r w:rsidRPr="0032564F">
              <w:rPr>
                <w:sz w:val="22"/>
                <w:szCs w:val="22"/>
                <w:lang w:val="el-GR"/>
              </w:rPr>
              <w:t>Εξάνθημα</w:t>
            </w:r>
            <w:r w:rsidR="00CD7CA6">
              <w:rPr>
                <w:sz w:val="22"/>
                <w:szCs w:val="22"/>
                <w:vertAlign w:val="superscript"/>
                <w:lang w:val="el-GR"/>
              </w:rPr>
              <w:t>11</w:t>
            </w:r>
          </w:p>
          <w:p w:rsidR="00CD33C3" w:rsidRPr="0032564F" w:rsidRDefault="00CD33C3" w:rsidP="00045D24">
            <w:pPr>
              <w:pStyle w:val="MGGTextLeft"/>
              <w:rPr>
                <w:sz w:val="22"/>
                <w:szCs w:val="22"/>
                <w:lang w:val="el-GR"/>
              </w:rPr>
            </w:pPr>
            <w:r w:rsidRPr="0032564F">
              <w:rPr>
                <w:sz w:val="22"/>
                <w:szCs w:val="22"/>
                <w:lang w:val="el-GR"/>
              </w:rPr>
              <w:t>Κνίδωση</w:t>
            </w:r>
            <w:r w:rsidR="00BA4D45" w:rsidRPr="0032564F">
              <w:rPr>
                <w:sz w:val="22"/>
                <w:szCs w:val="22"/>
              </w:rPr>
              <w:t xml:space="preserve"> </w:t>
            </w:r>
          </w:p>
          <w:p w:rsidR="00CD33C3" w:rsidRPr="0032564F" w:rsidRDefault="00CD33C3" w:rsidP="00045D24">
            <w:pPr>
              <w:pStyle w:val="MGGTextLeft"/>
              <w:rPr>
                <w:sz w:val="22"/>
                <w:szCs w:val="22"/>
                <w:lang w:val="el-GR"/>
              </w:rPr>
            </w:pPr>
            <w:r w:rsidRPr="0032564F">
              <w:rPr>
                <w:sz w:val="22"/>
                <w:szCs w:val="22"/>
                <w:lang w:val="el-GR"/>
              </w:rPr>
              <w:t>Κνησμός</w:t>
            </w:r>
            <w:r w:rsidR="00BA4D45" w:rsidRPr="0032564F">
              <w:rPr>
                <w:sz w:val="22"/>
                <w:szCs w:val="22"/>
              </w:rPr>
              <w:t xml:space="preserve"> </w:t>
            </w:r>
          </w:p>
          <w:p w:rsidR="00BA4D45" w:rsidRPr="0032564F" w:rsidRDefault="00CD33C3" w:rsidP="00045D24">
            <w:pPr>
              <w:pStyle w:val="MGGTextLeft"/>
              <w:rPr>
                <w:sz w:val="22"/>
                <w:szCs w:val="22"/>
                <w:lang w:val="el-GR"/>
              </w:rPr>
            </w:pPr>
            <w:r w:rsidRPr="0032564F">
              <w:rPr>
                <w:sz w:val="22"/>
                <w:szCs w:val="22"/>
              </w:rPr>
              <w:t>Υπεριδρωσία</w:t>
            </w:r>
          </w:p>
        </w:tc>
        <w:tc>
          <w:tcPr>
            <w:tcW w:w="2041" w:type="dxa"/>
            <w:shd w:val="clear" w:color="auto" w:fill="auto"/>
          </w:tcPr>
          <w:p w:rsidR="00BA4D45" w:rsidRPr="0032564F" w:rsidRDefault="00CD33C3" w:rsidP="00045D24">
            <w:pPr>
              <w:pStyle w:val="MGGTextLeft"/>
              <w:rPr>
                <w:sz w:val="22"/>
                <w:szCs w:val="22"/>
                <w:lang w:val="el-GR"/>
              </w:rPr>
            </w:pPr>
            <w:r w:rsidRPr="0032564F">
              <w:rPr>
                <w:sz w:val="22"/>
                <w:szCs w:val="22"/>
                <w:lang w:val="el-GR"/>
              </w:rPr>
              <w:t>Αλωπεκία</w:t>
            </w:r>
          </w:p>
          <w:p w:rsidR="00BA4D45" w:rsidRPr="0032564F" w:rsidRDefault="00CD33C3" w:rsidP="00045D24">
            <w:pPr>
              <w:pStyle w:val="MGGTextLeft"/>
              <w:rPr>
                <w:sz w:val="22"/>
                <w:szCs w:val="22"/>
                <w:lang w:val="el-GR"/>
              </w:rPr>
            </w:pPr>
            <w:r w:rsidRPr="00045D24">
              <w:rPr>
                <w:sz w:val="22"/>
                <w:szCs w:val="22"/>
                <w:lang w:val="el-GR"/>
              </w:rPr>
              <w:t>Αυξημένη τάση εκχυμώσεων</w:t>
            </w:r>
          </w:p>
          <w:p w:rsidR="00BA4D45" w:rsidRPr="0032564F" w:rsidRDefault="00CD33C3" w:rsidP="00045D24">
            <w:pPr>
              <w:pStyle w:val="MGGTextLeft"/>
              <w:rPr>
                <w:sz w:val="22"/>
                <w:szCs w:val="22"/>
                <w:lang w:val="el-GR"/>
              </w:rPr>
            </w:pPr>
            <w:r w:rsidRPr="0032564F">
              <w:rPr>
                <w:sz w:val="22"/>
                <w:szCs w:val="22"/>
                <w:lang w:val="el-GR"/>
              </w:rPr>
              <w:t>Κρύος ιδρώτας</w:t>
            </w:r>
          </w:p>
        </w:tc>
        <w:tc>
          <w:tcPr>
            <w:tcW w:w="1841" w:type="dxa"/>
            <w:shd w:val="clear" w:color="auto" w:fill="auto"/>
          </w:tcPr>
          <w:p w:rsidR="00BA4D45" w:rsidRPr="0032564F" w:rsidRDefault="00CD33C3" w:rsidP="00045D24">
            <w:pPr>
              <w:pStyle w:val="MGGTextLeft"/>
              <w:rPr>
                <w:sz w:val="22"/>
                <w:szCs w:val="22"/>
                <w:lang w:val="el-GR"/>
              </w:rPr>
            </w:pPr>
            <w:r w:rsidRPr="0032564F">
              <w:rPr>
                <w:sz w:val="22"/>
                <w:szCs w:val="22"/>
                <w:lang w:val="el-GR"/>
              </w:rPr>
              <w:t>Αγγειοοίδημα</w:t>
            </w:r>
          </w:p>
          <w:p w:rsidR="00BA4D45" w:rsidRPr="0032564F" w:rsidRDefault="00CD33C3" w:rsidP="00045D24">
            <w:pPr>
              <w:pStyle w:val="MGGTextLeft"/>
              <w:rPr>
                <w:sz w:val="22"/>
                <w:szCs w:val="22"/>
                <w:lang w:val="el-GR"/>
              </w:rPr>
            </w:pPr>
            <w:r w:rsidRPr="0032564F">
              <w:rPr>
                <w:sz w:val="22"/>
                <w:szCs w:val="22"/>
                <w:lang w:val="el-GR"/>
              </w:rPr>
              <w:t>Εκχύμωση</w:t>
            </w:r>
          </w:p>
          <w:p w:rsidR="00BA4D45" w:rsidRPr="0032564F" w:rsidRDefault="00CD33C3" w:rsidP="00045D24">
            <w:pPr>
              <w:pStyle w:val="MGGTextLeft"/>
              <w:rPr>
                <w:sz w:val="22"/>
                <w:szCs w:val="22"/>
                <w:lang w:val="el-GR"/>
              </w:rPr>
            </w:pPr>
            <w:r w:rsidRPr="0032564F">
              <w:rPr>
                <w:sz w:val="22"/>
                <w:szCs w:val="22"/>
                <w:lang w:val="el-GR"/>
              </w:rPr>
              <w:t>Αντίδραση φωτοευαισθησίας</w:t>
            </w:r>
          </w:p>
          <w:p w:rsidR="00CD7CA6" w:rsidRDefault="00CD33C3" w:rsidP="00CD7CA6">
            <w:pPr>
              <w:ind w:right="-20"/>
              <w:rPr>
                <w:lang w:val="el-GR"/>
              </w:rPr>
            </w:pPr>
            <w:r w:rsidRPr="0032564F">
              <w:rPr>
                <w:sz w:val="22"/>
                <w:szCs w:val="22"/>
                <w:lang w:val="el-GR"/>
              </w:rPr>
              <w:t>Πορφύρα</w:t>
            </w:r>
            <w:r w:rsidR="00CD7CA6" w:rsidRPr="00F44332">
              <w:t xml:space="preserve"> </w:t>
            </w:r>
          </w:p>
          <w:p w:rsidR="00CD7CA6" w:rsidRDefault="00CD7CA6" w:rsidP="00CD7CA6">
            <w:pPr>
              <w:ind w:right="-20"/>
              <w:rPr>
                <w:sz w:val="22"/>
                <w:szCs w:val="22"/>
                <w:vertAlign w:val="superscript"/>
                <w:lang w:val="el-GR"/>
              </w:rPr>
            </w:pPr>
            <w:r w:rsidRPr="0032564F">
              <w:rPr>
                <w:sz w:val="22"/>
                <w:szCs w:val="22"/>
                <w:lang w:val="el-GR"/>
              </w:rPr>
              <w:t>Πολύμορφο ερύθημα</w:t>
            </w:r>
          </w:p>
          <w:p w:rsidR="00CD7CA6" w:rsidRPr="009B7D6B" w:rsidRDefault="00A3649A" w:rsidP="00CD7CA6">
            <w:pPr>
              <w:ind w:right="-20"/>
              <w:rPr>
                <w:sz w:val="22"/>
                <w:szCs w:val="22"/>
                <w:lang w:val="el-GR"/>
              </w:rPr>
            </w:pPr>
            <w:r>
              <w:rPr>
                <w:sz w:val="22"/>
                <w:szCs w:val="22"/>
                <w:lang w:val="el-GR"/>
              </w:rPr>
              <w:t xml:space="preserve">Σύνδρομο </w:t>
            </w:r>
            <w:r w:rsidRPr="00A3649A">
              <w:rPr>
                <w:sz w:val="22"/>
                <w:szCs w:val="22"/>
              </w:rPr>
              <w:t>Stevens-Johnson</w:t>
            </w:r>
          </w:p>
          <w:p w:rsidR="00BA4D45" w:rsidRPr="0032564F" w:rsidRDefault="00A3649A" w:rsidP="00773A1B">
            <w:pPr>
              <w:pStyle w:val="MGGTextLeft"/>
              <w:rPr>
                <w:sz w:val="22"/>
                <w:szCs w:val="22"/>
                <w:lang w:val="el-GR"/>
              </w:rPr>
            </w:pPr>
            <w:r>
              <w:rPr>
                <w:sz w:val="22"/>
                <w:szCs w:val="22"/>
                <w:lang w:val="el-GR"/>
              </w:rPr>
              <w:t>Τοξική επιδερμική νεκρόλυση</w:t>
            </w:r>
            <w:r w:rsidR="00CD7CA6" w:rsidRPr="00A3649A">
              <w:rPr>
                <w:sz w:val="22"/>
                <w:szCs w:val="22"/>
              </w:rPr>
              <w:t xml:space="preserve"> (</w:t>
            </w:r>
            <w:r w:rsidR="00773A1B">
              <w:rPr>
                <w:sz w:val="22"/>
                <w:szCs w:val="22"/>
                <w:lang w:val="el-GR"/>
              </w:rPr>
              <w:t xml:space="preserve">σύνδρομο </w:t>
            </w:r>
            <w:r w:rsidR="00CD7CA6" w:rsidRPr="00A3649A">
              <w:rPr>
                <w:sz w:val="22"/>
                <w:szCs w:val="22"/>
              </w:rPr>
              <w:t>Lyell</w:t>
            </w:r>
            <w:r w:rsidR="00CD7CA6" w:rsidRPr="00F44332">
              <w:t>)</w:t>
            </w:r>
          </w:p>
        </w:tc>
        <w:tc>
          <w:tcPr>
            <w:tcW w:w="1412" w:type="dxa"/>
            <w:shd w:val="clear" w:color="auto" w:fill="auto"/>
          </w:tcPr>
          <w:p w:rsidR="00BA4D45" w:rsidRPr="00045D24" w:rsidRDefault="00BA4D45" w:rsidP="00045D24">
            <w:pPr>
              <w:pStyle w:val="MGGTextLeft"/>
              <w:rPr>
                <w:sz w:val="22"/>
                <w:szCs w:val="22"/>
                <w:lang w:val="el-GR"/>
              </w:rPr>
            </w:pPr>
          </w:p>
        </w:tc>
        <w:tc>
          <w:tcPr>
            <w:tcW w:w="1728" w:type="dxa"/>
            <w:shd w:val="clear" w:color="auto" w:fill="auto"/>
          </w:tcPr>
          <w:p w:rsidR="00BA4D45" w:rsidRPr="0032564F" w:rsidRDefault="00BA4D45" w:rsidP="00045D24">
            <w:pPr>
              <w:pStyle w:val="MGGTextLeft"/>
              <w:rPr>
                <w:sz w:val="22"/>
                <w:szCs w:val="22"/>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sz w:val="22"/>
                <w:szCs w:val="22"/>
                <w:lang w:val="el-GR"/>
              </w:rPr>
            </w:pPr>
            <w:r w:rsidRPr="00045D24">
              <w:rPr>
                <w:sz w:val="22"/>
                <w:szCs w:val="22"/>
                <w:lang w:val="el-GR"/>
              </w:rPr>
              <w:t>Διαταραχές του μυοσκελετικού συστήματος και του συνδετικού ιστού</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32564F" w:rsidRDefault="00CD33C3" w:rsidP="00045D24">
            <w:pPr>
              <w:pStyle w:val="MGGTextLeft"/>
              <w:rPr>
                <w:sz w:val="22"/>
                <w:szCs w:val="22"/>
                <w:lang w:val="el-GR"/>
              </w:rPr>
            </w:pPr>
            <w:r w:rsidRPr="0032564F">
              <w:rPr>
                <w:sz w:val="22"/>
                <w:szCs w:val="22"/>
                <w:lang w:val="el-GR"/>
              </w:rPr>
              <w:t>Αρθραλγία</w:t>
            </w:r>
          </w:p>
        </w:tc>
        <w:tc>
          <w:tcPr>
            <w:tcW w:w="2041" w:type="dxa"/>
            <w:shd w:val="clear" w:color="auto" w:fill="auto"/>
          </w:tcPr>
          <w:p w:rsidR="00BA4D45" w:rsidRPr="0032564F" w:rsidRDefault="00CD33C3" w:rsidP="00045D24">
            <w:pPr>
              <w:pStyle w:val="MGGTextLeft"/>
              <w:rPr>
                <w:sz w:val="22"/>
                <w:szCs w:val="22"/>
                <w:lang w:val="el-GR"/>
              </w:rPr>
            </w:pPr>
            <w:r w:rsidRPr="0032564F">
              <w:rPr>
                <w:sz w:val="22"/>
                <w:szCs w:val="22"/>
                <w:lang w:val="el-GR"/>
              </w:rPr>
              <w:t>Μυικές δεσμιδώσεις</w:t>
            </w:r>
          </w:p>
        </w:tc>
        <w:tc>
          <w:tcPr>
            <w:tcW w:w="1841" w:type="dxa"/>
            <w:shd w:val="clear" w:color="auto" w:fill="auto"/>
          </w:tcPr>
          <w:p w:rsidR="00BA4D45" w:rsidRPr="0032564F" w:rsidRDefault="00CD7CA6" w:rsidP="00045D24">
            <w:pPr>
              <w:pStyle w:val="MGGTextLeft"/>
              <w:rPr>
                <w:sz w:val="22"/>
                <w:szCs w:val="22"/>
              </w:rPr>
            </w:pPr>
            <w:r w:rsidRPr="0032564F">
              <w:rPr>
                <w:sz w:val="22"/>
                <w:szCs w:val="22"/>
                <w:lang w:val="el-GR"/>
              </w:rPr>
              <w:t>Μυαλγία</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Διαταραχές των νεφρών και των ουροφόρων οδών</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833771" w:rsidRDefault="00CD33C3" w:rsidP="00045D24">
            <w:pPr>
              <w:pStyle w:val="MGGTextLeft"/>
              <w:rPr>
                <w:sz w:val="22"/>
                <w:szCs w:val="22"/>
                <w:lang w:val="el-GR"/>
              </w:rPr>
            </w:pPr>
            <w:r w:rsidRPr="0032564F">
              <w:rPr>
                <w:sz w:val="22"/>
                <w:szCs w:val="22"/>
                <w:lang w:val="el-GR"/>
              </w:rPr>
              <w:t>Συχνή ούρηση</w:t>
            </w:r>
            <w:r w:rsidR="00CD7CA6">
              <w:rPr>
                <w:sz w:val="22"/>
                <w:szCs w:val="22"/>
                <w:vertAlign w:val="superscript"/>
                <w:lang w:val="el-GR"/>
              </w:rPr>
              <w:t>12</w:t>
            </w:r>
          </w:p>
        </w:tc>
        <w:tc>
          <w:tcPr>
            <w:tcW w:w="2041" w:type="dxa"/>
            <w:shd w:val="clear" w:color="auto" w:fill="auto"/>
          </w:tcPr>
          <w:p w:rsidR="00BA4D45" w:rsidRPr="0032564F" w:rsidRDefault="00CD33C3" w:rsidP="00045D24">
            <w:pPr>
              <w:pStyle w:val="MGGTextLeft"/>
              <w:rPr>
                <w:sz w:val="22"/>
                <w:szCs w:val="22"/>
                <w:lang w:val="el-GR"/>
              </w:rPr>
            </w:pPr>
            <w:r w:rsidRPr="0032564F">
              <w:rPr>
                <w:sz w:val="22"/>
                <w:szCs w:val="22"/>
                <w:lang w:val="el-GR"/>
              </w:rPr>
              <w:t>Δυσουρία</w:t>
            </w:r>
          </w:p>
        </w:tc>
        <w:tc>
          <w:tcPr>
            <w:tcW w:w="1841" w:type="dxa"/>
            <w:shd w:val="clear" w:color="auto" w:fill="auto"/>
          </w:tcPr>
          <w:p w:rsidR="00BA4D45" w:rsidRPr="0032564F" w:rsidRDefault="00CD33C3" w:rsidP="00045D24">
            <w:pPr>
              <w:pStyle w:val="MGGTextLeft"/>
              <w:rPr>
                <w:sz w:val="22"/>
                <w:szCs w:val="22"/>
                <w:lang w:val="el-GR"/>
              </w:rPr>
            </w:pPr>
            <w:r w:rsidRPr="0032564F">
              <w:rPr>
                <w:sz w:val="22"/>
                <w:szCs w:val="22"/>
                <w:lang w:val="el-GR"/>
              </w:rPr>
              <w:t>Κατακράτηση ούρων</w:t>
            </w:r>
            <w:r w:rsidR="00CD7CA6" w:rsidRPr="0032564F">
              <w:rPr>
                <w:sz w:val="22"/>
                <w:szCs w:val="22"/>
              </w:rPr>
              <w:t xml:space="preserve"> </w:t>
            </w:r>
            <w:r w:rsidR="00CD7CA6" w:rsidRPr="0032564F">
              <w:rPr>
                <w:sz w:val="22"/>
                <w:szCs w:val="22"/>
              </w:rPr>
              <w:lastRenderedPageBreak/>
              <w:t>Διαταραχή ούρησης</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lastRenderedPageBreak/>
              <w:t>Διαταραχές του αναπαραγωγικού συστήματος και του μαστού</w:t>
            </w:r>
          </w:p>
        </w:tc>
      </w:tr>
      <w:tr w:rsidR="00CD33C3" w:rsidRPr="0032564F" w:rsidTr="00987B02">
        <w:trPr>
          <w:jc w:val="center"/>
        </w:trPr>
        <w:tc>
          <w:tcPr>
            <w:tcW w:w="1310" w:type="dxa"/>
            <w:shd w:val="clear" w:color="auto" w:fill="auto"/>
          </w:tcPr>
          <w:p w:rsidR="00BA4D45" w:rsidRPr="003541A1" w:rsidRDefault="00BA4D45" w:rsidP="00045D24">
            <w:pPr>
              <w:pStyle w:val="MGGTextLeft"/>
              <w:rPr>
                <w:sz w:val="22"/>
                <w:szCs w:val="22"/>
                <w:lang w:val="el-GR"/>
              </w:rPr>
            </w:pPr>
          </w:p>
        </w:tc>
        <w:tc>
          <w:tcPr>
            <w:tcW w:w="1693" w:type="dxa"/>
            <w:shd w:val="clear" w:color="auto" w:fill="auto"/>
          </w:tcPr>
          <w:p w:rsidR="00BA4D45" w:rsidRPr="00045D24" w:rsidRDefault="00CD33C3" w:rsidP="00045D24">
            <w:pPr>
              <w:pStyle w:val="MGGTextLeft"/>
              <w:rPr>
                <w:sz w:val="22"/>
                <w:szCs w:val="22"/>
                <w:lang w:val="el-GR"/>
              </w:rPr>
            </w:pPr>
            <w:r w:rsidRPr="0032564F">
              <w:rPr>
                <w:sz w:val="22"/>
                <w:szCs w:val="22"/>
                <w:lang w:val="el-GR"/>
              </w:rPr>
              <w:t>Γυναικολογική αιμορραγία</w:t>
            </w:r>
            <w:r w:rsidR="00773A1B">
              <w:rPr>
                <w:sz w:val="22"/>
                <w:szCs w:val="22"/>
                <w:vertAlign w:val="superscript"/>
                <w:lang w:val="el-GR"/>
              </w:rPr>
              <w:t>13</w:t>
            </w:r>
          </w:p>
          <w:p w:rsidR="00BA4D45" w:rsidRPr="0032564F" w:rsidRDefault="00CD33C3" w:rsidP="00045D24">
            <w:pPr>
              <w:pStyle w:val="MGGTextLeft"/>
              <w:rPr>
                <w:sz w:val="22"/>
                <w:szCs w:val="22"/>
                <w:lang w:val="el-GR"/>
              </w:rPr>
            </w:pPr>
            <w:r w:rsidRPr="0032564F">
              <w:rPr>
                <w:sz w:val="22"/>
                <w:szCs w:val="22"/>
                <w:lang w:val="el-GR"/>
              </w:rPr>
              <w:t>Στυτική δυσλειτουργία</w:t>
            </w:r>
          </w:p>
          <w:p w:rsidR="00BA4D45" w:rsidRPr="00045D24" w:rsidRDefault="00BA4D45" w:rsidP="00045D24">
            <w:pPr>
              <w:pStyle w:val="MGGTextLeft"/>
              <w:rPr>
                <w:sz w:val="22"/>
                <w:szCs w:val="22"/>
                <w:lang w:val="el-GR"/>
              </w:rPr>
            </w:pPr>
          </w:p>
          <w:p w:rsidR="00BA4D45" w:rsidRPr="00045D24" w:rsidRDefault="00FF47E0" w:rsidP="00045D24">
            <w:pPr>
              <w:pStyle w:val="MGGTextLeft"/>
              <w:rPr>
                <w:sz w:val="22"/>
                <w:szCs w:val="22"/>
                <w:lang w:val="el-GR"/>
              </w:rPr>
            </w:pPr>
            <w:r w:rsidRPr="00045D24">
              <w:rPr>
                <w:sz w:val="22"/>
                <w:szCs w:val="22"/>
                <w:lang w:val="el-GR"/>
              </w:rPr>
              <w:t>Διαταραχ</w:t>
            </w:r>
            <w:r w:rsidRPr="0032564F">
              <w:rPr>
                <w:sz w:val="22"/>
                <w:szCs w:val="22"/>
                <w:lang w:val="el-GR"/>
              </w:rPr>
              <w:t>ή</w:t>
            </w:r>
            <w:r w:rsidR="00CD33C3" w:rsidRPr="00045D24">
              <w:rPr>
                <w:sz w:val="22"/>
                <w:szCs w:val="22"/>
                <w:lang w:val="el-GR"/>
              </w:rPr>
              <w:t xml:space="preserve"> εκσπερμάτισης</w:t>
            </w:r>
            <w:r w:rsidR="00773A1B">
              <w:rPr>
                <w:sz w:val="22"/>
                <w:szCs w:val="22"/>
                <w:vertAlign w:val="superscript"/>
                <w:lang w:val="el-GR"/>
              </w:rPr>
              <w:t>14</w:t>
            </w:r>
          </w:p>
        </w:tc>
        <w:tc>
          <w:tcPr>
            <w:tcW w:w="2041" w:type="dxa"/>
            <w:shd w:val="clear" w:color="auto" w:fill="auto"/>
          </w:tcPr>
          <w:p w:rsidR="00BA4D45" w:rsidRPr="0032564F" w:rsidRDefault="00CD33C3" w:rsidP="00045D24">
            <w:pPr>
              <w:pStyle w:val="MGGTextLeft"/>
              <w:rPr>
                <w:sz w:val="22"/>
                <w:szCs w:val="22"/>
                <w:lang w:val="el-GR"/>
              </w:rPr>
            </w:pPr>
            <w:r w:rsidRPr="0032564F">
              <w:rPr>
                <w:sz w:val="22"/>
                <w:szCs w:val="22"/>
                <w:lang w:val="el-GR"/>
              </w:rPr>
              <w:t>Σεξουαλική δυσλειτουργία</w:t>
            </w:r>
          </w:p>
        </w:tc>
        <w:tc>
          <w:tcPr>
            <w:tcW w:w="1841" w:type="dxa"/>
            <w:shd w:val="clear" w:color="auto" w:fill="auto"/>
          </w:tcPr>
          <w:p w:rsidR="00BA4D45" w:rsidRDefault="00CD33C3" w:rsidP="00045D24">
            <w:pPr>
              <w:pStyle w:val="MGGTextLeft"/>
              <w:rPr>
                <w:sz w:val="22"/>
                <w:szCs w:val="22"/>
                <w:lang w:val="el-GR"/>
              </w:rPr>
            </w:pPr>
            <w:r w:rsidRPr="0032564F">
              <w:rPr>
                <w:sz w:val="22"/>
                <w:szCs w:val="22"/>
                <w:lang w:val="el-GR"/>
              </w:rPr>
              <w:t>Γαλακτόρροια</w:t>
            </w:r>
          </w:p>
          <w:p w:rsidR="00722180" w:rsidRPr="0032564F" w:rsidRDefault="00CC0C4A" w:rsidP="00CC0C4A">
            <w:pPr>
              <w:pStyle w:val="MGGTextLeft"/>
              <w:rPr>
                <w:sz w:val="22"/>
                <w:szCs w:val="22"/>
                <w:lang w:val="el-GR"/>
              </w:rPr>
            </w:pPr>
            <w:r w:rsidRPr="00CC0C4A">
              <w:rPr>
                <w:sz w:val="22"/>
                <w:szCs w:val="22"/>
                <w:lang w:val="el-GR"/>
              </w:rPr>
              <w:t>Υπερπρολακτιναιμία</w:t>
            </w:r>
            <w:r w:rsidR="00CD7CA6" w:rsidRPr="0032564F">
              <w:rPr>
                <w:sz w:val="22"/>
                <w:szCs w:val="22"/>
                <w:lang w:val="el-GR"/>
              </w:rPr>
              <w:t xml:space="preserve"> Πριαπισμός</w:t>
            </w:r>
            <w:r w:rsidRPr="00CC0C4A">
              <w:rPr>
                <w:sz w:val="22"/>
                <w:szCs w:val="22"/>
              </w:rPr>
              <w:t xml:space="preserve"> </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541A1"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045D24">
              <w:rPr>
                <w:i/>
                <w:sz w:val="22"/>
                <w:szCs w:val="22"/>
                <w:lang w:val="el-GR"/>
              </w:rPr>
              <w:t>Γενικές διαταραχές και καταστάσεις της οδού χορήγησης</w:t>
            </w:r>
          </w:p>
        </w:tc>
      </w:tr>
      <w:tr w:rsidR="00CD33C3" w:rsidRPr="0032564F" w:rsidTr="00987B02">
        <w:trPr>
          <w:jc w:val="center"/>
        </w:trPr>
        <w:tc>
          <w:tcPr>
            <w:tcW w:w="1310" w:type="dxa"/>
            <w:shd w:val="clear" w:color="auto" w:fill="auto"/>
          </w:tcPr>
          <w:p w:rsidR="00BA4D45" w:rsidRPr="00833771" w:rsidRDefault="00CD33C3" w:rsidP="00045D24">
            <w:pPr>
              <w:pStyle w:val="MGGTextLeft"/>
              <w:rPr>
                <w:sz w:val="22"/>
                <w:szCs w:val="22"/>
                <w:lang w:val="el-GR"/>
              </w:rPr>
            </w:pPr>
            <w:r w:rsidRPr="0032564F">
              <w:rPr>
                <w:sz w:val="22"/>
                <w:szCs w:val="22"/>
                <w:lang w:val="el-GR"/>
              </w:rPr>
              <w:t>Κόπωση</w:t>
            </w:r>
            <w:r w:rsidR="00773A1B">
              <w:rPr>
                <w:sz w:val="22"/>
                <w:szCs w:val="22"/>
                <w:vertAlign w:val="superscript"/>
                <w:lang w:val="el-GR"/>
              </w:rPr>
              <w:t>15</w:t>
            </w:r>
          </w:p>
        </w:tc>
        <w:tc>
          <w:tcPr>
            <w:tcW w:w="1693" w:type="dxa"/>
            <w:shd w:val="clear" w:color="auto" w:fill="auto"/>
          </w:tcPr>
          <w:p w:rsidR="00773A1B" w:rsidRDefault="00FF47E0" w:rsidP="00045D24">
            <w:pPr>
              <w:pStyle w:val="MGGTextLeft"/>
              <w:rPr>
                <w:sz w:val="22"/>
                <w:szCs w:val="22"/>
                <w:lang w:val="el-GR"/>
              </w:rPr>
            </w:pPr>
            <w:r w:rsidRPr="0032564F">
              <w:rPr>
                <w:sz w:val="22"/>
                <w:szCs w:val="22"/>
              </w:rPr>
              <w:t>Αίσθηση εκνευρισμού</w:t>
            </w:r>
            <w:r w:rsidR="00BA4D45" w:rsidRPr="0032564F">
              <w:rPr>
                <w:sz w:val="22"/>
                <w:szCs w:val="22"/>
              </w:rPr>
              <w:t xml:space="preserve"> </w:t>
            </w:r>
          </w:p>
          <w:p w:rsidR="00BA4D45" w:rsidRPr="0032564F" w:rsidRDefault="00FF47E0" w:rsidP="00045D24">
            <w:pPr>
              <w:pStyle w:val="MGGTextLeft"/>
              <w:rPr>
                <w:sz w:val="22"/>
                <w:szCs w:val="22"/>
                <w:lang w:val="el-GR"/>
              </w:rPr>
            </w:pPr>
            <w:r w:rsidRPr="0032564F">
              <w:rPr>
                <w:sz w:val="22"/>
                <w:szCs w:val="22"/>
                <w:lang w:val="el-GR"/>
              </w:rPr>
              <w:t>Ρίγη</w:t>
            </w:r>
          </w:p>
        </w:tc>
        <w:tc>
          <w:tcPr>
            <w:tcW w:w="2041" w:type="dxa"/>
            <w:shd w:val="clear" w:color="auto" w:fill="auto"/>
          </w:tcPr>
          <w:p w:rsidR="00BA4D45" w:rsidRPr="0032564F" w:rsidRDefault="00437667" w:rsidP="00045D24">
            <w:pPr>
              <w:pStyle w:val="MGGTextLeft"/>
              <w:rPr>
                <w:sz w:val="22"/>
                <w:szCs w:val="22"/>
                <w:lang w:val="el-GR"/>
              </w:rPr>
            </w:pPr>
            <w:r>
              <w:rPr>
                <w:sz w:val="22"/>
                <w:szCs w:val="22"/>
                <w:lang w:val="el-GR"/>
              </w:rPr>
              <w:t>Αίσθημα κ</w:t>
            </w:r>
            <w:r w:rsidR="00CD33C3" w:rsidRPr="0032564F">
              <w:rPr>
                <w:sz w:val="22"/>
                <w:szCs w:val="22"/>
                <w:lang w:val="el-GR"/>
              </w:rPr>
              <w:t>ακουχία</w:t>
            </w:r>
            <w:r>
              <w:rPr>
                <w:sz w:val="22"/>
                <w:szCs w:val="22"/>
                <w:lang w:val="el-GR"/>
              </w:rPr>
              <w:t>ς</w:t>
            </w:r>
          </w:p>
          <w:p w:rsidR="00BA4D45" w:rsidRPr="0032564F" w:rsidRDefault="00FF47E0" w:rsidP="00045D24">
            <w:pPr>
              <w:pStyle w:val="MGGTextLeft"/>
              <w:rPr>
                <w:sz w:val="22"/>
                <w:szCs w:val="22"/>
                <w:lang w:val="el-GR"/>
              </w:rPr>
            </w:pPr>
            <w:r w:rsidRPr="00045D24">
              <w:rPr>
                <w:sz w:val="22"/>
                <w:szCs w:val="22"/>
                <w:lang w:val="el-GR"/>
              </w:rPr>
              <w:t>Αίσθηση μη φυσιολογική</w:t>
            </w:r>
          </w:p>
          <w:p w:rsidR="00BA4D45" w:rsidRPr="0032564F" w:rsidRDefault="00FF47E0" w:rsidP="00045D24">
            <w:pPr>
              <w:pStyle w:val="MGGTextLeft"/>
              <w:rPr>
                <w:sz w:val="22"/>
                <w:szCs w:val="22"/>
                <w:lang w:val="el-GR"/>
              </w:rPr>
            </w:pPr>
            <w:r w:rsidRPr="00045D24">
              <w:rPr>
                <w:sz w:val="22"/>
                <w:szCs w:val="22"/>
                <w:lang w:val="el-GR"/>
              </w:rPr>
              <w:t>Αίσθηση ψυχρού</w:t>
            </w:r>
          </w:p>
          <w:p w:rsidR="00BA4D45" w:rsidRPr="0032564F" w:rsidRDefault="00FF47E0" w:rsidP="00045D24">
            <w:pPr>
              <w:pStyle w:val="MGGTextLeft"/>
              <w:rPr>
                <w:sz w:val="22"/>
                <w:szCs w:val="22"/>
                <w:lang w:val="el-GR"/>
              </w:rPr>
            </w:pPr>
            <w:r w:rsidRPr="0032564F">
              <w:rPr>
                <w:sz w:val="22"/>
                <w:szCs w:val="22"/>
              </w:rPr>
              <w:t xml:space="preserve">Αίσθηση </w:t>
            </w:r>
            <w:r w:rsidRPr="0032564F">
              <w:rPr>
                <w:sz w:val="22"/>
                <w:szCs w:val="22"/>
                <w:lang w:val="el-GR"/>
              </w:rPr>
              <w:t>θερμού</w:t>
            </w:r>
          </w:p>
        </w:tc>
        <w:tc>
          <w:tcPr>
            <w:tcW w:w="1841" w:type="dxa"/>
            <w:shd w:val="clear" w:color="auto" w:fill="auto"/>
          </w:tcPr>
          <w:p w:rsidR="00BA4D45" w:rsidRPr="0032564F" w:rsidRDefault="00CD7CA6" w:rsidP="00045D24">
            <w:pPr>
              <w:pStyle w:val="MGGTextLeft"/>
              <w:rPr>
                <w:sz w:val="22"/>
                <w:szCs w:val="22"/>
              </w:rPr>
            </w:pPr>
            <w:r w:rsidRPr="0032564F">
              <w:rPr>
                <w:sz w:val="22"/>
                <w:szCs w:val="22"/>
              </w:rPr>
              <w:t>Αιμορραγία βλεννογόνου</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r w:rsidR="00CD33C3" w:rsidRPr="0032564F" w:rsidTr="00987B02">
        <w:trPr>
          <w:jc w:val="center"/>
        </w:trPr>
        <w:tc>
          <w:tcPr>
            <w:tcW w:w="10025" w:type="dxa"/>
            <w:gridSpan w:val="6"/>
            <w:shd w:val="clear" w:color="auto" w:fill="auto"/>
          </w:tcPr>
          <w:p w:rsidR="00BA4D45" w:rsidRPr="0032564F" w:rsidRDefault="003E6CB2" w:rsidP="00045D24">
            <w:pPr>
              <w:pStyle w:val="MGGTextLeft"/>
              <w:rPr>
                <w:i/>
                <w:sz w:val="22"/>
                <w:szCs w:val="22"/>
                <w:lang w:val="el-GR"/>
              </w:rPr>
            </w:pPr>
            <w:r w:rsidRPr="0032564F">
              <w:rPr>
                <w:i/>
                <w:sz w:val="22"/>
                <w:szCs w:val="22"/>
              </w:rPr>
              <w:t>Παρακλινικές εξετάσεις</w:t>
            </w:r>
          </w:p>
        </w:tc>
      </w:tr>
      <w:tr w:rsidR="00CD33C3" w:rsidRPr="003541A1" w:rsidTr="00987B02">
        <w:trPr>
          <w:jc w:val="center"/>
        </w:trPr>
        <w:tc>
          <w:tcPr>
            <w:tcW w:w="1310" w:type="dxa"/>
            <w:shd w:val="clear" w:color="auto" w:fill="auto"/>
          </w:tcPr>
          <w:p w:rsidR="00BA4D45" w:rsidRPr="0032564F" w:rsidRDefault="00BA4D45" w:rsidP="00045D24">
            <w:pPr>
              <w:pStyle w:val="MGGTextLeft"/>
              <w:rPr>
                <w:sz w:val="22"/>
                <w:szCs w:val="22"/>
              </w:rPr>
            </w:pPr>
          </w:p>
        </w:tc>
        <w:tc>
          <w:tcPr>
            <w:tcW w:w="1693" w:type="dxa"/>
            <w:shd w:val="clear" w:color="auto" w:fill="auto"/>
          </w:tcPr>
          <w:p w:rsidR="00BA4D45" w:rsidRPr="0032564F" w:rsidRDefault="00FF47E0" w:rsidP="00045D24">
            <w:pPr>
              <w:pStyle w:val="MGGTextLeft"/>
              <w:rPr>
                <w:sz w:val="22"/>
                <w:szCs w:val="22"/>
                <w:lang w:val="el-GR"/>
              </w:rPr>
            </w:pPr>
            <w:r w:rsidRPr="0032564F">
              <w:rPr>
                <w:sz w:val="22"/>
                <w:szCs w:val="22"/>
              </w:rPr>
              <w:t>Σωματικό βάρος μειωμένο</w:t>
            </w:r>
          </w:p>
        </w:tc>
        <w:tc>
          <w:tcPr>
            <w:tcW w:w="2041" w:type="dxa"/>
            <w:shd w:val="clear" w:color="auto" w:fill="auto"/>
          </w:tcPr>
          <w:p w:rsidR="00BA4D45" w:rsidRPr="0032564F" w:rsidRDefault="00BA4D45" w:rsidP="00045D24">
            <w:pPr>
              <w:pStyle w:val="MGGTextLeft"/>
              <w:rPr>
                <w:sz w:val="22"/>
                <w:szCs w:val="22"/>
              </w:rPr>
            </w:pPr>
          </w:p>
        </w:tc>
        <w:tc>
          <w:tcPr>
            <w:tcW w:w="1841" w:type="dxa"/>
            <w:shd w:val="clear" w:color="auto" w:fill="auto"/>
          </w:tcPr>
          <w:p w:rsidR="00BA4D45" w:rsidRPr="0032564F" w:rsidRDefault="00773A1B" w:rsidP="00045D24">
            <w:pPr>
              <w:pStyle w:val="MGGTextLeft"/>
              <w:rPr>
                <w:sz w:val="22"/>
                <w:szCs w:val="22"/>
              </w:rPr>
            </w:pPr>
            <w:r>
              <w:rPr>
                <w:sz w:val="22"/>
                <w:szCs w:val="22"/>
                <w:lang w:val="el-GR"/>
              </w:rPr>
              <w:t>Αυξημένες τρανσαμινάσες, αυξημένη γ-γλουταμύλ-τρανσφεράση</w:t>
            </w:r>
          </w:p>
        </w:tc>
        <w:tc>
          <w:tcPr>
            <w:tcW w:w="1412" w:type="dxa"/>
            <w:shd w:val="clear" w:color="auto" w:fill="auto"/>
          </w:tcPr>
          <w:p w:rsidR="00BA4D45" w:rsidRPr="0032564F" w:rsidRDefault="00BA4D45" w:rsidP="00045D24">
            <w:pPr>
              <w:pStyle w:val="MGGTextLeft"/>
              <w:rPr>
                <w:sz w:val="22"/>
                <w:szCs w:val="22"/>
              </w:rPr>
            </w:pPr>
          </w:p>
        </w:tc>
        <w:tc>
          <w:tcPr>
            <w:tcW w:w="1728" w:type="dxa"/>
            <w:shd w:val="clear" w:color="auto" w:fill="auto"/>
          </w:tcPr>
          <w:p w:rsidR="00BA4D45" w:rsidRPr="0032564F" w:rsidRDefault="00BA4D45" w:rsidP="00045D24">
            <w:pPr>
              <w:pStyle w:val="MGGTextLeft"/>
              <w:rPr>
                <w:sz w:val="22"/>
                <w:szCs w:val="22"/>
                <w:lang w:val="el-GR"/>
              </w:rPr>
            </w:pPr>
          </w:p>
        </w:tc>
      </w:tr>
    </w:tbl>
    <w:p w:rsidR="00BA4D45" w:rsidRPr="00045D24" w:rsidRDefault="00FF47E0" w:rsidP="00CD7CA6">
      <w:pPr>
        <w:pStyle w:val="MGGTextLeft"/>
        <w:numPr>
          <w:ilvl w:val="0"/>
          <w:numId w:val="8"/>
        </w:numPr>
        <w:rPr>
          <w:sz w:val="22"/>
          <w:szCs w:val="22"/>
          <w:lang w:val="el-GR"/>
        </w:rPr>
      </w:pPr>
      <w:r w:rsidRPr="0032564F">
        <w:rPr>
          <w:sz w:val="22"/>
          <w:szCs w:val="22"/>
          <w:lang w:val="el-GR"/>
        </w:rPr>
        <w:t>Περιλαμβάνει ανορεξία</w:t>
      </w:r>
      <w:r w:rsidR="00BA4D45" w:rsidRPr="00045D24">
        <w:rPr>
          <w:sz w:val="22"/>
          <w:szCs w:val="22"/>
          <w:lang w:val="el-GR"/>
        </w:rPr>
        <w:t xml:space="preserve"> </w:t>
      </w:r>
    </w:p>
    <w:p w:rsidR="00BA4D45" w:rsidRPr="00045D24" w:rsidRDefault="00FF47E0" w:rsidP="00CD7CA6">
      <w:pPr>
        <w:pStyle w:val="MGGTextLeft"/>
        <w:numPr>
          <w:ilvl w:val="0"/>
          <w:numId w:val="8"/>
        </w:numPr>
        <w:rPr>
          <w:sz w:val="22"/>
          <w:szCs w:val="22"/>
          <w:lang w:val="el-GR"/>
        </w:rPr>
      </w:pPr>
      <w:r w:rsidRPr="0032564F">
        <w:rPr>
          <w:sz w:val="22"/>
          <w:szCs w:val="22"/>
          <w:lang w:val="el-GR"/>
        </w:rPr>
        <w:t>Περιλαμβάνει</w:t>
      </w:r>
      <w:r w:rsidRPr="00045D24">
        <w:rPr>
          <w:sz w:val="22"/>
          <w:szCs w:val="22"/>
          <w:lang w:val="el-GR"/>
        </w:rPr>
        <w:t xml:space="preserve"> </w:t>
      </w:r>
      <w:r w:rsidR="00C52849" w:rsidRPr="0032564F">
        <w:rPr>
          <w:sz w:val="22"/>
          <w:szCs w:val="22"/>
          <w:lang w:val="el-GR"/>
        </w:rPr>
        <w:t>π</w:t>
      </w:r>
      <w:r w:rsidR="00C52849" w:rsidRPr="00045D24">
        <w:rPr>
          <w:sz w:val="22"/>
          <w:szCs w:val="22"/>
          <w:lang w:val="el-GR"/>
        </w:rPr>
        <w:t>ολύ πρωϊνή αφύπνιση</w:t>
      </w:r>
      <w:r w:rsidR="00C52849" w:rsidRPr="0032564F">
        <w:rPr>
          <w:sz w:val="22"/>
          <w:szCs w:val="22"/>
          <w:lang w:val="el-GR"/>
        </w:rPr>
        <w:t>, αρχική αϋπνία, αϋπνία κατά τη μέση του ύπνου</w:t>
      </w:r>
      <w:r w:rsidR="00BA4D45" w:rsidRPr="00045D24">
        <w:rPr>
          <w:sz w:val="22"/>
          <w:szCs w:val="22"/>
          <w:lang w:val="el-GR"/>
        </w:rPr>
        <w:t xml:space="preserve"> </w:t>
      </w:r>
    </w:p>
    <w:p w:rsidR="00BA4D45" w:rsidRPr="00045D24" w:rsidRDefault="00CD7CA6" w:rsidP="00CD7CA6">
      <w:pPr>
        <w:pStyle w:val="MGGTextLeft"/>
        <w:numPr>
          <w:ilvl w:val="0"/>
          <w:numId w:val="8"/>
        </w:numPr>
        <w:rPr>
          <w:sz w:val="22"/>
          <w:szCs w:val="22"/>
          <w:lang w:val="el-GR"/>
        </w:rPr>
      </w:pPr>
      <w:r w:rsidRPr="0032564F">
        <w:rPr>
          <w:sz w:val="22"/>
          <w:szCs w:val="22"/>
          <w:lang w:val="el-GR"/>
        </w:rPr>
        <w:t>Περιλαμβάνει</w:t>
      </w:r>
      <w:r w:rsidRPr="00045D24">
        <w:rPr>
          <w:sz w:val="22"/>
          <w:szCs w:val="22"/>
          <w:lang w:val="el-GR"/>
        </w:rPr>
        <w:t xml:space="preserve"> </w:t>
      </w:r>
      <w:r w:rsidRPr="0032564F">
        <w:rPr>
          <w:sz w:val="22"/>
          <w:szCs w:val="22"/>
          <w:lang w:val="el-GR"/>
        </w:rPr>
        <w:t>α</w:t>
      </w:r>
      <w:r w:rsidRPr="00045D24">
        <w:rPr>
          <w:sz w:val="22"/>
          <w:szCs w:val="22"/>
          <w:lang w:val="el-GR"/>
        </w:rPr>
        <w:t xml:space="preserve">πώλεια της γενετήσιας ορμής </w:t>
      </w:r>
    </w:p>
    <w:p w:rsidR="00BA4D45" w:rsidRPr="00045D24" w:rsidRDefault="00A3649A" w:rsidP="00833771">
      <w:pPr>
        <w:pStyle w:val="MGGTextLeft"/>
        <w:numPr>
          <w:ilvl w:val="0"/>
          <w:numId w:val="8"/>
        </w:numPr>
        <w:rPr>
          <w:sz w:val="22"/>
          <w:szCs w:val="22"/>
          <w:lang w:val="el-GR"/>
        </w:rPr>
      </w:pPr>
      <w:r>
        <w:rPr>
          <w:sz w:val="22"/>
          <w:szCs w:val="22"/>
          <w:lang w:val="el-GR"/>
        </w:rPr>
        <w:t>Περιλαμβάνει εφιάλτες</w:t>
      </w:r>
      <w:r w:rsidR="00CD7CA6" w:rsidRPr="00CD7CA6">
        <w:rPr>
          <w:sz w:val="22"/>
          <w:szCs w:val="22"/>
          <w:lang w:val="el-GR"/>
        </w:rPr>
        <w:t xml:space="preserve"> </w:t>
      </w:r>
    </w:p>
    <w:p w:rsidR="00CD7CA6" w:rsidRDefault="00FF47E0" w:rsidP="00833771">
      <w:pPr>
        <w:pStyle w:val="MGGTextLeft"/>
        <w:numPr>
          <w:ilvl w:val="0"/>
          <w:numId w:val="8"/>
        </w:numPr>
        <w:rPr>
          <w:sz w:val="22"/>
          <w:szCs w:val="22"/>
          <w:lang w:val="el-GR"/>
        </w:rPr>
      </w:pPr>
      <w:r w:rsidRPr="0032564F">
        <w:rPr>
          <w:sz w:val="22"/>
          <w:szCs w:val="22"/>
          <w:lang w:val="el-GR"/>
        </w:rPr>
        <w:t>Περιλαμβάνει</w:t>
      </w:r>
      <w:r w:rsidRPr="00045D24">
        <w:rPr>
          <w:sz w:val="22"/>
          <w:szCs w:val="22"/>
          <w:lang w:val="el-GR"/>
        </w:rPr>
        <w:t xml:space="preserve"> </w:t>
      </w:r>
      <w:r w:rsidRPr="0032564F">
        <w:rPr>
          <w:sz w:val="22"/>
          <w:szCs w:val="22"/>
          <w:lang w:val="el-GR"/>
        </w:rPr>
        <w:t>α</w:t>
      </w:r>
      <w:r w:rsidRPr="00045D24">
        <w:rPr>
          <w:sz w:val="22"/>
          <w:szCs w:val="22"/>
          <w:lang w:val="el-GR"/>
        </w:rPr>
        <w:t>νοργασμία</w:t>
      </w:r>
    </w:p>
    <w:p w:rsidR="00BA4D45" w:rsidRPr="00045D24" w:rsidRDefault="006D15E2" w:rsidP="00833771">
      <w:pPr>
        <w:pStyle w:val="MGGTextLeft"/>
        <w:numPr>
          <w:ilvl w:val="0"/>
          <w:numId w:val="8"/>
        </w:numPr>
        <w:rPr>
          <w:sz w:val="22"/>
          <w:szCs w:val="22"/>
          <w:lang w:val="el-GR"/>
        </w:rPr>
      </w:pPr>
      <w:r>
        <w:rPr>
          <w:sz w:val="22"/>
          <w:szCs w:val="22"/>
          <w:lang w:val="el-GR"/>
        </w:rPr>
        <w:t>Περιλαμβάνει</w:t>
      </w:r>
      <w:r w:rsidR="00CD7CA6" w:rsidRPr="00CD7CA6">
        <w:rPr>
          <w:sz w:val="22"/>
          <w:szCs w:val="22"/>
        </w:rPr>
        <w:t xml:space="preserve"> </w:t>
      </w:r>
      <w:r w:rsidR="00755AEC">
        <w:rPr>
          <w:sz w:val="22"/>
          <w:szCs w:val="22"/>
          <w:lang w:val="el-GR"/>
        </w:rPr>
        <w:t>ολοκληρωμένη αυτοκτονία</w:t>
      </w:r>
      <w:r w:rsidR="00CD7CA6" w:rsidRPr="00CD7CA6">
        <w:rPr>
          <w:sz w:val="22"/>
          <w:szCs w:val="22"/>
        </w:rPr>
        <w:t xml:space="preserve">, </w:t>
      </w:r>
      <w:r w:rsidR="00755AEC">
        <w:rPr>
          <w:sz w:val="22"/>
          <w:szCs w:val="22"/>
          <w:lang w:val="el-GR"/>
        </w:rPr>
        <w:t>αυτοκτονική κατάθλιψη, εκούσιο αυτοτραυματισμό, ιδεασμό αυτοτραυματισμού, αυτοκτονική συμπεριφορά, αυτοκτονικό ιδεασμό, απόπειρα αυτοκτονίας, νοσηρές σκέψεις, συμπεριφορά αυτοτραυματισμού</w:t>
      </w:r>
      <w:r w:rsidR="00CD7CA6" w:rsidRPr="00CD7CA6">
        <w:rPr>
          <w:sz w:val="22"/>
          <w:szCs w:val="22"/>
        </w:rPr>
        <w:t xml:space="preserve">. </w:t>
      </w:r>
      <w:r>
        <w:rPr>
          <w:sz w:val="22"/>
          <w:szCs w:val="22"/>
          <w:lang w:val="el-GR"/>
        </w:rPr>
        <w:t>Τα συμπτώματα αυτά μπορεί να οφείλονται στην υποκείμενη νόσο</w:t>
      </w:r>
    </w:p>
    <w:p w:rsidR="00BA4D45" w:rsidRPr="00045D24" w:rsidRDefault="00FF47E0" w:rsidP="00833771">
      <w:pPr>
        <w:pStyle w:val="MGGTextLeft"/>
        <w:numPr>
          <w:ilvl w:val="0"/>
          <w:numId w:val="8"/>
        </w:numPr>
        <w:rPr>
          <w:sz w:val="22"/>
          <w:szCs w:val="22"/>
          <w:lang w:val="el-GR"/>
        </w:rPr>
      </w:pPr>
      <w:r w:rsidRPr="0032564F">
        <w:rPr>
          <w:sz w:val="22"/>
          <w:szCs w:val="22"/>
          <w:lang w:val="el-GR"/>
        </w:rPr>
        <w:t>Περιλαμβάνει</w:t>
      </w:r>
      <w:r w:rsidRPr="00045D24">
        <w:rPr>
          <w:sz w:val="22"/>
          <w:szCs w:val="22"/>
          <w:lang w:val="el-GR"/>
        </w:rPr>
        <w:t xml:space="preserve"> </w:t>
      </w:r>
      <w:r w:rsidR="00C52849" w:rsidRPr="0032564F">
        <w:rPr>
          <w:sz w:val="22"/>
          <w:szCs w:val="22"/>
          <w:lang w:val="el-GR"/>
        </w:rPr>
        <w:t>υ</w:t>
      </w:r>
      <w:r w:rsidR="00C52849" w:rsidRPr="00045D24">
        <w:rPr>
          <w:sz w:val="22"/>
          <w:szCs w:val="22"/>
          <w:lang w:val="el-GR"/>
        </w:rPr>
        <w:t>περβολικό ύπνο</w:t>
      </w:r>
      <w:r w:rsidR="00C52849" w:rsidRPr="0032564F">
        <w:rPr>
          <w:sz w:val="22"/>
          <w:szCs w:val="22"/>
          <w:lang w:val="el-GR"/>
        </w:rPr>
        <w:t>, καταστολή</w:t>
      </w:r>
      <w:r w:rsidR="00BA4D45" w:rsidRPr="00045D24">
        <w:rPr>
          <w:sz w:val="22"/>
          <w:szCs w:val="22"/>
          <w:lang w:val="el-GR"/>
        </w:rPr>
        <w:t xml:space="preserve"> </w:t>
      </w:r>
    </w:p>
    <w:p w:rsidR="00BA4D45" w:rsidRDefault="00FF47E0" w:rsidP="00833771">
      <w:pPr>
        <w:pStyle w:val="MGGTextLeft"/>
        <w:numPr>
          <w:ilvl w:val="0"/>
          <w:numId w:val="8"/>
        </w:numPr>
        <w:rPr>
          <w:sz w:val="22"/>
          <w:szCs w:val="22"/>
          <w:lang w:val="el-GR"/>
        </w:rPr>
      </w:pPr>
      <w:r w:rsidRPr="00D66ED9">
        <w:rPr>
          <w:sz w:val="22"/>
          <w:szCs w:val="22"/>
          <w:lang w:val="el-GR"/>
        </w:rPr>
        <w:t>Περιλαμβάνει</w:t>
      </w:r>
      <w:r w:rsidR="000C49A4" w:rsidRPr="00D66ED9">
        <w:rPr>
          <w:sz w:val="22"/>
          <w:szCs w:val="22"/>
          <w:lang w:val="el-GR"/>
        </w:rPr>
        <w:t xml:space="preserve"> </w:t>
      </w:r>
      <w:r w:rsidR="001205DD" w:rsidRPr="00D66ED9">
        <w:rPr>
          <w:sz w:val="22"/>
          <w:szCs w:val="22"/>
          <w:lang w:val="el-GR"/>
        </w:rPr>
        <w:t>εξάψεις</w:t>
      </w:r>
    </w:p>
    <w:p w:rsidR="005B366A" w:rsidRDefault="00636441" w:rsidP="00833771">
      <w:pPr>
        <w:pStyle w:val="MGGTextLeft"/>
        <w:numPr>
          <w:ilvl w:val="0"/>
          <w:numId w:val="8"/>
        </w:numPr>
        <w:rPr>
          <w:sz w:val="22"/>
          <w:szCs w:val="22"/>
          <w:lang w:val="el-GR"/>
        </w:rPr>
      </w:pPr>
      <w:r>
        <w:rPr>
          <w:sz w:val="22"/>
          <w:szCs w:val="22"/>
          <w:lang w:val="el-GR"/>
        </w:rPr>
        <w:t>Περιλαμβάνει ατελεκτασία, διάμεση πνευμονοπάθεια, πνευμονίτιδα</w:t>
      </w:r>
    </w:p>
    <w:p w:rsidR="005B366A" w:rsidRPr="00D66ED9" w:rsidRDefault="00D66ED9" w:rsidP="00D66ED9">
      <w:pPr>
        <w:pStyle w:val="ab"/>
        <w:numPr>
          <w:ilvl w:val="0"/>
          <w:numId w:val="8"/>
        </w:numPr>
        <w:rPr>
          <w:sz w:val="22"/>
          <w:szCs w:val="22"/>
          <w:lang w:val="el-GR" w:eastAsia="en-US"/>
        </w:rPr>
      </w:pPr>
      <w:r w:rsidRPr="00D66ED9">
        <w:rPr>
          <w:sz w:val="22"/>
          <w:szCs w:val="22"/>
          <w:lang w:val="el-GR" w:eastAsia="en-US"/>
        </w:rPr>
        <w:t>Περιλαμβάνει πιο συχνά ουλορραγία, αιματέμεση, αιματοχεσία, αιμορραγία του ορθού, αιμορραγική διάρροια, μέλαινα και αιμορραγία γαστρικού έλκους</w:t>
      </w:r>
    </w:p>
    <w:p w:rsidR="00BA4D45" w:rsidRPr="0032564F" w:rsidRDefault="00FF47E0" w:rsidP="00833771">
      <w:pPr>
        <w:pStyle w:val="MGGTextLeft"/>
        <w:numPr>
          <w:ilvl w:val="0"/>
          <w:numId w:val="8"/>
        </w:numPr>
        <w:rPr>
          <w:sz w:val="22"/>
          <w:szCs w:val="22"/>
          <w:lang w:val="el-GR"/>
        </w:rPr>
      </w:pPr>
      <w:r w:rsidRPr="0032564F">
        <w:rPr>
          <w:sz w:val="22"/>
          <w:szCs w:val="22"/>
          <w:lang w:val="el-GR"/>
        </w:rPr>
        <w:t>Περιλαμβάνει ερύθημα,</w:t>
      </w:r>
      <w:r w:rsidR="000C49A4" w:rsidRPr="0032564F">
        <w:rPr>
          <w:sz w:val="22"/>
          <w:szCs w:val="22"/>
          <w:lang w:val="el-GR"/>
        </w:rPr>
        <w:t xml:space="preserve"> αποφολιδωτικό εξάνθημα, κεγχροειδές ερύθρασμα, εξάνθημα, ερυθηματώδες εξάνθημα, θυλακιώδες</w:t>
      </w:r>
      <w:r w:rsidR="000C49A4" w:rsidRPr="00045D24">
        <w:rPr>
          <w:sz w:val="22"/>
          <w:szCs w:val="22"/>
          <w:lang w:val="el-GR"/>
        </w:rPr>
        <w:t xml:space="preserve"> </w:t>
      </w:r>
      <w:r w:rsidR="000C49A4" w:rsidRPr="0032564F">
        <w:rPr>
          <w:sz w:val="22"/>
          <w:szCs w:val="22"/>
          <w:lang w:val="el-GR"/>
        </w:rPr>
        <w:t>εξάνθημα, γενικευμένο εξάνθημα, κηλιδώδες εξάνθημα, κηλιδοβλατιδώδες εξάνθημα, ιλαροειδές εξάνθημα, βλατιδώδες εξάνθημα, κνησμώδες εξάνθημα, φλυκταινώδες</w:t>
      </w:r>
      <w:r w:rsidR="000C49A4" w:rsidRPr="00045D24">
        <w:rPr>
          <w:sz w:val="22"/>
          <w:szCs w:val="22"/>
          <w:lang w:val="el-GR"/>
        </w:rPr>
        <w:t xml:space="preserve"> </w:t>
      </w:r>
      <w:r w:rsidR="000C49A4" w:rsidRPr="0032564F">
        <w:rPr>
          <w:sz w:val="22"/>
          <w:szCs w:val="22"/>
          <w:lang w:val="el-GR"/>
        </w:rPr>
        <w:t xml:space="preserve">εξάνθημα, </w:t>
      </w:r>
      <w:r w:rsidR="00C52849" w:rsidRPr="0032564F">
        <w:rPr>
          <w:sz w:val="22"/>
          <w:szCs w:val="22"/>
          <w:lang w:val="el-GR"/>
        </w:rPr>
        <w:t>περι</w:t>
      </w:r>
      <w:r w:rsidR="000C49A4" w:rsidRPr="0032564F">
        <w:rPr>
          <w:sz w:val="22"/>
          <w:szCs w:val="22"/>
          <w:lang w:val="el-GR"/>
        </w:rPr>
        <w:t>ομφαλικό ερυθηματώδες εξάνθημα</w:t>
      </w:r>
    </w:p>
    <w:p w:rsidR="00BA4D45" w:rsidRPr="00045D24" w:rsidRDefault="00FF47E0" w:rsidP="00833771">
      <w:pPr>
        <w:pStyle w:val="MGGTextLeft"/>
        <w:numPr>
          <w:ilvl w:val="0"/>
          <w:numId w:val="8"/>
        </w:numPr>
        <w:rPr>
          <w:sz w:val="22"/>
          <w:szCs w:val="22"/>
          <w:lang w:val="el-GR"/>
        </w:rPr>
      </w:pPr>
      <w:r w:rsidRPr="0032564F">
        <w:rPr>
          <w:sz w:val="22"/>
          <w:szCs w:val="22"/>
          <w:lang w:val="el-GR"/>
        </w:rPr>
        <w:t>Περιλαμβάνει</w:t>
      </w:r>
      <w:r w:rsidRPr="00045D24">
        <w:rPr>
          <w:sz w:val="22"/>
          <w:szCs w:val="22"/>
          <w:lang w:val="el-GR"/>
        </w:rPr>
        <w:t xml:space="preserve"> </w:t>
      </w:r>
      <w:r w:rsidR="00C52849" w:rsidRPr="0032564F">
        <w:rPr>
          <w:sz w:val="22"/>
          <w:szCs w:val="22"/>
          <w:lang w:val="el-GR"/>
        </w:rPr>
        <w:t>πολλακιουρία</w:t>
      </w:r>
      <w:r w:rsidR="00BA4D45" w:rsidRPr="00045D24">
        <w:rPr>
          <w:sz w:val="22"/>
          <w:szCs w:val="22"/>
          <w:lang w:val="el-GR"/>
        </w:rPr>
        <w:t xml:space="preserve"> </w:t>
      </w:r>
    </w:p>
    <w:p w:rsidR="005B366A" w:rsidRDefault="00FF47E0" w:rsidP="00833771">
      <w:pPr>
        <w:pStyle w:val="MGGTextLeft"/>
        <w:numPr>
          <w:ilvl w:val="0"/>
          <w:numId w:val="9"/>
        </w:numPr>
        <w:rPr>
          <w:sz w:val="22"/>
          <w:szCs w:val="22"/>
          <w:lang w:val="el-GR"/>
        </w:rPr>
      </w:pPr>
      <w:r w:rsidRPr="005B366A">
        <w:rPr>
          <w:sz w:val="22"/>
          <w:szCs w:val="22"/>
          <w:lang w:val="el-GR"/>
        </w:rPr>
        <w:t xml:space="preserve">Περιλαμβάνει </w:t>
      </w:r>
      <w:r w:rsidR="00781970" w:rsidRPr="005B366A">
        <w:rPr>
          <w:sz w:val="22"/>
          <w:szCs w:val="22"/>
          <w:lang w:val="el-GR"/>
        </w:rPr>
        <w:t>αιμορραγία από τον τράχηλο της μήτρας, δυσλειτουργία μήτρας, αιμορραγία μήτρας, αιμορραγία γεννητικών οργάνων, μηνομητρορραγία, μηνορραγία, μητρορραγία, πολυμηνόρροια, μετεμμηνοπαυσιακή αιμορραγία, αιμορραγία μήτρας, κολπική αιμορραγία</w:t>
      </w:r>
    </w:p>
    <w:p w:rsidR="005B366A" w:rsidRPr="00755AEC" w:rsidRDefault="00755AEC" w:rsidP="00833771">
      <w:pPr>
        <w:pStyle w:val="MGGTextLeft"/>
        <w:numPr>
          <w:ilvl w:val="0"/>
          <w:numId w:val="9"/>
        </w:numPr>
        <w:rPr>
          <w:sz w:val="22"/>
          <w:szCs w:val="22"/>
          <w:lang w:val="el-GR"/>
        </w:rPr>
      </w:pPr>
      <w:r w:rsidRPr="005B366A">
        <w:rPr>
          <w:sz w:val="22"/>
          <w:szCs w:val="22"/>
          <w:lang w:val="el-GR"/>
        </w:rPr>
        <w:t>Περιλαμβάνει αποτυχία εκσπερμάτισης, δυσλειτουργία εκσπερμάτισης, πρόωρη εκσπερμάτιση, καθυστερημένη εκσπερμάτιση, παλίνδρομη εκσπερμάτιση</w:t>
      </w:r>
    </w:p>
    <w:p w:rsidR="00BA4D45" w:rsidRPr="00045D24" w:rsidRDefault="00FF47E0" w:rsidP="00833771">
      <w:pPr>
        <w:pStyle w:val="MGGTextLeft"/>
        <w:numPr>
          <w:ilvl w:val="0"/>
          <w:numId w:val="9"/>
        </w:numPr>
        <w:rPr>
          <w:sz w:val="22"/>
          <w:szCs w:val="22"/>
          <w:lang w:val="el-GR"/>
        </w:rPr>
      </w:pPr>
      <w:r w:rsidRPr="0032564F">
        <w:rPr>
          <w:sz w:val="22"/>
          <w:szCs w:val="22"/>
          <w:lang w:val="el-GR"/>
        </w:rPr>
        <w:t>Περιλαμβάνει</w:t>
      </w:r>
      <w:r w:rsidRPr="00045D24">
        <w:rPr>
          <w:sz w:val="22"/>
          <w:szCs w:val="22"/>
          <w:lang w:val="el-GR"/>
        </w:rPr>
        <w:t xml:space="preserve"> </w:t>
      </w:r>
      <w:r w:rsidR="002F2EBB" w:rsidRPr="0032564F">
        <w:rPr>
          <w:sz w:val="22"/>
          <w:szCs w:val="22"/>
          <w:lang w:val="el-GR"/>
        </w:rPr>
        <w:t>εξασθένηση</w:t>
      </w:r>
      <w:r w:rsidR="00BA4D45" w:rsidRPr="00045D24">
        <w:rPr>
          <w:sz w:val="22"/>
          <w:szCs w:val="22"/>
          <w:lang w:val="el-GR"/>
        </w:rPr>
        <w:t xml:space="preserve"> </w:t>
      </w:r>
    </w:p>
    <w:p w:rsidR="00BA4D45" w:rsidRPr="00045D24" w:rsidRDefault="00BA4D45" w:rsidP="00045D24">
      <w:pPr>
        <w:pStyle w:val="MGGTextLeft"/>
        <w:ind w:left="426"/>
        <w:rPr>
          <w:sz w:val="22"/>
          <w:szCs w:val="22"/>
          <w:lang w:val="el-GR"/>
        </w:rPr>
      </w:pPr>
    </w:p>
    <w:p w:rsidR="005B366A" w:rsidRPr="00833771" w:rsidRDefault="00636441" w:rsidP="005B366A">
      <w:pPr>
        <w:pStyle w:val="MGGTextLeft"/>
        <w:ind w:left="709"/>
        <w:rPr>
          <w:bCs/>
          <w:sz w:val="22"/>
          <w:szCs w:val="22"/>
          <w:u w:val="single"/>
          <w:lang w:val="en-US"/>
        </w:rPr>
      </w:pPr>
      <w:r w:rsidRPr="00833771">
        <w:rPr>
          <w:bCs/>
          <w:sz w:val="22"/>
          <w:szCs w:val="22"/>
          <w:u w:val="single"/>
          <w:lang w:val="el-GR"/>
        </w:rPr>
        <w:t>γ</w:t>
      </w:r>
      <w:r w:rsidR="005B366A" w:rsidRPr="00833771">
        <w:rPr>
          <w:bCs/>
          <w:sz w:val="22"/>
          <w:szCs w:val="22"/>
          <w:u w:val="single"/>
          <w:lang w:val="en-US"/>
        </w:rPr>
        <w:t xml:space="preserve">) </w:t>
      </w:r>
      <w:r w:rsidR="00755AEC" w:rsidRPr="00833771">
        <w:rPr>
          <w:bCs/>
          <w:sz w:val="22"/>
          <w:szCs w:val="22"/>
          <w:u w:val="single"/>
          <w:lang w:val="el-GR"/>
        </w:rPr>
        <w:t>Περιγραφή επιλεγμένων ανεπιθύμητων ενεργειών</w:t>
      </w:r>
    </w:p>
    <w:p w:rsidR="005B366A" w:rsidRPr="005B366A" w:rsidRDefault="005B366A" w:rsidP="005B366A">
      <w:pPr>
        <w:pStyle w:val="MGGTextLeft"/>
        <w:ind w:left="709"/>
        <w:rPr>
          <w:bCs/>
          <w:sz w:val="22"/>
          <w:szCs w:val="22"/>
        </w:rPr>
      </w:pPr>
    </w:p>
    <w:p w:rsidR="005B366A" w:rsidRPr="005B366A" w:rsidRDefault="00755AEC" w:rsidP="005B366A">
      <w:pPr>
        <w:pStyle w:val="MGGTextLeft"/>
        <w:ind w:left="709"/>
        <w:rPr>
          <w:bCs/>
          <w:sz w:val="22"/>
          <w:szCs w:val="22"/>
        </w:rPr>
      </w:pPr>
      <w:r>
        <w:rPr>
          <w:bCs/>
          <w:i/>
          <w:sz w:val="22"/>
          <w:szCs w:val="22"/>
          <w:lang w:val="el-GR"/>
        </w:rPr>
        <w:t>Αυτοκτονία</w:t>
      </w:r>
      <w:r w:rsidR="005B366A" w:rsidRPr="005B366A">
        <w:rPr>
          <w:bCs/>
          <w:i/>
          <w:sz w:val="22"/>
          <w:szCs w:val="22"/>
          <w:lang w:val="en-US"/>
        </w:rPr>
        <w:t>/</w:t>
      </w:r>
      <w:r>
        <w:rPr>
          <w:bCs/>
          <w:i/>
          <w:sz w:val="22"/>
          <w:szCs w:val="22"/>
          <w:lang w:val="el-GR"/>
        </w:rPr>
        <w:t>αυτοκτονικές σκέψεις ή κλινική επιδείνωση</w:t>
      </w:r>
      <w:r w:rsidR="005B366A" w:rsidRPr="005B366A">
        <w:rPr>
          <w:bCs/>
          <w:i/>
          <w:sz w:val="22"/>
          <w:szCs w:val="22"/>
          <w:lang w:val="en-US"/>
        </w:rPr>
        <w:t>:</w:t>
      </w:r>
    </w:p>
    <w:p w:rsidR="00EE4A70" w:rsidRPr="0032564F" w:rsidRDefault="00EE4A70" w:rsidP="005B366A">
      <w:pPr>
        <w:pStyle w:val="MGGTextLeft"/>
        <w:ind w:left="709"/>
        <w:rPr>
          <w:bCs/>
          <w:sz w:val="22"/>
          <w:szCs w:val="22"/>
          <w:lang w:val="el-GR"/>
        </w:rPr>
      </w:pPr>
      <w:r w:rsidRPr="0032564F">
        <w:rPr>
          <w:bCs/>
          <w:sz w:val="22"/>
          <w:szCs w:val="22"/>
          <w:lang w:val="el-GR"/>
        </w:rPr>
        <w:lastRenderedPageBreak/>
        <w:t>Περιστατικά αυτοκτ</w:t>
      </w:r>
      <w:r w:rsidR="00095172">
        <w:rPr>
          <w:bCs/>
          <w:sz w:val="22"/>
          <w:szCs w:val="22"/>
          <w:lang w:val="el-GR"/>
        </w:rPr>
        <w:t>ονικού ιδεασμού και αυτοκτονικής συμπεριφοράς</w:t>
      </w:r>
      <w:r w:rsidRPr="0032564F">
        <w:rPr>
          <w:bCs/>
          <w:sz w:val="22"/>
          <w:szCs w:val="22"/>
          <w:lang w:val="el-GR"/>
        </w:rPr>
        <w:t xml:space="preserve"> έχουν αναφερθεί κατά τη διάρκεια της θεραπείας με φλουοξετίνη ή λίγο μετά τη διακοπή της θεραπείας (</w:t>
      </w:r>
      <w:r w:rsidR="006A6C86">
        <w:rPr>
          <w:bCs/>
          <w:sz w:val="22"/>
          <w:szCs w:val="22"/>
          <w:lang w:val="el-GR"/>
        </w:rPr>
        <w:t xml:space="preserve">βλ. </w:t>
      </w:r>
      <w:r w:rsidRPr="0032564F">
        <w:rPr>
          <w:bCs/>
          <w:sz w:val="22"/>
          <w:szCs w:val="22"/>
          <w:lang w:val="el-GR"/>
        </w:rPr>
        <w:t>παράγραφο 4.4).</w:t>
      </w:r>
    </w:p>
    <w:p w:rsidR="00BA4D45" w:rsidRPr="00833771" w:rsidRDefault="00BA4D45" w:rsidP="00CC0C4A">
      <w:pPr>
        <w:pStyle w:val="MGGTextLeft"/>
        <w:ind w:left="709"/>
        <w:rPr>
          <w:i/>
          <w:sz w:val="22"/>
          <w:szCs w:val="22"/>
          <w:lang w:val="el-GR"/>
        </w:rPr>
      </w:pPr>
    </w:p>
    <w:p w:rsidR="005B366A" w:rsidRDefault="0032564F" w:rsidP="00722180">
      <w:pPr>
        <w:ind w:left="709"/>
        <w:rPr>
          <w:sz w:val="22"/>
          <w:szCs w:val="22"/>
          <w:lang w:val="el-GR"/>
        </w:rPr>
      </w:pPr>
      <w:r w:rsidRPr="009B7D6B">
        <w:rPr>
          <w:i/>
          <w:sz w:val="22"/>
          <w:szCs w:val="22"/>
          <w:lang w:val="el-GR"/>
        </w:rPr>
        <w:t>Οστικά κατάγματα</w:t>
      </w:r>
      <w:r w:rsidR="00BA4D45" w:rsidRPr="009B7D6B">
        <w:rPr>
          <w:i/>
          <w:sz w:val="22"/>
          <w:szCs w:val="22"/>
          <w:lang w:val="el-GR"/>
        </w:rPr>
        <w:t>:</w:t>
      </w:r>
      <w:r w:rsidR="00BA4D45" w:rsidRPr="00045D24">
        <w:rPr>
          <w:sz w:val="22"/>
          <w:szCs w:val="22"/>
          <w:lang w:val="el-GR"/>
        </w:rPr>
        <w:t xml:space="preserve"> </w:t>
      </w:r>
    </w:p>
    <w:p w:rsidR="003A0575" w:rsidRDefault="009E104E" w:rsidP="00722180">
      <w:pPr>
        <w:ind w:left="709"/>
        <w:rPr>
          <w:sz w:val="22"/>
          <w:szCs w:val="22"/>
          <w:lang w:val="el-GR"/>
        </w:rPr>
      </w:pPr>
      <w:r w:rsidRPr="0032564F">
        <w:rPr>
          <w:sz w:val="22"/>
          <w:szCs w:val="22"/>
          <w:lang w:val="el-GR"/>
        </w:rPr>
        <w:t>Οι επιδημιολογικές μελέτες, οι οποίες διεξάχθηκαν κυρίως σε ασθενείς ηλικίας 50 ετών και άνω, δείχνουν αυξημένο κίνδυνο εμφάνισης οστικών καταγμάτων σε ασθενείς που λαμβάνουν SSRIs και τ</w:t>
      </w:r>
      <w:r w:rsidR="006F5562">
        <w:rPr>
          <w:sz w:val="22"/>
          <w:szCs w:val="22"/>
          <w:lang w:val="el-GR"/>
        </w:rPr>
        <w:t>ρικυκλικά αντικαταθλιπτικά (ΤΚΑ</w:t>
      </w:r>
      <w:r w:rsidRPr="0032564F">
        <w:rPr>
          <w:sz w:val="22"/>
          <w:szCs w:val="22"/>
          <w:lang w:val="el-GR"/>
        </w:rPr>
        <w:t>). Ο υποκείμενος μηχανισμός για αυτό τον κίνδυνο είναι άγνωστος</w:t>
      </w:r>
      <w:r w:rsidRPr="00045D24">
        <w:rPr>
          <w:sz w:val="22"/>
          <w:szCs w:val="22"/>
          <w:lang w:val="el-GR"/>
        </w:rPr>
        <w:t>.</w:t>
      </w:r>
      <w:r w:rsidR="00940C85" w:rsidRPr="00045D24">
        <w:rPr>
          <w:sz w:val="22"/>
          <w:szCs w:val="22"/>
          <w:lang w:val="el-GR"/>
        </w:rPr>
        <w:t xml:space="preserve"> </w:t>
      </w:r>
    </w:p>
    <w:p w:rsidR="00F16739" w:rsidRPr="00045D24" w:rsidRDefault="00F16739" w:rsidP="00045D24">
      <w:pPr>
        <w:ind w:left="720"/>
        <w:rPr>
          <w:sz w:val="22"/>
          <w:szCs w:val="22"/>
          <w:lang w:val="el-GR"/>
        </w:rPr>
      </w:pPr>
    </w:p>
    <w:p w:rsidR="00F16739" w:rsidRPr="00045D24" w:rsidRDefault="00F16739" w:rsidP="00045D24">
      <w:pPr>
        <w:ind w:left="720"/>
        <w:rPr>
          <w:sz w:val="22"/>
          <w:szCs w:val="22"/>
          <w:lang w:val="el-GR"/>
        </w:rPr>
      </w:pPr>
      <w:r w:rsidRPr="0032564F">
        <w:rPr>
          <w:bCs/>
          <w:i/>
          <w:sz w:val="22"/>
          <w:szCs w:val="22"/>
          <w:lang w:val="el-GR"/>
        </w:rPr>
        <w:t>Συμπτώματα</w:t>
      </w:r>
      <w:r w:rsidRPr="00045D24">
        <w:rPr>
          <w:bCs/>
          <w:i/>
          <w:sz w:val="22"/>
          <w:szCs w:val="22"/>
          <w:lang w:val="el-GR"/>
        </w:rPr>
        <w:t xml:space="preserve"> </w:t>
      </w:r>
      <w:r w:rsidRPr="0032564F">
        <w:rPr>
          <w:bCs/>
          <w:i/>
          <w:sz w:val="22"/>
          <w:szCs w:val="22"/>
          <w:lang w:val="el-GR"/>
        </w:rPr>
        <w:t>απόσυρσης</w:t>
      </w:r>
      <w:r w:rsidRPr="00045D24">
        <w:rPr>
          <w:bCs/>
          <w:i/>
          <w:sz w:val="22"/>
          <w:szCs w:val="22"/>
          <w:lang w:val="el-GR"/>
        </w:rPr>
        <w:t xml:space="preserve"> </w:t>
      </w:r>
      <w:r w:rsidRPr="0032564F">
        <w:rPr>
          <w:bCs/>
          <w:i/>
          <w:sz w:val="22"/>
          <w:szCs w:val="22"/>
          <w:lang w:val="el-GR"/>
        </w:rPr>
        <w:t>με</w:t>
      </w:r>
      <w:r w:rsidRPr="00045D24">
        <w:rPr>
          <w:bCs/>
          <w:i/>
          <w:sz w:val="22"/>
          <w:szCs w:val="22"/>
          <w:lang w:val="el-GR"/>
        </w:rPr>
        <w:t xml:space="preserve"> </w:t>
      </w:r>
      <w:r w:rsidRPr="0032564F">
        <w:rPr>
          <w:bCs/>
          <w:i/>
          <w:sz w:val="22"/>
          <w:szCs w:val="22"/>
          <w:lang w:val="el-GR"/>
        </w:rPr>
        <w:t>τη</w:t>
      </w:r>
      <w:r w:rsidRPr="00045D24">
        <w:rPr>
          <w:bCs/>
          <w:i/>
          <w:sz w:val="22"/>
          <w:szCs w:val="22"/>
          <w:lang w:val="el-GR"/>
        </w:rPr>
        <w:t xml:space="preserve"> </w:t>
      </w:r>
      <w:r w:rsidRPr="0032564F">
        <w:rPr>
          <w:bCs/>
          <w:i/>
          <w:sz w:val="22"/>
          <w:szCs w:val="22"/>
          <w:lang w:val="el-GR"/>
        </w:rPr>
        <w:t>διακοπή</w:t>
      </w:r>
      <w:r w:rsidRPr="00045D24">
        <w:rPr>
          <w:bCs/>
          <w:i/>
          <w:sz w:val="22"/>
          <w:szCs w:val="22"/>
          <w:lang w:val="el-GR"/>
        </w:rPr>
        <w:t xml:space="preserve"> </w:t>
      </w:r>
      <w:r w:rsidRPr="0032564F">
        <w:rPr>
          <w:bCs/>
          <w:i/>
          <w:sz w:val="22"/>
          <w:szCs w:val="22"/>
          <w:lang w:val="el-GR"/>
        </w:rPr>
        <w:t>της</w:t>
      </w:r>
      <w:r w:rsidRPr="00045D24">
        <w:rPr>
          <w:bCs/>
          <w:i/>
          <w:sz w:val="22"/>
          <w:szCs w:val="22"/>
          <w:lang w:val="el-GR"/>
        </w:rPr>
        <w:t xml:space="preserve"> </w:t>
      </w:r>
      <w:r w:rsidRPr="0032564F">
        <w:rPr>
          <w:bCs/>
          <w:i/>
          <w:sz w:val="22"/>
          <w:szCs w:val="22"/>
          <w:lang w:val="el-GR"/>
        </w:rPr>
        <w:t>θεραπείας</w:t>
      </w:r>
      <w:r w:rsidRPr="00045D24">
        <w:rPr>
          <w:bCs/>
          <w:i/>
          <w:sz w:val="22"/>
          <w:szCs w:val="22"/>
          <w:lang w:val="el-GR"/>
        </w:rPr>
        <w:t xml:space="preserve"> </w:t>
      </w:r>
      <w:r w:rsidRPr="0032564F">
        <w:rPr>
          <w:bCs/>
          <w:i/>
          <w:sz w:val="22"/>
          <w:szCs w:val="22"/>
          <w:lang w:val="el-GR"/>
        </w:rPr>
        <w:t>με</w:t>
      </w:r>
      <w:r w:rsidRPr="00045D24">
        <w:rPr>
          <w:bCs/>
          <w:i/>
          <w:sz w:val="22"/>
          <w:szCs w:val="22"/>
          <w:lang w:val="el-GR"/>
        </w:rPr>
        <w:t xml:space="preserve"> </w:t>
      </w:r>
      <w:r w:rsidRPr="0032564F">
        <w:rPr>
          <w:bCs/>
          <w:i/>
          <w:sz w:val="22"/>
          <w:szCs w:val="22"/>
          <w:lang w:val="el-GR"/>
        </w:rPr>
        <w:t>φλουοξετίνη</w:t>
      </w:r>
      <w:r w:rsidRPr="00045D24">
        <w:rPr>
          <w:bCs/>
          <w:i/>
          <w:sz w:val="22"/>
          <w:szCs w:val="22"/>
          <w:lang w:val="el-GR"/>
        </w:rPr>
        <w:t>:</w:t>
      </w:r>
      <w:r w:rsidRPr="00045D24">
        <w:rPr>
          <w:bCs/>
          <w:sz w:val="22"/>
          <w:szCs w:val="22"/>
          <w:lang w:val="el-GR"/>
        </w:rPr>
        <w:t xml:space="preserve"> </w:t>
      </w:r>
      <w:r w:rsidRPr="0032564F">
        <w:rPr>
          <w:sz w:val="22"/>
          <w:szCs w:val="22"/>
          <w:lang w:val="el-GR"/>
        </w:rPr>
        <w:t>Η</w:t>
      </w:r>
      <w:r w:rsidRPr="00045D24">
        <w:rPr>
          <w:sz w:val="22"/>
          <w:szCs w:val="22"/>
          <w:lang w:val="el-GR"/>
        </w:rPr>
        <w:t xml:space="preserve"> </w:t>
      </w:r>
      <w:r w:rsidRPr="0032564F">
        <w:rPr>
          <w:sz w:val="22"/>
          <w:szCs w:val="22"/>
          <w:lang w:val="el-GR"/>
        </w:rPr>
        <w:t>διακοπή</w:t>
      </w:r>
      <w:r w:rsidRPr="00045D24">
        <w:rPr>
          <w:sz w:val="22"/>
          <w:szCs w:val="22"/>
          <w:lang w:val="el-GR"/>
        </w:rPr>
        <w:t xml:space="preserve"> </w:t>
      </w:r>
      <w:r w:rsidRPr="0032564F">
        <w:rPr>
          <w:sz w:val="22"/>
          <w:szCs w:val="22"/>
          <w:lang w:val="el-GR"/>
        </w:rPr>
        <w:t>της</w:t>
      </w:r>
      <w:r w:rsidRPr="00045D24">
        <w:rPr>
          <w:sz w:val="22"/>
          <w:szCs w:val="22"/>
          <w:lang w:val="el-GR"/>
        </w:rPr>
        <w:t xml:space="preserve"> </w:t>
      </w:r>
      <w:r w:rsidRPr="0032564F">
        <w:rPr>
          <w:sz w:val="22"/>
          <w:szCs w:val="22"/>
          <w:lang w:val="el-GR"/>
        </w:rPr>
        <w:t>θεραπείας</w:t>
      </w:r>
      <w:r w:rsidRPr="00045D24">
        <w:rPr>
          <w:sz w:val="22"/>
          <w:szCs w:val="22"/>
          <w:lang w:val="el-GR"/>
        </w:rPr>
        <w:t xml:space="preserve"> </w:t>
      </w:r>
      <w:r w:rsidRPr="0032564F">
        <w:rPr>
          <w:sz w:val="22"/>
          <w:szCs w:val="22"/>
          <w:lang w:val="el-GR"/>
        </w:rPr>
        <w:t>με</w:t>
      </w:r>
      <w:r w:rsidRPr="00045D24">
        <w:rPr>
          <w:sz w:val="22"/>
          <w:szCs w:val="22"/>
          <w:lang w:val="el-GR"/>
        </w:rPr>
        <w:t xml:space="preserve"> </w:t>
      </w:r>
      <w:r w:rsidRPr="0032564F">
        <w:rPr>
          <w:sz w:val="22"/>
          <w:szCs w:val="22"/>
          <w:lang w:val="el-GR"/>
        </w:rPr>
        <w:t>φλουοξετίνη</w:t>
      </w:r>
      <w:r w:rsidRPr="00045D24">
        <w:rPr>
          <w:sz w:val="22"/>
          <w:szCs w:val="22"/>
          <w:lang w:val="el-GR"/>
        </w:rPr>
        <w:t xml:space="preserve"> </w:t>
      </w:r>
      <w:r w:rsidRPr="0032564F">
        <w:rPr>
          <w:sz w:val="22"/>
          <w:szCs w:val="22"/>
          <w:lang w:val="el-GR"/>
        </w:rPr>
        <w:t>έχει</w:t>
      </w:r>
      <w:r w:rsidRPr="00045D24">
        <w:rPr>
          <w:sz w:val="22"/>
          <w:szCs w:val="22"/>
          <w:lang w:val="el-GR"/>
        </w:rPr>
        <w:t xml:space="preserve"> </w:t>
      </w:r>
      <w:r w:rsidRPr="0032564F">
        <w:rPr>
          <w:sz w:val="22"/>
          <w:szCs w:val="22"/>
          <w:lang w:val="el-GR"/>
        </w:rPr>
        <w:t>συχνά</w:t>
      </w:r>
      <w:r w:rsidRPr="00045D24">
        <w:rPr>
          <w:sz w:val="22"/>
          <w:szCs w:val="22"/>
          <w:lang w:val="el-GR"/>
        </w:rPr>
        <w:t xml:space="preserve"> </w:t>
      </w:r>
      <w:r w:rsidRPr="0032564F">
        <w:rPr>
          <w:sz w:val="22"/>
          <w:szCs w:val="22"/>
          <w:lang w:val="el-GR"/>
        </w:rPr>
        <w:t>ως</w:t>
      </w:r>
      <w:r w:rsidRPr="00045D24">
        <w:rPr>
          <w:sz w:val="22"/>
          <w:szCs w:val="22"/>
          <w:lang w:val="el-GR"/>
        </w:rPr>
        <w:t xml:space="preserve"> </w:t>
      </w:r>
      <w:r w:rsidRPr="0032564F">
        <w:rPr>
          <w:sz w:val="22"/>
          <w:szCs w:val="22"/>
          <w:lang w:val="el-GR"/>
        </w:rPr>
        <w:t>αποτέλεσμα</w:t>
      </w:r>
      <w:r w:rsidRPr="00045D24">
        <w:rPr>
          <w:sz w:val="22"/>
          <w:szCs w:val="22"/>
          <w:lang w:val="el-GR"/>
        </w:rPr>
        <w:t xml:space="preserve"> </w:t>
      </w:r>
      <w:r w:rsidRPr="0032564F">
        <w:rPr>
          <w:sz w:val="22"/>
          <w:szCs w:val="22"/>
          <w:lang w:val="el-GR"/>
        </w:rPr>
        <w:t>την</w:t>
      </w:r>
      <w:r w:rsidRPr="00045D24">
        <w:rPr>
          <w:sz w:val="22"/>
          <w:szCs w:val="22"/>
          <w:lang w:val="el-GR"/>
        </w:rPr>
        <w:t xml:space="preserve"> </w:t>
      </w:r>
      <w:r w:rsidRPr="0032564F">
        <w:rPr>
          <w:sz w:val="22"/>
          <w:szCs w:val="22"/>
          <w:lang w:val="el-GR"/>
        </w:rPr>
        <w:t>εμφάνιση</w:t>
      </w:r>
      <w:r w:rsidRPr="00045D24">
        <w:rPr>
          <w:sz w:val="22"/>
          <w:szCs w:val="22"/>
          <w:lang w:val="el-GR"/>
        </w:rPr>
        <w:t xml:space="preserve"> </w:t>
      </w:r>
      <w:r w:rsidRPr="0032564F">
        <w:rPr>
          <w:sz w:val="22"/>
          <w:szCs w:val="22"/>
          <w:lang w:val="el-GR"/>
        </w:rPr>
        <w:t>συμπτωμάτων</w:t>
      </w:r>
      <w:r w:rsidRPr="00045D24">
        <w:rPr>
          <w:sz w:val="22"/>
          <w:szCs w:val="22"/>
          <w:lang w:val="el-GR"/>
        </w:rPr>
        <w:t xml:space="preserve"> </w:t>
      </w:r>
      <w:r w:rsidRPr="0032564F">
        <w:rPr>
          <w:sz w:val="22"/>
          <w:szCs w:val="22"/>
          <w:lang w:val="el-GR"/>
        </w:rPr>
        <w:t>απόσυρσης</w:t>
      </w:r>
      <w:r w:rsidRPr="00045D24">
        <w:rPr>
          <w:sz w:val="22"/>
          <w:szCs w:val="22"/>
          <w:lang w:val="el-GR"/>
        </w:rPr>
        <w:t xml:space="preserve">. </w:t>
      </w:r>
      <w:r w:rsidRPr="0032564F">
        <w:rPr>
          <w:sz w:val="22"/>
          <w:szCs w:val="22"/>
          <w:lang w:val="el-GR"/>
        </w:rPr>
        <w:t>Οι</w:t>
      </w:r>
      <w:r w:rsidRPr="00045D24">
        <w:rPr>
          <w:sz w:val="22"/>
          <w:szCs w:val="22"/>
          <w:lang w:val="el-GR"/>
        </w:rPr>
        <w:t xml:space="preserve"> </w:t>
      </w:r>
      <w:r w:rsidRPr="0032564F">
        <w:rPr>
          <w:sz w:val="22"/>
          <w:szCs w:val="22"/>
          <w:lang w:val="el-GR"/>
        </w:rPr>
        <w:t>αντιδράσεις</w:t>
      </w:r>
      <w:r w:rsidRPr="00045D24">
        <w:rPr>
          <w:sz w:val="22"/>
          <w:szCs w:val="22"/>
          <w:lang w:val="el-GR"/>
        </w:rPr>
        <w:t xml:space="preserve"> </w:t>
      </w:r>
      <w:r w:rsidRPr="0032564F">
        <w:rPr>
          <w:sz w:val="22"/>
          <w:szCs w:val="22"/>
          <w:lang w:val="el-GR"/>
        </w:rPr>
        <w:t>που</w:t>
      </w:r>
      <w:r w:rsidRPr="00045D24">
        <w:rPr>
          <w:sz w:val="22"/>
          <w:szCs w:val="22"/>
          <w:lang w:val="el-GR"/>
        </w:rPr>
        <w:t xml:space="preserve"> </w:t>
      </w:r>
      <w:r w:rsidRPr="0032564F">
        <w:rPr>
          <w:sz w:val="22"/>
          <w:szCs w:val="22"/>
          <w:lang w:val="el-GR"/>
        </w:rPr>
        <w:t>έχουν</w:t>
      </w:r>
      <w:r w:rsidRPr="00045D24">
        <w:rPr>
          <w:sz w:val="22"/>
          <w:szCs w:val="22"/>
          <w:lang w:val="el-GR"/>
        </w:rPr>
        <w:t xml:space="preserve"> </w:t>
      </w:r>
      <w:r w:rsidRPr="0032564F">
        <w:rPr>
          <w:sz w:val="22"/>
          <w:szCs w:val="22"/>
          <w:lang w:val="el-GR"/>
        </w:rPr>
        <w:t>αναφερθεί</w:t>
      </w:r>
      <w:r w:rsidRPr="00045D24">
        <w:rPr>
          <w:sz w:val="22"/>
          <w:szCs w:val="22"/>
          <w:lang w:val="el-GR"/>
        </w:rPr>
        <w:t xml:space="preserve"> </w:t>
      </w:r>
      <w:r w:rsidRPr="0032564F">
        <w:rPr>
          <w:sz w:val="22"/>
          <w:szCs w:val="22"/>
          <w:lang w:val="el-GR"/>
        </w:rPr>
        <w:t>συχνότερα</w:t>
      </w:r>
      <w:r w:rsidRPr="00045D24">
        <w:rPr>
          <w:sz w:val="22"/>
          <w:szCs w:val="22"/>
          <w:lang w:val="el-GR"/>
        </w:rPr>
        <w:t xml:space="preserve"> </w:t>
      </w:r>
      <w:r w:rsidRPr="0032564F">
        <w:rPr>
          <w:sz w:val="22"/>
          <w:szCs w:val="22"/>
          <w:lang w:val="el-GR"/>
        </w:rPr>
        <w:t>περιλαμβάνουν</w:t>
      </w:r>
      <w:r w:rsidRPr="00045D24">
        <w:rPr>
          <w:sz w:val="22"/>
          <w:szCs w:val="22"/>
          <w:lang w:val="el-GR"/>
        </w:rPr>
        <w:t xml:space="preserve"> </w:t>
      </w:r>
      <w:r w:rsidRPr="0032564F">
        <w:rPr>
          <w:sz w:val="22"/>
          <w:szCs w:val="22"/>
          <w:lang w:val="el-GR"/>
        </w:rPr>
        <w:t>ζάλη</w:t>
      </w:r>
      <w:r w:rsidRPr="00045D24">
        <w:rPr>
          <w:sz w:val="22"/>
          <w:szCs w:val="22"/>
          <w:lang w:val="el-GR"/>
        </w:rPr>
        <w:t xml:space="preserve">, </w:t>
      </w:r>
      <w:r w:rsidRPr="0032564F">
        <w:rPr>
          <w:sz w:val="22"/>
          <w:szCs w:val="22"/>
          <w:lang w:val="el-GR"/>
        </w:rPr>
        <w:t>διαταραχές</w:t>
      </w:r>
      <w:r w:rsidRPr="00045D24">
        <w:rPr>
          <w:sz w:val="22"/>
          <w:szCs w:val="22"/>
          <w:lang w:val="el-GR"/>
        </w:rPr>
        <w:t xml:space="preserve"> </w:t>
      </w:r>
      <w:r w:rsidRPr="0032564F">
        <w:rPr>
          <w:sz w:val="22"/>
          <w:szCs w:val="22"/>
          <w:lang w:val="el-GR"/>
        </w:rPr>
        <w:t>αισθητικότητας</w:t>
      </w:r>
      <w:r w:rsidRPr="00045D24">
        <w:rPr>
          <w:sz w:val="22"/>
          <w:szCs w:val="22"/>
          <w:lang w:val="el-GR"/>
        </w:rPr>
        <w:t xml:space="preserve"> (</w:t>
      </w:r>
      <w:r w:rsidRPr="0032564F">
        <w:rPr>
          <w:sz w:val="22"/>
          <w:szCs w:val="22"/>
          <w:lang w:val="el-GR"/>
        </w:rPr>
        <w:t>συμπεριλαμβανομένης</w:t>
      </w:r>
      <w:r w:rsidRPr="00045D24">
        <w:rPr>
          <w:sz w:val="22"/>
          <w:szCs w:val="22"/>
          <w:lang w:val="el-GR"/>
        </w:rPr>
        <w:t xml:space="preserve"> </w:t>
      </w:r>
      <w:r w:rsidRPr="0032564F">
        <w:rPr>
          <w:sz w:val="22"/>
          <w:szCs w:val="22"/>
          <w:lang w:val="el-GR"/>
        </w:rPr>
        <w:t>της</w:t>
      </w:r>
      <w:r w:rsidRPr="00045D24">
        <w:rPr>
          <w:sz w:val="22"/>
          <w:szCs w:val="22"/>
          <w:lang w:val="el-GR"/>
        </w:rPr>
        <w:t xml:space="preserve"> </w:t>
      </w:r>
      <w:r w:rsidRPr="0032564F">
        <w:rPr>
          <w:sz w:val="22"/>
          <w:szCs w:val="22"/>
          <w:lang w:val="el-GR"/>
        </w:rPr>
        <w:t>παραισθησίας</w:t>
      </w:r>
      <w:r w:rsidRPr="00045D24">
        <w:rPr>
          <w:sz w:val="22"/>
          <w:szCs w:val="22"/>
          <w:lang w:val="el-GR"/>
        </w:rPr>
        <w:t xml:space="preserve">), </w:t>
      </w:r>
      <w:r w:rsidRPr="0032564F">
        <w:rPr>
          <w:sz w:val="22"/>
          <w:szCs w:val="22"/>
          <w:lang w:val="el-GR"/>
        </w:rPr>
        <w:t>διαταραχές</w:t>
      </w:r>
      <w:r w:rsidRPr="00045D24">
        <w:rPr>
          <w:sz w:val="22"/>
          <w:szCs w:val="22"/>
          <w:lang w:val="el-GR"/>
        </w:rPr>
        <w:t xml:space="preserve"> </w:t>
      </w:r>
      <w:r w:rsidRPr="0032564F">
        <w:rPr>
          <w:sz w:val="22"/>
          <w:szCs w:val="22"/>
          <w:lang w:val="el-GR"/>
        </w:rPr>
        <w:t>του</w:t>
      </w:r>
      <w:r w:rsidRPr="00045D24">
        <w:rPr>
          <w:sz w:val="22"/>
          <w:szCs w:val="22"/>
          <w:lang w:val="el-GR"/>
        </w:rPr>
        <w:t xml:space="preserve"> </w:t>
      </w:r>
      <w:r w:rsidRPr="0032564F">
        <w:rPr>
          <w:sz w:val="22"/>
          <w:szCs w:val="22"/>
          <w:lang w:val="el-GR"/>
        </w:rPr>
        <w:t>ύπνου</w:t>
      </w:r>
      <w:r w:rsidRPr="00045D24">
        <w:rPr>
          <w:sz w:val="22"/>
          <w:szCs w:val="22"/>
          <w:lang w:val="el-GR"/>
        </w:rPr>
        <w:t xml:space="preserve"> (</w:t>
      </w:r>
      <w:r w:rsidRPr="0032564F">
        <w:rPr>
          <w:sz w:val="22"/>
          <w:szCs w:val="22"/>
          <w:lang w:val="el-GR"/>
        </w:rPr>
        <w:t>συμπεριλαμβανομένων</w:t>
      </w:r>
      <w:r w:rsidRPr="00045D24">
        <w:rPr>
          <w:sz w:val="22"/>
          <w:szCs w:val="22"/>
          <w:lang w:val="el-GR"/>
        </w:rPr>
        <w:t xml:space="preserve"> </w:t>
      </w:r>
      <w:r w:rsidRPr="0032564F">
        <w:rPr>
          <w:sz w:val="22"/>
          <w:szCs w:val="22"/>
          <w:lang w:val="el-GR"/>
        </w:rPr>
        <w:t>αϋπνίας</w:t>
      </w:r>
      <w:r w:rsidRPr="00045D24">
        <w:rPr>
          <w:sz w:val="22"/>
          <w:szCs w:val="22"/>
          <w:lang w:val="el-GR"/>
        </w:rPr>
        <w:t xml:space="preserve"> </w:t>
      </w:r>
      <w:r w:rsidRPr="0032564F">
        <w:rPr>
          <w:sz w:val="22"/>
          <w:szCs w:val="22"/>
          <w:lang w:val="el-GR"/>
        </w:rPr>
        <w:t>και</w:t>
      </w:r>
      <w:r w:rsidRPr="00045D24">
        <w:rPr>
          <w:sz w:val="22"/>
          <w:szCs w:val="22"/>
          <w:lang w:val="el-GR"/>
        </w:rPr>
        <w:t xml:space="preserve"> </w:t>
      </w:r>
      <w:r w:rsidRPr="0032564F">
        <w:rPr>
          <w:sz w:val="22"/>
          <w:szCs w:val="22"/>
          <w:lang w:val="el-GR"/>
        </w:rPr>
        <w:t>έντονων</w:t>
      </w:r>
      <w:r w:rsidRPr="00045D24">
        <w:rPr>
          <w:sz w:val="22"/>
          <w:szCs w:val="22"/>
          <w:lang w:val="el-GR"/>
        </w:rPr>
        <w:t xml:space="preserve"> </w:t>
      </w:r>
      <w:r w:rsidRPr="0032564F">
        <w:rPr>
          <w:sz w:val="22"/>
          <w:szCs w:val="22"/>
          <w:lang w:val="el-GR"/>
        </w:rPr>
        <w:t>ονείρων</w:t>
      </w:r>
      <w:r w:rsidRPr="00045D24">
        <w:rPr>
          <w:sz w:val="22"/>
          <w:szCs w:val="22"/>
          <w:lang w:val="el-GR"/>
        </w:rPr>
        <w:t xml:space="preserve">), </w:t>
      </w:r>
      <w:r w:rsidRPr="0032564F">
        <w:rPr>
          <w:sz w:val="22"/>
          <w:szCs w:val="22"/>
          <w:lang w:val="el-GR"/>
        </w:rPr>
        <w:t>εξασθένιση</w:t>
      </w:r>
      <w:r w:rsidRPr="00045D24">
        <w:rPr>
          <w:sz w:val="22"/>
          <w:szCs w:val="22"/>
          <w:lang w:val="el-GR"/>
        </w:rPr>
        <w:t xml:space="preserve">, </w:t>
      </w:r>
      <w:r w:rsidRPr="0032564F">
        <w:rPr>
          <w:sz w:val="22"/>
          <w:szCs w:val="22"/>
          <w:lang w:val="el-GR"/>
        </w:rPr>
        <w:t>διέγερση</w:t>
      </w:r>
      <w:r w:rsidRPr="00045D24">
        <w:rPr>
          <w:sz w:val="22"/>
          <w:szCs w:val="22"/>
          <w:lang w:val="el-GR"/>
        </w:rPr>
        <w:t xml:space="preserve"> </w:t>
      </w:r>
      <w:r w:rsidRPr="0032564F">
        <w:rPr>
          <w:sz w:val="22"/>
          <w:szCs w:val="22"/>
          <w:lang w:val="el-GR"/>
        </w:rPr>
        <w:t>ή</w:t>
      </w:r>
      <w:r w:rsidRPr="00045D24">
        <w:rPr>
          <w:sz w:val="22"/>
          <w:szCs w:val="22"/>
          <w:lang w:val="el-GR"/>
        </w:rPr>
        <w:t xml:space="preserve"> </w:t>
      </w:r>
      <w:r w:rsidRPr="0032564F">
        <w:rPr>
          <w:sz w:val="22"/>
          <w:szCs w:val="22"/>
          <w:lang w:val="el-GR"/>
        </w:rPr>
        <w:t>άγχος</w:t>
      </w:r>
      <w:r w:rsidRPr="00045D24">
        <w:rPr>
          <w:sz w:val="22"/>
          <w:szCs w:val="22"/>
          <w:lang w:val="el-GR"/>
        </w:rPr>
        <w:t xml:space="preserve">, </w:t>
      </w:r>
      <w:r w:rsidRPr="0032564F">
        <w:rPr>
          <w:sz w:val="22"/>
          <w:szCs w:val="22"/>
          <w:lang w:val="el-GR"/>
        </w:rPr>
        <w:t>ναυτία</w:t>
      </w:r>
      <w:r w:rsidRPr="00045D24">
        <w:rPr>
          <w:sz w:val="22"/>
          <w:szCs w:val="22"/>
          <w:lang w:val="el-GR"/>
        </w:rPr>
        <w:t xml:space="preserve"> </w:t>
      </w:r>
      <w:r w:rsidRPr="0032564F">
        <w:rPr>
          <w:sz w:val="22"/>
          <w:szCs w:val="22"/>
          <w:lang w:val="el-GR"/>
        </w:rPr>
        <w:t>και</w:t>
      </w:r>
      <w:r w:rsidRPr="00045D24">
        <w:rPr>
          <w:sz w:val="22"/>
          <w:szCs w:val="22"/>
          <w:lang w:val="el-GR"/>
        </w:rPr>
        <w:t xml:space="preserve">/ </w:t>
      </w:r>
      <w:r w:rsidRPr="0032564F">
        <w:rPr>
          <w:sz w:val="22"/>
          <w:szCs w:val="22"/>
          <w:lang w:val="el-GR"/>
        </w:rPr>
        <w:t>ή</w:t>
      </w:r>
      <w:r w:rsidRPr="00045D24">
        <w:rPr>
          <w:sz w:val="22"/>
          <w:szCs w:val="22"/>
          <w:lang w:val="el-GR"/>
        </w:rPr>
        <w:t xml:space="preserve"> </w:t>
      </w:r>
      <w:r w:rsidRPr="0032564F">
        <w:rPr>
          <w:sz w:val="22"/>
          <w:szCs w:val="22"/>
          <w:lang w:val="el-GR"/>
        </w:rPr>
        <w:t>έμετο</w:t>
      </w:r>
      <w:r w:rsidRPr="00045D24">
        <w:rPr>
          <w:sz w:val="22"/>
          <w:szCs w:val="22"/>
          <w:lang w:val="el-GR"/>
        </w:rPr>
        <w:t xml:space="preserve">, </w:t>
      </w:r>
      <w:r w:rsidRPr="0032564F">
        <w:rPr>
          <w:sz w:val="22"/>
          <w:szCs w:val="22"/>
          <w:lang w:val="el-GR"/>
        </w:rPr>
        <w:t>τρόμο</w:t>
      </w:r>
      <w:r w:rsidRPr="00045D24">
        <w:rPr>
          <w:sz w:val="22"/>
          <w:szCs w:val="22"/>
          <w:lang w:val="el-GR"/>
        </w:rPr>
        <w:t xml:space="preserve"> </w:t>
      </w:r>
      <w:r w:rsidRPr="0032564F">
        <w:rPr>
          <w:sz w:val="22"/>
          <w:szCs w:val="22"/>
          <w:lang w:val="el-GR"/>
        </w:rPr>
        <w:t>και</w:t>
      </w:r>
      <w:r w:rsidRPr="00045D24">
        <w:rPr>
          <w:sz w:val="22"/>
          <w:szCs w:val="22"/>
          <w:lang w:val="el-GR"/>
        </w:rPr>
        <w:t xml:space="preserve"> </w:t>
      </w:r>
      <w:r w:rsidRPr="0032564F">
        <w:rPr>
          <w:sz w:val="22"/>
          <w:szCs w:val="22"/>
          <w:lang w:val="el-GR"/>
        </w:rPr>
        <w:t>κεφαλαλγία</w:t>
      </w:r>
      <w:r w:rsidRPr="00045D24">
        <w:rPr>
          <w:sz w:val="22"/>
          <w:szCs w:val="22"/>
          <w:lang w:val="el-GR"/>
        </w:rPr>
        <w:t xml:space="preserve">. </w:t>
      </w:r>
      <w:r w:rsidRPr="0032564F">
        <w:rPr>
          <w:sz w:val="22"/>
          <w:szCs w:val="22"/>
          <w:lang w:val="el-GR"/>
        </w:rPr>
        <w:t>Γενικά</w:t>
      </w:r>
      <w:r w:rsidRPr="00045D24">
        <w:rPr>
          <w:sz w:val="22"/>
          <w:szCs w:val="22"/>
          <w:lang w:val="el-GR"/>
        </w:rPr>
        <w:t xml:space="preserve">, </w:t>
      </w:r>
      <w:r w:rsidRPr="0032564F">
        <w:rPr>
          <w:sz w:val="22"/>
          <w:szCs w:val="22"/>
          <w:lang w:val="el-GR"/>
        </w:rPr>
        <w:t>αυτά</w:t>
      </w:r>
      <w:r w:rsidRPr="00045D24">
        <w:rPr>
          <w:sz w:val="22"/>
          <w:szCs w:val="22"/>
          <w:lang w:val="el-GR"/>
        </w:rPr>
        <w:t xml:space="preserve"> </w:t>
      </w:r>
      <w:r w:rsidRPr="0032564F">
        <w:rPr>
          <w:sz w:val="22"/>
          <w:szCs w:val="22"/>
          <w:lang w:val="el-GR"/>
        </w:rPr>
        <w:t>τα</w:t>
      </w:r>
      <w:r w:rsidRPr="00045D24">
        <w:rPr>
          <w:sz w:val="22"/>
          <w:szCs w:val="22"/>
          <w:lang w:val="el-GR"/>
        </w:rPr>
        <w:t xml:space="preserve"> </w:t>
      </w:r>
      <w:r w:rsidRPr="0032564F">
        <w:rPr>
          <w:sz w:val="22"/>
          <w:szCs w:val="22"/>
          <w:lang w:val="el-GR"/>
        </w:rPr>
        <w:t>περιστατικά</w:t>
      </w:r>
      <w:r w:rsidRPr="00045D24">
        <w:rPr>
          <w:sz w:val="22"/>
          <w:szCs w:val="22"/>
          <w:lang w:val="el-GR"/>
        </w:rPr>
        <w:t xml:space="preserve"> </w:t>
      </w:r>
      <w:r w:rsidRPr="0032564F">
        <w:rPr>
          <w:sz w:val="22"/>
          <w:szCs w:val="22"/>
          <w:lang w:val="el-GR"/>
        </w:rPr>
        <w:t>είναι</w:t>
      </w:r>
      <w:r w:rsidRPr="00045D24">
        <w:rPr>
          <w:sz w:val="22"/>
          <w:szCs w:val="22"/>
          <w:lang w:val="el-GR"/>
        </w:rPr>
        <w:t xml:space="preserve"> </w:t>
      </w:r>
      <w:r w:rsidRPr="0032564F">
        <w:rPr>
          <w:sz w:val="22"/>
          <w:szCs w:val="22"/>
          <w:lang w:val="el-GR"/>
        </w:rPr>
        <w:t>ήπιας</w:t>
      </w:r>
      <w:r w:rsidRPr="00045D24">
        <w:rPr>
          <w:sz w:val="22"/>
          <w:szCs w:val="22"/>
          <w:lang w:val="el-GR"/>
        </w:rPr>
        <w:t xml:space="preserve"> </w:t>
      </w:r>
      <w:r w:rsidRPr="0032564F">
        <w:rPr>
          <w:sz w:val="22"/>
          <w:szCs w:val="22"/>
          <w:lang w:val="el-GR"/>
        </w:rPr>
        <w:t>έως</w:t>
      </w:r>
      <w:r w:rsidRPr="00045D24">
        <w:rPr>
          <w:sz w:val="22"/>
          <w:szCs w:val="22"/>
          <w:lang w:val="el-GR"/>
        </w:rPr>
        <w:t xml:space="preserve"> </w:t>
      </w:r>
      <w:r w:rsidRPr="0032564F">
        <w:rPr>
          <w:sz w:val="22"/>
          <w:szCs w:val="22"/>
          <w:lang w:val="el-GR"/>
        </w:rPr>
        <w:t>μέτριας</w:t>
      </w:r>
      <w:r w:rsidRPr="00045D24">
        <w:rPr>
          <w:sz w:val="22"/>
          <w:szCs w:val="22"/>
          <w:lang w:val="el-GR"/>
        </w:rPr>
        <w:t xml:space="preserve"> </w:t>
      </w:r>
      <w:r w:rsidRPr="0032564F">
        <w:rPr>
          <w:sz w:val="22"/>
          <w:szCs w:val="22"/>
          <w:lang w:val="el-GR"/>
        </w:rPr>
        <w:t>έντασης</w:t>
      </w:r>
      <w:r w:rsidRPr="00045D24">
        <w:rPr>
          <w:sz w:val="22"/>
          <w:szCs w:val="22"/>
          <w:lang w:val="el-GR"/>
        </w:rPr>
        <w:t xml:space="preserve"> </w:t>
      </w:r>
      <w:r w:rsidRPr="0032564F">
        <w:rPr>
          <w:sz w:val="22"/>
          <w:szCs w:val="22"/>
          <w:lang w:val="el-GR"/>
        </w:rPr>
        <w:t>και</w:t>
      </w:r>
      <w:r w:rsidRPr="00045D24">
        <w:rPr>
          <w:sz w:val="22"/>
          <w:szCs w:val="22"/>
          <w:lang w:val="el-GR"/>
        </w:rPr>
        <w:t xml:space="preserve"> </w:t>
      </w:r>
      <w:r w:rsidRPr="0032564F">
        <w:rPr>
          <w:sz w:val="22"/>
          <w:szCs w:val="22"/>
          <w:lang w:val="el-GR"/>
        </w:rPr>
        <w:t>αυτοπεριοριζόμενα</w:t>
      </w:r>
      <w:r w:rsidRPr="00045D24">
        <w:rPr>
          <w:sz w:val="22"/>
          <w:szCs w:val="22"/>
          <w:lang w:val="el-GR"/>
        </w:rPr>
        <w:t xml:space="preserve">, </w:t>
      </w:r>
      <w:r w:rsidRPr="0032564F">
        <w:rPr>
          <w:sz w:val="22"/>
          <w:szCs w:val="22"/>
          <w:lang w:val="el-GR"/>
        </w:rPr>
        <w:t>όμως</w:t>
      </w:r>
      <w:r w:rsidRPr="00045D24">
        <w:rPr>
          <w:sz w:val="22"/>
          <w:szCs w:val="22"/>
          <w:lang w:val="el-GR"/>
        </w:rPr>
        <w:t xml:space="preserve">, </w:t>
      </w:r>
      <w:r w:rsidRPr="0032564F">
        <w:rPr>
          <w:sz w:val="22"/>
          <w:szCs w:val="22"/>
          <w:lang w:val="el-GR"/>
        </w:rPr>
        <w:t>σε</w:t>
      </w:r>
      <w:r w:rsidRPr="00045D24">
        <w:rPr>
          <w:sz w:val="22"/>
          <w:szCs w:val="22"/>
          <w:lang w:val="el-GR"/>
        </w:rPr>
        <w:t xml:space="preserve"> </w:t>
      </w:r>
      <w:r w:rsidRPr="0032564F">
        <w:rPr>
          <w:sz w:val="22"/>
          <w:szCs w:val="22"/>
          <w:lang w:val="el-GR"/>
        </w:rPr>
        <w:t>μερικούς</w:t>
      </w:r>
      <w:r w:rsidRPr="00045D24">
        <w:rPr>
          <w:sz w:val="22"/>
          <w:szCs w:val="22"/>
          <w:lang w:val="el-GR"/>
        </w:rPr>
        <w:t xml:space="preserve"> </w:t>
      </w:r>
      <w:r w:rsidRPr="0032564F">
        <w:rPr>
          <w:sz w:val="22"/>
          <w:szCs w:val="22"/>
          <w:lang w:val="el-GR"/>
        </w:rPr>
        <w:t>ασθενείς</w:t>
      </w:r>
      <w:r w:rsidRPr="00045D24">
        <w:rPr>
          <w:sz w:val="22"/>
          <w:szCs w:val="22"/>
          <w:lang w:val="el-GR"/>
        </w:rPr>
        <w:t xml:space="preserve"> </w:t>
      </w:r>
      <w:r w:rsidRPr="0032564F">
        <w:rPr>
          <w:sz w:val="22"/>
          <w:szCs w:val="22"/>
          <w:lang w:val="el-GR"/>
        </w:rPr>
        <w:t>μπορεί</w:t>
      </w:r>
      <w:r w:rsidRPr="00045D24">
        <w:rPr>
          <w:sz w:val="22"/>
          <w:szCs w:val="22"/>
          <w:lang w:val="el-GR"/>
        </w:rPr>
        <w:t xml:space="preserve"> </w:t>
      </w:r>
      <w:r w:rsidRPr="0032564F">
        <w:rPr>
          <w:sz w:val="22"/>
          <w:szCs w:val="22"/>
          <w:lang w:val="el-GR"/>
        </w:rPr>
        <w:t>να</w:t>
      </w:r>
      <w:r w:rsidRPr="00045D24">
        <w:rPr>
          <w:sz w:val="22"/>
          <w:szCs w:val="22"/>
          <w:lang w:val="el-GR"/>
        </w:rPr>
        <w:t xml:space="preserve"> </w:t>
      </w:r>
      <w:r w:rsidRPr="0032564F">
        <w:rPr>
          <w:sz w:val="22"/>
          <w:szCs w:val="22"/>
          <w:lang w:val="el-GR"/>
        </w:rPr>
        <w:t>είναι</w:t>
      </w:r>
      <w:r w:rsidRPr="00045D24">
        <w:rPr>
          <w:sz w:val="22"/>
          <w:szCs w:val="22"/>
          <w:lang w:val="el-GR"/>
        </w:rPr>
        <w:t xml:space="preserve"> </w:t>
      </w:r>
      <w:r w:rsidRPr="0032564F">
        <w:rPr>
          <w:sz w:val="22"/>
          <w:szCs w:val="22"/>
          <w:lang w:val="el-GR"/>
        </w:rPr>
        <w:t>σοβαρά</w:t>
      </w:r>
      <w:r w:rsidRPr="00045D24">
        <w:rPr>
          <w:sz w:val="22"/>
          <w:szCs w:val="22"/>
          <w:lang w:val="el-GR"/>
        </w:rPr>
        <w:t xml:space="preserve"> </w:t>
      </w:r>
      <w:r w:rsidRPr="0032564F">
        <w:rPr>
          <w:sz w:val="22"/>
          <w:szCs w:val="22"/>
          <w:lang w:val="el-GR"/>
        </w:rPr>
        <w:t>και</w:t>
      </w:r>
      <w:r w:rsidRPr="00045D24">
        <w:rPr>
          <w:sz w:val="22"/>
          <w:szCs w:val="22"/>
          <w:lang w:val="el-GR"/>
        </w:rPr>
        <w:t xml:space="preserve">/ </w:t>
      </w:r>
      <w:r w:rsidRPr="0032564F">
        <w:rPr>
          <w:sz w:val="22"/>
          <w:szCs w:val="22"/>
          <w:lang w:val="el-GR"/>
        </w:rPr>
        <w:t>ή</w:t>
      </w:r>
      <w:r w:rsidRPr="00045D24">
        <w:rPr>
          <w:sz w:val="22"/>
          <w:szCs w:val="22"/>
          <w:lang w:val="el-GR"/>
        </w:rPr>
        <w:t xml:space="preserve"> </w:t>
      </w:r>
      <w:r w:rsidRPr="0032564F">
        <w:rPr>
          <w:sz w:val="22"/>
          <w:szCs w:val="22"/>
          <w:lang w:val="el-GR"/>
        </w:rPr>
        <w:t>παρατεταμένης</w:t>
      </w:r>
      <w:r w:rsidRPr="00045D24">
        <w:rPr>
          <w:sz w:val="22"/>
          <w:szCs w:val="22"/>
          <w:lang w:val="el-GR"/>
        </w:rPr>
        <w:t xml:space="preserve"> </w:t>
      </w:r>
      <w:r w:rsidRPr="0032564F">
        <w:rPr>
          <w:sz w:val="22"/>
          <w:szCs w:val="22"/>
          <w:lang w:val="el-GR"/>
        </w:rPr>
        <w:t>χρονικής</w:t>
      </w:r>
      <w:r w:rsidRPr="00045D24">
        <w:rPr>
          <w:sz w:val="22"/>
          <w:szCs w:val="22"/>
          <w:lang w:val="el-GR"/>
        </w:rPr>
        <w:t xml:space="preserve"> </w:t>
      </w:r>
      <w:r w:rsidRPr="0032564F">
        <w:rPr>
          <w:sz w:val="22"/>
          <w:szCs w:val="22"/>
          <w:lang w:val="el-GR"/>
        </w:rPr>
        <w:t>διάρκειας</w:t>
      </w:r>
      <w:r w:rsidRPr="00045D24">
        <w:rPr>
          <w:sz w:val="22"/>
          <w:szCs w:val="22"/>
          <w:lang w:val="el-GR"/>
        </w:rPr>
        <w:t xml:space="preserve"> (</w:t>
      </w:r>
      <w:r w:rsidR="006A6C86">
        <w:rPr>
          <w:sz w:val="22"/>
          <w:szCs w:val="22"/>
          <w:lang w:val="el-GR"/>
        </w:rPr>
        <w:t xml:space="preserve">βλ. </w:t>
      </w:r>
      <w:r w:rsidRPr="0032564F">
        <w:rPr>
          <w:sz w:val="22"/>
          <w:szCs w:val="22"/>
          <w:lang w:val="el-GR"/>
        </w:rPr>
        <w:t>παράγραφο</w:t>
      </w:r>
      <w:r w:rsidRPr="00045D24">
        <w:rPr>
          <w:sz w:val="22"/>
          <w:szCs w:val="22"/>
          <w:lang w:val="el-GR"/>
        </w:rPr>
        <w:t xml:space="preserve"> 4.4). </w:t>
      </w:r>
      <w:r w:rsidRPr="0032564F">
        <w:rPr>
          <w:sz w:val="22"/>
          <w:szCs w:val="22"/>
          <w:lang w:val="el-GR"/>
        </w:rPr>
        <w:t>Επομένως</w:t>
      </w:r>
      <w:r w:rsidRPr="00045D24">
        <w:rPr>
          <w:sz w:val="22"/>
          <w:szCs w:val="22"/>
          <w:lang w:val="el-GR"/>
        </w:rPr>
        <w:t xml:space="preserve">, </w:t>
      </w:r>
      <w:r w:rsidRPr="0032564F">
        <w:rPr>
          <w:sz w:val="22"/>
          <w:szCs w:val="22"/>
          <w:lang w:val="el-GR"/>
        </w:rPr>
        <w:t>όταν</w:t>
      </w:r>
      <w:r w:rsidRPr="00045D24">
        <w:rPr>
          <w:sz w:val="22"/>
          <w:szCs w:val="22"/>
          <w:lang w:val="el-GR"/>
        </w:rPr>
        <w:t xml:space="preserve"> </w:t>
      </w:r>
      <w:r w:rsidRPr="0032564F">
        <w:rPr>
          <w:sz w:val="22"/>
          <w:szCs w:val="22"/>
          <w:lang w:val="el-GR"/>
        </w:rPr>
        <w:t>η</w:t>
      </w:r>
      <w:r w:rsidRPr="00045D24">
        <w:rPr>
          <w:sz w:val="22"/>
          <w:szCs w:val="22"/>
          <w:lang w:val="el-GR"/>
        </w:rPr>
        <w:t xml:space="preserve"> </w:t>
      </w:r>
      <w:r w:rsidRPr="0032564F">
        <w:rPr>
          <w:sz w:val="22"/>
          <w:szCs w:val="22"/>
          <w:lang w:val="el-GR"/>
        </w:rPr>
        <w:t>αγωγή</w:t>
      </w:r>
      <w:r w:rsidRPr="00045D24">
        <w:rPr>
          <w:sz w:val="22"/>
          <w:szCs w:val="22"/>
          <w:lang w:val="el-GR"/>
        </w:rPr>
        <w:t xml:space="preserve"> </w:t>
      </w:r>
      <w:r w:rsidRPr="0032564F">
        <w:rPr>
          <w:sz w:val="22"/>
          <w:szCs w:val="22"/>
          <w:lang w:val="el-GR"/>
        </w:rPr>
        <w:t>με</w:t>
      </w:r>
      <w:r w:rsidRPr="00045D24">
        <w:rPr>
          <w:sz w:val="22"/>
          <w:szCs w:val="22"/>
          <w:lang w:val="el-GR"/>
        </w:rPr>
        <w:t xml:space="preserve"> </w:t>
      </w:r>
      <w:r w:rsidRPr="0032564F">
        <w:rPr>
          <w:sz w:val="22"/>
          <w:szCs w:val="22"/>
          <w:lang w:val="el-GR"/>
        </w:rPr>
        <w:t>τη</w:t>
      </w:r>
      <w:r w:rsidRPr="00045D24">
        <w:rPr>
          <w:sz w:val="22"/>
          <w:szCs w:val="22"/>
          <w:lang w:val="el-GR"/>
        </w:rPr>
        <w:t xml:space="preserve"> </w:t>
      </w:r>
      <w:r w:rsidRPr="0032564F">
        <w:rPr>
          <w:sz w:val="22"/>
          <w:szCs w:val="22"/>
          <w:lang w:val="el-GR"/>
        </w:rPr>
        <w:t>φλουοξετίνη</w:t>
      </w:r>
      <w:r w:rsidRPr="00045D24">
        <w:rPr>
          <w:sz w:val="22"/>
          <w:szCs w:val="22"/>
          <w:lang w:val="el-GR"/>
        </w:rPr>
        <w:t xml:space="preserve"> </w:t>
      </w:r>
      <w:r w:rsidRPr="0032564F">
        <w:rPr>
          <w:sz w:val="22"/>
          <w:szCs w:val="22"/>
          <w:lang w:val="el-GR"/>
        </w:rPr>
        <w:t>δεν</w:t>
      </w:r>
      <w:r w:rsidRPr="00045D24">
        <w:rPr>
          <w:sz w:val="22"/>
          <w:szCs w:val="22"/>
          <w:lang w:val="el-GR"/>
        </w:rPr>
        <w:t xml:space="preserve"> </w:t>
      </w:r>
      <w:r w:rsidRPr="0032564F">
        <w:rPr>
          <w:sz w:val="22"/>
          <w:szCs w:val="22"/>
          <w:lang w:val="el-GR"/>
        </w:rPr>
        <w:t>είναι</w:t>
      </w:r>
      <w:r w:rsidRPr="00045D24">
        <w:rPr>
          <w:sz w:val="22"/>
          <w:szCs w:val="22"/>
          <w:lang w:val="el-GR"/>
        </w:rPr>
        <w:t xml:space="preserve"> </w:t>
      </w:r>
      <w:r w:rsidRPr="0032564F">
        <w:rPr>
          <w:sz w:val="22"/>
          <w:szCs w:val="22"/>
          <w:lang w:val="el-GR"/>
        </w:rPr>
        <w:t>πλέον</w:t>
      </w:r>
      <w:r w:rsidRPr="00045D24">
        <w:rPr>
          <w:sz w:val="22"/>
          <w:szCs w:val="22"/>
          <w:lang w:val="el-GR"/>
        </w:rPr>
        <w:t xml:space="preserve"> </w:t>
      </w:r>
      <w:r w:rsidRPr="0032564F">
        <w:rPr>
          <w:sz w:val="22"/>
          <w:szCs w:val="22"/>
          <w:lang w:val="el-GR"/>
        </w:rPr>
        <w:t>απαραίτητη</w:t>
      </w:r>
      <w:r w:rsidRPr="00045D24">
        <w:rPr>
          <w:sz w:val="22"/>
          <w:szCs w:val="22"/>
          <w:lang w:val="el-GR"/>
        </w:rPr>
        <w:t xml:space="preserve">, </w:t>
      </w:r>
      <w:r w:rsidRPr="0032564F">
        <w:rPr>
          <w:sz w:val="22"/>
          <w:szCs w:val="22"/>
          <w:lang w:val="el-GR"/>
        </w:rPr>
        <w:t>συνιστάται</w:t>
      </w:r>
      <w:r w:rsidRPr="00045D24">
        <w:rPr>
          <w:sz w:val="22"/>
          <w:szCs w:val="22"/>
          <w:lang w:val="el-GR"/>
        </w:rPr>
        <w:t xml:space="preserve"> </w:t>
      </w:r>
      <w:r w:rsidRPr="0032564F">
        <w:rPr>
          <w:sz w:val="22"/>
          <w:szCs w:val="22"/>
          <w:lang w:val="el-GR"/>
        </w:rPr>
        <w:t>η</w:t>
      </w:r>
      <w:r w:rsidRPr="00045D24">
        <w:rPr>
          <w:sz w:val="22"/>
          <w:szCs w:val="22"/>
          <w:lang w:val="el-GR"/>
        </w:rPr>
        <w:t xml:space="preserve"> </w:t>
      </w:r>
      <w:r w:rsidRPr="0032564F">
        <w:rPr>
          <w:sz w:val="22"/>
          <w:szCs w:val="22"/>
          <w:lang w:val="el-GR"/>
        </w:rPr>
        <w:t>προοδευτική</w:t>
      </w:r>
      <w:r w:rsidRPr="00045D24">
        <w:rPr>
          <w:sz w:val="22"/>
          <w:szCs w:val="22"/>
          <w:lang w:val="el-GR"/>
        </w:rPr>
        <w:t xml:space="preserve"> </w:t>
      </w:r>
      <w:r w:rsidRPr="0032564F">
        <w:rPr>
          <w:sz w:val="22"/>
          <w:szCs w:val="22"/>
          <w:lang w:val="el-GR"/>
        </w:rPr>
        <w:t>διακοπή</w:t>
      </w:r>
      <w:r w:rsidRPr="00045D24">
        <w:rPr>
          <w:sz w:val="22"/>
          <w:szCs w:val="22"/>
          <w:lang w:val="el-GR"/>
        </w:rPr>
        <w:t xml:space="preserve"> </w:t>
      </w:r>
      <w:r w:rsidRPr="0032564F">
        <w:rPr>
          <w:sz w:val="22"/>
          <w:szCs w:val="22"/>
          <w:lang w:val="el-GR"/>
        </w:rPr>
        <w:t>της</w:t>
      </w:r>
      <w:r w:rsidRPr="00045D24">
        <w:rPr>
          <w:sz w:val="22"/>
          <w:szCs w:val="22"/>
          <w:lang w:val="el-GR"/>
        </w:rPr>
        <w:t xml:space="preserve"> </w:t>
      </w:r>
      <w:r w:rsidRPr="0032564F">
        <w:rPr>
          <w:sz w:val="22"/>
          <w:szCs w:val="22"/>
          <w:lang w:val="el-GR"/>
        </w:rPr>
        <w:t>θεραπείας</w:t>
      </w:r>
      <w:r w:rsidRPr="00045D24">
        <w:rPr>
          <w:sz w:val="22"/>
          <w:szCs w:val="22"/>
          <w:lang w:val="el-GR"/>
        </w:rPr>
        <w:t xml:space="preserve"> </w:t>
      </w:r>
      <w:r w:rsidRPr="0032564F">
        <w:rPr>
          <w:sz w:val="22"/>
          <w:szCs w:val="22"/>
          <w:lang w:val="el-GR"/>
        </w:rPr>
        <w:t>με</w:t>
      </w:r>
      <w:r w:rsidRPr="00045D24">
        <w:rPr>
          <w:sz w:val="22"/>
          <w:szCs w:val="22"/>
          <w:lang w:val="el-GR"/>
        </w:rPr>
        <w:t xml:space="preserve"> </w:t>
      </w:r>
      <w:r w:rsidRPr="0032564F">
        <w:rPr>
          <w:sz w:val="22"/>
          <w:szCs w:val="22"/>
          <w:lang w:val="el-GR"/>
        </w:rPr>
        <w:t>σταδιακή</w:t>
      </w:r>
      <w:r w:rsidRPr="00045D24">
        <w:rPr>
          <w:sz w:val="22"/>
          <w:szCs w:val="22"/>
          <w:lang w:val="el-GR"/>
        </w:rPr>
        <w:t xml:space="preserve"> </w:t>
      </w:r>
      <w:r w:rsidRPr="0032564F">
        <w:rPr>
          <w:sz w:val="22"/>
          <w:szCs w:val="22"/>
          <w:lang w:val="el-GR"/>
        </w:rPr>
        <w:t>μείωση</w:t>
      </w:r>
      <w:r w:rsidRPr="00045D24">
        <w:rPr>
          <w:sz w:val="22"/>
          <w:szCs w:val="22"/>
          <w:lang w:val="el-GR"/>
        </w:rPr>
        <w:t xml:space="preserve"> </w:t>
      </w:r>
      <w:r w:rsidRPr="0032564F">
        <w:rPr>
          <w:sz w:val="22"/>
          <w:szCs w:val="22"/>
          <w:lang w:val="el-GR"/>
        </w:rPr>
        <w:t>της</w:t>
      </w:r>
      <w:r w:rsidRPr="00045D24">
        <w:rPr>
          <w:sz w:val="22"/>
          <w:szCs w:val="22"/>
          <w:lang w:val="el-GR"/>
        </w:rPr>
        <w:t xml:space="preserve"> </w:t>
      </w:r>
      <w:r w:rsidRPr="0032564F">
        <w:rPr>
          <w:sz w:val="22"/>
          <w:szCs w:val="22"/>
          <w:lang w:val="el-GR"/>
        </w:rPr>
        <w:t>δόσης</w:t>
      </w:r>
      <w:r w:rsidRPr="00045D24">
        <w:rPr>
          <w:sz w:val="22"/>
          <w:szCs w:val="22"/>
          <w:lang w:val="el-GR"/>
        </w:rPr>
        <w:t xml:space="preserve"> (</w:t>
      </w:r>
      <w:r w:rsidR="006A6C86">
        <w:rPr>
          <w:sz w:val="22"/>
          <w:szCs w:val="22"/>
          <w:lang w:val="el-GR"/>
        </w:rPr>
        <w:t xml:space="preserve">βλ. </w:t>
      </w:r>
      <w:r w:rsidR="00D705AD">
        <w:rPr>
          <w:sz w:val="22"/>
          <w:szCs w:val="22"/>
          <w:lang w:val="el-GR"/>
        </w:rPr>
        <w:t>παραγράφους</w:t>
      </w:r>
      <w:r w:rsidRPr="00045D24">
        <w:rPr>
          <w:sz w:val="22"/>
          <w:szCs w:val="22"/>
          <w:lang w:val="el-GR"/>
        </w:rPr>
        <w:t xml:space="preserve"> 4.2 </w:t>
      </w:r>
      <w:r w:rsidRPr="0032564F">
        <w:rPr>
          <w:sz w:val="22"/>
          <w:szCs w:val="22"/>
          <w:lang w:val="el-GR"/>
        </w:rPr>
        <w:t>και</w:t>
      </w:r>
      <w:r w:rsidRPr="00045D24">
        <w:rPr>
          <w:sz w:val="22"/>
          <w:szCs w:val="22"/>
          <w:lang w:val="el-GR"/>
        </w:rPr>
        <w:t xml:space="preserve"> 4.4).</w:t>
      </w:r>
    </w:p>
    <w:p w:rsidR="00F16739" w:rsidRPr="00045D24" w:rsidRDefault="00F16739" w:rsidP="00045D24">
      <w:pPr>
        <w:ind w:left="720"/>
        <w:rPr>
          <w:sz w:val="22"/>
          <w:szCs w:val="22"/>
          <w:lang w:val="el-GR"/>
        </w:rPr>
      </w:pPr>
    </w:p>
    <w:p w:rsidR="00F16739" w:rsidRPr="0032564F" w:rsidRDefault="00636441" w:rsidP="00045D24">
      <w:pPr>
        <w:pStyle w:val="MGGTextLeft"/>
        <w:ind w:left="720"/>
        <w:rPr>
          <w:sz w:val="22"/>
          <w:szCs w:val="22"/>
          <w:lang w:val="el-GR"/>
        </w:rPr>
      </w:pPr>
      <w:r>
        <w:rPr>
          <w:iCs/>
          <w:sz w:val="22"/>
          <w:szCs w:val="22"/>
          <w:lang w:val="el-GR"/>
        </w:rPr>
        <w:t>δ</w:t>
      </w:r>
      <w:r w:rsidR="005B366A" w:rsidRPr="005B366A">
        <w:rPr>
          <w:iCs/>
          <w:sz w:val="22"/>
          <w:szCs w:val="22"/>
          <w:lang w:val="el-GR"/>
        </w:rPr>
        <w:t xml:space="preserve">) </w:t>
      </w:r>
      <w:r>
        <w:rPr>
          <w:iCs/>
          <w:sz w:val="22"/>
          <w:szCs w:val="22"/>
          <w:lang w:val="el-GR"/>
        </w:rPr>
        <w:t>Παιδιατρικός πληθυσμός</w:t>
      </w:r>
      <w:r w:rsidR="005B366A" w:rsidRPr="005B366A">
        <w:rPr>
          <w:i/>
          <w:iCs/>
          <w:sz w:val="22"/>
          <w:szCs w:val="22"/>
          <w:lang w:val="el-GR"/>
        </w:rPr>
        <w:t xml:space="preserve"> </w:t>
      </w:r>
      <w:r w:rsidR="00F16739" w:rsidRPr="00833771">
        <w:rPr>
          <w:iCs/>
          <w:sz w:val="22"/>
          <w:szCs w:val="22"/>
          <w:lang w:val="el-GR"/>
        </w:rPr>
        <w:t>(</w:t>
      </w:r>
      <w:r w:rsidR="006A6C86" w:rsidRPr="00833771">
        <w:rPr>
          <w:iCs/>
          <w:sz w:val="22"/>
          <w:szCs w:val="22"/>
          <w:lang w:val="el-GR"/>
        </w:rPr>
        <w:t xml:space="preserve">βλ. </w:t>
      </w:r>
      <w:r w:rsidR="00D705AD">
        <w:rPr>
          <w:iCs/>
          <w:sz w:val="22"/>
          <w:szCs w:val="22"/>
          <w:lang w:val="el-GR"/>
        </w:rPr>
        <w:t>παραγράφους</w:t>
      </w:r>
      <w:r w:rsidR="00D705AD" w:rsidRPr="00833771">
        <w:rPr>
          <w:iCs/>
          <w:sz w:val="22"/>
          <w:szCs w:val="22"/>
          <w:lang w:val="el-GR"/>
        </w:rPr>
        <w:t xml:space="preserve"> </w:t>
      </w:r>
      <w:r w:rsidR="00F16739" w:rsidRPr="00833771">
        <w:rPr>
          <w:iCs/>
          <w:sz w:val="22"/>
          <w:szCs w:val="22"/>
          <w:lang w:val="el-GR"/>
        </w:rPr>
        <w:t>4.4</w:t>
      </w:r>
      <w:r w:rsidR="00940C85" w:rsidRPr="00833771">
        <w:rPr>
          <w:iCs/>
          <w:sz w:val="22"/>
          <w:szCs w:val="22"/>
          <w:lang w:val="el-GR"/>
        </w:rPr>
        <w:t xml:space="preserve"> και 5.1</w:t>
      </w:r>
      <w:r w:rsidR="00F16739" w:rsidRPr="00833771">
        <w:rPr>
          <w:iCs/>
          <w:sz w:val="22"/>
          <w:szCs w:val="22"/>
          <w:lang w:val="el-GR"/>
        </w:rPr>
        <w:t>):</w:t>
      </w:r>
      <w:r w:rsidR="00F16739" w:rsidRPr="0032564F">
        <w:rPr>
          <w:sz w:val="22"/>
          <w:szCs w:val="22"/>
          <w:lang w:val="el-GR"/>
        </w:rPr>
        <w:t xml:space="preserve"> </w:t>
      </w:r>
    </w:p>
    <w:p w:rsidR="005B366A" w:rsidRDefault="005B366A" w:rsidP="005B366A">
      <w:pPr>
        <w:ind w:right="58"/>
        <w:rPr>
          <w:sz w:val="22"/>
          <w:szCs w:val="22"/>
          <w:lang w:val="el-GR" w:eastAsia="en-US"/>
        </w:rPr>
      </w:pPr>
    </w:p>
    <w:p w:rsidR="005B366A" w:rsidRPr="00D705AD" w:rsidRDefault="00D705AD" w:rsidP="00833771">
      <w:pPr>
        <w:ind w:left="720" w:right="58"/>
        <w:rPr>
          <w:sz w:val="22"/>
          <w:szCs w:val="22"/>
          <w:lang w:eastAsia="en-US"/>
        </w:rPr>
      </w:pPr>
      <w:r>
        <w:rPr>
          <w:sz w:val="22"/>
          <w:szCs w:val="22"/>
          <w:lang w:val="el-GR" w:eastAsia="en-US"/>
        </w:rPr>
        <w:t>Οι ανεπιθύμητες ενέργειες οι οποίες παρατηρήθηκαν ειδικά ή με διαφορετική συχνότητα σε αυτόν τον πληθυσμό περιγράφονται παρακάτω. Οι συχνότητες για αυτά τα συμβάντα βασίζονται σε έκθεση στα πλαίσια παιδιατρικών κλινικών μελετών</w:t>
      </w:r>
      <w:r w:rsidR="005B366A" w:rsidRPr="00D705AD">
        <w:rPr>
          <w:rFonts w:eastAsia="Arial"/>
          <w:spacing w:val="-1"/>
          <w:sz w:val="22"/>
          <w:szCs w:val="22"/>
          <w:lang w:eastAsia="en-US"/>
        </w:rPr>
        <w:t xml:space="preserve"> </w:t>
      </w:r>
      <w:r w:rsidR="005B366A" w:rsidRPr="00D705AD">
        <w:rPr>
          <w:rFonts w:eastAsia="Arial"/>
          <w:spacing w:val="1"/>
          <w:sz w:val="22"/>
          <w:szCs w:val="22"/>
          <w:lang w:eastAsia="en-US"/>
        </w:rPr>
        <w:t>(</w:t>
      </w:r>
      <w:r w:rsidR="005B366A" w:rsidRPr="00D705AD">
        <w:rPr>
          <w:rFonts w:eastAsia="Arial"/>
          <w:sz w:val="22"/>
          <w:szCs w:val="22"/>
          <w:lang w:eastAsia="en-US"/>
        </w:rPr>
        <w:t>n</w:t>
      </w:r>
      <w:r w:rsidR="005B366A" w:rsidRPr="00D705AD">
        <w:rPr>
          <w:rFonts w:eastAsia="Arial"/>
          <w:spacing w:val="-2"/>
          <w:sz w:val="22"/>
          <w:szCs w:val="22"/>
          <w:lang w:eastAsia="en-US"/>
        </w:rPr>
        <w:t xml:space="preserve"> </w:t>
      </w:r>
      <w:r w:rsidR="005B366A" w:rsidRPr="00D705AD">
        <w:rPr>
          <w:rFonts w:eastAsia="Arial"/>
          <w:sz w:val="22"/>
          <w:szCs w:val="22"/>
          <w:lang w:eastAsia="en-US"/>
        </w:rPr>
        <w:t>=</w:t>
      </w:r>
      <w:r w:rsidR="005B366A" w:rsidRPr="00D705AD">
        <w:rPr>
          <w:rFonts w:eastAsia="Arial"/>
          <w:spacing w:val="2"/>
          <w:sz w:val="22"/>
          <w:szCs w:val="22"/>
          <w:lang w:eastAsia="en-US"/>
        </w:rPr>
        <w:t xml:space="preserve"> </w:t>
      </w:r>
      <w:r w:rsidR="005B366A" w:rsidRPr="00D705AD">
        <w:rPr>
          <w:rFonts w:eastAsia="Arial"/>
          <w:sz w:val="22"/>
          <w:szCs w:val="22"/>
          <w:lang w:eastAsia="en-US"/>
        </w:rPr>
        <w:t>61</w:t>
      </w:r>
      <w:r w:rsidR="005B366A" w:rsidRPr="00D705AD">
        <w:rPr>
          <w:rFonts w:eastAsia="Arial"/>
          <w:spacing w:val="-3"/>
          <w:sz w:val="22"/>
          <w:szCs w:val="22"/>
          <w:lang w:eastAsia="en-US"/>
        </w:rPr>
        <w:t>0</w:t>
      </w:r>
      <w:r w:rsidR="005B366A" w:rsidRPr="00D705AD">
        <w:rPr>
          <w:rFonts w:eastAsia="Arial"/>
          <w:spacing w:val="1"/>
          <w:sz w:val="22"/>
          <w:szCs w:val="22"/>
          <w:lang w:eastAsia="en-US"/>
        </w:rPr>
        <w:t>)</w:t>
      </w:r>
      <w:r w:rsidR="005B366A" w:rsidRPr="00D705AD">
        <w:rPr>
          <w:rFonts w:eastAsia="Arial"/>
          <w:sz w:val="22"/>
          <w:szCs w:val="22"/>
          <w:lang w:eastAsia="en-US"/>
        </w:rPr>
        <w:t>.</w:t>
      </w:r>
    </w:p>
    <w:p w:rsidR="005B366A" w:rsidRPr="00D705AD" w:rsidRDefault="005B366A" w:rsidP="005B366A">
      <w:pPr>
        <w:spacing w:before="16"/>
        <w:rPr>
          <w:sz w:val="22"/>
          <w:szCs w:val="22"/>
          <w:lang w:eastAsia="en-US"/>
        </w:rPr>
      </w:pPr>
    </w:p>
    <w:p w:rsidR="005B366A" w:rsidRPr="00D705AD" w:rsidRDefault="00D705AD" w:rsidP="00833771">
      <w:pPr>
        <w:ind w:left="720" w:right="57"/>
        <w:rPr>
          <w:sz w:val="22"/>
          <w:szCs w:val="22"/>
          <w:lang w:eastAsia="en-US"/>
        </w:rPr>
      </w:pPr>
      <w:r>
        <w:rPr>
          <w:spacing w:val="-2"/>
          <w:sz w:val="22"/>
          <w:szCs w:val="22"/>
          <w:lang w:val="el-GR" w:eastAsia="en-US"/>
        </w:rPr>
        <w:t>Στις παιδιατρικές κλινικές μελέτες, αυτοκτονική συμπεριφορά (απόπειρα αυτοκτονίας και αυτοκτονικές σκέψεις), εχθρότητα (τα συμβάντα που αναφέρθηκαν ήταν: οργή, ευερεθιστότητα</w:t>
      </w:r>
      <w:r w:rsidR="00400148">
        <w:rPr>
          <w:spacing w:val="-2"/>
          <w:sz w:val="22"/>
          <w:szCs w:val="22"/>
          <w:lang w:val="el-GR" w:eastAsia="en-US"/>
        </w:rPr>
        <w:t xml:space="preserve">, επιθετικότητα, διέγερση, σύνδρομο </w:t>
      </w:r>
      <w:r w:rsidR="00833771">
        <w:rPr>
          <w:spacing w:val="-2"/>
          <w:sz w:val="22"/>
          <w:szCs w:val="22"/>
          <w:lang w:val="el-GR" w:eastAsia="en-US"/>
        </w:rPr>
        <w:t>διέγερσης από ψυχοτρόπες ουσίες</w:t>
      </w:r>
      <w:r w:rsidR="00400148">
        <w:rPr>
          <w:spacing w:val="-2"/>
          <w:sz w:val="22"/>
          <w:szCs w:val="22"/>
          <w:lang w:val="el-GR" w:eastAsia="en-US"/>
        </w:rPr>
        <w:t>), μανιακές αντιδράσεις συμπεριλαμβανομένων μανίας και υπομανίας (χωρίς να έχουν αναφερθεί προηγούμενα επεισόδια σε αυτούς τους ασθενείς) και επίσταξη,</w:t>
      </w:r>
      <w:r>
        <w:rPr>
          <w:spacing w:val="-2"/>
          <w:sz w:val="22"/>
          <w:szCs w:val="22"/>
          <w:lang w:val="el-GR" w:eastAsia="en-US"/>
        </w:rPr>
        <w:t xml:space="preserve"> αναφέρθηκαν συχν</w:t>
      </w:r>
      <w:r w:rsidR="00400148">
        <w:rPr>
          <w:spacing w:val="-2"/>
          <w:sz w:val="22"/>
          <w:szCs w:val="22"/>
          <w:lang w:val="el-GR" w:eastAsia="en-US"/>
        </w:rPr>
        <w:t>ά και παρατηρήθηκαν συχνότερα</w:t>
      </w:r>
      <w:r>
        <w:rPr>
          <w:spacing w:val="-2"/>
          <w:sz w:val="22"/>
          <w:szCs w:val="22"/>
          <w:lang w:val="el-GR" w:eastAsia="en-US"/>
        </w:rPr>
        <w:t xml:space="preserve"> σε παιδιά και εφήβους που έλα</w:t>
      </w:r>
      <w:r w:rsidR="00400148">
        <w:rPr>
          <w:spacing w:val="-2"/>
          <w:sz w:val="22"/>
          <w:szCs w:val="22"/>
          <w:lang w:val="el-GR" w:eastAsia="en-US"/>
        </w:rPr>
        <w:t>βαν θεραπεία με αντικαταθλιπτικά συγκριτικά με εκείνα που έλαβαν θεραπεία με το εικονικό φάρμακο</w:t>
      </w:r>
      <w:r w:rsidR="005B366A" w:rsidRPr="00D705AD">
        <w:rPr>
          <w:sz w:val="22"/>
          <w:szCs w:val="22"/>
          <w:lang w:eastAsia="en-US"/>
        </w:rPr>
        <w:t>.</w:t>
      </w:r>
    </w:p>
    <w:p w:rsidR="00F16739" w:rsidRPr="00045D24" w:rsidRDefault="00F16739" w:rsidP="00045D24">
      <w:pPr>
        <w:pStyle w:val="MGGTextLeft"/>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t>Έχουν επίσης αναφερθεί μέσα από την κλινική χρήση μεμονωμένα περιστατικά επιβράδυνσης της αύξησης</w:t>
      </w:r>
      <w:r w:rsidR="00940C85" w:rsidRPr="0032564F">
        <w:rPr>
          <w:sz w:val="22"/>
          <w:szCs w:val="22"/>
          <w:lang w:val="el-GR"/>
        </w:rPr>
        <w:t xml:space="preserve"> (βλ. παράγραφο 5.1)</w:t>
      </w:r>
      <w:r w:rsidRPr="0032564F">
        <w:rPr>
          <w:sz w:val="22"/>
          <w:szCs w:val="22"/>
          <w:lang w:val="el-GR"/>
        </w:rPr>
        <w:t>.</w:t>
      </w:r>
    </w:p>
    <w:p w:rsidR="00F16739" w:rsidRPr="0032564F" w:rsidRDefault="00F16739" w:rsidP="00045D24">
      <w:pPr>
        <w:pStyle w:val="MGGTextLeft"/>
        <w:ind w:left="720"/>
        <w:rPr>
          <w:sz w:val="22"/>
          <w:szCs w:val="22"/>
          <w:lang w:val="el-GR"/>
        </w:rPr>
      </w:pPr>
    </w:p>
    <w:p w:rsidR="005B366A" w:rsidRPr="0032564F" w:rsidRDefault="005B366A" w:rsidP="005B366A">
      <w:pPr>
        <w:pStyle w:val="MGGTextLeft"/>
        <w:ind w:left="720"/>
        <w:rPr>
          <w:sz w:val="22"/>
          <w:szCs w:val="22"/>
          <w:lang w:val="el-GR"/>
        </w:rPr>
      </w:pPr>
      <w:r w:rsidRPr="0032564F">
        <w:rPr>
          <w:sz w:val="22"/>
          <w:szCs w:val="22"/>
          <w:lang w:val="el-GR"/>
        </w:rPr>
        <w:t>Κατά τη διάρκεια παιδιατρικών κλινικών μελετών η αγωγή με τη φλουοξετίνη συσχετίστηκε με τη μείωση των επιπέδων της αλκαλικής φωσφατάσης.</w:t>
      </w:r>
    </w:p>
    <w:p w:rsidR="005B366A" w:rsidRDefault="005B366A" w:rsidP="00045D24">
      <w:pPr>
        <w:pStyle w:val="MGGTextLeft"/>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t xml:space="preserve">Έχουν επίσης αναφερθεί μέσα από κλινική χρήση σε παιδιατρικούς ασθενείς μεμονωμένα περιστατικά ανεπιθύμητων </w:t>
      </w:r>
      <w:r w:rsidR="00B40942">
        <w:rPr>
          <w:sz w:val="22"/>
          <w:szCs w:val="22"/>
          <w:lang w:val="el-GR"/>
        </w:rPr>
        <w:t>συμβάντων</w:t>
      </w:r>
      <w:r w:rsidR="00B40942" w:rsidRPr="0032564F">
        <w:rPr>
          <w:sz w:val="22"/>
          <w:szCs w:val="22"/>
          <w:lang w:val="el-GR"/>
        </w:rPr>
        <w:t xml:space="preserve"> </w:t>
      </w:r>
      <w:r w:rsidRPr="0032564F">
        <w:rPr>
          <w:sz w:val="22"/>
          <w:szCs w:val="22"/>
          <w:lang w:val="el-GR"/>
        </w:rPr>
        <w:t>τα οποία ενδέχεται να υποδηλώνουν επιβράδυνση της σεξουαλικής ωρίμανσης ή σεξουαλική δυσλειτουργία (</w:t>
      </w:r>
      <w:r w:rsidR="006A6C86">
        <w:rPr>
          <w:sz w:val="22"/>
          <w:szCs w:val="22"/>
          <w:lang w:val="el-GR"/>
        </w:rPr>
        <w:t xml:space="preserve">βλ. </w:t>
      </w:r>
      <w:r w:rsidRPr="0032564F">
        <w:rPr>
          <w:sz w:val="22"/>
          <w:szCs w:val="22"/>
          <w:lang w:val="el-GR"/>
        </w:rPr>
        <w:t>παράγραφο 5.3).</w:t>
      </w:r>
    </w:p>
    <w:p w:rsidR="00F16739" w:rsidRPr="0032564F" w:rsidRDefault="00F16739" w:rsidP="00045D24">
      <w:pPr>
        <w:ind w:left="540"/>
        <w:rPr>
          <w:sz w:val="22"/>
          <w:szCs w:val="22"/>
          <w:lang w:val="el-GR"/>
        </w:rPr>
      </w:pPr>
    </w:p>
    <w:p w:rsidR="00722180" w:rsidRPr="009B7D6B" w:rsidRDefault="00722180" w:rsidP="00722180">
      <w:pPr>
        <w:pStyle w:val="MGGTextLeft"/>
        <w:ind w:left="720"/>
        <w:rPr>
          <w:b/>
          <w:sz w:val="22"/>
          <w:szCs w:val="22"/>
          <w:lang w:val="el-GR"/>
        </w:rPr>
      </w:pPr>
      <w:r w:rsidRPr="009B7D6B">
        <w:rPr>
          <w:b/>
          <w:sz w:val="22"/>
          <w:szCs w:val="22"/>
          <w:lang w:val="el-GR"/>
        </w:rPr>
        <w:t>Αναφορά πιθανολογούμενων ανεπιθύμητων ενεργειών</w:t>
      </w:r>
    </w:p>
    <w:p w:rsidR="00722180" w:rsidRPr="00F4319D" w:rsidRDefault="00722180" w:rsidP="00722180">
      <w:pPr>
        <w:pStyle w:val="MGGTextLeft"/>
        <w:ind w:left="720"/>
        <w:rPr>
          <w:sz w:val="22"/>
          <w:szCs w:val="22"/>
          <w:lang w:val="en-US"/>
        </w:rPr>
      </w:pPr>
      <w:r w:rsidRPr="00216FF8">
        <w:rPr>
          <w:sz w:val="22"/>
          <w:szCs w:val="22"/>
          <w:lang w:val="el-GR"/>
        </w:rPr>
        <w:t>Η αναφορά πιθανολογούμενων ανεπιθύμητων ενεργειών μετά από τη χορήγηση άδειας κυκλοφορίας του φαρμακευτικού προϊόντος είνα</w:t>
      </w:r>
      <w:r w:rsidRPr="002F3EE1">
        <w:rPr>
          <w:sz w:val="22"/>
          <w:szCs w:val="22"/>
          <w:lang w:val="el-GR"/>
        </w:rPr>
        <w:t xml:space="preserve">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w:t>
      </w:r>
      <w:r w:rsidRPr="002F3EE1">
        <w:rPr>
          <w:sz w:val="22"/>
          <w:szCs w:val="22"/>
          <w:lang w:val="el-GR"/>
        </w:rPr>
        <w:lastRenderedPageBreak/>
        <w:t>εθνικο</w:t>
      </w:r>
      <w:r w:rsidRPr="005B4136">
        <w:rPr>
          <w:sz w:val="22"/>
          <w:szCs w:val="22"/>
          <w:lang w:val="el-GR"/>
        </w:rPr>
        <w:t xml:space="preserve">ύ συστήματος αναφοράς: Εθνικός Οργανισμός Φαρμάκων, Μεσογείων 284, GR-15562 Χολαργός, Αθήνα. Τηλ: + 30 21 32040380/337, Φαξ: + 30 21 06549585, Ιστότοπος: </w:t>
      </w:r>
      <w:hyperlink r:id="rId8" w:tooltip="blocked::http://www.eof.gr/" w:history="1">
        <w:r w:rsidRPr="00216FF8">
          <w:rPr>
            <w:rStyle w:val="-"/>
            <w:sz w:val="22"/>
            <w:szCs w:val="22"/>
            <w:lang w:val="el-GR"/>
          </w:rPr>
          <w:t>http</w:t>
        </w:r>
        <w:r w:rsidRPr="00216FF8">
          <w:rPr>
            <w:rStyle w:val="-"/>
            <w:sz w:val="22"/>
            <w:szCs w:val="22"/>
          </w:rPr>
          <w:t>://</w:t>
        </w:r>
        <w:r w:rsidRPr="002F3EE1">
          <w:rPr>
            <w:rStyle w:val="-"/>
            <w:sz w:val="22"/>
            <w:szCs w:val="22"/>
            <w:lang w:val="el-GR"/>
          </w:rPr>
          <w:t>www</w:t>
        </w:r>
        <w:r w:rsidRPr="002F3EE1">
          <w:rPr>
            <w:rStyle w:val="-"/>
            <w:sz w:val="22"/>
            <w:szCs w:val="22"/>
          </w:rPr>
          <w:t>.</w:t>
        </w:r>
        <w:r w:rsidRPr="002F3EE1">
          <w:rPr>
            <w:rStyle w:val="-"/>
            <w:sz w:val="22"/>
            <w:szCs w:val="22"/>
            <w:lang w:val="el-GR"/>
          </w:rPr>
          <w:t>eof</w:t>
        </w:r>
        <w:r w:rsidRPr="005B4136">
          <w:rPr>
            <w:rStyle w:val="-"/>
            <w:sz w:val="22"/>
            <w:szCs w:val="22"/>
          </w:rPr>
          <w:t>.</w:t>
        </w:r>
        <w:r w:rsidRPr="005B4136">
          <w:rPr>
            <w:rStyle w:val="-"/>
            <w:sz w:val="22"/>
            <w:szCs w:val="22"/>
            <w:lang w:val="el-GR"/>
          </w:rPr>
          <w:t>gr</w:t>
        </w:r>
      </w:hyperlink>
      <w:r w:rsidR="00216FF8">
        <w:rPr>
          <w:sz w:val="22"/>
          <w:szCs w:val="22"/>
          <w:lang w:val="en-US"/>
        </w:rPr>
        <w:t>.</w:t>
      </w:r>
    </w:p>
    <w:p w:rsidR="00940C85" w:rsidRPr="0032564F" w:rsidRDefault="00940C85" w:rsidP="00045D24">
      <w:pPr>
        <w:ind w:left="540"/>
        <w:rPr>
          <w:sz w:val="22"/>
          <w:szCs w:val="22"/>
          <w:lang w:val="el-GR"/>
        </w:rPr>
      </w:pPr>
    </w:p>
    <w:p w:rsidR="00F16739" w:rsidRPr="0032564F" w:rsidRDefault="00F16739" w:rsidP="00045D24">
      <w:pPr>
        <w:rPr>
          <w:b/>
          <w:sz w:val="22"/>
          <w:szCs w:val="22"/>
          <w:lang w:val="el-GR"/>
        </w:rPr>
      </w:pPr>
      <w:r w:rsidRPr="0032564F">
        <w:rPr>
          <w:b/>
          <w:sz w:val="22"/>
          <w:szCs w:val="22"/>
          <w:lang w:val="el-GR"/>
        </w:rPr>
        <w:t>4.9</w:t>
      </w:r>
      <w:r w:rsidRPr="0032564F">
        <w:rPr>
          <w:b/>
          <w:sz w:val="22"/>
          <w:szCs w:val="22"/>
          <w:lang w:val="el-GR"/>
        </w:rPr>
        <w:tab/>
        <w:t>Υπερδοσολογία</w:t>
      </w:r>
    </w:p>
    <w:p w:rsidR="00F16739" w:rsidRPr="0032564F" w:rsidRDefault="00F16739" w:rsidP="00045D24">
      <w:pPr>
        <w:pStyle w:val="a3"/>
        <w:rPr>
          <w:sz w:val="22"/>
          <w:szCs w:val="22"/>
          <w:lang w:val="el-GR"/>
        </w:rPr>
      </w:pPr>
    </w:p>
    <w:p w:rsidR="005B366A" w:rsidRPr="005B366A" w:rsidRDefault="00636441" w:rsidP="005B366A">
      <w:pPr>
        <w:pStyle w:val="a3"/>
        <w:rPr>
          <w:sz w:val="22"/>
          <w:szCs w:val="22"/>
          <w:lang w:val="en-US"/>
        </w:rPr>
      </w:pPr>
      <w:r>
        <w:rPr>
          <w:sz w:val="22"/>
          <w:szCs w:val="22"/>
          <w:u w:val="single"/>
          <w:lang w:val="el-GR"/>
        </w:rPr>
        <w:t>Συμπτώματα</w:t>
      </w:r>
    </w:p>
    <w:p w:rsidR="00F16739" w:rsidRPr="0032564F" w:rsidRDefault="00F16739" w:rsidP="00045D24">
      <w:pPr>
        <w:pStyle w:val="a3"/>
        <w:rPr>
          <w:sz w:val="22"/>
          <w:szCs w:val="22"/>
          <w:lang w:val="el-GR"/>
        </w:rPr>
      </w:pPr>
      <w:r w:rsidRPr="0032564F">
        <w:rPr>
          <w:sz w:val="22"/>
          <w:szCs w:val="22"/>
          <w:lang w:val="el-GR"/>
        </w:rPr>
        <w:t>Τα περιστατικά υπερδοσολόγησης με τη χορήγηση μόνης της φλουοξετίνης έχουν κατά κανόνα ήπια πορεία. Στα συμπτώματα της υπερδοσολογίας περιλαμβάνονται ναυτία, έμετος, επιληπτικές κρίσεις, καρδιαγγειακή δυσλειτουργία κυμαινόμενη από ασυμπτωματική αρρυθμία</w:t>
      </w:r>
      <w:r w:rsidR="00722180">
        <w:rPr>
          <w:sz w:val="22"/>
          <w:szCs w:val="22"/>
          <w:lang w:val="el-GR"/>
        </w:rPr>
        <w:t xml:space="preserve"> </w:t>
      </w:r>
      <w:r w:rsidR="00722180" w:rsidRPr="00722180">
        <w:rPr>
          <w:sz w:val="22"/>
          <w:szCs w:val="22"/>
          <w:lang w:val="el-GR"/>
        </w:rPr>
        <w:t>(</w:t>
      </w:r>
      <w:r w:rsidR="00CC0C4A" w:rsidRPr="00CC0C4A">
        <w:rPr>
          <w:sz w:val="22"/>
          <w:szCs w:val="22"/>
          <w:lang w:val="el-GR"/>
        </w:rPr>
        <w:t>συμπεριλαμβανομένων κομβικών και κοιλιακών αρρυθμιών) ή μεταβολών στο ΗΚΓ οι οποίες είναι ενδεικτικές παράτασης του QTc έως καρδιακή ανακοπή (συμπεριλαμβανομένων πολύ σπάνιων περιστα</w:t>
      </w:r>
      <w:r w:rsidR="00C76F0A">
        <w:rPr>
          <w:sz w:val="22"/>
          <w:szCs w:val="22"/>
          <w:lang w:val="el-GR"/>
        </w:rPr>
        <w:t xml:space="preserve">τικών </w:t>
      </w:r>
      <w:r w:rsidR="00C76F0A" w:rsidRPr="00C76F0A">
        <w:rPr>
          <w:sz w:val="22"/>
          <w:szCs w:val="22"/>
        </w:rPr>
        <w:t xml:space="preserve">κοιλιακής ταχυκαρδίας δίκην ριπιδίου </w:t>
      </w:r>
      <w:r w:rsidR="00C76F0A">
        <w:rPr>
          <w:sz w:val="22"/>
          <w:szCs w:val="22"/>
          <w:lang w:val="el-GR"/>
        </w:rPr>
        <w:t>-Torsade de Pointes-</w:t>
      </w:r>
      <w:r w:rsidR="00722180" w:rsidRPr="00722180">
        <w:rPr>
          <w:sz w:val="22"/>
          <w:szCs w:val="22"/>
          <w:lang w:val="el-GR"/>
        </w:rPr>
        <w:t>)</w:t>
      </w:r>
      <w:r w:rsidRPr="0032564F">
        <w:rPr>
          <w:sz w:val="22"/>
          <w:szCs w:val="22"/>
          <w:lang w:val="el-GR"/>
        </w:rPr>
        <w:t xml:space="preserve">, αναπνευστική δυσλειτουργία και σημεία ενδεικτικά μεταβολής της κατάστασης του ΚΝΣ κυμαινόμενα από διέγερση έως κώμα. Μοιραίες εκβάσεις από υπερδοσολόγηση με μόνη τη φλουοξετίνη, ήταν εξαιρετικά σπάνιες. </w:t>
      </w:r>
    </w:p>
    <w:p w:rsidR="00F11A68" w:rsidRPr="00F11A68" w:rsidRDefault="00F11A68" w:rsidP="00F11A68">
      <w:pPr>
        <w:pStyle w:val="a3"/>
        <w:rPr>
          <w:sz w:val="22"/>
          <w:szCs w:val="22"/>
          <w:u w:val="single"/>
          <w:lang w:val="en-US"/>
        </w:rPr>
      </w:pPr>
    </w:p>
    <w:p w:rsidR="00F11A68" w:rsidRPr="00F11A68" w:rsidRDefault="00636441" w:rsidP="00F11A68">
      <w:pPr>
        <w:pStyle w:val="a3"/>
        <w:rPr>
          <w:sz w:val="22"/>
          <w:szCs w:val="22"/>
          <w:u w:val="single"/>
          <w:lang w:val="en-US"/>
        </w:rPr>
      </w:pPr>
      <w:r>
        <w:rPr>
          <w:sz w:val="22"/>
          <w:szCs w:val="22"/>
          <w:u w:val="single"/>
          <w:lang w:val="el-GR"/>
        </w:rPr>
        <w:t>Αντιμετώπιση</w:t>
      </w:r>
    </w:p>
    <w:p w:rsidR="00F11A68" w:rsidRPr="0032564F" w:rsidRDefault="00F11A68" w:rsidP="00F11A68">
      <w:pPr>
        <w:pStyle w:val="a3"/>
        <w:rPr>
          <w:sz w:val="22"/>
          <w:szCs w:val="22"/>
          <w:lang w:val="el-GR"/>
        </w:rPr>
      </w:pPr>
      <w:r w:rsidRPr="0032564F">
        <w:rPr>
          <w:sz w:val="22"/>
          <w:szCs w:val="22"/>
          <w:lang w:val="el-GR"/>
        </w:rPr>
        <w:t>Συνιστάται η παρακολούθηση των καρδιακών και των ζωτικών σημείων του ασθενούς, σε συνδυασμό με την εφαρμογή γενικών συμπτωματικών και υποστηρικτικών μέτρων. Δεν είναι γνωστό ειδικό αντίδοτο για τη φλουοξετίνη.</w:t>
      </w:r>
    </w:p>
    <w:p w:rsidR="00F11A68" w:rsidRPr="0032564F" w:rsidRDefault="00F11A68" w:rsidP="00045D24">
      <w:pPr>
        <w:pStyle w:val="a3"/>
        <w:rPr>
          <w:sz w:val="22"/>
          <w:szCs w:val="22"/>
          <w:lang w:val="el-GR"/>
        </w:rPr>
      </w:pPr>
    </w:p>
    <w:p w:rsidR="00F16739" w:rsidRPr="0032564F" w:rsidRDefault="00F16739" w:rsidP="00045D24">
      <w:pPr>
        <w:pStyle w:val="a3"/>
        <w:rPr>
          <w:sz w:val="22"/>
          <w:szCs w:val="22"/>
          <w:lang w:val="el-GR"/>
        </w:rPr>
      </w:pPr>
      <w:r w:rsidRPr="0032564F">
        <w:rPr>
          <w:sz w:val="22"/>
          <w:szCs w:val="22"/>
          <w:lang w:val="el-GR"/>
        </w:rPr>
        <w:t>Η προκλητή διούρηση, η διάλυση, η αιμοκάθαρση, και η αφαιμαξομετάγγιση δεν φαίνεται να προσφέρουν κάποιο όφελος. Ο ενεργοποιημένος άνθρακας, ο οποίος μπορεί να χρησιμοποιηθεί με σορβιτόλη, μπορεί να είναι το ίδιο ή περισσότερο αποτελεσματικός από την πρόκληση εμέτου ή την πλύση του στομάχου. Κατά την αντιμετώπιση της υπερδοσολογίας, σκεφτείτε την πιθανότητα εμπλοκής πολλών φαρμάκων. Η στενή ιατρική παρακολούθηση για μεγάλο χρονικό διάστημα ίσως είναι απαραίτητη για ασθενείς που έχουν λάβει υπερβολική ποσότητα ενός τρικυκλικού αντικαταθλιπτικού, εάν αυτοί επίσης λαμβάνουν, ή έχουν πρόσφατα λάβει φλουοξετίνη.</w:t>
      </w:r>
    </w:p>
    <w:p w:rsidR="00F16739" w:rsidRPr="0032564F" w:rsidRDefault="00F16739" w:rsidP="00045D24">
      <w:pPr>
        <w:rPr>
          <w:b/>
          <w:sz w:val="22"/>
          <w:szCs w:val="22"/>
          <w:lang w:val="el-GR"/>
        </w:rPr>
      </w:pPr>
    </w:p>
    <w:p w:rsidR="00F16739" w:rsidRPr="0032564F" w:rsidRDefault="00F16739" w:rsidP="00045D24">
      <w:pPr>
        <w:rPr>
          <w:b/>
          <w:sz w:val="22"/>
          <w:szCs w:val="22"/>
          <w:lang w:val="el-GR"/>
        </w:rPr>
      </w:pPr>
    </w:p>
    <w:p w:rsidR="00F16739" w:rsidRPr="0032564F" w:rsidRDefault="00F16739" w:rsidP="00045D24">
      <w:pPr>
        <w:rPr>
          <w:b/>
          <w:sz w:val="22"/>
          <w:szCs w:val="22"/>
          <w:lang w:val="el-GR"/>
        </w:rPr>
      </w:pPr>
      <w:r w:rsidRPr="0032564F">
        <w:rPr>
          <w:b/>
          <w:sz w:val="22"/>
          <w:szCs w:val="22"/>
          <w:lang w:val="el-GR"/>
        </w:rPr>
        <w:t>5.</w:t>
      </w:r>
      <w:r w:rsidRPr="0032564F">
        <w:rPr>
          <w:b/>
          <w:sz w:val="22"/>
          <w:szCs w:val="22"/>
          <w:lang w:val="el-GR"/>
        </w:rPr>
        <w:tab/>
        <w:t>ΦΑΡΜΑΚΟΛΟΓΙΚΕΣ ΙΔΙΟΤΗΤΕΣ</w:t>
      </w:r>
    </w:p>
    <w:p w:rsidR="00F16739" w:rsidRPr="0032564F" w:rsidRDefault="00F16739" w:rsidP="00045D24">
      <w:pPr>
        <w:rPr>
          <w:b/>
          <w:sz w:val="22"/>
          <w:szCs w:val="22"/>
          <w:lang w:val="el-GR"/>
        </w:rPr>
      </w:pPr>
    </w:p>
    <w:p w:rsidR="00F16739" w:rsidRPr="0032564F" w:rsidRDefault="00F16739" w:rsidP="00045D24">
      <w:pPr>
        <w:rPr>
          <w:b/>
          <w:sz w:val="22"/>
          <w:szCs w:val="22"/>
          <w:lang w:val="el-GR"/>
        </w:rPr>
      </w:pPr>
      <w:r w:rsidRPr="0032564F">
        <w:rPr>
          <w:b/>
          <w:sz w:val="22"/>
          <w:szCs w:val="22"/>
          <w:lang w:val="el-GR"/>
        </w:rPr>
        <w:t>5.1</w:t>
      </w:r>
      <w:r w:rsidRPr="0032564F">
        <w:rPr>
          <w:b/>
          <w:sz w:val="22"/>
          <w:szCs w:val="22"/>
          <w:lang w:val="el-GR"/>
        </w:rPr>
        <w:tab/>
        <w:t>Φαρμακοδυναμικές ιδιότητες</w:t>
      </w:r>
    </w:p>
    <w:p w:rsidR="00F16739" w:rsidRPr="0032564F" w:rsidRDefault="00F16739" w:rsidP="00045D24">
      <w:pPr>
        <w:rPr>
          <w:noProof/>
          <w:sz w:val="22"/>
          <w:szCs w:val="22"/>
          <w:lang w:val="el-GR"/>
        </w:rPr>
      </w:pPr>
    </w:p>
    <w:p w:rsidR="00F16739" w:rsidRPr="0032564F" w:rsidRDefault="00F16739" w:rsidP="00045D24">
      <w:pPr>
        <w:ind w:left="720"/>
        <w:rPr>
          <w:sz w:val="22"/>
          <w:szCs w:val="22"/>
          <w:lang w:val="el-GR"/>
        </w:rPr>
      </w:pPr>
      <w:r w:rsidRPr="0032564F">
        <w:rPr>
          <w:noProof/>
          <w:sz w:val="22"/>
          <w:szCs w:val="22"/>
          <w:lang w:val="el-GR"/>
        </w:rPr>
        <w:t xml:space="preserve">Φαρμακοθεραπευτική κατηγορία: εκλεκτικοί αναστολείς επαναπρόσληψης της σεροτονίνης, Κωδικός </w:t>
      </w:r>
      <w:r w:rsidRPr="0032564F">
        <w:rPr>
          <w:noProof/>
          <w:sz w:val="22"/>
          <w:szCs w:val="22"/>
        </w:rPr>
        <w:t>ATC</w:t>
      </w:r>
      <w:r w:rsidRPr="0032564F">
        <w:rPr>
          <w:noProof/>
          <w:sz w:val="22"/>
          <w:szCs w:val="22"/>
          <w:lang w:val="el-GR"/>
        </w:rPr>
        <w:t>: Ν06ΑΒ03</w:t>
      </w:r>
    </w:p>
    <w:p w:rsidR="00F16739" w:rsidRPr="0032564F" w:rsidRDefault="00F16739" w:rsidP="00045D24">
      <w:pPr>
        <w:rPr>
          <w:sz w:val="22"/>
          <w:szCs w:val="22"/>
          <w:lang w:val="el-GR"/>
        </w:rPr>
      </w:pPr>
    </w:p>
    <w:p w:rsidR="00F16739" w:rsidRPr="0032564F" w:rsidRDefault="00F16739" w:rsidP="00045D24">
      <w:pPr>
        <w:ind w:left="720"/>
        <w:rPr>
          <w:sz w:val="22"/>
          <w:szCs w:val="22"/>
          <w:lang w:val="el-GR"/>
        </w:rPr>
      </w:pPr>
      <w:r w:rsidRPr="0032564F">
        <w:rPr>
          <w:sz w:val="22"/>
          <w:szCs w:val="22"/>
          <w:lang w:val="el-GR"/>
        </w:rPr>
        <w:t>Η φλουοξετίνη είναι ένας εκλεκτικός αναστολέας της επαναπρόσληψης της σεροτονίνης και σε αυτό φαίνεται ότι οφείλεται ο μηχανισμός δράσης της. Πρακτικά, η φλουοξετίνη δεν έχει συγγένεια για άλλους υποδοχείς όπως οι α</w:t>
      </w:r>
      <w:r w:rsidRPr="0032564F">
        <w:rPr>
          <w:sz w:val="22"/>
          <w:szCs w:val="22"/>
          <w:vertAlign w:val="subscript"/>
          <w:lang w:val="el-GR"/>
        </w:rPr>
        <w:t>1</w:t>
      </w:r>
      <w:r w:rsidRPr="0032564F">
        <w:rPr>
          <w:sz w:val="22"/>
          <w:szCs w:val="22"/>
          <w:lang w:val="el-GR"/>
        </w:rPr>
        <w:t>-, α</w:t>
      </w:r>
      <w:r w:rsidRPr="0032564F">
        <w:rPr>
          <w:sz w:val="22"/>
          <w:szCs w:val="22"/>
          <w:vertAlign w:val="subscript"/>
          <w:lang w:val="el-GR"/>
        </w:rPr>
        <w:t>2</w:t>
      </w:r>
      <w:r w:rsidRPr="0032564F">
        <w:rPr>
          <w:sz w:val="22"/>
          <w:szCs w:val="22"/>
          <w:lang w:val="el-GR"/>
        </w:rPr>
        <w:t>-, και β- αδρενεργικοί, σεροτονινεργικοί, ντοπαμινεργικοί, ισταμινεργικοί-</w:t>
      </w:r>
      <w:r w:rsidRPr="0032564F">
        <w:rPr>
          <w:sz w:val="22"/>
          <w:szCs w:val="22"/>
          <w:vertAlign w:val="subscript"/>
          <w:lang w:val="el-GR"/>
        </w:rPr>
        <w:t>1</w:t>
      </w:r>
      <w:r w:rsidRPr="0032564F">
        <w:rPr>
          <w:sz w:val="22"/>
          <w:szCs w:val="22"/>
          <w:lang w:val="el-GR"/>
        </w:rPr>
        <w:t xml:space="preserve">, μουσκαρινικοί και </w:t>
      </w:r>
      <w:r w:rsidRPr="0032564F">
        <w:rPr>
          <w:sz w:val="22"/>
          <w:szCs w:val="22"/>
        </w:rPr>
        <w:t>GABA</w:t>
      </w:r>
      <w:r w:rsidRPr="0032564F">
        <w:rPr>
          <w:sz w:val="22"/>
          <w:szCs w:val="22"/>
          <w:lang w:val="el-GR"/>
        </w:rPr>
        <w:t xml:space="preserve"> υποδοχείς.</w:t>
      </w:r>
    </w:p>
    <w:p w:rsidR="00F16739" w:rsidRPr="009B7D6B" w:rsidRDefault="00F16739" w:rsidP="00045D24">
      <w:pPr>
        <w:rPr>
          <w:i/>
          <w:sz w:val="22"/>
          <w:szCs w:val="22"/>
          <w:lang w:val="el-GR"/>
        </w:rPr>
      </w:pPr>
    </w:p>
    <w:p w:rsidR="00F16739" w:rsidRPr="0032564F" w:rsidRDefault="00F16739" w:rsidP="00045D24">
      <w:pPr>
        <w:ind w:left="720"/>
        <w:rPr>
          <w:sz w:val="22"/>
          <w:szCs w:val="22"/>
          <w:lang w:val="el-GR"/>
        </w:rPr>
      </w:pPr>
      <w:r w:rsidRPr="009B7D6B">
        <w:rPr>
          <w:i/>
          <w:sz w:val="22"/>
          <w:szCs w:val="22"/>
          <w:lang w:val="el-GR"/>
        </w:rPr>
        <w:t xml:space="preserve">Μείζονα </w:t>
      </w:r>
      <w:r w:rsidR="00C444C1" w:rsidRPr="009B7D6B">
        <w:rPr>
          <w:i/>
          <w:sz w:val="22"/>
          <w:szCs w:val="22"/>
          <w:lang w:val="el-GR"/>
        </w:rPr>
        <w:t>κ</w:t>
      </w:r>
      <w:r w:rsidRPr="009B7D6B">
        <w:rPr>
          <w:i/>
          <w:sz w:val="22"/>
          <w:szCs w:val="22"/>
          <w:lang w:val="el-GR"/>
        </w:rPr>
        <w:t xml:space="preserve">αταθλιπτικά </w:t>
      </w:r>
      <w:r w:rsidR="00C444C1" w:rsidRPr="009B7D6B">
        <w:rPr>
          <w:i/>
          <w:sz w:val="22"/>
          <w:szCs w:val="22"/>
          <w:lang w:val="el-GR"/>
        </w:rPr>
        <w:t>ε</w:t>
      </w:r>
      <w:r w:rsidRPr="009B7D6B">
        <w:rPr>
          <w:i/>
          <w:sz w:val="22"/>
          <w:szCs w:val="22"/>
          <w:lang w:val="el-GR"/>
        </w:rPr>
        <w:t>πεισόδια:</w:t>
      </w:r>
      <w:r w:rsidRPr="0032564F">
        <w:rPr>
          <w:sz w:val="22"/>
          <w:szCs w:val="22"/>
          <w:lang w:val="el-GR"/>
        </w:rPr>
        <w:t xml:space="preserve"> Κλινικές μελέτες σε ασθενείς με μείζονα καταθλιπτικά επεισόδια έχουν διεξαχθεί σε σύγκριση με εικονικό φάρμακο (</w:t>
      </w:r>
      <w:r w:rsidRPr="0032564F">
        <w:rPr>
          <w:sz w:val="22"/>
          <w:szCs w:val="22"/>
        </w:rPr>
        <w:t>placebo</w:t>
      </w:r>
      <w:r w:rsidRPr="0032564F">
        <w:rPr>
          <w:sz w:val="22"/>
          <w:szCs w:val="22"/>
          <w:lang w:val="el-GR"/>
        </w:rPr>
        <w:t xml:space="preserve">) και με άλλες δραστικές ουσίες. Η φλουοξετίνη έχει δείξει σημαντικά ανώτερη αποτελεσματικότητα σε σύγκριση με το εικονικό φάρμακο, όπως υπολογιζόταν με την Κλίμακα Εκτίμησης της Κατάθλιψης κατά </w:t>
      </w:r>
      <w:r w:rsidRPr="0032564F">
        <w:rPr>
          <w:sz w:val="22"/>
          <w:szCs w:val="22"/>
        </w:rPr>
        <w:t>Hamilton</w:t>
      </w:r>
      <w:r w:rsidRPr="0032564F">
        <w:rPr>
          <w:sz w:val="22"/>
          <w:szCs w:val="22"/>
          <w:lang w:val="el-GR"/>
        </w:rPr>
        <w:t xml:space="preserve"> (</w:t>
      </w:r>
      <w:r w:rsidRPr="0032564F">
        <w:rPr>
          <w:sz w:val="22"/>
          <w:szCs w:val="22"/>
        </w:rPr>
        <w:t>Hamilton</w:t>
      </w:r>
      <w:r w:rsidRPr="0032564F">
        <w:rPr>
          <w:sz w:val="22"/>
          <w:szCs w:val="22"/>
          <w:lang w:val="el-GR"/>
        </w:rPr>
        <w:t xml:space="preserve"> </w:t>
      </w:r>
      <w:r w:rsidRPr="0032564F">
        <w:rPr>
          <w:sz w:val="22"/>
          <w:szCs w:val="22"/>
        </w:rPr>
        <w:t>Depression</w:t>
      </w:r>
      <w:r w:rsidRPr="0032564F">
        <w:rPr>
          <w:sz w:val="22"/>
          <w:szCs w:val="22"/>
          <w:lang w:val="el-GR"/>
        </w:rPr>
        <w:t xml:space="preserve"> </w:t>
      </w:r>
      <w:r w:rsidRPr="0032564F">
        <w:rPr>
          <w:sz w:val="22"/>
          <w:szCs w:val="22"/>
        </w:rPr>
        <w:t>Rating</w:t>
      </w:r>
      <w:r w:rsidRPr="0032564F">
        <w:rPr>
          <w:sz w:val="22"/>
          <w:szCs w:val="22"/>
          <w:lang w:val="el-GR"/>
        </w:rPr>
        <w:t xml:space="preserve"> </w:t>
      </w:r>
      <w:r w:rsidRPr="0032564F">
        <w:rPr>
          <w:sz w:val="22"/>
          <w:szCs w:val="22"/>
        </w:rPr>
        <w:t>Scale</w:t>
      </w:r>
      <w:r w:rsidRPr="0032564F">
        <w:rPr>
          <w:sz w:val="22"/>
          <w:szCs w:val="22"/>
          <w:lang w:val="el-GR"/>
        </w:rPr>
        <w:t>/</w:t>
      </w:r>
      <w:r w:rsidRPr="0032564F">
        <w:rPr>
          <w:sz w:val="22"/>
          <w:szCs w:val="22"/>
        </w:rPr>
        <w:t>HAM</w:t>
      </w:r>
      <w:r w:rsidRPr="0032564F">
        <w:rPr>
          <w:sz w:val="22"/>
          <w:szCs w:val="22"/>
          <w:lang w:val="el-GR"/>
        </w:rPr>
        <w:t>-</w:t>
      </w:r>
      <w:r w:rsidRPr="0032564F">
        <w:rPr>
          <w:sz w:val="22"/>
          <w:szCs w:val="22"/>
        </w:rPr>
        <w:t>D</w:t>
      </w:r>
      <w:r w:rsidRPr="0032564F">
        <w:rPr>
          <w:sz w:val="22"/>
          <w:szCs w:val="22"/>
          <w:lang w:val="el-GR"/>
        </w:rPr>
        <w:t xml:space="preserve">). Στις μελέτες αυτές, η φλουοξετίνη επέφερε </w:t>
      </w:r>
      <w:r w:rsidR="00FA112F">
        <w:rPr>
          <w:sz w:val="22"/>
          <w:szCs w:val="22"/>
          <w:lang w:val="el-GR"/>
        </w:rPr>
        <w:t>σημαντικά</w:t>
      </w:r>
      <w:r w:rsidRPr="0032564F">
        <w:rPr>
          <w:sz w:val="22"/>
          <w:szCs w:val="22"/>
          <w:lang w:val="el-GR"/>
        </w:rPr>
        <w:t xml:space="preserve"> υψηλότερα ποσοστά ανταπόκρισης (οριζόταν η κατά 50% ελάττωση στη βαθμολογία της κλίμακας </w:t>
      </w:r>
      <w:r w:rsidRPr="0032564F">
        <w:rPr>
          <w:sz w:val="22"/>
          <w:szCs w:val="22"/>
        </w:rPr>
        <w:t>HAM</w:t>
      </w:r>
      <w:r w:rsidRPr="0032564F">
        <w:rPr>
          <w:sz w:val="22"/>
          <w:szCs w:val="22"/>
          <w:lang w:val="el-GR"/>
        </w:rPr>
        <w:t>-</w:t>
      </w:r>
      <w:r w:rsidRPr="0032564F">
        <w:rPr>
          <w:sz w:val="22"/>
          <w:szCs w:val="22"/>
        </w:rPr>
        <w:t>D</w:t>
      </w:r>
      <w:r w:rsidRPr="0032564F">
        <w:rPr>
          <w:sz w:val="22"/>
          <w:szCs w:val="22"/>
          <w:lang w:val="el-GR"/>
        </w:rPr>
        <w:t>) και ύφεσης, συγκριτικά με το εικονικό φάρμακο (</w:t>
      </w:r>
      <w:r w:rsidRPr="0032564F">
        <w:rPr>
          <w:sz w:val="22"/>
          <w:szCs w:val="22"/>
        </w:rPr>
        <w:t>placebo</w:t>
      </w:r>
      <w:r w:rsidRPr="0032564F">
        <w:rPr>
          <w:sz w:val="22"/>
          <w:szCs w:val="22"/>
          <w:lang w:val="el-GR"/>
        </w:rPr>
        <w:t>).</w:t>
      </w:r>
    </w:p>
    <w:p w:rsidR="00F16739" w:rsidRPr="0032564F" w:rsidRDefault="00F16739" w:rsidP="00045D24">
      <w:pPr>
        <w:ind w:left="720"/>
        <w:rPr>
          <w:sz w:val="22"/>
          <w:szCs w:val="22"/>
          <w:lang w:val="el-GR"/>
        </w:rPr>
      </w:pPr>
    </w:p>
    <w:p w:rsidR="00F16739" w:rsidRPr="0032564F" w:rsidRDefault="00F16739" w:rsidP="00045D24">
      <w:pPr>
        <w:ind w:left="720"/>
        <w:rPr>
          <w:sz w:val="22"/>
          <w:szCs w:val="22"/>
          <w:lang w:val="el-GR"/>
        </w:rPr>
      </w:pPr>
      <w:r w:rsidRPr="009B7D6B">
        <w:rPr>
          <w:i/>
          <w:sz w:val="22"/>
          <w:szCs w:val="22"/>
          <w:lang w:val="el-GR"/>
        </w:rPr>
        <w:t>Δοσολογική ανταπόκριση:</w:t>
      </w:r>
      <w:r w:rsidRPr="0032564F">
        <w:rPr>
          <w:sz w:val="22"/>
          <w:szCs w:val="22"/>
          <w:lang w:val="el-GR"/>
        </w:rPr>
        <w:t xml:space="preserve"> Κατά τις μελέτες σταθερής δόσης οι οποίες πραγματοποιήθηκαν σε ασθενείς με μείζονα κατάθλιψη, η καμπύλη της δοσολογικής ανταπόκρισης είναι επίπεδη, γεγονός που υποδηλώνει πως δεν αναμένεται θεραπευτικό πλεονέκτημα με τη χρήση δόσεων που υπερβαίνουν τις συνιστώμενες. Εντούτοις, η κλινική εμπειρία καταδεικνύει πως η αύξηση της δόσης μπορεί να έχει κλινικό όφελος για ορισμένους ασθενείς.</w:t>
      </w:r>
    </w:p>
    <w:p w:rsidR="00F16739" w:rsidRPr="009B7D6B" w:rsidRDefault="00F16739" w:rsidP="00045D24">
      <w:pPr>
        <w:rPr>
          <w:i/>
          <w:sz w:val="22"/>
          <w:szCs w:val="22"/>
          <w:lang w:val="el-GR"/>
        </w:rPr>
      </w:pPr>
    </w:p>
    <w:p w:rsidR="00F16739" w:rsidRPr="0032564F" w:rsidRDefault="00F16739" w:rsidP="00045D24">
      <w:pPr>
        <w:ind w:left="720"/>
        <w:rPr>
          <w:sz w:val="22"/>
          <w:szCs w:val="22"/>
          <w:lang w:val="el-GR"/>
        </w:rPr>
      </w:pPr>
      <w:r w:rsidRPr="009B7D6B">
        <w:rPr>
          <w:i/>
          <w:sz w:val="22"/>
          <w:szCs w:val="22"/>
          <w:lang w:val="el-GR"/>
        </w:rPr>
        <w:t>Ιδεοληπτική-</w:t>
      </w:r>
      <w:r w:rsidR="00C444C1" w:rsidRPr="009B7D6B">
        <w:rPr>
          <w:i/>
          <w:sz w:val="22"/>
          <w:szCs w:val="22"/>
          <w:lang w:val="el-GR"/>
        </w:rPr>
        <w:t>ψ</w:t>
      </w:r>
      <w:r w:rsidRPr="009B7D6B">
        <w:rPr>
          <w:i/>
          <w:sz w:val="22"/>
          <w:szCs w:val="22"/>
          <w:lang w:val="el-GR"/>
        </w:rPr>
        <w:t xml:space="preserve">υχαναγκαστική </w:t>
      </w:r>
      <w:r w:rsidR="00F11A68" w:rsidRPr="009B7D6B">
        <w:rPr>
          <w:i/>
          <w:sz w:val="22"/>
          <w:szCs w:val="22"/>
          <w:lang w:val="el-GR"/>
        </w:rPr>
        <w:t>δ</w:t>
      </w:r>
      <w:r w:rsidRPr="009B7D6B">
        <w:rPr>
          <w:i/>
          <w:sz w:val="22"/>
          <w:szCs w:val="22"/>
          <w:lang w:val="el-GR"/>
        </w:rPr>
        <w:t>ιαταραχή:</w:t>
      </w:r>
      <w:r w:rsidRPr="0032564F">
        <w:rPr>
          <w:sz w:val="22"/>
          <w:szCs w:val="22"/>
          <w:lang w:val="el-GR"/>
        </w:rPr>
        <w:t xml:space="preserve"> Σε βραχείας διάρκειας (κάτω από 24 εβδομάδες) μελέτες, η φλουοξετίνη έδειξε σημαντικά μεγαλύτερη αποτελεσματικότητα από το εικονικό φάρμακο (</w:t>
      </w:r>
      <w:r w:rsidRPr="0032564F">
        <w:rPr>
          <w:sz w:val="22"/>
          <w:szCs w:val="22"/>
        </w:rPr>
        <w:t>placebo</w:t>
      </w:r>
      <w:r w:rsidRPr="0032564F">
        <w:rPr>
          <w:sz w:val="22"/>
          <w:szCs w:val="22"/>
          <w:lang w:val="el-GR"/>
        </w:rPr>
        <w:t>). Υπήρξε θεραπευτικό αποτέλεσμα στα 20</w:t>
      </w:r>
      <w:r w:rsidRPr="0032564F">
        <w:rPr>
          <w:sz w:val="22"/>
          <w:szCs w:val="22"/>
        </w:rPr>
        <w:t> mg</w:t>
      </w:r>
      <w:r w:rsidRPr="0032564F">
        <w:rPr>
          <w:sz w:val="22"/>
          <w:szCs w:val="22"/>
          <w:lang w:val="el-GR"/>
        </w:rPr>
        <w:t>/ημερησίως, αλλά οι μεγαλύτερες δόσεις (40 ή 60 </w:t>
      </w:r>
      <w:r w:rsidRPr="0032564F">
        <w:rPr>
          <w:sz w:val="22"/>
          <w:szCs w:val="22"/>
        </w:rPr>
        <w:t>mg</w:t>
      </w:r>
      <w:r w:rsidRPr="0032564F">
        <w:rPr>
          <w:sz w:val="22"/>
          <w:szCs w:val="22"/>
          <w:lang w:val="el-GR"/>
        </w:rPr>
        <w:t xml:space="preserve"> ημερησίως) έδειξαν μεγαλύτερα ποσοστά ανταπόκρισης. Οι μακράς διάρκειας μελέτες (τρεις βραχείας διάρκειας μελέτες </w:t>
      </w:r>
      <w:r w:rsidR="004D3ABD">
        <w:rPr>
          <w:sz w:val="22"/>
          <w:szCs w:val="22"/>
          <w:lang w:val="el-GR"/>
        </w:rPr>
        <w:t xml:space="preserve">που </w:t>
      </w:r>
      <w:r w:rsidRPr="0032564F">
        <w:rPr>
          <w:sz w:val="22"/>
          <w:szCs w:val="22"/>
          <w:lang w:val="el-GR"/>
        </w:rPr>
        <w:t>είχαν φάση επέκτασης και μία μελέτη πρόληψης υποτροπών) δεν έδειξαν αποτελεσματικότητα.</w:t>
      </w:r>
    </w:p>
    <w:p w:rsidR="00F16739" w:rsidRPr="0032564F" w:rsidRDefault="00F16739" w:rsidP="00045D24">
      <w:pPr>
        <w:rPr>
          <w:sz w:val="22"/>
          <w:szCs w:val="22"/>
          <w:lang w:val="el-GR"/>
        </w:rPr>
      </w:pPr>
    </w:p>
    <w:p w:rsidR="00F16739" w:rsidRPr="0032564F" w:rsidRDefault="00F16739" w:rsidP="00045D24">
      <w:pPr>
        <w:ind w:left="720"/>
        <w:rPr>
          <w:sz w:val="22"/>
          <w:szCs w:val="22"/>
          <w:lang w:val="el-GR"/>
        </w:rPr>
      </w:pPr>
      <w:r w:rsidRPr="009B7D6B">
        <w:rPr>
          <w:i/>
          <w:sz w:val="22"/>
          <w:szCs w:val="22"/>
          <w:lang w:val="el-GR"/>
        </w:rPr>
        <w:t>Ψυχογενής βουλιμία:</w:t>
      </w:r>
      <w:r w:rsidRPr="0032564F">
        <w:rPr>
          <w:sz w:val="22"/>
          <w:szCs w:val="22"/>
          <w:lang w:val="el-GR"/>
        </w:rPr>
        <w:t xml:space="preserve"> Σε βραχείας διάρκειας (κάτω από 16 εβδομάδες) μελέτες, σε περιπατητικούς ασθενείς που πληρούσαν τα κριτήρια του </w:t>
      </w:r>
      <w:r w:rsidRPr="0032564F">
        <w:rPr>
          <w:sz w:val="22"/>
          <w:szCs w:val="22"/>
        </w:rPr>
        <w:t>DSM</w:t>
      </w:r>
      <w:r w:rsidRPr="0032564F">
        <w:rPr>
          <w:sz w:val="22"/>
          <w:szCs w:val="22"/>
          <w:lang w:val="el-GR"/>
        </w:rPr>
        <w:t>-</w:t>
      </w:r>
      <w:r w:rsidRPr="0032564F">
        <w:rPr>
          <w:sz w:val="22"/>
          <w:szCs w:val="22"/>
        </w:rPr>
        <w:t>II</w:t>
      </w:r>
      <w:r w:rsidR="004D3ABD">
        <w:rPr>
          <w:sz w:val="22"/>
          <w:szCs w:val="22"/>
          <w:lang w:val="el-GR"/>
        </w:rPr>
        <w:t>Ι</w:t>
      </w:r>
      <w:r w:rsidRPr="0032564F">
        <w:rPr>
          <w:sz w:val="22"/>
          <w:szCs w:val="22"/>
          <w:lang w:val="el-GR"/>
        </w:rPr>
        <w:t>-</w:t>
      </w:r>
      <w:r w:rsidRPr="0032564F">
        <w:rPr>
          <w:sz w:val="22"/>
          <w:szCs w:val="22"/>
        </w:rPr>
        <w:t>R</w:t>
      </w:r>
      <w:r w:rsidRPr="0032564F">
        <w:rPr>
          <w:sz w:val="22"/>
          <w:szCs w:val="22"/>
          <w:lang w:val="el-GR"/>
        </w:rPr>
        <w:t>, για τη</w:t>
      </w:r>
      <w:r w:rsidR="004D3ABD">
        <w:rPr>
          <w:sz w:val="22"/>
          <w:szCs w:val="22"/>
          <w:lang w:val="el-GR"/>
        </w:rPr>
        <w:t>ν</w:t>
      </w:r>
      <w:r w:rsidRPr="0032564F">
        <w:rPr>
          <w:sz w:val="22"/>
          <w:szCs w:val="22"/>
          <w:lang w:val="el-GR"/>
        </w:rPr>
        <w:t xml:space="preserve"> ψυχογενή βουλιμία, η φλουοξετίνη 60 </w:t>
      </w:r>
      <w:r w:rsidRPr="0032564F">
        <w:rPr>
          <w:sz w:val="22"/>
          <w:szCs w:val="22"/>
        </w:rPr>
        <w:t>mg</w:t>
      </w:r>
      <w:r w:rsidRPr="0032564F">
        <w:rPr>
          <w:sz w:val="22"/>
          <w:szCs w:val="22"/>
          <w:lang w:val="el-GR"/>
        </w:rPr>
        <w:t xml:space="preserve"> ημερησίως ήταν σημαντικά περισσότερο αποτελεσματική, σε σύγκριση με </w:t>
      </w:r>
      <w:r w:rsidR="00FA112F">
        <w:rPr>
          <w:sz w:val="22"/>
          <w:szCs w:val="22"/>
          <w:lang w:val="el-GR"/>
        </w:rPr>
        <w:t xml:space="preserve">το </w:t>
      </w:r>
      <w:r w:rsidRPr="0032564F">
        <w:rPr>
          <w:sz w:val="22"/>
          <w:szCs w:val="22"/>
          <w:lang w:val="el-GR"/>
        </w:rPr>
        <w:t>εικονικό φάρμακο (</w:t>
      </w:r>
      <w:r w:rsidRPr="0032564F">
        <w:rPr>
          <w:sz w:val="22"/>
          <w:szCs w:val="22"/>
        </w:rPr>
        <w:t>placebo</w:t>
      </w:r>
      <w:r w:rsidRPr="0032564F">
        <w:rPr>
          <w:sz w:val="22"/>
          <w:szCs w:val="22"/>
          <w:lang w:val="el-GR"/>
        </w:rPr>
        <w:t>), στην ελάττωση των επεισοδίων υπερφαγίας (</w:t>
      </w:r>
      <w:r w:rsidRPr="0032564F">
        <w:rPr>
          <w:sz w:val="22"/>
          <w:szCs w:val="22"/>
        </w:rPr>
        <w:t>Binge</w:t>
      </w:r>
      <w:r w:rsidRPr="0032564F">
        <w:rPr>
          <w:sz w:val="22"/>
          <w:szCs w:val="22"/>
          <w:lang w:val="el-GR"/>
        </w:rPr>
        <w:t>-</w:t>
      </w:r>
      <w:r w:rsidRPr="0032564F">
        <w:rPr>
          <w:sz w:val="22"/>
          <w:szCs w:val="22"/>
        </w:rPr>
        <w:t>eating</w:t>
      </w:r>
      <w:r w:rsidRPr="0032564F">
        <w:rPr>
          <w:sz w:val="22"/>
          <w:szCs w:val="22"/>
          <w:lang w:val="el-GR"/>
        </w:rPr>
        <w:t>) καθώς και των αντιρροπιστικών δραστηριοτήτων. Εντούτοις, δεν ήταν δυνατόν να διεξαχθεί συμπέρασμα σχετικά με τη μακροχρόνια αποτελεσματικότητα.</w:t>
      </w:r>
    </w:p>
    <w:p w:rsidR="00F16739" w:rsidRPr="0032564F" w:rsidRDefault="00F16739" w:rsidP="00045D24">
      <w:pPr>
        <w:rPr>
          <w:sz w:val="22"/>
          <w:szCs w:val="22"/>
          <w:lang w:val="el-GR"/>
        </w:rPr>
      </w:pPr>
    </w:p>
    <w:p w:rsidR="00F16739" w:rsidRPr="0032564F" w:rsidRDefault="00F16739" w:rsidP="00045D24">
      <w:pPr>
        <w:ind w:left="720"/>
        <w:rPr>
          <w:sz w:val="22"/>
          <w:szCs w:val="22"/>
          <w:lang w:val="el-GR"/>
        </w:rPr>
      </w:pPr>
      <w:r w:rsidRPr="0032564F">
        <w:rPr>
          <w:sz w:val="22"/>
          <w:szCs w:val="22"/>
          <w:lang w:val="el-GR"/>
        </w:rPr>
        <w:t>Δύο κλινικές μελέτες-ελεγχόμενες με εικονικό φάρμακο (</w:t>
      </w:r>
      <w:r w:rsidRPr="0032564F">
        <w:rPr>
          <w:sz w:val="22"/>
          <w:szCs w:val="22"/>
        </w:rPr>
        <w:t>placebo</w:t>
      </w:r>
      <w:r w:rsidRPr="0032564F">
        <w:rPr>
          <w:sz w:val="22"/>
          <w:szCs w:val="22"/>
          <w:lang w:val="el-GR"/>
        </w:rPr>
        <w:t xml:space="preserve">) έχουν διεξαχθεί σε ασθενείς που εκπληρούσαν τα διαγνωστικά κριτήρια του </w:t>
      </w:r>
      <w:r w:rsidRPr="0032564F">
        <w:rPr>
          <w:sz w:val="22"/>
          <w:szCs w:val="22"/>
        </w:rPr>
        <w:t>DSM</w:t>
      </w:r>
      <w:r w:rsidRPr="0032564F">
        <w:rPr>
          <w:sz w:val="22"/>
          <w:szCs w:val="22"/>
          <w:lang w:val="el-GR"/>
        </w:rPr>
        <w:t>-</w:t>
      </w:r>
      <w:r w:rsidRPr="0032564F">
        <w:rPr>
          <w:sz w:val="22"/>
          <w:szCs w:val="22"/>
        </w:rPr>
        <w:t>IV</w:t>
      </w:r>
      <w:r w:rsidRPr="0032564F">
        <w:rPr>
          <w:sz w:val="22"/>
          <w:szCs w:val="22"/>
          <w:lang w:val="el-GR"/>
        </w:rPr>
        <w:t xml:space="preserve"> για Προεμμηνορρυσιακή Δυσφορική Διαταραχή (</w:t>
      </w:r>
      <w:r w:rsidRPr="0032564F">
        <w:rPr>
          <w:sz w:val="22"/>
          <w:szCs w:val="22"/>
        </w:rPr>
        <w:t>Premenstrual</w:t>
      </w:r>
      <w:r w:rsidRPr="0032564F">
        <w:rPr>
          <w:sz w:val="22"/>
          <w:szCs w:val="22"/>
          <w:lang w:val="el-GR"/>
        </w:rPr>
        <w:t xml:space="preserve"> </w:t>
      </w:r>
      <w:r w:rsidRPr="0032564F">
        <w:rPr>
          <w:sz w:val="22"/>
          <w:szCs w:val="22"/>
        </w:rPr>
        <w:t>Dysphoric</w:t>
      </w:r>
      <w:r w:rsidRPr="0032564F">
        <w:rPr>
          <w:sz w:val="22"/>
          <w:szCs w:val="22"/>
          <w:lang w:val="el-GR"/>
        </w:rPr>
        <w:t xml:space="preserve"> </w:t>
      </w:r>
      <w:r w:rsidRPr="0032564F">
        <w:rPr>
          <w:sz w:val="22"/>
          <w:szCs w:val="22"/>
        </w:rPr>
        <w:t>Disorder</w:t>
      </w:r>
      <w:r w:rsidRPr="0032564F">
        <w:rPr>
          <w:sz w:val="22"/>
          <w:szCs w:val="22"/>
          <w:lang w:val="el-GR"/>
        </w:rPr>
        <w:t>-</w:t>
      </w:r>
      <w:r w:rsidRPr="0032564F">
        <w:rPr>
          <w:sz w:val="22"/>
          <w:szCs w:val="22"/>
        </w:rPr>
        <w:t>PMDD</w:t>
      </w:r>
      <w:r w:rsidRPr="0032564F">
        <w:rPr>
          <w:sz w:val="22"/>
          <w:szCs w:val="22"/>
          <w:lang w:val="el-GR"/>
        </w:rPr>
        <w:t>). Οι ασθενείς συμμετείχαν στη μελέτη εάν είχαν συμπτώματα επαρκούς σοβαρότητας ώστε να επηρεάζεται η κοινωνική και η επαγγελματική λειτουργικότητα και οι σχέσεις τους με τους συνανθρώπους. Οι ασθενείς που ελάμβαναν από του στόματος αντισυλληπτικά αποκλείσθηκαν. Στην πρώτη μελέτη, συνεχούς χορήγησης φλουοξετίνης, 20</w:t>
      </w:r>
      <w:r w:rsidRPr="0032564F">
        <w:rPr>
          <w:sz w:val="22"/>
          <w:szCs w:val="22"/>
        </w:rPr>
        <w:t> mg</w:t>
      </w:r>
      <w:r w:rsidRPr="0032564F">
        <w:rPr>
          <w:sz w:val="22"/>
          <w:szCs w:val="22"/>
          <w:lang w:val="el-GR"/>
        </w:rPr>
        <w:t xml:space="preserve"> ημερησίως για 6 εμμηνορρυσιακούς κύκλους, παρατηρήθηκε κλινική βελτίωση στις πρωταρχικές </w:t>
      </w:r>
      <w:r w:rsidR="00FA112F">
        <w:rPr>
          <w:sz w:val="22"/>
          <w:szCs w:val="22"/>
          <w:lang w:val="el-GR"/>
        </w:rPr>
        <w:t>παραμέτρους</w:t>
      </w:r>
      <w:r w:rsidR="00FA112F" w:rsidRPr="0032564F">
        <w:rPr>
          <w:sz w:val="22"/>
          <w:szCs w:val="22"/>
          <w:lang w:val="el-GR"/>
        </w:rPr>
        <w:t xml:space="preserve"> </w:t>
      </w:r>
      <w:r w:rsidRPr="0032564F">
        <w:rPr>
          <w:sz w:val="22"/>
          <w:szCs w:val="22"/>
          <w:lang w:val="el-GR"/>
        </w:rPr>
        <w:t>αποτελεσματικότητας (ευερεθιστότητα, άγχος και δυσφορία). Στη δεύτερη μελέτη με διαλείπουσα χορήγηση (20</w:t>
      </w:r>
      <w:r w:rsidRPr="0032564F">
        <w:rPr>
          <w:sz w:val="22"/>
          <w:szCs w:val="22"/>
        </w:rPr>
        <w:t> mg</w:t>
      </w:r>
      <w:r w:rsidRPr="0032564F">
        <w:rPr>
          <w:sz w:val="22"/>
          <w:szCs w:val="22"/>
          <w:lang w:val="el-GR"/>
        </w:rPr>
        <w:t xml:space="preserve"> ημερησίως για 14 ημέρες) κατά την ωχρινοποιητική φάση για 3 εμμηνορρυσιακούς κύκλους, παρατηρήθηκε κλινική βελτίωση στις πρωταρχικές παραμέτρους αποτελεσματικότητας (σύμφωνα με τη βαθμολογία Σοβαρότητας στα Ενοχλήματα που καταγράφονται σε Ημερήσια Βάση – </w:t>
      </w:r>
      <w:r w:rsidRPr="0032564F">
        <w:rPr>
          <w:sz w:val="22"/>
          <w:szCs w:val="22"/>
        </w:rPr>
        <w:t>Daily</w:t>
      </w:r>
      <w:r w:rsidRPr="0032564F">
        <w:rPr>
          <w:sz w:val="22"/>
          <w:szCs w:val="22"/>
          <w:lang w:val="el-GR"/>
        </w:rPr>
        <w:t xml:space="preserve"> </w:t>
      </w:r>
      <w:r w:rsidRPr="0032564F">
        <w:rPr>
          <w:sz w:val="22"/>
          <w:szCs w:val="22"/>
        </w:rPr>
        <w:t>Record</w:t>
      </w:r>
      <w:r w:rsidRPr="0032564F">
        <w:rPr>
          <w:sz w:val="22"/>
          <w:szCs w:val="22"/>
          <w:lang w:val="el-GR"/>
        </w:rPr>
        <w:t xml:space="preserve"> </w:t>
      </w:r>
      <w:r w:rsidRPr="0032564F">
        <w:rPr>
          <w:sz w:val="22"/>
          <w:szCs w:val="22"/>
        </w:rPr>
        <w:t>of</w:t>
      </w:r>
      <w:r w:rsidRPr="0032564F">
        <w:rPr>
          <w:sz w:val="22"/>
          <w:szCs w:val="22"/>
          <w:lang w:val="el-GR"/>
        </w:rPr>
        <w:t xml:space="preserve"> </w:t>
      </w:r>
      <w:r w:rsidRPr="0032564F">
        <w:rPr>
          <w:sz w:val="22"/>
          <w:szCs w:val="22"/>
        </w:rPr>
        <w:t>Severity</w:t>
      </w:r>
      <w:r w:rsidRPr="0032564F">
        <w:rPr>
          <w:sz w:val="22"/>
          <w:szCs w:val="22"/>
          <w:lang w:val="el-GR"/>
        </w:rPr>
        <w:t xml:space="preserve"> </w:t>
      </w:r>
      <w:r w:rsidRPr="0032564F">
        <w:rPr>
          <w:sz w:val="22"/>
          <w:szCs w:val="22"/>
        </w:rPr>
        <w:t>of</w:t>
      </w:r>
      <w:r w:rsidRPr="0032564F">
        <w:rPr>
          <w:sz w:val="22"/>
          <w:szCs w:val="22"/>
          <w:lang w:val="el-GR"/>
        </w:rPr>
        <w:t xml:space="preserve"> </w:t>
      </w:r>
      <w:r w:rsidRPr="0032564F">
        <w:rPr>
          <w:sz w:val="22"/>
          <w:szCs w:val="22"/>
        </w:rPr>
        <w:t>Problems</w:t>
      </w:r>
      <w:r w:rsidRPr="0032564F">
        <w:rPr>
          <w:sz w:val="22"/>
          <w:szCs w:val="22"/>
          <w:lang w:val="el-GR"/>
        </w:rPr>
        <w:t>). Εντούτοις, από αυτές τις μελέτες, οριστικά συμπεράσματα αναφορικά με την αποτελεσματικότητα και τη διάρκεια της αγωγής δεν είναι δυνατόν να εξαχθούν.</w:t>
      </w:r>
    </w:p>
    <w:p w:rsidR="00F16739" w:rsidRPr="009B7D6B" w:rsidRDefault="00F16739" w:rsidP="00045D24">
      <w:pPr>
        <w:pStyle w:val="MGGTextLeft"/>
        <w:ind w:left="720"/>
        <w:rPr>
          <w:bCs/>
          <w:i/>
          <w:sz w:val="22"/>
          <w:szCs w:val="22"/>
          <w:lang w:val="el-GR"/>
        </w:rPr>
      </w:pPr>
    </w:p>
    <w:p w:rsidR="00F16739" w:rsidRPr="0032564F" w:rsidRDefault="00F16739" w:rsidP="00045D24">
      <w:pPr>
        <w:pStyle w:val="MGGTextLeft"/>
        <w:ind w:left="720"/>
        <w:rPr>
          <w:sz w:val="22"/>
          <w:szCs w:val="22"/>
          <w:lang w:val="el-GR"/>
        </w:rPr>
      </w:pPr>
      <w:r w:rsidRPr="009B7D6B">
        <w:rPr>
          <w:bCs/>
          <w:i/>
          <w:sz w:val="22"/>
          <w:szCs w:val="22"/>
          <w:lang w:val="el-GR"/>
        </w:rPr>
        <w:t>Μείζονα καταθλιπτικά επεισόδια (παιδιά και έφηβοι):</w:t>
      </w:r>
      <w:r w:rsidRPr="0032564F">
        <w:rPr>
          <w:sz w:val="22"/>
          <w:szCs w:val="22"/>
          <w:lang w:val="el-GR"/>
        </w:rPr>
        <w:t xml:space="preserve"> Έχουν πραγματοποιηθεί κλινικές μελέτες σε παιδιά και εφήβους ηλικίας 8 ετών και άνω σε σύγκριση με το εικονικό φάρμακο (</w:t>
      </w:r>
      <w:r w:rsidRPr="0032564F">
        <w:rPr>
          <w:sz w:val="22"/>
          <w:szCs w:val="22"/>
        </w:rPr>
        <w:t>placebo</w:t>
      </w:r>
      <w:r w:rsidRPr="0032564F">
        <w:rPr>
          <w:sz w:val="22"/>
          <w:szCs w:val="22"/>
          <w:lang w:val="el-GR"/>
        </w:rPr>
        <w:t>). Σε δύο βραχυχρόνιες μελέτες φάσης ΙΙΙ, καταδείχθηκε σημαντική υπεροχή της φλουοξετίνης, στη δόση των 20</w:t>
      </w:r>
      <w:r w:rsidR="00FA112F">
        <w:rPr>
          <w:sz w:val="22"/>
          <w:szCs w:val="22"/>
          <w:lang w:val="el-GR"/>
        </w:rPr>
        <w:t xml:space="preserve"> </w:t>
      </w:r>
      <w:r w:rsidRPr="0032564F">
        <w:rPr>
          <w:sz w:val="22"/>
          <w:szCs w:val="22"/>
        </w:rPr>
        <w:t>mg</w:t>
      </w:r>
      <w:r w:rsidRPr="0032564F">
        <w:rPr>
          <w:sz w:val="22"/>
          <w:szCs w:val="22"/>
          <w:lang w:val="el-GR"/>
        </w:rPr>
        <w:t xml:space="preserve">, ως προς την αποτελεσματικότητα, όπως αυτή μετρήθηκε με τη μείωση της συνολικής βαθμολογίας στην κλίμακα </w:t>
      </w:r>
      <w:r w:rsidRPr="0032564F">
        <w:rPr>
          <w:sz w:val="22"/>
          <w:szCs w:val="22"/>
        </w:rPr>
        <w:t>Childhood</w:t>
      </w:r>
      <w:r w:rsidRPr="0032564F">
        <w:rPr>
          <w:sz w:val="22"/>
          <w:szCs w:val="22"/>
          <w:lang w:val="el-GR"/>
        </w:rPr>
        <w:t xml:space="preserve"> </w:t>
      </w:r>
      <w:r w:rsidRPr="0032564F">
        <w:rPr>
          <w:sz w:val="22"/>
          <w:szCs w:val="22"/>
        </w:rPr>
        <w:t>Depression</w:t>
      </w:r>
      <w:r w:rsidRPr="0032564F">
        <w:rPr>
          <w:sz w:val="22"/>
          <w:szCs w:val="22"/>
          <w:lang w:val="el-GR"/>
        </w:rPr>
        <w:t xml:space="preserve"> </w:t>
      </w:r>
      <w:r w:rsidRPr="0032564F">
        <w:rPr>
          <w:sz w:val="22"/>
          <w:szCs w:val="22"/>
        </w:rPr>
        <w:t>Rating</w:t>
      </w:r>
      <w:r w:rsidRPr="0032564F">
        <w:rPr>
          <w:sz w:val="22"/>
          <w:szCs w:val="22"/>
          <w:lang w:val="el-GR"/>
        </w:rPr>
        <w:t xml:space="preserve"> </w:t>
      </w:r>
      <w:r w:rsidRPr="0032564F">
        <w:rPr>
          <w:sz w:val="22"/>
          <w:szCs w:val="22"/>
        </w:rPr>
        <w:t>Scale</w:t>
      </w:r>
      <w:r w:rsidRPr="0032564F">
        <w:rPr>
          <w:sz w:val="22"/>
          <w:szCs w:val="22"/>
          <w:lang w:val="el-GR"/>
        </w:rPr>
        <w:t>-</w:t>
      </w:r>
      <w:r w:rsidRPr="0032564F">
        <w:rPr>
          <w:sz w:val="22"/>
          <w:szCs w:val="22"/>
        </w:rPr>
        <w:t>Revised</w:t>
      </w:r>
      <w:r w:rsidRPr="0032564F">
        <w:rPr>
          <w:sz w:val="22"/>
          <w:szCs w:val="22"/>
          <w:lang w:val="el-GR"/>
        </w:rPr>
        <w:t xml:space="preserve"> (</w:t>
      </w:r>
      <w:r w:rsidRPr="0032564F">
        <w:rPr>
          <w:sz w:val="22"/>
          <w:szCs w:val="22"/>
        </w:rPr>
        <w:t>CDRS</w:t>
      </w:r>
      <w:r w:rsidRPr="0032564F">
        <w:rPr>
          <w:sz w:val="22"/>
          <w:szCs w:val="22"/>
          <w:lang w:val="el-GR"/>
        </w:rPr>
        <w:t>-</w:t>
      </w:r>
      <w:r w:rsidRPr="0032564F">
        <w:rPr>
          <w:sz w:val="22"/>
          <w:szCs w:val="22"/>
        </w:rPr>
        <w:t>R</w:t>
      </w:r>
      <w:r w:rsidRPr="0032564F">
        <w:rPr>
          <w:sz w:val="22"/>
          <w:szCs w:val="22"/>
          <w:lang w:val="el-GR"/>
        </w:rPr>
        <w:t xml:space="preserve">) και στη βαθμολογία στην κλίμακα </w:t>
      </w:r>
      <w:r w:rsidRPr="0032564F">
        <w:rPr>
          <w:sz w:val="22"/>
          <w:szCs w:val="22"/>
        </w:rPr>
        <w:t>Clinical</w:t>
      </w:r>
      <w:r w:rsidRPr="0032564F">
        <w:rPr>
          <w:sz w:val="22"/>
          <w:szCs w:val="22"/>
          <w:lang w:val="el-GR"/>
        </w:rPr>
        <w:t xml:space="preserve"> </w:t>
      </w:r>
      <w:r w:rsidRPr="0032564F">
        <w:rPr>
          <w:sz w:val="22"/>
          <w:szCs w:val="22"/>
        </w:rPr>
        <w:t>Global</w:t>
      </w:r>
      <w:r w:rsidRPr="0032564F">
        <w:rPr>
          <w:sz w:val="22"/>
          <w:szCs w:val="22"/>
          <w:lang w:val="el-GR"/>
        </w:rPr>
        <w:t xml:space="preserve"> </w:t>
      </w:r>
      <w:r w:rsidRPr="0032564F">
        <w:rPr>
          <w:sz w:val="22"/>
          <w:szCs w:val="22"/>
        </w:rPr>
        <w:t>Impression</w:t>
      </w:r>
      <w:r w:rsidRPr="0032564F">
        <w:rPr>
          <w:sz w:val="22"/>
          <w:szCs w:val="22"/>
          <w:lang w:val="el-GR"/>
        </w:rPr>
        <w:t xml:space="preserve"> </w:t>
      </w:r>
      <w:r w:rsidRPr="0032564F">
        <w:rPr>
          <w:sz w:val="22"/>
          <w:szCs w:val="22"/>
        </w:rPr>
        <w:t>of</w:t>
      </w:r>
      <w:r w:rsidRPr="0032564F">
        <w:rPr>
          <w:sz w:val="22"/>
          <w:szCs w:val="22"/>
          <w:lang w:val="el-GR"/>
        </w:rPr>
        <w:t xml:space="preserve"> </w:t>
      </w:r>
      <w:r w:rsidRPr="0032564F">
        <w:rPr>
          <w:sz w:val="22"/>
          <w:szCs w:val="22"/>
        </w:rPr>
        <w:t>Improvement</w:t>
      </w:r>
      <w:r w:rsidRPr="0032564F">
        <w:rPr>
          <w:sz w:val="22"/>
          <w:szCs w:val="22"/>
          <w:lang w:val="el-GR"/>
        </w:rPr>
        <w:t xml:space="preserve"> (</w:t>
      </w:r>
      <w:r w:rsidRPr="0032564F">
        <w:rPr>
          <w:sz w:val="22"/>
          <w:szCs w:val="22"/>
        </w:rPr>
        <w:t>CGI</w:t>
      </w:r>
      <w:r w:rsidRPr="0032564F">
        <w:rPr>
          <w:sz w:val="22"/>
          <w:szCs w:val="22"/>
          <w:lang w:val="el-GR"/>
        </w:rPr>
        <w:t>-</w:t>
      </w:r>
      <w:r w:rsidRPr="0032564F">
        <w:rPr>
          <w:sz w:val="22"/>
          <w:szCs w:val="22"/>
        </w:rPr>
        <w:t>I</w:t>
      </w:r>
      <w:r w:rsidRPr="0032564F">
        <w:rPr>
          <w:sz w:val="22"/>
          <w:szCs w:val="22"/>
          <w:lang w:val="el-GR"/>
        </w:rPr>
        <w:t xml:space="preserve">), συγκριτικά με το </w:t>
      </w:r>
      <w:r w:rsidRPr="0032564F">
        <w:rPr>
          <w:sz w:val="22"/>
          <w:szCs w:val="22"/>
        </w:rPr>
        <w:t>placebo</w:t>
      </w:r>
      <w:r w:rsidRPr="0032564F">
        <w:rPr>
          <w:sz w:val="22"/>
          <w:szCs w:val="22"/>
          <w:lang w:val="el-GR"/>
        </w:rPr>
        <w:t xml:space="preserve">. Και στις δύο μελέτες, οι ασθενείς πληρούσαν τα κριτήρια για μέτρια έως σοβαρή </w:t>
      </w:r>
      <w:r w:rsidRPr="0032564F">
        <w:rPr>
          <w:sz w:val="22"/>
          <w:szCs w:val="22"/>
        </w:rPr>
        <w:t>MDD</w:t>
      </w:r>
      <w:r w:rsidRPr="0032564F">
        <w:rPr>
          <w:sz w:val="22"/>
          <w:szCs w:val="22"/>
          <w:lang w:val="el-GR"/>
        </w:rPr>
        <w:t xml:space="preserve"> (</w:t>
      </w:r>
      <w:r w:rsidRPr="0032564F">
        <w:rPr>
          <w:sz w:val="22"/>
          <w:szCs w:val="22"/>
        </w:rPr>
        <w:t>DSM</w:t>
      </w:r>
      <w:r w:rsidRPr="0032564F">
        <w:rPr>
          <w:sz w:val="22"/>
          <w:szCs w:val="22"/>
          <w:lang w:val="el-GR"/>
        </w:rPr>
        <w:t>-</w:t>
      </w:r>
      <w:r w:rsidRPr="0032564F">
        <w:rPr>
          <w:sz w:val="22"/>
          <w:szCs w:val="22"/>
        </w:rPr>
        <w:t>III</w:t>
      </w:r>
      <w:r w:rsidRPr="0032564F">
        <w:rPr>
          <w:sz w:val="22"/>
          <w:szCs w:val="22"/>
          <w:lang w:val="el-GR"/>
        </w:rPr>
        <w:t xml:space="preserve"> ή </w:t>
      </w:r>
      <w:r w:rsidRPr="0032564F">
        <w:rPr>
          <w:sz w:val="22"/>
          <w:szCs w:val="22"/>
        </w:rPr>
        <w:t>DSM</w:t>
      </w:r>
      <w:r w:rsidRPr="0032564F">
        <w:rPr>
          <w:sz w:val="22"/>
          <w:szCs w:val="22"/>
          <w:lang w:val="el-GR"/>
        </w:rPr>
        <w:t>-</w:t>
      </w:r>
      <w:r w:rsidRPr="0032564F">
        <w:rPr>
          <w:sz w:val="22"/>
          <w:szCs w:val="22"/>
        </w:rPr>
        <w:t>IV</w:t>
      </w:r>
      <w:r w:rsidRPr="0032564F">
        <w:rPr>
          <w:sz w:val="22"/>
          <w:szCs w:val="22"/>
          <w:lang w:val="el-GR"/>
        </w:rPr>
        <w:t xml:space="preserve">) κατά τη διάρκεια τριών διαφορετικών αξιολογήσεων από τους θεράποντες παιδοψυχιάτρους. Η αποτελεσματικότητα των κλινικών μελετών της φλουοξετίνης ενδέχεται να εξαρτάται από την ένταξη σε αυτές ενός επιλεγμένου πληθυσμού ασθενών (ασθενείς που δεν ανένηψαν αυτόματα εντός χρονικής περιόδου 3-5 εβδομάδων και στους οποίους η </w:t>
      </w:r>
      <w:r w:rsidRPr="0032564F">
        <w:rPr>
          <w:sz w:val="22"/>
          <w:szCs w:val="22"/>
          <w:lang w:val="el-GR"/>
        </w:rPr>
        <w:lastRenderedPageBreak/>
        <w:t xml:space="preserve">κατάθλιψη επέμεινε παρά τη σημαντική μέριμνα που τους δόθηκε). Υπάρχουν περιορισμένα μόνο στοιχεία ασφάλειας και αποτελεσματικότητας για χρονικό διάστημα πέραν των 9 εβδομάδων. Σε γενικές γραμμές η αποτελεσματικότητα της φλουοξετίνης ήταν μέτρια. Τα ποσοστά κλινικής ανταπόκρισης (το πρωτογενές τελικό σημείο, οριζόμενο ως μείωση στη βαθμολογία </w:t>
      </w:r>
      <w:r w:rsidRPr="0032564F">
        <w:rPr>
          <w:sz w:val="22"/>
          <w:szCs w:val="22"/>
        </w:rPr>
        <w:t>CDRS</w:t>
      </w:r>
      <w:r w:rsidRPr="0032564F">
        <w:rPr>
          <w:sz w:val="22"/>
          <w:szCs w:val="22"/>
          <w:lang w:val="el-GR"/>
        </w:rPr>
        <w:t>-</w:t>
      </w:r>
      <w:r w:rsidRPr="0032564F">
        <w:rPr>
          <w:sz w:val="22"/>
          <w:szCs w:val="22"/>
        </w:rPr>
        <w:t>R</w:t>
      </w:r>
      <w:r w:rsidRPr="0032564F">
        <w:rPr>
          <w:sz w:val="22"/>
          <w:szCs w:val="22"/>
          <w:lang w:val="el-GR"/>
        </w:rPr>
        <w:t xml:space="preserve"> κατά 30%) κατέδειξαν μία στατιστικά σημαντική διαφορά σε μία εκ των δύο μελετών φάσης ΙΙΙ (58% για τη φλουοξετίνη έναντι 32% για το </w:t>
      </w:r>
      <w:r w:rsidRPr="0032564F">
        <w:rPr>
          <w:sz w:val="22"/>
          <w:szCs w:val="22"/>
        </w:rPr>
        <w:t>placebo</w:t>
      </w:r>
      <w:r w:rsidRPr="0032564F">
        <w:rPr>
          <w:sz w:val="22"/>
          <w:szCs w:val="22"/>
          <w:lang w:val="el-GR"/>
        </w:rPr>
        <w:t xml:space="preserve">, </w:t>
      </w:r>
      <w:r w:rsidRPr="0032564F">
        <w:rPr>
          <w:sz w:val="22"/>
          <w:szCs w:val="22"/>
        </w:rPr>
        <w:t>P</w:t>
      </w:r>
      <w:r w:rsidRPr="0032564F">
        <w:rPr>
          <w:sz w:val="22"/>
          <w:szCs w:val="22"/>
          <w:lang w:val="el-GR"/>
        </w:rPr>
        <w:t xml:space="preserve"> = 0,013 και 65% για τη φλουοξετίνη έναντι 54% για το </w:t>
      </w:r>
      <w:r w:rsidRPr="0032564F">
        <w:rPr>
          <w:sz w:val="22"/>
          <w:szCs w:val="22"/>
        </w:rPr>
        <w:t>placebo</w:t>
      </w:r>
      <w:r w:rsidRPr="0032564F">
        <w:rPr>
          <w:sz w:val="22"/>
          <w:szCs w:val="22"/>
          <w:lang w:val="el-GR"/>
        </w:rPr>
        <w:t xml:space="preserve">, </w:t>
      </w:r>
      <w:r w:rsidRPr="0032564F">
        <w:rPr>
          <w:sz w:val="22"/>
          <w:szCs w:val="22"/>
        </w:rPr>
        <w:t>P</w:t>
      </w:r>
      <w:r w:rsidRPr="0032564F">
        <w:rPr>
          <w:sz w:val="22"/>
          <w:szCs w:val="22"/>
          <w:lang w:val="el-GR"/>
        </w:rPr>
        <w:t xml:space="preserve"> = 0,093). Σε αυτές τις δύο μελέτες, η μέση απόλυτη μεταβολή στο </w:t>
      </w:r>
      <w:r w:rsidRPr="0032564F">
        <w:rPr>
          <w:sz w:val="22"/>
          <w:szCs w:val="22"/>
        </w:rPr>
        <w:t>CDRS</w:t>
      </w:r>
      <w:r w:rsidRPr="0032564F">
        <w:rPr>
          <w:sz w:val="22"/>
          <w:szCs w:val="22"/>
          <w:lang w:val="el-GR"/>
        </w:rPr>
        <w:t>-</w:t>
      </w:r>
      <w:r w:rsidRPr="0032564F">
        <w:rPr>
          <w:sz w:val="22"/>
          <w:szCs w:val="22"/>
        </w:rPr>
        <w:t>R</w:t>
      </w:r>
      <w:r w:rsidRPr="0032564F">
        <w:rPr>
          <w:sz w:val="22"/>
          <w:szCs w:val="22"/>
          <w:lang w:val="el-GR"/>
        </w:rPr>
        <w:t xml:space="preserve"> από την αρχή της μελέτης έως το τελικό σημείο ήταν 20 για τη φλουοξετίνη έναντι 11 για το </w:t>
      </w:r>
      <w:r w:rsidRPr="0032564F">
        <w:rPr>
          <w:sz w:val="22"/>
          <w:szCs w:val="22"/>
        </w:rPr>
        <w:t>placebo</w:t>
      </w:r>
      <w:r w:rsidRPr="0032564F">
        <w:rPr>
          <w:sz w:val="22"/>
          <w:szCs w:val="22"/>
          <w:lang w:val="el-GR"/>
        </w:rPr>
        <w:t xml:space="preserve">, </w:t>
      </w:r>
      <w:r w:rsidRPr="0032564F">
        <w:rPr>
          <w:sz w:val="22"/>
          <w:szCs w:val="22"/>
        </w:rPr>
        <w:t>P </w:t>
      </w:r>
      <w:r w:rsidRPr="0032564F">
        <w:rPr>
          <w:sz w:val="22"/>
          <w:szCs w:val="22"/>
          <w:lang w:val="el-GR"/>
        </w:rPr>
        <w:t xml:space="preserve">= 0,002 και 22 για τη φλουοξετίνη έναντι 15 για το </w:t>
      </w:r>
      <w:r w:rsidRPr="0032564F">
        <w:rPr>
          <w:sz w:val="22"/>
          <w:szCs w:val="22"/>
        </w:rPr>
        <w:t>placebo</w:t>
      </w:r>
      <w:r w:rsidRPr="0032564F">
        <w:rPr>
          <w:sz w:val="22"/>
          <w:szCs w:val="22"/>
          <w:lang w:val="el-GR"/>
        </w:rPr>
        <w:t xml:space="preserve">, </w:t>
      </w:r>
      <w:r w:rsidRPr="0032564F">
        <w:rPr>
          <w:sz w:val="22"/>
          <w:szCs w:val="22"/>
        </w:rPr>
        <w:t>P</w:t>
      </w:r>
      <w:r w:rsidRPr="0032564F">
        <w:rPr>
          <w:sz w:val="22"/>
          <w:szCs w:val="22"/>
          <w:lang w:val="el-GR"/>
        </w:rPr>
        <w:t xml:space="preserve"> &lt;0,001.</w:t>
      </w:r>
    </w:p>
    <w:p w:rsidR="00C444C1" w:rsidRPr="0032564F" w:rsidRDefault="00C444C1" w:rsidP="00045D24">
      <w:pPr>
        <w:pStyle w:val="Default"/>
        <w:rPr>
          <w:rFonts w:eastAsia="Times New Roman"/>
          <w:b/>
          <w:color w:val="auto"/>
          <w:sz w:val="22"/>
          <w:szCs w:val="22"/>
          <w:lang w:val="el-GR" w:eastAsia="en-US"/>
        </w:rPr>
      </w:pPr>
    </w:p>
    <w:p w:rsidR="00C444C1" w:rsidRPr="009B7D6B" w:rsidRDefault="00C62D9E" w:rsidP="00045D24">
      <w:pPr>
        <w:pStyle w:val="Default"/>
        <w:ind w:firstLine="720"/>
        <w:rPr>
          <w:rFonts w:eastAsia="Times New Roman"/>
          <w:i/>
          <w:color w:val="auto"/>
          <w:sz w:val="22"/>
          <w:szCs w:val="22"/>
          <w:lang w:val="el-GR" w:eastAsia="en-US"/>
        </w:rPr>
      </w:pPr>
      <w:r w:rsidRPr="00833771">
        <w:rPr>
          <w:rFonts w:eastAsia="Times New Roman"/>
          <w:i/>
          <w:color w:val="auto"/>
          <w:sz w:val="22"/>
          <w:szCs w:val="22"/>
          <w:lang w:val="el-GR" w:eastAsia="en-US"/>
        </w:rPr>
        <w:t>Επιδράσεις στην αύξηση</w:t>
      </w:r>
      <w:r w:rsidR="00485A5D" w:rsidRPr="00833771">
        <w:rPr>
          <w:rFonts w:eastAsia="Times New Roman"/>
          <w:i/>
          <w:color w:val="auto"/>
          <w:sz w:val="22"/>
          <w:szCs w:val="22"/>
          <w:lang w:val="el-GR" w:eastAsia="en-US"/>
        </w:rPr>
        <w:t xml:space="preserve"> (παιδιά και </w:t>
      </w:r>
      <w:r w:rsidR="00D41E60" w:rsidRPr="00833771">
        <w:rPr>
          <w:rFonts w:eastAsia="Times New Roman"/>
          <w:i/>
          <w:color w:val="auto"/>
          <w:sz w:val="22"/>
          <w:szCs w:val="22"/>
          <w:lang w:val="el-GR" w:eastAsia="en-US"/>
        </w:rPr>
        <w:t>έφηβοι</w:t>
      </w:r>
      <w:r w:rsidR="00F669D8">
        <w:rPr>
          <w:rFonts w:eastAsia="Times New Roman"/>
          <w:i/>
          <w:color w:val="auto"/>
          <w:sz w:val="22"/>
          <w:szCs w:val="22"/>
          <w:lang w:val="en-US" w:eastAsia="en-US"/>
        </w:rPr>
        <w:t>)</w:t>
      </w:r>
      <w:r w:rsidR="00485A5D" w:rsidRPr="009B7D6B">
        <w:rPr>
          <w:rFonts w:eastAsia="Times New Roman"/>
          <w:i/>
          <w:color w:val="auto"/>
          <w:sz w:val="22"/>
          <w:szCs w:val="22"/>
          <w:lang w:val="el-GR" w:eastAsia="en-US"/>
        </w:rPr>
        <w:t xml:space="preserve">, βλ. παραγράφους 4.4 και </w:t>
      </w:r>
      <w:r w:rsidR="00C444C1" w:rsidRPr="009B7D6B">
        <w:rPr>
          <w:rFonts w:eastAsia="Times New Roman"/>
          <w:i/>
          <w:color w:val="auto"/>
          <w:sz w:val="22"/>
          <w:szCs w:val="22"/>
          <w:lang w:val="el-GR" w:eastAsia="en-US"/>
        </w:rPr>
        <w:t xml:space="preserve">4.8: </w:t>
      </w:r>
    </w:p>
    <w:p w:rsidR="00C444C1" w:rsidRPr="00045D24" w:rsidRDefault="00485A5D" w:rsidP="00045D24">
      <w:pPr>
        <w:pStyle w:val="Default"/>
        <w:ind w:left="720"/>
        <w:rPr>
          <w:rFonts w:eastAsia="Times New Roman"/>
          <w:color w:val="auto"/>
          <w:sz w:val="22"/>
          <w:szCs w:val="22"/>
          <w:lang w:val="el-GR" w:eastAsia="en-US"/>
        </w:rPr>
      </w:pPr>
      <w:r>
        <w:rPr>
          <w:rFonts w:eastAsia="Times New Roman"/>
          <w:color w:val="auto"/>
          <w:sz w:val="22"/>
          <w:szCs w:val="22"/>
          <w:lang w:val="el-GR" w:eastAsia="en-US"/>
        </w:rPr>
        <w:t>Έπειτα από 19 εβδομάδες θεραπείας, οι παιδιατρικοί ασθενείς που έλαβαν θεραπεία με φλου</w:t>
      </w:r>
      <w:r w:rsidR="00D41E60">
        <w:rPr>
          <w:rFonts w:eastAsia="Times New Roman"/>
          <w:color w:val="auto"/>
          <w:sz w:val="22"/>
          <w:szCs w:val="22"/>
          <w:lang w:val="el-GR" w:eastAsia="en-US"/>
        </w:rPr>
        <w:t>ο</w:t>
      </w:r>
      <w:r>
        <w:rPr>
          <w:rFonts w:eastAsia="Times New Roman"/>
          <w:color w:val="auto"/>
          <w:sz w:val="22"/>
          <w:szCs w:val="22"/>
          <w:lang w:val="el-GR" w:eastAsia="en-US"/>
        </w:rPr>
        <w:t xml:space="preserve">ξετίνη στα πλαίσια μιας κλινικής δοκιμής, αύξησαν το ύψος τους κατά μέσο όρο κατά 1,1 εκατοστά λιγότερο </w:t>
      </w:r>
      <w:r w:rsidR="00C444C1" w:rsidRPr="00045D24">
        <w:rPr>
          <w:rFonts w:eastAsia="Times New Roman"/>
          <w:color w:val="auto"/>
          <w:sz w:val="22"/>
          <w:szCs w:val="22"/>
          <w:lang w:val="el-GR" w:eastAsia="en-US"/>
        </w:rPr>
        <w:t>(</w:t>
      </w:r>
      <w:r w:rsidR="00C444C1" w:rsidRPr="0032564F">
        <w:rPr>
          <w:rFonts w:eastAsia="Times New Roman"/>
          <w:color w:val="auto"/>
          <w:sz w:val="22"/>
          <w:szCs w:val="22"/>
          <w:lang w:eastAsia="en-US"/>
        </w:rPr>
        <w:t>p</w:t>
      </w:r>
      <w:r w:rsidR="00C444C1" w:rsidRPr="00045D24">
        <w:rPr>
          <w:rFonts w:eastAsia="Times New Roman"/>
          <w:color w:val="auto"/>
          <w:sz w:val="22"/>
          <w:szCs w:val="22"/>
          <w:lang w:val="el-GR" w:eastAsia="en-US"/>
        </w:rPr>
        <w:t>=0</w:t>
      </w:r>
      <w:r>
        <w:rPr>
          <w:rFonts w:eastAsia="Times New Roman"/>
          <w:color w:val="auto"/>
          <w:sz w:val="22"/>
          <w:szCs w:val="22"/>
          <w:lang w:val="el-GR" w:eastAsia="en-US"/>
        </w:rPr>
        <w:t>,</w:t>
      </w:r>
      <w:r w:rsidR="00C444C1" w:rsidRPr="00045D24">
        <w:rPr>
          <w:rFonts w:eastAsia="Times New Roman"/>
          <w:color w:val="auto"/>
          <w:sz w:val="22"/>
          <w:szCs w:val="22"/>
          <w:lang w:val="el-GR" w:eastAsia="en-US"/>
        </w:rPr>
        <w:t xml:space="preserve">004) </w:t>
      </w:r>
      <w:r>
        <w:rPr>
          <w:rFonts w:eastAsia="Times New Roman"/>
          <w:color w:val="auto"/>
          <w:sz w:val="22"/>
          <w:szCs w:val="22"/>
          <w:lang w:val="el-GR" w:eastAsia="en-US"/>
        </w:rPr>
        <w:t xml:space="preserve">και το βάρος τους κατά </w:t>
      </w:r>
      <w:r w:rsidR="00C444C1" w:rsidRPr="00045D24">
        <w:rPr>
          <w:rFonts w:eastAsia="Times New Roman"/>
          <w:color w:val="auto"/>
          <w:sz w:val="22"/>
          <w:szCs w:val="22"/>
          <w:lang w:val="el-GR" w:eastAsia="en-US"/>
        </w:rPr>
        <w:t>1</w:t>
      </w:r>
      <w:r>
        <w:rPr>
          <w:rFonts w:eastAsia="Times New Roman"/>
          <w:color w:val="auto"/>
          <w:sz w:val="22"/>
          <w:szCs w:val="22"/>
          <w:lang w:val="el-GR" w:eastAsia="en-US"/>
        </w:rPr>
        <w:t>,</w:t>
      </w:r>
      <w:r w:rsidR="00C444C1" w:rsidRPr="00045D24">
        <w:rPr>
          <w:rFonts w:eastAsia="Times New Roman"/>
          <w:color w:val="auto"/>
          <w:sz w:val="22"/>
          <w:szCs w:val="22"/>
          <w:lang w:val="el-GR" w:eastAsia="en-US"/>
        </w:rPr>
        <w:t xml:space="preserve">1 </w:t>
      </w:r>
      <w:r w:rsidR="00C444C1" w:rsidRPr="0032564F">
        <w:rPr>
          <w:rFonts w:eastAsia="Times New Roman"/>
          <w:color w:val="auto"/>
          <w:sz w:val="22"/>
          <w:szCs w:val="22"/>
          <w:lang w:eastAsia="en-US"/>
        </w:rPr>
        <w:t>kg</w:t>
      </w:r>
      <w:r w:rsidR="00C444C1" w:rsidRPr="00045D24">
        <w:rPr>
          <w:rFonts w:eastAsia="Times New Roman"/>
          <w:color w:val="auto"/>
          <w:sz w:val="22"/>
          <w:szCs w:val="22"/>
          <w:lang w:val="el-GR" w:eastAsia="en-US"/>
        </w:rPr>
        <w:t xml:space="preserve"> </w:t>
      </w:r>
      <w:r>
        <w:rPr>
          <w:rFonts w:eastAsia="Times New Roman"/>
          <w:color w:val="auto"/>
          <w:sz w:val="22"/>
          <w:szCs w:val="22"/>
          <w:lang w:val="el-GR" w:eastAsia="en-US"/>
        </w:rPr>
        <w:t xml:space="preserve">λιγότερο </w:t>
      </w:r>
      <w:r w:rsidR="00C444C1" w:rsidRPr="00045D24">
        <w:rPr>
          <w:rFonts w:eastAsia="Times New Roman"/>
          <w:color w:val="auto"/>
          <w:sz w:val="22"/>
          <w:szCs w:val="22"/>
          <w:lang w:val="el-GR" w:eastAsia="en-US"/>
        </w:rPr>
        <w:t>(</w:t>
      </w:r>
      <w:r w:rsidR="00C444C1" w:rsidRPr="0032564F">
        <w:rPr>
          <w:rFonts w:eastAsia="Times New Roman"/>
          <w:color w:val="auto"/>
          <w:sz w:val="22"/>
          <w:szCs w:val="22"/>
          <w:lang w:eastAsia="en-US"/>
        </w:rPr>
        <w:t>p</w:t>
      </w:r>
      <w:r w:rsidR="00C444C1" w:rsidRPr="00045D24">
        <w:rPr>
          <w:rFonts w:eastAsia="Times New Roman"/>
          <w:color w:val="auto"/>
          <w:sz w:val="22"/>
          <w:szCs w:val="22"/>
          <w:lang w:val="el-GR" w:eastAsia="en-US"/>
        </w:rPr>
        <w:t>=0</w:t>
      </w:r>
      <w:r>
        <w:rPr>
          <w:rFonts w:eastAsia="Times New Roman"/>
          <w:color w:val="auto"/>
          <w:sz w:val="22"/>
          <w:szCs w:val="22"/>
          <w:lang w:val="el-GR" w:eastAsia="en-US"/>
        </w:rPr>
        <w:t>,</w:t>
      </w:r>
      <w:r w:rsidR="00C444C1" w:rsidRPr="00045D24">
        <w:rPr>
          <w:rFonts w:eastAsia="Times New Roman"/>
          <w:color w:val="auto"/>
          <w:sz w:val="22"/>
          <w:szCs w:val="22"/>
          <w:lang w:val="el-GR" w:eastAsia="en-US"/>
        </w:rPr>
        <w:t>008)</w:t>
      </w:r>
      <w:r>
        <w:rPr>
          <w:rFonts w:eastAsia="Times New Roman"/>
          <w:color w:val="auto"/>
          <w:sz w:val="22"/>
          <w:szCs w:val="22"/>
          <w:lang w:val="el-GR" w:eastAsia="en-US"/>
        </w:rPr>
        <w:t xml:space="preserve"> σε σύγκριση με τα άτομα που έλαβαν το εικονικό φάρμακο. </w:t>
      </w:r>
      <w:r w:rsidR="00C444C1" w:rsidRPr="00045D24">
        <w:rPr>
          <w:rFonts w:eastAsia="Times New Roman"/>
          <w:color w:val="auto"/>
          <w:sz w:val="22"/>
          <w:szCs w:val="22"/>
          <w:lang w:val="el-GR" w:eastAsia="en-US"/>
        </w:rPr>
        <w:t xml:space="preserve"> </w:t>
      </w:r>
    </w:p>
    <w:p w:rsidR="00F11A68" w:rsidRDefault="00F11A68" w:rsidP="00045D24">
      <w:pPr>
        <w:ind w:left="720"/>
        <w:rPr>
          <w:sz w:val="22"/>
          <w:szCs w:val="22"/>
          <w:lang w:val="el-GR"/>
        </w:rPr>
      </w:pPr>
    </w:p>
    <w:p w:rsidR="00F16739" w:rsidRPr="00045D24" w:rsidRDefault="00485A5D" w:rsidP="00045D24">
      <w:pPr>
        <w:ind w:left="720"/>
        <w:rPr>
          <w:sz w:val="22"/>
          <w:szCs w:val="22"/>
          <w:lang w:val="el-GR"/>
        </w:rPr>
      </w:pPr>
      <w:r>
        <w:rPr>
          <w:sz w:val="22"/>
          <w:szCs w:val="22"/>
          <w:lang w:val="el-GR"/>
        </w:rPr>
        <w:t>Σε μια αναδρομική</w:t>
      </w:r>
      <w:r w:rsidR="00B76763">
        <w:rPr>
          <w:sz w:val="22"/>
          <w:szCs w:val="22"/>
          <w:lang w:val="el-GR"/>
        </w:rPr>
        <w:t>,</w:t>
      </w:r>
      <w:r w:rsidR="00B76763" w:rsidRPr="00B76763">
        <w:rPr>
          <w:sz w:val="22"/>
          <w:szCs w:val="22"/>
          <w:lang w:val="el-GR"/>
        </w:rPr>
        <w:t xml:space="preserve"> με εξομοίωση</w:t>
      </w:r>
      <w:r>
        <w:rPr>
          <w:sz w:val="22"/>
          <w:szCs w:val="22"/>
          <w:lang w:val="el-GR"/>
        </w:rPr>
        <w:t xml:space="preserve"> ελεγχόμενη μελέτη παρατήρησης</w:t>
      </w:r>
      <w:r w:rsidR="00B76763">
        <w:rPr>
          <w:sz w:val="22"/>
          <w:szCs w:val="22"/>
          <w:lang w:val="el-GR"/>
        </w:rPr>
        <w:t xml:space="preserve"> με μέση έκθεση στη φλουοξετίνη 1,8 έτη, τα παιδιατρικά υποκείμενα που έλαβαν αγωγή φλουοξετίνης δεν εμφάνισαν διαφορά ως προς την </w:t>
      </w:r>
      <w:r w:rsidR="00C62D9E">
        <w:rPr>
          <w:sz w:val="22"/>
          <w:szCs w:val="22"/>
          <w:lang w:val="el-GR"/>
        </w:rPr>
        <w:t>αύξηση</w:t>
      </w:r>
      <w:r w:rsidR="00B76763">
        <w:rPr>
          <w:sz w:val="22"/>
          <w:szCs w:val="22"/>
          <w:lang w:val="el-GR"/>
        </w:rPr>
        <w:t xml:space="preserve"> διορθωμένη βάσει της αναμενόμενης αύξησης του ύψους από τη</w:t>
      </w:r>
      <w:r w:rsidR="00F669D8">
        <w:rPr>
          <w:sz w:val="22"/>
          <w:szCs w:val="22"/>
          <w:lang w:val="el-GR"/>
        </w:rPr>
        <w:t>ν</w:t>
      </w:r>
      <w:r w:rsidR="00B76763">
        <w:rPr>
          <w:sz w:val="22"/>
          <w:szCs w:val="22"/>
          <w:lang w:val="el-GR"/>
        </w:rPr>
        <w:t xml:space="preserve"> εξομοιούμενη ομάδα ελέγχου στην οποία δεν χορηγήθηκε η θεραπεία </w:t>
      </w:r>
      <w:r w:rsidR="00C444C1" w:rsidRPr="00045D24">
        <w:rPr>
          <w:sz w:val="22"/>
          <w:szCs w:val="22"/>
          <w:lang w:val="el-GR"/>
        </w:rPr>
        <w:t>(0</w:t>
      </w:r>
      <w:r w:rsidR="00B76763">
        <w:rPr>
          <w:sz w:val="22"/>
          <w:szCs w:val="22"/>
          <w:lang w:val="el-GR"/>
        </w:rPr>
        <w:t>,</w:t>
      </w:r>
      <w:r w:rsidR="00C444C1" w:rsidRPr="00045D24">
        <w:rPr>
          <w:sz w:val="22"/>
          <w:szCs w:val="22"/>
          <w:lang w:val="el-GR"/>
        </w:rPr>
        <w:t xml:space="preserve">0 </w:t>
      </w:r>
      <w:r w:rsidR="00B76763">
        <w:rPr>
          <w:sz w:val="22"/>
          <w:szCs w:val="22"/>
          <w:lang w:val="el-GR"/>
        </w:rPr>
        <w:t>εκατοστά</w:t>
      </w:r>
      <w:r w:rsidR="00C444C1" w:rsidRPr="00045D24">
        <w:rPr>
          <w:sz w:val="22"/>
          <w:szCs w:val="22"/>
          <w:lang w:val="el-GR"/>
        </w:rPr>
        <w:t xml:space="preserve">, </w:t>
      </w:r>
      <w:r w:rsidR="00C444C1" w:rsidRPr="0032564F">
        <w:rPr>
          <w:sz w:val="22"/>
          <w:szCs w:val="22"/>
        </w:rPr>
        <w:t>p</w:t>
      </w:r>
      <w:r w:rsidR="00C444C1" w:rsidRPr="00045D24">
        <w:rPr>
          <w:sz w:val="22"/>
          <w:szCs w:val="22"/>
          <w:lang w:val="el-GR"/>
        </w:rPr>
        <w:t>=0</w:t>
      </w:r>
      <w:r w:rsidR="00B76763">
        <w:rPr>
          <w:sz w:val="22"/>
          <w:szCs w:val="22"/>
          <w:lang w:val="el-GR"/>
        </w:rPr>
        <w:t>,</w:t>
      </w:r>
      <w:r w:rsidR="00C444C1" w:rsidRPr="00045D24">
        <w:rPr>
          <w:sz w:val="22"/>
          <w:szCs w:val="22"/>
          <w:lang w:val="el-GR"/>
        </w:rPr>
        <w:t>9673).</w:t>
      </w:r>
    </w:p>
    <w:p w:rsidR="00F16739" w:rsidRPr="0032564F" w:rsidRDefault="00F16739" w:rsidP="00045D24">
      <w:pPr>
        <w:rPr>
          <w:sz w:val="22"/>
          <w:szCs w:val="22"/>
          <w:lang w:val="el-GR"/>
        </w:rPr>
      </w:pPr>
    </w:p>
    <w:p w:rsidR="00F16739" w:rsidRPr="0032564F" w:rsidRDefault="00F16739" w:rsidP="00045D24">
      <w:pPr>
        <w:rPr>
          <w:b/>
          <w:sz w:val="22"/>
          <w:szCs w:val="22"/>
          <w:lang w:val="el-GR"/>
        </w:rPr>
      </w:pPr>
      <w:r w:rsidRPr="0032564F">
        <w:rPr>
          <w:b/>
          <w:sz w:val="22"/>
          <w:szCs w:val="22"/>
          <w:lang w:val="el-GR"/>
        </w:rPr>
        <w:t>5.2</w:t>
      </w:r>
      <w:r w:rsidRPr="0032564F">
        <w:rPr>
          <w:b/>
          <w:sz w:val="22"/>
          <w:szCs w:val="22"/>
          <w:lang w:val="el-GR"/>
        </w:rPr>
        <w:tab/>
        <w:t>Φαρμακοκινητικές ιδιότητες</w:t>
      </w:r>
    </w:p>
    <w:p w:rsidR="00F16739" w:rsidRPr="0032564F" w:rsidRDefault="00F16739" w:rsidP="00045D24">
      <w:pPr>
        <w:rPr>
          <w:sz w:val="22"/>
          <w:szCs w:val="22"/>
          <w:lang w:val="el-GR"/>
        </w:rPr>
      </w:pPr>
    </w:p>
    <w:p w:rsidR="00F16739" w:rsidRPr="0032564F" w:rsidRDefault="00F16739" w:rsidP="00045D24">
      <w:pPr>
        <w:ind w:firstLine="720"/>
        <w:rPr>
          <w:i/>
          <w:iCs/>
          <w:sz w:val="22"/>
          <w:szCs w:val="22"/>
          <w:lang w:val="el-GR"/>
        </w:rPr>
      </w:pPr>
      <w:r w:rsidRPr="0032564F">
        <w:rPr>
          <w:i/>
          <w:iCs/>
          <w:sz w:val="22"/>
          <w:szCs w:val="22"/>
          <w:lang w:val="el-GR"/>
        </w:rPr>
        <w:t>Απορρόφηση</w:t>
      </w:r>
    </w:p>
    <w:p w:rsidR="00F16739" w:rsidRPr="0032564F" w:rsidRDefault="00F16739" w:rsidP="00045D24">
      <w:pPr>
        <w:ind w:left="720"/>
        <w:rPr>
          <w:sz w:val="22"/>
          <w:szCs w:val="22"/>
          <w:lang w:val="el-GR"/>
        </w:rPr>
      </w:pPr>
      <w:r w:rsidRPr="0032564F">
        <w:rPr>
          <w:sz w:val="22"/>
          <w:szCs w:val="22"/>
          <w:lang w:val="el-GR"/>
        </w:rPr>
        <w:t>Η φλουοξετίνη απορροφάται καλά από το γαστρεντερικό σωλήνα, μετά την από του στόματος χορήγηση. Η βιοδιαθεσιμότητα δεν επηρεάζεται από την ταυτόχρονη λήψη τροφής.</w:t>
      </w:r>
    </w:p>
    <w:p w:rsidR="00F16739" w:rsidRPr="0032564F" w:rsidRDefault="00F16739" w:rsidP="00045D24">
      <w:pPr>
        <w:rPr>
          <w:sz w:val="22"/>
          <w:szCs w:val="22"/>
          <w:lang w:val="el-GR"/>
        </w:rPr>
      </w:pPr>
    </w:p>
    <w:p w:rsidR="00F16739" w:rsidRPr="0032564F" w:rsidRDefault="00F16739" w:rsidP="00045D24">
      <w:pPr>
        <w:ind w:firstLine="720"/>
        <w:rPr>
          <w:i/>
          <w:sz w:val="22"/>
          <w:szCs w:val="22"/>
          <w:lang w:val="el-GR"/>
        </w:rPr>
      </w:pPr>
      <w:r w:rsidRPr="0032564F">
        <w:rPr>
          <w:i/>
          <w:sz w:val="22"/>
          <w:szCs w:val="22"/>
          <w:lang w:val="el-GR"/>
        </w:rPr>
        <w:t>Κατανομή</w:t>
      </w:r>
    </w:p>
    <w:p w:rsidR="00F16739" w:rsidRPr="0032564F" w:rsidRDefault="00F16739" w:rsidP="00045D24">
      <w:pPr>
        <w:ind w:left="720"/>
        <w:rPr>
          <w:sz w:val="22"/>
          <w:szCs w:val="22"/>
          <w:lang w:val="el-GR"/>
        </w:rPr>
      </w:pPr>
      <w:r w:rsidRPr="0032564F">
        <w:rPr>
          <w:sz w:val="22"/>
          <w:szCs w:val="22"/>
          <w:lang w:val="el-GR"/>
        </w:rPr>
        <w:t>Η φλουοξετίνη συνδέεται εκτεταμένα με τις πρωτεΐνες του πλάσματος (περίπου 95%) και κατανέμεται ευρύτατα στους ιστούς (Όγκος Κατανομής: 20-40 </w:t>
      </w:r>
      <w:r w:rsidRPr="0032564F">
        <w:rPr>
          <w:sz w:val="22"/>
          <w:szCs w:val="22"/>
        </w:rPr>
        <w:t>l</w:t>
      </w:r>
      <w:r w:rsidRPr="0032564F">
        <w:rPr>
          <w:sz w:val="22"/>
          <w:szCs w:val="22"/>
          <w:lang w:val="el-GR"/>
        </w:rPr>
        <w:t>/</w:t>
      </w:r>
      <w:r w:rsidRPr="0032564F">
        <w:rPr>
          <w:sz w:val="22"/>
          <w:szCs w:val="22"/>
        </w:rPr>
        <w:t>kg</w:t>
      </w:r>
      <w:r w:rsidRPr="0032564F">
        <w:rPr>
          <w:sz w:val="22"/>
          <w:szCs w:val="22"/>
          <w:lang w:val="el-GR"/>
        </w:rPr>
        <w:t>). Οι σταθερές συγκεντρώσεις στο πλάσμα επιτυγχάνονται μετά τη χορήγηση επί αρκετές εβδομάδες. Οι συγκεντρώσεις στο πλάσμα στη σταθερή κατάσταση μετά από μακροχρόνια χορήγηση, είναι παρόμοιες με εκείνες που παρατηρήθηκαν στις 4 έως 5 εβδομάδες.</w:t>
      </w:r>
    </w:p>
    <w:p w:rsidR="00F16739" w:rsidRPr="0032564F" w:rsidRDefault="00F16739" w:rsidP="00045D24">
      <w:pPr>
        <w:rPr>
          <w:sz w:val="22"/>
          <w:szCs w:val="22"/>
          <w:lang w:val="el-GR"/>
        </w:rPr>
      </w:pPr>
    </w:p>
    <w:p w:rsidR="00F16739" w:rsidRPr="0032564F" w:rsidRDefault="00722180" w:rsidP="00045D24">
      <w:pPr>
        <w:ind w:firstLine="720"/>
        <w:rPr>
          <w:i/>
          <w:sz w:val="22"/>
          <w:szCs w:val="22"/>
          <w:lang w:val="el-GR"/>
        </w:rPr>
      </w:pPr>
      <w:r>
        <w:rPr>
          <w:i/>
          <w:sz w:val="22"/>
          <w:szCs w:val="22"/>
          <w:lang w:val="el-GR"/>
        </w:rPr>
        <w:t>Βιομετασχηματισμός</w:t>
      </w:r>
    </w:p>
    <w:p w:rsidR="00F16739" w:rsidRPr="0032564F" w:rsidRDefault="00F16739" w:rsidP="00045D24">
      <w:pPr>
        <w:ind w:left="720"/>
        <w:rPr>
          <w:sz w:val="22"/>
          <w:szCs w:val="22"/>
          <w:lang w:val="el-GR"/>
        </w:rPr>
      </w:pPr>
      <w:r w:rsidRPr="0032564F">
        <w:rPr>
          <w:sz w:val="22"/>
          <w:szCs w:val="22"/>
          <w:lang w:val="el-GR"/>
        </w:rPr>
        <w:t xml:space="preserve">Η φλουοξετίνη έχει μία μη-γραμμική φαρμακοκινητική εικόνα με φαινόμενο πρώτης διόδου από το ήπαρ. Οι μέγιστες συγκεντρώσεις στο πλάσμα επιτυγχάνονται γενικά μετά από 6 έως 8 ώρες από τη χορήγηση της δόσης. Η φλουοξετίνη μεταβολίζεται εκτεταμένα από το ηπατικό ένζυμο </w:t>
      </w:r>
      <w:r w:rsidRPr="0032564F">
        <w:rPr>
          <w:sz w:val="22"/>
          <w:szCs w:val="22"/>
        </w:rPr>
        <w:t>CYP</w:t>
      </w:r>
      <w:r w:rsidRPr="0032564F">
        <w:rPr>
          <w:sz w:val="22"/>
          <w:szCs w:val="22"/>
          <w:lang w:val="el-GR"/>
        </w:rPr>
        <w:t>2</w:t>
      </w:r>
      <w:r w:rsidRPr="0032564F">
        <w:rPr>
          <w:sz w:val="22"/>
          <w:szCs w:val="22"/>
        </w:rPr>
        <w:t>D</w:t>
      </w:r>
      <w:r w:rsidRPr="0032564F">
        <w:rPr>
          <w:sz w:val="22"/>
          <w:szCs w:val="22"/>
          <w:lang w:val="el-GR"/>
        </w:rPr>
        <w:t>6, το οποίο εμφανίζει πολυμορφισμό. Η φλουοξετίνη μεταβολίζεται κατά κύριο λόγο στο ήπαρ στο δραστικό μεταβολίτη, τη νορφλουοξετίνη (απομεθυλο - φλουοξετίνη), η οποία σχηματίζεται με απομεθυλίωση.</w:t>
      </w:r>
    </w:p>
    <w:p w:rsidR="00F16739" w:rsidRPr="0032564F" w:rsidRDefault="00F16739" w:rsidP="00045D24">
      <w:pPr>
        <w:ind w:firstLine="720"/>
        <w:rPr>
          <w:sz w:val="22"/>
          <w:szCs w:val="22"/>
          <w:lang w:val="el-GR"/>
        </w:rPr>
      </w:pPr>
    </w:p>
    <w:p w:rsidR="00F16739" w:rsidRPr="0032564F" w:rsidRDefault="00F16739" w:rsidP="00045D24">
      <w:pPr>
        <w:ind w:firstLine="720"/>
        <w:rPr>
          <w:i/>
          <w:sz w:val="22"/>
          <w:szCs w:val="22"/>
          <w:lang w:val="el-GR"/>
        </w:rPr>
      </w:pPr>
      <w:r w:rsidRPr="0032564F">
        <w:rPr>
          <w:i/>
          <w:sz w:val="22"/>
          <w:szCs w:val="22"/>
          <w:lang w:val="el-GR"/>
        </w:rPr>
        <w:t>Αποβολή</w:t>
      </w:r>
    </w:p>
    <w:p w:rsidR="00F16739" w:rsidRPr="0032564F" w:rsidRDefault="00F16739" w:rsidP="00045D24">
      <w:pPr>
        <w:ind w:left="720"/>
        <w:rPr>
          <w:sz w:val="22"/>
          <w:szCs w:val="22"/>
          <w:lang w:val="el-GR"/>
        </w:rPr>
      </w:pPr>
      <w:r w:rsidRPr="0032564F">
        <w:rPr>
          <w:sz w:val="22"/>
          <w:szCs w:val="22"/>
          <w:lang w:val="el-GR"/>
        </w:rPr>
        <w:t>Η ημιπερίοδος αποβολής της φλουοξετίνης είναι 4 έως 6 ημέρες και της νορφλουοξετίνης 4 έως 16 ημέρες. Οι μακρές αυτές ημιπερίοδοι είναι υπεύθυνες για την παραμονή του φαρμάκου στον οργανισμό για 5-6 εβδομάδες μετά τη διακοπή της αγωγής. Η κύρια οδός απέκκρισης (περίπου 60%) είναι δια των νεφρών. Η φλουοξετίνη απεκκρίνεται στο μητρικό γάλα.</w:t>
      </w:r>
    </w:p>
    <w:p w:rsidR="00F16739" w:rsidRPr="0032564F" w:rsidRDefault="00F16739" w:rsidP="00045D24">
      <w:pPr>
        <w:rPr>
          <w:sz w:val="22"/>
          <w:szCs w:val="22"/>
          <w:lang w:val="el-GR"/>
        </w:rPr>
      </w:pPr>
    </w:p>
    <w:p w:rsidR="00F16739" w:rsidRPr="0032564F" w:rsidRDefault="00F16739" w:rsidP="00045D24">
      <w:pPr>
        <w:ind w:firstLine="720"/>
        <w:rPr>
          <w:i/>
          <w:sz w:val="22"/>
          <w:szCs w:val="22"/>
          <w:lang w:val="el-GR"/>
        </w:rPr>
      </w:pPr>
      <w:r w:rsidRPr="0032564F">
        <w:rPr>
          <w:i/>
          <w:sz w:val="22"/>
          <w:szCs w:val="22"/>
          <w:lang w:val="el-GR"/>
        </w:rPr>
        <w:lastRenderedPageBreak/>
        <w:t xml:space="preserve">Πληθυσμοί που διατρέχουν κίνδυνο </w:t>
      </w:r>
    </w:p>
    <w:p w:rsidR="00F11A68" w:rsidRDefault="00F11A68" w:rsidP="00045D24">
      <w:pPr>
        <w:ind w:left="720"/>
        <w:rPr>
          <w:sz w:val="22"/>
          <w:szCs w:val="22"/>
          <w:lang w:val="el-GR"/>
        </w:rPr>
      </w:pPr>
    </w:p>
    <w:p w:rsidR="00F16739" w:rsidRPr="00F11A68" w:rsidRDefault="00F16739" w:rsidP="00045D24">
      <w:pPr>
        <w:ind w:left="720"/>
        <w:rPr>
          <w:i/>
          <w:sz w:val="22"/>
          <w:szCs w:val="22"/>
          <w:lang w:val="el-GR"/>
        </w:rPr>
      </w:pPr>
      <w:r w:rsidRPr="009B7D6B">
        <w:rPr>
          <w:i/>
          <w:sz w:val="22"/>
          <w:szCs w:val="22"/>
          <w:lang w:val="el-GR"/>
        </w:rPr>
        <w:t>Ηλικιωμένοι:</w:t>
      </w:r>
    </w:p>
    <w:p w:rsidR="00F16739" w:rsidRPr="0032564F" w:rsidRDefault="00F16739" w:rsidP="00045D24">
      <w:pPr>
        <w:ind w:left="720"/>
        <w:rPr>
          <w:sz w:val="22"/>
          <w:szCs w:val="22"/>
          <w:lang w:val="el-GR"/>
        </w:rPr>
      </w:pPr>
      <w:r w:rsidRPr="0032564F">
        <w:rPr>
          <w:sz w:val="22"/>
          <w:szCs w:val="22"/>
          <w:lang w:val="el-GR"/>
        </w:rPr>
        <w:t>Οι φαρμακοκινητικές παράμετροι δεν μεταβάλλονται σε υγιείς ηλικιωμένους, όταν συγκρίνονται με εκείνες των νεαρότερων ατόμων.</w:t>
      </w:r>
    </w:p>
    <w:p w:rsidR="00F16739" w:rsidRPr="0032564F" w:rsidRDefault="00F16739" w:rsidP="00045D24">
      <w:pPr>
        <w:pStyle w:val="MGGTextLeft"/>
        <w:ind w:left="720"/>
        <w:rPr>
          <w:sz w:val="22"/>
          <w:szCs w:val="22"/>
          <w:lang w:val="el-GR"/>
        </w:rPr>
      </w:pPr>
    </w:p>
    <w:p w:rsidR="00F11A68" w:rsidRDefault="00636441" w:rsidP="00045D24">
      <w:pPr>
        <w:pStyle w:val="MGGTextLeft"/>
        <w:ind w:left="720"/>
        <w:rPr>
          <w:i/>
          <w:iCs/>
          <w:sz w:val="22"/>
          <w:szCs w:val="22"/>
          <w:lang w:val="el-GR"/>
        </w:rPr>
      </w:pPr>
      <w:r>
        <w:rPr>
          <w:i/>
          <w:sz w:val="22"/>
          <w:szCs w:val="22"/>
          <w:lang w:val="el-GR"/>
        </w:rPr>
        <w:t>Παιδιατρικός πληθυσμός</w:t>
      </w:r>
      <w:r w:rsidR="00F16739" w:rsidRPr="00833771">
        <w:rPr>
          <w:i/>
          <w:iCs/>
          <w:sz w:val="22"/>
          <w:szCs w:val="22"/>
          <w:lang w:val="el-GR"/>
        </w:rPr>
        <w:t>:</w:t>
      </w:r>
      <w:r w:rsidR="00F16739" w:rsidRPr="00F11A68">
        <w:rPr>
          <w:i/>
          <w:iCs/>
          <w:sz w:val="22"/>
          <w:szCs w:val="22"/>
          <w:lang w:val="el-GR"/>
        </w:rPr>
        <w:t xml:space="preserve"> </w:t>
      </w:r>
    </w:p>
    <w:p w:rsidR="00F16739" w:rsidRPr="0032564F" w:rsidRDefault="00F16739" w:rsidP="00045D24">
      <w:pPr>
        <w:pStyle w:val="MGGTextLeft"/>
        <w:ind w:left="720"/>
        <w:rPr>
          <w:iCs/>
          <w:sz w:val="22"/>
          <w:szCs w:val="22"/>
          <w:lang w:val="el-GR"/>
        </w:rPr>
      </w:pPr>
      <w:r w:rsidRPr="0032564F">
        <w:rPr>
          <w:iCs/>
          <w:sz w:val="22"/>
          <w:szCs w:val="22"/>
          <w:lang w:val="el-GR"/>
        </w:rPr>
        <w:t>Η μέση συγκέντρωση της φλουοξετίνης στα παιδιά είναι περίπου 2 φορές υψηλότερη από αυτή που παρατηρείται στους έφηβους και η μέση συγκέντρωση της νορφλουοξετίνης είναι 1,5 φορές υψηλότερη. Οι συγκεντρώσεις στη σταθεροποιημένη κατάσταση στο πλάσμα εξαρτώνται από το σωματικό βάρος και είναι υψηλότερες στα παιδιά με χαμηλότερο σωματικό βάρος (</w:t>
      </w:r>
      <w:r w:rsidR="006A6C86">
        <w:rPr>
          <w:iCs/>
          <w:sz w:val="22"/>
          <w:szCs w:val="22"/>
          <w:lang w:val="el-GR"/>
        </w:rPr>
        <w:t xml:space="preserve">βλ. </w:t>
      </w:r>
      <w:r w:rsidRPr="0032564F">
        <w:rPr>
          <w:iCs/>
          <w:sz w:val="22"/>
          <w:szCs w:val="22"/>
          <w:lang w:val="el-GR"/>
        </w:rPr>
        <w:t>παράγραφο 4.2). Όπως ισχύει στους ενήλικες, η φλουοξετίνη και η νορφλουοξετίνη υφίστανται εκτεταμένη συσσώρευση έπειτα από πολλαπλή από του στόματος δοσολόγηση. Οι συγκεντρώσεις σταθεροποιημένης κατάστασης επιτεύχθηκαν εντός 3 έως 4 εβδομάδων με ημερήσια δοσολόγηση.</w:t>
      </w:r>
    </w:p>
    <w:p w:rsidR="00F16739" w:rsidRPr="0032564F" w:rsidRDefault="00F16739" w:rsidP="00045D24">
      <w:pPr>
        <w:ind w:left="720"/>
        <w:rPr>
          <w:sz w:val="22"/>
          <w:szCs w:val="22"/>
          <w:lang w:val="el-GR"/>
        </w:rPr>
      </w:pPr>
    </w:p>
    <w:p w:rsidR="00F16739" w:rsidRPr="009B7D6B" w:rsidRDefault="00F16739" w:rsidP="00045D24">
      <w:pPr>
        <w:ind w:left="720"/>
        <w:rPr>
          <w:i/>
          <w:sz w:val="22"/>
          <w:szCs w:val="22"/>
          <w:lang w:val="el-GR"/>
        </w:rPr>
      </w:pPr>
      <w:r w:rsidRPr="009B7D6B">
        <w:rPr>
          <w:i/>
          <w:sz w:val="22"/>
          <w:szCs w:val="22"/>
          <w:lang w:val="el-GR"/>
        </w:rPr>
        <w:t>Ηπατική ανεπάρκεια:</w:t>
      </w:r>
    </w:p>
    <w:p w:rsidR="00F16739" w:rsidRPr="0032564F" w:rsidRDefault="00F16739" w:rsidP="00045D24">
      <w:pPr>
        <w:ind w:left="720"/>
        <w:rPr>
          <w:sz w:val="22"/>
          <w:szCs w:val="22"/>
          <w:lang w:val="el-GR"/>
        </w:rPr>
      </w:pPr>
      <w:r w:rsidRPr="0032564F">
        <w:rPr>
          <w:sz w:val="22"/>
          <w:szCs w:val="22"/>
          <w:lang w:val="el-GR"/>
        </w:rPr>
        <w:t>Σε περίπτωση ηπατικής ανεπάρκειας (αλκοολική κίρρωση), οι ημιπερίοδοι ζωής της φλουοξετίνης και της νορφλουοξετίνης, αυξήθηκαν σε 7 και 12 ημέρες, αντίστοιχα. Θα πρέπει να εξετάζεται η χορήγηση χαμηλότερων δόσεων ή με μικρότερη συχνότητα λήψης της δόσης.</w:t>
      </w:r>
    </w:p>
    <w:p w:rsidR="00F16739" w:rsidRPr="009B7D6B" w:rsidRDefault="00F16739" w:rsidP="00045D24">
      <w:pPr>
        <w:ind w:left="142" w:firstLine="578"/>
        <w:rPr>
          <w:i/>
          <w:sz w:val="22"/>
          <w:szCs w:val="22"/>
          <w:lang w:val="el-GR"/>
        </w:rPr>
      </w:pPr>
    </w:p>
    <w:p w:rsidR="00F16739" w:rsidRPr="009B7D6B" w:rsidRDefault="00F16739" w:rsidP="00045D24">
      <w:pPr>
        <w:ind w:left="142" w:firstLine="578"/>
        <w:rPr>
          <w:i/>
          <w:sz w:val="22"/>
          <w:szCs w:val="22"/>
          <w:lang w:val="el-GR"/>
        </w:rPr>
      </w:pPr>
      <w:r w:rsidRPr="009B7D6B">
        <w:rPr>
          <w:i/>
          <w:sz w:val="22"/>
          <w:szCs w:val="22"/>
          <w:lang w:val="el-GR"/>
        </w:rPr>
        <w:t>Νεφρική ανεπάρκεια:</w:t>
      </w:r>
    </w:p>
    <w:p w:rsidR="00F16739" w:rsidRPr="0032564F" w:rsidRDefault="00F16739" w:rsidP="00045D24">
      <w:pPr>
        <w:ind w:left="720"/>
        <w:rPr>
          <w:sz w:val="22"/>
          <w:szCs w:val="22"/>
          <w:lang w:val="el-GR"/>
        </w:rPr>
      </w:pPr>
      <w:r w:rsidRPr="0032564F">
        <w:rPr>
          <w:sz w:val="22"/>
          <w:szCs w:val="22"/>
          <w:lang w:val="el-GR"/>
        </w:rPr>
        <w:t>Μετά την εφάπαξ χορήγηση φλουοξετίνης σε ασθενείς με ήπια, μέτρια ή πλήρη (ανουρία) νεφρική ανεπάρκεια, οι φαρμακοκινητικές παράμετροι ήταν παρόμοιες με εκείνες σε υγιείς εθελοντές. Εντούτοις, με την επαναλαμβανόμενη χορήγηση ενδέχεται να παρατηρηθεί μία αύξηση των σταθεροποιημένων συγκεντρώσεων στο πλάσμα.</w:t>
      </w:r>
    </w:p>
    <w:p w:rsidR="00F16739" w:rsidRPr="0032564F" w:rsidRDefault="00F16739" w:rsidP="00045D24">
      <w:pPr>
        <w:ind w:left="142"/>
        <w:rPr>
          <w:sz w:val="22"/>
          <w:szCs w:val="22"/>
          <w:lang w:val="el-GR"/>
        </w:rPr>
      </w:pPr>
    </w:p>
    <w:p w:rsidR="00F16739" w:rsidRPr="0032564F" w:rsidRDefault="00F16739" w:rsidP="00045D24">
      <w:pPr>
        <w:rPr>
          <w:b/>
          <w:sz w:val="22"/>
          <w:szCs w:val="22"/>
          <w:lang w:val="el-GR"/>
        </w:rPr>
      </w:pPr>
      <w:r w:rsidRPr="0032564F">
        <w:rPr>
          <w:b/>
          <w:sz w:val="22"/>
          <w:szCs w:val="22"/>
          <w:lang w:val="el-GR"/>
        </w:rPr>
        <w:t>5.3</w:t>
      </w:r>
      <w:r w:rsidRPr="0032564F">
        <w:rPr>
          <w:b/>
          <w:sz w:val="22"/>
          <w:szCs w:val="22"/>
          <w:lang w:val="el-GR"/>
        </w:rPr>
        <w:tab/>
        <w:t>Προκλινικά δεδομένα για την ασφάλεια.</w:t>
      </w:r>
    </w:p>
    <w:p w:rsidR="00F16739" w:rsidRPr="0032564F" w:rsidRDefault="00F16739" w:rsidP="00045D24">
      <w:pPr>
        <w:ind w:left="720" w:hanging="720"/>
        <w:rPr>
          <w:sz w:val="22"/>
          <w:szCs w:val="22"/>
          <w:lang w:val="el-GR"/>
        </w:rPr>
      </w:pPr>
    </w:p>
    <w:p w:rsidR="00987B02" w:rsidRPr="0032564F" w:rsidRDefault="00987B02" w:rsidP="00987B02">
      <w:pPr>
        <w:ind w:left="720"/>
        <w:rPr>
          <w:sz w:val="22"/>
          <w:szCs w:val="22"/>
          <w:lang w:val="el-GR"/>
        </w:rPr>
      </w:pPr>
      <w:r w:rsidRPr="0032564F">
        <w:rPr>
          <w:sz w:val="22"/>
          <w:szCs w:val="22"/>
          <w:lang w:val="el-GR"/>
        </w:rPr>
        <w:t xml:space="preserve">Δεν υπάρχουν στοιχεία καρκινογένεσης ή εμφάνισης μεταλλάξεων, τόσο σε μελέτες </w:t>
      </w:r>
      <w:r w:rsidRPr="00987B02">
        <w:rPr>
          <w:i/>
          <w:sz w:val="22"/>
          <w:szCs w:val="22"/>
        </w:rPr>
        <w:t>in</w:t>
      </w:r>
      <w:r w:rsidRPr="00987B02">
        <w:rPr>
          <w:i/>
          <w:sz w:val="22"/>
          <w:szCs w:val="22"/>
          <w:lang w:val="el-GR"/>
        </w:rPr>
        <w:t xml:space="preserve"> </w:t>
      </w:r>
      <w:r w:rsidRPr="00987B02">
        <w:rPr>
          <w:i/>
          <w:sz w:val="22"/>
          <w:szCs w:val="22"/>
        </w:rPr>
        <w:t>vitro</w:t>
      </w:r>
      <w:r w:rsidRPr="0032564F">
        <w:rPr>
          <w:sz w:val="22"/>
          <w:szCs w:val="22"/>
          <w:lang w:val="el-GR"/>
        </w:rPr>
        <w:t xml:space="preserve"> όσο και σε μελέτες με πειραματόζωα.</w:t>
      </w:r>
    </w:p>
    <w:p w:rsidR="0030332E" w:rsidRPr="0032564F" w:rsidRDefault="0030332E" w:rsidP="00045D24">
      <w:pPr>
        <w:pStyle w:val="MGGTextLeft"/>
        <w:ind w:left="720"/>
        <w:rPr>
          <w:b/>
          <w:sz w:val="22"/>
          <w:szCs w:val="22"/>
          <w:u w:val="single"/>
          <w:lang w:val="el-GR"/>
        </w:rPr>
      </w:pPr>
    </w:p>
    <w:p w:rsidR="00F16739" w:rsidRPr="00987B02" w:rsidRDefault="00F862B7" w:rsidP="00045D24">
      <w:pPr>
        <w:pStyle w:val="MGGTextLeft"/>
        <w:ind w:left="720"/>
        <w:rPr>
          <w:sz w:val="22"/>
          <w:szCs w:val="22"/>
          <w:lang w:val="el-GR"/>
        </w:rPr>
      </w:pPr>
      <w:r w:rsidRPr="00987B02">
        <w:rPr>
          <w:sz w:val="22"/>
          <w:szCs w:val="22"/>
          <w:u w:val="single"/>
          <w:lang w:val="el-GR"/>
        </w:rPr>
        <w:t>Μελέτες σε νεαρά ζώα</w:t>
      </w:r>
    </w:p>
    <w:p w:rsidR="00F16739" w:rsidRPr="0032564F" w:rsidRDefault="00F16739" w:rsidP="00045D24">
      <w:pPr>
        <w:pStyle w:val="MGGTextLeft"/>
        <w:ind w:left="720"/>
        <w:rPr>
          <w:sz w:val="22"/>
          <w:szCs w:val="22"/>
          <w:lang w:val="el-GR"/>
        </w:rPr>
      </w:pPr>
      <w:r w:rsidRPr="0032564F">
        <w:rPr>
          <w:sz w:val="22"/>
          <w:szCs w:val="22"/>
          <w:lang w:val="el-GR"/>
        </w:rPr>
        <w:t xml:space="preserve">Κατά τη διάρκεια μίας μελέτης τοξικότητας σε νεαρή ηλικία η οποία πραγματοποιήθηκε σε </w:t>
      </w:r>
      <w:r w:rsidRPr="0032564F">
        <w:rPr>
          <w:sz w:val="22"/>
          <w:szCs w:val="22"/>
        </w:rPr>
        <w:t>CD</w:t>
      </w:r>
      <w:r w:rsidRPr="0032564F">
        <w:rPr>
          <w:sz w:val="22"/>
          <w:szCs w:val="22"/>
          <w:lang w:val="el-GR"/>
        </w:rPr>
        <w:t xml:space="preserve"> αρουραίους, η χορήγηση δόσης υδροχλωρικής φλουοξετίνης ίσης με 30</w:t>
      </w:r>
      <w:r w:rsidR="00687923">
        <w:rPr>
          <w:sz w:val="22"/>
          <w:szCs w:val="22"/>
          <w:lang w:val="el-GR"/>
        </w:rPr>
        <w:t xml:space="preserve"> </w:t>
      </w:r>
      <w:r w:rsidRPr="0032564F">
        <w:rPr>
          <w:sz w:val="22"/>
          <w:szCs w:val="22"/>
        </w:rPr>
        <w:t>mg</w:t>
      </w:r>
      <w:r w:rsidRPr="0032564F">
        <w:rPr>
          <w:sz w:val="22"/>
          <w:szCs w:val="22"/>
          <w:lang w:val="el-GR"/>
        </w:rPr>
        <w:t>/</w:t>
      </w:r>
      <w:r w:rsidRPr="0032564F">
        <w:rPr>
          <w:sz w:val="22"/>
          <w:szCs w:val="22"/>
        </w:rPr>
        <w:t>kg</w:t>
      </w:r>
      <w:r w:rsidRPr="0032564F">
        <w:rPr>
          <w:sz w:val="22"/>
          <w:szCs w:val="22"/>
          <w:lang w:val="el-GR"/>
        </w:rPr>
        <w:t>/ημέρα κατά τις ημέρες 21 έως 90 μετά από τη γέννηση είχε ως αποτέλεσμα μη αναστρέψιμη εκφύλιση και νέκρωση των όρχεων, κενοτοπιώδη εκφύλιση του επιθηλίου της επιδιδυμίδας, έλλειψη ωρίμανσης και δραστηριότητας του θηλυκού αναπαραγωγικού συστήματος και μειωμένη γονιμότητα. Σημειώθηκε μείωση της σεξουαλικής ωρίμανσης στα αρσενικά (10 και 30</w:t>
      </w:r>
      <w:r w:rsidR="00687923">
        <w:rPr>
          <w:sz w:val="22"/>
          <w:szCs w:val="22"/>
          <w:lang w:val="el-GR"/>
        </w:rPr>
        <w:t xml:space="preserve"> </w:t>
      </w:r>
      <w:r w:rsidRPr="0032564F">
        <w:rPr>
          <w:sz w:val="22"/>
          <w:szCs w:val="22"/>
        </w:rPr>
        <w:t>mg</w:t>
      </w:r>
      <w:r w:rsidRPr="0032564F">
        <w:rPr>
          <w:sz w:val="22"/>
          <w:szCs w:val="22"/>
          <w:lang w:val="el-GR"/>
        </w:rPr>
        <w:t>/</w:t>
      </w:r>
      <w:r w:rsidRPr="0032564F">
        <w:rPr>
          <w:sz w:val="22"/>
          <w:szCs w:val="22"/>
        </w:rPr>
        <w:t>kg</w:t>
      </w:r>
      <w:r w:rsidRPr="0032564F">
        <w:rPr>
          <w:sz w:val="22"/>
          <w:szCs w:val="22"/>
          <w:lang w:val="el-GR"/>
        </w:rPr>
        <w:t>/ημέρα) και στα θηλυκά (30</w:t>
      </w:r>
      <w:r w:rsidR="00687923">
        <w:rPr>
          <w:sz w:val="22"/>
          <w:szCs w:val="22"/>
          <w:lang w:val="el-GR"/>
        </w:rPr>
        <w:t xml:space="preserve"> </w:t>
      </w:r>
      <w:r w:rsidRPr="0032564F">
        <w:rPr>
          <w:sz w:val="22"/>
          <w:szCs w:val="22"/>
        </w:rPr>
        <w:t>mg</w:t>
      </w:r>
      <w:r w:rsidRPr="0032564F">
        <w:rPr>
          <w:sz w:val="22"/>
          <w:szCs w:val="22"/>
          <w:lang w:val="el-GR"/>
        </w:rPr>
        <w:t>/</w:t>
      </w:r>
      <w:r w:rsidRPr="0032564F">
        <w:rPr>
          <w:sz w:val="22"/>
          <w:szCs w:val="22"/>
        </w:rPr>
        <w:t>kg</w:t>
      </w:r>
      <w:r w:rsidRPr="0032564F">
        <w:rPr>
          <w:sz w:val="22"/>
          <w:szCs w:val="22"/>
          <w:lang w:val="el-GR"/>
        </w:rPr>
        <w:t>/ημέρα). Η σημασία των ευρημάτων αυτών στον άνθρωπο είναι άγνωστη. Σε αρουραίους στους οποίους χορηγήθηκε δόση 30</w:t>
      </w:r>
      <w:r w:rsidR="00687923">
        <w:rPr>
          <w:sz w:val="22"/>
          <w:szCs w:val="22"/>
          <w:lang w:val="el-GR"/>
        </w:rPr>
        <w:t xml:space="preserve"> </w:t>
      </w:r>
      <w:r w:rsidRPr="0032564F">
        <w:rPr>
          <w:sz w:val="22"/>
          <w:szCs w:val="22"/>
        </w:rPr>
        <w:t>mg</w:t>
      </w:r>
      <w:r w:rsidRPr="0032564F">
        <w:rPr>
          <w:sz w:val="22"/>
          <w:szCs w:val="22"/>
          <w:lang w:val="el-GR"/>
        </w:rPr>
        <w:t>/</w:t>
      </w:r>
      <w:r w:rsidRPr="0032564F">
        <w:rPr>
          <w:sz w:val="22"/>
          <w:szCs w:val="22"/>
        </w:rPr>
        <w:t>kg</w:t>
      </w:r>
      <w:r w:rsidRPr="0032564F">
        <w:rPr>
          <w:sz w:val="22"/>
          <w:szCs w:val="22"/>
          <w:lang w:val="el-GR"/>
        </w:rPr>
        <w:t xml:space="preserve"> παρατηρήθηκε επίσης μείωση του μήκους των μηριαίων οστών συγκριτικά με την ομάδα ελέγχου, και εκφύλιση, νέκρωση και αναγέννηση των σκελετικών μυών. Στη δόση των 10</w:t>
      </w:r>
      <w:r w:rsidR="00687923">
        <w:rPr>
          <w:sz w:val="22"/>
          <w:szCs w:val="22"/>
          <w:lang w:val="el-GR"/>
        </w:rPr>
        <w:t xml:space="preserve"> </w:t>
      </w:r>
      <w:r w:rsidRPr="0032564F">
        <w:rPr>
          <w:sz w:val="22"/>
          <w:szCs w:val="22"/>
        </w:rPr>
        <w:t>mg</w:t>
      </w:r>
      <w:r w:rsidRPr="0032564F">
        <w:rPr>
          <w:sz w:val="22"/>
          <w:szCs w:val="22"/>
          <w:lang w:val="el-GR"/>
        </w:rPr>
        <w:t>/</w:t>
      </w:r>
      <w:r w:rsidRPr="0032564F">
        <w:rPr>
          <w:sz w:val="22"/>
          <w:szCs w:val="22"/>
        </w:rPr>
        <w:t>kg</w:t>
      </w:r>
      <w:r w:rsidRPr="0032564F">
        <w:rPr>
          <w:sz w:val="22"/>
          <w:szCs w:val="22"/>
          <w:lang w:val="el-GR"/>
        </w:rPr>
        <w:t>/ημέρα τα επίπεδα του πλάσματος που επιτεύχθηκαν στα ζώα ήταν περίπου 0,8 έως 8,8 φορές (φλουοξετίνη) και 3,6 έως 23,2 φορές (νορφλουοξετίνη) μεγαλύτερα των επιπέδων που παρατηρούνται συνήθως στους παιδιατρικούς ασθενείς. Στη δόση των 3</w:t>
      </w:r>
      <w:r w:rsidR="00687923">
        <w:rPr>
          <w:sz w:val="22"/>
          <w:szCs w:val="22"/>
          <w:lang w:val="el-GR"/>
        </w:rPr>
        <w:t xml:space="preserve"> </w:t>
      </w:r>
      <w:r w:rsidRPr="0032564F">
        <w:rPr>
          <w:sz w:val="22"/>
          <w:szCs w:val="22"/>
        </w:rPr>
        <w:t>mg</w:t>
      </w:r>
      <w:r w:rsidRPr="0032564F">
        <w:rPr>
          <w:sz w:val="22"/>
          <w:szCs w:val="22"/>
          <w:lang w:val="el-GR"/>
        </w:rPr>
        <w:t>/</w:t>
      </w:r>
      <w:r w:rsidRPr="0032564F">
        <w:rPr>
          <w:sz w:val="22"/>
          <w:szCs w:val="22"/>
        </w:rPr>
        <w:t>kg</w:t>
      </w:r>
      <w:r w:rsidRPr="0032564F">
        <w:rPr>
          <w:sz w:val="22"/>
          <w:szCs w:val="22"/>
          <w:lang w:val="el-GR"/>
        </w:rPr>
        <w:t>/ημέρα τα επίπεδα του πλάσματος που επιτεύχθηκαν στα ζώα ήταν περίπου 0,04 έως 0,5 φορές (φλουοξετίνη) και 0,3 έως 2,1 φορές (νορφλουοξετίνη) μεγαλύτερα των επιπέδων που παρατηρούνται συνήθως στους παιδιατρικούς ασθενείς.</w:t>
      </w:r>
    </w:p>
    <w:p w:rsidR="00F16739" w:rsidRPr="0032564F" w:rsidRDefault="00F16739" w:rsidP="00045D24">
      <w:pPr>
        <w:pStyle w:val="MGGTextLeft"/>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lastRenderedPageBreak/>
        <w:t>Υπάρχουν ενδείξεις μέσα από μία μελέτη που πραγματοποιήθηκε σε νεαρά ποντίκια για το γεγονός πως η αναστολή του μεταφορέα της σεροτονίνης παρεμποδίζει την αύξηση του οστού. Το εύρημα αυτό δείχνει να υποστηρίζεται από τα κλινικά ευρήματα. Η αναστρεψιμότητα της επίδρασης αυτής δεν έχει τεκμηριωθεί.</w:t>
      </w:r>
    </w:p>
    <w:p w:rsidR="00F16739" w:rsidRPr="0032564F" w:rsidRDefault="00F16739" w:rsidP="00045D24">
      <w:pPr>
        <w:pStyle w:val="MGGTextLeft"/>
        <w:ind w:left="720"/>
        <w:rPr>
          <w:sz w:val="22"/>
          <w:szCs w:val="22"/>
          <w:lang w:val="el-GR"/>
        </w:rPr>
      </w:pPr>
    </w:p>
    <w:p w:rsidR="00F16739" w:rsidRPr="0032564F" w:rsidRDefault="00F16739" w:rsidP="00045D24">
      <w:pPr>
        <w:pStyle w:val="MGGTextLeft"/>
        <w:ind w:left="720"/>
        <w:rPr>
          <w:sz w:val="22"/>
          <w:szCs w:val="22"/>
          <w:lang w:val="el-GR"/>
        </w:rPr>
      </w:pPr>
      <w:r w:rsidRPr="0032564F">
        <w:rPr>
          <w:sz w:val="22"/>
          <w:szCs w:val="22"/>
          <w:lang w:val="el-GR"/>
        </w:rPr>
        <w:t>Μία άλλη μελέτη που πραγματοποιήθηκε σε νεαρούς ποντικούς (στους οποίους χορηγήθηκε αγωγή για τις ημέρες 4 έως 21 μετά τη γέννηση) κατέδειξε πως η αναστολή του μεταφορέα της σεροτονίνης είχε μακράς διάρκειας επιδράσεις στη συμπεριφορά των ποντικών. Δεν υπάρχουν πληροφορίες για την αναστρεψιμότητα αυτής της επίδρασης. Η κλινική συσχέτιση του ευρήματος αυτού δεν έχει τεκμηριωθεί.</w:t>
      </w:r>
    </w:p>
    <w:p w:rsidR="00F16739" w:rsidRPr="0032564F" w:rsidRDefault="00F16739" w:rsidP="00045D24">
      <w:pPr>
        <w:ind w:left="720" w:hanging="720"/>
        <w:rPr>
          <w:sz w:val="22"/>
          <w:szCs w:val="22"/>
          <w:lang w:val="el-GR"/>
        </w:rPr>
      </w:pPr>
    </w:p>
    <w:p w:rsidR="0030332E" w:rsidRPr="005B7F4A" w:rsidRDefault="00F862B7" w:rsidP="00045D24">
      <w:pPr>
        <w:pStyle w:val="MGGTextLeft"/>
        <w:ind w:firstLine="720"/>
        <w:rPr>
          <w:sz w:val="22"/>
          <w:szCs w:val="22"/>
          <w:u w:val="single"/>
          <w:lang w:val="el-GR"/>
        </w:rPr>
      </w:pPr>
      <w:r w:rsidRPr="005B7F4A">
        <w:rPr>
          <w:sz w:val="22"/>
          <w:szCs w:val="22"/>
          <w:u w:val="single"/>
          <w:lang w:val="el-GR"/>
        </w:rPr>
        <w:t xml:space="preserve">Μελέτες σε ενήλικα ζώα </w:t>
      </w:r>
    </w:p>
    <w:p w:rsidR="00F16739" w:rsidRPr="0032564F" w:rsidRDefault="00254D7B" w:rsidP="00045D24">
      <w:pPr>
        <w:ind w:left="720"/>
        <w:rPr>
          <w:sz w:val="22"/>
          <w:szCs w:val="22"/>
          <w:lang w:val="el-GR"/>
        </w:rPr>
      </w:pPr>
      <w:r>
        <w:rPr>
          <w:sz w:val="22"/>
          <w:szCs w:val="22"/>
          <w:lang w:val="el-GR"/>
        </w:rPr>
        <w:t>Σε μια μελέτη αναπαραγωγής 2 γενεών, η φλουοξετίνη δεν προκάλεσε ανεπιθύμητ</w:t>
      </w:r>
      <w:r w:rsidR="00037329">
        <w:rPr>
          <w:sz w:val="22"/>
          <w:szCs w:val="22"/>
          <w:lang w:val="el-GR"/>
        </w:rPr>
        <w:t>ες ενέργειες στο ζευγάρωμα ή τη</w:t>
      </w:r>
      <w:r>
        <w:rPr>
          <w:sz w:val="22"/>
          <w:szCs w:val="22"/>
          <w:lang w:val="el-GR"/>
        </w:rPr>
        <w:t xml:space="preserve"> γονιμότητα των αρουραίων, δεν ήταν τερατογόνος και δεν επηρέασε την </w:t>
      </w:r>
      <w:r w:rsidR="00037329">
        <w:rPr>
          <w:sz w:val="22"/>
          <w:szCs w:val="22"/>
          <w:lang w:val="el-GR"/>
        </w:rPr>
        <w:t xml:space="preserve">αύξηση, την </w:t>
      </w:r>
      <w:r>
        <w:rPr>
          <w:sz w:val="22"/>
          <w:szCs w:val="22"/>
          <w:lang w:val="el-GR"/>
        </w:rPr>
        <w:t>ανάπτυξη</w:t>
      </w:r>
      <w:r w:rsidR="000534C9">
        <w:rPr>
          <w:sz w:val="22"/>
          <w:szCs w:val="22"/>
          <w:lang w:val="el-GR"/>
        </w:rPr>
        <w:t xml:space="preserve"> </w:t>
      </w:r>
      <w:r w:rsidR="00037329">
        <w:rPr>
          <w:sz w:val="22"/>
          <w:szCs w:val="22"/>
          <w:lang w:val="el-GR"/>
        </w:rPr>
        <w:t xml:space="preserve">ή τις αναπαραγωγικές παραμέτρους των απογόνων. Οι συγκεντρώσεις στη διατροφή αντιστοιχούσαν σε δόσεις περίπου </w:t>
      </w:r>
      <w:r w:rsidR="00687923">
        <w:rPr>
          <w:sz w:val="22"/>
          <w:szCs w:val="22"/>
          <w:lang w:val="el-GR"/>
        </w:rPr>
        <w:t xml:space="preserve">ισοδύναμες με </w:t>
      </w:r>
      <w:r w:rsidR="0030332E" w:rsidRPr="00045D24">
        <w:rPr>
          <w:sz w:val="22"/>
          <w:szCs w:val="22"/>
          <w:lang w:val="el-GR"/>
        </w:rPr>
        <w:t>1</w:t>
      </w:r>
      <w:r w:rsidR="00987B02">
        <w:rPr>
          <w:sz w:val="22"/>
          <w:szCs w:val="22"/>
          <w:lang w:val="el-GR"/>
        </w:rPr>
        <w:t>,</w:t>
      </w:r>
      <w:r w:rsidR="0030332E" w:rsidRPr="00045D24">
        <w:rPr>
          <w:sz w:val="22"/>
          <w:szCs w:val="22"/>
          <w:lang w:val="el-GR"/>
        </w:rPr>
        <w:t>5, 3</w:t>
      </w:r>
      <w:r w:rsidR="00E742B7">
        <w:rPr>
          <w:sz w:val="22"/>
          <w:szCs w:val="22"/>
          <w:lang w:val="el-GR"/>
        </w:rPr>
        <w:t>,</w:t>
      </w:r>
      <w:r w:rsidR="0030332E" w:rsidRPr="00045D24">
        <w:rPr>
          <w:sz w:val="22"/>
          <w:szCs w:val="22"/>
          <w:lang w:val="el-GR"/>
        </w:rPr>
        <w:t>9</w:t>
      </w:r>
      <w:r w:rsidR="00571986">
        <w:rPr>
          <w:sz w:val="22"/>
          <w:szCs w:val="22"/>
          <w:lang w:val="el-GR"/>
        </w:rPr>
        <w:t xml:space="preserve"> </w:t>
      </w:r>
      <w:r w:rsidR="00037329">
        <w:rPr>
          <w:sz w:val="22"/>
          <w:szCs w:val="22"/>
          <w:lang w:val="el-GR"/>
        </w:rPr>
        <w:t>και</w:t>
      </w:r>
      <w:r w:rsidR="0030332E" w:rsidRPr="00045D24">
        <w:rPr>
          <w:sz w:val="22"/>
          <w:szCs w:val="22"/>
          <w:lang w:val="el-GR"/>
        </w:rPr>
        <w:t xml:space="preserve"> 9</w:t>
      </w:r>
      <w:r w:rsidR="00987B02">
        <w:rPr>
          <w:sz w:val="22"/>
          <w:szCs w:val="22"/>
          <w:lang w:val="el-GR"/>
        </w:rPr>
        <w:t>,</w:t>
      </w:r>
      <w:r w:rsidR="0030332E" w:rsidRPr="00045D24">
        <w:rPr>
          <w:sz w:val="22"/>
          <w:szCs w:val="22"/>
          <w:lang w:val="el-GR"/>
        </w:rPr>
        <w:t xml:space="preserve">7 </w:t>
      </w:r>
      <w:r w:rsidR="0030332E" w:rsidRPr="0032564F">
        <w:rPr>
          <w:sz w:val="22"/>
          <w:szCs w:val="22"/>
        </w:rPr>
        <w:t>mg</w:t>
      </w:r>
      <w:r w:rsidR="0030332E" w:rsidRPr="00045D24">
        <w:rPr>
          <w:sz w:val="22"/>
          <w:szCs w:val="22"/>
          <w:lang w:val="el-GR"/>
        </w:rPr>
        <w:t xml:space="preserve"> </w:t>
      </w:r>
      <w:r w:rsidR="00037329">
        <w:rPr>
          <w:sz w:val="22"/>
          <w:szCs w:val="22"/>
          <w:lang w:val="el-GR"/>
        </w:rPr>
        <w:t>φλουοξετίνης</w:t>
      </w:r>
      <w:r w:rsidR="0030332E" w:rsidRPr="00045D24">
        <w:rPr>
          <w:sz w:val="22"/>
          <w:szCs w:val="22"/>
          <w:lang w:val="el-GR"/>
        </w:rPr>
        <w:t>/</w:t>
      </w:r>
      <w:r w:rsidR="0030332E" w:rsidRPr="0032564F">
        <w:rPr>
          <w:sz w:val="22"/>
          <w:szCs w:val="22"/>
        </w:rPr>
        <w:t>kg</w:t>
      </w:r>
      <w:r w:rsidR="0030332E" w:rsidRPr="00045D24">
        <w:rPr>
          <w:sz w:val="22"/>
          <w:szCs w:val="22"/>
          <w:lang w:val="el-GR"/>
        </w:rPr>
        <w:t xml:space="preserve"> </w:t>
      </w:r>
      <w:r w:rsidR="00037329">
        <w:rPr>
          <w:sz w:val="22"/>
          <w:szCs w:val="22"/>
          <w:lang w:val="el-GR"/>
        </w:rPr>
        <w:t xml:space="preserve">σωματικού βάρους. Στα αρσενικά ποντίκια που έλαβαν καθημερινή αγωγή φλουοξετίνης μέσω της διατροφής επί 3 μήνες σε δόση που αντιστοιχούσε περίπου σε </w:t>
      </w:r>
      <w:r w:rsidR="0030332E" w:rsidRPr="00045D24">
        <w:rPr>
          <w:sz w:val="22"/>
          <w:szCs w:val="22"/>
          <w:lang w:val="el-GR"/>
        </w:rPr>
        <w:t xml:space="preserve">31 </w:t>
      </w:r>
      <w:r w:rsidR="0030332E" w:rsidRPr="0032564F">
        <w:rPr>
          <w:sz w:val="22"/>
          <w:szCs w:val="22"/>
        </w:rPr>
        <w:t>mg</w:t>
      </w:r>
      <w:r w:rsidR="0030332E" w:rsidRPr="00045D24">
        <w:rPr>
          <w:sz w:val="22"/>
          <w:szCs w:val="22"/>
          <w:lang w:val="el-GR"/>
        </w:rPr>
        <w:t>/</w:t>
      </w:r>
      <w:r w:rsidR="0030332E" w:rsidRPr="0032564F">
        <w:rPr>
          <w:sz w:val="22"/>
          <w:szCs w:val="22"/>
        </w:rPr>
        <w:t>kg</w:t>
      </w:r>
      <w:r w:rsidR="00037329">
        <w:rPr>
          <w:sz w:val="22"/>
          <w:szCs w:val="22"/>
          <w:lang w:val="el-GR"/>
        </w:rPr>
        <w:t>, δείχθηκε μείωση στο βάρος των όρχεων και υποσπερματογένεση. Ωστόσο, το συγκεκριμένο δοσολογικό επίπεδο υπερέβαινε τη μέγιστη ανεκτή δόση καθώς παρατηρήθηκαν σημαντικά σημεία τοξικότητας</w:t>
      </w:r>
      <w:r w:rsidR="0030332E" w:rsidRPr="00045D24">
        <w:rPr>
          <w:sz w:val="22"/>
          <w:szCs w:val="22"/>
          <w:lang w:val="el-GR"/>
        </w:rPr>
        <w:t>.</w:t>
      </w:r>
    </w:p>
    <w:p w:rsidR="0030332E" w:rsidRPr="0032564F" w:rsidRDefault="0030332E" w:rsidP="00045D24">
      <w:pPr>
        <w:ind w:left="720"/>
        <w:rPr>
          <w:sz w:val="22"/>
          <w:szCs w:val="22"/>
          <w:lang w:val="el-GR"/>
        </w:rPr>
      </w:pPr>
    </w:p>
    <w:p w:rsidR="0030332E" w:rsidRPr="0032564F" w:rsidRDefault="0030332E" w:rsidP="00045D24">
      <w:pPr>
        <w:ind w:left="720"/>
        <w:rPr>
          <w:sz w:val="22"/>
          <w:szCs w:val="22"/>
          <w:lang w:val="el-GR"/>
        </w:rPr>
      </w:pPr>
    </w:p>
    <w:p w:rsidR="00F16739" w:rsidRPr="0032564F" w:rsidRDefault="00F16739" w:rsidP="00045D24">
      <w:pPr>
        <w:pStyle w:val="a3"/>
        <w:numPr>
          <w:ilvl w:val="0"/>
          <w:numId w:val="6"/>
        </w:numPr>
        <w:tabs>
          <w:tab w:val="left" w:pos="1134"/>
        </w:tabs>
        <w:rPr>
          <w:b/>
          <w:sz w:val="22"/>
          <w:szCs w:val="22"/>
        </w:rPr>
      </w:pPr>
      <w:r w:rsidRPr="0032564F">
        <w:rPr>
          <w:b/>
          <w:sz w:val="22"/>
          <w:szCs w:val="22"/>
          <w:lang w:val="el-GR"/>
        </w:rPr>
        <w:t>ΦΑΡΜΑΚΕΥΤΙΚΑ ΣΤΟΙΧΕΙΑ</w:t>
      </w:r>
    </w:p>
    <w:p w:rsidR="00F16739" w:rsidRPr="0032564F" w:rsidRDefault="00F16739" w:rsidP="00045D24">
      <w:pPr>
        <w:pStyle w:val="a3"/>
        <w:tabs>
          <w:tab w:val="left" w:pos="1134"/>
        </w:tabs>
        <w:ind w:left="0"/>
        <w:rPr>
          <w:b/>
          <w:sz w:val="22"/>
          <w:szCs w:val="22"/>
        </w:rPr>
      </w:pPr>
    </w:p>
    <w:p w:rsidR="00F16739" w:rsidRPr="0032564F" w:rsidRDefault="00F16739" w:rsidP="00045D24">
      <w:pPr>
        <w:pStyle w:val="a3"/>
        <w:ind w:left="0"/>
        <w:rPr>
          <w:b/>
          <w:sz w:val="22"/>
          <w:szCs w:val="22"/>
        </w:rPr>
      </w:pPr>
      <w:r w:rsidRPr="0032564F">
        <w:rPr>
          <w:b/>
          <w:sz w:val="22"/>
          <w:szCs w:val="22"/>
          <w:lang w:val="el-GR"/>
        </w:rPr>
        <w:t>6.1</w:t>
      </w:r>
      <w:r w:rsidRPr="0032564F">
        <w:rPr>
          <w:b/>
          <w:sz w:val="22"/>
          <w:szCs w:val="22"/>
          <w:lang w:val="el-GR"/>
        </w:rPr>
        <w:tab/>
        <w:t>Κατάλογος εκδόχων</w:t>
      </w:r>
    </w:p>
    <w:p w:rsidR="00F16739" w:rsidRPr="0032564F" w:rsidRDefault="00F16739" w:rsidP="00045D24">
      <w:pPr>
        <w:pStyle w:val="a3"/>
        <w:tabs>
          <w:tab w:val="left" w:pos="1134"/>
        </w:tabs>
        <w:ind w:left="0"/>
        <w:rPr>
          <w:b/>
          <w:sz w:val="22"/>
          <w:szCs w:val="22"/>
        </w:rPr>
      </w:pPr>
    </w:p>
    <w:p w:rsidR="00F16739" w:rsidRPr="0032564F" w:rsidRDefault="00F16739" w:rsidP="00045D24">
      <w:pPr>
        <w:pStyle w:val="2"/>
        <w:ind w:firstLine="720"/>
        <w:jc w:val="left"/>
        <w:rPr>
          <w:szCs w:val="22"/>
        </w:rPr>
      </w:pPr>
      <w:r w:rsidRPr="0032564F">
        <w:rPr>
          <w:szCs w:val="22"/>
          <w:lang w:val="el-GR"/>
        </w:rPr>
        <w:t>Λακτόζη</w:t>
      </w:r>
    </w:p>
    <w:p w:rsidR="00F16739" w:rsidRPr="0032564F" w:rsidRDefault="00F16739" w:rsidP="00045D24">
      <w:pPr>
        <w:pStyle w:val="2"/>
        <w:ind w:firstLine="720"/>
        <w:jc w:val="left"/>
        <w:rPr>
          <w:szCs w:val="22"/>
        </w:rPr>
      </w:pPr>
      <w:r w:rsidRPr="0032564F">
        <w:rPr>
          <w:szCs w:val="22"/>
          <w:lang w:val="el-GR"/>
        </w:rPr>
        <w:t>Άμυλο αραβοσίτου</w:t>
      </w:r>
    </w:p>
    <w:p w:rsidR="00F16739" w:rsidRPr="0032564F" w:rsidRDefault="00F16739" w:rsidP="00045D24">
      <w:pPr>
        <w:pStyle w:val="2"/>
        <w:ind w:firstLine="720"/>
        <w:jc w:val="left"/>
        <w:rPr>
          <w:szCs w:val="22"/>
          <w:lang w:val="el-GR"/>
        </w:rPr>
      </w:pPr>
      <w:r w:rsidRPr="0032564F">
        <w:rPr>
          <w:szCs w:val="22"/>
          <w:lang w:val="el-GR"/>
        </w:rPr>
        <w:t>Πυριτίου οξείδιο κολλοειδές, άνυδρο</w:t>
      </w:r>
    </w:p>
    <w:p w:rsidR="00F16739" w:rsidRPr="0032564F" w:rsidRDefault="00F16739" w:rsidP="00045D24">
      <w:pPr>
        <w:pStyle w:val="2"/>
        <w:ind w:firstLine="720"/>
        <w:jc w:val="left"/>
        <w:rPr>
          <w:szCs w:val="22"/>
          <w:lang w:val="el-GR"/>
        </w:rPr>
      </w:pPr>
      <w:r w:rsidRPr="0032564F">
        <w:rPr>
          <w:szCs w:val="22"/>
          <w:lang w:val="el-GR"/>
        </w:rPr>
        <w:t>Τάλκης</w:t>
      </w:r>
    </w:p>
    <w:p w:rsidR="00F16739" w:rsidRPr="0032564F" w:rsidRDefault="00F16739" w:rsidP="00045D24">
      <w:pPr>
        <w:pStyle w:val="2"/>
        <w:ind w:firstLine="720"/>
        <w:jc w:val="left"/>
        <w:rPr>
          <w:szCs w:val="22"/>
          <w:lang w:val="el-GR"/>
        </w:rPr>
      </w:pPr>
      <w:r w:rsidRPr="0032564F">
        <w:rPr>
          <w:szCs w:val="22"/>
          <w:lang w:val="el-GR"/>
        </w:rPr>
        <w:t xml:space="preserve">Μαγνήσιο στεατικό </w:t>
      </w:r>
    </w:p>
    <w:p w:rsidR="00F16739" w:rsidRPr="0032564F" w:rsidRDefault="00F16739" w:rsidP="00045D24">
      <w:pPr>
        <w:pStyle w:val="2"/>
        <w:ind w:firstLine="720"/>
        <w:jc w:val="left"/>
        <w:rPr>
          <w:szCs w:val="22"/>
          <w:lang w:val="el-GR"/>
        </w:rPr>
      </w:pPr>
    </w:p>
    <w:p w:rsidR="00F16739" w:rsidRPr="0032564F" w:rsidRDefault="00F16739" w:rsidP="00045D24">
      <w:pPr>
        <w:pStyle w:val="2"/>
        <w:ind w:firstLine="720"/>
        <w:jc w:val="left"/>
        <w:rPr>
          <w:i/>
          <w:szCs w:val="22"/>
          <w:lang w:val="el-GR"/>
        </w:rPr>
      </w:pPr>
      <w:r w:rsidRPr="0032564F">
        <w:rPr>
          <w:i/>
          <w:szCs w:val="22"/>
          <w:lang w:val="el-GR"/>
        </w:rPr>
        <w:t>Χρωστικές Καψακίου</w:t>
      </w:r>
    </w:p>
    <w:p w:rsidR="00F16739" w:rsidRPr="0032564F" w:rsidRDefault="00F16739" w:rsidP="00045D24">
      <w:pPr>
        <w:pStyle w:val="2"/>
        <w:ind w:left="414" w:firstLine="306"/>
        <w:jc w:val="left"/>
        <w:rPr>
          <w:szCs w:val="22"/>
          <w:lang w:val="el-GR"/>
        </w:rPr>
      </w:pPr>
      <w:r w:rsidRPr="0032564F">
        <w:rPr>
          <w:szCs w:val="22"/>
          <w:lang w:val="el-GR"/>
        </w:rPr>
        <w:t>Κυανό (</w:t>
      </w:r>
      <w:r w:rsidRPr="0032564F">
        <w:rPr>
          <w:szCs w:val="22"/>
        </w:rPr>
        <w:t>E</w:t>
      </w:r>
      <w:r w:rsidRPr="0032564F">
        <w:rPr>
          <w:szCs w:val="22"/>
          <w:lang w:val="el-GR"/>
        </w:rPr>
        <w:t>133)</w:t>
      </w:r>
    </w:p>
    <w:p w:rsidR="00F16739" w:rsidRPr="0032564F" w:rsidRDefault="00F16739" w:rsidP="00045D24">
      <w:pPr>
        <w:pStyle w:val="2"/>
        <w:ind w:left="414" w:firstLine="306"/>
        <w:jc w:val="left"/>
        <w:rPr>
          <w:szCs w:val="22"/>
          <w:lang w:val="el-GR"/>
        </w:rPr>
      </w:pPr>
      <w:r w:rsidRPr="0032564F">
        <w:rPr>
          <w:szCs w:val="22"/>
          <w:lang w:val="el-GR"/>
        </w:rPr>
        <w:t>Κίτρινο κινολίνης (</w:t>
      </w:r>
      <w:r w:rsidRPr="0032564F">
        <w:rPr>
          <w:szCs w:val="22"/>
        </w:rPr>
        <w:t>E</w:t>
      </w:r>
      <w:r w:rsidRPr="0032564F">
        <w:rPr>
          <w:szCs w:val="22"/>
          <w:lang w:val="el-GR"/>
        </w:rPr>
        <w:t>104)</w:t>
      </w:r>
    </w:p>
    <w:p w:rsidR="00F16739" w:rsidRPr="0032564F" w:rsidRDefault="00F16739" w:rsidP="00045D24">
      <w:pPr>
        <w:pStyle w:val="2"/>
        <w:ind w:left="414" w:firstLine="306"/>
        <w:jc w:val="left"/>
        <w:rPr>
          <w:szCs w:val="22"/>
          <w:lang w:val="el-GR"/>
        </w:rPr>
      </w:pPr>
      <w:r w:rsidRPr="0032564F">
        <w:rPr>
          <w:szCs w:val="22"/>
          <w:lang w:val="el-GR"/>
        </w:rPr>
        <w:t>Τιτανίου διοξείδιο (</w:t>
      </w:r>
      <w:r w:rsidRPr="0032564F">
        <w:rPr>
          <w:szCs w:val="22"/>
        </w:rPr>
        <w:t>E</w:t>
      </w:r>
      <w:r w:rsidRPr="0032564F">
        <w:rPr>
          <w:szCs w:val="22"/>
          <w:lang w:val="el-GR"/>
        </w:rPr>
        <w:t>171)</w:t>
      </w:r>
    </w:p>
    <w:p w:rsidR="00F16739" w:rsidRPr="0032564F" w:rsidRDefault="00F16739" w:rsidP="00045D24">
      <w:pPr>
        <w:pStyle w:val="2"/>
        <w:ind w:left="414" w:firstLine="306"/>
        <w:jc w:val="left"/>
        <w:rPr>
          <w:szCs w:val="22"/>
          <w:lang w:val="el-GR"/>
        </w:rPr>
      </w:pPr>
      <w:r w:rsidRPr="0032564F">
        <w:rPr>
          <w:szCs w:val="22"/>
          <w:lang w:val="el-GR"/>
        </w:rPr>
        <w:t>Ινδικοκαρμίνιο (Ε132)</w:t>
      </w:r>
    </w:p>
    <w:p w:rsidR="00F16739" w:rsidRPr="0032564F" w:rsidRDefault="00F16739" w:rsidP="00045D24">
      <w:pPr>
        <w:pStyle w:val="2"/>
        <w:ind w:left="414" w:firstLine="306"/>
        <w:jc w:val="left"/>
        <w:rPr>
          <w:szCs w:val="22"/>
          <w:lang w:val="el-GR"/>
        </w:rPr>
      </w:pPr>
      <w:r w:rsidRPr="0032564F">
        <w:rPr>
          <w:szCs w:val="22"/>
          <w:lang w:val="el-GR"/>
        </w:rPr>
        <w:t>Ερυθροσίνη (Ε127)</w:t>
      </w:r>
    </w:p>
    <w:p w:rsidR="00F16739" w:rsidRPr="0032564F" w:rsidRDefault="00F16739" w:rsidP="00045D24">
      <w:pPr>
        <w:pStyle w:val="2"/>
        <w:ind w:left="414" w:firstLine="306"/>
        <w:jc w:val="left"/>
        <w:rPr>
          <w:szCs w:val="22"/>
          <w:lang w:val="el-GR"/>
        </w:rPr>
      </w:pPr>
    </w:p>
    <w:p w:rsidR="00F16739" w:rsidRPr="0032564F" w:rsidRDefault="00F16739" w:rsidP="00045D24">
      <w:pPr>
        <w:pStyle w:val="2"/>
        <w:ind w:left="414" w:firstLine="306"/>
        <w:jc w:val="left"/>
        <w:rPr>
          <w:i/>
          <w:szCs w:val="22"/>
          <w:lang w:val="el-GR"/>
        </w:rPr>
      </w:pPr>
      <w:r w:rsidRPr="0032564F">
        <w:rPr>
          <w:i/>
          <w:szCs w:val="22"/>
          <w:lang w:val="el-GR"/>
        </w:rPr>
        <w:t>Συστατικά Καψακίου</w:t>
      </w:r>
    </w:p>
    <w:p w:rsidR="00F16739" w:rsidRPr="0032564F" w:rsidRDefault="00F16739" w:rsidP="00045D24">
      <w:pPr>
        <w:pStyle w:val="2"/>
        <w:ind w:left="414" w:firstLine="306"/>
        <w:jc w:val="left"/>
        <w:rPr>
          <w:szCs w:val="22"/>
          <w:lang w:val="el-GR"/>
        </w:rPr>
      </w:pPr>
      <w:r w:rsidRPr="0032564F">
        <w:rPr>
          <w:szCs w:val="22"/>
          <w:lang w:val="el-GR"/>
        </w:rPr>
        <w:t xml:space="preserve">Νάτριο λαουρυλοθειϊκό </w:t>
      </w:r>
    </w:p>
    <w:p w:rsidR="00F16739" w:rsidRPr="0032564F" w:rsidRDefault="00F16739" w:rsidP="00045D24">
      <w:pPr>
        <w:pStyle w:val="2"/>
        <w:ind w:left="414" w:firstLine="306"/>
        <w:jc w:val="left"/>
        <w:rPr>
          <w:szCs w:val="22"/>
          <w:lang w:val="el-GR"/>
        </w:rPr>
      </w:pPr>
      <w:r w:rsidRPr="0032564F">
        <w:rPr>
          <w:szCs w:val="22"/>
          <w:lang w:val="el-GR"/>
        </w:rPr>
        <w:t>Πυριτίου οξείδιο κολλοειδές, άνυδρο</w:t>
      </w:r>
    </w:p>
    <w:p w:rsidR="00F16739" w:rsidRPr="0032564F" w:rsidRDefault="00F16739" w:rsidP="00045D24">
      <w:pPr>
        <w:pStyle w:val="2"/>
        <w:ind w:left="414" w:firstLine="306"/>
        <w:jc w:val="left"/>
        <w:rPr>
          <w:szCs w:val="22"/>
          <w:lang w:val="el-GR"/>
        </w:rPr>
      </w:pPr>
      <w:r w:rsidRPr="0032564F">
        <w:rPr>
          <w:szCs w:val="22"/>
          <w:lang w:val="el-GR"/>
        </w:rPr>
        <w:t>Ζελατίνη</w:t>
      </w:r>
    </w:p>
    <w:p w:rsidR="00F16739" w:rsidRPr="0032564F" w:rsidRDefault="00F16739" w:rsidP="00045D24">
      <w:pPr>
        <w:pStyle w:val="2"/>
        <w:ind w:firstLine="306"/>
        <w:jc w:val="left"/>
        <w:rPr>
          <w:szCs w:val="22"/>
          <w:lang w:val="el-GR"/>
        </w:rPr>
      </w:pPr>
    </w:p>
    <w:p w:rsidR="00F16739" w:rsidRPr="0032564F" w:rsidRDefault="00F16739" w:rsidP="00045D24">
      <w:pPr>
        <w:pStyle w:val="2"/>
        <w:ind w:left="709" w:firstLine="11"/>
        <w:jc w:val="left"/>
        <w:rPr>
          <w:i/>
          <w:szCs w:val="22"/>
          <w:lang w:val="el-GR"/>
        </w:rPr>
      </w:pPr>
      <w:r w:rsidRPr="0032564F">
        <w:rPr>
          <w:i/>
          <w:szCs w:val="22"/>
          <w:lang w:val="el-GR"/>
        </w:rPr>
        <w:t>Μελάνη εντύπωσης</w:t>
      </w:r>
    </w:p>
    <w:p w:rsidR="00F16739" w:rsidRPr="0032564F" w:rsidRDefault="00F16739" w:rsidP="00045D24">
      <w:pPr>
        <w:pStyle w:val="2"/>
        <w:ind w:left="414" w:firstLine="306"/>
        <w:jc w:val="left"/>
        <w:rPr>
          <w:szCs w:val="22"/>
          <w:lang w:val="el-GR"/>
        </w:rPr>
      </w:pPr>
      <w:r w:rsidRPr="0032564F">
        <w:rPr>
          <w:szCs w:val="22"/>
          <w:lang w:val="el-GR"/>
        </w:rPr>
        <w:t>Κόμμεα λάκκας</w:t>
      </w:r>
    </w:p>
    <w:p w:rsidR="00F16739" w:rsidRPr="0032564F" w:rsidRDefault="00F16739" w:rsidP="00045D24">
      <w:pPr>
        <w:pStyle w:val="2"/>
        <w:ind w:left="414" w:firstLine="306"/>
        <w:jc w:val="left"/>
        <w:rPr>
          <w:szCs w:val="22"/>
          <w:lang w:val="el-GR"/>
        </w:rPr>
      </w:pPr>
      <w:r w:rsidRPr="0032564F">
        <w:rPr>
          <w:szCs w:val="22"/>
          <w:lang w:val="el-GR"/>
        </w:rPr>
        <w:t>Προπυλενογλυκόλη</w:t>
      </w:r>
    </w:p>
    <w:p w:rsidR="00F16739" w:rsidRPr="0032564F" w:rsidRDefault="00F16739" w:rsidP="00045D24">
      <w:pPr>
        <w:pStyle w:val="2"/>
        <w:ind w:left="414" w:firstLine="306"/>
        <w:jc w:val="left"/>
        <w:rPr>
          <w:szCs w:val="22"/>
          <w:lang w:val="el-GR"/>
        </w:rPr>
      </w:pPr>
      <w:r w:rsidRPr="0032564F">
        <w:rPr>
          <w:szCs w:val="22"/>
          <w:lang w:val="el-GR"/>
        </w:rPr>
        <w:t>Αμμωνίου υδροξείδιο</w:t>
      </w:r>
    </w:p>
    <w:p w:rsidR="00F16739" w:rsidRPr="0032564F" w:rsidRDefault="00F16739" w:rsidP="00045D24">
      <w:pPr>
        <w:pStyle w:val="2"/>
        <w:ind w:left="414" w:firstLine="306"/>
        <w:jc w:val="left"/>
        <w:rPr>
          <w:szCs w:val="22"/>
          <w:lang w:val="el-GR"/>
        </w:rPr>
      </w:pPr>
      <w:r w:rsidRPr="0032564F">
        <w:rPr>
          <w:szCs w:val="22"/>
          <w:lang w:val="el-GR"/>
        </w:rPr>
        <w:t>Σιδήρου οξείδιο μέλαν (</w:t>
      </w:r>
      <w:r w:rsidRPr="0032564F">
        <w:rPr>
          <w:szCs w:val="22"/>
        </w:rPr>
        <w:t>E</w:t>
      </w:r>
      <w:r w:rsidRPr="0032564F">
        <w:rPr>
          <w:szCs w:val="22"/>
          <w:lang w:val="el-GR"/>
        </w:rPr>
        <w:t>172)</w:t>
      </w:r>
    </w:p>
    <w:p w:rsidR="00F16739" w:rsidRPr="0032564F" w:rsidRDefault="00F16739" w:rsidP="00045D24">
      <w:pPr>
        <w:pStyle w:val="2"/>
        <w:ind w:left="414" w:firstLine="306"/>
        <w:jc w:val="left"/>
        <w:rPr>
          <w:szCs w:val="22"/>
          <w:lang w:val="el-GR"/>
        </w:rPr>
      </w:pPr>
    </w:p>
    <w:p w:rsidR="00F16739" w:rsidRPr="00045D24" w:rsidRDefault="00F16739" w:rsidP="00045D24">
      <w:pPr>
        <w:pStyle w:val="a3"/>
        <w:tabs>
          <w:tab w:val="left" w:pos="720"/>
        </w:tabs>
        <w:ind w:left="0"/>
        <w:rPr>
          <w:b/>
          <w:sz w:val="22"/>
          <w:szCs w:val="22"/>
          <w:lang w:val="el-GR"/>
        </w:rPr>
      </w:pPr>
      <w:r w:rsidRPr="0032564F">
        <w:rPr>
          <w:b/>
          <w:sz w:val="22"/>
          <w:szCs w:val="22"/>
          <w:lang w:val="el-GR"/>
        </w:rPr>
        <w:t>6.2</w:t>
      </w:r>
      <w:r w:rsidRPr="0032564F">
        <w:rPr>
          <w:b/>
          <w:sz w:val="22"/>
          <w:szCs w:val="22"/>
          <w:lang w:val="el-GR"/>
        </w:rPr>
        <w:tab/>
        <w:t>Ασυμβατότητες</w:t>
      </w:r>
      <w:r w:rsidRPr="00045D24">
        <w:rPr>
          <w:b/>
          <w:sz w:val="22"/>
          <w:szCs w:val="22"/>
          <w:lang w:val="el-GR"/>
        </w:rPr>
        <w:tab/>
      </w:r>
    </w:p>
    <w:p w:rsidR="00F16739" w:rsidRPr="00045D24" w:rsidRDefault="00F16739" w:rsidP="00045D24">
      <w:pPr>
        <w:pStyle w:val="a3"/>
        <w:tabs>
          <w:tab w:val="left" w:pos="720"/>
        </w:tabs>
        <w:ind w:left="0"/>
        <w:rPr>
          <w:sz w:val="22"/>
          <w:szCs w:val="22"/>
          <w:lang w:val="el-GR"/>
        </w:rPr>
      </w:pPr>
    </w:p>
    <w:p w:rsidR="00F16739" w:rsidRPr="0032564F" w:rsidRDefault="00F16739" w:rsidP="00045D24">
      <w:pPr>
        <w:pStyle w:val="a3"/>
        <w:tabs>
          <w:tab w:val="left" w:pos="720"/>
        </w:tabs>
        <w:ind w:left="0"/>
        <w:rPr>
          <w:b/>
          <w:sz w:val="22"/>
          <w:szCs w:val="22"/>
          <w:lang w:val="el-GR"/>
        </w:rPr>
      </w:pPr>
      <w:r w:rsidRPr="00045D24">
        <w:rPr>
          <w:sz w:val="22"/>
          <w:szCs w:val="22"/>
          <w:lang w:val="el-GR"/>
        </w:rPr>
        <w:lastRenderedPageBreak/>
        <w:tab/>
      </w:r>
      <w:r w:rsidRPr="0032564F">
        <w:rPr>
          <w:sz w:val="22"/>
          <w:szCs w:val="22"/>
          <w:lang w:val="el-GR"/>
        </w:rPr>
        <w:t>Δεν εφαρμόζεται</w:t>
      </w:r>
    </w:p>
    <w:p w:rsidR="00F16739" w:rsidRPr="0032564F" w:rsidRDefault="00F16739" w:rsidP="00045D24">
      <w:pPr>
        <w:pStyle w:val="a3"/>
        <w:tabs>
          <w:tab w:val="left" w:pos="1134"/>
        </w:tabs>
        <w:ind w:left="0"/>
        <w:rPr>
          <w:b/>
          <w:sz w:val="22"/>
          <w:szCs w:val="22"/>
          <w:lang w:val="el-GR"/>
        </w:rPr>
      </w:pPr>
    </w:p>
    <w:p w:rsidR="00F16739" w:rsidRPr="00045D24" w:rsidRDefault="00F16739" w:rsidP="001B5F32">
      <w:pPr>
        <w:pStyle w:val="a3"/>
        <w:tabs>
          <w:tab w:val="left" w:pos="709"/>
        </w:tabs>
        <w:ind w:left="0"/>
        <w:rPr>
          <w:b/>
          <w:sz w:val="22"/>
          <w:szCs w:val="22"/>
          <w:lang w:val="el-GR"/>
        </w:rPr>
      </w:pPr>
      <w:r w:rsidRPr="0032564F">
        <w:rPr>
          <w:b/>
          <w:sz w:val="22"/>
          <w:szCs w:val="22"/>
          <w:lang w:val="el-GR"/>
        </w:rPr>
        <w:t>6.3</w:t>
      </w:r>
      <w:r w:rsidRPr="0032564F">
        <w:rPr>
          <w:b/>
          <w:sz w:val="22"/>
          <w:szCs w:val="22"/>
          <w:lang w:val="el-GR"/>
        </w:rPr>
        <w:tab/>
        <w:t>Διάρκεια ζωής</w:t>
      </w:r>
    </w:p>
    <w:p w:rsidR="00F16739" w:rsidRPr="00045D24" w:rsidRDefault="00F16739" w:rsidP="001B5F32">
      <w:pPr>
        <w:pStyle w:val="a3"/>
        <w:tabs>
          <w:tab w:val="left" w:pos="709"/>
        </w:tabs>
        <w:ind w:left="0"/>
        <w:rPr>
          <w:sz w:val="22"/>
          <w:szCs w:val="22"/>
          <w:lang w:val="el-GR"/>
        </w:rPr>
      </w:pPr>
    </w:p>
    <w:p w:rsidR="00F16739" w:rsidRPr="0032564F" w:rsidRDefault="00F16739" w:rsidP="001B5F32">
      <w:pPr>
        <w:pStyle w:val="a3"/>
        <w:tabs>
          <w:tab w:val="left" w:pos="709"/>
        </w:tabs>
        <w:ind w:left="0"/>
        <w:rPr>
          <w:sz w:val="22"/>
          <w:szCs w:val="22"/>
          <w:lang w:val="el-GR"/>
        </w:rPr>
      </w:pPr>
      <w:r w:rsidRPr="00045D24">
        <w:rPr>
          <w:sz w:val="22"/>
          <w:szCs w:val="22"/>
          <w:lang w:val="el-GR"/>
        </w:rPr>
        <w:tab/>
      </w:r>
      <w:r w:rsidRPr="0032564F">
        <w:rPr>
          <w:sz w:val="22"/>
          <w:szCs w:val="22"/>
          <w:lang w:val="el-GR"/>
        </w:rPr>
        <w:t>4</w:t>
      </w:r>
      <w:r w:rsidRPr="00045D24">
        <w:rPr>
          <w:sz w:val="22"/>
          <w:szCs w:val="22"/>
          <w:lang w:val="el-GR"/>
        </w:rPr>
        <w:t xml:space="preserve"> </w:t>
      </w:r>
      <w:r w:rsidRPr="0032564F">
        <w:rPr>
          <w:sz w:val="22"/>
          <w:szCs w:val="22"/>
          <w:lang w:val="el-GR"/>
        </w:rPr>
        <w:t>χρόνια</w:t>
      </w:r>
    </w:p>
    <w:p w:rsidR="00F16739" w:rsidRPr="00045D24" w:rsidRDefault="00F16739" w:rsidP="001B5F32">
      <w:pPr>
        <w:pStyle w:val="a3"/>
        <w:tabs>
          <w:tab w:val="left" w:pos="709"/>
        </w:tabs>
        <w:ind w:left="0"/>
        <w:rPr>
          <w:sz w:val="22"/>
          <w:szCs w:val="22"/>
          <w:lang w:val="el-GR"/>
        </w:rPr>
      </w:pPr>
    </w:p>
    <w:p w:rsidR="00F16739" w:rsidRPr="0032564F" w:rsidRDefault="00F16739" w:rsidP="001B5F32">
      <w:pPr>
        <w:pStyle w:val="a3"/>
        <w:tabs>
          <w:tab w:val="left" w:pos="709"/>
        </w:tabs>
        <w:ind w:left="0"/>
        <w:rPr>
          <w:b/>
          <w:sz w:val="22"/>
          <w:szCs w:val="22"/>
          <w:lang w:val="el-GR"/>
        </w:rPr>
      </w:pPr>
      <w:r w:rsidRPr="0032564F">
        <w:rPr>
          <w:b/>
          <w:sz w:val="22"/>
          <w:szCs w:val="22"/>
          <w:lang w:val="el-GR"/>
        </w:rPr>
        <w:t>6.4</w:t>
      </w:r>
      <w:r w:rsidRPr="0032564F">
        <w:rPr>
          <w:b/>
          <w:sz w:val="22"/>
          <w:szCs w:val="22"/>
          <w:lang w:val="el-GR"/>
        </w:rPr>
        <w:tab/>
        <w:t>Ιδιαίτερες προφυλάξεις κατά τη φύλαξη του προϊόντος</w:t>
      </w:r>
    </w:p>
    <w:p w:rsidR="00F16739" w:rsidRPr="0032564F" w:rsidRDefault="00F16739" w:rsidP="001B5F32">
      <w:pPr>
        <w:pStyle w:val="a3"/>
        <w:tabs>
          <w:tab w:val="left" w:pos="709"/>
        </w:tabs>
        <w:ind w:left="0"/>
        <w:rPr>
          <w:b/>
          <w:sz w:val="22"/>
          <w:szCs w:val="22"/>
          <w:lang w:val="el-GR"/>
        </w:rPr>
      </w:pPr>
    </w:p>
    <w:p w:rsidR="00F16739" w:rsidRPr="0032564F" w:rsidRDefault="00F16739" w:rsidP="001B5F32">
      <w:pPr>
        <w:pStyle w:val="a3"/>
        <w:tabs>
          <w:tab w:val="left" w:pos="709"/>
        </w:tabs>
        <w:ind w:left="0"/>
        <w:rPr>
          <w:sz w:val="22"/>
          <w:szCs w:val="22"/>
          <w:lang w:val="el-GR"/>
        </w:rPr>
      </w:pPr>
      <w:r w:rsidRPr="0032564F">
        <w:rPr>
          <w:b/>
          <w:sz w:val="22"/>
          <w:szCs w:val="22"/>
          <w:lang w:val="el-GR"/>
        </w:rPr>
        <w:tab/>
      </w:r>
      <w:r w:rsidRPr="0032564F">
        <w:rPr>
          <w:sz w:val="22"/>
          <w:szCs w:val="22"/>
          <w:lang w:val="el-GR"/>
        </w:rPr>
        <w:t>Μη φυλάσσετε σε θερμοκρασία μεγαλύτερη των</w:t>
      </w:r>
      <w:r w:rsidRPr="0032564F">
        <w:rPr>
          <w:b/>
          <w:sz w:val="22"/>
          <w:szCs w:val="22"/>
          <w:lang w:val="el-GR"/>
        </w:rPr>
        <w:t xml:space="preserve"> </w:t>
      </w:r>
      <w:r w:rsidRPr="0032564F">
        <w:rPr>
          <w:sz w:val="22"/>
          <w:szCs w:val="22"/>
          <w:lang w:val="el-GR"/>
        </w:rPr>
        <w:t>25º</w:t>
      </w:r>
      <w:r w:rsidRPr="0032564F">
        <w:rPr>
          <w:sz w:val="22"/>
          <w:szCs w:val="22"/>
        </w:rPr>
        <w:t>C</w:t>
      </w:r>
      <w:r w:rsidRPr="0032564F">
        <w:rPr>
          <w:sz w:val="22"/>
          <w:szCs w:val="22"/>
          <w:lang w:val="el-GR"/>
        </w:rPr>
        <w:t>.</w:t>
      </w:r>
    </w:p>
    <w:p w:rsidR="00F16739" w:rsidRPr="0032564F" w:rsidRDefault="00F16739" w:rsidP="001B5F32">
      <w:pPr>
        <w:pStyle w:val="a3"/>
        <w:tabs>
          <w:tab w:val="left" w:pos="709"/>
        </w:tabs>
        <w:ind w:left="0"/>
        <w:rPr>
          <w:sz w:val="22"/>
          <w:szCs w:val="22"/>
          <w:lang w:val="el-GR"/>
        </w:rPr>
      </w:pPr>
    </w:p>
    <w:p w:rsidR="00F16739" w:rsidRPr="0032564F" w:rsidRDefault="00F16739" w:rsidP="001B5F32">
      <w:pPr>
        <w:pStyle w:val="a3"/>
        <w:tabs>
          <w:tab w:val="left" w:pos="709"/>
          <w:tab w:val="left" w:pos="1080"/>
        </w:tabs>
        <w:ind w:left="0"/>
        <w:rPr>
          <w:b/>
          <w:sz w:val="22"/>
          <w:szCs w:val="22"/>
          <w:lang w:val="el-GR"/>
        </w:rPr>
      </w:pPr>
      <w:r w:rsidRPr="0032564F">
        <w:rPr>
          <w:b/>
          <w:sz w:val="22"/>
          <w:szCs w:val="22"/>
          <w:lang w:val="el-GR"/>
        </w:rPr>
        <w:t>6.5</w:t>
      </w:r>
      <w:r w:rsidRPr="0032564F">
        <w:rPr>
          <w:b/>
          <w:sz w:val="22"/>
          <w:szCs w:val="22"/>
          <w:lang w:val="el-GR"/>
        </w:rPr>
        <w:tab/>
        <w:t>Φύση και συστατικά του περιέκτη</w:t>
      </w:r>
    </w:p>
    <w:p w:rsidR="00F16739" w:rsidRPr="0032564F" w:rsidRDefault="00F16739" w:rsidP="00045D24">
      <w:pPr>
        <w:pStyle w:val="a3"/>
        <w:tabs>
          <w:tab w:val="left" w:pos="1134"/>
        </w:tabs>
        <w:ind w:left="0"/>
        <w:rPr>
          <w:b/>
          <w:sz w:val="22"/>
          <w:szCs w:val="22"/>
          <w:lang w:val="el-GR"/>
        </w:rPr>
      </w:pPr>
    </w:p>
    <w:p w:rsidR="00F16739" w:rsidRPr="0032564F" w:rsidRDefault="00F16739" w:rsidP="001B5F32">
      <w:pPr>
        <w:pStyle w:val="a3"/>
        <w:tabs>
          <w:tab w:val="left" w:pos="709"/>
        </w:tabs>
        <w:ind w:left="709"/>
        <w:rPr>
          <w:sz w:val="22"/>
          <w:szCs w:val="22"/>
          <w:lang w:val="el-GR"/>
        </w:rPr>
      </w:pPr>
      <w:r w:rsidRPr="0032564F">
        <w:rPr>
          <w:sz w:val="22"/>
          <w:szCs w:val="22"/>
          <w:lang w:val="el-GR"/>
        </w:rPr>
        <w:t>Φιάλες από υψηλής πυκνότητας πολυαιθυλένιο (</w:t>
      </w:r>
      <w:r w:rsidRPr="0032564F">
        <w:rPr>
          <w:sz w:val="22"/>
          <w:szCs w:val="22"/>
        </w:rPr>
        <w:t>HDPE</w:t>
      </w:r>
      <w:r w:rsidRPr="0032564F">
        <w:rPr>
          <w:sz w:val="22"/>
          <w:szCs w:val="22"/>
          <w:lang w:val="el-GR"/>
        </w:rPr>
        <w:t>) με βιδωτά πώματα πολυπροπυλενίου (με βάτα πίεσης) που περιέχουν 7, 10, 14, 20, 28, 30, 50, 60, 90 και 100 καψάκια, σκληρά.</w:t>
      </w:r>
    </w:p>
    <w:p w:rsidR="00F16739" w:rsidRPr="0032564F" w:rsidRDefault="00F16739" w:rsidP="001B5F32">
      <w:pPr>
        <w:pStyle w:val="a3"/>
        <w:tabs>
          <w:tab w:val="left" w:pos="709"/>
        </w:tabs>
        <w:ind w:left="709"/>
        <w:rPr>
          <w:sz w:val="22"/>
          <w:szCs w:val="22"/>
          <w:lang w:val="el-GR"/>
        </w:rPr>
      </w:pPr>
    </w:p>
    <w:p w:rsidR="00F16739" w:rsidRPr="0032564F" w:rsidRDefault="00F16739" w:rsidP="001B5F32">
      <w:pPr>
        <w:pStyle w:val="a3"/>
        <w:tabs>
          <w:tab w:val="left" w:pos="709"/>
        </w:tabs>
        <w:ind w:left="709"/>
        <w:rPr>
          <w:sz w:val="22"/>
          <w:szCs w:val="22"/>
          <w:lang w:val="el-GR"/>
        </w:rPr>
      </w:pPr>
      <w:r w:rsidRPr="0032564F">
        <w:rPr>
          <w:sz w:val="22"/>
          <w:szCs w:val="22"/>
          <w:lang w:val="el-GR"/>
        </w:rPr>
        <w:t>Κυψέλες (</w:t>
      </w:r>
      <w:r w:rsidRPr="0032564F">
        <w:rPr>
          <w:sz w:val="22"/>
          <w:szCs w:val="22"/>
          <w:lang w:val="en-US"/>
        </w:rPr>
        <w:t>blister</w:t>
      </w:r>
      <w:r w:rsidRPr="0032564F">
        <w:rPr>
          <w:sz w:val="22"/>
          <w:szCs w:val="22"/>
        </w:rPr>
        <w:t>s</w:t>
      </w:r>
      <w:r w:rsidRPr="0032564F">
        <w:rPr>
          <w:sz w:val="22"/>
          <w:szCs w:val="22"/>
          <w:lang w:val="el-GR"/>
        </w:rPr>
        <w:t xml:space="preserve">) από </w:t>
      </w:r>
      <w:r w:rsidRPr="0032564F">
        <w:rPr>
          <w:sz w:val="22"/>
          <w:szCs w:val="22"/>
        </w:rPr>
        <w:t>PVC</w:t>
      </w:r>
      <w:r w:rsidRPr="0032564F">
        <w:rPr>
          <w:sz w:val="22"/>
          <w:szCs w:val="22"/>
          <w:lang w:val="el-GR"/>
        </w:rPr>
        <w:t>/</w:t>
      </w:r>
      <w:r w:rsidRPr="0032564F">
        <w:rPr>
          <w:sz w:val="22"/>
          <w:szCs w:val="22"/>
        </w:rPr>
        <w:t>PVDC</w:t>
      </w:r>
      <w:r w:rsidRPr="0032564F">
        <w:rPr>
          <w:sz w:val="22"/>
          <w:szCs w:val="22"/>
          <w:lang w:val="el-GR"/>
        </w:rPr>
        <w:t>/</w:t>
      </w:r>
      <w:r w:rsidRPr="0032564F">
        <w:rPr>
          <w:sz w:val="22"/>
          <w:szCs w:val="22"/>
        </w:rPr>
        <w:t>Al</w:t>
      </w:r>
      <w:r w:rsidRPr="0032564F">
        <w:rPr>
          <w:sz w:val="22"/>
          <w:szCs w:val="22"/>
          <w:lang w:val="el-GR"/>
        </w:rPr>
        <w:t xml:space="preserve"> που περιέχουν 7, 10, 12, 14, 20, 28, 30, 50, 60, 90 και 100 καψάκια, σκληρά.</w:t>
      </w:r>
    </w:p>
    <w:p w:rsidR="00F16739" w:rsidRPr="0032564F" w:rsidRDefault="00F16739" w:rsidP="001B5F32">
      <w:pPr>
        <w:pStyle w:val="a3"/>
        <w:tabs>
          <w:tab w:val="left" w:pos="709"/>
        </w:tabs>
        <w:ind w:left="709"/>
        <w:rPr>
          <w:sz w:val="22"/>
          <w:szCs w:val="22"/>
          <w:lang w:val="el-GR"/>
        </w:rPr>
      </w:pPr>
    </w:p>
    <w:p w:rsidR="00F16739" w:rsidRPr="0032564F" w:rsidRDefault="00F16739" w:rsidP="001B5F32">
      <w:pPr>
        <w:pStyle w:val="a3"/>
        <w:tabs>
          <w:tab w:val="left" w:pos="709"/>
        </w:tabs>
        <w:ind w:left="709"/>
        <w:rPr>
          <w:sz w:val="22"/>
          <w:szCs w:val="22"/>
          <w:lang w:val="el-GR"/>
        </w:rPr>
      </w:pPr>
      <w:r w:rsidRPr="0032564F">
        <w:rPr>
          <w:sz w:val="22"/>
          <w:szCs w:val="22"/>
          <w:lang w:val="el-GR"/>
        </w:rPr>
        <w:t xml:space="preserve">Μπορεί να μην κυκλοφορούν όλες οι συσκευασίες. </w:t>
      </w:r>
    </w:p>
    <w:p w:rsidR="00F16739" w:rsidRPr="0032564F" w:rsidRDefault="00F16739" w:rsidP="00045D24">
      <w:pPr>
        <w:pStyle w:val="a3"/>
        <w:tabs>
          <w:tab w:val="left" w:pos="1134"/>
        </w:tabs>
        <w:ind w:left="0"/>
        <w:rPr>
          <w:sz w:val="22"/>
          <w:szCs w:val="22"/>
          <w:lang w:val="el-GR"/>
        </w:rPr>
      </w:pPr>
    </w:p>
    <w:p w:rsidR="00F16739" w:rsidRPr="00045D24" w:rsidRDefault="00F16739" w:rsidP="001B5F32">
      <w:pPr>
        <w:pStyle w:val="a3"/>
        <w:tabs>
          <w:tab w:val="left" w:pos="709"/>
        </w:tabs>
        <w:ind w:left="709" w:hanging="709"/>
        <w:rPr>
          <w:b/>
          <w:sz w:val="22"/>
          <w:szCs w:val="22"/>
          <w:lang w:val="el-GR"/>
        </w:rPr>
      </w:pPr>
      <w:r w:rsidRPr="00045D24">
        <w:rPr>
          <w:b/>
          <w:sz w:val="22"/>
          <w:szCs w:val="22"/>
          <w:lang w:val="el-GR"/>
        </w:rPr>
        <w:t xml:space="preserve">6.6 </w:t>
      </w:r>
      <w:r w:rsidRPr="00045D24">
        <w:rPr>
          <w:b/>
          <w:sz w:val="22"/>
          <w:szCs w:val="22"/>
          <w:lang w:val="el-GR"/>
        </w:rPr>
        <w:tab/>
      </w:r>
      <w:r w:rsidR="007E5A32" w:rsidRPr="007E5A32">
        <w:rPr>
          <w:b/>
          <w:sz w:val="22"/>
          <w:szCs w:val="22"/>
          <w:lang w:val="el-GR"/>
        </w:rPr>
        <w:t>Ιδ</w:t>
      </w:r>
      <w:r w:rsidR="007E5A32">
        <w:rPr>
          <w:b/>
          <w:sz w:val="22"/>
          <w:szCs w:val="22"/>
          <w:lang w:val="el-GR"/>
        </w:rPr>
        <w:t>ιαίτερες προφυλάξεις απόρριψης</w:t>
      </w:r>
    </w:p>
    <w:p w:rsidR="00F16739" w:rsidRPr="00045D24" w:rsidRDefault="00F16739" w:rsidP="001B5F32">
      <w:pPr>
        <w:pStyle w:val="a3"/>
        <w:tabs>
          <w:tab w:val="left" w:pos="709"/>
        </w:tabs>
        <w:ind w:left="709" w:hanging="709"/>
        <w:rPr>
          <w:b/>
          <w:sz w:val="22"/>
          <w:szCs w:val="22"/>
          <w:lang w:val="el-GR"/>
        </w:rPr>
      </w:pPr>
    </w:p>
    <w:p w:rsidR="00F16739" w:rsidRPr="0032564F" w:rsidRDefault="00F16739" w:rsidP="001B5F32">
      <w:pPr>
        <w:pStyle w:val="a3"/>
        <w:tabs>
          <w:tab w:val="left" w:pos="709"/>
          <w:tab w:val="left" w:pos="1134"/>
        </w:tabs>
        <w:ind w:left="709" w:hanging="709"/>
        <w:rPr>
          <w:sz w:val="22"/>
          <w:szCs w:val="22"/>
          <w:lang w:val="el-GR"/>
        </w:rPr>
      </w:pPr>
      <w:r w:rsidRPr="00045D24">
        <w:rPr>
          <w:sz w:val="22"/>
          <w:szCs w:val="22"/>
          <w:lang w:val="el-GR"/>
        </w:rPr>
        <w:tab/>
      </w:r>
      <w:r w:rsidRPr="0032564F">
        <w:rPr>
          <w:sz w:val="22"/>
          <w:szCs w:val="22"/>
          <w:lang w:val="el-GR"/>
        </w:rPr>
        <w:t>Καμία ειδική υποχρέωση</w:t>
      </w:r>
    </w:p>
    <w:p w:rsidR="00F16739" w:rsidRPr="0032564F" w:rsidRDefault="00F16739" w:rsidP="00045D24">
      <w:pPr>
        <w:pStyle w:val="a3"/>
        <w:tabs>
          <w:tab w:val="left" w:pos="1134"/>
        </w:tabs>
        <w:ind w:left="0"/>
        <w:rPr>
          <w:sz w:val="22"/>
          <w:szCs w:val="22"/>
          <w:lang w:val="el-GR"/>
        </w:rPr>
      </w:pPr>
    </w:p>
    <w:p w:rsidR="00F16739" w:rsidRPr="0032564F" w:rsidRDefault="00F16739" w:rsidP="00045D24">
      <w:pPr>
        <w:pStyle w:val="a3"/>
        <w:tabs>
          <w:tab w:val="left" w:pos="1134"/>
        </w:tabs>
        <w:ind w:left="0"/>
        <w:rPr>
          <w:sz w:val="22"/>
          <w:szCs w:val="22"/>
          <w:lang w:val="el-GR"/>
        </w:rPr>
      </w:pPr>
    </w:p>
    <w:p w:rsidR="00F16739" w:rsidRPr="0032564F" w:rsidRDefault="00F16739" w:rsidP="001B5F32">
      <w:pPr>
        <w:pStyle w:val="a3"/>
        <w:numPr>
          <w:ilvl w:val="0"/>
          <w:numId w:val="6"/>
        </w:numPr>
        <w:tabs>
          <w:tab w:val="clear" w:pos="360"/>
          <w:tab w:val="num" w:pos="709"/>
          <w:tab w:val="left" w:pos="1134"/>
        </w:tabs>
        <w:rPr>
          <w:b/>
          <w:sz w:val="22"/>
          <w:szCs w:val="22"/>
          <w:lang w:val="en-US"/>
        </w:rPr>
      </w:pPr>
      <w:r w:rsidRPr="0032564F">
        <w:rPr>
          <w:b/>
          <w:sz w:val="22"/>
          <w:szCs w:val="22"/>
          <w:lang w:val="el-GR"/>
        </w:rPr>
        <w:t>ΚΑΤΟΧΟΣ ΤΗΣ ΑΔΕΙΑΣ ΚΥΚΛΟΦΟΡΙΑΣ</w:t>
      </w:r>
    </w:p>
    <w:p w:rsidR="00F16739" w:rsidRPr="0032564F" w:rsidRDefault="00F16739" w:rsidP="00F4319D">
      <w:pPr>
        <w:pStyle w:val="a3"/>
        <w:tabs>
          <w:tab w:val="left" w:pos="1134"/>
        </w:tabs>
        <w:ind w:left="709"/>
        <w:rPr>
          <w:b/>
          <w:sz w:val="22"/>
          <w:szCs w:val="22"/>
          <w:lang w:val="en-US"/>
        </w:rPr>
      </w:pPr>
    </w:p>
    <w:p w:rsidR="009D3042" w:rsidRPr="0032564F" w:rsidRDefault="009D3042" w:rsidP="00F4319D">
      <w:pPr>
        <w:pStyle w:val="MGGTextLeft"/>
        <w:ind w:left="709"/>
        <w:rPr>
          <w:b/>
          <w:color w:val="000000"/>
          <w:sz w:val="22"/>
          <w:szCs w:val="22"/>
          <w:lang w:val="en-US"/>
        </w:rPr>
      </w:pPr>
      <w:r w:rsidRPr="0032564F">
        <w:rPr>
          <w:b/>
          <w:color w:val="000000"/>
          <w:sz w:val="22"/>
          <w:szCs w:val="22"/>
          <w:lang w:val="el-GR"/>
        </w:rPr>
        <w:t>Δικαιούχος Προϊόντος</w:t>
      </w:r>
      <w:r w:rsidRPr="0032564F">
        <w:rPr>
          <w:b/>
          <w:color w:val="000000"/>
          <w:sz w:val="22"/>
          <w:szCs w:val="22"/>
          <w:lang w:val="en-US"/>
        </w:rPr>
        <w:t>:</w:t>
      </w:r>
    </w:p>
    <w:p w:rsidR="009D3042" w:rsidRPr="00045D24" w:rsidRDefault="009D3042" w:rsidP="00F4319D">
      <w:pPr>
        <w:tabs>
          <w:tab w:val="left" w:pos="567"/>
        </w:tabs>
        <w:ind w:left="709"/>
        <w:rPr>
          <w:sz w:val="22"/>
          <w:szCs w:val="22"/>
          <w:lang w:val="en-US"/>
        </w:rPr>
      </w:pPr>
      <w:r w:rsidRPr="0032564F">
        <w:rPr>
          <w:b/>
          <w:sz w:val="22"/>
          <w:szCs w:val="22"/>
        </w:rPr>
        <w:t>Generics</w:t>
      </w:r>
      <w:r w:rsidRPr="00045D24">
        <w:rPr>
          <w:b/>
          <w:sz w:val="22"/>
          <w:szCs w:val="22"/>
          <w:lang w:val="en-US"/>
        </w:rPr>
        <w:t xml:space="preserve"> [</w:t>
      </w:r>
      <w:r w:rsidRPr="0032564F">
        <w:rPr>
          <w:b/>
          <w:sz w:val="22"/>
          <w:szCs w:val="22"/>
        </w:rPr>
        <w:t>UK</w:t>
      </w:r>
      <w:r w:rsidRPr="00045D24">
        <w:rPr>
          <w:b/>
          <w:sz w:val="22"/>
          <w:szCs w:val="22"/>
          <w:lang w:val="en-US"/>
        </w:rPr>
        <w:t xml:space="preserve">] </w:t>
      </w:r>
      <w:r w:rsidRPr="0032564F">
        <w:rPr>
          <w:b/>
          <w:sz w:val="22"/>
          <w:szCs w:val="22"/>
        </w:rPr>
        <w:t>Ltd trading as Mylan</w:t>
      </w:r>
      <w:r w:rsidRPr="00045D24">
        <w:rPr>
          <w:b/>
          <w:sz w:val="22"/>
          <w:szCs w:val="22"/>
          <w:lang w:val="en-US"/>
        </w:rPr>
        <w:t xml:space="preserve">, </w:t>
      </w:r>
      <w:r w:rsidRPr="0032564F">
        <w:rPr>
          <w:sz w:val="22"/>
          <w:szCs w:val="22"/>
        </w:rPr>
        <w:t>Station</w:t>
      </w:r>
      <w:r w:rsidRPr="00045D24">
        <w:rPr>
          <w:sz w:val="22"/>
          <w:szCs w:val="22"/>
          <w:lang w:val="en-US"/>
        </w:rPr>
        <w:t xml:space="preserve"> </w:t>
      </w:r>
      <w:r w:rsidRPr="0032564F">
        <w:rPr>
          <w:sz w:val="22"/>
          <w:szCs w:val="22"/>
        </w:rPr>
        <w:t>Close</w:t>
      </w:r>
      <w:r w:rsidRPr="00045D24">
        <w:rPr>
          <w:sz w:val="22"/>
          <w:szCs w:val="22"/>
          <w:lang w:val="en-US"/>
        </w:rPr>
        <w:t xml:space="preserve">, </w:t>
      </w:r>
      <w:r w:rsidRPr="0032564F">
        <w:rPr>
          <w:sz w:val="22"/>
          <w:szCs w:val="22"/>
        </w:rPr>
        <w:t>Potters</w:t>
      </w:r>
      <w:r w:rsidRPr="00045D24">
        <w:rPr>
          <w:sz w:val="22"/>
          <w:szCs w:val="22"/>
          <w:lang w:val="en-US"/>
        </w:rPr>
        <w:t xml:space="preserve"> </w:t>
      </w:r>
      <w:r w:rsidRPr="0032564F">
        <w:rPr>
          <w:sz w:val="22"/>
          <w:szCs w:val="22"/>
        </w:rPr>
        <w:t>Bar</w:t>
      </w:r>
      <w:r w:rsidRPr="00045D24">
        <w:rPr>
          <w:sz w:val="22"/>
          <w:szCs w:val="22"/>
          <w:lang w:val="en-US"/>
        </w:rPr>
        <w:t xml:space="preserve"> </w:t>
      </w:r>
      <w:r w:rsidRPr="0032564F">
        <w:rPr>
          <w:sz w:val="22"/>
          <w:szCs w:val="22"/>
        </w:rPr>
        <w:t>Hertfordshire</w:t>
      </w:r>
      <w:r w:rsidRPr="00045D24">
        <w:rPr>
          <w:sz w:val="22"/>
          <w:szCs w:val="22"/>
          <w:lang w:val="en-US"/>
        </w:rPr>
        <w:t xml:space="preserve">, </w:t>
      </w:r>
      <w:r w:rsidRPr="0032564F">
        <w:rPr>
          <w:sz w:val="22"/>
          <w:szCs w:val="22"/>
        </w:rPr>
        <w:t>EN</w:t>
      </w:r>
      <w:r w:rsidRPr="00045D24">
        <w:rPr>
          <w:sz w:val="22"/>
          <w:szCs w:val="22"/>
          <w:lang w:val="en-US"/>
        </w:rPr>
        <w:t xml:space="preserve">61 </w:t>
      </w:r>
      <w:r w:rsidRPr="0032564F">
        <w:rPr>
          <w:sz w:val="22"/>
          <w:szCs w:val="22"/>
        </w:rPr>
        <w:t>TL</w:t>
      </w:r>
      <w:r w:rsidRPr="00045D24">
        <w:rPr>
          <w:sz w:val="22"/>
          <w:szCs w:val="22"/>
          <w:lang w:val="en-US"/>
        </w:rPr>
        <w:t xml:space="preserve">, </w:t>
      </w:r>
      <w:r w:rsidRPr="0032564F">
        <w:rPr>
          <w:sz w:val="22"/>
          <w:szCs w:val="22"/>
          <w:lang w:val="el-GR"/>
        </w:rPr>
        <w:t>Αγγλία</w:t>
      </w:r>
    </w:p>
    <w:p w:rsidR="009D3042" w:rsidRPr="0032564F" w:rsidRDefault="009D3042" w:rsidP="00F4319D">
      <w:pPr>
        <w:tabs>
          <w:tab w:val="left" w:pos="567"/>
        </w:tabs>
        <w:ind w:left="709"/>
        <w:rPr>
          <w:b/>
          <w:bCs/>
          <w:caps/>
          <w:sz w:val="22"/>
          <w:szCs w:val="22"/>
          <w:lang w:val="el-GR"/>
        </w:rPr>
      </w:pPr>
      <w:r w:rsidRPr="0032564F">
        <w:rPr>
          <w:b/>
          <w:sz w:val="22"/>
          <w:szCs w:val="22"/>
          <w:lang w:val="el-GR"/>
        </w:rPr>
        <w:t>Κάτοχος Άδειας Κυκλοφορίας</w:t>
      </w:r>
      <w:r w:rsidRPr="00045D24">
        <w:rPr>
          <w:b/>
          <w:sz w:val="22"/>
          <w:szCs w:val="22"/>
          <w:lang w:val="el-GR"/>
        </w:rPr>
        <w:t>:</w:t>
      </w:r>
    </w:p>
    <w:p w:rsidR="009D3042" w:rsidRPr="0032564F" w:rsidRDefault="009D3042" w:rsidP="00F4319D">
      <w:pPr>
        <w:tabs>
          <w:tab w:val="left" w:pos="567"/>
        </w:tabs>
        <w:ind w:left="709"/>
        <w:rPr>
          <w:sz w:val="22"/>
          <w:szCs w:val="22"/>
          <w:lang w:val="el-GR"/>
        </w:rPr>
      </w:pPr>
      <w:r w:rsidRPr="0032564F">
        <w:rPr>
          <w:b/>
          <w:sz w:val="22"/>
          <w:szCs w:val="22"/>
        </w:rPr>
        <w:t>Generics</w:t>
      </w:r>
      <w:r w:rsidRPr="0032564F">
        <w:rPr>
          <w:b/>
          <w:sz w:val="22"/>
          <w:szCs w:val="22"/>
          <w:lang w:val="el-GR"/>
        </w:rPr>
        <w:t xml:space="preserve"> </w:t>
      </w:r>
      <w:r w:rsidRPr="0032564F">
        <w:rPr>
          <w:b/>
          <w:sz w:val="22"/>
          <w:szCs w:val="22"/>
        </w:rPr>
        <w:t>Pharma</w:t>
      </w:r>
      <w:r w:rsidRPr="0032564F">
        <w:rPr>
          <w:b/>
          <w:sz w:val="22"/>
          <w:szCs w:val="22"/>
          <w:lang w:val="el-GR"/>
        </w:rPr>
        <w:t xml:space="preserve"> </w:t>
      </w:r>
      <w:r w:rsidRPr="0032564F">
        <w:rPr>
          <w:b/>
          <w:sz w:val="22"/>
          <w:szCs w:val="22"/>
        </w:rPr>
        <w:t>Hellas</w:t>
      </w:r>
      <w:r w:rsidRPr="0032564F">
        <w:rPr>
          <w:b/>
          <w:sz w:val="22"/>
          <w:szCs w:val="22"/>
          <w:lang w:val="el-GR"/>
        </w:rPr>
        <w:t xml:space="preserve"> ΕΠΕ, Λ. </w:t>
      </w:r>
      <w:r w:rsidRPr="0032564F">
        <w:rPr>
          <w:sz w:val="22"/>
          <w:szCs w:val="22"/>
          <w:lang w:val="el-GR"/>
        </w:rPr>
        <w:t>Βουλιαγμένης 577</w:t>
      </w:r>
      <w:r w:rsidRPr="0032564F">
        <w:rPr>
          <w:sz w:val="22"/>
          <w:szCs w:val="22"/>
          <w:vertAlign w:val="superscript"/>
          <w:lang w:val="el-GR"/>
        </w:rPr>
        <w:t>Α</w:t>
      </w:r>
      <w:r w:rsidRPr="0032564F">
        <w:rPr>
          <w:sz w:val="22"/>
          <w:szCs w:val="22"/>
          <w:lang w:val="el-GR"/>
        </w:rPr>
        <w:t xml:space="preserve">, Αργυρούπολη 164 51, Αθήνα, </w:t>
      </w:r>
    </w:p>
    <w:p w:rsidR="009D3042" w:rsidRPr="00045D24" w:rsidRDefault="009D3042" w:rsidP="00F4319D">
      <w:pPr>
        <w:pStyle w:val="a7"/>
        <w:tabs>
          <w:tab w:val="clear" w:pos="4153"/>
          <w:tab w:val="clear" w:pos="8306"/>
        </w:tabs>
        <w:ind w:left="709"/>
        <w:rPr>
          <w:szCs w:val="22"/>
        </w:rPr>
      </w:pPr>
      <w:r w:rsidRPr="0032564F">
        <w:rPr>
          <w:szCs w:val="22"/>
        </w:rPr>
        <w:t>Τηλ</w:t>
      </w:r>
      <w:r w:rsidRPr="00045D24">
        <w:rPr>
          <w:szCs w:val="22"/>
        </w:rPr>
        <w:t>: 210-9936410</w:t>
      </w:r>
    </w:p>
    <w:p w:rsidR="00F16739" w:rsidRPr="0032564F" w:rsidRDefault="00F16739" w:rsidP="00F4319D">
      <w:pPr>
        <w:pStyle w:val="a3"/>
        <w:tabs>
          <w:tab w:val="left" w:pos="1134"/>
        </w:tabs>
        <w:ind w:left="709"/>
        <w:rPr>
          <w:b/>
          <w:sz w:val="22"/>
          <w:szCs w:val="22"/>
          <w:lang w:val="el-GR"/>
        </w:rPr>
      </w:pPr>
    </w:p>
    <w:p w:rsidR="00BD0679" w:rsidRPr="0032564F" w:rsidRDefault="00BD0679" w:rsidP="001B5F32">
      <w:pPr>
        <w:pStyle w:val="a3"/>
        <w:tabs>
          <w:tab w:val="left" w:pos="709"/>
        </w:tabs>
        <w:ind w:left="0"/>
        <w:rPr>
          <w:b/>
          <w:sz w:val="22"/>
          <w:szCs w:val="22"/>
          <w:lang w:val="el-GR"/>
        </w:rPr>
      </w:pPr>
    </w:p>
    <w:p w:rsidR="00F16739" w:rsidRPr="0032564F" w:rsidRDefault="00F16739" w:rsidP="001B5F32">
      <w:pPr>
        <w:pStyle w:val="a3"/>
        <w:tabs>
          <w:tab w:val="left" w:pos="709"/>
        </w:tabs>
        <w:ind w:left="0"/>
        <w:rPr>
          <w:b/>
          <w:sz w:val="22"/>
          <w:szCs w:val="22"/>
          <w:lang w:val="el-GR"/>
        </w:rPr>
      </w:pPr>
      <w:r w:rsidRPr="0032564F">
        <w:rPr>
          <w:b/>
          <w:sz w:val="22"/>
          <w:szCs w:val="22"/>
          <w:lang w:val="el-GR"/>
        </w:rPr>
        <w:t>8</w:t>
      </w:r>
      <w:r w:rsidRPr="0032564F">
        <w:rPr>
          <w:b/>
          <w:sz w:val="22"/>
          <w:szCs w:val="22"/>
          <w:lang w:val="el-GR"/>
        </w:rPr>
        <w:tab/>
        <w:t>ΑΡΙΘΜΟΣ (ΟΙ) ΑΔΕΙΑΣ ΚΥΚΛΟΦΟΡΙΑΣ</w:t>
      </w:r>
    </w:p>
    <w:p w:rsidR="001B5F32" w:rsidRDefault="001B5F32" w:rsidP="001B5F32">
      <w:pPr>
        <w:pStyle w:val="a3"/>
        <w:tabs>
          <w:tab w:val="left" w:pos="709"/>
        </w:tabs>
        <w:rPr>
          <w:b/>
          <w:sz w:val="22"/>
          <w:szCs w:val="22"/>
          <w:lang w:val="el-GR"/>
        </w:rPr>
      </w:pPr>
    </w:p>
    <w:p w:rsidR="00F16739" w:rsidRPr="0032564F" w:rsidRDefault="00F16739" w:rsidP="001B5F32">
      <w:pPr>
        <w:pStyle w:val="a3"/>
        <w:tabs>
          <w:tab w:val="left" w:pos="709"/>
        </w:tabs>
        <w:rPr>
          <w:sz w:val="22"/>
          <w:szCs w:val="22"/>
          <w:lang w:val="el-GR"/>
        </w:rPr>
      </w:pPr>
      <w:r w:rsidRPr="0032564F">
        <w:rPr>
          <w:sz w:val="22"/>
          <w:szCs w:val="22"/>
        </w:rPr>
        <w:t>Fluoxetine</w:t>
      </w:r>
      <w:r w:rsidRPr="0032564F">
        <w:rPr>
          <w:sz w:val="22"/>
          <w:szCs w:val="22"/>
          <w:lang w:val="el-GR"/>
        </w:rPr>
        <w:t>/</w:t>
      </w:r>
      <w:r w:rsidRPr="0032564F">
        <w:rPr>
          <w:sz w:val="22"/>
          <w:szCs w:val="22"/>
        </w:rPr>
        <w:t>Generics</w:t>
      </w:r>
      <w:r w:rsidRPr="0032564F">
        <w:rPr>
          <w:sz w:val="22"/>
          <w:szCs w:val="22"/>
          <w:lang w:val="el-GR"/>
        </w:rPr>
        <w:t xml:space="preserve"> 20 </w:t>
      </w:r>
      <w:r w:rsidRPr="0032564F">
        <w:rPr>
          <w:sz w:val="22"/>
          <w:szCs w:val="22"/>
        </w:rPr>
        <w:t>mg</w:t>
      </w:r>
      <w:r w:rsidRPr="0032564F">
        <w:rPr>
          <w:sz w:val="22"/>
          <w:szCs w:val="22"/>
          <w:lang w:val="el-GR"/>
        </w:rPr>
        <w:t>: 53973/21-08-2008</w:t>
      </w:r>
    </w:p>
    <w:p w:rsidR="00F16739" w:rsidRPr="0032564F" w:rsidRDefault="00F16739" w:rsidP="001B5F32">
      <w:pPr>
        <w:pStyle w:val="a3"/>
        <w:tabs>
          <w:tab w:val="left" w:pos="709"/>
        </w:tabs>
        <w:ind w:left="0"/>
        <w:rPr>
          <w:sz w:val="22"/>
          <w:szCs w:val="22"/>
          <w:lang w:val="el-GR"/>
        </w:rPr>
      </w:pPr>
    </w:p>
    <w:p w:rsidR="00F16739" w:rsidRPr="0032564F" w:rsidRDefault="00F16739" w:rsidP="001B5F32">
      <w:pPr>
        <w:pStyle w:val="a3"/>
        <w:tabs>
          <w:tab w:val="left" w:pos="709"/>
        </w:tabs>
        <w:ind w:left="0"/>
        <w:rPr>
          <w:b/>
          <w:sz w:val="22"/>
          <w:szCs w:val="22"/>
          <w:lang w:val="el-GR"/>
        </w:rPr>
      </w:pPr>
    </w:p>
    <w:p w:rsidR="00F16739" w:rsidRPr="0032564F" w:rsidRDefault="00F16739" w:rsidP="001B5F32">
      <w:pPr>
        <w:pStyle w:val="a3"/>
        <w:numPr>
          <w:ilvl w:val="0"/>
          <w:numId w:val="7"/>
        </w:numPr>
        <w:tabs>
          <w:tab w:val="clear" w:pos="720"/>
          <w:tab w:val="left" w:pos="709"/>
          <w:tab w:val="num" w:pos="1080"/>
        </w:tabs>
        <w:ind w:hanging="720"/>
        <w:rPr>
          <w:b/>
          <w:sz w:val="22"/>
          <w:szCs w:val="22"/>
          <w:lang w:val="el-GR"/>
        </w:rPr>
      </w:pPr>
      <w:r w:rsidRPr="0032564F">
        <w:rPr>
          <w:b/>
          <w:sz w:val="22"/>
          <w:szCs w:val="22"/>
          <w:lang w:val="el-GR"/>
        </w:rPr>
        <w:t xml:space="preserve">ΗΜΕΡΟΜΗΝΙΑ ΠΡΩΤΗΣ ΈΓΚΡΙΣΗΣ/ΑΝΑΝΕΩΣΗΣ ΤΗΣ ΑΔΕΙΑΣ  </w:t>
      </w:r>
    </w:p>
    <w:p w:rsidR="00F16739" w:rsidRPr="0032564F" w:rsidRDefault="00F16739" w:rsidP="001B5F32">
      <w:pPr>
        <w:pStyle w:val="a3"/>
        <w:tabs>
          <w:tab w:val="left" w:pos="709"/>
          <w:tab w:val="left" w:pos="1134"/>
        </w:tabs>
        <w:ind w:left="0"/>
        <w:rPr>
          <w:b/>
          <w:sz w:val="22"/>
          <w:szCs w:val="22"/>
          <w:lang w:val="el-GR"/>
        </w:rPr>
      </w:pPr>
    </w:p>
    <w:p w:rsidR="00F16739" w:rsidRPr="0032564F" w:rsidRDefault="00F16739" w:rsidP="001B5F32">
      <w:pPr>
        <w:pStyle w:val="a3"/>
        <w:tabs>
          <w:tab w:val="left" w:pos="709"/>
        </w:tabs>
        <w:rPr>
          <w:sz w:val="22"/>
          <w:szCs w:val="22"/>
          <w:lang w:val="el-GR"/>
        </w:rPr>
      </w:pPr>
      <w:r w:rsidRPr="0032564F">
        <w:rPr>
          <w:sz w:val="22"/>
          <w:szCs w:val="22"/>
          <w:lang w:val="el-GR"/>
        </w:rPr>
        <w:t>Ημερομηνία πρώτης έγκρισης: 2-4-99</w:t>
      </w:r>
    </w:p>
    <w:p w:rsidR="00F16739" w:rsidRPr="0032564F" w:rsidRDefault="00F16739" w:rsidP="001B5F32">
      <w:pPr>
        <w:pStyle w:val="a3"/>
        <w:tabs>
          <w:tab w:val="left" w:pos="709"/>
        </w:tabs>
        <w:rPr>
          <w:sz w:val="22"/>
          <w:szCs w:val="22"/>
          <w:lang w:val="el-GR"/>
        </w:rPr>
      </w:pPr>
      <w:r w:rsidRPr="0032564F">
        <w:rPr>
          <w:sz w:val="22"/>
          <w:szCs w:val="22"/>
          <w:lang w:val="el-GR"/>
        </w:rPr>
        <w:t>Ημερομηνία τελευταίας ανανέωσης: 21-8-08</w:t>
      </w:r>
    </w:p>
    <w:p w:rsidR="00F16739" w:rsidRPr="0032564F" w:rsidRDefault="00F16739" w:rsidP="00045D24">
      <w:pPr>
        <w:pStyle w:val="a3"/>
        <w:tabs>
          <w:tab w:val="left" w:pos="1134"/>
        </w:tabs>
        <w:ind w:left="0"/>
        <w:rPr>
          <w:b/>
          <w:sz w:val="22"/>
          <w:szCs w:val="22"/>
          <w:lang w:val="el-GR"/>
        </w:rPr>
      </w:pPr>
    </w:p>
    <w:p w:rsidR="00F16739" w:rsidRPr="0032564F" w:rsidRDefault="00F16739" w:rsidP="00045D24">
      <w:pPr>
        <w:pStyle w:val="a3"/>
        <w:tabs>
          <w:tab w:val="left" w:pos="1134"/>
        </w:tabs>
        <w:ind w:left="0"/>
        <w:rPr>
          <w:b/>
          <w:sz w:val="22"/>
          <w:szCs w:val="22"/>
          <w:lang w:val="el-GR"/>
        </w:rPr>
      </w:pPr>
    </w:p>
    <w:p w:rsidR="00F16739" w:rsidRPr="0032564F" w:rsidRDefault="00F16739" w:rsidP="001B5F32">
      <w:pPr>
        <w:pStyle w:val="a3"/>
        <w:tabs>
          <w:tab w:val="left" w:pos="709"/>
        </w:tabs>
        <w:ind w:left="0"/>
        <w:rPr>
          <w:b/>
          <w:sz w:val="22"/>
          <w:szCs w:val="22"/>
          <w:lang w:val="el-GR"/>
        </w:rPr>
      </w:pPr>
      <w:r w:rsidRPr="0032564F">
        <w:rPr>
          <w:b/>
          <w:sz w:val="22"/>
          <w:szCs w:val="22"/>
          <w:lang w:val="el-GR"/>
        </w:rPr>
        <w:t>10</w:t>
      </w:r>
      <w:r w:rsidRPr="0032564F">
        <w:rPr>
          <w:b/>
          <w:sz w:val="22"/>
          <w:szCs w:val="22"/>
          <w:lang w:val="el-GR"/>
        </w:rPr>
        <w:tab/>
        <w:t xml:space="preserve">ΗΜΕΡΟΜΗΝΙΑ ΑΝΑΘΕΩΡΗΣΗΣ ΤΟΥ ΚΕΙΜΕΝΟΥ: </w:t>
      </w:r>
    </w:p>
    <w:p w:rsidR="00647F86" w:rsidRPr="0032564F" w:rsidRDefault="00F16739" w:rsidP="00045D24">
      <w:pPr>
        <w:pStyle w:val="a3"/>
        <w:rPr>
          <w:sz w:val="22"/>
          <w:szCs w:val="22"/>
          <w:lang w:val="el-GR"/>
        </w:rPr>
      </w:pPr>
      <w:r w:rsidRPr="0032564F">
        <w:rPr>
          <w:sz w:val="22"/>
          <w:szCs w:val="22"/>
          <w:lang w:val="el-GR"/>
        </w:rPr>
        <w:tab/>
      </w:r>
    </w:p>
    <w:sectPr w:rsidR="00647F86" w:rsidRPr="0032564F">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DB" w:rsidRDefault="001B4EDB">
      <w:r>
        <w:separator/>
      </w:r>
    </w:p>
  </w:endnote>
  <w:endnote w:type="continuationSeparator" w:id="0">
    <w:p w:rsidR="001B4EDB" w:rsidRDefault="001B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2" w:rsidRDefault="00152C22" w:rsidP="00F167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2C22" w:rsidRDefault="00152C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2" w:rsidRDefault="00152C22" w:rsidP="00F1673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7D6B">
      <w:rPr>
        <w:rStyle w:val="a5"/>
        <w:noProof/>
      </w:rPr>
      <w:t>21</w:t>
    </w:r>
    <w:r>
      <w:rPr>
        <w:rStyle w:val="a5"/>
      </w:rPr>
      <w:fldChar w:fldCharType="end"/>
    </w:r>
  </w:p>
  <w:p w:rsidR="00152C22" w:rsidRDefault="00152C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DB" w:rsidRDefault="001B4EDB">
      <w:r>
        <w:separator/>
      </w:r>
    </w:p>
  </w:footnote>
  <w:footnote w:type="continuationSeparator" w:id="0">
    <w:p w:rsidR="001B4EDB" w:rsidRDefault="001B4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6E758E"/>
    <w:multiLevelType w:val="multilevel"/>
    <w:tmpl w:val="24E2725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7D62BA2"/>
    <w:multiLevelType w:val="hybridMultilevel"/>
    <w:tmpl w:val="B37ACDE0"/>
    <w:lvl w:ilvl="0" w:tplc="AE08FDC2">
      <w:start w:val="6"/>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186A52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E5A3E48"/>
    <w:multiLevelType w:val="hybridMultilevel"/>
    <w:tmpl w:val="3D9C0BC8"/>
    <w:lvl w:ilvl="0" w:tplc="3664FF9A">
      <w:start w:val="13"/>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4AC70B81"/>
    <w:multiLevelType w:val="hybridMultilevel"/>
    <w:tmpl w:val="A77E2918"/>
    <w:lvl w:ilvl="0" w:tplc="F7E6F9B8">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8F437F7"/>
    <w:multiLevelType w:val="multilevel"/>
    <w:tmpl w:val="A39C233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94128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CA46828"/>
    <w:multiLevelType w:val="hybridMultilevel"/>
    <w:tmpl w:val="07386C48"/>
    <w:lvl w:ilvl="0" w:tplc="5896C92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6"/>
  </w:num>
  <w:num w:numId="2">
    <w:abstractNumId w:val="1"/>
  </w:num>
  <w:num w:numId="3">
    <w:abstractNumId w:val="7"/>
  </w:num>
  <w:num w:numId="4">
    <w:abstractNumId w:val="0"/>
  </w:num>
  <w:num w:numId="5">
    <w:abstractNumId w:val="3"/>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6739"/>
    <w:rsid w:val="00000A8B"/>
    <w:rsid w:val="00005F3A"/>
    <w:rsid w:val="00011D80"/>
    <w:rsid w:val="0001217A"/>
    <w:rsid w:val="00014416"/>
    <w:rsid w:val="00016632"/>
    <w:rsid w:val="00016E4C"/>
    <w:rsid w:val="00020DB2"/>
    <w:rsid w:val="00021F2E"/>
    <w:rsid w:val="0002330E"/>
    <w:rsid w:val="00024FE6"/>
    <w:rsid w:val="00025103"/>
    <w:rsid w:val="00027E25"/>
    <w:rsid w:val="00031C1F"/>
    <w:rsid w:val="00035026"/>
    <w:rsid w:val="00037329"/>
    <w:rsid w:val="00040D85"/>
    <w:rsid w:val="00043D8C"/>
    <w:rsid w:val="00045D24"/>
    <w:rsid w:val="000522E4"/>
    <w:rsid w:val="000534C9"/>
    <w:rsid w:val="000552F7"/>
    <w:rsid w:val="00056876"/>
    <w:rsid w:val="00056E76"/>
    <w:rsid w:val="00062F1B"/>
    <w:rsid w:val="000635B9"/>
    <w:rsid w:val="0007059B"/>
    <w:rsid w:val="000721BD"/>
    <w:rsid w:val="00072C7C"/>
    <w:rsid w:val="000752F7"/>
    <w:rsid w:val="00092AF8"/>
    <w:rsid w:val="00094B3A"/>
    <w:rsid w:val="000950B5"/>
    <w:rsid w:val="00095172"/>
    <w:rsid w:val="00097CBB"/>
    <w:rsid w:val="000A35C9"/>
    <w:rsid w:val="000B0E2F"/>
    <w:rsid w:val="000B178D"/>
    <w:rsid w:val="000B3744"/>
    <w:rsid w:val="000B6D28"/>
    <w:rsid w:val="000C340B"/>
    <w:rsid w:val="000C36EE"/>
    <w:rsid w:val="000C3801"/>
    <w:rsid w:val="000C49A4"/>
    <w:rsid w:val="000C5AFC"/>
    <w:rsid w:val="000D0D9A"/>
    <w:rsid w:val="000D2377"/>
    <w:rsid w:val="000D27C3"/>
    <w:rsid w:val="000D6A07"/>
    <w:rsid w:val="000E10D7"/>
    <w:rsid w:val="000E3A15"/>
    <w:rsid w:val="000E5C12"/>
    <w:rsid w:val="00100710"/>
    <w:rsid w:val="00100A64"/>
    <w:rsid w:val="001014F6"/>
    <w:rsid w:val="00101F61"/>
    <w:rsid w:val="00104052"/>
    <w:rsid w:val="00104593"/>
    <w:rsid w:val="001100E8"/>
    <w:rsid w:val="0011128B"/>
    <w:rsid w:val="00111AD2"/>
    <w:rsid w:val="001121DF"/>
    <w:rsid w:val="00112399"/>
    <w:rsid w:val="001205DD"/>
    <w:rsid w:val="00123772"/>
    <w:rsid w:val="00124140"/>
    <w:rsid w:val="00127279"/>
    <w:rsid w:val="00127773"/>
    <w:rsid w:val="0013100A"/>
    <w:rsid w:val="001321E2"/>
    <w:rsid w:val="001376E7"/>
    <w:rsid w:val="0014198F"/>
    <w:rsid w:val="00141F71"/>
    <w:rsid w:val="00145E5D"/>
    <w:rsid w:val="00146B83"/>
    <w:rsid w:val="00150B77"/>
    <w:rsid w:val="00152C22"/>
    <w:rsid w:val="00155FB0"/>
    <w:rsid w:val="001646DC"/>
    <w:rsid w:val="00164F2B"/>
    <w:rsid w:val="00166B4A"/>
    <w:rsid w:val="00175908"/>
    <w:rsid w:val="00180676"/>
    <w:rsid w:val="0018160D"/>
    <w:rsid w:val="00182E84"/>
    <w:rsid w:val="00187B93"/>
    <w:rsid w:val="00191867"/>
    <w:rsid w:val="001923EF"/>
    <w:rsid w:val="00197B9C"/>
    <w:rsid w:val="001A0BD8"/>
    <w:rsid w:val="001A42AB"/>
    <w:rsid w:val="001A479C"/>
    <w:rsid w:val="001A6556"/>
    <w:rsid w:val="001B0299"/>
    <w:rsid w:val="001B17F2"/>
    <w:rsid w:val="001B3138"/>
    <w:rsid w:val="001B4EDB"/>
    <w:rsid w:val="001B5A26"/>
    <w:rsid w:val="001B5F32"/>
    <w:rsid w:val="001C0BB2"/>
    <w:rsid w:val="001C1A41"/>
    <w:rsid w:val="001C22B3"/>
    <w:rsid w:val="001C2E14"/>
    <w:rsid w:val="001C2E9F"/>
    <w:rsid w:val="001C57FD"/>
    <w:rsid w:val="001C6A54"/>
    <w:rsid w:val="001C6BAA"/>
    <w:rsid w:val="001D170E"/>
    <w:rsid w:val="001D234E"/>
    <w:rsid w:val="001E0ACF"/>
    <w:rsid w:val="001E2C31"/>
    <w:rsid w:val="001F040D"/>
    <w:rsid w:val="001F78A8"/>
    <w:rsid w:val="00201F6C"/>
    <w:rsid w:val="002111B4"/>
    <w:rsid w:val="00211433"/>
    <w:rsid w:val="0021158F"/>
    <w:rsid w:val="00216FF8"/>
    <w:rsid w:val="00217834"/>
    <w:rsid w:val="0022176A"/>
    <w:rsid w:val="002239C0"/>
    <w:rsid w:val="00223D5F"/>
    <w:rsid w:val="00232F30"/>
    <w:rsid w:val="0024373F"/>
    <w:rsid w:val="00244D77"/>
    <w:rsid w:val="002450D7"/>
    <w:rsid w:val="00245165"/>
    <w:rsid w:val="00247379"/>
    <w:rsid w:val="002519AD"/>
    <w:rsid w:val="00252046"/>
    <w:rsid w:val="00253267"/>
    <w:rsid w:val="002541B6"/>
    <w:rsid w:val="00254D7B"/>
    <w:rsid w:val="0026222A"/>
    <w:rsid w:val="00262AE2"/>
    <w:rsid w:val="00263C09"/>
    <w:rsid w:val="00264430"/>
    <w:rsid w:val="002671F2"/>
    <w:rsid w:val="0029279D"/>
    <w:rsid w:val="002A46E4"/>
    <w:rsid w:val="002A66A0"/>
    <w:rsid w:val="002B456F"/>
    <w:rsid w:val="002B6419"/>
    <w:rsid w:val="002C1E78"/>
    <w:rsid w:val="002C4DC9"/>
    <w:rsid w:val="002C567D"/>
    <w:rsid w:val="002C792C"/>
    <w:rsid w:val="002D18EA"/>
    <w:rsid w:val="002D37BD"/>
    <w:rsid w:val="002D3B3D"/>
    <w:rsid w:val="002E0B0D"/>
    <w:rsid w:val="002E0DCC"/>
    <w:rsid w:val="002E3F52"/>
    <w:rsid w:val="002E6B5A"/>
    <w:rsid w:val="002F2EBB"/>
    <w:rsid w:val="002F3EE1"/>
    <w:rsid w:val="0030057E"/>
    <w:rsid w:val="0030152C"/>
    <w:rsid w:val="0030332E"/>
    <w:rsid w:val="003073F8"/>
    <w:rsid w:val="00310213"/>
    <w:rsid w:val="0031094F"/>
    <w:rsid w:val="00311763"/>
    <w:rsid w:val="00316FAE"/>
    <w:rsid w:val="00320C34"/>
    <w:rsid w:val="00320E3B"/>
    <w:rsid w:val="0032564F"/>
    <w:rsid w:val="00326290"/>
    <w:rsid w:val="00326BAD"/>
    <w:rsid w:val="00327D05"/>
    <w:rsid w:val="00336C19"/>
    <w:rsid w:val="00343045"/>
    <w:rsid w:val="0034617D"/>
    <w:rsid w:val="00346B8C"/>
    <w:rsid w:val="003515D3"/>
    <w:rsid w:val="003541A1"/>
    <w:rsid w:val="003551D0"/>
    <w:rsid w:val="003617FA"/>
    <w:rsid w:val="00365648"/>
    <w:rsid w:val="003663FF"/>
    <w:rsid w:val="00370090"/>
    <w:rsid w:val="00372FA8"/>
    <w:rsid w:val="003737F7"/>
    <w:rsid w:val="003815EC"/>
    <w:rsid w:val="0038175F"/>
    <w:rsid w:val="00383311"/>
    <w:rsid w:val="00383A0F"/>
    <w:rsid w:val="00386E96"/>
    <w:rsid w:val="00387DFA"/>
    <w:rsid w:val="00397790"/>
    <w:rsid w:val="003A0575"/>
    <w:rsid w:val="003A0B6F"/>
    <w:rsid w:val="003B23F1"/>
    <w:rsid w:val="003B3C47"/>
    <w:rsid w:val="003B6A50"/>
    <w:rsid w:val="003B6F57"/>
    <w:rsid w:val="003C4FA4"/>
    <w:rsid w:val="003D2561"/>
    <w:rsid w:val="003D5494"/>
    <w:rsid w:val="003E2F87"/>
    <w:rsid w:val="003E6CB2"/>
    <w:rsid w:val="003F389B"/>
    <w:rsid w:val="003F45FA"/>
    <w:rsid w:val="003F467F"/>
    <w:rsid w:val="003F4DE5"/>
    <w:rsid w:val="003F52E6"/>
    <w:rsid w:val="003F7C2C"/>
    <w:rsid w:val="00400148"/>
    <w:rsid w:val="00400D75"/>
    <w:rsid w:val="004119EB"/>
    <w:rsid w:val="004127B9"/>
    <w:rsid w:val="004147AC"/>
    <w:rsid w:val="00414FF5"/>
    <w:rsid w:val="00415D90"/>
    <w:rsid w:val="00417FEC"/>
    <w:rsid w:val="00420475"/>
    <w:rsid w:val="004226F2"/>
    <w:rsid w:val="00422C7F"/>
    <w:rsid w:val="00430C1B"/>
    <w:rsid w:val="00433B7D"/>
    <w:rsid w:val="00435863"/>
    <w:rsid w:val="00437667"/>
    <w:rsid w:val="00440B4E"/>
    <w:rsid w:val="00441E1C"/>
    <w:rsid w:val="004454FA"/>
    <w:rsid w:val="00445A1E"/>
    <w:rsid w:val="004515CE"/>
    <w:rsid w:val="00453976"/>
    <w:rsid w:val="00454D80"/>
    <w:rsid w:val="00457ED4"/>
    <w:rsid w:val="00463BC0"/>
    <w:rsid w:val="004658AA"/>
    <w:rsid w:val="0047085D"/>
    <w:rsid w:val="00475EDF"/>
    <w:rsid w:val="004823F6"/>
    <w:rsid w:val="00485A5D"/>
    <w:rsid w:val="00491145"/>
    <w:rsid w:val="00494369"/>
    <w:rsid w:val="00495039"/>
    <w:rsid w:val="0049525D"/>
    <w:rsid w:val="004958AA"/>
    <w:rsid w:val="00495A89"/>
    <w:rsid w:val="00496F26"/>
    <w:rsid w:val="004A1BCC"/>
    <w:rsid w:val="004A3EF6"/>
    <w:rsid w:val="004B0464"/>
    <w:rsid w:val="004B56AC"/>
    <w:rsid w:val="004B5E84"/>
    <w:rsid w:val="004C1787"/>
    <w:rsid w:val="004C3574"/>
    <w:rsid w:val="004D0A30"/>
    <w:rsid w:val="004D25C4"/>
    <w:rsid w:val="004D2B01"/>
    <w:rsid w:val="004D3ABD"/>
    <w:rsid w:val="004E1597"/>
    <w:rsid w:val="004E5D68"/>
    <w:rsid w:val="004F1660"/>
    <w:rsid w:val="004F2246"/>
    <w:rsid w:val="004F6A06"/>
    <w:rsid w:val="004F797E"/>
    <w:rsid w:val="00501098"/>
    <w:rsid w:val="00502446"/>
    <w:rsid w:val="005041FE"/>
    <w:rsid w:val="00505B2C"/>
    <w:rsid w:val="005136C8"/>
    <w:rsid w:val="0051479D"/>
    <w:rsid w:val="0052071C"/>
    <w:rsid w:val="00524625"/>
    <w:rsid w:val="00524901"/>
    <w:rsid w:val="00525048"/>
    <w:rsid w:val="005257D9"/>
    <w:rsid w:val="005262D0"/>
    <w:rsid w:val="0052632A"/>
    <w:rsid w:val="0053045D"/>
    <w:rsid w:val="005415AF"/>
    <w:rsid w:val="00557976"/>
    <w:rsid w:val="005622E4"/>
    <w:rsid w:val="00565A14"/>
    <w:rsid w:val="00571001"/>
    <w:rsid w:val="005710D0"/>
    <w:rsid w:val="00571986"/>
    <w:rsid w:val="00573FCE"/>
    <w:rsid w:val="005745C3"/>
    <w:rsid w:val="00574DC3"/>
    <w:rsid w:val="00585FC5"/>
    <w:rsid w:val="00593ECF"/>
    <w:rsid w:val="005B366A"/>
    <w:rsid w:val="005B4136"/>
    <w:rsid w:val="005B5E0C"/>
    <w:rsid w:val="005B7F4A"/>
    <w:rsid w:val="005C5DCF"/>
    <w:rsid w:val="005C62C1"/>
    <w:rsid w:val="005C7E7A"/>
    <w:rsid w:val="005D12BA"/>
    <w:rsid w:val="005D152C"/>
    <w:rsid w:val="005D7809"/>
    <w:rsid w:val="005E0E14"/>
    <w:rsid w:val="005E143C"/>
    <w:rsid w:val="005E69AD"/>
    <w:rsid w:val="005F24BD"/>
    <w:rsid w:val="005F3100"/>
    <w:rsid w:val="005F53FD"/>
    <w:rsid w:val="005F73CE"/>
    <w:rsid w:val="006004BD"/>
    <w:rsid w:val="0060092F"/>
    <w:rsid w:val="006012BF"/>
    <w:rsid w:val="006037B3"/>
    <w:rsid w:val="0060642F"/>
    <w:rsid w:val="0060686B"/>
    <w:rsid w:val="00607F3F"/>
    <w:rsid w:val="0061329F"/>
    <w:rsid w:val="00613C14"/>
    <w:rsid w:val="006157C2"/>
    <w:rsid w:val="006279D1"/>
    <w:rsid w:val="00630980"/>
    <w:rsid w:val="00636441"/>
    <w:rsid w:val="0064007B"/>
    <w:rsid w:val="00640D7C"/>
    <w:rsid w:val="00641234"/>
    <w:rsid w:val="00641923"/>
    <w:rsid w:val="00642A87"/>
    <w:rsid w:val="00643DD1"/>
    <w:rsid w:val="0064540D"/>
    <w:rsid w:val="00647F86"/>
    <w:rsid w:val="0067205F"/>
    <w:rsid w:val="006743DD"/>
    <w:rsid w:val="00674654"/>
    <w:rsid w:val="00682DFF"/>
    <w:rsid w:val="00682E67"/>
    <w:rsid w:val="00683A10"/>
    <w:rsid w:val="00687923"/>
    <w:rsid w:val="00696073"/>
    <w:rsid w:val="006A1F9B"/>
    <w:rsid w:val="006A4BE1"/>
    <w:rsid w:val="006A6C86"/>
    <w:rsid w:val="006A7396"/>
    <w:rsid w:val="006B27DB"/>
    <w:rsid w:val="006B4693"/>
    <w:rsid w:val="006B58C6"/>
    <w:rsid w:val="006C1C33"/>
    <w:rsid w:val="006C2C93"/>
    <w:rsid w:val="006C3AFD"/>
    <w:rsid w:val="006C690E"/>
    <w:rsid w:val="006C6B39"/>
    <w:rsid w:val="006D02A2"/>
    <w:rsid w:val="006D15E2"/>
    <w:rsid w:val="006D20E3"/>
    <w:rsid w:val="006D2673"/>
    <w:rsid w:val="006E4256"/>
    <w:rsid w:val="006E5643"/>
    <w:rsid w:val="006F2083"/>
    <w:rsid w:val="006F4F6D"/>
    <w:rsid w:val="006F5562"/>
    <w:rsid w:val="006F5BB7"/>
    <w:rsid w:val="00703AD3"/>
    <w:rsid w:val="00706E72"/>
    <w:rsid w:val="00712E13"/>
    <w:rsid w:val="0072176A"/>
    <w:rsid w:val="00722180"/>
    <w:rsid w:val="00722E2B"/>
    <w:rsid w:val="00724DDC"/>
    <w:rsid w:val="00726C37"/>
    <w:rsid w:val="0074108C"/>
    <w:rsid w:val="007411C2"/>
    <w:rsid w:val="00745EAF"/>
    <w:rsid w:val="00746E6D"/>
    <w:rsid w:val="00755AEC"/>
    <w:rsid w:val="00764385"/>
    <w:rsid w:val="007646F3"/>
    <w:rsid w:val="0077205A"/>
    <w:rsid w:val="00773A1B"/>
    <w:rsid w:val="00773C50"/>
    <w:rsid w:val="00780062"/>
    <w:rsid w:val="00781970"/>
    <w:rsid w:val="007868DB"/>
    <w:rsid w:val="00790029"/>
    <w:rsid w:val="00790E22"/>
    <w:rsid w:val="007A7485"/>
    <w:rsid w:val="007C0483"/>
    <w:rsid w:val="007C207E"/>
    <w:rsid w:val="007C2A68"/>
    <w:rsid w:val="007D23F4"/>
    <w:rsid w:val="007D2B22"/>
    <w:rsid w:val="007D672E"/>
    <w:rsid w:val="007E1F86"/>
    <w:rsid w:val="007E43EF"/>
    <w:rsid w:val="007E5A32"/>
    <w:rsid w:val="007F17E9"/>
    <w:rsid w:val="007F1BE5"/>
    <w:rsid w:val="007F1D61"/>
    <w:rsid w:val="00802479"/>
    <w:rsid w:val="00804A47"/>
    <w:rsid w:val="008058C7"/>
    <w:rsid w:val="00810F84"/>
    <w:rsid w:val="00823404"/>
    <w:rsid w:val="00826072"/>
    <w:rsid w:val="00827C2D"/>
    <w:rsid w:val="00833771"/>
    <w:rsid w:val="00841C3E"/>
    <w:rsid w:val="00843AA1"/>
    <w:rsid w:val="00857EE9"/>
    <w:rsid w:val="00861435"/>
    <w:rsid w:val="00862C3E"/>
    <w:rsid w:val="00863702"/>
    <w:rsid w:val="00864FBB"/>
    <w:rsid w:val="008674A1"/>
    <w:rsid w:val="008679ED"/>
    <w:rsid w:val="00872848"/>
    <w:rsid w:val="00884AB1"/>
    <w:rsid w:val="00884EC6"/>
    <w:rsid w:val="008868C8"/>
    <w:rsid w:val="00894184"/>
    <w:rsid w:val="00894D10"/>
    <w:rsid w:val="0089517F"/>
    <w:rsid w:val="008975AE"/>
    <w:rsid w:val="008A0A62"/>
    <w:rsid w:val="008B1ADB"/>
    <w:rsid w:val="008B3F0C"/>
    <w:rsid w:val="008C15BF"/>
    <w:rsid w:val="008C1E48"/>
    <w:rsid w:val="008C21A1"/>
    <w:rsid w:val="008C237E"/>
    <w:rsid w:val="008C5251"/>
    <w:rsid w:val="008D002C"/>
    <w:rsid w:val="008D604F"/>
    <w:rsid w:val="008D7090"/>
    <w:rsid w:val="008E0031"/>
    <w:rsid w:val="008E31A3"/>
    <w:rsid w:val="008E61B4"/>
    <w:rsid w:val="008E750F"/>
    <w:rsid w:val="00904CAC"/>
    <w:rsid w:val="009052CC"/>
    <w:rsid w:val="0091466B"/>
    <w:rsid w:val="00917E09"/>
    <w:rsid w:val="00924B4C"/>
    <w:rsid w:val="00930275"/>
    <w:rsid w:val="009303E5"/>
    <w:rsid w:val="009319C1"/>
    <w:rsid w:val="00936B68"/>
    <w:rsid w:val="00940C85"/>
    <w:rsid w:val="009429A7"/>
    <w:rsid w:val="00945B22"/>
    <w:rsid w:val="009517CE"/>
    <w:rsid w:val="00952642"/>
    <w:rsid w:val="00954CD9"/>
    <w:rsid w:val="00956B68"/>
    <w:rsid w:val="009577F1"/>
    <w:rsid w:val="00960D94"/>
    <w:rsid w:val="0096192F"/>
    <w:rsid w:val="00963AE8"/>
    <w:rsid w:val="00973C1E"/>
    <w:rsid w:val="00977A3E"/>
    <w:rsid w:val="00977D15"/>
    <w:rsid w:val="009869C3"/>
    <w:rsid w:val="00987B02"/>
    <w:rsid w:val="00992664"/>
    <w:rsid w:val="009960F8"/>
    <w:rsid w:val="009969A3"/>
    <w:rsid w:val="009A021C"/>
    <w:rsid w:val="009A466A"/>
    <w:rsid w:val="009A56D5"/>
    <w:rsid w:val="009B5669"/>
    <w:rsid w:val="009B5986"/>
    <w:rsid w:val="009B7D6B"/>
    <w:rsid w:val="009C4827"/>
    <w:rsid w:val="009C4F98"/>
    <w:rsid w:val="009C5C3E"/>
    <w:rsid w:val="009D2734"/>
    <w:rsid w:val="009D3042"/>
    <w:rsid w:val="009D53DF"/>
    <w:rsid w:val="009D5584"/>
    <w:rsid w:val="009D7769"/>
    <w:rsid w:val="009E104E"/>
    <w:rsid w:val="009E2091"/>
    <w:rsid w:val="009E2838"/>
    <w:rsid w:val="009E5A2F"/>
    <w:rsid w:val="009E5C2E"/>
    <w:rsid w:val="009F1826"/>
    <w:rsid w:val="009F3047"/>
    <w:rsid w:val="00A005C3"/>
    <w:rsid w:val="00A02772"/>
    <w:rsid w:val="00A046F5"/>
    <w:rsid w:val="00A107F1"/>
    <w:rsid w:val="00A1351E"/>
    <w:rsid w:val="00A13CA9"/>
    <w:rsid w:val="00A167A1"/>
    <w:rsid w:val="00A17050"/>
    <w:rsid w:val="00A1749E"/>
    <w:rsid w:val="00A22B70"/>
    <w:rsid w:val="00A24CF0"/>
    <w:rsid w:val="00A27559"/>
    <w:rsid w:val="00A2760D"/>
    <w:rsid w:val="00A27F6F"/>
    <w:rsid w:val="00A34550"/>
    <w:rsid w:val="00A34CBB"/>
    <w:rsid w:val="00A35186"/>
    <w:rsid w:val="00A3649A"/>
    <w:rsid w:val="00A402BE"/>
    <w:rsid w:val="00A41D8E"/>
    <w:rsid w:val="00A41DFC"/>
    <w:rsid w:val="00A45EAB"/>
    <w:rsid w:val="00A46006"/>
    <w:rsid w:val="00A54FC5"/>
    <w:rsid w:val="00A5557F"/>
    <w:rsid w:val="00A557E1"/>
    <w:rsid w:val="00A60643"/>
    <w:rsid w:val="00A61B3B"/>
    <w:rsid w:val="00A65682"/>
    <w:rsid w:val="00A73CDE"/>
    <w:rsid w:val="00A75190"/>
    <w:rsid w:val="00A80E18"/>
    <w:rsid w:val="00A8392A"/>
    <w:rsid w:val="00A83BCE"/>
    <w:rsid w:val="00A91070"/>
    <w:rsid w:val="00A913DC"/>
    <w:rsid w:val="00A92FD8"/>
    <w:rsid w:val="00AA6635"/>
    <w:rsid w:val="00AA7696"/>
    <w:rsid w:val="00AA7F14"/>
    <w:rsid w:val="00AA7FAF"/>
    <w:rsid w:val="00AB160E"/>
    <w:rsid w:val="00AB2D38"/>
    <w:rsid w:val="00AC03B8"/>
    <w:rsid w:val="00AC133C"/>
    <w:rsid w:val="00AC195D"/>
    <w:rsid w:val="00AC789C"/>
    <w:rsid w:val="00AD2637"/>
    <w:rsid w:val="00AE1C46"/>
    <w:rsid w:val="00AE23EE"/>
    <w:rsid w:val="00AE3D82"/>
    <w:rsid w:val="00AE59EB"/>
    <w:rsid w:val="00AF065D"/>
    <w:rsid w:val="00AF264D"/>
    <w:rsid w:val="00B00412"/>
    <w:rsid w:val="00B00892"/>
    <w:rsid w:val="00B0351C"/>
    <w:rsid w:val="00B057C3"/>
    <w:rsid w:val="00B146A9"/>
    <w:rsid w:val="00B23A9E"/>
    <w:rsid w:val="00B252A1"/>
    <w:rsid w:val="00B2558A"/>
    <w:rsid w:val="00B25949"/>
    <w:rsid w:val="00B26F11"/>
    <w:rsid w:val="00B278A8"/>
    <w:rsid w:val="00B31FE7"/>
    <w:rsid w:val="00B32578"/>
    <w:rsid w:val="00B342BF"/>
    <w:rsid w:val="00B3728C"/>
    <w:rsid w:val="00B40942"/>
    <w:rsid w:val="00B43884"/>
    <w:rsid w:val="00B459C3"/>
    <w:rsid w:val="00B57E08"/>
    <w:rsid w:val="00B57E92"/>
    <w:rsid w:val="00B6559F"/>
    <w:rsid w:val="00B66265"/>
    <w:rsid w:val="00B725EA"/>
    <w:rsid w:val="00B72AAB"/>
    <w:rsid w:val="00B72E96"/>
    <w:rsid w:val="00B7394D"/>
    <w:rsid w:val="00B7442A"/>
    <w:rsid w:val="00B74A5D"/>
    <w:rsid w:val="00B76763"/>
    <w:rsid w:val="00B76C96"/>
    <w:rsid w:val="00B80D7F"/>
    <w:rsid w:val="00B86AF2"/>
    <w:rsid w:val="00B906EC"/>
    <w:rsid w:val="00B94423"/>
    <w:rsid w:val="00B957CC"/>
    <w:rsid w:val="00BA093B"/>
    <w:rsid w:val="00BA0E7C"/>
    <w:rsid w:val="00BA177D"/>
    <w:rsid w:val="00BA4BE9"/>
    <w:rsid w:val="00BA4D45"/>
    <w:rsid w:val="00BA5619"/>
    <w:rsid w:val="00BA5FA1"/>
    <w:rsid w:val="00BB45F6"/>
    <w:rsid w:val="00BC0CD9"/>
    <w:rsid w:val="00BC3B03"/>
    <w:rsid w:val="00BD0679"/>
    <w:rsid w:val="00BD5F0A"/>
    <w:rsid w:val="00BE213F"/>
    <w:rsid w:val="00BE31BD"/>
    <w:rsid w:val="00BF02E0"/>
    <w:rsid w:val="00BF05E7"/>
    <w:rsid w:val="00BF1E34"/>
    <w:rsid w:val="00BF2A29"/>
    <w:rsid w:val="00BF72A7"/>
    <w:rsid w:val="00C0030E"/>
    <w:rsid w:val="00C00CCD"/>
    <w:rsid w:val="00C025EF"/>
    <w:rsid w:val="00C03B82"/>
    <w:rsid w:val="00C07646"/>
    <w:rsid w:val="00C07DC7"/>
    <w:rsid w:val="00C149B7"/>
    <w:rsid w:val="00C175C0"/>
    <w:rsid w:val="00C232E2"/>
    <w:rsid w:val="00C26033"/>
    <w:rsid w:val="00C26371"/>
    <w:rsid w:val="00C26824"/>
    <w:rsid w:val="00C27D09"/>
    <w:rsid w:val="00C27EFC"/>
    <w:rsid w:val="00C34264"/>
    <w:rsid w:val="00C34497"/>
    <w:rsid w:val="00C350DF"/>
    <w:rsid w:val="00C37A1F"/>
    <w:rsid w:val="00C427D8"/>
    <w:rsid w:val="00C444C1"/>
    <w:rsid w:val="00C52849"/>
    <w:rsid w:val="00C5781D"/>
    <w:rsid w:val="00C61242"/>
    <w:rsid w:val="00C62D9E"/>
    <w:rsid w:val="00C643E6"/>
    <w:rsid w:val="00C66DE2"/>
    <w:rsid w:val="00C70032"/>
    <w:rsid w:val="00C7293B"/>
    <w:rsid w:val="00C73C40"/>
    <w:rsid w:val="00C73F8E"/>
    <w:rsid w:val="00C76F0A"/>
    <w:rsid w:val="00C81509"/>
    <w:rsid w:val="00C85B7D"/>
    <w:rsid w:val="00CA2C23"/>
    <w:rsid w:val="00CA3126"/>
    <w:rsid w:val="00CA4493"/>
    <w:rsid w:val="00CB2614"/>
    <w:rsid w:val="00CC01CA"/>
    <w:rsid w:val="00CC0C4A"/>
    <w:rsid w:val="00CD257B"/>
    <w:rsid w:val="00CD33C3"/>
    <w:rsid w:val="00CD3871"/>
    <w:rsid w:val="00CD3CD8"/>
    <w:rsid w:val="00CD5E21"/>
    <w:rsid w:val="00CD69C5"/>
    <w:rsid w:val="00CD7CA6"/>
    <w:rsid w:val="00CD7F16"/>
    <w:rsid w:val="00CE1135"/>
    <w:rsid w:val="00CE6AE8"/>
    <w:rsid w:val="00CF505E"/>
    <w:rsid w:val="00CF5E43"/>
    <w:rsid w:val="00D0315B"/>
    <w:rsid w:val="00D03A21"/>
    <w:rsid w:val="00D0717A"/>
    <w:rsid w:val="00D1147D"/>
    <w:rsid w:val="00D138CE"/>
    <w:rsid w:val="00D15281"/>
    <w:rsid w:val="00D23F11"/>
    <w:rsid w:val="00D300D5"/>
    <w:rsid w:val="00D30696"/>
    <w:rsid w:val="00D329A0"/>
    <w:rsid w:val="00D35262"/>
    <w:rsid w:val="00D35955"/>
    <w:rsid w:val="00D40CAC"/>
    <w:rsid w:val="00D41E60"/>
    <w:rsid w:val="00D43D7C"/>
    <w:rsid w:val="00D44E00"/>
    <w:rsid w:val="00D461F0"/>
    <w:rsid w:val="00D51C8C"/>
    <w:rsid w:val="00D53166"/>
    <w:rsid w:val="00D5452C"/>
    <w:rsid w:val="00D57001"/>
    <w:rsid w:val="00D633E5"/>
    <w:rsid w:val="00D649DA"/>
    <w:rsid w:val="00D66ED9"/>
    <w:rsid w:val="00D67F67"/>
    <w:rsid w:val="00D705AD"/>
    <w:rsid w:val="00D71C62"/>
    <w:rsid w:val="00D73CFD"/>
    <w:rsid w:val="00D749F8"/>
    <w:rsid w:val="00D80476"/>
    <w:rsid w:val="00D80E5D"/>
    <w:rsid w:val="00D818B1"/>
    <w:rsid w:val="00D83091"/>
    <w:rsid w:val="00D8354C"/>
    <w:rsid w:val="00DA428D"/>
    <w:rsid w:val="00DA6705"/>
    <w:rsid w:val="00DB072C"/>
    <w:rsid w:val="00DB265E"/>
    <w:rsid w:val="00DB5865"/>
    <w:rsid w:val="00DB6E84"/>
    <w:rsid w:val="00DC128D"/>
    <w:rsid w:val="00DC66D0"/>
    <w:rsid w:val="00DD3CE3"/>
    <w:rsid w:val="00DD768C"/>
    <w:rsid w:val="00DF048D"/>
    <w:rsid w:val="00DF1AC5"/>
    <w:rsid w:val="00DF2E84"/>
    <w:rsid w:val="00E03817"/>
    <w:rsid w:val="00E06FE9"/>
    <w:rsid w:val="00E076D7"/>
    <w:rsid w:val="00E12547"/>
    <w:rsid w:val="00E12B3F"/>
    <w:rsid w:val="00E16B76"/>
    <w:rsid w:val="00E26069"/>
    <w:rsid w:val="00E2683F"/>
    <w:rsid w:val="00E330FC"/>
    <w:rsid w:val="00E3333B"/>
    <w:rsid w:val="00E33B64"/>
    <w:rsid w:val="00E35280"/>
    <w:rsid w:val="00E36D02"/>
    <w:rsid w:val="00E42E21"/>
    <w:rsid w:val="00E44B5E"/>
    <w:rsid w:val="00E45B5D"/>
    <w:rsid w:val="00E46896"/>
    <w:rsid w:val="00E478E6"/>
    <w:rsid w:val="00E50863"/>
    <w:rsid w:val="00E52761"/>
    <w:rsid w:val="00E543B3"/>
    <w:rsid w:val="00E55A56"/>
    <w:rsid w:val="00E5667C"/>
    <w:rsid w:val="00E569BE"/>
    <w:rsid w:val="00E573AE"/>
    <w:rsid w:val="00E57F2A"/>
    <w:rsid w:val="00E66980"/>
    <w:rsid w:val="00E70CD7"/>
    <w:rsid w:val="00E742B7"/>
    <w:rsid w:val="00E76FC0"/>
    <w:rsid w:val="00E807B0"/>
    <w:rsid w:val="00E808E2"/>
    <w:rsid w:val="00E84C36"/>
    <w:rsid w:val="00E8518E"/>
    <w:rsid w:val="00E91D25"/>
    <w:rsid w:val="00E93497"/>
    <w:rsid w:val="00E94163"/>
    <w:rsid w:val="00EA24DA"/>
    <w:rsid w:val="00EA4786"/>
    <w:rsid w:val="00EB223B"/>
    <w:rsid w:val="00EC0A8D"/>
    <w:rsid w:val="00EC4242"/>
    <w:rsid w:val="00EC72A0"/>
    <w:rsid w:val="00ED2F78"/>
    <w:rsid w:val="00ED4010"/>
    <w:rsid w:val="00EE034F"/>
    <w:rsid w:val="00EE05C8"/>
    <w:rsid w:val="00EE0715"/>
    <w:rsid w:val="00EE4A70"/>
    <w:rsid w:val="00EE5795"/>
    <w:rsid w:val="00EF6ACB"/>
    <w:rsid w:val="00F049B7"/>
    <w:rsid w:val="00F05207"/>
    <w:rsid w:val="00F0536C"/>
    <w:rsid w:val="00F05427"/>
    <w:rsid w:val="00F10DBC"/>
    <w:rsid w:val="00F11A68"/>
    <w:rsid w:val="00F12475"/>
    <w:rsid w:val="00F12C95"/>
    <w:rsid w:val="00F16739"/>
    <w:rsid w:val="00F204E1"/>
    <w:rsid w:val="00F2442E"/>
    <w:rsid w:val="00F26118"/>
    <w:rsid w:val="00F26639"/>
    <w:rsid w:val="00F35DD9"/>
    <w:rsid w:val="00F37E5D"/>
    <w:rsid w:val="00F4319D"/>
    <w:rsid w:val="00F527E4"/>
    <w:rsid w:val="00F52C67"/>
    <w:rsid w:val="00F56947"/>
    <w:rsid w:val="00F56C75"/>
    <w:rsid w:val="00F57CC5"/>
    <w:rsid w:val="00F57EDC"/>
    <w:rsid w:val="00F60CA3"/>
    <w:rsid w:val="00F61E57"/>
    <w:rsid w:val="00F61F61"/>
    <w:rsid w:val="00F63A50"/>
    <w:rsid w:val="00F669D8"/>
    <w:rsid w:val="00F706F6"/>
    <w:rsid w:val="00F862B7"/>
    <w:rsid w:val="00F91AE5"/>
    <w:rsid w:val="00F927A0"/>
    <w:rsid w:val="00F965B9"/>
    <w:rsid w:val="00FA09E4"/>
    <w:rsid w:val="00FA112F"/>
    <w:rsid w:val="00FA3633"/>
    <w:rsid w:val="00FA447A"/>
    <w:rsid w:val="00FA7236"/>
    <w:rsid w:val="00FB0C01"/>
    <w:rsid w:val="00FB6A97"/>
    <w:rsid w:val="00FD3B33"/>
    <w:rsid w:val="00FE081F"/>
    <w:rsid w:val="00FE17BF"/>
    <w:rsid w:val="00FE5330"/>
    <w:rsid w:val="00FE61F6"/>
    <w:rsid w:val="00FE7457"/>
    <w:rsid w:val="00FF300B"/>
    <w:rsid w:val="00FF3D9E"/>
    <w:rsid w:val="00FF47E0"/>
    <w:rsid w:val="00FF6E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739"/>
    <w:rPr>
      <w:lang w:val="en-GB"/>
    </w:rPr>
  </w:style>
  <w:style w:type="paragraph" w:styleId="9">
    <w:name w:val="heading 9"/>
    <w:basedOn w:val="a"/>
    <w:next w:val="a"/>
    <w:qFormat/>
    <w:rsid w:val="00F16739"/>
    <w:pPr>
      <w:keepNext/>
      <w:outlineLvl w:val="8"/>
    </w:pPr>
    <w:rPr>
      <w:b/>
      <w:bCs/>
      <w:i/>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16739"/>
    <w:pPr>
      <w:ind w:left="720"/>
    </w:pPr>
    <w:rPr>
      <w:sz w:val="24"/>
    </w:rPr>
  </w:style>
  <w:style w:type="character" w:customStyle="1" w:styleId="Char">
    <w:name w:val="Σώμα κείμενου με εσοχή Char"/>
    <w:link w:val="a3"/>
    <w:rsid w:val="00F16739"/>
    <w:rPr>
      <w:sz w:val="24"/>
      <w:lang w:val="en-GB" w:eastAsia="el-GR" w:bidi="ar-SA"/>
    </w:rPr>
  </w:style>
  <w:style w:type="paragraph" w:styleId="2">
    <w:name w:val="Body Text 2"/>
    <w:basedOn w:val="a"/>
    <w:rsid w:val="00F16739"/>
    <w:pPr>
      <w:ind w:right="-341"/>
      <w:jc w:val="both"/>
    </w:pPr>
    <w:rPr>
      <w:sz w:val="22"/>
    </w:rPr>
  </w:style>
  <w:style w:type="paragraph" w:styleId="a4">
    <w:name w:val="footer"/>
    <w:basedOn w:val="a"/>
    <w:rsid w:val="00F16739"/>
    <w:pPr>
      <w:tabs>
        <w:tab w:val="center" w:pos="4153"/>
        <w:tab w:val="right" w:pos="8306"/>
      </w:tabs>
    </w:pPr>
  </w:style>
  <w:style w:type="character" w:styleId="a5">
    <w:name w:val="page number"/>
    <w:basedOn w:val="a0"/>
    <w:rsid w:val="00F16739"/>
  </w:style>
  <w:style w:type="paragraph" w:styleId="a6">
    <w:name w:val="Body Text"/>
    <w:basedOn w:val="a"/>
    <w:rsid w:val="00F16739"/>
    <w:pPr>
      <w:spacing w:after="120"/>
    </w:pPr>
  </w:style>
  <w:style w:type="paragraph" w:styleId="20">
    <w:name w:val="Body Text Indent 2"/>
    <w:basedOn w:val="a"/>
    <w:rsid w:val="00F16739"/>
    <w:pPr>
      <w:spacing w:after="120" w:line="480" w:lineRule="auto"/>
      <w:ind w:left="283"/>
    </w:pPr>
  </w:style>
  <w:style w:type="paragraph" w:customStyle="1" w:styleId="MGGTextLeft">
    <w:name w:val="MGG Text Left"/>
    <w:basedOn w:val="a6"/>
    <w:rsid w:val="00F16739"/>
    <w:pPr>
      <w:spacing w:after="0"/>
    </w:pPr>
    <w:rPr>
      <w:sz w:val="24"/>
      <w:szCs w:val="24"/>
      <w:lang w:eastAsia="en-US"/>
    </w:rPr>
  </w:style>
  <w:style w:type="paragraph" w:styleId="a7">
    <w:name w:val="header"/>
    <w:basedOn w:val="a"/>
    <w:rsid w:val="00F16739"/>
    <w:pPr>
      <w:widowControl w:val="0"/>
      <w:tabs>
        <w:tab w:val="center" w:pos="4153"/>
        <w:tab w:val="right" w:pos="8306"/>
      </w:tabs>
    </w:pPr>
    <w:rPr>
      <w:sz w:val="22"/>
      <w:lang w:val="el-GR" w:eastAsia="en-US"/>
    </w:rPr>
  </w:style>
  <w:style w:type="paragraph" w:styleId="a8">
    <w:name w:val="Balloon Text"/>
    <w:basedOn w:val="a"/>
    <w:semiHidden/>
    <w:rsid w:val="00C81509"/>
    <w:rPr>
      <w:rFonts w:ascii="Tahoma" w:hAnsi="Tahoma" w:cs="Tahoma"/>
      <w:sz w:val="16"/>
      <w:szCs w:val="16"/>
    </w:rPr>
  </w:style>
  <w:style w:type="character" w:styleId="a9">
    <w:name w:val="annotation reference"/>
    <w:rsid w:val="004B0464"/>
    <w:rPr>
      <w:sz w:val="16"/>
      <w:szCs w:val="16"/>
    </w:rPr>
  </w:style>
  <w:style w:type="paragraph" w:styleId="aa">
    <w:name w:val="annotation text"/>
    <w:basedOn w:val="a"/>
    <w:link w:val="Char0"/>
    <w:rsid w:val="004B0464"/>
    <w:rPr>
      <w:lang w:eastAsia="en-US"/>
    </w:rPr>
  </w:style>
  <w:style w:type="character" w:customStyle="1" w:styleId="Char0">
    <w:name w:val="Κείμενο σχολίου Char"/>
    <w:link w:val="aa"/>
    <w:rsid w:val="004B0464"/>
    <w:rPr>
      <w:lang w:val="en-GB" w:eastAsia="en-US"/>
    </w:rPr>
  </w:style>
  <w:style w:type="paragraph" w:customStyle="1" w:styleId="Default">
    <w:name w:val="Default"/>
    <w:rsid w:val="00BA4D45"/>
    <w:pPr>
      <w:autoSpaceDE w:val="0"/>
      <w:autoSpaceDN w:val="0"/>
      <w:adjustRightInd w:val="0"/>
    </w:pPr>
    <w:rPr>
      <w:rFonts w:eastAsia="SimSun"/>
      <w:color w:val="000000"/>
      <w:sz w:val="24"/>
      <w:szCs w:val="24"/>
      <w:lang w:val="en-GB" w:eastAsia="zh-CN"/>
    </w:rPr>
  </w:style>
  <w:style w:type="character" w:styleId="-">
    <w:name w:val="Hyperlink"/>
    <w:rsid w:val="00722180"/>
    <w:rPr>
      <w:color w:val="0000FF"/>
      <w:u w:val="single"/>
    </w:rPr>
  </w:style>
  <w:style w:type="paragraph" w:styleId="ab">
    <w:name w:val="List Paragraph"/>
    <w:basedOn w:val="a"/>
    <w:uiPriority w:val="34"/>
    <w:qFormat/>
    <w:rsid w:val="005B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2241">
      <w:bodyDiv w:val="1"/>
      <w:marLeft w:val="0"/>
      <w:marRight w:val="0"/>
      <w:marTop w:val="0"/>
      <w:marBottom w:val="0"/>
      <w:divBdr>
        <w:top w:val="none" w:sz="0" w:space="0" w:color="auto"/>
        <w:left w:val="none" w:sz="0" w:space="0" w:color="auto"/>
        <w:bottom w:val="none" w:sz="0" w:space="0" w:color="auto"/>
        <w:right w:val="none" w:sz="0" w:space="0" w:color="auto"/>
      </w:divBdr>
    </w:div>
    <w:div w:id="786705761">
      <w:bodyDiv w:val="1"/>
      <w:marLeft w:val="0"/>
      <w:marRight w:val="0"/>
      <w:marTop w:val="0"/>
      <w:marBottom w:val="0"/>
      <w:divBdr>
        <w:top w:val="none" w:sz="0" w:space="0" w:color="auto"/>
        <w:left w:val="none" w:sz="0" w:space="0" w:color="auto"/>
        <w:bottom w:val="none" w:sz="0" w:space="0" w:color="auto"/>
        <w:right w:val="none" w:sz="0" w:space="0" w:color="auto"/>
      </w:divBdr>
    </w:div>
    <w:div w:id="16248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21</Pages>
  <Words>8711</Words>
  <Characters>47045</Characters>
  <Application>Microsoft Office Word</Application>
  <DocSecurity>0</DocSecurity>
  <Lines>392</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Mylan Laboratories</Company>
  <LinksUpToDate>false</LinksUpToDate>
  <CharactersWithSpaces>55645</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m306030</dc:creator>
  <cp:lastModifiedBy>user152</cp:lastModifiedBy>
  <cp:revision>14</cp:revision>
  <dcterms:created xsi:type="dcterms:W3CDTF">2015-04-16T09:21:00Z</dcterms:created>
  <dcterms:modified xsi:type="dcterms:W3CDTF">2016-06-10T07:04:00Z</dcterms:modified>
</cp:coreProperties>
</file>