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EB" w:rsidRPr="00A66AB5" w:rsidRDefault="00380EEB">
      <w:pPr>
        <w:jc w:val="both"/>
        <w:rPr>
          <w:b/>
          <w:sz w:val="22"/>
          <w:szCs w:val="22"/>
          <w:lang w:val="el-GR"/>
        </w:rPr>
      </w:pPr>
      <w:bookmarkStart w:id="0" w:name="_GoBack"/>
      <w:bookmarkEnd w:id="0"/>
    </w:p>
    <w:p w:rsidR="00380EEB" w:rsidRPr="00A66AB5" w:rsidRDefault="00380EEB">
      <w:pPr>
        <w:rPr>
          <w:b/>
          <w:sz w:val="22"/>
          <w:szCs w:val="22"/>
          <w:lang w:val="el-GR"/>
        </w:rPr>
      </w:pPr>
      <w:r w:rsidRPr="00A66AB5">
        <w:rPr>
          <w:b/>
          <w:sz w:val="22"/>
          <w:szCs w:val="22"/>
          <w:lang w:val="el-GR"/>
        </w:rPr>
        <w:t xml:space="preserve"> Περίληψη </w:t>
      </w:r>
      <w:r w:rsidR="00E3201C" w:rsidRPr="00A66AB5">
        <w:rPr>
          <w:b/>
          <w:sz w:val="22"/>
          <w:szCs w:val="22"/>
          <w:lang w:val="el-GR"/>
        </w:rPr>
        <w:t xml:space="preserve">των </w:t>
      </w:r>
      <w:r w:rsidRPr="00A66AB5">
        <w:rPr>
          <w:b/>
          <w:sz w:val="22"/>
          <w:szCs w:val="22"/>
          <w:lang w:val="el-GR"/>
        </w:rPr>
        <w:t xml:space="preserve">χαρακτηριστικών </w:t>
      </w:r>
      <w:r w:rsidR="00E3201C" w:rsidRPr="00A66AB5">
        <w:rPr>
          <w:b/>
          <w:sz w:val="22"/>
          <w:szCs w:val="22"/>
          <w:lang w:val="el-GR"/>
        </w:rPr>
        <w:t xml:space="preserve">του </w:t>
      </w:r>
      <w:r w:rsidRPr="00A66AB5">
        <w:rPr>
          <w:b/>
          <w:sz w:val="22"/>
          <w:szCs w:val="22"/>
          <w:lang w:val="el-GR"/>
        </w:rPr>
        <w:t xml:space="preserve">προϊόντος </w:t>
      </w:r>
    </w:p>
    <w:p w:rsidR="00380EEB" w:rsidRPr="00A66AB5" w:rsidRDefault="00380EEB">
      <w:pPr>
        <w:rPr>
          <w:b/>
          <w:sz w:val="22"/>
          <w:szCs w:val="22"/>
          <w:lang w:val="el-GR"/>
        </w:rPr>
      </w:pPr>
    </w:p>
    <w:p w:rsidR="00380EEB" w:rsidRPr="00A66AB5" w:rsidRDefault="00380EEB">
      <w:pPr>
        <w:rPr>
          <w:b/>
          <w:sz w:val="22"/>
          <w:szCs w:val="22"/>
          <w:lang w:val="el-GR"/>
        </w:rPr>
      </w:pPr>
      <w:r w:rsidRPr="00A66AB5">
        <w:rPr>
          <w:b/>
          <w:sz w:val="22"/>
          <w:szCs w:val="22"/>
          <w:lang w:val="el-GR"/>
        </w:rPr>
        <w:t>1</w:t>
      </w:r>
      <w:r w:rsidRPr="00A66AB5">
        <w:rPr>
          <w:b/>
          <w:sz w:val="22"/>
          <w:szCs w:val="22"/>
          <w:lang w:val="el-GR"/>
        </w:rPr>
        <w:tab/>
        <w:t>ΟΝΟΜΑΣΙΑ ΤΟΥ ΦΑΡΜΑΚΕΥΤΙΚΟΥ ΠΡΟΪΟΝΤΟΣ:</w:t>
      </w:r>
    </w:p>
    <w:p w:rsidR="00380EEB" w:rsidRPr="00A66AB5" w:rsidRDefault="00380EEB">
      <w:pPr>
        <w:rPr>
          <w:b/>
          <w:sz w:val="22"/>
          <w:szCs w:val="22"/>
          <w:lang w:val="el-GR"/>
        </w:rPr>
      </w:pPr>
    </w:p>
    <w:p w:rsidR="00380EEB" w:rsidRPr="00791987" w:rsidRDefault="002F279F">
      <w:pPr>
        <w:rPr>
          <w:sz w:val="22"/>
          <w:szCs w:val="22"/>
          <w:lang w:val="el-GR"/>
        </w:rPr>
      </w:pPr>
      <w:r>
        <w:rPr>
          <w:noProof/>
          <w:sz w:val="22"/>
          <w:szCs w:val="22"/>
        </w:rPr>
        <w:t>Secuelia</w:t>
      </w:r>
      <w:r w:rsidRPr="002F279F">
        <w:rPr>
          <w:noProof/>
          <w:sz w:val="22"/>
          <w:szCs w:val="22"/>
          <w:lang w:val="el-GR"/>
        </w:rPr>
        <w:t xml:space="preserve"> </w:t>
      </w:r>
      <w:r>
        <w:rPr>
          <w:noProof/>
          <w:sz w:val="22"/>
          <w:szCs w:val="22"/>
        </w:rPr>
        <w:t>XR</w:t>
      </w:r>
      <w:r w:rsidRPr="002F279F">
        <w:rPr>
          <w:noProof/>
          <w:sz w:val="22"/>
          <w:szCs w:val="22"/>
          <w:lang w:val="el-GR"/>
        </w:rPr>
        <w:t xml:space="preserve"> </w:t>
      </w:r>
      <w:r w:rsidRPr="00D65C75">
        <w:rPr>
          <w:sz w:val="22"/>
          <w:szCs w:val="22"/>
          <w:lang w:val="el-GR"/>
        </w:rPr>
        <w:t>50</w:t>
      </w:r>
      <w:r w:rsidRPr="002F279F">
        <w:rPr>
          <w:sz w:val="22"/>
          <w:szCs w:val="22"/>
          <w:lang w:val="el-GR"/>
        </w:rPr>
        <w:t xml:space="preserve"> </w:t>
      </w:r>
      <w:r w:rsidR="00F6005F" w:rsidRPr="00F6005F">
        <w:rPr>
          <w:sz w:val="22"/>
          <w:szCs w:val="22"/>
        </w:rPr>
        <w:t>mg</w:t>
      </w:r>
      <w:r w:rsidR="00EA58C0" w:rsidRPr="00A66AB5">
        <w:rPr>
          <w:sz w:val="22"/>
          <w:szCs w:val="22"/>
          <w:lang w:val="el-GR"/>
        </w:rPr>
        <w:t xml:space="preserve"> </w:t>
      </w:r>
      <w:proofErr w:type="spellStart"/>
      <w:r w:rsidR="00F6005F" w:rsidRPr="00A66AB5">
        <w:rPr>
          <w:sz w:val="22"/>
          <w:szCs w:val="22"/>
          <w:lang w:val="el-GR"/>
        </w:rPr>
        <w:t>δισκί</w:t>
      </w:r>
      <w:proofErr w:type="spellEnd"/>
      <w:r w:rsidR="00F6005F">
        <w:rPr>
          <w:sz w:val="22"/>
          <w:szCs w:val="22"/>
        </w:rPr>
        <w:t>o</w:t>
      </w:r>
      <w:r w:rsidR="00F6005F" w:rsidRPr="00A66AB5">
        <w:rPr>
          <w:sz w:val="22"/>
          <w:szCs w:val="22"/>
          <w:lang w:val="el-GR"/>
        </w:rPr>
        <w:t xml:space="preserve"> </w:t>
      </w:r>
      <w:r w:rsidR="00EA58C0" w:rsidRPr="00A66AB5">
        <w:rPr>
          <w:sz w:val="22"/>
          <w:szCs w:val="22"/>
          <w:lang w:val="el-GR"/>
        </w:rPr>
        <w:t>παρατεταμένης αποδέσμευσης</w:t>
      </w:r>
    </w:p>
    <w:p w:rsidR="00F6005F" w:rsidRPr="00D15B02" w:rsidRDefault="002F279F">
      <w:pPr>
        <w:rPr>
          <w:sz w:val="22"/>
          <w:szCs w:val="22"/>
          <w:lang w:val="el-GR"/>
        </w:rPr>
      </w:pPr>
      <w:r>
        <w:rPr>
          <w:noProof/>
          <w:sz w:val="22"/>
          <w:szCs w:val="22"/>
        </w:rPr>
        <w:t>Secuelia</w:t>
      </w:r>
      <w:r w:rsidRPr="002F279F">
        <w:rPr>
          <w:noProof/>
          <w:sz w:val="22"/>
          <w:szCs w:val="22"/>
          <w:lang w:val="el-GR"/>
        </w:rPr>
        <w:t xml:space="preserve"> </w:t>
      </w:r>
      <w:r>
        <w:rPr>
          <w:noProof/>
          <w:sz w:val="22"/>
          <w:szCs w:val="22"/>
        </w:rPr>
        <w:t>XR</w:t>
      </w:r>
      <w:r w:rsidRPr="002471CA">
        <w:rPr>
          <w:noProof/>
          <w:sz w:val="22"/>
          <w:szCs w:val="22"/>
          <w:lang w:val="el-GR"/>
        </w:rPr>
        <w:t xml:space="preserve"> </w:t>
      </w:r>
      <w:r w:rsidR="00F6005F" w:rsidRPr="00791987">
        <w:rPr>
          <w:sz w:val="22"/>
          <w:szCs w:val="22"/>
          <w:lang w:val="el-GR"/>
        </w:rPr>
        <w:t xml:space="preserve">200 </w:t>
      </w:r>
      <w:r w:rsidR="00F6005F" w:rsidRPr="00F6005F">
        <w:rPr>
          <w:sz w:val="22"/>
          <w:szCs w:val="22"/>
        </w:rPr>
        <w:t>mg</w:t>
      </w:r>
      <w:r w:rsidR="00F6005F" w:rsidRPr="00A66AB5">
        <w:rPr>
          <w:sz w:val="22"/>
          <w:szCs w:val="22"/>
          <w:lang w:val="el-GR"/>
        </w:rPr>
        <w:t xml:space="preserve"> </w:t>
      </w:r>
      <w:proofErr w:type="spellStart"/>
      <w:r w:rsidR="00F6005F" w:rsidRPr="00A66AB5">
        <w:rPr>
          <w:sz w:val="22"/>
          <w:szCs w:val="22"/>
          <w:lang w:val="el-GR"/>
        </w:rPr>
        <w:t>δισκί</w:t>
      </w:r>
      <w:proofErr w:type="spellEnd"/>
      <w:r w:rsidR="00F6005F">
        <w:rPr>
          <w:sz w:val="22"/>
          <w:szCs w:val="22"/>
        </w:rPr>
        <w:t>o</w:t>
      </w:r>
      <w:r w:rsidR="00F6005F" w:rsidRPr="00A66AB5">
        <w:rPr>
          <w:sz w:val="22"/>
          <w:szCs w:val="22"/>
          <w:lang w:val="el-GR"/>
        </w:rPr>
        <w:t xml:space="preserve"> παρατεταμένης αποδέσμευσης</w:t>
      </w:r>
    </w:p>
    <w:p w:rsidR="00380EEB" w:rsidRPr="00791987" w:rsidRDefault="002F279F">
      <w:pPr>
        <w:rPr>
          <w:sz w:val="22"/>
          <w:szCs w:val="22"/>
          <w:lang w:val="el-GR"/>
        </w:rPr>
      </w:pPr>
      <w:r>
        <w:rPr>
          <w:noProof/>
          <w:sz w:val="22"/>
          <w:szCs w:val="22"/>
        </w:rPr>
        <w:t>Secuelia</w:t>
      </w:r>
      <w:r w:rsidRPr="002F279F">
        <w:rPr>
          <w:noProof/>
          <w:sz w:val="22"/>
          <w:szCs w:val="22"/>
          <w:lang w:val="el-GR"/>
        </w:rPr>
        <w:t xml:space="preserve"> </w:t>
      </w:r>
      <w:r>
        <w:rPr>
          <w:noProof/>
          <w:sz w:val="22"/>
          <w:szCs w:val="22"/>
        </w:rPr>
        <w:t>XR</w:t>
      </w:r>
      <w:r w:rsidRPr="002471CA">
        <w:rPr>
          <w:noProof/>
          <w:sz w:val="22"/>
          <w:szCs w:val="22"/>
          <w:lang w:val="el-GR"/>
        </w:rPr>
        <w:t xml:space="preserve"> </w:t>
      </w:r>
      <w:r w:rsidR="00F6005F" w:rsidRPr="00791987">
        <w:rPr>
          <w:sz w:val="22"/>
          <w:szCs w:val="22"/>
          <w:lang w:val="el-GR"/>
        </w:rPr>
        <w:t xml:space="preserve">300 </w:t>
      </w:r>
      <w:r w:rsidR="00F6005F" w:rsidRPr="00F6005F">
        <w:rPr>
          <w:sz w:val="22"/>
          <w:szCs w:val="22"/>
        </w:rPr>
        <w:t>mg</w:t>
      </w:r>
      <w:r w:rsidR="00F6005F" w:rsidRPr="00A66AB5">
        <w:rPr>
          <w:sz w:val="22"/>
          <w:szCs w:val="22"/>
          <w:lang w:val="el-GR"/>
        </w:rPr>
        <w:t xml:space="preserve"> </w:t>
      </w:r>
      <w:proofErr w:type="spellStart"/>
      <w:r w:rsidR="00F6005F" w:rsidRPr="00A66AB5">
        <w:rPr>
          <w:sz w:val="22"/>
          <w:szCs w:val="22"/>
          <w:lang w:val="el-GR"/>
        </w:rPr>
        <w:t>δισκί</w:t>
      </w:r>
      <w:proofErr w:type="spellEnd"/>
      <w:r w:rsidR="00F6005F">
        <w:rPr>
          <w:sz w:val="22"/>
          <w:szCs w:val="22"/>
        </w:rPr>
        <w:t>o</w:t>
      </w:r>
      <w:r w:rsidR="00F6005F" w:rsidRPr="00A66AB5">
        <w:rPr>
          <w:sz w:val="22"/>
          <w:szCs w:val="22"/>
          <w:lang w:val="el-GR"/>
        </w:rPr>
        <w:t xml:space="preserve"> παρατεταμένης αποδέσμευσης</w:t>
      </w:r>
    </w:p>
    <w:p w:rsidR="00F6005F" w:rsidRPr="00791987" w:rsidRDefault="002F279F">
      <w:pPr>
        <w:rPr>
          <w:sz w:val="22"/>
          <w:szCs w:val="22"/>
          <w:lang w:val="el-GR"/>
        </w:rPr>
      </w:pPr>
      <w:r>
        <w:rPr>
          <w:noProof/>
          <w:sz w:val="22"/>
          <w:szCs w:val="22"/>
        </w:rPr>
        <w:t>Secuelia</w:t>
      </w:r>
      <w:r w:rsidRPr="002F279F">
        <w:rPr>
          <w:noProof/>
          <w:sz w:val="22"/>
          <w:szCs w:val="22"/>
          <w:lang w:val="el-GR"/>
        </w:rPr>
        <w:t xml:space="preserve"> </w:t>
      </w:r>
      <w:r>
        <w:rPr>
          <w:noProof/>
          <w:sz w:val="22"/>
          <w:szCs w:val="22"/>
        </w:rPr>
        <w:t>XR</w:t>
      </w:r>
      <w:r w:rsidRPr="002471CA">
        <w:rPr>
          <w:noProof/>
          <w:sz w:val="22"/>
          <w:szCs w:val="22"/>
          <w:lang w:val="el-GR"/>
        </w:rPr>
        <w:t xml:space="preserve"> </w:t>
      </w:r>
      <w:r w:rsidR="00F6005F" w:rsidRPr="00791987">
        <w:rPr>
          <w:sz w:val="22"/>
          <w:szCs w:val="22"/>
          <w:lang w:val="el-GR"/>
        </w:rPr>
        <w:t xml:space="preserve">400 </w:t>
      </w:r>
      <w:r w:rsidR="00F6005F" w:rsidRPr="00F6005F">
        <w:rPr>
          <w:sz w:val="22"/>
          <w:szCs w:val="22"/>
        </w:rPr>
        <w:t>mg</w:t>
      </w:r>
      <w:r w:rsidR="00F6005F" w:rsidRPr="00A66AB5">
        <w:rPr>
          <w:sz w:val="22"/>
          <w:szCs w:val="22"/>
          <w:lang w:val="el-GR"/>
        </w:rPr>
        <w:t xml:space="preserve"> </w:t>
      </w:r>
      <w:proofErr w:type="spellStart"/>
      <w:r w:rsidR="00F6005F" w:rsidRPr="00A66AB5">
        <w:rPr>
          <w:sz w:val="22"/>
          <w:szCs w:val="22"/>
          <w:lang w:val="el-GR"/>
        </w:rPr>
        <w:t>δισκί</w:t>
      </w:r>
      <w:proofErr w:type="spellEnd"/>
      <w:r w:rsidR="00F6005F">
        <w:rPr>
          <w:sz w:val="22"/>
          <w:szCs w:val="22"/>
        </w:rPr>
        <w:t>o</w:t>
      </w:r>
      <w:r w:rsidR="00F6005F" w:rsidRPr="00A66AB5">
        <w:rPr>
          <w:sz w:val="22"/>
          <w:szCs w:val="22"/>
          <w:lang w:val="el-GR"/>
        </w:rPr>
        <w:t xml:space="preserve"> παρατεταμένης αποδέσμευσης</w:t>
      </w:r>
    </w:p>
    <w:p w:rsidR="00F6005F" w:rsidRPr="00791987" w:rsidRDefault="00F6005F">
      <w:pPr>
        <w:rPr>
          <w:sz w:val="22"/>
          <w:szCs w:val="22"/>
          <w:lang w:val="el-GR"/>
        </w:rPr>
      </w:pPr>
    </w:p>
    <w:p w:rsidR="00F6005F" w:rsidRPr="00D15B02" w:rsidRDefault="00F6005F">
      <w:pPr>
        <w:rPr>
          <w:sz w:val="22"/>
          <w:szCs w:val="22"/>
          <w:lang w:val="el-GR"/>
        </w:rPr>
      </w:pPr>
    </w:p>
    <w:p w:rsidR="00380EEB" w:rsidRPr="00A66AB5" w:rsidRDefault="00380EEB">
      <w:pPr>
        <w:rPr>
          <w:b/>
          <w:sz w:val="22"/>
          <w:szCs w:val="22"/>
          <w:lang w:val="el-GR"/>
        </w:rPr>
      </w:pPr>
      <w:r w:rsidRPr="00A66AB5">
        <w:rPr>
          <w:b/>
          <w:sz w:val="22"/>
          <w:szCs w:val="22"/>
          <w:lang w:val="el-GR"/>
        </w:rPr>
        <w:t>2</w:t>
      </w:r>
      <w:r w:rsidRPr="00A66AB5">
        <w:rPr>
          <w:b/>
          <w:sz w:val="22"/>
          <w:szCs w:val="22"/>
          <w:lang w:val="el-GR"/>
        </w:rPr>
        <w:tab/>
      </w:r>
      <w:r w:rsidR="00F6005F">
        <w:rPr>
          <w:b/>
          <w:sz w:val="22"/>
          <w:szCs w:val="22"/>
          <w:lang w:val="el-GR"/>
        </w:rPr>
        <w:t>ΠΟΙΟΤΙΚΗ ΚΑΙ ΠΟΣΟΤΙΚΗ ΣΥΝΘΕΣΗ</w:t>
      </w:r>
    </w:p>
    <w:p w:rsidR="00380EEB" w:rsidRPr="00A66AB5" w:rsidRDefault="00380EEB">
      <w:pPr>
        <w:rPr>
          <w:sz w:val="22"/>
          <w:szCs w:val="22"/>
          <w:lang w:val="el-GR"/>
        </w:rPr>
      </w:pPr>
    </w:p>
    <w:p w:rsidR="00380EEB" w:rsidRPr="00A66AB5" w:rsidRDefault="00380EEB">
      <w:pPr>
        <w:jc w:val="both"/>
        <w:rPr>
          <w:sz w:val="22"/>
          <w:szCs w:val="22"/>
          <w:lang w:val="el-GR"/>
        </w:rPr>
      </w:pPr>
      <w:r w:rsidRPr="00A66AB5">
        <w:rPr>
          <w:sz w:val="22"/>
          <w:szCs w:val="22"/>
          <w:lang w:val="el-GR"/>
        </w:rPr>
        <w:t xml:space="preserve">Κάθε δισκίο παρατεταμένης αποδέσμευσης </w:t>
      </w:r>
      <w:r w:rsidR="00F6005F">
        <w:rPr>
          <w:sz w:val="22"/>
          <w:szCs w:val="22"/>
          <w:lang w:val="el-GR"/>
        </w:rPr>
        <w:t xml:space="preserve">των </w:t>
      </w:r>
      <w:r w:rsidR="00F6005F" w:rsidRPr="00791987">
        <w:rPr>
          <w:sz w:val="22"/>
          <w:szCs w:val="22"/>
          <w:lang w:val="el-GR"/>
        </w:rPr>
        <w:t xml:space="preserve">50 </w:t>
      </w:r>
      <w:r w:rsidR="00F6005F" w:rsidRPr="00F6005F">
        <w:rPr>
          <w:sz w:val="22"/>
          <w:szCs w:val="22"/>
          <w:lang w:val="en-IN"/>
        </w:rPr>
        <w:t>mg</w:t>
      </w:r>
      <w:r w:rsidR="00F6005F">
        <w:rPr>
          <w:sz w:val="22"/>
          <w:szCs w:val="22"/>
          <w:lang w:val="el-GR"/>
        </w:rPr>
        <w:t xml:space="preserve"> </w:t>
      </w:r>
      <w:r w:rsidRPr="00A66AB5">
        <w:rPr>
          <w:sz w:val="22"/>
          <w:szCs w:val="22"/>
          <w:lang w:val="el-GR"/>
        </w:rPr>
        <w:t xml:space="preserve">περιέχει </w:t>
      </w:r>
      <w:r w:rsidR="00F6005F">
        <w:rPr>
          <w:sz w:val="22"/>
          <w:szCs w:val="22"/>
          <w:lang w:val="el-GR"/>
        </w:rPr>
        <w:t>5</w:t>
      </w:r>
      <w:r w:rsidR="00F6005F" w:rsidRPr="00A66AB5">
        <w:rPr>
          <w:sz w:val="22"/>
          <w:szCs w:val="22"/>
          <w:lang w:val="el-GR"/>
        </w:rPr>
        <w:t xml:space="preserve">0 </w:t>
      </w:r>
      <w:r w:rsidRPr="00A66AB5">
        <w:rPr>
          <w:sz w:val="22"/>
          <w:szCs w:val="22"/>
        </w:rPr>
        <w:t>mg</w:t>
      </w:r>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(ως </w:t>
      </w:r>
      <w:proofErr w:type="spellStart"/>
      <w:r w:rsidRPr="00A66AB5">
        <w:rPr>
          <w:sz w:val="22"/>
          <w:szCs w:val="22"/>
          <w:lang w:val="el-GR"/>
        </w:rPr>
        <w:t>φουμαρική</w:t>
      </w:r>
      <w:proofErr w:type="spellEnd"/>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w:t>
      </w:r>
    </w:p>
    <w:p w:rsidR="00380EEB" w:rsidRPr="00A66AB5" w:rsidRDefault="00380EEB">
      <w:pPr>
        <w:jc w:val="both"/>
        <w:rPr>
          <w:sz w:val="22"/>
          <w:szCs w:val="22"/>
          <w:lang w:val="el-GR"/>
        </w:rPr>
      </w:pPr>
      <w:proofErr w:type="spellStart"/>
      <w:r w:rsidRPr="00A66AB5">
        <w:rPr>
          <w:sz w:val="22"/>
          <w:szCs w:val="22"/>
          <w:lang w:val="el-GR"/>
        </w:rPr>
        <w:t>Έκδοχ</w:t>
      </w:r>
      <w:r w:rsidR="00F6005F">
        <w:rPr>
          <w:sz w:val="22"/>
          <w:szCs w:val="22"/>
          <w:lang w:val="el-GR"/>
        </w:rPr>
        <w:t>ο(</w:t>
      </w:r>
      <w:r w:rsidRPr="00A66AB5">
        <w:rPr>
          <w:sz w:val="22"/>
          <w:szCs w:val="22"/>
          <w:lang w:val="el-GR"/>
        </w:rPr>
        <w:t>α</w:t>
      </w:r>
      <w:proofErr w:type="spellEnd"/>
      <w:r w:rsidR="00F6005F">
        <w:rPr>
          <w:sz w:val="22"/>
          <w:szCs w:val="22"/>
          <w:lang w:val="el-GR"/>
        </w:rPr>
        <w:t>)</w:t>
      </w:r>
      <w:r w:rsidRPr="00A66AB5">
        <w:rPr>
          <w:sz w:val="22"/>
          <w:szCs w:val="22"/>
          <w:lang w:val="el-GR"/>
        </w:rPr>
        <w:t xml:space="preserve">: </w:t>
      </w:r>
      <w:r w:rsidR="00F6005F" w:rsidRPr="00791987">
        <w:rPr>
          <w:sz w:val="22"/>
          <w:szCs w:val="22"/>
          <w:lang w:val="el-GR"/>
        </w:rPr>
        <w:t>140</w:t>
      </w:r>
      <w:r w:rsidR="00F6005F">
        <w:rPr>
          <w:sz w:val="22"/>
          <w:szCs w:val="22"/>
          <w:lang w:val="el-GR"/>
        </w:rPr>
        <w:t>,</w:t>
      </w:r>
      <w:r w:rsidR="00F6005F" w:rsidRPr="00791987">
        <w:rPr>
          <w:sz w:val="22"/>
          <w:szCs w:val="22"/>
          <w:lang w:val="el-GR"/>
        </w:rPr>
        <w:t xml:space="preserve">925 </w:t>
      </w:r>
      <w:r w:rsidR="00F6005F" w:rsidRPr="00F6005F">
        <w:rPr>
          <w:sz w:val="22"/>
          <w:szCs w:val="22"/>
          <w:lang w:val="en-IN"/>
        </w:rPr>
        <w:t>mg</w:t>
      </w:r>
      <w:r w:rsidRPr="00A66AB5">
        <w:rPr>
          <w:sz w:val="22"/>
          <w:szCs w:val="22"/>
          <w:lang w:val="el-GR"/>
        </w:rPr>
        <w:t xml:space="preserve"> </w:t>
      </w:r>
      <w:proofErr w:type="spellStart"/>
      <w:r w:rsidR="00F837E5" w:rsidRPr="00A66AB5">
        <w:rPr>
          <w:sz w:val="22"/>
          <w:szCs w:val="22"/>
          <w:lang w:val="el-GR"/>
        </w:rPr>
        <w:t>μονοϋδρική</w:t>
      </w:r>
      <w:proofErr w:type="spellEnd"/>
      <w:r w:rsidR="00F837E5" w:rsidRPr="00A66AB5">
        <w:rPr>
          <w:sz w:val="22"/>
          <w:szCs w:val="22"/>
          <w:lang w:val="el-GR"/>
        </w:rPr>
        <w:t xml:space="preserve"> </w:t>
      </w:r>
      <w:r w:rsidRPr="00A66AB5">
        <w:rPr>
          <w:sz w:val="22"/>
          <w:szCs w:val="22"/>
          <w:lang w:val="el-GR"/>
        </w:rPr>
        <w:t xml:space="preserve">λακτόζη και </w:t>
      </w:r>
      <w:r w:rsidR="00F6005F" w:rsidRPr="00791987">
        <w:rPr>
          <w:sz w:val="22"/>
          <w:szCs w:val="22"/>
          <w:lang w:val="el-GR"/>
        </w:rPr>
        <w:t>5</w:t>
      </w:r>
      <w:r w:rsidR="00F6005F">
        <w:rPr>
          <w:sz w:val="22"/>
          <w:szCs w:val="22"/>
          <w:lang w:val="el-GR"/>
        </w:rPr>
        <w:t>,</w:t>
      </w:r>
      <w:r w:rsidR="00F6005F" w:rsidRPr="00791987">
        <w:rPr>
          <w:sz w:val="22"/>
          <w:szCs w:val="22"/>
          <w:lang w:val="el-GR"/>
        </w:rPr>
        <w:t xml:space="preserve">1 </w:t>
      </w:r>
      <w:r w:rsidR="00F6005F" w:rsidRPr="00F6005F">
        <w:rPr>
          <w:sz w:val="22"/>
          <w:szCs w:val="22"/>
          <w:lang w:val="en-IN"/>
        </w:rPr>
        <w:t>mg</w:t>
      </w:r>
      <w:r w:rsidRPr="00A66AB5">
        <w:rPr>
          <w:sz w:val="22"/>
          <w:szCs w:val="22"/>
          <w:lang w:val="el-GR"/>
        </w:rPr>
        <w:t xml:space="preserve"> νάτριο ανά δισκίο</w:t>
      </w:r>
    </w:p>
    <w:p w:rsidR="00380EEB" w:rsidRDefault="00380EEB">
      <w:pPr>
        <w:jc w:val="both"/>
        <w:rPr>
          <w:sz w:val="22"/>
          <w:szCs w:val="22"/>
          <w:lang w:val="el-GR"/>
        </w:rPr>
      </w:pPr>
    </w:p>
    <w:p w:rsidR="00F6005F" w:rsidRDefault="00F6005F">
      <w:pPr>
        <w:jc w:val="both"/>
        <w:rPr>
          <w:sz w:val="22"/>
          <w:szCs w:val="22"/>
          <w:lang w:val="el-GR"/>
        </w:rPr>
      </w:pPr>
    </w:p>
    <w:p w:rsidR="00F6005F" w:rsidRPr="00A66AB5" w:rsidRDefault="00F6005F" w:rsidP="00F6005F">
      <w:pPr>
        <w:jc w:val="both"/>
        <w:rPr>
          <w:sz w:val="22"/>
          <w:szCs w:val="22"/>
          <w:lang w:val="el-GR"/>
        </w:rPr>
      </w:pPr>
      <w:r w:rsidRPr="00A66AB5">
        <w:rPr>
          <w:sz w:val="22"/>
          <w:szCs w:val="22"/>
          <w:lang w:val="el-GR"/>
        </w:rPr>
        <w:t xml:space="preserve">Κάθε δισκίο παρατεταμένης αποδέσμευσης </w:t>
      </w:r>
      <w:r>
        <w:rPr>
          <w:sz w:val="22"/>
          <w:szCs w:val="22"/>
          <w:lang w:val="el-GR"/>
        </w:rPr>
        <w:t>των 20</w:t>
      </w:r>
      <w:r w:rsidRPr="00791987">
        <w:rPr>
          <w:sz w:val="22"/>
          <w:szCs w:val="22"/>
          <w:lang w:val="el-GR"/>
        </w:rPr>
        <w:t xml:space="preserve">0 </w:t>
      </w:r>
      <w:r w:rsidRPr="00F6005F">
        <w:rPr>
          <w:sz w:val="22"/>
          <w:szCs w:val="22"/>
          <w:lang w:val="en-IN"/>
        </w:rPr>
        <w:t>mg</w:t>
      </w:r>
      <w:r>
        <w:rPr>
          <w:sz w:val="22"/>
          <w:szCs w:val="22"/>
          <w:lang w:val="el-GR"/>
        </w:rPr>
        <w:t xml:space="preserve"> </w:t>
      </w:r>
      <w:r w:rsidRPr="00A66AB5">
        <w:rPr>
          <w:sz w:val="22"/>
          <w:szCs w:val="22"/>
          <w:lang w:val="el-GR"/>
        </w:rPr>
        <w:t xml:space="preserve">περιέχει </w:t>
      </w:r>
      <w:r>
        <w:rPr>
          <w:sz w:val="22"/>
          <w:szCs w:val="22"/>
          <w:lang w:val="el-GR"/>
        </w:rPr>
        <w:t>20</w:t>
      </w:r>
      <w:r w:rsidRPr="00A66AB5">
        <w:rPr>
          <w:sz w:val="22"/>
          <w:szCs w:val="22"/>
          <w:lang w:val="el-GR"/>
        </w:rPr>
        <w:t xml:space="preserve">0 </w:t>
      </w:r>
      <w:r w:rsidRPr="00A66AB5">
        <w:rPr>
          <w:sz w:val="22"/>
          <w:szCs w:val="22"/>
        </w:rPr>
        <w:t>mg</w:t>
      </w:r>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(ως </w:t>
      </w:r>
      <w:proofErr w:type="spellStart"/>
      <w:r w:rsidRPr="00A66AB5">
        <w:rPr>
          <w:sz w:val="22"/>
          <w:szCs w:val="22"/>
          <w:lang w:val="el-GR"/>
        </w:rPr>
        <w:t>φουμαρική</w:t>
      </w:r>
      <w:proofErr w:type="spellEnd"/>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w:t>
      </w:r>
    </w:p>
    <w:p w:rsidR="00F6005F" w:rsidRDefault="00F6005F" w:rsidP="00F6005F">
      <w:pPr>
        <w:jc w:val="both"/>
        <w:rPr>
          <w:sz w:val="22"/>
          <w:szCs w:val="22"/>
          <w:lang w:val="el-GR"/>
        </w:rPr>
      </w:pPr>
      <w:proofErr w:type="spellStart"/>
      <w:r w:rsidRPr="00A66AB5">
        <w:rPr>
          <w:sz w:val="22"/>
          <w:szCs w:val="22"/>
          <w:lang w:val="el-GR"/>
        </w:rPr>
        <w:t>Έκδοχ</w:t>
      </w:r>
      <w:r>
        <w:rPr>
          <w:sz w:val="22"/>
          <w:szCs w:val="22"/>
          <w:lang w:val="el-GR"/>
        </w:rPr>
        <w:t>ο(</w:t>
      </w:r>
      <w:r w:rsidRPr="00A66AB5">
        <w:rPr>
          <w:sz w:val="22"/>
          <w:szCs w:val="22"/>
          <w:lang w:val="el-GR"/>
        </w:rPr>
        <w:t>α</w:t>
      </w:r>
      <w:proofErr w:type="spellEnd"/>
      <w:r>
        <w:rPr>
          <w:sz w:val="22"/>
          <w:szCs w:val="22"/>
          <w:lang w:val="el-GR"/>
        </w:rPr>
        <w:t>)</w:t>
      </w:r>
      <w:r w:rsidRPr="00A66AB5">
        <w:rPr>
          <w:sz w:val="22"/>
          <w:szCs w:val="22"/>
          <w:lang w:val="el-GR"/>
        </w:rPr>
        <w:t xml:space="preserve">: </w:t>
      </w:r>
      <w:r>
        <w:rPr>
          <w:sz w:val="22"/>
          <w:szCs w:val="22"/>
          <w:lang w:val="el-GR"/>
        </w:rPr>
        <w:t>40,70</w:t>
      </w:r>
      <w:r w:rsidRPr="00791987">
        <w:rPr>
          <w:sz w:val="22"/>
          <w:szCs w:val="22"/>
          <w:lang w:val="el-GR"/>
        </w:rPr>
        <w:t xml:space="preserve"> </w:t>
      </w:r>
      <w:r w:rsidRPr="00F6005F">
        <w:rPr>
          <w:sz w:val="22"/>
          <w:szCs w:val="22"/>
          <w:lang w:val="en-IN"/>
        </w:rPr>
        <w:t>mg</w:t>
      </w:r>
      <w:r w:rsidRPr="00A66AB5">
        <w:rPr>
          <w:sz w:val="22"/>
          <w:szCs w:val="22"/>
          <w:lang w:val="el-GR"/>
        </w:rPr>
        <w:t xml:space="preserve"> </w:t>
      </w:r>
      <w:proofErr w:type="spellStart"/>
      <w:r w:rsidRPr="00A66AB5">
        <w:rPr>
          <w:sz w:val="22"/>
          <w:szCs w:val="22"/>
          <w:lang w:val="el-GR"/>
        </w:rPr>
        <w:t>μονοϋδρική</w:t>
      </w:r>
      <w:proofErr w:type="spellEnd"/>
      <w:r w:rsidRPr="00A66AB5">
        <w:rPr>
          <w:sz w:val="22"/>
          <w:szCs w:val="22"/>
          <w:lang w:val="el-GR"/>
        </w:rPr>
        <w:t xml:space="preserve"> λακτόζη και </w:t>
      </w:r>
      <w:r>
        <w:rPr>
          <w:sz w:val="22"/>
          <w:szCs w:val="22"/>
          <w:lang w:val="el-GR"/>
        </w:rPr>
        <w:t>3,5</w:t>
      </w:r>
      <w:r w:rsidRPr="00791987">
        <w:rPr>
          <w:sz w:val="22"/>
          <w:szCs w:val="22"/>
          <w:lang w:val="el-GR"/>
        </w:rPr>
        <w:t xml:space="preserve"> </w:t>
      </w:r>
      <w:r w:rsidRPr="00F6005F">
        <w:rPr>
          <w:sz w:val="22"/>
          <w:szCs w:val="22"/>
          <w:lang w:val="en-IN"/>
        </w:rPr>
        <w:t>mg</w:t>
      </w:r>
      <w:r w:rsidRPr="00A66AB5">
        <w:rPr>
          <w:sz w:val="22"/>
          <w:szCs w:val="22"/>
          <w:lang w:val="el-GR"/>
        </w:rPr>
        <w:t xml:space="preserve"> νάτριο ανά δισκίο</w:t>
      </w:r>
    </w:p>
    <w:p w:rsidR="00F6005F" w:rsidRPr="00A66AB5" w:rsidRDefault="00F6005F" w:rsidP="00F6005F">
      <w:pPr>
        <w:jc w:val="both"/>
        <w:rPr>
          <w:sz w:val="22"/>
          <w:szCs w:val="22"/>
          <w:lang w:val="el-GR"/>
        </w:rPr>
      </w:pP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Κάθε δισκίο παρατεταμένης αποδέσμευσης </w:t>
      </w:r>
      <w:r w:rsidR="00F6005F">
        <w:rPr>
          <w:sz w:val="22"/>
          <w:szCs w:val="22"/>
          <w:lang w:val="el-GR"/>
        </w:rPr>
        <w:t xml:space="preserve">των </w:t>
      </w:r>
      <w:r w:rsidR="00F6005F" w:rsidRPr="00791987">
        <w:rPr>
          <w:sz w:val="22"/>
          <w:szCs w:val="22"/>
          <w:lang w:val="el-GR"/>
        </w:rPr>
        <w:t xml:space="preserve">300 </w:t>
      </w:r>
      <w:r w:rsidR="00F6005F" w:rsidRPr="00F6005F">
        <w:rPr>
          <w:sz w:val="22"/>
          <w:szCs w:val="22"/>
          <w:lang w:val="en-GB"/>
        </w:rPr>
        <w:t>mg</w:t>
      </w:r>
      <w:r w:rsidR="00F6005F">
        <w:rPr>
          <w:sz w:val="22"/>
          <w:szCs w:val="22"/>
          <w:lang w:val="el-GR"/>
        </w:rPr>
        <w:t xml:space="preserve"> </w:t>
      </w:r>
      <w:r w:rsidRPr="00A66AB5">
        <w:rPr>
          <w:sz w:val="22"/>
          <w:szCs w:val="22"/>
          <w:lang w:val="el-GR"/>
        </w:rPr>
        <w:t xml:space="preserve">περιέχει 300 </w:t>
      </w:r>
      <w:r w:rsidRPr="00A66AB5">
        <w:rPr>
          <w:sz w:val="22"/>
          <w:szCs w:val="22"/>
        </w:rPr>
        <w:t>mg</w:t>
      </w:r>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(ως </w:t>
      </w:r>
      <w:proofErr w:type="spellStart"/>
      <w:r w:rsidRPr="00A66AB5">
        <w:rPr>
          <w:sz w:val="22"/>
          <w:szCs w:val="22"/>
          <w:lang w:val="el-GR"/>
        </w:rPr>
        <w:t>φουμαρική</w:t>
      </w:r>
      <w:proofErr w:type="spellEnd"/>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w:t>
      </w:r>
    </w:p>
    <w:p w:rsidR="00380EEB" w:rsidRPr="00A66AB5" w:rsidRDefault="00380EEB">
      <w:pPr>
        <w:jc w:val="both"/>
        <w:rPr>
          <w:sz w:val="22"/>
          <w:szCs w:val="22"/>
          <w:lang w:val="el-GR"/>
        </w:rPr>
      </w:pPr>
      <w:proofErr w:type="spellStart"/>
      <w:r w:rsidRPr="00A66AB5">
        <w:rPr>
          <w:sz w:val="22"/>
          <w:szCs w:val="22"/>
          <w:lang w:val="el-GR"/>
        </w:rPr>
        <w:t>Έκδοχ</w:t>
      </w:r>
      <w:r w:rsidR="00F6005F">
        <w:rPr>
          <w:sz w:val="22"/>
          <w:szCs w:val="22"/>
          <w:lang w:val="el-GR"/>
        </w:rPr>
        <w:t>ο(</w:t>
      </w:r>
      <w:r w:rsidRPr="00A66AB5">
        <w:rPr>
          <w:sz w:val="22"/>
          <w:szCs w:val="22"/>
          <w:lang w:val="el-GR"/>
        </w:rPr>
        <w:t>α</w:t>
      </w:r>
      <w:proofErr w:type="spellEnd"/>
      <w:r w:rsidR="00F6005F">
        <w:rPr>
          <w:sz w:val="22"/>
          <w:szCs w:val="22"/>
          <w:lang w:val="el-GR"/>
        </w:rPr>
        <w:t>)</w:t>
      </w:r>
      <w:r w:rsidRPr="00A66AB5">
        <w:rPr>
          <w:sz w:val="22"/>
          <w:szCs w:val="22"/>
          <w:lang w:val="el-GR"/>
        </w:rPr>
        <w:t xml:space="preserve">: 61,05 </w:t>
      </w:r>
      <w:r w:rsidRPr="00A66AB5">
        <w:rPr>
          <w:sz w:val="22"/>
          <w:szCs w:val="22"/>
        </w:rPr>
        <w:t>mg</w:t>
      </w:r>
      <w:r w:rsidRPr="00A66AB5">
        <w:rPr>
          <w:sz w:val="22"/>
          <w:szCs w:val="22"/>
          <w:lang w:val="el-GR"/>
        </w:rPr>
        <w:t xml:space="preserve"> </w:t>
      </w:r>
      <w:proofErr w:type="spellStart"/>
      <w:r w:rsidR="00F837E5" w:rsidRPr="00A66AB5">
        <w:rPr>
          <w:sz w:val="22"/>
          <w:szCs w:val="22"/>
          <w:lang w:val="el-GR"/>
        </w:rPr>
        <w:t>μονοϋδρική</w:t>
      </w:r>
      <w:proofErr w:type="spellEnd"/>
      <w:r w:rsidR="00F837E5" w:rsidRPr="00A66AB5" w:rsidDel="00F837E5">
        <w:rPr>
          <w:sz w:val="22"/>
          <w:szCs w:val="22"/>
          <w:lang w:val="el-GR"/>
        </w:rPr>
        <w:t xml:space="preserve"> </w:t>
      </w:r>
      <w:r w:rsidRPr="00A66AB5">
        <w:rPr>
          <w:sz w:val="22"/>
          <w:szCs w:val="22"/>
          <w:lang w:val="el-GR"/>
        </w:rPr>
        <w:t xml:space="preserve">λακτόζη και 5,3 </w:t>
      </w:r>
      <w:r w:rsidRPr="00A66AB5">
        <w:rPr>
          <w:sz w:val="22"/>
          <w:szCs w:val="22"/>
        </w:rPr>
        <w:t>mg</w:t>
      </w:r>
      <w:r w:rsidRPr="00A66AB5">
        <w:rPr>
          <w:sz w:val="22"/>
          <w:szCs w:val="22"/>
          <w:lang w:val="el-GR"/>
        </w:rPr>
        <w:t xml:space="preserve"> νάτριο ανά δισκίο</w:t>
      </w:r>
    </w:p>
    <w:p w:rsidR="00380EEB" w:rsidRPr="00A66AB5" w:rsidRDefault="00380EEB">
      <w:pPr>
        <w:jc w:val="both"/>
        <w:rPr>
          <w:sz w:val="22"/>
          <w:szCs w:val="22"/>
          <w:lang w:val="el-GR"/>
        </w:rPr>
      </w:pP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Κάθε δισκίο παρατεταμένης αποδέσμευσης </w:t>
      </w:r>
      <w:r w:rsidR="00F6005F">
        <w:rPr>
          <w:sz w:val="22"/>
          <w:szCs w:val="22"/>
          <w:lang w:val="el-GR"/>
        </w:rPr>
        <w:t xml:space="preserve">των 400 </w:t>
      </w:r>
      <w:r w:rsidR="00F6005F">
        <w:rPr>
          <w:sz w:val="22"/>
          <w:szCs w:val="22"/>
        </w:rPr>
        <w:t>mg</w:t>
      </w:r>
      <w:r w:rsidR="00F6005F" w:rsidRPr="00791987">
        <w:rPr>
          <w:sz w:val="22"/>
          <w:szCs w:val="22"/>
          <w:lang w:val="el-GR"/>
        </w:rPr>
        <w:t xml:space="preserve"> </w:t>
      </w:r>
      <w:r w:rsidRPr="00A66AB5">
        <w:rPr>
          <w:sz w:val="22"/>
          <w:szCs w:val="22"/>
          <w:lang w:val="el-GR"/>
        </w:rPr>
        <w:t xml:space="preserve">περιέχει 400 </w:t>
      </w:r>
      <w:r w:rsidRPr="00A66AB5">
        <w:rPr>
          <w:sz w:val="22"/>
          <w:szCs w:val="22"/>
        </w:rPr>
        <w:t>mg</w:t>
      </w:r>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(ως </w:t>
      </w:r>
      <w:proofErr w:type="spellStart"/>
      <w:r w:rsidRPr="00A66AB5">
        <w:rPr>
          <w:sz w:val="22"/>
          <w:szCs w:val="22"/>
          <w:lang w:val="el-GR"/>
        </w:rPr>
        <w:t>φουμαρική</w:t>
      </w:r>
      <w:proofErr w:type="spellEnd"/>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w:t>
      </w:r>
    </w:p>
    <w:p w:rsidR="00380EEB" w:rsidRDefault="00380EEB">
      <w:pPr>
        <w:jc w:val="both"/>
        <w:rPr>
          <w:sz w:val="22"/>
          <w:szCs w:val="22"/>
          <w:lang w:val="el-GR"/>
        </w:rPr>
      </w:pPr>
      <w:proofErr w:type="spellStart"/>
      <w:r w:rsidRPr="00A66AB5">
        <w:rPr>
          <w:sz w:val="22"/>
          <w:szCs w:val="22"/>
          <w:lang w:val="el-GR"/>
        </w:rPr>
        <w:t>Έκδοχ</w:t>
      </w:r>
      <w:r w:rsidR="00F6005F">
        <w:rPr>
          <w:sz w:val="22"/>
          <w:szCs w:val="22"/>
          <w:lang w:val="el-GR"/>
        </w:rPr>
        <w:t>ο(</w:t>
      </w:r>
      <w:r w:rsidRPr="00A66AB5">
        <w:rPr>
          <w:sz w:val="22"/>
          <w:szCs w:val="22"/>
          <w:lang w:val="el-GR"/>
        </w:rPr>
        <w:t>α</w:t>
      </w:r>
      <w:proofErr w:type="spellEnd"/>
      <w:r w:rsidR="00F6005F">
        <w:rPr>
          <w:sz w:val="22"/>
          <w:szCs w:val="22"/>
          <w:lang w:val="el-GR"/>
        </w:rPr>
        <w:t>)</w:t>
      </w:r>
      <w:r w:rsidRPr="00A66AB5">
        <w:rPr>
          <w:sz w:val="22"/>
          <w:szCs w:val="22"/>
          <w:lang w:val="el-GR"/>
        </w:rPr>
        <w:t xml:space="preserve">: 81,40 </w:t>
      </w:r>
      <w:r w:rsidRPr="00A66AB5">
        <w:rPr>
          <w:sz w:val="22"/>
          <w:szCs w:val="22"/>
        </w:rPr>
        <w:t>mg</w:t>
      </w:r>
      <w:r w:rsidRPr="00A66AB5">
        <w:rPr>
          <w:sz w:val="22"/>
          <w:szCs w:val="22"/>
          <w:lang w:val="el-GR"/>
        </w:rPr>
        <w:t xml:space="preserve"> </w:t>
      </w:r>
      <w:proofErr w:type="spellStart"/>
      <w:r w:rsidR="00F837E5" w:rsidRPr="00A66AB5">
        <w:rPr>
          <w:sz w:val="22"/>
          <w:szCs w:val="22"/>
          <w:lang w:val="el-GR"/>
        </w:rPr>
        <w:t>μονοϋδρική</w:t>
      </w:r>
      <w:proofErr w:type="spellEnd"/>
      <w:r w:rsidRPr="00A66AB5">
        <w:rPr>
          <w:sz w:val="22"/>
          <w:szCs w:val="22"/>
          <w:lang w:val="el-GR"/>
        </w:rPr>
        <w:t xml:space="preserve"> λακτόζη και 7,1 </w:t>
      </w:r>
      <w:r w:rsidRPr="00A66AB5">
        <w:rPr>
          <w:sz w:val="22"/>
          <w:szCs w:val="22"/>
        </w:rPr>
        <w:t>mg</w:t>
      </w:r>
      <w:r w:rsidRPr="00A66AB5">
        <w:rPr>
          <w:sz w:val="22"/>
          <w:szCs w:val="22"/>
          <w:lang w:val="el-GR"/>
        </w:rPr>
        <w:t xml:space="preserve"> νάτριο ανά δισκίο</w:t>
      </w:r>
    </w:p>
    <w:p w:rsidR="00F6005F" w:rsidRPr="00A66AB5" w:rsidRDefault="00F6005F">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Για τον πλήρη κατάλογο </w:t>
      </w:r>
      <w:r w:rsidR="00E3201C" w:rsidRPr="00A66AB5">
        <w:rPr>
          <w:sz w:val="22"/>
          <w:szCs w:val="22"/>
          <w:lang w:val="el-GR"/>
        </w:rPr>
        <w:t xml:space="preserve">των </w:t>
      </w:r>
      <w:r w:rsidRPr="00A66AB5">
        <w:rPr>
          <w:sz w:val="22"/>
          <w:szCs w:val="22"/>
          <w:lang w:val="el-GR"/>
        </w:rPr>
        <w:t>εκδόχων, βλ. παράγραφο 6.1.</w:t>
      </w:r>
    </w:p>
    <w:p w:rsidR="00380EEB" w:rsidRDefault="00380EEB">
      <w:pPr>
        <w:rPr>
          <w:sz w:val="22"/>
          <w:szCs w:val="22"/>
          <w:lang w:val="el-GR"/>
        </w:rPr>
      </w:pPr>
    </w:p>
    <w:p w:rsidR="00F6005F" w:rsidRPr="00A66AB5" w:rsidRDefault="00F6005F">
      <w:pPr>
        <w:rPr>
          <w:sz w:val="22"/>
          <w:szCs w:val="22"/>
          <w:lang w:val="el-GR"/>
        </w:rPr>
      </w:pPr>
    </w:p>
    <w:p w:rsidR="00380EEB" w:rsidRPr="00A66AB5" w:rsidRDefault="00380EEB">
      <w:pPr>
        <w:rPr>
          <w:b/>
          <w:sz w:val="22"/>
          <w:szCs w:val="22"/>
          <w:lang w:val="el-GR"/>
        </w:rPr>
      </w:pPr>
      <w:r w:rsidRPr="00A66AB5">
        <w:rPr>
          <w:b/>
          <w:sz w:val="22"/>
          <w:szCs w:val="22"/>
          <w:lang w:val="el-GR"/>
        </w:rPr>
        <w:t>3</w:t>
      </w:r>
      <w:r w:rsidRPr="00A66AB5">
        <w:rPr>
          <w:b/>
          <w:sz w:val="22"/>
          <w:szCs w:val="22"/>
          <w:lang w:val="el-GR"/>
        </w:rPr>
        <w:tab/>
        <w:t>ΦΑΡΜΑΚΟΤΕΧΝΙΚΗ ΜΟΡΦΗ</w:t>
      </w:r>
    </w:p>
    <w:p w:rsidR="00380EEB" w:rsidRPr="00A66AB5" w:rsidRDefault="00380EEB">
      <w:pPr>
        <w:rPr>
          <w:sz w:val="22"/>
          <w:szCs w:val="22"/>
          <w:lang w:val="el-GR"/>
        </w:rPr>
      </w:pPr>
    </w:p>
    <w:p w:rsidR="00380EEB" w:rsidRPr="00791987" w:rsidRDefault="00380EEB">
      <w:pPr>
        <w:pStyle w:val="a3"/>
        <w:tabs>
          <w:tab w:val="clear" w:pos="4320"/>
          <w:tab w:val="clear" w:pos="8640"/>
        </w:tabs>
        <w:rPr>
          <w:sz w:val="22"/>
          <w:szCs w:val="22"/>
          <w:lang w:val="el-GR"/>
        </w:rPr>
      </w:pPr>
      <w:r w:rsidRPr="00A66AB5">
        <w:rPr>
          <w:sz w:val="22"/>
          <w:szCs w:val="22"/>
          <w:lang w:val="el-GR"/>
        </w:rPr>
        <w:t>Δισκίο παρατεταμένης αποδέσμευσης</w:t>
      </w:r>
    </w:p>
    <w:p w:rsidR="00FD7079" w:rsidRPr="00791987" w:rsidRDefault="00FD7079">
      <w:pPr>
        <w:pStyle w:val="a3"/>
        <w:tabs>
          <w:tab w:val="clear" w:pos="4320"/>
          <w:tab w:val="clear" w:pos="8640"/>
        </w:tabs>
        <w:rPr>
          <w:sz w:val="22"/>
          <w:szCs w:val="22"/>
          <w:lang w:val="el-GR"/>
        </w:rPr>
      </w:pPr>
    </w:p>
    <w:p w:rsidR="00FD7079" w:rsidRPr="00A66AB5" w:rsidRDefault="00FD7079" w:rsidP="00FD7079">
      <w:pPr>
        <w:jc w:val="both"/>
        <w:rPr>
          <w:b/>
          <w:sz w:val="22"/>
          <w:szCs w:val="22"/>
          <w:u w:val="single"/>
          <w:lang w:val="el-GR"/>
        </w:rPr>
      </w:pPr>
      <w:r w:rsidRPr="00A66AB5">
        <w:rPr>
          <w:b/>
          <w:sz w:val="22"/>
          <w:szCs w:val="22"/>
          <w:u w:val="single"/>
          <w:lang w:val="el-GR"/>
        </w:rPr>
        <w:t xml:space="preserve">Για </w:t>
      </w:r>
      <w:r w:rsidRPr="00791987">
        <w:rPr>
          <w:b/>
          <w:sz w:val="22"/>
          <w:szCs w:val="22"/>
          <w:u w:val="single"/>
          <w:lang w:val="el-GR"/>
        </w:rPr>
        <w:t>5</w:t>
      </w:r>
      <w:r w:rsidRPr="00A66AB5">
        <w:rPr>
          <w:b/>
          <w:sz w:val="22"/>
          <w:szCs w:val="22"/>
          <w:u w:val="single"/>
          <w:lang w:val="el-GR"/>
        </w:rPr>
        <w:t xml:space="preserve">0 </w:t>
      </w:r>
      <w:r w:rsidRPr="00A66AB5">
        <w:rPr>
          <w:b/>
          <w:sz w:val="22"/>
          <w:szCs w:val="22"/>
          <w:u w:val="single"/>
        </w:rPr>
        <w:t>mg</w:t>
      </w:r>
      <w:r w:rsidRPr="00A66AB5">
        <w:rPr>
          <w:b/>
          <w:sz w:val="22"/>
          <w:szCs w:val="22"/>
          <w:u w:val="single"/>
          <w:lang w:val="el-GR"/>
        </w:rPr>
        <w:t>:</w:t>
      </w:r>
    </w:p>
    <w:p w:rsidR="00FD7079" w:rsidRDefault="00FD7079" w:rsidP="00FD7079">
      <w:pPr>
        <w:pStyle w:val="a3"/>
        <w:tabs>
          <w:tab w:val="clear" w:pos="4320"/>
          <w:tab w:val="clear" w:pos="8640"/>
        </w:tabs>
        <w:jc w:val="both"/>
        <w:rPr>
          <w:sz w:val="22"/>
          <w:szCs w:val="22"/>
          <w:lang w:val="el-GR"/>
        </w:rPr>
      </w:pPr>
      <w:r>
        <w:rPr>
          <w:sz w:val="22"/>
          <w:szCs w:val="22"/>
          <w:lang w:val="el-GR"/>
        </w:rPr>
        <w:t>Ροδακινί</w:t>
      </w:r>
      <w:r w:rsidRPr="00A66AB5">
        <w:rPr>
          <w:sz w:val="22"/>
          <w:szCs w:val="22"/>
          <w:lang w:val="el-GR"/>
        </w:rPr>
        <w:t xml:space="preserve">, στρογγυλά, αμφίκυρτα, επικαλυμμένα με </w:t>
      </w:r>
      <w:r>
        <w:rPr>
          <w:sz w:val="22"/>
          <w:szCs w:val="22"/>
          <w:lang w:val="el-GR"/>
        </w:rPr>
        <w:t xml:space="preserve">λεπτό </w:t>
      </w:r>
      <w:proofErr w:type="spellStart"/>
      <w:r w:rsidRPr="00A66AB5">
        <w:rPr>
          <w:sz w:val="22"/>
          <w:szCs w:val="22"/>
          <w:lang w:val="el-GR"/>
        </w:rPr>
        <w:t>υμένιο</w:t>
      </w:r>
      <w:proofErr w:type="spellEnd"/>
      <w:r w:rsidRPr="00A66AB5">
        <w:rPr>
          <w:sz w:val="22"/>
          <w:szCs w:val="22"/>
          <w:lang w:val="el-GR"/>
        </w:rPr>
        <w:t xml:space="preserve"> δισκία, με χαραγμένη την ένδειξη «</w:t>
      </w:r>
      <w:r w:rsidRPr="00FD7079">
        <w:rPr>
          <w:bCs/>
          <w:sz w:val="22"/>
          <w:szCs w:val="22"/>
          <w:lang w:val="en-GB"/>
        </w:rPr>
        <w:t>Q</w:t>
      </w:r>
      <w:r w:rsidRPr="00791987">
        <w:rPr>
          <w:bCs/>
          <w:sz w:val="22"/>
          <w:szCs w:val="22"/>
          <w:lang w:val="el-GR"/>
        </w:rPr>
        <w:t>50</w:t>
      </w:r>
      <w:r w:rsidRPr="00A66AB5">
        <w:rPr>
          <w:sz w:val="22"/>
          <w:szCs w:val="22"/>
          <w:lang w:val="el-GR"/>
        </w:rPr>
        <w:t>» στη μία πλευρά και χωρίς ένδειξη στην άλλη</w:t>
      </w:r>
      <w:r>
        <w:rPr>
          <w:sz w:val="22"/>
          <w:szCs w:val="22"/>
          <w:lang w:val="el-GR"/>
        </w:rPr>
        <w:t>.</w:t>
      </w:r>
    </w:p>
    <w:p w:rsidR="00FD7079" w:rsidRPr="00A66AB5" w:rsidRDefault="00FD7079" w:rsidP="00FD7079">
      <w:pPr>
        <w:pStyle w:val="a3"/>
        <w:tabs>
          <w:tab w:val="clear" w:pos="4320"/>
          <w:tab w:val="clear" w:pos="8640"/>
        </w:tabs>
        <w:jc w:val="both"/>
        <w:rPr>
          <w:sz w:val="22"/>
          <w:szCs w:val="22"/>
          <w:lang w:val="el-GR"/>
        </w:rPr>
      </w:pPr>
      <w:r>
        <w:rPr>
          <w:sz w:val="22"/>
          <w:szCs w:val="22"/>
          <w:lang w:val="el-GR"/>
        </w:rPr>
        <w:t xml:space="preserve">Σημείωση: Η διάμετρος του δισκίου είναι </w:t>
      </w:r>
      <w:r w:rsidRPr="00791987">
        <w:rPr>
          <w:sz w:val="22"/>
          <w:szCs w:val="22"/>
          <w:lang w:val="el-GR"/>
        </w:rPr>
        <w:t>11</w:t>
      </w:r>
      <w:r>
        <w:rPr>
          <w:sz w:val="22"/>
          <w:szCs w:val="22"/>
          <w:lang w:val="el-GR"/>
        </w:rPr>
        <w:t>,</w:t>
      </w:r>
      <w:r w:rsidRPr="00791987">
        <w:rPr>
          <w:sz w:val="22"/>
          <w:szCs w:val="22"/>
          <w:lang w:val="el-GR"/>
        </w:rPr>
        <w:t>2 ± 0</w:t>
      </w:r>
      <w:r>
        <w:rPr>
          <w:sz w:val="22"/>
          <w:szCs w:val="22"/>
          <w:lang w:val="el-GR"/>
        </w:rPr>
        <w:t>,</w:t>
      </w:r>
      <w:r w:rsidRPr="00791987">
        <w:rPr>
          <w:sz w:val="22"/>
          <w:szCs w:val="22"/>
          <w:lang w:val="el-GR"/>
        </w:rPr>
        <w:t xml:space="preserve">2 </w:t>
      </w:r>
      <w:r w:rsidRPr="00FD7079">
        <w:rPr>
          <w:sz w:val="22"/>
          <w:szCs w:val="22"/>
          <w:lang w:val="en-GB"/>
        </w:rPr>
        <w:t>mm</w:t>
      </w:r>
    </w:p>
    <w:p w:rsidR="00FD7079" w:rsidRPr="00D15B02" w:rsidRDefault="00FD7079">
      <w:pPr>
        <w:pStyle w:val="a3"/>
        <w:tabs>
          <w:tab w:val="clear" w:pos="4320"/>
          <w:tab w:val="clear" w:pos="8640"/>
        </w:tabs>
        <w:rPr>
          <w:sz w:val="22"/>
          <w:szCs w:val="22"/>
          <w:lang w:val="el-GR"/>
        </w:rPr>
      </w:pPr>
    </w:p>
    <w:p w:rsidR="00380EEB" w:rsidRPr="00A66AB5" w:rsidRDefault="00380EEB">
      <w:pPr>
        <w:jc w:val="both"/>
        <w:rPr>
          <w:b/>
          <w:sz w:val="22"/>
          <w:szCs w:val="22"/>
          <w:u w:val="single"/>
          <w:lang w:val="el-GR"/>
        </w:rPr>
      </w:pPr>
      <w:r w:rsidRPr="00A66AB5">
        <w:rPr>
          <w:b/>
          <w:sz w:val="22"/>
          <w:szCs w:val="22"/>
          <w:u w:val="single"/>
          <w:lang w:val="el-GR"/>
        </w:rPr>
        <w:t xml:space="preserve">Για 200 </w:t>
      </w:r>
      <w:r w:rsidRPr="00A66AB5">
        <w:rPr>
          <w:b/>
          <w:sz w:val="22"/>
          <w:szCs w:val="22"/>
          <w:u w:val="single"/>
        </w:rPr>
        <w:t>mg</w:t>
      </w:r>
      <w:r w:rsidRPr="00A66AB5">
        <w:rPr>
          <w:b/>
          <w:sz w:val="22"/>
          <w:szCs w:val="22"/>
          <w:u w:val="single"/>
          <w:lang w:val="el-GR"/>
        </w:rPr>
        <w:t>:</w:t>
      </w:r>
    </w:p>
    <w:p w:rsidR="00380EEB" w:rsidRDefault="00380EEB">
      <w:pPr>
        <w:pStyle w:val="a3"/>
        <w:tabs>
          <w:tab w:val="clear" w:pos="4320"/>
          <w:tab w:val="clear" w:pos="8640"/>
        </w:tabs>
        <w:jc w:val="both"/>
        <w:rPr>
          <w:sz w:val="22"/>
          <w:szCs w:val="22"/>
          <w:lang w:val="el-GR"/>
        </w:rPr>
      </w:pPr>
      <w:r w:rsidRPr="00A66AB5">
        <w:rPr>
          <w:sz w:val="22"/>
          <w:szCs w:val="22"/>
          <w:lang w:val="el-GR"/>
        </w:rPr>
        <w:t xml:space="preserve">Κίτρινα, στρογγυλά, αμφίκυρτα, επικαλυμμένα με </w:t>
      </w:r>
      <w:proofErr w:type="spellStart"/>
      <w:r w:rsidRPr="00A66AB5">
        <w:rPr>
          <w:sz w:val="22"/>
          <w:szCs w:val="22"/>
          <w:lang w:val="el-GR"/>
        </w:rPr>
        <w:t>υμένιο</w:t>
      </w:r>
      <w:proofErr w:type="spellEnd"/>
      <w:r w:rsidRPr="00A66AB5">
        <w:rPr>
          <w:sz w:val="22"/>
          <w:szCs w:val="22"/>
          <w:lang w:val="el-GR"/>
        </w:rPr>
        <w:t xml:space="preserve"> δισκία, με χαραγμένη την ένδειξη «Ι2» στη μία πλευρά και χωρίς ένδειξη στην άλλη</w:t>
      </w:r>
    </w:p>
    <w:p w:rsidR="00FD7079" w:rsidRDefault="00FD7079">
      <w:pPr>
        <w:pStyle w:val="a3"/>
        <w:tabs>
          <w:tab w:val="clear" w:pos="4320"/>
          <w:tab w:val="clear" w:pos="8640"/>
        </w:tabs>
        <w:jc w:val="both"/>
        <w:rPr>
          <w:sz w:val="22"/>
          <w:szCs w:val="22"/>
          <w:lang w:val="el-GR"/>
        </w:rPr>
      </w:pPr>
      <w:r>
        <w:rPr>
          <w:sz w:val="22"/>
          <w:szCs w:val="22"/>
          <w:lang w:val="el-GR"/>
        </w:rPr>
        <w:t xml:space="preserve">Σημείωση: Η διάμετρος του δισκίου είναι </w:t>
      </w:r>
      <w:r w:rsidRPr="00791987">
        <w:rPr>
          <w:sz w:val="22"/>
          <w:szCs w:val="22"/>
          <w:lang w:val="el-GR"/>
        </w:rPr>
        <w:t>9</w:t>
      </w:r>
      <w:r>
        <w:rPr>
          <w:sz w:val="22"/>
          <w:szCs w:val="22"/>
          <w:lang w:val="el-GR"/>
        </w:rPr>
        <w:t>,</w:t>
      </w:r>
      <w:r w:rsidRPr="00791987">
        <w:rPr>
          <w:sz w:val="22"/>
          <w:szCs w:val="22"/>
          <w:lang w:val="el-GR"/>
        </w:rPr>
        <w:t>60 ± 0</w:t>
      </w:r>
      <w:r>
        <w:rPr>
          <w:sz w:val="22"/>
          <w:szCs w:val="22"/>
          <w:lang w:val="el-GR"/>
        </w:rPr>
        <w:t>,</w:t>
      </w:r>
      <w:r w:rsidRPr="00791987">
        <w:rPr>
          <w:sz w:val="22"/>
          <w:szCs w:val="22"/>
          <w:lang w:val="el-GR"/>
        </w:rPr>
        <w:t xml:space="preserve">20 </w:t>
      </w:r>
      <w:r w:rsidRPr="00FD7079">
        <w:rPr>
          <w:sz w:val="22"/>
          <w:szCs w:val="22"/>
          <w:lang w:val="en-GB"/>
        </w:rPr>
        <w:t>mm</w:t>
      </w:r>
    </w:p>
    <w:p w:rsidR="00FD7079" w:rsidRPr="00FD7079" w:rsidRDefault="00FD7079">
      <w:pPr>
        <w:pStyle w:val="a3"/>
        <w:tabs>
          <w:tab w:val="clear" w:pos="4320"/>
          <w:tab w:val="clear" w:pos="8640"/>
        </w:tabs>
        <w:jc w:val="both"/>
        <w:rPr>
          <w:sz w:val="22"/>
          <w:szCs w:val="22"/>
          <w:lang w:val="el-GR"/>
        </w:rPr>
      </w:pPr>
    </w:p>
    <w:p w:rsidR="00380EEB" w:rsidRPr="00A66AB5" w:rsidRDefault="00380EEB">
      <w:pPr>
        <w:jc w:val="both"/>
        <w:rPr>
          <w:b/>
          <w:sz w:val="22"/>
          <w:szCs w:val="22"/>
          <w:u w:val="single"/>
          <w:lang w:val="el-GR"/>
        </w:rPr>
      </w:pPr>
      <w:r w:rsidRPr="00A66AB5">
        <w:rPr>
          <w:b/>
          <w:sz w:val="22"/>
          <w:szCs w:val="22"/>
          <w:u w:val="single"/>
          <w:lang w:val="el-GR"/>
        </w:rPr>
        <w:t>Για 300</w:t>
      </w:r>
      <w:r w:rsidR="009F6913" w:rsidRPr="00A66AB5">
        <w:rPr>
          <w:b/>
          <w:sz w:val="22"/>
          <w:szCs w:val="22"/>
          <w:u w:val="single"/>
          <w:lang w:val="el-GR"/>
        </w:rPr>
        <w:t xml:space="preserve"> </w:t>
      </w:r>
      <w:r w:rsidRPr="00A66AB5">
        <w:rPr>
          <w:b/>
          <w:sz w:val="22"/>
          <w:szCs w:val="22"/>
          <w:u w:val="single"/>
        </w:rPr>
        <w:t>mg</w:t>
      </w:r>
      <w:r w:rsidRPr="00A66AB5">
        <w:rPr>
          <w:b/>
          <w:sz w:val="22"/>
          <w:szCs w:val="22"/>
          <w:u w:val="single"/>
          <w:lang w:val="el-GR"/>
        </w:rPr>
        <w:t>:</w:t>
      </w:r>
    </w:p>
    <w:p w:rsidR="00380EEB" w:rsidRDefault="00A43010">
      <w:pPr>
        <w:jc w:val="both"/>
        <w:rPr>
          <w:sz w:val="22"/>
          <w:szCs w:val="22"/>
          <w:lang w:val="el-GR"/>
        </w:rPr>
      </w:pPr>
      <w:r w:rsidRPr="00A66AB5">
        <w:rPr>
          <w:sz w:val="22"/>
          <w:szCs w:val="22"/>
          <w:lang w:val="el-GR"/>
        </w:rPr>
        <w:t xml:space="preserve">Ανοικτού </w:t>
      </w:r>
      <w:r w:rsidR="00380EEB" w:rsidRPr="00A66AB5">
        <w:rPr>
          <w:sz w:val="22"/>
          <w:szCs w:val="22"/>
          <w:lang w:val="el-GR"/>
        </w:rPr>
        <w:t>κίτριν</w:t>
      </w:r>
      <w:r w:rsidRPr="00A66AB5">
        <w:rPr>
          <w:sz w:val="22"/>
          <w:szCs w:val="22"/>
          <w:lang w:val="el-GR"/>
        </w:rPr>
        <w:t>ου χρώματος</w:t>
      </w:r>
      <w:r w:rsidR="00380EEB" w:rsidRPr="00A66AB5">
        <w:rPr>
          <w:sz w:val="22"/>
          <w:szCs w:val="22"/>
          <w:lang w:val="el-GR"/>
        </w:rPr>
        <w:t xml:space="preserve">, στρογγυλά, αμφίκυρτα, επικαλυμμένα με </w:t>
      </w:r>
      <w:proofErr w:type="spellStart"/>
      <w:r w:rsidR="00380EEB" w:rsidRPr="00A66AB5">
        <w:rPr>
          <w:sz w:val="22"/>
          <w:szCs w:val="22"/>
          <w:lang w:val="el-GR"/>
        </w:rPr>
        <w:t>υμένιο</w:t>
      </w:r>
      <w:proofErr w:type="spellEnd"/>
      <w:r w:rsidR="00380EEB" w:rsidRPr="00A66AB5">
        <w:rPr>
          <w:sz w:val="22"/>
          <w:szCs w:val="22"/>
          <w:lang w:val="el-GR"/>
        </w:rPr>
        <w:t xml:space="preserve"> δισκία, με χαραγμένη την ένδειξη «</w:t>
      </w:r>
      <w:r w:rsidR="00380EEB" w:rsidRPr="00A66AB5">
        <w:rPr>
          <w:sz w:val="22"/>
          <w:szCs w:val="22"/>
        </w:rPr>
        <w:t>Q</w:t>
      </w:r>
      <w:r w:rsidR="00380EEB" w:rsidRPr="00A66AB5">
        <w:rPr>
          <w:sz w:val="22"/>
          <w:szCs w:val="22"/>
          <w:lang w:val="el-GR"/>
        </w:rPr>
        <w:t>300» στη μία πλευρά και χωρίς ένδειξη στην άλλη.</w:t>
      </w:r>
    </w:p>
    <w:p w:rsidR="00FD7079" w:rsidRDefault="00FD7079">
      <w:pPr>
        <w:jc w:val="both"/>
        <w:rPr>
          <w:sz w:val="22"/>
          <w:szCs w:val="22"/>
          <w:lang w:val="el-GR"/>
        </w:rPr>
      </w:pPr>
      <w:r>
        <w:rPr>
          <w:sz w:val="22"/>
          <w:szCs w:val="22"/>
          <w:lang w:val="el-GR"/>
        </w:rPr>
        <w:t xml:space="preserve">Σημείωση: Η διάμετρος του δισκίου είναι </w:t>
      </w:r>
      <w:r w:rsidRPr="00791987">
        <w:rPr>
          <w:sz w:val="22"/>
          <w:szCs w:val="22"/>
          <w:lang w:val="el-GR"/>
        </w:rPr>
        <w:t>11</w:t>
      </w:r>
      <w:r>
        <w:rPr>
          <w:sz w:val="22"/>
          <w:szCs w:val="22"/>
          <w:lang w:val="el-GR"/>
        </w:rPr>
        <w:t>,</w:t>
      </w:r>
      <w:r w:rsidRPr="00791987">
        <w:rPr>
          <w:sz w:val="22"/>
          <w:szCs w:val="22"/>
          <w:lang w:val="el-GR"/>
        </w:rPr>
        <w:t>20 ± 0</w:t>
      </w:r>
      <w:r>
        <w:rPr>
          <w:sz w:val="22"/>
          <w:szCs w:val="22"/>
          <w:lang w:val="el-GR"/>
        </w:rPr>
        <w:t>,</w:t>
      </w:r>
      <w:r w:rsidRPr="00791987">
        <w:rPr>
          <w:sz w:val="22"/>
          <w:szCs w:val="22"/>
          <w:lang w:val="el-GR"/>
        </w:rPr>
        <w:t xml:space="preserve">20 </w:t>
      </w:r>
      <w:r w:rsidRPr="00FD7079">
        <w:rPr>
          <w:sz w:val="22"/>
          <w:szCs w:val="22"/>
          <w:lang w:val="en-GB"/>
        </w:rPr>
        <w:t>mm</w:t>
      </w:r>
    </w:p>
    <w:p w:rsidR="00FD7079" w:rsidRPr="00FD7079" w:rsidRDefault="00FD7079">
      <w:pPr>
        <w:jc w:val="both"/>
        <w:rPr>
          <w:sz w:val="22"/>
          <w:szCs w:val="22"/>
          <w:lang w:val="el-GR"/>
        </w:rPr>
      </w:pPr>
    </w:p>
    <w:p w:rsidR="00380EEB" w:rsidRPr="00A66AB5" w:rsidRDefault="00380EEB">
      <w:pPr>
        <w:jc w:val="both"/>
        <w:rPr>
          <w:b/>
          <w:sz w:val="22"/>
          <w:szCs w:val="22"/>
          <w:u w:val="single"/>
          <w:lang w:val="el-GR"/>
        </w:rPr>
      </w:pPr>
      <w:r w:rsidRPr="00A66AB5">
        <w:rPr>
          <w:b/>
          <w:sz w:val="22"/>
          <w:szCs w:val="22"/>
          <w:u w:val="single"/>
          <w:lang w:val="el-GR"/>
        </w:rPr>
        <w:t xml:space="preserve">Για 400 </w:t>
      </w:r>
      <w:r w:rsidRPr="00A66AB5">
        <w:rPr>
          <w:b/>
          <w:sz w:val="22"/>
          <w:szCs w:val="22"/>
          <w:u w:val="single"/>
        </w:rPr>
        <w:t>mg</w:t>
      </w:r>
      <w:r w:rsidRPr="00A66AB5">
        <w:rPr>
          <w:b/>
          <w:sz w:val="22"/>
          <w:szCs w:val="22"/>
          <w:u w:val="single"/>
          <w:lang w:val="el-GR"/>
        </w:rPr>
        <w:t>:</w:t>
      </w:r>
    </w:p>
    <w:p w:rsidR="00380EEB" w:rsidRDefault="00380EEB">
      <w:pPr>
        <w:jc w:val="both"/>
        <w:rPr>
          <w:sz w:val="22"/>
          <w:szCs w:val="22"/>
          <w:lang w:val="el-GR"/>
        </w:rPr>
      </w:pPr>
      <w:r w:rsidRPr="00A66AB5">
        <w:rPr>
          <w:sz w:val="22"/>
          <w:szCs w:val="22"/>
          <w:lang w:val="el-GR"/>
        </w:rPr>
        <w:lastRenderedPageBreak/>
        <w:t xml:space="preserve">Λευκά, στρογγυλά, αμφίκυρτα, επικαλυμμένα με </w:t>
      </w:r>
      <w:proofErr w:type="spellStart"/>
      <w:r w:rsidRPr="00A66AB5">
        <w:rPr>
          <w:sz w:val="22"/>
          <w:szCs w:val="22"/>
          <w:lang w:val="el-GR"/>
        </w:rPr>
        <w:t>υμένιο</w:t>
      </w:r>
      <w:proofErr w:type="spellEnd"/>
      <w:r w:rsidRPr="00A66AB5">
        <w:rPr>
          <w:sz w:val="22"/>
          <w:szCs w:val="22"/>
          <w:lang w:val="el-GR"/>
        </w:rPr>
        <w:t xml:space="preserve"> δισκία, με χαραγμένη την ένδειξη «Ι4» στη μία πλευρά και χωρίς ένδειξη στην άλλη.</w:t>
      </w:r>
    </w:p>
    <w:p w:rsidR="00FD7079" w:rsidRPr="00A66AB5" w:rsidRDefault="00FD7079">
      <w:pPr>
        <w:jc w:val="both"/>
        <w:rPr>
          <w:sz w:val="22"/>
          <w:szCs w:val="22"/>
          <w:lang w:val="el-GR"/>
        </w:rPr>
      </w:pPr>
      <w:r>
        <w:rPr>
          <w:sz w:val="22"/>
          <w:szCs w:val="22"/>
          <w:lang w:val="el-GR"/>
        </w:rPr>
        <w:t xml:space="preserve">Σημείωση: Η διάμετρος του δισκίου είναι </w:t>
      </w:r>
      <w:r w:rsidRPr="00791987">
        <w:rPr>
          <w:sz w:val="22"/>
          <w:szCs w:val="22"/>
          <w:lang w:val="el-GR"/>
        </w:rPr>
        <w:t>12</w:t>
      </w:r>
      <w:r>
        <w:rPr>
          <w:sz w:val="22"/>
          <w:szCs w:val="22"/>
          <w:lang w:val="el-GR"/>
        </w:rPr>
        <w:t>,</w:t>
      </w:r>
      <w:r w:rsidRPr="00791987">
        <w:rPr>
          <w:sz w:val="22"/>
          <w:szCs w:val="22"/>
          <w:lang w:val="el-GR"/>
        </w:rPr>
        <w:t>82 ± 0</w:t>
      </w:r>
      <w:r>
        <w:rPr>
          <w:sz w:val="22"/>
          <w:szCs w:val="22"/>
          <w:lang w:val="el-GR"/>
        </w:rPr>
        <w:t>,</w:t>
      </w:r>
      <w:r w:rsidRPr="00791987">
        <w:rPr>
          <w:sz w:val="22"/>
          <w:szCs w:val="22"/>
          <w:lang w:val="el-GR"/>
        </w:rPr>
        <w:t xml:space="preserve">20 </w:t>
      </w:r>
      <w:r w:rsidRPr="00FD7079">
        <w:rPr>
          <w:sz w:val="22"/>
          <w:szCs w:val="22"/>
          <w:lang w:val="en-GB"/>
        </w:rPr>
        <w:t>mm</w:t>
      </w:r>
    </w:p>
    <w:p w:rsidR="00380EEB" w:rsidRDefault="00380EEB">
      <w:pPr>
        <w:rPr>
          <w:sz w:val="22"/>
          <w:szCs w:val="22"/>
          <w:lang w:val="el-GR"/>
        </w:rPr>
      </w:pPr>
    </w:p>
    <w:p w:rsidR="00FD7079" w:rsidRPr="00A66AB5" w:rsidRDefault="00FD7079">
      <w:pPr>
        <w:rPr>
          <w:sz w:val="22"/>
          <w:szCs w:val="22"/>
          <w:lang w:val="el-GR"/>
        </w:rPr>
      </w:pPr>
    </w:p>
    <w:p w:rsidR="00380EEB" w:rsidRPr="00A66AB5" w:rsidRDefault="00380EEB">
      <w:pPr>
        <w:rPr>
          <w:b/>
          <w:sz w:val="22"/>
          <w:szCs w:val="22"/>
          <w:lang w:val="el-GR"/>
        </w:rPr>
      </w:pPr>
      <w:r w:rsidRPr="00A66AB5">
        <w:rPr>
          <w:b/>
          <w:sz w:val="22"/>
          <w:szCs w:val="22"/>
          <w:lang w:val="el-GR"/>
        </w:rPr>
        <w:t>4</w:t>
      </w:r>
      <w:r w:rsidRPr="00A66AB5">
        <w:rPr>
          <w:b/>
          <w:sz w:val="22"/>
          <w:szCs w:val="22"/>
          <w:lang w:val="el-GR"/>
        </w:rPr>
        <w:tab/>
        <w:t>ΚΛΙΝΙΚ</w:t>
      </w:r>
      <w:r w:rsidR="00E3201C" w:rsidRPr="00A66AB5">
        <w:rPr>
          <w:b/>
          <w:sz w:val="22"/>
          <w:szCs w:val="22"/>
          <w:lang w:val="el-GR"/>
        </w:rPr>
        <w:t>ΕΣ ΠΛΗΡΟΦΟΡΙΕΣ</w:t>
      </w:r>
      <w:r w:rsidRPr="00A66AB5">
        <w:rPr>
          <w:b/>
          <w:sz w:val="22"/>
          <w:szCs w:val="22"/>
          <w:lang w:val="el-GR"/>
        </w:rPr>
        <w:t>:</w:t>
      </w:r>
    </w:p>
    <w:p w:rsidR="00380EEB" w:rsidRPr="00A66AB5" w:rsidRDefault="00380EEB">
      <w:pPr>
        <w:jc w:val="both"/>
        <w:rPr>
          <w:b/>
          <w:sz w:val="22"/>
          <w:szCs w:val="22"/>
          <w:lang w:val="el-GR"/>
        </w:rPr>
      </w:pPr>
    </w:p>
    <w:p w:rsidR="00380EEB" w:rsidRPr="00A66AB5" w:rsidRDefault="00380EEB">
      <w:pPr>
        <w:jc w:val="both"/>
        <w:rPr>
          <w:b/>
          <w:sz w:val="22"/>
          <w:szCs w:val="22"/>
          <w:lang w:val="el-GR"/>
        </w:rPr>
      </w:pPr>
      <w:r w:rsidRPr="00A66AB5">
        <w:rPr>
          <w:b/>
          <w:sz w:val="22"/>
          <w:szCs w:val="22"/>
          <w:lang w:val="el-GR"/>
        </w:rPr>
        <w:t>4.1</w:t>
      </w:r>
      <w:r w:rsidRPr="00A66AB5">
        <w:rPr>
          <w:b/>
          <w:sz w:val="22"/>
          <w:szCs w:val="22"/>
          <w:lang w:val="el-GR"/>
        </w:rPr>
        <w:tab/>
        <w:t>Θ</w:t>
      </w:r>
      <w:r w:rsidR="004E7035">
        <w:rPr>
          <w:b/>
          <w:sz w:val="22"/>
          <w:szCs w:val="22"/>
          <w:lang w:val="el-GR"/>
        </w:rPr>
        <w:t>εραπευτικές ενδείξεις</w:t>
      </w:r>
    </w:p>
    <w:p w:rsidR="00380EEB" w:rsidRPr="00A66AB5" w:rsidRDefault="00380EEB">
      <w:pPr>
        <w:jc w:val="both"/>
        <w:rPr>
          <w:b/>
          <w:sz w:val="22"/>
          <w:szCs w:val="22"/>
          <w:lang w:val="el-GR"/>
        </w:rPr>
      </w:pPr>
    </w:p>
    <w:p w:rsidR="00380EEB" w:rsidRPr="00A66AB5" w:rsidRDefault="00380EEB">
      <w:pPr>
        <w:rPr>
          <w:sz w:val="22"/>
          <w:szCs w:val="22"/>
          <w:lang w:val="el-GR"/>
        </w:rPr>
      </w:pPr>
      <w:r w:rsidRPr="00A66AB5">
        <w:rPr>
          <w:sz w:val="22"/>
          <w:szCs w:val="22"/>
          <w:lang w:val="el-GR"/>
        </w:rPr>
        <w:t xml:space="preserve">Το </w:t>
      </w:r>
      <w:r w:rsidR="002F279F">
        <w:rPr>
          <w:noProof/>
          <w:sz w:val="22"/>
          <w:szCs w:val="22"/>
        </w:rPr>
        <w:t>Secuelia</w:t>
      </w:r>
      <w:r w:rsidR="002F279F" w:rsidRPr="002F279F">
        <w:rPr>
          <w:noProof/>
          <w:sz w:val="22"/>
          <w:szCs w:val="22"/>
          <w:lang w:val="el-GR"/>
        </w:rPr>
        <w:t xml:space="preserve"> </w:t>
      </w:r>
      <w:r w:rsidR="002F279F">
        <w:rPr>
          <w:noProof/>
          <w:sz w:val="22"/>
          <w:szCs w:val="22"/>
        </w:rPr>
        <w:t>XR</w:t>
      </w:r>
      <w:r w:rsidR="00D65C75" w:rsidRPr="002471CA">
        <w:rPr>
          <w:noProof/>
          <w:sz w:val="22"/>
          <w:szCs w:val="22"/>
          <w:lang w:val="el-GR"/>
        </w:rPr>
        <w:t xml:space="preserve"> </w:t>
      </w:r>
      <w:r w:rsidR="005E2F1D" w:rsidRPr="00791987">
        <w:rPr>
          <w:noProof/>
          <w:sz w:val="22"/>
          <w:szCs w:val="22"/>
          <w:lang w:val="el-GR"/>
        </w:rPr>
        <w:t xml:space="preserve">50 </w:t>
      </w:r>
      <w:r w:rsidR="005E2F1D" w:rsidRPr="005E2F1D">
        <w:rPr>
          <w:noProof/>
          <w:sz w:val="22"/>
          <w:szCs w:val="22"/>
        </w:rPr>
        <w:t>mg</w:t>
      </w:r>
      <w:r w:rsidR="005E2F1D" w:rsidRPr="00791987">
        <w:rPr>
          <w:noProof/>
          <w:sz w:val="22"/>
          <w:szCs w:val="22"/>
          <w:lang w:val="el-GR"/>
        </w:rPr>
        <w:t xml:space="preserve"> / 200 </w:t>
      </w:r>
      <w:r w:rsidR="005E2F1D" w:rsidRPr="005E2F1D">
        <w:rPr>
          <w:noProof/>
          <w:sz w:val="22"/>
          <w:szCs w:val="22"/>
        </w:rPr>
        <w:t>mg</w:t>
      </w:r>
      <w:r w:rsidR="005E2F1D" w:rsidRPr="00791987">
        <w:rPr>
          <w:noProof/>
          <w:sz w:val="22"/>
          <w:szCs w:val="22"/>
          <w:lang w:val="el-GR"/>
        </w:rPr>
        <w:t xml:space="preserve"> / 300 </w:t>
      </w:r>
      <w:r w:rsidR="005E2F1D" w:rsidRPr="005E2F1D">
        <w:rPr>
          <w:noProof/>
          <w:sz w:val="22"/>
          <w:szCs w:val="22"/>
        </w:rPr>
        <w:t>mg</w:t>
      </w:r>
      <w:r w:rsidR="005E2F1D" w:rsidRPr="00791987">
        <w:rPr>
          <w:noProof/>
          <w:sz w:val="22"/>
          <w:szCs w:val="22"/>
          <w:lang w:val="el-GR"/>
        </w:rPr>
        <w:t xml:space="preserve"> / 400 </w:t>
      </w:r>
      <w:r w:rsidR="005E2F1D" w:rsidRPr="005E2F1D">
        <w:rPr>
          <w:noProof/>
          <w:sz w:val="22"/>
          <w:szCs w:val="22"/>
        </w:rPr>
        <w:t>mg</w:t>
      </w:r>
      <w:r w:rsidR="005E2F1D" w:rsidRPr="00791987">
        <w:rPr>
          <w:noProof/>
          <w:sz w:val="22"/>
          <w:szCs w:val="22"/>
          <w:lang w:val="el-GR"/>
        </w:rPr>
        <w:t xml:space="preserve"> δισκίο παρατεταμένης αποδέσμευσης</w:t>
      </w:r>
      <w:r w:rsidR="00D75BCF" w:rsidRPr="00A66AB5">
        <w:rPr>
          <w:sz w:val="22"/>
          <w:szCs w:val="22"/>
          <w:lang w:val="el-GR"/>
        </w:rPr>
        <w:t xml:space="preserve"> </w:t>
      </w:r>
      <w:r w:rsidRPr="00A66AB5">
        <w:rPr>
          <w:sz w:val="22"/>
          <w:szCs w:val="22"/>
          <w:lang w:val="el-GR"/>
        </w:rPr>
        <w:t xml:space="preserve">ενδείκνυται για </w:t>
      </w:r>
    </w:p>
    <w:p w:rsidR="00380EEB" w:rsidRPr="00A66AB5" w:rsidRDefault="00EB1BEF" w:rsidP="00791987">
      <w:pPr>
        <w:numPr>
          <w:ilvl w:val="0"/>
          <w:numId w:val="26"/>
        </w:numPr>
        <w:ind w:left="426" w:hanging="426"/>
        <w:rPr>
          <w:sz w:val="22"/>
          <w:szCs w:val="22"/>
          <w:lang w:val="el-GR"/>
        </w:rPr>
      </w:pPr>
      <w:r>
        <w:rPr>
          <w:sz w:val="22"/>
          <w:szCs w:val="22"/>
          <w:lang w:val="el-GR"/>
        </w:rPr>
        <w:t>θ</w:t>
      </w:r>
      <w:r w:rsidRPr="00A66AB5">
        <w:rPr>
          <w:sz w:val="22"/>
          <w:szCs w:val="22"/>
          <w:lang w:val="el-GR"/>
        </w:rPr>
        <w:t xml:space="preserve">εραπεία </w:t>
      </w:r>
      <w:r w:rsidR="00380EEB" w:rsidRPr="00A66AB5">
        <w:rPr>
          <w:sz w:val="22"/>
          <w:szCs w:val="22"/>
          <w:lang w:val="el-GR"/>
        </w:rPr>
        <w:t>σχιζοφρένειας, συμπεριλαμβανομένων των εξής</w:t>
      </w:r>
    </w:p>
    <w:p w:rsidR="00380EEB" w:rsidRPr="00A66AB5" w:rsidRDefault="005E2F1D">
      <w:pPr>
        <w:numPr>
          <w:ilvl w:val="0"/>
          <w:numId w:val="14"/>
        </w:numPr>
        <w:tabs>
          <w:tab w:val="clear" w:pos="1440"/>
          <w:tab w:val="left" w:pos="0"/>
          <w:tab w:val="num" w:pos="748"/>
        </w:tabs>
        <w:spacing w:line="260" w:lineRule="exact"/>
        <w:ind w:left="748"/>
        <w:jc w:val="both"/>
        <w:rPr>
          <w:sz w:val="22"/>
          <w:szCs w:val="22"/>
          <w:lang w:val="el-GR"/>
        </w:rPr>
      </w:pPr>
      <w:r>
        <w:rPr>
          <w:sz w:val="22"/>
          <w:szCs w:val="22"/>
          <w:lang w:val="el-GR"/>
        </w:rPr>
        <w:t>π</w:t>
      </w:r>
      <w:r w:rsidRPr="00A66AB5">
        <w:rPr>
          <w:sz w:val="22"/>
          <w:szCs w:val="22"/>
          <w:lang w:val="el-GR"/>
        </w:rPr>
        <w:t xml:space="preserve">ρόληψη </w:t>
      </w:r>
      <w:r w:rsidR="00380EEB" w:rsidRPr="00A66AB5">
        <w:rPr>
          <w:sz w:val="22"/>
          <w:szCs w:val="22"/>
          <w:lang w:val="el-GR"/>
        </w:rPr>
        <w:t xml:space="preserve">υποτροπής σε σταθερούς σχιζοφρενικούς ασθενείς που έχουν συντηρηθεί ακολουθώντας αγωγή με </w:t>
      </w:r>
      <w:r>
        <w:rPr>
          <w:sz w:val="22"/>
          <w:szCs w:val="22"/>
          <w:lang w:val="el-GR"/>
        </w:rPr>
        <w:t xml:space="preserve">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Pr="00791987">
        <w:rPr>
          <w:sz w:val="22"/>
          <w:szCs w:val="22"/>
          <w:lang w:val="el-GR"/>
        </w:rPr>
        <w:t xml:space="preserve">50 </w:t>
      </w:r>
      <w:r w:rsidRPr="005E2F1D">
        <w:rPr>
          <w:sz w:val="22"/>
          <w:szCs w:val="22"/>
        </w:rPr>
        <w:t>mg</w:t>
      </w:r>
      <w:r w:rsidRPr="00791987">
        <w:rPr>
          <w:sz w:val="22"/>
          <w:szCs w:val="22"/>
          <w:lang w:val="el-GR"/>
        </w:rPr>
        <w:t xml:space="preserve"> / 200 </w:t>
      </w:r>
      <w:r w:rsidRPr="005E2F1D">
        <w:rPr>
          <w:sz w:val="22"/>
          <w:szCs w:val="22"/>
        </w:rPr>
        <w:t>mg</w:t>
      </w:r>
      <w:r w:rsidRPr="00791987">
        <w:rPr>
          <w:sz w:val="22"/>
          <w:szCs w:val="22"/>
          <w:lang w:val="el-GR"/>
        </w:rPr>
        <w:t xml:space="preserve"> / 300 </w:t>
      </w:r>
      <w:r w:rsidRPr="005E2F1D">
        <w:rPr>
          <w:sz w:val="22"/>
          <w:szCs w:val="22"/>
        </w:rPr>
        <w:t>mg</w:t>
      </w:r>
      <w:r w:rsidRPr="00791987">
        <w:rPr>
          <w:sz w:val="22"/>
          <w:szCs w:val="22"/>
          <w:lang w:val="el-GR"/>
        </w:rPr>
        <w:t xml:space="preserve"> / 400 </w:t>
      </w:r>
      <w:r w:rsidRPr="005E2F1D">
        <w:rPr>
          <w:sz w:val="22"/>
          <w:szCs w:val="22"/>
        </w:rPr>
        <w:t>mg</w:t>
      </w:r>
      <w:r w:rsidRPr="00791987">
        <w:rPr>
          <w:sz w:val="22"/>
          <w:szCs w:val="22"/>
          <w:lang w:val="el-GR"/>
        </w:rPr>
        <w:t xml:space="preserve"> δισκίο παρατεταμένης αποδέσμευσης</w:t>
      </w:r>
      <w:r w:rsidR="00380EEB" w:rsidRPr="00A66AB5">
        <w:rPr>
          <w:sz w:val="22"/>
          <w:szCs w:val="22"/>
          <w:lang w:val="el-GR"/>
        </w:rPr>
        <w:t>.</w:t>
      </w:r>
    </w:p>
    <w:p w:rsidR="00380EEB" w:rsidRPr="00A66AB5" w:rsidRDefault="00EB1BEF" w:rsidP="00791987">
      <w:pPr>
        <w:pStyle w:val="A-NormalIndent"/>
        <w:numPr>
          <w:ilvl w:val="0"/>
          <w:numId w:val="26"/>
        </w:numPr>
        <w:spacing w:after="0" w:line="240" w:lineRule="auto"/>
        <w:ind w:left="426" w:hanging="426"/>
        <w:rPr>
          <w:sz w:val="22"/>
          <w:szCs w:val="22"/>
        </w:rPr>
      </w:pPr>
      <w:r>
        <w:rPr>
          <w:sz w:val="22"/>
          <w:szCs w:val="22"/>
          <w:lang w:val="el-GR"/>
        </w:rPr>
        <w:t>θ</w:t>
      </w:r>
      <w:r w:rsidR="00380EEB" w:rsidRPr="00A66AB5">
        <w:rPr>
          <w:sz w:val="22"/>
          <w:szCs w:val="22"/>
          <w:lang w:val="el-GR"/>
        </w:rPr>
        <w:t>εραπεία διπολικής διαταραχής</w:t>
      </w:r>
    </w:p>
    <w:p w:rsidR="00380EEB" w:rsidRPr="00A66AB5" w:rsidRDefault="00380EEB">
      <w:pPr>
        <w:numPr>
          <w:ilvl w:val="0"/>
          <w:numId w:val="14"/>
        </w:numPr>
        <w:tabs>
          <w:tab w:val="clear" w:pos="1440"/>
          <w:tab w:val="left" w:pos="0"/>
          <w:tab w:val="num" w:pos="748"/>
        </w:tabs>
        <w:spacing w:line="260" w:lineRule="exact"/>
        <w:ind w:left="748"/>
        <w:jc w:val="both"/>
        <w:rPr>
          <w:sz w:val="22"/>
          <w:szCs w:val="22"/>
          <w:lang w:val="el-GR"/>
        </w:rPr>
      </w:pPr>
      <w:r w:rsidRPr="00A66AB5">
        <w:rPr>
          <w:sz w:val="22"/>
          <w:szCs w:val="22"/>
          <w:lang w:val="el-GR"/>
        </w:rPr>
        <w:t>Για τη θεραπεία μανιακών επεισοδίων μέτριας έως βαριάς μορφής σε διπολική διαταραχή</w:t>
      </w:r>
    </w:p>
    <w:p w:rsidR="00380EEB" w:rsidRPr="00A66AB5" w:rsidRDefault="00380EEB">
      <w:pPr>
        <w:numPr>
          <w:ilvl w:val="0"/>
          <w:numId w:val="14"/>
        </w:numPr>
        <w:tabs>
          <w:tab w:val="clear" w:pos="1440"/>
          <w:tab w:val="left" w:pos="0"/>
          <w:tab w:val="num" w:pos="748"/>
        </w:tabs>
        <w:spacing w:line="260" w:lineRule="exact"/>
        <w:ind w:left="748"/>
        <w:jc w:val="both"/>
        <w:rPr>
          <w:sz w:val="22"/>
          <w:szCs w:val="22"/>
          <w:lang w:val="el-GR"/>
        </w:rPr>
      </w:pPr>
      <w:r w:rsidRPr="00A66AB5">
        <w:rPr>
          <w:sz w:val="22"/>
          <w:szCs w:val="22"/>
          <w:lang w:val="el-GR"/>
        </w:rPr>
        <w:t xml:space="preserve">Για τη θεραπεία </w:t>
      </w:r>
      <w:proofErr w:type="spellStart"/>
      <w:r w:rsidRPr="00A66AB5">
        <w:rPr>
          <w:sz w:val="22"/>
          <w:szCs w:val="22"/>
          <w:lang w:val="el-GR"/>
        </w:rPr>
        <w:t>μείζονων</w:t>
      </w:r>
      <w:proofErr w:type="spellEnd"/>
      <w:r w:rsidRPr="00A66AB5">
        <w:rPr>
          <w:sz w:val="22"/>
          <w:szCs w:val="22"/>
          <w:lang w:val="el-GR"/>
        </w:rPr>
        <w:t xml:space="preserve"> καταθλιπτικών επεισοδίων σε διπολική διαταραχή</w:t>
      </w:r>
    </w:p>
    <w:p w:rsidR="00380EEB" w:rsidRPr="00A66AB5" w:rsidRDefault="00380EEB">
      <w:pPr>
        <w:numPr>
          <w:ilvl w:val="0"/>
          <w:numId w:val="14"/>
        </w:numPr>
        <w:tabs>
          <w:tab w:val="clear" w:pos="1440"/>
          <w:tab w:val="left" w:pos="0"/>
          <w:tab w:val="num" w:pos="748"/>
        </w:tabs>
        <w:spacing w:line="260" w:lineRule="exact"/>
        <w:ind w:left="748"/>
        <w:jc w:val="both"/>
        <w:rPr>
          <w:sz w:val="22"/>
          <w:szCs w:val="22"/>
          <w:lang w:val="el-GR"/>
        </w:rPr>
      </w:pPr>
      <w:r w:rsidRPr="00A66AB5">
        <w:rPr>
          <w:sz w:val="22"/>
          <w:szCs w:val="22"/>
          <w:lang w:val="el-GR"/>
        </w:rPr>
        <w:t xml:space="preserve">Για την πρόληψη της υποτροπής σε ασθενείς με διπολική διαταραχή, σε ασθενείς των οποίων το μανιακό ή καταθλιπτικό επεισόδιο έχει ανταποκριθεί σε θεραπεία με </w:t>
      </w:r>
      <w:proofErr w:type="spellStart"/>
      <w:r w:rsidRPr="00A66AB5">
        <w:rPr>
          <w:sz w:val="22"/>
          <w:szCs w:val="22"/>
          <w:lang w:val="el-GR"/>
        </w:rPr>
        <w:t>κουετιαπίνη</w:t>
      </w:r>
      <w:proofErr w:type="spellEnd"/>
      <w:r w:rsidRPr="00A66AB5">
        <w:rPr>
          <w:sz w:val="22"/>
          <w:szCs w:val="22"/>
          <w:lang w:val="el-GR"/>
        </w:rPr>
        <w:t>.</w:t>
      </w:r>
    </w:p>
    <w:p w:rsidR="00380EEB" w:rsidRPr="00A66AB5" w:rsidRDefault="00380EEB">
      <w:pPr>
        <w:tabs>
          <w:tab w:val="left" w:pos="0"/>
        </w:tabs>
        <w:spacing w:line="260" w:lineRule="exact"/>
        <w:rPr>
          <w:sz w:val="22"/>
          <w:szCs w:val="22"/>
          <w:lang w:val="el-GR"/>
        </w:rPr>
      </w:pPr>
    </w:p>
    <w:p w:rsidR="00380EEB" w:rsidRPr="00A66AB5" w:rsidRDefault="005E2F1D" w:rsidP="00791987">
      <w:pPr>
        <w:numPr>
          <w:ilvl w:val="0"/>
          <w:numId w:val="26"/>
        </w:numPr>
        <w:tabs>
          <w:tab w:val="left" w:pos="0"/>
        </w:tabs>
        <w:spacing w:line="260" w:lineRule="exact"/>
        <w:ind w:left="426" w:hanging="426"/>
        <w:rPr>
          <w:sz w:val="22"/>
          <w:szCs w:val="22"/>
          <w:lang w:val="el-GR"/>
        </w:rPr>
      </w:pPr>
      <w:r>
        <w:rPr>
          <w:sz w:val="22"/>
          <w:szCs w:val="22"/>
          <w:lang w:val="el-GR"/>
        </w:rPr>
        <w:t>π</w:t>
      </w:r>
      <w:r w:rsidR="00F837E5" w:rsidRPr="00A66AB5">
        <w:rPr>
          <w:sz w:val="22"/>
          <w:szCs w:val="22"/>
          <w:lang w:val="el-GR"/>
        </w:rPr>
        <w:t>ρόσθετη θ</w:t>
      </w:r>
      <w:r w:rsidR="00380EEB" w:rsidRPr="00A66AB5">
        <w:rPr>
          <w:sz w:val="22"/>
          <w:szCs w:val="22"/>
          <w:lang w:val="el-GR"/>
        </w:rPr>
        <w:t xml:space="preserve">εραπεία των </w:t>
      </w:r>
      <w:proofErr w:type="spellStart"/>
      <w:r w:rsidR="00380EEB" w:rsidRPr="00A66AB5">
        <w:rPr>
          <w:sz w:val="22"/>
          <w:szCs w:val="22"/>
          <w:lang w:val="el-GR"/>
        </w:rPr>
        <w:t>μείζονων</w:t>
      </w:r>
      <w:proofErr w:type="spellEnd"/>
      <w:r w:rsidR="00380EEB" w:rsidRPr="00A66AB5">
        <w:rPr>
          <w:sz w:val="22"/>
          <w:szCs w:val="22"/>
          <w:lang w:val="el-GR"/>
        </w:rPr>
        <w:t xml:space="preserve"> καταθλιπτικών επεισοδίων σε ασθενείς με μείζονα καταθλιπτική διαταραχή (ΜΚΔ) οι οποίοι παρουσίασαν </w:t>
      </w:r>
      <w:r w:rsidR="00D670D2" w:rsidRPr="00A66AB5">
        <w:rPr>
          <w:sz w:val="22"/>
          <w:szCs w:val="22"/>
          <w:lang w:val="el-GR"/>
        </w:rPr>
        <w:t>μη ικανοποιητική</w:t>
      </w:r>
      <w:r w:rsidR="00380EEB" w:rsidRPr="00A66AB5">
        <w:rPr>
          <w:sz w:val="22"/>
          <w:szCs w:val="22"/>
          <w:lang w:val="el-GR"/>
        </w:rPr>
        <w:t xml:space="preserve"> ανταπόκριση σε </w:t>
      </w:r>
      <w:proofErr w:type="spellStart"/>
      <w:r w:rsidR="00380EEB" w:rsidRPr="00A66AB5">
        <w:rPr>
          <w:sz w:val="22"/>
          <w:szCs w:val="22"/>
          <w:lang w:val="el-GR"/>
        </w:rPr>
        <w:t>μονοθεραπεία</w:t>
      </w:r>
      <w:proofErr w:type="spellEnd"/>
      <w:r w:rsidR="00380EEB" w:rsidRPr="00A66AB5">
        <w:rPr>
          <w:sz w:val="22"/>
          <w:szCs w:val="22"/>
          <w:lang w:val="el-GR"/>
        </w:rPr>
        <w:t xml:space="preserve"> </w:t>
      </w:r>
      <w:r w:rsidR="00D670D2" w:rsidRPr="00A66AB5">
        <w:rPr>
          <w:sz w:val="22"/>
          <w:szCs w:val="22"/>
          <w:lang w:val="el-GR"/>
        </w:rPr>
        <w:t xml:space="preserve">με αντικαταθλιπτικό </w:t>
      </w:r>
      <w:r w:rsidR="00380EEB" w:rsidRPr="00A66AB5">
        <w:rPr>
          <w:sz w:val="22"/>
          <w:szCs w:val="22"/>
          <w:lang w:val="el-GR"/>
        </w:rPr>
        <w:t xml:space="preserve">(βλ. παράγραφο 5.1). Πριν από την έναρξη θεραπείας, οι </w:t>
      </w:r>
      <w:r w:rsidR="003706AA" w:rsidRPr="00A66AB5">
        <w:rPr>
          <w:sz w:val="22"/>
          <w:szCs w:val="22"/>
          <w:lang w:val="el-GR"/>
        </w:rPr>
        <w:t xml:space="preserve">θεράποντες ιατροί </w:t>
      </w:r>
      <w:r w:rsidR="00380EEB" w:rsidRPr="00A66AB5">
        <w:rPr>
          <w:sz w:val="22"/>
          <w:szCs w:val="22"/>
          <w:lang w:val="el-GR"/>
        </w:rPr>
        <w:t xml:space="preserve">θα πρέπει να λάβουν υπόψη το προφίλ ασφάλειας του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Pr="00791987">
        <w:rPr>
          <w:sz w:val="22"/>
          <w:szCs w:val="22"/>
          <w:lang w:val="el-GR"/>
        </w:rPr>
        <w:t xml:space="preserve">50 </w:t>
      </w:r>
      <w:r w:rsidRPr="005E2F1D">
        <w:rPr>
          <w:sz w:val="22"/>
          <w:szCs w:val="22"/>
        </w:rPr>
        <w:t>mg</w:t>
      </w:r>
      <w:r w:rsidRPr="00791987">
        <w:rPr>
          <w:sz w:val="22"/>
          <w:szCs w:val="22"/>
          <w:lang w:val="el-GR"/>
        </w:rPr>
        <w:t xml:space="preserve"> / 200 </w:t>
      </w:r>
      <w:r w:rsidRPr="005E2F1D">
        <w:rPr>
          <w:sz w:val="22"/>
          <w:szCs w:val="22"/>
        </w:rPr>
        <w:t>mg</w:t>
      </w:r>
      <w:r w:rsidRPr="00791987">
        <w:rPr>
          <w:sz w:val="22"/>
          <w:szCs w:val="22"/>
          <w:lang w:val="el-GR"/>
        </w:rPr>
        <w:t xml:space="preserve"> / 300 </w:t>
      </w:r>
      <w:r w:rsidRPr="005E2F1D">
        <w:rPr>
          <w:sz w:val="22"/>
          <w:szCs w:val="22"/>
        </w:rPr>
        <w:t>mg</w:t>
      </w:r>
      <w:r w:rsidRPr="00791987">
        <w:rPr>
          <w:sz w:val="22"/>
          <w:szCs w:val="22"/>
          <w:lang w:val="el-GR"/>
        </w:rPr>
        <w:t xml:space="preserve"> / 400 </w:t>
      </w:r>
      <w:r w:rsidRPr="005E2F1D">
        <w:rPr>
          <w:sz w:val="22"/>
          <w:szCs w:val="22"/>
        </w:rPr>
        <w:t>mg</w:t>
      </w:r>
      <w:r w:rsidRPr="00791987">
        <w:rPr>
          <w:sz w:val="22"/>
          <w:szCs w:val="22"/>
          <w:lang w:val="el-GR"/>
        </w:rPr>
        <w:t xml:space="preserve"> δισκίο παρατεταμένης αποδέσμευσης</w:t>
      </w:r>
      <w:r w:rsidR="00380EEB" w:rsidRPr="00A66AB5">
        <w:rPr>
          <w:sz w:val="22"/>
          <w:szCs w:val="22"/>
          <w:lang w:val="el-GR"/>
        </w:rPr>
        <w:t xml:space="preserve"> (βλ. παράγραφο 4.4).</w:t>
      </w:r>
    </w:p>
    <w:p w:rsidR="00380EEB" w:rsidRPr="00A66AB5" w:rsidRDefault="00380EEB">
      <w:pPr>
        <w:tabs>
          <w:tab w:val="left" w:pos="0"/>
          <w:tab w:val="left" w:pos="7140"/>
        </w:tabs>
        <w:spacing w:line="260" w:lineRule="exact"/>
        <w:rPr>
          <w:sz w:val="22"/>
          <w:szCs w:val="22"/>
          <w:lang w:val="el-GR"/>
        </w:rPr>
      </w:pPr>
    </w:p>
    <w:p w:rsidR="00380EEB" w:rsidRPr="00A66AB5" w:rsidRDefault="00380EEB">
      <w:pPr>
        <w:jc w:val="both"/>
        <w:rPr>
          <w:b/>
          <w:sz w:val="22"/>
          <w:szCs w:val="22"/>
          <w:lang w:val="el-GR"/>
        </w:rPr>
      </w:pPr>
      <w:r w:rsidRPr="00A66AB5">
        <w:rPr>
          <w:b/>
          <w:sz w:val="22"/>
          <w:szCs w:val="22"/>
          <w:lang w:val="el-GR"/>
        </w:rPr>
        <w:t>4.2</w:t>
      </w:r>
      <w:r w:rsidRPr="00A66AB5">
        <w:rPr>
          <w:b/>
          <w:sz w:val="22"/>
          <w:szCs w:val="22"/>
          <w:lang w:val="el-GR"/>
        </w:rPr>
        <w:tab/>
        <w:t>Δ</w:t>
      </w:r>
      <w:r w:rsidR="004E7035">
        <w:rPr>
          <w:b/>
          <w:sz w:val="22"/>
          <w:szCs w:val="22"/>
          <w:lang w:val="el-GR"/>
        </w:rPr>
        <w:t>οσολογία και τρόπος χορήγησης</w:t>
      </w:r>
    </w:p>
    <w:p w:rsidR="00380EEB" w:rsidRPr="00A66AB5" w:rsidRDefault="00380EEB">
      <w:pPr>
        <w:jc w:val="both"/>
        <w:rPr>
          <w:sz w:val="22"/>
          <w:szCs w:val="22"/>
          <w:lang w:val="el-GR"/>
        </w:rPr>
      </w:pPr>
    </w:p>
    <w:p w:rsidR="00380EEB" w:rsidRPr="00A66AB5" w:rsidRDefault="00380EEB">
      <w:pPr>
        <w:pStyle w:val="A-NormalIndent"/>
        <w:spacing w:after="0" w:line="240" w:lineRule="auto"/>
        <w:ind w:left="0"/>
        <w:jc w:val="both"/>
        <w:rPr>
          <w:sz w:val="22"/>
          <w:szCs w:val="22"/>
          <w:lang w:val="el-GR"/>
        </w:rPr>
      </w:pPr>
      <w:r w:rsidRPr="00A66AB5">
        <w:rPr>
          <w:sz w:val="22"/>
          <w:szCs w:val="22"/>
          <w:lang w:val="el-GR"/>
        </w:rPr>
        <w:t xml:space="preserve">Υπάρχουν διαφορετικά χρονοδιαγράμματα χορήγησης δόσης για κάθε ένδειξη: Πρέπει επομένως να διασφαλιστεί ότι οι ασθενείς θα λάβουν σαφείς πληροφορίες για την κατάλληλη δοσολογία για την κατάστασή </w:t>
      </w:r>
      <w:r w:rsidR="004E7035">
        <w:rPr>
          <w:sz w:val="22"/>
          <w:szCs w:val="22"/>
          <w:lang w:val="el-GR"/>
        </w:rPr>
        <w:t>τους.</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Το </w:t>
      </w:r>
      <w:r w:rsidR="002F279F">
        <w:rPr>
          <w:noProof/>
          <w:sz w:val="22"/>
          <w:szCs w:val="22"/>
        </w:rPr>
        <w:t>Secuelia</w:t>
      </w:r>
      <w:r w:rsidR="002F279F" w:rsidRPr="002F279F">
        <w:rPr>
          <w:noProof/>
          <w:sz w:val="22"/>
          <w:szCs w:val="22"/>
          <w:lang w:val="el-GR"/>
        </w:rPr>
        <w:t xml:space="preserve"> </w:t>
      </w:r>
      <w:r w:rsidR="002F279F">
        <w:rPr>
          <w:noProof/>
          <w:sz w:val="22"/>
          <w:szCs w:val="22"/>
        </w:rPr>
        <w:t>XR</w:t>
      </w:r>
      <w:r w:rsidR="002F279F" w:rsidRPr="002F279F">
        <w:rPr>
          <w:noProof/>
          <w:sz w:val="22"/>
          <w:szCs w:val="22"/>
          <w:lang w:val="el-GR"/>
        </w:rPr>
        <w:t xml:space="preserve"> </w:t>
      </w:r>
      <w:r w:rsidR="004E7035" w:rsidRPr="00791987">
        <w:rPr>
          <w:noProof/>
          <w:sz w:val="22"/>
          <w:szCs w:val="22"/>
          <w:lang w:val="el-GR"/>
        </w:rPr>
        <w:t xml:space="preserve">50 </w:t>
      </w:r>
      <w:r w:rsidR="004E7035" w:rsidRPr="004E7035">
        <w:rPr>
          <w:noProof/>
          <w:sz w:val="22"/>
          <w:szCs w:val="22"/>
        </w:rPr>
        <w:t>mg</w:t>
      </w:r>
      <w:r w:rsidR="004E7035" w:rsidRPr="00791987">
        <w:rPr>
          <w:noProof/>
          <w:sz w:val="22"/>
          <w:szCs w:val="22"/>
          <w:lang w:val="el-GR"/>
        </w:rPr>
        <w:t xml:space="preserve"> / 200 </w:t>
      </w:r>
      <w:r w:rsidR="004E7035" w:rsidRPr="004E7035">
        <w:rPr>
          <w:noProof/>
          <w:sz w:val="22"/>
          <w:szCs w:val="22"/>
        </w:rPr>
        <w:t>mg</w:t>
      </w:r>
      <w:r w:rsidR="004E7035" w:rsidRPr="00791987">
        <w:rPr>
          <w:noProof/>
          <w:sz w:val="22"/>
          <w:szCs w:val="22"/>
          <w:lang w:val="el-GR"/>
        </w:rPr>
        <w:t xml:space="preserve"> / 300 </w:t>
      </w:r>
      <w:r w:rsidR="004E7035" w:rsidRPr="004E7035">
        <w:rPr>
          <w:noProof/>
          <w:sz w:val="22"/>
          <w:szCs w:val="22"/>
        </w:rPr>
        <w:t>mg</w:t>
      </w:r>
      <w:r w:rsidR="004E7035" w:rsidRPr="00791987">
        <w:rPr>
          <w:noProof/>
          <w:sz w:val="22"/>
          <w:szCs w:val="22"/>
          <w:lang w:val="el-GR"/>
        </w:rPr>
        <w:t xml:space="preserve"> / 400 </w:t>
      </w:r>
      <w:r w:rsidR="004E7035" w:rsidRPr="004E7035">
        <w:rPr>
          <w:noProof/>
          <w:sz w:val="22"/>
          <w:szCs w:val="22"/>
        </w:rPr>
        <w:t>mg</w:t>
      </w:r>
      <w:r w:rsidR="004E7035" w:rsidRPr="00791987">
        <w:rPr>
          <w:noProof/>
          <w:sz w:val="22"/>
          <w:szCs w:val="22"/>
          <w:lang w:val="el-GR"/>
        </w:rPr>
        <w:t xml:space="preserve"> δισκίο παρατεταμένης αποδέσμευσης</w:t>
      </w:r>
      <w:r w:rsidR="00D75BCF" w:rsidRPr="00A66AB5">
        <w:rPr>
          <w:sz w:val="22"/>
          <w:szCs w:val="22"/>
          <w:lang w:val="el-GR"/>
        </w:rPr>
        <w:t xml:space="preserve"> </w:t>
      </w:r>
      <w:r w:rsidRPr="00A66AB5">
        <w:rPr>
          <w:sz w:val="22"/>
          <w:szCs w:val="22"/>
          <w:lang w:val="el-GR"/>
        </w:rPr>
        <w:t xml:space="preserve">θα πρέπει να χορηγείται μία φορά την ημέρα, χωρίς τροφή. Τα δισκία θα πρέπει να καταπίνονται ολόκληρα και να μην κόβονται, να μην </w:t>
      </w:r>
      <w:proofErr w:type="spellStart"/>
      <w:r w:rsidRPr="00A66AB5">
        <w:rPr>
          <w:sz w:val="22"/>
          <w:szCs w:val="22"/>
          <w:lang w:val="el-GR"/>
        </w:rPr>
        <w:t>μασώνται</w:t>
      </w:r>
      <w:proofErr w:type="spellEnd"/>
      <w:r w:rsidRPr="00A66AB5">
        <w:rPr>
          <w:sz w:val="22"/>
          <w:szCs w:val="22"/>
          <w:lang w:val="el-GR"/>
        </w:rPr>
        <w:t xml:space="preserve"> και να μην συνθλίβονται.</w:t>
      </w:r>
    </w:p>
    <w:p w:rsidR="00380EEB" w:rsidRPr="00A66AB5" w:rsidRDefault="00380EEB">
      <w:pPr>
        <w:pStyle w:val="a3"/>
        <w:tabs>
          <w:tab w:val="clear" w:pos="4320"/>
          <w:tab w:val="clear" w:pos="8640"/>
        </w:tabs>
        <w:rPr>
          <w:sz w:val="22"/>
          <w:szCs w:val="22"/>
          <w:lang w:val="el-GR"/>
        </w:rPr>
      </w:pPr>
    </w:p>
    <w:p w:rsidR="00380EEB" w:rsidRPr="00A66AB5" w:rsidRDefault="00380EEB">
      <w:pPr>
        <w:rPr>
          <w:sz w:val="22"/>
          <w:szCs w:val="22"/>
          <w:lang w:val="el-GR"/>
        </w:rPr>
      </w:pPr>
      <w:r w:rsidRPr="00A66AB5">
        <w:rPr>
          <w:b/>
          <w:sz w:val="22"/>
          <w:szCs w:val="22"/>
          <w:lang w:val="el-GR"/>
        </w:rPr>
        <w:t xml:space="preserve">Ενήλικες: </w:t>
      </w:r>
    </w:p>
    <w:p w:rsidR="00380EEB" w:rsidRPr="00A66AB5" w:rsidRDefault="00380EEB">
      <w:pPr>
        <w:pStyle w:val="a5"/>
        <w:rPr>
          <w:sz w:val="22"/>
          <w:szCs w:val="22"/>
          <w:lang w:val="el-GR"/>
        </w:rPr>
      </w:pPr>
    </w:p>
    <w:p w:rsidR="00380EEB" w:rsidRPr="00A66AB5" w:rsidRDefault="00380EEB">
      <w:pPr>
        <w:jc w:val="both"/>
        <w:rPr>
          <w:b/>
          <w:sz w:val="22"/>
          <w:szCs w:val="22"/>
          <w:lang w:val="el-GR"/>
        </w:rPr>
      </w:pPr>
      <w:r w:rsidRPr="00A66AB5">
        <w:rPr>
          <w:b/>
          <w:sz w:val="22"/>
          <w:szCs w:val="22"/>
          <w:lang w:val="el-GR"/>
        </w:rPr>
        <w:t>Για τη θεραπεία της σχιζοφρένειας και των μανιακών επεισοδίων μέτριας έως βαριάς μορφής σε διπολική διαταραχή</w:t>
      </w:r>
    </w:p>
    <w:p w:rsidR="00380EEB" w:rsidRPr="00A66AB5" w:rsidRDefault="00380EEB">
      <w:pPr>
        <w:jc w:val="both"/>
        <w:rPr>
          <w:sz w:val="22"/>
          <w:szCs w:val="22"/>
          <w:lang w:val="el-GR"/>
        </w:rPr>
      </w:pPr>
      <w:r w:rsidRPr="00A66AB5">
        <w:rPr>
          <w:sz w:val="22"/>
          <w:szCs w:val="22"/>
          <w:lang w:val="el-GR"/>
        </w:rPr>
        <w:t xml:space="preserve">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4E7035" w:rsidRPr="00791987">
        <w:rPr>
          <w:sz w:val="22"/>
          <w:szCs w:val="22"/>
          <w:lang w:val="el-GR"/>
        </w:rPr>
        <w:t xml:space="preserve">50 </w:t>
      </w:r>
      <w:r w:rsidR="004E7035" w:rsidRPr="004E7035">
        <w:rPr>
          <w:sz w:val="22"/>
          <w:szCs w:val="22"/>
        </w:rPr>
        <w:t>mg</w:t>
      </w:r>
      <w:r w:rsidR="004E7035" w:rsidRPr="00791987">
        <w:rPr>
          <w:sz w:val="22"/>
          <w:szCs w:val="22"/>
          <w:lang w:val="el-GR"/>
        </w:rPr>
        <w:t xml:space="preserve"> / 200 </w:t>
      </w:r>
      <w:r w:rsidR="004E7035" w:rsidRPr="004E7035">
        <w:rPr>
          <w:sz w:val="22"/>
          <w:szCs w:val="22"/>
        </w:rPr>
        <w:t>mg</w:t>
      </w:r>
      <w:r w:rsidR="004E7035" w:rsidRPr="00791987">
        <w:rPr>
          <w:sz w:val="22"/>
          <w:szCs w:val="22"/>
          <w:lang w:val="el-GR"/>
        </w:rPr>
        <w:t xml:space="preserve"> / 300 </w:t>
      </w:r>
      <w:r w:rsidR="004E7035" w:rsidRPr="004E7035">
        <w:rPr>
          <w:sz w:val="22"/>
          <w:szCs w:val="22"/>
        </w:rPr>
        <w:t>mg</w:t>
      </w:r>
      <w:r w:rsidR="004E7035" w:rsidRPr="00791987">
        <w:rPr>
          <w:sz w:val="22"/>
          <w:szCs w:val="22"/>
          <w:lang w:val="el-GR"/>
        </w:rPr>
        <w:t xml:space="preserve"> / 400 </w:t>
      </w:r>
      <w:r w:rsidR="004E7035" w:rsidRPr="004E7035">
        <w:rPr>
          <w:sz w:val="22"/>
          <w:szCs w:val="22"/>
        </w:rPr>
        <w:t>mg</w:t>
      </w:r>
      <w:r w:rsidR="004E7035" w:rsidRPr="00791987">
        <w:rPr>
          <w:sz w:val="22"/>
          <w:szCs w:val="22"/>
          <w:lang w:val="el-GR"/>
        </w:rPr>
        <w:t xml:space="preserve"> δισκίο παρατεταμένης αποδέσμευσης</w:t>
      </w:r>
      <w:r w:rsidRPr="00A66AB5">
        <w:rPr>
          <w:sz w:val="22"/>
          <w:szCs w:val="22"/>
          <w:lang w:val="el-GR"/>
        </w:rPr>
        <w:t xml:space="preserve"> θα πρέπει να χορηγείται τουλάχιστον μία ώρα πριν από το γεύμα. Η ημερήσια δόση κατά την έναρξη της θεραπείας είναι 300</w:t>
      </w:r>
      <w:r w:rsidRPr="00A66AB5">
        <w:rPr>
          <w:sz w:val="22"/>
          <w:szCs w:val="22"/>
        </w:rPr>
        <w:t> mg</w:t>
      </w:r>
      <w:r w:rsidRPr="00A66AB5">
        <w:rPr>
          <w:sz w:val="22"/>
          <w:szCs w:val="22"/>
          <w:lang w:val="el-GR"/>
        </w:rPr>
        <w:t xml:space="preserve"> την ημέρα</w:t>
      </w:r>
      <w:r w:rsidRPr="00A66AB5">
        <w:rPr>
          <w:sz w:val="22"/>
          <w:szCs w:val="22"/>
        </w:rPr>
        <w:t> </w:t>
      </w:r>
      <w:r w:rsidRPr="00A66AB5">
        <w:rPr>
          <w:sz w:val="22"/>
          <w:szCs w:val="22"/>
          <w:lang w:val="el-GR"/>
        </w:rPr>
        <w:t>1 και 600</w:t>
      </w:r>
      <w:r w:rsidRPr="00A66AB5">
        <w:rPr>
          <w:sz w:val="22"/>
          <w:szCs w:val="22"/>
        </w:rPr>
        <w:t> mg</w:t>
      </w:r>
      <w:r w:rsidRPr="00A66AB5">
        <w:rPr>
          <w:sz w:val="22"/>
          <w:szCs w:val="22"/>
          <w:lang w:val="el-GR"/>
        </w:rPr>
        <w:t xml:space="preserve"> την ημέρα</w:t>
      </w:r>
      <w:r w:rsidRPr="00A66AB5">
        <w:rPr>
          <w:sz w:val="22"/>
          <w:szCs w:val="22"/>
        </w:rPr>
        <w:t> </w:t>
      </w:r>
      <w:r w:rsidRPr="00A66AB5">
        <w:rPr>
          <w:sz w:val="22"/>
          <w:szCs w:val="22"/>
          <w:lang w:val="el-GR"/>
        </w:rPr>
        <w:t>2. Η συνιστώμενη ημερήσια δόση είναι 600</w:t>
      </w:r>
      <w:r w:rsidRPr="00A66AB5">
        <w:rPr>
          <w:sz w:val="22"/>
          <w:szCs w:val="22"/>
        </w:rPr>
        <w:t> mg</w:t>
      </w:r>
      <w:r w:rsidRPr="00A66AB5">
        <w:rPr>
          <w:sz w:val="22"/>
          <w:szCs w:val="22"/>
          <w:lang w:val="el-GR"/>
        </w:rPr>
        <w:t>, ωστόσο, εάν δικαιολογείται κλινικά η δόση ενδέχεται να αυξηθεί στα 800</w:t>
      </w:r>
      <w:r w:rsidRPr="00A66AB5">
        <w:rPr>
          <w:sz w:val="22"/>
          <w:szCs w:val="22"/>
        </w:rPr>
        <w:t> mg</w:t>
      </w:r>
      <w:r w:rsidRPr="00A66AB5">
        <w:rPr>
          <w:sz w:val="22"/>
          <w:szCs w:val="22"/>
          <w:lang w:val="el-GR"/>
        </w:rPr>
        <w:t xml:space="preserve"> καθημερινά. Η δόση θα πρέπει να προσαρμόζεται εντός του αποτελεσματικού </w:t>
      </w:r>
      <w:proofErr w:type="spellStart"/>
      <w:r w:rsidRPr="00A66AB5">
        <w:rPr>
          <w:sz w:val="22"/>
          <w:szCs w:val="22"/>
          <w:lang w:val="el-GR"/>
        </w:rPr>
        <w:t>δοσολογικού</w:t>
      </w:r>
      <w:proofErr w:type="spellEnd"/>
      <w:r w:rsidRPr="00A66AB5">
        <w:rPr>
          <w:sz w:val="22"/>
          <w:szCs w:val="22"/>
          <w:lang w:val="el-GR"/>
        </w:rPr>
        <w:t xml:space="preserve"> εύρους των 400</w:t>
      </w:r>
      <w:r w:rsidRPr="00A66AB5">
        <w:rPr>
          <w:sz w:val="22"/>
          <w:szCs w:val="22"/>
        </w:rPr>
        <w:t> mg</w:t>
      </w:r>
      <w:r w:rsidRPr="00A66AB5">
        <w:rPr>
          <w:sz w:val="22"/>
          <w:szCs w:val="22"/>
          <w:lang w:val="el-GR"/>
        </w:rPr>
        <w:t xml:space="preserve"> έως 800</w:t>
      </w:r>
      <w:r w:rsidRPr="00A66AB5">
        <w:rPr>
          <w:sz w:val="22"/>
          <w:szCs w:val="22"/>
        </w:rPr>
        <w:t> mg</w:t>
      </w:r>
      <w:r w:rsidRPr="00A66AB5">
        <w:rPr>
          <w:sz w:val="22"/>
          <w:szCs w:val="22"/>
          <w:lang w:val="el-GR"/>
        </w:rPr>
        <w:t xml:space="preserve"> την ημέρα, ανάλογα με την κλινική ανταπόκριση και ανεκτικότητα του ασθενούς. Για τη θεραπεία συντήρησης στη σχιζοφρένεια, δεν απαιτείται καμία προσαρμογή δοσολογίας.</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color w:val="auto"/>
          <w:sz w:val="22"/>
          <w:szCs w:val="22"/>
          <w:lang w:val="el-GR"/>
        </w:rPr>
        <w:t>Για τη θεραπεία των καταθλιπτικών επεισοδίων σε διπολική διαταραχή</w:t>
      </w:r>
    </w:p>
    <w:p w:rsidR="00380EEB" w:rsidRPr="00A66AB5" w:rsidRDefault="00380EEB">
      <w:pPr>
        <w:pStyle w:val="Web"/>
        <w:spacing w:before="0" w:beforeAutospacing="0" w:after="0"/>
        <w:jc w:val="both"/>
        <w:rPr>
          <w:sz w:val="22"/>
          <w:szCs w:val="22"/>
          <w:lang w:val="el-GR"/>
        </w:rPr>
      </w:pPr>
      <w:r w:rsidRPr="00A66AB5">
        <w:rPr>
          <w:sz w:val="22"/>
          <w:szCs w:val="22"/>
          <w:lang w:val="el-GR"/>
        </w:rPr>
        <w:lastRenderedPageBreak/>
        <w:t xml:space="preserve">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4E7035" w:rsidRPr="00791987">
        <w:rPr>
          <w:sz w:val="22"/>
          <w:szCs w:val="22"/>
          <w:lang w:val="el-GR"/>
        </w:rPr>
        <w:t xml:space="preserve">50 </w:t>
      </w:r>
      <w:r w:rsidR="004E7035" w:rsidRPr="004E7035">
        <w:rPr>
          <w:sz w:val="22"/>
          <w:szCs w:val="22"/>
        </w:rPr>
        <w:t>mg</w:t>
      </w:r>
      <w:r w:rsidR="004E7035" w:rsidRPr="00791987">
        <w:rPr>
          <w:sz w:val="22"/>
          <w:szCs w:val="22"/>
          <w:lang w:val="el-GR"/>
        </w:rPr>
        <w:t xml:space="preserve"> / 200 </w:t>
      </w:r>
      <w:r w:rsidR="004E7035" w:rsidRPr="004E7035">
        <w:rPr>
          <w:sz w:val="22"/>
          <w:szCs w:val="22"/>
        </w:rPr>
        <w:t>mg</w:t>
      </w:r>
      <w:r w:rsidR="004E7035" w:rsidRPr="00791987">
        <w:rPr>
          <w:sz w:val="22"/>
          <w:szCs w:val="22"/>
          <w:lang w:val="el-GR"/>
        </w:rPr>
        <w:t xml:space="preserve"> / 300 </w:t>
      </w:r>
      <w:r w:rsidR="004E7035" w:rsidRPr="004E7035">
        <w:rPr>
          <w:sz w:val="22"/>
          <w:szCs w:val="22"/>
        </w:rPr>
        <w:t>mg</w:t>
      </w:r>
      <w:r w:rsidR="004E7035" w:rsidRPr="00791987">
        <w:rPr>
          <w:sz w:val="22"/>
          <w:szCs w:val="22"/>
          <w:lang w:val="el-GR"/>
        </w:rPr>
        <w:t xml:space="preserve"> / 400 </w:t>
      </w:r>
      <w:r w:rsidR="004E7035" w:rsidRPr="004E7035">
        <w:rPr>
          <w:sz w:val="22"/>
          <w:szCs w:val="22"/>
        </w:rPr>
        <w:t>mg</w:t>
      </w:r>
      <w:r w:rsidR="004E7035" w:rsidRPr="00791987">
        <w:rPr>
          <w:sz w:val="22"/>
          <w:szCs w:val="22"/>
          <w:lang w:val="el-GR"/>
        </w:rPr>
        <w:t xml:space="preserve"> δισκίο παρατεταμένης αποδέσμευσης</w:t>
      </w:r>
      <w:r w:rsidRPr="00A66AB5">
        <w:rPr>
          <w:sz w:val="22"/>
          <w:szCs w:val="22"/>
          <w:lang w:val="el-GR"/>
        </w:rPr>
        <w:t xml:space="preserve"> θα πρέπει να χορηγείται κατά την κατάκλιση. Η συνολική ημερήσια δόση για τις πρώτες τέσσερις ημέρες θεραπείας είναι 50</w:t>
      </w:r>
      <w:r w:rsidRPr="00A66AB5">
        <w:rPr>
          <w:sz w:val="22"/>
          <w:szCs w:val="22"/>
        </w:rPr>
        <w:t> mg</w:t>
      </w:r>
      <w:r w:rsidRPr="00A66AB5">
        <w:rPr>
          <w:sz w:val="22"/>
          <w:szCs w:val="22"/>
          <w:lang w:val="el-GR"/>
        </w:rPr>
        <w:t xml:space="preserve"> (ημέρα</w:t>
      </w:r>
      <w:r w:rsidRPr="00A66AB5">
        <w:rPr>
          <w:sz w:val="22"/>
          <w:szCs w:val="22"/>
        </w:rPr>
        <w:t> </w:t>
      </w:r>
      <w:r w:rsidRPr="00A66AB5">
        <w:rPr>
          <w:sz w:val="22"/>
          <w:szCs w:val="22"/>
          <w:lang w:val="el-GR"/>
        </w:rPr>
        <w:t>1), 100</w:t>
      </w:r>
      <w:r w:rsidRPr="00A66AB5">
        <w:rPr>
          <w:sz w:val="22"/>
          <w:szCs w:val="22"/>
        </w:rPr>
        <w:t> mg</w:t>
      </w:r>
      <w:r w:rsidRPr="00A66AB5">
        <w:rPr>
          <w:sz w:val="22"/>
          <w:szCs w:val="22"/>
          <w:lang w:val="el-GR"/>
        </w:rPr>
        <w:t xml:space="preserve"> (ημέρα</w:t>
      </w:r>
      <w:r w:rsidRPr="00A66AB5">
        <w:rPr>
          <w:sz w:val="22"/>
          <w:szCs w:val="22"/>
        </w:rPr>
        <w:t> </w:t>
      </w:r>
      <w:r w:rsidRPr="00A66AB5">
        <w:rPr>
          <w:sz w:val="22"/>
          <w:szCs w:val="22"/>
          <w:lang w:val="el-GR"/>
        </w:rPr>
        <w:t>2), 200</w:t>
      </w:r>
      <w:r w:rsidRPr="00A66AB5">
        <w:rPr>
          <w:sz w:val="22"/>
          <w:szCs w:val="22"/>
        </w:rPr>
        <w:t> mg</w:t>
      </w:r>
      <w:r w:rsidRPr="00A66AB5">
        <w:rPr>
          <w:sz w:val="22"/>
          <w:szCs w:val="22"/>
          <w:lang w:val="el-GR"/>
        </w:rPr>
        <w:t xml:space="preserve"> (ημέρα</w:t>
      </w:r>
      <w:r w:rsidRPr="00A66AB5">
        <w:rPr>
          <w:sz w:val="22"/>
          <w:szCs w:val="22"/>
        </w:rPr>
        <w:t> </w:t>
      </w:r>
      <w:r w:rsidRPr="00A66AB5">
        <w:rPr>
          <w:sz w:val="22"/>
          <w:szCs w:val="22"/>
          <w:lang w:val="el-GR"/>
        </w:rPr>
        <w:t>3) και 300</w:t>
      </w:r>
      <w:r w:rsidRPr="00A66AB5">
        <w:rPr>
          <w:sz w:val="22"/>
          <w:szCs w:val="22"/>
        </w:rPr>
        <w:t> mg</w:t>
      </w:r>
      <w:r w:rsidRPr="00A66AB5">
        <w:rPr>
          <w:sz w:val="22"/>
          <w:szCs w:val="22"/>
          <w:lang w:val="el-GR"/>
        </w:rPr>
        <w:t xml:space="preserve"> (ημέρα</w:t>
      </w:r>
      <w:r w:rsidRPr="00A66AB5">
        <w:rPr>
          <w:sz w:val="22"/>
          <w:szCs w:val="22"/>
        </w:rPr>
        <w:t> </w:t>
      </w:r>
      <w:r w:rsidRPr="00A66AB5">
        <w:rPr>
          <w:sz w:val="22"/>
          <w:szCs w:val="22"/>
          <w:lang w:val="el-GR"/>
        </w:rPr>
        <w:t>4). Η συνιστώμενη ημερήσια δόση είναι 300</w:t>
      </w:r>
      <w:r w:rsidRPr="00A66AB5">
        <w:rPr>
          <w:sz w:val="22"/>
          <w:szCs w:val="22"/>
        </w:rPr>
        <w:t> mg</w:t>
      </w:r>
      <w:r w:rsidRPr="00A66AB5">
        <w:rPr>
          <w:sz w:val="22"/>
          <w:szCs w:val="22"/>
          <w:lang w:val="el-GR"/>
        </w:rPr>
        <w:t>. Στις κλινικές δοκιμές, δεν παρατηρήθηκε πρόσθετο όφελος στην ομάδα δόσης 600</w:t>
      </w:r>
      <w:r w:rsidRPr="00A66AB5">
        <w:rPr>
          <w:sz w:val="22"/>
          <w:szCs w:val="22"/>
        </w:rPr>
        <w:t> mg</w:t>
      </w:r>
      <w:r w:rsidRPr="00A66AB5">
        <w:rPr>
          <w:sz w:val="22"/>
          <w:szCs w:val="22"/>
          <w:lang w:val="el-GR"/>
        </w:rPr>
        <w:t xml:space="preserve"> σε σύγκριση με την ομάδα δόσης 300</w:t>
      </w:r>
      <w:r w:rsidRPr="00A66AB5">
        <w:rPr>
          <w:sz w:val="22"/>
          <w:szCs w:val="22"/>
        </w:rPr>
        <w:t> mg</w:t>
      </w:r>
      <w:r w:rsidRPr="00A66AB5">
        <w:rPr>
          <w:sz w:val="22"/>
          <w:szCs w:val="22"/>
          <w:lang w:val="el-GR"/>
        </w:rPr>
        <w:t xml:space="preserve"> (βλ. παράγραφο</w:t>
      </w:r>
      <w:r w:rsidRPr="00A66AB5">
        <w:rPr>
          <w:sz w:val="22"/>
          <w:szCs w:val="22"/>
        </w:rPr>
        <w:t> </w:t>
      </w:r>
      <w:r w:rsidRPr="00A66AB5">
        <w:rPr>
          <w:sz w:val="22"/>
          <w:szCs w:val="22"/>
          <w:lang w:val="el-GR"/>
        </w:rPr>
        <w:t xml:space="preserve">5.1). </w:t>
      </w:r>
      <w:r w:rsidR="00A135AB" w:rsidRPr="00A66AB5">
        <w:rPr>
          <w:sz w:val="22"/>
          <w:szCs w:val="22"/>
          <w:lang w:val="el-GR"/>
        </w:rPr>
        <w:t xml:space="preserve">Μεμονωμένοι </w:t>
      </w:r>
      <w:r w:rsidRPr="00A66AB5">
        <w:rPr>
          <w:sz w:val="22"/>
          <w:szCs w:val="22"/>
          <w:lang w:val="el-GR"/>
        </w:rPr>
        <w:t>ασθενείς ενδέχεται να ωφεληθούν από μια δόση 600</w:t>
      </w:r>
      <w:r w:rsidRPr="00A66AB5">
        <w:rPr>
          <w:sz w:val="22"/>
          <w:szCs w:val="22"/>
        </w:rPr>
        <w:t> mg</w:t>
      </w:r>
      <w:r w:rsidRPr="00A66AB5">
        <w:rPr>
          <w:sz w:val="22"/>
          <w:szCs w:val="22"/>
          <w:lang w:val="el-GR"/>
        </w:rPr>
        <w:t>. Δόσεις μεγαλύτερες των 300</w:t>
      </w:r>
      <w:r w:rsidRPr="00A66AB5">
        <w:rPr>
          <w:sz w:val="22"/>
          <w:szCs w:val="22"/>
        </w:rPr>
        <w:t> mg</w:t>
      </w:r>
      <w:r w:rsidRPr="00A66AB5">
        <w:rPr>
          <w:sz w:val="22"/>
          <w:szCs w:val="22"/>
          <w:lang w:val="el-GR"/>
        </w:rPr>
        <w:t xml:space="preserve"> θα πρέπει να </w:t>
      </w:r>
      <w:r w:rsidR="00A135AB" w:rsidRPr="00A66AB5">
        <w:rPr>
          <w:sz w:val="22"/>
          <w:szCs w:val="22"/>
          <w:lang w:val="el-GR"/>
        </w:rPr>
        <w:t xml:space="preserve">δίνονται </w:t>
      </w:r>
      <w:r w:rsidRPr="00A66AB5">
        <w:rPr>
          <w:sz w:val="22"/>
          <w:szCs w:val="22"/>
          <w:lang w:val="el-GR"/>
        </w:rPr>
        <w:t>από ιατρούς που διαθέτουν εμπειρία στη θεραπεία της διπολικής διαταραχής. Σε μεμονωμένους ασθενείς, στην περίπτωση προβλημάτων σχετικά με την ανεκτικότητα, κλινικές δοκιμές έχουν υποδείξει ότι θα μπορούσε να εξεταστεί το ενδεχόμενο μείωσης σε ελάχιστη δόση 200</w:t>
      </w:r>
      <w:r w:rsidRPr="00A66AB5">
        <w:rPr>
          <w:sz w:val="22"/>
          <w:szCs w:val="22"/>
        </w:rPr>
        <w:t> mg</w:t>
      </w:r>
      <w:r w:rsidRPr="00A66AB5">
        <w:rPr>
          <w:sz w:val="22"/>
          <w:szCs w:val="22"/>
          <w:lang w:val="el-GR"/>
        </w:rPr>
        <w:t>.</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color w:val="auto"/>
          <w:sz w:val="22"/>
          <w:szCs w:val="22"/>
          <w:lang w:val="el-GR"/>
        </w:rPr>
        <w:t>Για την πρόληψη της υποτροπής σε διπολική διαταραχή</w:t>
      </w: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Για την πρόληψη της υποτροπής μανιακών, </w:t>
      </w:r>
      <w:r w:rsidR="003E0682" w:rsidRPr="00A66AB5">
        <w:rPr>
          <w:color w:val="auto"/>
          <w:sz w:val="22"/>
          <w:szCs w:val="22"/>
          <w:lang w:val="el-GR"/>
        </w:rPr>
        <w:t xml:space="preserve">μεικτών </w:t>
      </w:r>
      <w:r w:rsidR="003E0682">
        <w:rPr>
          <w:color w:val="auto"/>
          <w:sz w:val="22"/>
          <w:szCs w:val="22"/>
          <w:lang w:val="el-GR"/>
        </w:rPr>
        <w:t xml:space="preserve">ή </w:t>
      </w:r>
      <w:r w:rsidRPr="00A66AB5">
        <w:rPr>
          <w:color w:val="auto"/>
          <w:sz w:val="22"/>
          <w:szCs w:val="22"/>
          <w:lang w:val="el-GR"/>
        </w:rPr>
        <w:t xml:space="preserve">καταθλιπτικών επεισοδίων σε διπολική διαταραχή, οι ασθενείς που ανταποκρίθηκαν </w:t>
      </w:r>
      <w:r w:rsidR="004E7035" w:rsidRPr="00A66AB5">
        <w:rPr>
          <w:color w:val="auto"/>
          <w:sz w:val="22"/>
          <w:szCs w:val="22"/>
          <w:lang w:val="el-GR"/>
        </w:rPr>
        <w:t>σ</w:t>
      </w:r>
      <w:r w:rsidR="004E7035">
        <w:rPr>
          <w:color w:val="auto"/>
          <w:sz w:val="22"/>
          <w:szCs w:val="22"/>
          <w:lang w:val="el-GR"/>
        </w:rPr>
        <w:t>το</w:t>
      </w:r>
      <w:r w:rsidR="004E7035" w:rsidRPr="00A66AB5">
        <w:rPr>
          <w:color w:val="auto"/>
          <w:sz w:val="22"/>
          <w:szCs w:val="22"/>
          <w:lang w:val="el-GR"/>
        </w:rPr>
        <w:t xml:space="preserve"> </w:t>
      </w:r>
      <w:proofErr w:type="spellStart"/>
      <w:r w:rsidR="002F279F">
        <w:rPr>
          <w:color w:val="auto"/>
          <w:sz w:val="22"/>
          <w:szCs w:val="22"/>
        </w:rPr>
        <w:t>Secuelia</w:t>
      </w:r>
      <w:proofErr w:type="spellEnd"/>
      <w:r w:rsidR="002F279F" w:rsidRPr="002F279F">
        <w:rPr>
          <w:color w:val="auto"/>
          <w:sz w:val="22"/>
          <w:szCs w:val="22"/>
          <w:lang w:val="el-GR"/>
        </w:rPr>
        <w:t xml:space="preserve"> </w:t>
      </w:r>
      <w:r w:rsidR="002F279F">
        <w:rPr>
          <w:color w:val="auto"/>
          <w:sz w:val="22"/>
          <w:szCs w:val="22"/>
        </w:rPr>
        <w:t>XR</w:t>
      </w:r>
      <w:r w:rsidR="00D65C75" w:rsidRPr="002471CA">
        <w:rPr>
          <w:color w:val="auto"/>
          <w:sz w:val="22"/>
          <w:szCs w:val="22"/>
          <w:lang w:val="el-GR"/>
        </w:rPr>
        <w:t xml:space="preserve"> </w:t>
      </w:r>
      <w:r w:rsidR="004E7035" w:rsidRPr="00791987">
        <w:rPr>
          <w:color w:val="auto"/>
          <w:sz w:val="22"/>
          <w:szCs w:val="22"/>
          <w:lang w:val="el-GR"/>
        </w:rPr>
        <w:t xml:space="preserve">50 </w:t>
      </w:r>
      <w:r w:rsidR="004E7035" w:rsidRPr="004E7035">
        <w:rPr>
          <w:color w:val="auto"/>
          <w:sz w:val="22"/>
          <w:szCs w:val="22"/>
        </w:rPr>
        <w:t>mg</w:t>
      </w:r>
      <w:r w:rsidR="004E7035" w:rsidRPr="00791987">
        <w:rPr>
          <w:color w:val="auto"/>
          <w:sz w:val="22"/>
          <w:szCs w:val="22"/>
          <w:lang w:val="el-GR"/>
        </w:rPr>
        <w:t xml:space="preserve"> / 200 </w:t>
      </w:r>
      <w:r w:rsidR="004E7035" w:rsidRPr="004E7035">
        <w:rPr>
          <w:color w:val="auto"/>
          <w:sz w:val="22"/>
          <w:szCs w:val="22"/>
        </w:rPr>
        <w:t>mg</w:t>
      </w:r>
      <w:r w:rsidR="004E7035" w:rsidRPr="00791987">
        <w:rPr>
          <w:color w:val="auto"/>
          <w:sz w:val="22"/>
          <w:szCs w:val="22"/>
          <w:lang w:val="el-GR"/>
        </w:rPr>
        <w:t xml:space="preserve"> / 300 </w:t>
      </w:r>
      <w:r w:rsidR="004E7035" w:rsidRPr="004E7035">
        <w:rPr>
          <w:color w:val="auto"/>
          <w:sz w:val="22"/>
          <w:szCs w:val="22"/>
        </w:rPr>
        <w:t>mg</w:t>
      </w:r>
      <w:r w:rsidR="004E7035" w:rsidRPr="00791987">
        <w:rPr>
          <w:color w:val="auto"/>
          <w:sz w:val="22"/>
          <w:szCs w:val="22"/>
          <w:lang w:val="el-GR"/>
        </w:rPr>
        <w:t xml:space="preserve"> / 400 </w:t>
      </w:r>
      <w:r w:rsidR="004E7035" w:rsidRPr="004E7035">
        <w:rPr>
          <w:color w:val="auto"/>
          <w:sz w:val="22"/>
          <w:szCs w:val="22"/>
        </w:rPr>
        <w:t>mg</w:t>
      </w:r>
      <w:r w:rsidR="004E7035" w:rsidRPr="00791987">
        <w:rPr>
          <w:color w:val="auto"/>
          <w:sz w:val="22"/>
          <w:szCs w:val="22"/>
          <w:lang w:val="el-GR"/>
        </w:rPr>
        <w:t xml:space="preserve"> δισκίο παρατεταμένης αποδέσμευσης</w:t>
      </w:r>
      <w:r w:rsidRPr="00A66AB5">
        <w:rPr>
          <w:color w:val="auto"/>
          <w:sz w:val="22"/>
          <w:szCs w:val="22"/>
          <w:lang w:val="el-GR"/>
        </w:rPr>
        <w:t xml:space="preserve"> για την οξεία θεραπεία της διπολικής διαταραχής θα πρέπει να συνεχίζουν να λαμβάνουν </w:t>
      </w:r>
      <w:r w:rsidR="004E7035">
        <w:rPr>
          <w:color w:val="auto"/>
          <w:sz w:val="22"/>
          <w:szCs w:val="22"/>
          <w:lang w:val="el-GR"/>
        </w:rPr>
        <w:t xml:space="preserve">το </w:t>
      </w:r>
      <w:proofErr w:type="spellStart"/>
      <w:r w:rsidR="002F279F">
        <w:rPr>
          <w:color w:val="auto"/>
          <w:sz w:val="22"/>
          <w:szCs w:val="22"/>
        </w:rPr>
        <w:t>Secuelia</w:t>
      </w:r>
      <w:proofErr w:type="spellEnd"/>
      <w:r w:rsidR="002F279F" w:rsidRPr="002F279F">
        <w:rPr>
          <w:color w:val="auto"/>
          <w:sz w:val="22"/>
          <w:szCs w:val="22"/>
          <w:lang w:val="el-GR"/>
        </w:rPr>
        <w:t xml:space="preserve"> </w:t>
      </w:r>
      <w:r w:rsidR="002F279F">
        <w:rPr>
          <w:color w:val="auto"/>
          <w:sz w:val="22"/>
          <w:szCs w:val="22"/>
        </w:rPr>
        <w:t>XR</w:t>
      </w:r>
      <w:r w:rsidR="00D65C75" w:rsidRPr="002471CA">
        <w:rPr>
          <w:color w:val="auto"/>
          <w:sz w:val="22"/>
          <w:szCs w:val="22"/>
          <w:lang w:val="el-GR"/>
        </w:rPr>
        <w:t xml:space="preserve"> </w:t>
      </w:r>
      <w:r w:rsidR="009F6A7B" w:rsidRPr="00791987">
        <w:rPr>
          <w:color w:val="auto"/>
          <w:sz w:val="22"/>
          <w:szCs w:val="22"/>
          <w:lang w:val="el-GR"/>
        </w:rPr>
        <w:t xml:space="preserve">50 </w:t>
      </w:r>
      <w:r w:rsidR="009F6A7B" w:rsidRPr="004E7035">
        <w:rPr>
          <w:color w:val="auto"/>
          <w:sz w:val="22"/>
          <w:szCs w:val="22"/>
        </w:rPr>
        <w:t>mg</w:t>
      </w:r>
      <w:r w:rsidR="009F6A7B" w:rsidRPr="00791987">
        <w:rPr>
          <w:color w:val="auto"/>
          <w:sz w:val="22"/>
          <w:szCs w:val="22"/>
          <w:lang w:val="el-GR"/>
        </w:rPr>
        <w:t xml:space="preserve"> / 200 </w:t>
      </w:r>
      <w:r w:rsidR="009F6A7B" w:rsidRPr="004E7035">
        <w:rPr>
          <w:color w:val="auto"/>
          <w:sz w:val="22"/>
          <w:szCs w:val="22"/>
        </w:rPr>
        <w:t>mg</w:t>
      </w:r>
      <w:r w:rsidR="009F6A7B" w:rsidRPr="00791987">
        <w:rPr>
          <w:color w:val="auto"/>
          <w:sz w:val="22"/>
          <w:szCs w:val="22"/>
          <w:lang w:val="el-GR"/>
        </w:rPr>
        <w:t xml:space="preserve"> / 300 </w:t>
      </w:r>
      <w:r w:rsidR="009F6A7B" w:rsidRPr="004E7035">
        <w:rPr>
          <w:color w:val="auto"/>
          <w:sz w:val="22"/>
          <w:szCs w:val="22"/>
        </w:rPr>
        <w:t>mg</w:t>
      </w:r>
      <w:r w:rsidR="009F6A7B" w:rsidRPr="00791987">
        <w:rPr>
          <w:color w:val="auto"/>
          <w:sz w:val="22"/>
          <w:szCs w:val="22"/>
          <w:lang w:val="el-GR"/>
        </w:rPr>
        <w:t xml:space="preserve"> / 400 </w:t>
      </w:r>
      <w:r w:rsidR="009F6A7B" w:rsidRPr="004E7035">
        <w:rPr>
          <w:color w:val="auto"/>
          <w:sz w:val="22"/>
          <w:szCs w:val="22"/>
        </w:rPr>
        <w:t>mg</w:t>
      </w:r>
      <w:r w:rsidR="009F6A7B" w:rsidRPr="00791987">
        <w:rPr>
          <w:color w:val="auto"/>
          <w:sz w:val="22"/>
          <w:szCs w:val="22"/>
          <w:lang w:val="el-GR"/>
        </w:rPr>
        <w:t xml:space="preserve"> δισκίο παρατεταμένης αποδέσμευσης</w:t>
      </w:r>
      <w:r w:rsidRPr="00A66AB5">
        <w:rPr>
          <w:color w:val="auto"/>
          <w:sz w:val="22"/>
          <w:szCs w:val="22"/>
          <w:lang w:val="el-GR"/>
        </w:rPr>
        <w:t xml:space="preserve"> στην ίδια δόση χορηγούμενη κατά την κατάκλιση. Η δόση </w:t>
      </w:r>
      <w:r w:rsidR="009F6A7B">
        <w:rPr>
          <w:color w:val="auto"/>
          <w:sz w:val="22"/>
          <w:szCs w:val="22"/>
          <w:lang w:val="el-GR"/>
        </w:rPr>
        <w:t xml:space="preserve">του </w:t>
      </w:r>
      <w:proofErr w:type="spellStart"/>
      <w:r w:rsidR="002F279F">
        <w:rPr>
          <w:color w:val="auto"/>
          <w:sz w:val="22"/>
          <w:szCs w:val="22"/>
        </w:rPr>
        <w:t>Secuelia</w:t>
      </w:r>
      <w:proofErr w:type="spellEnd"/>
      <w:r w:rsidR="002F279F" w:rsidRPr="002F279F">
        <w:rPr>
          <w:color w:val="auto"/>
          <w:sz w:val="22"/>
          <w:szCs w:val="22"/>
          <w:lang w:val="el-GR"/>
        </w:rPr>
        <w:t xml:space="preserve"> </w:t>
      </w:r>
      <w:r w:rsidR="002F279F">
        <w:rPr>
          <w:color w:val="auto"/>
          <w:sz w:val="22"/>
          <w:szCs w:val="22"/>
        </w:rPr>
        <w:t>XR</w:t>
      </w:r>
      <w:r w:rsidR="00D65C75" w:rsidRPr="002471CA">
        <w:rPr>
          <w:color w:val="auto"/>
          <w:sz w:val="22"/>
          <w:szCs w:val="22"/>
          <w:lang w:val="el-GR"/>
        </w:rPr>
        <w:t xml:space="preserve"> </w:t>
      </w:r>
      <w:r w:rsidR="009F6A7B" w:rsidRPr="00791987">
        <w:rPr>
          <w:color w:val="auto"/>
          <w:sz w:val="22"/>
          <w:szCs w:val="22"/>
          <w:lang w:val="el-GR"/>
        </w:rPr>
        <w:t xml:space="preserve">50 </w:t>
      </w:r>
      <w:r w:rsidR="009F6A7B" w:rsidRPr="004E7035">
        <w:rPr>
          <w:color w:val="auto"/>
          <w:sz w:val="22"/>
          <w:szCs w:val="22"/>
        </w:rPr>
        <w:t>mg</w:t>
      </w:r>
      <w:r w:rsidR="009F6A7B" w:rsidRPr="00791987">
        <w:rPr>
          <w:color w:val="auto"/>
          <w:sz w:val="22"/>
          <w:szCs w:val="22"/>
          <w:lang w:val="el-GR"/>
        </w:rPr>
        <w:t xml:space="preserve"> / 200 </w:t>
      </w:r>
      <w:r w:rsidR="009F6A7B" w:rsidRPr="004E7035">
        <w:rPr>
          <w:color w:val="auto"/>
          <w:sz w:val="22"/>
          <w:szCs w:val="22"/>
        </w:rPr>
        <w:t>mg</w:t>
      </w:r>
      <w:r w:rsidR="009F6A7B" w:rsidRPr="00791987">
        <w:rPr>
          <w:color w:val="auto"/>
          <w:sz w:val="22"/>
          <w:szCs w:val="22"/>
          <w:lang w:val="el-GR"/>
        </w:rPr>
        <w:t xml:space="preserve"> / 300 </w:t>
      </w:r>
      <w:r w:rsidR="009F6A7B" w:rsidRPr="004E7035">
        <w:rPr>
          <w:color w:val="auto"/>
          <w:sz w:val="22"/>
          <w:szCs w:val="22"/>
        </w:rPr>
        <w:t>mg</w:t>
      </w:r>
      <w:r w:rsidR="009F6A7B" w:rsidRPr="00791987">
        <w:rPr>
          <w:color w:val="auto"/>
          <w:sz w:val="22"/>
          <w:szCs w:val="22"/>
          <w:lang w:val="el-GR"/>
        </w:rPr>
        <w:t xml:space="preserve"> / 400 </w:t>
      </w:r>
      <w:r w:rsidR="009F6A7B" w:rsidRPr="004E7035">
        <w:rPr>
          <w:color w:val="auto"/>
          <w:sz w:val="22"/>
          <w:szCs w:val="22"/>
        </w:rPr>
        <w:t>mg</w:t>
      </w:r>
      <w:r w:rsidR="009F6A7B" w:rsidRPr="00791987">
        <w:rPr>
          <w:color w:val="auto"/>
          <w:sz w:val="22"/>
          <w:szCs w:val="22"/>
          <w:lang w:val="el-GR"/>
        </w:rPr>
        <w:t xml:space="preserve"> δισκίο παρατεταμένης αποδέσμευσης</w:t>
      </w:r>
      <w:r w:rsidR="009F6A7B">
        <w:rPr>
          <w:color w:val="auto"/>
          <w:sz w:val="22"/>
          <w:szCs w:val="22"/>
          <w:lang w:val="el-GR"/>
        </w:rPr>
        <w:t xml:space="preserve"> </w:t>
      </w:r>
      <w:r w:rsidR="003E0682">
        <w:rPr>
          <w:color w:val="auto"/>
          <w:sz w:val="22"/>
          <w:szCs w:val="22"/>
          <w:lang w:val="el-GR"/>
        </w:rPr>
        <w:t>μπορεί</w:t>
      </w:r>
      <w:r w:rsidR="003E0682" w:rsidRPr="00A66AB5">
        <w:rPr>
          <w:color w:val="auto"/>
          <w:sz w:val="22"/>
          <w:szCs w:val="22"/>
          <w:lang w:val="el-GR"/>
        </w:rPr>
        <w:t xml:space="preserve"> </w:t>
      </w:r>
      <w:r w:rsidRPr="00A66AB5">
        <w:rPr>
          <w:color w:val="auto"/>
          <w:sz w:val="22"/>
          <w:szCs w:val="22"/>
          <w:lang w:val="el-GR"/>
        </w:rPr>
        <w:t xml:space="preserve">να προσαρμοστεί ανάλογα με την κλινική ανταπόκριση και την ανεκτικότητα του εκάστοτε ασθενούς εντός του </w:t>
      </w:r>
      <w:proofErr w:type="spellStart"/>
      <w:r w:rsidRPr="00A66AB5">
        <w:rPr>
          <w:color w:val="auto"/>
          <w:sz w:val="22"/>
          <w:szCs w:val="22"/>
          <w:lang w:val="el-GR"/>
        </w:rPr>
        <w:t>δοσολογικού</w:t>
      </w:r>
      <w:proofErr w:type="spellEnd"/>
      <w:r w:rsidRPr="00A66AB5">
        <w:rPr>
          <w:color w:val="auto"/>
          <w:sz w:val="22"/>
          <w:szCs w:val="22"/>
          <w:lang w:val="el-GR"/>
        </w:rPr>
        <w:t xml:space="preserve"> εύρους των 300 </w:t>
      </w:r>
      <w:r w:rsidRPr="00A66AB5">
        <w:rPr>
          <w:color w:val="auto"/>
          <w:sz w:val="22"/>
          <w:szCs w:val="22"/>
        </w:rPr>
        <w:t>mg</w:t>
      </w:r>
      <w:r w:rsidRPr="00A66AB5">
        <w:rPr>
          <w:color w:val="auto"/>
          <w:sz w:val="22"/>
          <w:szCs w:val="22"/>
          <w:lang w:val="el-GR"/>
        </w:rPr>
        <w:t xml:space="preserve"> έως 800 </w:t>
      </w:r>
      <w:r w:rsidRPr="00A66AB5">
        <w:rPr>
          <w:color w:val="auto"/>
          <w:sz w:val="22"/>
          <w:szCs w:val="22"/>
        </w:rPr>
        <w:t>mg</w:t>
      </w:r>
      <w:r w:rsidRPr="00A66AB5">
        <w:rPr>
          <w:color w:val="auto"/>
          <w:sz w:val="22"/>
          <w:szCs w:val="22"/>
          <w:lang w:val="el-GR"/>
        </w:rPr>
        <w:t xml:space="preserve">/ημέρα. Είναι σημαντικό να χρησιμοποιηθεί η χαμηλότερη αποτελεσματική δόση για τη θεραπεία συντήρησης.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color w:val="auto"/>
          <w:sz w:val="22"/>
          <w:szCs w:val="22"/>
          <w:lang w:val="el-GR"/>
        </w:rPr>
        <w:t xml:space="preserve">Για τη </w:t>
      </w:r>
      <w:r w:rsidR="00A135AB" w:rsidRPr="00A66AB5">
        <w:rPr>
          <w:b/>
          <w:color w:val="auto"/>
          <w:sz w:val="22"/>
          <w:szCs w:val="22"/>
          <w:lang w:val="el-GR"/>
        </w:rPr>
        <w:t xml:space="preserve">πρόσθετη </w:t>
      </w:r>
      <w:r w:rsidRPr="00A66AB5">
        <w:rPr>
          <w:b/>
          <w:color w:val="auto"/>
          <w:sz w:val="22"/>
          <w:szCs w:val="22"/>
          <w:lang w:val="el-GR"/>
        </w:rPr>
        <w:t xml:space="preserve">θεραπεία των </w:t>
      </w:r>
      <w:proofErr w:type="spellStart"/>
      <w:r w:rsidRPr="00A66AB5">
        <w:rPr>
          <w:b/>
          <w:color w:val="auto"/>
          <w:sz w:val="22"/>
          <w:szCs w:val="22"/>
          <w:lang w:val="el-GR"/>
        </w:rPr>
        <w:t>μείζονων</w:t>
      </w:r>
      <w:proofErr w:type="spellEnd"/>
      <w:r w:rsidRPr="00A66AB5">
        <w:rPr>
          <w:b/>
          <w:color w:val="auto"/>
          <w:sz w:val="22"/>
          <w:szCs w:val="22"/>
          <w:lang w:val="el-GR"/>
        </w:rPr>
        <w:t xml:space="preserve"> καταθλιπτικών επεισοδίων στην ΜΚΔ</w:t>
      </w:r>
      <w:r w:rsidR="009F6A7B">
        <w:rPr>
          <w:b/>
          <w:color w:val="auto"/>
          <w:sz w:val="22"/>
          <w:szCs w:val="22"/>
          <w:lang w:val="el-GR"/>
        </w:rPr>
        <w:t>:</w:t>
      </w: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Το </w:t>
      </w:r>
      <w:proofErr w:type="spellStart"/>
      <w:r w:rsidR="002F279F">
        <w:rPr>
          <w:color w:val="auto"/>
          <w:sz w:val="22"/>
          <w:szCs w:val="22"/>
        </w:rPr>
        <w:t>Secuelia</w:t>
      </w:r>
      <w:proofErr w:type="spellEnd"/>
      <w:r w:rsidR="002F279F" w:rsidRPr="002F279F">
        <w:rPr>
          <w:color w:val="auto"/>
          <w:sz w:val="22"/>
          <w:szCs w:val="22"/>
          <w:lang w:val="el-GR"/>
        </w:rPr>
        <w:t xml:space="preserve"> </w:t>
      </w:r>
      <w:r w:rsidR="002F279F">
        <w:rPr>
          <w:color w:val="auto"/>
          <w:sz w:val="22"/>
          <w:szCs w:val="22"/>
        </w:rPr>
        <w:t>XR</w:t>
      </w:r>
      <w:r w:rsidR="00D65C75" w:rsidRPr="002471CA">
        <w:rPr>
          <w:color w:val="auto"/>
          <w:sz w:val="22"/>
          <w:szCs w:val="22"/>
          <w:lang w:val="el-GR"/>
        </w:rPr>
        <w:t xml:space="preserve"> </w:t>
      </w:r>
      <w:r w:rsidR="009F6A7B" w:rsidRPr="00791987">
        <w:rPr>
          <w:color w:val="auto"/>
          <w:sz w:val="22"/>
          <w:szCs w:val="22"/>
          <w:lang w:val="el-GR"/>
        </w:rPr>
        <w:t xml:space="preserve">50 </w:t>
      </w:r>
      <w:r w:rsidR="009F6A7B" w:rsidRPr="004E7035">
        <w:rPr>
          <w:color w:val="auto"/>
          <w:sz w:val="22"/>
          <w:szCs w:val="22"/>
        </w:rPr>
        <w:t>mg</w:t>
      </w:r>
      <w:r w:rsidR="009F6A7B" w:rsidRPr="00791987">
        <w:rPr>
          <w:color w:val="auto"/>
          <w:sz w:val="22"/>
          <w:szCs w:val="22"/>
          <w:lang w:val="el-GR"/>
        </w:rPr>
        <w:t xml:space="preserve"> / 200 </w:t>
      </w:r>
      <w:r w:rsidR="009F6A7B" w:rsidRPr="004E7035">
        <w:rPr>
          <w:color w:val="auto"/>
          <w:sz w:val="22"/>
          <w:szCs w:val="22"/>
        </w:rPr>
        <w:t>mg</w:t>
      </w:r>
      <w:r w:rsidR="009F6A7B" w:rsidRPr="00791987">
        <w:rPr>
          <w:color w:val="auto"/>
          <w:sz w:val="22"/>
          <w:szCs w:val="22"/>
          <w:lang w:val="el-GR"/>
        </w:rPr>
        <w:t xml:space="preserve"> / 300 </w:t>
      </w:r>
      <w:r w:rsidR="009F6A7B" w:rsidRPr="004E7035">
        <w:rPr>
          <w:color w:val="auto"/>
          <w:sz w:val="22"/>
          <w:szCs w:val="22"/>
        </w:rPr>
        <w:t>mg</w:t>
      </w:r>
      <w:r w:rsidR="009F6A7B" w:rsidRPr="00791987">
        <w:rPr>
          <w:color w:val="auto"/>
          <w:sz w:val="22"/>
          <w:szCs w:val="22"/>
          <w:lang w:val="el-GR"/>
        </w:rPr>
        <w:t xml:space="preserve"> / 400 </w:t>
      </w:r>
      <w:r w:rsidR="009F6A7B" w:rsidRPr="004E7035">
        <w:rPr>
          <w:color w:val="auto"/>
          <w:sz w:val="22"/>
          <w:szCs w:val="22"/>
        </w:rPr>
        <w:t>mg</w:t>
      </w:r>
      <w:r w:rsidR="009F6A7B" w:rsidRPr="00791987">
        <w:rPr>
          <w:color w:val="auto"/>
          <w:sz w:val="22"/>
          <w:szCs w:val="22"/>
          <w:lang w:val="el-GR"/>
        </w:rPr>
        <w:t xml:space="preserve"> δισκίο παρατεταμένης αποδέσμευσης</w:t>
      </w:r>
      <w:r w:rsidRPr="00A66AB5">
        <w:rPr>
          <w:color w:val="auto"/>
          <w:sz w:val="22"/>
          <w:szCs w:val="22"/>
          <w:lang w:val="el-GR"/>
        </w:rPr>
        <w:t xml:space="preserve"> θα πρέπει να χορηγείται πριν από την κατάκλιση. Η ημερήσια δόση κατά την έναρξη της θεραπείας είναι 50 </w:t>
      </w:r>
      <w:r w:rsidRPr="00A66AB5">
        <w:rPr>
          <w:color w:val="auto"/>
          <w:sz w:val="22"/>
          <w:szCs w:val="22"/>
        </w:rPr>
        <w:t>mg</w:t>
      </w:r>
      <w:r w:rsidRPr="00A66AB5">
        <w:rPr>
          <w:color w:val="auto"/>
          <w:sz w:val="22"/>
          <w:szCs w:val="22"/>
          <w:lang w:val="el-GR"/>
        </w:rPr>
        <w:t xml:space="preserve"> την ημέρα 1 και 2 και 150 </w:t>
      </w:r>
      <w:r w:rsidRPr="00A66AB5">
        <w:rPr>
          <w:color w:val="auto"/>
          <w:sz w:val="22"/>
          <w:szCs w:val="22"/>
        </w:rPr>
        <w:t>mg</w:t>
      </w:r>
      <w:r w:rsidRPr="00A66AB5">
        <w:rPr>
          <w:color w:val="auto"/>
          <w:sz w:val="22"/>
          <w:szCs w:val="22"/>
          <w:lang w:val="el-GR"/>
        </w:rPr>
        <w:t xml:space="preserve"> την ημέρα 3 και 4. Παρατηρήθηκε αντικαταθλιπτική δράση σε δόση 150 και 300 </w:t>
      </w:r>
      <w:r w:rsidRPr="00A66AB5">
        <w:rPr>
          <w:color w:val="auto"/>
          <w:sz w:val="22"/>
          <w:szCs w:val="22"/>
        </w:rPr>
        <w:t>mg</w:t>
      </w:r>
      <w:r w:rsidRPr="00A66AB5">
        <w:rPr>
          <w:color w:val="auto"/>
          <w:sz w:val="22"/>
          <w:szCs w:val="22"/>
          <w:lang w:val="el-GR"/>
        </w:rPr>
        <w:t xml:space="preserve">/ημέρα σε δοκιμές βραχείας διάρκειας ως θεραπεία προσθήκης (με </w:t>
      </w:r>
      <w:proofErr w:type="spellStart"/>
      <w:r w:rsidRPr="00A66AB5">
        <w:rPr>
          <w:color w:val="auto"/>
          <w:sz w:val="22"/>
          <w:szCs w:val="22"/>
          <w:lang w:val="el-GR"/>
        </w:rPr>
        <w:t>αμιτριπτυλίνη</w:t>
      </w:r>
      <w:proofErr w:type="spellEnd"/>
      <w:r w:rsidRPr="00A66AB5">
        <w:rPr>
          <w:color w:val="auto"/>
          <w:sz w:val="22"/>
          <w:szCs w:val="22"/>
          <w:lang w:val="el-GR"/>
        </w:rPr>
        <w:t xml:space="preserve">, </w:t>
      </w:r>
      <w:proofErr w:type="spellStart"/>
      <w:r w:rsidRPr="00A66AB5">
        <w:rPr>
          <w:color w:val="auto"/>
          <w:sz w:val="22"/>
          <w:szCs w:val="22"/>
          <w:lang w:val="el-GR"/>
        </w:rPr>
        <w:t>βουπροπιόνη</w:t>
      </w:r>
      <w:proofErr w:type="spellEnd"/>
      <w:r w:rsidRPr="00A66AB5">
        <w:rPr>
          <w:color w:val="auto"/>
          <w:sz w:val="22"/>
          <w:szCs w:val="22"/>
          <w:lang w:val="el-GR"/>
        </w:rPr>
        <w:t xml:space="preserve">, </w:t>
      </w:r>
      <w:proofErr w:type="spellStart"/>
      <w:r w:rsidRPr="00A66AB5">
        <w:rPr>
          <w:color w:val="auto"/>
          <w:sz w:val="22"/>
          <w:szCs w:val="22"/>
          <w:lang w:val="el-GR"/>
        </w:rPr>
        <w:t>σιταλοπράμη</w:t>
      </w:r>
      <w:proofErr w:type="spellEnd"/>
      <w:r w:rsidRPr="00A66AB5">
        <w:rPr>
          <w:color w:val="auto"/>
          <w:sz w:val="22"/>
          <w:szCs w:val="22"/>
          <w:lang w:val="el-GR"/>
        </w:rPr>
        <w:t xml:space="preserve">, </w:t>
      </w:r>
      <w:proofErr w:type="spellStart"/>
      <w:r w:rsidRPr="00A66AB5">
        <w:rPr>
          <w:color w:val="auto"/>
          <w:sz w:val="22"/>
          <w:szCs w:val="22"/>
          <w:lang w:val="el-GR"/>
        </w:rPr>
        <w:t>δουλοξετίνη</w:t>
      </w:r>
      <w:proofErr w:type="spellEnd"/>
      <w:r w:rsidRPr="00A66AB5">
        <w:rPr>
          <w:color w:val="auto"/>
          <w:sz w:val="22"/>
          <w:szCs w:val="22"/>
          <w:lang w:val="el-GR"/>
        </w:rPr>
        <w:t xml:space="preserve">, </w:t>
      </w:r>
      <w:proofErr w:type="spellStart"/>
      <w:r w:rsidRPr="00A66AB5">
        <w:rPr>
          <w:color w:val="auto"/>
          <w:sz w:val="22"/>
          <w:szCs w:val="22"/>
          <w:lang w:val="el-GR"/>
        </w:rPr>
        <w:t>εσιταλοπράμη</w:t>
      </w:r>
      <w:proofErr w:type="spellEnd"/>
      <w:r w:rsidRPr="00A66AB5">
        <w:rPr>
          <w:color w:val="auto"/>
          <w:sz w:val="22"/>
          <w:szCs w:val="22"/>
          <w:lang w:val="el-GR"/>
        </w:rPr>
        <w:t xml:space="preserve">, </w:t>
      </w:r>
      <w:proofErr w:type="spellStart"/>
      <w:r w:rsidRPr="00A66AB5">
        <w:rPr>
          <w:color w:val="auto"/>
          <w:sz w:val="22"/>
          <w:szCs w:val="22"/>
          <w:lang w:val="el-GR"/>
        </w:rPr>
        <w:t>φλουοξετίνη</w:t>
      </w:r>
      <w:proofErr w:type="spellEnd"/>
      <w:r w:rsidRPr="00A66AB5">
        <w:rPr>
          <w:color w:val="auto"/>
          <w:sz w:val="22"/>
          <w:szCs w:val="22"/>
          <w:lang w:val="el-GR"/>
        </w:rPr>
        <w:t xml:space="preserve">, </w:t>
      </w:r>
      <w:proofErr w:type="spellStart"/>
      <w:r w:rsidRPr="00A66AB5">
        <w:rPr>
          <w:color w:val="auto"/>
          <w:sz w:val="22"/>
          <w:szCs w:val="22"/>
          <w:lang w:val="el-GR"/>
        </w:rPr>
        <w:t>παροξετίνη</w:t>
      </w:r>
      <w:proofErr w:type="spellEnd"/>
      <w:r w:rsidRPr="00A66AB5">
        <w:rPr>
          <w:color w:val="auto"/>
          <w:sz w:val="22"/>
          <w:szCs w:val="22"/>
          <w:lang w:val="el-GR"/>
        </w:rPr>
        <w:t xml:space="preserve">, </w:t>
      </w:r>
      <w:proofErr w:type="spellStart"/>
      <w:r w:rsidRPr="00A66AB5">
        <w:rPr>
          <w:color w:val="auto"/>
          <w:sz w:val="22"/>
          <w:szCs w:val="22"/>
          <w:lang w:val="el-GR"/>
        </w:rPr>
        <w:t>σερτραλίνη</w:t>
      </w:r>
      <w:proofErr w:type="spellEnd"/>
      <w:r w:rsidRPr="00A66AB5">
        <w:rPr>
          <w:color w:val="auto"/>
          <w:sz w:val="22"/>
          <w:szCs w:val="22"/>
          <w:lang w:val="el-GR"/>
        </w:rPr>
        <w:t xml:space="preserve"> και </w:t>
      </w:r>
      <w:proofErr w:type="spellStart"/>
      <w:r w:rsidRPr="00A66AB5">
        <w:rPr>
          <w:color w:val="auto"/>
          <w:sz w:val="22"/>
          <w:szCs w:val="22"/>
          <w:lang w:val="el-GR"/>
        </w:rPr>
        <w:t>βενλαφαξίνη</w:t>
      </w:r>
      <w:proofErr w:type="spellEnd"/>
      <w:r w:rsidRPr="00A66AB5">
        <w:rPr>
          <w:color w:val="auto"/>
          <w:sz w:val="22"/>
          <w:szCs w:val="22"/>
          <w:lang w:val="el-GR"/>
        </w:rPr>
        <w:t xml:space="preserve"> – βλ. παράγραφο 5.1) και σε δόση 50 </w:t>
      </w:r>
      <w:r w:rsidRPr="00A66AB5">
        <w:rPr>
          <w:color w:val="auto"/>
          <w:sz w:val="22"/>
          <w:szCs w:val="22"/>
        </w:rPr>
        <w:t>mg</w:t>
      </w:r>
      <w:r w:rsidRPr="00A66AB5">
        <w:rPr>
          <w:color w:val="auto"/>
          <w:sz w:val="22"/>
          <w:szCs w:val="22"/>
          <w:lang w:val="el-GR"/>
        </w:rPr>
        <w:t xml:space="preserve">/ημέρα σε δοκιμές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βραχείας διάρκειας. Υπάρχει αυξημένος κίνδυνος ανεπιθύμητων συμβάντων σε υψηλότερες δόσεις. Οι κλινικοί ιατροί θα πρέπει επομένως να διασφαλίσουν ότι χρησιμοποιείται η χαμηλότερη αποτελεσματική δόση, αρχίζοντας από 50 </w:t>
      </w:r>
      <w:r w:rsidRPr="00A66AB5">
        <w:rPr>
          <w:color w:val="auto"/>
          <w:sz w:val="22"/>
          <w:szCs w:val="22"/>
        </w:rPr>
        <w:t>mg</w:t>
      </w:r>
      <w:r w:rsidRPr="00A66AB5">
        <w:rPr>
          <w:color w:val="auto"/>
          <w:sz w:val="22"/>
          <w:szCs w:val="22"/>
          <w:lang w:val="el-GR"/>
        </w:rPr>
        <w:t xml:space="preserve">/ημέρα, για τη θεραπεία. Η ανάγκη αύξησης της δόσης από 150 σε 300 </w:t>
      </w:r>
      <w:r w:rsidRPr="00A66AB5">
        <w:rPr>
          <w:color w:val="auto"/>
          <w:sz w:val="22"/>
          <w:szCs w:val="22"/>
        </w:rPr>
        <w:t>mg</w:t>
      </w:r>
      <w:r w:rsidRPr="00A66AB5">
        <w:rPr>
          <w:color w:val="auto"/>
          <w:sz w:val="22"/>
          <w:szCs w:val="22"/>
          <w:lang w:val="el-GR"/>
        </w:rPr>
        <w:t xml:space="preserve">/ημέρα θα πρέπει να βασίζεται στην αξιολόγηση του εκάστοτε ασθενούς.  </w:t>
      </w:r>
    </w:p>
    <w:p w:rsidR="00380EEB" w:rsidRPr="00A66AB5" w:rsidRDefault="00380EEB">
      <w:pPr>
        <w:pStyle w:val="a5"/>
        <w:rPr>
          <w:sz w:val="22"/>
          <w:szCs w:val="22"/>
          <w:lang w:val="el-GR"/>
        </w:rPr>
      </w:pPr>
    </w:p>
    <w:p w:rsidR="00380EEB" w:rsidRPr="00A66AB5" w:rsidRDefault="00380EEB">
      <w:pPr>
        <w:pStyle w:val="a5"/>
        <w:rPr>
          <w:b/>
          <w:sz w:val="22"/>
          <w:szCs w:val="22"/>
          <w:lang w:val="el-GR"/>
        </w:rPr>
      </w:pPr>
      <w:r w:rsidRPr="00A66AB5">
        <w:rPr>
          <w:b/>
          <w:sz w:val="22"/>
          <w:szCs w:val="22"/>
          <w:lang w:val="el-GR"/>
        </w:rPr>
        <w:t xml:space="preserve">Αλλαγή από δισκία </w:t>
      </w:r>
      <w:proofErr w:type="spellStart"/>
      <w:r w:rsidRPr="00A66AB5">
        <w:rPr>
          <w:b/>
          <w:sz w:val="22"/>
          <w:szCs w:val="22"/>
          <w:lang w:val="el-GR"/>
        </w:rPr>
        <w:t>κουετιαπίνης</w:t>
      </w:r>
      <w:proofErr w:type="spellEnd"/>
      <w:r w:rsidRPr="00A66AB5">
        <w:rPr>
          <w:b/>
          <w:sz w:val="22"/>
          <w:szCs w:val="22"/>
          <w:lang w:val="el-GR"/>
        </w:rPr>
        <w:t xml:space="preserve"> άμεσης αποδέσμευσης</w:t>
      </w:r>
      <w:r w:rsidR="009F6A7B">
        <w:rPr>
          <w:b/>
          <w:sz w:val="22"/>
          <w:szCs w:val="22"/>
          <w:lang w:val="el-GR"/>
        </w:rPr>
        <w:t>:</w:t>
      </w:r>
    </w:p>
    <w:p w:rsidR="00380EEB" w:rsidRPr="00A66AB5" w:rsidRDefault="00380EEB">
      <w:pPr>
        <w:pStyle w:val="Web"/>
        <w:spacing w:before="0" w:beforeAutospacing="0" w:after="0"/>
        <w:jc w:val="both"/>
        <w:rPr>
          <w:color w:val="auto"/>
          <w:sz w:val="22"/>
          <w:szCs w:val="22"/>
          <w:lang w:val="el-GR"/>
        </w:rPr>
      </w:pPr>
      <w:r w:rsidRPr="00A66AB5">
        <w:rPr>
          <w:color w:val="auto"/>
          <w:sz w:val="22"/>
          <w:szCs w:val="22"/>
          <w:lang w:val="el-GR"/>
        </w:rPr>
        <w:t xml:space="preserve">Για πιο βολική χορήγηση δόσης, οι ασθενείς που λαμβάνουν επί του παρόντος θεραπεία με διαιρούμενες δόσεις δισκίων </w:t>
      </w:r>
      <w:proofErr w:type="spellStart"/>
      <w:r w:rsidRPr="00A66AB5">
        <w:rPr>
          <w:color w:val="auto"/>
          <w:sz w:val="22"/>
          <w:szCs w:val="22"/>
          <w:lang w:val="el-GR"/>
        </w:rPr>
        <w:t>κουετιαπίνης</w:t>
      </w:r>
      <w:proofErr w:type="spellEnd"/>
      <w:r w:rsidRPr="00A66AB5">
        <w:rPr>
          <w:color w:val="auto"/>
          <w:sz w:val="22"/>
          <w:szCs w:val="22"/>
          <w:lang w:val="el-GR"/>
        </w:rPr>
        <w:t xml:space="preserve"> άμεσης αποδέσμευσης ενδέχεται να αλλάξουν σε </w:t>
      </w:r>
      <w:proofErr w:type="spellStart"/>
      <w:r w:rsidR="002F279F">
        <w:rPr>
          <w:color w:val="auto"/>
          <w:sz w:val="22"/>
          <w:szCs w:val="22"/>
        </w:rPr>
        <w:t>Secuelia</w:t>
      </w:r>
      <w:proofErr w:type="spellEnd"/>
      <w:r w:rsidR="002F279F" w:rsidRPr="002F279F">
        <w:rPr>
          <w:color w:val="auto"/>
          <w:sz w:val="22"/>
          <w:szCs w:val="22"/>
          <w:lang w:val="el-GR"/>
        </w:rPr>
        <w:t xml:space="preserve"> </w:t>
      </w:r>
      <w:r w:rsidR="002F279F">
        <w:rPr>
          <w:color w:val="auto"/>
          <w:sz w:val="22"/>
          <w:szCs w:val="22"/>
        </w:rPr>
        <w:t>XR</w:t>
      </w:r>
      <w:r w:rsidR="00D65C75" w:rsidRPr="002471CA">
        <w:rPr>
          <w:color w:val="auto"/>
          <w:sz w:val="22"/>
          <w:szCs w:val="22"/>
          <w:lang w:val="el-GR"/>
        </w:rPr>
        <w:t xml:space="preserve"> </w:t>
      </w:r>
      <w:r w:rsidR="009F6A7B" w:rsidRPr="00791987">
        <w:rPr>
          <w:color w:val="auto"/>
          <w:sz w:val="22"/>
          <w:szCs w:val="22"/>
          <w:lang w:val="el-GR"/>
        </w:rPr>
        <w:t xml:space="preserve">50 </w:t>
      </w:r>
      <w:r w:rsidR="009F6A7B" w:rsidRPr="004E7035">
        <w:rPr>
          <w:color w:val="auto"/>
          <w:sz w:val="22"/>
          <w:szCs w:val="22"/>
        </w:rPr>
        <w:t>mg</w:t>
      </w:r>
      <w:r w:rsidR="009F6A7B" w:rsidRPr="00791987">
        <w:rPr>
          <w:color w:val="auto"/>
          <w:sz w:val="22"/>
          <w:szCs w:val="22"/>
          <w:lang w:val="el-GR"/>
        </w:rPr>
        <w:t xml:space="preserve"> / 200 </w:t>
      </w:r>
      <w:r w:rsidR="009F6A7B" w:rsidRPr="004E7035">
        <w:rPr>
          <w:color w:val="auto"/>
          <w:sz w:val="22"/>
          <w:szCs w:val="22"/>
        </w:rPr>
        <w:t>mg</w:t>
      </w:r>
      <w:r w:rsidR="009F6A7B" w:rsidRPr="00791987">
        <w:rPr>
          <w:color w:val="auto"/>
          <w:sz w:val="22"/>
          <w:szCs w:val="22"/>
          <w:lang w:val="el-GR"/>
        </w:rPr>
        <w:t xml:space="preserve"> / 300 </w:t>
      </w:r>
      <w:r w:rsidR="009F6A7B" w:rsidRPr="004E7035">
        <w:rPr>
          <w:color w:val="auto"/>
          <w:sz w:val="22"/>
          <w:szCs w:val="22"/>
        </w:rPr>
        <w:t>mg</w:t>
      </w:r>
      <w:r w:rsidR="009F6A7B" w:rsidRPr="00791987">
        <w:rPr>
          <w:color w:val="auto"/>
          <w:sz w:val="22"/>
          <w:szCs w:val="22"/>
          <w:lang w:val="el-GR"/>
        </w:rPr>
        <w:t xml:space="preserve"> / 400 </w:t>
      </w:r>
      <w:r w:rsidR="009F6A7B" w:rsidRPr="004E7035">
        <w:rPr>
          <w:color w:val="auto"/>
          <w:sz w:val="22"/>
          <w:szCs w:val="22"/>
        </w:rPr>
        <w:t>mg</w:t>
      </w:r>
      <w:r w:rsidR="009F6A7B" w:rsidRPr="00791987">
        <w:rPr>
          <w:color w:val="auto"/>
          <w:sz w:val="22"/>
          <w:szCs w:val="22"/>
          <w:lang w:val="el-GR"/>
        </w:rPr>
        <w:t xml:space="preserve"> δισκίο παρατεταμένης αποδέσμευσης</w:t>
      </w:r>
      <w:r w:rsidRPr="00A66AB5">
        <w:rPr>
          <w:color w:val="auto"/>
          <w:sz w:val="22"/>
          <w:szCs w:val="22"/>
          <w:lang w:val="el-GR"/>
        </w:rPr>
        <w:t xml:space="preserve"> στην ισοδύναμη συνολική ημερήσια δόση η οποία λαμβάνεται μία φορά την ημέρα. </w:t>
      </w:r>
      <w:r w:rsidRPr="00A66AB5">
        <w:rPr>
          <w:sz w:val="22"/>
          <w:szCs w:val="22"/>
          <w:lang w:val="el-GR"/>
        </w:rPr>
        <w:t>Ενδέχεται να απαιτηθούν μεμονωμένες προσαρμογές δοσολογίας.</w:t>
      </w:r>
    </w:p>
    <w:p w:rsidR="00380EEB" w:rsidRPr="00A66AB5" w:rsidRDefault="00380EEB">
      <w:pPr>
        <w:autoSpaceDE w:val="0"/>
        <w:autoSpaceDN w:val="0"/>
        <w:adjustRightInd w:val="0"/>
        <w:jc w:val="both"/>
        <w:rPr>
          <w:sz w:val="22"/>
          <w:szCs w:val="22"/>
          <w:lang w:val="el-GR"/>
        </w:rPr>
      </w:pPr>
    </w:p>
    <w:p w:rsidR="00380EEB" w:rsidRPr="00A66AB5" w:rsidRDefault="00380EEB">
      <w:pPr>
        <w:pStyle w:val="a5"/>
        <w:rPr>
          <w:sz w:val="22"/>
          <w:szCs w:val="22"/>
          <w:lang w:val="el-GR"/>
        </w:rPr>
      </w:pPr>
      <w:r w:rsidRPr="00A66AB5">
        <w:rPr>
          <w:b/>
          <w:sz w:val="22"/>
          <w:szCs w:val="22"/>
          <w:lang w:val="el-GR"/>
        </w:rPr>
        <w:t>Ηλικιωμένοι</w:t>
      </w:r>
      <w:r w:rsidR="009F6A7B">
        <w:rPr>
          <w:b/>
          <w:sz w:val="22"/>
          <w:szCs w:val="22"/>
          <w:lang w:val="el-GR"/>
        </w:rPr>
        <w:t>:</w:t>
      </w:r>
      <w:r w:rsidRPr="00A66AB5">
        <w:rPr>
          <w:b/>
          <w:sz w:val="22"/>
          <w:szCs w:val="22"/>
          <w:lang w:val="el-GR"/>
        </w:rPr>
        <w:t xml:space="preserve"> </w:t>
      </w:r>
    </w:p>
    <w:p w:rsidR="00380EEB" w:rsidRPr="00A66AB5" w:rsidRDefault="00380EEB">
      <w:pPr>
        <w:jc w:val="both"/>
        <w:rPr>
          <w:sz w:val="22"/>
          <w:szCs w:val="22"/>
          <w:lang w:val="el-GR"/>
        </w:rPr>
      </w:pPr>
      <w:r w:rsidRPr="00A66AB5">
        <w:rPr>
          <w:sz w:val="22"/>
          <w:szCs w:val="22"/>
          <w:lang w:val="el-GR"/>
        </w:rPr>
        <w:t xml:space="preserve">Όπως με άλλα </w:t>
      </w:r>
      <w:proofErr w:type="spellStart"/>
      <w:r w:rsidRPr="00A66AB5">
        <w:rPr>
          <w:sz w:val="22"/>
          <w:szCs w:val="22"/>
          <w:lang w:val="el-GR"/>
        </w:rPr>
        <w:t>αντιψυχωσικά</w:t>
      </w:r>
      <w:proofErr w:type="spellEnd"/>
      <w:r w:rsidRPr="00A66AB5">
        <w:rPr>
          <w:sz w:val="22"/>
          <w:szCs w:val="22"/>
          <w:lang w:val="el-GR"/>
        </w:rPr>
        <w:t xml:space="preserve"> και αντικαταθλιπτικά, </w:t>
      </w:r>
      <w:r w:rsidR="009F6A7B">
        <w:rPr>
          <w:sz w:val="22"/>
          <w:szCs w:val="22"/>
          <w:lang w:val="el-GR"/>
        </w:rPr>
        <w:t xml:space="preserve">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9F6A7B" w:rsidRPr="00791987">
        <w:rPr>
          <w:sz w:val="22"/>
          <w:szCs w:val="22"/>
          <w:lang w:val="el-GR"/>
        </w:rPr>
        <w:t xml:space="preserve">50 </w:t>
      </w:r>
      <w:r w:rsidR="009F6A7B" w:rsidRPr="004E7035">
        <w:rPr>
          <w:sz w:val="22"/>
          <w:szCs w:val="22"/>
        </w:rPr>
        <w:t>mg</w:t>
      </w:r>
      <w:r w:rsidR="009F6A7B" w:rsidRPr="00791987">
        <w:rPr>
          <w:sz w:val="22"/>
          <w:szCs w:val="22"/>
          <w:lang w:val="el-GR"/>
        </w:rPr>
        <w:t xml:space="preserve"> / 200 </w:t>
      </w:r>
      <w:r w:rsidR="009F6A7B" w:rsidRPr="004E7035">
        <w:rPr>
          <w:sz w:val="22"/>
          <w:szCs w:val="22"/>
        </w:rPr>
        <w:t>mg</w:t>
      </w:r>
      <w:r w:rsidR="009F6A7B" w:rsidRPr="00791987">
        <w:rPr>
          <w:sz w:val="22"/>
          <w:szCs w:val="22"/>
          <w:lang w:val="el-GR"/>
        </w:rPr>
        <w:t xml:space="preserve"> / 300 </w:t>
      </w:r>
      <w:r w:rsidR="009F6A7B" w:rsidRPr="004E7035">
        <w:rPr>
          <w:sz w:val="22"/>
          <w:szCs w:val="22"/>
        </w:rPr>
        <w:t>mg</w:t>
      </w:r>
      <w:r w:rsidR="009F6A7B" w:rsidRPr="00791987">
        <w:rPr>
          <w:sz w:val="22"/>
          <w:szCs w:val="22"/>
          <w:lang w:val="el-GR"/>
        </w:rPr>
        <w:t xml:space="preserve"> / 400 </w:t>
      </w:r>
      <w:r w:rsidR="009F6A7B" w:rsidRPr="004E7035">
        <w:rPr>
          <w:sz w:val="22"/>
          <w:szCs w:val="22"/>
        </w:rPr>
        <w:t>mg</w:t>
      </w:r>
      <w:r w:rsidR="009F6A7B" w:rsidRPr="00791987">
        <w:rPr>
          <w:sz w:val="22"/>
          <w:szCs w:val="22"/>
          <w:lang w:val="el-GR"/>
        </w:rPr>
        <w:t xml:space="preserve"> δισκίο παρατεταμένης αποδέσμευσης</w:t>
      </w:r>
      <w:r w:rsidRPr="00A66AB5">
        <w:rPr>
          <w:sz w:val="22"/>
          <w:szCs w:val="22"/>
          <w:lang w:val="el-GR"/>
        </w:rPr>
        <w:t xml:space="preserve"> θα πρέπει να χρησιμοποι</w:t>
      </w:r>
      <w:r w:rsidR="009F6A7B">
        <w:rPr>
          <w:sz w:val="22"/>
          <w:szCs w:val="22"/>
          <w:lang w:val="el-GR"/>
        </w:rPr>
        <w:t>εί</w:t>
      </w:r>
      <w:r w:rsidRPr="00A66AB5">
        <w:rPr>
          <w:sz w:val="22"/>
          <w:szCs w:val="22"/>
          <w:lang w:val="el-GR"/>
        </w:rPr>
        <w:t xml:space="preserve">ται με προσοχή στους ηλικιωμένους, ειδικά κατά τη διάρκεια της αρχικής περιόδου χορήγησης δόσης. Ο ρυθμός της </w:t>
      </w:r>
      <w:proofErr w:type="spellStart"/>
      <w:r w:rsidRPr="00A66AB5">
        <w:rPr>
          <w:sz w:val="22"/>
          <w:szCs w:val="22"/>
          <w:lang w:val="el-GR"/>
        </w:rPr>
        <w:t>τιτλοποίησης</w:t>
      </w:r>
      <w:proofErr w:type="spellEnd"/>
      <w:r w:rsidRPr="00A66AB5">
        <w:rPr>
          <w:sz w:val="22"/>
          <w:szCs w:val="22"/>
          <w:lang w:val="el-GR"/>
        </w:rPr>
        <w:t xml:space="preserve"> </w:t>
      </w:r>
      <w:r w:rsidR="006B3F1F" w:rsidRPr="00A66AB5">
        <w:rPr>
          <w:sz w:val="22"/>
          <w:szCs w:val="22"/>
          <w:lang w:val="el-GR"/>
        </w:rPr>
        <w:t xml:space="preserve">της </w:t>
      </w:r>
      <w:r w:rsidRPr="00A66AB5">
        <w:rPr>
          <w:sz w:val="22"/>
          <w:szCs w:val="22"/>
          <w:lang w:val="el-GR"/>
        </w:rPr>
        <w:t xml:space="preserve">δόσης </w:t>
      </w:r>
      <w:r w:rsidR="009F6A7B">
        <w:rPr>
          <w:sz w:val="22"/>
          <w:szCs w:val="22"/>
          <w:lang w:val="el-GR"/>
        </w:rPr>
        <w:t xml:space="preserve">του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9F6A7B" w:rsidRPr="00791987">
        <w:rPr>
          <w:sz w:val="22"/>
          <w:szCs w:val="22"/>
          <w:lang w:val="el-GR"/>
        </w:rPr>
        <w:t xml:space="preserve">50 </w:t>
      </w:r>
      <w:r w:rsidR="009F6A7B" w:rsidRPr="004E7035">
        <w:rPr>
          <w:sz w:val="22"/>
          <w:szCs w:val="22"/>
        </w:rPr>
        <w:t>mg</w:t>
      </w:r>
      <w:r w:rsidR="009F6A7B" w:rsidRPr="00791987">
        <w:rPr>
          <w:sz w:val="22"/>
          <w:szCs w:val="22"/>
          <w:lang w:val="el-GR"/>
        </w:rPr>
        <w:t xml:space="preserve"> / 200 </w:t>
      </w:r>
      <w:r w:rsidR="009F6A7B" w:rsidRPr="004E7035">
        <w:rPr>
          <w:sz w:val="22"/>
          <w:szCs w:val="22"/>
        </w:rPr>
        <w:t>mg</w:t>
      </w:r>
      <w:r w:rsidR="009F6A7B" w:rsidRPr="00791987">
        <w:rPr>
          <w:sz w:val="22"/>
          <w:szCs w:val="22"/>
          <w:lang w:val="el-GR"/>
        </w:rPr>
        <w:t xml:space="preserve"> / 300 </w:t>
      </w:r>
      <w:r w:rsidR="009F6A7B" w:rsidRPr="004E7035">
        <w:rPr>
          <w:sz w:val="22"/>
          <w:szCs w:val="22"/>
        </w:rPr>
        <w:t>mg</w:t>
      </w:r>
      <w:r w:rsidR="009F6A7B" w:rsidRPr="00791987">
        <w:rPr>
          <w:sz w:val="22"/>
          <w:szCs w:val="22"/>
          <w:lang w:val="el-GR"/>
        </w:rPr>
        <w:t xml:space="preserve"> / 400 </w:t>
      </w:r>
      <w:r w:rsidR="009F6A7B" w:rsidRPr="004E7035">
        <w:rPr>
          <w:sz w:val="22"/>
          <w:szCs w:val="22"/>
        </w:rPr>
        <w:t>mg</w:t>
      </w:r>
      <w:r w:rsidR="009F6A7B" w:rsidRPr="00791987">
        <w:rPr>
          <w:sz w:val="22"/>
          <w:szCs w:val="22"/>
          <w:lang w:val="el-GR"/>
        </w:rPr>
        <w:t xml:space="preserve"> δισκίο παρατεταμένης αποδέσμευσης</w:t>
      </w:r>
      <w:r w:rsidRPr="00A66AB5">
        <w:rPr>
          <w:sz w:val="22"/>
          <w:szCs w:val="22"/>
          <w:lang w:val="el-GR"/>
        </w:rPr>
        <w:t xml:space="preserve"> ενδέχεται να χρειαστεί να είναι πιο αργός και η ημερήσια θεραπευτική δόση πιο χαμηλή από αυτές που χρησιμοποιούνται στους νεότερους ασθενείς. Η μέση κάθαρση </w:t>
      </w:r>
      <w:proofErr w:type="spellStart"/>
      <w:r w:rsidRPr="00A66AB5">
        <w:rPr>
          <w:sz w:val="22"/>
          <w:szCs w:val="22"/>
          <w:lang w:val="el-GR"/>
        </w:rPr>
        <w:t>κουετιαπίνης</w:t>
      </w:r>
      <w:proofErr w:type="spellEnd"/>
      <w:r w:rsidRPr="00A66AB5">
        <w:rPr>
          <w:sz w:val="22"/>
          <w:szCs w:val="22"/>
          <w:lang w:val="el-GR"/>
        </w:rPr>
        <w:t xml:space="preserve"> από το πλάσμα μειώθηκε κατά 30% έως 50% στους ηλικιωμένους ασθενείς σε σύγκριση με τους νεότερους ασθενείς. Οι ηλικιωμένοι ασθενείς θα πρέπει να αρχίζουν με δόση 50 </w:t>
      </w:r>
      <w:r w:rsidRPr="00A66AB5">
        <w:rPr>
          <w:sz w:val="22"/>
          <w:szCs w:val="22"/>
        </w:rPr>
        <w:t>mg</w:t>
      </w:r>
      <w:r w:rsidRPr="00A66AB5">
        <w:rPr>
          <w:sz w:val="22"/>
          <w:szCs w:val="22"/>
          <w:lang w:val="el-GR"/>
        </w:rPr>
        <w:t xml:space="preserve">/ημέρα. Η δόση μπορεί να αυξηθεί σε βήματα των 50 </w:t>
      </w:r>
      <w:r w:rsidRPr="00A66AB5">
        <w:rPr>
          <w:sz w:val="22"/>
          <w:szCs w:val="22"/>
        </w:rPr>
        <w:t>mg</w:t>
      </w:r>
      <w:r w:rsidRPr="00A66AB5">
        <w:rPr>
          <w:sz w:val="22"/>
          <w:szCs w:val="22"/>
          <w:lang w:val="el-GR"/>
        </w:rPr>
        <w:t xml:space="preserve">/ημέρα έως μια αποτελεσματική δόση, ανάλογα με την κλινική ανταπόκριση και την ανεκτικότητα του εκάστοτε ασθενούς.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Στους ηλικιωμένους ασθενείς με μείζονα καταθλιπτικά επεισόδια σε ΜΚΔ, η χορήγηση δόσης θα πρέπει να αρχίζει με 50 </w:t>
      </w:r>
      <w:proofErr w:type="spellStart"/>
      <w:r w:rsidRPr="00A66AB5">
        <w:rPr>
          <w:sz w:val="22"/>
          <w:szCs w:val="22"/>
          <w:lang w:val="el-GR"/>
        </w:rPr>
        <w:t>mg</w:t>
      </w:r>
      <w:proofErr w:type="spellEnd"/>
      <w:r w:rsidRPr="00A66AB5">
        <w:rPr>
          <w:sz w:val="22"/>
          <w:szCs w:val="22"/>
          <w:lang w:val="el-GR"/>
        </w:rPr>
        <w:t xml:space="preserve">/ημέρα κατά τις ημέρες 1-3, να αυξάνεται στα 100 </w:t>
      </w:r>
      <w:proofErr w:type="spellStart"/>
      <w:r w:rsidRPr="00A66AB5">
        <w:rPr>
          <w:sz w:val="22"/>
          <w:szCs w:val="22"/>
          <w:lang w:val="el-GR"/>
        </w:rPr>
        <w:t>mg</w:t>
      </w:r>
      <w:proofErr w:type="spellEnd"/>
      <w:r w:rsidRPr="00A66AB5">
        <w:rPr>
          <w:sz w:val="22"/>
          <w:szCs w:val="22"/>
          <w:lang w:val="el-GR"/>
        </w:rPr>
        <w:t xml:space="preserve">/ημέρα την ημέρα 4 και 150 </w:t>
      </w:r>
      <w:proofErr w:type="spellStart"/>
      <w:r w:rsidRPr="00A66AB5">
        <w:rPr>
          <w:sz w:val="22"/>
          <w:szCs w:val="22"/>
          <w:lang w:val="el-GR"/>
        </w:rPr>
        <w:t>mg</w:t>
      </w:r>
      <w:proofErr w:type="spellEnd"/>
      <w:r w:rsidRPr="00A66AB5">
        <w:rPr>
          <w:sz w:val="22"/>
          <w:szCs w:val="22"/>
          <w:lang w:val="el-GR"/>
        </w:rPr>
        <w:t xml:space="preserve">/ημέρα την ημέρα 8. Θα πρέπει να χρησιμοποιείται η πιο χαμηλή αποτελεσματική δόση, αρχίζοντας από 50 </w:t>
      </w:r>
      <w:proofErr w:type="spellStart"/>
      <w:r w:rsidRPr="00A66AB5">
        <w:rPr>
          <w:sz w:val="22"/>
          <w:szCs w:val="22"/>
          <w:lang w:val="el-GR"/>
        </w:rPr>
        <w:t>mg</w:t>
      </w:r>
      <w:proofErr w:type="spellEnd"/>
      <w:r w:rsidRPr="00A66AB5">
        <w:rPr>
          <w:sz w:val="22"/>
          <w:szCs w:val="22"/>
          <w:lang w:val="el-GR"/>
        </w:rPr>
        <w:t xml:space="preserve">/ημέρα. Με βάση την αξιολόγηση κάθε ασθενή, εάν απαιτηθεί αύξηση δόσης στα 300 </w:t>
      </w:r>
      <w:proofErr w:type="spellStart"/>
      <w:r w:rsidRPr="00A66AB5">
        <w:rPr>
          <w:sz w:val="22"/>
          <w:szCs w:val="22"/>
          <w:lang w:val="el-GR"/>
        </w:rPr>
        <w:t>mg</w:t>
      </w:r>
      <w:proofErr w:type="spellEnd"/>
      <w:r w:rsidRPr="00A66AB5">
        <w:rPr>
          <w:sz w:val="22"/>
          <w:szCs w:val="22"/>
          <w:lang w:val="el-GR"/>
        </w:rPr>
        <w:t xml:space="preserve">/ημέρα αυτή δεν θα πρέπει να πραγματοποιηθεί πριν από την ημέρα θεραπείας 22.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Η αποτελεσματικότητα και η ασφάλεια δεν έχουν αξιολογηθεί σε ασθενείς ηλικίας άνω των 65 ετών με καταθλιπτικά επεισόδια στο πλαίσιο διπολικής διαταραχής.</w:t>
      </w:r>
    </w:p>
    <w:p w:rsidR="00380EEB" w:rsidRPr="00A66AB5" w:rsidRDefault="00380EEB">
      <w:pPr>
        <w:pStyle w:val="a5"/>
        <w:rPr>
          <w:sz w:val="22"/>
          <w:szCs w:val="22"/>
          <w:lang w:val="el-GR"/>
        </w:rPr>
      </w:pPr>
    </w:p>
    <w:p w:rsidR="00380EEB" w:rsidRPr="00A66AB5" w:rsidRDefault="00CB761D">
      <w:pPr>
        <w:rPr>
          <w:b/>
          <w:sz w:val="22"/>
          <w:szCs w:val="22"/>
          <w:lang w:val="el-GR"/>
        </w:rPr>
      </w:pPr>
      <w:r>
        <w:rPr>
          <w:b/>
          <w:sz w:val="22"/>
          <w:szCs w:val="22"/>
          <w:lang w:val="el-GR"/>
        </w:rPr>
        <w:t>Παιδιά και Έφηβοι</w:t>
      </w:r>
      <w:r w:rsidR="009F6A7B">
        <w:rPr>
          <w:b/>
          <w:sz w:val="22"/>
          <w:szCs w:val="22"/>
          <w:lang w:val="el-GR"/>
        </w:rPr>
        <w:t>:</w:t>
      </w:r>
    </w:p>
    <w:p w:rsidR="00380EEB" w:rsidRPr="00A66AB5" w:rsidRDefault="00380EEB">
      <w:pPr>
        <w:jc w:val="both"/>
        <w:rPr>
          <w:sz w:val="22"/>
          <w:szCs w:val="22"/>
          <w:lang w:val="el-GR"/>
        </w:rPr>
      </w:pPr>
      <w:r w:rsidRPr="00A66AB5">
        <w:rPr>
          <w:sz w:val="22"/>
          <w:szCs w:val="22"/>
          <w:lang w:val="el-GR"/>
        </w:rPr>
        <w:t>Τ</w:t>
      </w:r>
      <w:r w:rsidR="009F6A7B">
        <w:rPr>
          <w:sz w:val="22"/>
          <w:szCs w:val="22"/>
          <w:lang w:val="el-GR"/>
        </w:rPr>
        <w:t xml:space="preserve">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9F6A7B" w:rsidRPr="00791987">
        <w:rPr>
          <w:sz w:val="22"/>
          <w:szCs w:val="22"/>
          <w:lang w:val="el-GR"/>
        </w:rPr>
        <w:t xml:space="preserve">50 </w:t>
      </w:r>
      <w:r w:rsidR="009F6A7B" w:rsidRPr="004E7035">
        <w:rPr>
          <w:sz w:val="22"/>
          <w:szCs w:val="22"/>
        </w:rPr>
        <w:t>mg</w:t>
      </w:r>
      <w:r w:rsidR="009F6A7B" w:rsidRPr="00791987">
        <w:rPr>
          <w:sz w:val="22"/>
          <w:szCs w:val="22"/>
          <w:lang w:val="el-GR"/>
        </w:rPr>
        <w:t xml:space="preserve"> / 200 </w:t>
      </w:r>
      <w:r w:rsidR="009F6A7B" w:rsidRPr="004E7035">
        <w:rPr>
          <w:sz w:val="22"/>
          <w:szCs w:val="22"/>
        </w:rPr>
        <w:t>mg</w:t>
      </w:r>
      <w:r w:rsidR="009F6A7B" w:rsidRPr="00791987">
        <w:rPr>
          <w:sz w:val="22"/>
          <w:szCs w:val="22"/>
          <w:lang w:val="el-GR"/>
        </w:rPr>
        <w:t xml:space="preserve"> / 300 </w:t>
      </w:r>
      <w:r w:rsidR="009F6A7B" w:rsidRPr="004E7035">
        <w:rPr>
          <w:sz w:val="22"/>
          <w:szCs w:val="22"/>
        </w:rPr>
        <w:t>mg</w:t>
      </w:r>
      <w:r w:rsidR="009F6A7B" w:rsidRPr="00791987">
        <w:rPr>
          <w:sz w:val="22"/>
          <w:szCs w:val="22"/>
          <w:lang w:val="el-GR"/>
        </w:rPr>
        <w:t xml:space="preserve"> / 400 </w:t>
      </w:r>
      <w:r w:rsidR="009F6A7B" w:rsidRPr="004E7035">
        <w:rPr>
          <w:sz w:val="22"/>
          <w:szCs w:val="22"/>
        </w:rPr>
        <w:t>mg</w:t>
      </w:r>
      <w:r w:rsidR="009F6A7B" w:rsidRPr="00791987">
        <w:rPr>
          <w:sz w:val="22"/>
          <w:szCs w:val="22"/>
          <w:lang w:val="el-GR"/>
        </w:rPr>
        <w:t xml:space="preserve"> δισκίο παρατεταμένης αποδέσμευσης</w:t>
      </w:r>
      <w:r w:rsidRPr="00A66AB5">
        <w:rPr>
          <w:sz w:val="22"/>
          <w:szCs w:val="22"/>
          <w:lang w:val="el-GR"/>
        </w:rPr>
        <w:t xml:space="preserve"> δεν συνιστ</w:t>
      </w:r>
      <w:r w:rsidR="009F6A7B">
        <w:rPr>
          <w:sz w:val="22"/>
          <w:szCs w:val="22"/>
          <w:lang w:val="el-GR"/>
        </w:rPr>
        <w:t>ά</w:t>
      </w:r>
      <w:r w:rsidRPr="00A66AB5">
        <w:rPr>
          <w:sz w:val="22"/>
          <w:szCs w:val="22"/>
          <w:lang w:val="el-GR"/>
        </w:rPr>
        <w:t xml:space="preserve">ται για χρήση σε παιδιά και εφήβους ηλικίας κάτω των 18 ετών, λόγω έλλειψης δεδομένων που να υποστηρίζουν τη χρήση σε αυτή την ηλικιακή ομάδα. Τα διαθέσιμα στοιχεία από κλινικές δοκιμές με έλεγχο εικονικού φαρμάκου με </w:t>
      </w:r>
      <w:proofErr w:type="spellStart"/>
      <w:r w:rsidRPr="00A66AB5">
        <w:rPr>
          <w:sz w:val="22"/>
          <w:szCs w:val="22"/>
          <w:lang w:val="el-GR"/>
        </w:rPr>
        <w:t>κουετιαπίνη</w:t>
      </w:r>
      <w:proofErr w:type="spellEnd"/>
      <w:r w:rsidRPr="00A66AB5">
        <w:rPr>
          <w:sz w:val="22"/>
          <w:szCs w:val="22"/>
          <w:lang w:val="el-GR"/>
        </w:rPr>
        <w:t xml:space="preserve"> παρουσιάζονται στις παραγράφους 4.4, 4.8, 5.1 και 5.2. </w:t>
      </w:r>
    </w:p>
    <w:p w:rsidR="00380EEB" w:rsidRPr="00A66AB5" w:rsidRDefault="00380EEB">
      <w:pPr>
        <w:jc w:val="both"/>
        <w:rPr>
          <w:b/>
          <w:sz w:val="22"/>
          <w:szCs w:val="22"/>
          <w:lang w:val="el-GR"/>
        </w:rPr>
      </w:pPr>
    </w:p>
    <w:p w:rsidR="00380EEB" w:rsidRPr="00A66AB5" w:rsidRDefault="00380EEB">
      <w:pPr>
        <w:jc w:val="both"/>
        <w:rPr>
          <w:b/>
          <w:sz w:val="22"/>
          <w:szCs w:val="22"/>
          <w:lang w:val="el-GR"/>
        </w:rPr>
      </w:pPr>
      <w:r w:rsidRPr="00A66AB5">
        <w:rPr>
          <w:b/>
          <w:sz w:val="22"/>
          <w:szCs w:val="22"/>
          <w:lang w:val="el-GR"/>
        </w:rPr>
        <w:t>Νεφρική δυσλειτουργία:</w:t>
      </w:r>
    </w:p>
    <w:p w:rsidR="00380EEB" w:rsidRPr="00A66AB5" w:rsidRDefault="00380EEB">
      <w:pPr>
        <w:jc w:val="both"/>
        <w:rPr>
          <w:sz w:val="22"/>
          <w:szCs w:val="22"/>
          <w:lang w:val="el-GR"/>
        </w:rPr>
      </w:pPr>
      <w:r w:rsidRPr="00A66AB5">
        <w:rPr>
          <w:sz w:val="22"/>
          <w:szCs w:val="22"/>
          <w:lang w:val="el-GR"/>
        </w:rPr>
        <w:t xml:space="preserve">Δεν απαιτείται προσαρμογή δοσολογίας σε ασθενείς με νεφρική δυσλειτουργία. </w:t>
      </w:r>
    </w:p>
    <w:p w:rsidR="00380EEB" w:rsidRPr="00A66AB5" w:rsidRDefault="00380EEB">
      <w:pPr>
        <w:jc w:val="both"/>
        <w:rPr>
          <w:b/>
          <w:sz w:val="22"/>
          <w:szCs w:val="22"/>
          <w:lang w:val="el-GR"/>
        </w:rPr>
      </w:pPr>
    </w:p>
    <w:p w:rsidR="00380EEB" w:rsidRPr="00A66AB5" w:rsidRDefault="00380EEB">
      <w:pPr>
        <w:jc w:val="both"/>
        <w:rPr>
          <w:b/>
          <w:sz w:val="22"/>
          <w:szCs w:val="22"/>
          <w:lang w:val="el-GR"/>
        </w:rPr>
      </w:pPr>
      <w:r w:rsidRPr="00A66AB5">
        <w:rPr>
          <w:b/>
          <w:sz w:val="22"/>
          <w:szCs w:val="22"/>
          <w:lang w:val="el-GR"/>
        </w:rPr>
        <w:t>Ηπατική δυσλειτουργία:</w:t>
      </w:r>
    </w:p>
    <w:p w:rsidR="00380EEB" w:rsidRPr="00A66AB5" w:rsidRDefault="00380EEB">
      <w:pPr>
        <w:jc w:val="both"/>
        <w:rPr>
          <w:sz w:val="22"/>
          <w:szCs w:val="22"/>
          <w:lang w:val="el-GR"/>
        </w:rPr>
      </w:pPr>
      <w:r w:rsidRPr="00A66AB5">
        <w:rPr>
          <w:sz w:val="22"/>
          <w:szCs w:val="22"/>
          <w:lang w:val="el-GR"/>
        </w:rPr>
        <w:t xml:space="preserve">Η </w:t>
      </w:r>
      <w:proofErr w:type="spellStart"/>
      <w:r w:rsidRPr="00A66AB5">
        <w:rPr>
          <w:sz w:val="22"/>
          <w:szCs w:val="22"/>
          <w:lang w:val="el-GR"/>
        </w:rPr>
        <w:t>κουετιαπίνη</w:t>
      </w:r>
      <w:proofErr w:type="spellEnd"/>
      <w:r w:rsidRPr="00A66AB5">
        <w:rPr>
          <w:sz w:val="22"/>
          <w:szCs w:val="22"/>
          <w:lang w:val="el-GR"/>
        </w:rPr>
        <w:t xml:space="preserve"> μεταβολίζεται εκτενώς από το ήπαρ. Επομένως, τ</w:t>
      </w:r>
      <w:r w:rsidR="009F6A7B">
        <w:rPr>
          <w:sz w:val="22"/>
          <w:szCs w:val="22"/>
          <w:lang w:val="el-GR"/>
        </w:rPr>
        <w:t xml:space="preserve">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9F6A7B" w:rsidRPr="00791987">
        <w:rPr>
          <w:sz w:val="22"/>
          <w:szCs w:val="22"/>
          <w:lang w:val="el-GR"/>
        </w:rPr>
        <w:t xml:space="preserve">50 </w:t>
      </w:r>
      <w:r w:rsidR="009F6A7B" w:rsidRPr="004E7035">
        <w:rPr>
          <w:sz w:val="22"/>
          <w:szCs w:val="22"/>
        </w:rPr>
        <w:t>mg</w:t>
      </w:r>
      <w:r w:rsidR="009F6A7B" w:rsidRPr="00791987">
        <w:rPr>
          <w:sz w:val="22"/>
          <w:szCs w:val="22"/>
          <w:lang w:val="el-GR"/>
        </w:rPr>
        <w:t xml:space="preserve"> / 200 </w:t>
      </w:r>
      <w:r w:rsidR="009F6A7B" w:rsidRPr="004E7035">
        <w:rPr>
          <w:sz w:val="22"/>
          <w:szCs w:val="22"/>
        </w:rPr>
        <w:t>mg</w:t>
      </w:r>
      <w:r w:rsidR="009F6A7B" w:rsidRPr="00791987">
        <w:rPr>
          <w:sz w:val="22"/>
          <w:szCs w:val="22"/>
          <w:lang w:val="el-GR"/>
        </w:rPr>
        <w:t xml:space="preserve"> / 300 </w:t>
      </w:r>
      <w:r w:rsidR="009F6A7B" w:rsidRPr="004E7035">
        <w:rPr>
          <w:sz w:val="22"/>
          <w:szCs w:val="22"/>
        </w:rPr>
        <w:t>mg</w:t>
      </w:r>
      <w:r w:rsidR="009F6A7B" w:rsidRPr="00791987">
        <w:rPr>
          <w:sz w:val="22"/>
          <w:szCs w:val="22"/>
          <w:lang w:val="el-GR"/>
        </w:rPr>
        <w:t xml:space="preserve"> / 400 </w:t>
      </w:r>
      <w:r w:rsidR="009F6A7B" w:rsidRPr="004E7035">
        <w:rPr>
          <w:sz w:val="22"/>
          <w:szCs w:val="22"/>
        </w:rPr>
        <w:t>mg</w:t>
      </w:r>
      <w:r w:rsidR="009F6A7B" w:rsidRPr="00791987">
        <w:rPr>
          <w:sz w:val="22"/>
          <w:szCs w:val="22"/>
          <w:lang w:val="el-GR"/>
        </w:rPr>
        <w:t xml:space="preserve"> δισκίο παρατεταμένης αποδέσμευσης</w:t>
      </w:r>
      <w:r w:rsidRPr="00A66AB5">
        <w:rPr>
          <w:sz w:val="22"/>
          <w:szCs w:val="22"/>
          <w:lang w:val="el-GR"/>
        </w:rPr>
        <w:t xml:space="preserve"> θα πρέπει να </w:t>
      </w:r>
      <w:r w:rsidR="009F6A7B" w:rsidRPr="00A66AB5">
        <w:rPr>
          <w:sz w:val="22"/>
          <w:szCs w:val="22"/>
          <w:lang w:val="el-GR"/>
        </w:rPr>
        <w:t>χρησιμοποι</w:t>
      </w:r>
      <w:r w:rsidR="009F6A7B">
        <w:rPr>
          <w:sz w:val="22"/>
          <w:szCs w:val="22"/>
          <w:lang w:val="el-GR"/>
        </w:rPr>
        <w:t>εί</w:t>
      </w:r>
      <w:r w:rsidR="009F6A7B" w:rsidRPr="00A66AB5">
        <w:rPr>
          <w:sz w:val="22"/>
          <w:szCs w:val="22"/>
          <w:lang w:val="el-GR"/>
        </w:rPr>
        <w:t xml:space="preserve">ται </w:t>
      </w:r>
      <w:r w:rsidRPr="00A66AB5">
        <w:rPr>
          <w:sz w:val="22"/>
          <w:szCs w:val="22"/>
          <w:lang w:val="el-GR"/>
        </w:rPr>
        <w:t xml:space="preserve">με προσοχή σε ασθενείς με γνωστή ηπατική δυσλειτουργία, ειδικά κατά τη διάρκεια της αρχικής περιόδου χορήγησης </w:t>
      </w:r>
      <w:r w:rsidR="006B3F1F" w:rsidRPr="00A66AB5">
        <w:rPr>
          <w:sz w:val="22"/>
          <w:szCs w:val="22"/>
          <w:lang w:val="el-GR"/>
        </w:rPr>
        <w:t xml:space="preserve">της </w:t>
      </w:r>
      <w:r w:rsidRPr="00A66AB5">
        <w:rPr>
          <w:sz w:val="22"/>
          <w:szCs w:val="22"/>
          <w:lang w:val="el-GR"/>
        </w:rPr>
        <w:t xml:space="preserve">δόσης. Οι ασθενείς με ηπατική δυσλειτουργία θα πρέπει να αρχίζουν με 50 </w:t>
      </w:r>
      <w:r w:rsidRPr="00A66AB5">
        <w:rPr>
          <w:sz w:val="22"/>
          <w:szCs w:val="22"/>
        </w:rPr>
        <w:t>mg</w:t>
      </w:r>
      <w:r w:rsidRPr="00A66AB5">
        <w:rPr>
          <w:sz w:val="22"/>
          <w:szCs w:val="22"/>
          <w:lang w:val="el-GR"/>
        </w:rPr>
        <w:t xml:space="preserve">/ημέρα. Η δόση μπορεί να αυξηθεί σε βήματα των 50 </w:t>
      </w:r>
      <w:r w:rsidRPr="00A66AB5">
        <w:rPr>
          <w:sz w:val="22"/>
          <w:szCs w:val="22"/>
        </w:rPr>
        <w:t>mg</w:t>
      </w:r>
      <w:r w:rsidRPr="00A66AB5">
        <w:rPr>
          <w:sz w:val="22"/>
          <w:szCs w:val="22"/>
          <w:lang w:val="el-GR"/>
        </w:rPr>
        <w:t xml:space="preserve">/ημέρα έως μια αποτελεσματική δόση, ανάλογα με την κλινική ανταπόκριση και την ανεκτικότητα του εκάστοτε ασθενούς. </w:t>
      </w:r>
    </w:p>
    <w:p w:rsidR="00380EEB" w:rsidRPr="00A66AB5" w:rsidRDefault="00380EEB">
      <w:pPr>
        <w:autoSpaceDE w:val="0"/>
        <w:autoSpaceDN w:val="0"/>
        <w:adjustRightInd w:val="0"/>
        <w:jc w:val="both"/>
        <w:rPr>
          <w:sz w:val="22"/>
          <w:szCs w:val="22"/>
          <w:lang w:val="el-GR"/>
        </w:rPr>
      </w:pPr>
    </w:p>
    <w:p w:rsidR="00380EEB" w:rsidRPr="00A66AB5" w:rsidRDefault="00380EEB">
      <w:pPr>
        <w:jc w:val="both"/>
        <w:rPr>
          <w:b/>
          <w:sz w:val="22"/>
          <w:szCs w:val="22"/>
          <w:lang w:val="el-GR"/>
        </w:rPr>
      </w:pPr>
      <w:r w:rsidRPr="00A66AB5">
        <w:rPr>
          <w:b/>
          <w:sz w:val="22"/>
          <w:szCs w:val="22"/>
          <w:lang w:val="el-GR"/>
        </w:rPr>
        <w:t>4.3</w:t>
      </w:r>
      <w:r w:rsidRPr="00A66AB5">
        <w:rPr>
          <w:b/>
          <w:sz w:val="22"/>
          <w:szCs w:val="22"/>
          <w:lang w:val="el-GR"/>
        </w:rPr>
        <w:tab/>
      </w:r>
      <w:r w:rsidR="00D84C48" w:rsidRPr="00A66AB5">
        <w:rPr>
          <w:b/>
          <w:sz w:val="22"/>
          <w:szCs w:val="22"/>
          <w:lang w:val="el-GR"/>
        </w:rPr>
        <w:t>Α</w:t>
      </w:r>
      <w:r w:rsidR="009F6A7B">
        <w:rPr>
          <w:b/>
          <w:sz w:val="22"/>
          <w:szCs w:val="22"/>
          <w:lang w:val="el-GR"/>
        </w:rPr>
        <w:t>ντενδείξεις</w:t>
      </w:r>
    </w:p>
    <w:p w:rsidR="00380EEB" w:rsidRPr="009F6A7B" w:rsidRDefault="00380EEB">
      <w:pPr>
        <w:jc w:val="both"/>
        <w:rPr>
          <w:sz w:val="22"/>
          <w:szCs w:val="22"/>
          <w:lang w:val="el-GR"/>
        </w:rPr>
      </w:pPr>
    </w:p>
    <w:p w:rsidR="00380EEB" w:rsidRPr="00791987" w:rsidRDefault="00380EEB">
      <w:pPr>
        <w:pStyle w:val="2"/>
        <w:rPr>
          <w:bCs/>
          <w:sz w:val="22"/>
          <w:szCs w:val="22"/>
          <w:lang w:val="el-GR"/>
        </w:rPr>
      </w:pPr>
      <w:r w:rsidRPr="00791987">
        <w:rPr>
          <w:bCs/>
          <w:sz w:val="22"/>
          <w:szCs w:val="22"/>
          <w:lang w:val="el-GR"/>
        </w:rPr>
        <w:t xml:space="preserve">Υπερευαισθησία στη δραστική ουσία ή σε κάποιο από τα έκδοχα </w:t>
      </w:r>
      <w:r w:rsidR="00E45598" w:rsidRPr="00791987">
        <w:rPr>
          <w:bCs/>
          <w:sz w:val="22"/>
          <w:szCs w:val="22"/>
          <w:lang w:val="el-GR"/>
        </w:rPr>
        <w:t>που αναφέρονται στην παράγραφο 6.1.</w:t>
      </w:r>
    </w:p>
    <w:p w:rsidR="00380EEB" w:rsidRPr="00A66AB5" w:rsidRDefault="00380EEB">
      <w:pPr>
        <w:pStyle w:val="2"/>
        <w:rPr>
          <w:b/>
          <w:bCs/>
          <w:sz w:val="22"/>
          <w:szCs w:val="22"/>
          <w:lang w:val="el-GR"/>
        </w:rPr>
      </w:pPr>
    </w:p>
    <w:p w:rsidR="00380EEB" w:rsidRPr="00AA4FA4" w:rsidRDefault="00380EEB">
      <w:pPr>
        <w:autoSpaceDE w:val="0"/>
        <w:autoSpaceDN w:val="0"/>
        <w:adjustRightInd w:val="0"/>
        <w:jc w:val="both"/>
        <w:rPr>
          <w:b/>
          <w:sz w:val="22"/>
          <w:szCs w:val="22"/>
          <w:lang w:val="el-GR"/>
        </w:rPr>
      </w:pPr>
      <w:r w:rsidRPr="00A66AB5">
        <w:rPr>
          <w:sz w:val="22"/>
          <w:szCs w:val="22"/>
          <w:lang w:val="el-GR"/>
        </w:rPr>
        <w:t xml:space="preserve">Αντενδείκνυται η ταυτόχρονη χορήγηση αναστολέων του κυτοχρώματος P450 3A4, όπως αναστολείς </w:t>
      </w:r>
      <w:proofErr w:type="spellStart"/>
      <w:r w:rsidRPr="00A66AB5">
        <w:rPr>
          <w:sz w:val="22"/>
          <w:szCs w:val="22"/>
          <w:lang w:val="el-GR"/>
        </w:rPr>
        <w:t>πρωτεασών</w:t>
      </w:r>
      <w:proofErr w:type="spellEnd"/>
      <w:r w:rsidRPr="00A66AB5">
        <w:rPr>
          <w:sz w:val="22"/>
          <w:szCs w:val="22"/>
          <w:lang w:val="el-GR"/>
        </w:rPr>
        <w:t xml:space="preserve"> HIV</w:t>
      </w:r>
      <w:r w:rsidR="00CB761D">
        <w:rPr>
          <w:sz w:val="22"/>
          <w:szCs w:val="22"/>
          <w:lang w:val="el-GR"/>
        </w:rPr>
        <w:t xml:space="preserve"> και </w:t>
      </w:r>
      <w:r w:rsidR="00CB761D">
        <w:rPr>
          <w:sz w:val="22"/>
          <w:szCs w:val="22"/>
        </w:rPr>
        <w:t>HCV</w:t>
      </w:r>
      <w:r w:rsidRPr="00A66AB5">
        <w:rPr>
          <w:sz w:val="22"/>
          <w:szCs w:val="22"/>
          <w:lang w:val="el-GR"/>
        </w:rPr>
        <w:t xml:space="preserve">, </w:t>
      </w:r>
      <w:proofErr w:type="spellStart"/>
      <w:r w:rsidRPr="00A66AB5">
        <w:rPr>
          <w:sz w:val="22"/>
          <w:szCs w:val="22"/>
          <w:lang w:val="el-GR"/>
        </w:rPr>
        <w:t>αντιμυκητιασικοί</w:t>
      </w:r>
      <w:proofErr w:type="spellEnd"/>
      <w:r w:rsidRPr="00A66AB5">
        <w:rPr>
          <w:sz w:val="22"/>
          <w:szCs w:val="22"/>
          <w:lang w:val="el-GR"/>
        </w:rPr>
        <w:t xml:space="preserve"> παράγοντες του τύπου των </w:t>
      </w:r>
      <w:proofErr w:type="spellStart"/>
      <w:r w:rsidRPr="00A66AB5">
        <w:rPr>
          <w:sz w:val="22"/>
          <w:szCs w:val="22"/>
          <w:lang w:val="el-GR"/>
        </w:rPr>
        <w:t>αζολών</w:t>
      </w:r>
      <w:proofErr w:type="spellEnd"/>
      <w:r w:rsidRPr="00A66AB5">
        <w:rPr>
          <w:sz w:val="22"/>
          <w:szCs w:val="22"/>
          <w:lang w:val="el-GR"/>
        </w:rPr>
        <w:t xml:space="preserve">, η </w:t>
      </w:r>
      <w:proofErr w:type="spellStart"/>
      <w:r w:rsidRPr="00A66AB5">
        <w:rPr>
          <w:sz w:val="22"/>
          <w:szCs w:val="22"/>
          <w:lang w:val="el-GR"/>
        </w:rPr>
        <w:t>ερυθρομυκίνη</w:t>
      </w:r>
      <w:proofErr w:type="spellEnd"/>
      <w:r w:rsidRPr="00A66AB5">
        <w:rPr>
          <w:sz w:val="22"/>
          <w:szCs w:val="22"/>
          <w:lang w:val="el-GR"/>
        </w:rPr>
        <w:t xml:space="preserve">, η </w:t>
      </w:r>
      <w:proofErr w:type="spellStart"/>
      <w:r w:rsidRPr="00A66AB5">
        <w:rPr>
          <w:sz w:val="22"/>
          <w:szCs w:val="22"/>
          <w:lang w:val="el-GR"/>
        </w:rPr>
        <w:t>κλαριθρομυκίνη</w:t>
      </w:r>
      <w:proofErr w:type="spellEnd"/>
      <w:r w:rsidRPr="00A66AB5">
        <w:rPr>
          <w:sz w:val="22"/>
          <w:szCs w:val="22"/>
          <w:lang w:val="el-GR"/>
        </w:rPr>
        <w:t xml:space="preserve"> και η </w:t>
      </w:r>
      <w:proofErr w:type="spellStart"/>
      <w:r w:rsidRPr="00A66AB5">
        <w:rPr>
          <w:sz w:val="22"/>
          <w:szCs w:val="22"/>
          <w:lang w:val="el-GR"/>
        </w:rPr>
        <w:t>νεφαζοδόνη</w:t>
      </w:r>
      <w:proofErr w:type="spellEnd"/>
      <w:r w:rsidRPr="00A66AB5">
        <w:rPr>
          <w:sz w:val="22"/>
          <w:szCs w:val="22"/>
          <w:lang w:val="el-GR"/>
        </w:rPr>
        <w:t>.  (Βλ. παράγραφο 4.5).</w:t>
      </w:r>
    </w:p>
    <w:p w:rsidR="00380EEB" w:rsidRPr="00AA4FA4" w:rsidRDefault="00380EEB">
      <w:pPr>
        <w:pStyle w:val="a3"/>
        <w:tabs>
          <w:tab w:val="clear" w:pos="4320"/>
          <w:tab w:val="clear" w:pos="8640"/>
        </w:tabs>
        <w:rPr>
          <w:sz w:val="22"/>
          <w:szCs w:val="22"/>
          <w:lang w:val="el-GR"/>
        </w:rPr>
      </w:pPr>
    </w:p>
    <w:p w:rsidR="00380EEB" w:rsidRPr="00A66AB5" w:rsidRDefault="009F6A7B">
      <w:pPr>
        <w:pStyle w:val="a3"/>
        <w:numPr>
          <w:ilvl w:val="1"/>
          <w:numId w:val="3"/>
        </w:numPr>
        <w:tabs>
          <w:tab w:val="clear" w:pos="4320"/>
          <w:tab w:val="clear" w:pos="8640"/>
        </w:tabs>
        <w:rPr>
          <w:b/>
          <w:sz w:val="22"/>
          <w:szCs w:val="22"/>
          <w:lang w:val="el-GR"/>
        </w:rPr>
      </w:pPr>
      <w:r>
        <w:rPr>
          <w:b/>
          <w:sz w:val="22"/>
          <w:szCs w:val="22"/>
          <w:lang w:val="el-GR"/>
        </w:rPr>
        <w:t>Ειδικές προειδοποιήσεις και προφυλάξεις κατά τη χρήση:</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Καθώς τ</w:t>
      </w:r>
      <w:r w:rsidR="009F6A7B">
        <w:rPr>
          <w:sz w:val="22"/>
          <w:szCs w:val="22"/>
          <w:lang w:val="el-GR"/>
        </w:rPr>
        <w:t xml:space="preserve">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D65C75" w:rsidRPr="002471CA">
        <w:rPr>
          <w:sz w:val="22"/>
          <w:szCs w:val="22"/>
          <w:lang w:val="el-GR"/>
        </w:rPr>
        <w:t xml:space="preserve"> </w:t>
      </w:r>
      <w:r w:rsidR="009F6A7B" w:rsidRPr="00791987">
        <w:rPr>
          <w:sz w:val="22"/>
          <w:szCs w:val="22"/>
          <w:lang w:val="el-GR"/>
        </w:rPr>
        <w:t xml:space="preserve">50 </w:t>
      </w:r>
      <w:r w:rsidR="009F6A7B" w:rsidRPr="004E7035">
        <w:rPr>
          <w:sz w:val="22"/>
          <w:szCs w:val="22"/>
        </w:rPr>
        <w:t>mg</w:t>
      </w:r>
      <w:r w:rsidR="009F6A7B" w:rsidRPr="00791987">
        <w:rPr>
          <w:sz w:val="22"/>
          <w:szCs w:val="22"/>
          <w:lang w:val="el-GR"/>
        </w:rPr>
        <w:t xml:space="preserve"> / 200 </w:t>
      </w:r>
      <w:r w:rsidR="009F6A7B" w:rsidRPr="004E7035">
        <w:rPr>
          <w:sz w:val="22"/>
          <w:szCs w:val="22"/>
        </w:rPr>
        <w:t>mg</w:t>
      </w:r>
      <w:r w:rsidR="009F6A7B" w:rsidRPr="00791987">
        <w:rPr>
          <w:sz w:val="22"/>
          <w:szCs w:val="22"/>
          <w:lang w:val="el-GR"/>
        </w:rPr>
        <w:t xml:space="preserve"> / 300 </w:t>
      </w:r>
      <w:r w:rsidR="009F6A7B" w:rsidRPr="004E7035">
        <w:rPr>
          <w:sz w:val="22"/>
          <w:szCs w:val="22"/>
        </w:rPr>
        <w:t>mg</w:t>
      </w:r>
      <w:r w:rsidR="009F6A7B" w:rsidRPr="00791987">
        <w:rPr>
          <w:sz w:val="22"/>
          <w:szCs w:val="22"/>
          <w:lang w:val="el-GR"/>
        </w:rPr>
        <w:t xml:space="preserve"> / 400 </w:t>
      </w:r>
      <w:r w:rsidR="009F6A7B" w:rsidRPr="004E7035">
        <w:rPr>
          <w:sz w:val="22"/>
          <w:szCs w:val="22"/>
        </w:rPr>
        <w:t>mg</w:t>
      </w:r>
      <w:r w:rsidR="009F6A7B" w:rsidRPr="00791987">
        <w:rPr>
          <w:sz w:val="22"/>
          <w:szCs w:val="22"/>
          <w:lang w:val="el-GR"/>
        </w:rPr>
        <w:t xml:space="preserve"> δισκίο παρατεταμένης αποδέσμευσης</w:t>
      </w:r>
      <w:r w:rsidRPr="00A66AB5">
        <w:rPr>
          <w:sz w:val="22"/>
          <w:szCs w:val="22"/>
          <w:lang w:val="el-GR"/>
        </w:rPr>
        <w:t xml:space="preserve"> ενδείκνυται για τη θεραπεία της σχιζοφρένειας, της διπολικής διαταραχής και ως θεραπεία προσθήκης των </w:t>
      </w:r>
      <w:proofErr w:type="spellStart"/>
      <w:r w:rsidRPr="00A66AB5">
        <w:rPr>
          <w:sz w:val="22"/>
          <w:szCs w:val="22"/>
          <w:lang w:val="el-GR"/>
        </w:rPr>
        <w:t>μείζονων</w:t>
      </w:r>
      <w:proofErr w:type="spellEnd"/>
      <w:r w:rsidRPr="00A66AB5">
        <w:rPr>
          <w:sz w:val="22"/>
          <w:szCs w:val="22"/>
          <w:lang w:val="el-GR"/>
        </w:rPr>
        <w:t xml:space="preserve"> καταθλιπτικών επεισοδίων σε ασθενείς με ΜΚΔ, το προφίλ ασφάλειας θα πρέπει να εξεταστεί σε σχέση με τη διάγνωση του εκάστοτε ασθενούς και τη δόση που χορηγείται.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Η μακροπρόθεσμη αποτελεσματικότητα και ασφάλεια σε ασθενείς με ΜΚΔ δεν έχει αξιολογηθεί ως θεραπεία προσθήκης, ωστόσο, η μακροπρόθεσμη αποτελεσματικότητα και ασφάλεια έχουν αξιολογηθεί σε ενήλικες ασθενείς ως </w:t>
      </w:r>
      <w:proofErr w:type="spellStart"/>
      <w:r w:rsidRPr="00A66AB5">
        <w:rPr>
          <w:sz w:val="22"/>
          <w:szCs w:val="22"/>
          <w:lang w:val="el-GR"/>
        </w:rPr>
        <w:t>μονοθεραπεία</w:t>
      </w:r>
      <w:proofErr w:type="spellEnd"/>
      <w:r w:rsidRPr="00A66AB5">
        <w:rPr>
          <w:sz w:val="22"/>
          <w:szCs w:val="22"/>
          <w:lang w:val="el-GR"/>
        </w:rPr>
        <w:t xml:space="preserve"> (βλ. παράγραφο 5.1).</w:t>
      </w:r>
    </w:p>
    <w:p w:rsidR="009F6913" w:rsidRPr="00A66AB5" w:rsidRDefault="009F6913">
      <w:pPr>
        <w:jc w:val="both"/>
        <w:rPr>
          <w:sz w:val="22"/>
          <w:szCs w:val="22"/>
          <w:lang w:val="el-GR"/>
        </w:rPr>
      </w:pPr>
    </w:p>
    <w:p w:rsidR="009F6913" w:rsidRPr="00A66AB5" w:rsidRDefault="009F6913">
      <w:pPr>
        <w:jc w:val="both"/>
        <w:rPr>
          <w:sz w:val="22"/>
          <w:szCs w:val="22"/>
          <w:lang w:val="el-GR"/>
        </w:rPr>
      </w:pPr>
    </w:p>
    <w:p w:rsidR="00380EEB" w:rsidRPr="00A66AB5" w:rsidRDefault="00E2007B">
      <w:pPr>
        <w:jc w:val="both"/>
        <w:rPr>
          <w:b/>
          <w:sz w:val="22"/>
          <w:szCs w:val="22"/>
          <w:lang w:val="el-GR"/>
        </w:rPr>
      </w:pPr>
      <w:r>
        <w:rPr>
          <w:b/>
          <w:sz w:val="22"/>
          <w:szCs w:val="22"/>
          <w:lang w:val="el-GR"/>
        </w:rPr>
        <w:t>Παιδιά και Έφηβοι (10 με 17 ετών)</w:t>
      </w:r>
    </w:p>
    <w:p w:rsidR="00380EEB" w:rsidRPr="00A66AB5" w:rsidRDefault="00662405">
      <w:pPr>
        <w:jc w:val="both"/>
        <w:rPr>
          <w:sz w:val="22"/>
          <w:szCs w:val="22"/>
          <w:lang w:val="el-GR"/>
        </w:rPr>
      </w:pPr>
      <w:r>
        <w:rPr>
          <w:sz w:val="22"/>
          <w:szCs w:val="22"/>
          <w:lang w:val="el-GR"/>
        </w:rPr>
        <w:t>Η</w:t>
      </w:r>
      <w:r w:rsidR="00380EEB" w:rsidRPr="00A66AB5">
        <w:rPr>
          <w:sz w:val="22"/>
          <w:szCs w:val="22"/>
          <w:lang w:val="el-GR"/>
        </w:rPr>
        <w:t xml:space="preserve"> </w:t>
      </w:r>
      <w:proofErr w:type="spellStart"/>
      <w:r w:rsidR="00380EEB" w:rsidRPr="00A66AB5">
        <w:rPr>
          <w:sz w:val="22"/>
          <w:szCs w:val="22"/>
          <w:lang w:val="el-GR"/>
        </w:rPr>
        <w:t>κουετιαπίνη</w:t>
      </w:r>
      <w:proofErr w:type="spellEnd"/>
      <w:r w:rsidR="00380EEB" w:rsidRPr="00A66AB5">
        <w:rPr>
          <w:sz w:val="22"/>
          <w:szCs w:val="22"/>
          <w:lang w:val="el-GR"/>
        </w:rPr>
        <w:t xml:space="preserve"> δεν </w:t>
      </w:r>
      <w:r w:rsidRPr="00A66AB5">
        <w:rPr>
          <w:sz w:val="22"/>
          <w:szCs w:val="22"/>
          <w:lang w:val="el-GR"/>
        </w:rPr>
        <w:t>συνιστ</w:t>
      </w:r>
      <w:r>
        <w:rPr>
          <w:sz w:val="22"/>
          <w:szCs w:val="22"/>
          <w:lang w:val="el-GR"/>
        </w:rPr>
        <w:t>ά</w:t>
      </w:r>
      <w:r w:rsidRPr="00A66AB5">
        <w:rPr>
          <w:sz w:val="22"/>
          <w:szCs w:val="22"/>
          <w:lang w:val="el-GR"/>
        </w:rPr>
        <w:t xml:space="preserve">ται </w:t>
      </w:r>
      <w:r w:rsidR="00380EEB" w:rsidRPr="00A66AB5">
        <w:rPr>
          <w:sz w:val="22"/>
          <w:szCs w:val="22"/>
          <w:lang w:val="el-GR"/>
        </w:rPr>
        <w:t xml:space="preserve">για χρήση σε παιδιά και εφήβους ηλικίας κάτω των 18 ετών, λόγω έλλειψης δεδομένων που να υποστηρίζουν τη χρήση σε αυτή την ηλικιακή ομάδα. Οι </w:t>
      </w:r>
      <w:r w:rsidR="00380EEB" w:rsidRPr="00A66AB5">
        <w:rPr>
          <w:sz w:val="22"/>
          <w:szCs w:val="22"/>
          <w:lang w:val="el-GR"/>
        </w:rPr>
        <w:lastRenderedPageBreak/>
        <w:t xml:space="preserve">κλινικές δοκιμές </w:t>
      </w:r>
      <w:r>
        <w:rPr>
          <w:sz w:val="22"/>
          <w:szCs w:val="22"/>
          <w:lang w:val="el-GR"/>
        </w:rPr>
        <w:t>για</w:t>
      </w:r>
      <w:r w:rsidRPr="00A66AB5">
        <w:rPr>
          <w:sz w:val="22"/>
          <w:szCs w:val="22"/>
          <w:lang w:val="el-GR"/>
        </w:rPr>
        <w:t xml:space="preserve"> </w:t>
      </w:r>
      <w:r>
        <w:rPr>
          <w:sz w:val="22"/>
          <w:szCs w:val="22"/>
          <w:lang w:val="el-GR"/>
        </w:rPr>
        <w:t>την</w:t>
      </w:r>
      <w:r w:rsidR="00380EEB" w:rsidRPr="00A66AB5">
        <w:rPr>
          <w:sz w:val="22"/>
          <w:szCs w:val="22"/>
          <w:lang w:val="el-GR"/>
        </w:rPr>
        <w:t xml:space="preserve"> </w:t>
      </w:r>
      <w:proofErr w:type="spellStart"/>
      <w:r w:rsidR="00380EEB" w:rsidRPr="00A66AB5">
        <w:rPr>
          <w:sz w:val="22"/>
          <w:szCs w:val="22"/>
          <w:lang w:val="el-GR"/>
        </w:rPr>
        <w:t>κουετιαπίνη</w:t>
      </w:r>
      <w:proofErr w:type="spellEnd"/>
      <w:r w:rsidR="00380EEB" w:rsidRPr="00A66AB5">
        <w:rPr>
          <w:sz w:val="22"/>
          <w:szCs w:val="22"/>
          <w:lang w:val="el-GR"/>
        </w:rPr>
        <w:t xml:space="preserve"> έχουν καταδείξει ότι εκτός από το γνωστό προφίλ ασφάλειας που έχει αναγνωριστεί στους ενήλικες (βλ. παράγραφο 4.8), ορισμένα ανεπιθύμητα συμβάντα έχουν παρατηρηθεί με αυξημένη συχνότητα σε παιδιά και εφήβους σε σύγκριση με τους ενήλικες (αυξημένη όρεξη, αυξήσεις στην </w:t>
      </w:r>
      <w:proofErr w:type="spellStart"/>
      <w:r w:rsidR="00380EEB" w:rsidRPr="00A66AB5">
        <w:rPr>
          <w:sz w:val="22"/>
          <w:szCs w:val="22"/>
          <w:lang w:val="el-GR"/>
        </w:rPr>
        <w:t>προλακτίνη</w:t>
      </w:r>
      <w:proofErr w:type="spellEnd"/>
      <w:r w:rsidR="00380EEB" w:rsidRPr="00A66AB5">
        <w:rPr>
          <w:sz w:val="22"/>
          <w:szCs w:val="22"/>
          <w:lang w:val="el-GR"/>
        </w:rPr>
        <w:t xml:space="preserve"> ορού</w:t>
      </w:r>
      <w:r w:rsidR="00E2007B">
        <w:rPr>
          <w:sz w:val="22"/>
          <w:szCs w:val="22"/>
          <w:lang w:val="el-GR"/>
        </w:rPr>
        <w:t xml:space="preserve">, </w:t>
      </w:r>
      <w:r w:rsidR="007401A7">
        <w:rPr>
          <w:sz w:val="22"/>
          <w:szCs w:val="22"/>
          <w:lang w:val="el-GR"/>
        </w:rPr>
        <w:t>έμετος, ρινίτιδα και συγκοπή</w:t>
      </w:r>
      <w:r w:rsidR="00310532" w:rsidRPr="001F02A0">
        <w:rPr>
          <w:sz w:val="22"/>
          <w:szCs w:val="22"/>
          <w:lang w:val="el-GR"/>
        </w:rPr>
        <w:t>)</w:t>
      </w:r>
      <w:r w:rsidR="007401A7">
        <w:rPr>
          <w:sz w:val="22"/>
          <w:szCs w:val="22"/>
          <w:lang w:val="el-GR"/>
        </w:rPr>
        <w:t xml:space="preserve"> ή μπορεί να έχουν διαφορετικές επιπτώσεις σε παιδιά και εφήβους (</w:t>
      </w:r>
      <w:proofErr w:type="spellStart"/>
      <w:r w:rsidR="007401A7">
        <w:rPr>
          <w:sz w:val="22"/>
          <w:szCs w:val="22"/>
          <w:lang w:val="el-GR"/>
        </w:rPr>
        <w:t>εξωπυραμιδικά</w:t>
      </w:r>
      <w:proofErr w:type="spellEnd"/>
      <w:r w:rsidR="007401A7">
        <w:rPr>
          <w:sz w:val="22"/>
          <w:szCs w:val="22"/>
          <w:lang w:val="el-GR"/>
        </w:rPr>
        <w:t xml:space="preserve"> συμπτώματα</w:t>
      </w:r>
      <w:r w:rsidR="00380EEB" w:rsidRPr="00A66AB5">
        <w:rPr>
          <w:sz w:val="22"/>
          <w:szCs w:val="22"/>
          <w:lang w:val="el-GR"/>
        </w:rPr>
        <w:t xml:space="preserve">) και αναγνωρίστηκε ένα συμβάν το οποίο δεν είχε παρατηρηθεί προηγούμενα σε μελέτες σε ενήλικες (αύξηση στην αρτηριακή πίεση). Έχουν επίσης παρατηρηθεί αλλαγές στις δοκιμασίες </w:t>
      </w:r>
      <w:proofErr w:type="spellStart"/>
      <w:r w:rsidR="00380EEB" w:rsidRPr="00A66AB5">
        <w:rPr>
          <w:sz w:val="22"/>
          <w:szCs w:val="22"/>
          <w:lang w:val="el-GR"/>
        </w:rPr>
        <w:t>θυρεοειδικής</w:t>
      </w:r>
      <w:proofErr w:type="spellEnd"/>
      <w:r w:rsidR="00380EEB" w:rsidRPr="00A66AB5">
        <w:rPr>
          <w:sz w:val="22"/>
          <w:szCs w:val="22"/>
          <w:lang w:val="el-GR"/>
        </w:rPr>
        <w:t xml:space="preserve"> λειτουργίας σε παιδιά και εφήβους. </w:t>
      </w:r>
    </w:p>
    <w:p w:rsidR="00101225" w:rsidRPr="00A66AB5" w:rsidRDefault="00101225">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Επιπλέον, οι μακροπρόθεσμες επιπτώσεις ασφάλειας της θεραπείας με </w:t>
      </w:r>
      <w:proofErr w:type="spellStart"/>
      <w:r w:rsidRPr="00A66AB5">
        <w:rPr>
          <w:sz w:val="22"/>
          <w:szCs w:val="22"/>
          <w:lang w:val="el-GR"/>
        </w:rPr>
        <w:t>κουετιαπίνη</w:t>
      </w:r>
      <w:proofErr w:type="spellEnd"/>
      <w:r w:rsidRPr="00A66AB5">
        <w:rPr>
          <w:sz w:val="22"/>
          <w:szCs w:val="22"/>
          <w:lang w:val="el-GR"/>
        </w:rPr>
        <w:t xml:space="preserve"> στην αύξηση και την ωρίμανση δεν έχουν μελετηθεί πέραν των 26 εβδομάδων. Οι μακροπρόθεσμες επιπτώσεις για τη </w:t>
      </w:r>
      <w:proofErr w:type="spellStart"/>
      <w:r w:rsidRPr="00A66AB5">
        <w:rPr>
          <w:sz w:val="22"/>
          <w:szCs w:val="22"/>
          <w:lang w:val="el-GR"/>
        </w:rPr>
        <w:t>γνωσιακή</w:t>
      </w:r>
      <w:proofErr w:type="spellEnd"/>
      <w:r w:rsidRPr="00A66AB5">
        <w:rPr>
          <w:sz w:val="22"/>
          <w:szCs w:val="22"/>
          <w:lang w:val="el-GR"/>
        </w:rPr>
        <w:t xml:space="preserve"> και </w:t>
      </w:r>
      <w:proofErr w:type="spellStart"/>
      <w:r w:rsidRPr="00A66AB5">
        <w:rPr>
          <w:sz w:val="22"/>
          <w:szCs w:val="22"/>
          <w:lang w:val="el-GR"/>
        </w:rPr>
        <w:t>συμπεριφορική</w:t>
      </w:r>
      <w:proofErr w:type="spellEnd"/>
      <w:r w:rsidRPr="00A66AB5">
        <w:rPr>
          <w:sz w:val="22"/>
          <w:szCs w:val="22"/>
          <w:lang w:val="el-GR"/>
        </w:rPr>
        <w:t xml:space="preserve"> ανάπτυξη δεν είναι γνωστές.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Σε κλινικές δοκιμές με έλεγχο εικονικού φαρμάκου σε παιδιά και εφήβους ασθενείς η </w:t>
      </w:r>
      <w:proofErr w:type="spellStart"/>
      <w:r w:rsidRPr="00A66AB5">
        <w:rPr>
          <w:sz w:val="22"/>
          <w:szCs w:val="22"/>
          <w:lang w:val="el-GR"/>
        </w:rPr>
        <w:t>κουετιαπίνη</w:t>
      </w:r>
      <w:proofErr w:type="spellEnd"/>
      <w:r w:rsidRPr="00A66AB5">
        <w:rPr>
          <w:sz w:val="22"/>
          <w:szCs w:val="22"/>
          <w:lang w:val="el-GR"/>
        </w:rPr>
        <w:t xml:space="preserve"> συσχετίστηκε με αυξημένη επίπτωση </w:t>
      </w:r>
      <w:proofErr w:type="spellStart"/>
      <w:r w:rsidRPr="00A66AB5">
        <w:rPr>
          <w:sz w:val="22"/>
          <w:szCs w:val="22"/>
          <w:lang w:val="el-GR"/>
        </w:rPr>
        <w:t>εξωπυραμιδικών</w:t>
      </w:r>
      <w:proofErr w:type="spellEnd"/>
      <w:r w:rsidRPr="00A66AB5">
        <w:rPr>
          <w:sz w:val="22"/>
          <w:szCs w:val="22"/>
          <w:lang w:val="el-GR"/>
        </w:rPr>
        <w:t xml:space="preserve"> συμπτωμάτων (ΕΠΣ) σε σύγκριση με ασθενείς που έλαβαν θεραπεία για σχιζοφρένεια και διπολική μανία (βλ. παράγραφο 4.8).</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b/>
          <w:sz w:val="22"/>
          <w:szCs w:val="22"/>
          <w:lang w:val="el-GR"/>
        </w:rPr>
        <w:t>Αυτοκτονία/αυτοκτονικές σκέψεις ή κλινική επιδείνωση</w:t>
      </w:r>
      <w:r w:rsidR="00365371">
        <w:rPr>
          <w:b/>
          <w:sz w:val="22"/>
          <w:szCs w:val="22"/>
          <w:lang w:val="el-GR"/>
        </w:rPr>
        <w:t>:</w:t>
      </w:r>
      <w:r w:rsidRPr="00A66AB5">
        <w:rPr>
          <w:b/>
          <w:sz w:val="22"/>
          <w:szCs w:val="22"/>
          <w:lang w:val="el-GR"/>
        </w:rPr>
        <w:t xml:space="preserve"> </w:t>
      </w:r>
    </w:p>
    <w:p w:rsidR="00380EEB" w:rsidRPr="00A66AB5" w:rsidRDefault="00380EEB">
      <w:pPr>
        <w:jc w:val="both"/>
        <w:rPr>
          <w:sz w:val="22"/>
          <w:szCs w:val="22"/>
          <w:lang w:val="el-GR"/>
        </w:rPr>
      </w:pPr>
      <w:r w:rsidRPr="00A66AB5">
        <w:rPr>
          <w:sz w:val="22"/>
          <w:szCs w:val="22"/>
          <w:lang w:val="el-GR"/>
        </w:rPr>
        <w:t xml:space="preserve">Η κατάθλιψη συσχετίζεται με αυξημένο κίνδυνο αυτοκτονικών σκέψεων, αυτοτραυματισμού και αυτοκτονίας (συμβάντα που σχετίζονται με αυτοκτονία). Αυτός ο κίνδυνος επιμένει μέχρι να παρατηρηθεί σημαντική ύφεση. Καθώς ενδέχεται να μην παρατηρηθεί βελτίωση κατά τη διάρκεια των πρώτων λίγων ή περισσότερων εβδομάδων θεραπείας, οι ασθενείς θα πρέπει να υποβάλλονται σε στενή παρακολούθηση μέχρι να παρατηρηθεί μια τέτοια βελτίωση. Αποτελεί γενική κλινική εμπειρία ότι ο κίνδυνος αυτοκτονίας ενδέχεται να αυξηθεί στα αρχικά στάδια της ανάρρωσης. Επιπλέον, οι ιατροί θα πρέπει να εξετάσουν τον πιθανό κίνδυνο συμβάντων που σχετίζονται με αυτοκτονία μετά την απότομη διακοπή της θεραπείας με </w:t>
      </w:r>
      <w:proofErr w:type="spellStart"/>
      <w:r w:rsidRPr="00A66AB5">
        <w:rPr>
          <w:sz w:val="22"/>
          <w:szCs w:val="22"/>
          <w:lang w:val="el-GR"/>
        </w:rPr>
        <w:t>κουετιαπίνη</w:t>
      </w:r>
      <w:proofErr w:type="spellEnd"/>
      <w:r w:rsidRPr="00A66AB5">
        <w:rPr>
          <w:sz w:val="22"/>
          <w:szCs w:val="22"/>
          <w:lang w:val="el-GR"/>
        </w:rPr>
        <w:t xml:space="preserve">, λόγω των γνωστών παραγόντων κινδύνου για τη νόσο η οποία υποβάλλεται σε θεραπεία.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Άλλες ψυχιατρικές καταστάσεις για τις οποίες </w:t>
      </w:r>
      <w:proofErr w:type="spellStart"/>
      <w:r w:rsidR="00662405" w:rsidRPr="00A66AB5">
        <w:rPr>
          <w:sz w:val="22"/>
          <w:szCs w:val="22"/>
          <w:lang w:val="el-GR"/>
        </w:rPr>
        <w:t>συνταγογραφ</w:t>
      </w:r>
      <w:r w:rsidR="00662405">
        <w:rPr>
          <w:sz w:val="22"/>
          <w:szCs w:val="22"/>
          <w:lang w:val="el-GR"/>
        </w:rPr>
        <w:t>εί</w:t>
      </w:r>
      <w:r w:rsidR="00662405" w:rsidRPr="00A66AB5">
        <w:rPr>
          <w:sz w:val="22"/>
          <w:szCs w:val="22"/>
          <w:lang w:val="el-GR"/>
        </w:rPr>
        <w:t>ται</w:t>
      </w:r>
      <w:proofErr w:type="spellEnd"/>
      <w:r w:rsidR="00662405"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μπορεί επίσης να συσχετίζονται με αυξημένο κίνδυνο συμβάντων που σχετίζονται με αυτοκτονία.  Επιπλέον, αυτές οι καταστάσεις μπορεί να εμφανίζουν </w:t>
      </w:r>
      <w:proofErr w:type="spellStart"/>
      <w:r w:rsidRPr="00A66AB5">
        <w:rPr>
          <w:sz w:val="22"/>
          <w:szCs w:val="22"/>
          <w:lang w:val="el-GR"/>
        </w:rPr>
        <w:t>συννοσηρότητα</w:t>
      </w:r>
      <w:proofErr w:type="spellEnd"/>
      <w:r w:rsidRPr="00A66AB5">
        <w:rPr>
          <w:sz w:val="22"/>
          <w:szCs w:val="22"/>
          <w:lang w:val="el-GR"/>
        </w:rPr>
        <w:t xml:space="preserve"> με μείζονα καταθλιπτικά επεισόδια. Οι ίδιες προφυλάξεις που τηρούνται κατά τη θεραπεία ασθενών με μείζονα καταθλιπτικά επεισόδια θα πρέπει επομένως να τηρούνται κατά τη θεραπεία ασθενών με άλλες ψυχιατρικές διαταραχές.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Οι ασθενείς με ιστορικό συμβάντων που σχετίζονται με αυτοκτονία ή εκείνοι που εκδηλώνουν σημαντικό βαθμό αυτοκτονικού ιδεασμού πριν από την έναρξη της θεραπείας είναι γνωστό ότι διατρέχουν μεγαλύτερο κίνδυνο αυτοκτονικών σκέψεων ή αποπειρών αυτοκτονίας και θα πρέπει να υποβάλλονται σε προσεκτική παρακολούθηση κατά τη διάρκεια της θεραπείας. Μια </w:t>
      </w:r>
      <w:proofErr w:type="spellStart"/>
      <w:r w:rsidRPr="00A66AB5">
        <w:rPr>
          <w:sz w:val="22"/>
          <w:szCs w:val="22"/>
          <w:lang w:val="el-GR"/>
        </w:rPr>
        <w:t>μετα</w:t>
      </w:r>
      <w:proofErr w:type="spellEnd"/>
      <w:r w:rsidRPr="00A66AB5">
        <w:rPr>
          <w:sz w:val="22"/>
          <w:szCs w:val="22"/>
          <w:lang w:val="el-GR"/>
        </w:rPr>
        <w:t xml:space="preserve">-ανάλυση κλινικών δοκιμών αντικαταθλιπτικών φαρμάκων με έλεγχο εικονικού φαρμάκου σε ενήλικες ασθενείς με ψυχιατρικές διαταραχές κατέδειξε αυξημένο κίνδυνο αυτοκτονικής συμπεριφοράς κατά τη λήψη αντικαταθλιπτικών σε σύγκριση με λήψη εικονικού φαρμάκου σε ασθενείς ηλικίας μικρότερης των 25 ετών.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Η στενή επίβλεψη των ασθενών και ειδικά εκείνων που διατρέχουν υψηλό κίνδυνο θα πρέπει να συνοδεύει τη φαρμακευτική θεραπεία, ειδικά κατά την πρώιμη φάση της θεραπείας και μετά από αλλαγές της δόσης. Οι ασθενείς (και οι φροντιστές των ασθενών) θα πρέπει να προειδοποιούνται σχετικά με την ανάγκη παρακολούθησης για τυχόν κλινική επιδείνωση, αυτοκτονική συμπεριφορά ή σκέψεις και ασυνήθιστες αλλαγές στη συμπεριφορά και να αναζητούν ιατρικές συμβουλές αμέσως εάν παρουσιαστούν αυτά τα συμπτώματα.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lastRenderedPageBreak/>
        <w:t xml:space="preserve">Σε πιο βραχυπρόθεσμες κλινικές μελέτες ασθενών με μείζονα καταθλιπτικά επεισόδια σε διπολική διαταραχή με έλεγχο εικονικού φαρμάκου, παρατηρήθηκε αυξημένος κίνδυνος συμβάντων που σχετίζονται με αυτοκτονία σε νέους ενήλικες ασθενείς (νεότερους από 25 ετών) που έλαβαν θεραπεία με </w:t>
      </w:r>
      <w:proofErr w:type="spellStart"/>
      <w:r w:rsidRPr="00A66AB5">
        <w:rPr>
          <w:sz w:val="22"/>
          <w:szCs w:val="22"/>
          <w:lang w:val="el-GR"/>
        </w:rPr>
        <w:t>κουετιαπίνη</w:t>
      </w:r>
      <w:proofErr w:type="spellEnd"/>
      <w:r w:rsidRPr="00A66AB5">
        <w:rPr>
          <w:sz w:val="22"/>
          <w:szCs w:val="22"/>
          <w:lang w:val="el-GR"/>
        </w:rPr>
        <w:t xml:space="preserve">, σε σύγκριση με εκείνους που έλαβαν θεραπεία με εικονικό φάρμακο (3,0% έναντι 0%, αντίστοιχα). Σε κλινικές μελέτες ασθενών με ΜΚΔ, η επίπτωση των συμβάντων που σχετίζονται με αυτοκτονία που παρατηρήθηκε σε νέους ενήλικες ασθενείς (νεότερους από 25 ετών) ήταν 2,1% (3/144) για την </w:t>
      </w:r>
      <w:proofErr w:type="spellStart"/>
      <w:r w:rsidRPr="00A66AB5">
        <w:rPr>
          <w:sz w:val="22"/>
          <w:szCs w:val="22"/>
          <w:lang w:val="el-GR"/>
        </w:rPr>
        <w:t>κουετιαπίνη</w:t>
      </w:r>
      <w:proofErr w:type="spellEnd"/>
      <w:r w:rsidRPr="00A66AB5">
        <w:rPr>
          <w:sz w:val="22"/>
          <w:szCs w:val="22"/>
          <w:lang w:val="el-GR"/>
        </w:rPr>
        <w:t xml:space="preserve"> και 1,3% (1/75) για το εικονικό φάρμακο.</w:t>
      </w:r>
    </w:p>
    <w:p w:rsidR="00380EEB" w:rsidRPr="00A66AB5" w:rsidRDefault="00380EEB">
      <w:pPr>
        <w:jc w:val="both"/>
        <w:rPr>
          <w:sz w:val="22"/>
          <w:szCs w:val="22"/>
          <w:lang w:val="el-GR"/>
        </w:rPr>
      </w:pPr>
    </w:p>
    <w:p w:rsidR="00380EEB" w:rsidRPr="00A66AB5" w:rsidRDefault="00380EEB">
      <w:pPr>
        <w:jc w:val="both"/>
        <w:rPr>
          <w:b/>
          <w:sz w:val="22"/>
          <w:szCs w:val="22"/>
          <w:lang w:val="el-GR"/>
        </w:rPr>
      </w:pPr>
      <w:proofErr w:type="spellStart"/>
      <w:r w:rsidRPr="00A66AB5">
        <w:rPr>
          <w:b/>
          <w:sz w:val="22"/>
          <w:szCs w:val="22"/>
          <w:lang w:val="el-GR"/>
        </w:rPr>
        <w:t>Εξωπυραμιδικά</w:t>
      </w:r>
      <w:proofErr w:type="spellEnd"/>
      <w:r w:rsidRPr="00A66AB5">
        <w:rPr>
          <w:b/>
          <w:sz w:val="22"/>
          <w:szCs w:val="22"/>
          <w:lang w:val="el-GR"/>
        </w:rPr>
        <w:t xml:space="preserve"> συμπτώματα</w:t>
      </w:r>
      <w:r w:rsidR="00365371">
        <w:rPr>
          <w:b/>
          <w:sz w:val="22"/>
          <w:szCs w:val="22"/>
          <w:lang w:val="el-GR"/>
        </w:rPr>
        <w:t>:</w:t>
      </w:r>
    </w:p>
    <w:p w:rsidR="00380EEB" w:rsidRPr="00A66AB5" w:rsidRDefault="00380EEB">
      <w:pPr>
        <w:jc w:val="both"/>
        <w:rPr>
          <w:sz w:val="22"/>
          <w:szCs w:val="22"/>
          <w:lang w:val="el-GR"/>
        </w:rPr>
      </w:pPr>
      <w:r w:rsidRPr="00A66AB5">
        <w:rPr>
          <w:sz w:val="22"/>
          <w:szCs w:val="22"/>
          <w:lang w:val="el-GR"/>
        </w:rPr>
        <w:t xml:space="preserve">Σε κλινικές δοκιμές ενήλικων ασθενών με έλεγχο εικονικού φαρμάκου, η </w:t>
      </w:r>
      <w:proofErr w:type="spellStart"/>
      <w:r w:rsidRPr="00A66AB5">
        <w:rPr>
          <w:sz w:val="22"/>
          <w:szCs w:val="22"/>
          <w:lang w:val="el-GR"/>
        </w:rPr>
        <w:t>κουετιαπίνη</w:t>
      </w:r>
      <w:proofErr w:type="spellEnd"/>
      <w:r w:rsidRPr="00A66AB5">
        <w:rPr>
          <w:sz w:val="22"/>
          <w:szCs w:val="22"/>
          <w:lang w:val="el-GR"/>
        </w:rPr>
        <w:t xml:space="preserve"> συσχετίστηκε με αυξημένη επίπτωση </w:t>
      </w:r>
      <w:proofErr w:type="spellStart"/>
      <w:r w:rsidRPr="00A66AB5">
        <w:rPr>
          <w:sz w:val="22"/>
          <w:szCs w:val="22"/>
          <w:lang w:val="el-GR"/>
        </w:rPr>
        <w:t>εξωπυραμιδικών</w:t>
      </w:r>
      <w:proofErr w:type="spellEnd"/>
      <w:r w:rsidRPr="00A66AB5">
        <w:rPr>
          <w:sz w:val="22"/>
          <w:szCs w:val="22"/>
          <w:lang w:val="el-GR"/>
        </w:rPr>
        <w:t xml:space="preserve"> συμπτωμάτων (ΕΠΣ) σε σύγκριση με το εικονικό φάρμακο σε ασθενείς που έλαβαν θεραπεία για μείζονα καταθλιπτικά επεισόδια σε διπολική διαταραχή και μείζονα καταθλιπτική διαταραχή (βλ. παραγράφους 4.8 και 5.1).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Η χρήση της </w:t>
      </w:r>
      <w:proofErr w:type="spellStart"/>
      <w:r w:rsidRPr="00A66AB5">
        <w:rPr>
          <w:sz w:val="22"/>
          <w:szCs w:val="22"/>
          <w:lang w:val="el-GR"/>
        </w:rPr>
        <w:t>κουετιαπίνης</w:t>
      </w:r>
      <w:proofErr w:type="spellEnd"/>
      <w:r w:rsidRPr="00A66AB5">
        <w:rPr>
          <w:sz w:val="22"/>
          <w:szCs w:val="22"/>
          <w:lang w:val="el-GR"/>
        </w:rPr>
        <w:t xml:space="preserve"> έχει συσχετιστεί με ανάπτυξη </w:t>
      </w:r>
      <w:proofErr w:type="spellStart"/>
      <w:r w:rsidRPr="00A66AB5">
        <w:rPr>
          <w:sz w:val="22"/>
          <w:szCs w:val="22"/>
          <w:lang w:val="el-GR"/>
        </w:rPr>
        <w:t>ακαθησίας</w:t>
      </w:r>
      <w:proofErr w:type="spellEnd"/>
      <w:r w:rsidRPr="00A66AB5">
        <w:rPr>
          <w:sz w:val="22"/>
          <w:szCs w:val="22"/>
          <w:lang w:val="el-GR"/>
        </w:rPr>
        <w:t xml:space="preserve">, η οποία χαρακτηρίζεται από υποκειμενικά δυσάρεστη ή ενοχλητική ανησυχία και ανάγκη κίνησης που συχνά συνοδεύεται από ανικανότητα του ασθενούς να καθίσει ή να παραμείνει ακίνητος. Αυτό είναι πιο πιθανό να συμβεί εντός των πρώτων λίγων εβδομάδων θεραπείας. Σε ασθενείς που εκδηλώνουν αυτά τα συμπτώματα, η αύξηση της δόσης ενδέχεται να είναι επιζήμια. </w:t>
      </w:r>
    </w:p>
    <w:p w:rsidR="00380EEB" w:rsidRPr="00A66AB5" w:rsidRDefault="00380EEB">
      <w:pPr>
        <w:jc w:val="both"/>
        <w:rPr>
          <w:sz w:val="22"/>
          <w:szCs w:val="22"/>
          <w:lang w:val="el-GR"/>
        </w:rPr>
      </w:pPr>
    </w:p>
    <w:p w:rsidR="00380EEB" w:rsidRPr="00A66AB5" w:rsidRDefault="00380EEB">
      <w:pPr>
        <w:jc w:val="both"/>
        <w:rPr>
          <w:b/>
          <w:sz w:val="22"/>
          <w:szCs w:val="22"/>
          <w:lang w:val="el-GR"/>
        </w:rPr>
      </w:pPr>
      <w:r w:rsidRPr="00A66AB5">
        <w:rPr>
          <w:b/>
          <w:sz w:val="22"/>
          <w:szCs w:val="22"/>
          <w:lang w:val="el-GR"/>
        </w:rPr>
        <w:t>Όψιμη δυσκινησία:</w:t>
      </w:r>
    </w:p>
    <w:p w:rsidR="00380EEB" w:rsidRPr="00A66AB5" w:rsidRDefault="00380EEB">
      <w:pPr>
        <w:jc w:val="both"/>
        <w:rPr>
          <w:sz w:val="22"/>
          <w:szCs w:val="22"/>
          <w:lang w:val="el-GR"/>
        </w:rPr>
      </w:pPr>
      <w:r w:rsidRPr="00A66AB5">
        <w:rPr>
          <w:sz w:val="22"/>
          <w:szCs w:val="22"/>
          <w:lang w:val="el-GR"/>
        </w:rPr>
        <w:t xml:space="preserve">Εάν εμφανιστούν σημεία και συμπτώματα όψιμης δυσκινησίας, θα πρέπει να εξεταστεί το ενδεχόμενο μείωσης της δόσης ή διακοπής </w:t>
      </w:r>
      <w:r w:rsidR="00662405">
        <w:rPr>
          <w:sz w:val="22"/>
          <w:szCs w:val="22"/>
          <w:lang w:val="el-GR"/>
        </w:rPr>
        <w:t>της</w:t>
      </w:r>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Τα συμπτώματα όψιμης δυσκινησίας μπορεί να επιδεινωθούν ή ακόμη και να ανακύψουν μετά τη διακοπή της θεραπείας (βλ. παράγραφο 4.8). </w:t>
      </w:r>
    </w:p>
    <w:p w:rsidR="00380EEB" w:rsidRPr="00A66AB5" w:rsidRDefault="00380EEB">
      <w:pPr>
        <w:jc w:val="both"/>
        <w:rPr>
          <w:sz w:val="22"/>
          <w:szCs w:val="22"/>
          <w:lang w:val="el-GR"/>
        </w:rPr>
      </w:pPr>
    </w:p>
    <w:p w:rsidR="00380EEB" w:rsidRPr="00A66AB5" w:rsidRDefault="00380EEB">
      <w:pPr>
        <w:jc w:val="both"/>
        <w:rPr>
          <w:b/>
          <w:sz w:val="22"/>
          <w:szCs w:val="22"/>
          <w:lang w:val="el-GR"/>
        </w:rPr>
      </w:pPr>
      <w:r w:rsidRPr="00A66AB5">
        <w:rPr>
          <w:b/>
          <w:sz w:val="22"/>
          <w:szCs w:val="22"/>
          <w:lang w:val="el-GR"/>
        </w:rPr>
        <w:t>Υπνηλία και ζάλη</w:t>
      </w:r>
      <w:r w:rsidR="00365371">
        <w:rPr>
          <w:b/>
          <w:sz w:val="22"/>
          <w:szCs w:val="22"/>
          <w:lang w:val="el-GR"/>
        </w:rPr>
        <w:t>:</w:t>
      </w:r>
    </w:p>
    <w:p w:rsidR="00380EEB" w:rsidRPr="00A66AB5" w:rsidRDefault="00380EEB">
      <w:pPr>
        <w:jc w:val="both"/>
        <w:rPr>
          <w:sz w:val="22"/>
          <w:szCs w:val="22"/>
          <w:lang w:val="el-GR"/>
        </w:rPr>
      </w:pPr>
      <w:r w:rsidRPr="00A66AB5">
        <w:rPr>
          <w:sz w:val="22"/>
          <w:szCs w:val="22"/>
          <w:lang w:val="el-GR"/>
        </w:rPr>
        <w:t xml:space="preserve">Η θεραπεία με </w:t>
      </w:r>
      <w:proofErr w:type="spellStart"/>
      <w:r w:rsidRPr="00A66AB5">
        <w:rPr>
          <w:sz w:val="22"/>
          <w:szCs w:val="22"/>
          <w:lang w:val="el-GR"/>
        </w:rPr>
        <w:t>κουετιαπίνη</w:t>
      </w:r>
      <w:proofErr w:type="spellEnd"/>
      <w:r w:rsidRPr="00A66AB5">
        <w:rPr>
          <w:sz w:val="22"/>
          <w:szCs w:val="22"/>
          <w:lang w:val="el-GR"/>
        </w:rPr>
        <w:t xml:space="preserve"> έχει συσχετιστεί με υπνηλία και σχετικά συμπτώματα, όπως καταστολή (βλ. παράγραφο 4.8). Σε κλινικές δοκιμές θεραπείας ασθενών με διπολική κατάθλιψη και μείζονα καταθλιπτική διαταραχή, η έναρξη ήταν συνήθως εντός των πρώτων 3 ημερών θεραπείας και ήταν κυρίως ήπιας έως μέτριας έντασης.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Σε ασθενείς με διπολική κατάθλιψη και σε ασθενείς με μείζονα καταθλιπτικά επεισόδια σε ΜΚΔ που εμφανίζουν πολύ έντονη υπνηλία ενδέχεται να είναι απαραίτητη η πιο συχνή επικοινωνία για 2 εβδομάδες τουλάχιστον από την έναρξη της υπνηλίας ή μέχρι να βελτιωθούν τα συμπτώματα, ενώ ενδέχεται να χρειαστεί να εξεταστεί το ενδεχόμενο διακοπής της θεραπείας. </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Η θεραπεία με </w:t>
      </w:r>
      <w:proofErr w:type="spellStart"/>
      <w:r w:rsidRPr="00A66AB5">
        <w:rPr>
          <w:sz w:val="22"/>
          <w:szCs w:val="22"/>
          <w:lang w:val="el-GR"/>
        </w:rPr>
        <w:t>κουετιαπίνη</w:t>
      </w:r>
      <w:proofErr w:type="spellEnd"/>
      <w:r w:rsidRPr="00A66AB5">
        <w:rPr>
          <w:sz w:val="22"/>
          <w:szCs w:val="22"/>
          <w:lang w:val="el-GR"/>
        </w:rPr>
        <w:t xml:space="preserve"> έχει συσχετιστεί με </w:t>
      </w:r>
      <w:proofErr w:type="spellStart"/>
      <w:r w:rsidRPr="00A66AB5">
        <w:rPr>
          <w:sz w:val="22"/>
          <w:szCs w:val="22"/>
          <w:lang w:val="el-GR"/>
        </w:rPr>
        <w:t>ορθοστατική</w:t>
      </w:r>
      <w:proofErr w:type="spellEnd"/>
      <w:r w:rsidRPr="00A66AB5">
        <w:rPr>
          <w:sz w:val="22"/>
          <w:szCs w:val="22"/>
          <w:lang w:val="el-GR"/>
        </w:rPr>
        <w:t xml:space="preserve"> υπόταση και σχετιζόμενη ζάλη (βλ. παράγραφο 4.8) τα οποία, όπως η υπνηλία, ξεκινούν συνήθως κατά τη διάρκεια της αρχικής περιόδου </w:t>
      </w:r>
      <w:proofErr w:type="spellStart"/>
      <w:r w:rsidRPr="00A66AB5">
        <w:rPr>
          <w:sz w:val="22"/>
          <w:szCs w:val="22"/>
          <w:lang w:val="el-GR"/>
        </w:rPr>
        <w:t>τιτλοποίησης</w:t>
      </w:r>
      <w:proofErr w:type="spellEnd"/>
      <w:r w:rsidRPr="00A66AB5">
        <w:rPr>
          <w:sz w:val="22"/>
          <w:szCs w:val="22"/>
          <w:lang w:val="el-GR"/>
        </w:rPr>
        <w:t xml:space="preserve"> δόσης. Αυτό θα μπορούσε να αυξήσει τον κίνδυνο ακούσιου τραυματισμού (πτώσης) ειδικά στον ηλικιωμένο πληθυσμό. Επομένως, θα πρέπει να δίνονται συμβουλές στους ασθενείς να είναι προσεκτικοί μέχρι να εξοικειωθούν με τις πιθανές επιδράσεις της φαρμακευτικής αγωγής.</w:t>
      </w:r>
    </w:p>
    <w:p w:rsidR="00380EEB" w:rsidRPr="00A66AB5" w:rsidRDefault="00380EEB">
      <w:pPr>
        <w:pStyle w:val="a3"/>
        <w:tabs>
          <w:tab w:val="clear" w:pos="4320"/>
          <w:tab w:val="clear" w:pos="8640"/>
        </w:tabs>
        <w:rPr>
          <w:b/>
          <w:sz w:val="22"/>
          <w:szCs w:val="22"/>
          <w:lang w:val="el-GR"/>
        </w:rPr>
      </w:pPr>
    </w:p>
    <w:p w:rsidR="00380EEB" w:rsidRPr="00A66AB5" w:rsidRDefault="00380EEB">
      <w:pPr>
        <w:pStyle w:val="a3"/>
        <w:tabs>
          <w:tab w:val="clear" w:pos="4320"/>
          <w:tab w:val="clear" w:pos="8640"/>
        </w:tabs>
        <w:rPr>
          <w:sz w:val="22"/>
          <w:szCs w:val="22"/>
          <w:lang w:val="el-GR"/>
        </w:rPr>
      </w:pPr>
      <w:r w:rsidRPr="00A66AB5">
        <w:rPr>
          <w:b/>
          <w:sz w:val="22"/>
          <w:szCs w:val="22"/>
          <w:lang w:val="el-GR"/>
        </w:rPr>
        <w:t>Καρδιαγγειακό σύστημα</w:t>
      </w:r>
      <w:r w:rsidR="00365371">
        <w:rPr>
          <w:b/>
          <w:sz w:val="22"/>
          <w:szCs w:val="22"/>
          <w:lang w:val="el-GR"/>
        </w:rPr>
        <w:t>:</w:t>
      </w:r>
      <w:r w:rsidRPr="00A66AB5">
        <w:rPr>
          <w:b/>
          <w:sz w:val="22"/>
          <w:szCs w:val="22"/>
          <w:lang w:val="el-GR"/>
        </w:rPr>
        <w:t xml:space="preserve"> </w:t>
      </w:r>
    </w:p>
    <w:p w:rsidR="00380EEB" w:rsidRPr="00A66AB5" w:rsidRDefault="00662405">
      <w:pPr>
        <w:jc w:val="both"/>
        <w:rPr>
          <w:sz w:val="22"/>
          <w:szCs w:val="22"/>
          <w:lang w:val="el-GR"/>
        </w:rPr>
      </w:pPr>
      <w:r>
        <w:rPr>
          <w:sz w:val="22"/>
          <w:szCs w:val="22"/>
          <w:lang w:val="el-GR"/>
        </w:rPr>
        <w:t>Η</w:t>
      </w:r>
      <w:r w:rsidR="00380EEB" w:rsidRPr="00A66AB5">
        <w:rPr>
          <w:sz w:val="22"/>
          <w:szCs w:val="22"/>
          <w:lang w:val="el-GR"/>
        </w:rPr>
        <w:t xml:space="preserve"> </w:t>
      </w:r>
      <w:proofErr w:type="spellStart"/>
      <w:r w:rsidR="00380EEB" w:rsidRPr="00A66AB5">
        <w:rPr>
          <w:sz w:val="22"/>
          <w:szCs w:val="22"/>
          <w:lang w:val="el-GR"/>
        </w:rPr>
        <w:t>κουετιαπίνη</w:t>
      </w:r>
      <w:proofErr w:type="spellEnd"/>
      <w:r w:rsidR="00380EEB" w:rsidRPr="00A66AB5">
        <w:rPr>
          <w:sz w:val="22"/>
          <w:szCs w:val="22"/>
          <w:lang w:val="el-GR"/>
        </w:rPr>
        <w:t xml:space="preserve"> θα πρέπει να </w:t>
      </w:r>
      <w:r w:rsidR="00B10D90" w:rsidRPr="00A66AB5">
        <w:rPr>
          <w:sz w:val="22"/>
          <w:szCs w:val="22"/>
          <w:lang w:val="el-GR"/>
        </w:rPr>
        <w:t>χρησιμοποι</w:t>
      </w:r>
      <w:r w:rsidR="00B10D90">
        <w:rPr>
          <w:sz w:val="22"/>
          <w:szCs w:val="22"/>
          <w:lang w:val="el-GR"/>
        </w:rPr>
        <w:t>εί</w:t>
      </w:r>
      <w:r w:rsidR="00B10D90" w:rsidRPr="00A66AB5">
        <w:rPr>
          <w:sz w:val="22"/>
          <w:szCs w:val="22"/>
          <w:lang w:val="el-GR"/>
        </w:rPr>
        <w:t xml:space="preserve">ται </w:t>
      </w:r>
      <w:r w:rsidR="00380EEB" w:rsidRPr="00A66AB5">
        <w:rPr>
          <w:sz w:val="22"/>
          <w:szCs w:val="22"/>
          <w:lang w:val="el-GR"/>
        </w:rPr>
        <w:t xml:space="preserve">με προσοχή σε ασθενείς με γνωστή καρδιαγγειακή νόσο, αγγειακή εγκεφαλική νόσο ή άλλες καταστάσεις που προδιαθέτουν σε υπόταση. Η </w:t>
      </w:r>
      <w:proofErr w:type="spellStart"/>
      <w:r w:rsidR="00380EEB" w:rsidRPr="00A66AB5">
        <w:rPr>
          <w:sz w:val="22"/>
          <w:szCs w:val="22"/>
          <w:lang w:val="el-GR"/>
        </w:rPr>
        <w:t>κουετιαπίνη</w:t>
      </w:r>
      <w:proofErr w:type="spellEnd"/>
      <w:r w:rsidR="00380EEB" w:rsidRPr="00A66AB5">
        <w:rPr>
          <w:sz w:val="22"/>
          <w:szCs w:val="22"/>
          <w:lang w:val="el-GR"/>
        </w:rPr>
        <w:t xml:space="preserve"> ενδέχεται να προκαλέσει </w:t>
      </w:r>
      <w:proofErr w:type="spellStart"/>
      <w:r w:rsidR="00380EEB" w:rsidRPr="00A66AB5">
        <w:rPr>
          <w:sz w:val="22"/>
          <w:szCs w:val="22"/>
          <w:lang w:val="el-GR"/>
        </w:rPr>
        <w:t>ορθοστατική</w:t>
      </w:r>
      <w:proofErr w:type="spellEnd"/>
      <w:r w:rsidR="00380EEB" w:rsidRPr="00A66AB5">
        <w:rPr>
          <w:sz w:val="22"/>
          <w:szCs w:val="22"/>
          <w:lang w:val="el-GR"/>
        </w:rPr>
        <w:t xml:space="preserve"> υπόταση, ειδικά κατά τη διάρκεια της αρχικής περιόδου </w:t>
      </w:r>
      <w:proofErr w:type="spellStart"/>
      <w:r w:rsidR="00380EEB" w:rsidRPr="00A66AB5">
        <w:rPr>
          <w:sz w:val="22"/>
          <w:szCs w:val="22"/>
          <w:lang w:val="el-GR"/>
        </w:rPr>
        <w:t>τιτλοποίησης</w:t>
      </w:r>
      <w:proofErr w:type="spellEnd"/>
      <w:r w:rsidR="00380EEB" w:rsidRPr="00A66AB5">
        <w:rPr>
          <w:sz w:val="22"/>
          <w:szCs w:val="22"/>
          <w:lang w:val="el-GR"/>
        </w:rPr>
        <w:t xml:space="preserve"> της δόσης, και συνεπώς, σε αυτή την περίπτωση θα πρέπει να εξεταστεί το ενδεχόμενο μείωσης της δόσης ή πιο σταδιακής </w:t>
      </w:r>
      <w:proofErr w:type="spellStart"/>
      <w:r w:rsidR="00380EEB" w:rsidRPr="00A66AB5">
        <w:rPr>
          <w:sz w:val="22"/>
          <w:szCs w:val="22"/>
          <w:lang w:val="el-GR"/>
        </w:rPr>
        <w:t>τιτλοποίησης</w:t>
      </w:r>
      <w:proofErr w:type="spellEnd"/>
      <w:r w:rsidR="00380EEB" w:rsidRPr="00A66AB5">
        <w:rPr>
          <w:sz w:val="22"/>
          <w:szCs w:val="22"/>
          <w:lang w:val="el-GR"/>
        </w:rPr>
        <w:t xml:space="preserve">. Θα μπορούσε να εξεταστεί το ενδεχόμενο πιο αργού σχήματος </w:t>
      </w:r>
      <w:proofErr w:type="spellStart"/>
      <w:r w:rsidR="00380EEB" w:rsidRPr="00A66AB5">
        <w:rPr>
          <w:sz w:val="22"/>
          <w:szCs w:val="22"/>
          <w:lang w:val="el-GR"/>
        </w:rPr>
        <w:t>τιτλοποίησης</w:t>
      </w:r>
      <w:proofErr w:type="spellEnd"/>
      <w:r w:rsidR="00380EEB" w:rsidRPr="00A66AB5">
        <w:rPr>
          <w:sz w:val="22"/>
          <w:szCs w:val="22"/>
          <w:lang w:val="el-GR"/>
        </w:rPr>
        <w:t xml:space="preserve"> σε ασθενείς με υποκείμενη καρδιαγγειακή νόσο.</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lastRenderedPageBreak/>
        <w:t>Σπασμοί</w:t>
      </w:r>
      <w:r w:rsidR="00365371">
        <w:rPr>
          <w:b/>
          <w:sz w:val="22"/>
          <w:szCs w:val="22"/>
          <w:lang w:val="el-GR"/>
        </w:rPr>
        <w:t>:</w:t>
      </w:r>
      <w:r w:rsidRPr="00A66AB5">
        <w:rPr>
          <w:b/>
          <w:sz w:val="22"/>
          <w:szCs w:val="22"/>
          <w:lang w:val="el-GR"/>
        </w:rPr>
        <w:t xml:space="preserve">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Σε ελεγχόμενες κλινικές δοκιμές, δεν υπήρξε διαφορά στην επίπτωση σπασμών σε ασθενείς που έλαβαν θεραπεία με </w:t>
      </w:r>
      <w:proofErr w:type="spellStart"/>
      <w:r w:rsidRPr="00A66AB5">
        <w:rPr>
          <w:sz w:val="22"/>
          <w:szCs w:val="22"/>
          <w:lang w:val="el-GR"/>
        </w:rPr>
        <w:t>κουετιαπίνη</w:t>
      </w:r>
      <w:proofErr w:type="spellEnd"/>
      <w:r w:rsidRPr="00A66AB5">
        <w:rPr>
          <w:sz w:val="22"/>
          <w:szCs w:val="22"/>
          <w:lang w:val="el-GR"/>
        </w:rPr>
        <w:t xml:space="preserve"> ή εικονικό φάρμακο. </w:t>
      </w:r>
      <w:r w:rsidR="00101225" w:rsidRPr="00A66AB5">
        <w:rPr>
          <w:sz w:val="22"/>
          <w:szCs w:val="22"/>
          <w:lang w:val="el-GR"/>
        </w:rPr>
        <w:t xml:space="preserve">Δεν υπάρχουν διαθέσιμα δεδομένα σχετικά με την επίπτωση των σπασμών σε ασθενείς με επιληπτικές διαταραχές. </w:t>
      </w:r>
      <w:r w:rsidRPr="00A66AB5">
        <w:rPr>
          <w:sz w:val="22"/>
          <w:szCs w:val="22"/>
          <w:lang w:val="el-GR"/>
        </w:rPr>
        <w:t xml:space="preserve">Όπως και με άλλα </w:t>
      </w:r>
      <w:proofErr w:type="spellStart"/>
      <w:r w:rsidRPr="00A66AB5">
        <w:rPr>
          <w:sz w:val="22"/>
          <w:szCs w:val="22"/>
          <w:lang w:val="el-GR"/>
        </w:rPr>
        <w:t>αντιψυχωσικά</w:t>
      </w:r>
      <w:proofErr w:type="spellEnd"/>
      <w:r w:rsidRPr="00A66AB5">
        <w:rPr>
          <w:sz w:val="22"/>
          <w:szCs w:val="22"/>
          <w:lang w:val="el-GR"/>
        </w:rPr>
        <w:t xml:space="preserve">, συνιστάται προσοχή κατά τη θεραπεία ασθενών με ιστορικό σπασμών (βλ. παράγραφο 4.8).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Κακόηθες νευροληπτικό σύνδρομο</w:t>
      </w:r>
      <w:r w:rsidR="00365371">
        <w:rPr>
          <w:b/>
          <w:sz w:val="22"/>
          <w:szCs w:val="22"/>
          <w:lang w:val="el-GR"/>
        </w:rPr>
        <w:t>:</w:t>
      </w:r>
      <w:r w:rsidRPr="00A66AB5">
        <w:rPr>
          <w:b/>
          <w:sz w:val="22"/>
          <w:szCs w:val="22"/>
          <w:lang w:val="el-GR"/>
        </w:rPr>
        <w:t xml:space="preserve">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Το κακόηθες νευροληπτικό σύνδρομο έχει συσχετιστεί με </w:t>
      </w:r>
      <w:proofErr w:type="spellStart"/>
      <w:r w:rsidRPr="00A66AB5">
        <w:rPr>
          <w:sz w:val="22"/>
          <w:szCs w:val="22"/>
          <w:lang w:val="el-GR"/>
        </w:rPr>
        <w:t>αντιψυχωσική</w:t>
      </w:r>
      <w:proofErr w:type="spellEnd"/>
      <w:r w:rsidRPr="00A66AB5">
        <w:rPr>
          <w:sz w:val="22"/>
          <w:szCs w:val="22"/>
          <w:lang w:val="el-GR"/>
        </w:rPr>
        <w:t xml:space="preserve"> θεραπεία, συμπεριλαμβανομένης της </w:t>
      </w:r>
      <w:proofErr w:type="spellStart"/>
      <w:r w:rsidRPr="00A66AB5">
        <w:rPr>
          <w:sz w:val="22"/>
          <w:szCs w:val="22"/>
          <w:lang w:val="el-GR"/>
        </w:rPr>
        <w:t>κουετιαπίνης</w:t>
      </w:r>
      <w:proofErr w:type="spellEnd"/>
      <w:r w:rsidRPr="00A66AB5">
        <w:rPr>
          <w:sz w:val="22"/>
          <w:szCs w:val="22"/>
          <w:lang w:val="el-GR"/>
        </w:rPr>
        <w:t xml:space="preserve"> (βλ. παράγραφο 4.8). Οι κλινικές εκδηλώσεις περιλαμβάνουν την υπερθερμία, τη μεταβολή της νοητικής κατάστασης, τη μυϊκή δυσκαμψία, την αστάθεια του αυτονόμου και την αυξημένη </w:t>
      </w:r>
      <w:proofErr w:type="spellStart"/>
      <w:r w:rsidRPr="00A66AB5">
        <w:rPr>
          <w:sz w:val="22"/>
          <w:szCs w:val="22"/>
          <w:lang w:val="el-GR"/>
        </w:rPr>
        <w:t>φωσφοκινάση</w:t>
      </w:r>
      <w:proofErr w:type="spellEnd"/>
      <w:r w:rsidRPr="00A66AB5">
        <w:rPr>
          <w:sz w:val="22"/>
          <w:szCs w:val="22"/>
          <w:lang w:val="el-GR"/>
        </w:rPr>
        <w:t xml:space="preserve"> κρεατίνης. Σε μια τέτοια περίπτωση, </w:t>
      </w:r>
      <w:r w:rsidR="008C2263">
        <w:rPr>
          <w:sz w:val="22"/>
          <w:szCs w:val="22"/>
          <w:lang w:val="el-GR"/>
        </w:rPr>
        <w:t>η</w:t>
      </w:r>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θα πρέπει να </w:t>
      </w:r>
      <w:r w:rsidR="008C2263" w:rsidRPr="00A66AB5">
        <w:rPr>
          <w:sz w:val="22"/>
          <w:szCs w:val="22"/>
          <w:lang w:val="el-GR"/>
        </w:rPr>
        <w:t>διακόπτ</w:t>
      </w:r>
      <w:r w:rsidR="008C2263">
        <w:rPr>
          <w:sz w:val="22"/>
          <w:szCs w:val="22"/>
          <w:lang w:val="el-GR"/>
        </w:rPr>
        <w:t>ε</w:t>
      </w:r>
      <w:r w:rsidR="008C2263" w:rsidRPr="00A66AB5">
        <w:rPr>
          <w:sz w:val="22"/>
          <w:szCs w:val="22"/>
          <w:lang w:val="el-GR"/>
        </w:rPr>
        <w:t xml:space="preserve">ται </w:t>
      </w:r>
      <w:r w:rsidRPr="00A66AB5">
        <w:rPr>
          <w:sz w:val="22"/>
          <w:szCs w:val="22"/>
          <w:lang w:val="el-GR"/>
        </w:rPr>
        <w:t xml:space="preserve">και να χορηγείται η κατάλληλη ιατρική θεραπεία.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 xml:space="preserve">Βαριά </w:t>
      </w:r>
      <w:proofErr w:type="spellStart"/>
      <w:r w:rsidRPr="00A66AB5">
        <w:rPr>
          <w:b/>
          <w:sz w:val="22"/>
          <w:szCs w:val="22"/>
          <w:lang w:val="el-GR"/>
        </w:rPr>
        <w:t>ουδετεροπενία</w:t>
      </w:r>
      <w:proofErr w:type="spellEnd"/>
      <w:r w:rsidRPr="00A66AB5">
        <w:rPr>
          <w:b/>
          <w:sz w:val="22"/>
          <w:szCs w:val="22"/>
          <w:lang w:val="el-GR"/>
        </w:rPr>
        <w:t xml:space="preserve">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Σε κλινικές δοκιμές </w:t>
      </w:r>
      <w:proofErr w:type="spellStart"/>
      <w:r w:rsidRPr="00A66AB5">
        <w:rPr>
          <w:sz w:val="22"/>
          <w:szCs w:val="22"/>
          <w:lang w:val="el-GR"/>
        </w:rPr>
        <w:t>κουετιαπίνης</w:t>
      </w:r>
      <w:proofErr w:type="spellEnd"/>
      <w:r w:rsidRPr="00A66AB5">
        <w:rPr>
          <w:sz w:val="22"/>
          <w:szCs w:val="22"/>
          <w:lang w:val="el-GR"/>
        </w:rPr>
        <w:t xml:space="preserve"> έχει αναφερθεί, όχι συχνά, βαριά </w:t>
      </w:r>
      <w:proofErr w:type="spellStart"/>
      <w:r w:rsidRPr="00A66AB5">
        <w:rPr>
          <w:sz w:val="22"/>
          <w:szCs w:val="22"/>
          <w:lang w:val="el-GR"/>
        </w:rPr>
        <w:t>ουδετεροπενία</w:t>
      </w:r>
      <w:proofErr w:type="spellEnd"/>
      <w:r w:rsidRPr="00A66AB5">
        <w:rPr>
          <w:sz w:val="22"/>
          <w:szCs w:val="22"/>
          <w:lang w:val="el-GR"/>
        </w:rPr>
        <w:t xml:space="preserve"> (αριθμός ουδετερόφιλων &lt;0,5 </w:t>
      </w:r>
      <w:r w:rsidRPr="00A66AB5">
        <w:rPr>
          <w:sz w:val="22"/>
          <w:szCs w:val="22"/>
        </w:rPr>
        <w:t>X</w:t>
      </w:r>
      <w:r w:rsidRPr="00A66AB5">
        <w:rPr>
          <w:sz w:val="22"/>
          <w:szCs w:val="22"/>
          <w:lang w:val="el-GR"/>
        </w:rPr>
        <w:t xml:space="preserve"> 10</w:t>
      </w:r>
      <w:r w:rsidRPr="00A66AB5">
        <w:rPr>
          <w:sz w:val="22"/>
          <w:szCs w:val="22"/>
          <w:vertAlign w:val="superscript"/>
          <w:lang w:val="el-GR"/>
        </w:rPr>
        <w:t>9</w:t>
      </w:r>
      <w:r w:rsidRPr="00A66AB5">
        <w:rPr>
          <w:sz w:val="22"/>
          <w:szCs w:val="22"/>
          <w:lang w:val="el-GR"/>
        </w:rPr>
        <w:t>/</w:t>
      </w:r>
      <w:r w:rsidRPr="00A66AB5">
        <w:rPr>
          <w:sz w:val="22"/>
          <w:szCs w:val="22"/>
        </w:rPr>
        <w:t>L</w:t>
      </w:r>
      <w:r w:rsidRPr="00A66AB5">
        <w:rPr>
          <w:sz w:val="22"/>
          <w:szCs w:val="22"/>
          <w:lang w:val="el-GR"/>
        </w:rPr>
        <w:t xml:space="preserve">). Οι περισσότερες περιπτώσεις βαριάς </w:t>
      </w:r>
      <w:proofErr w:type="spellStart"/>
      <w:r w:rsidRPr="00A66AB5">
        <w:rPr>
          <w:sz w:val="22"/>
          <w:szCs w:val="22"/>
          <w:lang w:val="el-GR"/>
        </w:rPr>
        <w:t>ουδετεροπενίας</w:t>
      </w:r>
      <w:proofErr w:type="spellEnd"/>
      <w:r w:rsidRPr="00A66AB5">
        <w:rPr>
          <w:sz w:val="22"/>
          <w:szCs w:val="22"/>
          <w:lang w:val="el-GR"/>
        </w:rPr>
        <w:t xml:space="preserve"> έχουν παρατηρηθεί εντός δύο μηνών από την έναρξη της θεραπείας με </w:t>
      </w:r>
      <w:proofErr w:type="spellStart"/>
      <w:r w:rsidRPr="00A66AB5">
        <w:rPr>
          <w:sz w:val="22"/>
          <w:szCs w:val="22"/>
          <w:lang w:val="el-GR"/>
        </w:rPr>
        <w:t>κουετιαπίνη</w:t>
      </w:r>
      <w:proofErr w:type="spellEnd"/>
      <w:r w:rsidRPr="00A66AB5">
        <w:rPr>
          <w:sz w:val="22"/>
          <w:szCs w:val="22"/>
          <w:lang w:val="el-GR"/>
        </w:rPr>
        <w:t>. Δεν υπ</w:t>
      </w:r>
      <w:r w:rsidR="00101225" w:rsidRPr="00A66AB5">
        <w:rPr>
          <w:sz w:val="22"/>
          <w:szCs w:val="22"/>
          <w:lang w:val="el-GR"/>
        </w:rPr>
        <w:t>ήρξε</w:t>
      </w:r>
      <w:r w:rsidRPr="00A66AB5">
        <w:rPr>
          <w:sz w:val="22"/>
          <w:szCs w:val="22"/>
          <w:lang w:val="el-GR"/>
        </w:rPr>
        <w:t xml:space="preserve"> εμφανή</w:t>
      </w:r>
      <w:r w:rsidR="003049B8" w:rsidRPr="00A66AB5">
        <w:rPr>
          <w:sz w:val="22"/>
          <w:szCs w:val="22"/>
          <w:lang w:val="el-GR"/>
        </w:rPr>
        <w:t>ς</w:t>
      </w:r>
      <w:r w:rsidRPr="00A66AB5">
        <w:rPr>
          <w:sz w:val="22"/>
          <w:szCs w:val="22"/>
          <w:lang w:val="el-GR"/>
        </w:rPr>
        <w:t xml:space="preserve"> </w:t>
      </w:r>
      <w:r w:rsidR="003049B8" w:rsidRPr="00A66AB5">
        <w:rPr>
          <w:sz w:val="22"/>
          <w:szCs w:val="22"/>
          <w:lang w:val="el-GR"/>
        </w:rPr>
        <w:t xml:space="preserve">συσχέτιση </w:t>
      </w:r>
      <w:r w:rsidRPr="00A66AB5">
        <w:rPr>
          <w:sz w:val="22"/>
          <w:szCs w:val="22"/>
          <w:lang w:val="el-GR"/>
        </w:rPr>
        <w:t xml:space="preserve">με τη δόση. Κατά τη διάρκεια της εμπειρίας μετά την κυκλοφορία του φαρμάκου, η διακοπή της θεραπείας με </w:t>
      </w:r>
      <w:proofErr w:type="spellStart"/>
      <w:r w:rsidRPr="00A66AB5">
        <w:rPr>
          <w:sz w:val="22"/>
          <w:szCs w:val="22"/>
          <w:lang w:val="el-GR"/>
        </w:rPr>
        <w:t>κουετιαπίνη</w:t>
      </w:r>
      <w:proofErr w:type="spellEnd"/>
      <w:r w:rsidRPr="00A66AB5">
        <w:rPr>
          <w:sz w:val="22"/>
          <w:szCs w:val="22"/>
          <w:lang w:val="el-GR"/>
        </w:rPr>
        <w:t xml:space="preserve"> ακολουθείται από υποχώρηση της </w:t>
      </w:r>
      <w:proofErr w:type="spellStart"/>
      <w:r w:rsidRPr="00A66AB5">
        <w:rPr>
          <w:sz w:val="22"/>
          <w:szCs w:val="22"/>
          <w:lang w:val="el-GR"/>
        </w:rPr>
        <w:t>λευκοπενίας</w:t>
      </w:r>
      <w:proofErr w:type="spellEnd"/>
      <w:r w:rsidRPr="00A66AB5">
        <w:rPr>
          <w:sz w:val="22"/>
          <w:szCs w:val="22"/>
          <w:lang w:val="el-GR"/>
        </w:rPr>
        <w:t xml:space="preserve"> και/ή </w:t>
      </w:r>
      <w:proofErr w:type="spellStart"/>
      <w:r w:rsidRPr="00A66AB5">
        <w:rPr>
          <w:sz w:val="22"/>
          <w:szCs w:val="22"/>
          <w:lang w:val="el-GR"/>
        </w:rPr>
        <w:t>ουδετεροπενίας</w:t>
      </w:r>
      <w:proofErr w:type="spellEnd"/>
      <w:r w:rsidRPr="00A66AB5">
        <w:rPr>
          <w:sz w:val="22"/>
          <w:szCs w:val="22"/>
          <w:lang w:val="el-GR"/>
        </w:rPr>
        <w:t xml:space="preserve">. Οι πιθανοί παράγοντες κινδύνου για την </w:t>
      </w:r>
      <w:proofErr w:type="spellStart"/>
      <w:r w:rsidRPr="00A66AB5">
        <w:rPr>
          <w:sz w:val="22"/>
          <w:szCs w:val="22"/>
          <w:lang w:val="el-GR"/>
        </w:rPr>
        <w:t>ουδετεροπενία</w:t>
      </w:r>
      <w:proofErr w:type="spellEnd"/>
      <w:r w:rsidRPr="00A66AB5">
        <w:rPr>
          <w:sz w:val="22"/>
          <w:szCs w:val="22"/>
          <w:lang w:val="el-GR"/>
        </w:rPr>
        <w:t xml:space="preserve"> περιλαμβάνουν τον προϋπάρχοντα χαμηλό αριθμό λευκών αιμοσφαιρίων (</w:t>
      </w:r>
      <w:r w:rsidRPr="00A66AB5">
        <w:rPr>
          <w:sz w:val="22"/>
          <w:szCs w:val="22"/>
        </w:rPr>
        <w:t>WBC</w:t>
      </w:r>
      <w:r w:rsidRPr="00A66AB5">
        <w:rPr>
          <w:sz w:val="22"/>
          <w:szCs w:val="22"/>
          <w:lang w:val="el-GR"/>
        </w:rPr>
        <w:t xml:space="preserve">) και το ιστορικό </w:t>
      </w:r>
      <w:proofErr w:type="spellStart"/>
      <w:r w:rsidRPr="00A66AB5">
        <w:rPr>
          <w:sz w:val="22"/>
          <w:szCs w:val="22"/>
          <w:lang w:val="el-GR"/>
        </w:rPr>
        <w:t>φαρμακοεπαγόμενης</w:t>
      </w:r>
      <w:proofErr w:type="spellEnd"/>
      <w:r w:rsidRPr="00A66AB5">
        <w:rPr>
          <w:sz w:val="22"/>
          <w:szCs w:val="22"/>
          <w:lang w:val="el-GR"/>
        </w:rPr>
        <w:t xml:space="preserve"> </w:t>
      </w:r>
      <w:proofErr w:type="spellStart"/>
      <w:r w:rsidRPr="00A66AB5">
        <w:rPr>
          <w:sz w:val="22"/>
          <w:szCs w:val="22"/>
          <w:lang w:val="el-GR"/>
        </w:rPr>
        <w:t>ουδετεροπενίας</w:t>
      </w:r>
      <w:proofErr w:type="spellEnd"/>
      <w:r w:rsidRPr="00A66AB5">
        <w:rPr>
          <w:sz w:val="22"/>
          <w:szCs w:val="22"/>
          <w:lang w:val="el-GR"/>
        </w:rPr>
        <w:t xml:space="preserve">. Η </w:t>
      </w:r>
      <w:proofErr w:type="spellStart"/>
      <w:r w:rsidRPr="00A66AB5">
        <w:rPr>
          <w:sz w:val="22"/>
          <w:szCs w:val="22"/>
          <w:lang w:val="el-GR"/>
        </w:rPr>
        <w:t>κουετιαπίνη</w:t>
      </w:r>
      <w:proofErr w:type="spellEnd"/>
      <w:r w:rsidRPr="00A66AB5">
        <w:rPr>
          <w:sz w:val="22"/>
          <w:szCs w:val="22"/>
          <w:lang w:val="el-GR"/>
        </w:rPr>
        <w:t xml:space="preserve"> θα πρέπει να διακόπτεται σε ασθενείς με αριθμό ουδετερόφιλων &lt;1,0 </w:t>
      </w:r>
      <w:r w:rsidRPr="00A66AB5">
        <w:rPr>
          <w:sz w:val="22"/>
          <w:szCs w:val="22"/>
        </w:rPr>
        <w:t>X</w:t>
      </w:r>
      <w:r w:rsidRPr="00A66AB5">
        <w:rPr>
          <w:sz w:val="22"/>
          <w:szCs w:val="22"/>
          <w:lang w:val="el-GR"/>
        </w:rPr>
        <w:t xml:space="preserve"> 10</w:t>
      </w:r>
      <w:r w:rsidRPr="00A66AB5">
        <w:rPr>
          <w:sz w:val="22"/>
          <w:szCs w:val="22"/>
          <w:vertAlign w:val="superscript"/>
          <w:lang w:val="el-GR"/>
        </w:rPr>
        <w:t>9</w:t>
      </w:r>
      <w:r w:rsidRPr="00A66AB5">
        <w:rPr>
          <w:sz w:val="22"/>
          <w:szCs w:val="22"/>
          <w:lang w:val="el-GR"/>
        </w:rPr>
        <w:t>/</w:t>
      </w:r>
      <w:r w:rsidRPr="00A66AB5">
        <w:rPr>
          <w:sz w:val="22"/>
          <w:szCs w:val="22"/>
        </w:rPr>
        <w:t>L</w:t>
      </w:r>
      <w:r w:rsidRPr="00A66AB5">
        <w:rPr>
          <w:sz w:val="22"/>
          <w:szCs w:val="22"/>
          <w:lang w:val="el-GR"/>
        </w:rPr>
        <w:t xml:space="preserve">. Οι ασθενείς θα πρέπει να παρακολουθούνται για σημεία και συμπτώματα λοίμωξης και να παρακολουθείται ο αριθμός ουδετερόφιλων (μέχρι να υπερβούν τα 1,5 </w:t>
      </w:r>
      <w:r w:rsidRPr="00A66AB5">
        <w:rPr>
          <w:sz w:val="22"/>
          <w:szCs w:val="22"/>
        </w:rPr>
        <w:t>X</w:t>
      </w:r>
      <w:r w:rsidRPr="00A66AB5">
        <w:rPr>
          <w:sz w:val="22"/>
          <w:szCs w:val="22"/>
          <w:lang w:val="el-GR"/>
        </w:rPr>
        <w:t xml:space="preserve"> 10</w:t>
      </w:r>
      <w:r w:rsidRPr="00A66AB5">
        <w:rPr>
          <w:sz w:val="22"/>
          <w:szCs w:val="22"/>
          <w:vertAlign w:val="superscript"/>
          <w:lang w:val="el-GR"/>
        </w:rPr>
        <w:t>9</w:t>
      </w:r>
      <w:r w:rsidRPr="00A66AB5">
        <w:rPr>
          <w:sz w:val="22"/>
          <w:szCs w:val="22"/>
          <w:lang w:val="el-GR"/>
        </w:rPr>
        <w:t>/</w:t>
      </w:r>
      <w:r w:rsidRPr="00A66AB5">
        <w:rPr>
          <w:sz w:val="22"/>
          <w:szCs w:val="22"/>
        </w:rPr>
        <w:t>L</w:t>
      </w:r>
      <w:r w:rsidRPr="00A66AB5">
        <w:rPr>
          <w:sz w:val="22"/>
          <w:szCs w:val="22"/>
          <w:lang w:val="el-GR"/>
        </w:rPr>
        <w:t>). (Βλ. παράγραφο 5.1).</w:t>
      </w:r>
    </w:p>
    <w:p w:rsidR="00101225" w:rsidRPr="00A66AB5" w:rsidRDefault="00101225">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Αλληλεπιδράσεις</w:t>
      </w:r>
      <w:r w:rsidR="00365371">
        <w:rPr>
          <w:b/>
          <w:sz w:val="22"/>
          <w:szCs w:val="22"/>
          <w:lang w:val="el-GR"/>
        </w:rPr>
        <w:t>:</w:t>
      </w:r>
      <w:r w:rsidRPr="00A66AB5">
        <w:rPr>
          <w:b/>
          <w:sz w:val="22"/>
          <w:szCs w:val="22"/>
          <w:lang w:val="el-GR"/>
        </w:rPr>
        <w:t xml:space="preserve">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Βλ. επίσης παράγραφο 4.5.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ταυτόχρονη χρήση </w:t>
      </w:r>
      <w:proofErr w:type="spellStart"/>
      <w:r w:rsidRPr="00A66AB5">
        <w:rPr>
          <w:sz w:val="22"/>
          <w:szCs w:val="22"/>
          <w:lang w:val="el-GR"/>
        </w:rPr>
        <w:t>κουετιαπίνης</w:t>
      </w:r>
      <w:proofErr w:type="spellEnd"/>
      <w:r w:rsidRPr="00A66AB5">
        <w:rPr>
          <w:sz w:val="22"/>
          <w:szCs w:val="22"/>
          <w:lang w:val="el-GR"/>
        </w:rPr>
        <w:t xml:space="preserve"> με ένα ισχυρό </w:t>
      </w:r>
      <w:proofErr w:type="spellStart"/>
      <w:r w:rsidRPr="00A66AB5">
        <w:rPr>
          <w:sz w:val="22"/>
          <w:szCs w:val="22"/>
          <w:lang w:val="el-GR"/>
        </w:rPr>
        <w:t>επαγωγέα</w:t>
      </w:r>
      <w:proofErr w:type="spellEnd"/>
      <w:r w:rsidRPr="00A66AB5">
        <w:rPr>
          <w:sz w:val="22"/>
          <w:szCs w:val="22"/>
          <w:lang w:val="el-GR"/>
        </w:rPr>
        <w:t xml:space="preserve"> των ηπατικών ενζύμων όπως η </w:t>
      </w:r>
      <w:proofErr w:type="spellStart"/>
      <w:r w:rsidRPr="00A66AB5">
        <w:rPr>
          <w:sz w:val="22"/>
          <w:szCs w:val="22"/>
          <w:lang w:val="el-GR"/>
        </w:rPr>
        <w:t>καρβαμαζεπίνη</w:t>
      </w:r>
      <w:proofErr w:type="spellEnd"/>
      <w:r w:rsidRPr="00A66AB5">
        <w:rPr>
          <w:sz w:val="22"/>
          <w:szCs w:val="22"/>
          <w:lang w:val="el-GR"/>
        </w:rPr>
        <w:t xml:space="preserve"> ή η </w:t>
      </w:r>
      <w:proofErr w:type="spellStart"/>
      <w:r w:rsidRPr="00A66AB5">
        <w:rPr>
          <w:sz w:val="22"/>
          <w:szCs w:val="22"/>
          <w:lang w:val="el-GR"/>
        </w:rPr>
        <w:t>φαινυτοΐνη</w:t>
      </w:r>
      <w:proofErr w:type="spellEnd"/>
      <w:r w:rsidRPr="00A66AB5">
        <w:rPr>
          <w:sz w:val="22"/>
          <w:szCs w:val="22"/>
          <w:lang w:val="el-GR"/>
        </w:rPr>
        <w:t xml:space="preserve"> μειώνει σημαντικά τις συγκεντρώσεις </w:t>
      </w:r>
      <w:proofErr w:type="spellStart"/>
      <w:r w:rsidRPr="00A66AB5">
        <w:rPr>
          <w:sz w:val="22"/>
          <w:szCs w:val="22"/>
          <w:lang w:val="el-GR"/>
        </w:rPr>
        <w:t>κουετιαπίνης</w:t>
      </w:r>
      <w:proofErr w:type="spellEnd"/>
      <w:r w:rsidRPr="00A66AB5">
        <w:rPr>
          <w:sz w:val="22"/>
          <w:szCs w:val="22"/>
          <w:lang w:val="el-GR"/>
        </w:rPr>
        <w:t xml:space="preserve"> στο πλάσμα, το οποίο θα μπορούσε να επηρεάσει την αποτελεσματικότητα της θεραπείας με </w:t>
      </w:r>
      <w:proofErr w:type="spellStart"/>
      <w:r w:rsidRPr="00A66AB5">
        <w:rPr>
          <w:sz w:val="22"/>
          <w:szCs w:val="22"/>
          <w:lang w:val="el-GR"/>
        </w:rPr>
        <w:t>κουετιαπίνη</w:t>
      </w:r>
      <w:proofErr w:type="spellEnd"/>
      <w:r w:rsidRPr="00A66AB5">
        <w:rPr>
          <w:sz w:val="22"/>
          <w:szCs w:val="22"/>
          <w:lang w:val="el-GR"/>
        </w:rPr>
        <w:t xml:space="preserve">. Σε ασθενείς που λαμβάνουν </w:t>
      </w:r>
      <w:proofErr w:type="spellStart"/>
      <w:r w:rsidRPr="00A66AB5">
        <w:rPr>
          <w:sz w:val="22"/>
          <w:szCs w:val="22"/>
          <w:lang w:val="el-GR"/>
        </w:rPr>
        <w:t>επαγωγέα</w:t>
      </w:r>
      <w:proofErr w:type="spellEnd"/>
      <w:r w:rsidRPr="00A66AB5">
        <w:rPr>
          <w:sz w:val="22"/>
          <w:szCs w:val="22"/>
          <w:lang w:val="el-GR"/>
        </w:rPr>
        <w:t xml:space="preserve"> ηπατικών ενζύμων, η έναρξη θεραπείας με </w:t>
      </w:r>
      <w:proofErr w:type="spellStart"/>
      <w:r w:rsidRPr="00A66AB5">
        <w:rPr>
          <w:sz w:val="22"/>
          <w:szCs w:val="22"/>
          <w:lang w:val="el-GR"/>
        </w:rPr>
        <w:t>κουετιαπίνη</w:t>
      </w:r>
      <w:proofErr w:type="spellEnd"/>
      <w:r w:rsidRPr="00A66AB5">
        <w:rPr>
          <w:sz w:val="22"/>
          <w:szCs w:val="22"/>
          <w:lang w:val="el-GR"/>
        </w:rPr>
        <w:t xml:space="preserve"> θα πρέπει να πραγματοποιείται μόνον εάν ο ιατρός θεωρεί ότι τα οφέλη </w:t>
      </w:r>
      <w:r w:rsidR="008C2263">
        <w:rPr>
          <w:sz w:val="22"/>
          <w:szCs w:val="22"/>
          <w:lang w:val="el-GR"/>
        </w:rPr>
        <w:t>της</w:t>
      </w:r>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υπερτερούν των κινδύνων της αφαίρεσης του </w:t>
      </w:r>
      <w:proofErr w:type="spellStart"/>
      <w:r w:rsidRPr="00A66AB5">
        <w:rPr>
          <w:sz w:val="22"/>
          <w:szCs w:val="22"/>
          <w:lang w:val="el-GR"/>
        </w:rPr>
        <w:t>επαγωγέα</w:t>
      </w:r>
      <w:proofErr w:type="spellEnd"/>
      <w:r w:rsidRPr="00A66AB5">
        <w:rPr>
          <w:sz w:val="22"/>
          <w:szCs w:val="22"/>
          <w:lang w:val="el-GR"/>
        </w:rPr>
        <w:t xml:space="preserve"> ηπατικών ενζύμων. Είναι σημαντικό οποιαδήποτε αλλαγή στον </w:t>
      </w:r>
      <w:proofErr w:type="spellStart"/>
      <w:r w:rsidRPr="00A66AB5">
        <w:rPr>
          <w:sz w:val="22"/>
          <w:szCs w:val="22"/>
          <w:lang w:val="el-GR"/>
        </w:rPr>
        <w:t>επαγωγέα</w:t>
      </w:r>
      <w:proofErr w:type="spellEnd"/>
      <w:r w:rsidRPr="00A66AB5">
        <w:rPr>
          <w:sz w:val="22"/>
          <w:szCs w:val="22"/>
          <w:lang w:val="el-GR"/>
        </w:rPr>
        <w:t xml:space="preserve"> να είναι σταδιακή και, εάν απαιτείται, να αντικαθίσταται με μη </w:t>
      </w:r>
      <w:proofErr w:type="spellStart"/>
      <w:r w:rsidRPr="00A66AB5">
        <w:rPr>
          <w:sz w:val="22"/>
          <w:szCs w:val="22"/>
          <w:lang w:val="el-GR"/>
        </w:rPr>
        <w:t>επαγωγέα</w:t>
      </w:r>
      <w:proofErr w:type="spellEnd"/>
      <w:r w:rsidRPr="00A66AB5">
        <w:rPr>
          <w:sz w:val="22"/>
          <w:szCs w:val="22"/>
          <w:lang w:val="el-GR"/>
        </w:rPr>
        <w:t xml:space="preserve"> (π.χ. </w:t>
      </w:r>
      <w:proofErr w:type="spellStart"/>
      <w:r w:rsidRPr="00A66AB5">
        <w:rPr>
          <w:sz w:val="22"/>
          <w:szCs w:val="22"/>
          <w:lang w:val="el-GR"/>
        </w:rPr>
        <w:t>βαλπροϊκό</w:t>
      </w:r>
      <w:proofErr w:type="spellEnd"/>
      <w:r w:rsidRPr="00A66AB5">
        <w:rPr>
          <w:sz w:val="22"/>
          <w:szCs w:val="22"/>
          <w:lang w:val="el-GR"/>
        </w:rPr>
        <w:t xml:space="preserve"> νάτριο).</w:t>
      </w:r>
    </w:p>
    <w:p w:rsidR="00380EEB" w:rsidRPr="00A66AB5" w:rsidRDefault="00380EEB">
      <w:pPr>
        <w:jc w:val="both"/>
        <w:rPr>
          <w:sz w:val="22"/>
          <w:szCs w:val="22"/>
          <w:lang w:val="el-GR"/>
        </w:rPr>
      </w:pPr>
    </w:p>
    <w:p w:rsidR="00380EEB" w:rsidRPr="00A66AB5" w:rsidRDefault="00380EEB">
      <w:pPr>
        <w:jc w:val="both"/>
        <w:rPr>
          <w:sz w:val="22"/>
          <w:szCs w:val="22"/>
          <w:lang w:val="el-GR"/>
        </w:rPr>
      </w:pPr>
      <w:r w:rsidRPr="00A66AB5">
        <w:rPr>
          <w:b/>
          <w:sz w:val="22"/>
          <w:szCs w:val="22"/>
          <w:lang w:val="el-GR"/>
        </w:rPr>
        <w:t>Βάρος</w:t>
      </w:r>
      <w:r w:rsidR="00365371">
        <w:rPr>
          <w:b/>
          <w:sz w:val="22"/>
          <w:szCs w:val="22"/>
          <w:lang w:val="el-GR"/>
        </w:rPr>
        <w:t>:</w:t>
      </w:r>
      <w:r w:rsidRPr="00A66AB5">
        <w:rPr>
          <w:b/>
          <w:sz w:val="22"/>
          <w:szCs w:val="22"/>
          <w:lang w:val="el-GR"/>
        </w:rPr>
        <w:t xml:space="preserve"> </w:t>
      </w:r>
    </w:p>
    <w:p w:rsidR="00380EEB" w:rsidRPr="00A66AB5" w:rsidRDefault="00380EEB">
      <w:pPr>
        <w:jc w:val="both"/>
        <w:rPr>
          <w:sz w:val="22"/>
          <w:szCs w:val="22"/>
          <w:lang w:val="el-GR"/>
        </w:rPr>
      </w:pPr>
      <w:r w:rsidRPr="00A66AB5">
        <w:rPr>
          <w:sz w:val="22"/>
          <w:szCs w:val="22"/>
          <w:lang w:val="el-GR"/>
        </w:rPr>
        <w:t xml:space="preserve">Έχει αναφερθεί αύξηση βάρους σε ασθενείς που έχουν λάβει θεραπεία με </w:t>
      </w:r>
      <w:proofErr w:type="spellStart"/>
      <w:r w:rsidRPr="00A66AB5">
        <w:rPr>
          <w:sz w:val="22"/>
          <w:szCs w:val="22"/>
          <w:lang w:val="el-GR"/>
        </w:rPr>
        <w:t>κουετιαπίνη</w:t>
      </w:r>
      <w:proofErr w:type="spellEnd"/>
      <w:r w:rsidRPr="00A66AB5">
        <w:rPr>
          <w:sz w:val="22"/>
          <w:szCs w:val="22"/>
          <w:lang w:val="el-GR"/>
        </w:rPr>
        <w:t xml:space="preserve">, η οποία θα πρέπει να παρακολουθείται και να αντιμετωπίζεται όπως κρίνεται κλινικά απαραίτητο, σύμφωνα με τις κατευθυντήριες οδηγίες των χρησιμοποιούμενων </w:t>
      </w:r>
      <w:proofErr w:type="spellStart"/>
      <w:r w:rsidRPr="00A66AB5">
        <w:rPr>
          <w:sz w:val="22"/>
          <w:szCs w:val="22"/>
          <w:lang w:val="el-GR"/>
        </w:rPr>
        <w:t>αντιψυχωσικών</w:t>
      </w:r>
      <w:proofErr w:type="spellEnd"/>
      <w:r w:rsidRPr="00A66AB5">
        <w:rPr>
          <w:sz w:val="22"/>
          <w:szCs w:val="22"/>
          <w:lang w:val="el-GR"/>
        </w:rPr>
        <w:t xml:space="preserve"> (βλ. παραγράφους 4.8 και 5.1).</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Υπεργλυκαιμία</w:t>
      </w:r>
      <w:r w:rsidR="00365371">
        <w:rPr>
          <w:b/>
          <w:sz w:val="22"/>
          <w:szCs w:val="22"/>
          <w:lang w:val="el-GR"/>
        </w:rPr>
        <w:t>:</w:t>
      </w:r>
      <w:r w:rsidRPr="00A66AB5">
        <w:rPr>
          <w:b/>
          <w:sz w:val="22"/>
          <w:szCs w:val="22"/>
          <w:lang w:val="el-GR"/>
        </w:rPr>
        <w:t xml:space="preserve"> </w:t>
      </w:r>
    </w:p>
    <w:p w:rsidR="00380EEB" w:rsidRPr="00A66AB5" w:rsidRDefault="00380EEB">
      <w:pPr>
        <w:jc w:val="both"/>
        <w:rPr>
          <w:sz w:val="22"/>
          <w:szCs w:val="22"/>
          <w:lang w:val="el-GR"/>
        </w:rPr>
      </w:pPr>
      <w:r w:rsidRPr="00A66AB5">
        <w:rPr>
          <w:sz w:val="22"/>
          <w:szCs w:val="22"/>
          <w:lang w:val="el-GR"/>
        </w:rPr>
        <w:t xml:space="preserve">Σπάνια έχει αναφερθεί υπεργλυκαιμία και/ή ανάπτυξη ή επιδείνωση του διαβήτη, που συσχετίζεται περιστασιακά με </w:t>
      </w:r>
      <w:proofErr w:type="spellStart"/>
      <w:r w:rsidRPr="00A66AB5">
        <w:rPr>
          <w:sz w:val="22"/>
          <w:szCs w:val="22"/>
          <w:lang w:val="el-GR"/>
        </w:rPr>
        <w:t>κετοξέωση</w:t>
      </w:r>
      <w:proofErr w:type="spellEnd"/>
      <w:r w:rsidRPr="00A66AB5">
        <w:rPr>
          <w:sz w:val="22"/>
          <w:szCs w:val="22"/>
          <w:lang w:val="el-GR"/>
        </w:rPr>
        <w:t xml:space="preserve"> ή κώμα, συμπεριλαμβανομένων κάποιων θανατηφόρων περιπτώσεων (βλ. παράγραφο 4.8). Σε ορισμένες περιπτώσεις, έχει αναφερθεί προηγούμενη αύξηση του σωματικού βάρους η οποία ενδέχεται να αποτελεί </w:t>
      </w:r>
      <w:proofErr w:type="spellStart"/>
      <w:r w:rsidRPr="00A66AB5">
        <w:rPr>
          <w:sz w:val="22"/>
          <w:szCs w:val="22"/>
          <w:lang w:val="el-GR"/>
        </w:rPr>
        <w:t>προδιαθεσικό</w:t>
      </w:r>
      <w:proofErr w:type="spellEnd"/>
      <w:r w:rsidRPr="00A66AB5">
        <w:rPr>
          <w:sz w:val="22"/>
          <w:szCs w:val="22"/>
          <w:lang w:val="el-GR"/>
        </w:rPr>
        <w:t xml:space="preserve"> παράγοντα. Συνιστάται κατάλληλη κλινική παρακολούθηση σύμφωνα με τις κατευθυντήριες οδηγίες των χρησιμοποιούμενων </w:t>
      </w:r>
      <w:proofErr w:type="spellStart"/>
      <w:r w:rsidRPr="00A66AB5">
        <w:rPr>
          <w:sz w:val="22"/>
          <w:szCs w:val="22"/>
          <w:lang w:val="el-GR"/>
        </w:rPr>
        <w:t>αντιψυχωσικών</w:t>
      </w:r>
      <w:proofErr w:type="spellEnd"/>
      <w:r w:rsidRPr="00A66AB5">
        <w:rPr>
          <w:sz w:val="22"/>
          <w:szCs w:val="22"/>
          <w:lang w:val="el-GR"/>
        </w:rPr>
        <w:t xml:space="preserve">. Οι ασθενείς που λαμβάνουν θεραπεία με οποιοδήποτε </w:t>
      </w:r>
      <w:proofErr w:type="spellStart"/>
      <w:r w:rsidRPr="00A66AB5">
        <w:rPr>
          <w:sz w:val="22"/>
          <w:szCs w:val="22"/>
          <w:lang w:val="el-GR"/>
        </w:rPr>
        <w:t>αντιψυχωσικό</w:t>
      </w:r>
      <w:proofErr w:type="spellEnd"/>
      <w:r w:rsidRPr="00A66AB5">
        <w:rPr>
          <w:sz w:val="22"/>
          <w:szCs w:val="22"/>
          <w:lang w:val="el-GR"/>
        </w:rPr>
        <w:t xml:space="preserve"> παράγοντα, συμπεριλαμβανομένης της </w:t>
      </w:r>
      <w:proofErr w:type="spellStart"/>
      <w:r w:rsidRPr="00A66AB5">
        <w:rPr>
          <w:sz w:val="22"/>
          <w:szCs w:val="22"/>
          <w:lang w:val="el-GR"/>
        </w:rPr>
        <w:t>κουετιαπίνης</w:t>
      </w:r>
      <w:proofErr w:type="spellEnd"/>
      <w:r w:rsidRPr="00A66AB5">
        <w:rPr>
          <w:sz w:val="22"/>
          <w:szCs w:val="22"/>
          <w:lang w:val="el-GR"/>
        </w:rPr>
        <w:t xml:space="preserve">, θα πρέπει να παρακολουθούνται για σημεία και συμπτώματα υπεργλυκαιμίας (όπως πολυδιψία, πολυουρία, πολυφαγία και αδυναμία) και οι ασθενείς με σακχαρώδη διαβήτη ή με </w:t>
      </w:r>
      <w:r w:rsidRPr="00A66AB5">
        <w:rPr>
          <w:sz w:val="22"/>
          <w:szCs w:val="22"/>
          <w:lang w:val="el-GR"/>
        </w:rPr>
        <w:lastRenderedPageBreak/>
        <w:t xml:space="preserve">παράγοντες κινδύνου για σακχαρώδη διαβήτη θα πρέπει να υποβάλλονται σε τακτική παρακολούθηση για επιδείνωση του ελέγχου του σακχάρου. Το βάρος θα πρέπει να παρακολουθείται τακτικά. </w:t>
      </w:r>
    </w:p>
    <w:p w:rsidR="00380EEB" w:rsidRPr="00A66AB5" w:rsidRDefault="00380EEB">
      <w:pPr>
        <w:jc w:val="both"/>
        <w:rPr>
          <w:b/>
          <w:sz w:val="22"/>
          <w:szCs w:val="22"/>
          <w:lang w:val="el-GR"/>
        </w:rPr>
      </w:pPr>
    </w:p>
    <w:p w:rsidR="00380EEB" w:rsidRPr="00A66AB5" w:rsidRDefault="00380EEB">
      <w:pPr>
        <w:jc w:val="both"/>
        <w:rPr>
          <w:b/>
          <w:sz w:val="22"/>
          <w:szCs w:val="22"/>
          <w:lang w:val="el-GR"/>
        </w:rPr>
      </w:pPr>
      <w:r w:rsidRPr="00A66AB5">
        <w:rPr>
          <w:b/>
          <w:sz w:val="22"/>
          <w:szCs w:val="22"/>
          <w:lang w:val="el-GR"/>
        </w:rPr>
        <w:t>Λιπίδια</w:t>
      </w:r>
      <w:r w:rsidR="00365371">
        <w:rPr>
          <w:b/>
          <w:sz w:val="22"/>
          <w:szCs w:val="22"/>
          <w:lang w:val="el-GR"/>
        </w:rPr>
        <w:t>:</w:t>
      </w:r>
    </w:p>
    <w:p w:rsidR="00380EEB" w:rsidRPr="00A66AB5" w:rsidRDefault="00380EEB">
      <w:pPr>
        <w:jc w:val="both"/>
        <w:rPr>
          <w:sz w:val="22"/>
          <w:szCs w:val="22"/>
          <w:lang w:val="el-GR"/>
        </w:rPr>
      </w:pPr>
      <w:r w:rsidRPr="00A66AB5">
        <w:rPr>
          <w:sz w:val="22"/>
          <w:szCs w:val="22"/>
          <w:lang w:val="el-GR"/>
        </w:rPr>
        <w:t xml:space="preserve">Έχουν παρατηρηθεί αυξήσεις στα </w:t>
      </w:r>
      <w:proofErr w:type="spellStart"/>
      <w:r w:rsidRPr="00A66AB5">
        <w:rPr>
          <w:sz w:val="22"/>
          <w:szCs w:val="22"/>
          <w:lang w:val="el-GR"/>
        </w:rPr>
        <w:t>τριγλυκερίδια</w:t>
      </w:r>
      <w:proofErr w:type="spellEnd"/>
      <w:r w:rsidRPr="00A66AB5">
        <w:rPr>
          <w:sz w:val="22"/>
          <w:szCs w:val="22"/>
          <w:lang w:val="el-GR"/>
        </w:rPr>
        <w:t xml:space="preserve">, στην </w:t>
      </w:r>
      <w:r w:rsidRPr="00A66AB5">
        <w:rPr>
          <w:sz w:val="22"/>
          <w:szCs w:val="22"/>
        </w:rPr>
        <w:t>LDL</w:t>
      </w:r>
      <w:r w:rsidRPr="00A66AB5">
        <w:rPr>
          <w:sz w:val="22"/>
          <w:szCs w:val="22"/>
          <w:lang w:val="el-GR"/>
        </w:rPr>
        <w:t xml:space="preserve"> και την ολική χοληστερόλη και μειώσεις στην </w:t>
      </w:r>
      <w:r w:rsidRPr="00A66AB5">
        <w:rPr>
          <w:sz w:val="22"/>
          <w:szCs w:val="22"/>
        </w:rPr>
        <w:t>HDL</w:t>
      </w:r>
      <w:r w:rsidRPr="00A66AB5">
        <w:rPr>
          <w:sz w:val="22"/>
          <w:szCs w:val="22"/>
          <w:lang w:val="el-GR"/>
        </w:rPr>
        <w:t xml:space="preserve"> χοληστερόλη σε κλινικές δοκιμές με </w:t>
      </w:r>
      <w:proofErr w:type="spellStart"/>
      <w:r w:rsidRPr="00A66AB5">
        <w:rPr>
          <w:sz w:val="22"/>
          <w:szCs w:val="22"/>
          <w:lang w:val="el-GR"/>
        </w:rPr>
        <w:t>κουετιαπίνη</w:t>
      </w:r>
      <w:proofErr w:type="spellEnd"/>
      <w:r w:rsidRPr="00A66AB5">
        <w:rPr>
          <w:sz w:val="22"/>
          <w:szCs w:val="22"/>
          <w:lang w:val="el-GR"/>
        </w:rPr>
        <w:t xml:space="preserve"> (βλ. παράγραφο 4.8). Οι αλλαγές στα λιπίδια θα πρέπει να αντιμετωπίζονται όπως κρίνεται κλινικά απαραίτητο. </w:t>
      </w:r>
    </w:p>
    <w:p w:rsidR="00380EEB" w:rsidRPr="00A66AB5" w:rsidRDefault="00380EEB">
      <w:pPr>
        <w:jc w:val="both"/>
        <w:rPr>
          <w:b/>
          <w:sz w:val="22"/>
          <w:szCs w:val="22"/>
          <w:lang w:val="el-GR"/>
        </w:rPr>
      </w:pPr>
    </w:p>
    <w:p w:rsidR="00380EEB" w:rsidRPr="00A66AB5" w:rsidRDefault="00380EEB">
      <w:pPr>
        <w:jc w:val="both"/>
        <w:rPr>
          <w:b/>
          <w:sz w:val="22"/>
          <w:szCs w:val="22"/>
          <w:lang w:val="el-GR"/>
        </w:rPr>
      </w:pPr>
      <w:r w:rsidRPr="00A66AB5">
        <w:rPr>
          <w:b/>
          <w:sz w:val="22"/>
          <w:szCs w:val="22"/>
          <w:lang w:val="el-GR"/>
        </w:rPr>
        <w:t>Μεταβολικός κίνδυνος</w:t>
      </w:r>
      <w:r w:rsidR="00365371">
        <w:rPr>
          <w:b/>
          <w:sz w:val="22"/>
          <w:szCs w:val="22"/>
          <w:lang w:val="el-GR"/>
        </w:rPr>
        <w:t>:</w:t>
      </w:r>
    </w:p>
    <w:p w:rsidR="00380EEB" w:rsidRPr="00A66AB5" w:rsidRDefault="00380EEB">
      <w:pPr>
        <w:jc w:val="both"/>
        <w:rPr>
          <w:sz w:val="22"/>
          <w:szCs w:val="22"/>
          <w:lang w:val="el-GR"/>
        </w:rPr>
      </w:pPr>
      <w:r w:rsidRPr="00A66AB5">
        <w:rPr>
          <w:sz w:val="22"/>
          <w:szCs w:val="22"/>
          <w:lang w:val="el-GR"/>
        </w:rPr>
        <w:t xml:space="preserve">Δεδομένων των αλλαγών στο βάρος, τη γλυκόζη αίματος (βλ. υπεργλυκαιμία) και τα λιπίδια που παρατηρήθηκαν σε κλινικές μελέτες, </w:t>
      </w:r>
      <w:r w:rsidR="00101225" w:rsidRPr="00A66AB5">
        <w:rPr>
          <w:sz w:val="22"/>
          <w:szCs w:val="22"/>
          <w:lang w:val="el-GR"/>
        </w:rPr>
        <w:t xml:space="preserve">οι ασθενείς (συμπεριλαμβανομένων αυτών με φυσιολογικές τιμές αρχικής αξιολόγησης) </w:t>
      </w:r>
      <w:r w:rsidRPr="00A66AB5">
        <w:rPr>
          <w:sz w:val="22"/>
          <w:szCs w:val="22"/>
          <w:lang w:val="el-GR"/>
        </w:rPr>
        <w:t xml:space="preserve">ενδέχεται να </w:t>
      </w:r>
      <w:r w:rsidR="00101225" w:rsidRPr="00A66AB5">
        <w:rPr>
          <w:sz w:val="22"/>
          <w:szCs w:val="22"/>
          <w:lang w:val="el-GR"/>
        </w:rPr>
        <w:t xml:space="preserve">παρουσιάσουν </w:t>
      </w:r>
      <w:r w:rsidRPr="00A66AB5">
        <w:rPr>
          <w:sz w:val="22"/>
          <w:szCs w:val="22"/>
          <w:lang w:val="el-GR"/>
        </w:rPr>
        <w:t xml:space="preserve">επιδείνωση του προφίλ </w:t>
      </w:r>
      <w:r w:rsidR="00101225" w:rsidRPr="00A66AB5">
        <w:rPr>
          <w:sz w:val="22"/>
          <w:szCs w:val="22"/>
          <w:lang w:val="el-GR"/>
        </w:rPr>
        <w:t xml:space="preserve">τους </w:t>
      </w:r>
      <w:r w:rsidRPr="00A66AB5">
        <w:rPr>
          <w:sz w:val="22"/>
          <w:szCs w:val="22"/>
          <w:lang w:val="el-GR"/>
        </w:rPr>
        <w:t>μεταβολικού κινδύνου, η οποία θα πρέπει να αντιμετωπίζεται όπως κριθεί κλινικά απαραίτητο (βλ. επίσης παράγραφο 4.8).</w:t>
      </w:r>
    </w:p>
    <w:p w:rsidR="00380EEB" w:rsidRPr="00A66AB5" w:rsidRDefault="00380EEB">
      <w:pPr>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 xml:space="preserve">Παράταση του </w:t>
      </w:r>
      <w:r w:rsidRPr="00A66AB5">
        <w:rPr>
          <w:b/>
          <w:sz w:val="22"/>
          <w:szCs w:val="22"/>
        </w:rPr>
        <w:t>QT</w:t>
      </w:r>
      <w:r w:rsidR="00365371">
        <w:rPr>
          <w:b/>
          <w:sz w:val="22"/>
          <w:szCs w:val="22"/>
          <w:lang w:val="el-GR"/>
        </w:rPr>
        <w:t>:</w:t>
      </w:r>
      <w:r w:rsidRPr="00A66AB5">
        <w:rPr>
          <w:b/>
          <w:sz w:val="22"/>
          <w:szCs w:val="22"/>
          <w:lang w:val="el-GR"/>
        </w:rPr>
        <w:t xml:space="preserve">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Σε κλινικές δοκιμές και σε χρήση σύμφωνα με την ΠΧΠ, η </w:t>
      </w:r>
      <w:proofErr w:type="spellStart"/>
      <w:r w:rsidRPr="00A66AB5">
        <w:rPr>
          <w:sz w:val="22"/>
          <w:szCs w:val="22"/>
          <w:lang w:val="el-GR"/>
        </w:rPr>
        <w:t>κουετιαπίνη</w:t>
      </w:r>
      <w:proofErr w:type="spellEnd"/>
      <w:r w:rsidRPr="00A66AB5">
        <w:rPr>
          <w:sz w:val="22"/>
          <w:szCs w:val="22"/>
          <w:lang w:val="el-GR"/>
        </w:rPr>
        <w:t xml:space="preserve"> δεν συσχετίστηκε με επίμονη αύξηση των απόλυτων διαστημάτων </w:t>
      </w:r>
      <w:r w:rsidRPr="00A66AB5">
        <w:rPr>
          <w:sz w:val="22"/>
          <w:szCs w:val="22"/>
        </w:rPr>
        <w:t>QT</w:t>
      </w:r>
      <w:r w:rsidRPr="00A66AB5">
        <w:rPr>
          <w:sz w:val="22"/>
          <w:szCs w:val="22"/>
          <w:lang w:val="el-GR"/>
        </w:rPr>
        <w:t xml:space="preserve">. Κατά την εμπειρία μετά την κυκλοφορία του φαρμάκου, αναφέρθηκε παράταση του </w:t>
      </w:r>
      <w:r w:rsidRPr="00A66AB5">
        <w:rPr>
          <w:sz w:val="22"/>
          <w:szCs w:val="22"/>
        </w:rPr>
        <w:t>QT</w:t>
      </w:r>
      <w:r w:rsidRPr="00A66AB5">
        <w:rPr>
          <w:sz w:val="22"/>
          <w:szCs w:val="22"/>
          <w:lang w:val="el-GR"/>
        </w:rPr>
        <w:t xml:space="preserve"> με </w:t>
      </w:r>
      <w:proofErr w:type="spellStart"/>
      <w:r w:rsidRPr="00A66AB5">
        <w:rPr>
          <w:sz w:val="22"/>
          <w:szCs w:val="22"/>
          <w:lang w:val="el-GR"/>
        </w:rPr>
        <w:t>κουετιαπίνη</w:t>
      </w:r>
      <w:proofErr w:type="spellEnd"/>
      <w:r w:rsidRPr="00A66AB5">
        <w:rPr>
          <w:sz w:val="22"/>
          <w:szCs w:val="22"/>
          <w:lang w:val="el-GR"/>
        </w:rPr>
        <w:t xml:space="preserve"> σε θεραπευτικές δόσεις (βλ. παράγραφο 4.8) και σε </w:t>
      </w:r>
      <w:proofErr w:type="spellStart"/>
      <w:r w:rsidRPr="00A66AB5">
        <w:rPr>
          <w:sz w:val="22"/>
          <w:szCs w:val="22"/>
          <w:lang w:val="el-GR"/>
        </w:rPr>
        <w:t>υπερδοσολογία</w:t>
      </w:r>
      <w:proofErr w:type="spellEnd"/>
      <w:r w:rsidRPr="00A66AB5">
        <w:rPr>
          <w:sz w:val="22"/>
          <w:szCs w:val="22"/>
          <w:lang w:val="el-GR"/>
        </w:rPr>
        <w:t xml:space="preserve"> (βλ. παράγραφο 4.9). Όπως με άλλα </w:t>
      </w:r>
      <w:proofErr w:type="spellStart"/>
      <w:r w:rsidRPr="00A66AB5">
        <w:rPr>
          <w:sz w:val="22"/>
          <w:szCs w:val="22"/>
          <w:lang w:val="el-GR"/>
        </w:rPr>
        <w:t>αντιψυχωσικά</w:t>
      </w:r>
      <w:proofErr w:type="spellEnd"/>
      <w:r w:rsidRPr="00A66AB5">
        <w:rPr>
          <w:sz w:val="22"/>
          <w:szCs w:val="22"/>
          <w:lang w:val="el-GR"/>
        </w:rPr>
        <w:t xml:space="preserve">, θα πρέπει να δίνεται προσοχή όταν </w:t>
      </w:r>
      <w:proofErr w:type="spellStart"/>
      <w:r w:rsidRPr="00A66AB5">
        <w:rPr>
          <w:sz w:val="22"/>
          <w:szCs w:val="22"/>
          <w:lang w:val="el-GR"/>
        </w:rPr>
        <w:t>συνταγογραφείται</w:t>
      </w:r>
      <w:proofErr w:type="spellEnd"/>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σε ασθενείς με καρδιαγγειακή νόσο ή οικογενειακό ιστορικό παράτασης του </w:t>
      </w:r>
      <w:r w:rsidRPr="00A66AB5">
        <w:rPr>
          <w:sz w:val="22"/>
          <w:szCs w:val="22"/>
        </w:rPr>
        <w:t>QT</w:t>
      </w:r>
      <w:r w:rsidRPr="00A66AB5">
        <w:rPr>
          <w:sz w:val="22"/>
          <w:szCs w:val="22"/>
          <w:lang w:val="el-GR"/>
        </w:rPr>
        <w:t xml:space="preserve">. Επίσης, θα πρέπει να δίνεται προσοχή όταν </w:t>
      </w:r>
      <w:proofErr w:type="spellStart"/>
      <w:r w:rsidRPr="00A66AB5">
        <w:rPr>
          <w:sz w:val="22"/>
          <w:szCs w:val="22"/>
          <w:lang w:val="el-GR"/>
        </w:rPr>
        <w:t>συνταγογραφείται</w:t>
      </w:r>
      <w:proofErr w:type="spellEnd"/>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είτε με φάρμακα που είναι γνωστό ότι αυξάνουν το διάστημα </w:t>
      </w:r>
      <w:r w:rsidRPr="00A66AB5">
        <w:rPr>
          <w:sz w:val="22"/>
          <w:szCs w:val="22"/>
        </w:rPr>
        <w:t>QT</w:t>
      </w:r>
      <w:r w:rsidRPr="00A66AB5">
        <w:rPr>
          <w:sz w:val="22"/>
          <w:szCs w:val="22"/>
          <w:lang w:val="el-GR"/>
        </w:rPr>
        <w:t xml:space="preserve"> είτε με ταυτόχρονη χρήση νευροληπτικών, ειδικά σε ηλικιωμένους, σε ασθενείς με συγγενές σύνδρομο μακρού διαστήματος </w:t>
      </w:r>
      <w:r w:rsidRPr="00A66AB5">
        <w:rPr>
          <w:sz w:val="22"/>
          <w:szCs w:val="22"/>
        </w:rPr>
        <w:t>QT</w:t>
      </w:r>
      <w:r w:rsidRPr="00A66AB5">
        <w:rPr>
          <w:sz w:val="22"/>
          <w:szCs w:val="22"/>
          <w:lang w:val="el-GR"/>
        </w:rPr>
        <w:t xml:space="preserve">, συμφορητική καρδιακή ανεπάρκεια, υπερτροφία της καρδιάς, </w:t>
      </w:r>
      <w:proofErr w:type="spellStart"/>
      <w:r w:rsidRPr="00A66AB5">
        <w:rPr>
          <w:sz w:val="22"/>
          <w:szCs w:val="22"/>
          <w:lang w:val="el-GR"/>
        </w:rPr>
        <w:t>υποκαλιαιμία</w:t>
      </w:r>
      <w:proofErr w:type="spellEnd"/>
      <w:r w:rsidRPr="00A66AB5">
        <w:rPr>
          <w:sz w:val="22"/>
          <w:szCs w:val="22"/>
          <w:lang w:val="el-GR"/>
        </w:rPr>
        <w:t xml:space="preserve"> ή </w:t>
      </w:r>
      <w:proofErr w:type="spellStart"/>
      <w:r w:rsidRPr="00A66AB5">
        <w:rPr>
          <w:sz w:val="22"/>
          <w:szCs w:val="22"/>
          <w:lang w:val="el-GR"/>
        </w:rPr>
        <w:t>υπομαγνησιαιμία</w:t>
      </w:r>
      <w:proofErr w:type="spellEnd"/>
      <w:r w:rsidRPr="00A66AB5">
        <w:rPr>
          <w:sz w:val="22"/>
          <w:szCs w:val="22"/>
          <w:lang w:val="el-GR"/>
        </w:rPr>
        <w:t xml:space="preserve"> (βλ. παράγραφο 4.5).</w:t>
      </w:r>
    </w:p>
    <w:p w:rsidR="00380EEB" w:rsidRPr="00A66AB5" w:rsidRDefault="00380EEB">
      <w:pPr>
        <w:pStyle w:val="a3"/>
        <w:tabs>
          <w:tab w:val="clear" w:pos="4320"/>
          <w:tab w:val="clear" w:pos="8640"/>
        </w:tabs>
        <w:jc w:val="both"/>
        <w:rPr>
          <w:sz w:val="22"/>
          <w:szCs w:val="22"/>
          <w:lang w:val="el-GR"/>
        </w:rPr>
      </w:pPr>
    </w:p>
    <w:p w:rsidR="00101225" w:rsidRPr="00A66AB5" w:rsidRDefault="00101225">
      <w:pPr>
        <w:pStyle w:val="a3"/>
        <w:tabs>
          <w:tab w:val="clear" w:pos="4320"/>
          <w:tab w:val="clear" w:pos="8640"/>
        </w:tabs>
        <w:jc w:val="both"/>
        <w:rPr>
          <w:sz w:val="22"/>
          <w:szCs w:val="22"/>
          <w:lang w:val="el-GR"/>
        </w:rPr>
      </w:pPr>
    </w:p>
    <w:p w:rsidR="00101225" w:rsidRPr="00A66AB5" w:rsidRDefault="00101225">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Στέρηση</w:t>
      </w:r>
      <w:r w:rsidR="00365371">
        <w:rPr>
          <w:b/>
          <w:sz w:val="22"/>
          <w:szCs w:val="22"/>
          <w:lang w:val="el-GR"/>
        </w:rPr>
        <w:t>:</w:t>
      </w:r>
      <w:r w:rsidRPr="00A66AB5">
        <w:rPr>
          <w:b/>
          <w:sz w:val="22"/>
          <w:szCs w:val="22"/>
          <w:lang w:val="el-GR"/>
        </w:rPr>
        <w:t xml:space="preserve"> </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Έχουν περιγραφεί συμπτώματα οξείας στέρησης όπως </w:t>
      </w:r>
      <w:r w:rsidR="00365371">
        <w:rPr>
          <w:sz w:val="22"/>
          <w:szCs w:val="22"/>
          <w:lang w:val="el-GR"/>
        </w:rPr>
        <w:t xml:space="preserve">ναυτία, έμετος, </w:t>
      </w:r>
      <w:r w:rsidRPr="00A66AB5">
        <w:rPr>
          <w:sz w:val="22"/>
          <w:szCs w:val="22"/>
          <w:lang w:val="el-GR"/>
        </w:rPr>
        <w:t xml:space="preserve">αϋπνία, κεφαλαλγία, διάρροια, ζάλη και ευερεθιστότητα μετά από την απότομη διακοπή της </w:t>
      </w:r>
      <w:proofErr w:type="spellStart"/>
      <w:r w:rsidRPr="00A66AB5">
        <w:rPr>
          <w:sz w:val="22"/>
          <w:szCs w:val="22"/>
          <w:lang w:val="el-GR"/>
        </w:rPr>
        <w:t>κουετιαπίνης</w:t>
      </w:r>
      <w:proofErr w:type="spellEnd"/>
      <w:r w:rsidRPr="00A66AB5">
        <w:rPr>
          <w:sz w:val="22"/>
          <w:szCs w:val="22"/>
          <w:lang w:val="el-GR"/>
        </w:rPr>
        <w:t>. Συνιστάται σταδιακή διακοπή σε περίοδο τουλάχιστον μίας έως δύο εβδομάδων (βλ. παράγραφο 4.8).</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Ηλικιωμένοι ασθενείς με ψύχωση που σχετίζεται με άνοια</w:t>
      </w:r>
      <w:r w:rsidR="00365371">
        <w:rPr>
          <w:b/>
          <w:sz w:val="22"/>
          <w:szCs w:val="22"/>
          <w:lang w:val="el-GR"/>
        </w:rPr>
        <w:t>:</w:t>
      </w:r>
      <w:r w:rsidRPr="00A66AB5">
        <w:rPr>
          <w:b/>
          <w:sz w:val="22"/>
          <w:szCs w:val="22"/>
          <w:lang w:val="el-GR"/>
        </w:rPr>
        <w:t xml:space="preserve"> </w:t>
      </w:r>
    </w:p>
    <w:p w:rsidR="00380EEB" w:rsidRPr="00A66AB5" w:rsidRDefault="00666FFD">
      <w:pPr>
        <w:pStyle w:val="a3"/>
        <w:tabs>
          <w:tab w:val="clear" w:pos="4320"/>
          <w:tab w:val="clear" w:pos="8640"/>
        </w:tabs>
        <w:jc w:val="both"/>
        <w:rPr>
          <w:sz w:val="22"/>
          <w:szCs w:val="22"/>
          <w:lang w:val="el-GR"/>
        </w:rPr>
      </w:pPr>
      <w:r>
        <w:rPr>
          <w:sz w:val="22"/>
          <w:szCs w:val="22"/>
          <w:lang w:val="el-GR"/>
        </w:rPr>
        <w:t>Η</w:t>
      </w:r>
      <w:r w:rsidR="00380EEB" w:rsidRPr="00A66AB5">
        <w:rPr>
          <w:sz w:val="22"/>
          <w:szCs w:val="22"/>
          <w:lang w:val="el-GR"/>
        </w:rPr>
        <w:t xml:space="preserve"> </w:t>
      </w:r>
      <w:proofErr w:type="spellStart"/>
      <w:r w:rsidR="00380EEB" w:rsidRPr="00A66AB5">
        <w:rPr>
          <w:sz w:val="22"/>
          <w:szCs w:val="22"/>
          <w:lang w:val="el-GR"/>
        </w:rPr>
        <w:t>κουετιαπίνη</w:t>
      </w:r>
      <w:proofErr w:type="spellEnd"/>
      <w:r w:rsidR="00380EEB" w:rsidRPr="00A66AB5">
        <w:rPr>
          <w:sz w:val="22"/>
          <w:szCs w:val="22"/>
          <w:lang w:val="el-GR"/>
        </w:rPr>
        <w:t xml:space="preserve"> δεν είναι </w:t>
      </w:r>
      <w:r w:rsidRPr="00A66AB5">
        <w:rPr>
          <w:sz w:val="22"/>
          <w:szCs w:val="22"/>
          <w:lang w:val="el-GR"/>
        </w:rPr>
        <w:t>εγκεκριμέν</w:t>
      </w:r>
      <w:r>
        <w:rPr>
          <w:sz w:val="22"/>
          <w:szCs w:val="22"/>
          <w:lang w:val="el-GR"/>
        </w:rPr>
        <w:t>η</w:t>
      </w:r>
      <w:r w:rsidRPr="00A66AB5">
        <w:rPr>
          <w:sz w:val="22"/>
          <w:szCs w:val="22"/>
          <w:lang w:val="el-GR"/>
        </w:rPr>
        <w:t xml:space="preserve"> </w:t>
      </w:r>
      <w:r w:rsidR="00380EEB" w:rsidRPr="00A66AB5">
        <w:rPr>
          <w:sz w:val="22"/>
          <w:szCs w:val="22"/>
          <w:lang w:val="el-GR"/>
        </w:rPr>
        <w:t xml:space="preserve">για τη θεραπεία ψύχωσης που σχετίζεται με άνοια.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Έχει παρατηρηθεί αυξημένος κίνδυνος ανεπιθύμητων αγγειακών εγκεφαλικών συμβάντων κατά περίπου 3 φορές σε τυχαιοποιημένες δοκιμές με έλεγχο εικονικού φαρμάκου στον πληθυσμό με άνοια με κάποια άτυπα </w:t>
      </w:r>
      <w:proofErr w:type="spellStart"/>
      <w:r w:rsidRPr="00A66AB5">
        <w:rPr>
          <w:sz w:val="22"/>
          <w:szCs w:val="22"/>
          <w:lang w:val="el-GR"/>
        </w:rPr>
        <w:t>αντιψυχωσικά</w:t>
      </w:r>
      <w:proofErr w:type="spellEnd"/>
      <w:r w:rsidRPr="00A66AB5">
        <w:rPr>
          <w:sz w:val="22"/>
          <w:szCs w:val="22"/>
          <w:lang w:val="el-GR"/>
        </w:rPr>
        <w:t xml:space="preserve">. Ο μηχανισμός αυτού του αυξημένου κινδύνου δεν είναι γνωστός, Ο αυξημένος κίνδυνος δεν μπορεί να αποκλειστεί για άλλα </w:t>
      </w:r>
      <w:proofErr w:type="spellStart"/>
      <w:r w:rsidRPr="00A66AB5">
        <w:rPr>
          <w:sz w:val="22"/>
          <w:szCs w:val="22"/>
          <w:lang w:val="el-GR"/>
        </w:rPr>
        <w:t>αντιψυχωσικά</w:t>
      </w:r>
      <w:proofErr w:type="spellEnd"/>
      <w:r w:rsidRPr="00A66AB5">
        <w:rPr>
          <w:sz w:val="22"/>
          <w:szCs w:val="22"/>
          <w:lang w:val="el-GR"/>
        </w:rPr>
        <w:t xml:space="preserve"> ή άλλους πληθυσμούς ασθενών. </w:t>
      </w:r>
      <w:r w:rsidR="00666FFD">
        <w:rPr>
          <w:sz w:val="22"/>
          <w:szCs w:val="22"/>
          <w:lang w:val="el-GR"/>
        </w:rPr>
        <w:t>Η</w:t>
      </w:r>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θα πρέπει να </w:t>
      </w:r>
      <w:r w:rsidR="00666FFD" w:rsidRPr="00A66AB5">
        <w:rPr>
          <w:sz w:val="22"/>
          <w:szCs w:val="22"/>
          <w:lang w:val="el-GR"/>
        </w:rPr>
        <w:t>χρησιμοποι</w:t>
      </w:r>
      <w:r w:rsidR="00666FFD">
        <w:rPr>
          <w:sz w:val="22"/>
          <w:szCs w:val="22"/>
          <w:lang w:val="el-GR"/>
        </w:rPr>
        <w:t>εί</w:t>
      </w:r>
      <w:r w:rsidR="00666FFD" w:rsidRPr="00A66AB5">
        <w:rPr>
          <w:sz w:val="22"/>
          <w:szCs w:val="22"/>
          <w:lang w:val="el-GR"/>
        </w:rPr>
        <w:t xml:space="preserve">ται </w:t>
      </w:r>
      <w:r w:rsidRPr="00A66AB5">
        <w:rPr>
          <w:sz w:val="22"/>
          <w:szCs w:val="22"/>
          <w:lang w:val="el-GR"/>
        </w:rPr>
        <w:t xml:space="preserve">με προσοχή σε ασθενείς με παράγοντες κινδύνου για αγγειακό εγκεφαλικό επεισόδιο.  </w:t>
      </w:r>
    </w:p>
    <w:p w:rsidR="00380EEB" w:rsidRPr="00A66AB5" w:rsidRDefault="00380EEB">
      <w:pPr>
        <w:pStyle w:val="a3"/>
        <w:tabs>
          <w:tab w:val="clear" w:pos="4320"/>
          <w:tab w:val="clear" w:pos="8640"/>
        </w:tabs>
        <w:jc w:val="both"/>
        <w:rPr>
          <w:sz w:val="22"/>
          <w:szCs w:val="22"/>
          <w:lang w:val="el-GR"/>
        </w:rPr>
      </w:pPr>
    </w:p>
    <w:p w:rsidR="00365371" w:rsidRDefault="00380EEB">
      <w:pPr>
        <w:pStyle w:val="a3"/>
        <w:tabs>
          <w:tab w:val="clear" w:pos="4320"/>
          <w:tab w:val="clear" w:pos="8640"/>
        </w:tabs>
        <w:jc w:val="both"/>
        <w:rPr>
          <w:sz w:val="22"/>
          <w:szCs w:val="22"/>
          <w:lang w:val="el-GR"/>
        </w:rPr>
      </w:pPr>
      <w:r w:rsidRPr="00A66AB5">
        <w:rPr>
          <w:sz w:val="22"/>
          <w:szCs w:val="22"/>
          <w:lang w:val="el-GR"/>
        </w:rPr>
        <w:t xml:space="preserve">Σε μια </w:t>
      </w:r>
      <w:proofErr w:type="spellStart"/>
      <w:r w:rsidRPr="00A66AB5">
        <w:rPr>
          <w:sz w:val="22"/>
          <w:szCs w:val="22"/>
          <w:lang w:val="el-GR"/>
        </w:rPr>
        <w:t>μετα</w:t>
      </w:r>
      <w:proofErr w:type="spellEnd"/>
      <w:r w:rsidRPr="00A66AB5">
        <w:rPr>
          <w:sz w:val="22"/>
          <w:szCs w:val="22"/>
          <w:lang w:val="el-GR"/>
        </w:rPr>
        <w:t xml:space="preserve">-ανάλυση άτυπων </w:t>
      </w:r>
      <w:proofErr w:type="spellStart"/>
      <w:r w:rsidRPr="00A66AB5">
        <w:rPr>
          <w:sz w:val="22"/>
          <w:szCs w:val="22"/>
          <w:lang w:val="el-GR"/>
        </w:rPr>
        <w:t>αντιψυχωσικών</w:t>
      </w:r>
      <w:proofErr w:type="spellEnd"/>
      <w:r w:rsidRPr="00A66AB5">
        <w:rPr>
          <w:sz w:val="22"/>
          <w:szCs w:val="22"/>
          <w:lang w:val="el-GR"/>
        </w:rPr>
        <w:t xml:space="preserve">, έχει αναφερθεί ότι οι ηλικιωμένοι ασθενείς με ψύχωση που σχετίζεται με άνοια διατρέχουν αυξημένο κίνδυνο θανάτου σε σύγκριση αυτούς που λαμβάνουν εικονικό φάρμακο. Ωστόσο, σε δύο μελέτες </w:t>
      </w:r>
      <w:proofErr w:type="spellStart"/>
      <w:r w:rsidRPr="00A66AB5">
        <w:rPr>
          <w:sz w:val="22"/>
          <w:szCs w:val="22"/>
          <w:lang w:val="el-GR"/>
        </w:rPr>
        <w:t>κουετιαπίνης</w:t>
      </w:r>
      <w:proofErr w:type="spellEnd"/>
      <w:r w:rsidRPr="00A66AB5">
        <w:rPr>
          <w:sz w:val="22"/>
          <w:szCs w:val="22"/>
          <w:lang w:val="el-GR"/>
        </w:rPr>
        <w:t xml:space="preserve"> με έλεγχο εικονικού φαρμάκου διάρκειας 10 εβδομάδων στον ίδιο πληθυσμό ασθενών (</w:t>
      </w:r>
      <w:r w:rsidRPr="00A66AB5">
        <w:rPr>
          <w:sz w:val="22"/>
          <w:szCs w:val="22"/>
        </w:rPr>
        <w:t>n</w:t>
      </w:r>
      <w:r w:rsidRPr="00A66AB5">
        <w:rPr>
          <w:sz w:val="22"/>
          <w:szCs w:val="22"/>
          <w:lang w:val="el-GR"/>
        </w:rPr>
        <w:t xml:space="preserve">=710, μέση ηλικία: 83 έτη, εύρος: 56-99 έτη) η επίπτωση της θνητότητας σε ασθενείς που λαμβάνουν θεραπεία με </w:t>
      </w:r>
      <w:proofErr w:type="spellStart"/>
      <w:r w:rsidRPr="00A66AB5">
        <w:rPr>
          <w:sz w:val="22"/>
          <w:szCs w:val="22"/>
          <w:lang w:val="el-GR"/>
        </w:rPr>
        <w:t>κουετιαπίνη</w:t>
      </w:r>
      <w:proofErr w:type="spellEnd"/>
      <w:r w:rsidRPr="00A66AB5">
        <w:rPr>
          <w:sz w:val="22"/>
          <w:szCs w:val="22"/>
          <w:lang w:val="el-GR"/>
        </w:rPr>
        <w:t xml:space="preserve"> ήταν 5,5% έναντι 3,2% στην ομάδα εικονικού φαρμάκου. </w:t>
      </w:r>
    </w:p>
    <w:p w:rsidR="00365371" w:rsidRDefault="00365371">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lastRenderedPageBreak/>
        <w:t xml:space="preserve">Οι ασθενείς σε αυτές τις δοκιμές κατέληξαν από μια ποικιλία αιτιών οι οποίες ήταν συμβατές με τις αναμενόμενες εκβάσεις για αυτόν τον πληθυσμό. Αυτά τα δεδομένα δεν τεκμηριώνουν μια αιτιολογική σχέση μεταξύ της θεραπείας με </w:t>
      </w:r>
      <w:proofErr w:type="spellStart"/>
      <w:r w:rsidRPr="00A66AB5">
        <w:rPr>
          <w:sz w:val="22"/>
          <w:szCs w:val="22"/>
          <w:lang w:val="el-GR"/>
        </w:rPr>
        <w:t>κουετιαπίνη</w:t>
      </w:r>
      <w:proofErr w:type="spellEnd"/>
      <w:r w:rsidRPr="00A66AB5">
        <w:rPr>
          <w:sz w:val="22"/>
          <w:szCs w:val="22"/>
          <w:lang w:val="el-GR"/>
        </w:rPr>
        <w:t xml:space="preserve"> και του θανάτου σε ηλικιωμένους ασθενείς με άνοια.</w:t>
      </w:r>
    </w:p>
    <w:p w:rsidR="00380EEB" w:rsidRPr="00A66AB5" w:rsidRDefault="00380EEB">
      <w:pPr>
        <w:jc w:val="both"/>
        <w:rPr>
          <w:sz w:val="22"/>
          <w:szCs w:val="22"/>
          <w:lang w:val="el-GR"/>
        </w:rPr>
      </w:pPr>
    </w:p>
    <w:p w:rsidR="00380EEB" w:rsidRPr="00A66AB5" w:rsidRDefault="00380EEB">
      <w:pPr>
        <w:jc w:val="both"/>
        <w:rPr>
          <w:b/>
          <w:sz w:val="22"/>
          <w:szCs w:val="22"/>
          <w:lang w:val="el-GR"/>
        </w:rPr>
      </w:pPr>
      <w:r w:rsidRPr="00A66AB5">
        <w:rPr>
          <w:b/>
          <w:sz w:val="22"/>
          <w:szCs w:val="22"/>
          <w:lang w:val="el-GR"/>
        </w:rPr>
        <w:t>Δυσφαγία</w:t>
      </w:r>
    </w:p>
    <w:p w:rsidR="00380EEB" w:rsidRPr="00A66AB5" w:rsidRDefault="00380EEB">
      <w:pPr>
        <w:jc w:val="both"/>
        <w:rPr>
          <w:sz w:val="22"/>
          <w:szCs w:val="22"/>
          <w:lang w:val="el-GR"/>
        </w:rPr>
      </w:pPr>
      <w:r w:rsidRPr="00A66AB5">
        <w:rPr>
          <w:sz w:val="22"/>
          <w:szCs w:val="22"/>
          <w:lang w:val="el-GR"/>
        </w:rPr>
        <w:t xml:space="preserve">Έχει αναφερθεί δυσφαγία (βλ. ενότητα 4.8) με την </w:t>
      </w:r>
      <w:proofErr w:type="spellStart"/>
      <w:r w:rsidRPr="00A66AB5">
        <w:rPr>
          <w:sz w:val="22"/>
          <w:szCs w:val="22"/>
          <w:lang w:val="el-GR"/>
        </w:rPr>
        <w:t>κουετιαπίνη</w:t>
      </w:r>
      <w:proofErr w:type="spellEnd"/>
      <w:r w:rsidRPr="00A66AB5">
        <w:rPr>
          <w:sz w:val="22"/>
          <w:szCs w:val="22"/>
          <w:lang w:val="el-GR"/>
        </w:rPr>
        <w:t xml:space="preserve">. Η </w:t>
      </w:r>
      <w:proofErr w:type="spellStart"/>
      <w:r w:rsidRPr="00A66AB5">
        <w:rPr>
          <w:sz w:val="22"/>
          <w:szCs w:val="22"/>
          <w:lang w:val="el-GR"/>
        </w:rPr>
        <w:t>κουετιαπίνη</w:t>
      </w:r>
      <w:proofErr w:type="spellEnd"/>
      <w:r w:rsidRPr="00A66AB5">
        <w:rPr>
          <w:sz w:val="22"/>
          <w:szCs w:val="22"/>
          <w:lang w:val="el-GR"/>
        </w:rPr>
        <w:t xml:space="preserve"> θα πρέπει να χρησιμοποιείται με προσοχή σε ασθενείς που διατρέχουν κίνδυνο πνευμονίας από </w:t>
      </w:r>
      <w:proofErr w:type="spellStart"/>
      <w:r w:rsidRPr="00A66AB5">
        <w:rPr>
          <w:sz w:val="22"/>
          <w:szCs w:val="22"/>
          <w:lang w:val="el-GR"/>
        </w:rPr>
        <w:t>εισρ</w:t>
      </w:r>
      <w:r w:rsidR="006520B9" w:rsidRPr="00A66AB5">
        <w:rPr>
          <w:sz w:val="22"/>
          <w:szCs w:val="22"/>
          <w:lang w:val="el-GR"/>
        </w:rPr>
        <w:t>ρ</w:t>
      </w:r>
      <w:r w:rsidRPr="00A66AB5">
        <w:rPr>
          <w:sz w:val="22"/>
          <w:szCs w:val="22"/>
          <w:lang w:val="el-GR"/>
        </w:rPr>
        <w:t>όφηση</w:t>
      </w:r>
      <w:proofErr w:type="spellEnd"/>
      <w:r w:rsidRPr="00A66AB5">
        <w:rPr>
          <w:sz w:val="22"/>
          <w:szCs w:val="22"/>
          <w:lang w:val="el-GR"/>
        </w:rPr>
        <w:t>.</w:t>
      </w:r>
    </w:p>
    <w:p w:rsidR="00380EEB" w:rsidRPr="00A66AB5" w:rsidRDefault="00380EEB">
      <w:pPr>
        <w:jc w:val="both"/>
        <w:rPr>
          <w:sz w:val="22"/>
          <w:szCs w:val="22"/>
          <w:lang w:val="el-GR"/>
        </w:rPr>
      </w:pPr>
    </w:p>
    <w:p w:rsidR="00380EEB" w:rsidRPr="00A66AB5" w:rsidRDefault="00380EEB">
      <w:pPr>
        <w:jc w:val="both"/>
        <w:rPr>
          <w:b/>
          <w:sz w:val="22"/>
          <w:szCs w:val="22"/>
          <w:lang w:val="el-GR"/>
        </w:rPr>
      </w:pPr>
      <w:r w:rsidRPr="00A66AB5">
        <w:rPr>
          <w:b/>
          <w:sz w:val="22"/>
          <w:szCs w:val="22"/>
          <w:lang w:val="el-GR"/>
        </w:rPr>
        <w:t xml:space="preserve">Φλεβική </w:t>
      </w:r>
      <w:proofErr w:type="spellStart"/>
      <w:r w:rsidRPr="00A66AB5">
        <w:rPr>
          <w:b/>
          <w:sz w:val="22"/>
          <w:szCs w:val="22"/>
          <w:lang w:val="el-GR"/>
        </w:rPr>
        <w:t>θρομβοεμβολή</w:t>
      </w:r>
      <w:proofErr w:type="spellEnd"/>
      <w:r w:rsidR="00365371">
        <w:rPr>
          <w:b/>
          <w:sz w:val="22"/>
          <w:szCs w:val="22"/>
          <w:lang w:val="el-GR"/>
        </w:rPr>
        <w:t>:</w:t>
      </w:r>
    </w:p>
    <w:p w:rsidR="00380EEB" w:rsidRPr="00A66AB5" w:rsidRDefault="00380EEB">
      <w:pPr>
        <w:jc w:val="both"/>
        <w:rPr>
          <w:sz w:val="22"/>
          <w:szCs w:val="22"/>
          <w:lang w:val="el-GR"/>
        </w:rPr>
      </w:pPr>
      <w:r w:rsidRPr="00A66AB5">
        <w:rPr>
          <w:sz w:val="22"/>
          <w:szCs w:val="22"/>
          <w:lang w:val="el-GR"/>
        </w:rPr>
        <w:t xml:space="preserve">Έχουν αναφερθεί περιπτώσεις φλεβικής </w:t>
      </w:r>
      <w:proofErr w:type="spellStart"/>
      <w:r w:rsidRPr="00A66AB5">
        <w:rPr>
          <w:sz w:val="22"/>
          <w:szCs w:val="22"/>
          <w:lang w:val="el-GR"/>
        </w:rPr>
        <w:t>θρομβοεμβολής</w:t>
      </w:r>
      <w:proofErr w:type="spellEnd"/>
      <w:r w:rsidRPr="00A66AB5">
        <w:rPr>
          <w:sz w:val="22"/>
          <w:szCs w:val="22"/>
          <w:lang w:val="el-GR"/>
        </w:rPr>
        <w:t xml:space="preserve"> (ΦΘΕ) με τα </w:t>
      </w:r>
      <w:proofErr w:type="spellStart"/>
      <w:r w:rsidRPr="00A66AB5">
        <w:rPr>
          <w:sz w:val="22"/>
          <w:szCs w:val="22"/>
          <w:lang w:val="el-GR"/>
        </w:rPr>
        <w:t>αντιψυχωσικά</w:t>
      </w:r>
      <w:proofErr w:type="spellEnd"/>
      <w:r w:rsidRPr="00A66AB5">
        <w:rPr>
          <w:sz w:val="22"/>
          <w:szCs w:val="22"/>
          <w:lang w:val="el-GR"/>
        </w:rPr>
        <w:t xml:space="preserve"> φάρμακα. Εφόσον οι ασθενείς που λαμβάνουν θεραπεία με </w:t>
      </w:r>
      <w:proofErr w:type="spellStart"/>
      <w:r w:rsidRPr="00A66AB5">
        <w:rPr>
          <w:sz w:val="22"/>
          <w:szCs w:val="22"/>
          <w:lang w:val="el-GR"/>
        </w:rPr>
        <w:t>αντιψυχωσικά</w:t>
      </w:r>
      <w:proofErr w:type="spellEnd"/>
      <w:r w:rsidRPr="00A66AB5">
        <w:rPr>
          <w:sz w:val="22"/>
          <w:szCs w:val="22"/>
          <w:lang w:val="el-GR"/>
        </w:rPr>
        <w:t xml:space="preserve"> παρουσιάζουν συχνά επίκτητους παράγοντες κινδύνου για ΦΘΕ, θα πρέπει να αναγνωρίζονται όλοι οι πιθανοί παράγοντες κινδύνου για ΦΘΕ πριν και κατά τη διάρκεια της θεραπείας με </w:t>
      </w:r>
      <w:proofErr w:type="spellStart"/>
      <w:r w:rsidRPr="00A66AB5">
        <w:rPr>
          <w:sz w:val="22"/>
          <w:szCs w:val="22"/>
          <w:lang w:val="el-GR"/>
        </w:rPr>
        <w:t>κουετιαπίνη</w:t>
      </w:r>
      <w:proofErr w:type="spellEnd"/>
      <w:r w:rsidRPr="00A66AB5">
        <w:rPr>
          <w:sz w:val="22"/>
          <w:szCs w:val="22"/>
          <w:lang w:val="el-GR"/>
        </w:rPr>
        <w:t xml:space="preserve"> και να λαμβάνονται προληπτικά μέτρα. </w:t>
      </w:r>
    </w:p>
    <w:p w:rsidR="00380EEB" w:rsidRPr="00A66AB5" w:rsidRDefault="00380EEB">
      <w:pPr>
        <w:jc w:val="both"/>
        <w:rPr>
          <w:b/>
          <w:sz w:val="22"/>
          <w:szCs w:val="22"/>
          <w:lang w:val="el-GR"/>
        </w:rPr>
      </w:pPr>
    </w:p>
    <w:p w:rsidR="00101225" w:rsidRPr="00A66AB5" w:rsidRDefault="00101225" w:rsidP="00101225">
      <w:pPr>
        <w:jc w:val="both"/>
        <w:rPr>
          <w:b/>
          <w:sz w:val="22"/>
          <w:szCs w:val="22"/>
          <w:lang w:val="el-GR"/>
        </w:rPr>
      </w:pPr>
      <w:r w:rsidRPr="00A66AB5">
        <w:rPr>
          <w:b/>
          <w:sz w:val="22"/>
          <w:szCs w:val="22"/>
          <w:lang w:val="el-GR"/>
        </w:rPr>
        <w:t xml:space="preserve">Παγκρεατίτιδα </w:t>
      </w:r>
    </w:p>
    <w:p w:rsidR="00101225" w:rsidRPr="00A66AB5" w:rsidRDefault="00101225" w:rsidP="00101225">
      <w:pPr>
        <w:jc w:val="both"/>
        <w:rPr>
          <w:sz w:val="22"/>
          <w:szCs w:val="22"/>
          <w:lang w:val="el-GR"/>
        </w:rPr>
      </w:pPr>
      <w:r w:rsidRPr="00A66AB5">
        <w:rPr>
          <w:sz w:val="22"/>
          <w:szCs w:val="22"/>
          <w:lang w:val="el-GR"/>
        </w:rPr>
        <w:t xml:space="preserve">Σε κλινικές δοκιμές και κατά την εμπειρία μετά από την κυκλοφορία του φαρμάκου αναφέρθηκε παγκρεατίτιδα.  Μεταξύ των αναφορών μετά την κυκλοφορία του φαρμάκου, </w:t>
      </w:r>
      <w:r w:rsidR="000C7171">
        <w:rPr>
          <w:sz w:val="22"/>
          <w:szCs w:val="22"/>
          <w:lang w:val="el-GR"/>
        </w:rPr>
        <w:t xml:space="preserve">αν και δεν συγχέονται όλες οι περιπτώσεις με παράγοντες κινδύνου, </w:t>
      </w:r>
      <w:r w:rsidRPr="00A66AB5">
        <w:rPr>
          <w:sz w:val="22"/>
          <w:szCs w:val="22"/>
          <w:lang w:val="el-GR"/>
        </w:rPr>
        <w:t xml:space="preserve">πολλοί ασθενείς παρουσίαζαν παράγοντες, οι οποίοι είναι γνωστό ότι σχετίζονται με την παγκρεατίτιδα, όπως αυξημένα επίπεδα </w:t>
      </w:r>
      <w:proofErr w:type="spellStart"/>
      <w:r w:rsidRPr="00A66AB5">
        <w:rPr>
          <w:sz w:val="22"/>
          <w:szCs w:val="22"/>
          <w:lang w:val="el-GR"/>
        </w:rPr>
        <w:t>τριγλυκεριδίων</w:t>
      </w:r>
      <w:proofErr w:type="spellEnd"/>
      <w:r w:rsidRPr="00A66AB5">
        <w:rPr>
          <w:sz w:val="22"/>
          <w:szCs w:val="22"/>
          <w:lang w:val="el-GR"/>
        </w:rPr>
        <w:t xml:space="preserve"> (βλ. παράγραφο 4.4.), παρουσία </w:t>
      </w:r>
      <w:proofErr w:type="spellStart"/>
      <w:r w:rsidRPr="00A66AB5">
        <w:rPr>
          <w:sz w:val="22"/>
          <w:szCs w:val="22"/>
          <w:lang w:val="el-GR"/>
        </w:rPr>
        <w:t>χολολίθων</w:t>
      </w:r>
      <w:proofErr w:type="spellEnd"/>
      <w:r w:rsidRPr="00A66AB5">
        <w:rPr>
          <w:sz w:val="22"/>
          <w:szCs w:val="22"/>
          <w:lang w:val="el-GR"/>
        </w:rPr>
        <w:t xml:space="preserve"> και κατανάλωση αλκοόλ.</w:t>
      </w:r>
    </w:p>
    <w:p w:rsidR="00101225" w:rsidRPr="00A66AB5" w:rsidRDefault="00101225">
      <w:pPr>
        <w:jc w:val="both"/>
        <w:rPr>
          <w:b/>
          <w:sz w:val="22"/>
          <w:szCs w:val="22"/>
          <w:lang w:val="el-GR"/>
        </w:rPr>
      </w:pPr>
    </w:p>
    <w:p w:rsidR="00380EEB" w:rsidRPr="00A66AB5" w:rsidRDefault="00380EEB">
      <w:pPr>
        <w:jc w:val="both"/>
        <w:rPr>
          <w:b/>
          <w:sz w:val="22"/>
          <w:szCs w:val="22"/>
          <w:lang w:val="el-GR"/>
        </w:rPr>
      </w:pPr>
    </w:p>
    <w:p w:rsidR="00380EEB" w:rsidRPr="00A66AB5" w:rsidRDefault="00380EEB">
      <w:pPr>
        <w:jc w:val="both"/>
        <w:rPr>
          <w:b/>
          <w:sz w:val="22"/>
          <w:szCs w:val="22"/>
          <w:lang w:val="el-GR"/>
        </w:rPr>
      </w:pPr>
      <w:r w:rsidRPr="00A66AB5">
        <w:rPr>
          <w:b/>
          <w:sz w:val="22"/>
          <w:szCs w:val="22"/>
          <w:lang w:val="el-GR"/>
        </w:rPr>
        <w:t>Επιπλέον πληροφορίες</w:t>
      </w:r>
    </w:p>
    <w:p w:rsidR="00390566" w:rsidRPr="00A66AB5" w:rsidRDefault="00380EEB" w:rsidP="00390566">
      <w:pPr>
        <w:jc w:val="both"/>
        <w:rPr>
          <w:sz w:val="22"/>
          <w:szCs w:val="22"/>
          <w:lang w:val="el-GR"/>
        </w:rPr>
      </w:pPr>
      <w:r w:rsidRPr="00A66AB5">
        <w:rPr>
          <w:sz w:val="22"/>
          <w:szCs w:val="22"/>
          <w:lang w:val="el-GR"/>
        </w:rPr>
        <w:t xml:space="preserve">Τα δεδομένα σχετικά με την </w:t>
      </w:r>
      <w:proofErr w:type="spellStart"/>
      <w:r w:rsidRPr="00A66AB5">
        <w:rPr>
          <w:sz w:val="22"/>
          <w:szCs w:val="22"/>
          <w:lang w:val="el-GR"/>
        </w:rPr>
        <w:t>κουετιαπίνη</w:t>
      </w:r>
      <w:proofErr w:type="spellEnd"/>
      <w:r w:rsidRPr="00A66AB5">
        <w:rPr>
          <w:sz w:val="22"/>
          <w:szCs w:val="22"/>
          <w:lang w:val="el-GR"/>
        </w:rPr>
        <w:t xml:space="preserve"> σε συνδυασμό με </w:t>
      </w:r>
      <w:proofErr w:type="spellStart"/>
      <w:r w:rsidRPr="00A66AB5">
        <w:rPr>
          <w:sz w:val="22"/>
          <w:szCs w:val="22"/>
          <w:lang w:val="el-GR"/>
        </w:rPr>
        <w:t>βαλπροϊκό</w:t>
      </w:r>
      <w:proofErr w:type="spellEnd"/>
      <w:r w:rsidRPr="00A66AB5">
        <w:rPr>
          <w:sz w:val="22"/>
          <w:szCs w:val="22"/>
          <w:lang w:val="el-GR"/>
        </w:rPr>
        <w:t xml:space="preserve"> νάτριο ή </w:t>
      </w:r>
      <w:proofErr w:type="spellStart"/>
      <w:r w:rsidRPr="00A66AB5">
        <w:rPr>
          <w:sz w:val="22"/>
          <w:szCs w:val="22"/>
          <w:lang w:val="el-GR"/>
        </w:rPr>
        <w:t>λίθιο</w:t>
      </w:r>
      <w:proofErr w:type="spellEnd"/>
      <w:r w:rsidRPr="00A66AB5">
        <w:rPr>
          <w:sz w:val="22"/>
          <w:szCs w:val="22"/>
          <w:lang w:val="el-GR"/>
        </w:rPr>
        <w:t xml:space="preserve"> σε μέτριας έως βαριάς μορφής</w:t>
      </w:r>
      <w:r w:rsidR="00390566" w:rsidRPr="00A66AB5">
        <w:rPr>
          <w:sz w:val="22"/>
          <w:szCs w:val="22"/>
          <w:lang w:val="el-GR"/>
        </w:rPr>
        <w:t xml:space="preserve"> οξέα</w:t>
      </w:r>
      <w:r w:rsidRPr="00A66AB5">
        <w:rPr>
          <w:sz w:val="22"/>
          <w:szCs w:val="22"/>
          <w:lang w:val="el-GR"/>
        </w:rPr>
        <w:t xml:space="preserve"> μανιακά επεισόδια είναι περιορισμένα. Ωστόσο, η θεραπεία συνδυασμού ήταν καλά ανεκτή (βλ. παράγραφο 4.8 και 5.1). Τα δεδομένα έδειξαν προσθετική επίδραση κατά την εβδομάδα 3.</w:t>
      </w:r>
    </w:p>
    <w:p w:rsidR="008D3F1F" w:rsidRPr="00A66AB5" w:rsidRDefault="008D3F1F" w:rsidP="008D3F1F">
      <w:pPr>
        <w:pStyle w:val="a3"/>
        <w:jc w:val="both"/>
        <w:rPr>
          <w:b/>
          <w:sz w:val="22"/>
          <w:szCs w:val="22"/>
          <w:lang w:val="el-GR"/>
        </w:rPr>
      </w:pPr>
    </w:p>
    <w:p w:rsidR="008D3F1F" w:rsidRPr="00A66AB5" w:rsidRDefault="008D3F1F" w:rsidP="008D3F1F">
      <w:pPr>
        <w:pStyle w:val="a3"/>
        <w:jc w:val="both"/>
        <w:rPr>
          <w:b/>
          <w:sz w:val="22"/>
          <w:szCs w:val="22"/>
          <w:lang w:val="el-GR"/>
        </w:rPr>
      </w:pPr>
      <w:r w:rsidRPr="00A66AB5">
        <w:rPr>
          <w:b/>
          <w:sz w:val="22"/>
          <w:szCs w:val="22"/>
          <w:lang w:val="el-GR"/>
        </w:rPr>
        <w:t>Λακτόζη:</w:t>
      </w:r>
    </w:p>
    <w:p w:rsidR="008D3F1F" w:rsidRPr="00A66AB5" w:rsidRDefault="008D3F1F" w:rsidP="008D3F1F">
      <w:pPr>
        <w:pStyle w:val="a3"/>
        <w:jc w:val="both"/>
        <w:rPr>
          <w:sz w:val="22"/>
          <w:szCs w:val="22"/>
          <w:lang w:val="el-GR"/>
        </w:rPr>
      </w:pPr>
      <w:r w:rsidRPr="00A66AB5">
        <w:rPr>
          <w:sz w:val="22"/>
          <w:szCs w:val="22"/>
          <w:lang w:val="el-GR"/>
        </w:rPr>
        <w:t>Τ</w:t>
      </w:r>
      <w:r w:rsidR="00365371">
        <w:rPr>
          <w:sz w:val="22"/>
          <w:szCs w:val="22"/>
          <w:lang w:val="el-GR"/>
        </w:rPr>
        <w:t xml:space="preserve">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365371" w:rsidRPr="00791987">
        <w:rPr>
          <w:sz w:val="22"/>
          <w:szCs w:val="22"/>
          <w:lang w:val="el-GR"/>
        </w:rPr>
        <w:t xml:space="preserve">50 </w:t>
      </w:r>
      <w:r w:rsidR="00365371" w:rsidRPr="004E7035">
        <w:rPr>
          <w:sz w:val="22"/>
          <w:szCs w:val="22"/>
        </w:rPr>
        <w:t>mg</w:t>
      </w:r>
      <w:r w:rsidR="00365371" w:rsidRPr="00791987">
        <w:rPr>
          <w:sz w:val="22"/>
          <w:szCs w:val="22"/>
          <w:lang w:val="el-GR"/>
        </w:rPr>
        <w:t xml:space="preserve"> / 200 </w:t>
      </w:r>
      <w:r w:rsidR="00365371" w:rsidRPr="004E7035">
        <w:rPr>
          <w:sz w:val="22"/>
          <w:szCs w:val="22"/>
        </w:rPr>
        <w:t>mg</w:t>
      </w:r>
      <w:r w:rsidR="00365371" w:rsidRPr="00791987">
        <w:rPr>
          <w:sz w:val="22"/>
          <w:szCs w:val="22"/>
          <w:lang w:val="el-GR"/>
        </w:rPr>
        <w:t xml:space="preserve"> / 300 </w:t>
      </w:r>
      <w:r w:rsidR="00365371" w:rsidRPr="004E7035">
        <w:rPr>
          <w:sz w:val="22"/>
          <w:szCs w:val="22"/>
        </w:rPr>
        <w:t>mg</w:t>
      </w:r>
      <w:r w:rsidR="00365371" w:rsidRPr="00791987">
        <w:rPr>
          <w:sz w:val="22"/>
          <w:szCs w:val="22"/>
          <w:lang w:val="el-GR"/>
        </w:rPr>
        <w:t xml:space="preserve"> / 400 </w:t>
      </w:r>
      <w:r w:rsidR="00365371" w:rsidRPr="004E7035">
        <w:rPr>
          <w:sz w:val="22"/>
          <w:szCs w:val="22"/>
        </w:rPr>
        <w:t>mg</w:t>
      </w:r>
      <w:r w:rsidR="00365371" w:rsidRPr="00791987">
        <w:rPr>
          <w:sz w:val="22"/>
          <w:szCs w:val="22"/>
          <w:lang w:val="el-GR"/>
        </w:rPr>
        <w:t xml:space="preserve"> δισκίο παρατεταμένης αποδέσμευσης</w:t>
      </w:r>
      <w:r w:rsidRPr="00A66AB5">
        <w:rPr>
          <w:sz w:val="22"/>
          <w:szCs w:val="22"/>
          <w:lang w:val="el-GR"/>
        </w:rPr>
        <w:t xml:space="preserve"> περιέχ</w:t>
      </w:r>
      <w:r w:rsidR="00365371">
        <w:rPr>
          <w:sz w:val="22"/>
          <w:szCs w:val="22"/>
          <w:lang w:val="el-GR"/>
        </w:rPr>
        <w:t>ει</w:t>
      </w:r>
      <w:r w:rsidRPr="00A66AB5">
        <w:rPr>
          <w:sz w:val="22"/>
          <w:szCs w:val="22"/>
          <w:lang w:val="el-GR"/>
        </w:rPr>
        <w:t xml:space="preserve"> λακτόζη. Οι ασθενείς με σπάνια κληρονομικά προβλήματα δυσανεξίας στη γαλακτόζη, ανεπάρκειας </w:t>
      </w:r>
      <w:proofErr w:type="spellStart"/>
      <w:r w:rsidRPr="00A66AB5">
        <w:rPr>
          <w:sz w:val="22"/>
          <w:szCs w:val="22"/>
          <w:lang w:val="el-GR"/>
        </w:rPr>
        <w:t>λακτάσης</w:t>
      </w:r>
      <w:proofErr w:type="spellEnd"/>
      <w:r w:rsidRPr="00A66AB5">
        <w:rPr>
          <w:sz w:val="22"/>
          <w:szCs w:val="22"/>
          <w:lang w:val="el-GR"/>
        </w:rPr>
        <w:t xml:space="preserve"> </w:t>
      </w:r>
      <w:r w:rsidR="00365371">
        <w:rPr>
          <w:sz w:val="22"/>
          <w:szCs w:val="22"/>
        </w:rPr>
        <w:t>l</w:t>
      </w:r>
      <w:proofErr w:type="spellStart"/>
      <w:r w:rsidRPr="00A66AB5">
        <w:rPr>
          <w:sz w:val="22"/>
          <w:szCs w:val="22"/>
          <w:lang w:val="el-GR"/>
        </w:rPr>
        <w:t>app</w:t>
      </w:r>
      <w:proofErr w:type="spellEnd"/>
      <w:r w:rsidRPr="00A66AB5">
        <w:rPr>
          <w:sz w:val="22"/>
          <w:szCs w:val="22"/>
          <w:lang w:val="el-GR"/>
        </w:rPr>
        <w:t xml:space="preserve"> ή </w:t>
      </w:r>
      <w:proofErr w:type="spellStart"/>
      <w:r w:rsidRPr="00A66AB5">
        <w:rPr>
          <w:sz w:val="22"/>
          <w:szCs w:val="22"/>
          <w:lang w:val="el-GR"/>
        </w:rPr>
        <w:t>δυσαπορρόφησης</w:t>
      </w:r>
      <w:proofErr w:type="spellEnd"/>
      <w:r w:rsidRPr="00A66AB5">
        <w:rPr>
          <w:sz w:val="22"/>
          <w:szCs w:val="22"/>
          <w:lang w:val="el-GR"/>
        </w:rPr>
        <w:t xml:space="preserve"> γλυκόζης-γαλακτόζης, δεν θα πρέπει να λαμβάνουν αυτό το φάρμακο.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numPr>
          <w:ilvl w:val="1"/>
          <w:numId w:val="3"/>
        </w:numPr>
        <w:tabs>
          <w:tab w:val="clear" w:pos="4320"/>
          <w:tab w:val="clear" w:pos="8640"/>
        </w:tabs>
        <w:jc w:val="both"/>
        <w:rPr>
          <w:b/>
          <w:sz w:val="22"/>
          <w:szCs w:val="22"/>
          <w:lang w:val="el-GR"/>
        </w:rPr>
      </w:pPr>
      <w:r w:rsidRPr="00A66AB5">
        <w:rPr>
          <w:b/>
          <w:sz w:val="22"/>
          <w:szCs w:val="22"/>
          <w:lang w:val="el-GR"/>
        </w:rPr>
        <w:t>Α</w:t>
      </w:r>
      <w:r w:rsidR="00E205D1">
        <w:rPr>
          <w:b/>
          <w:sz w:val="22"/>
          <w:szCs w:val="22"/>
          <w:lang w:val="el-GR"/>
        </w:rPr>
        <w:t>λληλεπιδράσεις με άλλα φαρμακευτικά προϊόντα και άλλες μορφές αλληλεπίδρασης</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Δεδομένων των κύριων επιδράσεων στο κεντρικό νευρικό σύστημα της </w:t>
      </w:r>
      <w:proofErr w:type="spellStart"/>
      <w:r w:rsidRPr="00A66AB5">
        <w:rPr>
          <w:sz w:val="22"/>
          <w:szCs w:val="22"/>
          <w:lang w:val="el-GR"/>
        </w:rPr>
        <w:t>κουετιαπίνης</w:t>
      </w:r>
      <w:proofErr w:type="spellEnd"/>
      <w:r w:rsidRPr="00A66AB5">
        <w:rPr>
          <w:sz w:val="22"/>
          <w:szCs w:val="22"/>
          <w:lang w:val="el-GR"/>
        </w:rPr>
        <w:t xml:space="preserve">, </w:t>
      </w:r>
      <w:r w:rsidR="00A0455A">
        <w:rPr>
          <w:sz w:val="22"/>
          <w:szCs w:val="22"/>
          <w:lang w:val="el-GR"/>
        </w:rPr>
        <w:t>η</w:t>
      </w:r>
      <w:r w:rsidR="00A0455A"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θα πρέπει να </w:t>
      </w:r>
      <w:r w:rsidR="00A0455A" w:rsidRPr="00A66AB5">
        <w:rPr>
          <w:sz w:val="22"/>
          <w:szCs w:val="22"/>
          <w:lang w:val="el-GR"/>
        </w:rPr>
        <w:t>χρησιμοποι</w:t>
      </w:r>
      <w:r w:rsidR="00A0455A">
        <w:rPr>
          <w:sz w:val="22"/>
          <w:szCs w:val="22"/>
          <w:lang w:val="el-GR"/>
        </w:rPr>
        <w:t>εί</w:t>
      </w:r>
      <w:r w:rsidR="00A0455A" w:rsidRPr="00A66AB5">
        <w:rPr>
          <w:sz w:val="22"/>
          <w:szCs w:val="22"/>
          <w:lang w:val="el-GR"/>
        </w:rPr>
        <w:t xml:space="preserve">ται </w:t>
      </w:r>
      <w:r w:rsidRPr="00A66AB5">
        <w:rPr>
          <w:sz w:val="22"/>
          <w:szCs w:val="22"/>
          <w:lang w:val="el-GR"/>
        </w:rPr>
        <w:t xml:space="preserve">με προσοχή σε συνδυασμό με άλλα φαρμακευτικά προϊόντα που δρουν κεντρικά και το αλκοόλ. </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Το κυτόχρωμα </w:t>
      </w:r>
      <w:r w:rsidRPr="00A66AB5">
        <w:rPr>
          <w:sz w:val="22"/>
          <w:szCs w:val="22"/>
        </w:rPr>
        <w:t>P</w:t>
      </w:r>
      <w:r w:rsidRPr="00A66AB5">
        <w:rPr>
          <w:sz w:val="22"/>
          <w:szCs w:val="22"/>
          <w:lang w:val="el-GR"/>
        </w:rPr>
        <w:t>450 (</w:t>
      </w:r>
      <w:r w:rsidRPr="00A66AB5">
        <w:rPr>
          <w:sz w:val="22"/>
          <w:szCs w:val="22"/>
        </w:rPr>
        <w:t>CYP</w:t>
      </w:r>
      <w:r w:rsidRPr="00A66AB5">
        <w:rPr>
          <w:sz w:val="22"/>
          <w:szCs w:val="22"/>
          <w:lang w:val="el-GR"/>
        </w:rPr>
        <w:t>) 3</w:t>
      </w:r>
      <w:r w:rsidRPr="00A66AB5">
        <w:rPr>
          <w:sz w:val="22"/>
          <w:szCs w:val="22"/>
        </w:rPr>
        <w:t>A</w:t>
      </w:r>
      <w:r w:rsidRPr="00A66AB5">
        <w:rPr>
          <w:sz w:val="22"/>
          <w:szCs w:val="22"/>
          <w:lang w:val="el-GR"/>
        </w:rPr>
        <w:t xml:space="preserve">4 είναι το ένζυμο που είναι κυρίως υπεύθυνο για τον μεταβολισμό της </w:t>
      </w:r>
      <w:proofErr w:type="spellStart"/>
      <w:r w:rsidRPr="00A66AB5">
        <w:rPr>
          <w:sz w:val="22"/>
          <w:szCs w:val="22"/>
          <w:lang w:val="el-GR"/>
        </w:rPr>
        <w:t>κουετιαπίνης</w:t>
      </w:r>
      <w:proofErr w:type="spellEnd"/>
      <w:r w:rsidRPr="00A66AB5">
        <w:rPr>
          <w:sz w:val="22"/>
          <w:szCs w:val="22"/>
          <w:lang w:val="el-GR"/>
        </w:rPr>
        <w:t xml:space="preserve"> που </w:t>
      </w:r>
      <w:proofErr w:type="spellStart"/>
      <w:r w:rsidRPr="00A66AB5">
        <w:rPr>
          <w:sz w:val="22"/>
          <w:szCs w:val="22"/>
          <w:lang w:val="el-GR"/>
        </w:rPr>
        <w:t>διαμεσολαβείται</w:t>
      </w:r>
      <w:proofErr w:type="spellEnd"/>
      <w:r w:rsidRPr="00A66AB5">
        <w:rPr>
          <w:sz w:val="22"/>
          <w:szCs w:val="22"/>
          <w:lang w:val="el-GR"/>
        </w:rPr>
        <w:t xml:space="preserve"> από το κυτόχρωμα </w:t>
      </w:r>
      <w:r w:rsidRPr="00A66AB5">
        <w:rPr>
          <w:sz w:val="22"/>
          <w:szCs w:val="22"/>
        </w:rPr>
        <w:t>P</w:t>
      </w:r>
      <w:r w:rsidRPr="00A66AB5">
        <w:rPr>
          <w:sz w:val="22"/>
          <w:szCs w:val="22"/>
          <w:lang w:val="el-GR"/>
        </w:rPr>
        <w:t xml:space="preserve">450. Σε μια μελέτη αλληλεπίδρασης σε υγιείς εθελοντές, η ταυτόχρονη χορήγηση της </w:t>
      </w:r>
      <w:proofErr w:type="spellStart"/>
      <w:r w:rsidRPr="00A66AB5">
        <w:rPr>
          <w:sz w:val="22"/>
          <w:szCs w:val="22"/>
          <w:lang w:val="el-GR"/>
        </w:rPr>
        <w:t>κουετιαπίνης</w:t>
      </w:r>
      <w:proofErr w:type="spellEnd"/>
      <w:r w:rsidRPr="00A66AB5">
        <w:rPr>
          <w:sz w:val="22"/>
          <w:szCs w:val="22"/>
          <w:lang w:val="el-GR"/>
        </w:rPr>
        <w:t xml:space="preserve"> (δοσολογία 25 </w:t>
      </w:r>
      <w:r w:rsidRPr="00A66AB5">
        <w:rPr>
          <w:sz w:val="22"/>
          <w:szCs w:val="22"/>
        </w:rPr>
        <w:t>mg</w:t>
      </w:r>
      <w:r w:rsidRPr="00A66AB5">
        <w:rPr>
          <w:sz w:val="22"/>
          <w:szCs w:val="22"/>
          <w:lang w:val="el-GR"/>
        </w:rPr>
        <w:t xml:space="preserve">) με </w:t>
      </w:r>
      <w:proofErr w:type="spellStart"/>
      <w:r w:rsidRPr="00A66AB5">
        <w:rPr>
          <w:sz w:val="22"/>
          <w:szCs w:val="22"/>
          <w:lang w:val="el-GR"/>
        </w:rPr>
        <w:t>κετοκοναζόλη</w:t>
      </w:r>
      <w:proofErr w:type="spellEnd"/>
      <w:r w:rsidRPr="00A66AB5">
        <w:rPr>
          <w:sz w:val="22"/>
          <w:szCs w:val="22"/>
          <w:lang w:val="el-GR"/>
        </w:rPr>
        <w:t xml:space="preserve">, έναν αναστολέα του </w:t>
      </w:r>
      <w:r w:rsidRPr="00A66AB5">
        <w:rPr>
          <w:sz w:val="22"/>
          <w:szCs w:val="22"/>
        </w:rPr>
        <w:t>CYP</w:t>
      </w:r>
      <w:r w:rsidRPr="00A66AB5">
        <w:rPr>
          <w:sz w:val="22"/>
          <w:szCs w:val="22"/>
          <w:lang w:val="el-GR"/>
        </w:rPr>
        <w:t>3</w:t>
      </w:r>
      <w:r w:rsidRPr="00A66AB5">
        <w:rPr>
          <w:sz w:val="22"/>
          <w:szCs w:val="22"/>
        </w:rPr>
        <w:t>A</w:t>
      </w:r>
      <w:r w:rsidRPr="00A66AB5">
        <w:rPr>
          <w:sz w:val="22"/>
          <w:szCs w:val="22"/>
          <w:lang w:val="el-GR"/>
        </w:rPr>
        <w:t>4, προκάλεσε αύξηση στο εμβαδόν κάτω από την καμπύλη (</w:t>
      </w:r>
      <w:r w:rsidRPr="00A66AB5">
        <w:rPr>
          <w:sz w:val="22"/>
          <w:szCs w:val="22"/>
        </w:rPr>
        <w:t>AUC</w:t>
      </w:r>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κατά 5 έως 8 φορές. Με βάση αυτό, η ταυτόχρονη χρήση </w:t>
      </w:r>
      <w:proofErr w:type="spellStart"/>
      <w:r w:rsidRPr="00A66AB5">
        <w:rPr>
          <w:sz w:val="22"/>
          <w:szCs w:val="22"/>
          <w:lang w:val="el-GR"/>
        </w:rPr>
        <w:t>κουετιαπίνης</w:t>
      </w:r>
      <w:proofErr w:type="spellEnd"/>
      <w:r w:rsidRPr="00A66AB5">
        <w:rPr>
          <w:sz w:val="22"/>
          <w:szCs w:val="22"/>
          <w:lang w:val="el-GR"/>
        </w:rPr>
        <w:t xml:space="preserve"> με αναστολείς </w:t>
      </w:r>
      <w:r w:rsidRPr="00A66AB5">
        <w:rPr>
          <w:sz w:val="22"/>
          <w:szCs w:val="22"/>
        </w:rPr>
        <w:t>CYP</w:t>
      </w:r>
      <w:r w:rsidRPr="00A66AB5">
        <w:rPr>
          <w:sz w:val="22"/>
          <w:szCs w:val="22"/>
          <w:lang w:val="el-GR"/>
        </w:rPr>
        <w:t>3</w:t>
      </w:r>
      <w:r w:rsidRPr="00A66AB5">
        <w:rPr>
          <w:sz w:val="22"/>
          <w:szCs w:val="22"/>
        </w:rPr>
        <w:t>A</w:t>
      </w:r>
      <w:r w:rsidRPr="00A66AB5">
        <w:rPr>
          <w:sz w:val="22"/>
          <w:szCs w:val="22"/>
          <w:lang w:val="el-GR"/>
        </w:rPr>
        <w:t>4</w:t>
      </w:r>
      <w:r w:rsidR="007401A7">
        <w:rPr>
          <w:sz w:val="22"/>
          <w:szCs w:val="22"/>
          <w:lang w:val="el-GR"/>
        </w:rPr>
        <w:t xml:space="preserve">, όπως η </w:t>
      </w:r>
      <w:proofErr w:type="spellStart"/>
      <w:r w:rsidR="007401A7" w:rsidRPr="00AA4FA4">
        <w:rPr>
          <w:sz w:val="22"/>
          <w:szCs w:val="22"/>
          <w:lang w:val="el-GR"/>
        </w:rPr>
        <w:t>μποσεπρεβίρη</w:t>
      </w:r>
      <w:proofErr w:type="spellEnd"/>
      <w:r w:rsidR="007401A7" w:rsidRPr="00AA4FA4">
        <w:rPr>
          <w:sz w:val="22"/>
          <w:szCs w:val="22"/>
          <w:lang w:val="el-GR"/>
        </w:rPr>
        <w:t xml:space="preserve"> ή η </w:t>
      </w:r>
      <w:proofErr w:type="spellStart"/>
      <w:r w:rsidR="007401A7" w:rsidRPr="00AA4FA4">
        <w:rPr>
          <w:sz w:val="22"/>
          <w:szCs w:val="22"/>
          <w:lang w:val="el-GR"/>
        </w:rPr>
        <w:t>ινδιναβίρη</w:t>
      </w:r>
      <w:proofErr w:type="spellEnd"/>
      <w:r w:rsidRPr="00A66AB5">
        <w:rPr>
          <w:sz w:val="22"/>
          <w:szCs w:val="22"/>
          <w:lang w:val="el-GR"/>
        </w:rPr>
        <w:t xml:space="preserve"> αντενδείκνυται</w:t>
      </w:r>
      <w:r w:rsidR="007401A7">
        <w:rPr>
          <w:sz w:val="22"/>
          <w:szCs w:val="22"/>
          <w:lang w:val="el-GR"/>
        </w:rPr>
        <w:t xml:space="preserve"> καθώς μπορεί να αυξήσει την τοξ</w:t>
      </w:r>
      <w:r w:rsidR="00711066">
        <w:rPr>
          <w:sz w:val="22"/>
          <w:szCs w:val="22"/>
          <w:lang w:val="el-GR"/>
        </w:rPr>
        <w:t xml:space="preserve">ικότητα που σχετίζεται με την </w:t>
      </w:r>
      <w:proofErr w:type="spellStart"/>
      <w:r w:rsidR="00711066">
        <w:rPr>
          <w:sz w:val="22"/>
          <w:szCs w:val="22"/>
          <w:lang w:val="el-GR"/>
        </w:rPr>
        <w:t>κουετιαπίνη</w:t>
      </w:r>
      <w:proofErr w:type="spellEnd"/>
      <w:r w:rsidRPr="00A66AB5">
        <w:rPr>
          <w:sz w:val="22"/>
          <w:szCs w:val="22"/>
          <w:lang w:val="el-GR"/>
        </w:rPr>
        <w:t xml:space="preserve">. </w:t>
      </w:r>
      <w:r w:rsidR="00711066">
        <w:rPr>
          <w:sz w:val="22"/>
          <w:szCs w:val="22"/>
          <w:lang w:val="el-GR"/>
        </w:rPr>
        <w:t xml:space="preserve">Αυξημένες συγκεντρώσεις πλάσματος ή </w:t>
      </w:r>
      <w:proofErr w:type="spellStart"/>
      <w:r w:rsidR="00711066">
        <w:rPr>
          <w:sz w:val="22"/>
          <w:szCs w:val="22"/>
          <w:lang w:val="el-GR"/>
        </w:rPr>
        <w:t>κουετιαπίνης</w:t>
      </w:r>
      <w:proofErr w:type="spellEnd"/>
      <w:r w:rsidR="00711066">
        <w:rPr>
          <w:sz w:val="22"/>
          <w:szCs w:val="22"/>
          <w:lang w:val="el-GR"/>
        </w:rPr>
        <w:t xml:space="preserve"> μπορεί να οδηγήσουν σε κώμα. </w:t>
      </w:r>
      <w:r w:rsidRPr="00A66AB5">
        <w:rPr>
          <w:sz w:val="22"/>
          <w:szCs w:val="22"/>
          <w:lang w:val="el-GR"/>
        </w:rPr>
        <w:t xml:space="preserve">Επίσης, δεν συνιστάται η κατανάλωση χυμού γκρέιπφρουτ ενόσω λαμβάνεται αγωγή με </w:t>
      </w:r>
      <w:proofErr w:type="spellStart"/>
      <w:r w:rsidRPr="00A66AB5">
        <w:rPr>
          <w:sz w:val="22"/>
          <w:szCs w:val="22"/>
          <w:lang w:val="el-GR"/>
        </w:rPr>
        <w:t>κουετιαπίνη</w:t>
      </w:r>
      <w:proofErr w:type="spellEnd"/>
      <w:r w:rsidRPr="00A66AB5">
        <w:rPr>
          <w:sz w:val="22"/>
          <w:szCs w:val="22"/>
          <w:lang w:val="el-GR"/>
        </w:rPr>
        <w:t>.</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Σε μια δοκιμή πολλαπλών δόσεων σε ασθενείς για την αξιολόγηση της </w:t>
      </w:r>
      <w:proofErr w:type="spellStart"/>
      <w:r w:rsidRPr="00A66AB5">
        <w:rPr>
          <w:sz w:val="22"/>
          <w:szCs w:val="22"/>
          <w:lang w:val="el-GR"/>
        </w:rPr>
        <w:t>φαρμακοκινητικής</w:t>
      </w:r>
      <w:proofErr w:type="spellEnd"/>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που χορηγείται πριν και κατά τη διάρκεια της θεραπείας με </w:t>
      </w:r>
      <w:proofErr w:type="spellStart"/>
      <w:r w:rsidRPr="00A66AB5">
        <w:rPr>
          <w:sz w:val="22"/>
          <w:szCs w:val="22"/>
          <w:lang w:val="el-GR"/>
        </w:rPr>
        <w:t>καρβαμαζεπίνη</w:t>
      </w:r>
      <w:proofErr w:type="spellEnd"/>
      <w:r w:rsidRPr="00A66AB5">
        <w:rPr>
          <w:sz w:val="22"/>
          <w:szCs w:val="22"/>
          <w:lang w:val="el-GR"/>
        </w:rPr>
        <w:t xml:space="preserve"> (έναν γνωστό </w:t>
      </w:r>
      <w:proofErr w:type="spellStart"/>
      <w:r w:rsidRPr="00A66AB5">
        <w:rPr>
          <w:sz w:val="22"/>
          <w:szCs w:val="22"/>
          <w:lang w:val="el-GR"/>
        </w:rPr>
        <w:t>επαγωγέα</w:t>
      </w:r>
      <w:proofErr w:type="spellEnd"/>
      <w:r w:rsidRPr="00A66AB5">
        <w:rPr>
          <w:sz w:val="22"/>
          <w:szCs w:val="22"/>
          <w:lang w:val="el-GR"/>
        </w:rPr>
        <w:t xml:space="preserve"> ηπατικών ενζύμων), η </w:t>
      </w:r>
      <w:proofErr w:type="spellStart"/>
      <w:r w:rsidRPr="00A66AB5">
        <w:rPr>
          <w:sz w:val="22"/>
          <w:szCs w:val="22"/>
          <w:lang w:val="el-GR"/>
        </w:rPr>
        <w:t>συγχορήγηση</w:t>
      </w:r>
      <w:proofErr w:type="spellEnd"/>
      <w:r w:rsidRPr="00A66AB5">
        <w:rPr>
          <w:sz w:val="22"/>
          <w:szCs w:val="22"/>
          <w:lang w:val="el-GR"/>
        </w:rPr>
        <w:t xml:space="preserve"> της </w:t>
      </w:r>
      <w:proofErr w:type="spellStart"/>
      <w:r w:rsidRPr="00A66AB5">
        <w:rPr>
          <w:sz w:val="22"/>
          <w:szCs w:val="22"/>
          <w:lang w:val="el-GR"/>
        </w:rPr>
        <w:t>καρβαμαζεπίνης</w:t>
      </w:r>
      <w:proofErr w:type="spellEnd"/>
      <w:r w:rsidRPr="00A66AB5">
        <w:rPr>
          <w:sz w:val="22"/>
          <w:szCs w:val="22"/>
          <w:lang w:val="el-GR"/>
        </w:rPr>
        <w:t xml:space="preserve"> αύξησε σημαντικά την κάθαρση της </w:t>
      </w:r>
      <w:proofErr w:type="spellStart"/>
      <w:r w:rsidRPr="00A66AB5">
        <w:rPr>
          <w:sz w:val="22"/>
          <w:szCs w:val="22"/>
          <w:lang w:val="el-GR"/>
        </w:rPr>
        <w:t>κουετιαπίνης</w:t>
      </w:r>
      <w:proofErr w:type="spellEnd"/>
      <w:r w:rsidRPr="00A66AB5">
        <w:rPr>
          <w:sz w:val="22"/>
          <w:szCs w:val="22"/>
          <w:lang w:val="el-GR"/>
        </w:rPr>
        <w:t xml:space="preserve">. Αυτή η αύξηση της κάθαρσης μείωσε τη συστηματική έκθεση στην </w:t>
      </w:r>
      <w:proofErr w:type="spellStart"/>
      <w:r w:rsidRPr="00A66AB5">
        <w:rPr>
          <w:sz w:val="22"/>
          <w:szCs w:val="22"/>
          <w:lang w:val="el-GR"/>
        </w:rPr>
        <w:t>κουετιαπίνη</w:t>
      </w:r>
      <w:proofErr w:type="spellEnd"/>
      <w:r w:rsidRPr="00A66AB5">
        <w:rPr>
          <w:sz w:val="22"/>
          <w:szCs w:val="22"/>
          <w:lang w:val="el-GR"/>
        </w:rPr>
        <w:t xml:space="preserve"> (όπως μετράται από το </w:t>
      </w:r>
      <w:r w:rsidRPr="00A66AB5">
        <w:rPr>
          <w:sz w:val="22"/>
          <w:szCs w:val="22"/>
        </w:rPr>
        <w:t>AUC</w:t>
      </w:r>
      <w:r w:rsidRPr="00A66AB5">
        <w:rPr>
          <w:sz w:val="22"/>
          <w:szCs w:val="22"/>
          <w:lang w:val="el-GR"/>
        </w:rPr>
        <w:t xml:space="preserve">) σε ποσοστό 13%, κατά μέσο όρο, σε σχέση με την έκθεση κατά τη διάρκεια της χορήγησης μόνο </w:t>
      </w:r>
      <w:proofErr w:type="spellStart"/>
      <w:r w:rsidRPr="00A66AB5">
        <w:rPr>
          <w:sz w:val="22"/>
          <w:szCs w:val="22"/>
          <w:lang w:val="el-GR"/>
        </w:rPr>
        <w:t>κουετιαπίνης</w:t>
      </w:r>
      <w:proofErr w:type="spellEnd"/>
      <w:r w:rsidRPr="00A66AB5">
        <w:rPr>
          <w:sz w:val="22"/>
          <w:szCs w:val="22"/>
          <w:lang w:val="el-GR"/>
        </w:rPr>
        <w:t xml:space="preserve">, μολονότι παρατηρήθηκε μεγαλύτερη επίδραση σε κάποιους ασθενείς. Ως συνέπεια αυτής της αλληλεπίδρασης, μπορούν να παρατηρηθούν χαμηλότερες συγκεντρώσεις στο πλάσμα, οι οποίες θα μπορούσαν να επηρεάσουν την αποτελεσματικότητα της θεραπείας με </w:t>
      </w:r>
      <w:proofErr w:type="spellStart"/>
      <w:r w:rsidRPr="00A66AB5">
        <w:rPr>
          <w:sz w:val="22"/>
          <w:szCs w:val="22"/>
          <w:lang w:val="el-GR"/>
        </w:rPr>
        <w:t>κουετιαπίνη</w:t>
      </w:r>
      <w:proofErr w:type="spellEnd"/>
      <w:r w:rsidRPr="00A66AB5">
        <w:rPr>
          <w:sz w:val="22"/>
          <w:szCs w:val="22"/>
          <w:lang w:val="el-GR"/>
        </w:rPr>
        <w:t xml:space="preserve">. Η </w:t>
      </w:r>
      <w:proofErr w:type="spellStart"/>
      <w:r w:rsidRPr="00A66AB5">
        <w:rPr>
          <w:sz w:val="22"/>
          <w:szCs w:val="22"/>
          <w:lang w:val="el-GR"/>
        </w:rPr>
        <w:t>συγχορήγηση</w:t>
      </w:r>
      <w:proofErr w:type="spellEnd"/>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και </w:t>
      </w:r>
      <w:proofErr w:type="spellStart"/>
      <w:r w:rsidRPr="00A66AB5">
        <w:rPr>
          <w:sz w:val="22"/>
          <w:szCs w:val="22"/>
          <w:lang w:val="el-GR"/>
        </w:rPr>
        <w:t>φαινυτοΐνης</w:t>
      </w:r>
      <w:proofErr w:type="spellEnd"/>
      <w:r w:rsidRPr="00A66AB5">
        <w:rPr>
          <w:sz w:val="22"/>
          <w:szCs w:val="22"/>
          <w:lang w:val="el-GR"/>
        </w:rPr>
        <w:t xml:space="preserve"> (ένας άλλος </w:t>
      </w:r>
      <w:proofErr w:type="spellStart"/>
      <w:r w:rsidRPr="00A66AB5">
        <w:rPr>
          <w:sz w:val="22"/>
          <w:szCs w:val="22"/>
          <w:lang w:val="el-GR"/>
        </w:rPr>
        <w:t>επαγωγέας</w:t>
      </w:r>
      <w:proofErr w:type="spellEnd"/>
      <w:r w:rsidRPr="00A66AB5">
        <w:rPr>
          <w:sz w:val="22"/>
          <w:szCs w:val="22"/>
          <w:lang w:val="el-GR"/>
        </w:rPr>
        <w:t xml:space="preserve"> </w:t>
      </w:r>
      <w:proofErr w:type="spellStart"/>
      <w:r w:rsidRPr="00A66AB5">
        <w:rPr>
          <w:sz w:val="22"/>
          <w:szCs w:val="22"/>
          <w:lang w:val="el-GR"/>
        </w:rPr>
        <w:t>μικροσωμιακών</w:t>
      </w:r>
      <w:proofErr w:type="spellEnd"/>
      <w:r w:rsidRPr="00A66AB5">
        <w:rPr>
          <w:sz w:val="22"/>
          <w:szCs w:val="22"/>
          <w:lang w:val="el-GR"/>
        </w:rPr>
        <w:t xml:space="preserve"> ενζύμων) προκάλεσε μια εξαιρετικά μεγάλη αύξηση της κάθαρσης της </w:t>
      </w:r>
      <w:proofErr w:type="spellStart"/>
      <w:r w:rsidRPr="00A66AB5">
        <w:rPr>
          <w:sz w:val="22"/>
          <w:szCs w:val="22"/>
          <w:lang w:val="el-GR"/>
        </w:rPr>
        <w:t>κουετιαπίνης</w:t>
      </w:r>
      <w:proofErr w:type="spellEnd"/>
      <w:r w:rsidRPr="00A66AB5">
        <w:rPr>
          <w:sz w:val="22"/>
          <w:szCs w:val="22"/>
          <w:lang w:val="el-GR"/>
        </w:rPr>
        <w:t xml:space="preserve"> κατά περίπου 450%. Σε ασθενείς που λαμβάνουν </w:t>
      </w:r>
      <w:proofErr w:type="spellStart"/>
      <w:r w:rsidRPr="00A66AB5">
        <w:rPr>
          <w:sz w:val="22"/>
          <w:szCs w:val="22"/>
          <w:lang w:val="el-GR"/>
        </w:rPr>
        <w:t>επαγωγέα</w:t>
      </w:r>
      <w:proofErr w:type="spellEnd"/>
      <w:r w:rsidRPr="00A66AB5">
        <w:rPr>
          <w:sz w:val="22"/>
          <w:szCs w:val="22"/>
          <w:lang w:val="el-GR"/>
        </w:rPr>
        <w:t xml:space="preserve"> ηπατικών ενζύμων, η έναρξη θεραπείας με </w:t>
      </w:r>
      <w:proofErr w:type="spellStart"/>
      <w:r w:rsidRPr="00A66AB5">
        <w:rPr>
          <w:sz w:val="22"/>
          <w:szCs w:val="22"/>
          <w:lang w:val="el-GR"/>
        </w:rPr>
        <w:t>κουετιαπίνη</w:t>
      </w:r>
      <w:proofErr w:type="spellEnd"/>
      <w:r w:rsidRPr="00A66AB5">
        <w:rPr>
          <w:sz w:val="22"/>
          <w:szCs w:val="22"/>
          <w:lang w:val="el-GR"/>
        </w:rPr>
        <w:t xml:space="preserve"> θα πρέπει να πραγματοποιηθεί μόνον εάν ο ιατρός θεωρεί ότι τα οφέλη </w:t>
      </w:r>
      <w:r w:rsidR="00A0455A">
        <w:rPr>
          <w:sz w:val="22"/>
          <w:szCs w:val="22"/>
          <w:lang w:val="el-GR"/>
        </w:rPr>
        <w:t>της</w:t>
      </w:r>
      <w:r w:rsidR="00A0455A"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υπερτερούν των κινδύνων της αφαίρεσης του </w:t>
      </w:r>
      <w:proofErr w:type="spellStart"/>
      <w:r w:rsidRPr="00A66AB5">
        <w:rPr>
          <w:sz w:val="22"/>
          <w:szCs w:val="22"/>
          <w:lang w:val="el-GR"/>
        </w:rPr>
        <w:t>επαγωγέα</w:t>
      </w:r>
      <w:proofErr w:type="spellEnd"/>
      <w:r w:rsidRPr="00A66AB5">
        <w:rPr>
          <w:sz w:val="22"/>
          <w:szCs w:val="22"/>
          <w:lang w:val="el-GR"/>
        </w:rPr>
        <w:t xml:space="preserve"> των ηπατικών ενζύμων. Είναι σημαντικό οποιαδήποτε αλλαγή στον </w:t>
      </w:r>
      <w:proofErr w:type="spellStart"/>
      <w:r w:rsidRPr="00A66AB5">
        <w:rPr>
          <w:sz w:val="22"/>
          <w:szCs w:val="22"/>
          <w:lang w:val="el-GR"/>
        </w:rPr>
        <w:t>επαγωγέα</w:t>
      </w:r>
      <w:proofErr w:type="spellEnd"/>
      <w:r w:rsidRPr="00A66AB5">
        <w:rPr>
          <w:sz w:val="22"/>
          <w:szCs w:val="22"/>
          <w:lang w:val="el-GR"/>
        </w:rPr>
        <w:t xml:space="preserve"> να είναι σταδιακή και, εάν απαιτείται, να αντικαθίσταται με μη </w:t>
      </w:r>
      <w:proofErr w:type="spellStart"/>
      <w:r w:rsidRPr="00A66AB5">
        <w:rPr>
          <w:sz w:val="22"/>
          <w:szCs w:val="22"/>
          <w:lang w:val="el-GR"/>
        </w:rPr>
        <w:t>επαγωγέα</w:t>
      </w:r>
      <w:proofErr w:type="spellEnd"/>
      <w:r w:rsidRPr="00A66AB5">
        <w:rPr>
          <w:sz w:val="22"/>
          <w:szCs w:val="22"/>
          <w:lang w:val="el-GR"/>
        </w:rPr>
        <w:t xml:space="preserve"> (π.χ. </w:t>
      </w:r>
      <w:proofErr w:type="spellStart"/>
      <w:r w:rsidRPr="00A66AB5">
        <w:rPr>
          <w:sz w:val="22"/>
          <w:szCs w:val="22"/>
          <w:lang w:val="el-GR"/>
        </w:rPr>
        <w:t>βαλπροϊκό</w:t>
      </w:r>
      <w:proofErr w:type="spellEnd"/>
      <w:r w:rsidRPr="00A66AB5">
        <w:rPr>
          <w:sz w:val="22"/>
          <w:szCs w:val="22"/>
          <w:lang w:val="el-GR"/>
        </w:rPr>
        <w:t xml:space="preserve"> νάτριο) (βλ. παράγραφο 4.4).</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δεν μεταβλήθηκε σημαντικά από τη </w:t>
      </w:r>
      <w:proofErr w:type="spellStart"/>
      <w:r w:rsidRPr="00A66AB5">
        <w:rPr>
          <w:sz w:val="22"/>
          <w:szCs w:val="22"/>
          <w:lang w:val="el-GR"/>
        </w:rPr>
        <w:t>συγχορήγηση</w:t>
      </w:r>
      <w:proofErr w:type="spellEnd"/>
      <w:r w:rsidRPr="00A66AB5">
        <w:rPr>
          <w:sz w:val="22"/>
          <w:szCs w:val="22"/>
          <w:lang w:val="el-GR"/>
        </w:rPr>
        <w:t xml:space="preserve"> των αντικαταθλιπτικών, </w:t>
      </w:r>
      <w:proofErr w:type="spellStart"/>
      <w:r w:rsidRPr="00A66AB5">
        <w:rPr>
          <w:sz w:val="22"/>
          <w:szCs w:val="22"/>
          <w:lang w:val="el-GR"/>
        </w:rPr>
        <w:t>ιμιπραμίνη</w:t>
      </w:r>
      <w:proofErr w:type="spellEnd"/>
      <w:r w:rsidRPr="00A66AB5">
        <w:rPr>
          <w:sz w:val="22"/>
          <w:szCs w:val="22"/>
          <w:lang w:val="el-GR"/>
        </w:rPr>
        <w:t xml:space="preserve"> (γνωστός αναστολέας του </w:t>
      </w:r>
      <w:r w:rsidRPr="00A66AB5">
        <w:rPr>
          <w:sz w:val="22"/>
          <w:szCs w:val="22"/>
        </w:rPr>
        <w:t>CYP</w:t>
      </w:r>
      <w:r w:rsidRPr="00A66AB5">
        <w:rPr>
          <w:sz w:val="22"/>
          <w:szCs w:val="22"/>
          <w:lang w:val="el-GR"/>
        </w:rPr>
        <w:t xml:space="preserve"> 2</w:t>
      </w:r>
      <w:r w:rsidRPr="00A66AB5">
        <w:rPr>
          <w:sz w:val="22"/>
          <w:szCs w:val="22"/>
        </w:rPr>
        <w:t>D</w:t>
      </w:r>
      <w:r w:rsidRPr="00A66AB5">
        <w:rPr>
          <w:sz w:val="22"/>
          <w:szCs w:val="22"/>
          <w:lang w:val="el-GR"/>
        </w:rPr>
        <w:t xml:space="preserve">6) ή την </w:t>
      </w:r>
      <w:proofErr w:type="spellStart"/>
      <w:r w:rsidRPr="00A66AB5">
        <w:rPr>
          <w:sz w:val="22"/>
          <w:szCs w:val="22"/>
          <w:lang w:val="el-GR"/>
        </w:rPr>
        <w:t>φλουοξετίνη</w:t>
      </w:r>
      <w:proofErr w:type="spellEnd"/>
      <w:r w:rsidRPr="00A66AB5">
        <w:rPr>
          <w:sz w:val="22"/>
          <w:szCs w:val="22"/>
          <w:lang w:val="el-GR"/>
        </w:rPr>
        <w:t xml:space="preserve"> (γνωστός αναστολέας των </w:t>
      </w:r>
      <w:r w:rsidRPr="00A66AB5">
        <w:rPr>
          <w:sz w:val="22"/>
          <w:szCs w:val="22"/>
        </w:rPr>
        <w:t>CYP</w:t>
      </w:r>
      <w:r w:rsidRPr="00A66AB5">
        <w:rPr>
          <w:sz w:val="22"/>
          <w:szCs w:val="22"/>
          <w:lang w:val="el-GR"/>
        </w:rPr>
        <w:t xml:space="preserve"> 3</w:t>
      </w:r>
      <w:r w:rsidRPr="00A66AB5">
        <w:rPr>
          <w:sz w:val="22"/>
          <w:szCs w:val="22"/>
        </w:rPr>
        <w:t>A</w:t>
      </w:r>
      <w:r w:rsidRPr="00A66AB5">
        <w:rPr>
          <w:sz w:val="22"/>
          <w:szCs w:val="22"/>
          <w:lang w:val="el-GR"/>
        </w:rPr>
        <w:t xml:space="preserve">4 και </w:t>
      </w:r>
      <w:r w:rsidRPr="00A66AB5">
        <w:rPr>
          <w:sz w:val="22"/>
          <w:szCs w:val="22"/>
        </w:rPr>
        <w:t>CYP</w:t>
      </w:r>
      <w:r w:rsidRPr="00A66AB5">
        <w:rPr>
          <w:sz w:val="22"/>
          <w:szCs w:val="22"/>
          <w:lang w:val="el-GR"/>
        </w:rPr>
        <w:t xml:space="preserve"> 2</w:t>
      </w:r>
      <w:r w:rsidRPr="00A66AB5">
        <w:rPr>
          <w:sz w:val="22"/>
          <w:szCs w:val="22"/>
        </w:rPr>
        <w:t>D</w:t>
      </w:r>
      <w:r w:rsidRPr="00A66AB5">
        <w:rPr>
          <w:sz w:val="22"/>
          <w:szCs w:val="22"/>
          <w:lang w:val="el-GR"/>
        </w:rPr>
        <w:t xml:space="preserve">6).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δεν μεταβλήθηκε σημαντικά από τη </w:t>
      </w:r>
      <w:proofErr w:type="spellStart"/>
      <w:r w:rsidRPr="00A66AB5">
        <w:rPr>
          <w:sz w:val="22"/>
          <w:szCs w:val="22"/>
          <w:lang w:val="el-GR"/>
        </w:rPr>
        <w:t>συγχορήγηση</w:t>
      </w:r>
      <w:proofErr w:type="spellEnd"/>
      <w:r w:rsidRPr="00A66AB5">
        <w:rPr>
          <w:sz w:val="22"/>
          <w:szCs w:val="22"/>
          <w:lang w:val="el-GR"/>
        </w:rPr>
        <w:t xml:space="preserve"> των </w:t>
      </w:r>
      <w:proofErr w:type="spellStart"/>
      <w:r w:rsidRPr="00A66AB5">
        <w:rPr>
          <w:sz w:val="22"/>
          <w:szCs w:val="22"/>
          <w:lang w:val="el-GR"/>
        </w:rPr>
        <w:t>αντιψυχωσικών</w:t>
      </w:r>
      <w:proofErr w:type="spellEnd"/>
      <w:r w:rsidRPr="00A66AB5">
        <w:rPr>
          <w:sz w:val="22"/>
          <w:szCs w:val="22"/>
          <w:lang w:val="el-GR"/>
        </w:rPr>
        <w:t xml:space="preserve"> </w:t>
      </w:r>
      <w:proofErr w:type="spellStart"/>
      <w:r w:rsidRPr="00A66AB5">
        <w:rPr>
          <w:sz w:val="22"/>
          <w:szCs w:val="22"/>
          <w:lang w:val="el-GR"/>
        </w:rPr>
        <w:t>ρισπεριδόνη</w:t>
      </w:r>
      <w:proofErr w:type="spellEnd"/>
      <w:r w:rsidRPr="00A66AB5">
        <w:rPr>
          <w:sz w:val="22"/>
          <w:szCs w:val="22"/>
          <w:lang w:val="el-GR"/>
        </w:rPr>
        <w:t xml:space="preserve"> και </w:t>
      </w:r>
      <w:proofErr w:type="spellStart"/>
      <w:r w:rsidRPr="00A66AB5">
        <w:rPr>
          <w:sz w:val="22"/>
          <w:szCs w:val="22"/>
          <w:lang w:val="el-GR"/>
        </w:rPr>
        <w:t>αλοπεριδόλη</w:t>
      </w:r>
      <w:proofErr w:type="spellEnd"/>
      <w:r w:rsidRPr="00A66AB5">
        <w:rPr>
          <w:sz w:val="22"/>
          <w:szCs w:val="22"/>
          <w:lang w:val="el-GR"/>
        </w:rPr>
        <w:t xml:space="preserve">. Η ταυτόχρονη χρήση </w:t>
      </w:r>
      <w:proofErr w:type="spellStart"/>
      <w:r w:rsidRPr="00A66AB5">
        <w:rPr>
          <w:sz w:val="22"/>
          <w:szCs w:val="22"/>
          <w:lang w:val="el-GR"/>
        </w:rPr>
        <w:t>κουετιαπίνης</w:t>
      </w:r>
      <w:proofErr w:type="spellEnd"/>
      <w:r w:rsidRPr="00A66AB5">
        <w:rPr>
          <w:sz w:val="22"/>
          <w:szCs w:val="22"/>
          <w:lang w:val="el-GR"/>
        </w:rPr>
        <w:t xml:space="preserve"> και </w:t>
      </w:r>
      <w:proofErr w:type="spellStart"/>
      <w:r w:rsidRPr="00A66AB5">
        <w:rPr>
          <w:sz w:val="22"/>
          <w:szCs w:val="22"/>
          <w:lang w:val="el-GR"/>
        </w:rPr>
        <w:t>θειοριδαζίνης</w:t>
      </w:r>
      <w:proofErr w:type="spellEnd"/>
      <w:r w:rsidRPr="00A66AB5">
        <w:rPr>
          <w:sz w:val="22"/>
          <w:szCs w:val="22"/>
          <w:lang w:val="el-GR"/>
        </w:rPr>
        <w:t xml:space="preserve"> προκάλεσε αυξημένη κάθαρση της </w:t>
      </w:r>
      <w:proofErr w:type="spellStart"/>
      <w:r w:rsidRPr="00A66AB5">
        <w:rPr>
          <w:sz w:val="22"/>
          <w:szCs w:val="22"/>
          <w:lang w:val="el-GR"/>
        </w:rPr>
        <w:t>κουετιαπίνης</w:t>
      </w:r>
      <w:proofErr w:type="spellEnd"/>
      <w:r w:rsidRPr="00A66AB5">
        <w:rPr>
          <w:sz w:val="22"/>
          <w:szCs w:val="22"/>
          <w:lang w:val="el-GR"/>
        </w:rPr>
        <w:t xml:space="preserve"> κατά περίπου 70%.</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δεν μεταβλήθηκε μετά τη </w:t>
      </w:r>
      <w:proofErr w:type="spellStart"/>
      <w:r w:rsidRPr="00A66AB5">
        <w:rPr>
          <w:sz w:val="22"/>
          <w:szCs w:val="22"/>
          <w:lang w:val="el-GR"/>
        </w:rPr>
        <w:t>συγχορήγηση</w:t>
      </w:r>
      <w:proofErr w:type="spellEnd"/>
      <w:r w:rsidRPr="00A66AB5">
        <w:rPr>
          <w:sz w:val="22"/>
          <w:szCs w:val="22"/>
          <w:lang w:val="el-GR"/>
        </w:rPr>
        <w:t xml:space="preserve"> </w:t>
      </w:r>
      <w:proofErr w:type="spellStart"/>
      <w:r w:rsidRPr="00A66AB5">
        <w:rPr>
          <w:sz w:val="22"/>
          <w:szCs w:val="22"/>
          <w:lang w:val="el-GR"/>
        </w:rPr>
        <w:t>σιμετιδίνης</w:t>
      </w:r>
      <w:proofErr w:type="spellEnd"/>
      <w:r w:rsidRPr="00A66AB5">
        <w:rPr>
          <w:sz w:val="22"/>
          <w:szCs w:val="22"/>
          <w:lang w:val="el-GR"/>
        </w:rPr>
        <w:t>.</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του </w:t>
      </w:r>
      <w:proofErr w:type="spellStart"/>
      <w:r w:rsidRPr="00A66AB5">
        <w:rPr>
          <w:sz w:val="22"/>
          <w:szCs w:val="22"/>
          <w:lang w:val="el-GR"/>
        </w:rPr>
        <w:t>λιθίου</w:t>
      </w:r>
      <w:proofErr w:type="spellEnd"/>
      <w:r w:rsidRPr="00A66AB5">
        <w:rPr>
          <w:sz w:val="22"/>
          <w:szCs w:val="22"/>
          <w:lang w:val="el-GR"/>
        </w:rPr>
        <w:t xml:space="preserve"> δεν μεταβλήθηκε κατά τη </w:t>
      </w:r>
      <w:proofErr w:type="spellStart"/>
      <w:r w:rsidRPr="00A66AB5">
        <w:rPr>
          <w:sz w:val="22"/>
          <w:szCs w:val="22"/>
          <w:lang w:val="el-GR"/>
        </w:rPr>
        <w:t>συγχορήγηση</w:t>
      </w:r>
      <w:proofErr w:type="spellEnd"/>
      <w:r w:rsidRPr="00A66AB5">
        <w:rPr>
          <w:sz w:val="22"/>
          <w:szCs w:val="22"/>
          <w:lang w:val="el-GR"/>
        </w:rPr>
        <w:t xml:space="preserve"> με </w:t>
      </w:r>
      <w:proofErr w:type="spellStart"/>
      <w:r w:rsidRPr="00A66AB5">
        <w:rPr>
          <w:sz w:val="22"/>
          <w:szCs w:val="22"/>
          <w:lang w:val="el-GR"/>
        </w:rPr>
        <w:t>κουετιαπίνη</w:t>
      </w:r>
      <w:proofErr w:type="spellEnd"/>
      <w:r w:rsidRPr="00A66AB5">
        <w:rPr>
          <w:sz w:val="22"/>
          <w:szCs w:val="22"/>
          <w:lang w:val="el-GR"/>
        </w:rPr>
        <w:t xml:space="preserve">.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του </w:t>
      </w:r>
      <w:proofErr w:type="spellStart"/>
      <w:r w:rsidRPr="00A66AB5">
        <w:rPr>
          <w:sz w:val="22"/>
          <w:szCs w:val="22"/>
          <w:lang w:val="el-GR"/>
        </w:rPr>
        <w:t>βαλπροϊκού</w:t>
      </w:r>
      <w:proofErr w:type="spellEnd"/>
      <w:r w:rsidRPr="00A66AB5">
        <w:rPr>
          <w:sz w:val="22"/>
          <w:szCs w:val="22"/>
          <w:lang w:val="el-GR"/>
        </w:rPr>
        <w:t xml:space="preserve"> νατρίου και της </w:t>
      </w:r>
      <w:proofErr w:type="spellStart"/>
      <w:r w:rsidRPr="00A66AB5">
        <w:rPr>
          <w:sz w:val="22"/>
          <w:szCs w:val="22"/>
          <w:lang w:val="el-GR"/>
        </w:rPr>
        <w:t>κουετιαπίνης</w:t>
      </w:r>
      <w:proofErr w:type="spellEnd"/>
      <w:r w:rsidRPr="00A66AB5">
        <w:rPr>
          <w:sz w:val="22"/>
          <w:szCs w:val="22"/>
          <w:lang w:val="el-GR"/>
        </w:rPr>
        <w:t xml:space="preserve"> δεν μεταβλήθηκαν σε κλινικά σχετικό βαθμό κατά τη </w:t>
      </w:r>
      <w:proofErr w:type="spellStart"/>
      <w:r w:rsidRPr="00A66AB5">
        <w:rPr>
          <w:sz w:val="22"/>
          <w:szCs w:val="22"/>
          <w:lang w:val="el-GR"/>
        </w:rPr>
        <w:t>συγχορήγησή</w:t>
      </w:r>
      <w:proofErr w:type="spellEnd"/>
      <w:r w:rsidRPr="00A66AB5">
        <w:rPr>
          <w:sz w:val="22"/>
          <w:szCs w:val="22"/>
          <w:lang w:val="el-GR"/>
        </w:rPr>
        <w:t xml:space="preserve"> τους.</w:t>
      </w:r>
      <w:r w:rsidR="008D3F1F" w:rsidRPr="00A66AB5">
        <w:rPr>
          <w:sz w:val="22"/>
          <w:szCs w:val="22"/>
          <w:lang w:val="el-GR"/>
        </w:rPr>
        <w:t xml:space="preserve"> Μια αναδρομική μελέτη σε παιδιά και εφήβους που έλαβαν </w:t>
      </w:r>
      <w:proofErr w:type="spellStart"/>
      <w:r w:rsidR="008D3F1F" w:rsidRPr="00A66AB5">
        <w:rPr>
          <w:sz w:val="22"/>
          <w:szCs w:val="22"/>
          <w:lang w:val="el-GR"/>
        </w:rPr>
        <w:t>βαλπροϊκό</w:t>
      </w:r>
      <w:proofErr w:type="spellEnd"/>
      <w:r w:rsidR="008D3F1F" w:rsidRPr="00A66AB5">
        <w:rPr>
          <w:sz w:val="22"/>
          <w:szCs w:val="22"/>
          <w:lang w:val="el-GR"/>
        </w:rPr>
        <w:t xml:space="preserve">, </w:t>
      </w:r>
      <w:proofErr w:type="spellStart"/>
      <w:r w:rsidR="008D3F1F" w:rsidRPr="00A66AB5">
        <w:rPr>
          <w:sz w:val="22"/>
          <w:szCs w:val="22"/>
          <w:lang w:val="el-GR"/>
        </w:rPr>
        <w:t>κουετιαπίνη</w:t>
      </w:r>
      <w:proofErr w:type="spellEnd"/>
      <w:r w:rsidR="008D3F1F" w:rsidRPr="00A66AB5">
        <w:rPr>
          <w:sz w:val="22"/>
          <w:szCs w:val="22"/>
          <w:lang w:val="el-GR"/>
        </w:rPr>
        <w:t xml:space="preserve"> ή και τα δύο, κατέδειξε μεγαλύτερη επίπτωση της </w:t>
      </w:r>
      <w:proofErr w:type="spellStart"/>
      <w:r w:rsidR="008D3F1F" w:rsidRPr="00A66AB5">
        <w:rPr>
          <w:sz w:val="22"/>
          <w:szCs w:val="22"/>
          <w:lang w:val="el-GR"/>
        </w:rPr>
        <w:t>λευκοπενίας</w:t>
      </w:r>
      <w:proofErr w:type="spellEnd"/>
      <w:r w:rsidR="008D3F1F" w:rsidRPr="00A66AB5">
        <w:rPr>
          <w:sz w:val="22"/>
          <w:szCs w:val="22"/>
          <w:lang w:val="el-GR"/>
        </w:rPr>
        <w:t xml:space="preserve"> και της </w:t>
      </w:r>
      <w:proofErr w:type="spellStart"/>
      <w:r w:rsidR="008D3F1F" w:rsidRPr="00A66AB5">
        <w:rPr>
          <w:sz w:val="22"/>
          <w:szCs w:val="22"/>
          <w:lang w:val="el-GR"/>
        </w:rPr>
        <w:t>ουδετεροπενίας</w:t>
      </w:r>
      <w:proofErr w:type="spellEnd"/>
      <w:r w:rsidR="008D3F1F" w:rsidRPr="00A66AB5">
        <w:rPr>
          <w:sz w:val="22"/>
          <w:szCs w:val="22"/>
          <w:lang w:val="el-GR"/>
        </w:rPr>
        <w:t xml:space="preserve"> στην ομάδα συνδυασμού έναντι των ομάδων </w:t>
      </w:r>
      <w:proofErr w:type="spellStart"/>
      <w:r w:rsidR="008D3F1F" w:rsidRPr="00A66AB5">
        <w:rPr>
          <w:sz w:val="22"/>
          <w:szCs w:val="22"/>
          <w:lang w:val="el-GR"/>
        </w:rPr>
        <w:t>μονοθεραπείας</w:t>
      </w:r>
      <w:proofErr w:type="spellEnd"/>
      <w:r w:rsidR="008D3F1F" w:rsidRPr="00A66AB5">
        <w:rPr>
          <w:sz w:val="22"/>
          <w:szCs w:val="22"/>
          <w:lang w:val="el-GR"/>
        </w:rPr>
        <w:t>.</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Δεν έχουν πραγματοποιηθεί επίσημες μελέτες αλληλεπίδρασης με συχνά χρησιμοποιούμενα καρδιαγγειακά </w:t>
      </w:r>
      <w:r w:rsidR="00A0455A">
        <w:rPr>
          <w:sz w:val="22"/>
          <w:szCs w:val="22"/>
          <w:lang w:val="el-GR"/>
        </w:rPr>
        <w:t>φαρμακευτικά προϊόντα</w:t>
      </w:r>
      <w:r w:rsidRPr="00A66AB5">
        <w:rPr>
          <w:sz w:val="22"/>
          <w:szCs w:val="22"/>
          <w:lang w:val="el-GR"/>
        </w:rPr>
        <w:t xml:space="preserve">.  </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Θα πρέπει να δίνεται προσοχή όταν η </w:t>
      </w:r>
      <w:proofErr w:type="spellStart"/>
      <w:r w:rsidRPr="00A66AB5">
        <w:rPr>
          <w:sz w:val="22"/>
          <w:szCs w:val="22"/>
          <w:lang w:val="el-GR"/>
        </w:rPr>
        <w:t>κουετιαπίνη</w:t>
      </w:r>
      <w:proofErr w:type="spellEnd"/>
      <w:r w:rsidRPr="00A66AB5">
        <w:rPr>
          <w:sz w:val="22"/>
          <w:szCs w:val="22"/>
          <w:lang w:val="el-GR"/>
        </w:rPr>
        <w:t xml:space="preserve"> χρησιμοποιείται ταυτόχρονα με </w:t>
      </w:r>
      <w:r w:rsidR="00A0455A">
        <w:rPr>
          <w:sz w:val="22"/>
          <w:szCs w:val="22"/>
          <w:lang w:val="el-GR"/>
        </w:rPr>
        <w:t>φαρμακευτικά προϊόντα</w:t>
      </w:r>
      <w:r w:rsidRPr="00A66AB5">
        <w:rPr>
          <w:sz w:val="22"/>
          <w:szCs w:val="22"/>
          <w:lang w:val="el-GR"/>
        </w:rPr>
        <w:t xml:space="preserve"> που είναι γνωστό ότι προκαλούν ηλεκτρολυτική ανισορροπία ή αυξάνουν το διάστημα QT.</w:t>
      </w:r>
    </w:p>
    <w:p w:rsidR="00380EEB" w:rsidRPr="00A66AB5" w:rsidRDefault="00380EEB">
      <w:pPr>
        <w:pStyle w:val="a3"/>
        <w:tabs>
          <w:tab w:val="clear" w:pos="4320"/>
          <w:tab w:val="clear" w:pos="8640"/>
        </w:tabs>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Έχουν υπάρξει αναφορές ψευδώς θετικών αποτελεσμάτων σε </w:t>
      </w:r>
      <w:proofErr w:type="spellStart"/>
      <w:r w:rsidRPr="00A66AB5">
        <w:rPr>
          <w:sz w:val="22"/>
          <w:szCs w:val="22"/>
          <w:lang w:val="el-GR"/>
        </w:rPr>
        <w:t>ενζυμικούς</w:t>
      </w:r>
      <w:proofErr w:type="spellEnd"/>
      <w:r w:rsidRPr="00A66AB5">
        <w:rPr>
          <w:sz w:val="22"/>
          <w:szCs w:val="22"/>
          <w:lang w:val="el-GR"/>
        </w:rPr>
        <w:t xml:space="preserve"> </w:t>
      </w:r>
      <w:proofErr w:type="spellStart"/>
      <w:r w:rsidRPr="00A66AB5">
        <w:rPr>
          <w:sz w:val="22"/>
          <w:szCs w:val="22"/>
          <w:lang w:val="el-GR"/>
        </w:rPr>
        <w:t>ανοσοπροσδιορισμούς</w:t>
      </w:r>
      <w:proofErr w:type="spellEnd"/>
      <w:r w:rsidRPr="00A66AB5">
        <w:rPr>
          <w:sz w:val="22"/>
          <w:szCs w:val="22"/>
          <w:lang w:val="el-GR"/>
        </w:rPr>
        <w:t xml:space="preserve"> για τη </w:t>
      </w:r>
      <w:proofErr w:type="spellStart"/>
      <w:r w:rsidRPr="00A66AB5">
        <w:rPr>
          <w:sz w:val="22"/>
          <w:szCs w:val="22"/>
          <w:lang w:val="el-GR"/>
        </w:rPr>
        <w:t>μεθαδόνη</w:t>
      </w:r>
      <w:proofErr w:type="spellEnd"/>
      <w:r w:rsidRPr="00A66AB5">
        <w:rPr>
          <w:sz w:val="22"/>
          <w:szCs w:val="22"/>
          <w:lang w:val="el-GR"/>
        </w:rPr>
        <w:t xml:space="preserve"> και τα </w:t>
      </w:r>
      <w:proofErr w:type="spellStart"/>
      <w:r w:rsidRPr="00A66AB5">
        <w:rPr>
          <w:sz w:val="22"/>
          <w:szCs w:val="22"/>
          <w:lang w:val="el-GR"/>
        </w:rPr>
        <w:t>τρικυκλικά</w:t>
      </w:r>
      <w:proofErr w:type="spellEnd"/>
      <w:r w:rsidRPr="00A66AB5">
        <w:rPr>
          <w:sz w:val="22"/>
          <w:szCs w:val="22"/>
          <w:lang w:val="el-GR"/>
        </w:rPr>
        <w:t xml:space="preserve"> αντικαταθλιπτικά σε ασθενείς που έχουν λάβει </w:t>
      </w:r>
      <w:proofErr w:type="spellStart"/>
      <w:r w:rsidRPr="00A66AB5">
        <w:rPr>
          <w:sz w:val="22"/>
          <w:szCs w:val="22"/>
          <w:lang w:val="el-GR"/>
        </w:rPr>
        <w:t>κουετιαπίνη</w:t>
      </w:r>
      <w:proofErr w:type="spellEnd"/>
      <w:r w:rsidRPr="00A66AB5">
        <w:rPr>
          <w:sz w:val="22"/>
          <w:szCs w:val="22"/>
          <w:lang w:val="el-GR"/>
        </w:rPr>
        <w:t xml:space="preserve">. Συνιστάται επιβεβαίωση των αμφισβητούμενων αποτελεσμάτων ελέγχου με </w:t>
      </w:r>
      <w:proofErr w:type="spellStart"/>
      <w:r w:rsidRPr="00A66AB5">
        <w:rPr>
          <w:sz w:val="22"/>
          <w:szCs w:val="22"/>
          <w:lang w:val="el-GR"/>
        </w:rPr>
        <w:t>ανοσοπροσδιορισμό</w:t>
      </w:r>
      <w:proofErr w:type="spellEnd"/>
      <w:r w:rsidRPr="00A66AB5">
        <w:rPr>
          <w:sz w:val="22"/>
          <w:szCs w:val="22"/>
          <w:lang w:val="el-GR"/>
        </w:rPr>
        <w:t xml:space="preserve"> από κατάλληλη </w:t>
      </w:r>
      <w:proofErr w:type="spellStart"/>
      <w:r w:rsidRPr="00A66AB5">
        <w:rPr>
          <w:sz w:val="22"/>
          <w:szCs w:val="22"/>
          <w:lang w:val="el-GR"/>
        </w:rPr>
        <w:t>χρωματογραφική</w:t>
      </w:r>
      <w:proofErr w:type="spellEnd"/>
      <w:r w:rsidRPr="00A66AB5">
        <w:rPr>
          <w:sz w:val="22"/>
          <w:szCs w:val="22"/>
          <w:lang w:val="el-GR"/>
        </w:rPr>
        <w:t xml:space="preserve"> τεχνική.</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b/>
          <w:sz w:val="22"/>
          <w:szCs w:val="22"/>
          <w:lang w:val="el-GR"/>
        </w:rPr>
      </w:pPr>
      <w:r w:rsidRPr="00A66AB5">
        <w:rPr>
          <w:b/>
          <w:sz w:val="22"/>
          <w:szCs w:val="22"/>
          <w:lang w:val="el-GR"/>
        </w:rPr>
        <w:t>4.6</w:t>
      </w:r>
      <w:r w:rsidRPr="00A66AB5">
        <w:rPr>
          <w:b/>
          <w:sz w:val="22"/>
          <w:szCs w:val="22"/>
          <w:lang w:val="el-GR"/>
        </w:rPr>
        <w:tab/>
        <w:t>Γ</w:t>
      </w:r>
      <w:r w:rsidR="00E205D1">
        <w:rPr>
          <w:b/>
          <w:sz w:val="22"/>
          <w:szCs w:val="22"/>
          <w:lang w:val="el-GR"/>
        </w:rPr>
        <w:t>ονιμότητα, κύηση και γαλουχία</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ασφάλεια και η αποτελεσματικότητα της </w:t>
      </w:r>
      <w:proofErr w:type="spellStart"/>
      <w:r w:rsidRPr="00A66AB5">
        <w:rPr>
          <w:sz w:val="22"/>
          <w:szCs w:val="22"/>
          <w:lang w:val="el-GR"/>
        </w:rPr>
        <w:t>κουετιαπίνης</w:t>
      </w:r>
      <w:proofErr w:type="spellEnd"/>
      <w:r w:rsidRPr="00A66AB5">
        <w:rPr>
          <w:sz w:val="22"/>
          <w:szCs w:val="22"/>
          <w:lang w:val="el-GR"/>
        </w:rPr>
        <w:t xml:space="preserve"> κατά τη διάρκεια της ανθρώπινης κύησης δεν έχουν τεκμηριωθεί ακόμη. Μέχρι τώρα, δεν υπάρχουν ενδείξεις πρόκλησης βλάβης σε εξετάσεις σε ζώα. Ωστόσο, δεν έχουν εξεταστεί πιθανές επιδράσεις στον εμβρυϊκό οφθαλμό. Επομένως, </w:t>
      </w:r>
      <w:r w:rsidR="00A0455A">
        <w:rPr>
          <w:sz w:val="22"/>
          <w:szCs w:val="22"/>
          <w:lang w:val="el-GR"/>
        </w:rPr>
        <w:t>η</w:t>
      </w:r>
      <w:r w:rsidRPr="00A66AB5">
        <w:rPr>
          <w:sz w:val="22"/>
          <w:szCs w:val="22"/>
          <w:lang w:val="el-GR"/>
        </w:rPr>
        <w:t xml:space="preserve"> </w:t>
      </w:r>
      <w:proofErr w:type="spellStart"/>
      <w:r w:rsidRPr="00A66AB5">
        <w:rPr>
          <w:sz w:val="22"/>
          <w:szCs w:val="22"/>
          <w:lang w:val="el-GR"/>
        </w:rPr>
        <w:t>κουετιαπίνη</w:t>
      </w:r>
      <w:proofErr w:type="spellEnd"/>
      <w:r w:rsidRPr="00A66AB5">
        <w:rPr>
          <w:sz w:val="22"/>
          <w:szCs w:val="22"/>
          <w:lang w:val="el-GR"/>
        </w:rPr>
        <w:t xml:space="preserve"> θα πρέπει να </w:t>
      </w:r>
      <w:r w:rsidR="00A0455A" w:rsidRPr="00A66AB5">
        <w:rPr>
          <w:sz w:val="22"/>
          <w:szCs w:val="22"/>
          <w:lang w:val="el-GR"/>
        </w:rPr>
        <w:t>χρησιμοποι</w:t>
      </w:r>
      <w:r w:rsidR="00A0455A">
        <w:rPr>
          <w:sz w:val="22"/>
          <w:szCs w:val="22"/>
          <w:lang w:val="el-GR"/>
        </w:rPr>
        <w:t>εί</w:t>
      </w:r>
      <w:r w:rsidR="00A0455A" w:rsidRPr="00A66AB5">
        <w:rPr>
          <w:sz w:val="22"/>
          <w:szCs w:val="22"/>
          <w:lang w:val="el-GR"/>
        </w:rPr>
        <w:t xml:space="preserve">ται </w:t>
      </w:r>
      <w:r w:rsidRPr="00A66AB5">
        <w:rPr>
          <w:sz w:val="22"/>
          <w:szCs w:val="22"/>
          <w:lang w:val="el-GR"/>
        </w:rPr>
        <w:t xml:space="preserve">κατά τη διάρκεια της </w:t>
      </w:r>
      <w:r w:rsidRPr="00A66AB5">
        <w:rPr>
          <w:sz w:val="22"/>
          <w:szCs w:val="22"/>
          <w:lang w:val="el-GR"/>
        </w:rPr>
        <w:lastRenderedPageBreak/>
        <w:t xml:space="preserve">κύησης μόνον εάν τα οφέλη δικαιολογούν τους πιθανούς κινδύνους. Μετά τις κυήσεις στις οποίες χρησιμοποιήθηκε </w:t>
      </w:r>
      <w:proofErr w:type="spellStart"/>
      <w:r w:rsidRPr="00A66AB5">
        <w:rPr>
          <w:sz w:val="22"/>
          <w:szCs w:val="22"/>
          <w:lang w:val="el-GR"/>
        </w:rPr>
        <w:t>κουετιαπίνη</w:t>
      </w:r>
      <w:proofErr w:type="spellEnd"/>
      <w:r w:rsidRPr="00A66AB5">
        <w:rPr>
          <w:sz w:val="22"/>
          <w:szCs w:val="22"/>
          <w:lang w:val="el-GR"/>
        </w:rPr>
        <w:t xml:space="preserve">, παρατηρήθηκαν συμπτώματα στέρησης στο νεογνό.  </w:t>
      </w:r>
    </w:p>
    <w:p w:rsidR="00380EEB" w:rsidRPr="00A66AB5" w:rsidRDefault="00380EEB">
      <w:pPr>
        <w:pStyle w:val="a3"/>
        <w:tabs>
          <w:tab w:val="clear" w:pos="4320"/>
          <w:tab w:val="clear" w:pos="8640"/>
        </w:tabs>
        <w:jc w:val="both"/>
        <w:rPr>
          <w:sz w:val="22"/>
          <w:szCs w:val="22"/>
          <w:lang w:val="el-GR"/>
        </w:rPr>
      </w:pPr>
    </w:p>
    <w:p w:rsidR="00380EEB" w:rsidRPr="00A66AB5" w:rsidRDefault="008D3F1F">
      <w:pPr>
        <w:pStyle w:val="a3"/>
        <w:tabs>
          <w:tab w:val="clear" w:pos="4320"/>
          <w:tab w:val="clear" w:pos="8640"/>
        </w:tabs>
        <w:jc w:val="both"/>
        <w:rPr>
          <w:sz w:val="22"/>
          <w:szCs w:val="22"/>
          <w:lang w:val="el-GR"/>
        </w:rPr>
      </w:pPr>
      <w:r w:rsidRPr="00A66AB5">
        <w:rPr>
          <w:sz w:val="22"/>
          <w:szCs w:val="22"/>
          <w:lang w:val="el-GR"/>
        </w:rPr>
        <w:t xml:space="preserve">Έχουν δημοσιευτεί αναφορές σχετικά με την απέκκριση της </w:t>
      </w:r>
      <w:proofErr w:type="spellStart"/>
      <w:r w:rsidRPr="00A66AB5">
        <w:rPr>
          <w:sz w:val="22"/>
          <w:szCs w:val="22"/>
          <w:lang w:val="el-GR"/>
        </w:rPr>
        <w:t>κουετιαπίνης</w:t>
      </w:r>
      <w:proofErr w:type="spellEnd"/>
      <w:r w:rsidRPr="00A66AB5">
        <w:rPr>
          <w:sz w:val="22"/>
          <w:szCs w:val="22"/>
          <w:lang w:val="el-GR"/>
        </w:rPr>
        <w:t xml:space="preserve"> στο ανθρώπινο γάλα, ωστόσο ο βαθμός απέκκρισης δεν ήταν πάντα ο ίδιος. Θα πρέπει επομένως να συνιστάται στις γυναίκες που θηλάζουν να αποφεύγουν τον θηλασμό κατά τη διάρκεια της λήψης </w:t>
      </w:r>
      <w:proofErr w:type="spellStart"/>
      <w:r w:rsidRPr="00A66AB5">
        <w:rPr>
          <w:sz w:val="22"/>
          <w:szCs w:val="22"/>
          <w:lang w:val="el-GR"/>
        </w:rPr>
        <w:t>κουετιαπίνης</w:t>
      </w:r>
      <w:proofErr w:type="spellEnd"/>
      <w:r w:rsidRPr="00A66AB5">
        <w:rPr>
          <w:sz w:val="22"/>
          <w:szCs w:val="22"/>
          <w:lang w:val="el-GR"/>
        </w:rPr>
        <w:t>.</w:t>
      </w:r>
    </w:p>
    <w:p w:rsidR="008D3F1F" w:rsidRPr="00A66AB5" w:rsidRDefault="008D3F1F">
      <w:pPr>
        <w:pStyle w:val="a3"/>
        <w:tabs>
          <w:tab w:val="clear" w:pos="4320"/>
          <w:tab w:val="clear" w:pos="8640"/>
        </w:tabs>
        <w:jc w:val="both"/>
        <w:rPr>
          <w:sz w:val="22"/>
          <w:szCs w:val="22"/>
          <w:lang w:val="el-GR"/>
        </w:rPr>
      </w:pPr>
    </w:p>
    <w:p w:rsidR="008D3F1F" w:rsidRPr="00A66AB5" w:rsidRDefault="008D3F1F" w:rsidP="008D3F1F">
      <w:pPr>
        <w:pStyle w:val="a3"/>
        <w:jc w:val="both"/>
        <w:rPr>
          <w:sz w:val="22"/>
          <w:szCs w:val="22"/>
          <w:lang w:val="el-GR"/>
        </w:rPr>
      </w:pPr>
      <w:r w:rsidRPr="00A66AB5">
        <w:rPr>
          <w:sz w:val="22"/>
          <w:szCs w:val="22"/>
          <w:lang w:val="el-GR"/>
        </w:rPr>
        <w:t xml:space="preserve">Τα νεογνά που έχουν εκτεθεί σε </w:t>
      </w:r>
      <w:proofErr w:type="spellStart"/>
      <w:r w:rsidRPr="00A66AB5">
        <w:rPr>
          <w:sz w:val="22"/>
          <w:szCs w:val="22"/>
          <w:lang w:val="el-GR"/>
        </w:rPr>
        <w:t>αντιψυχωσικά</w:t>
      </w:r>
      <w:proofErr w:type="spellEnd"/>
      <w:r w:rsidRPr="00A66AB5">
        <w:rPr>
          <w:sz w:val="22"/>
          <w:szCs w:val="22"/>
          <w:lang w:val="el-GR"/>
        </w:rPr>
        <w:t xml:space="preserve"> (συμπεριλαμβανομένης και της </w:t>
      </w:r>
      <w:proofErr w:type="spellStart"/>
      <w:r w:rsidRPr="00A66AB5">
        <w:rPr>
          <w:sz w:val="22"/>
          <w:szCs w:val="22"/>
          <w:lang w:val="el-GR"/>
        </w:rPr>
        <w:t>κουετιαπίνης</w:t>
      </w:r>
      <w:proofErr w:type="spellEnd"/>
      <w:r w:rsidRPr="00A66AB5">
        <w:rPr>
          <w:sz w:val="22"/>
          <w:szCs w:val="22"/>
          <w:lang w:val="el-GR"/>
        </w:rPr>
        <w:t xml:space="preserve">) κατά τη διάρκεια του τρίτου τριμήνου της κύησης διατρέχουν τον κίνδυνο να εμφανίσουν ανεπιθύμητες αντιδράσεις, μεταξύ των οποίων </w:t>
      </w:r>
      <w:proofErr w:type="spellStart"/>
      <w:r w:rsidRPr="00A66AB5">
        <w:rPr>
          <w:sz w:val="22"/>
          <w:szCs w:val="22"/>
          <w:lang w:val="el-GR"/>
        </w:rPr>
        <w:t>εξωπυραμιδικά</w:t>
      </w:r>
      <w:proofErr w:type="spellEnd"/>
      <w:r w:rsidRPr="00A66AB5">
        <w:rPr>
          <w:sz w:val="22"/>
          <w:szCs w:val="22"/>
          <w:lang w:val="el-GR"/>
        </w:rPr>
        <w:t xml:space="preserve"> συμπτώματα ή/και συμπτώματα στέρησης, τα οποία ενδέχεται να ποικίλλουν σε βαρύτητα και διάρκεια μετά από τη χορήγηση. Έχουν υπάρξει αναφορές υπερδιέγερσης, υπερτονίας, υποτονίας, τρόμου, υπνηλίας, αναπνευστικής δυσχέρειας ή διαταραχής της σίτισης. Συνεπώς, τα νεογνά θα πρέπει να παρακολουθούνται με ιδιαίτερη προσοχή.</w:t>
      </w:r>
    </w:p>
    <w:p w:rsidR="008D3F1F" w:rsidRPr="00A66AB5" w:rsidRDefault="008D3F1F">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numPr>
          <w:ilvl w:val="1"/>
          <w:numId w:val="4"/>
        </w:numPr>
        <w:tabs>
          <w:tab w:val="clear" w:pos="4320"/>
          <w:tab w:val="clear" w:pos="8640"/>
        </w:tabs>
        <w:jc w:val="both"/>
        <w:rPr>
          <w:b/>
          <w:sz w:val="22"/>
          <w:szCs w:val="22"/>
          <w:lang w:val="el-GR"/>
        </w:rPr>
      </w:pPr>
      <w:r w:rsidRPr="00A66AB5">
        <w:rPr>
          <w:b/>
          <w:sz w:val="22"/>
          <w:szCs w:val="22"/>
          <w:lang w:val="el-GR"/>
        </w:rPr>
        <w:t xml:space="preserve"> </w:t>
      </w:r>
      <w:r w:rsidRPr="00A66AB5">
        <w:rPr>
          <w:b/>
          <w:sz w:val="22"/>
          <w:szCs w:val="22"/>
          <w:lang w:val="el-GR"/>
        </w:rPr>
        <w:tab/>
        <w:t>Ε</w:t>
      </w:r>
      <w:r w:rsidR="00E205D1">
        <w:rPr>
          <w:b/>
          <w:sz w:val="22"/>
          <w:szCs w:val="22"/>
          <w:lang w:val="el-GR"/>
        </w:rPr>
        <w:t>πιδράσεις στην ικανότητα οδήγησης και χειρισμού μηχανών</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Δεδομένων των κύριων επιδράσεων στο κεντρικό νευρικό σύστημα, η </w:t>
      </w:r>
      <w:proofErr w:type="spellStart"/>
      <w:r w:rsidRPr="00A66AB5">
        <w:rPr>
          <w:sz w:val="22"/>
          <w:szCs w:val="22"/>
          <w:lang w:val="el-GR"/>
        </w:rPr>
        <w:t>κουετιαπίνη</w:t>
      </w:r>
      <w:proofErr w:type="spellEnd"/>
      <w:r w:rsidRPr="00A66AB5">
        <w:rPr>
          <w:sz w:val="22"/>
          <w:szCs w:val="22"/>
          <w:lang w:val="el-GR"/>
        </w:rPr>
        <w:t xml:space="preserve"> ενδέχεται να παρεμβαίνει με τις δραστηριότητες που απαιτούν νοητική εγρήγορση. Επομένως, θα πρέπει να συνιστάται στους ασθενείς να μην οδηγούν και να μην χειρίζονται μηχανήματα, μέχρι να γίνει γνωστή η ευαισθησία του εκάστοτε ασθενή σε αυτή την επίδραση.</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b/>
          <w:sz w:val="22"/>
          <w:szCs w:val="22"/>
          <w:lang w:val="el-GR"/>
        </w:rPr>
      </w:pPr>
      <w:r w:rsidRPr="00A66AB5">
        <w:rPr>
          <w:b/>
          <w:sz w:val="22"/>
          <w:szCs w:val="22"/>
          <w:lang w:val="el-GR"/>
        </w:rPr>
        <w:t>4.8</w:t>
      </w:r>
      <w:r w:rsidRPr="00A66AB5">
        <w:rPr>
          <w:b/>
          <w:sz w:val="22"/>
          <w:szCs w:val="22"/>
          <w:lang w:val="el-GR"/>
        </w:rPr>
        <w:tab/>
        <w:t>Α</w:t>
      </w:r>
      <w:r w:rsidR="00E205D1">
        <w:rPr>
          <w:b/>
          <w:sz w:val="22"/>
          <w:szCs w:val="22"/>
          <w:lang w:val="el-GR"/>
        </w:rPr>
        <w:t>νεπιθύμητες ενέργειες</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Οι πιο συχνά αναφερόμενες ανεπιθύμητες αντιδράσεις στο φάρμακο (ΑΑΦ) με την </w:t>
      </w:r>
      <w:proofErr w:type="spellStart"/>
      <w:r w:rsidRPr="00A66AB5">
        <w:rPr>
          <w:sz w:val="22"/>
          <w:szCs w:val="22"/>
          <w:lang w:val="el-GR"/>
        </w:rPr>
        <w:t>κουετιαπίνη</w:t>
      </w:r>
      <w:proofErr w:type="spellEnd"/>
      <w:r w:rsidRPr="00A66AB5">
        <w:rPr>
          <w:sz w:val="22"/>
          <w:szCs w:val="22"/>
          <w:lang w:val="el-GR"/>
        </w:rPr>
        <w:t xml:space="preserve"> είναι η υπνηλία, η ζάλη, η ξηροστομία, η ήπια κακουχία, η δυσκοιλιότητα, η ταχυκαρδία, η </w:t>
      </w:r>
      <w:proofErr w:type="spellStart"/>
      <w:r w:rsidRPr="00A66AB5">
        <w:rPr>
          <w:sz w:val="22"/>
          <w:szCs w:val="22"/>
          <w:lang w:val="el-GR"/>
        </w:rPr>
        <w:t>ορθοστατική</w:t>
      </w:r>
      <w:proofErr w:type="spellEnd"/>
      <w:r w:rsidRPr="00A66AB5">
        <w:rPr>
          <w:sz w:val="22"/>
          <w:szCs w:val="22"/>
          <w:lang w:val="el-GR"/>
        </w:rPr>
        <w:t xml:space="preserve"> υπόταση και η δυσπεψία. </w:t>
      </w:r>
    </w:p>
    <w:p w:rsidR="00380EEB" w:rsidRPr="00A66AB5" w:rsidRDefault="00380EEB">
      <w:pPr>
        <w:pStyle w:val="a3"/>
        <w:tabs>
          <w:tab w:val="clear" w:pos="4320"/>
          <w:tab w:val="clear" w:pos="8640"/>
        </w:tabs>
        <w:jc w:val="both"/>
        <w:rPr>
          <w:sz w:val="22"/>
          <w:szCs w:val="22"/>
          <w:lang w:val="el-GR"/>
        </w:rPr>
      </w:pPr>
    </w:p>
    <w:p w:rsidR="00380EEB" w:rsidRPr="00A66AB5" w:rsidRDefault="008D3F1F">
      <w:pPr>
        <w:pStyle w:val="a3"/>
        <w:tabs>
          <w:tab w:val="clear" w:pos="4320"/>
          <w:tab w:val="clear" w:pos="8640"/>
        </w:tabs>
        <w:jc w:val="both"/>
        <w:rPr>
          <w:sz w:val="22"/>
          <w:szCs w:val="22"/>
          <w:lang w:val="el-GR"/>
        </w:rPr>
      </w:pPr>
      <w:r w:rsidRPr="00A66AB5">
        <w:rPr>
          <w:sz w:val="22"/>
          <w:szCs w:val="22"/>
          <w:lang w:val="el-GR"/>
        </w:rPr>
        <w:t xml:space="preserve">Όπως και με άλλα </w:t>
      </w:r>
      <w:proofErr w:type="spellStart"/>
      <w:r w:rsidRPr="00A66AB5">
        <w:rPr>
          <w:sz w:val="22"/>
          <w:szCs w:val="22"/>
          <w:lang w:val="el-GR"/>
        </w:rPr>
        <w:t>αντιψυχωσικά</w:t>
      </w:r>
      <w:proofErr w:type="spellEnd"/>
      <w:r w:rsidRPr="00A66AB5">
        <w:rPr>
          <w:sz w:val="22"/>
          <w:szCs w:val="22"/>
          <w:lang w:val="el-GR"/>
        </w:rPr>
        <w:t xml:space="preserve">, έχουν συσχετιστεί με την </w:t>
      </w:r>
      <w:proofErr w:type="spellStart"/>
      <w:r w:rsidRPr="00A66AB5">
        <w:rPr>
          <w:sz w:val="22"/>
          <w:szCs w:val="22"/>
          <w:lang w:val="el-GR"/>
        </w:rPr>
        <w:t>κουετιαπίνη</w:t>
      </w:r>
      <w:proofErr w:type="spellEnd"/>
      <w:r w:rsidRPr="00A66AB5">
        <w:rPr>
          <w:sz w:val="22"/>
          <w:szCs w:val="22"/>
          <w:lang w:val="el-GR"/>
        </w:rPr>
        <w:t xml:space="preserve"> αύξηση του σωματικού βάρους, συγκοπή, κακόηθες νευροληπτικό σύνδρομο, </w:t>
      </w:r>
      <w:proofErr w:type="spellStart"/>
      <w:r w:rsidRPr="00A66AB5">
        <w:rPr>
          <w:sz w:val="22"/>
          <w:szCs w:val="22"/>
          <w:lang w:val="el-GR"/>
        </w:rPr>
        <w:t>λευκοπενία</w:t>
      </w:r>
      <w:proofErr w:type="spellEnd"/>
      <w:r w:rsidRPr="00A66AB5">
        <w:rPr>
          <w:sz w:val="22"/>
          <w:szCs w:val="22"/>
          <w:lang w:val="el-GR"/>
        </w:rPr>
        <w:t xml:space="preserve">, </w:t>
      </w:r>
      <w:proofErr w:type="spellStart"/>
      <w:r w:rsidRPr="00A66AB5">
        <w:rPr>
          <w:sz w:val="22"/>
          <w:szCs w:val="22"/>
          <w:lang w:val="el-GR"/>
        </w:rPr>
        <w:t>ουδετεροπενία</w:t>
      </w:r>
      <w:proofErr w:type="spellEnd"/>
      <w:r w:rsidRPr="00A66AB5">
        <w:rPr>
          <w:sz w:val="22"/>
          <w:szCs w:val="22"/>
          <w:lang w:val="el-GR"/>
        </w:rPr>
        <w:t xml:space="preserve"> και περιφερικό οίδημα.</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Οι επιπτώσεις των ΑΑΦ που συσχετίζονται με τη θεραπεία με </w:t>
      </w:r>
      <w:proofErr w:type="spellStart"/>
      <w:r w:rsidRPr="00A66AB5">
        <w:rPr>
          <w:sz w:val="22"/>
          <w:szCs w:val="22"/>
          <w:lang w:val="el-GR"/>
        </w:rPr>
        <w:t>κουετιαπίνη</w:t>
      </w:r>
      <w:proofErr w:type="spellEnd"/>
      <w:r w:rsidRPr="00A66AB5">
        <w:rPr>
          <w:sz w:val="22"/>
          <w:szCs w:val="22"/>
          <w:lang w:val="el-GR"/>
        </w:rPr>
        <w:t xml:space="preserve">, αποδίδονται σε μορφή πίνακα παρακάτω, σύμφωνα με τη μορφή που συνιστάται από το Συμβούλιο για τους Διεθνείς Οργανισμούς Ιατρικών Επιστημών (ομάδα εργασίας </w:t>
      </w:r>
      <w:r w:rsidRPr="00A66AB5">
        <w:rPr>
          <w:sz w:val="22"/>
          <w:szCs w:val="22"/>
        </w:rPr>
        <w:t>CIOMS</w:t>
      </w:r>
      <w:r w:rsidRPr="00A66AB5">
        <w:rPr>
          <w:sz w:val="22"/>
          <w:szCs w:val="22"/>
          <w:lang w:val="el-GR"/>
        </w:rPr>
        <w:t xml:space="preserve"> </w:t>
      </w:r>
      <w:r w:rsidRPr="00A66AB5">
        <w:rPr>
          <w:sz w:val="22"/>
          <w:szCs w:val="22"/>
        </w:rPr>
        <w:t>III</w:t>
      </w:r>
      <w:r w:rsidRPr="00A66AB5">
        <w:rPr>
          <w:sz w:val="22"/>
          <w:szCs w:val="22"/>
          <w:lang w:val="el-GR"/>
        </w:rPr>
        <w:t xml:space="preserve"> 1995).</w:t>
      </w:r>
    </w:p>
    <w:p w:rsidR="00380EEB" w:rsidRPr="00A66AB5" w:rsidRDefault="00380EEB">
      <w:pPr>
        <w:pStyle w:val="a3"/>
        <w:tabs>
          <w:tab w:val="clear" w:pos="4320"/>
          <w:tab w:val="clear" w:pos="8640"/>
        </w:tabs>
        <w:jc w:val="both"/>
        <w:rPr>
          <w:sz w:val="22"/>
          <w:szCs w:val="22"/>
          <w:lang w:val="el-GR"/>
        </w:rPr>
      </w:pPr>
    </w:p>
    <w:tbl>
      <w:tblPr>
        <w:tblW w:w="8472" w:type="dxa"/>
        <w:tblInd w:w="-79" w:type="dxa"/>
        <w:tblLayout w:type="fixed"/>
        <w:tblLook w:val="0000" w:firstRow="0" w:lastRow="0" w:firstColumn="0" w:lastColumn="0" w:noHBand="0" w:noVBand="0"/>
      </w:tblPr>
      <w:tblGrid>
        <w:gridCol w:w="1809"/>
        <w:gridCol w:w="61"/>
        <w:gridCol w:w="3483"/>
        <w:gridCol w:w="295"/>
        <w:gridCol w:w="13"/>
        <w:gridCol w:w="2811"/>
      </w:tblGrid>
      <w:tr w:rsidR="00380EEB" w:rsidRPr="002F0C2B">
        <w:trPr>
          <w:cantSplit/>
          <w:tblHeader/>
        </w:trPr>
        <w:tc>
          <w:tcPr>
            <w:tcW w:w="8472" w:type="dxa"/>
            <w:gridSpan w:val="6"/>
            <w:tcBorders>
              <w:top w:val="single" w:sz="4" w:space="0" w:color="auto"/>
              <w:bottom w:val="single" w:sz="4" w:space="0" w:color="auto"/>
            </w:tcBorders>
          </w:tcPr>
          <w:p w:rsidR="00380EEB" w:rsidRPr="00277E70" w:rsidRDefault="00380EEB" w:rsidP="00A0455A">
            <w:pPr>
              <w:pStyle w:val="A-TableHeader"/>
              <w:keepNext w:val="0"/>
              <w:rPr>
                <w:bCs w:val="0"/>
                <w:lang w:val="el-GR"/>
              </w:rPr>
            </w:pPr>
            <w:r w:rsidRPr="00277E70">
              <w:rPr>
                <w:bCs w:val="0"/>
                <w:lang w:val="el-GR"/>
              </w:rPr>
              <w:t>Οι συχνότητες των ανεπιθύμητων συμβάντων ταξινομούνται σύμφωνα με τα εξής: Πολύ συχνές (</w:t>
            </w:r>
            <w:r w:rsidR="008D3F1F" w:rsidRPr="00A66AB5">
              <w:rPr>
                <w:bCs w:val="0"/>
                <w:lang w:val="el-GR"/>
              </w:rPr>
              <w:t>≥</w:t>
            </w:r>
            <w:r w:rsidRPr="00277E70">
              <w:rPr>
                <w:bCs w:val="0"/>
                <w:lang w:val="el-GR"/>
              </w:rPr>
              <w:t>1/10), συχνές (</w:t>
            </w:r>
            <w:r w:rsidR="008D3F1F" w:rsidRPr="00A66AB5">
              <w:rPr>
                <w:bCs w:val="0"/>
                <w:lang w:val="el-GR"/>
              </w:rPr>
              <w:t>≥</w:t>
            </w:r>
            <w:r w:rsidRPr="00277E70">
              <w:rPr>
                <w:bCs w:val="0"/>
                <w:lang w:val="el-GR"/>
              </w:rPr>
              <w:t>1/100</w:t>
            </w:r>
            <w:r w:rsidR="00A0455A">
              <w:rPr>
                <w:bCs w:val="0"/>
                <w:lang w:val="el-GR"/>
              </w:rPr>
              <w:t xml:space="preserve"> έως</w:t>
            </w:r>
            <w:r w:rsidRPr="00277E70">
              <w:rPr>
                <w:bCs w:val="0"/>
                <w:lang w:val="el-GR"/>
              </w:rPr>
              <w:t xml:space="preserve"> &lt;1/10), όχι συχνές (</w:t>
            </w:r>
            <w:r w:rsidR="008D3F1F" w:rsidRPr="00A66AB5">
              <w:rPr>
                <w:bCs w:val="0"/>
                <w:lang w:val="el-GR"/>
              </w:rPr>
              <w:t>≥</w:t>
            </w:r>
            <w:r w:rsidRPr="00277E70">
              <w:rPr>
                <w:bCs w:val="0"/>
                <w:lang w:val="el-GR"/>
              </w:rPr>
              <w:t>1/1</w:t>
            </w:r>
            <w:r w:rsidR="00A0455A">
              <w:rPr>
                <w:bCs w:val="0"/>
                <w:lang w:val="el-GR"/>
              </w:rPr>
              <w:t>.</w:t>
            </w:r>
            <w:r w:rsidRPr="00277E70">
              <w:rPr>
                <w:bCs w:val="0"/>
                <w:lang w:val="el-GR"/>
              </w:rPr>
              <w:t>000</w:t>
            </w:r>
            <w:r w:rsidR="00A0455A">
              <w:rPr>
                <w:bCs w:val="0"/>
                <w:lang w:val="el-GR"/>
              </w:rPr>
              <w:t xml:space="preserve"> έως</w:t>
            </w:r>
            <w:r w:rsidR="00A0455A" w:rsidRPr="00277E70">
              <w:rPr>
                <w:bCs w:val="0"/>
                <w:lang w:val="el-GR"/>
              </w:rPr>
              <w:t xml:space="preserve"> </w:t>
            </w:r>
            <w:r w:rsidRPr="00277E70">
              <w:rPr>
                <w:bCs w:val="0"/>
                <w:lang w:val="el-GR"/>
              </w:rPr>
              <w:t>&lt;1/100), σπάνιες (</w:t>
            </w:r>
            <w:r w:rsidR="008D3F1F" w:rsidRPr="00A66AB5">
              <w:rPr>
                <w:bCs w:val="0"/>
                <w:lang w:val="el-GR"/>
              </w:rPr>
              <w:t>≥</w:t>
            </w:r>
            <w:r w:rsidRPr="00277E70">
              <w:rPr>
                <w:bCs w:val="0"/>
                <w:lang w:val="el-GR"/>
              </w:rPr>
              <w:t>1/10.000</w:t>
            </w:r>
            <w:r w:rsidR="00A0455A">
              <w:rPr>
                <w:bCs w:val="0"/>
                <w:lang w:val="el-GR"/>
              </w:rPr>
              <w:t xml:space="preserve"> έως</w:t>
            </w:r>
            <w:r w:rsidR="00A0455A" w:rsidRPr="00277E70">
              <w:rPr>
                <w:bCs w:val="0"/>
                <w:lang w:val="el-GR"/>
              </w:rPr>
              <w:t xml:space="preserve"> </w:t>
            </w:r>
            <w:r w:rsidRPr="00277E70">
              <w:rPr>
                <w:bCs w:val="0"/>
                <w:lang w:val="el-GR"/>
              </w:rPr>
              <w:t>&lt;1/1.000) και πολύ σπάνιες (&lt;</w:t>
            </w:r>
            <w:r w:rsidRPr="00277E70">
              <w:rPr>
                <w:bCs w:val="0"/>
                <w:lang w:val="en-US"/>
              </w:rPr>
              <w:t> </w:t>
            </w:r>
            <w:r w:rsidRPr="00277E70">
              <w:rPr>
                <w:bCs w:val="0"/>
                <w:lang w:val="el-GR"/>
              </w:rPr>
              <w:t>1/10.000).</w:t>
            </w:r>
          </w:p>
        </w:tc>
      </w:tr>
      <w:tr w:rsidR="00380EEB" w:rsidRPr="002F0C2B">
        <w:trPr>
          <w:cantSplit/>
          <w:tblHeader/>
        </w:trPr>
        <w:tc>
          <w:tcPr>
            <w:tcW w:w="8472" w:type="dxa"/>
            <w:gridSpan w:val="6"/>
          </w:tcPr>
          <w:p w:rsidR="00A0455A" w:rsidRDefault="00A0455A">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Διαταραχές του αιμοποιητικού και του λεμφικού συστήματος</w:t>
            </w:r>
          </w:p>
        </w:tc>
      </w:tr>
      <w:tr w:rsidR="00380EEB" w:rsidRPr="002F0C2B">
        <w:trPr>
          <w:cantSplit/>
          <w:tblHeader/>
        </w:trPr>
        <w:tc>
          <w:tcPr>
            <w:tcW w:w="1809" w:type="dxa"/>
          </w:tcPr>
          <w:p w:rsidR="008D3F1F" w:rsidRPr="00791987" w:rsidRDefault="008D3F1F">
            <w:pPr>
              <w:pStyle w:val="A-TableHeader"/>
              <w:keepNext w:val="0"/>
              <w:rPr>
                <w:b w:val="0"/>
                <w:bCs w:val="0"/>
                <w:i/>
                <w:lang w:val="el-GR"/>
              </w:rPr>
            </w:pPr>
            <w:r w:rsidRPr="00791987">
              <w:rPr>
                <w:b w:val="0"/>
                <w:bCs w:val="0"/>
                <w:i/>
                <w:lang w:val="el-GR"/>
              </w:rPr>
              <w:t>Πολύ συχνές:</w:t>
            </w:r>
          </w:p>
          <w:p w:rsidR="00380EEB" w:rsidRPr="00A66AB5" w:rsidRDefault="00380EEB">
            <w:pPr>
              <w:pStyle w:val="A-TableHeader"/>
              <w:keepNext w:val="0"/>
              <w:rPr>
                <w:bCs w:val="0"/>
              </w:rPr>
            </w:pPr>
            <w:r w:rsidRPr="00A66AB5">
              <w:rPr>
                <w:bCs w:val="0"/>
                <w:i/>
                <w:lang w:val="el-GR"/>
              </w:rPr>
              <w:t>Συχνές:</w:t>
            </w:r>
          </w:p>
        </w:tc>
        <w:tc>
          <w:tcPr>
            <w:tcW w:w="6663" w:type="dxa"/>
            <w:gridSpan w:val="5"/>
          </w:tcPr>
          <w:p w:rsidR="008D3F1F" w:rsidRPr="00791987" w:rsidRDefault="008D3F1F">
            <w:pPr>
              <w:pStyle w:val="A-TableHeader"/>
              <w:keepNext w:val="0"/>
              <w:rPr>
                <w:bCs w:val="0"/>
                <w:lang w:val="el-GR"/>
              </w:rPr>
            </w:pPr>
            <w:r w:rsidRPr="00791987">
              <w:rPr>
                <w:bCs w:val="0"/>
                <w:lang w:val="el-GR"/>
              </w:rPr>
              <w:t>Μείωση της αιμοσφαιρίνης</w:t>
            </w:r>
            <w:r w:rsidRPr="00791987">
              <w:rPr>
                <w:bCs w:val="0"/>
                <w:vertAlign w:val="superscript"/>
                <w:lang w:val="el-GR"/>
              </w:rPr>
              <w:t>23</w:t>
            </w:r>
          </w:p>
          <w:p w:rsidR="00380EEB" w:rsidRPr="00BC6736" w:rsidRDefault="00380EEB" w:rsidP="008D3F1F">
            <w:pPr>
              <w:pStyle w:val="A-TableHeader"/>
              <w:keepNext w:val="0"/>
              <w:rPr>
                <w:bCs w:val="0"/>
                <w:lang w:val="el-GR"/>
              </w:rPr>
            </w:pPr>
            <w:r w:rsidRPr="00A66AB5">
              <w:rPr>
                <w:b w:val="0"/>
                <w:bCs w:val="0"/>
                <w:lang w:val="el-GR"/>
              </w:rPr>
              <w:t>Λευκοπενία</w:t>
            </w:r>
            <w:r w:rsidR="008D3F1F" w:rsidRPr="00BC6736">
              <w:rPr>
                <w:b w:val="0"/>
                <w:bCs w:val="0"/>
                <w:vertAlign w:val="superscript"/>
                <w:lang w:val="el-GR"/>
              </w:rPr>
              <w:t>1,</w:t>
            </w:r>
            <w:r w:rsidR="008D3F1F" w:rsidRPr="00A66AB5">
              <w:rPr>
                <w:b w:val="0"/>
                <w:bCs w:val="0"/>
                <w:vertAlign w:val="superscript"/>
                <w:lang w:val="el-GR"/>
              </w:rPr>
              <w:t xml:space="preserve"> </w:t>
            </w:r>
            <w:r w:rsidR="008D3F1F" w:rsidRPr="00BC6736">
              <w:rPr>
                <w:b w:val="0"/>
                <w:bCs w:val="0"/>
                <w:vertAlign w:val="superscript"/>
                <w:lang w:val="el-GR"/>
              </w:rPr>
              <w:t>29</w:t>
            </w:r>
            <w:r w:rsidR="008D3F1F" w:rsidRPr="00A66AB5">
              <w:rPr>
                <w:b w:val="0"/>
                <w:bCs w:val="0"/>
                <w:lang w:val="el-GR"/>
              </w:rPr>
              <w:t xml:space="preserve">, </w:t>
            </w:r>
            <w:r w:rsidR="008D3F1F" w:rsidRPr="00277E70">
              <w:rPr>
                <w:b w:val="0"/>
                <w:bCs w:val="0"/>
                <w:lang w:val="el-GR"/>
              </w:rPr>
              <w:t>μείωση του αριθμού ουδετερόφιλων, αυξημένος αριθμός ηωσινόφιλων</w:t>
            </w:r>
            <w:r w:rsidR="008D3F1F" w:rsidRPr="00277E70">
              <w:rPr>
                <w:b w:val="0"/>
                <w:bCs w:val="0"/>
                <w:vertAlign w:val="superscript"/>
                <w:lang w:val="el-GR"/>
              </w:rPr>
              <w:t>28</w:t>
            </w:r>
          </w:p>
        </w:tc>
      </w:tr>
      <w:tr w:rsidR="00380EEB" w:rsidRPr="002F0C2B">
        <w:trPr>
          <w:cantSplit/>
          <w:tblHeader/>
        </w:trPr>
        <w:tc>
          <w:tcPr>
            <w:tcW w:w="1809" w:type="dxa"/>
          </w:tcPr>
          <w:p w:rsidR="00380EEB" w:rsidRPr="00A66AB5" w:rsidRDefault="00380EEB">
            <w:pPr>
              <w:pStyle w:val="A-TableHeader"/>
              <w:keepNext w:val="0"/>
              <w:rPr>
                <w:bCs w:val="0"/>
              </w:rPr>
            </w:pPr>
            <w:r w:rsidRPr="00A66AB5">
              <w:rPr>
                <w:bCs w:val="0"/>
                <w:i/>
                <w:lang w:val="el-GR"/>
              </w:rPr>
              <w:t>Όχι συχνές:</w:t>
            </w:r>
          </w:p>
        </w:tc>
        <w:tc>
          <w:tcPr>
            <w:tcW w:w="6663" w:type="dxa"/>
            <w:gridSpan w:val="5"/>
          </w:tcPr>
          <w:p w:rsidR="00380EEB" w:rsidRPr="00BC6736" w:rsidRDefault="007B723A" w:rsidP="007B723A">
            <w:pPr>
              <w:pStyle w:val="A-TableHeader"/>
              <w:keepNext w:val="0"/>
              <w:rPr>
                <w:bCs w:val="0"/>
                <w:lang w:val="el-GR"/>
              </w:rPr>
            </w:pPr>
            <w:proofErr w:type="spellStart"/>
            <w:r w:rsidRPr="00A66AB5">
              <w:rPr>
                <w:b w:val="0"/>
                <w:bCs w:val="0"/>
                <w:lang w:val="el-GR"/>
              </w:rPr>
              <w:t>Θ</w:t>
            </w:r>
            <w:r w:rsidR="00380EEB" w:rsidRPr="00A66AB5">
              <w:rPr>
                <w:b w:val="0"/>
                <w:bCs w:val="0"/>
                <w:lang w:val="el-GR"/>
              </w:rPr>
              <w:t>ρομβοκυτταροπενία</w:t>
            </w:r>
            <w:proofErr w:type="spellEnd"/>
            <w:r w:rsidRPr="00A66AB5">
              <w:rPr>
                <w:b w:val="0"/>
                <w:bCs w:val="0"/>
                <w:lang w:val="el-GR"/>
              </w:rPr>
              <w:t>, αναιμία, μειωμένος αριθμός αιμοπεταλίων</w:t>
            </w:r>
            <w:r w:rsidRPr="00A66AB5">
              <w:rPr>
                <w:b w:val="0"/>
                <w:bCs w:val="0"/>
                <w:vertAlign w:val="superscript"/>
                <w:lang w:val="el-GR"/>
              </w:rPr>
              <w:t>14</w:t>
            </w:r>
          </w:p>
        </w:tc>
      </w:tr>
      <w:tr w:rsidR="00380EEB" w:rsidRPr="00A66AB5">
        <w:trPr>
          <w:cantSplit/>
          <w:tblHeader/>
        </w:trPr>
        <w:tc>
          <w:tcPr>
            <w:tcW w:w="1809" w:type="dxa"/>
          </w:tcPr>
          <w:p w:rsidR="007B723A" w:rsidRPr="00A66AB5" w:rsidRDefault="007B723A">
            <w:pPr>
              <w:pStyle w:val="A-TableHeader"/>
              <w:keepNext w:val="0"/>
              <w:rPr>
                <w:bCs w:val="0"/>
                <w:i/>
                <w:lang w:val="el-GR"/>
              </w:rPr>
            </w:pPr>
            <w:r w:rsidRPr="00A66AB5">
              <w:rPr>
                <w:bCs w:val="0"/>
                <w:i/>
                <w:lang w:val="el-GR"/>
              </w:rPr>
              <w:t>Σπάνιες:</w:t>
            </w:r>
          </w:p>
          <w:p w:rsidR="00380EEB" w:rsidRPr="00A66AB5" w:rsidRDefault="00E3201C">
            <w:pPr>
              <w:pStyle w:val="A-TableHeader"/>
              <w:keepNext w:val="0"/>
              <w:rPr>
                <w:bCs w:val="0"/>
              </w:rPr>
            </w:pPr>
            <w:r w:rsidRPr="00A66AB5">
              <w:rPr>
                <w:bCs w:val="0"/>
                <w:i/>
                <w:lang w:val="el-GR"/>
              </w:rPr>
              <w:t xml:space="preserve">Μη </w:t>
            </w:r>
            <w:r w:rsidR="00380EEB" w:rsidRPr="00A66AB5">
              <w:rPr>
                <w:bCs w:val="0"/>
                <w:i/>
                <w:lang w:val="el-GR"/>
              </w:rPr>
              <w:t>γνωστ</w:t>
            </w:r>
            <w:r w:rsidRPr="00A66AB5">
              <w:rPr>
                <w:bCs w:val="0"/>
                <w:i/>
                <w:lang w:val="el-GR"/>
              </w:rPr>
              <w:t>έ</w:t>
            </w:r>
            <w:r w:rsidR="00380EEB" w:rsidRPr="00A66AB5">
              <w:rPr>
                <w:bCs w:val="0"/>
                <w:i/>
                <w:lang w:val="el-GR"/>
              </w:rPr>
              <w:t>ς:</w:t>
            </w:r>
          </w:p>
        </w:tc>
        <w:tc>
          <w:tcPr>
            <w:tcW w:w="6663" w:type="dxa"/>
            <w:gridSpan w:val="5"/>
          </w:tcPr>
          <w:p w:rsidR="007B723A" w:rsidRPr="00791987" w:rsidRDefault="007B723A">
            <w:pPr>
              <w:pStyle w:val="A-TableHeader"/>
              <w:keepNext w:val="0"/>
              <w:rPr>
                <w:bCs w:val="0"/>
                <w:lang w:val="el-GR"/>
              </w:rPr>
            </w:pPr>
            <w:r w:rsidRPr="00791987">
              <w:rPr>
                <w:bCs w:val="0"/>
                <w:lang w:val="el-GR"/>
              </w:rPr>
              <w:t>Ακοκκιοκυτταραιμία</w:t>
            </w:r>
            <w:r w:rsidRPr="00791987">
              <w:rPr>
                <w:bCs w:val="0"/>
                <w:vertAlign w:val="superscript"/>
                <w:lang w:val="el-GR"/>
              </w:rPr>
              <w:t>27</w:t>
            </w:r>
          </w:p>
          <w:p w:rsidR="00380EEB" w:rsidRPr="00A66AB5" w:rsidRDefault="00380EEB">
            <w:pPr>
              <w:pStyle w:val="A-TableHeader"/>
              <w:keepNext w:val="0"/>
              <w:rPr>
                <w:bCs w:val="0"/>
              </w:rPr>
            </w:pPr>
            <w:r w:rsidRPr="00A66AB5">
              <w:rPr>
                <w:b w:val="0"/>
                <w:bCs w:val="0"/>
                <w:lang w:val="el-GR"/>
              </w:rPr>
              <w:t>Ουδετεροπενία</w:t>
            </w:r>
            <w:r w:rsidRPr="00A66AB5">
              <w:rPr>
                <w:b w:val="0"/>
                <w:bCs w:val="0"/>
                <w:vertAlign w:val="superscript"/>
                <w:lang w:val="el-GR"/>
              </w:rPr>
              <w:t>1</w:t>
            </w:r>
          </w:p>
        </w:tc>
      </w:tr>
      <w:tr w:rsidR="00380EEB" w:rsidRPr="00A66AB5">
        <w:trPr>
          <w:cantSplit/>
          <w:tblHeader/>
        </w:trPr>
        <w:tc>
          <w:tcPr>
            <w:tcW w:w="8472" w:type="dxa"/>
            <w:gridSpan w:val="6"/>
            <w:tcBorders>
              <w:top w:val="single" w:sz="4" w:space="0" w:color="auto"/>
            </w:tcBorders>
          </w:tcPr>
          <w:p w:rsidR="00A0455A" w:rsidRDefault="00A0455A">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Διαταραχές του ανοσοποιητικού συστήματος</w:t>
            </w:r>
          </w:p>
        </w:tc>
      </w:tr>
      <w:tr w:rsidR="00380EEB" w:rsidRPr="002F0C2B">
        <w:trPr>
          <w:cantSplit/>
          <w:tblHeader/>
        </w:trPr>
        <w:tc>
          <w:tcPr>
            <w:tcW w:w="1809" w:type="dxa"/>
          </w:tcPr>
          <w:p w:rsidR="00380EEB" w:rsidRPr="00A66AB5" w:rsidRDefault="00380EEB">
            <w:pPr>
              <w:pStyle w:val="A-TableHeader"/>
              <w:keepNext w:val="0"/>
              <w:rPr>
                <w:bCs w:val="0"/>
              </w:rPr>
            </w:pPr>
            <w:r w:rsidRPr="00A66AB5">
              <w:rPr>
                <w:bCs w:val="0"/>
                <w:i/>
                <w:lang w:val="el-GR"/>
              </w:rPr>
              <w:lastRenderedPageBreak/>
              <w:t>Όχι συχνές:</w:t>
            </w:r>
          </w:p>
        </w:tc>
        <w:tc>
          <w:tcPr>
            <w:tcW w:w="6663" w:type="dxa"/>
            <w:gridSpan w:val="5"/>
          </w:tcPr>
          <w:p w:rsidR="00380EEB" w:rsidRPr="00BC6736" w:rsidRDefault="00380EEB">
            <w:pPr>
              <w:pStyle w:val="A-TableHeader"/>
              <w:keepNext w:val="0"/>
              <w:rPr>
                <w:bCs w:val="0"/>
                <w:lang w:val="el-GR"/>
              </w:rPr>
            </w:pPr>
            <w:r w:rsidRPr="00A66AB5">
              <w:rPr>
                <w:b w:val="0"/>
                <w:bCs w:val="0"/>
                <w:lang w:val="el-GR"/>
              </w:rPr>
              <w:t>Υπερευαισθησία</w:t>
            </w:r>
            <w:r w:rsidR="007B723A" w:rsidRPr="00A66AB5">
              <w:rPr>
                <w:b w:val="0"/>
                <w:bCs w:val="0"/>
                <w:lang w:val="el-GR"/>
              </w:rPr>
              <w:t xml:space="preserve"> (συμπεριλαμβανομένων των αλλεργικών δερματικών αντιδράσεων)</w:t>
            </w:r>
          </w:p>
        </w:tc>
      </w:tr>
      <w:tr w:rsidR="00380EEB" w:rsidRPr="00A66AB5">
        <w:trPr>
          <w:cantSplit/>
          <w:tblHeader/>
        </w:trPr>
        <w:tc>
          <w:tcPr>
            <w:tcW w:w="1809" w:type="dxa"/>
            <w:tcBorders>
              <w:bottom w:val="single" w:sz="4" w:space="0" w:color="auto"/>
            </w:tcBorders>
          </w:tcPr>
          <w:p w:rsidR="00380EEB" w:rsidRPr="00A66AB5" w:rsidRDefault="00380EEB">
            <w:pPr>
              <w:pStyle w:val="A-TableHeader"/>
              <w:keepNext w:val="0"/>
              <w:rPr>
                <w:bCs w:val="0"/>
              </w:rPr>
            </w:pPr>
            <w:r w:rsidRPr="00A66AB5">
              <w:rPr>
                <w:bCs w:val="0"/>
                <w:i/>
                <w:lang w:val="el-GR"/>
              </w:rPr>
              <w:t>Πολύ σπάνιες:</w:t>
            </w:r>
          </w:p>
        </w:tc>
        <w:tc>
          <w:tcPr>
            <w:tcW w:w="6663" w:type="dxa"/>
            <w:gridSpan w:val="5"/>
            <w:tcBorders>
              <w:bottom w:val="single" w:sz="4" w:space="0" w:color="auto"/>
            </w:tcBorders>
          </w:tcPr>
          <w:p w:rsidR="00380EEB" w:rsidRPr="00A66AB5" w:rsidRDefault="00380EEB">
            <w:pPr>
              <w:pStyle w:val="A-TableHeader"/>
              <w:keepNext w:val="0"/>
              <w:rPr>
                <w:bCs w:val="0"/>
              </w:rPr>
            </w:pPr>
            <w:proofErr w:type="spellStart"/>
            <w:r w:rsidRPr="00A66AB5">
              <w:rPr>
                <w:b w:val="0"/>
                <w:bCs w:val="0"/>
                <w:lang w:val="el-GR"/>
              </w:rPr>
              <w:t>Αναφυλακτική</w:t>
            </w:r>
            <w:proofErr w:type="spellEnd"/>
            <w:r w:rsidRPr="00A66AB5">
              <w:rPr>
                <w:b w:val="0"/>
                <w:bCs w:val="0"/>
                <w:lang w:val="el-GR"/>
              </w:rPr>
              <w:t xml:space="preserve"> αντίδραση</w:t>
            </w:r>
            <w:r w:rsidRPr="00A66AB5">
              <w:rPr>
                <w:b w:val="0"/>
                <w:bCs w:val="0"/>
                <w:vertAlign w:val="superscript"/>
                <w:lang w:val="el-GR"/>
              </w:rPr>
              <w:t>6</w:t>
            </w:r>
          </w:p>
        </w:tc>
      </w:tr>
      <w:tr w:rsidR="00380EEB" w:rsidRPr="00A66AB5">
        <w:trPr>
          <w:cantSplit/>
          <w:tblHeader/>
        </w:trPr>
        <w:tc>
          <w:tcPr>
            <w:tcW w:w="8472" w:type="dxa"/>
            <w:gridSpan w:val="6"/>
            <w:tcBorders>
              <w:top w:val="single" w:sz="4" w:space="0" w:color="auto"/>
            </w:tcBorders>
          </w:tcPr>
          <w:p w:rsidR="00A0455A" w:rsidRDefault="00A0455A">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Διαταραχές του ενδοκρινικού συστήματος</w:t>
            </w:r>
          </w:p>
        </w:tc>
      </w:tr>
      <w:tr w:rsidR="00380EEB" w:rsidRPr="00A66AB5">
        <w:trPr>
          <w:cantSplit/>
          <w:tblHeader/>
        </w:trPr>
        <w:tc>
          <w:tcPr>
            <w:tcW w:w="1809" w:type="dxa"/>
          </w:tcPr>
          <w:p w:rsidR="00380EEB" w:rsidRPr="00791987" w:rsidRDefault="00380EEB">
            <w:pPr>
              <w:pStyle w:val="A-TableHeader"/>
              <w:keepNext w:val="0"/>
              <w:rPr>
                <w:b w:val="0"/>
                <w:bCs w:val="0"/>
                <w:i/>
                <w:lang w:val="el-GR"/>
              </w:rPr>
            </w:pPr>
            <w:r w:rsidRPr="00791987">
              <w:rPr>
                <w:b w:val="0"/>
                <w:bCs w:val="0"/>
                <w:i/>
                <w:lang w:val="el-GR"/>
              </w:rPr>
              <w:t>Συχνές:</w:t>
            </w:r>
          </w:p>
          <w:p w:rsidR="007B723A" w:rsidRPr="00A66AB5" w:rsidRDefault="007B723A" w:rsidP="00A66AB5">
            <w:pPr>
              <w:pStyle w:val="A-TableText"/>
              <w:rPr>
                <w:b/>
                <w:i/>
                <w:lang w:val="el-GR"/>
              </w:rPr>
            </w:pPr>
          </w:p>
          <w:p w:rsidR="007B723A" w:rsidRPr="00A66AB5" w:rsidRDefault="007B723A" w:rsidP="00A66AB5">
            <w:pPr>
              <w:pStyle w:val="A-TableText"/>
              <w:rPr>
                <w:lang w:val="el-GR"/>
              </w:rPr>
            </w:pPr>
            <w:r w:rsidRPr="00A66AB5">
              <w:rPr>
                <w:b/>
                <w:i/>
                <w:lang w:val="el-GR"/>
              </w:rPr>
              <w:t>Όχι συχνές:</w:t>
            </w:r>
          </w:p>
        </w:tc>
        <w:tc>
          <w:tcPr>
            <w:tcW w:w="6663" w:type="dxa"/>
            <w:gridSpan w:val="5"/>
          </w:tcPr>
          <w:p w:rsidR="00380EEB" w:rsidRPr="00277E70" w:rsidRDefault="00380EEB" w:rsidP="00A66AB5">
            <w:pPr>
              <w:pStyle w:val="A-TableHeader"/>
              <w:keepNext w:val="0"/>
              <w:rPr>
                <w:b w:val="0"/>
                <w:bCs w:val="0"/>
                <w:lang w:val="el-GR"/>
              </w:rPr>
            </w:pPr>
            <w:r w:rsidRPr="00791987">
              <w:rPr>
                <w:bCs w:val="0"/>
                <w:lang w:val="el-GR"/>
              </w:rPr>
              <w:t>Υπερπρολακτιναιμία</w:t>
            </w:r>
            <w:r w:rsidRPr="00791987">
              <w:rPr>
                <w:bCs w:val="0"/>
                <w:vertAlign w:val="superscript"/>
                <w:lang w:val="el-GR"/>
              </w:rPr>
              <w:t>16</w:t>
            </w:r>
            <w:r w:rsidR="007B723A" w:rsidRPr="00A66AB5">
              <w:rPr>
                <w:b w:val="0"/>
                <w:bCs w:val="0"/>
                <w:lang w:val="el-GR"/>
              </w:rPr>
              <w:t xml:space="preserve">, </w:t>
            </w:r>
            <w:r w:rsidR="007B723A" w:rsidRPr="00277E70">
              <w:rPr>
                <w:b w:val="0"/>
                <w:bCs w:val="0"/>
                <w:lang w:val="el-GR"/>
              </w:rPr>
              <w:t xml:space="preserve">μείωση ολικής </w:t>
            </w:r>
            <w:r w:rsidR="007B723A" w:rsidRPr="00791987">
              <w:rPr>
                <w:bCs w:val="0"/>
                <w:lang w:val="el-GR"/>
              </w:rPr>
              <w:t>T</w:t>
            </w:r>
            <w:r w:rsidR="007B723A" w:rsidRPr="00791987">
              <w:rPr>
                <w:bCs w:val="0"/>
                <w:vertAlign w:val="subscript"/>
                <w:lang w:val="el-GR"/>
              </w:rPr>
              <w:t>4</w:t>
            </w:r>
            <w:r w:rsidR="007B723A" w:rsidRPr="00791987">
              <w:rPr>
                <w:bCs w:val="0"/>
                <w:lang w:val="el-GR"/>
              </w:rPr>
              <w:t xml:space="preserve"> </w:t>
            </w:r>
            <w:r w:rsidR="007B723A" w:rsidRPr="00791987">
              <w:rPr>
                <w:bCs w:val="0"/>
                <w:vertAlign w:val="superscript"/>
                <w:lang w:val="el-GR"/>
              </w:rPr>
              <w:t>25</w:t>
            </w:r>
            <w:r w:rsidR="007B723A" w:rsidRPr="00E81051">
              <w:rPr>
                <w:b w:val="0"/>
                <w:bCs w:val="0"/>
                <w:lang w:val="el-GR"/>
              </w:rPr>
              <w:t xml:space="preserve">, μείωση ελεύθερης </w:t>
            </w:r>
            <w:r w:rsidR="007B723A" w:rsidRPr="00791987">
              <w:rPr>
                <w:bCs w:val="0"/>
                <w:lang w:val="el-GR"/>
              </w:rPr>
              <w:t>T</w:t>
            </w:r>
            <w:r w:rsidR="007B723A" w:rsidRPr="00791987">
              <w:rPr>
                <w:bCs w:val="0"/>
                <w:vertAlign w:val="subscript"/>
                <w:lang w:val="el-GR"/>
              </w:rPr>
              <w:t>4</w:t>
            </w:r>
            <w:r w:rsidR="007B723A" w:rsidRPr="00791987">
              <w:rPr>
                <w:bCs w:val="0"/>
                <w:lang w:val="el-GR"/>
              </w:rPr>
              <w:t xml:space="preserve"> </w:t>
            </w:r>
            <w:r w:rsidR="007B723A" w:rsidRPr="00791987">
              <w:rPr>
                <w:bCs w:val="0"/>
                <w:vertAlign w:val="superscript"/>
                <w:lang w:val="el-GR"/>
              </w:rPr>
              <w:t>25</w:t>
            </w:r>
            <w:r w:rsidR="007B723A" w:rsidRPr="00A66AB5">
              <w:rPr>
                <w:b w:val="0"/>
                <w:bCs w:val="0"/>
                <w:lang w:val="el-GR"/>
              </w:rPr>
              <w:t xml:space="preserve">, μείωση ολικής </w:t>
            </w:r>
            <w:r w:rsidR="007B723A" w:rsidRPr="00791987">
              <w:rPr>
                <w:bCs w:val="0"/>
                <w:lang w:val="el-GR"/>
              </w:rPr>
              <w:t>T</w:t>
            </w:r>
            <w:r w:rsidR="007B723A" w:rsidRPr="00791987">
              <w:rPr>
                <w:bCs w:val="0"/>
                <w:vertAlign w:val="subscript"/>
                <w:lang w:val="el-GR"/>
              </w:rPr>
              <w:t>3</w:t>
            </w:r>
            <w:r w:rsidR="007B723A" w:rsidRPr="00791987">
              <w:rPr>
                <w:bCs w:val="0"/>
                <w:lang w:val="el-GR"/>
              </w:rPr>
              <w:t xml:space="preserve"> </w:t>
            </w:r>
            <w:r w:rsidR="007B723A" w:rsidRPr="00791987">
              <w:rPr>
                <w:bCs w:val="0"/>
                <w:vertAlign w:val="superscript"/>
                <w:lang w:val="el-GR"/>
              </w:rPr>
              <w:t>25</w:t>
            </w:r>
            <w:r w:rsidR="007B723A" w:rsidRPr="00A66AB5">
              <w:rPr>
                <w:b w:val="0"/>
                <w:bCs w:val="0"/>
                <w:lang w:val="el-GR"/>
              </w:rPr>
              <w:t xml:space="preserve">, αύξηση </w:t>
            </w:r>
            <w:r w:rsidR="007B723A" w:rsidRPr="00791987">
              <w:rPr>
                <w:bCs w:val="0"/>
                <w:lang w:val="el-GR"/>
              </w:rPr>
              <w:t xml:space="preserve">TSH </w:t>
            </w:r>
            <w:r w:rsidR="007B723A" w:rsidRPr="00791987">
              <w:rPr>
                <w:bCs w:val="0"/>
                <w:vertAlign w:val="superscript"/>
                <w:lang w:val="el-GR"/>
              </w:rPr>
              <w:t>25</w:t>
            </w:r>
            <w:r w:rsidR="007B723A" w:rsidRPr="00A66AB5">
              <w:rPr>
                <w:b w:val="0"/>
                <w:bCs w:val="0"/>
                <w:lang w:val="el-GR"/>
              </w:rPr>
              <w:t xml:space="preserve">  </w:t>
            </w:r>
          </w:p>
          <w:p w:rsidR="007B723A" w:rsidRPr="00A66AB5" w:rsidRDefault="007B723A" w:rsidP="00A66AB5">
            <w:pPr>
              <w:pStyle w:val="A-TableText"/>
              <w:rPr>
                <w:lang w:val="el-GR"/>
              </w:rPr>
            </w:pPr>
            <w:r w:rsidRPr="00277E70">
              <w:rPr>
                <w:lang w:val="el-GR"/>
              </w:rPr>
              <w:t>Μείωση ελεύθερης T</w:t>
            </w:r>
            <w:r w:rsidRPr="00277E70">
              <w:rPr>
                <w:vertAlign w:val="subscript"/>
                <w:lang w:val="el-GR"/>
              </w:rPr>
              <w:t>3</w:t>
            </w:r>
            <w:r w:rsidRPr="00277E70">
              <w:rPr>
                <w:lang w:val="el-GR"/>
              </w:rPr>
              <w:t xml:space="preserve"> </w:t>
            </w:r>
            <w:r w:rsidRPr="00E81051">
              <w:rPr>
                <w:vertAlign w:val="superscript"/>
                <w:lang w:val="el-GR"/>
              </w:rPr>
              <w:t xml:space="preserve">25 </w:t>
            </w:r>
            <w:r w:rsidRPr="00E81051">
              <w:rPr>
                <w:lang w:val="el-GR"/>
              </w:rPr>
              <w:t>,</w:t>
            </w:r>
            <w:r w:rsidRPr="00E81051">
              <w:rPr>
                <w:vertAlign w:val="superscript"/>
                <w:lang w:val="el-GR"/>
              </w:rPr>
              <w:t xml:space="preserve">  </w:t>
            </w:r>
            <w:r w:rsidRPr="00A66AB5">
              <w:rPr>
                <w:lang w:val="el-GR"/>
              </w:rPr>
              <w:t>Υποθυρεοειδισμός</w:t>
            </w:r>
            <w:r w:rsidRPr="00A66AB5">
              <w:rPr>
                <w:vertAlign w:val="superscript"/>
                <w:lang w:val="el-GR"/>
              </w:rPr>
              <w:t>22</w:t>
            </w:r>
          </w:p>
        </w:tc>
      </w:tr>
      <w:tr w:rsidR="00380EEB" w:rsidRPr="00A66AB5">
        <w:trPr>
          <w:cantSplit/>
          <w:tblHeader/>
        </w:trPr>
        <w:tc>
          <w:tcPr>
            <w:tcW w:w="1809" w:type="dxa"/>
          </w:tcPr>
          <w:p w:rsidR="00380EEB" w:rsidRPr="00A66AB5" w:rsidRDefault="00380EEB">
            <w:pPr>
              <w:pStyle w:val="A-TableHeader"/>
              <w:keepNext w:val="0"/>
              <w:rPr>
                <w:bCs w:val="0"/>
              </w:rPr>
            </w:pPr>
            <w:r w:rsidRPr="00A66AB5">
              <w:rPr>
                <w:bCs w:val="0"/>
                <w:i/>
                <w:lang w:val="el-GR"/>
              </w:rPr>
              <w:t>Πολύ σπάνιες:</w:t>
            </w:r>
          </w:p>
        </w:tc>
        <w:tc>
          <w:tcPr>
            <w:tcW w:w="6663" w:type="dxa"/>
            <w:gridSpan w:val="5"/>
          </w:tcPr>
          <w:p w:rsidR="00380EEB" w:rsidRPr="00791987" w:rsidRDefault="00380EEB">
            <w:pPr>
              <w:pStyle w:val="A-TableHeader"/>
              <w:keepNext w:val="0"/>
              <w:rPr>
                <w:b w:val="0"/>
                <w:bCs w:val="0"/>
              </w:rPr>
            </w:pPr>
            <w:r w:rsidRPr="00791987">
              <w:rPr>
                <w:b w:val="0"/>
                <w:bCs w:val="0"/>
                <w:lang w:val="en-US"/>
              </w:rPr>
              <w:t xml:space="preserve"> </w:t>
            </w:r>
            <w:r w:rsidRPr="00791987">
              <w:rPr>
                <w:b w:val="0"/>
                <w:bCs w:val="0"/>
                <w:lang w:val="el-GR"/>
              </w:rPr>
              <w:t xml:space="preserve">Απρόσφορη έκκριση </w:t>
            </w:r>
            <w:proofErr w:type="spellStart"/>
            <w:r w:rsidRPr="00791987">
              <w:rPr>
                <w:b w:val="0"/>
                <w:bCs w:val="0"/>
                <w:lang w:val="el-GR"/>
              </w:rPr>
              <w:t>αντιδιουρητικής</w:t>
            </w:r>
            <w:proofErr w:type="spellEnd"/>
            <w:r w:rsidRPr="00791987">
              <w:rPr>
                <w:b w:val="0"/>
                <w:bCs w:val="0"/>
                <w:lang w:val="el-GR"/>
              </w:rPr>
              <w:t xml:space="preserve"> ορμόνης</w:t>
            </w:r>
          </w:p>
        </w:tc>
      </w:tr>
      <w:tr w:rsidR="00380EEB" w:rsidRPr="002F0C2B">
        <w:trPr>
          <w:cantSplit/>
          <w:tblHeader/>
        </w:trPr>
        <w:tc>
          <w:tcPr>
            <w:tcW w:w="8472" w:type="dxa"/>
            <w:gridSpan w:val="6"/>
            <w:tcBorders>
              <w:top w:val="single" w:sz="4" w:space="0" w:color="auto"/>
            </w:tcBorders>
          </w:tcPr>
          <w:p w:rsidR="00A0455A" w:rsidRDefault="00A0455A">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Διαταραχές του μεταβολισμού και της θρέψης</w:t>
            </w:r>
          </w:p>
        </w:tc>
      </w:tr>
      <w:tr w:rsidR="00380EEB" w:rsidRPr="002F0C2B">
        <w:trPr>
          <w:cantSplit/>
          <w:tblHeader/>
        </w:trPr>
        <w:tc>
          <w:tcPr>
            <w:tcW w:w="1809" w:type="dxa"/>
          </w:tcPr>
          <w:p w:rsidR="007B723A" w:rsidRPr="00791987" w:rsidRDefault="007B723A">
            <w:pPr>
              <w:pStyle w:val="A-TableHeader"/>
              <w:keepNext w:val="0"/>
              <w:rPr>
                <w:b w:val="0"/>
                <w:bCs w:val="0"/>
                <w:i/>
                <w:lang w:val="el-GR"/>
              </w:rPr>
            </w:pPr>
            <w:r w:rsidRPr="00791987">
              <w:rPr>
                <w:b w:val="0"/>
                <w:bCs w:val="0"/>
                <w:i/>
                <w:lang w:val="el-GR"/>
              </w:rPr>
              <w:t>Πολύ συχνές:</w:t>
            </w:r>
          </w:p>
          <w:p w:rsidR="007B723A" w:rsidRPr="00A66AB5" w:rsidRDefault="007B723A">
            <w:pPr>
              <w:pStyle w:val="A-TableHeader"/>
              <w:keepNext w:val="0"/>
              <w:rPr>
                <w:bCs w:val="0"/>
                <w:i/>
                <w:lang w:val="el-GR"/>
              </w:rPr>
            </w:pPr>
          </w:p>
          <w:p w:rsidR="007B723A" w:rsidRPr="00A66AB5" w:rsidRDefault="007B723A">
            <w:pPr>
              <w:pStyle w:val="A-TableHeader"/>
              <w:keepNext w:val="0"/>
              <w:rPr>
                <w:bCs w:val="0"/>
                <w:i/>
                <w:lang w:val="el-GR"/>
              </w:rPr>
            </w:pPr>
          </w:p>
          <w:p w:rsidR="00380EEB" w:rsidRPr="00A66AB5" w:rsidRDefault="00380EEB">
            <w:pPr>
              <w:pStyle w:val="A-TableHeader"/>
              <w:keepNext w:val="0"/>
              <w:rPr>
                <w:bCs w:val="0"/>
              </w:rPr>
            </w:pPr>
            <w:r w:rsidRPr="00A66AB5">
              <w:rPr>
                <w:bCs w:val="0"/>
                <w:i/>
                <w:lang w:val="el-GR"/>
              </w:rPr>
              <w:t>Συχνές:</w:t>
            </w:r>
          </w:p>
        </w:tc>
        <w:tc>
          <w:tcPr>
            <w:tcW w:w="6663" w:type="dxa"/>
            <w:gridSpan w:val="5"/>
          </w:tcPr>
          <w:p w:rsidR="007B723A" w:rsidRPr="00BC6736" w:rsidRDefault="007B723A" w:rsidP="007B723A">
            <w:pPr>
              <w:pStyle w:val="A-TableHeader"/>
              <w:rPr>
                <w:b w:val="0"/>
                <w:lang w:val="el-GR"/>
              </w:rPr>
            </w:pPr>
            <w:r w:rsidRPr="00A66AB5">
              <w:rPr>
                <w:b w:val="0"/>
                <w:lang w:val="el-GR"/>
              </w:rPr>
              <w:t xml:space="preserve">Αυξήσεις στα επίπεδα </w:t>
            </w:r>
            <w:proofErr w:type="spellStart"/>
            <w:r w:rsidRPr="00A66AB5">
              <w:rPr>
                <w:b w:val="0"/>
                <w:lang w:val="el-GR"/>
              </w:rPr>
              <w:t>τριγλυκεριδίων</w:t>
            </w:r>
            <w:proofErr w:type="spellEnd"/>
            <w:r w:rsidRPr="00A66AB5">
              <w:rPr>
                <w:b w:val="0"/>
                <w:lang w:val="el-GR"/>
              </w:rPr>
              <w:t xml:space="preserve"> στον ορό</w:t>
            </w:r>
            <w:r w:rsidRPr="00A66AB5">
              <w:rPr>
                <w:b w:val="0"/>
                <w:vertAlign w:val="superscript"/>
                <w:lang w:val="el-GR"/>
              </w:rPr>
              <w:t>11,31</w:t>
            </w:r>
          </w:p>
          <w:p w:rsidR="007B723A" w:rsidRPr="00A66AB5" w:rsidRDefault="007B723A" w:rsidP="007B723A">
            <w:pPr>
              <w:pStyle w:val="A-TableHeader"/>
              <w:keepNext w:val="0"/>
              <w:rPr>
                <w:b w:val="0"/>
                <w:bCs w:val="0"/>
                <w:lang w:val="el-GR"/>
              </w:rPr>
            </w:pPr>
            <w:r w:rsidRPr="00277E70">
              <w:rPr>
                <w:b w:val="0"/>
                <w:bCs w:val="0"/>
                <w:lang w:val="el-GR"/>
              </w:rPr>
              <w:t>Αύξηση ολικής χοληστερόλης (κυρίως της χοληστερόλης LDL)</w:t>
            </w:r>
            <w:r w:rsidRPr="00277E70">
              <w:rPr>
                <w:b w:val="0"/>
                <w:bCs w:val="0"/>
                <w:vertAlign w:val="superscript"/>
                <w:lang w:val="el-GR"/>
              </w:rPr>
              <w:t xml:space="preserve"> 12,31 </w:t>
            </w:r>
            <w:r w:rsidRPr="00277E70">
              <w:rPr>
                <w:b w:val="0"/>
                <w:bCs w:val="0"/>
                <w:lang w:val="el-GR"/>
              </w:rPr>
              <w:t>, μείωση της χοληστερόλης HDL</w:t>
            </w:r>
            <w:r w:rsidRPr="00E81051">
              <w:rPr>
                <w:b w:val="0"/>
                <w:bCs w:val="0"/>
                <w:vertAlign w:val="superscript"/>
                <w:lang w:val="el-GR"/>
              </w:rPr>
              <w:t>18,31</w:t>
            </w:r>
            <w:r w:rsidRPr="00E81051">
              <w:rPr>
                <w:b w:val="0"/>
                <w:bCs w:val="0"/>
                <w:lang w:val="el-GR"/>
              </w:rPr>
              <w:t>, αύξηση σωματικού βάρους</w:t>
            </w:r>
            <w:r w:rsidRPr="00A66AB5">
              <w:rPr>
                <w:b w:val="0"/>
                <w:bCs w:val="0"/>
                <w:vertAlign w:val="superscript"/>
                <w:lang w:val="el-GR"/>
              </w:rPr>
              <w:t>9,31</w:t>
            </w:r>
          </w:p>
          <w:p w:rsidR="00380EEB" w:rsidRPr="00A66AB5" w:rsidRDefault="00380EEB" w:rsidP="007B723A">
            <w:pPr>
              <w:pStyle w:val="A-TableHeader"/>
              <w:keepNext w:val="0"/>
              <w:rPr>
                <w:bCs w:val="0"/>
                <w:lang w:val="el-GR"/>
              </w:rPr>
            </w:pPr>
            <w:r w:rsidRPr="00A66AB5">
              <w:rPr>
                <w:b w:val="0"/>
                <w:bCs w:val="0"/>
                <w:lang w:val="el-GR"/>
              </w:rPr>
              <w:t>Αυξημένη όρεξη</w:t>
            </w:r>
            <w:r w:rsidR="007B723A" w:rsidRPr="00A66AB5">
              <w:rPr>
                <w:b w:val="0"/>
                <w:bCs w:val="0"/>
                <w:lang w:val="el-GR"/>
              </w:rPr>
              <w:t xml:space="preserve">, αύξηση σακχάρου αίματος σε </w:t>
            </w:r>
            <w:proofErr w:type="spellStart"/>
            <w:r w:rsidR="007B723A" w:rsidRPr="00A66AB5">
              <w:rPr>
                <w:b w:val="0"/>
                <w:bCs w:val="0"/>
                <w:lang w:val="el-GR"/>
              </w:rPr>
              <w:t>υπεργλυκαιμικά</w:t>
            </w:r>
            <w:proofErr w:type="spellEnd"/>
            <w:r w:rsidR="007B723A" w:rsidRPr="00A66AB5">
              <w:rPr>
                <w:b w:val="0"/>
                <w:bCs w:val="0"/>
                <w:lang w:val="el-GR"/>
              </w:rPr>
              <w:t xml:space="preserve"> επίπεδα</w:t>
            </w:r>
            <w:r w:rsidR="007B723A" w:rsidRPr="00A66AB5">
              <w:rPr>
                <w:b w:val="0"/>
                <w:bCs w:val="0"/>
                <w:vertAlign w:val="superscript"/>
                <w:lang w:val="el-GR"/>
              </w:rPr>
              <w:t>7,31</w:t>
            </w:r>
          </w:p>
        </w:tc>
      </w:tr>
      <w:tr w:rsidR="00380EEB" w:rsidRPr="002F0C2B">
        <w:trPr>
          <w:cantSplit/>
          <w:tblHeader/>
        </w:trPr>
        <w:tc>
          <w:tcPr>
            <w:tcW w:w="1809" w:type="dxa"/>
            <w:tcBorders>
              <w:bottom w:val="single" w:sz="4" w:space="0" w:color="auto"/>
            </w:tcBorders>
          </w:tcPr>
          <w:p w:rsidR="00380EEB" w:rsidRPr="00277E70" w:rsidRDefault="00380EEB">
            <w:pPr>
              <w:pStyle w:val="A-TableHeader"/>
              <w:keepNext w:val="0"/>
              <w:rPr>
                <w:bCs w:val="0"/>
                <w:i/>
                <w:lang w:val="el-GR"/>
              </w:rPr>
            </w:pPr>
            <w:r w:rsidRPr="00277E70">
              <w:rPr>
                <w:bCs w:val="0"/>
                <w:i/>
                <w:lang w:val="el-GR"/>
              </w:rPr>
              <w:t>Όχι συχνές</w:t>
            </w:r>
            <w:r w:rsidR="007B723A" w:rsidRPr="00277E70">
              <w:rPr>
                <w:bCs w:val="0"/>
                <w:i/>
                <w:lang w:val="el-GR"/>
              </w:rPr>
              <w:t>:</w:t>
            </w:r>
          </w:p>
          <w:p w:rsidR="007B723A" w:rsidRPr="00A66AB5" w:rsidRDefault="00105230" w:rsidP="00A66AB5">
            <w:pPr>
              <w:pStyle w:val="A-TableText"/>
              <w:rPr>
                <w:lang w:val="el-GR"/>
              </w:rPr>
            </w:pPr>
            <w:r w:rsidRPr="00A66AB5">
              <w:rPr>
                <w:b/>
                <w:i/>
                <w:lang w:val="el-GR"/>
              </w:rPr>
              <w:t>Σπάνιες:</w:t>
            </w:r>
          </w:p>
        </w:tc>
        <w:tc>
          <w:tcPr>
            <w:tcW w:w="6663" w:type="dxa"/>
            <w:gridSpan w:val="5"/>
            <w:tcBorders>
              <w:bottom w:val="single" w:sz="4" w:space="0" w:color="auto"/>
            </w:tcBorders>
          </w:tcPr>
          <w:p w:rsidR="00380EEB" w:rsidRPr="00A66AB5" w:rsidRDefault="00380EEB">
            <w:pPr>
              <w:pStyle w:val="A-TableHeader"/>
              <w:keepNext w:val="0"/>
              <w:rPr>
                <w:b w:val="0"/>
                <w:bCs w:val="0"/>
                <w:lang w:val="el-GR"/>
              </w:rPr>
            </w:pPr>
            <w:r w:rsidRPr="00277E70">
              <w:rPr>
                <w:b w:val="0"/>
                <w:bCs w:val="0"/>
                <w:lang w:val="el-GR"/>
              </w:rPr>
              <w:t>Υπονατριαιμία</w:t>
            </w:r>
            <w:r w:rsidRPr="00277E70">
              <w:rPr>
                <w:b w:val="0"/>
                <w:bCs w:val="0"/>
                <w:vertAlign w:val="superscript"/>
                <w:lang w:val="el-GR"/>
              </w:rPr>
              <w:t>20</w:t>
            </w:r>
            <w:r w:rsidR="007B723A" w:rsidRPr="00277E70">
              <w:rPr>
                <w:b w:val="0"/>
                <w:bCs w:val="0"/>
                <w:lang w:val="el-GR"/>
              </w:rPr>
              <w:t>, σακχαρώδης διαβήτης</w:t>
            </w:r>
            <w:r w:rsidR="007B723A" w:rsidRPr="00277E70">
              <w:rPr>
                <w:b w:val="0"/>
                <w:bCs w:val="0"/>
                <w:vertAlign w:val="superscript"/>
                <w:lang w:val="el-GR"/>
              </w:rPr>
              <w:t xml:space="preserve"> 1,5,6</w:t>
            </w:r>
          </w:p>
          <w:p w:rsidR="007B723A" w:rsidRPr="00A66AB5" w:rsidRDefault="00105230" w:rsidP="00A66AB5">
            <w:pPr>
              <w:pStyle w:val="A-TableText"/>
              <w:rPr>
                <w:lang w:val="el-GR"/>
              </w:rPr>
            </w:pPr>
            <w:r w:rsidRPr="00A66AB5">
              <w:rPr>
                <w:lang w:val="el-GR"/>
              </w:rPr>
              <w:t>Μεταβολικό σύνδρομο</w:t>
            </w:r>
            <w:r w:rsidRPr="00A66AB5">
              <w:rPr>
                <w:vertAlign w:val="superscript"/>
                <w:lang w:val="el-GR"/>
              </w:rPr>
              <w:t>30</w:t>
            </w:r>
          </w:p>
        </w:tc>
      </w:tr>
      <w:tr w:rsidR="00380EEB" w:rsidRPr="00A66AB5">
        <w:trPr>
          <w:cantSplit/>
          <w:tblHeader/>
        </w:trPr>
        <w:tc>
          <w:tcPr>
            <w:tcW w:w="8472" w:type="dxa"/>
            <w:gridSpan w:val="6"/>
            <w:tcBorders>
              <w:top w:val="single" w:sz="4" w:space="0" w:color="auto"/>
            </w:tcBorders>
          </w:tcPr>
          <w:p w:rsidR="00380EEB" w:rsidRPr="00277E70" w:rsidRDefault="00380EEB">
            <w:pPr>
              <w:pStyle w:val="A-TableHeader"/>
              <w:keepNext w:val="0"/>
              <w:rPr>
                <w:bCs w:val="0"/>
              </w:rPr>
            </w:pPr>
            <w:r w:rsidRPr="00277E70">
              <w:rPr>
                <w:bCs w:val="0"/>
                <w:i/>
                <w:lang w:val="el-GR"/>
              </w:rPr>
              <w:t>Ψυχιατρικές διαταραχές</w:t>
            </w:r>
          </w:p>
        </w:tc>
      </w:tr>
      <w:tr w:rsidR="00380EEB" w:rsidRPr="002F0C2B">
        <w:trPr>
          <w:cantSplit/>
          <w:tblHeader/>
        </w:trPr>
        <w:tc>
          <w:tcPr>
            <w:tcW w:w="1809" w:type="dxa"/>
          </w:tcPr>
          <w:p w:rsidR="00380EEB" w:rsidRPr="00791987" w:rsidRDefault="00380EEB">
            <w:pPr>
              <w:pStyle w:val="A-TableHeader"/>
              <w:keepNext w:val="0"/>
              <w:rPr>
                <w:b w:val="0"/>
                <w:bCs w:val="0"/>
                <w:i/>
                <w:lang w:val="el-GR"/>
              </w:rPr>
            </w:pPr>
            <w:r w:rsidRPr="00791987">
              <w:rPr>
                <w:b w:val="0"/>
                <w:bCs w:val="0"/>
                <w:i/>
                <w:lang w:val="el-GR"/>
              </w:rPr>
              <w:t>Συχνές:</w:t>
            </w:r>
          </w:p>
          <w:p w:rsidR="00105230" w:rsidRPr="00A66AB5" w:rsidRDefault="00105230" w:rsidP="00A66AB5">
            <w:pPr>
              <w:pStyle w:val="A-TableText"/>
              <w:rPr>
                <w:lang w:val="el-GR"/>
              </w:rPr>
            </w:pPr>
          </w:p>
          <w:p w:rsidR="00105230" w:rsidRPr="00A66AB5" w:rsidRDefault="00105230" w:rsidP="00A66AB5">
            <w:pPr>
              <w:pStyle w:val="A-TableText"/>
              <w:rPr>
                <w:lang w:val="el-GR"/>
              </w:rPr>
            </w:pPr>
            <w:r w:rsidRPr="00A66AB5">
              <w:rPr>
                <w:b/>
                <w:i/>
                <w:lang w:val="el-GR"/>
              </w:rPr>
              <w:t>Σπάνιες:</w:t>
            </w:r>
          </w:p>
        </w:tc>
        <w:tc>
          <w:tcPr>
            <w:tcW w:w="6663" w:type="dxa"/>
            <w:gridSpan w:val="5"/>
          </w:tcPr>
          <w:p w:rsidR="00380EEB" w:rsidRPr="00A66AB5" w:rsidRDefault="00380EEB">
            <w:pPr>
              <w:pStyle w:val="A-TableHeader"/>
              <w:keepNext w:val="0"/>
              <w:rPr>
                <w:b w:val="0"/>
                <w:bCs w:val="0"/>
                <w:vertAlign w:val="superscript"/>
                <w:lang w:val="el-GR"/>
              </w:rPr>
            </w:pPr>
            <w:r w:rsidRPr="00791987">
              <w:rPr>
                <w:bCs w:val="0"/>
                <w:lang w:val="el-GR"/>
              </w:rPr>
              <w:t>Παθολογικά όνειρα και εφιάλτες</w:t>
            </w:r>
            <w:r w:rsidR="00000C45" w:rsidRPr="00791987">
              <w:rPr>
                <w:bCs w:val="0"/>
                <w:lang w:val="el-GR"/>
              </w:rPr>
              <w:t>, α</w:t>
            </w:r>
            <w:r w:rsidRPr="00791987">
              <w:rPr>
                <w:bCs w:val="0"/>
                <w:lang w:val="el-GR"/>
              </w:rPr>
              <w:t>υτοκτονικός ιδεασμός και αυτοκτονική συμπεριφορά</w:t>
            </w:r>
            <w:r w:rsidRPr="00791987">
              <w:rPr>
                <w:bCs w:val="0"/>
                <w:vertAlign w:val="superscript"/>
                <w:lang w:val="el-GR"/>
              </w:rPr>
              <w:t>21</w:t>
            </w:r>
          </w:p>
          <w:p w:rsidR="00105230" w:rsidRPr="00791987" w:rsidRDefault="00105230" w:rsidP="00A66AB5">
            <w:pPr>
              <w:pStyle w:val="A-TableText"/>
              <w:rPr>
                <w:b/>
                <w:lang w:val="el-GR"/>
              </w:rPr>
            </w:pPr>
            <w:r w:rsidRPr="00791987">
              <w:rPr>
                <w:b/>
                <w:lang w:val="el-GR"/>
              </w:rPr>
              <w:t>Υπνοβασία και σχετικές αντιδράσεις όπως ομιλία κατά τη διάρκεια του ύπνου και διαταραχή σίτισης που σχετίζεται με τον ύπνο</w:t>
            </w:r>
          </w:p>
        </w:tc>
      </w:tr>
      <w:tr w:rsidR="00380EEB" w:rsidRPr="00A66AB5">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Διαταραχές του νευρικού συστήματος</w:t>
            </w:r>
          </w:p>
        </w:tc>
      </w:tr>
      <w:tr w:rsidR="00380EEB" w:rsidRPr="00A66AB5">
        <w:trPr>
          <w:tblHeader/>
        </w:trPr>
        <w:tc>
          <w:tcPr>
            <w:tcW w:w="1809" w:type="dxa"/>
          </w:tcPr>
          <w:p w:rsidR="00380EEB" w:rsidRPr="00A66AB5" w:rsidRDefault="00380EEB">
            <w:pPr>
              <w:pStyle w:val="A-TableHeader"/>
              <w:keepNext w:val="0"/>
              <w:rPr>
                <w:bCs w:val="0"/>
              </w:rPr>
            </w:pPr>
            <w:r w:rsidRPr="00A66AB5">
              <w:rPr>
                <w:bCs w:val="0"/>
                <w:i/>
                <w:lang w:val="el-GR"/>
              </w:rPr>
              <w:t>Πολύ συχνές:</w:t>
            </w:r>
          </w:p>
        </w:tc>
        <w:tc>
          <w:tcPr>
            <w:tcW w:w="3852" w:type="dxa"/>
            <w:gridSpan w:val="4"/>
          </w:tcPr>
          <w:p w:rsidR="00380EEB" w:rsidRPr="00A66AB5" w:rsidRDefault="00380EEB">
            <w:pPr>
              <w:pStyle w:val="A-TableText"/>
            </w:pPr>
            <w:r w:rsidRPr="00A66AB5">
              <w:rPr>
                <w:lang w:val="el-GR"/>
              </w:rPr>
              <w:t>Ζάλη</w:t>
            </w:r>
            <w:r w:rsidRPr="00A66AB5">
              <w:rPr>
                <w:vertAlign w:val="superscript"/>
              </w:rPr>
              <w:t>4,17</w:t>
            </w:r>
            <w:r w:rsidRPr="00A66AB5">
              <w:t xml:space="preserve">, </w:t>
            </w:r>
            <w:r w:rsidRPr="00A66AB5">
              <w:rPr>
                <w:lang w:val="el-GR"/>
              </w:rPr>
              <w:t>υπνηλία</w:t>
            </w:r>
            <w:r w:rsidRPr="00A66AB5">
              <w:rPr>
                <w:vertAlign w:val="superscript"/>
              </w:rPr>
              <w:t>2,17</w:t>
            </w:r>
            <w:r w:rsidRPr="00A66AB5">
              <w:t xml:space="preserve">, </w:t>
            </w:r>
            <w:r w:rsidRPr="00A66AB5">
              <w:rPr>
                <w:lang w:val="el-GR"/>
              </w:rPr>
              <w:t>κεφαλαλγία</w:t>
            </w:r>
          </w:p>
        </w:tc>
        <w:tc>
          <w:tcPr>
            <w:tcW w:w="2811" w:type="dxa"/>
          </w:tcPr>
          <w:p w:rsidR="00380EEB" w:rsidRPr="00A66AB5" w:rsidRDefault="00380EEB">
            <w:pPr>
              <w:pStyle w:val="A-TableHeader"/>
              <w:keepNext w:val="0"/>
              <w:rPr>
                <w:b w:val="0"/>
                <w:bCs w:val="0"/>
              </w:rPr>
            </w:pPr>
          </w:p>
        </w:tc>
      </w:tr>
      <w:tr w:rsidR="00380EEB" w:rsidRPr="00A66AB5">
        <w:trPr>
          <w:tblHeader/>
        </w:trPr>
        <w:tc>
          <w:tcPr>
            <w:tcW w:w="1809" w:type="dxa"/>
          </w:tcPr>
          <w:p w:rsidR="00380EEB" w:rsidRPr="00A66AB5" w:rsidRDefault="00380EEB">
            <w:pPr>
              <w:pStyle w:val="A-TableHeader"/>
              <w:keepNext w:val="0"/>
              <w:rPr>
                <w:bCs w:val="0"/>
              </w:rPr>
            </w:pPr>
            <w:r w:rsidRPr="00A66AB5">
              <w:rPr>
                <w:bCs w:val="0"/>
                <w:i/>
                <w:lang w:val="el-GR"/>
              </w:rPr>
              <w:t>Συχνές:</w:t>
            </w:r>
          </w:p>
        </w:tc>
        <w:tc>
          <w:tcPr>
            <w:tcW w:w="3852" w:type="dxa"/>
            <w:gridSpan w:val="4"/>
          </w:tcPr>
          <w:p w:rsidR="00380EEB" w:rsidRPr="00A66AB5" w:rsidRDefault="00380EEB">
            <w:pPr>
              <w:pStyle w:val="A-TableText"/>
            </w:pPr>
            <w:r w:rsidRPr="00A66AB5">
              <w:rPr>
                <w:lang w:val="el-GR"/>
              </w:rPr>
              <w:t>Συγκοπή</w:t>
            </w:r>
            <w:r w:rsidRPr="00A66AB5">
              <w:rPr>
                <w:vertAlign w:val="superscript"/>
              </w:rPr>
              <w:t>4,17</w:t>
            </w:r>
            <w:r w:rsidRPr="00A66AB5">
              <w:t xml:space="preserve">, </w:t>
            </w:r>
            <w:proofErr w:type="spellStart"/>
            <w:r w:rsidRPr="00A66AB5">
              <w:rPr>
                <w:lang w:val="el-GR"/>
              </w:rPr>
              <w:t>εξωπυραμιδικά</w:t>
            </w:r>
            <w:proofErr w:type="spellEnd"/>
            <w:r w:rsidRPr="00A66AB5">
              <w:rPr>
                <w:lang w:val="el-GR"/>
              </w:rPr>
              <w:t xml:space="preserve"> συμπτώματα</w:t>
            </w:r>
            <w:r w:rsidRPr="00A66AB5">
              <w:rPr>
                <w:vertAlign w:val="superscript"/>
              </w:rPr>
              <w:t>1,22</w:t>
            </w:r>
            <w:r w:rsidRPr="00A66AB5">
              <w:t xml:space="preserve">, </w:t>
            </w:r>
            <w:r w:rsidRPr="00A66AB5">
              <w:rPr>
                <w:lang w:val="el-GR"/>
              </w:rPr>
              <w:t>δυσαρθρία</w:t>
            </w:r>
          </w:p>
        </w:tc>
        <w:tc>
          <w:tcPr>
            <w:tcW w:w="2811" w:type="dxa"/>
          </w:tcPr>
          <w:p w:rsidR="00380EEB" w:rsidRPr="00A66AB5" w:rsidRDefault="00380EEB">
            <w:pPr>
              <w:pStyle w:val="A-TableHeader"/>
              <w:keepNext w:val="0"/>
              <w:rPr>
                <w:b w:val="0"/>
                <w:bCs w:val="0"/>
              </w:rPr>
            </w:pPr>
          </w:p>
        </w:tc>
      </w:tr>
      <w:tr w:rsidR="00380EEB" w:rsidRPr="002F0C2B">
        <w:trPr>
          <w:tblHeader/>
        </w:trPr>
        <w:tc>
          <w:tcPr>
            <w:tcW w:w="1809" w:type="dxa"/>
          </w:tcPr>
          <w:p w:rsidR="00380EEB" w:rsidRPr="00A66AB5" w:rsidRDefault="00380EEB">
            <w:pPr>
              <w:pStyle w:val="A-TableHeader"/>
              <w:keepNext w:val="0"/>
              <w:rPr>
                <w:bCs w:val="0"/>
              </w:rPr>
            </w:pPr>
            <w:r w:rsidRPr="00A66AB5">
              <w:rPr>
                <w:bCs w:val="0"/>
                <w:i/>
                <w:lang w:val="el-GR"/>
              </w:rPr>
              <w:t>Όχι συχνές:</w:t>
            </w:r>
          </w:p>
        </w:tc>
        <w:tc>
          <w:tcPr>
            <w:tcW w:w="3852" w:type="dxa"/>
            <w:gridSpan w:val="4"/>
          </w:tcPr>
          <w:p w:rsidR="00380EEB" w:rsidRPr="00A66AB5" w:rsidRDefault="00380EEB">
            <w:pPr>
              <w:pStyle w:val="A-TableText"/>
              <w:rPr>
                <w:lang w:val="el-GR"/>
              </w:rPr>
            </w:pPr>
            <w:r w:rsidRPr="00791987">
              <w:rPr>
                <w:b/>
                <w:lang w:val="el-GR"/>
              </w:rPr>
              <w:t xml:space="preserve">Σπασμοί </w:t>
            </w:r>
            <w:r w:rsidRPr="00791987">
              <w:rPr>
                <w:b/>
                <w:vertAlign w:val="superscript"/>
                <w:lang w:val="el-GR"/>
              </w:rPr>
              <w:t>1</w:t>
            </w:r>
            <w:r w:rsidRPr="00A66AB5">
              <w:rPr>
                <w:lang w:val="el-GR"/>
              </w:rPr>
              <w:t xml:space="preserve">, </w:t>
            </w:r>
            <w:r w:rsidRPr="00791987">
              <w:rPr>
                <w:b/>
                <w:lang w:val="el-GR"/>
              </w:rPr>
              <w:t>σύνδρομο</w:t>
            </w:r>
            <w:r w:rsidRPr="00A66AB5">
              <w:rPr>
                <w:lang w:val="el-GR"/>
              </w:rPr>
              <w:t xml:space="preserve"> ανήσυχων </w:t>
            </w:r>
            <w:r w:rsidRPr="00791987">
              <w:rPr>
                <w:b/>
                <w:lang w:val="el-GR"/>
              </w:rPr>
              <w:t>ποδιών</w:t>
            </w:r>
            <w:r w:rsidRPr="00A66AB5">
              <w:rPr>
                <w:lang w:val="el-GR"/>
              </w:rPr>
              <w:t xml:space="preserve">, </w:t>
            </w:r>
            <w:r w:rsidRPr="00791987">
              <w:rPr>
                <w:b/>
                <w:lang w:val="el-GR"/>
              </w:rPr>
              <w:t xml:space="preserve">όψιμη δυσκινησία </w:t>
            </w:r>
            <w:r w:rsidRPr="00791987">
              <w:rPr>
                <w:b/>
                <w:vertAlign w:val="superscript"/>
                <w:lang w:val="el-GR"/>
              </w:rPr>
              <w:t xml:space="preserve">1,6 </w:t>
            </w:r>
          </w:p>
        </w:tc>
        <w:tc>
          <w:tcPr>
            <w:tcW w:w="2811" w:type="dxa"/>
          </w:tcPr>
          <w:p w:rsidR="00380EEB" w:rsidRPr="00A66AB5" w:rsidRDefault="00380EEB">
            <w:pPr>
              <w:pStyle w:val="A-TableHeader"/>
              <w:keepNext w:val="0"/>
              <w:rPr>
                <w:b w:val="0"/>
                <w:bCs w:val="0"/>
                <w:lang w:val="sv-SE"/>
              </w:rPr>
            </w:pPr>
          </w:p>
        </w:tc>
      </w:tr>
      <w:tr w:rsidR="00380EEB" w:rsidRPr="00A66AB5">
        <w:trPr>
          <w:cantSplit/>
          <w:tblHeader/>
        </w:trPr>
        <w:tc>
          <w:tcPr>
            <w:tcW w:w="8472" w:type="dxa"/>
            <w:gridSpan w:val="6"/>
            <w:tcBorders>
              <w:top w:val="single" w:sz="4" w:space="0" w:color="auto"/>
            </w:tcBorders>
          </w:tcPr>
          <w:p w:rsidR="00380EEB" w:rsidRPr="00A66AB5" w:rsidRDefault="00380EEB">
            <w:pPr>
              <w:pStyle w:val="A-TableHeader"/>
              <w:keepNext w:val="0"/>
              <w:rPr>
                <w:bCs w:val="0"/>
              </w:rPr>
            </w:pPr>
            <w:r w:rsidRPr="00A66AB5">
              <w:rPr>
                <w:bCs w:val="0"/>
                <w:i/>
                <w:lang w:val="el-GR"/>
              </w:rPr>
              <w:t>Καρδιακές διαταραχές</w:t>
            </w:r>
          </w:p>
        </w:tc>
      </w:tr>
      <w:tr w:rsidR="00380EEB" w:rsidRPr="002F0C2B">
        <w:trPr>
          <w:tblHeader/>
        </w:trPr>
        <w:tc>
          <w:tcPr>
            <w:tcW w:w="1809" w:type="dxa"/>
            <w:tcBorders>
              <w:bottom w:val="single" w:sz="4" w:space="0" w:color="auto"/>
            </w:tcBorders>
          </w:tcPr>
          <w:p w:rsidR="00380EEB" w:rsidRPr="00791987" w:rsidRDefault="00380EEB">
            <w:pPr>
              <w:pStyle w:val="A-TableHeader"/>
              <w:keepNext w:val="0"/>
              <w:rPr>
                <w:b w:val="0"/>
                <w:bCs w:val="0"/>
                <w:i/>
                <w:lang w:val="el-GR"/>
              </w:rPr>
            </w:pPr>
            <w:r w:rsidRPr="00791987">
              <w:rPr>
                <w:b w:val="0"/>
                <w:bCs w:val="0"/>
                <w:i/>
                <w:lang w:val="el-GR"/>
              </w:rPr>
              <w:t>Συχνές:</w:t>
            </w:r>
          </w:p>
          <w:p w:rsidR="00F834E0" w:rsidRPr="00A66AB5" w:rsidRDefault="00F834E0" w:rsidP="00A66AB5">
            <w:pPr>
              <w:pStyle w:val="A-TableText"/>
              <w:rPr>
                <w:lang w:val="el-GR"/>
              </w:rPr>
            </w:pPr>
            <w:r w:rsidRPr="00A66AB5">
              <w:rPr>
                <w:b/>
                <w:i/>
                <w:lang w:val="el-GR"/>
              </w:rPr>
              <w:t>Όχι συχνές:</w:t>
            </w:r>
          </w:p>
        </w:tc>
        <w:tc>
          <w:tcPr>
            <w:tcW w:w="3544" w:type="dxa"/>
            <w:gridSpan w:val="2"/>
            <w:tcBorders>
              <w:bottom w:val="single" w:sz="4" w:space="0" w:color="auto"/>
            </w:tcBorders>
          </w:tcPr>
          <w:p w:rsidR="00380EEB" w:rsidRPr="00791987" w:rsidRDefault="00380EEB">
            <w:pPr>
              <w:pStyle w:val="A-TableText"/>
              <w:rPr>
                <w:b/>
                <w:vertAlign w:val="superscript"/>
                <w:lang w:val="el-GR"/>
              </w:rPr>
            </w:pPr>
            <w:r w:rsidRPr="00791987">
              <w:rPr>
                <w:b/>
                <w:lang w:val="el-GR"/>
              </w:rPr>
              <w:t>Ταχυκαρδία</w:t>
            </w:r>
            <w:r w:rsidRPr="00791987">
              <w:rPr>
                <w:b/>
                <w:vertAlign w:val="superscript"/>
                <w:lang w:val="el-GR"/>
              </w:rPr>
              <w:t>4</w:t>
            </w:r>
            <w:r w:rsidR="00F834E0" w:rsidRPr="00791987">
              <w:rPr>
                <w:b/>
                <w:lang w:val="el-GR"/>
              </w:rPr>
              <w:t>, αίσθημα παλμών</w:t>
            </w:r>
            <w:r w:rsidR="00F834E0" w:rsidRPr="00791987">
              <w:rPr>
                <w:b/>
                <w:vertAlign w:val="superscript"/>
                <w:lang w:val="el-GR"/>
              </w:rPr>
              <w:t>24</w:t>
            </w:r>
          </w:p>
          <w:p w:rsidR="00F834E0" w:rsidRPr="00BC6736" w:rsidRDefault="00F834E0" w:rsidP="00F834E0">
            <w:pPr>
              <w:pStyle w:val="A-TableText"/>
              <w:rPr>
                <w:b/>
                <w:vertAlign w:val="superscript"/>
                <w:lang w:val="el-GR"/>
              </w:rPr>
            </w:pPr>
            <w:r w:rsidRPr="00791987">
              <w:rPr>
                <w:b/>
                <w:lang w:val="el-GR"/>
              </w:rPr>
              <w:t>Παράταση του διαστήματος QT</w:t>
            </w:r>
            <w:r w:rsidRPr="00791987">
              <w:rPr>
                <w:b/>
                <w:vertAlign w:val="superscript"/>
                <w:lang w:val="el-GR"/>
              </w:rPr>
              <w:t>1,13, 19</w:t>
            </w:r>
            <w:r w:rsidR="00000C45" w:rsidRPr="00791987">
              <w:rPr>
                <w:b/>
                <w:lang w:val="el-GR"/>
              </w:rPr>
              <w:t>, β</w:t>
            </w:r>
            <w:r w:rsidR="009C2A3B" w:rsidRPr="00791987">
              <w:rPr>
                <w:b/>
                <w:lang w:val="el-GR"/>
              </w:rPr>
              <w:t>ραδυκαρδία</w:t>
            </w:r>
            <w:r w:rsidR="009C2A3B" w:rsidRPr="00791987">
              <w:rPr>
                <w:b/>
                <w:vertAlign w:val="superscript"/>
                <w:lang w:val="el-GR"/>
              </w:rPr>
              <w:t>33</w:t>
            </w:r>
          </w:p>
          <w:p w:rsidR="00F834E0" w:rsidRPr="00E81051" w:rsidRDefault="00F834E0">
            <w:pPr>
              <w:pStyle w:val="A-TableText"/>
              <w:rPr>
                <w:lang w:val="el-GR"/>
              </w:rPr>
            </w:pPr>
          </w:p>
        </w:tc>
        <w:tc>
          <w:tcPr>
            <w:tcW w:w="3119" w:type="dxa"/>
            <w:gridSpan w:val="3"/>
            <w:tcBorders>
              <w:bottom w:val="single" w:sz="4" w:space="0" w:color="auto"/>
            </w:tcBorders>
          </w:tcPr>
          <w:p w:rsidR="00380EEB" w:rsidRPr="00BC6736" w:rsidRDefault="00380EEB">
            <w:pPr>
              <w:pStyle w:val="A-TableHeader"/>
              <w:keepNext w:val="0"/>
              <w:rPr>
                <w:b w:val="0"/>
                <w:bCs w:val="0"/>
                <w:lang w:val="el-GR"/>
              </w:rPr>
            </w:pPr>
          </w:p>
        </w:tc>
      </w:tr>
      <w:tr w:rsidR="00380EEB" w:rsidRPr="00A66AB5">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E81051" w:rsidRDefault="00380EEB">
            <w:pPr>
              <w:pStyle w:val="A-TableHeader"/>
              <w:keepNext w:val="0"/>
              <w:rPr>
                <w:bCs w:val="0"/>
              </w:rPr>
            </w:pPr>
            <w:r w:rsidRPr="00E81051">
              <w:rPr>
                <w:bCs w:val="0"/>
                <w:i/>
                <w:lang w:val="el-GR"/>
              </w:rPr>
              <w:t>Οφθαλμικές διαταραχές</w:t>
            </w:r>
          </w:p>
        </w:tc>
      </w:tr>
      <w:tr w:rsidR="00380EEB" w:rsidRPr="00A66AB5">
        <w:trPr>
          <w:cantSplit/>
          <w:tblHeader/>
        </w:trPr>
        <w:tc>
          <w:tcPr>
            <w:tcW w:w="1809" w:type="dxa"/>
          </w:tcPr>
          <w:p w:rsidR="00380EEB" w:rsidRPr="00A66AB5" w:rsidRDefault="00380EEB">
            <w:pPr>
              <w:pStyle w:val="A-TableHeader"/>
              <w:keepNext w:val="0"/>
              <w:rPr>
                <w:bCs w:val="0"/>
              </w:rPr>
            </w:pPr>
            <w:r w:rsidRPr="00A66AB5">
              <w:rPr>
                <w:bCs w:val="0"/>
                <w:i/>
                <w:lang w:val="el-GR"/>
              </w:rPr>
              <w:t>Συχνές:</w:t>
            </w:r>
          </w:p>
        </w:tc>
        <w:tc>
          <w:tcPr>
            <w:tcW w:w="3544" w:type="dxa"/>
            <w:gridSpan w:val="2"/>
          </w:tcPr>
          <w:p w:rsidR="00380EEB" w:rsidRPr="00A44E51" w:rsidRDefault="00380EEB">
            <w:pPr>
              <w:pStyle w:val="A-TableHeader"/>
              <w:keepNext w:val="0"/>
              <w:rPr>
                <w:bCs w:val="0"/>
              </w:rPr>
            </w:pPr>
            <w:r w:rsidRPr="00791987">
              <w:rPr>
                <w:bCs w:val="0"/>
                <w:lang w:val="el-GR"/>
              </w:rPr>
              <w:t>Θάμβος όρασης</w:t>
            </w:r>
          </w:p>
        </w:tc>
        <w:tc>
          <w:tcPr>
            <w:tcW w:w="3119" w:type="dxa"/>
            <w:gridSpan w:val="3"/>
          </w:tcPr>
          <w:p w:rsidR="00380EEB" w:rsidRPr="00A66AB5" w:rsidRDefault="00380EEB">
            <w:pPr>
              <w:pStyle w:val="A-TableHeader"/>
              <w:keepNext w:val="0"/>
              <w:rPr>
                <w:b w:val="0"/>
                <w:bCs w:val="0"/>
                <w:i/>
              </w:rPr>
            </w:pPr>
          </w:p>
        </w:tc>
      </w:tr>
      <w:tr w:rsidR="00380EEB" w:rsidRPr="00A66AB5">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rPr>
            </w:pPr>
            <w:r w:rsidRPr="00A66AB5">
              <w:rPr>
                <w:bCs w:val="0"/>
                <w:i/>
                <w:lang w:val="el-GR"/>
              </w:rPr>
              <w:t>Αγγειακές διαταραχές</w:t>
            </w:r>
          </w:p>
        </w:tc>
      </w:tr>
      <w:tr w:rsidR="00380EEB" w:rsidRPr="00A66AB5">
        <w:trPr>
          <w:tblHeader/>
        </w:trPr>
        <w:tc>
          <w:tcPr>
            <w:tcW w:w="1809" w:type="dxa"/>
            <w:tcBorders>
              <w:bottom w:val="single" w:sz="4" w:space="0" w:color="auto"/>
            </w:tcBorders>
          </w:tcPr>
          <w:p w:rsidR="00380EEB" w:rsidRDefault="00380EEB">
            <w:pPr>
              <w:pStyle w:val="A-TableHeader"/>
              <w:keepNext w:val="0"/>
              <w:rPr>
                <w:bCs w:val="0"/>
                <w:i/>
                <w:lang w:val="el-GR"/>
              </w:rPr>
            </w:pPr>
            <w:r w:rsidRPr="00A66AB5">
              <w:rPr>
                <w:bCs w:val="0"/>
                <w:i/>
                <w:lang w:val="el-GR"/>
              </w:rPr>
              <w:t>Συχνές:</w:t>
            </w:r>
          </w:p>
          <w:p w:rsidR="00A44E51" w:rsidRPr="00791987" w:rsidRDefault="00A44E51" w:rsidP="00791987">
            <w:pPr>
              <w:pStyle w:val="A-TableText"/>
              <w:rPr>
                <w:i/>
                <w:lang w:val="el-GR"/>
              </w:rPr>
            </w:pPr>
            <w:r w:rsidRPr="00791987">
              <w:rPr>
                <w:i/>
                <w:lang w:val="el-GR"/>
              </w:rPr>
              <w:t>Σπάνιες:</w:t>
            </w:r>
          </w:p>
        </w:tc>
        <w:tc>
          <w:tcPr>
            <w:tcW w:w="3544" w:type="dxa"/>
            <w:gridSpan w:val="2"/>
            <w:tcBorders>
              <w:bottom w:val="single" w:sz="4" w:space="0" w:color="auto"/>
            </w:tcBorders>
          </w:tcPr>
          <w:p w:rsidR="00380EEB" w:rsidRPr="00A66AB5" w:rsidRDefault="00380EEB">
            <w:pPr>
              <w:pStyle w:val="A-TableText"/>
              <w:rPr>
                <w:vertAlign w:val="superscript"/>
              </w:rPr>
            </w:pPr>
            <w:proofErr w:type="spellStart"/>
            <w:r w:rsidRPr="00A66AB5">
              <w:rPr>
                <w:lang w:val="el-GR"/>
              </w:rPr>
              <w:t>Ορθοστατική</w:t>
            </w:r>
            <w:proofErr w:type="spellEnd"/>
            <w:r w:rsidRPr="00A66AB5">
              <w:rPr>
                <w:lang w:val="el-GR"/>
              </w:rPr>
              <w:t xml:space="preserve"> υπόταση</w:t>
            </w:r>
            <w:r w:rsidRPr="00A66AB5">
              <w:rPr>
                <w:vertAlign w:val="superscript"/>
                <w:lang w:val="en-US"/>
              </w:rPr>
              <w:t>4,17</w:t>
            </w:r>
          </w:p>
          <w:p w:rsidR="00380EEB" w:rsidRPr="00791987" w:rsidRDefault="00380EEB">
            <w:pPr>
              <w:pStyle w:val="A-TableText"/>
              <w:rPr>
                <w:b/>
                <w:lang w:val="el-GR"/>
              </w:rPr>
            </w:pPr>
            <w:r w:rsidRPr="00791987">
              <w:rPr>
                <w:b/>
                <w:lang w:val="el-GR"/>
              </w:rPr>
              <w:t>Φλεβική θρομβοεμβολή</w:t>
            </w:r>
            <w:r w:rsidRPr="00791987">
              <w:rPr>
                <w:b/>
                <w:vertAlign w:val="superscript"/>
                <w:lang w:val="el-GR"/>
              </w:rPr>
              <w:t>1</w:t>
            </w:r>
          </w:p>
        </w:tc>
        <w:tc>
          <w:tcPr>
            <w:tcW w:w="3119" w:type="dxa"/>
            <w:gridSpan w:val="3"/>
            <w:tcBorders>
              <w:bottom w:val="single" w:sz="4" w:space="0" w:color="auto"/>
            </w:tcBorders>
          </w:tcPr>
          <w:p w:rsidR="00380EEB" w:rsidRPr="00A66AB5" w:rsidRDefault="00380EEB">
            <w:pPr>
              <w:pStyle w:val="A-TableHeader"/>
              <w:keepNext w:val="0"/>
              <w:rPr>
                <w:b w:val="0"/>
                <w:bCs w:val="0"/>
              </w:rPr>
            </w:pPr>
          </w:p>
        </w:tc>
      </w:tr>
      <w:tr w:rsidR="00380EEB" w:rsidRPr="002F0C2B">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 xml:space="preserve">Διαταραχές του αναπνευστικού συστήματος, του θώρακα και του </w:t>
            </w:r>
            <w:proofErr w:type="spellStart"/>
            <w:r w:rsidRPr="00A66AB5">
              <w:rPr>
                <w:bCs w:val="0"/>
                <w:i/>
                <w:lang w:val="el-GR"/>
              </w:rPr>
              <w:t>μεσοθωρ</w:t>
            </w:r>
            <w:r w:rsidR="00E3201C" w:rsidRPr="00A66AB5">
              <w:rPr>
                <w:bCs w:val="0"/>
                <w:i/>
                <w:lang w:val="el-GR"/>
              </w:rPr>
              <w:t>ά</w:t>
            </w:r>
            <w:r w:rsidRPr="00A66AB5">
              <w:rPr>
                <w:bCs w:val="0"/>
                <w:i/>
                <w:lang w:val="el-GR"/>
              </w:rPr>
              <w:t>κ</w:t>
            </w:r>
            <w:r w:rsidR="00E3201C" w:rsidRPr="00A66AB5">
              <w:rPr>
                <w:bCs w:val="0"/>
                <w:i/>
                <w:lang w:val="el-GR"/>
              </w:rPr>
              <w:t>ι</w:t>
            </w:r>
            <w:r w:rsidRPr="00A66AB5">
              <w:rPr>
                <w:bCs w:val="0"/>
                <w:i/>
                <w:lang w:val="el-GR"/>
              </w:rPr>
              <w:t>ου</w:t>
            </w:r>
            <w:proofErr w:type="spellEnd"/>
          </w:p>
        </w:tc>
      </w:tr>
      <w:tr w:rsidR="00380EEB" w:rsidRPr="00A66AB5">
        <w:trPr>
          <w:tblHeader/>
        </w:trPr>
        <w:tc>
          <w:tcPr>
            <w:tcW w:w="1809" w:type="dxa"/>
            <w:tcBorders>
              <w:bottom w:val="single" w:sz="4" w:space="0" w:color="auto"/>
            </w:tcBorders>
          </w:tcPr>
          <w:p w:rsidR="00380EEB" w:rsidRPr="00A66AB5" w:rsidRDefault="00380EEB">
            <w:pPr>
              <w:pStyle w:val="A-TableHeader"/>
              <w:keepNext w:val="0"/>
              <w:rPr>
                <w:bCs w:val="0"/>
              </w:rPr>
            </w:pPr>
            <w:r w:rsidRPr="00A66AB5">
              <w:rPr>
                <w:bCs w:val="0"/>
                <w:i/>
                <w:lang w:val="el-GR"/>
              </w:rPr>
              <w:t>Συχνές:</w:t>
            </w:r>
          </w:p>
        </w:tc>
        <w:tc>
          <w:tcPr>
            <w:tcW w:w="3544" w:type="dxa"/>
            <w:gridSpan w:val="2"/>
            <w:tcBorders>
              <w:bottom w:val="single" w:sz="4" w:space="0" w:color="auto"/>
            </w:tcBorders>
          </w:tcPr>
          <w:p w:rsidR="00380EEB" w:rsidRPr="00A66AB5" w:rsidRDefault="00380EEB">
            <w:pPr>
              <w:pStyle w:val="A-TableText"/>
              <w:rPr>
                <w:lang w:val="el-GR"/>
              </w:rPr>
            </w:pPr>
            <w:r w:rsidRPr="00A66AB5">
              <w:rPr>
                <w:lang w:val="el-GR"/>
              </w:rPr>
              <w:t>Ρινίτιδα</w:t>
            </w:r>
            <w:r w:rsidR="00F834E0" w:rsidRPr="00A66AB5">
              <w:rPr>
                <w:lang w:val="el-GR"/>
              </w:rPr>
              <w:t>, δύσπνοια</w:t>
            </w:r>
            <w:r w:rsidR="00F834E0" w:rsidRPr="00A66AB5">
              <w:rPr>
                <w:vertAlign w:val="superscript"/>
                <w:lang w:val="en-US"/>
              </w:rPr>
              <w:t>24</w:t>
            </w:r>
          </w:p>
        </w:tc>
        <w:tc>
          <w:tcPr>
            <w:tcW w:w="3119" w:type="dxa"/>
            <w:gridSpan w:val="3"/>
            <w:tcBorders>
              <w:bottom w:val="single" w:sz="4" w:space="0" w:color="auto"/>
            </w:tcBorders>
          </w:tcPr>
          <w:p w:rsidR="00380EEB" w:rsidRPr="00A66AB5" w:rsidRDefault="00380EEB">
            <w:pPr>
              <w:pStyle w:val="A-TableHeader"/>
              <w:keepNext w:val="0"/>
              <w:rPr>
                <w:b w:val="0"/>
                <w:bCs w:val="0"/>
              </w:rPr>
            </w:pPr>
          </w:p>
        </w:tc>
      </w:tr>
      <w:tr w:rsidR="00380EEB" w:rsidRPr="00A66AB5">
        <w:trPr>
          <w:cantSplit/>
          <w:tblHeader/>
        </w:trPr>
        <w:tc>
          <w:tcPr>
            <w:tcW w:w="8472" w:type="dxa"/>
            <w:gridSpan w:val="6"/>
          </w:tcPr>
          <w:p w:rsidR="009C2A3B" w:rsidRDefault="009C2A3B">
            <w:pPr>
              <w:pStyle w:val="A-TableHeader"/>
              <w:keepNext w:val="0"/>
              <w:rPr>
                <w:bCs w:val="0"/>
                <w:i/>
                <w:lang w:val="el-GR"/>
              </w:rPr>
            </w:pPr>
          </w:p>
          <w:p w:rsidR="00380EEB" w:rsidRPr="00A66AB5" w:rsidRDefault="00380EEB">
            <w:pPr>
              <w:pStyle w:val="A-TableHeader"/>
              <w:keepNext w:val="0"/>
              <w:rPr>
                <w:bCs w:val="0"/>
              </w:rPr>
            </w:pPr>
            <w:r w:rsidRPr="00A66AB5">
              <w:rPr>
                <w:bCs w:val="0"/>
                <w:i/>
                <w:lang w:val="el-GR"/>
              </w:rPr>
              <w:t>Διαταραχές του γαστρεντερικού</w:t>
            </w:r>
          </w:p>
        </w:tc>
      </w:tr>
      <w:tr w:rsidR="00380EEB" w:rsidRPr="00A66AB5">
        <w:trPr>
          <w:tblHeader/>
        </w:trPr>
        <w:tc>
          <w:tcPr>
            <w:tcW w:w="1809" w:type="dxa"/>
          </w:tcPr>
          <w:p w:rsidR="00380EEB" w:rsidRPr="00A66AB5" w:rsidRDefault="00380EEB">
            <w:pPr>
              <w:pStyle w:val="A-TableHeader"/>
              <w:keepNext w:val="0"/>
              <w:rPr>
                <w:bCs w:val="0"/>
              </w:rPr>
            </w:pPr>
            <w:r w:rsidRPr="00A66AB5">
              <w:rPr>
                <w:bCs w:val="0"/>
                <w:i/>
                <w:lang w:val="el-GR"/>
              </w:rPr>
              <w:t>Πολύ συχνές:</w:t>
            </w:r>
          </w:p>
        </w:tc>
        <w:tc>
          <w:tcPr>
            <w:tcW w:w="3544" w:type="dxa"/>
            <w:gridSpan w:val="2"/>
          </w:tcPr>
          <w:p w:rsidR="00380EEB" w:rsidRPr="00A66AB5" w:rsidRDefault="00380EEB">
            <w:pPr>
              <w:pStyle w:val="A-TableText"/>
              <w:rPr>
                <w:lang w:val="el-GR"/>
              </w:rPr>
            </w:pPr>
            <w:r w:rsidRPr="00A66AB5">
              <w:rPr>
                <w:lang w:val="el-GR"/>
              </w:rPr>
              <w:t>Ξηροστομία</w:t>
            </w:r>
          </w:p>
        </w:tc>
        <w:tc>
          <w:tcPr>
            <w:tcW w:w="3119" w:type="dxa"/>
            <w:gridSpan w:val="3"/>
          </w:tcPr>
          <w:p w:rsidR="00380EEB" w:rsidRPr="00A66AB5" w:rsidRDefault="00380EEB">
            <w:pPr>
              <w:pStyle w:val="A-TableHeader"/>
              <w:keepNext w:val="0"/>
              <w:rPr>
                <w:b w:val="0"/>
                <w:bCs w:val="0"/>
              </w:rPr>
            </w:pPr>
          </w:p>
        </w:tc>
      </w:tr>
      <w:tr w:rsidR="00380EEB" w:rsidRPr="00A66AB5">
        <w:trPr>
          <w:tblHeader/>
        </w:trPr>
        <w:tc>
          <w:tcPr>
            <w:tcW w:w="1809" w:type="dxa"/>
          </w:tcPr>
          <w:p w:rsidR="00380EEB" w:rsidRPr="00A66AB5" w:rsidRDefault="00380EEB">
            <w:pPr>
              <w:pStyle w:val="A-TableHeader"/>
              <w:keepNext w:val="0"/>
              <w:rPr>
                <w:bCs w:val="0"/>
              </w:rPr>
            </w:pPr>
            <w:r w:rsidRPr="00A66AB5">
              <w:rPr>
                <w:bCs w:val="0"/>
                <w:i/>
                <w:lang w:val="el-GR"/>
              </w:rPr>
              <w:t>Συχνές:</w:t>
            </w:r>
          </w:p>
        </w:tc>
        <w:tc>
          <w:tcPr>
            <w:tcW w:w="3544" w:type="dxa"/>
            <w:gridSpan w:val="2"/>
          </w:tcPr>
          <w:p w:rsidR="00380EEB" w:rsidRPr="00277E70" w:rsidRDefault="00380EEB">
            <w:pPr>
              <w:pStyle w:val="A-TableText"/>
              <w:rPr>
                <w:lang w:val="el-GR"/>
              </w:rPr>
            </w:pPr>
            <w:r w:rsidRPr="00A66AB5">
              <w:rPr>
                <w:lang w:val="el-GR"/>
              </w:rPr>
              <w:t>Δυσκοιλιότητα, δυσπεψία</w:t>
            </w:r>
            <w:r w:rsidR="00F834E0" w:rsidRPr="00A66AB5">
              <w:rPr>
                <w:lang w:val="el-GR"/>
              </w:rPr>
              <w:t>, έμετος</w:t>
            </w:r>
            <w:r w:rsidR="00F834E0" w:rsidRPr="00A66AB5">
              <w:rPr>
                <w:vertAlign w:val="superscript"/>
                <w:lang w:val="el-GR"/>
              </w:rPr>
              <w:t>26</w:t>
            </w:r>
          </w:p>
        </w:tc>
        <w:tc>
          <w:tcPr>
            <w:tcW w:w="3119" w:type="dxa"/>
            <w:gridSpan w:val="3"/>
          </w:tcPr>
          <w:p w:rsidR="00380EEB" w:rsidRPr="00277E70" w:rsidRDefault="00380EEB">
            <w:pPr>
              <w:pStyle w:val="A-TableHeader"/>
              <w:keepNext w:val="0"/>
              <w:rPr>
                <w:b w:val="0"/>
                <w:bCs w:val="0"/>
              </w:rPr>
            </w:pPr>
          </w:p>
        </w:tc>
      </w:tr>
      <w:tr w:rsidR="00380EEB" w:rsidRPr="00A66AB5">
        <w:trPr>
          <w:tblHeader/>
        </w:trPr>
        <w:tc>
          <w:tcPr>
            <w:tcW w:w="1809" w:type="dxa"/>
            <w:tcBorders>
              <w:bottom w:val="single" w:sz="4" w:space="0" w:color="auto"/>
            </w:tcBorders>
          </w:tcPr>
          <w:p w:rsidR="00380EEB" w:rsidRPr="00791987" w:rsidRDefault="00380EEB">
            <w:pPr>
              <w:pStyle w:val="A-TableHeader"/>
              <w:keepNext w:val="0"/>
              <w:rPr>
                <w:b w:val="0"/>
                <w:bCs w:val="0"/>
                <w:i/>
                <w:lang w:val="el-GR"/>
              </w:rPr>
            </w:pPr>
            <w:r w:rsidRPr="00791987">
              <w:rPr>
                <w:b w:val="0"/>
                <w:bCs w:val="0"/>
                <w:i/>
                <w:lang w:val="el-GR"/>
              </w:rPr>
              <w:t>Όχι συχνές:</w:t>
            </w:r>
          </w:p>
          <w:p w:rsidR="00F834E0" w:rsidRPr="00A66AB5" w:rsidRDefault="00F834E0" w:rsidP="00A66AB5">
            <w:pPr>
              <w:pStyle w:val="A-TableText"/>
              <w:rPr>
                <w:lang w:val="el-GR"/>
              </w:rPr>
            </w:pPr>
            <w:r w:rsidRPr="00A66AB5">
              <w:rPr>
                <w:b/>
                <w:i/>
                <w:lang w:val="el-GR"/>
              </w:rPr>
              <w:t>Σπάνιες:</w:t>
            </w:r>
          </w:p>
        </w:tc>
        <w:tc>
          <w:tcPr>
            <w:tcW w:w="3544" w:type="dxa"/>
            <w:gridSpan w:val="2"/>
            <w:tcBorders>
              <w:bottom w:val="single" w:sz="4" w:space="0" w:color="auto"/>
            </w:tcBorders>
          </w:tcPr>
          <w:p w:rsidR="00380EEB" w:rsidRPr="00791987" w:rsidRDefault="00380EEB">
            <w:pPr>
              <w:pStyle w:val="A-TableText"/>
              <w:rPr>
                <w:b/>
                <w:vertAlign w:val="superscript"/>
                <w:lang w:val="el-GR"/>
              </w:rPr>
            </w:pPr>
            <w:r w:rsidRPr="00791987">
              <w:rPr>
                <w:b/>
                <w:lang w:val="el-GR"/>
              </w:rPr>
              <w:t>Δυσφαγία</w:t>
            </w:r>
            <w:r w:rsidRPr="00791987">
              <w:rPr>
                <w:b/>
                <w:vertAlign w:val="superscript"/>
                <w:lang w:val="el-GR"/>
              </w:rPr>
              <w:t>8</w:t>
            </w:r>
          </w:p>
          <w:p w:rsidR="00F834E0" w:rsidRPr="00791987" w:rsidRDefault="00F834E0">
            <w:pPr>
              <w:pStyle w:val="A-TableText"/>
              <w:rPr>
                <w:b/>
                <w:lang w:val="el-GR"/>
              </w:rPr>
            </w:pPr>
            <w:r w:rsidRPr="00791987">
              <w:rPr>
                <w:b/>
                <w:lang w:val="el-GR"/>
              </w:rPr>
              <w:t>Παγκρεατίτιδα</w:t>
            </w:r>
            <w:r w:rsidRPr="00791987">
              <w:rPr>
                <w:b/>
                <w:vertAlign w:val="superscript"/>
                <w:lang w:val="el-GR"/>
              </w:rPr>
              <w:t>1</w:t>
            </w:r>
          </w:p>
        </w:tc>
        <w:tc>
          <w:tcPr>
            <w:tcW w:w="3119" w:type="dxa"/>
            <w:gridSpan w:val="3"/>
            <w:tcBorders>
              <w:bottom w:val="single" w:sz="4" w:space="0" w:color="auto"/>
            </w:tcBorders>
          </w:tcPr>
          <w:p w:rsidR="00380EEB" w:rsidRPr="00A66AB5" w:rsidRDefault="00380EEB">
            <w:pPr>
              <w:pStyle w:val="A-TableHeader"/>
              <w:keepNext w:val="0"/>
              <w:rPr>
                <w:b w:val="0"/>
                <w:bCs w:val="0"/>
              </w:rPr>
            </w:pPr>
          </w:p>
        </w:tc>
      </w:tr>
      <w:tr w:rsidR="00380EEB" w:rsidRPr="002F0C2B">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lang w:val="el-GR"/>
              </w:rPr>
            </w:pPr>
            <w:r w:rsidRPr="00E81051">
              <w:rPr>
                <w:bCs w:val="0"/>
                <w:i/>
                <w:lang w:val="el-GR"/>
              </w:rPr>
              <w:t>Διαταραχές του ήπατος και των χοληφόρων</w:t>
            </w:r>
          </w:p>
        </w:tc>
      </w:tr>
      <w:tr w:rsidR="00380EEB" w:rsidRPr="00A66AB5">
        <w:trPr>
          <w:tblHeader/>
        </w:trPr>
        <w:tc>
          <w:tcPr>
            <w:tcW w:w="1809" w:type="dxa"/>
          </w:tcPr>
          <w:p w:rsidR="00F834E0" w:rsidRPr="00A66AB5" w:rsidRDefault="00F834E0">
            <w:pPr>
              <w:pStyle w:val="A-TableHeader"/>
              <w:keepNext w:val="0"/>
              <w:rPr>
                <w:bCs w:val="0"/>
                <w:i/>
                <w:lang w:val="el-GR"/>
              </w:rPr>
            </w:pPr>
            <w:r w:rsidRPr="00A66AB5">
              <w:rPr>
                <w:bCs w:val="0"/>
                <w:i/>
                <w:lang w:val="el-GR"/>
              </w:rPr>
              <w:t>Συχνές:</w:t>
            </w:r>
          </w:p>
          <w:p w:rsidR="00F834E0" w:rsidRPr="00A66AB5" w:rsidRDefault="00F834E0">
            <w:pPr>
              <w:pStyle w:val="A-TableHeader"/>
              <w:keepNext w:val="0"/>
              <w:rPr>
                <w:bCs w:val="0"/>
                <w:i/>
                <w:lang w:val="el-GR"/>
              </w:rPr>
            </w:pPr>
          </w:p>
          <w:p w:rsidR="00F834E0" w:rsidRPr="00A66AB5" w:rsidRDefault="00F834E0">
            <w:pPr>
              <w:pStyle w:val="A-TableHeader"/>
              <w:keepNext w:val="0"/>
              <w:rPr>
                <w:bCs w:val="0"/>
                <w:i/>
                <w:lang w:val="el-GR"/>
              </w:rPr>
            </w:pPr>
          </w:p>
          <w:p w:rsidR="00380EEB" w:rsidRPr="00A66AB5" w:rsidRDefault="00380EEB">
            <w:pPr>
              <w:pStyle w:val="A-TableHeader"/>
              <w:keepNext w:val="0"/>
              <w:rPr>
                <w:bCs w:val="0"/>
              </w:rPr>
            </w:pPr>
            <w:r w:rsidRPr="00A66AB5">
              <w:rPr>
                <w:bCs w:val="0"/>
                <w:i/>
                <w:lang w:val="el-GR"/>
              </w:rPr>
              <w:t>Σπάνιες:</w:t>
            </w:r>
          </w:p>
        </w:tc>
        <w:tc>
          <w:tcPr>
            <w:tcW w:w="3544" w:type="dxa"/>
            <w:gridSpan w:val="2"/>
          </w:tcPr>
          <w:p w:rsidR="00F834E0" w:rsidRPr="00791987" w:rsidRDefault="00F834E0">
            <w:pPr>
              <w:pStyle w:val="A-TableText"/>
              <w:rPr>
                <w:b/>
                <w:lang w:val="el-GR"/>
              </w:rPr>
            </w:pPr>
            <w:r w:rsidRPr="00791987">
              <w:rPr>
                <w:b/>
                <w:lang w:val="el-GR"/>
              </w:rPr>
              <w:t xml:space="preserve">Αυξήσεις στις </w:t>
            </w:r>
            <w:proofErr w:type="spellStart"/>
            <w:r w:rsidRPr="00791987">
              <w:rPr>
                <w:b/>
                <w:lang w:val="el-GR"/>
              </w:rPr>
              <w:t>τρανσαμινάσες</w:t>
            </w:r>
            <w:proofErr w:type="spellEnd"/>
            <w:r w:rsidR="00DB7BB0" w:rsidRPr="00791987">
              <w:rPr>
                <w:b/>
                <w:lang w:val="el-GR"/>
              </w:rPr>
              <w:t xml:space="preserve"> στον ορό</w:t>
            </w:r>
            <w:r w:rsidR="009C2A3B" w:rsidRPr="00791987">
              <w:rPr>
                <w:b/>
                <w:lang w:val="el-GR"/>
              </w:rPr>
              <w:t xml:space="preserve"> </w:t>
            </w:r>
            <w:r w:rsidRPr="00791987">
              <w:rPr>
                <w:b/>
                <w:lang w:val="el-GR"/>
              </w:rPr>
              <w:t>(ALT, AST)</w:t>
            </w:r>
            <w:r w:rsidRPr="00791987">
              <w:rPr>
                <w:b/>
                <w:vertAlign w:val="superscript"/>
                <w:lang w:val="el-GR"/>
              </w:rPr>
              <w:t>3</w:t>
            </w:r>
            <w:r w:rsidRPr="00791987">
              <w:rPr>
                <w:b/>
                <w:lang w:val="el-GR"/>
              </w:rPr>
              <w:t>,</w:t>
            </w:r>
            <w:r w:rsidRPr="00791987">
              <w:rPr>
                <w:b/>
                <w:vertAlign w:val="superscript"/>
                <w:lang w:val="el-GR"/>
              </w:rPr>
              <w:t xml:space="preserve"> </w:t>
            </w:r>
            <w:r w:rsidRPr="00791987">
              <w:rPr>
                <w:b/>
                <w:lang w:val="el-GR"/>
              </w:rPr>
              <w:t>αυξήσεις στα επίπεδα της γ-GT</w:t>
            </w:r>
            <w:r w:rsidRPr="00791987">
              <w:rPr>
                <w:b/>
                <w:vertAlign w:val="superscript"/>
                <w:lang w:val="el-GR"/>
              </w:rPr>
              <w:t>3</w:t>
            </w:r>
          </w:p>
          <w:p w:rsidR="00380EEB" w:rsidRPr="00A66AB5" w:rsidRDefault="00380EEB" w:rsidP="0070681F">
            <w:pPr>
              <w:pStyle w:val="A-TableText"/>
              <w:rPr>
                <w:lang w:val="en-US"/>
              </w:rPr>
            </w:pPr>
            <w:r w:rsidRPr="00A66AB5">
              <w:rPr>
                <w:lang w:val="el-GR"/>
              </w:rPr>
              <w:t>Ίκτερος</w:t>
            </w:r>
            <w:r w:rsidRPr="00A66AB5">
              <w:rPr>
                <w:vertAlign w:val="superscript"/>
                <w:lang w:val="el-GR"/>
              </w:rPr>
              <w:t>6</w:t>
            </w:r>
            <w:r w:rsidR="0070681F" w:rsidRPr="00A66AB5">
              <w:rPr>
                <w:lang w:val="el-GR"/>
              </w:rPr>
              <w:t>, ηπατίτιδα</w:t>
            </w:r>
          </w:p>
        </w:tc>
        <w:tc>
          <w:tcPr>
            <w:tcW w:w="3119" w:type="dxa"/>
            <w:gridSpan w:val="3"/>
          </w:tcPr>
          <w:p w:rsidR="00380EEB" w:rsidRPr="00277E70" w:rsidRDefault="00380EEB">
            <w:pPr>
              <w:pStyle w:val="A-TableHeader"/>
              <w:keepNext w:val="0"/>
              <w:rPr>
                <w:b w:val="0"/>
                <w:bCs w:val="0"/>
              </w:rPr>
            </w:pPr>
          </w:p>
        </w:tc>
      </w:tr>
      <w:tr w:rsidR="00380EEB" w:rsidRPr="00A66AB5">
        <w:trPr>
          <w:tblHeader/>
        </w:trPr>
        <w:tc>
          <w:tcPr>
            <w:tcW w:w="1809" w:type="dxa"/>
            <w:tcBorders>
              <w:bottom w:val="single" w:sz="4" w:space="0" w:color="auto"/>
            </w:tcBorders>
          </w:tcPr>
          <w:p w:rsidR="00380EEB" w:rsidRPr="00A66AB5" w:rsidRDefault="00380EEB">
            <w:pPr>
              <w:pStyle w:val="A-TableHeader"/>
              <w:keepNext w:val="0"/>
              <w:rPr>
                <w:bCs w:val="0"/>
              </w:rPr>
            </w:pPr>
          </w:p>
        </w:tc>
        <w:tc>
          <w:tcPr>
            <w:tcW w:w="3544" w:type="dxa"/>
            <w:gridSpan w:val="2"/>
            <w:tcBorders>
              <w:bottom w:val="single" w:sz="4" w:space="0" w:color="auto"/>
            </w:tcBorders>
          </w:tcPr>
          <w:p w:rsidR="00380EEB" w:rsidRPr="00A66AB5" w:rsidRDefault="00380EEB">
            <w:pPr>
              <w:pStyle w:val="A-TableText"/>
              <w:rPr>
                <w:lang w:val="el-GR"/>
              </w:rPr>
            </w:pPr>
          </w:p>
        </w:tc>
        <w:tc>
          <w:tcPr>
            <w:tcW w:w="3119" w:type="dxa"/>
            <w:gridSpan w:val="3"/>
            <w:tcBorders>
              <w:bottom w:val="single" w:sz="4" w:space="0" w:color="auto"/>
            </w:tcBorders>
          </w:tcPr>
          <w:p w:rsidR="00380EEB" w:rsidRPr="00A66AB5" w:rsidRDefault="00380EEB">
            <w:pPr>
              <w:pStyle w:val="A-TableHeader"/>
              <w:keepNext w:val="0"/>
              <w:rPr>
                <w:b w:val="0"/>
                <w:bCs w:val="0"/>
              </w:rPr>
            </w:pPr>
          </w:p>
        </w:tc>
      </w:tr>
      <w:tr w:rsidR="00380EEB" w:rsidRPr="002F0C2B">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lang w:val="el-GR"/>
              </w:rPr>
            </w:pPr>
            <w:r w:rsidRPr="00A66AB5">
              <w:rPr>
                <w:bCs w:val="0"/>
                <w:i/>
                <w:lang w:val="el-GR"/>
              </w:rPr>
              <w:t>Διαταραχές του δέρματος και του υποδόριου ιστού</w:t>
            </w:r>
          </w:p>
        </w:tc>
      </w:tr>
      <w:tr w:rsidR="00380EEB" w:rsidRPr="002F0C2B">
        <w:trPr>
          <w:tblHeader/>
        </w:trPr>
        <w:tc>
          <w:tcPr>
            <w:tcW w:w="1809" w:type="dxa"/>
            <w:tcBorders>
              <w:bottom w:val="single" w:sz="4" w:space="0" w:color="auto"/>
            </w:tcBorders>
          </w:tcPr>
          <w:p w:rsidR="00380EEB" w:rsidRPr="00A66AB5" w:rsidRDefault="00380EEB">
            <w:pPr>
              <w:pStyle w:val="A-TableHeader"/>
              <w:keepNext w:val="0"/>
              <w:rPr>
                <w:bCs w:val="0"/>
                <w:i/>
                <w:lang w:val="el-GR"/>
              </w:rPr>
            </w:pPr>
            <w:r w:rsidRPr="00A66AB5">
              <w:rPr>
                <w:bCs w:val="0"/>
                <w:i/>
                <w:lang w:val="el-GR"/>
              </w:rPr>
              <w:t>Πολύ σπάνιες:</w:t>
            </w:r>
          </w:p>
          <w:p w:rsidR="0070681F" w:rsidRPr="00A66AB5" w:rsidRDefault="0070681F" w:rsidP="00A66AB5">
            <w:pPr>
              <w:pStyle w:val="A-TableText"/>
              <w:rPr>
                <w:b/>
                <w:i/>
                <w:lang w:val="el-GR"/>
              </w:rPr>
            </w:pPr>
          </w:p>
          <w:p w:rsidR="0070681F" w:rsidRPr="00A66AB5" w:rsidRDefault="0070681F" w:rsidP="00A66AB5">
            <w:pPr>
              <w:pStyle w:val="A-TableText"/>
              <w:rPr>
                <w:lang w:val="el-GR"/>
              </w:rPr>
            </w:pPr>
            <w:r w:rsidRPr="00A66AB5">
              <w:rPr>
                <w:b/>
                <w:i/>
                <w:lang w:val="el-GR"/>
              </w:rPr>
              <w:t>Όχι συχνές:</w:t>
            </w:r>
          </w:p>
        </w:tc>
        <w:tc>
          <w:tcPr>
            <w:tcW w:w="3852" w:type="dxa"/>
            <w:gridSpan w:val="4"/>
            <w:tcBorders>
              <w:bottom w:val="single" w:sz="4" w:space="0" w:color="auto"/>
            </w:tcBorders>
          </w:tcPr>
          <w:p w:rsidR="00380EEB" w:rsidRPr="00277E70" w:rsidRDefault="00380EEB">
            <w:pPr>
              <w:pStyle w:val="A-TableText"/>
              <w:rPr>
                <w:vertAlign w:val="superscript"/>
                <w:lang w:val="el-GR"/>
              </w:rPr>
            </w:pPr>
            <w:proofErr w:type="spellStart"/>
            <w:r w:rsidRPr="00277E70">
              <w:rPr>
                <w:lang w:val="el-GR"/>
              </w:rPr>
              <w:t>Αγγειοοίδημα</w:t>
            </w:r>
            <w:proofErr w:type="spellEnd"/>
            <w:r w:rsidRPr="00277E70">
              <w:rPr>
                <w:lang w:val="el-GR"/>
              </w:rPr>
              <w:t xml:space="preserve"> </w:t>
            </w:r>
            <w:r w:rsidRPr="00A66AB5">
              <w:rPr>
                <w:vertAlign w:val="superscript"/>
                <w:lang w:val="el-GR"/>
              </w:rPr>
              <w:t>6</w:t>
            </w:r>
            <w:r w:rsidRPr="00A66AB5">
              <w:rPr>
                <w:lang w:val="el-GR"/>
              </w:rPr>
              <w:t xml:space="preserve">, </w:t>
            </w:r>
            <w:r w:rsidRPr="00277E70">
              <w:rPr>
                <w:lang w:val="el-GR"/>
              </w:rPr>
              <w:t>σύνδρομο</w:t>
            </w:r>
            <w:r w:rsidRPr="00A66AB5">
              <w:rPr>
                <w:lang w:val="el-GR"/>
              </w:rPr>
              <w:t xml:space="preserve"> </w:t>
            </w:r>
            <w:r w:rsidRPr="00277E70">
              <w:t>Stevens</w:t>
            </w:r>
            <w:r w:rsidRPr="00A66AB5">
              <w:rPr>
                <w:lang w:val="el-GR"/>
              </w:rPr>
              <w:t>-</w:t>
            </w:r>
            <w:r w:rsidRPr="00277E70">
              <w:t>Johnson</w:t>
            </w:r>
            <w:r w:rsidRPr="00A66AB5">
              <w:rPr>
                <w:lang w:val="el-GR"/>
              </w:rPr>
              <w:t xml:space="preserve"> </w:t>
            </w:r>
            <w:r w:rsidRPr="00A66AB5">
              <w:rPr>
                <w:vertAlign w:val="superscript"/>
                <w:lang w:val="el-GR"/>
              </w:rPr>
              <w:t>6</w:t>
            </w:r>
          </w:p>
          <w:p w:rsidR="0070681F" w:rsidRPr="00791987" w:rsidRDefault="0070681F">
            <w:pPr>
              <w:pStyle w:val="A-TableText"/>
              <w:rPr>
                <w:b/>
                <w:lang w:val="el-GR"/>
              </w:rPr>
            </w:pPr>
            <w:r w:rsidRPr="00791987">
              <w:rPr>
                <w:b/>
                <w:lang w:val="el-GR"/>
              </w:rPr>
              <w:t xml:space="preserve">Τοξική επιδερμική </w:t>
            </w:r>
            <w:proofErr w:type="spellStart"/>
            <w:r w:rsidRPr="00791987">
              <w:rPr>
                <w:b/>
                <w:lang w:val="el-GR"/>
              </w:rPr>
              <w:t>νεκρόλυση</w:t>
            </w:r>
            <w:proofErr w:type="spellEnd"/>
            <w:r w:rsidRPr="00791987">
              <w:rPr>
                <w:b/>
                <w:lang w:val="el-GR"/>
              </w:rPr>
              <w:t>, πολύμορφο ερύθημα</w:t>
            </w:r>
          </w:p>
        </w:tc>
        <w:tc>
          <w:tcPr>
            <w:tcW w:w="2811" w:type="dxa"/>
            <w:tcBorders>
              <w:bottom w:val="single" w:sz="4" w:space="0" w:color="auto"/>
            </w:tcBorders>
          </w:tcPr>
          <w:p w:rsidR="00380EEB" w:rsidRPr="00A66AB5" w:rsidRDefault="00380EEB">
            <w:pPr>
              <w:pStyle w:val="A-TableHeader"/>
              <w:keepNext w:val="0"/>
              <w:rPr>
                <w:b w:val="0"/>
                <w:bCs w:val="0"/>
                <w:lang w:val="el-GR"/>
              </w:rPr>
            </w:pPr>
          </w:p>
        </w:tc>
      </w:tr>
      <w:tr w:rsidR="00380EEB" w:rsidRPr="002F0C2B">
        <w:trPr>
          <w:cantSplit/>
          <w:tblHeader/>
        </w:trPr>
        <w:tc>
          <w:tcPr>
            <w:tcW w:w="8472" w:type="dxa"/>
            <w:gridSpan w:val="6"/>
          </w:tcPr>
          <w:p w:rsidR="009C2A3B" w:rsidRDefault="009C2A3B">
            <w:pPr>
              <w:pStyle w:val="A-TableHeader"/>
              <w:keepNext w:val="0"/>
              <w:rPr>
                <w:bCs w:val="0"/>
                <w:i/>
                <w:lang w:val="el-GR"/>
              </w:rPr>
            </w:pPr>
          </w:p>
          <w:p w:rsidR="00380EEB" w:rsidRPr="00A66AB5" w:rsidRDefault="00E3201C">
            <w:pPr>
              <w:pStyle w:val="A-TableHeader"/>
              <w:keepNext w:val="0"/>
              <w:rPr>
                <w:bCs w:val="0"/>
                <w:lang w:val="el-GR"/>
              </w:rPr>
            </w:pPr>
            <w:r w:rsidRPr="00277E70">
              <w:rPr>
                <w:bCs w:val="0"/>
                <w:i/>
                <w:lang w:val="el-GR"/>
              </w:rPr>
              <w:t>Δ</w:t>
            </w:r>
            <w:r w:rsidR="00380EEB" w:rsidRPr="00277E70">
              <w:rPr>
                <w:bCs w:val="0"/>
                <w:i/>
                <w:lang w:val="el-GR"/>
              </w:rPr>
              <w:t xml:space="preserve">ιαταραχές </w:t>
            </w:r>
            <w:r w:rsidRPr="00E81051">
              <w:rPr>
                <w:bCs w:val="0"/>
                <w:i/>
                <w:lang w:val="el-GR"/>
              </w:rPr>
              <w:t xml:space="preserve">του </w:t>
            </w:r>
            <w:proofErr w:type="spellStart"/>
            <w:r w:rsidRPr="00E81051">
              <w:rPr>
                <w:bCs w:val="0"/>
                <w:i/>
                <w:lang w:val="el-GR"/>
              </w:rPr>
              <w:t>μυοσκελετικού</w:t>
            </w:r>
            <w:proofErr w:type="spellEnd"/>
            <w:r w:rsidRPr="00E81051">
              <w:rPr>
                <w:bCs w:val="0"/>
                <w:i/>
                <w:lang w:val="el-GR"/>
              </w:rPr>
              <w:t xml:space="preserve"> συστήματος </w:t>
            </w:r>
            <w:r w:rsidR="00380EEB" w:rsidRPr="00E81051">
              <w:rPr>
                <w:bCs w:val="0"/>
                <w:i/>
                <w:lang w:val="el-GR"/>
              </w:rPr>
              <w:t xml:space="preserve">και </w:t>
            </w:r>
            <w:r w:rsidRPr="00E81051">
              <w:rPr>
                <w:bCs w:val="0"/>
                <w:i/>
                <w:lang w:val="el-GR"/>
              </w:rPr>
              <w:t>του</w:t>
            </w:r>
            <w:r w:rsidR="00380EEB" w:rsidRPr="00A66AB5">
              <w:rPr>
                <w:bCs w:val="0"/>
                <w:i/>
                <w:lang w:val="el-GR"/>
              </w:rPr>
              <w:t xml:space="preserve"> συνδετικού ιστού</w:t>
            </w:r>
          </w:p>
        </w:tc>
      </w:tr>
      <w:tr w:rsidR="00380EEB" w:rsidRPr="00A66AB5">
        <w:trPr>
          <w:cantSplit/>
          <w:tblHeader/>
        </w:trPr>
        <w:tc>
          <w:tcPr>
            <w:tcW w:w="1870" w:type="dxa"/>
            <w:gridSpan w:val="2"/>
          </w:tcPr>
          <w:p w:rsidR="00380EEB" w:rsidRPr="00A66AB5" w:rsidRDefault="00380EEB">
            <w:pPr>
              <w:pStyle w:val="A-TableHeader"/>
              <w:keepNext w:val="0"/>
              <w:rPr>
                <w:bCs w:val="0"/>
              </w:rPr>
            </w:pPr>
            <w:r w:rsidRPr="00A66AB5">
              <w:rPr>
                <w:bCs w:val="0"/>
                <w:i/>
                <w:lang w:val="el-GR"/>
              </w:rPr>
              <w:t>Πολύ σπάνιες</w:t>
            </w:r>
          </w:p>
        </w:tc>
        <w:tc>
          <w:tcPr>
            <w:tcW w:w="3778" w:type="dxa"/>
            <w:gridSpan w:val="2"/>
          </w:tcPr>
          <w:p w:rsidR="00380EEB" w:rsidRPr="00A44E51" w:rsidRDefault="00380EEB">
            <w:pPr>
              <w:pStyle w:val="A-TableHeader"/>
              <w:keepNext w:val="0"/>
              <w:rPr>
                <w:bCs w:val="0"/>
              </w:rPr>
            </w:pPr>
            <w:proofErr w:type="spellStart"/>
            <w:r w:rsidRPr="00791987">
              <w:rPr>
                <w:b w:val="0"/>
                <w:bCs w:val="0"/>
                <w:lang w:val="el-GR"/>
              </w:rPr>
              <w:t>Ραβδομυόλυση</w:t>
            </w:r>
            <w:proofErr w:type="spellEnd"/>
          </w:p>
        </w:tc>
        <w:tc>
          <w:tcPr>
            <w:tcW w:w="2824" w:type="dxa"/>
            <w:gridSpan w:val="2"/>
          </w:tcPr>
          <w:p w:rsidR="00380EEB" w:rsidRPr="00A66AB5" w:rsidRDefault="00380EEB">
            <w:pPr>
              <w:pStyle w:val="A-TableHeader"/>
              <w:keepNext w:val="0"/>
              <w:rPr>
                <w:bCs w:val="0"/>
                <w:i/>
              </w:rPr>
            </w:pPr>
          </w:p>
        </w:tc>
      </w:tr>
      <w:tr w:rsidR="008928D5" w:rsidRPr="002F0C2B" w:rsidTr="00D21212">
        <w:trPr>
          <w:cantSplit/>
          <w:tblHeader/>
        </w:trPr>
        <w:tc>
          <w:tcPr>
            <w:tcW w:w="8472" w:type="dxa"/>
            <w:gridSpan w:val="6"/>
            <w:tcBorders>
              <w:bottom w:val="single" w:sz="4" w:space="0" w:color="auto"/>
            </w:tcBorders>
          </w:tcPr>
          <w:p w:rsidR="009C2A3B" w:rsidRDefault="009C2A3B" w:rsidP="008928D5">
            <w:pPr>
              <w:pStyle w:val="A-TableHeader"/>
              <w:rPr>
                <w:i/>
                <w:iCs/>
                <w:lang w:val="el-GR"/>
              </w:rPr>
            </w:pPr>
          </w:p>
          <w:p w:rsidR="008928D5" w:rsidRPr="00BC6736" w:rsidRDefault="008928D5" w:rsidP="008928D5">
            <w:pPr>
              <w:pStyle w:val="A-TableHeader"/>
              <w:rPr>
                <w:i/>
                <w:iCs/>
                <w:lang w:val="el-GR"/>
              </w:rPr>
            </w:pPr>
            <w:r w:rsidRPr="00BC6736">
              <w:rPr>
                <w:i/>
                <w:iCs/>
                <w:lang w:val="el-GR"/>
              </w:rPr>
              <w:t xml:space="preserve">Καταστάσεις της κύησης ,της λοχίας και της </w:t>
            </w:r>
            <w:proofErr w:type="spellStart"/>
            <w:r w:rsidRPr="00BC6736">
              <w:rPr>
                <w:i/>
                <w:iCs/>
                <w:lang w:val="el-GR"/>
              </w:rPr>
              <w:t>περιγεννητικής</w:t>
            </w:r>
            <w:proofErr w:type="spellEnd"/>
            <w:r w:rsidRPr="00BC6736">
              <w:rPr>
                <w:i/>
                <w:iCs/>
                <w:lang w:val="el-GR"/>
              </w:rPr>
              <w:t xml:space="preserve"> περιόδου</w:t>
            </w:r>
          </w:p>
          <w:p w:rsidR="008928D5" w:rsidRPr="00BC6736" w:rsidRDefault="008928D5" w:rsidP="008928D5">
            <w:pPr>
              <w:pStyle w:val="A-TableHeader"/>
              <w:rPr>
                <w:lang w:val="el-GR"/>
              </w:rPr>
            </w:pPr>
            <w:r w:rsidRPr="00791987">
              <w:rPr>
                <w:b w:val="0"/>
                <w:i/>
                <w:lang w:val="el-GR"/>
              </w:rPr>
              <w:t>Μη γνωστές</w:t>
            </w:r>
            <w:r w:rsidR="00A44E51" w:rsidRPr="00791987">
              <w:rPr>
                <w:b w:val="0"/>
                <w:i/>
                <w:lang w:val="el-GR"/>
              </w:rPr>
              <w:t>:</w:t>
            </w:r>
            <w:r w:rsidRPr="00BC6736">
              <w:rPr>
                <w:i/>
                <w:lang w:val="el-GR"/>
              </w:rPr>
              <w:t xml:space="preserve">    </w:t>
            </w:r>
            <w:r w:rsidRPr="00BC6736">
              <w:rPr>
                <w:lang w:val="el-GR"/>
              </w:rPr>
              <w:t xml:space="preserve">             </w:t>
            </w:r>
            <w:r w:rsidRPr="00A66AB5">
              <w:rPr>
                <w:b w:val="0"/>
                <w:lang w:val="el-GR"/>
              </w:rPr>
              <w:t>Σύνδρομο στέρησης του φαρμάκου στα νεογνά</w:t>
            </w:r>
            <w:r w:rsidRPr="00BC6736">
              <w:rPr>
                <w:b w:val="0"/>
                <w:vertAlign w:val="superscript"/>
                <w:lang w:val="el-GR"/>
              </w:rPr>
              <w:t>32</w:t>
            </w:r>
          </w:p>
        </w:tc>
      </w:tr>
      <w:tr w:rsidR="00380EEB" w:rsidRPr="002F0C2B">
        <w:trPr>
          <w:cantSplit/>
          <w:tblHeader/>
        </w:trPr>
        <w:tc>
          <w:tcPr>
            <w:tcW w:w="8472" w:type="dxa"/>
            <w:gridSpan w:val="6"/>
          </w:tcPr>
          <w:p w:rsidR="009C2A3B" w:rsidRDefault="009C2A3B">
            <w:pPr>
              <w:pStyle w:val="A-TableHeader"/>
              <w:keepNext w:val="0"/>
              <w:rPr>
                <w:bCs w:val="0"/>
                <w:lang w:val="el-GR"/>
              </w:rPr>
            </w:pPr>
          </w:p>
          <w:p w:rsidR="00380EEB" w:rsidRPr="00277E70" w:rsidRDefault="00380EEB">
            <w:pPr>
              <w:pStyle w:val="A-TableHeader"/>
              <w:keepNext w:val="0"/>
              <w:rPr>
                <w:bCs w:val="0"/>
                <w:lang w:val="el-GR"/>
              </w:rPr>
            </w:pPr>
            <w:r w:rsidRPr="00277E70">
              <w:rPr>
                <w:bCs w:val="0"/>
                <w:lang w:val="el-GR"/>
              </w:rPr>
              <w:t>Διαταραχές του αναπαραγωγικού συστήματος και του μαστού</w:t>
            </w:r>
          </w:p>
        </w:tc>
      </w:tr>
      <w:tr w:rsidR="00380EEB" w:rsidRPr="00A66AB5">
        <w:trPr>
          <w:tblHeader/>
        </w:trPr>
        <w:tc>
          <w:tcPr>
            <w:tcW w:w="1809" w:type="dxa"/>
            <w:tcBorders>
              <w:bottom w:val="single" w:sz="4" w:space="0" w:color="auto"/>
            </w:tcBorders>
          </w:tcPr>
          <w:p w:rsidR="00380EEB" w:rsidRPr="00A66AB5" w:rsidRDefault="00380EEB">
            <w:pPr>
              <w:pStyle w:val="A-TableHeader"/>
              <w:keepNext w:val="0"/>
              <w:rPr>
                <w:bCs w:val="0"/>
              </w:rPr>
            </w:pPr>
            <w:r w:rsidRPr="00A66AB5">
              <w:rPr>
                <w:bCs w:val="0"/>
                <w:i/>
                <w:lang w:val="el-GR"/>
              </w:rPr>
              <w:t>Όχι συχνές</w:t>
            </w:r>
          </w:p>
        </w:tc>
        <w:tc>
          <w:tcPr>
            <w:tcW w:w="3544" w:type="dxa"/>
            <w:gridSpan w:val="2"/>
            <w:tcBorders>
              <w:bottom w:val="single" w:sz="4" w:space="0" w:color="auto"/>
            </w:tcBorders>
          </w:tcPr>
          <w:p w:rsidR="00380EEB" w:rsidRPr="00A66AB5" w:rsidRDefault="00380EEB">
            <w:pPr>
              <w:pStyle w:val="A-TableText"/>
              <w:rPr>
                <w:lang w:val="el-GR"/>
              </w:rPr>
            </w:pPr>
            <w:r w:rsidRPr="00A66AB5">
              <w:rPr>
                <w:lang w:val="el-GR"/>
              </w:rPr>
              <w:t>Σεξουαλική δυσλειτουργία</w:t>
            </w:r>
          </w:p>
        </w:tc>
        <w:tc>
          <w:tcPr>
            <w:tcW w:w="3119" w:type="dxa"/>
            <w:gridSpan w:val="3"/>
            <w:tcBorders>
              <w:bottom w:val="single" w:sz="4" w:space="0" w:color="auto"/>
            </w:tcBorders>
          </w:tcPr>
          <w:p w:rsidR="00380EEB" w:rsidRPr="00A66AB5" w:rsidRDefault="00380EEB">
            <w:pPr>
              <w:pStyle w:val="A-TableHeader"/>
              <w:keepNext w:val="0"/>
              <w:rPr>
                <w:b w:val="0"/>
                <w:bCs w:val="0"/>
              </w:rPr>
            </w:pPr>
          </w:p>
        </w:tc>
      </w:tr>
      <w:tr w:rsidR="00380EEB" w:rsidRPr="002F0C2B">
        <w:trPr>
          <w:tblHeader/>
        </w:trPr>
        <w:tc>
          <w:tcPr>
            <w:tcW w:w="1809" w:type="dxa"/>
            <w:tcBorders>
              <w:bottom w:val="single" w:sz="4" w:space="0" w:color="auto"/>
            </w:tcBorders>
          </w:tcPr>
          <w:p w:rsidR="00380EEB" w:rsidRPr="00A66AB5" w:rsidRDefault="00380EEB">
            <w:pPr>
              <w:pStyle w:val="A-TableHeader"/>
              <w:keepNext w:val="0"/>
              <w:rPr>
                <w:bCs w:val="0"/>
              </w:rPr>
            </w:pPr>
            <w:r w:rsidRPr="00A66AB5">
              <w:rPr>
                <w:bCs w:val="0"/>
                <w:i/>
                <w:lang w:val="el-GR"/>
              </w:rPr>
              <w:t>Σπάνιες:</w:t>
            </w:r>
          </w:p>
        </w:tc>
        <w:tc>
          <w:tcPr>
            <w:tcW w:w="3544" w:type="dxa"/>
            <w:gridSpan w:val="2"/>
            <w:tcBorders>
              <w:bottom w:val="single" w:sz="4" w:space="0" w:color="auto"/>
            </w:tcBorders>
          </w:tcPr>
          <w:p w:rsidR="00380EEB" w:rsidRPr="00A66AB5" w:rsidRDefault="00380EEB">
            <w:pPr>
              <w:pStyle w:val="A-TableText"/>
              <w:rPr>
                <w:lang w:val="el-GR"/>
              </w:rPr>
            </w:pPr>
            <w:r w:rsidRPr="00A66AB5">
              <w:rPr>
                <w:lang w:val="el-GR"/>
              </w:rPr>
              <w:t>Πριαπισμός, γαλακτόρροια, οίδημα μαστών, διαταραχή εμμηνορρυσίας</w:t>
            </w:r>
          </w:p>
        </w:tc>
        <w:tc>
          <w:tcPr>
            <w:tcW w:w="3119" w:type="dxa"/>
            <w:gridSpan w:val="3"/>
            <w:tcBorders>
              <w:bottom w:val="single" w:sz="4" w:space="0" w:color="auto"/>
            </w:tcBorders>
          </w:tcPr>
          <w:p w:rsidR="00380EEB" w:rsidRPr="00A66AB5" w:rsidRDefault="00380EEB">
            <w:pPr>
              <w:pStyle w:val="A-TableHeader"/>
              <w:keepNext w:val="0"/>
              <w:rPr>
                <w:b w:val="0"/>
                <w:bCs w:val="0"/>
                <w:lang w:val="el-GR"/>
              </w:rPr>
            </w:pPr>
          </w:p>
        </w:tc>
      </w:tr>
      <w:tr w:rsidR="00380EEB" w:rsidRPr="002F0C2B">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i/>
                <w:lang w:val="el-GR"/>
              </w:rPr>
            </w:pPr>
            <w:r w:rsidRPr="00A66AB5">
              <w:rPr>
                <w:bCs w:val="0"/>
                <w:i/>
                <w:lang w:val="el-GR"/>
              </w:rPr>
              <w:t>Γενικές διαταραχές και καταστάσεις της οδού χορήγησης</w:t>
            </w:r>
          </w:p>
        </w:tc>
      </w:tr>
      <w:tr w:rsidR="00380EEB" w:rsidRPr="00A66AB5">
        <w:trPr>
          <w:cantSplit/>
          <w:tblHeader/>
        </w:trPr>
        <w:tc>
          <w:tcPr>
            <w:tcW w:w="1809" w:type="dxa"/>
          </w:tcPr>
          <w:p w:rsidR="00380EEB" w:rsidRPr="00A66AB5" w:rsidRDefault="00380EEB">
            <w:pPr>
              <w:pStyle w:val="A-TableHeader"/>
              <w:keepNext w:val="0"/>
              <w:rPr>
                <w:bCs w:val="0"/>
              </w:rPr>
            </w:pPr>
            <w:r w:rsidRPr="00A66AB5">
              <w:rPr>
                <w:bCs w:val="0"/>
                <w:i/>
                <w:lang w:val="el-GR"/>
              </w:rPr>
              <w:t>Πολύ συχνές</w:t>
            </w:r>
          </w:p>
        </w:tc>
        <w:tc>
          <w:tcPr>
            <w:tcW w:w="6663" w:type="dxa"/>
            <w:gridSpan w:val="5"/>
          </w:tcPr>
          <w:p w:rsidR="00380EEB" w:rsidRPr="00A66AB5" w:rsidRDefault="00380EEB">
            <w:pPr>
              <w:pStyle w:val="A-TableHeader"/>
              <w:keepNext w:val="0"/>
              <w:rPr>
                <w:bCs w:val="0"/>
              </w:rPr>
            </w:pPr>
            <w:r w:rsidRPr="00A66AB5">
              <w:rPr>
                <w:b w:val="0"/>
                <w:bCs w:val="0"/>
                <w:lang w:val="el-GR"/>
              </w:rPr>
              <w:t>Συμπτώματα στέρησης</w:t>
            </w:r>
            <w:r w:rsidRPr="00A66AB5">
              <w:rPr>
                <w:b w:val="0"/>
                <w:bCs w:val="0"/>
              </w:rPr>
              <w:t xml:space="preserve"> (</w:t>
            </w:r>
            <w:r w:rsidRPr="00A66AB5">
              <w:rPr>
                <w:b w:val="0"/>
                <w:bCs w:val="0"/>
                <w:lang w:val="el-GR"/>
              </w:rPr>
              <w:t>διακοπής</w:t>
            </w:r>
            <w:r w:rsidRPr="00A66AB5">
              <w:rPr>
                <w:b w:val="0"/>
                <w:bCs w:val="0"/>
              </w:rPr>
              <w:t>)</w:t>
            </w:r>
            <w:r w:rsidRPr="00A66AB5">
              <w:rPr>
                <w:b w:val="0"/>
                <w:bCs w:val="0"/>
                <w:vertAlign w:val="superscript"/>
              </w:rPr>
              <w:t>1, 10</w:t>
            </w:r>
          </w:p>
        </w:tc>
      </w:tr>
      <w:tr w:rsidR="00380EEB" w:rsidRPr="002F0C2B">
        <w:trPr>
          <w:cantSplit/>
          <w:tblHeader/>
        </w:trPr>
        <w:tc>
          <w:tcPr>
            <w:tcW w:w="1809" w:type="dxa"/>
          </w:tcPr>
          <w:p w:rsidR="00380EEB" w:rsidRPr="00A66AB5" w:rsidRDefault="00380EEB">
            <w:pPr>
              <w:pStyle w:val="A-TableHeader"/>
              <w:keepNext w:val="0"/>
              <w:rPr>
                <w:bCs w:val="0"/>
              </w:rPr>
            </w:pPr>
            <w:r w:rsidRPr="00A66AB5">
              <w:rPr>
                <w:bCs w:val="0"/>
                <w:i/>
                <w:lang w:val="el-GR"/>
              </w:rPr>
              <w:t>Συχνές:</w:t>
            </w:r>
          </w:p>
        </w:tc>
        <w:tc>
          <w:tcPr>
            <w:tcW w:w="6663" w:type="dxa"/>
            <w:gridSpan w:val="5"/>
          </w:tcPr>
          <w:p w:rsidR="00380EEB" w:rsidRPr="00A66AB5" w:rsidRDefault="00380EEB">
            <w:pPr>
              <w:pStyle w:val="A-TableHeader"/>
              <w:keepNext w:val="0"/>
              <w:rPr>
                <w:bCs w:val="0"/>
                <w:lang w:val="el-GR"/>
              </w:rPr>
            </w:pPr>
            <w:r w:rsidRPr="00A66AB5">
              <w:rPr>
                <w:b w:val="0"/>
                <w:bCs w:val="0"/>
                <w:lang w:val="el-GR"/>
              </w:rPr>
              <w:t>Ήπια κακουχία, περιφερικό οίδημα, ευερεθιστότητα</w:t>
            </w:r>
            <w:r w:rsidR="008928D5" w:rsidRPr="00A66AB5">
              <w:rPr>
                <w:b w:val="0"/>
                <w:bCs w:val="0"/>
                <w:lang w:val="el-GR"/>
              </w:rPr>
              <w:t xml:space="preserve">, </w:t>
            </w:r>
            <w:proofErr w:type="spellStart"/>
            <w:r w:rsidR="008928D5" w:rsidRPr="00A66AB5">
              <w:rPr>
                <w:b w:val="0"/>
                <w:bCs w:val="0"/>
                <w:lang w:val="el-GR"/>
              </w:rPr>
              <w:t>πυρεξία</w:t>
            </w:r>
            <w:proofErr w:type="spellEnd"/>
          </w:p>
        </w:tc>
      </w:tr>
      <w:tr w:rsidR="00380EEB" w:rsidRPr="00A66AB5">
        <w:trPr>
          <w:tblHeader/>
        </w:trPr>
        <w:tc>
          <w:tcPr>
            <w:tcW w:w="1809" w:type="dxa"/>
            <w:tcBorders>
              <w:bottom w:val="single" w:sz="4" w:space="0" w:color="auto"/>
            </w:tcBorders>
          </w:tcPr>
          <w:p w:rsidR="00380EEB" w:rsidRPr="00A66AB5" w:rsidRDefault="00380EEB">
            <w:pPr>
              <w:pStyle w:val="A-TableHeader"/>
              <w:keepNext w:val="0"/>
              <w:rPr>
                <w:bCs w:val="0"/>
              </w:rPr>
            </w:pPr>
            <w:r w:rsidRPr="00A66AB5">
              <w:rPr>
                <w:bCs w:val="0"/>
                <w:i/>
                <w:lang w:val="el-GR"/>
              </w:rPr>
              <w:t>Σπάνιες:</w:t>
            </w:r>
          </w:p>
        </w:tc>
        <w:tc>
          <w:tcPr>
            <w:tcW w:w="3544" w:type="dxa"/>
            <w:gridSpan w:val="2"/>
            <w:tcBorders>
              <w:bottom w:val="single" w:sz="4" w:space="0" w:color="auto"/>
            </w:tcBorders>
          </w:tcPr>
          <w:p w:rsidR="00380EEB" w:rsidRPr="00A66AB5" w:rsidRDefault="00380EEB" w:rsidP="008928D5">
            <w:pPr>
              <w:pStyle w:val="A-TableText"/>
              <w:rPr>
                <w:lang w:val="el-GR"/>
              </w:rPr>
            </w:pPr>
            <w:r w:rsidRPr="00A66AB5">
              <w:rPr>
                <w:lang w:val="el-GR"/>
              </w:rPr>
              <w:t>Κακόηθες νευροληπτικό σύνδρομο</w:t>
            </w:r>
            <w:r w:rsidRPr="00A66AB5">
              <w:rPr>
                <w:vertAlign w:val="superscript"/>
              </w:rPr>
              <w:t>1</w:t>
            </w:r>
            <w:r w:rsidR="008928D5" w:rsidRPr="00A66AB5">
              <w:rPr>
                <w:lang w:val="el-GR"/>
              </w:rPr>
              <w:t>, υποθερμία</w:t>
            </w:r>
          </w:p>
        </w:tc>
        <w:tc>
          <w:tcPr>
            <w:tcW w:w="3119" w:type="dxa"/>
            <w:gridSpan w:val="3"/>
            <w:tcBorders>
              <w:bottom w:val="single" w:sz="4" w:space="0" w:color="auto"/>
            </w:tcBorders>
          </w:tcPr>
          <w:p w:rsidR="00380EEB" w:rsidRPr="00277E70" w:rsidRDefault="00380EEB">
            <w:pPr>
              <w:pStyle w:val="A-TableHeader"/>
              <w:keepNext w:val="0"/>
              <w:rPr>
                <w:b w:val="0"/>
                <w:bCs w:val="0"/>
                <w:lang w:val="fr-FR"/>
              </w:rPr>
            </w:pPr>
          </w:p>
        </w:tc>
      </w:tr>
      <w:tr w:rsidR="00380EEB" w:rsidRPr="00A66AB5">
        <w:trPr>
          <w:cantSplit/>
          <w:tblHeader/>
        </w:trPr>
        <w:tc>
          <w:tcPr>
            <w:tcW w:w="8472" w:type="dxa"/>
            <w:gridSpan w:val="6"/>
            <w:tcBorders>
              <w:top w:val="single" w:sz="4" w:space="0" w:color="auto"/>
            </w:tcBorders>
          </w:tcPr>
          <w:p w:rsidR="009C2A3B" w:rsidRDefault="009C2A3B">
            <w:pPr>
              <w:pStyle w:val="A-TableHeader"/>
              <w:keepNext w:val="0"/>
              <w:rPr>
                <w:bCs w:val="0"/>
                <w:i/>
                <w:lang w:val="el-GR"/>
              </w:rPr>
            </w:pPr>
          </w:p>
          <w:p w:rsidR="00380EEB" w:rsidRPr="00A66AB5" w:rsidRDefault="00380EEB">
            <w:pPr>
              <w:pStyle w:val="A-TableHeader"/>
              <w:keepNext w:val="0"/>
              <w:rPr>
                <w:bCs w:val="0"/>
              </w:rPr>
            </w:pPr>
            <w:proofErr w:type="spellStart"/>
            <w:r w:rsidRPr="00A66AB5">
              <w:rPr>
                <w:bCs w:val="0"/>
                <w:i/>
                <w:lang w:val="el-GR"/>
              </w:rPr>
              <w:t>Παρακλινικές</w:t>
            </w:r>
            <w:proofErr w:type="spellEnd"/>
            <w:r w:rsidRPr="00A66AB5">
              <w:rPr>
                <w:bCs w:val="0"/>
                <w:i/>
                <w:lang w:val="el-GR"/>
              </w:rPr>
              <w:t xml:space="preserve"> εξετάσεις</w:t>
            </w:r>
          </w:p>
        </w:tc>
      </w:tr>
      <w:tr w:rsidR="00380EEB" w:rsidRPr="002F0C2B">
        <w:trPr>
          <w:cantSplit/>
          <w:tblHeader/>
        </w:trPr>
        <w:tc>
          <w:tcPr>
            <w:tcW w:w="1809" w:type="dxa"/>
            <w:tcBorders>
              <w:bottom w:val="single" w:sz="4" w:space="0" w:color="auto"/>
            </w:tcBorders>
          </w:tcPr>
          <w:p w:rsidR="00380EEB" w:rsidRPr="00A66AB5" w:rsidRDefault="00380EEB">
            <w:pPr>
              <w:pStyle w:val="A-TableHeader"/>
              <w:keepNext w:val="0"/>
              <w:rPr>
                <w:bCs w:val="0"/>
              </w:rPr>
            </w:pPr>
            <w:r w:rsidRPr="00A66AB5">
              <w:rPr>
                <w:bCs w:val="0"/>
                <w:i/>
                <w:lang w:val="el-GR"/>
              </w:rPr>
              <w:t>Σπάνιες:</w:t>
            </w:r>
          </w:p>
        </w:tc>
        <w:tc>
          <w:tcPr>
            <w:tcW w:w="6663" w:type="dxa"/>
            <w:gridSpan w:val="5"/>
            <w:tcBorders>
              <w:bottom w:val="single" w:sz="4" w:space="0" w:color="auto"/>
            </w:tcBorders>
          </w:tcPr>
          <w:p w:rsidR="00380EEB" w:rsidRPr="00A66AB5" w:rsidRDefault="00380EEB">
            <w:pPr>
              <w:pStyle w:val="A-TableHeader"/>
              <w:keepNext w:val="0"/>
              <w:rPr>
                <w:bCs w:val="0"/>
                <w:lang w:val="el-GR"/>
              </w:rPr>
            </w:pPr>
            <w:r w:rsidRPr="00A66AB5">
              <w:rPr>
                <w:b w:val="0"/>
                <w:bCs w:val="0"/>
                <w:lang w:val="el-GR"/>
              </w:rPr>
              <w:t xml:space="preserve">Αυξήσεις στη </w:t>
            </w:r>
            <w:proofErr w:type="spellStart"/>
            <w:r w:rsidRPr="00A66AB5">
              <w:rPr>
                <w:b w:val="0"/>
                <w:bCs w:val="0"/>
                <w:lang w:val="el-GR"/>
              </w:rPr>
              <w:t>φωσφοκινάση</w:t>
            </w:r>
            <w:proofErr w:type="spellEnd"/>
            <w:r w:rsidRPr="00A66AB5">
              <w:rPr>
                <w:b w:val="0"/>
                <w:bCs w:val="0"/>
                <w:lang w:val="el-GR"/>
              </w:rPr>
              <w:t xml:space="preserve"> κρεατίνης αίματος</w:t>
            </w:r>
            <w:r w:rsidRPr="00A66AB5">
              <w:rPr>
                <w:b w:val="0"/>
                <w:bCs w:val="0"/>
                <w:vertAlign w:val="superscript"/>
                <w:lang w:val="el-GR"/>
              </w:rPr>
              <w:t>15</w:t>
            </w:r>
          </w:p>
        </w:tc>
      </w:tr>
    </w:tbl>
    <w:p w:rsidR="00380EEB" w:rsidRPr="00A66AB5" w:rsidRDefault="00380EEB">
      <w:pPr>
        <w:pStyle w:val="a3"/>
        <w:tabs>
          <w:tab w:val="clear" w:pos="4320"/>
          <w:tab w:val="clear" w:pos="8640"/>
        </w:tabs>
        <w:jc w:val="both"/>
        <w:rPr>
          <w:sz w:val="22"/>
          <w:szCs w:val="22"/>
          <w:lang w:val="el-GR"/>
        </w:rPr>
      </w:pPr>
    </w:p>
    <w:p w:rsidR="00380EEB" w:rsidRPr="00791987" w:rsidRDefault="00380EEB">
      <w:pPr>
        <w:numPr>
          <w:ilvl w:val="0"/>
          <w:numId w:val="17"/>
        </w:numPr>
        <w:tabs>
          <w:tab w:val="clear" w:pos="533"/>
          <w:tab w:val="num" w:pos="374"/>
        </w:tabs>
        <w:spacing w:after="60"/>
        <w:ind w:left="374"/>
        <w:jc w:val="both"/>
        <w:rPr>
          <w:sz w:val="20"/>
          <w:szCs w:val="20"/>
        </w:rPr>
      </w:pPr>
      <w:r w:rsidRPr="00791987">
        <w:rPr>
          <w:sz w:val="20"/>
          <w:szCs w:val="20"/>
          <w:lang w:val="el-GR"/>
        </w:rPr>
        <w:t>Βλ. παράγραφο 4.4.</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Ενδέχεται να παρατηρηθεί υπνηλία, συνήθως κατά τη διάρκεια των πρώτων δύο εβδομάδων θεραπείας, η οποία γενικά υποχωρεί με τη συνεχιζόμενη χορήγηση </w:t>
      </w:r>
      <w:proofErr w:type="spellStart"/>
      <w:r w:rsidRPr="00791987">
        <w:rPr>
          <w:sz w:val="20"/>
          <w:szCs w:val="20"/>
          <w:lang w:val="el-GR"/>
        </w:rPr>
        <w:t>κουετιαπίνης</w:t>
      </w:r>
      <w:proofErr w:type="spellEnd"/>
      <w:r w:rsidRPr="00791987">
        <w:rPr>
          <w:sz w:val="20"/>
          <w:szCs w:val="20"/>
          <w:lang w:val="el-GR"/>
        </w:rPr>
        <w:t>.</w:t>
      </w:r>
    </w:p>
    <w:p w:rsidR="00380EEB" w:rsidRPr="00791987" w:rsidRDefault="00380EEB" w:rsidP="005E2918">
      <w:pPr>
        <w:numPr>
          <w:ilvl w:val="0"/>
          <w:numId w:val="17"/>
        </w:numPr>
        <w:tabs>
          <w:tab w:val="clear" w:pos="533"/>
          <w:tab w:val="num" w:pos="374"/>
        </w:tabs>
        <w:spacing w:after="60"/>
        <w:ind w:left="374" w:hanging="374"/>
        <w:jc w:val="both"/>
        <w:rPr>
          <w:sz w:val="20"/>
          <w:szCs w:val="20"/>
          <w:lang w:val="el-GR"/>
        </w:rPr>
      </w:pPr>
      <w:r w:rsidRPr="00791987">
        <w:rPr>
          <w:sz w:val="20"/>
          <w:szCs w:val="20"/>
          <w:lang w:val="el-GR"/>
        </w:rPr>
        <w:t xml:space="preserve">Έχουν παρατηρηθεί </w:t>
      </w:r>
      <w:proofErr w:type="spellStart"/>
      <w:r w:rsidRPr="00791987">
        <w:rPr>
          <w:sz w:val="20"/>
          <w:szCs w:val="20"/>
          <w:lang w:val="el-GR"/>
        </w:rPr>
        <w:t>ασυμπτωματικές</w:t>
      </w:r>
      <w:proofErr w:type="spellEnd"/>
      <w:r w:rsidRPr="00791987">
        <w:rPr>
          <w:sz w:val="20"/>
          <w:szCs w:val="20"/>
          <w:lang w:val="el-GR"/>
        </w:rPr>
        <w:t xml:space="preserve"> αυξήσεις </w:t>
      </w:r>
      <w:r w:rsidR="008928D5" w:rsidRPr="00791987">
        <w:rPr>
          <w:sz w:val="20"/>
          <w:szCs w:val="20"/>
          <w:lang w:val="el-GR"/>
        </w:rPr>
        <w:t xml:space="preserve">(μετατόπιση από τη φυσιολογική τιμή σε τιμή &gt; 3X ULN οποιαδήποτε στιγμή) </w:t>
      </w:r>
      <w:r w:rsidRPr="00791987">
        <w:rPr>
          <w:sz w:val="20"/>
          <w:szCs w:val="20"/>
          <w:lang w:val="el-GR"/>
        </w:rPr>
        <w:t xml:space="preserve">στα επίπεδα </w:t>
      </w:r>
      <w:proofErr w:type="spellStart"/>
      <w:r w:rsidRPr="00791987">
        <w:rPr>
          <w:sz w:val="20"/>
          <w:szCs w:val="20"/>
          <w:lang w:val="el-GR"/>
        </w:rPr>
        <w:t>τρανσαμινασών</w:t>
      </w:r>
      <w:proofErr w:type="spellEnd"/>
      <w:r w:rsidRPr="00791987">
        <w:rPr>
          <w:sz w:val="20"/>
          <w:szCs w:val="20"/>
          <w:lang w:val="el-GR"/>
        </w:rPr>
        <w:t xml:space="preserve"> ορού (</w:t>
      </w:r>
      <w:r w:rsidRPr="00791987">
        <w:rPr>
          <w:sz w:val="20"/>
          <w:szCs w:val="20"/>
        </w:rPr>
        <w:t>ALT</w:t>
      </w:r>
      <w:r w:rsidRPr="00791987">
        <w:rPr>
          <w:sz w:val="20"/>
          <w:szCs w:val="20"/>
          <w:lang w:val="el-GR"/>
        </w:rPr>
        <w:t xml:space="preserve">, </w:t>
      </w:r>
      <w:r w:rsidRPr="00791987">
        <w:rPr>
          <w:sz w:val="20"/>
          <w:szCs w:val="20"/>
        </w:rPr>
        <w:t>AST</w:t>
      </w:r>
      <w:r w:rsidRPr="00791987">
        <w:rPr>
          <w:sz w:val="20"/>
          <w:szCs w:val="20"/>
          <w:lang w:val="el-GR"/>
        </w:rPr>
        <w:t>) ή γ-</w:t>
      </w:r>
      <w:r w:rsidRPr="00791987">
        <w:rPr>
          <w:sz w:val="20"/>
          <w:szCs w:val="20"/>
        </w:rPr>
        <w:t>GT</w:t>
      </w:r>
      <w:r w:rsidRPr="00791987">
        <w:rPr>
          <w:sz w:val="20"/>
          <w:szCs w:val="20"/>
          <w:lang w:val="el-GR"/>
        </w:rPr>
        <w:t xml:space="preserve"> σε ορισμένους ασθενείς στους οποίους χορηγήθηκε </w:t>
      </w:r>
      <w:proofErr w:type="spellStart"/>
      <w:r w:rsidRPr="00791987">
        <w:rPr>
          <w:sz w:val="20"/>
          <w:szCs w:val="20"/>
          <w:lang w:val="el-GR"/>
        </w:rPr>
        <w:t>κουετιαπίνη</w:t>
      </w:r>
      <w:proofErr w:type="spellEnd"/>
      <w:r w:rsidRPr="00791987">
        <w:rPr>
          <w:sz w:val="20"/>
          <w:szCs w:val="20"/>
          <w:lang w:val="el-GR"/>
        </w:rPr>
        <w:t xml:space="preserve">. Αυτές οι αυξήσεις ήταν συνήθως αναστρέψιμες με τη συνεχιζόμενη θεραπεία με </w:t>
      </w:r>
      <w:proofErr w:type="spellStart"/>
      <w:r w:rsidRPr="00791987">
        <w:rPr>
          <w:sz w:val="20"/>
          <w:szCs w:val="20"/>
          <w:lang w:val="el-GR"/>
        </w:rPr>
        <w:t>κουετιαπίνη</w:t>
      </w:r>
      <w:proofErr w:type="spellEnd"/>
      <w:r w:rsidRPr="00791987">
        <w:rPr>
          <w:sz w:val="20"/>
          <w:szCs w:val="20"/>
          <w:lang w:val="el-GR"/>
        </w:rPr>
        <w:t>.</w:t>
      </w:r>
    </w:p>
    <w:p w:rsidR="00380EEB" w:rsidRPr="00791987" w:rsidRDefault="00380EEB">
      <w:pPr>
        <w:numPr>
          <w:ilvl w:val="0"/>
          <w:numId w:val="17"/>
        </w:numPr>
        <w:tabs>
          <w:tab w:val="clear" w:pos="533"/>
          <w:tab w:val="num" w:pos="374"/>
        </w:tabs>
        <w:spacing w:after="60"/>
        <w:ind w:left="374"/>
        <w:jc w:val="both"/>
        <w:rPr>
          <w:sz w:val="20"/>
          <w:szCs w:val="20"/>
        </w:rPr>
      </w:pPr>
      <w:r w:rsidRPr="00791987">
        <w:rPr>
          <w:sz w:val="20"/>
          <w:szCs w:val="20"/>
          <w:lang w:val="el-GR"/>
        </w:rPr>
        <w:t xml:space="preserve">Όπως με άλλα </w:t>
      </w:r>
      <w:proofErr w:type="spellStart"/>
      <w:r w:rsidRPr="00791987">
        <w:rPr>
          <w:sz w:val="20"/>
          <w:szCs w:val="20"/>
          <w:lang w:val="el-GR"/>
        </w:rPr>
        <w:t>αντιψυχωσικά</w:t>
      </w:r>
      <w:proofErr w:type="spellEnd"/>
      <w:r w:rsidRPr="00791987">
        <w:rPr>
          <w:sz w:val="20"/>
          <w:szCs w:val="20"/>
          <w:lang w:val="el-GR"/>
        </w:rPr>
        <w:t xml:space="preserve"> με δραστηριότητα α1 </w:t>
      </w:r>
      <w:proofErr w:type="spellStart"/>
      <w:r w:rsidRPr="00791987">
        <w:rPr>
          <w:sz w:val="20"/>
          <w:szCs w:val="20"/>
          <w:lang w:val="el-GR"/>
        </w:rPr>
        <w:t>αδρενεργικού</w:t>
      </w:r>
      <w:proofErr w:type="spellEnd"/>
      <w:r w:rsidRPr="00791987">
        <w:rPr>
          <w:sz w:val="20"/>
          <w:szCs w:val="20"/>
          <w:lang w:val="el-GR"/>
        </w:rPr>
        <w:t xml:space="preserve"> αποκλεισμού, η </w:t>
      </w:r>
      <w:proofErr w:type="spellStart"/>
      <w:r w:rsidRPr="00791987">
        <w:rPr>
          <w:sz w:val="20"/>
          <w:szCs w:val="20"/>
          <w:lang w:val="el-GR"/>
        </w:rPr>
        <w:t>κουετιαπίνη</w:t>
      </w:r>
      <w:proofErr w:type="spellEnd"/>
      <w:r w:rsidRPr="00791987">
        <w:rPr>
          <w:sz w:val="20"/>
          <w:szCs w:val="20"/>
          <w:lang w:val="el-GR"/>
        </w:rPr>
        <w:t xml:space="preserve"> ενδέχεται συχνά να επάγει </w:t>
      </w:r>
      <w:proofErr w:type="spellStart"/>
      <w:r w:rsidRPr="00791987">
        <w:rPr>
          <w:sz w:val="20"/>
          <w:szCs w:val="20"/>
          <w:lang w:val="el-GR"/>
        </w:rPr>
        <w:t>ορθοστατική</w:t>
      </w:r>
      <w:proofErr w:type="spellEnd"/>
      <w:r w:rsidRPr="00791987">
        <w:rPr>
          <w:sz w:val="20"/>
          <w:szCs w:val="20"/>
          <w:lang w:val="el-GR"/>
        </w:rPr>
        <w:t xml:space="preserve"> υπόταση, που σχετίζεται με ζάλη, ταχυκαρδία και, σε ορισμένους ασθενείς, συγκοπή, ειδικά κατά τη διάρκεια της αρχικής περιόδου </w:t>
      </w:r>
      <w:proofErr w:type="spellStart"/>
      <w:r w:rsidRPr="00791987">
        <w:rPr>
          <w:sz w:val="20"/>
          <w:szCs w:val="20"/>
          <w:lang w:val="el-GR"/>
        </w:rPr>
        <w:t>τιτλοποίησης</w:t>
      </w:r>
      <w:proofErr w:type="spellEnd"/>
      <w:r w:rsidRPr="00791987">
        <w:rPr>
          <w:sz w:val="20"/>
          <w:szCs w:val="20"/>
          <w:lang w:val="el-GR"/>
        </w:rPr>
        <w:t xml:space="preserve"> δόσης. </w:t>
      </w:r>
      <w:r w:rsidRPr="00791987">
        <w:rPr>
          <w:sz w:val="20"/>
          <w:szCs w:val="20"/>
        </w:rPr>
        <w:t>(</w:t>
      </w:r>
      <w:r w:rsidRPr="00791987">
        <w:rPr>
          <w:sz w:val="20"/>
          <w:szCs w:val="20"/>
          <w:lang w:val="el-GR"/>
        </w:rPr>
        <w:t>Βλ</w:t>
      </w:r>
      <w:r w:rsidRPr="00791987">
        <w:rPr>
          <w:sz w:val="20"/>
          <w:szCs w:val="20"/>
        </w:rPr>
        <w:t xml:space="preserve">. </w:t>
      </w:r>
      <w:r w:rsidRPr="00791987">
        <w:rPr>
          <w:sz w:val="20"/>
          <w:szCs w:val="20"/>
          <w:lang w:val="el-GR"/>
        </w:rPr>
        <w:t>παράγραφο</w:t>
      </w:r>
      <w:r w:rsidRPr="00791987">
        <w:rPr>
          <w:sz w:val="20"/>
          <w:szCs w:val="20"/>
        </w:rPr>
        <w:t xml:space="preserve"> 4.4).</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Έχει αναφερθεί, σε πολύ σπάνιες περιπτώσεις, επιδείνωση προϋπάρχοντος διαβήτη.</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Ο υπολογισμός της συχνότητας για αυτές τις ΑΑΦ έχει πραγματοποιηθεί μόνο από δεδομένα μετά την κυκλοφορία στην αγορά με το ιδιοσκεύασμα </w:t>
      </w:r>
      <w:proofErr w:type="spellStart"/>
      <w:r w:rsidRPr="00791987">
        <w:rPr>
          <w:sz w:val="20"/>
          <w:szCs w:val="20"/>
          <w:lang w:val="el-GR"/>
        </w:rPr>
        <w:t>κουετιαπίνης</w:t>
      </w:r>
      <w:proofErr w:type="spellEnd"/>
      <w:r w:rsidRPr="00791987">
        <w:rPr>
          <w:sz w:val="20"/>
          <w:szCs w:val="20"/>
          <w:lang w:val="el-GR"/>
        </w:rPr>
        <w:t xml:space="preserve"> άμεσης αποδέσμευσης. </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Γλυκόζη αίματος νηστείας ≥ </w:t>
      </w:r>
      <w:r w:rsidR="009C2A3B" w:rsidRPr="00791987">
        <w:rPr>
          <w:sz w:val="20"/>
          <w:szCs w:val="20"/>
          <w:lang w:val="el-GR"/>
        </w:rPr>
        <w:t xml:space="preserve">7,0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009C2A3B" w:rsidRPr="00791987" w:rsidDel="00795634">
        <w:rPr>
          <w:sz w:val="20"/>
          <w:szCs w:val="20"/>
          <w:lang w:val="el-GR"/>
        </w:rPr>
        <w:t xml:space="preserve"> </w:t>
      </w:r>
      <w:r w:rsidRPr="00791987">
        <w:rPr>
          <w:sz w:val="20"/>
          <w:szCs w:val="20"/>
          <w:lang w:val="el-GR"/>
        </w:rPr>
        <w:t>(≥</w:t>
      </w:r>
      <w:r w:rsidR="009C2A3B" w:rsidRPr="00791987">
        <w:rPr>
          <w:sz w:val="20"/>
          <w:szCs w:val="20"/>
          <w:lang w:val="el-GR"/>
        </w:rPr>
        <w:t xml:space="preserve"> 126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xml:space="preserve">) ή γλυκόζη αίματος όχι σε κατάσταση νηστείας ≥ </w:t>
      </w:r>
      <w:r w:rsidR="009C2A3B" w:rsidRPr="00791987">
        <w:rPr>
          <w:sz w:val="20"/>
          <w:szCs w:val="20"/>
          <w:lang w:val="el-GR"/>
        </w:rPr>
        <w:t xml:space="preserve">11,1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009C2A3B" w:rsidRPr="00791987" w:rsidDel="00795634">
        <w:rPr>
          <w:sz w:val="20"/>
          <w:szCs w:val="20"/>
          <w:lang w:val="el-GR"/>
        </w:rPr>
        <w:t xml:space="preserve"> </w:t>
      </w:r>
      <w:r w:rsidRPr="00791987">
        <w:rPr>
          <w:sz w:val="20"/>
          <w:szCs w:val="20"/>
          <w:lang w:val="el-GR"/>
        </w:rPr>
        <w:t xml:space="preserve">(≥ </w:t>
      </w:r>
      <w:r w:rsidR="009C2A3B" w:rsidRPr="00791987">
        <w:rPr>
          <w:sz w:val="20"/>
          <w:szCs w:val="20"/>
          <w:lang w:val="el-GR"/>
        </w:rPr>
        <w:t xml:space="preserve">200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σε τουλάχιστον μία περίπτωση.</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Αύξηση στο ποσοστό δυσφαγίας με </w:t>
      </w:r>
      <w:proofErr w:type="spellStart"/>
      <w:r w:rsidRPr="00791987">
        <w:rPr>
          <w:sz w:val="20"/>
          <w:szCs w:val="20"/>
          <w:lang w:val="el-GR"/>
        </w:rPr>
        <w:t>κουετιαπίνη</w:t>
      </w:r>
      <w:proofErr w:type="spellEnd"/>
      <w:r w:rsidRPr="00791987">
        <w:rPr>
          <w:sz w:val="20"/>
          <w:szCs w:val="20"/>
          <w:lang w:val="el-GR"/>
        </w:rPr>
        <w:t xml:space="preserve"> έναντι εικονικού φαρμάκου παρατηρήθηκε μόνο στις κλινικές δοκιμές σε διπολική κατάθλιψη.</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Με βάση αύξηση &gt;7% στο σωματικό βάρος ως προς την αρχική αξιολόγηση. Παρατηρείται κυρίως κατά τη διάρκεια των αρχικών εβδομάδων της θεραπείας</w:t>
      </w:r>
      <w:r w:rsidR="00A44E51">
        <w:rPr>
          <w:sz w:val="20"/>
          <w:szCs w:val="20"/>
          <w:lang w:val="el-GR"/>
        </w:rPr>
        <w:t xml:space="preserve"> σε ενήλικες</w:t>
      </w:r>
      <w:r w:rsidRPr="00791987">
        <w:rPr>
          <w:sz w:val="20"/>
          <w:szCs w:val="20"/>
          <w:lang w:val="el-GR"/>
        </w:rPr>
        <w:t>.</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Έχουν παρατηρηθεί συχνότερα τα παρακάτω συμπτώματα στέρησης σε βραχείες κλινικές δοκιμές </w:t>
      </w:r>
      <w:proofErr w:type="spellStart"/>
      <w:r w:rsidRPr="00791987">
        <w:rPr>
          <w:sz w:val="20"/>
          <w:szCs w:val="20"/>
          <w:lang w:val="el-GR"/>
        </w:rPr>
        <w:t>μονοθεραπείας</w:t>
      </w:r>
      <w:proofErr w:type="spellEnd"/>
      <w:r w:rsidRPr="00791987">
        <w:rPr>
          <w:sz w:val="20"/>
          <w:szCs w:val="20"/>
          <w:lang w:val="el-GR"/>
        </w:rPr>
        <w:t>, με έλεγχο εικονικού φαρμάκου, στις οποίες αξιολογήθηκαν τα συμπτώματα λόγω διακοπής: αϋπνία, ναυτία, κεφαλαλγία, διάρροια, έμετος, ζάλη και ευερεθιστότητα. Η επίπτωση αυτών των αντιδράσεων είχε μειωθεί σημαντικά μετά από 1 εβδομάδα από τη διακοπή.</w:t>
      </w:r>
    </w:p>
    <w:p w:rsidR="00380EEB" w:rsidRPr="00791987" w:rsidRDefault="00380EEB">
      <w:pPr>
        <w:numPr>
          <w:ilvl w:val="0"/>
          <w:numId w:val="17"/>
        </w:numPr>
        <w:tabs>
          <w:tab w:val="clear" w:pos="533"/>
          <w:tab w:val="num" w:pos="374"/>
        </w:tabs>
        <w:spacing w:after="60"/>
        <w:ind w:left="374"/>
        <w:jc w:val="both"/>
        <w:rPr>
          <w:sz w:val="20"/>
          <w:szCs w:val="20"/>
          <w:lang w:val="el-GR"/>
        </w:rPr>
      </w:pPr>
      <w:proofErr w:type="spellStart"/>
      <w:r w:rsidRPr="00791987">
        <w:rPr>
          <w:sz w:val="20"/>
          <w:szCs w:val="20"/>
          <w:lang w:val="el-GR"/>
        </w:rPr>
        <w:t>Τριγλυκερίδια</w:t>
      </w:r>
      <w:proofErr w:type="spellEnd"/>
      <w:r w:rsidRPr="00791987">
        <w:rPr>
          <w:sz w:val="20"/>
          <w:szCs w:val="20"/>
          <w:lang w:val="el-GR"/>
        </w:rPr>
        <w:t xml:space="preserve"> ≥</w:t>
      </w:r>
      <w:r w:rsidR="009C2A3B" w:rsidRPr="00791987">
        <w:rPr>
          <w:sz w:val="20"/>
          <w:szCs w:val="20"/>
          <w:lang w:val="el-GR"/>
        </w:rPr>
        <w:t>2</w:t>
      </w:r>
      <w:r w:rsidR="00596ED6" w:rsidRPr="00791987">
        <w:rPr>
          <w:sz w:val="20"/>
          <w:szCs w:val="20"/>
          <w:lang w:val="el-GR"/>
        </w:rPr>
        <w:t>,</w:t>
      </w:r>
      <w:r w:rsidR="009C2A3B" w:rsidRPr="00791987">
        <w:rPr>
          <w:sz w:val="20"/>
          <w:szCs w:val="20"/>
          <w:lang w:val="el-GR"/>
        </w:rPr>
        <w:t xml:space="preserve">258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Pr="00791987">
        <w:rPr>
          <w:sz w:val="20"/>
          <w:szCs w:val="20"/>
          <w:lang w:val="el-GR"/>
        </w:rPr>
        <w:t xml:space="preserve"> (≥</w:t>
      </w:r>
      <w:r w:rsidR="009C2A3B" w:rsidRPr="00791987">
        <w:rPr>
          <w:sz w:val="20"/>
          <w:szCs w:val="20"/>
          <w:lang w:val="el-GR"/>
        </w:rPr>
        <w:t xml:space="preserve">200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(ασθενείς ηλικίας ≥18 ετών) ή ≥</w:t>
      </w:r>
      <w:r w:rsidR="009C2A3B" w:rsidRPr="00791987">
        <w:rPr>
          <w:sz w:val="20"/>
          <w:szCs w:val="20"/>
          <w:lang w:val="el-GR"/>
        </w:rPr>
        <w:t xml:space="preserve">1,694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Pr="00791987">
        <w:rPr>
          <w:sz w:val="20"/>
          <w:szCs w:val="20"/>
          <w:lang w:val="el-GR"/>
        </w:rPr>
        <w:t xml:space="preserve"> (≥</w:t>
      </w:r>
      <w:r w:rsidR="009C2A3B" w:rsidRPr="00791987">
        <w:rPr>
          <w:sz w:val="20"/>
          <w:szCs w:val="20"/>
          <w:lang w:val="el-GR"/>
        </w:rPr>
        <w:t>150</w:t>
      </w:r>
      <w:r w:rsidRPr="00791987">
        <w:rPr>
          <w:sz w:val="20"/>
          <w:szCs w:val="20"/>
          <w:lang w:val="el-GR"/>
        </w:rPr>
        <w:t xml:space="preserve">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(ασθενείς ηλικίας &lt;18 ετών) σε τουλάχιστον μία περίπτωση.</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Χοληστερόλη ≥</w:t>
      </w:r>
      <w:r w:rsidR="009C2A3B" w:rsidRPr="00791987">
        <w:rPr>
          <w:sz w:val="20"/>
          <w:szCs w:val="20"/>
          <w:lang w:val="el-GR"/>
        </w:rPr>
        <w:t xml:space="preserve">6,2064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009C2A3B" w:rsidRPr="00791987" w:rsidDel="00E14654">
        <w:rPr>
          <w:sz w:val="20"/>
          <w:szCs w:val="20"/>
          <w:lang w:val="el-GR"/>
        </w:rPr>
        <w:t xml:space="preserve"> </w:t>
      </w:r>
      <w:r w:rsidRPr="00791987">
        <w:rPr>
          <w:sz w:val="20"/>
          <w:szCs w:val="20"/>
          <w:lang w:val="el-GR"/>
        </w:rPr>
        <w:t>(≥</w:t>
      </w:r>
      <w:r w:rsidR="009C2A3B" w:rsidRPr="00791987">
        <w:rPr>
          <w:sz w:val="20"/>
          <w:szCs w:val="20"/>
          <w:lang w:val="el-GR"/>
        </w:rPr>
        <w:t xml:space="preserve">240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(ασθενείς ηλικίας ≥18 ετών) ή ≥</w:t>
      </w:r>
      <w:r w:rsidR="009C2A3B" w:rsidRPr="00791987">
        <w:rPr>
          <w:sz w:val="20"/>
          <w:szCs w:val="20"/>
          <w:lang w:val="el-GR"/>
        </w:rPr>
        <w:t xml:space="preserve">5,172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Pr="00791987">
        <w:rPr>
          <w:sz w:val="20"/>
          <w:szCs w:val="20"/>
          <w:lang w:val="el-GR"/>
        </w:rPr>
        <w:t xml:space="preserve"> (≥</w:t>
      </w:r>
      <w:r w:rsidR="009C2A3B" w:rsidRPr="00791987">
        <w:rPr>
          <w:sz w:val="20"/>
          <w:szCs w:val="20"/>
          <w:lang w:val="el-GR"/>
        </w:rPr>
        <w:t>200</w:t>
      </w:r>
      <w:r w:rsidRPr="00791987">
        <w:rPr>
          <w:sz w:val="20"/>
          <w:szCs w:val="20"/>
          <w:lang w:val="el-GR"/>
        </w:rPr>
        <w:t xml:space="preserve">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(ασθενείς ηλικίας &lt;18 ετών) σε τουλάχιστον μία περίπτωση. Έχει παρατηρηθεί πολύ συχνά αύξηση της LDL χοληστερόλης ≥</w:t>
      </w:r>
      <w:r w:rsidR="009C2A3B" w:rsidRPr="00791987">
        <w:rPr>
          <w:sz w:val="20"/>
          <w:szCs w:val="20"/>
          <w:lang w:val="el-GR"/>
        </w:rPr>
        <w:t xml:space="preserve">0,769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Pr="00791987">
        <w:rPr>
          <w:sz w:val="20"/>
          <w:szCs w:val="20"/>
          <w:lang w:val="el-GR"/>
        </w:rPr>
        <w:t xml:space="preserve"> (≥</w:t>
      </w:r>
      <w:r w:rsidR="009C2A3B" w:rsidRPr="00791987">
        <w:rPr>
          <w:sz w:val="20"/>
          <w:szCs w:val="20"/>
          <w:lang w:val="el-GR"/>
        </w:rPr>
        <w:t xml:space="preserve">30 </w:t>
      </w:r>
      <w:r w:rsidR="009C2A3B" w:rsidRPr="00791987">
        <w:rPr>
          <w:sz w:val="20"/>
          <w:szCs w:val="20"/>
          <w:lang w:val="en-GB"/>
        </w:rPr>
        <w:t>mg</w:t>
      </w:r>
      <w:r w:rsidR="009C2A3B" w:rsidRPr="00791987">
        <w:rPr>
          <w:sz w:val="20"/>
          <w:szCs w:val="20"/>
          <w:lang w:val="el-GR"/>
        </w:rPr>
        <w:t>/</w:t>
      </w:r>
      <w:proofErr w:type="spellStart"/>
      <w:r w:rsidR="009C2A3B" w:rsidRPr="00791987">
        <w:rPr>
          <w:sz w:val="20"/>
          <w:szCs w:val="20"/>
          <w:lang w:val="en-GB"/>
        </w:rPr>
        <w:t>dL</w:t>
      </w:r>
      <w:proofErr w:type="spellEnd"/>
      <w:r w:rsidRPr="00791987">
        <w:rPr>
          <w:sz w:val="20"/>
          <w:szCs w:val="20"/>
          <w:lang w:val="el-GR"/>
        </w:rPr>
        <w:t xml:space="preserve">). Η μέση μεταβολή μεταξύ των ασθενών που παρουσίασαν αυτή την αύξηση ήταν </w:t>
      </w:r>
      <w:r w:rsidR="009C2A3B" w:rsidRPr="00791987">
        <w:rPr>
          <w:sz w:val="20"/>
          <w:szCs w:val="20"/>
          <w:lang w:val="el-GR"/>
        </w:rPr>
        <w:t xml:space="preserve">≥1,07 </w:t>
      </w:r>
      <w:proofErr w:type="spellStart"/>
      <w:r w:rsidR="009C2A3B" w:rsidRPr="00791987">
        <w:rPr>
          <w:sz w:val="20"/>
          <w:szCs w:val="20"/>
          <w:lang w:val="en-GB"/>
        </w:rPr>
        <w:t>mmol</w:t>
      </w:r>
      <w:proofErr w:type="spellEnd"/>
      <w:r w:rsidR="009C2A3B" w:rsidRPr="00791987">
        <w:rPr>
          <w:sz w:val="20"/>
          <w:szCs w:val="20"/>
          <w:lang w:val="el-GR"/>
        </w:rPr>
        <w:t>/</w:t>
      </w:r>
      <w:r w:rsidR="009C2A3B" w:rsidRPr="00791987">
        <w:rPr>
          <w:sz w:val="20"/>
          <w:szCs w:val="20"/>
          <w:lang w:val="en-GB"/>
        </w:rPr>
        <w:t>L</w:t>
      </w:r>
      <w:r w:rsidR="009C2A3B" w:rsidRPr="00791987" w:rsidDel="00E14654">
        <w:rPr>
          <w:sz w:val="20"/>
          <w:szCs w:val="20"/>
          <w:lang w:val="el-GR"/>
        </w:rPr>
        <w:t xml:space="preserve"> </w:t>
      </w:r>
      <w:r w:rsidRPr="00791987">
        <w:rPr>
          <w:sz w:val="20"/>
          <w:szCs w:val="20"/>
          <w:lang w:val="el-GR"/>
        </w:rPr>
        <w:t>(</w:t>
      </w:r>
      <w:r w:rsidR="006B30B5" w:rsidRPr="00791987">
        <w:rPr>
          <w:sz w:val="20"/>
          <w:szCs w:val="20"/>
          <w:lang w:val="el-GR"/>
        </w:rPr>
        <w:t xml:space="preserve">41,7 </w:t>
      </w:r>
      <w:r w:rsidR="006B30B5" w:rsidRPr="00791987">
        <w:rPr>
          <w:sz w:val="20"/>
          <w:szCs w:val="20"/>
          <w:lang w:val="en-GB"/>
        </w:rPr>
        <w:t>mg</w:t>
      </w:r>
      <w:r w:rsidR="006B30B5" w:rsidRPr="00791987">
        <w:rPr>
          <w:sz w:val="20"/>
          <w:szCs w:val="20"/>
          <w:lang w:val="el-GR"/>
        </w:rPr>
        <w:t>/</w:t>
      </w:r>
      <w:proofErr w:type="spellStart"/>
      <w:r w:rsidR="006B30B5" w:rsidRPr="00791987">
        <w:rPr>
          <w:sz w:val="20"/>
          <w:szCs w:val="20"/>
          <w:lang w:val="en-GB"/>
        </w:rPr>
        <w:t>dL</w:t>
      </w:r>
      <w:proofErr w:type="spellEnd"/>
      <w:r w:rsidRPr="00791987">
        <w:rPr>
          <w:sz w:val="20"/>
          <w:szCs w:val="20"/>
          <w:lang w:val="el-GR"/>
        </w:rPr>
        <w:t>).</w:t>
      </w:r>
    </w:p>
    <w:p w:rsidR="00380EEB" w:rsidRPr="00791987" w:rsidRDefault="00380EEB">
      <w:pPr>
        <w:numPr>
          <w:ilvl w:val="0"/>
          <w:numId w:val="17"/>
        </w:numPr>
        <w:tabs>
          <w:tab w:val="clear" w:pos="533"/>
          <w:tab w:val="num" w:pos="374"/>
        </w:tabs>
        <w:spacing w:after="60"/>
        <w:ind w:left="374"/>
        <w:jc w:val="both"/>
        <w:rPr>
          <w:sz w:val="20"/>
          <w:szCs w:val="20"/>
        </w:rPr>
      </w:pPr>
      <w:r w:rsidRPr="00791987">
        <w:rPr>
          <w:sz w:val="20"/>
          <w:szCs w:val="20"/>
          <w:lang w:val="el-GR"/>
        </w:rPr>
        <w:t>Βλ</w:t>
      </w:r>
      <w:r w:rsidRPr="00791987">
        <w:rPr>
          <w:sz w:val="20"/>
          <w:szCs w:val="20"/>
        </w:rPr>
        <w:t xml:space="preserve">. </w:t>
      </w:r>
      <w:r w:rsidRPr="00791987">
        <w:rPr>
          <w:sz w:val="20"/>
          <w:szCs w:val="20"/>
          <w:lang w:val="el-GR"/>
        </w:rPr>
        <w:t>παρακάτω κείμενο</w:t>
      </w:r>
      <w:r w:rsidRPr="00791987">
        <w:rPr>
          <w:sz w:val="20"/>
          <w:szCs w:val="20"/>
        </w:rPr>
        <w:t xml:space="preserve">. </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Αιμοπετάλια ≤100 </w:t>
      </w:r>
      <w:r w:rsidRPr="00791987">
        <w:rPr>
          <w:sz w:val="20"/>
          <w:szCs w:val="20"/>
        </w:rPr>
        <w:t>x</w:t>
      </w:r>
      <w:r w:rsidRPr="00791987">
        <w:rPr>
          <w:sz w:val="20"/>
          <w:szCs w:val="20"/>
          <w:lang w:val="el-GR"/>
        </w:rPr>
        <w:t xml:space="preserve"> 10</w:t>
      </w:r>
      <w:r w:rsidRPr="00791987">
        <w:rPr>
          <w:sz w:val="20"/>
          <w:szCs w:val="20"/>
          <w:vertAlign w:val="superscript"/>
          <w:lang w:val="el-GR"/>
        </w:rPr>
        <w:t>9</w:t>
      </w:r>
      <w:r w:rsidRPr="00791987">
        <w:rPr>
          <w:sz w:val="20"/>
          <w:szCs w:val="20"/>
          <w:lang w:val="el-GR"/>
        </w:rPr>
        <w:t>/</w:t>
      </w:r>
      <w:r w:rsidRPr="00791987">
        <w:rPr>
          <w:sz w:val="20"/>
          <w:szCs w:val="20"/>
        </w:rPr>
        <w:t>L</w:t>
      </w:r>
      <w:r w:rsidRPr="00791987">
        <w:rPr>
          <w:sz w:val="20"/>
          <w:szCs w:val="20"/>
          <w:lang w:val="el-GR"/>
        </w:rPr>
        <w:t xml:space="preserve"> σε μία τουλάχιστον περίπτωση.</w:t>
      </w:r>
      <w:r w:rsidRPr="00791987">
        <w:rPr>
          <w:sz w:val="20"/>
          <w:szCs w:val="20"/>
          <w:lang w:val="el-GR"/>
        </w:rPr>
        <w:tab/>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Με βάση τις αναφορές ανεπιθύμητων συμβάντων σε κλινικές δοκιμές σχετικά με την αύξηση της </w:t>
      </w:r>
      <w:proofErr w:type="spellStart"/>
      <w:r w:rsidRPr="00791987">
        <w:rPr>
          <w:sz w:val="20"/>
          <w:szCs w:val="20"/>
          <w:lang w:val="el-GR"/>
        </w:rPr>
        <w:t>φωσφοκινάσης</w:t>
      </w:r>
      <w:proofErr w:type="spellEnd"/>
      <w:r w:rsidRPr="00791987">
        <w:rPr>
          <w:sz w:val="20"/>
          <w:szCs w:val="20"/>
          <w:lang w:val="el-GR"/>
        </w:rPr>
        <w:t xml:space="preserve"> κρεατίνης αίματος που δεν σχετίζεται με κακόηθες νευροληπτικό σύνδρομο.</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 xml:space="preserve">Επίπεδα </w:t>
      </w:r>
      <w:proofErr w:type="spellStart"/>
      <w:r w:rsidRPr="00791987">
        <w:rPr>
          <w:sz w:val="20"/>
          <w:szCs w:val="20"/>
          <w:lang w:val="el-GR"/>
        </w:rPr>
        <w:t>προλακτίνης</w:t>
      </w:r>
      <w:proofErr w:type="spellEnd"/>
      <w:r w:rsidRPr="00791987">
        <w:rPr>
          <w:sz w:val="20"/>
          <w:szCs w:val="20"/>
          <w:lang w:val="el-GR"/>
        </w:rPr>
        <w:t xml:space="preserve"> (ασθενείς ηλικίας &gt;18 ετών): &gt;20 μ</w:t>
      </w:r>
      <w:r w:rsidRPr="00791987">
        <w:rPr>
          <w:sz w:val="20"/>
          <w:szCs w:val="20"/>
        </w:rPr>
        <w:t>g</w:t>
      </w:r>
      <w:r w:rsidRPr="00791987">
        <w:rPr>
          <w:sz w:val="20"/>
          <w:szCs w:val="20"/>
          <w:lang w:val="el-GR"/>
        </w:rPr>
        <w:t>/</w:t>
      </w:r>
      <w:r w:rsidRPr="00791987">
        <w:rPr>
          <w:sz w:val="20"/>
          <w:szCs w:val="20"/>
        </w:rPr>
        <w:t>L</w:t>
      </w:r>
      <w:r w:rsidRPr="00791987">
        <w:rPr>
          <w:sz w:val="20"/>
          <w:szCs w:val="20"/>
          <w:lang w:val="el-GR"/>
        </w:rPr>
        <w:t xml:space="preserve"> (&gt;869,56 </w:t>
      </w:r>
      <w:proofErr w:type="spellStart"/>
      <w:r w:rsidRPr="00791987">
        <w:rPr>
          <w:sz w:val="20"/>
          <w:szCs w:val="20"/>
        </w:rPr>
        <w:t>pmol</w:t>
      </w:r>
      <w:proofErr w:type="spellEnd"/>
      <w:r w:rsidRPr="00791987">
        <w:rPr>
          <w:sz w:val="20"/>
          <w:szCs w:val="20"/>
          <w:lang w:val="el-GR"/>
        </w:rPr>
        <w:t>/</w:t>
      </w:r>
      <w:r w:rsidRPr="00791987">
        <w:rPr>
          <w:sz w:val="20"/>
          <w:szCs w:val="20"/>
        </w:rPr>
        <w:t>L</w:t>
      </w:r>
      <w:r w:rsidRPr="00791987">
        <w:rPr>
          <w:sz w:val="20"/>
          <w:szCs w:val="20"/>
          <w:lang w:val="el-GR"/>
        </w:rPr>
        <w:t>) για άνδρες, &gt;30 μ</w:t>
      </w:r>
      <w:r w:rsidRPr="00791987">
        <w:rPr>
          <w:sz w:val="20"/>
          <w:szCs w:val="20"/>
        </w:rPr>
        <w:t>g</w:t>
      </w:r>
      <w:r w:rsidRPr="00791987">
        <w:rPr>
          <w:sz w:val="20"/>
          <w:szCs w:val="20"/>
          <w:lang w:val="el-GR"/>
        </w:rPr>
        <w:t>/</w:t>
      </w:r>
      <w:r w:rsidRPr="00791987">
        <w:rPr>
          <w:sz w:val="20"/>
          <w:szCs w:val="20"/>
        </w:rPr>
        <w:t>L</w:t>
      </w:r>
      <w:r w:rsidRPr="00791987">
        <w:rPr>
          <w:sz w:val="20"/>
          <w:szCs w:val="20"/>
          <w:lang w:val="el-GR"/>
        </w:rPr>
        <w:t xml:space="preserve"> (&gt;1304,34 </w:t>
      </w:r>
      <w:proofErr w:type="spellStart"/>
      <w:r w:rsidRPr="00791987">
        <w:rPr>
          <w:sz w:val="20"/>
          <w:szCs w:val="20"/>
        </w:rPr>
        <w:t>pmol</w:t>
      </w:r>
      <w:proofErr w:type="spellEnd"/>
      <w:r w:rsidRPr="00791987">
        <w:rPr>
          <w:sz w:val="20"/>
          <w:szCs w:val="20"/>
          <w:lang w:val="el-GR"/>
        </w:rPr>
        <w:t>/</w:t>
      </w:r>
      <w:r w:rsidRPr="00791987">
        <w:rPr>
          <w:sz w:val="20"/>
          <w:szCs w:val="20"/>
        </w:rPr>
        <w:t>L</w:t>
      </w:r>
      <w:r w:rsidRPr="00791987">
        <w:rPr>
          <w:sz w:val="20"/>
          <w:szCs w:val="20"/>
          <w:lang w:val="el-GR"/>
        </w:rPr>
        <w:t>) για γυναίκες, σε οποιαδήποτε χρονική στιγμή.</w:t>
      </w:r>
    </w:p>
    <w:p w:rsidR="00380EEB" w:rsidRPr="00791987" w:rsidRDefault="00380EEB">
      <w:pPr>
        <w:numPr>
          <w:ilvl w:val="0"/>
          <w:numId w:val="17"/>
        </w:numPr>
        <w:tabs>
          <w:tab w:val="clear" w:pos="533"/>
          <w:tab w:val="num" w:pos="374"/>
        </w:tabs>
        <w:spacing w:after="60"/>
        <w:ind w:left="374"/>
        <w:jc w:val="both"/>
        <w:rPr>
          <w:sz w:val="20"/>
          <w:szCs w:val="20"/>
          <w:lang w:val="el-GR"/>
        </w:rPr>
      </w:pPr>
      <w:r w:rsidRPr="00791987">
        <w:rPr>
          <w:sz w:val="20"/>
          <w:szCs w:val="20"/>
          <w:lang w:val="el-GR"/>
        </w:rPr>
        <w:t>Ενδέχεται να οδηγήσει σε πτώσεις.</w:t>
      </w:r>
    </w:p>
    <w:p w:rsidR="00380EEB" w:rsidRPr="00791987" w:rsidRDefault="00380EEB">
      <w:pPr>
        <w:numPr>
          <w:ilvl w:val="0"/>
          <w:numId w:val="17"/>
        </w:numPr>
        <w:tabs>
          <w:tab w:val="clear" w:pos="533"/>
          <w:tab w:val="num" w:pos="374"/>
        </w:tabs>
        <w:ind w:left="374"/>
        <w:jc w:val="both"/>
        <w:rPr>
          <w:sz w:val="20"/>
          <w:szCs w:val="20"/>
          <w:lang w:val="el-GR"/>
        </w:rPr>
      </w:pPr>
      <w:r w:rsidRPr="00791987">
        <w:rPr>
          <w:sz w:val="20"/>
          <w:szCs w:val="20"/>
          <w:lang w:val="el-GR"/>
        </w:rPr>
        <w:t xml:space="preserve">HDL χοληστερόλη: </w:t>
      </w:r>
      <w:r w:rsidR="00A50106" w:rsidRPr="00791987">
        <w:rPr>
          <w:sz w:val="20"/>
          <w:szCs w:val="20"/>
          <w:lang w:val="el-GR"/>
        </w:rPr>
        <w:t>&lt;</w:t>
      </w:r>
      <w:r w:rsidR="006B30B5" w:rsidRPr="00791987">
        <w:rPr>
          <w:sz w:val="20"/>
          <w:szCs w:val="20"/>
          <w:lang w:val="el-GR"/>
        </w:rPr>
        <w:t xml:space="preserve">1,025 </w:t>
      </w:r>
      <w:proofErr w:type="spellStart"/>
      <w:r w:rsidR="006B30B5" w:rsidRPr="00791987">
        <w:rPr>
          <w:sz w:val="20"/>
          <w:szCs w:val="20"/>
          <w:lang w:val="en-GB"/>
        </w:rPr>
        <w:t>mmol</w:t>
      </w:r>
      <w:proofErr w:type="spellEnd"/>
      <w:r w:rsidR="006B30B5" w:rsidRPr="00791987">
        <w:rPr>
          <w:sz w:val="20"/>
          <w:szCs w:val="20"/>
          <w:lang w:val="el-GR"/>
        </w:rPr>
        <w:t>/</w:t>
      </w:r>
      <w:r w:rsidR="006B30B5" w:rsidRPr="00791987">
        <w:rPr>
          <w:sz w:val="20"/>
          <w:szCs w:val="20"/>
          <w:lang w:val="en-GB"/>
        </w:rPr>
        <w:t>L</w:t>
      </w:r>
      <w:r w:rsidR="006B30B5" w:rsidRPr="00791987">
        <w:rPr>
          <w:sz w:val="20"/>
          <w:szCs w:val="20"/>
          <w:lang w:val="el-GR"/>
        </w:rPr>
        <w:t xml:space="preserve"> </w:t>
      </w:r>
      <w:r w:rsidRPr="00791987">
        <w:rPr>
          <w:sz w:val="20"/>
          <w:szCs w:val="20"/>
          <w:lang w:val="el-GR"/>
        </w:rPr>
        <w:t>(</w:t>
      </w:r>
      <w:r w:rsidR="006B30B5" w:rsidRPr="00791987">
        <w:rPr>
          <w:sz w:val="20"/>
          <w:szCs w:val="20"/>
          <w:lang w:val="el-GR"/>
        </w:rPr>
        <w:t xml:space="preserve">&lt;40 </w:t>
      </w:r>
      <w:r w:rsidR="006B30B5" w:rsidRPr="00791987">
        <w:rPr>
          <w:sz w:val="20"/>
          <w:szCs w:val="20"/>
          <w:lang w:val="en-GB"/>
        </w:rPr>
        <w:t>mg</w:t>
      </w:r>
      <w:r w:rsidR="006B30B5" w:rsidRPr="00791987">
        <w:rPr>
          <w:sz w:val="20"/>
          <w:szCs w:val="20"/>
          <w:lang w:val="el-GR"/>
        </w:rPr>
        <w:t>/</w:t>
      </w:r>
      <w:proofErr w:type="spellStart"/>
      <w:r w:rsidR="006B30B5" w:rsidRPr="00791987">
        <w:rPr>
          <w:sz w:val="20"/>
          <w:szCs w:val="20"/>
          <w:lang w:val="en-GB"/>
        </w:rPr>
        <w:t>dL</w:t>
      </w:r>
      <w:proofErr w:type="spellEnd"/>
      <w:r w:rsidRPr="00791987">
        <w:rPr>
          <w:sz w:val="20"/>
          <w:szCs w:val="20"/>
          <w:lang w:val="el-GR"/>
        </w:rPr>
        <w:t xml:space="preserve">) για άνδρες, </w:t>
      </w:r>
      <w:r w:rsidR="00A50106" w:rsidRPr="00791987">
        <w:rPr>
          <w:sz w:val="20"/>
          <w:szCs w:val="20"/>
          <w:lang w:val="el-GR"/>
        </w:rPr>
        <w:t>&lt;1</w:t>
      </w:r>
      <w:r w:rsidR="00A50106">
        <w:rPr>
          <w:sz w:val="20"/>
          <w:szCs w:val="20"/>
          <w:lang w:val="el-GR"/>
        </w:rPr>
        <w:t>,</w:t>
      </w:r>
      <w:r w:rsidR="00A50106" w:rsidRPr="00791987">
        <w:rPr>
          <w:sz w:val="20"/>
          <w:szCs w:val="20"/>
          <w:lang w:val="el-GR"/>
        </w:rPr>
        <w:t>282</w:t>
      </w:r>
      <w:r w:rsidR="006B30B5" w:rsidRPr="00791987">
        <w:rPr>
          <w:sz w:val="20"/>
          <w:szCs w:val="20"/>
          <w:lang w:val="el-GR"/>
        </w:rPr>
        <w:t xml:space="preserve"> </w:t>
      </w:r>
      <w:proofErr w:type="spellStart"/>
      <w:r w:rsidR="006B30B5" w:rsidRPr="00791987">
        <w:rPr>
          <w:sz w:val="20"/>
          <w:szCs w:val="20"/>
          <w:lang w:val="en-GB"/>
        </w:rPr>
        <w:t>mmol</w:t>
      </w:r>
      <w:proofErr w:type="spellEnd"/>
      <w:r w:rsidR="006B30B5" w:rsidRPr="00791987">
        <w:rPr>
          <w:sz w:val="20"/>
          <w:szCs w:val="20"/>
          <w:lang w:val="el-GR"/>
        </w:rPr>
        <w:t>/</w:t>
      </w:r>
      <w:r w:rsidR="006B30B5" w:rsidRPr="00791987">
        <w:rPr>
          <w:sz w:val="20"/>
          <w:szCs w:val="20"/>
          <w:lang w:val="en-GB"/>
        </w:rPr>
        <w:t>L</w:t>
      </w:r>
      <w:r w:rsidR="006B30B5" w:rsidRPr="00791987">
        <w:rPr>
          <w:sz w:val="20"/>
          <w:szCs w:val="20"/>
          <w:lang w:val="el-GR"/>
        </w:rPr>
        <w:t xml:space="preserve"> </w:t>
      </w:r>
      <w:r w:rsidRPr="00791987">
        <w:rPr>
          <w:sz w:val="20"/>
          <w:szCs w:val="20"/>
          <w:lang w:val="el-GR"/>
        </w:rPr>
        <w:t>(</w:t>
      </w:r>
      <w:r w:rsidR="006B30B5" w:rsidRPr="00791987">
        <w:rPr>
          <w:sz w:val="20"/>
          <w:szCs w:val="20"/>
          <w:lang w:val="el-GR"/>
        </w:rPr>
        <w:t xml:space="preserve">&lt;50 </w:t>
      </w:r>
      <w:r w:rsidR="006B30B5" w:rsidRPr="00791987">
        <w:rPr>
          <w:sz w:val="20"/>
          <w:szCs w:val="20"/>
          <w:lang w:val="en-GB"/>
        </w:rPr>
        <w:t>mg</w:t>
      </w:r>
      <w:r w:rsidR="006B30B5" w:rsidRPr="00791987">
        <w:rPr>
          <w:sz w:val="20"/>
          <w:szCs w:val="20"/>
          <w:lang w:val="el-GR"/>
        </w:rPr>
        <w:t>/</w:t>
      </w:r>
      <w:proofErr w:type="spellStart"/>
      <w:r w:rsidR="006B30B5" w:rsidRPr="00791987">
        <w:rPr>
          <w:sz w:val="20"/>
          <w:szCs w:val="20"/>
          <w:lang w:val="en-GB"/>
        </w:rPr>
        <w:t>dL</w:t>
      </w:r>
      <w:proofErr w:type="spellEnd"/>
      <w:r w:rsidRPr="00791987">
        <w:rPr>
          <w:sz w:val="20"/>
          <w:szCs w:val="20"/>
          <w:lang w:val="el-GR"/>
        </w:rPr>
        <w:t>) για γυναίκες, σε οποιαδήποτε χρονική στιγμή.</w:t>
      </w:r>
    </w:p>
    <w:p w:rsidR="00380EEB" w:rsidRPr="00791987" w:rsidRDefault="00380EEB">
      <w:pPr>
        <w:numPr>
          <w:ilvl w:val="0"/>
          <w:numId w:val="17"/>
        </w:numPr>
        <w:tabs>
          <w:tab w:val="clear" w:pos="533"/>
          <w:tab w:val="num" w:pos="374"/>
        </w:tabs>
        <w:ind w:left="374"/>
        <w:jc w:val="both"/>
        <w:rPr>
          <w:sz w:val="20"/>
          <w:szCs w:val="20"/>
          <w:lang w:val="el-GR"/>
        </w:rPr>
      </w:pPr>
      <w:r w:rsidRPr="00791987">
        <w:rPr>
          <w:sz w:val="20"/>
          <w:szCs w:val="20"/>
          <w:lang w:val="el-GR"/>
        </w:rPr>
        <w:t xml:space="preserve">Επίπτωση </w:t>
      </w:r>
      <w:r w:rsidR="00A50106" w:rsidRPr="00791987">
        <w:rPr>
          <w:sz w:val="20"/>
          <w:szCs w:val="20"/>
          <w:lang w:val="el-GR"/>
        </w:rPr>
        <w:t>ασθεν</w:t>
      </w:r>
      <w:r w:rsidR="00A50106">
        <w:rPr>
          <w:sz w:val="20"/>
          <w:szCs w:val="20"/>
          <w:lang w:val="el-GR"/>
        </w:rPr>
        <w:t>ών</w:t>
      </w:r>
      <w:r w:rsidR="00A50106" w:rsidRPr="00791987">
        <w:rPr>
          <w:sz w:val="20"/>
          <w:szCs w:val="20"/>
          <w:lang w:val="el-GR"/>
        </w:rPr>
        <w:t xml:space="preserve"> </w:t>
      </w:r>
      <w:r w:rsidR="00596ED6" w:rsidRPr="00791987">
        <w:rPr>
          <w:sz w:val="20"/>
          <w:szCs w:val="20"/>
          <w:lang w:val="el-GR"/>
        </w:rPr>
        <w:t>ο</w:t>
      </w:r>
      <w:r w:rsidR="00A50106">
        <w:rPr>
          <w:sz w:val="20"/>
          <w:szCs w:val="20"/>
          <w:lang w:val="el-GR"/>
        </w:rPr>
        <w:t>ι</w:t>
      </w:r>
      <w:r w:rsidR="00596ED6" w:rsidRPr="00791987">
        <w:rPr>
          <w:sz w:val="20"/>
          <w:szCs w:val="20"/>
          <w:lang w:val="el-GR"/>
        </w:rPr>
        <w:t xml:space="preserve"> οποίο</w:t>
      </w:r>
      <w:r w:rsidR="00A50106">
        <w:rPr>
          <w:sz w:val="20"/>
          <w:szCs w:val="20"/>
          <w:lang w:val="el-GR"/>
        </w:rPr>
        <w:t>ι</w:t>
      </w:r>
      <w:r w:rsidR="00596ED6" w:rsidRPr="00791987">
        <w:rPr>
          <w:sz w:val="20"/>
          <w:szCs w:val="20"/>
          <w:lang w:val="el-GR"/>
        </w:rPr>
        <w:t xml:space="preserve"> παρουσιάζ</w:t>
      </w:r>
      <w:r w:rsidR="00A50106">
        <w:rPr>
          <w:sz w:val="20"/>
          <w:szCs w:val="20"/>
          <w:lang w:val="el-GR"/>
        </w:rPr>
        <w:t>ουν</w:t>
      </w:r>
      <w:r w:rsidR="00596ED6" w:rsidRPr="00791987">
        <w:rPr>
          <w:sz w:val="20"/>
          <w:szCs w:val="20"/>
          <w:lang w:val="el-GR"/>
        </w:rPr>
        <w:t xml:space="preserve"> </w:t>
      </w:r>
      <w:r w:rsidRPr="00791987">
        <w:rPr>
          <w:sz w:val="20"/>
          <w:szCs w:val="20"/>
          <w:lang w:val="el-GR"/>
        </w:rPr>
        <w:t xml:space="preserve">μετατόπιση του διαστήματος </w:t>
      </w:r>
      <w:proofErr w:type="spellStart"/>
      <w:r w:rsidRPr="00791987">
        <w:rPr>
          <w:sz w:val="20"/>
          <w:szCs w:val="20"/>
        </w:rPr>
        <w:t>QTc</w:t>
      </w:r>
      <w:proofErr w:type="spellEnd"/>
      <w:r w:rsidRPr="00791987">
        <w:rPr>
          <w:sz w:val="20"/>
          <w:szCs w:val="20"/>
          <w:lang w:val="el-GR"/>
        </w:rPr>
        <w:t xml:space="preserve"> </w:t>
      </w:r>
      <w:r w:rsidR="00596ED6" w:rsidRPr="00791987">
        <w:rPr>
          <w:sz w:val="20"/>
          <w:szCs w:val="20"/>
          <w:lang w:val="el-GR"/>
        </w:rPr>
        <w:t xml:space="preserve">από </w:t>
      </w:r>
      <w:r w:rsidRPr="00791987">
        <w:rPr>
          <w:sz w:val="20"/>
          <w:szCs w:val="20"/>
          <w:lang w:val="el-GR"/>
        </w:rPr>
        <w:t xml:space="preserve">&lt;450 </w:t>
      </w:r>
      <w:proofErr w:type="spellStart"/>
      <w:r w:rsidRPr="00791987">
        <w:rPr>
          <w:sz w:val="20"/>
          <w:szCs w:val="20"/>
        </w:rPr>
        <w:t>ms</w:t>
      </w:r>
      <w:r w:rsidR="00596ED6" w:rsidRPr="00791987">
        <w:rPr>
          <w:sz w:val="20"/>
          <w:szCs w:val="20"/>
        </w:rPr>
        <w:t>ec</w:t>
      </w:r>
      <w:proofErr w:type="spellEnd"/>
      <w:r w:rsidRPr="00791987">
        <w:rPr>
          <w:sz w:val="20"/>
          <w:szCs w:val="20"/>
          <w:lang w:val="el-GR"/>
        </w:rPr>
        <w:t xml:space="preserve"> έως ≥ 450 </w:t>
      </w:r>
      <w:proofErr w:type="spellStart"/>
      <w:r w:rsidRPr="00791987">
        <w:rPr>
          <w:sz w:val="20"/>
          <w:szCs w:val="20"/>
        </w:rPr>
        <w:t>ms</w:t>
      </w:r>
      <w:r w:rsidR="00596ED6" w:rsidRPr="00791987">
        <w:rPr>
          <w:sz w:val="20"/>
          <w:szCs w:val="20"/>
        </w:rPr>
        <w:t>ec</w:t>
      </w:r>
      <w:proofErr w:type="spellEnd"/>
      <w:r w:rsidRPr="00791987">
        <w:rPr>
          <w:sz w:val="20"/>
          <w:szCs w:val="20"/>
          <w:lang w:val="el-GR"/>
        </w:rPr>
        <w:t xml:space="preserve">, με αύξηση ≥30 </w:t>
      </w:r>
      <w:proofErr w:type="spellStart"/>
      <w:r w:rsidRPr="00791987">
        <w:rPr>
          <w:sz w:val="20"/>
          <w:szCs w:val="20"/>
        </w:rPr>
        <w:t>ms</w:t>
      </w:r>
      <w:r w:rsidR="00596ED6" w:rsidRPr="00791987">
        <w:rPr>
          <w:sz w:val="20"/>
          <w:szCs w:val="20"/>
        </w:rPr>
        <w:t>ec</w:t>
      </w:r>
      <w:proofErr w:type="spellEnd"/>
      <w:r w:rsidRPr="00791987">
        <w:rPr>
          <w:sz w:val="20"/>
          <w:szCs w:val="20"/>
          <w:lang w:val="el-GR"/>
        </w:rPr>
        <w:t>. Σε δοκιμ</w:t>
      </w:r>
      <w:r w:rsidR="00A50106">
        <w:rPr>
          <w:sz w:val="20"/>
          <w:szCs w:val="20"/>
          <w:lang w:val="el-GR"/>
        </w:rPr>
        <w:t>ές</w:t>
      </w:r>
      <w:r w:rsidRPr="00791987">
        <w:rPr>
          <w:sz w:val="20"/>
          <w:szCs w:val="20"/>
          <w:lang w:val="el-GR"/>
        </w:rPr>
        <w:t xml:space="preserve"> </w:t>
      </w:r>
      <w:proofErr w:type="spellStart"/>
      <w:r w:rsidRPr="00791987">
        <w:rPr>
          <w:sz w:val="20"/>
          <w:szCs w:val="20"/>
          <w:lang w:val="el-GR"/>
        </w:rPr>
        <w:t>κουετιαπίνης</w:t>
      </w:r>
      <w:proofErr w:type="spellEnd"/>
      <w:r w:rsidRPr="00791987">
        <w:rPr>
          <w:sz w:val="20"/>
          <w:szCs w:val="20"/>
          <w:lang w:val="el-GR"/>
        </w:rPr>
        <w:t xml:space="preserve"> με έλεγχο εικονικού φαρμάκου η μέση αλλαγή και η επίπτωση ασθεν</w:t>
      </w:r>
      <w:r w:rsidR="00A50106">
        <w:rPr>
          <w:sz w:val="20"/>
          <w:szCs w:val="20"/>
          <w:lang w:val="el-GR"/>
        </w:rPr>
        <w:t>ών</w:t>
      </w:r>
      <w:r w:rsidR="00F32AA2" w:rsidRPr="00791987">
        <w:rPr>
          <w:sz w:val="20"/>
          <w:szCs w:val="20"/>
          <w:lang w:val="el-GR"/>
        </w:rPr>
        <w:t>,</w:t>
      </w:r>
      <w:r w:rsidRPr="00791987">
        <w:rPr>
          <w:sz w:val="20"/>
          <w:szCs w:val="20"/>
          <w:lang w:val="el-GR"/>
        </w:rPr>
        <w:t xml:space="preserve"> </w:t>
      </w:r>
      <w:r w:rsidR="00F32AA2" w:rsidRPr="00791987">
        <w:rPr>
          <w:sz w:val="20"/>
          <w:szCs w:val="20"/>
          <w:lang w:val="el-GR"/>
        </w:rPr>
        <w:t>ο</w:t>
      </w:r>
      <w:r w:rsidR="00A50106">
        <w:rPr>
          <w:sz w:val="20"/>
          <w:szCs w:val="20"/>
          <w:lang w:val="el-GR"/>
        </w:rPr>
        <w:t>ι</w:t>
      </w:r>
      <w:r w:rsidR="00F32AA2" w:rsidRPr="00791987">
        <w:rPr>
          <w:sz w:val="20"/>
          <w:szCs w:val="20"/>
          <w:lang w:val="el-GR"/>
        </w:rPr>
        <w:t xml:space="preserve"> οποίο</w:t>
      </w:r>
      <w:r w:rsidR="00A50106">
        <w:rPr>
          <w:sz w:val="20"/>
          <w:szCs w:val="20"/>
          <w:lang w:val="el-GR"/>
        </w:rPr>
        <w:t>ι</w:t>
      </w:r>
      <w:r w:rsidR="00F32AA2" w:rsidRPr="00791987">
        <w:rPr>
          <w:sz w:val="20"/>
          <w:szCs w:val="20"/>
          <w:lang w:val="el-GR"/>
        </w:rPr>
        <w:t xml:space="preserve"> παρουσιάζ</w:t>
      </w:r>
      <w:r w:rsidR="00A50106">
        <w:rPr>
          <w:sz w:val="20"/>
          <w:szCs w:val="20"/>
          <w:lang w:val="el-GR"/>
        </w:rPr>
        <w:t>ουν</w:t>
      </w:r>
      <w:r w:rsidR="00F32AA2" w:rsidRPr="00791987">
        <w:rPr>
          <w:sz w:val="20"/>
          <w:szCs w:val="20"/>
          <w:lang w:val="el-GR"/>
        </w:rPr>
        <w:t xml:space="preserve"> μετατόπιση σε </w:t>
      </w:r>
      <w:r w:rsidRPr="00791987">
        <w:rPr>
          <w:sz w:val="20"/>
          <w:szCs w:val="20"/>
          <w:lang w:val="el-GR"/>
        </w:rPr>
        <w:t xml:space="preserve">κλινικά </w:t>
      </w:r>
      <w:r w:rsidR="00F32AA2" w:rsidRPr="00791987">
        <w:rPr>
          <w:sz w:val="20"/>
          <w:szCs w:val="20"/>
          <w:lang w:val="el-GR"/>
        </w:rPr>
        <w:t>σημαντικό</w:t>
      </w:r>
      <w:r w:rsidRPr="00791987">
        <w:rPr>
          <w:sz w:val="20"/>
          <w:szCs w:val="20"/>
          <w:lang w:val="el-GR"/>
        </w:rPr>
        <w:t xml:space="preserve"> επίπεδο</w:t>
      </w:r>
      <w:r w:rsidR="00F32AA2" w:rsidRPr="00791987">
        <w:rPr>
          <w:sz w:val="20"/>
          <w:szCs w:val="20"/>
          <w:lang w:val="el-GR"/>
        </w:rPr>
        <w:t>,</w:t>
      </w:r>
      <w:r w:rsidRPr="00791987">
        <w:rPr>
          <w:sz w:val="20"/>
          <w:szCs w:val="20"/>
          <w:lang w:val="el-GR"/>
        </w:rPr>
        <w:t xml:space="preserve"> </w:t>
      </w:r>
      <w:r w:rsidR="00F32AA2" w:rsidRPr="00791987">
        <w:rPr>
          <w:sz w:val="20"/>
          <w:szCs w:val="20"/>
          <w:lang w:val="el-GR"/>
        </w:rPr>
        <w:t xml:space="preserve">είναι </w:t>
      </w:r>
      <w:r w:rsidRPr="00791987">
        <w:rPr>
          <w:sz w:val="20"/>
          <w:szCs w:val="20"/>
          <w:lang w:val="el-GR"/>
        </w:rPr>
        <w:t>συγκρίσιμ</w:t>
      </w:r>
      <w:r w:rsidR="00F32AA2" w:rsidRPr="00791987">
        <w:rPr>
          <w:sz w:val="20"/>
          <w:szCs w:val="20"/>
          <w:lang w:val="el-GR"/>
        </w:rPr>
        <w:t>ες</w:t>
      </w:r>
      <w:r w:rsidRPr="00791987">
        <w:rPr>
          <w:sz w:val="20"/>
          <w:szCs w:val="20"/>
          <w:lang w:val="el-GR"/>
        </w:rPr>
        <w:t xml:space="preserve"> για την </w:t>
      </w:r>
      <w:proofErr w:type="spellStart"/>
      <w:r w:rsidRPr="00791987">
        <w:rPr>
          <w:sz w:val="20"/>
          <w:szCs w:val="20"/>
          <w:lang w:val="el-GR"/>
        </w:rPr>
        <w:t>κουετιαπίνη</w:t>
      </w:r>
      <w:proofErr w:type="spellEnd"/>
      <w:r w:rsidRPr="00791987">
        <w:rPr>
          <w:sz w:val="20"/>
          <w:szCs w:val="20"/>
          <w:lang w:val="el-GR"/>
        </w:rPr>
        <w:t xml:space="preserve"> και το εικονικό φάρμακο</w:t>
      </w:r>
      <w:r w:rsidR="008928D5" w:rsidRPr="00791987">
        <w:rPr>
          <w:sz w:val="20"/>
          <w:szCs w:val="20"/>
          <w:lang w:val="el-GR"/>
        </w:rPr>
        <w:t>.</w:t>
      </w:r>
      <w:r w:rsidRPr="00791987">
        <w:rPr>
          <w:sz w:val="20"/>
          <w:szCs w:val="20"/>
          <w:lang w:val="el-GR"/>
        </w:rPr>
        <w:t xml:space="preserve"> </w:t>
      </w:r>
    </w:p>
    <w:p w:rsidR="00380EEB" w:rsidRPr="00791987" w:rsidRDefault="00380EEB">
      <w:pPr>
        <w:numPr>
          <w:ilvl w:val="0"/>
          <w:numId w:val="17"/>
        </w:numPr>
        <w:tabs>
          <w:tab w:val="clear" w:pos="533"/>
          <w:tab w:val="num" w:pos="374"/>
        </w:tabs>
        <w:ind w:left="374"/>
        <w:jc w:val="both"/>
        <w:rPr>
          <w:sz w:val="20"/>
          <w:szCs w:val="20"/>
          <w:lang w:val="el-GR"/>
        </w:rPr>
      </w:pPr>
      <w:r w:rsidRPr="00791987">
        <w:rPr>
          <w:sz w:val="20"/>
          <w:szCs w:val="20"/>
          <w:lang w:val="el-GR"/>
        </w:rPr>
        <w:t>Μετατόπιση</w:t>
      </w:r>
      <w:r w:rsidR="00F32AA2" w:rsidRPr="00791987">
        <w:rPr>
          <w:sz w:val="20"/>
          <w:szCs w:val="20"/>
          <w:lang w:val="el-GR"/>
        </w:rPr>
        <w:t xml:space="preserve"> από</w:t>
      </w:r>
      <w:r w:rsidRPr="00791987">
        <w:rPr>
          <w:sz w:val="20"/>
          <w:szCs w:val="20"/>
          <w:lang w:val="el-GR"/>
        </w:rPr>
        <w:t xml:space="preserve"> &gt; 132 </w:t>
      </w:r>
      <w:proofErr w:type="spellStart"/>
      <w:r w:rsidRPr="00791987">
        <w:rPr>
          <w:sz w:val="20"/>
          <w:szCs w:val="20"/>
          <w:lang w:val="el-GR"/>
        </w:rPr>
        <w:t>mmol</w:t>
      </w:r>
      <w:proofErr w:type="spellEnd"/>
      <w:r w:rsidRPr="00791987">
        <w:rPr>
          <w:sz w:val="20"/>
          <w:szCs w:val="20"/>
          <w:lang w:val="el-GR"/>
        </w:rPr>
        <w:t xml:space="preserve">/L έως ≤ 132 </w:t>
      </w:r>
      <w:proofErr w:type="spellStart"/>
      <w:r w:rsidRPr="00791987">
        <w:rPr>
          <w:sz w:val="20"/>
          <w:szCs w:val="20"/>
          <w:lang w:val="el-GR"/>
        </w:rPr>
        <w:t>mmol</w:t>
      </w:r>
      <w:proofErr w:type="spellEnd"/>
      <w:r w:rsidRPr="00791987">
        <w:rPr>
          <w:sz w:val="20"/>
          <w:szCs w:val="20"/>
          <w:lang w:val="el-GR"/>
        </w:rPr>
        <w:t xml:space="preserve">/L, </w:t>
      </w:r>
      <w:r w:rsidR="00F32AA2" w:rsidRPr="00791987">
        <w:rPr>
          <w:sz w:val="20"/>
          <w:szCs w:val="20"/>
          <w:lang w:val="el-GR"/>
        </w:rPr>
        <w:t xml:space="preserve">σε </w:t>
      </w:r>
      <w:r w:rsidRPr="00791987">
        <w:rPr>
          <w:sz w:val="20"/>
          <w:szCs w:val="20"/>
          <w:lang w:val="el-GR"/>
        </w:rPr>
        <w:t xml:space="preserve">τουλάχιστον </w:t>
      </w:r>
      <w:r w:rsidR="00F32AA2" w:rsidRPr="00791987">
        <w:rPr>
          <w:sz w:val="20"/>
          <w:szCs w:val="20"/>
          <w:lang w:val="el-GR"/>
        </w:rPr>
        <w:t>μία περίπτωση</w:t>
      </w:r>
      <w:r w:rsidRPr="00791987">
        <w:rPr>
          <w:sz w:val="20"/>
          <w:szCs w:val="20"/>
          <w:lang w:val="el-GR"/>
        </w:rPr>
        <w:t>.</w:t>
      </w:r>
    </w:p>
    <w:p w:rsidR="00380EEB" w:rsidRPr="00791987" w:rsidRDefault="00380EEB">
      <w:pPr>
        <w:numPr>
          <w:ilvl w:val="0"/>
          <w:numId w:val="17"/>
        </w:numPr>
        <w:tabs>
          <w:tab w:val="clear" w:pos="533"/>
          <w:tab w:val="num" w:pos="374"/>
        </w:tabs>
        <w:ind w:left="374"/>
        <w:jc w:val="both"/>
        <w:rPr>
          <w:sz w:val="20"/>
          <w:szCs w:val="20"/>
          <w:lang w:val="el-GR"/>
        </w:rPr>
      </w:pPr>
      <w:r w:rsidRPr="00791987">
        <w:rPr>
          <w:sz w:val="20"/>
          <w:szCs w:val="20"/>
          <w:lang w:val="el-GR"/>
        </w:rPr>
        <w:t xml:space="preserve">Έχουν αναφερθεί περιπτώσεις αυτοκτονικού ιδεασμού και αυτοκτονικών συμπεριφορών κατά τη διάρκεια της θεραπείας με </w:t>
      </w:r>
      <w:proofErr w:type="spellStart"/>
      <w:r w:rsidRPr="00791987">
        <w:rPr>
          <w:sz w:val="20"/>
          <w:szCs w:val="20"/>
          <w:lang w:val="el-GR"/>
        </w:rPr>
        <w:t>κουετιαπίνη</w:t>
      </w:r>
      <w:proofErr w:type="spellEnd"/>
      <w:r w:rsidRPr="00791987">
        <w:rPr>
          <w:sz w:val="20"/>
          <w:szCs w:val="20"/>
          <w:lang w:val="el-GR"/>
        </w:rPr>
        <w:t xml:space="preserve"> ή νωρίς μετά τη διακοπή της θεραπείας (βλ. παραγράφους 4.4 και 5.1). </w:t>
      </w:r>
    </w:p>
    <w:p w:rsidR="00380EEB" w:rsidRPr="00791987" w:rsidRDefault="00380EEB">
      <w:pPr>
        <w:numPr>
          <w:ilvl w:val="0"/>
          <w:numId w:val="17"/>
        </w:numPr>
        <w:tabs>
          <w:tab w:val="clear" w:pos="533"/>
          <w:tab w:val="num" w:pos="374"/>
        </w:tabs>
        <w:ind w:left="374"/>
        <w:jc w:val="both"/>
        <w:rPr>
          <w:sz w:val="20"/>
          <w:szCs w:val="20"/>
          <w:lang w:val="el-GR"/>
        </w:rPr>
      </w:pPr>
      <w:r w:rsidRPr="00791987">
        <w:rPr>
          <w:sz w:val="20"/>
          <w:szCs w:val="20"/>
          <w:lang w:val="el-GR"/>
        </w:rPr>
        <w:t xml:space="preserve">Βλ. παράγραφο 5.1 </w:t>
      </w:r>
    </w:p>
    <w:p w:rsidR="00380EEB" w:rsidRPr="00791987" w:rsidRDefault="008928D5">
      <w:pPr>
        <w:numPr>
          <w:ilvl w:val="0"/>
          <w:numId w:val="17"/>
        </w:numPr>
        <w:tabs>
          <w:tab w:val="clear" w:pos="533"/>
          <w:tab w:val="num" w:pos="374"/>
        </w:tabs>
        <w:ind w:left="374"/>
        <w:jc w:val="both"/>
        <w:rPr>
          <w:sz w:val="20"/>
          <w:szCs w:val="20"/>
          <w:lang w:val="el-GR"/>
        </w:rPr>
      </w:pPr>
      <w:r w:rsidRPr="00791987">
        <w:rPr>
          <w:sz w:val="20"/>
          <w:szCs w:val="20"/>
          <w:lang w:val="el-GR"/>
        </w:rPr>
        <w:t>Παρατηρήθηκε μείωση αιμοσφαιρίνης σε τιμή ≤13</w:t>
      </w:r>
      <w:r w:rsidR="00F32AA2" w:rsidRPr="00791987">
        <w:rPr>
          <w:sz w:val="20"/>
          <w:szCs w:val="20"/>
          <w:lang w:val="el-GR"/>
        </w:rPr>
        <w:t>0</w:t>
      </w:r>
      <w:r w:rsidRPr="00791987">
        <w:rPr>
          <w:sz w:val="20"/>
          <w:szCs w:val="20"/>
          <w:lang w:val="el-GR"/>
        </w:rPr>
        <w:t xml:space="preserve"> g/L (8,07 </w:t>
      </w:r>
      <w:proofErr w:type="spellStart"/>
      <w:r w:rsidRPr="00791987">
        <w:rPr>
          <w:sz w:val="20"/>
          <w:szCs w:val="20"/>
          <w:lang w:val="el-GR"/>
        </w:rPr>
        <w:t>mmol</w:t>
      </w:r>
      <w:proofErr w:type="spellEnd"/>
      <w:r w:rsidRPr="00791987">
        <w:rPr>
          <w:sz w:val="20"/>
          <w:szCs w:val="20"/>
          <w:lang w:val="el-GR"/>
        </w:rPr>
        <w:t>/L) για άνδρες, ≤12</w:t>
      </w:r>
      <w:r w:rsidR="00F32AA2" w:rsidRPr="00791987">
        <w:rPr>
          <w:sz w:val="20"/>
          <w:szCs w:val="20"/>
          <w:lang w:val="el-GR"/>
        </w:rPr>
        <w:t>0</w:t>
      </w:r>
      <w:r w:rsidRPr="00791987">
        <w:rPr>
          <w:sz w:val="20"/>
          <w:szCs w:val="20"/>
          <w:lang w:val="el-GR"/>
        </w:rPr>
        <w:t xml:space="preserve"> g/L (7,45 </w:t>
      </w:r>
      <w:proofErr w:type="spellStart"/>
      <w:r w:rsidRPr="00791987">
        <w:rPr>
          <w:sz w:val="20"/>
          <w:szCs w:val="20"/>
          <w:lang w:val="el-GR"/>
        </w:rPr>
        <w:t>mmol</w:t>
      </w:r>
      <w:proofErr w:type="spellEnd"/>
      <w:r w:rsidRPr="00791987">
        <w:rPr>
          <w:sz w:val="20"/>
          <w:szCs w:val="20"/>
          <w:lang w:val="el-GR"/>
        </w:rPr>
        <w:t xml:space="preserve">/L) για γυναίκες, σε μία τουλάχιστον περίπτωση, σε ποσοστό 11% των ασθενών που </w:t>
      </w:r>
      <w:r w:rsidRPr="00791987">
        <w:rPr>
          <w:sz w:val="20"/>
          <w:szCs w:val="20"/>
          <w:lang w:val="el-GR"/>
        </w:rPr>
        <w:lastRenderedPageBreak/>
        <w:t xml:space="preserve">έλαβαν </w:t>
      </w:r>
      <w:proofErr w:type="spellStart"/>
      <w:r w:rsidRPr="00791987">
        <w:rPr>
          <w:sz w:val="20"/>
          <w:szCs w:val="20"/>
          <w:lang w:val="el-GR"/>
        </w:rPr>
        <w:t>κουετιαπίνη</w:t>
      </w:r>
      <w:proofErr w:type="spellEnd"/>
      <w:r w:rsidRPr="00791987">
        <w:rPr>
          <w:sz w:val="20"/>
          <w:szCs w:val="20"/>
          <w:lang w:val="el-GR"/>
        </w:rPr>
        <w:t xml:space="preserve"> σε όλες τις δοκιμές συμπεριλαμβανομένων των ανοικτών φάσεων επέκτασης. Για αυτούς τους ασθενείς, η μέση μέγιστη μείωση της αιμοσφαιρίνης, οποιαδήποτε στιγμή, ήταν 15 g/L.</w:t>
      </w:r>
    </w:p>
    <w:p w:rsidR="005723AF" w:rsidRPr="00791987" w:rsidRDefault="005723AF">
      <w:pPr>
        <w:numPr>
          <w:ilvl w:val="0"/>
          <w:numId w:val="17"/>
        </w:numPr>
        <w:tabs>
          <w:tab w:val="clear" w:pos="533"/>
          <w:tab w:val="num" w:pos="374"/>
        </w:tabs>
        <w:ind w:left="374"/>
        <w:jc w:val="both"/>
        <w:rPr>
          <w:sz w:val="20"/>
          <w:szCs w:val="20"/>
          <w:lang w:val="el-GR"/>
        </w:rPr>
      </w:pPr>
      <w:r w:rsidRPr="00791987">
        <w:rPr>
          <w:sz w:val="20"/>
          <w:szCs w:val="20"/>
          <w:lang w:val="el-GR"/>
        </w:rPr>
        <w:t xml:space="preserve">Αυτές οι αναφορές συχνά παρουσιάστηκαν στην περίπτωση ταχυκαρδίας, ζάλης, </w:t>
      </w:r>
      <w:proofErr w:type="spellStart"/>
      <w:r w:rsidRPr="00791987">
        <w:rPr>
          <w:sz w:val="20"/>
          <w:szCs w:val="20"/>
          <w:lang w:val="el-GR"/>
        </w:rPr>
        <w:t>ορθοστατικής</w:t>
      </w:r>
      <w:proofErr w:type="spellEnd"/>
      <w:r w:rsidRPr="00791987">
        <w:rPr>
          <w:sz w:val="20"/>
          <w:szCs w:val="20"/>
          <w:lang w:val="el-GR"/>
        </w:rPr>
        <w:t xml:space="preserve"> υπότασης ή/και υποκείμενης καρδιακής/αναπνευστικής νόσου. </w:t>
      </w:r>
    </w:p>
    <w:p w:rsidR="005723AF" w:rsidRPr="00791987"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Με βάση τις μετατοπίσεις από τη φυσιολογική τιμή αρχικής αξιολόγησης σε δυνητικά κλινικά σημαντική τιμή οποιαδήποτε στιγμή μετά την αρχική αξιολόγηση σε όλες τις δοκιμές. Ως μετατοπίσεις της ολικής T</w:t>
      </w:r>
      <w:r w:rsidRPr="00791987">
        <w:rPr>
          <w:sz w:val="20"/>
          <w:szCs w:val="20"/>
          <w:vertAlign w:val="subscript"/>
          <w:lang w:val="el-GR"/>
        </w:rPr>
        <w:t>4</w:t>
      </w:r>
      <w:r w:rsidRPr="00791987">
        <w:rPr>
          <w:sz w:val="20"/>
          <w:szCs w:val="20"/>
          <w:lang w:val="el-GR"/>
        </w:rPr>
        <w:t>, της ελεύθερης T</w:t>
      </w:r>
      <w:r w:rsidRPr="00791987">
        <w:rPr>
          <w:sz w:val="20"/>
          <w:szCs w:val="20"/>
          <w:vertAlign w:val="subscript"/>
          <w:lang w:val="el-GR"/>
        </w:rPr>
        <w:t>4</w:t>
      </w:r>
      <w:r w:rsidRPr="00791987">
        <w:rPr>
          <w:sz w:val="20"/>
          <w:szCs w:val="20"/>
          <w:lang w:val="el-GR"/>
        </w:rPr>
        <w:t>, της ολικής T</w:t>
      </w:r>
      <w:r w:rsidRPr="00791987">
        <w:rPr>
          <w:sz w:val="20"/>
          <w:szCs w:val="20"/>
          <w:vertAlign w:val="subscript"/>
          <w:lang w:val="el-GR"/>
        </w:rPr>
        <w:t>3</w:t>
      </w:r>
      <w:r w:rsidRPr="00791987">
        <w:rPr>
          <w:sz w:val="20"/>
          <w:szCs w:val="20"/>
          <w:lang w:val="el-GR"/>
        </w:rPr>
        <w:t xml:space="preserve"> και της ελεύθερης T</w:t>
      </w:r>
      <w:r w:rsidRPr="00791987">
        <w:rPr>
          <w:sz w:val="20"/>
          <w:szCs w:val="20"/>
          <w:vertAlign w:val="subscript"/>
          <w:lang w:val="el-GR"/>
        </w:rPr>
        <w:t>3</w:t>
      </w:r>
      <w:r w:rsidRPr="00791987">
        <w:rPr>
          <w:sz w:val="20"/>
          <w:szCs w:val="20"/>
          <w:lang w:val="el-GR"/>
        </w:rPr>
        <w:t xml:space="preserve"> ορίζονται τιμές &lt;0,8 </w:t>
      </w:r>
      <w:r w:rsidR="00E0305B" w:rsidRPr="00791987">
        <w:rPr>
          <w:sz w:val="20"/>
          <w:szCs w:val="20"/>
          <w:lang w:val="en-GB"/>
        </w:rPr>
        <w:t>x</w:t>
      </w:r>
      <w:r w:rsidR="00E0305B" w:rsidRPr="00791987">
        <w:rPr>
          <w:sz w:val="20"/>
          <w:szCs w:val="20"/>
          <w:lang w:val="el-GR"/>
        </w:rPr>
        <w:t xml:space="preserve"> </w:t>
      </w:r>
      <w:r w:rsidRPr="00791987">
        <w:rPr>
          <w:sz w:val="20"/>
          <w:szCs w:val="20"/>
          <w:lang w:val="el-GR"/>
        </w:rPr>
        <w:t>LLN (</w:t>
      </w:r>
      <w:proofErr w:type="spellStart"/>
      <w:r w:rsidRPr="00791987">
        <w:rPr>
          <w:sz w:val="20"/>
          <w:szCs w:val="20"/>
          <w:lang w:val="el-GR"/>
        </w:rPr>
        <w:t>pmol</w:t>
      </w:r>
      <w:proofErr w:type="spellEnd"/>
      <w:r w:rsidRPr="00791987">
        <w:rPr>
          <w:sz w:val="20"/>
          <w:szCs w:val="20"/>
          <w:lang w:val="el-GR"/>
        </w:rPr>
        <w:t xml:space="preserve">/L), ενώ η μετατόπιση της TSH είναι &gt;5 </w:t>
      </w:r>
      <w:proofErr w:type="spellStart"/>
      <w:r w:rsidRPr="00791987">
        <w:rPr>
          <w:sz w:val="20"/>
          <w:szCs w:val="20"/>
          <w:lang w:val="el-GR"/>
        </w:rPr>
        <w:t>mIU</w:t>
      </w:r>
      <w:proofErr w:type="spellEnd"/>
      <w:r w:rsidRPr="00791987">
        <w:rPr>
          <w:sz w:val="20"/>
          <w:szCs w:val="20"/>
          <w:lang w:val="el-GR"/>
        </w:rPr>
        <w:t>/L οποιαδήποτε στιγμή.</w:t>
      </w:r>
    </w:p>
    <w:p w:rsidR="005723AF" w:rsidRPr="00791987"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Με βάση το αυξημένο ποσοστό εμέτου σε ηλικιωμένους ασθενείς (</w:t>
      </w:r>
      <w:r w:rsidR="00A50106" w:rsidRPr="00791987">
        <w:rPr>
          <w:sz w:val="20"/>
          <w:szCs w:val="20"/>
          <w:lang w:val="el-GR"/>
        </w:rPr>
        <w:t>≥</w:t>
      </w:r>
      <w:r w:rsidRPr="00791987">
        <w:rPr>
          <w:sz w:val="20"/>
          <w:szCs w:val="20"/>
          <w:lang w:val="el-GR"/>
        </w:rPr>
        <w:t>65 ετών).</w:t>
      </w:r>
    </w:p>
    <w:p w:rsidR="005723AF" w:rsidRPr="00791987"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Μετατόπιση του αριθμού των ουδετερόφιλων από &gt;=1,5 x 10^9/L κατά την αρχική αξιολόγηση σε &lt;0,5 x 10^9/L οποιαδήποτε στιγμή κατά τη διάρκεια της θεραπείας.</w:t>
      </w:r>
    </w:p>
    <w:p w:rsidR="005723AF"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 xml:space="preserve">Με βάση τις μετατοπίσεις από τη φυσιολογική τιμή αρχικής αξιολόγησης σε δυνητικά κλινικά σημαντική τιμή οποιαδήποτε στιγμή μετά την αρχική αξιολόγηση σε όλες τις δοκιμές. Ως μετατοπίσεις του αριθμού των </w:t>
      </w:r>
      <w:proofErr w:type="spellStart"/>
      <w:r w:rsidRPr="00791987">
        <w:rPr>
          <w:sz w:val="20"/>
          <w:szCs w:val="20"/>
          <w:lang w:val="el-GR"/>
        </w:rPr>
        <w:t>ηωσινόφιλων</w:t>
      </w:r>
      <w:proofErr w:type="spellEnd"/>
      <w:r w:rsidRPr="00791987">
        <w:rPr>
          <w:sz w:val="20"/>
          <w:szCs w:val="20"/>
          <w:lang w:val="el-GR"/>
        </w:rPr>
        <w:t xml:space="preserve"> ορίζονται τιμές </w:t>
      </w:r>
      <w:r w:rsidR="00A50106" w:rsidRPr="00791987">
        <w:rPr>
          <w:sz w:val="20"/>
          <w:szCs w:val="20"/>
          <w:lang w:val="el-GR"/>
        </w:rPr>
        <w:t>&gt;1</w:t>
      </w:r>
      <w:r w:rsidR="00A50106" w:rsidRPr="00A50106">
        <w:rPr>
          <w:sz w:val="20"/>
          <w:szCs w:val="20"/>
          <w:lang w:val="en-GB"/>
        </w:rPr>
        <w:t>x</w:t>
      </w:r>
      <w:r w:rsidR="00A50106" w:rsidRPr="00791987">
        <w:rPr>
          <w:sz w:val="20"/>
          <w:szCs w:val="20"/>
          <w:lang w:val="el-GR"/>
        </w:rPr>
        <w:t xml:space="preserve"> 10^9</w:t>
      </w:r>
      <w:r w:rsidRPr="00791987">
        <w:rPr>
          <w:sz w:val="20"/>
          <w:szCs w:val="20"/>
          <w:lang w:val="el-GR"/>
        </w:rPr>
        <w:t xml:space="preserve"> κύτταρα/L οποιαδήποτε στιγμή.</w:t>
      </w:r>
    </w:p>
    <w:p w:rsidR="00A50106" w:rsidRPr="00791987" w:rsidRDefault="00A50106" w:rsidP="005723AF">
      <w:pPr>
        <w:numPr>
          <w:ilvl w:val="0"/>
          <w:numId w:val="17"/>
        </w:numPr>
        <w:tabs>
          <w:tab w:val="clear" w:pos="533"/>
          <w:tab w:val="num" w:pos="374"/>
        </w:tabs>
        <w:ind w:left="374"/>
        <w:jc w:val="both"/>
        <w:rPr>
          <w:sz w:val="20"/>
          <w:szCs w:val="20"/>
          <w:lang w:val="el-GR"/>
        </w:rPr>
      </w:pPr>
      <w:r w:rsidRPr="008557B6">
        <w:rPr>
          <w:sz w:val="20"/>
          <w:szCs w:val="20"/>
          <w:lang w:val="el-GR"/>
        </w:rPr>
        <w:t xml:space="preserve">Με βάση τις μετατοπίσεις από τη φυσιολογική τιμή αρχικής αξιολόγησης σε δυνητικά κλινικά σημαντική τιμή οποιαδήποτε στιγμή μετά την αρχική αξιολόγηση σε όλες τις δοκιμές. Ως μετατοπίσεις των WBC ορίζονται τιμές </w:t>
      </w:r>
      <w:r w:rsidRPr="00791987">
        <w:rPr>
          <w:sz w:val="20"/>
          <w:szCs w:val="20"/>
          <w:lang w:val="el-GR"/>
        </w:rPr>
        <w:t>≤ 3</w:t>
      </w:r>
      <w:r w:rsidRPr="00A50106">
        <w:rPr>
          <w:sz w:val="20"/>
          <w:szCs w:val="20"/>
          <w:lang w:val="en-GB"/>
        </w:rPr>
        <w:t>X</w:t>
      </w:r>
      <w:r w:rsidRPr="00791987">
        <w:rPr>
          <w:sz w:val="20"/>
          <w:szCs w:val="20"/>
          <w:lang w:val="el-GR"/>
        </w:rPr>
        <w:t>10^9</w:t>
      </w:r>
      <w:r>
        <w:rPr>
          <w:sz w:val="20"/>
          <w:szCs w:val="20"/>
          <w:lang w:val="el-GR"/>
        </w:rPr>
        <w:t xml:space="preserve"> </w:t>
      </w:r>
      <w:r w:rsidRPr="008557B6">
        <w:rPr>
          <w:sz w:val="20"/>
          <w:szCs w:val="20"/>
          <w:lang w:val="el-GR"/>
        </w:rPr>
        <w:t>κύτταρα/L οποιαδήποτε στιγμή.</w:t>
      </w:r>
    </w:p>
    <w:p w:rsidR="005723AF" w:rsidRPr="00791987"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 xml:space="preserve">Με βάση τις αναφορές ανεπιθύμητων συμβάντων μεταβολικού συνδρόμου από όλες τις κλινικές δοκιμές με </w:t>
      </w:r>
      <w:proofErr w:type="spellStart"/>
      <w:r w:rsidRPr="00791987">
        <w:rPr>
          <w:sz w:val="20"/>
          <w:szCs w:val="20"/>
          <w:lang w:val="el-GR"/>
        </w:rPr>
        <w:t>κουετιαπίνη</w:t>
      </w:r>
      <w:proofErr w:type="spellEnd"/>
      <w:r w:rsidRPr="00791987">
        <w:rPr>
          <w:sz w:val="20"/>
          <w:szCs w:val="20"/>
          <w:lang w:val="el-GR"/>
        </w:rPr>
        <w:t>.</w:t>
      </w:r>
    </w:p>
    <w:p w:rsidR="005723AF" w:rsidRPr="00791987"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Σε ορισμένους ασθενείς, παρατηρήθηκε επιδείνωση περισσότερων του ενός μεταβολικών παραγόντων βάρους, σακχάρου και λιπιδίων στο αίμα σε κλινικές μελέτες (βλ. παράγραφο 4.4).</w:t>
      </w:r>
    </w:p>
    <w:p w:rsidR="005723AF" w:rsidRPr="00791987" w:rsidRDefault="005723AF" w:rsidP="005723AF">
      <w:pPr>
        <w:numPr>
          <w:ilvl w:val="0"/>
          <w:numId w:val="17"/>
        </w:numPr>
        <w:tabs>
          <w:tab w:val="clear" w:pos="533"/>
          <w:tab w:val="num" w:pos="374"/>
        </w:tabs>
        <w:ind w:left="374"/>
        <w:jc w:val="both"/>
        <w:rPr>
          <w:sz w:val="20"/>
          <w:szCs w:val="20"/>
          <w:lang w:val="el-GR"/>
        </w:rPr>
      </w:pPr>
      <w:r w:rsidRPr="00791987">
        <w:rPr>
          <w:sz w:val="20"/>
          <w:szCs w:val="20"/>
          <w:lang w:val="el-GR"/>
        </w:rPr>
        <w:t>Βλ. παράγραφο 4.6</w:t>
      </w:r>
      <w:r w:rsidR="00A50106">
        <w:rPr>
          <w:sz w:val="20"/>
          <w:szCs w:val="20"/>
          <w:lang w:val="el-GR"/>
        </w:rPr>
        <w:t>.</w:t>
      </w:r>
    </w:p>
    <w:p w:rsidR="005723AF" w:rsidRPr="00791987" w:rsidRDefault="00E0305B" w:rsidP="00E0305B">
      <w:pPr>
        <w:ind w:left="426" w:hanging="412"/>
        <w:jc w:val="both"/>
        <w:rPr>
          <w:sz w:val="20"/>
          <w:szCs w:val="20"/>
          <w:lang w:val="el-GR"/>
        </w:rPr>
      </w:pPr>
      <w:r w:rsidRPr="00791987">
        <w:rPr>
          <w:sz w:val="20"/>
          <w:szCs w:val="20"/>
          <w:lang w:val="el-GR"/>
        </w:rPr>
        <w:t>33</w:t>
      </w:r>
      <w:r w:rsidRPr="00791987">
        <w:rPr>
          <w:sz w:val="20"/>
          <w:szCs w:val="20"/>
          <w:lang w:val="el-GR"/>
        </w:rPr>
        <w:tab/>
      </w:r>
      <w:r w:rsidR="005723AF" w:rsidRPr="00791987">
        <w:rPr>
          <w:sz w:val="20"/>
          <w:szCs w:val="20"/>
          <w:lang w:val="el-GR"/>
        </w:rPr>
        <w:t xml:space="preserve">Μπορεί να παρουσιαστεί κατά την έναρξη της θεραπείας ή κοντά στην ημέρα έναρξης της θεραπείας και μπορεί να σχετίζεται με υπόταση ή/και συγκοπή. Η συχνότητα βασίζεται σε αναφορές ανεπιθύμητων συμβάντων βραδυκαρδίας και σχετικών συμβάντων σε όλες τις κλινικές δοκιμές με </w:t>
      </w:r>
      <w:proofErr w:type="spellStart"/>
      <w:r w:rsidR="005723AF" w:rsidRPr="00791987">
        <w:rPr>
          <w:sz w:val="20"/>
          <w:szCs w:val="20"/>
          <w:lang w:val="el-GR"/>
        </w:rPr>
        <w:t>κουετιαπίνη</w:t>
      </w:r>
      <w:proofErr w:type="spellEnd"/>
      <w:r w:rsidR="005723AF" w:rsidRPr="00791987">
        <w:rPr>
          <w:sz w:val="20"/>
          <w:szCs w:val="20"/>
          <w:lang w:val="el-GR"/>
        </w:rPr>
        <w:t>.</w:t>
      </w:r>
    </w:p>
    <w:p w:rsidR="00380EEB" w:rsidRPr="00A66AB5" w:rsidRDefault="00380EEB">
      <w:pPr>
        <w:tabs>
          <w:tab w:val="left" w:pos="1080"/>
        </w:tabs>
        <w:jc w:val="both"/>
        <w:rPr>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Έχουν αναφερθεί περιπτώσεις παράτασης του QT, κοιλιακής αρρυθμίας, αιφνίδιου ανεξήγητου θανάτου, καρδιακής ανακοπής και πολύμορφης κοιλιακής ταχυκαρδίας (</w:t>
      </w:r>
      <w:proofErr w:type="spellStart"/>
      <w:r w:rsidRPr="00A66AB5">
        <w:rPr>
          <w:color w:val="auto"/>
          <w:sz w:val="22"/>
          <w:szCs w:val="22"/>
          <w:lang w:val="el-GR"/>
        </w:rPr>
        <w:t>torsades</w:t>
      </w:r>
      <w:proofErr w:type="spellEnd"/>
      <w:r w:rsidRPr="00A66AB5">
        <w:rPr>
          <w:color w:val="auto"/>
          <w:sz w:val="22"/>
          <w:szCs w:val="22"/>
          <w:lang w:val="el-GR"/>
        </w:rPr>
        <w:t xml:space="preserve"> </w:t>
      </w:r>
      <w:proofErr w:type="spellStart"/>
      <w:r w:rsidRPr="00A66AB5">
        <w:rPr>
          <w:color w:val="auto"/>
          <w:sz w:val="22"/>
          <w:szCs w:val="22"/>
          <w:lang w:val="el-GR"/>
        </w:rPr>
        <w:t>de</w:t>
      </w:r>
      <w:proofErr w:type="spellEnd"/>
      <w:r w:rsidRPr="00A66AB5">
        <w:rPr>
          <w:color w:val="auto"/>
          <w:sz w:val="22"/>
          <w:szCs w:val="22"/>
          <w:lang w:val="el-GR"/>
        </w:rPr>
        <w:t xml:space="preserve"> </w:t>
      </w:r>
      <w:proofErr w:type="spellStart"/>
      <w:r w:rsidRPr="00A66AB5">
        <w:rPr>
          <w:color w:val="auto"/>
          <w:sz w:val="22"/>
          <w:szCs w:val="22"/>
          <w:lang w:val="el-GR"/>
        </w:rPr>
        <w:t>pointes</w:t>
      </w:r>
      <w:proofErr w:type="spellEnd"/>
      <w:r w:rsidRPr="00A66AB5">
        <w:rPr>
          <w:color w:val="auto"/>
          <w:sz w:val="22"/>
          <w:szCs w:val="22"/>
          <w:lang w:val="el-GR"/>
        </w:rPr>
        <w:t xml:space="preserve">) με τη χρήση νευροληπτικών και θεωρούνται επιδράσεις λόγω της κατηγορίας φαρμάκων. </w:t>
      </w:r>
    </w:p>
    <w:p w:rsidR="00380EEB" w:rsidRPr="00A66AB5" w:rsidRDefault="00380EEB">
      <w:pPr>
        <w:pStyle w:val="Web"/>
        <w:spacing w:before="0" w:beforeAutospacing="0" w:after="0"/>
        <w:jc w:val="both"/>
        <w:rPr>
          <w:color w:val="auto"/>
          <w:sz w:val="22"/>
          <w:szCs w:val="22"/>
          <w:lang w:val="el-GR"/>
        </w:rPr>
      </w:pPr>
    </w:p>
    <w:p w:rsidR="00380EEB" w:rsidRPr="00277E70" w:rsidRDefault="00380EEB">
      <w:pPr>
        <w:pStyle w:val="A-TableHeader"/>
        <w:keepNext w:val="0"/>
        <w:tabs>
          <w:tab w:val="left" w:pos="567"/>
        </w:tabs>
        <w:spacing w:before="0" w:after="0" w:line="260" w:lineRule="exact"/>
        <w:jc w:val="both"/>
        <w:rPr>
          <w:bCs w:val="0"/>
          <w:lang w:val="el-GR"/>
        </w:rPr>
      </w:pPr>
      <w:r w:rsidRPr="00277E70">
        <w:rPr>
          <w:bCs w:val="0"/>
          <w:lang w:val="el-GR"/>
        </w:rPr>
        <w:t>Παιδι</w:t>
      </w:r>
      <w:r w:rsidR="00E0305B">
        <w:rPr>
          <w:bCs w:val="0"/>
          <w:lang w:val="el-GR"/>
        </w:rPr>
        <w:t>ατρικός πληθυσμός</w:t>
      </w:r>
    </w:p>
    <w:p w:rsidR="00380EEB" w:rsidRPr="00A66AB5" w:rsidRDefault="00380EEB">
      <w:pPr>
        <w:jc w:val="both"/>
        <w:rPr>
          <w:sz w:val="22"/>
          <w:szCs w:val="22"/>
          <w:lang w:val="el-GR"/>
        </w:rPr>
      </w:pPr>
      <w:r w:rsidRPr="00A66AB5">
        <w:rPr>
          <w:sz w:val="22"/>
          <w:szCs w:val="22"/>
          <w:lang w:val="el-GR"/>
        </w:rPr>
        <w:t>Οι ίδιες ΑΑΦ που περιγράφηκαν παραπάνω για τους ενήλικες θα πρέπει να εξετάζονται για τα παιδιά και τους εφήβους. Ο παρακάτω πίνακας συνοψίζει τις ΑΑΦ που παρατηρούνται σε υψηλότερη κατηγορία συχνότητας σε παιδιά και εφήβους ασθενείς (ηλικίας 10-17 ετών) σε σχέση με τον ενήλικο πληθυσμό ή τις ΑΑΦ που δεν έχουν παρατηρηθεί στον ενήλικο πληθυσμό.</w:t>
      </w:r>
    </w:p>
    <w:p w:rsidR="00380EEB" w:rsidRPr="00A66AB5" w:rsidRDefault="00380EEB">
      <w:pPr>
        <w:rPr>
          <w:sz w:val="22"/>
          <w:szCs w:val="22"/>
          <w:lang w:val="el-GR"/>
        </w:rPr>
      </w:pPr>
    </w:p>
    <w:tbl>
      <w:tblPr>
        <w:tblW w:w="8552" w:type="dxa"/>
        <w:tblLayout w:type="fixed"/>
        <w:tblLook w:val="0000" w:firstRow="0" w:lastRow="0" w:firstColumn="0" w:lastColumn="0" w:noHBand="0" w:noVBand="0"/>
      </w:tblPr>
      <w:tblGrid>
        <w:gridCol w:w="3523"/>
        <w:gridCol w:w="5029"/>
      </w:tblGrid>
      <w:tr w:rsidR="00380EEB" w:rsidRPr="002F0C2B" w:rsidTr="00FE4D89">
        <w:trPr>
          <w:cantSplit/>
          <w:trHeight w:val="751"/>
        </w:trPr>
        <w:tc>
          <w:tcPr>
            <w:tcW w:w="8552" w:type="dxa"/>
            <w:gridSpan w:val="2"/>
            <w:tcBorders>
              <w:top w:val="single" w:sz="4" w:space="0" w:color="auto"/>
              <w:left w:val="nil"/>
              <w:bottom w:val="single" w:sz="4" w:space="0" w:color="auto"/>
              <w:right w:val="nil"/>
            </w:tcBorders>
          </w:tcPr>
          <w:p w:rsidR="00380EEB" w:rsidRPr="00A66AB5" w:rsidRDefault="00380EEB" w:rsidP="00E0305B">
            <w:pPr>
              <w:tabs>
                <w:tab w:val="left" w:pos="0"/>
              </w:tabs>
              <w:rPr>
                <w:sz w:val="22"/>
                <w:szCs w:val="22"/>
                <w:lang w:val="el-GR"/>
              </w:rPr>
            </w:pPr>
            <w:r w:rsidRPr="00A66AB5">
              <w:rPr>
                <w:b/>
                <w:sz w:val="22"/>
                <w:szCs w:val="22"/>
                <w:lang w:val="el-GR"/>
              </w:rPr>
              <w:t>Οι συχνότητες των ανεπιθύμητων συμβάντων ταξινομούνται σύμφωνα με τα εξής: Πολύ συχνές</w:t>
            </w:r>
            <w:r w:rsidR="00A50106" w:rsidRPr="00791987">
              <w:rPr>
                <w:b/>
                <w:sz w:val="22"/>
                <w:szCs w:val="22"/>
                <w:lang w:val="el-GR"/>
              </w:rPr>
              <w:t xml:space="preserve"> </w:t>
            </w:r>
            <w:r w:rsidR="00A50106" w:rsidRPr="00791987">
              <w:rPr>
                <w:b/>
                <w:bCs/>
                <w:sz w:val="22"/>
                <w:szCs w:val="22"/>
                <w:lang w:val="el-GR"/>
              </w:rPr>
              <w:t>(≥1/10)</w:t>
            </w:r>
            <w:r w:rsidRPr="00A66AB5">
              <w:rPr>
                <w:b/>
                <w:sz w:val="22"/>
                <w:szCs w:val="22"/>
                <w:lang w:val="el-GR"/>
              </w:rPr>
              <w:t>, συχνές (</w:t>
            </w:r>
            <w:r w:rsidR="00A50106" w:rsidRPr="00791987">
              <w:rPr>
                <w:b/>
                <w:bCs/>
                <w:sz w:val="22"/>
                <w:szCs w:val="22"/>
                <w:lang w:val="el-GR"/>
              </w:rPr>
              <w:t>≥1/100</w:t>
            </w:r>
            <w:r w:rsidR="00E0305B">
              <w:rPr>
                <w:b/>
                <w:sz w:val="22"/>
                <w:szCs w:val="22"/>
                <w:lang w:val="el-GR"/>
              </w:rPr>
              <w:t xml:space="preserve"> έως</w:t>
            </w:r>
            <w:r w:rsidR="00E0305B" w:rsidRPr="00A66AB5">
              <w:rPr>
                <w:b/>
                <w:sz w:val="22"/>
                <w:szCs w:val="22"/>
                <w:lang w:val="el-GR"/>
              </w:rPr>
              <w:t xml:space="preserve"> </w:t>
            </w:r>
            <w:r w:rsidRPr="00A66AB5">
              <w:rPr>
                <w:b/>
                <w:sz w:val="22"/>
                <w:szCs w:val="22"/>
                <w:lang w:val="el-GR"/>
              </w:rPr>
              <w:t>&lt;1/10), όχι συχνές (</w:t>
            </w:r>
            <w:r w:rsidR="00A50106" w:rsidRPr="00791987">
              <w:rPr>
                <w:b/>
                <w:bCs/>
                <w:sz w:val="22"/>
                <w:szCs w:val="22"/>
                <w:lang w:val="el-GR"/>
              </w:rPr>
              <w:t>≥</w:t>
            </w:r>
            <w:r w:rsidRPr="00A66AB5">
              <w:rPr>
                <w:b/>
                <w:sz w:val="22"/>
                <w:szCs w:val="22"/>
                <w:lang w:val="el-GR"/>
              </w:rPr>
              <w:t>1/1.000</w:t>
            </w:r>
            <w:r w:rsidR="00E0305B">
              <w:rPr>
                <w:b/>
                <w:sz w:val="22"/>
                <w:szCs w:val="22"/>
                <w:lang w:val="el-GR"/>
              </w:rPr>
              <w:t xml:space="preserve"> έως</w:t>
            </w:r>
            <w:r w:rsidR="00E0305B" w:rsidRPr="00A66AB5">
              <w:rPr>
                <w:b/>
                <w:sz w:val="22"/>
                <w:szCs w:val="22"/>
                <w:lang w:val="el-GR"/>
              </w:rPr>
              <w:t xml:space="preserve"> </w:t>
            </w:r>
            <w:r w:rsidRPr="00A66AB5">
              <w:rPr>
                <w:b/>
                <w:sz w:val="22"/>
                <w:szCs w:val="22"/>
                <w:lang w:val="el-GR"/>
              </w:rPr>
              <w:t>&lt;1/100), σπάνιες (</w:t>
            </w:r>
            <w:r w:rsidR="00A50106" w:rsidRPr="00791987">
              <w:rPr>
                <w:b/>
                <w:bCs/>
                <w:sz w:val="22"/>
                <w:szCs w:val="22"/>
                <w:lang w:val="el-GR"/>
              </w:rPr>
              <w:t>≥</w:t>
            </w:r>
            <w:r w:rsidRPr="00A66AB5">
              <w:rPr>
                <w:b/>
                <w:sz w:val="22"/>
                <w:szCs w:val="22"/>
                <w:lang w:val="el-GR"/>
              </w:rPr>
              <w:t>1/10.000</w:t>
            </w:r>
            <w:r w:rsidR="00E0305B">
              <w:rPr>
                <w:b/>
                <w:sz w:val="22"/>
                <w:szCs w:val="22"/>
                <w:lang w:val="el-GR"/>
              </w:rPr>
              <w:t xml:space="preserve"> έως</w:t>
            </w:r>
            <w:r w:rsidR="00E0305B" w:rsidRPr="00A66AB5">
              <w:rPr>
                <w:b/>
                <w:sz w:val="22"/>
                <w:szCs w:val="22"/>
                <w:lang w:val="el-GR"/>
              </w:rPr>
              <w:t xml:space="preserve"> </w:t>
            </w:r>
            <w:r w:rsidRPr="00A66AB5">
              <w:rPr>
                <w:b/>
                <w:sz w:val="22"/>
                <w:szCs w:val="22"/>
                <w:lang w:val="el-GR"/>
              </w:rPr>
              <w:t>&lt;1/1.000) και πολύ σπάνιες (&lt;</w:t>
            </w:r>
            <w:r w:rsidRPr="00A66AB5">
              <w:rPr>
                <w:b/>
                <w:sz w:val="22"/>
                <w:szCs w:val="22"/>
              </w:rPr>
              <w:t> </w:t>
            </w:r>
            <w:r w:rsidRPr="00A66AB5">
              <w:rPr>
                <w:b/>
                <w:sz w:val="22"/>
                <w:szCs w:val="22"/>
                <w:lang w:val="el-GR"/>
              </w:rPr>
              <w:t>1/10.000).</w:t>
            </w:r>
          </w:p>
        </w:tc>
      </w:tr>
      <w:tr w:rsidR="00380EEB" w:rsidRPr="002F0C2B" w:rsidTr="00FE4D89">
        <w:trPr>
          <w:cantSplit/>
          <w:trHeight w:val="250"/>
        </w:trPr>
        <w:tc>
          <w:tcPr>
            <w:tcW w:w="8552" w:type="dxa"/>
            <w:gridSpan w:val="2"/>
            <w:tcBorders>
              <w:top w:val="single" w:sz="4" w:space="0" w:color="auto"/>
              <w:left w:val="nil"/>
              <w:bottom w:val="nil"/>
              <w:right w:val="nil"/>
            </w:tcBorders>
          </w:tcPr>
          <w:p w:rsidR="00380EEB" w:rsidRPr="00277E70" w:rsidRDefault="00380EEB">
            <w:pPr>
              <w:pStyle w:val="6"/>
              <w:keepNext w:val="0"/>
              <w:tabs>
                <w:tab w:val="clear" w:pos="-720"/>
                <w:tab w:val="clear" w:pos="567"/>
                <w:tab w:val="clear" w:pos="4536"/>
                <w:tab w:val="left" w:pos="0"/>
              </w:tabs>
              <w:suppressAutoHyphens w:val="0"/>
              <w:rPr>
                <w:szCs w:val="22"/>
                <w:lang w:val="el-GR"/>
              </w:rPr>
            </w:pPr>
            <w:r w:rsidRPr="00277E70">
              <w:rPr>
                <w:b/>
                <w:szCs w:val="22"/>
                <w:lang w:val="el-GR"/>
              </w:rPr>
              <w:t>Διαταραχές του μεταβολισμού και της θρέψης</w:t>
            </w:r>
          </w:p>
        </w:tc>
      </w:tr>
      <w:tr w:rsidR="00380EEB" w:rsidRPr="00A66AB5" w:rsidTr="00FE4D89">
        <w:trPr>
          <w:trHeight w:val="266"/>
        </w:trPr>
        <w:tc>
          <w:tcPr>
            <w:tcW w:w="3523" w:type="dxa"/>
            <w:tcBorders>
              <w:top w:val="nil"/>
              <w:left w:val="nil"/>
              <w:bottom w:val="single" w:sz="4" w:space="0" w:color="auto"/>
              <w:right w:val="nil"/>
            </w:tcBorders>
          </w:tcPr>
          <w:p w:rsidR="00380EEB" w:rsidRPr="00A66AB5" w:rsidRDefault="00380EEB">
            <w:pPr>
              <w:tabs>
                <w:tab w:val="left" w:pos="0"/>
              </w:tabs>
              <w:rPr>
                <w:sz w:val="22"/>
                <w:szCs w:val="22"/>
                <w:lang w:val="el-GR"/>
              </w:rPr>
            </w:pPr>
            <w:r w:rsidRPr="00A66AB5">
              <w:rPr>
                <w:b/>
                <w:i/>
                <w:sz w:val="22"/>
                <w:szCs w:val="22"/>
                <w:lang w:val="el-GR"/>
              </w:rPr>
              <w:t>Πολύ συχνές:</w:t>
            </w:r>
          </w:p>
        </w:tc>
        <w:tc>
          <w:tcPr>
            <w:tcW w:w="5029" w:type="dxa"/>
            <w:tcBorders>
              <w:top w:val="nil"/>
              <w:left w:val="nil"/>
              <w:bottom w:val="single" w:sz="4" w:space="0" w:color="auto"/>
              <w:right w:val="nil"/>
            </w:tcBorders>
          </w:tcPr>
          <w:p w:rsidR="00380EEB" w:rsidRPr="00A66AB5" w:rsidRDefault="00380EEB">
            <w:pPr>
              <w:tabs>
                <w:tab w:val="left" w:pos="0"/>
              </w:tabs>
              <w:rPr>
                <w:sz w:val="22"/>
                <w:szCs w:val="22"/>
                <w:lang w:val="el-GR"/>
              </w:rPr>
            </w:pPr>
            <w:r w:rsidRPr="00A66AB5">
              <w:rPr>
                <w:sz w:val="22"/>
                <w:szCs w:val="22"/>
                <w:lang w:val="el-GR"/>
              </w:rPr>
              <w:t>Αυξημένη όρεξη</w:t>
            </w:r>
          </w:p>
        </w:tc>
      </w:tr>
      <w:tr w:rsidR="00380EEB" w:rsidRPr="00A66AB5" w:rsidTr="00FE4D89">
        <w:trPr>
          <w:trHeight w:val="250"/>
        </w:trPr>
        <w:tc>
          <w:tcPr>
            <w:tcW w:w="3523" w:type="dxa"/>
            <w:tcBorders>
              <w:top w:val="single" w:sz="4" w:space="0" w:color="auto"/>
              <w:left w:val="nil"/>
              <w:bottom w:val="nil"/>
              <w:right w:val="nil"/>
            </w:tcBorders>
          </w:tcPr>
          <w:p w:rsidR="00380EEB" w:rsidRPr="00E81051" w:rsidRDefault="00380EEB">
            <w:pPr>
              <w:pStyle w:val="6"/>
              <w:keepNext w:val="0"/>
              <w:tabs>
                <w:tab w:val="clear" w:pos="-720"/>
                <w:tab w:val="clear" w:pos="567"/>
                <w:tab w:val="clear" w:pos="4536"/>
                <w:tab w:val="left" w:pos="0"/>
              </w:tabs>
              <w:suppressAutoHyphens w:val="0"/>
              <w:rPr>
                <w:szCs w:val="22"/>
              </w:rPr>
            </w:pPr>
            <w:proofErr w:type="spellStart"/>
            <w:r w:rsidRPr="00277E70">
              <w:rPr>
                <w:b/>
                <w:szCs w:val="22"/>
                <w:lang w:val="el-GR"/>
              </w:rPr>
              <w:t>Παρακλινικές</w:t>
            </w:r>
            <w:proofErr w:type="spellEnd"/>
            <w:r w:rsidRPr="00277E70">
              <w:rPr>
                <w:b/>
                <w:szCs w:val="22"/>
                <w:lang w:val="el-GR"/>
              </w:rPr>
              <w:t xml:space="preserve"> εξετάσεις</w:t>
            </w:r>
          </w:p>
        </w:tc>
        <w:tc>
          <w:tcPr>
            <w:tcW w:w="5029" w:type="dxa"/>
            <w:tcBorders>
              <w:top w:val="single" w:sz="4" w:space="0" w:color="auto"/>
              <w:left w:val="nil"/>
              <w:bottom w:val="nil"/>
              <w:right w:val="nil"/>
            </w:tcBorders>
          </w:tcPr>
          <w:p w:rsidR="00380EEB" w:rsidRPr="00A66AB5" w:rsidRDefault="00380EEB">
            <w:pPr>
              <w:tabs>
                <w:tab w:val="left" w:pos="0"/>
              </w:tabs>
              <w:rPr>
                <w:sz w:val="22"/>
                <w:szCs w:val="22"/>
              </w:rPr>
            </w:pPr>
          </w:p>
        </w:tc>
      </w:tr>
      <w:tr w:rsidR="00380EEB" w:rsidRPr="002F0C2B" w:rsidTr="00FE4D89">
        <w:trPr>
          <w:trHeight w:val="250"/>
        </w:trPr>
        <w:tc>
          <w:tcPr>
            <w:tcW w:w="3523" w:type="dxa"/>
            <w:tcBorders>
              <w:top w:val="nil"/>
              <w:left w:val="nil"/>
              <w:bottom w:val="single" w:sz="4" w:space="0" w:color="auto"/>
              <w:right w:val="nil"/>
            </w:tcBorders>
          </w:tcPr>
          <w:p w:rsidR="00380EEB" w:rsidRPr="00A66AB5" w:rsidRDefault="00380EEB">
            <w:pPr>
              <w:tabs>
                <w:tab w:val="left" w:pos="0"/>
              </w:tabs>
              <w:rPr>
                <w:sz w:val="22"/>
                <w:szCs w:val="22"/>
                <w:lang w:val="el-GR"/>
              </w:rPr>
            </w:pPr>
            <w:r w:rsidRPr="00A66AB5">
              <w:rPr>
                <w:b/>
                <w:i/>
                <w:sz w:val="22"/>
                <w:szCs w:val="22"/>
                <w:lang w:val="el-GR"/>
              </w:rPr>
              <w:t>Πολύ συχνές:</w:t>
            </w:r>
          </w:p>
        </w:tc>
        <w:tc>
          <w:tcPr>
            <w:tcW w:w="5029" w:type="dxa"/>
            <w:tcBorders>
              <w:top w:val="nil"/>
              <w:left w:val="nil"/>
              <w:bottom w:val="single" w:sz="4" w:space="0" w:color="auto"/>
              <w:right w:val="nil"/>
            </w:tcBorders>
          </w:tcPr>
          <w:p w:rsidR="00380EEB" w:rsidRPr="00A66AB5" w:rsidRDefault="00380EEB">
            <w:pPr>
              <w:tabs>
                <w:tab w:val="left" w:pos="0"/>
              </w:tabs>
              <w:rPr>
                <w:sz w:val="22"/>
                <w:szCs w:val="22"/>
                <w:lang w:val="el-GR"/>
              </w:rPr>
            </w:pPr>
            <w:r w:rsidRPr="00A66AB5">
              <w:rPr>
                <w:sz w:val="22"/>
                <w:szCs w:val="22"/>
                <w:lang w:val="el-GR"/>
              </w:rPr>
              <w:t>Αυξήσεις της προλακτίνης</w:t>
            </w:r>
            <w:r w:rsidRPr="00A66AB5">
              <w:rPr>
                <w:sz w:val="22"/>
                <w:szCs w:val="22"/>
                <w:vertAlign w:val="superscript"/>
                <w:lang w:val="el-GR"/>
              </w:rPr>
              <w:t>1</w:t>
            </w:r>
            <w:r w:rsidRPr="00A66AB5">
              <w:rPr>
                <w:sz w:val="22"/>
                <w:szCs w:val="22"/>
                <w:lang w:val="el-GR"/>
              </w:rPr>
              <w:t>, αυξήσεις της αρτηριακής πίεσης</w:t>
            </w:r>
            <w:r w:rsidRPr="00A66AB5">
              <w:rPr>
                <w:sz w:val="22"/>
                <w:szCs w:val="22"/>
                <w:vertAlign w:val="superscript"/>
                <w:lang w:val="el-GR"/>
              </w:rPr>
              <w:t>2</w:t>
            </w:r>
          </w:p>
        </w:tc>
      </w:tr>
      <w:tr w:rsidR="00380EEB" w:rsidRPr="00A66AB5" w:rsidTr="00FE4D89">
        <w:trPr>
          <w:trHeight w:val="250"/>
        </w:trPr>
        <w:tc>
          <w:tcPr>
            <w:tcW w:w="3523" w:type="dxa"/>
            <w:tcBorders>
              <w:top w:val="single" w:sz="4" w:space="0" w:color="auto"/>
              <w:left w:val="nil"/>
              <w:bottom w:val="nil"/>
              <w:right w:val="nil"/>
            </w:tcBorders>
          </w:tcPr>
          <w:p w:rsidR="00380EEB" w:rsidRPr="00A66AB5" w:rsidRDefault="00380EEB">
            <w:pPr>
              <w:tabs>
                <w:tab w:val="left" w:pos="0"/>
              </w:tabs>
              <w:rPr>
                <w:sz w:val="22"/>
                <w:szCs w:val="22"/>
                <w:lang w:val="el-GR"/>
              </w:rPr>
            </w:pPr>
            <w:r w:rsidRPr="00A66AB5">
              <w:rPr>
                <w:b/>
                <w:i/>
                <w:sz w:val="22"/>
                <w:szCs w:val="22"/>
                <w:lang w:val="el-GR"/>
              </w:rPr>
              <w:t>Διαταραχές του νευρικού συστήματος</w:t>
            </w:r>
          </w:p>
        </w:tc>
        <w:tc>
          <w:tcPr>
            <w:tcW w:w="5029" w:type="dxa"/>
            <w:tcBorders>
              <w:top w:val="single" w:sz="4" w:space="0" w:color="auto"/>
              <w:left w:val="nil"/>
              <w:bottom w:val="nil"/>
              <w:right w:val="nil"/>
            </w:tcBorders>
          </w:tcPr>
          <w:p w:rsidR="00380EEB" w:rsidRPr="00A66AB5" w:rsidRDefault="00380EEB">
            <w:pPr>
              <w:tabs>
                <w:tab w:val="left" w:pos="0"/>
              </w:tabs>
              <w:rPr>
                <w:sz w:val="22"/>
                <w:szCs w:val="22"/>
                <w:lang w:val="sv-SE"/>
              </w:rPr>
            </w:pPr>
          </w:p>
        </w:tc>
      </w:tr>
      <w:tr w:rsidR="00380EEB" w:rsidRPr="00A66AB5" w:rsidTr="00FE4D89">
        <w:trPr>
          <w:trHeight w:val="250"/>
        </w:trPr>
        <w:tc>
          <w:tcPr>
            <w:tcW w:w="3523" w:type="dxa"/>
            <w:tcBorders>
              <w:top w:val="nil"/>
              <w:left w:val="nil"/>
              <w:bottom w:val="single" w:sz="4" w:space="0" w:color="auto"/>
              <w:right w:val="nil"/>
            </w:tcBorders>
          </w:tcPr>
          <w:p w:rsidR="00380EEB" w:rsidRPr="00A66AB5" w:rsidRDefault="00380EEB">
            <w:pPr>
              <w:tabs>
                <w:tab w:val="left" w:pos="0"/>
              </w:tabs>
              <w:rPr>
                <w:sz w:val="22"/>
                <w:szCs w:val="22"/>
                <w:lang w:val="el-GR"/>
              </w:rPr>
            </w:pPr>
            <w:r w:rsidRPr="00A66AB5">
              <w:rPr>
                <w:b/>
                <w:i/>
                <w:sz w:val="22"/>
                <w:szCs w:val="22"/>
                <w:lang w:val="el-GR"/>
              </w:rPr>
              <w:t>Πολύ συχνές:</w:t>
            </w:r>
          </w:p>
        </w:tc>
        <w:tc>
          <w:tcPr>
            <w:tcW w:w="5029" w:type="dxa"/>
            <w:tcBorders>
              <w:top w:val="nil"/>
              <w:left w:val="nil"/>
              <w:bottom w:val="single" w:sz="4" w:space="0" w:color="auto"/>
              <w:right w:val="nil"/>
            </w:tcBorders>
          </w:tcPr>
          <w:p w:rsidR="00380EEB" w:rsidRPr="00A66AB5" w:rsidRDefault="00380EEB">
            <w:pPr>
              <w:tabs>
                <w:tab w:val="left" w:pos="0"/>
              </w:tabs>
              <w:rPr>
                <w:sz w:val="22"/>
                <w:szCs w:val="22"/>
                <w:lang w:val="el-GR"/>
              </w:rPr>
            </w:pPr>
          </w:p>
        </w:tc>
      </w:tr>
      <w:tr w:rsidR="00380EEB" w:rsidRPr="002F0C2B" w:rsidTr="00FE4D89">
        <w:trPr>
          <w:cantSplit/>
          <w:trHeight w:val="250"/>
        </w:trPr>
        <w:tc>
          <w:tcPr>
            <w:tcW w:w="8552" w:type="dxa"/>
            <w:gridSpan w:val="2"/>
            <w:tcBorders>
              <w:top w:val="single" w:sz="4" w:space="0" w:color="auto"/>
              <w:left w:val="nil"/>
              <w:bottom w:val="nil"/>
              <w:right w:val="nil"/>
            </w:tcBorders>
          </w:tcPr>
          <w:p w:rsidR="00380EEB" w:rsidRPr="00277E70" w:rsidRDefault="00380EEB">
            <w:pPr>
              <w:pStyle w:val="6"/>
              <w:keepNext w:val="0"/>
              <w:tabs>
                <w:tab w:val="clear" w:pos="-720"/>
                <w:tab w:val="clear" w:pos="567"/>
                <w:tab w:val="clear" w:pos="4536"/>
                <w:tab w:val="left" w:pos="0"/>
              </w:tabs>
              <w:suppressAutoHyphens w:val="0"/>
              <w:rPr>
                <w:szCs w:val="22"/>
                <w:highlight w:val="green"/>
                <w:lang w:val="el-GR"/>
              </w:rPr>
            </w:pPr>
            <w:r w:rsidRPr="00277E70">
              <w:rPr>
                <w:b/>
                <w:szCs w:val="22"/>
                <w:lang w:val="el-GR"/>
              </w:rPr>
              <w:t>Γενικές διαταραχές και καταστάσεις της οδού χορήγησης</w:t>
            </w:r>
          </w:p>
        </w:tc>
      </w:tr>
      <w:tr w:rsidR="00380EEB" w:rsidRPr="00A66AB5" w:rsidTr="00FE4D89">
        <w:trPr>
          <w:trHeight w:val="266"/>
        </w:trPr>
        <w:tc>
          <w:tcPr>
            <w:tcW w:w="3523" w:type="dxa"/>
            <w:tcBorders>
              <w:top w:val="nil"/>
              <w:left w:val="nil"/>
              <w:bottom w:val="single" w:sz="4" w:space="0" w:color="auto"/>
              <w:right w:val="nil"/>
            </w:tcBorders>
          </w:tcPr>
          <w:p w:rsidR="00380EEB" w:rsidRPr="00A66AB5" w:rsidRDefault="00380EEB">
            <w:pPr>
              <w:tabs>
                <w:tab w:val="left" w:pos="0"/>
              </w:tabs>
              <w:rPr>
                <w:sz w:val="22"/>
                <w:szCs w:val="22"/>
                <w:lang w:val="el-GR"/>
              </w:rPr>
            </w:pPr>
            <w:r w:rsidRPr="00A66AB5">
              <w:rPr>
                <w:b/>
                <w:i/>
                <w:sz w:val="22"/>
                <w:szCs w:val="22"/>
                <w:lang w:val="el-GR"/>
              </w:rPr>
              <w:t>Συχνές:</w:t>
            </w:r>
          </w:p>
        </w:tc>
        <w:tc>
          <w:tcPr>
            <w:tcW w:w="5029" w:type="dxa"/>
            <w:tcBorders>
              <w:top w:val="nil"/>
              <w:left w:val="nil"/>
              <w:bottom w:val="single" w:sz="4" w:space="0" w:color="auto"/>
              <w:right w:val="nil"/>
            </w:tcBorders>
          </w:tcPr>
          <w:p w:rsidR="00380EEB" w:rsidRPr="00A66AB5" w:rsidRDefault="00380EEB" w:rsidP="00147123">
            <w:pPr>
              <w:tabs>
                <w:tab w:val="left" w:pos="0"/>
              </w:tabs>
              <w:rPr>
                <w:sz w:val="22"/>
                <w:szCs w:val="22"/>
                <w:lang w:val="el-GR"/>
              </w:rPr>
            </w:pPr>
            <w:r w:rsidRPr="00A66AB5">
              <w:rPr>
                <w:sz w:val="22"/>
                <w:szCs w:val="22"/>
                <w:lang w:val="el-GR"/>
              </w:rPr>
              <w:t>Ευερεθιστότητα</w:t>
            </w:r>
            <w:r w:rsidR="00147123" w:rsidRPr="00AA4FA4">
              <w:rPr>
                <w:sz w:val="22"/>
                <w:szCs w:val="22"/>
                <w:vertAlign w:val="superscript"/>
                <w:lang w:val="el-GR"/>
              </w:rPr>
              <w:t>3</w:t>
            </w:r>
          </w:p>
        </w:tc>
      </w:tr>
      <w:tr w:rsidR="00147123" w:rsidRPr="002F0C2B" w:rsidTr="00D128F6">
        <w:trPr>
          <w:cantSplit/>
          <w:trHeight w:val="250"/>
        </w:trPr>
        <w:tc>
          <w:tcPr>
            <w:tcW w:w="8552" w:type="dxa"/>
            <w:gridSpan w:val="2"/>
            <w:tcBorders>
              <w:top w:val="single" w:sz="4" w:space="0" w:color="auto"/>
              <w:left w:val="nil"/>
              <w:bottom w:val="nil"/>
              <w:right w:val="nil"/>
            </w:tcBorders>
          </w:tcPr>
          <w:p w:rsidR="00147123" w:rsidRPr="00AA4FA4" w:rsidRDefault="00147123" w:rsidP="00147123">
            <w:pPr>
              <w:pStyle w:val="6"/>
              <w:keepNext w:val="0"/>
              <w:tabs>
                <w:tab w:val="clear" w:pos="-720"/>
                <w:tab w:val="clear" w:pos="567"/>
                <w:tab w:val="clear" w:pos="4536"/>
                <w:tab w:val="left" w:pos="0"/>
              </w:tabs>
              <w:suppressAutoHyphens w:val="0"/>
              <w:rPr>
                <w:b/>
                <w:szCs w:val="22"/>
                <w:lang w:val="el-GR"/>
              </w:rPr>
            </w:pPr>
            <w:r w:rsidRPr="00147123">
              <w:rPr>
                <w:b/>
                <w:szCs w:val="22"/>
                <w:lang w:val="el-GR"/>
              </w:rPr>
              <w:t xml:space="preserve">Διαταραχές του αναπνευστικού συστήματος, του θώρακα και του </w:t>
            </w:r>
            <w:proofErr w:type="spellStart"/>
            <w:r w:rsidRPr="00147123">
              <w:rPr>
                <w:b/>
                <w:szCs w:val="22"/>
                <w:lang w:val="el-GR"/>
              </w:rPr>
              <w:t>μεσοθωρακίου</w:t>
            </w:r>
            <w:proofErr w:type="spellEnd"/>
          </w:p>
        </w:tc>
      </w:tr>
      <w:tr w:rsidR="00147123" w:rsidRPr="00A66AB5" w:rsidTr="00D128F6">
        <w:trPr>
          <w:trHeight w:val="266"/>
        </w:trPr>
        <w:tc>
          <w:tcPr>
            <w:tcW w:w="3523" w:type="dxa"/>
            <w:tcBorders>
              <w:top w:val="nil"/>
              <w:left w:val="nil"/>
              <w:bottom w:val="single" w:sz="4" w:space="0" w:color="auto"/>
              <w:right w:val="nil"/>
            </w:tcBorders>
          </w:tcPr>
          <w:p w:rsidR="00147123" w:rsidRPr="00A66AB5" w:rsidRDefault="00147123" w:rsidP="00D128F6">
            <w:pPr>
              <w:tabs>
                <w:tab w:val="left" w:pos="0"/>
              </w:tabs>
              <w:rPr>
                <w:sz w:val="22"/>
                <w:szCs w:val="22"/>
                <w:lang w:val="el-GR"/>
              </w:rPr>
            </w:pPr>
            <w:r w:rsidRPr="00A66AB5">
              <w:rPr>
                <w:b/>
                <w:i/>
                <w:sz w:val="22"/>
                <w:szCs w:val="22"/>
                <w:lang w:val="el-GR"/>
              </w:rPr>
              <w:t>Συχνές:</w:t>
            </w:r>
          </w:p>
        </w:tc>
        <w:tc>
          <w:tcPr>
            <w:tcW w:w="5029" w:type="dxa"/>
            <w:tcBorders>
              <w:top w:val="nil"/>
              <w:left w:val="nil"/>
              <w:bottom w:val="single" w:sz="4" w:space="0" w:color="auto"/>
              <w:right w:val="nil"/>
            </w:tcBorders>
          </w:tcPr>
          <w:p w:rsidR="00147123" w:rsidRPr="00A66AB5" w:rsidRDefault="00147123" w:rsidP="00147123">
            <w:pPr>
              <w:tabs>
                <w:tab w:val="left" w:pos="0"/>
              </w:tabs>
              <w:rPr>
                <w:sz w:val="22"/>
                <w:szCs w:val="22"/>
                <w:lang w:val="el-GR"/>
              </w:rPr>
            </w:pPr>
            <w:r>
              <w:rPr>
                <w:sz w:val="22"/>
                <w:szCs w:val="22"/>
                <w:lang w:val="el-GR"/>
              </w:rPr>
              <w:t>Ρινίτιδα</w:t>
            </w:r>
          </w:p>
        </w:tc>
      </w:tr>
      <w:tr w:rsidR="00147123" w:rsidRPr="00A66AB5" w:rsidTr="00D128F6">
        <w:trPr>
          <w:cantSplit/>
          <w:trHeight w:val="250"/>
        </w:trPr>
        <w:tc>
          <w:tcPr>
            <w:tcW w:w="8552" w:type="dxa"/>
            <w:gridSpan w:val="2"/>
            <w:tcBorders>
              <w:top w:val="single" w:sz="4" w:space="0" w:color="auto"/>
              <w:left w:val="nil"/>
              <w:bottom w:val="nil"/>
              <w:right w:val="nil"/>
            </w:tcBorders>
          </w:tcPr>
          <w:p w:rsidR="00147123" w:rsidRPr="00277E70" w:rsidRDefault="00147123" w:rsidP="00D128F6">
            <w:pPr>
              <w:pStyle w:val="6"/>
              <w:keepNext w:val="0"/>
              <w:tabs>
                <w:tab w:val="clear" w:pos="-720"/>
                <w:tab w:val="clear" w:pos="567"/>
                <w:tab w:val="clear" w:pos="4536"/>
                <w:tab w:val="left" w:pos="0"/>
              </w:tabs>
              <w:suppressAutoHyphens w:val="0"/>
              <w:rPr>
                <w:szCs w:val="22"/>
                <w:highlight w:val="green"/>
                <w:lang w:val="el-GR"/>
              </w:rPr>
            </w:pPr>
            <w:r w:rsidRPr="00147123">
              <w:rPr>
                <w:b/>
                <w:szCs w:val="22"/>
                <w:lang w:val="el-GR"/>
              </w:rPr>
              <w:t>Διαταραχές του γαστρεντερικού συστήματος</w:t>
            </w:r>
          </w:p>
        </w:tc>
      </w:tr>
      <w:tr w:rsidR="00147123" w:rsidRPr="00A66AB5" w:rsidTr="00D128F6">
        <w:trPr>
          <w:trHeight w:val="266"/>
        </w:trPr>
        <w:tc>
          <w:tcPr>
            <w:tcW w:w="3523" w:type="dxa"/>
            <w:tcBorders>
              <w:top w:val="nil"/>
              <w:left w:val="nil"/>
              <w:bottom w:val="single" w:sz="4" w:space="0" w:color="auto"/>
              <w:right w:val="nil"/>
            </w:tcBorders>
          </w:tcPr>
          <w:p w:rsidR="00147123" w:rsidRPr="00A66AB5" w:rsidRDefault="00147123" w:rsidP="00D128F6">
            <w:pPr>
              <w:tabs>
                <w:tab w:val="left" w:pos="0"/>
              </w:tabs>
              <w:rPr>
                <w:sz w:val="22"/>
                <w:szCs w:val="22"/>
                <w:lang w:val="el-GR"/>
              </w:rPr>
            </w:pPr>
            <w:r>
              <w:rPr>
                <w:b/>
                <w:i/>
                <w:sz w:val="22"/>
                <w:szCs w:val="22"/>
                <w:lang w:val="el-GR"/>
              </w:rPr>
              <w:lastRenderedPageBreak/>
              <w:t xml:space="preserve">Πολύ </w:t>
            </w:r>
            <w:r w:rsidRPr="00A66AB5">
              <w:rPr>
                <w:b/>
                <w:i/>
                <w:sz w:val="22"/>
                <w:szCs w:val="22"/>
                <w:lang w:val="el-GR"/>
              </w:rPr>
              <w:t>Συχνές:</w:t>
            </w:r>
          </w:p>
        </w:tc>
        <w:tc>
          <w:tcPr>
            <w:tcW w:w="5029" w:type="dxa"/>
            <w:tcBorders>
              <w:top w:val="nil"/>
              <w:left w:val="nil"/>
              <w:bottom w:val="single" w:sz="4" w:space="0" w:color="auto"/>
              <w:right w:val="nil"/>
            </w:tcBorders>
          </w:tcPr>
          <w:p w:rsidR="00147123" w:rsidRPr="00A66AB5" w:rsidRDefault="00147123" w:rsidP="00147123">
            <w:pPr>
              <w:tabs>
                <w:tab w:val="left" w:pos="0"/>
              </w:tabs>
              <w:rPr>
                <w:sz w:val="22"/>
                <w:szCs w:val="22"/>
                <w:lang w:val="el-GR"/>
              </w:rPr>
            </w:pPr>
            <w:r>
              <w:rPr>
                <w:sz w:val="22"/>
                <w:szCs w:val="22"/>
                <w:lang w:val="el-GR"/>
              </w:rPr>
              <w:t>Έμετος</w:t>
            </w:r>
          </w:p>
        </w:tc>
      </w:tr>
    </w:tbl>
    <w:p w:rsidR="00380EEB" w:rsidRPr="00791987" w:rsidRDefault="00380EEB" w:rsidP="00057BA8">
      <w:pPr>
        <w:numPr>
          <w:ilvl w:val="0"/>
          <w:numId w:val="25"/>
        </w:numPr>
        <w:tabs>
          <w:tab w:val="left" w:pos="0"/>
          <w:tab w:val="num" w:pos="993"/>
        </w:tabs>
        <w:spacing w:after="60"/>
        <w:jc w:val="both"/>
        <w:rPr>
          <w:sz w:val="20"/>
          <w:szCs w:val="20"/>
          <w:lang w:val="el-GR"/>
        </w:rPr>
      </w:pPr>
      <w:r w:rsidRPr="00791987">
        <w:rPr>
          <w:sz w:val="20"/>
          <w:szCs w:val="20"/>
          <w:lang w:val="el-GR"/>
        </w:rPr>
        <w:t xml:space="preserve">Επίπεδα </w:t>
      </w:r>
      <w:proofErr w:type="spellStart"/>
      <w:r w:rsidRPr="00791987">
        <w:rPr>
          <w:sz w:val="20"/>
          <w:szCs w:val="20"/>
          <w:lang w:val="el-GR"/>
        </w:rPr>
        <w:t>προλακτίνης</w:t>
      </w:r>
      <w:proofErr w:type="spellEnd"/>
      <w:r w:rsidRPr="00791987">
        <w:rPr>
          <w:sz w:val="20"/>
          <w:szCs w:val="20"/>
          <w:lang w:val="el-GR"/>
        </w:rPr>
        <w:t xml:space="preserve"> (ασθενείς ηλικίας &lt;18 ετών): &gt;20 μ</w:t>
      </w:r>
      <w:r w:rsidRPr="00791987">
        <w:rPr>
          <w:sz w:val="20"/>
          <w:szCs w:val="20"/>
        </w:rPr>
        <w:t>g</w:t>
      </w:r>
      <w:r w:rsidRPr="00791987">
        <w:rPr>
          <w:sz w:val="20"/>
          <w:szCs w:val="20"/>
          <w:lang w:val="el-GR"/>
        </w:rPr>
        <w:t>/</w:t>
      </w:r>
      <w:r w:rsidRPr="00791987">
        <w:rPr>
          <w:sz w:val="20"/>
          <w:szCs w:val="20"/>
        </w:rPr>
        <w:t>L</w:t>
      </w:r>
      <w:r w:rsidRPr="00791987">
        <w:rPr>
          <w:sz w:val="20"/>
          <w:szCs w:val="20"/>
          <w:lang w:val="el-GR"/>
        </w:rPr>
        <w:t xml:space="preserve"> (&gt;869,56 </w:t>
      </w:r>
      <w:proofErr w:type="spellStart"/>
      <w:r w:rsidRPr="00791987">
        <w:rPr>
          <w:sz w:val="20"/>
          <w:szCs w:val="20"/>
        </w:rPr>
        <w:t>pmol</w:t>
      </w:r>
      <w:proofErr w:type="spellEnd"/>
      <w:r w:rsidRPr="00791987">
        <w:rPr>
          <w:sz w:val="20"/>
          <w:szCs w:val="20"/>
          <w:lang w:val="el-GR"/>
        </w:rPr>
        <w:t>/</w:t>
      </w:r>
      <w:r w:rsidRPr="00791987">
        <w:rPr>
          <w:sz w:val="20"/>
          <w:szCs w:val="20"/>
        </w:rPr>
        <w:t>L</w:t>
      </w:r>
      <w:r w:rsidRPr="00791987">
        <w:rPr>
          <w:sz w:val="20"/>
          <w:szCs w:val="20"/>
          <w:lang w:val="el-GR"/>
        </w:rPr>
        <w:t>) για άνδρες, &gt;26 μ</w:t>
      </w:r>
      <w:r w:rsidRPr="00791987">
        <w:rPr>
          <w:sz w:val="20"/>
          <w:szCs w:val="20"/>
        </w:rPr>
        <w:t>g</w:t>
      </w:r>
      <w:r w:rsidRPr="00791987">
        <w:rPr>
          <w:sz w:val="20"/>
          <w:szCs w:val="20"/>
          <w:lang w:val="el-GR"/>
        </w:rPr>
        <w:t>/</w:t>
      </w:r>
      <w:r w:rsidRPr="00791987">
        <w:rPr>
          <w:sz w:val="20"/>
          <w:szCs w:val="20"/>
        </w:rPr>
        <w:t>L</w:t>
      </w:r>
      <w:r w:rsidRPr="00791987">
        <w:rPr>
          <w:sz w:val="20"/>
          <w:szCs w:val="20"/>
          <w:lang w:val="el-GR"/>
        </w:rPr>
        <w:t xml:space="preserve"> (&gt;1.130,428 </w:t>
      </w:r>
      <w:proofErr w:type="spellStart"/>
      <w:r w:rsidRPr="00791987">
        <w:rPr>
          <w:sz w:val="20"/>
          <w:szCs w:val="20"/>
        </w:rPr>
        <w:t>pmol</w:t>
      </w:r>
      <w:proofErr w:type="spellEnd"/>
      <w:r w:rsidRPr="00791987">
        <w:rPr>
          <w:sz w:val="20"/>
          <w:szCs w:val="20"/>
          <w:lang w:val="el-GR"/>
        </w:rPr>
        <w:t>/</w:t>
      </w:r>
      <w:r w:rsidRPr="00791987">
        <w:rPr>
          <w:sz w:val="20"/>
          <w:szCs w:val="20"/>
        </w:rPr>
        <w:t>L</w:t>
      </w:r>
      <w:r w:rsidRPr="00791987">
        <w:rPr>
          <w:sz w:val="20"/>
          <w:szCs w:val="20"/>
          <w:lang w:val="el-GR"/>
        </w:rPr>
        <w:t xml:space="preserve">) για γυναίκες, οποιαδήποτε στιγμή. Λιγότεροι από 1% των ασθενών παρουσίασαν αύξηση σε επίπεδο </w:t>
      </w:r>
      <w:proofErr w:type="spellStart"/>
      <w:r w:rsidRPr="00791987">
        <w:rPr>
          <w:sz w:val="20"/>
          <w:szCs w:val="20"/>
          <w:lang w:val="el-GR"/>
        </w:rPr>
        <w:t>προλακτίνης</w:t>
      </w:r>
      <w:proofErr w:type="spellEnd"/>
      <w:r w:rsidRPr="00791987">
        <w:rPr>
          <w:sz w:val="20"/>
          <w:szCs w:val="20"/>
          <w:lang w:val="el-GR"/>
        </w:rPr>
        <w:t xml:space="preserve"> &gt;100 μ</w:t>
      </w:r>
      <w:r w:rsidRPr="00791987">
        <w:rPr>
          <w:sz w:val="20"/>
          <w:szCs w:val="20"/>
        </w:rPr>
        <w:t>g</w:t>
      </w:r>
      <w:r w:rsidRPr="00791987">
        <w:rPr>
          <w:sz w:val="20"/>
          <w:szCs w:val="20"/>
          <w:lang w:val="el-GR"/>
        </w:rPr>
        <w:t>/</w:t>
      </w:r>
      <w:r w:rsidRPr="00791987">
        <w:rPr>
          <w:sz w:val="20"/>
          <w:szCs w:val="20"/>
        </w:rPr>
        <w:t>L</w:t>
      </w:r>
      <w:r w:rsidRPr="00791987">
        <w:rPr>
          <w:sz w:val="20"/>
          <w:szCs w:val="20"/>
          <w:lang w:val="el-GR"/>
        </w:rPr>
        <w:t>.</w:t>
      </w:r>
    </w:p>
    <w:p w:rsidR="00380EEB" w:rsidRPr="00791987" w:rsidRDefault="00380EEB">
      <w:pPr>
        <w:numPr>
          <w:ilvl w:val="0"/>
          <w:numId w:val="25"/>
        </w:numPr>
        <w:tabs>
          <w:tab w:val="left" w:pos="0"/>
          <w:tab w:val="num" w:pos="993"/>
        </w:tabs>
        <w:spacing w:after="60"/>
        <w:jc w:val="both"/>
        <w:rPr>
          <w:sz w:val="20"/>
          <w:szCs w:val="20"/>
          <w:lang w:val="el-GR"/>
        </w:rPr>
      </w:pPr>
      <w:r w:rsidRPr="00791987">
        <w:rPr>
          <w:sz w:val="20"/>
          <w:szCs w:val="20"/>
          <w:lang w:val="el-GR"/>
        </w:rPr>
        <w:t>Με βάση τις μετατοπίσεις πάνω από κλινικά σημαντικούς ουδούς (προσαρμοσμένους από τα κριτήρια των Εθνικών Ινστιτούτων Υγείας) ή τις αυξήσεις &gt;20</w:t>
      </w:r>
      <w:r w:rsidRPr="00791987">
        <w:rPr>
          <w:sz w:val="20"/>
          <w:szCs w:val="20"/>
        </w:rPr>
        <w:t>mmHg</w:t>
      </w:r>
      <w:r w:rsidRPr="00791987">
        <w:rPr>
          <w:sz w:val="20"/>
          <w:szCs w:val="20"/>
          <w:lang w:val="el-GR"/>
        </w:rPr>
        <w:t xml:space="preserve"> για τη συστολική ή &gt;10 </w:t>
      </w:r>
      <w:r w:rsidRPr="00791987">
        <w:rPr>
          <w:sz w:val="20"/>
          <w:szCs w:val="20"/>
        </w:rPr>
        <w:t>mmHg</w:t>
      </w:r>
      <w:r w:rsidRPr="00791987">
        <w:rPr>
          <w:sz w:val="20"/>
          <w:szCs w:val="20"/>
          <w:lang w:val="el-GR"/>
        </w:rPr>
        <w:t xml:space="preserve"> για τη διαστολική αρτηριακή πίεση οποιαδήποτε στιγμή σε δύο βραχείες (3-6 εβδομάδες) δοκιμές με έλεγχο εικονικού φαρμάκου σε παιδιά και εφήβους.</w:t>
      </w:r>
    </w:p>
    <w:p w:rsidR="00380EEB" w:rsidRPr="00A66AB5" w:rsidRDefault="00380EEB">
      <w:pPr>
        <w:numPr>
          <w:ilvl w:val="0"/>
          <w:numId w:val="25"/>
        </w:numPr>
        <w:tabs>
          <w:tab w:val="left" w:pos="0"/>
          <w:tab w:val="num" w:pos="993"/>
        </w:tabs>
        <w:spacing w:after="60"/>
        <w:jc w:val="both"/>
        <w:rPr>
          <w:sz w:val="22"/>
          <w:szCs w:val="22"/>
          <w:lang w:val="el-GR"/>
        </w:rPr>
      </w:pPr>
      <w:r w:rsidRPr="00791987">
        <w:rPr>
          <w:sz w:val="20"/>
          <w:szCs w:val="20"/>
          <w:lang w:val="el-GR"/>
        </w:rPr>
        <w:t>Σημείωση: Η συχνότητα είναι συμβατή με αυτή που παρατηρήθηκε σε ενήλικες, αλλά η ευερεθιστότητα ενδέχεται να συσχετίζεται με διαφορετικές κλινικές επιπτώσεις σε παιδιά και εφήβους σε σύγκριση με τους ενήλικες.</w:t>
      </w:r>
    </w:p>
    <w:p w:rsidR="007D7113" w:rsidRPr="007D7113" w:rsidRDefault="007D7113" w:rsidP="007D7113">
      <w:pPr>
        <w:tabs>
          <w:tab w:val="left" w:pos="567"/>
        </w:tabs>
        <w:autoSpaceDE w:val="0"/>
        <w:autoSpaceDN w:val="0"/>
        <w:adjustRightInd w:val="0"/>
        <w:spacing w:line="260" w:lineRule="exact"/>
        <w:jc w:val="both"/>
        <w:rPr>
          <w:sz w:val="22"/>
          <w:szCs w:val="22"/>
          <w:u w:val="single"/>
          <w:lang w:val="el-GR" w:eastAsia="en-US"/>
        </w:rPr>
      </w:pPr>
      <w:r w:rsidRPr="007D7113">
        <w:rPr>
          <w:noProof/>
          <w:sz w:val="22"/>
          <w:szCs w:val="22"/>
          <w:u w:val="single"/>
          <w:lang w:val="el-GR" w:eastAsia="en-US"/>
        </w:rPr>
        <w:t>Αναφορά πιθανολογούμενων ανεπιθύμητων ενεργειών</w:t>
      </w:r>
    </w:p>
    <w:p w:rsidR="00791987" w:rsidRPr="00BC6736" w:rsidRDefault="007D7113" w:rsidP="007D7113">
      <w:pPr>
        <w:pStyle w:val="a3"/>
        <w:tabs>
          <w:tab w:val="clear" w:pos="4320"/>
          <w:tab w:val="clear" w:pos="8640"/>
        </w:tabs>
        <w:jc w:val="both"/>
        <w:rPr>
          <w:sz w:val="22"/>
          <w:szCs w:val="22"/>
          <w:lang w:val="el-GR"/>
        </w:rPr>
      </w:pPr>
      <w:r w:rsidRPr="007D7113">
        <w:rPr>
          <w:sz w:val="22"/>
          <w:szCs w:val="22"/>
          <w:lang w:val="el-GR" w:eastAsia="en-US"/>
        </w:rPr>
        <w:t>Η αναφορά πιθανολογούμενων ανεπιθύμητων ενεργειών μετά από τη χορήγηση άδειας κυκλοφορίας του φαρμακευτικού προϊόντος είναι σημαντική</w:t>
      </w:r>
      <w:r w:rsidRPr="007D7113">
        <w:rPr>
          <w:noProof/>
          <w:sz w:val="22"/>
          <w:szCs w:val="22"/>
          <w:lang w:val="el-GR" w:eastAsia="en-US"/>
        </w:rPr>
        <w:t>.</w:t>
      </w:r>
      <w:r w:rsidRPr="007D7113">
        <w:rPr>
          <w:sz w:val="22"/>
          <w:szCs w:val="22"/>
          <w:lang w:val="el-GR" w:eastAsia="en-US"/>
        </w:rPr>
        <w:t xml:space="preserve"> Επιτρέπει τη συνεχή παρακολούθηση της σχέσης οφέλους-κινδύνου του φαρμακευτικού προϊόντος</w:t>
      </w:r>
      <w:r w:rsidRPr="007D7113">
        <w:rPr>
          <w:noProof/>
          <w:sz w:val="22"/>
          <w:szCs w:val="22"/>
          <w:lang w:val="el-GR" w:eastAsia="en-US"/>
        </w:rPr>
        <w:t>.</w:t>
      </w:r>
      <w:r w:rsidRPr="007D7113">
        <w:rPr>
          <w:sz w:val="22"/>
          <w:szCs w:val="22"/>
          <w:lang w:val="el-GR" w:eastAsia="en-US"/>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791987" w:rsidRPr="00791987">
        <w:rPr>
          <w:sz w:val="22"/>
          <w:szCs w:val="22"/>
          <w:lang w:val="el-GR" w:eastAsia="en-US"/>
        </w:rPr>
        <w:t>στη διεύθυνση που αναφέρεται παρακάτω.</w:t>
      </w:r>
    </w:p>
    <w:p w:rsidR="00791987" w:rsidRPr="00BB06F8" w:rsidRDefault="00791987" w:rsidP="00791987">
      <w:pPr>
        <w:pStyle w:val="a3"/>
        <w:tabs>
          <w:tab w:val="clear" w:pos="4320"/>
          <w:tab w:val="clear" w:pos="8640"/>
        </w:tabs>
        <w:jc w:val="both"/>
        <w:rPr>
          <w:noProof/>
          <w:sz w:val="22"/>
          <w:szCs w:val="22"/>
          <w:lang w:val="el-GR" w:eastAsia="en-US"/>
        </w:rPr>
      </w:pPr>
      <w:r w:rsidRPr="00BB06F8">
        <w:rPr>
          <w:rFonts w:eastAsia="Calibri"/>
          <w:b/>
          <w:noProof/>
          <w:sz w:val="22"/>
          <w:szCs w:val="22"/>
          <w:lang w:val="el-GR" w:eastAsia="zh-CN"/>
        </w:rPr>
        <w:t>Ελλάδα</w:t>
      </w:r>
    </w:p>
    <w:p w:rsidR="00791987" w:rsidRPr="00BB06F8" w:rsidRDefault="00791987" w:rsidP="00791987">
      <w:pPr>
        <w:rPr>
          <w:rFonts w:eastAsia="Calibri"/>
          <w:noProof/>
          <w:sz w:val="22"/>
          <w:szCs w:val="22"/>
          <w:lang w:val="el-GR" w:eastAsia="zh-CN"/>
        </w:rPr>
      </w:pPr>
      <w:r w:rsidRPr="00BB06F8">
        <w:rPr>
          <w:rFonts w:eastAsia="Calibri"/>
          <w:noProof/>
          <w:sz w:val="22"/>
          <w:szCs w:val="22"/>
          <w:lang w:val="el-GR" w:eastAsia="zh-CN"/>
        </w:rPr>
        <w:t>Εθνικός Οργανισμός Φαρμάκων</w:t>
      </w:r>
    </w:p>
    <w:p w:rsidR="00791987" w:rsidRPr="00BB06F8" w:rsidRDefault="00791987" w:rsidP="00791987">
      <w:pPr>
        <w:rPr>
          <w:rFonts w:eastAsia="Calibri"/>
          <w:noProof/>
          <w:sz w:val="22"/>
          <w:szCs w:val="22"/>
          <w:lang w:val="el-GR" w:eastAsia="zh-CN"/>
        </w:rPr>
      </w:pPr>
      <w:r w:rsidRPr="00BB06F8">
        <w:rPr>
          <w:rFonts w:eastAsia="Calibri"/>
          <w:noProof/>
          <w:sz w:val="22"/>
          <w:szCs w:val="22"/>
          <w:lang w:val="el-GR" w:eastAsia="zh-CN"/>
        </w:rPr>
        <w:t>Μεσογείων 284</w:t>
      </w:r>
    </w:p>
    <w:p w:rsidR="00791987" w:rsidRPr="00BC6736" w:rsidRDefault="00791987" w:rsidP="00791987">
      <w:pPr>
        <w:rPr>
          <w:rFonts w:eastAsia="Calibri"/>
          <w:noProof/>
          <w:sz w:val="22"/>
          <w:szCs w:val="22"/>
          <w:lang w:val="el-GR" w:eastAsia="zh-CN"/>
        </w:rPr>
      </w:pPr>
      <w:r w:rsidRPr="00BB06F8">
        <w:rPr>
          <w:rFonts w:eastAsia="Calibri"/>
          <w:noProof/>
          <w:sz w:val="22"/>
          <w:szCs w:val="22"/>
          <w:lang w:eastAsia="zh-CN"/>
        </w:rPr>
        <w:t>GR</w:t>
      </w:r>
      <w:r w:rsidRPr="00BC6736">
        <w:rPr>
          <w:rFonts w:eastAsia="Calibri"/>
          <w:noProof/>
          <w:sz w:val="22"/>
          <w:szCs w:val="22"/>
          <w:lang w:val="el-GR" w:eastAsia="zh-CN"/>
        </w:rPr>
        <w:t xml:space="preserve">-15562 </w:t>
      </w:r>
      <w:r w:rsidRPr="00BB06F8">
        <w:rPr>
          <w:rFonts w:eastAsia="Calibri"/>
          <w:noProof/>
          <w:sz w:val="22"/>
          <w:szCs w:val="22"/>
          <w:lang w:val="el-GR" w:eastAsia="zh-CN"/>
        </w:rPr>
        <w:t>Χολαργός, Αθήνα</w:t>
      </w:r>
    </w:p>
    <w:p w:rsidR="00791987" w:rsidRPr="00BC6736" w:rsidRDefault="00791987" w:rsidP="00791987">
      <w:pPr>
        <w:rPr>
          <w:rFonts w:eastAsia="Calibri"/>
          <w:sz w:val="22"/>
          <w:szCs w:val="22"/>
          <w:lang w:val="el-GR" w:eastAsia="zh-CN"/>
        </w:rPr>
      </w:pPr>
      <w:r w:rsidRPr="00BB06F8">
        <w:rPr>
          <w:rFonts w:eastAsia="Calibri"/>
          <w:noProof/>
          <w:sz w:val="22"/>
          <w:szCs w:val="22"/>
          <w:lang w:val="el-GR" w:eastAsia="zh-CN"/>
        </w:rPr>
        <w:t xml:space="preserve">Τηλ: + </w:t>
      </w:r>
      <w:r w:rsidRPr="00BC6736">
        <w:rPr>
          <w:rFonts w:eastAsia="Calibri"/>
          <w:noProof/>
          <w:sz w:val="22"/>
          <w:szCs w:val="22"/>
          <w:lang w:val="el-GR" w:eastAsia="zh-CN"/>
        </w:rPr>
        <w:t xml:space="preserve">30 </w:t>
      </w:r>
      <w:r w:rsidRPr="00BC6736">
        <w:rPr>
          <w:rFonts w:eastAsia="Calibri"/>
          <w:sz w:val="22"/>
          <w:szCs w:val="22"/>
          <w:lang w:val="el-GR" w:eastAsia="zh-CN"/>
        </w:rPr>
        <w:t>21 32040380/337</w:t>
      </w:r>
    </w:p>
    <w:p w:rsidR="00791987" w:rsidRPr="00BC6736" w:rsidRDefault="00791987" w:rsidP="00791987">
      <w:pPr>
        <w:rPr>
          <w:rFonts w:eastAsia="Calibri"/>
          <w:noProof/>
          <w:sz w:val="22"/>
          <w:szCs w:val="22"/>
          <w:lang w:val="el-GR" w:eastAsia="zh-CN"/>
        </w:rPr>
      </w:pPr>
      <w:r w:rsidRPr="00BB06F8">
        <w:rPr>
          <w:rFonts w:eastAsia="Calibri"/>
          <w:sz w:val="22"/>
          <w:szCs w:val="20"/>
          <w:lang w:val="el-GR" w:eastAsia="zh-CN"/>
        </w:rPr>
        <w:t>Φαξ</w:t>
      </w:r>
      <w:r w:rsidRPr="00BC6736">
        <w:rPr>
          <w:rFonts w:eastAsia="Calibri"/>
          <w:noProof/>
          <w:sz w:val="22"/>
          <w:szCs w:val="22"/>
          <w:lang w:val="el-GR" w:eastAsia="zh-CN"/>
        </w:rPr>
        <w:t xml:space="preserve">: + 30 </w:t>
      </w:r>
      <w:r w:rsidRPr="00BC6736">
        <w:rPr>
          <w:rFonts w:eastAsia="Calibri"/>
          <w:sz w:val="22"/>
          <w:szCs w:val="22"/>
          <w:lang w:val="el-GR" w:eastAsia="zh-CN"/>
        </w:rPr>
        <w:t>21 06549585</w:t>
      </w:r>
      <w:r w:rsidRPr="00BC6736">
        <w:rPr>
          <w:rFonts w:eastAsia="Calibri"/>
          <w:noProof/>
          <w:sz w:val="22"/>
          <w:szCs w:val="22"/>
          <w:lang w:val="el-GR" w:eastAsia="zh-CN"/>
        </w:rPr>
        <w:t xml:space="preserve"> </w:t>
      </w:r>
    </w:p>
    <w:p w:rsidR="00791987" w:rsidRPr="00BC6736" w:rsidRDefault="00791987" w:rsidP="00791987">
      <w:pPr>
        <w:tabs>
          <w:tab w:val="left" w:pos="-720"/>
        </w:tabs>
        <w:suppressAutoHyphens/>
        <w:rPr>
          <w:rFonts w:eastAsia="Calibri"/>
          <w:sz w:val="22"/>
          <w:szCs w:val="22"/>
          <w:lang w:val="el-GR" w:eastAsia="zh-CN"/>
        </w:rPr>
      </w:pPr>
      <w:proofErr w:type="spellStart"/>
      <w:r w:rsidRPr="00BB06F8">
        <w:rPr>
          <w:rFonts w:eastAsia="Calibri"/>
          <w:sz w:val="22"/>
          <w:szCs w:val="20"/>
          <w:lang w:val="el-GR" w:eastAsia="zh-CN"/>
        </w:rPr>
        <w:t>Ιστότοπος</w:t>
      </w:r>
      <w:proofErr w:type="spellEnd"/>
      <w:r w:rsidRPr="00BC6736">
        <w:rPr>
          <w:rFonts w:eastAsia="Calibri"/>
          <w:noProof/>
          <w:sz w:val="22"/>
          <w:szCs w:val="22"/>
          <w:lang w:val="el-GR" w:eastAsia="zh-CN"/>
        </w:rPr>
        <w:t xml:space="preserve">: </w:t>
      </w:r>
      <w:hyperlink r:id="rId8" w:history="1">
        <w:r w:rsidRPr="00BB06F8">
          <w:rPr>
            <w:rFonts w:eastAsia="Calibri"/>
            <w:color w:val="0000FF"/>
            <w:sz w:val="22"/>
            <w:szCs w:val="22"/>
            <w:u w:val="single"/>
            <w:lang w:eastAsia="zh-CN"/>
          </w:rPr>
          <w:t>http</w:t>
        </w:r>
        <w:r w:rsidRPr="00BC6736">
          <w:rPr>
            <w:rFonts w:eastAsia="Calibri"/>
            <w:color w:val="0000FF"/>
            <w:sz w:val="22"/>
            <w:szCs w:val="22"/>
            <w:u w:val="single"/>
            <w:lang w:val="el-GR" w:eastAsia="zh-CN"/>
          </w:rPr>
          <w:t>://</w:t>
        </w:r>
        <w:r w:rsidRPr="00BB06F8">
          <w:rPr>
            <w:rFonts w:eastAsia="Calibri"/>
            <w:color w:val="0000FF"/>
            <w:sz w:val="22"/>
            <w:szCs w:val="22"/>
            <w:u w:val="single"/>
            <w:lang w:eastAsia="zh-CN"/>
          </w:rPr>
          <w:t>www</w:t>
        </w:r>
        <w:r w:rsidRPr="00BC6736">
          <w:rPr>
            <w:rFonts w:eastAsia="Calibri"/>
            <w:color w:val="0000FF"/>
            <w:sz w:val="22"/>
            <w:szCs w:val="22"/>
            <w:u w:val="single"/>
            <w:lang w:val="el-GR" w:eastAsia="zh-CN"/>
          </w:rPr>
          <w:t>.</w:t>
        </w:r>
        <w:proofErr w:type="spellStart"/>
        <w:r w:rsidRPr="00BB06F8">
          <w:rPr>
            <w:rFonts w:eastAsia="Calibri"/>
            <w:color w:val="0000FF"/>
            <w:sz w:val="22"/>
            <w:szCs w:val="22"/>
            <w:u w:val="single"/>
            <w:lang w:eastAsia="zh-CN"/>
          </w:rPr>
          <w:t>eof</w:t>
        </w:r>
        <w:proofErr w:type="spellEnd"/>
        <w:r w:rsidRPr="00BC6736">
          <w:rPr>
            <w:rFonts w:eastAsia="Calibri"/>
            <w:color w:val="0000FF"/>
            <w:sz w:val="22"/>
            <w:szCs w:val="22"/>
            <w:u w:val="single"/>
            <w:lang w:val="el-GR" w:eastAsia="zh-CN"/>
          </w:rPr>
          <w:t>.</w:t>
        </w:r>
        <w:r w:rsidRPr="00BB06F8">
          <w:rPr>
            <w:rFonts w:eastAsia="Calibri"/>
            <w:color w:val="0000FF"/>
            <w:sz w:val="22"/>
            <w:szCs w:val="22"/>
            <w:u w:val="single"/>
            <w:lang w:eastAsia="zh-CN"/>
          </w:rPr>
          <w:t>gr</w:t>
        </w:r>
      </w:hyperlink>
    </w:p>
    <w:p w:rsidR="007D7113" w:rsidRPr="00A66AB5" w:rsidRDefault="007D7113" w:rsidP="007D7113">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b/>
          <w:sz w:val="22"/>
          <w:szCs w:val="22"/>
          <w:lang w:val="el-GR"/>
        </w:rPr>
      </w:pPr>
      <w:r w:rsidRPr="00A66AB5">
        <w:rPr>
          <w:b/>
          <w:sz w:val="22"/>
          <w:szCs w:val="22"/>
          <w:lang w:val="el-GR"/>
        </w:rPr>
        <w:t>4.9</w:t>
      </w:r>
      <w:r w:rsidRPr="00A66AB5">
        <w:rPr>
          <w:b/>
          <w:sz w:val="22"/>
          <w:szCs w:val="22"/>
          <w:lang w:val="el-GR"/>
        </w:rPr>
        <w:tab/>
      </w:r>
      <w:proofErr w:type="spellStart"/>
      <w:r w:rsidRPr="00A66AB5">
        <w:rPr>
          <w:b/>
          <w:sz w:val="22"/>
          <w:szCs w:val="22"/>
          <w:lang w:val="el-GR"/>
        </w:rPr>
        <w:t>Υ</w:t>
      </w:r>
      <w:r w:rsidR="007D7113">
        <w:rPr>
          <w:b/>
          <w:sz w:val="22"/>
          <w:szCs w:val="22"/>
          <w:lang w:val="el-GR"/>
        </w:rPr>
        <w:t>περδοσολογία</w:t>
      </w:r>
      <w:proofErr w:type="spellEnd"/>
    </w:p>
    <w:p w:rsidR="00380EEB" w:rsidRPr="00A66AB5" w:rsidRDefault="00380EEB">
      <w:pPr>
        <w:pStyle w:val="a3"/>
        <w:tabs>
          <w:tab w:val="clear" w:pos="4320"/>
          <w:tab w:val="clear" w:pos="8640"/>
        </w:tabs>
        <w:jc w:val="both"/>
        <w:rPr>
          <w:sz w:val="22"/>
          <w:szCs w:val="22"/>
          <w:lang w:val="el-GR"/>
        </w:rPr>
      </w:pPr>
    </w:p>
    <w:p w:rsidR="002139A4" w:rsidRPr="00A66AB5" w:rsidRDefault="002139A4" w:rsidP="002139A4">
      <w:pPr>
        <w:autoSpaceDE w:val="0"/>
        <w:autoSpaceDN w:val="0"/>
        <w:adjustRightInd w:val="0"/>
        <w:jc w:val="both"/>
        <w:rPr>
          <w:sz w:val="22"/>
          <w:szCs w:val="22"/>
          <w:lang w:val="el-GR"/>
        </w:rPr>
      </w:pPr>
      <w:r w:rsidRPr="00A66AB5">
        <w:rPr>
          <w:sz w:val="22"/>
          <w:szCs w:val="22"/>
          <w:lang w:val="el-GR"/>
        </w:rPr>
        <w:t xml:space="preserve">Γενικά, τα αναφερόμενα σημεία και συμπτώματα ήταν εκείνα που προέκυπταν από την υπερβολή των γνωστών φαρμακολογικών επιδράσεων </w:t>
      </w:r>
      <w:r w:rsidR="00E0305B">
        <w:rPr>
          <w:sz w:val="22"/>
          <w:szCs w:val="22"/>
          <w:lang w:val="el-GR"/>
        </w:rPr>
        <w:t>της δραστικής ουσίας</w:t>
      </w:r>
      <w:r w:rsidRPr="00A66AB5">
        <w:rPr>
          <w:sz w:val="22"/>
          <w:szCs w:val="22"/>
          <w:lang w:val="el-GR"/>
        </w:rPr>
        <w:t>, δηλ. υπνηλία και καταστολή, ταχυκαρδία και υπόταση.</w:t>
      </w:r>
    </w:p>
    <w:p w:rsidR="002139A4" w:rsidRPr="00A66AB5" w:rsidRDefault="002139A4">
      <w:pPr>
        <w:autoSpaceDE w:val="0"/>
        <w:autoSpaceDN w:val="0"/>
        <w:adjustRightInd w:val="0"/>
        <w:jc w:val="both"/>
        <w:rPr>
          <w:sz w:val="22"/>
          <w:szCs w:val="22"/>
          <w:lang w:val="el-GR"/>
        </w:rPr>
      </w:pP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Έχει αναφερθεί θανατηφόρα έκβαση σε κλινικές δοκιμές μετά από οξεία </w:t>
      </w:r>
      <w:proofErr w:type="spellStart"/>
      <w:r w:rsidRPr="00A66AB5">
        <w:rPr>
          <w:sz w:val="22"/>
          <w:szCs w:val="22"/>
          <w:lang w:val="el-GR"/>
        </w:rPr>
        <w:t>υπερδοσολογία</w:t>
      </w:r>
      <w:proofErr w:type="spellEnd"/>
      <w:r w:rsidRPr="00A66AB5">
        <w:rPr>
          <w:sz w:val="22"/>
          <w:szCs w:val="22"/>
          <w:lang w:val="el-GR"/>
        </w:rPr>
        <w:t xml:space="preserve"> σε δόση 13,6 γραμμαρίων και στην εμπειρία μετά την κυκλοφορία στην αγορά σε δόσεις τόσο χαμηλές όσο 6 μόνο γραμμάρια </w:t>
      </w:r>
      <w:proofErr w:type="spellStart"/>
      <w:r w:rsidRPr="00A66AB5">
        <w:rPr>
          <w:sz w:val="22"/>
          <w:szCs w:val="22"/>
          <w:lang w:val="el-GR"/>
        </w:rPr>
        <w:t>κουετιαπίνης</w:t>
      </w:r>
      <w:proofErr w:type="spellEnd"/>
      <w:r w:rsidRPr="00A66AB5">
        <w:rPr>
          <w:sz w:val="22"/>
          <w:szCs w:val="22"/>
          <w:lang w:val="el-GR"/>
        </w:rPr>
        <w:t xml:space="preserve">. Ωστόσο, έχει επίσης αναφερθεί επιβίωση μετά από οξείες </w:t>
      </w:r>
      <w:proofErr w:type="spellStart"/>
      <w:r w:rsidRPr="00A66AB5">
        <w:rPr>
          <w:sz w:val="22"/>
          <w:szCs w:val="22"/>
          <w:lang w:val="el-GR"/>
        </w:rPr>
        <w:t>υπερδοσολογίες</w:t>
      </w:r>
      <w:proofErr w:type="spellEnd"/>
      <w:r w:rsidRPr="00A66AB5">
        <w:rPr>
          <w:sz w:val="22"/>
          <w:szCs w:val="22"/>
          <w:lang w:val="el-GR"/>
        </w:rPr>
        <w:t xml:space="preserve"> με έως και 30 γραμμάρια. </w:t>
      </w:r>
      <w:r w:rsidR="002139A4" w:rsidRPr="00A66AB5">
        <w:rPr>
          <w:sz w:val="22"/>
          <w:szCs w:val="22"/>
          <w:lang w:val="el-GR"/>
        </w:rPr>
        <w:t xml:space="preserve">Στην εμπειρία μετά την κυκλοφορία, έχουν υπάρξει αναφορές </w:t>
      </w:r>
      <w:proofErr w:type="spellStart"/>
      <w:r w:rsidR="002139A4" w:rsidRPr="00A66AB5">
        <w:rPr>
          <w:sz w:val="22"/>
          <w:szCs w:val="22"/>
          <w:lang w:val="el-GR"/>
        </w:rPr>
        <w:t>υπερδοσολογίας</w:t>
      </w:r>
      <w:proofErr w:type="spellEnd"/>
      <w:r w:rsidR="002139A4" w:rsidRPr="00A66AB5">
        <w:rPr>
          <w:sz w:val="22"/>
          <w:szCs w:val="22"/>
          <w:lang w:val="el-GR"/>
        </w:rPr>
        <w:t xml:space="preserve"> μόνο με </w:t>
      </w:r>
      <w:proofErr w:type="spellStart"/>
      <w:r w:rsidR="002139A4" w:rsidRPr="00A66AB5">
        <w:rPr>
          <w:sz w:val="22"/>
          <w:szCs w:val="22"/>
          <w:lang w:val="el-GR"/>
        </w:rPr>
        <w:t>κουετιαπίνη</w:t>
      </w:r>
      <w:proofErr w:type="spellEnd"/>
      <w:r w:rsidR="002139A4" w:rsidRPr="00A66AB5">
        <w:rPr>
          <w:sz w:val="22"/>
          <w:szCs w:val="22"/>
          <w:lang w:val="el-GR"/>
        </w:rPr>
        <w:t xml:space="preserve"> που οδήγησε σε θάνατο ή κώμα.  Επιπλέον, τα παρακάτω συμβάντα έχουν αναφερθεί στην περίπτωση </w:t>
      </w:r>
      <w:proofErr w:type="spellStart"/>
      <w:r w:rsidR="002139A4" w:rsidRPr="00A66AB5">
        <w:rPr>
          <w:sz w:val="22"/>
          <w:szCs w:val="22"/>
          <w:lang w:val="el-GR"/>
        </w:rPr>
        <w:t>υπερδοσολογίας</w:t>
      </w:r>
      <w:proofErr w:type="spellEnd"/>
      <w:r w:rsidR="002139A4" w:rsidRPr="00A66AB5">
        <w:rPr>
          <w:sz w:val="22"/>
          <w:szCs w:val="22"/>
          <w:lang w:val="el-GR"/>
        </w:rPr>
        <w:t xml:space="preserve"> κατά τη </w:t>
      </w:r>
      <w:proofErr w:type="spellStart"/>
      <w:r w:rsidR="002139A4" w:rsidRPr="00A66AB5">
        <w:rPr>
          <w:sz w:val="22"/>
          <w:szCs w:val="22"/>
          <w:lang w:val="el-GR"/>
        </w:rPr>
        <w:t>μονοθεραπεία</w:t>
      </w:r>
      <w:proofErr w:type="spellEnd"/>
      <w:r w:rsidR="002139A4" w:rsidRPr="00A66AB5">
        <w:rPr>
          <w:sz w:val="22"/>
          <w:szCs w:val="22"/>
          <w:lang w:val="el-GR"/>
        </w:rPr>
        <w:t xml:space="preserve"> με </w:t>
      </w:r>
      <w:proofErr w:type="spellStart"/>
      <w:r w:rsidR="002139A4" w:rsidRPr="00A66AB5">
        <w:rPr>
          <w:sz w:val="22"/>
          <w:szCs w:val="22"/>
          <w:lang w:val="el-GR"/>
        </w:rPr>
        <w:t>κουετιαπίνη</w:t>
      </w:r>
      <w:proofErr w:type="spellEnd"/>
      <w:r w:rsidR="002139A4" w:rsidRPr="00A66AB5">
        <w:rPr>
          <w:sz w:val="22"/>
          <w:szCs w:val="22"/>
          <w:lang w:val="el-GR"/>
        </w:rPr>
        <w:t xml:space="preserve">: παράταση του διαστήματος QT, σπασμοί, επιληπτική κατάσταση, </w:t>
      </w:r>
      <w:proofErr w:type="spellStart"/>
      <w:r w:rsidR="002139A4" w:rsidRPr="00A66AB5">
        <w:rPr>
          <w:sz w:val="22"/>
          <w:szCs w:val="22"/>
          <w:lang w:val="el-GR"/>
        </w:rPr>
        <w:t>ραβδομυόλυση</w:t>
      </w:r>
      <w:proofErr w:type="spellEnd"/>
      <w:r w:rsidR="002139A4" w:rsidRPr="00A66AB5">
        <w:rPr>
          <w:sz w:val="22"/>
          <w:szCs w:val="22"/>
          <w:lang w:val="el-GR"/>
        </w:rPr>
        <w:t>, αναπνευστική καταστολή, κατακράτηση ούρων, σύγχυση, παραλήρημα ή/και υπερδιέγερση.</w:t>
      </w:r>
    </w:p>
    <w:p w:rsidR="00380EEB" w:rsidRPr="00A66AB5" w:rsidRDefault="00380EEB">
      <w:pPr>
        <w:autoSpaceDE w:val="0"/>
        <w:autoSpaceDN w:val="0"/>
        <w:adjustRightInd w:val="0"/>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Οι ασθενείς με προϋπάρχουσα βαριά καρδιαγγειακή νόσο ενδέχεται να διατρέχουν αυξημένο κίνδυνο επιδράσεων λόγω </w:t>
      </w:r>
      <w:proofErr w:type="spellStart"/>
      <w:r w:rsidRPr="00A66AB5">
        <w:rPr>
          <w:sz w:val="22"/>
          <w:szCs w:val="22"/>
          <w:lang w:val="el-GR"/>
        </w:rPr>
        <w:t>υπερδοσολογίας</w:t>
      </w:r>
      <w:proofErr w:type="spellEnd"/>
      <w:r w:rsidRPr="00A66AB5">
        <w:rPr>
          <w:sz w:val="22"/>
          <w:szCs w:val="22"/>
          <w:lang w:val="el-GR"/>
        </w:rPr>
        <w:t>. (Βλ. παράγραφο 4.4</w:t>
      </w:r>
      <w:r w:rsidR="007D7113">
        <w:rPr>
          <w:sz w:val="22"/>
          <w:szCs w:val="22"/>
          <w:lang w:val="el-GR"/>
        </w:rPr>
        <w:t xml:space="preserve">: </w:t>
      </w:r>
      <w:r w:rsidR="007D7113" w:rsidRPr="00791987">
        <w:rPr>
          <w:sz w:val="22"/>
          <w:szCs w:val="22"/>
          <w:lang w:val="el-GR"/>
        </w:rPr>
        <w:t>Καρδιαγγειακό σύστημα</w:t>
      </w:r>
      <w:r w:rsidRPr="00A66AB5">
        <w:rPr>
          <w:sz w:val="22"/>
          <w:szCs w:val="22"/>
          <w:lang w:val="el-GR"/>
        </w:rPr>
        <w:t xml:space="preserve">). </w:t>
      </w:r>
    </w:p>
    <w:p w:rsidR="00380EEB" w:rsidRPr="00A66AB5" w:rsidRDefault="00380EEB">
      <w:pPr>
        <w:jc w:val="both"/>
        <w:rPr>
          <w:sz w:val="22"/>
          <w:szCs w:val="22"/>
          <w:lang w:val="el-GR"/>
        </w:rPr>
      </w:pPr>
    </w:p>
    <w:p w:rsidR="00380EEB" w:rsidRPr="00A66AB5" w:rsidRDefault="002139A4" w:rsidP="00A66AB5">
      <w:pPr>
        <w:jc w:val="both"/>
        <w:rPr>
          <w:sz w:val="22"/>
          <w:szCs w:val="22"/>
          <w:lang w:val="el-GR"/>
        </w:rPr>
      </w:pPr>
      <w:r w:rsidRPr="00A66AB5">
        <w:rPr>
          <w:b/>
          <w:sz w:val="22"/>
          <w:szCs w:val="22"/>
          <w:lang w:val="el-GR"/>
        </w:rPr>
        <w:t xml:space="preserve">Αντιμετώπιση </w:t>
      </w:r>
      <w:proofErr w:type="spellStart"/>
      <w:r w:rsidRPr="00A66AB5">
        <w:rPr>
          <w:b/>
          <w:sz w:val="22"/>
          <w:szCs w:val="22"/>
          <w:lang w:val="el-GR"/>
        </w:rPr>
        <w:t>υπερδοσολογίας</w:t>
      </w:r>
      <w:proofErr w:type="spellEnd"/>
    </w:p>
    <w:p w:rsidR="007D7113" w:rsidRDefault="007D7113">
      <w:pPr>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Δεν υπάρχει συγκεκριμένο αντίδοτο στην </w:t>
      </w:r>
      <w:proofErr w:type="spellStart"/>
      <w:r w:rsidRPr="00A66AB5">
        <w:rPr>
          <w:sz w:val="22"/>
          <w:szCs w:val="22"/>
          <w:lang w:val="el-GR"/>
        </w:rPr>
        <w:t>κουετιαπίνη</w:t>
      </w:r>
      <w:proofErr w:type="spellEnd"/>
      <w:r w:rsidRPr="00A66AB5">
        <w:rPr>
          <w:sz w:val="22"/>
          <w:szCs w:val="22"/>
          <w:lang w:val="el-GR"/>
        </w:rPr>
        <w:t xml:space="preserve">. Σε περίπτωση σοβαρών σημείων, θα πρέπει να εξετάζεται η πιθανότητα συμμετοχής πολλών φαρμάκων και συνιστώνται διαδικασίες </w:t>
      </w:r>
      <w:r w:rsidR="00336C03" w:rsidRPr="00A66AB5">
        <w:rPr>
          <w:sz w:val="22"/>
          <w:szCs w:val="22"/>
          <w:lang w:val="el-GR"/>
        </w:rPr>
        <w:t xml:space="preserve">εντατικής </w:t>
      </w:r>
      <w:r w:rsidRPr="00A66AB5">
        <w:rPr>
          <w:sz w:val="22"/>
          <w:szCs w:val="22"/>
          <w:lang w:val="el-GR"/>
        </w:rPr>
        <w:t xml:space="preserve">περίθαλψης, συμπεριλαμβανομένης της εδραίωσης και διατήρησης βατού αεραγωγού, διασφαλίζοντας επαρκή οξυγόνωση και αερισμό, καθώς και της παρακολούθησης και υποστήριξης του καρδιαγγειακού συστήματος. Ενώ δεν έχει διερευνηθεί η πρόληψη της απορρόφησης σε περίπτωση </w:t>
      </w:r>
      <w:proofErr w:type="spellStart"/>
      <w:r w:rsidRPr="00A66AB5">
        <w:rPr>
          <w:sz w:val="22"/>
          <w:szCs w:val="22"/>
          <w:lang w:val="el-GR"/>
        </w:rPr>
        <w:t>υπερδοσολογίας</w:t>
      </w:r>
      <w:proofErr w:type="spellEnd"/>
      <w:r w:rsidRPr="00A66AB5">
        <w:rPr>
          <w:sz w:val="22"/>
          <w:szCs w:val="22"/>
          <w:lang w:val="el-GR"/>
        </w:rPr>
        <w:t>, θα πρέπει να εξετάζεται το ενδεχόμενο γαστρικών πλύσεων (μετά από διασωλήνωση, εάν ο ασθενής δεν έχει τις αισθήσεις του) και η χορήγηση ενεργού άνθρακα.</w:t>
      </w:r>
      <w:r w:rsidRPr="00A66AB5">
        <w:rPr>
          <w:sz w:val="22"/>
          <w:szCs w:val="22"/>
          <w:lang w:val="el-GR"/>
        </w:rPr>
        <w:tab/>
      </w:r>
    </w:p>
    <w:p w:rsidR="00380EEB" w:rsidRPr="00A66AB5" w:rsidRDefault="00380EEB">
      <w:pPr>
        <w:tabs>
          <w:tab w:val="left" w:pos="0"/>
          <w:tab w:val="left" w:pos="8496"/>
        </w:tabs>
        <w:suppressAutoHyphens/>
        <w:ind w:hanging="567"/>
        <w:jc w:val="both"/>
        <w:rPr>
          <w:sz w:val="22"/>
          <w:szCs w:val="22"/>
          <w:lang w:val="el-GR"/>
        </w:rPr>
      </w:pPr>
    </w:p>
    <w:p w:rsidR="002139A4" w:rsidRPr="00A66AB5" w:rsidRDefault="002139A4">
      <w:pPr>
        <w:jc w:val="both"/>
        <w:rPr>
          <w:sz w:val="22"/>
          <w:szCs w:val="22"/>
          <w:lang w:val="el-GR"/>
        </w:rPr>
      </w:pPr>
      <w:r w:rsidRPr="00A66AB5">
        <w:rPr>
          <w:sz w:val="22"/>
          <w:szCs w:val="22"/>
          <w:lang w:val="el-GR"/>
        </w:rPr>
        <w:lastRenderedPageBreak/>
        <w:t xml:space="preserve">Σε περιπτώσεις </w:t>
      </w:r>
      <w:proofErr w:type="spellStart"/>
      <w:r w:rsidRPr="00A66AB5">
        <w:rPr>
          <w:sz w:val="22"/>
          <w:szCs w:val="22"/>
          <w:lang w:val="el-GR"/>
        </w:rPr>
        <w:t>υπερδοσολογίας</w:t>
      </w:r>
      <w:proofErr w:type="spellEnd"/>
      <w:r w:rsidR="007D7113">
        <w:rPr>
          <w:sz w:val="22"/>
          <w:szCs w:val="22"/>
          <w:lang w:val="el-GR"/>
        </w:rPr>
        <w:t>,</w:t>
      </w:r>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η ανθεκτική υπόταση θα πρέπει να αντιμετωπίζεται με τη λήψη κατάλληλων μέτρων, όπως με ενδοφλέβια υγρά ή/και συμπαθητικομιμητικούς παράγοντες</w:t>
      </w:r>
      <w:r w:rsidR="00E0305B">
        <w:rPr>
          <w:sz w:val="22"/>
          <w:szCs w:val="22"/>
          <w:lang w:val="el-GR"/>
        </w:rPr>
        <w:t>.</w:t>
      </w:r>
      <w:r w:rsidRPr="00A66AB5">
        <w:rPr>
          <w:sz w:val="22"/>
          <w:szCs w:val="22"/>
          <w:lang w:val="el-GR"/>
        </w:rPr>
        <w:t xml:space="preserve"> </w:t>
      </w:r>
      <w:r w:rsidR="00E0305B">
        <w:rPr>
          <w:sz w:val="22"/>
          <w:szCs w:val="22"/>
          <w:lang w:val="el-GR"/>
        </w:rPr>
        <w:t>Η</w:t>
      </w:r>
      <w:r w:rsidRPr="00A66AB5">
        <w:rPr>
          <w:sz w:val="22"/>
          <w:szCs w:val="22"/>
          <w:lang w:val="el-GR"/>
        </w:rPr>
        <w:t xml:space="preserve"> χρήση </w:t>
      </w:r>
      <w:proofErr w:type="spellStart"/>
      <w:r w:rsidRPr="00A66AB5">
        <w:rPr>
          <w:sz w:val="22"/>
          <w:szCs w:val="22"/>
          <w:lang w:val="el-GR"/>
        </w:rPr>
        <w:t>επινεφρίνης</w:t>
      </w:r>
      <w:proofErr w:type="spellEnd"/>
      <w:r w:rsidRPr="00A66AB5">
        <w:rPr>
          <w:sz w:val="22"/>
          <w:szCs w:val="22"/>
          <w:lang w:val="el-GR"/>
        </w:rPr>
        <w:t xml:space="preserve"> και </w:t>
      </w:r>
      <w:proofErr w:type="spellStart"/>
      <w:r w:rsidRPr="00A66AB5">
        <w:rPr>
          <w:sz w:val="22"/>
          <w:szCs w:val="22"/>
          <w:lang w:val="el-GR"/>
        </w:rPr>
        <w:t>ντοπαμίνης</w:t>
      </w:r>
      <w:proofErr w:type="spellEnd"/>
      <w:r w:rsidRPr="00A66AB5">
        <w:rPr>
          <w:sz w:val="22"/>
          <w:szCs w:val="22"/>
          <w:lang w:val="el-GR"/>
        </w:rPr>
        <w:t xml:space="preserve"> θα πρέπει να αποφεύγεται, καθώς η διέγερση των βήτα υποδοχέων μπορεί να επιδεινώσει την υπόταση στην περίπτωση αποκλεισμού α-υποδοχέων, επαγόμενου από </w:t>
      </w:r>
      <w:proofErr w:type="spellStart"/>
      <w:r w:rsidRPr="00A66AB5">
        <w:rPr>
          <w:sz w:val="22"/>
          <w:szCs w:val="22"/>
          <w:lang w:val="el-GR"/>
        </w:rPr>
        <w:t>κουετιαπίνη</w:t>
      </w:r>
      <w:proofErr w:type="spellEnd"/>
      <w:r w:rsidRPr="00A66AB5">
        <w:rPr>
          <w:sz w:val="22"/>
          <w:szCs w:val="22"/>
          <w:lang w:val="el-GR"/>
        </w:rPr>
        <w:t>.</w:t>
      </w:r>
    </w:p>
    <w:p w:rsidR="002139A4" w:rsidRPr="00A66AB5" w:rsidRDefault="002139A4">
      <w:pPr>
        <w:jc w:val="both"/>
        <w:rPr>
          <w:sz w:val="22"/>
          <w:szCs w:val="22"/>
          <w:lang w:val="el-GR"/>
        </w:rPr>
      </w:pPr>
    </w:p>
    <w:p w:rsidR="00380EEB" w:rsidRPr="00A66AB5" w:rsidRDefault="00380EEB">
      <w:pPr>
        <w:jc w:val="both"/>
        <w:rPr>
          <w:sz w:val="22"/>
          <w:szCs w:val="22"/>
          <w:lang w:val="el-GR"/>
        </w:rPr>
      </w:pPr>
      <w:r w:rsidRPr="00A66AB5">
        <w:rPr>
          <w:sz w:val="22"/>
          <w:szCs w:val="22"/>
          <w:lang w:val="el-GR"/>
        </w:rPr>
        <w:t>Θα πρέπει να συνεχίζεται η στενή ιατρική επίβλεψη και η παρακολούθηση μέχρι να αναρρώσει ο ασθενής.</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numPr>
          <w:ilvl w:val="0"/>
          <w:numId w:val="4"/>
        </w:numPr>
        <w:tabs>
          <w:tab w:val="clear" w:pos="4320"/>
          <w:tab w:val="clear" w:pos="8640"/>
        </w:tabs>
        <w:jc w:val="both"/>
        <w:rPr>
          <w:b/>
          <w:sz w:val="22"/>
          <w:szCs w:val="22"/>
        </w:rPr>
      </w:pPr>
      <w:r w:rsidRPr="00A66AB5">
        <w:rPr>
          <w:b/>
          <w:sz w:val="22"/>
          <w:szCs w:val="22"/>
          <w:lang w:val="el-GR"/>
        </w:rPr>
        <w:t xml:space="preserve"> </w:t>
      </w:r>
      <w:r w:rsidRPr="00A66AB5">
        <w:rPr>
          <w:b/>
          <w:sz w:val="22"/>
          <w:szCs w:val="22"/>
          <w:lang w:val="el-GR"/>
        </w:rPr>
        <w:tab/>
        <w:t>ΦΑΡΜΑΚΟΛΟΓΙΚΕΣ ΙΔΙΟΤΗΤΕΣ</w:t>
      </w:r>
    </w:p>
    <w:p w:rsidR="00380EEB" w:rsidRPr="00A66AB5" w:rsidRDefault="00380EEB">
      <w:pPr>
        <w:pStyle w:val="a3"/>
        <w:tabs>
          <w:tab w:val="clear" w:pos="4320"/>
          <w:tab w:val="clear" w:pos="8640"/>
        </w:tabs>
        <w:jc w:val="both"/>
        <w:rPr>
          <w:b/>
          <w:sz w:val="22"/>
          <w:szCs w:val="22"/>
        </w:rPr>
      </w:pPr>
    </w:p>
    <w:p w:rsidR="00380EEB" w:rsidRPr="00A66AB5" w:rsidRDefault="00380EEB">
      <w:pPr>
        <w:pStyle w:val="a3"/>
        <w:numPr>
          <w:ilvl w:val="1"/>
          <w:numId w:val="7"/>
        </w:numPr>
        <w:tabs>
          <w:tab w:val="clear" w:pos="4320"/>
          <w:tab w:val="clear" w:pos="8640"/>
        </w:tabs>
        <w:jc w:val="both"/>
        <w:rPr>
          <w:b/>
          <w:sz w:val="22"/>
          <w:szCs w:val="22"/>
        </w:rPr>
      </w:pPr>
      <w:r w:rsidRPr="00A66AB5">
        <w:rPr>
          <w:b/>
          <w:sz w:val="22"/>
          <w:szCs w:val="22"/>
          <w:lang w:val="el-GR"/>
        </w:rPr>
        <w:t>Φ</w:t>
      </w:r>
      <w:r w:rsidR="007D7113">
        <w:rPr>
          <w:b/>
          <w:sz w:val="22"/>
          <w:szCs w:val="22"/>
          <w:lang w:val="el-GR"/>
        </w:rPr>
        <w:t>αρμακοδυναμικές ιδιότητες</w:t>
      </w:r>
    </w:p>
    <w:p w:rsidR="00380EEB" w:rsidRPr="00A66AB5" w:rsidRDefault="00380EEB">
      <w:pPr>
        <w:pStyle w:val="a3"/>
        <w:tabs>
          <w:tab w:val="clear" w:pos="4320"/>
          <w:tab w:val="clear" w:pos="8640"/>
        </w:tabs>
        <w:jc w:val="both"/>
        <w:rPr>
          <w:b/>
          <w:sz w:val="22"/>
          <w:szCs w:val="22"/>
        </w:rPr>
      </w:pPr>
    </w:p>
    <w:p w:rsidR="00380EEB" w:rsidRPr="00A66AB5" w:rsidRDefault="00380EEB">
      <w:pPr>
        <w:rPr>
          <w:sz w:val="22"/>
          <w:szCs w:val="22"/>
          <w:lang w:val="el-GR"/>
        </w:rPr>
      </w:pPr>
      <w:proofErr w:type="spellStart"/>
      <w:r w:rsidRPr="00A66AB5">
        <w:rPr>
          <w:b/>
          <w:sz w:val="22"/>
          <w:szCs w:val="22"/>
          <w:lang w:val="el-GR"/>
        </w:rPr>
        <w:t>Φαρμακοθεραπευτική</w:t>
      </w:r>
      <w:proofErr w:type="spellEnd"/>
      <w:r w:rsidRPr="00A66AB5">
        <w:rPr>
          <w:b/>
          <w:sz w:val="22"/>
          <w:szCs w:val="22"/>
          <w:lang w:val="el-GR"/>
        </w:rPr>
        <w:t xml:space="preserve"> κατηγορία: </w:t>
      </w:r>
      <w:proofErr w:type="spellStart"/>
      <w:r w:rsidRPr="00A66AB5">
        <w:rPr>
          <w:sz w:val="22"/>
          <w:szCs w:val="22"/>
          <w:lang w:val="el-GR"/>
        </w:rPr>
        <w:t>Αντιψυχωσικά</w:t>
      </w:r>
      <w:proofErr w:type="spellEnd"/>
      <w:r w:rsidRPr="00A66AB5">
        <w:rPr>
          <w:sz w:val="22"/>
          <w:szCs w:val="22"/>
          <w:lang w:val="el-GR"/>
        </w:rPr>
        <w:t xml:space="preserve">, </w:t>
      </w:r>
      <w:proofErr w:type="spellStart"/>
      <w:r w:rsidRPr="00A66AB5">
        <w:rPr>
          <w:sz w:val="22"/>
          <w:szCs w:val="22"/>
          <w:lang w:val="el-GR"/>
        </w:rPr>
        <w:t>διαζεπίνες</w:t>
      </w:r>
      <w:proofErr w:type="spellEnd"/>
      <w:r w:rsidRPr="00A66AB5">
        <w:rPr>
          <w:sz w:val="22"/>
          <w:szCs w:val="22"/>
          <w:lang w:val="el-GR"/>
        </w:rPr>
        <w:t xml:space="preserve">, </w:t>
      </w:r>
      <w:proofErr w:type="spellStart"/>
      <w:r w:rsidRPr="00A66AB5">
        <w:rPr>
          <w:sz w:val="22"/>
          <w:szCs w:val="22"/>
          <w:lang w:val="el-GR"/>
        </w:rPr>
        <w:t>οξαζεπίνες</w:t>
      </w:r>
      <w:proofErr w:type="spellEnd"/>
      <w:r w:rsidRPr="00A66AB5">
        <w:rPr>
          <w:sz w:val="22"/>
          <w:szCs w:val="22"/>
          <w:lang w:val="el-GR"/>
        </w:rPr>
        <w:t xml:space="preserve"> και </w:t>
      </w:r>
      <w:proofErr w:type="spellStart"/>
      <w:r w:rsidRPr="00A66AB5">
        <w:rPr>
          <w:sz w:val="22"/>
          <w:szCs w:val="22"/>
          <w:lang w:val="el-GR"/>
        </w:rPr>
        <w:t>θειαζεπίνες</w:t>
      </w:r>
      <w:proofErr w:type="spellEnd"/>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 xml:space="preserve">Κωδικός </w:t>
      </w:r>
      <w:r w:rsidRPr="00A66AB5">
        <w:rPr>
          <w:b/>
          <w:sz w:val="22"/>
          <w:szCs w:val="22"/>
        </w:rPr>
        <w:t>ATC</w:t>
      </w:r>
      <w:r w:rsidRPr="00A66AB5">
        <w:rPr>
          <w:b/>
          <w:sz w:val="22"/>
          <w:szCs w:val="22"/>
          <w:lang w:val="el-GR"/>
        </w:rPr>
        <w:t xml:space="preserve">: </w:t>
      </w:r>
      <w:r w:rsidRPr="00A66AB5">
        <w:rPr>
          <w:sz w:val="22"/>
          <w:szCs w:val="22"/>
        </w:rPr>
        <w:t>N</w:t>
      </w:r>
      <w:r w:rsidRPr="00A66AB5">
        <w:rPr>
          <w:sz w:val="22"/>
          <w:szCs w:val="22"/>
          <w:lang w:val="el-GR"/>
        </w:rPr>
        <w:t>05</w:t>
      </w:r>
      <w:r w:rsidRPr="00A66AB5">
        <w:rPr>
          <w:sz w:val="22"/>
          <w:szCs w:val="22"/>
        </w:rPr>
        <w:t>A</w:t>
      </w:r>
      <w:r w:rsidRPr="00A66AB5">
        <w:rPr>
          <w:sz w:val="22"/>
          <w:szCs w:val="22"/>
          <w:lang w:val="el-GR"/>
        </w:rPr>
        <w:t xml:space="preserve"> </w:t>
      </w:r>
      <w:r w:rsidRPr="00A66AB5">
        <w:rPr>
          <w:sz w:val="22"/>
          <w:szCs w:val="22"/>
        </w:rPr>
        <w:t>H</w:t>
      </w:r>
      <w:r w:rsidRPr="00A66AB5">
        <w:rPr>
          <w:sz w:val="22"/>
          <w:szCs w:val="22"/>
          <w:lang w:val="el-GR"/>
        </w:rPr>
        <w:t>04</w:t>
      </w:r>
      <w:r w:rsidRPr="00A66AB5">
        <w:rPr>
          <w:b/>
          <w:sz w:val="22"/>
          <w:szCs w:val="22"/>
          <w:lang w:val="el-GR"/>
        </w:rPr>
        <w:tab/>
      </w:r>
    </w:p>
    <w:p w:rsidR="00380EEB" w:rsidRPr="00A66AB5" w:rsidRDefault="00380EEB">
      <w:pPr>
        <w:pStyle w:val="a3"/>
        <w:tabs>
          <w:tab w:val="clear" w:pos="4320"/>
          <w:tab w:val="clear" w:pos="8640"/>
        </w:tabs>
        <w:jc w:val="both"/>
        <w:rPr>
          <w:b/>
          <w:sz w:val="22"/>
          <w:szCs w:val="22"/>
          <w:lang w:val="el-GR"/>
        </w:rPr>
      </w:pPr>
    </w:p>
    <w:p w:rsidR="00380EEB" w:rsidRPr="00D15B02" w:rsidRDefault="00380EEB">
      <w:pPr>
        <w:pStyle w:val="a3"/>
        <w:tabs>
          <w:tab w:val="clear" w:pos="4320"/>
          <w:tab w:val="clear" w:pos="8640"/>
        </w:tabs>
        <w:jc w:val="both"/>
        <w:rPr>
          <w:b/>
          <w:sz w:val="22"/>
          <w:szCs w:val="22"/>
          <w:lang w:val="el-GR"/>
        </w:rPr>
      </w:pPr>
      <w:r w:rsidRPr="00791987">
        <w:rPr>
          <w:b/>
          <w:sz w:val="22"/>
          <w:szCs w:val="22"/>
          <w:lang w:val="el-GR"/>
        </w:rPr>
        <w:t>Μηχανισμός δράσης</w:t>
      </w:r>
      <w:r w:rsidR="007D7113" w:rsidRPr="00791987">
        <w:rPr>
          <w:b/>
          <w:sz w:val="22"/>
          <w:szCs w:val="22"/>
          <w:lang w:val="el-GR"/>
        </w:rPr>
        <w:t>:</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Η </w:t>
      </w:r>
      <w:proofErr w:type="spellStart"/>
      <w:r w:rsidRPr="00A66AB5">
        <w:rPr>
          <w:sz w:val="22"/>
          <w:szCs w:val="22"/>
          <w:lang w:val="el-GR"/>
        </w:rPr>
        <w:t>κουετιαπίνη</w:t>
      </w:r>
      <w:proofErr w:type="spellEnd"/>
      <w:r w:rsidRPr="00A66AB5">
        <w:rPr>
          <w:sz w:val="22"/>
          <w:szCs w:val="22"/>
          <w:lang w:val="el-GR"/>
        </w:rPr>
        <w:t xml:space="preserve"> είναι ένας άτυπος </w:t>
      </w:r>
      <w:proofErr w:type="spellStart"/>
      <w:r w:rsidRPr="00A66AB5">
        <w:rPr>
          <w:sz w:val="22"/>
          <w:szCs w:val="22"/>
          <w:lang w:val="el-GR"/>
        </w:rPr>
        <w:t>αντιψυχωσικός</w:t>
      </w:r>
      <w:proofErr w:type="spellEnd"/>
      <w:r w:rsidRPr="00A66AB5">
        <w:rPr>
          <w:sz w:val="22"/>
          <w:szCs w:val="22"/>
          <w:lang w:val="el-GR"/>
        </w:rPr>
        <w:t xml:space="preserve"> παράγοντας. Η </w:t>
      </w:r>
      <w:proofErr w:type="spellStart"/>
      <w:r w:rsidRPr="00A66AB5">
        <w:rPr>
          <w:sz w:val="22"/>
          <w:szCs w:val="22"/>
          <w:lang w:val="el-GR"/>
        </w:rPr>
        <w:t>κουετιαπίνη</w:t>
      </w:r>
      <w:proofErr w:type="spellEnd"/>
      <w:r w:rsidRPr="00A66AB5">
        <w:rPr>
          <w:sz w:val="22"/>
          <w:szCs w:val="22"/>
          <w:lang w:val="el-GR"/>
        </w:rPr>
        <w:t xml:space="preserve"> και ο δραστικός ανθρώπινος μεταβολίτης στο πλάσμα, </w:t>
      </w:r>
      <w:proofErr w:type="spellStart"/>
      <w:r w:rsidR="001F7643" w:rsidRPr="00A66AB5">
        <w:rPr>
          <w:sz w:val="22"/>
          <w:szCs w:val="22"/>
          <w:lang w:val="el-GR"/>
        </w:rPr>
        <w:t>νορ</w:t>
      </w:r>
      <w:r w:rsidRPr="00A66AB5">
        <w:rPr>
          <w:sz w:val="22"/>
          <w:szCs w:val="22"/>
          <w:lang w:val="el-GR"/>
        </w:rPr>
        <w:t>κουετιαπίνη</w:t>
      </w:r>
      <w:proofErr w:type="spellEnd"/>
      <w:r w:rsidRPr="00A66AB5">
        <w:rPr>
          <w:sz w:val="22"/>
          <w:szCs w:val="22"/>
          <w:lang w:val="el-GR"/>
        </w:rPr>
        <w:t xml:space="preserve"> αλληλεπιδρούν με ευρύ φάσμα υποδοχέων νευροδιαβιβαστών. Η </w:t>
      </w:r>
      <w:proofErr w:type="spellStart"/>
      <w:r w:rsidRPr="00A66AB5">
        <w:rPr>
          <w:sz w:val="22"/>
          <w:szCs w:val="22"/>
          <w:lang w:val="el-GR"/>
        </w:rPr>
        <w:t>κουετιαπίνη</w:t>
      </w:r>
      <w:proofErr w:type="spellEnd"/>
      <w:r w:rsidRPr="00A66AB5">
        <w:rPr>
          <w:sz w:val="22"/>
          <w:szCs w:val="22"/>
          <w:lang w:val="el-GR"/>
        </w:rPr>
        <w:t xml:space="preserve"> και η </w:t>
      </w:r>
      <w:proofErr w:type="spellStart"/>
      <w:r w:rsidR="001F7643" w:rsidRPr="00A66AB5">
        <w:rPr>
          <w:sz w:val="22"/>
          <w:szCs w:val="22"/>
          <w:lang w:val="el-GR"/>
        </w:rPr>
        <w:t>νορ</w:t>
      </w:r>
      <w:r w:rsidRPr="00A66AB5">
        <w:rPr>
          <w:sz w:val="22"/>
          <w:szCs w:val="22"/>
          <w:lang w:val="el-GR"/>
        </w:rPr>
        <w:t>κουετιαπίνη</w:t>
      </w:r>
      <w:proofErr w:type="spellEnd"/>
      <w:r w:rsidRPr="00A66AB5">
        <w:rPr>
          <w:sz w:val="22"/>
          <w:szCs w:val="22"/>
          <w:lang w:val="el-GR"/>
        </w:rPr>
        <w:t xml:space="preserve"> εμφανίζουν συγγένεια για τους υποδοχείς </w:t>
      </w:r>
      <w:proofErr w:type="spellStart"/>
      <w:r w:rsidRPr="00A66AB5">
        <w:rPr>
          <w:sz w:val="22"/>
          <w:szCs w:val="22"/>
          <w:lang w:val="el-GR"/>
        </w:rPr>
        <w:t>σεροτονίνης</w:t>
      </w:r>
      <w:proofErr w:type="spellEnd"/>
      <w:r w:rsidRPr="00A66AB5">
        <w:rPr>
          <w:sz w:val="22"/>
          <w:szCs w:val="22"/>
          <w:lang w:val="el-GR"/>
        </w:rPr>
        <w:t xml:space="preserve"> (5</w:t>
      </w:r>
      <w:r w:rsidRPr="00A66AB5">
        <w:rPr>
          <w:sz w:val="22"/>
          <w:szCs w:val="22"/>
        </w:rPr>
        <w:t>HT</w:t>
      </w:r>
      <w:r w:rsidRPr="00BD3BEF">
        <w:rPr>
          <w:sz w:val="22"/>
          <w:szCs w:val="22"/>
          <w:vertAlign w:val="subscript"/>
          <w:lang w:val="el-GR"/>
        </w:rPr>
        <w:t>2</w:t>
      </w:r>
      <w:r w:rsidRPr="00A66AB5">
        <w:rPr>
          <w:sz w:val="22"/>
          <w:szCs w:val="22"/>
          <w:lang w:val="el-GR"/>
        </w:rPr>
        <w:t xml:space="preserve">) και </w:t>
      </w:r>
      <w:proofErr w:type="spellStart"/>
      <w:r w:rsidRPr="00A66AB5">
        <w:rPr>
          <w:sz w:val="22"/>
          <w:szCs w:val="22"/>
          <w:lang w:val="el-GR"/>
        </w:rPr>
        <w:t>ντοπαμίνης</w:t>
      </w:r>
      <w:proofErr w:type="spellEnd"/>
      <w:r w:rsidRPr="00A66AB5">
        <w:rPr>
          <w:sz w:val="22"/>
          <w:szCs w:val="22"/>
          <w:lang w:val="el-GR"/>
        </w:rPr>
        <w:t xml:space="preserve"> </w:t>
      </w:r>
      <w:r w:rsidRPr="00A66AB5">
        <w:rPr>
          <w:sz w:val="22"/>
          <w:szCs w:val="22"/>
        </w:rPr>
        <w:t>D</w:t>
      </w:r>
      <w:r w:rsidRPr="00791987">
        <w:rPr>
          <w:sz w:val="22"/>
          <w:szCs w:val="22"/>
          <w:vertAlign w:val="subscript"/>
          <w:lang w:val="el-GR"/>
        </w:rPr>
        <w:t>1</w:t>
      </w:r>
      <w:r w:rsidRPr="00A66AB5">
        <w:rPr>
          <w:sz w:val="22"/>
          <w:szCs w:val="22"/>
          <w:lang w:val="el-GR"/>
        </w:rPr>
        <w:t xml:space="preserve"> και </w:t>
      </w:r>
      <w:r w:rsidRPr="00A66AB5">
        <w:rPr>
          <w:sz w:val="22"/>
          <w:szCs w:val="22"/>
        </w:rPr>
        <w:t>D</w:t>
      </w:r>
      <w:r w:rsidRPr="00791987">
        <w:rPr>
          <w:sz w:val="22"/>
          <w:szCs w:val="22"/>
          <w:vertAlign w:val="subscript"/>
          <w:lang w:val="el-GR"/>
        </w:rPr>
        <w:t>2</w:t>
      </w:r>
      <w:r w:rsidRPr="00A66AB5">
        <w:rPr>
          <w:sz w:val="22"/>
          <w:szCs w:val="22"/>
          <w:lang w:val="el-GR"/>
        </w:rPr>
        <w:t xml:space="preserve"> στον εγκέφαλο. Αυτός ο συνδυασμός ανταγωνισμού υποδοχέων με υψηλότερη εκλεκτικότητα για την 5HT</w:t>
      </w:r>
      <w:r w:rsidRPr="00BD3BEF">
        <w:rPr>
          <w:sz w:val="22"/>
          <w:szCs w:val="22"/>
          <w:vertAlign w:val="subscript"/>
          <w:lang w:val="el-GR"/>
        </w:rPr>
        <w:t>2</w:t>
      </w:r>
      <w:r w:rsidRPr="00A66AB5">
        <w:rPr>
          <w:sz w:val="22"/>
          <w:szCs w:val="22"/>
          <w:lang w:val="el-GR"/>
        </w:rPr>
        <w:t xml:space="preserve"> σε σχέση με τους D</w:t>
      </w:r>
      <w:r w:rsidRPr="00791987">
        <w:rPr>
          <w:sz w:val="22"/>
          <w:szCs w:val="22"/>
          <w:vertAlign w:val="subscript"/>
          <w:lang w:val="el-GR"/>
        </w:rPr>
        <w:t>2</w:t>
      </w:r>
      <w:r w:rsidRPr="00A66AB5">
        <w:rPr>
          <w:sz w:val="22"/>
          <w:szCs w:val="22"/>
          <w:lang w:val="el-GR"/>
        </w:rPr>
        <w:t xml:space="preserve"> υποδοχείς θεωρείται ότι συμβάλλει στις κλινικές </w:t>
      </w:r>
      <w:proofErr w:type="spellStart"/>
      <w:r w:rsidRPr="00A66AB5">
        <w:rPr>
          <w:sz w:val="22"/>
          <w:szCs w:val="22"/>
          <w:lang w:val="el-GR"/>
        </w:rPr>
        <w:t>αντιψυχωσικές</w:t>
      </w:r>
      <w:proofErr w:type="spellEnd"/>
      <w:r w:rsidRPr="00A66AB5">
        <w:rPr>
          <w:sz w:val="22"/>
          <w:szCs w:val="22"/>
          <w:lang w:val="el-GR"/>
        </w:rPr>
        <w:t xml:space="preserve"> ιδιότητες και στην χαμηλή προδιάθεση εμφάνισης </w:t>
      </w:r>
      <w:proofErr w:type="spellStart"/>
      <w:r w:rsidRPr="00A66AB5">
        <w:rPr>
          <w:sz w:val="22"/>
          <w:szCs w:val="22"/>
          <w:lang w:val="el-GR"/>
        </w:rPr>
        <w:t>εξωπυραμιδικών</w:t>
      </w:r>
      <w:proofErr w:type="spellEnd"/>
      <w:r w:rsidRPr="00A66AB5">
        <w:rPr>
          <w:sz w:val="22"/>
          <w:szCs w:val="22"/>
          <w:lang w:val="el-GR"/>
        </w:rPr>
        <w:t xml:space="preserve"> ανεπιθύμητων ενεργειών (ΕΠΣ) </w:t>
      </w:r>
      <w:r w:rsidR="007D7113">
        <w:rPr>
          <w:sz w:val="22"/>
          <w:szCs w:val="22"/>
          <w:lang w:val="el-GR"/>
        </w:rPr>
        <w:t xml:space="preserve">του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7D7113" w:rsidRPr="00791987">
        <w:rPr>
          <w:sz w:val="22"/>
          <w:szCs w:val="22"/>
          <w:lang w:val="el-GR"/>
        </w:rPr>
        <w:t xml:space="preserve">50 </w:t>
      </w:r>
      <w:r w:rsidR="007D7113" w:rsidRPr="007D7113">
        <w:rPr>
          <w:sz w:val="22"/>
          <w:szCs w:val="22"/>
        </w:rPr>
        <w:t>mg</w:t>
      </w:r>
      <w:r w:rsidR="007D7113" w:rsidRPr="00791987">
        <w:rPr>
          <w:sz w:val="22"/>
          <w:szCs w:val="22"/>
          <w:lang w:val="el-GR"/>
        </w:rPr>
        <w:t xml:space="preserve"> / 200 </w:t>
      </w:r>
      <w:r w:rsidR="007D7113" w:rsidRPr="007D7113">
        <w:rPr>
          <w:sz w:val="22"/>
          <w:szCs w:val="22"/>
        </w:rPr>
        <w:t>mg</w:t>
      </w:r>
      <w:r w:rsidR="007D7113" w:rsidRPr="00791987">
        <w:rPr>
          <w:sz w:val="22"/>
          <w:szCs w:val="22"/>
          <w:lang w:val="el-GR"/>
        </w:rPr>
        <w:t xml:space="preserve"> / 300 </w:t>
      </w:r>
      <w:r w:rsidR="007D7113" w:rsidRPr="007D7113">
        <w:rPr>
          <w:sz w:val="22"/>
          <w:szCs w:val="22"/>
        </w:rPr>
        <w:t>mg</w:t>
      </w:r>
      <w:r w:rsidR="007D7113" w:rsidRPr="00791987">
        <w:rPr>
          <w:sz w:val="22"/>
          <w:szCs w:val="22"/>
          <w:lang w:val="el-GR"/>
        </w:rPr>
        <w:t xml:space="preserve"> / 400 </w:t>
      </w:r>
      <w:r w:rsidR="007D7113" w:rsidRPr="007D7113">
        <w:rPr>
          <w:sz w:val="22"/>
          <w:szCs w:val="22"/>
        </w:rPr>
        <w:t>mg</w:t>
      </w:r>
      <w:r w:rsidR="007D7113" w:rsidRPr="00791987">
        <w:rPr>
          <w:sz w:val="22"/>
          <w:szCs w:val="22"/>
          <w:lang w:val="el-GR"/>
        </w:rPr>
        <w:t xml:space="preserve"> δισκίο παρατεταμένης αποδέσμευσης</w:t>
      </w:r>
      <w:r w:rsidR="009169CD">
        <w:rPr>
          <w:sz w:val="22"/>
          <w:szCs w:val="22"/>
          <w:lang w:val="el-GR"/>
        </w:rPr>
        <w:t xml:space="preserve"> σε σύγκριση με </w:t>
      </w:r>
      <w:proofErr w:type="spellStart"/>
      <w:r w:rsidR="007D7113">
        <w:rPr>
          <w:sz w:val="22"/>
          <w:szCs w:val="22"/>
          <w:lang w:val="el-GR"/>
        </w:rPr>
        <w:t>τά</w:t>
      </w:r>
      <w:proofErr w:type="spellEnd"/>
      <w:r w:rsidR="007D7113">
        <w:rPr>
          <w:sz w:val="22"/>
          <w:szCs w:val="22"/>
          <w:lang w:val="el-GR"/>
        </w:rPr>
        <w:t xml:space="preserve"> </w:t>
      </w:r>
      <w:r w:rsidR="009169CD" w:rsidRPr="009169CD">
        <w:rPr>
          <w:sz w:val="22"/>
          <w:szCs w:val="22"/>
          <w:lang w:val="el-GR"/>
        </w:rPr>
        <w:t>τυπικ</w:t>
      </w:r>
      <w:r w:rsidR="007D7113">
        <w:rPr>
          <w:sz w:val="22"/>
          <w:szCs w:val="22"/>
          <w:lang w:val="el-GR"/>
        </w:rPr>
        <w:t>ά</w:t>
      </w:r>
      <w:r w:rsidR="009169CD" w:rsidRPr="009169CD">
        <w:rPr>
          <w:sz w:val="22"/>
          <w:szCs w:val="22"/>
          <w:lang w:val="el-GR"/>
        </w:rPr>
        <w:t xml:space="preserve"> </w:t>
      </w:r>
      <w:proofErr w:type="spellStart"/>
      <w:r w:rsidR="009169CD" w:rsidRPr="009169CD">
        <w:rPr>
          <w:sz w:val="22"/>
          <w:szCs w:val="22"/>
          <w:lang w:val="el-GR"/>
        </w:rPr>
        <w:t>αντιψυχωσικ</w:t>
      </w:r>
      <w:r w:rsidR="007D7113">
        <w:rPr>
          <w:sz w:val="22"/>
          <w:szCs w:val="22"/>
          <w:lang w:val="el-GR"/>
        </w:rPr>
        <w:t>ά</w:t>
      </w:r>
      <w:proofErr w:type="spellEnd"/>
      <w:r w:rsidRPr="00A66AB5">
        <w:rPr>
          <w:sz w:val="22"/>
          <w:szCs w:val="22"/>
          <w:lang w:val="el-GR"/>
        </w:rPr>
        <w:t xml:space="preserve">. Επιπλέον, η </w:t>
      </w:r>
      <w:proofErr w:type="spellStart"/>
      <w:r w:rsidR="001F7643" w:rsidRPr="00A66AB5">
        <w:rPr>
          <w:sz w:val="22"/>
          <w:szCs w:val="22"/>
          <w:lang w:val="el-GR"/>
        </w:rPr>
        <w:t>νορ</w:t>
      </w:r>
      <w:r w:rsidRPr="00A66AB5">
        <w:rPr>
          <w:sz w:val="22"/>
          <w:szCs w:val="22"/>
          <w:lang w:val="el-GR"/>
        </w:rPr>
        <w:t>κουετιαπίνη</w:t>
      </w:r>
      <w:proofErr w:type="spellEnd"/>
      <w:r w:rsidRPr="00A66AB5">
        <w:rPr>
          <w:sz w:val="22"/>
          <w:szCs w:val="22"/>
          <w:lang w:val="el-GR"/>
        </w:rPr>
        <w:t xml:space="preserve"> έχει υψηλή συγγένεια για τον μεταφορέα </w:t>
      </w:r>
      <w:proofErr w:type="spellStart"/>
      <w:r w:rsidRPr="00A66AB5">
        <w:rPr>
          <w:sz w:val="22"/>
          <w:szCs w:val="22"/>
          <w:lang w:val="el-GR"/>
        </w:rPr>
        <w:t>νορεπινεφρίνης</w:t>
      </w:r>
      <w:proofErr w:type="spellEnd"/>
      <w:r w:rsidRPr="00A66AB5">
        <w:rPr>
          <w:sz w:val="22"/>
          <w:szCs w:val="22"/>
          <w:lang w:val="el-GR"/>
        </w:rPr>
        <w:t xml:space="preserve"> (ΝΕΤ). Η </w:t>
      </w:r>
      <w:proofErr w:type="spellStart"/>
      <w:r w:rsidRPr="00A66AB5">
        <w:rPr>
          <w:sz w:val="22"/>
          <w:szCs w:val="22"/>
          <w:lang w:val="el-GR"/>
        </w:rPr>
        <w:t>κουετιαπίνη</w:t>
      </w:r>
      <w:proofErr w:type="spellEnd"/>
      <w:r w:rsidRPr="00A66AB5">
        <w:rPr>
          <w:sz w:val="22"/>
          <w:szCs w:val="22"/>
          <w:lang w:val="el-GR"/>
        </w:rPr>
        <w:t xml:space="preserve"> και η </w:t>
      </w:r>
      <w:proofErr w:type="spellStart"/>
      <w:r w:rsidR="009169CD" w:rsidRPr="00A66AB5">
        <w:rPr>
          <w:sz w:val="22"/>
          <w:szCs w:val="22"/>
          <w:lang w:val="el-GR"/>
        </w:rPr>
        <w:t>νορκουετιαπίνη</w:t>
      </w:r>
      <w:proofErr w:type="spellEnd"/>
      <w:r w:rsidR="009169CD" w:rsidRPr="00A66AB5">
        <w:rPr>
          <w:sz w:val="22"/>
          <w:szCs w:val="22"/>
          <w:lang w:val="el-GR"/>
        </w:rPr>
        <w:t xml:space="preserve"> </w:t>
      </w:r>
      <w:r w:rsidRPr="00A66AB5">
        <w:rPr>
          <w:sz w:val="22"/>
          <w:szCs w:val="22"/>
          <w:lang w:val="el-GR"/>
        </w:rPr>
        <w:t xml:space="preserve">έχουν επίσης υψηλή συγγένεια για </w:t>
      </w:r>
      <w:proofErr w:type="spellStart"/>
      <w:r w:rsidRPr="00A66AB5">
        <w:rPr>
          <w:sz w:val="22"/>
          <w:szCs w:val="22"/>
          <w:lang w:val="el-GR"/>
        </w:rPr>
        <w:t>ισταμινεργικούς</w:t>
      </w:r>
      <w:proofErr w:type="spellEnd"/>
      <w:r w:rsidRPr="00A66AB5">
        <w:rPr>
          <w:sz w:val="22"/>
          <w:szCs w:val="22"/>
          <w:lang w:val="el-GR"/>
        </w:rPr>
        <w:t xml:space="preserve"> και α</w:t>
      </w:r>
      <w:r w:rsidRPr="00791987">
        <w:rPr>
          <w:sz w:val="22"/>
          <w:szCs w:val="22"/>
          <w:vertAlign w:val="subscript"/>
          <w:lang w:val="el-GR"/>
        </w:rPr>
        <w:t>1</w:t>
      </w:r>
      <w:r w:rsidRPr="00A66AB5">
        <w:rPr>
          <w:sz w:val="22"/>
          <w:szCs w:val="22"/>
          <w:lang w:val="el-GR"/>
        </w:rPr>
        <w:t xml:space="preserve"> </w:t>
      </w:r>
      <w:proofErr w:type="spellStart"/>
      <w:r w:rsidRPr="00A66AB5">
        <w:rPr>
          <w:sz w:val="22"/>
          <w:szCs w:val="22"/>
          <w:lang w:val="el-GR"/>
        </w:rPr>
        <w:t>αδρενεργικούς</w:t>
      </w:r>
      <w:proofErr w:type="spellEnd"/>
      <w:r w:rsidRPr="00A66AB5">
        <w:rPr>
          <w:sz w:val="22"/>
          <w:szCs w:val="22"/>
          <w:lang w:val="el-GR"/>
        </w:rPr>
        <w:t xml:space="preserve"> υποδοχείς, με χαμηλότερη συγγένεια για α</w:t>
      </w:r>
      <w:r w:rsidRPr="00791987">
        <w:rPr>
          <w:sz w:val="22"/>
          <w:szCs w:val="22"/>
          <w:vertAlign w:val="subscript"/>
          <w:lang w:val="el-GR"/>
        </w:rPr>
        <w:t>2</w:t>
      </w:r>
      <w:r w:rsidRPr="00A66AB5">
        <w:rPr>
          <w:sz w:val="22"/>
          <w:szCs w:val="22"/>
          <w:lang w:val="el-GR"/>
        </w:rPr>
        <w:t xml:space="preserve"> </w:t>
      </w:r>
      <w:proofErr w:type="spellStart"/>
      <w:r w:rsidRPr="00A66AB5">
        <w:rPr>
          <w:sz w:val="22"/>
          <w:szCs w:val="22"/>
          <w:lang w:val="el-GR"/>
        </w:rPr>
        <w:t>αδρενεργικούς</w:t>
      </w:r>
      <w:proofErr w:type="spellEnd"/>
      <w:r w:rsidRPr="00A66AB5">
        <w:rPr>
          <w:sz w:val="22"/>
          <w:szCs w:val="22"/>
          <w:lang w:val="el-GR"/>
        </w:rPr>
        <w:t xml:space="preserve"> υποδοχείς</w:t>
      </w:r>
      <w:r w:rsidR="009169CD">
        <w:rPr>
          <w:sz w:val="22"/>
          <w:szCs w:val="22"/>
          <w:lang w:val="el-GR"/>
        </w:rPr>
        <w:t xml:space="preserve"> και </w:t>
      </w:r>
      <w:r w:rsidR="009169CD" w:rsidRPr="009169CD">
        <w:rPr>
          <w:sz w:val="22"/>
          <w:szCs w:val="22"/>
          <w:lang w:val="el-GR"/>
        </w:rPr>
        <w:t xml:space="preserve">υποδοχείς </w:t>
      </w:r>
      <w:proofErr w:type="spellStart"/>
      <w:r w:rsidR="009169CD" w:rsidRPr="009169CD">
        <w:rPr>
          <w:sz w:val="22"/>
          <w:szCs w:val="22"/>
          <w:lang w:val="el-GR"/>
        </w:rPr>
        <w:t>σεροτονίνης</w:t>
      </w:r>
      <w:proofErr w:type="spellEnd"/>
      <w:r w:rsidR="009169CD" w:rsidRPr="009169CD">
        <w:rPr>
          <w:sz w:val="22"/>
          <w:szCs w:val="22"/>
          <w:lang w:val="el-GR"/>
        </w:rPr>
        <w:t xml:space="preserve"> 5HT</w:t>
      </w:r>
      <w:r w:rsidR="009169CD" w:rsidRPr="009169CD">
        <w:rPr>
          <w:sz w:val="22"/>
          <w:szCs w:val="22"/>
          <w:vertAlign w:val="subscript"/>
          <w:lang w:val="el-GR"/>
        </w:rPr>
        <w:t>1</w:t>
      </w:r>
      <w:r w:rsidR="009169CD" w:rsidRPr="009169CD">
        <w:rPr>
          <w:sz w:val="22"/>
          <w:szCs w:val="22"/>
          <w:lang w:val="el-GR"/>
        </w:rPr>
        <w:t>A</w:t>
      </w:r>
      <w:r w:rsidRPr="00A66AB5">
        <w:rPr>
          <w:sz w:val="22"/>
          <w:szCs w:val="22"/>
          <w:lang w:val="el-GR"/>
        </w:rPr>
        <w:t xml:space="preserve">. Η </w:t>
      </w:r>
      <w:proofErr w:type="spellStart"/>
      <w:r w:rsidRPr="00A66AB5">
        <w:rPr>
          <w:sz w:val="22"/>
          <w:szCs w:val="22"/>
          <w:lang w:val="el-GR"/>
        </w:rPr>
        <w:t>κουετιαπίνη</w:t>
      </w:r>
      <w:proofErr w:type="spellEnd"/>
      <w:r w:rsidRPr="00A66AB5">
        <w:rPr>
          <w:sz w:val="22"/>
          <w:szCs w:val="22"/>
          <w:lang w:val="el-GR"/>
        </w:rPr>
        <w:t xml:space="preserve"> δεν έχει αξιοσημείωτη συγγένεια για </w:t>
      </w:r>
      <w:proofErr w:type="spellStart"/>
      <w:r w:rsidRPr="00A66AB5">
        <w:rPr>
          <w:sz w:val="22"/>
          <w:szCs w:val="22"/>
          <w:lang w:val="el-GR"/>
        </w:rPr>
        <w:t>μουσκαρινικούς</w:t>
      </w:r>
      <w:proofErr w:type="spellEnd"/>
      <w:r w:rsidRPr="00A66AB5">
        <w:rPr>
          <w:sz w:val="22"/>
          <w:szCs w:val="22"/>
          <w:lang w:val="el-GR"/>
        </w:rPr>
        <w:t xml:space="preserve"> υποδοχείς ή υποδοχείς </w:t>
      </w:r>
      <w:proofErr w:type="spellStart"/>
      <w:r w:rsidRPr="00A66AB5">
        <w:rPr>
          <w:sz w:val="22"/>
          <w:szCs w:val="22"/>
          <w:lang w:val="el-GR"/>
        </w:rPr>
        <w:t>βενζοδιαζεπινών</w:t>
      </w:r>
      <w:proofErr w:type="spellEnd"/>
      <w:r w:rsidRPr="00A66AB5">
        <w:rPr>
          <w:sz w:val="22"/>
          <w:szCs w:val="22"/>
          <w:lang w:val="el-GR"/>
        </w:rPr>
        <w:t>.</w:t>
      </w:r>
    </w:p>
    <w:p w:rsidR="009169CD" w:rsidRPr="00A66AB5" w:rsidRDefault="009169CD" w:rsidP="009169CD">
      <w:pPr>
        <w:pStyle w:val="Web"/>
        <w:spacing w:before="0" w:beforeAutospacing="0" w:after="0"/>
        <w:jc w:val="both"/>
        <w:rPr>
          <w:sz w:val="22"/>
          <w:szCs w:val="22"/>
          <w:lang w:val="el-GR"/>
        </w:rPr>
      </w:pPr>
    </w:p>
    <w:p w:rsidR="00380EEB" w:rsidRPr="00A66AB5" w:rsidRDefault="009169CD" w:rsidP="00BD3BEF">
      <w:pPr>
        <w:pStyle w:val="Web"/>
        <w:spacing w:before="0" w:beforeAutospacing="0" w:after="0"/>
        <w:jc w:val="both"/>
        <w:rPr>
          <w:sz w:val="22"/>
          <w:szCs w:val="22"/>
          <w:lang w:val="el-GR"/>
        </w:rPr>
      </w:pPr>
      <w:r w:rsidRPr="00A66AB5">
        <w:rPr>
          <w:b/>
          <w:color w:val="auto"/>
          <w:sz w:val="22"/>
          <w:szCs w:val="22"/>
          <w:u w:val="single"/>
          <w:lang w:val="el-GR"/>
        </w:rPr>
        <w:t>Φαρμακοδυναμικές επιδράσεις:</w:t>
      </w:r>
    </w:p>
    <w:p w:rsidR="001F7643" w:rsidRDefault="00380EEB">
      <w:pPr>
        <w:pStyle w:val="Web"/>
        <w:spacing w:before="0" w:beforeAutospacing="0" w:after="0"/>
        <w:jc w:val="both"/>
        <w:rPr>
          <w:color w:val="auto"/>
          <w:sz w:val="22"/>
          <w:szCs w:val="22"/>
          <w:lang w:val="el-GR"/>
        </w:rPr>
      </w:pPr>
      <w:r w:rsidRPr="00A66AB5">
        <w:rPr>
          <w:color w:val="auto"/>
          <w:sz w:val="22"/>
          <w:szCs w:val="22"/>
          <w:lang w:val="el-GR"/>
        </w:rPr>
        <w:t xml:space="preserve">Η </w:t>
      </w:r>
      <w:proofErr w:type="spellStart"/>
      <w:r w:rsidRPr="00A66AB5">
        <w:rPr>
          <w:color w:val="auto"/>
          <w:sz w:val="22"/>
          <w:szCs w:val="22"/>
          <w:lang w:val="el-GR"/>
        </w:rPr>
        <w:t>κουετιαπίνη</w:t>
      </w:r>
      <w:proofErr w:type="spellEnd"/>
      <w:r w:rsidRPr="00A66AB5">
        <w:rPr>
          <w:color w:val="auto"/>
          <w:sz w:val="22"/>
          <w:szCs w:val="22"/>
          <w:lang w:val="el-GR"/>
        </w:rPr>
        <w:t xml:space="preserve"> είναι δραστική σε δοκιμασίες για </w:t>
      </w:r>
      <w:proofErr w:type="spellStart"/>
      <w:r w:rsidRPr="00A66AB5">
        <w:rPr>
          <w:color w:val="auto"/>
          <w:sz w:val="22"/>
          <w:szCs w:val="22"/>
          <w:lang w:val="el-GR"/>
        </w:rPr>
        <w:t>αντιψυχωσική</w:t>
      </w:r>
      <w:proofErr w:type="spellEnd"/>
      <w:r w:rsidRPr="00A66AB5">
        <w:rPr>
          <w:color w:val="auto"/>
          <w:sz w:val="22"/>
          <w:szCs w:val="22"/>
          <w:lang w:val="el-GR"/>
        </w:rPr>
        <w:t xml:space="preserve"> δραστηριότητα, όπως η εξαρτημένη αποφυγή. Αποκλείει επίσης τη δράση των </w:t>
      </w:r>
      <w:proofErr w:type="spellStart"/>
      <w:r w:rsidRPr="00A66AB5">
        <w:rPr>
          <w:color w:val="auto"/>
          <w:sz w:val="22"/>
          <w:szCs w:val="22"/>
          <w:lang w:val="el-GR"/>
        </w:rPr>
        <w:t>ντοπαμινεργικών</w:t>
      </w:r>
      <w:proofErr w:type="spellEnd"/>
      <w:r w:rsidRPr="00A66AB5">
        <w:rPr>
          <w:color w:val="auto"/>
          <w:sz w:val="22"/>
          <w:szCs w:val="22"/>
          <w:lang w:val="el-GR"/>
        </w:rPr>
        <w:t xml:space="preserve"> αγωνιστών, η οποία μετράται είτε </w:t>
      </w:r>
      <w:proofErr w:type="spellStart"/>
      <w:r w:rsidRPr="00A66AB5">
        <w:rPr>
          <w:color w:val="auto"/>
          <w:sz w:val="22"/>
          <w:szCs w:val="22"/>
          <w:lang w:val="el-GR"/>
        </w:rPr>
        <w:t>συμπεριφορικά</w:t>
      </w:r>
      <w:proofErr w:type="spellEnd"/>
      <w:r w:rsidRPr="00A66AB5">
        <w:rPr>
          <w:color w:val="auto"/>
          <w:sz w:val="22"/>
          <w:szCs w:val="22"/>
          <w:lang w:val="el-GR"/>
        </w:rPr>
        <w:t xml:space="preserve"> είτε </w:t>
      </w:r>
      <w:proofErr w:type="spellStart"/>
      <w:r w:rsidRPr="00A66AB5">
        <w:rPr>
          <w:color w:val="auto"/>
          <w:sz w:val="22"/>
          <w:szCs w:val="22"/>
          <w:lang w:val="el-GR"/>
        </w:rPr>
        <w:t>ηλεκτροφυσιολογικά</w:t>
      </w:r>
      <w:proofErr w:type="spellEnd"/>
      <w:r w:rsidRPr="00A66AB5">
        <w:rPr>
          <w:color w:val="auto"/>
          <w:sz w:val="22"/>
          <w:szCs w:val="22"/>
          <w:lang w:val="el-GR"/>
        </w:rPr>
        <w:t xml:space="preserve"> και αυξάνει τις συγκεντρώσεις των μεταβολιτών </w:t>
      </w:r>
      <w:proofErr w:type="spellStart"/>
      <w:r w:rsidRPr="00A66AB5">
        <w:rPr>
          <w:color w:val="auto"/>
          <w:sz w:val="22"/>
          <w:szCs w:val="22"/>
          <w:lang w:val="el-GR"/>
        </w:rPr>
        <w:t>ντοπαμίνης</w:t>
      </w:r>
      <w:proofErr w:type="spellEnd"/>
      <w:r w:rsidRPr="00A66AB5">
        <w:rPr>
          <w:color w:val="auto"/>
          <w:sz w:val="22"/>
          <w:szCs w:val="22"/>
          <w:lang w:val="el-GR"/>
        </w:rPr>
        <w:t xml:space="preserve">, ενός </w:t>
      </w:r>
      <w:proofErr w:type="spellStart"/>
      <w:r w:rsidRPr="00A66AB5">
        <w:rPr>
          <w:color w:val="auto"/>
          <w:sz w:val="22"/>
          <w:szCs w:val="22"/>
          <w:lang w:val="el-GR"/>
        </w:rPr>
        <w:t>νευροχημικού</w:t>
      </w:r>
      <w:proofErr w:type="spellEnd"/>
      <w:r w:rsidRPr="00A66AB5">
        <w:rPr>
          <w:color w:val="auto"/>
          <w:sz w:val="22"/>
          <w:szCs w:val="22"/>
          <w:lang w:val="el-GR"/>
        </w:rPr>
        <w:t xml:space="preserve"> δείκτη αποκλεισμού υποδοχέων </w:t>
      </w:r>
      <w:r w:rsidRPr="00A66AB5">
        <w:rPr>
          <w:color w:val="auto"/>
          <w:sz w:val="22"/>
          <w:szCs w:val="22"/>
        </w:rPr>
        <w:t>D</w:t>
      </w:r>
      <w:r w:rsidRPr="00A66AB5">
        <w:rPr>
          <w:color w:val="auto"/>
          <w:sz w:val="22"/>
          <w:szCs w:val="22"/>
          <w:lang w:val="el-GR"/>
        </w:rPr>
        <w:t>2.</w:t>
      </w:r>
    </w:p>
    <w:p w:rsidR="007D7113" w:rsidRPr="00A66AB5" w:rsidRDefault="007D7113">
      <w:pPr>
        <w:pStyle w:val="Web"/>
        <w:spacing w:before="0" w:beforeAutospacing="0" w:after="0"/>
        <w:jc w:val="both"/>
        <w:rPr>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w:t>
      </w:r>
      <w:proofErr w:type="spellStart"/>
      <w:r w:rsidRPr="00A66AB5">
        <w:rPr>
          <w:color w:val="auto"/>
          <w:sz w:val="22"/>
          <w:szCs w:val="22"/>
          <w:lang w:val="el-GR"/>
        </w:rPr>
        <w:t>προκλινικές</w:t>
      </w:r>
      <w:proofErr w:type="spellEnd"/>
      <w:r w:rsidRPr="00A66AB5">
        <w:rPr>
          <w:color w:val="auto"/>
          <w:sz w:val="22"/>
          <w:szCs w:val="22"/>
          <w:lang w:val="el-GR"/>
        </w:rPr>
        <w:t xml:space="preserve"> δοκιμασίες που είναι προγνωστικές ΕΠΣ, η </w:t>
      </w:r>
      <w:proofErr w:type="spellStart"/>
      <w:r w:rsidRPr="00A66AB5">
        <w:rPr>
          <w:color w:val="auto"/>
          <w:sz w:val="22"/>
          <w:szCs w:val="22"/>
          <w:lang w:val="el-GR"/>
        </w:rPr>
        <w:t>κουετιαπίνη</w:t>
      </w:r>
      <w:proofErr w:type="spellEnd"/>
      <w:r w:rsidRPr="00A66AB5">
        <w:rPr>
          <w:color w:val="auto"/>
          <w:sz w:val="22"/>
          <w:szCs w:val="22"/>
          <w:lang w:val="el-GR"/>
        </w:rPr>
        <w:t xml:space="preserve"> δεν μοιάζει με τα τυπικά </w:t>
      </w:r>
      <w:proofErr w:type="spellStart"/>
      <w:r w:rsidRPr="00A66AB5">
        <w:rPr>
          <w:color w:val="auto"/>
          <w:sz w:val="22"/>
          <w:szCs w:val="22"/>
          <w:lang w:val="el-GR"/>
        </w:rPr>
        <w:t>αντιψυχωσικά</w:t>
      </w:r>
      <w:proofErr w:type="spellEnd"/>
      <w:r w:rsidRPr="00A66AB5">
        <w:rPr>
          <w:color w:val="auto"/>
          <w:sz w:val="22"/>
          <w:szCs w:val="22"/>
          <w:lang w:val="el-GR"/>
        </w:rPr>
        <w:t xml:space="preserve"> και έχει άτυπο προφίλ. Η </w:t>
      </w:r>
      <w:proofErr w:type="spellStart"/>
      <w:r w:rsidRPr="00A66AB5">
        <w:rPr>
          <w:color w:val="auto"/>
          <w:sz w:val="22"/>
          <w:szCs w:val="22"/>
          <w:lang w:val="el-GR"/>
        </w:rPr>
        <w:t>κουετιαπίνη</w:t>
      </w:r>
      <w:proofErr w:type="spellEnd"/>
      <w:r w:rsidRPr="00A66AB5">
        <w:rPr>
          <w:color w:val="auto"/>
          <w:sz w:val="22"/>
          <w:szCs w:val="22"/>
          <w:lang w:val="el-GR"/>
        </w:rPr>
        <w:t xml:space="preserve"> δεν προκαλεί υπερευαισθησία των υποδοχέων </w:t>
      </w:r>
      <w:proofErr w:type="spellStart"/>
      <w:r w:rsidRPr="00A66AB5">
        <w:rPr>
          <w:color w:val="auto"/>
          <w:sz w:val="22"/>
          <w:szCs w:val="22"/>
          <w:lang w:val="el-GR"/>
        </w:rPr>
        <w:t>ντοπαμίνης</w:t>
      </w:r>
      <w:proofErr w:type="spellEnd"/>
      <w:r w:rsidRPr="00A66AB5">
        <w:rPr>
          <w:color w:val="auto"/>
          <w:sz w:val="22"/>
          <w:szCs w:val="22"/>
          <w:lang w:val="el-GR"/>
        </w:rPr>
        <w:t xml:space="preserve"> </w:t>
      </w:r>
      <w:r w:rsidRPr="00A66AB5">
        <w:rPr>
          <w:color w:val="auto"/>
          <w:sz w:val="22"/>
          <w:szCs w:val="22"/>
        </w:rPr>
        <w:t>D</w:t>
      </w:r>
      <w:r w:rsidRPr="00A66AB5">
        <w:rPr>
          <w:color w:val="auto"/>
          <w:sz w:val="22"/>
          <w:szCs w:val="22"/>
          <w:vertAlign w:val="subscript"/>
          <w:lang w:val="el-GR"/>
        </w:rPr>
        <w:t>2</w:t>
      </w:r>
      <w:r w:rsidRPr="00A66AB5">
        <w:rPr>
          <w:color w:val="auto"/>
          <w:sz w:val="22"/>
          <w:szCs w:val="22"/>
          <w:lang w:val="el-GR"/>
        </w:rPr>
        <w:t xml:space="preserve"> μετά από χρόνια χορήγηση. Η </w:t>
      </w:r>
      <w:proofErr w:type="spellStart"/>
      <w:r w:rsidRPr="00A66AB5">
        <w:rPr>
          <w:color w:val="auto"/>
          <w:sz w:val="22"/>
          <w:szCs w:val="22"/>
          <w:lang w:val="el-GR"/>
        </w:rPr>
        <w:t>κουετιαπίνη</w:t>
      </w:r>
      <w:proofErr w:type="spellEnd"/>
      <w:r w:rsidRPr="00A66AB5">
        <w:rPr>
          <w:color w:val="auto"/>
          <w:sz w:val="22"/>
          <w:szCs w:val="22"/>
          <w:lang w:val="el-GR"/>
        </w:rPr>
        <w:t xml:space="preserve"> προκαλεί μόνον ασθενή ναρκοληψία σε δραστικές δόσεις αποκλεισμού υποδοχέων </w:t>
      </w:r>
      <w:proofErr w:type="spellStart"/>
      <w:r w:rsidRPr="00A66AB5">
        <w:rPr>
          <w:color w:val="auto"/>
          <w:sz w:val="22"/>
          <w:szCs w:val="22"/>
          <w:lang w:val="el-GR"/>
        </w:rPr>
        <w:t>ντοπαμίνης</w:t>
      </w:r>
      <w:proofErr w:type="spellEnd"/>
      <w:r w:rsidRPr="00A66AB5">
        <w:rPr>
          <w:color w:val="auto"/>
          <w:sz w:val="22"/>
          <w:szCs w:val="22"/>
          <w:lang w:val="el-GR"/>
        </w:rPr>
        <w:t xml:space="preserve"> </w:t>
      </w:r>
      <w:r w:rsidRPr="00A66AB5">
        <w:rPr>
          <w:color w:val="auto"/>
          <w:sz w:val="22"/>
          <w:szCs w:val="22"/>
        </w:rPr>
        <w:t>D</w:t>
      </w:r>
      <w:r w:rsidRPr="00A66AB5">
        <w:rPr>
          <w:color w:val="auto"/>
          <w:sz w:val="22"/>
          <w:szCs w:val="22"/>
          <w:vertAlign w:val="subscript"/>
          <w:lang w:val="el-GR"/>
        </w:rPr>
        <w:t>2</w:t>
      </w:r>
      <w:r w:rsidRPr="00A66AB5">
        <w:rPr>
          <w:color w:val="auto"/>
          <w:sz w:val="22"/>
          <w:szCs w:val="22"/>
          <w:lang w:val="el-GR"/>
        </w:rPr>
        <w:t xml:space="preserve">. Η </w:t>
      </w:r>
      <w:proofErr w:type="spellStart"/>
      <w:r w:rsidRPr="00A66AB5">
        <w:rPr>
          <w:color w:val="auto"/>
          <w:sz w:val="22"/>
          <w:szCs w:val="22"/>
          <w:lang w:val="el-GR"/>
        </w:rPr>
        <w:t>κουετιαπίνη</w:t>
      </w:r>
      <w:proofErr w:type="spellEnd"/>
      <w:r w:rsidRPr="00A66AB5">
        <w:rPr>
          <w:color w:val="auto"/>
          <w:sz w:val="22"/>
          <w:szCs w:val="22"/>
          <w:lang w:val="el-GR"/>
        </w:rPr>
        <w:t xml:space="preserve"> εμφανίζει εκλεκτικότητα για το </w:t>
      </w:r>
      <w:proofErr w:type="spellStart"/>
      <w:r w:rsidRPr="00A66AB5">
        <w:rPr>
          <w:color w:val="auto"/>
          <w:sz w:val="22"/>
          <w:szCs w:val="22"/>
          <w:lang w:val="el-GR"/>
        </w:rPr>
        <w:t>μεταιχμιακό</w:t>
      </w:r>
      <w:proofErr w:type="spellEnd"/>
      <w:r w:rsidRPr="00A66AB5">
        <w:rPr>
          <w:color w:val="auto"/>
          <w:sz w:val="22"/>
          <w:szCs w:val="22"/>
          <w:lang w:val="el-GR"/>
        </w:rPr>
        <w:t xml:space="preserve"> σύστημα προκαλώντας αποκλεισμό της </w:t>
      </w:r>
      <w:proofErr w:type="spellStart"/>
      <w:r w:rsidRPr="00A66AB5">
        <w:rPr>
          <w:color w:val="auto"/>
          <w:sz w:val="22"/>
          <w:szCs w:val="22"/>
          <w:lang w:val="el-GR"/>
        </w:rPr>
        <w:t>εκπόλωσης</w:t>
      </w:r>
      <w:proofErr w:type="spellEnd"/>
      <w:r w:rsidRPr="00A66AB5">
        <w:rPr>
          <w:color w:val="auto"/>
          <w:sz w:val="22"/>
          <w:szCs w:val="22"/>
          <w:lang w:val="el-GR"/>
        </w:rPr>
        <w:t xml:space="preserve"> των </w:t>
      </w:r>
      <w:proofErr w:type="spellStart"/>
      <w:r w:rsidRPr="00A66AB5">
        <w:rPr>
          <w:color w:val="auto"/>
          <w:sz w:val="22"/>
          <w:szCs w:val="22"/>
          <w:lang w:val="el-GR"/>
        </w:rPr>
        <w:t>μεσομεταιχμιακών</w:t>
      </w:r>
      <w:proofErr w:type="spellEnd"/>
      <w:r w:rsidRPr="00A66AB5">
        <w:rPr>
          <w:color w:val="auto"/>
          <w:sz w:val="22"/>
          <w:szCs w:val="22"/>
          <w:lang w:val="el-GR"/>
        </w:rPr>
        <w:t xml:space="preserve"> αλλά όχι των </w:t>
      </w:r>
      <w:proofErr w:type="spellStart"/>
      <w:r w:rsidRPr="00A66AB5">
        <w:rPr>
          <w:color w:val="auto"/>
          <w:sz w:val="22"/>
          <w:szCs w:val="22"/>
          <w:lang w:val="el-GR"/>
        </w:rPr>
        <w:t>μελανοραβδωτών</w:t>
      </w:r>
      <w:proofErr w:type="spellEnd"/>
      <w:r w:rsidRPr="00A66AB5">
        <w:rPr>
          <w:color w:val="auto"/>
          <w:sz w:val="22"/>
          <w:szCs w:val="22"/>
          <w:lang w:val="el-GR"/>
        </w:rPr>
        <w:t xml:space="preserve"> νευρώνων που περιέχουν </w:t>
      </w:r>
      <w:proofErr w:type="spellStart"/>
      <w:r w:rsidRPr="00A66AB5">
        <w:rPr>
          <w:color w:val="auto"/>
          <w:sz w:val="22"/>
          <w:szCs w:val="22"/>
          <w:lang w:val="el-GR"/>
        </w:rPr>
        <w:t>ντοπαμίνη</w:t>
      </w:r>
      <w:proofErr w:type="spellEnd"/>
      <w:r w:rsidRPr="00A66AB5">
        <w:rPr>
          <w:color w:val="auto"/>
          <w:sz w:val="22"/>
          <w:szCs w:val="22"/>
          <w:lang w:val="el-GR"/>
        </w:rPr>
        <w:t xml:space="preserve"> μετά από χρόνια χορήγηση.  Η </w:t>
      </w:r>
      <w:proofErr w:type="spellStart"/>
      <w:r w:rsidRPr="00A66AB5">
        <w:rPr>
          <w:color w:val="auto"/>
          <w:sz w:val="22"/>
          <w:szCs w:val="22"/>
          <w:lang w:val="el-GR"/>
        </w:rPr>
        <w:t>κουετιαπίνη</w:t>
      </w:r>
      <w:proofErr w:type="spellEnd"/>
      <w:r w:rsidRPr="00A66AB5">
        <w:rPr>
          <w:color w:val="auto"/>
          <w:sz w:val="22"/>
          <w:szCs w:val="22"/>
          <w:lang w:val="el-GR"/>
        </w:rPr>
        <w:t xml:space="preserve"> εκδηλώνει ελάχιστη </w:t>
      </w:r>
      <w:proofErr w:type="spellStart"/>
      <w:r w:rsidRPr="00A66AB5">
        <w:rPr>
          <w:color w:val="auto"/>
          <w:sz w:val="22"/>
          <w:szCs w:val="22"/>
          <w:lang w:val="el-GR"/>
        </w:rPr>
        <w:t>δυστονική</w:t>
      </w:r>
      <w:proofErr w:type="spellEnd"/>
      <w:r w:rsidRPr="00A66AB5">
        <w:rPr>
          <w:color w:val="auto"/>
          <w:sz w:val="22"/>
          <w:szCs w:val="22"/>
          <w:lang w:val="el-GR"/>
        </w:rPr>
        <w:t xml:space="preserve"> δράση σε πιθήκους </w:t>
      </w:r>
      <w:proofErr w:type="spellStart"/>
      <w:r w:rsidRPr="00A66AB5">
        <w:rPr>
          <w:color w:val="auto"/>
          <w:sz w:val="22"/>
          <w:szCs w:val="22"/>
        </w:rPr>
        <w:t>Cebus</w:t>
      </w:r>
      <w:proofErr w:type="spellEnd"/>
      <w:r w:rsidRPr="00A66AB5">
        <w:rPr>
          <w:color w:val="auto"/>
          <w:sz w:val="22"/>
          <w:szCs w:val="22"/>
          <w:lang w:val="el-GR"/>
        </w:rPr>
        <w:t xml:space="preserve"> που είχαν ευαισθητοποιηθεί στην </w:t>
      </w:r>
      <w:proofErr w:type="spellStart"/>
      <w:r w:rsidRPr="00A66AB5">
        <w:rPr>
          <w:color w:val="auto"/>
          <w:sz w:val="22"/>
          <w:szCs w:val="22"/>
          <w:lang w:val="el-GR"/>
        </w:rPr>
        <w:t>αλοπεριδόλη</w:t>
      </w:r>
      <w:proofErr w:type="spellEnd"/>
      <w:r w:rsidRPr="00A66AB5">
        <w:rPr>
          <w:color w:val="auto"/>
          <w:sz w:val="22"/>
          <w:szCs w:val="22"/>
          <w:lang w:val="el-GR"/>
        </w:rPr>
        <w:t xml:space="preserve"> ή που δεν είχαν λάβει φάρμακο, μετά από οξεία και χρόνια χορήγηση (βλ. παράγραφο 4.8).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color w:val="auto"/>
          <w:sz w:val="22"/>
          <w:szCs w:val="22"/>
          <w:u w:val="single"/>
          <w:lang w:val="el-GR"/>
        </w:rPr>
        <w:t>Κλινική αποτελεσματικότητα:</w:t>
      </w:r>
    </w:p>
    <w:p w:rsidR="00380EEB" w:rsidRPr="00A66AB5" w:rsidRDefault="00380EEB">
      <w:pPr>
        <w:pStyle w:val="Web"/>
        <w:spacing w:before="0" w:beforeAutospacing="0" w:after="0"/>
        <w:jc w:val="both"/>
        <w:rPr>
          <w:b/>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color w:val="auto"/>
          <w:sz w:val="22"/>
          <w:szCs w:val="22"/>
          <w:lang w:val="el-GR"/>
        </w:rPr>
        <w:t>Σχιζοφρένεια</w:t>
      </w: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Η αποτελεσματικότητα τ</w:t>
      </w:r>
      <w:r w:rsidR="007D7113">
        <w:rPr>
          <w:color w:val="auto"/>
          <w:sz w:val="22"/>
          <w:szCs w:val="22"/>
          <w:lang w:val="el-GR"/>
        </w:rPr>
        <w:t>ης</w:t>
      </w:r>
      <w:r w:rsidRPr="00A66AB5">
        <w:rPr>
          <w:color w:val="auto"/>
          <w:sz w:val="22"/>
          <w:szCs w:val="22"/>
          <w:lang w:val="el-GR"/>
        </w:rPr>
        <w:t xml:space="preserve">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στη θεραπεία της σχιζοφρένειας καταδείχθηκε σε μία δοκιμή με έλεγχο εικονικού φαρμάκου διάρκειας 6 εβδομάδων, σε ασθενείς που πληρούσαν τα κριτήρια </w:t>
      </w:r>
      <w:r w:rsidRPr="00A66AB5">
        <w:rPr>
          <w:color w:val="auto"/>
          <w:sz w:val="22"/>
          <w:szCs w:val="22"/>
        </w:rPr>
        <w:t>DSM</w:t>
      </w:r>
      <w:r w:rsidRPr="00A66AB5">
        <w:rPr>
          <w:color w:val="auto"/>
          <w:sz w:val="22"/>
          <w:szCs w:val="22"/>
          <w:lang w:val="el-GR"/>
        </w:rPr>
        <w:t>-</w:t>
      </w:r>
      <w:r w:rsidRPr="00A66AB5">
        <w:rPr>
          <w:color w:val="auto"/>
          <w:sz w:val="22"/>
          <w:szCs w:val="22"/>
        </w:rPr>
        <w:t>IV</w:t>
      </w:r>
      <w:r w:rsidRPr="00A66AB5">
        <w:rPr>
          <w:color w:val="auto"/>
          <w:sz w:val="22"/>
          <w:szCs w:val="22"/>
          <w:lang w:val="el-GR"/>
        </w:rPr>
        <w:t xml:space="preserve"> για τη σχιζοφρένεια και σε μία μελέτη, με έλεγχο με </w:t>
      </w:r>
      <w:r w:rsidRPr="00A66AB5">
        <w:rPr>
          <w:color w:val="auto"/>
          <w:sz w:val="22"/>
          <w:szCs w:val="22"/>
          <w:lang w:val="el-GR"/>
        </w:rPr>
        <w:lastRenderedPageBreak/>
        <w:t xml:space="preserve">δραστική ουσία, μετάβασης από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άμεσης αποδέσμευσης σε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σε κλινικά σταθερούς εξωτερικούς ασθενείς με σχιζοφρένεια.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Η κύρια μεταβλητή έκβασης στη δοκιμή με έλεγχο εικονικού φαρμάκου ήταν η μεταβολή από την αρχική αξιολόγηση έως την τελική αξιολόγηση στη συνολική βαθμολογία </w:t>
      </w:r>
      <w:r w:rsidRPr="00A66AB5">
        <w:rPr>
          <w:color w:val="auto"/>
          <w:sz w:val="22"/>
          <w:szCs w:val="22"/>
        </w:rPr>
        <w:t>PANSS</w:t>
      </w:r>
      <w:r w:rsidRPr="00A66AB5">
        <w:rPr>
          <w:color w:val="auto"/>
          <w:sz w:val="22"/>
          <w:szCs w:val="22"/>
          <w:lang w:val="el-GR"/>
        </w:rPr>
        <w:t xml:space="preserve">.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400 </w:t>
      </w:r>
      <w:r w:rsidRPr="00A66AB5">
        <w:rPr>
          <w:color w:val="auto"/>
          <w:sz w:val="22"/>
          <w:szCs w:val="22"/>
        </w:rPr>
        <w:t>mg</w:t>
      </w:r>
      <w:r w:rsidRPr="00A66AB5">
        <w:rPr>
          <w:color w:val="auto"/>
          <w:sz w:val="22"/>
          <w:szCs w:val="22"/>
          <w:lang w:val="el-GR"/>
        </w:rPr>
        <w:t xml:space="preserve">/ημέρα, 600 </w:t>
      </w:r>
      <w:r w:rsidRPr="00A66AB5">
        <w:rPr>
          <w:color w:val="auto"/>
          <w:sz w:val="22"/>
          <w:szCs w:val="22"/>
        </w:rPr>
        <w:t>mg</w:t>
      </w:r>
      <w:r w:rsidRPr="00A66AB5">
        <w:rPr>
          <w:color w:val="auto"/>
          <w:sz w:val="22"/>
          <w:szCs w:val="22"/>
          <w:lang w:val="el-GR"/>
        </w:rPr>
        <w:t xml:space="preserve">/ημέρα και 800 </w:t>
      </w:r>
      <w:r w:rsidRPr="00A66AB5">
        <w:rPr>
          <w:color w:val="auto"/>
          <w:sz w:val="22"/>
          <w:szCs w:val="22"/>
        </w:rPr>
        <w:t>mg</w:t>
      </w:r>
      <w:r w:rsidRPr="00A66AB5">
        <w:rPr>
          <w:color w:val="auto"/>
          <w:sz w:val="22"/>
          <w:szCs w:val="22"/>
          <w:lang w:val="el-GR"/>
        </w:rPr>
        <w:t xml:space="preserve">/ημέρα συσχετίστηκαν με στατιστικά σημαντικές βελτιώσεις στα </w:t>
      </w:r>
      <w:proofErr w:type="spellStart"/>
      <w:r w:rsidRPr="00A66AB5">
        <w:rPr>
          <w:color w:val="auto"/>
          <w:sz w:val="22"/>
          <w:szCs w:val="22"/>
          <w:lang w:val="el-GR"/>
        </w:rPr>
        <w:t>ψυχωσικά</w:t>
      </w:r>
      <w:proofErr w:type="spellEnd"/>
      <w:r w:rsidRPr="00A66AB5">
        <w:rPr>
          <w:color w:val="auto"/>
          <w:sz w:val="22"/>
          <w:szCs w:val="22"/>
          <w:lang w:val="el-GR"/>
        </w:rPr>
        <w:t xml:space="preserve"> συμπτώματα σε σύγκριση με το εικονικό φάρμακο. Ο βαθμός της επίδρασης των δόσεων 600 </w:t>
      </w:r>
      <w:proofErr w:type="spellStart"/>
      <w:r w:rsidRPr="00A66AB5">
        <w:rPr>
          <w:color w:val="auto"/>
          <w:sz w:val="22"/>
          <w:szCs w:val="22"/>
          <w:lang w:val="el-GR"/>
        </w:rPr>
        <w:t>mg</w:t>
      </w:r>
      <w:proofErr w:type="spellEnd"/>
      <w:r w:rsidRPr="00A66AB5">
        <w:rPr>
          <w:color w:val="auto"/>
          <w:sz w:val="22"/>
          <w:szCs w:val="22"/>
          <w:lang w:val="el-GR"/>
        </w:rPr>
        <w:t xml:space="preserve"> και 800 </w:t>
      </w:r>
      <w:proofErr w:type="spellStart"/>
      <w:r w:rsidRPr="00A66AB5">
        <w:rPr>
          <w:color w:val="auto"/>
          <w:sz w:val="22"/>
          <w:szCs w:val="22"/>
          <w:lang w:val="el-GR"/>
        </w:rPr>
        <w:t>mg</w:t>
      </w:r>
      <w:proofErr w:type="spellEnd"/>
      <w:r w:rsidRPr="00A66AB5">
        <w:rPr>
          <w:color w:val="auto"/>
          <w:sz w:val="22"/>
          <w:szCs w:val="22"/>
          <w:lang w:val="el-GR"/>
        </w:rPr>
        <w:t xml:space="preserve"> ήταν μεγαλύτερος από αυτόν της δόσης 400 </w:t>
      </w:r>
      <w:proofErr w:type="spellStart"/>
      <w:r w:rsidRPr="00A66AB5">
        <w:rPr>
          <w:color w:val="auto"/>
          <w:sz w:val="22"/>
          <w:szCs w:val="22"/>
          <w:lang w:val="el-GR"/>
        </w:rPr>
        <w:t>mg</w:t>
      </w:r>
      <w:proofErr w:type="spellEnd"/>
      <w:r w:rsidRPr="00A66AB5">
        <w:rPr>
          <w:color w:val="auto"/>
          <w:sz w:val="22"/>
          <w:szCs w:val="22"/>
          <w:lang w:val="el-GR"/>
        </w:rPr>
        <w:t xml:space="preserve">.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Στη μελέτη μετάβασης με έλεγχο με δραστικό φάρμακο, διάρκειας 6 εβδομάδων, η κύρια μεταβλητή έκβασης ήταν το ποσοστό ασθενών που εμφάνισαν έλλειψη αποτελεσματικότητας, δηλαδή, που διέκοψαν τη θεραπεία της μελέτης λόγω έλλειψης αποτελεσματικότητας ή των οποίων η συνολική βαθμολογία </w:t>
      </w:r>
      <w:r w:rsidRPr="00A66AB5">
        <w:rPr>
          <w:color w:val="auto"/>
          <w:sz w:val="22"/>
          <w:szCs w:val="22"/>
        </w:rPr>
        <w:t>PANSS</w:t>
      </w:r>
      <w:r w:rsidRPr="00A66AB5">
        <w:rPr>
          <w:color w:val="auto"/>
          <w:sz w:val="22"/>
          <w:szCs w:val="22"/>
          <w:lang w:val="el-GR"/>
        </w:rPr>
        <w:t xml:space="preserve"> αυξήθηκε κατά 20% ή περισσότερο από την </w:t>
      </w:r>
      <w:proofErr w:type="spellStart"/>
      <w:r w:rsidRPr="00A66AB5">
        <w:rPr>
          <w:color w:val="auto"/>
          <w:sz w:val="22"/>
          <w:szCs w:val="22"/>
          <w:lang w:val="el-GR"/>
        </w:rPr>
        <w:t>τυχαιοποίηση</w:t>
      </w:r>
      <w:proofErr w:type="spellEnd"/>
      <w:r w:rsidRPr="00A66AB5">
        <w:rPr>
          <w:color w:val="auto"/>
          <w:sz w:val="22"/>
          <w:szCs w:val="22"/>
          <w:lang w:val="el-GR"/>
        </w:rPr>
        <w:t xml:space="preserve"> σε οποιαδήποτε επίσκεψη. Σε ασθενείς που έχουν σταθεροποιηθεί με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άμεσης αποδέσμευσης 400 </w:t>
      </w:r>
      <w:r w:rsidRPr="00A66AB5">
        <w:rPr>
          <w:color w:val="auto"/>
          <w:sz w:val="22"/>
          <w:szCs w:val="22"/>
        </w:rPr>
        <w:t>mg</w:t>
      </w:r>
      <w:r w:rsidRPr="00A66AB5">
        <w:rPr>
          <w:color w:val="auto"/>
          <w:sz w:val="22"/>
          <w:szCs w:val="22"/>
          <w:lang w:val="el-GR"/>
        </w:rPr>
        <w:t xml:space="preserve"> έως 800 </w:t>
      </w:r>
      <w:r w:rsidRPr="00A66AB5">
        <w:rPr>
          <w:color w:val="auto"/>
          <w:sz w:val="22"/>
          <w:szCs w:val="22"/>
        </w:rPr>
        <w:t>mg</w:t>
      </w:r>
      <w:r w:rsidRPr="00A66AB5">
        <w:rPr>
          <w:color w:val="auto"/>
          <w:sz w:val="22"/>
          <w:szCs w:val="22"/>
          <w:lang w:val="el-GR"/>
        </w:rPr>
        <w:t xml:space="preserve">, η αποτελεσματικότητα διατηρήθηκε όταν οι ασθενείς μετέβησαν σε ισοδύναμη ημερήσια δόση δισκίων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χορηγούμενων μία φορά την ημέρα.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μια μακροπρόθεσμη μελέτη σε σταθερούς σχιζοφρενικούς ασθενείς που είχαν παραμείνει σε λήψη δισκίων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επί 16 εβδομάδες, </w:t>
      </w:r>
      <w:r w:rsidR="003E7EF0" w:rsidRPr="00A66AB5">
        <w:rPr>
          <w:color w:val="auto"/>
          <w:sz w:val="22"/>
          <w:szCs w:val="22"/>
          <w:lang w:val="el-GR"/>
        </w:rPr>
        <w:t>τ</w:t>
      </w:r>
      <w:r w:rsidR="003E7EF0">
        <w:rPr>
          <w:color w:val="auto"/>
          <w:sz w:val="22"/>
          <w:szCs w:val="22"/>
          <w:lang w:val="el-GR"/>
        </w:rPr>
        <w:t>α</w:t>
      </w:r>
      <w:r w:rsidR="003E7EF0" w:rsidRPr="00A66AB5">
        <w:rPr>
          <w:color w:val="auto"/>
          <w:sz w:val="22"/>
          <w:szCs w:val="22"/>
          <w:lang w:val="el-GR"/>
        </w:rPr>
        <w:t xml:space="preserve"> δισκί</w:t>
      </w:r>
      <w:r w:rsidR="003E7EF0">
        <w:rPr>
          <w:color w:val="auto"/>
          <w:sz w:val="22"/>
          <w:szCs w:val="22"/>
          <w:lang w:val="el-GR"/>
        </w:rPr>
        <w:t>α</w:t>
      </w:r>
      <w:r w:rsidR="003E7EF0" w:rsidRPr="00A66AB5">
        <w:rPr>
          <w:color w:val="auto"/>
          <w:sz w:val="22"/>
          <w:szCs w:val="22"/>
          <w:lang w:val="el-GR"/>
        </w:rPr>
        <w:t xml:space="preserve">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ήταν πιο </w:t>
      </w:r>
      <w:r w:rsidR="003E7EF0" w:rsidRPr="00A66AB5">
        <w:rPr>
          <w:color w:val="auto"/>
          <w:sz w:val="22"/>
          <w:szCs w:val="22"/>
          <w:lang w:val="el-GR"/>
        </w:rPr>
        <w:t>αποτελεσματικ</w:t>
      </w:r>
      <w:r w:rsidR="003E7EF0">
        <w:rPr>
          <w:color w:val="auto"/>
          <w:sz w:val="22"/>
          <w:szCs w:val="22"/>
          <w:lang w:val="el-GR"/>
        </w:rPr>
        <w:t>ά</w:t>
      </w:r>
      <w:r w:rsidR="003E7EF0" w:rsidRPr="00A66AB5">
        <w:rPr>
          <w:color w:val="auto"/>
          <w:sz w:val="22"/>
          <w:szCs w:val="22"/>
          <w:lang w:val="el-GR"/>
        </w:rPr>
        <w:t xml:space="preserve"> </w:t>
      </w:r>
      <w:r w:rsidRPr="00A66AB5">
        <w:rPr>
          <w:color w:val="auto"/>
          <w:sz w:val="22"/>
          <w:szCs w:val="22"/>
          <w:lang w:val="el-GR"/>
        </w:rPr>
        <w:t xml:space="preserve">από το εικονικό φάρμακο στην πρόληψη υποτροπών. Οι εκτιμώμενοι κίνδυνοι υποτροπής μετά από θεραπείες 6 μηνών ήταν 14,3% για την ομάδα θεραπείας με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σε σύγκριση με 68,2% για το εικονικό φάρμακο. Η μέση δόση ήταν 669 </w:t>
      </w:r>
      <w:r w:rsidRPr="00A66AB5">
        <w:rPr>
          <w:color w:val="auto"/>
          <w:sz w:val="22"/>
          <w:szCs w:val="22"/>
        </w:rPr>
        <w:t>mg</w:t>
      </w:r>
      <w:r w:rsidRPr="00A66AB5">
        <w:rPr>
          <w:color w:val="auto"/>
          <w:sz w:val="22"/>
          <w:szCs w:val="22"/>
          <w:lang w:val="el-GR"/>
        </w:rPr>
        <w:t xml:space="preserve">. Δεν υπήρξαν επιπλέον ευρήματα ασφάλειας που να συσχετίζονταν με τη θεραπεία με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για έως και 9 μήνες (διάμεσος χρόνος 7 μήνες). Συγκεκριμένα, οι αναφορές ανεπιθύμητων συμβάντων που σχετίζονταν με ΕΠΣ και αύξηση βάρους δεν αυξήθηκαν με την πιο μακροπρόθεσμη θεραπεία με </w:t>
      </w:r>
      <w:r w:rsidR="003E7EF0" w:rsidRPr="00A66AB5">
        <w:rPr>
          <w:color w:val="auto"/>
          <w:sz w:val="22"/>
          <w:szCs w:val="22"/>
          <w:lang w:val="el-GR"/>
        </w:rPr>
        <w:t>δισκί</w:t>
      </w:r>
      <w:r w:rsidR="003E7EF0">
        <w:rPr>
          <w:color w:val="auto"/>
          <w:sz w:val="22"/>
          <w:szCs w:val="22"/>
          <w:lang w:val="el-GR"/>
        </w:rPr>
        <w:t>ο</w:t>
      </w:r>
      <w:r w:rsidR="003E7EF0" w:rsidRPr="00A66AB5">
        <w:rPr>
          <w:color w:val="auto"/>
          <w:sz w:val="22"/>
          <w:szCs w:val="22"/>
          <w:lang w:val="el-GR"/>
        </w:rPr>
        <w:t xml:space="preserve">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w:t>
      </w:r>
    </w:p>
    <w:p w:rsidR="00380EEB" w:rsidRPr="00A66AB5" w:rsidRDefault="00380EEB">
      <w:pPr>
        <w:pStyle w:val="Web"/>
        <w:spacing w:before="0" w:beforeAutospacing="0" w:after="0"/>
        <w:jc w:val="both"/>
        <w:rPr>
          <w:b/>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color w:val="auto"/>
          <w:sz w:val="22"/>
          <w:szCs w:val="22"/>
          <w:lang w:val="el-GR"/>
        </w:rPr>
        <w:t>Διπολική διαταραχή</w:t>
      </w: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Στη θεραπεία μέτριων έως βαριάς μορφής μανιακών επεισοδίων, η </w:t>
      </w:r>
      <w:proofErr w:type="spellStart"/>
      <w:r w:rsidRPr="00A66AB5">
        <w:rPr>
          <w:color w:val="auto"/>
          <w:sz w:val="22"/>
          <w:szCs w:val="22"/>
          <w:lang w:val="el-GR"/>
        </w:rPr>
        <w:t>κουετιαπίνη</w:t>
      </w:r>
      <w:proofErr w:type="spellEnd"/>
      <w:r w:rsidRPr="00A66AB5">
        <w:rPr>
          <w:color w:val="auto"/>
          <w:sz w:val="22"/>
          <w:szCs w:val="22"/>
          <w:lang w:val="el-GR"/>
        </w:rPr>
        <w:t xml:space="preserve"> εμφάνισε ανώτερη αποτελεσματικότητα σε σχέση με το εικονικό φάρμακο στη μείωση των μανιακών συμπτωμάτων στις 3 και 12 εβδομάδες, σε δύο δοκιμές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w:t>
      </w:r>
      <w:r w:rsidR="009169CD" w:rsidRPr="009169CD">
        <w:rPr>
          <w:color w:val="auto"/>
          <w:sz w:val="22"/>
          <w:szCs w:val="22"/>
          <w:lang w:val="el-GR"/>
        </w:rPr>
        <w:t xml:space="preserve">Η αποτελεσματικότητα </w:t>
      </w:r>
      <w:r w:rsidR="003E7EF0" w:rsidRPr="009169CD">
        <w:rPr>
          <w:color w:val="auto"/>
          <w:sz w:val="22"/>
          <w:szCs w:val="22"/>
          <w:lang w:val="el-GR"/>
        </w:rPr>
        <w:t>τ</w:t>
      </w:r>
      <w:r w:rsidR="003E7EF0">
        <w:rPr>
          <w:color w:val="auto"/>
          <w:sz w:val="22"/>
          <w:szCs w:val="22"/>
          <w:lang w:val="el-GR"/>
        </w:rPr>
        <w:t>ου</w:t>
      </w:r>
      <w:r w:rsidR="003E7EF0" w:rsidRPr="009169CD">
        <w:rPr>
          <w:color w:val="auto"/>
          <w:sz w:val="22"/>
          <w:szCs w:val="22"/>
          <w:lang w:val="el-GR"/>
        </w:rPr>
        <w:t xml:space="preserve"> δισκί</w:t>
      </w:r>
      <w:r w:rsidR="003E7EF0">
        <w:rPr>
          <w:color w:val="auto"/>
          <w:sz w:val="22"/>
          <w:szCs w:val="22"/>
          <w:lang w:val="el-GR"/>
        </w:rPr>
        <w:t>ου</w:t>
      </w:r>
      <w:r w:rsidR="003E7EF0" w:rsidRPr="009169CD">
        <w:rPr>
          <w:color w:val="auto"/>
          <w:sz w:val="22"/>
          <w:szCs w:val="22"/>
          <w:lang w:val="el-GR"/>
        </w:rPr>
        <w:t xml:space="preserve"> </w:t>
      </w:r>
      <w:proofErr w:type="spellStart"/>
      <w:r w:rsidR="009169CD" w:rsidRPr="009169CD">
        <w:rPr>
          <w:color w:val="auto"/>
          <w:sz w:val="22"/>
          <w:szCs w:val="22"/>
          <w:lang w:val="el-GR"/>
        </w:rPr>
        <w:t>κουετιαπίνης</w:t>
      </w:r>
      <w:proofErr w:type="spellEnd"/>
      <w:r w:rsidR="009169CD" w:rsidRPr="009169CD">
        <w:rPr>
          <w:color w:val="auto"/>
          <w:sz w:val="22"/>
          <w:szCs w:val="22"/>
          <w:lang w:val="el-GR"/>
        </w:rPr>
        <w:t xml:space="preserve"> παρατεταμένης αποδέσμευσης καταδείχθηκε περαιτέρω σε σημαντικό βαθμό έναντι του εικονικού φαρμάκου σε </w:t>
      </w:r>
      <w:r w:rsidR="00C15BA7">
        <w:rPr>
          <w:color w:val="auto"/>
          <w:sz w:val="22"/>
          <w:szCs w:val="22"/>
          <w:lang w:val="el-GR"/>
        </w:rPr>
        <w:t xml:space="preserve">μια </w:t>
      </w:r>
      <w:r w:rsidR="009169CD" w:rsidRPr="009169CD">
        <w:rPr>
          <w:color w:val="auto"/>
          <w:sz w:val="22"/>
          <w:szCs w:val="22"/>
          <w:lang w:val="el-GR"/>
        </w:rPr>
        <w:t>επιπλέον μελέτη διάρκειας 3 εβδομάδων.</w:t>
      </w:r>
      <w:r w:rsidR="009169CD" w:rsidRPr="00BD3BEF">
        <w:rPr>
          <w:color w:val="auto"/>
          <w:sz w:val="22"/>
          <w:szCs w:val="22"/>
          <w:lang w:val="el-GR"/>
        </w:rPr>
        <w:t xml:space="preserve"> </w:t>
      </w:r>
      <w:r w:rsidR="003E7EF0" w:rsidRPr="009169CD">
        <w:rPr>
          <w:color w:val="auto"/>
          <w:sz w:val="22"/>
          <w:szCs w:val="22"/>
          <w:lang w:val="el-GR"/>
        </w:rPr>
        <w:t>Τ</w:t>
      </w:r>
      <w:r w:rsidR="003E7EF0">
        <w:rPr>
          <w:color w:val="auto"/>
          <w:sz w:val="22"/>
          <w:szCs w:val="22"/>
          <w:lang w:val="el-GR"/>
        </w:rPr>
        <w:t>ο</w:t>
      </w:r>
      <w:r w:rsidR="003E7EF0" w:rsidRPr="009169CD">
        <w:rPr>
          <w:color w:val="auto"/>
          <w:sz w:val="22"/>
          <w:szCs w:val="22"/>
          <w:lang w:val="el-GR"/>
        </w:rPr>
        <w:t xml:space="preserve"> δισκί</w:t>
      </w:r>
      <w:r w:rsidR="003E7EF0">
        <w:rPr>
          <w:color w:val="auto"/>
          <w:sz w:val="22"/>
          <w:szCs w:val="22"/>
          <w:lang w:val="el-GR"/>
        </w:rPr>
        <w:t>ο</w:t>
      </w:r>
      <w:r w:rsidR="003E7EF0" w:rsidRPr="009169CD">
        <w:rPr>
          <w:color w:val="auto"/>
          <w:sz w:val="22"/>
          <w:szCs w:val="22"/>
          <w:lang w:val="el-GR"/>
        </w:rPr>
        <w:t xml:space="preserve"> </w:t>
      </w:r>
      <w:proofErr w:type="spellStart"/>
      <w:r w:rsidR="009169CD" w:rsidRPr="009169CD">
        <w:rPr>
          <w:color w:val="auto"/>
          <w:sz w:val="22"/>
          <w:szCs w:val="22"/>
          <w:lang w:val="el-GR"/>
        </w:rPr>
        <w:t>κουετιαπίνης</w:t>
      </w:r>
      <w:proofErr w:type="spellEnd"/>
      <w:r w:rsidR="009169CD" w:rsidRPr="009169CD">
        <w:rPr>
          <w:color w:val="auto"/>
          <w:sz w:val="22"/>
          <w:szCs w:val="22"/>
          <w:lang w:val="el-GR"/>
        </w:rPr>
        <w:t xml:space="preserve"> παρατεταμένης αποδέσμευσης </w:t>
      </w:r>
      <w:r w:rsidR="003E7EF0" w:rsidRPr="009169CD">
        <w:rPr>
          <w:color w:val="auto"/>
          <w:sz w:val="22"/>
          <w:szCs w:val="22"/>
          <w:lang w:val="el-GR"/>
        </w:rPr>
        <w:t>χορηγήθηκ</w:t>
      </w:r>
      <w:r w:rsidR="003E7EF0">
        <w:rPr>
          <w:color w:val="auto"/>
          <w:sz w:val="22"/>
          <w:szCs w:val="22"/>
          <w:lang w:val="el-GR"/>
        </w:rPr>
        <w:t>ε</w:t>
      </w:r>
      <w:r w:rsidR="003E7EF0" w:rsidRPr="009169CD">
        <w:rPr>
          <w:color w:val="auto"/>
          <w:sz w:val="22"/>
          <w:szCs w:val="22"/>
          <w:lang w:val="el-GR"/>
        </w:rPr>
        <w:t xml:space="preserve"> </w:t>
      </w:r>
      <w:r w:rsidR="009169CD" w:rsidRPr="009169CD">
        <w:rPr>
          <w:color w:val="auto"/>
          <w:sz w:val="22"/>
          <w:szCs w:val="22"/>
          <w:lang w:val="el-GR"/>
        </w:rPr>
        <w:t xml:space="preserve">σε δόση εύρους 400 έως 800 </w:t>
      </w:r>
      <w:proofErr w:type="spellStart"/>
      <w:r w:rsidR="009169CD" w:rsidRPr="009169CD">
        <w:rPr>
          <w:color w:val="auto"/>
          <w:sz w:val="22"/>
          <w:szCs w:val="22"/>
          <w:lang w:val="el-GR"/>
        </w:rPr>
        <w:t>mg</w:t>
      </w:r>
      <w:proofErr w:type="spellEnd"/>
      <w:r w:rsidR="009169CD" w:rsidRPr="009169CD">
        <w:rPr>
          <w:color w:val="auto"/>
          <w:sz w:val="22"/>
          <w:szCs w:val="22"/>
          <w:lang w:val="el-GR"/>
        </w:rPr>
        <w:t xml:space="preserve">/ημέρα και η μέση δόση ήταν περίπου 600 </w:t>
      </w:r>
      <w:proofErr w:type="spellStart"/>
      <w:r w:rsidR="009169CD" w:rsidRPr="009169CD">
        <w:rPr>
          <w:color w:val="auto"/>
          <w:sz w:val="22"/>
          <w:szCs w:val="22"/>
          <w:lang w:val="el-GR"/>
        </w:rPr>
        <w:t>mg</w:t>
      </w:r>
      <w:proofErr w:type="spellEnd"/>
      <w:r w:rsidR="009169CD" w:rsidRPr="009169CD">
        <w:rPr>
          <w:color w:val="auto"/>
          <w:sz w:val="22"/>
          <w:szCs w:val="22"/>
          <w:lang w:val="el-GR"/>
        </w:rPr>
        <w:t>/ημέρα.</w:t>
      </w:r>
      <w:r w:rsidRPr="00A66AB5">
        <w:rPr>
          <w:color w:val="auto"/>
          <w:sz w:val="22"/>
          <w:szCs w:val="22"/>
          <w:lang w:val="el-GR"/>
        </w:rPr>
        <w:t xml:space="preserve"> Τα δεδομένα σχετικά με την </w:t>
      </w:r>
      <w:proofErr w:type="spellStart"/>
      <w:r w:rsidRPr="00A66AB5">
        <w:rPr>
          <w:color w:val="auto"/>
          <w:sz w:val="22"/>
          <w:szCs w:val="22"/>
          <w:lang w:val="el-GR"/>
        </w:rPr>
        <w:t>κουετιαπίνη</w:t>
      </w:r>
      <w:proofErr w:type="spellEnd"/>
      <w:r w:rsidRPr="00A66AB5">
        <w:rPr>
          <w:color w:val="auto"/>
          <w:sz w:val="22"/>
          <w:szCs w:val="22"/>
          <w:lang w:val="el-GR"/>
        </w:rPr>
        <w:t xml:space="preserve"> σε συνδυασμό με </w:t>
      </w:r>
      <w:proofErr w:type="spellStart"/>
      <w:r w:rsidRPr="00A66AB5">
        <w:rPr>
          <w:color w:val="auto"/>
          <w:sz w:val="22"/>
          <w:szCs w:val="22"/>
          <w:lang w:val="el-GR"/>
        </w:rPr>
        <w:t>βαλπροϊκό</w:t>
      </w:r>
      <w:proofErr w:type="spellEnd"/>
      <w:r w:rsidRPr="00A66AB5">
        <w:rPr>
          <w:color w:val="auto"/>
          <w:sz w:val="22"/>
          <w:szCs w:val="22"/>
          <w:lang w:val="el-GR"/>
        </w:rPr>
        <w:t xml:space="preserve"> νάτριο ή </w:t>
      </w:r>
      <w:proofErr w:type="spellStart"/>
      <w:r w:rsidRPr="00A66AB5">
        <w:rPr>
          <w:color w:val="auto"/>
          <w:sz w:val="22"/>
          <w:szCs w:val="22"/>
          <w:lang w:val="el-GR"/>
        </w:rPr>
        <w:t>λίθιο</w:t>
      </w:r>
      <w:proofErr w:type="spellEnd"/>
      <w:r w:rsidRPr="00A66AB5">
        <w:rPr>
          <w:color w:val="auto"/>
          <w:sz w:val="22"/>
          <w:szCs w:val="22"/>
          <w:lang w:val="el-GR"/>
        </w:rPr>
        <w:t xml:space="preserve"> σε </w:t>
      </w:r>
      <w:r w:rsidR="009169CD">
        <w:rPr>
          <w:color w:val="auto"/>
          <w:sz w:val="22"/>
          <w:szCs w:val="22"/>
          <w:lang w:val="el-GR"/>
        </w:rPr>
        <w:t xml:space="preserve">οξέα, </w:t>
      </w:r>
      <w:r w:rsidRPr="00A66AB5">
        <w:rPr>
          <w:color w:val="auto"/>
          <w:sz w:val="22"/>
          <w:szCs w:val="22"/>
          <w:lang w:val="el-GR"/>
        </w:rPr>
        <w:t xml:space="preserve">μέτριας έως βαριάς μορφής μανιακά επεισόδια στις 3 και 6 εβδομάδες είναι περιορισμένα. Ωστόσο, η θεραπεία συνδυασμού ήταν καλά ανεκτή. Τα δεδομένα έδειξαν προσθετική επίδραση την εβδομάδα 3. Μια δεύτερη μελέτη δεν κατέδειξε προσθετική επίδραση την εβδομάδα 6.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μια κλινική δοκιμή, σε ασθενείς με καταθλιπτικά επεισόδια σε διπολική διαταραχή </w:t>
      </w:r>
      <w:r w:rsidRPr="00A66AB5">
        <w:rPr>
          <w:color w:val="auto"/>
          <w:sz w:val="22"/>
          <w:szCs w:val="22"/>
        </w:rPr>
        <w:t>I</w:t>
      </w:r>
      <w:r w:rsidRPr="00A66AB5">
        <w:rPr>
          <w:color w:val="auto"/>
          <w:sz w:val="22"/>
          <w:szCs w:val="22"/>
          <w:lang w:val="el-GR"/>
        </w:rPr>
        <w:t xml:space="preserve"> ή </w:t>
      </w:r>
      <w:r w:rsidRPr="00A66AB5">
        <w:rPr>
          <w:color w:val="auto"/>
          <w:sz w:val="22"/>
          <w:szCs w:val="22"/>
        </w:rPr>
        <w:t>II</w:t>
      </w:r>
      <w:r w:rsidRPr="00A66AB5">
        <w:rPr>
          <w:color w:val="auto"/>
          <w:sz w:val="22"/>
          <w:szCs w:val="22"/>
          <w:lang w:val="el-GR"/>
        </w:rPr>
        <w:t xml:space="preserve">,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σε δόση 300 </w:t>
      </w:r>
      <w:r w:rsidRPr="00A66AB5">
        <w:rPr>
          <w:color w:val="auto"/>
          <w:sz w:val="22"/>
          <w:szCs w:val="22"/>
        </w:rPr>
        <w:t>mg</w:t>
      </w:r>
      <w:r w:rsidRPr="00A66AB5">
        <w:rPr>
          <w:color w:val="auto"/>
          <w:sz w:val="22"/>
          <w:szCs w:val="22"/>
          <w:lang w:val="el-GR"/>
        </w:rPr>
        <w:t xml:space="preserve">/ημέρα έδειξαν ανώτερη αποτελεσματικότητα σε σχέση με το εικονικό φάρμακο στη μείωση της συνολικής βαθμολογίας </w:t>
      </w:r>
      <w:r w:rsidRPr="00A66AB5">
        <w:rPr>
          <w:color w:val="auto"/>
          <w:sz w:val="22"/>
          <w:szCs w:val="22"/>
        </w:rPr>
        <w:t>MADRS</w:t>
      </w:r>
      <w:r w:rsidRPr="00A66AB5">
        <w:rPr>
          <w:color w:val="auto"/>
          <w:sz w:val="22"/>
          <w:szCs w:val="22"/>
          <w:lang w:val="el-GR"/>
        </w:rPr>
        <w:t xml:space="preserve">.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rPr>
          <w:sz w:val="22"/>
          <w:szCs w:val="22"/>
          <w:lang w:val="el-GR"/>
        </w:rPr>
      </w:pPr>
      <w:r w:rsidRPr="00A66AB5">
        <w:rPr>
          <w:sz w:val="22"/>
          <w:szCs w:val="22"/>
          <w:lang w:val="el-GR"/>
        </w:rPr>
        <w:t xml:space="preserve">Σε 4 επιπλέον κλινικές δοκιμές με </w:t>
      </w:r>
      <w:proofErr w:type="spellStart"/>
      <w:r w:rsidRPr="00A66AB5">
        <w:rPr>
          <w:sz w:val="22"/>
          <w:szCs w:val="22"/>
          <w:lang w:val="el-GR"/>
        </w:rPr>
        <w:t>κουετιαπίνη</w:t>
      </w:r>
      <w:proofErr w:type="spellEnd"/>
      <w:r w:rsidRPr="00A66AB5">
        <w:rPr>
          <w:sz w:val="22"/>
          <w:szCs w:val="22"/>
          <w:lang w:val="el-GR"/>
        </w:rPr>
        <w:t xml:space="preserve">, διάρκειας 8 εβδομάδων, σε ασθενείς με μέτριας έως βαριάς μορφής </w:t>
      </w:r>
      <w:r w:rsidR="00C15BA7" w:rsidRPr="00A66AB5">
        <w:rPr>
          <w:sz w:val="22"/>
          <w:szCs w:val="22"/>
          <w:lang w:val="el-GR"/>
        </w:rPr>
        <w:t>καταθλιπτικ</w:t>
      </w:r>
      <w:r w:rsidR="00C15BA7">
        <w:rPr>
          <w:sz w:val="22"/>
          <w:szCs w:val="22"/>
          <w:lang w:val="el-GR"/>
        </w:rPr>
        <w:t>ά</w:t>
      </w:r>
      <w:r w:rsidR="00C15BA7" w:rsidRPr="00A66AB5">
        <w:rPr>
          <w:sz w:val="22"/>
          <w:szCs w:val="22"/>
          <w:lang w:val="el-GR"/>
        </w:rPr>
        <w:t xml:space="preserve"> επεισ</w:t>
      </w:r>
      <w:r w:rsidR="00C15BA7">
        <w:rPr>
          <w:sz w:val="22"/>
          <w:szCs w:val="22"/>
          <w:lang w:val="el-GR"/>
        </w:rPr>
        <w:t>ό</w:t>
      </w:r>
      <w:r w:rsidR="00C15BA7" w:rsidRPr="00A66AB5">
        <w:rPr>
          <w:sz w:val="22"/>
          <w:szCs w:val="22"/>
          <w:lang w:val="el-GR"/>
        </w:rPr>
        <w:t>δ</w:t>
      </w:r>
      <w:r w:rsidR="00C15BA7">
        <w:rPr>
          <w:sz w:val="22"/>
          <w:szCs w:val="22"/>
          <w:lang w:val="el-GR"/>
        </w:rPr>
        <w:t>ια</w:t>
      </w:r>
      <w:r w:rsidR="00C15BA7" w:rsidRPr="00A66AB5">
        <w:rPr>
          <w:sz w:val="22"/>
          <w:szCs w:val="22"/>
          <w:lang w:val="el-GR"/>
        </w:rPr>
        <w:t xml:space="preserve"> </w:t>
      </w:r>
      <w:r w:rsidRPr="00A66AB5">
        <w:rPr>
          <w:sz w:val="22"/>
          <w:szCs w:val="22"/>
          <w:lang w:val="el-GR"/>
        </w:rPr>
        <w:t xml:space="preserve">σε διπολική διαταραχή Ι ή ΙΙ, τα δισκία </w:t>
      </w:r>
      <w:proofErr w:type="spellStart"/>
      <w:r w:rsidRPr="00A66AB5">
        <w:rPr>
          <w:sz w:val="22"/>
          <w:szCs w:val="22"/>
          <w:lang w:val="el-GR"/>
        </w:rPr>
        <w:t>κουετιαπίνης</w:t>
      </w:r>
      <w:proofErr w:type="spellEnd"/>
      <w:r w:rsidR="004E7F7D" w:rsidRPr="004E7F7D">
        <w:rPr>
          <w:sz w:val="22"/>
          <w:szCs w:val="22"/>
          <w:lang w:val="el-GR"/>
        </w:rPr>
        <w:t xml:space="preserve"> άμεσης αποδέσμευσης</w:t>
      </w:r>
      <w:r w:rsidRPr="00A66AB5">
        <w:rPr>
          <w:sz w:val="22"/>
          <w:szCs w:val="22"/>
          <w:lang w:val="el-GR"/>
        </w:rPr>
        <w:t xml:space="preserve"> 300</w:t>
      </w:r>
      <w:r w:rsidRPr="00A66AB5">
        <w:rPr>
          <w:sz w:val="22"/>
          <w:szCs w:val="22"/>
        </w:rPr>
        <w:t> mg</w:t>
      </w:r>
      <w:r w:rsidRPr="00A66AB5">
        <w:rPr>
          <w:sz w:val="22"/>
          <w:szCs w:val="22"/>
          <w:lang w:val="el-GR"/>
        </w:rPr>
        <w:t xml:space="preserve"> και 600</w:t>
      </w:r>
      <w:r w:rsidRPr="00A66AB5">
        <w:rPr>
          <w:sz w:val="22"/>
          <w:szCs w:val="22"/>
        </w:rPr>
        <w:t> mg</w:t>
      </w:r>
      <w:r w:rsidRPr="00A66AB5">
        <w:rPr>
          <w:sz w:val="22"/>
          <w:szCs w:val="22"/>
          <w:lang w:val="el-GR"/>
        </w:rPr>
        <w:t xml:space="preserve"> ήταν σημαντικά ανώτερα σε σχέση με ασθενείς που έλαβαν εικονικό φάρμακο, ως προς τα σχετικά μέτρα έκβασης: μέση </w:t>
      </w:r>
      <w:r w:rsidRPr="00A66AB5">
        <w:rPr>
          <w:sz w:val="22"/>
          <w:szCs w:val="22"/>
          <w:lang w:val="el-GR"/>
        </w:rPr>
        <w:lastRenderedPageBreak/>
        <w:t xml:space="preserve">βελτίωση στο </w:t>
      </w:r>
      <w:r w:rsidRPr="00A66AB5">
        <w:rPr>
          <w:sz w:val="22"/>
          <w:szCs w:val="22"/>
        </w:rPr>
        <w:t>MADRS</w:t>
      </w:r>
      <w:r w:rsidRPr="00A66AB5">
        <w:rPr>
          <w:sz w:val="22"/>
          <w:szCs w:val="22"/>
          <w:lang w:val="el-GR"/>
        </w:rPr>
        <w:t xml:space="preserve"> και στην ανταπόκριση, η οποία ορίζεται ως τουλάχιστον 50% βελτίωση στη συνολική βαθμολογία </w:t>
      </w:r>
      <w:r w:rsidRPr="00A66AB5">
        <w:rPr>
          <w:sz w:val="22"/>
          <w:szCs w:val="22"/>
        </w:rPr>
        <w:t>MADRS</w:t>
      </w:r>
      <w:r w:rsidRPr="00A66AB5">
        <w:rPr>
          <w:sz w:val="22"/>
          <w:szCs w:val="22"/>
          <w:lang w:val="el-GR"/>
        </w:rPr>
        <w:t xml:space="preserve"> σε σχέση με την αρχική αξιολόγηση. Δεν υπήρξε διαφορά στον βαθμό της επίδρασης μεταξύ των ασθενών που έλαβαν δισκία </w:t>
      </w:r>
      <w:proofErr w:type="spellStart"/>
      <w:r w:rsidRPr="00A66AB5">
        <w:rPr>
          <w:sz w:val="22"/>
          <w:szCs w:val="22"/>
          <w:lang w:val="el-GR"/>
        </w:rPr>
        <w:t>κουετιαπίνης</w:t>
      </w:r>
      <w:proofErr w:type="spellEnd"/>
      <w:r w:rsidR="004E7F7D" w:rsidRPr="004E7F7D">
        <w:rPr>
          <w:sz w:val="22"/>
          <w:szCs w:val="22"/>
          <w:lang w:val="el-GR"/>
        </w:rPr>
        <w:t xml:space="preserve"> άμεσης αποδέσμευσης</w:t>
      </w:r>
      <w:r w:rsidRPr="00A66AB5">
        <w:rPr>
          <w:sz w:val="22"/>
          <w:szCs w:val="22"/>
          <w:lang w:val="el-GR"/>
        </w:rPr>
        <w:t xml:space="preserve"> 300</w:t>
      </w:r>
      <w:r w:rsidRPr="00A66AB5">
        <w:rPr>
          <w:sz w:val="22"/>
          <w:szCs w:val="22"/>
        </w:rPr>
        <w:t> mg</w:t>
      </w:r>
      <w:r w:rsidRPr="00A66AB5">
        <w:rPr>
          <w:sz w:val="22"/>
          <w:szCs w:val="22"/>
          <w:lang w:val="el-GR"/>
        </w:rPr>
        <w:t xml:space="preserve"> και σε εκείνους που έλαβαν δόση 600</w:t>
      </w:r>
      <w:r w:rsidRPr="00A66AB5">
        <w:rPr>
          <w:sz w:val="22"/>
          <w:szCs w:val="22"/>
        </w:rPr>
        <w:t> mg</w:t>
      </w:r>
      <w:r w:rsidRPr="00A66AB5">
        <w:rPr>
          <w:sz w:val="22"/>
          <w:szCs w:val="22"/>
          <w:lang w:val="el-GR"/>
        </w:rPr>
        <w:t>.</w:t>
      </w:r>
    </w:p>
    <w:p w:rsidR="00380EEB" w:rsidRPr="00A66AB5" w:rsidRDefault="00380EEB">
      <w:pPr>
        <w:rPr>
          <w:sz w:val="22"/>
          <w:szCs w:val="22"/>
          <w:lang w:val="el-GR"/>
        </w:rPr>
      </w:pPr>
    </w:p>
    <w:p w:rsidR="00380EEB" w:rsidRPr="00A66AB5" w:rsidRDefault="00380EEB">
      <w:pPr>
        <w:rPr>
          <w:strike/>
          <w:vanish/>
          <w:sz w:val="22"/>
          <w:szCs w:val="22"/>
          <w:u w:val="double"/>
          <w:lang w:val="el-GR"/>
        </w:rPr>
      </w:pPr>
      <w:r w:rsidRPr="00A66AB5">
        <w:rPr>
          <w:sz w:val="22"/>
          <w:szCs w:val="22"/>
          <w:lang w:val="el-GR"/>
        </w:rPr>
        <w:t xml:space="preserve">Στη φάση συνέχισης σε δύο από αυτές τις μελέτες, καταδείχθηκε ότι η μακροπρόθεσμη θεραπεία ασθενών που ανταποκρίθηκαν σε δισκία </w:t>
      </w:r>
      <w:proofErr w:type="spellStart"/>
      <w:r w:rsidRPr="00A66AB5">
        <w:rPr>
          <w:sz w:val="22"/>
          <w:szCs w:val="22"/>
          <w:lang w:val="el-GR"/>
        </w:rPr>
        <w:t>κουετιαπίνης</w:t>
      </w:r>
      <w:proofErr w:type="spellEnd"/>
      <w:r w:rsidR="004E7F7D" w:rsidRPr="004E7F7D">
        <w:rPr>
          <w:sz w:val="22"/>
          <w:szCs w:val="22"/>
          <w:lang w:val="el-GR"/>
        </w:rPr>
        <w:t xml:space="preserve"> άμεσης αποδέσμευσης</w:t>
      </w:r>
      <w:r w:rsidRPr="00A66AB5">
        <w:rPr>
          <w:sz w:val="22"/>
          <w:szCs w:val="22"/>
          <w:lang w:val="el-GR"/>
        </w:rPr>
        <w:t xml:space="preserve"> 300 ή 600</w:t>
      </w:r>
      <w:r w:rsidRPr="00A66AB5">
        <w:rPr>
          <w:sz w:val="22"/>
          <w:szCs w:val="22"/>
        </w:rPr>
        <w:t> mg</w:t>
      </w:r>
      <w:r w:rsidRPr="00A66AB5">
        <w:rPr>
          <w:sz w:val="22"/>
          <w:szCs w:val="22"/>
          <w:lang w:val="el-GR"/>
        </w:rPr>
        <w:t xml:space="preserve"> ήταν αποτελεσματική σε σύγκριση με τη θεραπεία με εικονικό φάρμακο όσον αφορά τα καταθλιπτικά συμπτώματα, αλλά όχι όσον αφορά τα μανιακά συμπτώματα.</w:t>
      </w:r>
    </w:p>
    <w:p w:rsidR="00380EEB" w:rsidRPr="00A66AB5" w:rsidRDefault="00380EEB">
      <w:pPr>
        <w:rPr>
          <w:sz w:val="22"/>
          <w:szCs w:val="22"/>
          <w:u w:val="double"/>
          <w:lang w:val="el-GR"/>
        </w:rPr>
      </w:pPr>
    </w:p>
    <w:p w:rsidR="00380EEB" w:rsidRPr="00A66AB5" w:rsidRDefault="00380EEB">
      <w:pPr>
        <w:rPr>
          <w:sz w:val="22"/>
          <w:szCs w:val="22"/>
          <w:lang w:val="el-GR"/>
        </w:rPr>
      </w:pPr>
      <w:r w:rsidRPr="00A66AB5">
        <w:rPr>
          <w:sz w:val="22"/>
          <w:szCs w:val="22"/>
          <w:lang w:val="el-GR"/>
        </w:rPr>
        <w:t xml:space="preserve">Σε δύο μελέτες πρόληψης υποτροπών στις οποίες αξιολογήθηκε η </w:t>
      </w:r>
      <w:proofErr w:type="spellStart"/>
      <w:r w:rsidRPr="00A66AB5">
        <w:rPr>
          <w:sz w:val="22"/>
          <w:szCs w:val="22"/>
          <w:lang w:val="el-GR"/>
        </w:rPr>
        <w:t>κουετιαπίνη</w:t>
      </w:r>
      <w:proofErr w:type="spellEnd"/>
      <w:r w:rsidRPr="00A66AB5">
        <w:rPr>
          <w:sz w:val="22"/>
          <w:szCs w:val="22"/>
          <w:lang w:val="el-GR"/>
        </w:rPr>
        <w:t xml:space="preserve"> σε συνδυασμό με σταθεροποιητικά διάθεσης, σε ασθενείς με μανιακά, καταθλιπτικά ή μεικτά επεισόδια, ο συνδυασμός με </w:t>
      </w:r>
      <w:proofErr w:type="spellStart"/>
      <w:r w:rsidRPr="00A66AB5">
        <w:rPr>
          <w:sz w:val="22"/>
          <w:szCs w:val="22"/>
          <w:lang w:val="el-GR"/>
        </w:rPr>
        <w:t>κουετιαπίνη</w:t>
      </w:r>
      <w:proofErr w:type="spellEnd"/>
      <w:r w:rsidRPr="00A66AB5">
        <w:rPr>
          <w:sz w:val="22"/>
          <w:szCs w:val="22"/>
          <w:lang w:val="el-GR"/>
        </w:rPr>
        <w:t xml:space="preserve"> ήταν ανώτερος από τη </w:t>
      </w:r>
      <w:proofErr w:type="spellStart"/>
      <w:r w:rsidRPr="00A66AB5">
        <w:rPr>
          <w:sz w:val="22"/>
          <w:szCs w:val="22"/>
          <w:lang w:val="el-GR"/>
        </w:rPr>
        <w:t>μονοθεραπεία</w:t>
      </w:r>
      <w:proofErr w:type="spellEnd"/>
      <w:r w:rsidRPr="00A66AB5">
        <w:rPr>
          <w:sz w:val="22"/>
          <w:szCs w:val="22"/>
          <w:lang w:val="el-GR"/>
        </w:rPr>
        <w:t xml:space="preserve"> με σταθεροποιητικά διάθεσης στην αύξηση του χρόνου μέχρι την υποτροπή οποιουδήποτε συμβάντος διάθεσης (μανιακό, μεικτό ή καταθλιπτικό). Η </w:t>
      </w:r>
      <w:proofErr w:type="spellStart"/>
      <w:r w:rsidRPr="00A66AB5">
        <w:rPr>
          <w:sz w:val="22"/>
          <w:szCs w:val="22"/>
          <w:lang w:val="el-GR"/>
        </w:rPr>
        <w:t>κουετιαπίνη</w:t>
      </w:r>
      <w:proofErr w:type="spellEnd"/>
      <w:r w:rsidRPr="00A66AB5">
        <w:rPr>
          <w:sz w:val="22"/>
          <w:szCs w:val="22"/>
          <w:lang w:val="el-GR"/>
        </w:rPr>
        <w:t xml:space="preserve"> χορηγήθηκε δύο φορές ημερησίως έως σύνολο δόσης 400</w:t>
      </w:r>
      <w:r w:rsidRPr="00A66AB5">
        <w:rPr>
          <w:sz w:val="22"/>
          <w:szCs w:val="22"/>
        </w:rPr>
        <w:t> mg</w:t>
      </w:r>
      <w:r w:rsidRPr="00A66AB5">
        <w:rPr>
          <w:sz w:val="22"/>
          <w:szCs w:val="22"/>
          <w:lang w:val="el-GR"/>
        </w:rPr>
        <w:t xml:space="preserve"> έως 800</w:t>
      </w:r>
      <w:r w:rsidRPr="00A66AB5">
        <w:rPr>
          <w:sz w:val="22"/>
          <w:szCs w:val="22"/>
        </w:rPr>
        <w:t> mg</w:t>
      </w:r>
      <w:r w:rsidRPr="00A66AB5">
        <w:rPr>
          <w:sz w:val="22"/>
          <w:szCs w:val="22"/>
          <w:lang w:val="el-GR"/>
        </w:rPr>
        <w:t xml:space="preserve"> την ημέρα, ως θεραπεία συνδυασμού με </w:t>
      </w:r>
      <w:proofErr w:type="spellStart"/>
      <w:r w:rsidRPr="00A66AB5">
        <w:rPr>
          <w:sz w:val="22"/>
          <w:szCs w:val="22"/>
          <w:lang w:val="el-GR"/>
        </w:rPr>
        <w:t>λίθιο</w:t>
      </w:r>
      <w:proofErr w:type="spellEnd"/>
      <w:r w:rsidRPr="00A66AB5">
        <w:rPr>
          <w:sz w:val="22"/>
          <w:szCs w:val="22"/>
          <w:lang w:val="el-GR"/>
        </w:rPr>
        <w:t xml:space="preserve"> ή </w:t>
      </w:r>
      <w:proofErr w:type="spellStart"/>
      <w:r w:rsidRPr="00A66AB5">
        <w:rPr>
          <w:sz w:val="22"/>
          <w:szCs w:val="22"/>
          <w:lang w:val="el-GR"/>
        </w:rPr>
        <w:t>βαλπροϊκό</w:t>
      </w:r>
      <w:proofErr w:type="spellEnd"/>
      <w:r w:rsidRPr="00A66AB5">
        <w:rPr>
          <w:sz w:val="22"/>
          <w:szCs w:val="22"/>
          <w:lang w:val="el-GR"/>
        </w:rPr>
        <w:t xml:space="preserve">. </w:t>
      </w:r>
    </w:p>
    <w:p w:rsidR="00380EEB" w:rsidRPr="00A66AB5" w:rsidRDefault="00380EEB">
      <w:pPr>
        <w:rPr>
          <w:sz w:val="22"/>
          <w:szCs w:val="22"/>
          <w:lang w:val="el-GR"/>
        </w:rPr>
      </w:pPr>
    </w:p>
    <w:p w:rsidR="00380EEB" w:rsidRPr="00A66AB5" w:rsidRDefault="00380EEB">
      <w:pPr>
        <w:rPr>
          <w:sz w:val="22"/>
          <w:szCs w:val="22"/>
          <w:lang w:val="el-GR"/>
        </w:rPr>
      </w:pPr>
      <w:r w:rsidRPr="00A66AB5">
        <w:rPr>
          <w:sz w:val="22"/>
          <w:szCs w:val="22"/>
          <w:lang w:val="el-GR"/>
        </w:rPr>
        <w:t xml:space="preserve">Σε μια μακροπρόθεσμη μελέτη (θεραπεία μέχρι 2 έτη) στην οποία αξιολογήθηκε η πρόληψη των υποτροπών σε ασθενείς με μανιακά, καταθλιπτικά ή μεικτά επεισόδια, η </w:t>
      </w:r>
      <w:proofErr w:type="spellStart"/>
      <w:r w:rsidRPr="00A66AB5">
        <w:rPr>
          <w:sz w:val="22"/>
          <w:szCs w:val="22"/>
          <w:lang w:val="el-GR"/>
        </w:rPr>
        <w:t>κουετιαπίνη</w:t>
      </w:r>
      <w:proofErr w:type="spellEnd"/>
      <w:r w:rsidRPr="00A66AB5">
        <w:rPr>
          <w:sz w:val="22"/>
          <w:szCs w:val="22"/>
          <w:lang w:val="el-GR"/>
        </w:rPr>
        <w:t xml:space="preserve"> ήταν ανώτερη από το εικονικό φάρμακο στην αύξηση του χρόνου μέχρι την υποτροπή οποιουδήποτε συμβάντος διάθεσης (μανιακό, μεικτό ή καταθλιπτικό) σε ασθενείς με διπολική διαταραχή τύπου Ι. Ο αριθμός ασθενών με συμβάντα διάθεσης ήταν 91 (22,5%) στην ομάδα </w:t>
      </w:r>
      <w:proofErr w:type="spellStart"/>
      <w:r w:rsidRPr="00A66AB5">
        <w:rPr>
          <w:sz w:val="22"/>
          <w:szCs w:val="22"/>
          <w:lang w:val="el-GR"/>
        </w:rPr>
        <w:t>κουετιαπίνης</w:t>
      </w:r>
      <w:proofErr w:type="spellEnd"/>
      <w:r w:rsidRPr="00A66AB5">
        <w:rPr>
          <w:sz w:val="22"/>
          <w:szCs w:val="22"/>
          <w:lang w:val="el-GR"/>
        </w:rPr>
        <w:t xml:space="preserve">, 208 (51,5%) στην ομάδα εικονικού φαρμάκου και 95 (26,1%) στις ομάδες θεραπείας με </w:t>
      </w:r>
      <w:proofErr w:type="spellStart"/>
      <w:r w:rsidRPr="00A66AB5">
        <w:rPr>
          <w:sz w:val="22"/>
          <w:szCs w:val="22"/>
          <w:lang w:val="el-GR"/>
        </w:rPr>
        <w:t>λίθιο</w:t>
      </w:r>
      <w:proofErr w:type="spellEnd"/>
      <w:r w:rsidRPr="00A66AB5">
        <w:rPr>
          <w:sz w:val="22"/>
          <w:szCs w:val="22"/>
          <w:lang w:val="el-GR"/>
        </w:rPr>
        <w:t xml:space="preserve">, αντίστοιχα. </w:t>
      </w:r>
      <w:r w:rsidRPr="00A66AB5">
        <w:rPr>
          <w:color w:val="000000"/>
          <w:sz w:val="22"/>
          <w:szCs w:val="22"/>
          <w:lang w:val="el-GR"/>
        </w:rPr>
        <w:t xml:space="preserve">Σε ασθενείς που ανταποκρίθηκαν στην </w:t>
      </w:r>
      <w:proofErr w:type="spellStart"/>
      <w:r w:rsidRPr="00A66AB5">
        <w:rPr>
          <w:color w:val="000000"/>
          <w:sz w:val="22"/>
          <w:szCs w:val="22"/>
          <w:lang w:val="el-GR"/>
        </w:rPr>
        <w:t>κουετιαπίνη</w:t>
      </w:r>
      <w:proofErr w:type="spellEnd"/>
      <w:r w:rsidRPr="00A66AB5">
        <w:rPr>
          <w:color w:val="000000"/>
          <w:sz w:val="22"/>
          <w:szCs w:val="22"/>
          <w:lang w:val="el-GR"/>
        </w:rPr>
        <w:t xml:space="preserve">, κατά τη σύγκριση της συνεχιζόμενης θεραπείας με </w:t>
      </w:r>
      <w:proofErr w:type="spellStart"/>
      <w:r w:rsidRPr="00A66AB5">
        <w:rPr>
          <w:color w:val="000000"/>
          <w:sz w:val="22"/>
          <w:szCs w:val="22"/>
          <w:lang w:val="el-GR"/>
        </w:rPr>
        <w:t>κουετιαπίνη</w:t>
      </w:r>
      <w:proofErr w:type="spellEnd"/>
      <w:r w:rsidRPr="00A66AB5">
        <w:rPr>
          <w:color w:val="000000"/>
          <w:sz w:val="22"/>
          <w:szCs w:val="22"/>
          <w:lang w:val="el-GR"/>
        </w:rPr>
        <w:t xml:space="preserve"> με τη μετάβαση σε </w:t>
      </w:r>
      <w:proofErr w:type="spellStart"/>
      <w:r w:rsidRPr="00A66AB5">
        <w:rPr>
          <w:color w:val="000000"/>
          <w:sz w:val="22"/>
          <w:szCs w:val="22"/>
          <w:lang w:val="el-GR"/>
        </w:rPr>
        <w:t>λίθιο</w:t>
      </w:r>
      <w:proofErr w:type="spellEnd"/>
      <w:r w:rsidRPr="00A66AB5">
        <w:rPr>
          <w:color w:val="000000"/>
          <w:sz w:val="22"/>
          <w:szCs w:val="22"/>
          <w:lang w:val="el-GR"/>
        </w:rPr>
        <w:t xml:space="preserve">, τα αποτελέσματα υπέδειξαν ότι η μετάβαση σε θεραπεία με </w:t>
      </w:r>
      <w:proofErr w:type="spellStart"/>
      <w:r w:rsidRPr="00A66AB5">
        <w:rPr>
          <w:color w:val="000000"/>
          <w:sz w:val="22"/>
          <w:szCs w:val="22"/>
          <w:lang w:val="el-GR"/>
        </w:rPr>
        <w:t>λίθιο</w:t>
      </w:r>
      <w:proofErr w:type="spellEnd"/>
      <w:r w:rsidRPr="00A66AB5">
        <w:rPr>
          <w:color w:val="000000"/>
          <w:sz w:val="22"/>
          <w:szCs w:val="22"/>
          <w:lang w:val="el-GR"/>
        </w:rPr>
        <w:t xml:space="preserve"> δεν φαίνεται να συσχετίζεται με αυξημένο χρόνο μέχρι την υποτροπή ενός συμβάντος διάθεσης.</w:t>
      </w:r>
    </w:p>
    <w:p w:rsidR="00380EEB" w:rsidRPr="00A66AB5" w:rsidRDefault="00380EEB">
      <w:pPr>
        <w:pStyle w:val="Web"/>
        <w:spacing w:before="0" w:beforeAutospacing="0" w:after="0"/>
        <w:jc w:val="both"/>
        <w:rPr>
          <w:b/>
          <w:color w:val="auto"/>
          <w:sz w:val="22"/>
          <w:szCs w:val="22"/>
          <w:lang w:val="el-GR"/>
        </w:rPr>
      </w:pPr>
    </w:p>
    <w:p w:rsidR="00380EEB" w:rsidRPr="00A66AB5" w:rsidRDefault="00380EEB">
      <w:pPr>
        <w:pStyle w:val="Web"/>
        <w:spacing w:before="0" w:beforeAutospacing="0" w:after="0"/>
        <w:jc w:val="both"/>
        <w:rPr>
          <w:b/>
          <w:color w:val="auto"/>
          <w:sz w:val="22"/>
          <w:szCs w:val="22"/>
          <w:lang w:val="el-GR"/>
        </w:rPr>
      </w:pPr>
      <w:r w:rsidRPr="00A66AB5">
        <w:rPr>
          <w:b/>
          <w:color w:val="auto"/>
          <w:sz w:val="22"/>
          <w:szCs w:val="22"/>
          <w:lang w:val="el-GR"/>
        </w:rPr>
        <w:t>Μείζονα καταθλιπτικά επεισόδια σε ΜΚΔ</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δύο βραχυπρόθεσμες (διάρκειας 6 εβδομάδων) μελέτες εγγράφηκαν ασθενείς που είχαν δείξει ανεπαρκή ανταπόκριση σε τουλάχιστον ένα αντικαταθλιπτικό.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150 </w:t>
      </w:r>
      <w:r w:rsidRPr="00A66AB5">
        <w:rPr>
          <w:color w:val="auto"/>
          <w:sz w:val="22"/>
          <w:szCs w:val="22"/>
        </w:rPr>
        <w:t>mg</w:t>
      </w:r>
      <w:r w:rsidRPr="00A66AB5">
        <w:rPr>
          <w:color w:val="auto"/>
          <w:sz w:val="22"/>
          <w:szCs w:val="22"/>
          <w:lang w:val="el-GR"/>
        </w:rPr>
        <w:t xml:space="preserve"> και 300 </w:t>
      </w:r>
      <w:r w:rsidRPr="00A66AB5">
        <w:rPr>
          <w:color w:val="auto"/>
          <w:sz w:val="22"/>
          <w:szCs w:val="22"/>
        </w:rPr>
        <w:t>mg</w:t>
      </w:r>
      <w:r w:rsidRPr="00A66AB5">
        <w:rPr>
          <w:color w:val="auto"/>
          <w:sz w:val="22"/>
          <w:szCs w:val="22"/>
          <w:lang w:val="el-GR"/>
        </w:rPr>
        <w:t>/ημέρα, χορηγούμενα ως θεραπεία προσθήκης σε συνεχιζόμενη αντικαταθλιπτική θεραπεία (</w:t>
      </w:r>
      <w:proofErr w:type="spellStart"/>
      <w:r w:rsidRPr="00A66AB5">
        <w:rPr>
          <w:color w:val="auto"/>
          <w:sz w:val="22"/>
          <w:szCs w:val="22"/>
          <w:lang w:val="el-GR"/>
        </w:rPr>
        <w:t>αμιτριπτυλίνη</w:t>
      </w:r>
      <w:proofErr w:type="spellEnd"/>
      <w:r w:rsidRPr="00A66AB5">
        <w:rPr>
          <w:color w:val="auto"/>
          <w:sz w:val="22"/>
          <w:szCs w:val="22"/>
          <w:lang w:val="el-GR"/>
        </w:rPr>
        <w:t xml:space="preserve">, </w:t>
      </w:r>
      <w:proofErr w:type="spellStart"/>
      <w:r w:rsidRPr="00A66AB5">
        <w:rPr>
          <w:color w:val="auto"/>
          <w:sz w:val="22"/>
          <w:szCs w:val="22"/>
          <w:lang w:val="el-GR"/>
        </w:rPr>
        <w:t>βουπροπιόνη</w:t>
      </w:r>
      <w:proofErr w:type="spellEnd"/>
      <w:r w:rsidRPr="00A66AB5">
        <w:rPr>
          <w:color w:val="auto"/>
          <w:sz w:val="22"/>
          <w:szCs w:val="22"/>
          <w:lang w:val="el-GR"/>
        </w:rPr>
        <w:t xml:space="preserve">, </w:t>
      </w:r>
      <w:proofErr w:type="spellStart"/>
      <w:r w:rsidRPr="00A66AB5">
        <w:rPr>
          <w:color w:val="auto"/>
          <w:sz w:val="22"/>
          <w:szCs w:val="22"/>
          <w:lang w:val="el-GR"/>
        </w:rPr>
        <w:t>σιταλοπράμη</w:t>
      </w:r>
      <w:proofErr w:type="spellEnd"/>
      <w:r w:rsidRPr="00A66AB5">
        <w:rPr>
          <w:color w:val="auto"/>
          <w:sz w:val="22"/>
          <w:szCs w:val="22"/>
          <w:lang w:val="el-GR"/>
        </w:rPr>
        <w:t xml:space="preserve">, </w:t>
      </w:r>
      <w:proofErr w:type="spellStart"/>
      <w:r w:rsidRPr="00A66AB5">
        <w:rPr>
          <w:color w:val="auto"/>
          <w:sz w:val="22"/>
          <w:szCs w:val="22"/>
          <w:lang w:val="el-GR"/>
        </w:rPr>
        <w:t>δουλοξετίνη</w:t>
      </w:r>
      <w:proofErr w:type="spellEnd"/>
      <w:r w:rsidRPr="00A66AB5">
        <w:rPr>
          <w:color w:val="auto"/>
          <w:sz w:val="22"/>
          <w:szCs w:val="22"/>
          <w:lang w:val="el-GR"/>
        </w:rPr>
        <w:t xml:space="preserve">, </w:t>
      </w:r>
      <w:proofErr w:type="spellStart"/>
      <w:r w:rsidRPr="00A66AB5">
        <w:rPr>
          <w:color w:val="auto"/>
          <w:sz w:val="22"/>
          <w:szCs w:val="22"/>
          <w:lang w:val="el-GR"/>
        </w:rPr>
        <w:t>εσιταλοπράμη</w:t>
      </w:r>
      <w:proofErr w:type="spellEnd"/>
      <w:r w:rsidRPr="00A66AB5">
        <w:rPr>
          <w:color w:val="auto"/>
          <w:sz w:val="22"/>
          <w:szCs w:val="22"/>
          <w:lang w:val="el-GR"/>
        </w:rPr>
        <w:t xml:space="preserve">, </w:t>
      </w:r>
      <w:proofErr w:type="spellStart"/>
      <w:r w:rsidRPr="00A66AB5">
        <w:rPr>
          <w:color w:val="auto"/>
          <w:sz w:val="22"/>
          <w:szCs w:val="22"/>
          <w:lang w:val="el-GR"/>
        </w:rPr>
        <w:t>φλουοξετίνη</w:t>
      </w:r>
      <w:proofErr w:type="spellEnd"/>
      <w:r w:rsidRPr="00A66AB5">
        <w:rPr>
          <w:color w:val="auto"/>
          <w:sz w:val="22"/>
          <w:szCs w:val="22"/>
          <w:lang w:val="el-GR"/>
        </w:rPr>
        <w:t xml:space="preserve">, </w:t>
      </w:r>
      <w:proofErr w:type="spellStart"/>
      <w:r w:rsidRPr="00A66AB5">
        <w:rPr>
          <w:color w:val="auto"/>
          <w:sz w:val="22"/>
          <w:szCs w:val="22"/>
          <w:lang w:val="el-GR"/>
        </w:rPr>
        <w:t>παροξετίνη</w:t>
      </w:r>
      <w:proofErr w:type="spellEnd"/>
      <w:r w:rsidRPr="00A66AB5">
        <w:rPr>
          <w:color w:val="auto"/>
          <w:sz w:val="22"/>
          <w:szCs w:val="22"/>
          <w:lang w:val="el-GR"/>
        </w:rPr>
        <w:t xml:space="preserve">, </w:t>
      </w:r>
      <w:proofErr w:type="spellStart"/>
      <w:r w:rsidRPr="00A66AB5">
        <w:rPr>
          <w:color w:val="auto"/>
          <w:sz w:val="22"/>
          <w:szCs w:val="22"/>
          <w:lang w:val="el-GR"/>
        </w:rPr>
        <w:t>σερτραλίνη</w:t>
      </w:r>
      <w:proofErr w:type="spellEnd"/>
      <w:r w:rsidRPr="00A66AB5">
        <w:rPr>
          <w:color w:val="auto"/>
          <w:sz w:val="22"/>
          <w:szCs w:val="22"/>
          <w:lang w:val="el-GR"/>
        </w:rPr>
        <w:t xml:space="preserve"> ή </w:t>
      </w:r>
      <w:proofErr w:type="spellStart"/>
      <w:r w:rsidRPr="00A66AB5">
        <w:rPr>
          <w:color w:val="auto"/>
          <w:sz w:val="22"/>
          <w:szCs w:val="22"/>
          <w:lang w:val="el-GR"/>
        </w:rPr>
        <w:t>βενλαφαξίνη</w:t>
      </w:r>
      <w:proofErr w:type="spellEnd"/>
      <w:r w:rsidRPr="00A66AB5">
        <w:rPr>
          <w:color w:val="auto"/>
          <w:sz w:val="22"/>
          <w:szCs w:val="22"/>
          <w:lang w:val="el-GR"/>
        </w:rPr>
        <w:t xml:space="preserve">) κατέδειξαν ανωτερότητα σε σχέση με αντικαταθλιπτική θεραπεία μόνο, στη μείωση των καταθλιπτικών συμπτωμάτων όπως μετρώνται από τη βελτίωση στη συνολική βαθμολογία </w:t>
      </w:r>
      <w:r w:rsidRPr="00A66AB5">
        <w:rPr>
          <w:color w:val="auto"/>
          <w:sz w:val="22"/>
          <w:szCs w:val="22"/>
        </w:rPr>
        <w:t>MADRS</w:t>
      </w:r>
      <w:r w:rsidRPr="00A66AB5">
        <w:rPr>
          <w:color w:val="auto"/>
          <w:sz w:val="22"/>
          <w:szCs w:val="22"/>
          <w:lang w:val="el-GR"/>
        </w:rPr>
        <w:t xml:space="preserve"> (μέση αλλαγή </w:t>
      </w:r>
      <w:r w:rsidRPr="00A66AB5">
        <w:rPr>
          <w:color w:val="auto"/>
          <w:sz w:val="22"/>
          <w:szCs w:val="22"/>
        </w:rPr>
        <w:t>LS</w:t>
      </w:r>
      <w:r w:rsidRPr="00A66AB5">
        <w:rPr>
          <w:color w:val="auto"/>
          <w:sz w:val="22"/>
          <w:szCs w:val="22"/>
          <w:lang w:val="el-GR"/>
        </w:rPr>
        <w:t xml:space="preserve"> έναντι εικονικού φαρμάκου της τάξης των 2-3,3 βαθμών).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Η μακροπρόθεσμη αποτελεσματικότητα και ασφάλεια σε ασθενείς με ΜΚΔ δεν έχει αξιολογηθεί ως θεραπεία προσθήκης. Ωστόσο, η μακροπρόθεσμη αποτελεσματικότητα και ασφάλεια έχουν αξιολογηθεί σε ενήλικες ασθενείς ως </w:t>
      </w:r>
      <w:proofErr w:type="spellStart"/>
      <w:r w:rsidRPr="00A66AB5">
        <w:rPr>
          <w:color w:val="auto"/>
          <w:sz w:val="22"/>
          <w:szCs w:val="22"/>
          <w:lang w:val="el-GR"/>
        </w:rPr>
        <w:t>μονοθεραπεία</w:t>
      </w:r>
      <w:proofErr w:type="spellEnd"/>
      <w:r w:rsidRPr="00A66AB5">
        <w:rPr>
          <w:color w:val="auto"/>
          <w:sz w:val="22"/>
          <w:szCs w:val="22"/>
          <w:lang w:val="el-GR"/>
        </w:rPr>
        <w:t xml:space="preserve"> (βλ. παρακάτω).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Οι ακόλουθες μελέτες διεξήχθηκαν με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ως </w:t>
      </w:r>
      <w:proofErr w:type="spellStart"/>
      <w:r w:rsidRPr="00A66AB5">
        <w:rPr>
          <w:color w:val="auto"/>
          <w:sz w:val="22"/>
          <w:szCs w:val="22"/>
          <w:lang w:val="el-GR"/>
        </w:rPr>
        <w:t>μονοθεραπεία</w:t>
      </w:r>
      <w:proofErr w:type="spellEnd"/>
      <w:r w:rsidRPr="00A66AB5">
        <w:rPr>
          <w:color w:val="auto"/>
          <w:sz w:val="22"/>
          <w:szCs w:val="22"/>
          <w:lang w:val="el-GR"/>
        </w:rPr>
        <w:t xml:space="preserve">. Ωστόσο, </w:t>
      </w:r>
      <w:r w:rsidR="003E7EF0" w:rsidRPr="00A66AB5">
        <w:rPr>
          <w:color w:val="auto"/>
          <w:sz w:val="22"/>
          <w:szCs w:val="22"/>
          <w:lang w:val="el-GR"/>
        </w:rPr>
        <w:t>τ</w:t>
      </w:r>
      <w:r w:rsidR="003E7EF0">
        <w:rPr>
          <w:color w:val="auto"/>
          <w:sz w:val="22"/>
          <w:szCs w:val="22"/>
          <w:lang w:val="el-GR"/>
        </w:rPr>
        <w:t>ο</w:t>
      </w:r>
      <w:r w:rsidR="003E7EF0" w:rsidRPr="00A66AB5">
        <w:rPr>
          <w:color w:val="auto"/>
          <w:sz w:val="22"/>
          <w:szCs w:val="22"/>
          <w:lang w:val="el-GR"/>
        </w:rPr>
        <w:t xml:space="preserve"> δισκί</w:t>
      </w:r>
      <w:r w:rsidR="003E7EF0">
        <w:rPr>
          <w:color w:val="auto"/>
          <w:sz w:val="22"/>
          <w:szCs w:val="22"/>
          <w:lang w:val="el-GR"/>
        </w:rPr>
        <w:t>ο</w:t>
      </w:r>
      <w:r w:rsidR="003E7EF0" w:rsidRPr="00A66AB5">
        <w:rPr>
          <w:color w:val="auto"/>
          <w:sz w:val="22"/>
          <w:szCs w:val="22"/>
          <w:lang w:val="el-GR"/>
        </w:rPr>
        <w:t xml:space="preserve">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ενδείκνυται μόνο ως θεραπεία προσθήκης. </w:t>
      </w:r>
    </w:p>
    <w:p w:rsidR="00380EEB" w:rsidRPr="00A66AB5" w:rsidRDefault="00380EEB">
      <w:pPr>
        <w:pStyle w:val="Web"/>
        <w:spacing w:before="0" w:beforeAutospacing="0" w:after="0"/>
        <w:jc w:val="both"/>
        <w:rPr>
          <w:color w:val="auto"/>
          <w:sz w:val="22"/>
          <w:szCs w:val="22"/>
          <w:lang w:val="el-GR"/>
        </w:rPr>
      </w:pPr>
    </w:p>
    <w:p w:rsidR="00380EEB" w:rsidRDefault="00380EEB">
      <w:pPr>
        <w:pStyle w:val="Web"/>
        <w:spacing w:before="0" w:beforeAutospacing="0" w:after="0"/>
        <w:jc w:val="both"/>
        <w:rPr>
          <w:color w:val="auto"/>
          <w:sz w:val="22"/>
          <w:szCs w:val="22"/>
          <w:lang w:val="el-GR"/>
        </w:rPr>
      </w:pPr>
      <w:r w:rsidRPr="00A66AB5">
        <w:rPr>
          <w:color w:val="auto"/>
          <w:sz w:val="22"/>
          <w:szCs w:val="22"/>
          <w:lang w:val="el-GR"/>
        </w:rPr>
        <w:t xml:space="preserve">Σε τρεις από τέσσερις βραχυπρόθεσμες (έως και 8 εβδομάδες) μελέτες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σε ασθενείς με μείζονα καταθλιπτική διαταραχή,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50 </w:t>
      </w:r>
      <w:r w:rsidRPr="00A66AB5">
        <w:rPr>
          <w:color w:val="auto"/>
          <w:sz w:val="22"/>
          <w:szCs w:val="22"/>
        </w:rPr>
        <w:t>mg</w:t>
      </w:r>
      <w:r w:rsidRPr="00A66AB5">
        <w:rPr>
          <w:color w:val="auto"/>
          <w:sz w:val="22"/>
          <w:szCs w:val="22"/>
          <w:lang w:val="el-GR"/>
        </w:rPr>
        <w:t xml:space="preserve">, 150 </w:t>
      </w:r>
      <w:r w:rsidRPr="00A66AB5">
        <w:rPr>
          <w:color w:val="auto"/>
          <w:sz w:val="22"/>
          <w:szCs w:val="22"/>
        </w:rPr>
        <w:t>mg</w:t>
      </w:r>
      <w:r w:rsidRPr="00A66AB5">
        <w:rPr>
          <w:color w:val="auto"/>
          <w:sz w:val="22"/>
          <w:szCs w:val="22"/>
          <w:lang w:val="el-GR"/>
        </w:rPr>
        <w:t xml:space="preserve"> και 300 </w:t>
      </w:r>
      <w:r w:rsidRPr="00A66AB5">
        <w:rPr>
          <w:color w:val="auto"/>
          <w:sz w:val="22"/>
          <w:szCs w:val="22"/>
        </w:rPr>
        <w:t>mg</w:t>
      </w:r>
      <w:r w:rsidRPr="00A66AB5">
        <w:rPr>
          <w:color w:val="auto"/>
          <w:sz w:val="22"/>
          <w:szCs w:val="22"/>
          <w:lang w:val="el-GR"/>
        </w:rPr>
        <w:t xml:space="preserve">/ημέρα κατέδειξαν ανώτερη αποτελεσματικότητα σε σύγκριση με το εικονικό φάρμακο στη μείωση των καταθλιπτικών συμπτωμάτων όπως μετρώνται από τη βελτίωση στη συνολική βαθμολογία της κλίμακας εκτίμησης της κατάθλιψης </w:t>
      </w:r>
      <w:r w:rsidRPr="00A66AB5">
        <w:rPr>
          <w:color w:val="auto"/>
          <w:sz w:val="22"/>
          <w:szCs w:val="22"/>
        </w:rPr>
        <w:t>Montgomery</w:t>
      </w:r>
      <w:r w:rsidRPr="00A66AB5">
        <w:rPr>
          <w:color w:val="auto"/>
          <w:sz w:val="22"/>
          <w:szCs w:val="22"/>
          <w:lang w:val="el-GR"/>
        </w:rPr>
        <w:t>-Å</w:t>
      </w:r>
      <w:proofErr w:type="spellStart"/>
      <w:r w:rsidRPr="00A66AB5">
        <w:rPr>
          <w:color w:val="auto"/>
          <w:sz w:val="22"/>
          <w:szCs w:val="22"/>
        </w:rPr>
        <w:t>sberg</w:t>
      </w:r>
      <w:proofErr w:type="spellEnd"/>
      <w:r w:rsidRPr="00A66AB5">
        <w:rPr>
          <w:color w:val="auto"/>
          <w:sz w:val="22"/>
          <w:szCs w:val="22"/>
          <w:lang w:val="el-GR"/>
        </w:rPr>
        <w:t xml:space="preserve"> (</w:t>
      </w:r>
      <w:r w:rsidRPr="00A66AB5">
        <w:rPr>
          <w:color w:val="auto"/>
          <w:sz w:val="22"/>
          <w:szCs w:val="22"/>
        </w:rPr>
        <w:t>MADRS</w:t>
      </w:r>
      <w:r w:rsidRPr="00A66AB5">
        <w:rPr>
          <w:color w:val="auto"/>
          <w:sz w:val="22"/>
          <w:szCs w:val="22"/>
          <w:lang w:val="el-GR"/>
        </w:rPr>
        <w:t xml:space="preserve">) (μέση αλλαγή </w:t>
      </w:r>
      <w:r w:rsidRPr="00A66AB5">
        <w:rPr>
          <w:color w:val="auto"/>
          <w:sz w:val="22"/>
          <w:szCs w:val="22"/>
        </w:rPr>
        <w:t>LS</w:t>
      </w:r>
      <w:r w:rsidRPr="00A66AB5">
        <w:rPr>
          <w:color w:val="auto"/>
          <w:sz w:val="22"/>
          <w:szCs w:val="22"/>
          <w:lang w:val="el-GR"/>
        </w:rPr>
        <w:t xml:space="preserve"> έναντι εικονικού φαρμάκου της τάξης των 2-4 βαθμών). </w:t>
      </w:r>
    </w:p>
    <w:p w:rsidR="004E7F7D" w:rsidRPr="00A66AB5" w:rsidRDefault="004E7F7D">
      <w:pPr>
        <w:pStyle w:val="Web"/>
        <w:spacing w:before="0" w:beforeAutospacing="0" w:after="0"/>
        <w:jc w:val="both"/>
        <w:rPr>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μια μελέτη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για πρόληψη υποτροπών, οι ασθενείς με καταθλιπτικά επεισόδια σταθεροποιήθηκαν με ανοικτή θεραπεία με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επί τουλάχιστον 12 εβδομάδες </w:t>
      </w:r>
      <w:proofErr w:type="spellStart"/>
      <w:r w:rsidRPr="00A66AB5">
        <w:rPr>
          <w:color w:val="auto"/>
          <w:sz w:val="22"/>
          <w:szCs w:val="22"/>
          <w:lang w:val="el-GR"/>
        </w:rPr>
        <w:t>τυχαιοποιήθηκαν</w:t>
      </w:r>
      <w:proofErr w:type="spellEnd"/>
      <w:r w:rsidRPr="00A66AB5">
        <w:rPr>
          <w:color w:val="auto"/>
          <w:sz w:val="22"/>
          <w:szCs w:val="22"/>
          <w:lang w:val="el-GR"/>
        </w:rPr>
        <w:t xml:space="preserve"> είτε σε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μία φορά την ημέρα είτε σε εικονικό φάρμακο για έως και 52 εβδομάδες. Η μέση δόση δισκίων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κατά τη διάρκεια της τυχαιοποιημένης φάσης ήταν 177 </w:t>
      </w:r>
      <w:r w:rsidRPr="00A66AB5">
        <w:rPr>
          <w:color w:val="auto"/>
          <w:sz w:val="22"/>
          <w:szCs w:val="22"/>
        </w:rPr>
        <w:t>mg</w:t>
      </w:r>
      <w:r w:rsidRPr="00A66AB5">
        <w:rPr>
          <w:color w:val="auto"/>
          <w:sz w:val="22"/>
          <w:szCs w:val="22"/>
          <w:lang w:val="el-GR"/>
        </w:rPr>
        <w:t xml:space="preserve">/ημέρα. Η επίπτωση υποτροπών ήταν 14,2% για τους ασθενείς που έλαβαν θεραπεία με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και 34,4% για τους ασθενείς που έλαβαν θεραπεία με εικονικό φάρμακο.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μια βραχυπρόθεσμη (διάρκειας 9 εβδομάδων) μελέτη με μη </w:t>
      </w:r>
      <w:proofErr w:type="spellStart"/>
      <w:r w:rsidRPr="00A66AB5">
        <w:rPr>
          <w:color w:val="auto"/>
          <w:sz w:val="22"/>
          <w:szCs w:val="22"/>
          <w:lang w:val="el-GR"/>
        </w:rPr>
        <w:t>ανοϊκούς</w:t>
      </w:r>
      <w:proofErr w:type="spellEnd"/>
      <w:r w:rsidRPr="00A66AB5">
        <w:rPr>
          <w:color w:val="auto"/>
          <w:sz w:val="22"/>
          <w:szCs w:val="22"/>
          <w:lang w:val="el-GR"/>
        </w:rPr>
        <w:t xml:space="preserve"> ηλικιωμένους ασθενείς (ηλικίας 66 έως 89 ετών) με μείζονα καταθλιπτική διαταραχή,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τα οποία χορηγήθηκαν σε ευέλικτες δόσεις 50 </w:t>
      </w:r>
      <w:r w:rsidRPr="00A66AB5">
        <w:rPr>
          <w:color w:val="auto"/>
          <w:sz w:val="22"/>
          <w:szCs w:val="22"/>
        </w:rPr>
        <w:t>mg</w:t>
      </w:r>
      <w:r w:rsidRPr="00A66AB5">
        <w:rPr>
          <w:color w:val="auto"/>
          <w:sz w:val="22"/>
          <w:szCs w:val="22"/>
          <w:lang w:val="el-GR"/>
        </w:rPr>
        <w:t xml:space="preserve"> έως 300 </w:t>
      </w:r>
      <w:r w:rsidRPr="00A66AB5">
        <w:rPr>
          <w:color w:val="auto"/>
          <w:sz w:val="22"/>
          <w:szCs w:val="22"/>
        </w:rPr>
        <w:t>mg</w:t>
      </w:r>
      <w:r w:rsidRPr="00A66AB5">
        <w:rPr>
          <w:color w:val="auto"/>
          <w:sz w:val="22"/>
          <w:szCs w:val="22"/>
          <w:lang w:val="el-GR"/>
        </w:rPr>
        <w:t xml:space="preserve">/ημέρα κατέδειξαν ανώτερη αποτελεσματικότητα σε σχέση με το εικονικό φάρμακο στη μείωση των καταθλιπτικών συμπτωμάτων όπως μετρώνται από τη βελτίωση στη συνολική βαθμολογία </w:t>
      </w:r>
      <w:r w:rsidRPr="00A66AB5">
        <w:rPr>
          <w:color w:val="auto"/>
          <w:sz w:val="22"/>
          <w:szCs w:val="22"/>
        </w:rPr>
        <w:t>MADRS</w:t>
      </w:r>
      <w:r w:rsidRPr="00A66AB5">
        <w:rPr>
          <w:color w:val="auto"/>
          <w:sz w:val="22"/>
          <w:szCs w:val="22"/>
          <w:lang w:val="el-GR"/>
        </w:rPr>
        <w:t xml:space="preserve"> (μέση αλλαγή </w:t>
      </w:r>
      <w:r w:rsidRPr="00A66AB5">
        <w:rPr>
          <w:color w:val="auto"/>
          <w:sz w:val="22"/>
          <w:szCs w:val="22"/>
        </w:rPr>
        <w:t>LS</w:t>
      </w:r>
      <w:r w:rsidRPr="00A66AB5">
        <w:rPr>
          <w:color w:val="auto"/>
          <w:sz w:val="22"/>
          <w:szCs w:val="22"/>
          <w:lang w:val="el-GR"/>
        </w:rPr>
        <w:t xml:space="preserve"> έναντι εικονικού φαρμάκου -7,54). Σε αυτή τη μελέτη, οι ασθενείς που </w:t>
      </w:r>
      <w:proofErr w:type="spellStart"/>
      <w:r w:rsidRPr="00A66AB5">
        <w:rPr>
          <w:color w:val="auto"/>
          <w:sz w:val="22"/>
          <w:szCs w:val="22"/>
          <w:lang w:val="el-GR"/>
        </w:rPr>
        <w:t>τυχαιοποιήθηκαν</w:t>
      </w:r>
      <w:proofErr w:type="spellEnd"/>
      <w:r w:rsidRPr="00A66AB5">
        <w:rPr>
          <w:color w:val="auto"/>
          <w:sz w:val="22"/>
          <w:szCs w:val="22"/>
          <w:lang w:val="el-GR"/>
        </w:rPr>
        <w:t xml:space="preserve"> σε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έλαβαν 50 </w:t>
      </w:r>
      <w:r w:rsidRPr="00A66AB5">
        <w:rPr>
          <w:color w:val="auto"/>
          <w:sz w:val="22"/>
          <w:szCs w:val="22"/>
        </w:rPr>
        <w:t>mg</w:t>
      </w:r>
      <w:r w:rsidRPr="00A66AB5">
        <w:rPr>
          <w:color w:val="auto"/>
          <w:sz w:val="22"/>
          <w:szCs w:val="22"/>
          <w:lang w:val="el-GR"/>
        </w:rPr>
        <w:t xml:space="preserve">/ημέρα τις ημέρες 1-3, η δόση μπορούσε να αυξηθεί σε 100 </w:t>
      </w:r>
      <w:r w:rsidRPr="00A66AB5">
        <w:rPr>
          <w:color w:val="auto"/>
          <w:sz w:val="22"/>
          <w:szCs w:val="22"/>
        </w:rPr>
        <w:t>mg</w:t>
      </w:r>
      <w:r w:rsidRPr="00A66AB5">
        <w:rPr>
          <w:color w:val="auto"/>
          <w:sz w:val="22"/>
          <w:szCs w:val="22"/>
          <w:lang w:val="el-GR"/>
        </w:rPr>
        <w:t xml:space="preserve">/ημέρα την ημέρα 4, 150 </w:t>
      </w:r>
      <w:r w:rsidRPr="00A66AB5">
        <w:rPr>
          <w:color w:val="auto"/>
          <w:sz w:val="22"/>
          <w:szCs w:val="22"/>
        </w:rPr>
        <w:t>mg</w:t>
      </w:r>
      <w:r w:rsidRPr="00A66AB5">
        <w:rPr>
          <w:color w:val="auto"/>
          <w:sz w:val="22"/>
          <w:szCs w:val="22"/>
          <w:lang w:val="el-GR"/>
        </w:rPr>
        <w:t xml:space="preserve">/ημέρα την ημέρα 8 και έως και 300 </w:t>
      </w:r>
      <w:r w:rsidRPr="00A66AB5">
        <w:rPr>
          <w:color w:val="auto"/>
          <w:sz w:val="22"/>
          <w:szCs w:val="22"/>
        </w:rPr>
        <w:t>mg</w:t>
      </w:r>
      <w:r w:rsidRPr="00A66AB5">
        <w:rPr>
          <w:color w:val="auto"/>
          <w:sz w:val="22"/>
          <w:szCs w:val="22"/>
          <w:lang w:val="el-GR"/>
        </w:rPr>
        <w:t xml:space="preserve">/ημέρα ανάλογα με την κλινική ανταπόκριση και την ανεκτικότητα. Η μέση δόση των δισκίων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ήταν 160 </w:t>
      </w:r>
      <w:r w:rsidRPr="00A66AB5">
        <w:rPr>
          <w:color w:val="auto"/>
          <w:sz w:val="22"/>
          <w:szCs w:val="22"/>
        </w:rPr>
        <w:t>mg</w:t>
      </w:r>
      <w:r w:rsidRPr="00A66AB5">
        <w:rPr>
          <w:color w:val="auto"/>
          <w:sz w:val="22"/>
          <w:szCs w:val="22"/>
          <w:lang w:val="el-GR"/>
        </w:rPr>
        <w:t xml:space="preserve">/ημέρα. Εκτός από την επίπτωση των </w:t>
      </w:r>
      <w:proofErr w:type="spellStart"/>
      <w:r w:rsidRPr="00A66AB5">
        <w:rPr>
          <w:color w:val="auto"/>
          <w:sz w:val="22"/>
          <w:szCs w:val="22"/>
          <w:lang w:val="el-GR"/>
        </w:rPr>
        <w:t>εξωπυραμιδικών</w:t>
      </w:r>
      <w:proofErr w:type="spellEnd"/>
      <w:r w:rsidRPr="00A66AB5">
        <w:rPr>
          <w:color w:val="auto"/>
          <w:sz w:val="22"/>
          <w:szCs w:val="22"/>
          <w:lang w:val="el-GR"/>
        </w:rPr>
        <w:t xml:space="preserve"> συμπτωμάτων (βλ. παράγραφο 4.8 και την παράγραφο «Κλινική ασφάλεια» παρακάτω) η ανεκτικότητα των δισκίων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σε δόση μία φορά την ημέρα σε ηλικιωμένους ασθενείς ήταν συγκρίσιμη με αυτή που παρατηρήθηκε σε ενήλικες (ηλικίας 18-65 ετών). Το ποσοστό των τυχαιοποιημένων ασθενών ηλικίας άνω των 75 ετών ήταν 19%.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color w:val="auto"/>
          <w:sz w:val="22"/>
          <w:szCs w:val="22"/>
          <w:lang w:val="el-GR"/>
        </w:rPr>
      </w:pPr>
      <w:r w:rsidRPr="00A66AB5">
        <w:rPr>
          <w:b/>
          <w:i/>
          <w:color w:val="auto"/>
          <w:sz w:val="22"/>
          <w:szCs w:val="22"/>
          <w:u w:val="single"/>
          <w:lang w:val="el-GR"/>
        </w:rPr>
        <w:t>Κλινική ασφάλεια:</w:t>
      </w: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βραχυπρόθεσμες κλινικές δοκιμές με έλεγχο εικονικού φαρμάκου στη σχιζοφρένεια και τη διπολική μανία, η συνολική επίπτωση των </w:t>
      </w:r>
      <w:proofErr w:type="spellStart"/>
      <w:r w:rsidRPr="00A66AB5">
        <w:rPr>
          <w:color w:val="auto"/>
          <w:sz w:val="22"/>
          <w:szCs w:val="22"/>
          <w:lang w:val="el-GR"/>
        </w:rPr>
        <w:t>εξωπυραμιδικών</w:t>
      </w:r>
      <w:proofErr w:type="spellEnd"/>
      <w:r w:rsidRPr="00A66AB5">
        <w:rPr>
          <w:color w:val="auto"/>
          <w:sz w:val="22"/>
          <w:szCs w:val="22"/>
          <w:lang w:val="el-GR"/>
        </w:rPr>
        <w:t xml:space="preserve"> συμπτωμάτων ήταν παρόμοια με το εικονικό φάρμακο (σχιζοφρένεια: 7,8% για την </w:t>
      </w:r>
      <w:proofErr w:type="spellStart"/>
      <w:r w:rsidRPr="00A66AB5">
        <w:rPr>
          <w:color w:val="auto"/>
          <w:sz w:val="22"/>
          <w:szCs w:val="22"/>
          <w:lang w:val="el-GR"/>
        </w:rPr>
        <w:t>κουετιαπίνη</w:t>
      </w:r>
      <w:proofErr w:type="spellEnd"/>
      <w:r w:rsidRPr="00A66AB5">
        <w:rPr>
          <w:color w:val="auto"/>
          <w:sz w:val="22"/>
          <w:szCs w:val="22"/>
          <w:lang w:val="el-GR"/>
        </w:rPr>
        <w:t xml:space="preserve"> και 8,0% για το εικονικό φάρμακο, διπολική μανία: 11,2% για την </w:t>
      </w:r>
      <w:proofErr w:type="spellStart"/>
      <w:r w:rsidRPr="00A66AB5">
        <w:rPr>
          <w:color w:val="auto"/>
          <w:sz w:val="22"/>
          <w:szCs w:val="22"/>
          <w:lang w:val="el-GR"/>
        </w:rPr>
        <w:t>κουετιαπίνη</w:t>
      </w:r>
      <w:proofErr w:type="spellEnd"/>
      <w:r w:rsidRPr="00A66AB5">
        <w:rPr>
          <w:color w:val="auto"/>
          <w:sz w:val="22"/>
          <w:szCs w:val="22"/>
          <w:lang w:val="el-GR"/>
        </w:rPr>
        <w:t xml:space="preserve"> και 11,4% για το εικονικό φάρμακο). Παρατηρήθηκαν υψηλότερα ποσοστά </w:t>
      </w:r>
      <w:proofErr w:type="spellStart"/>
      <w:r w:rsidRPr="00A66AB5">
        <w:rPr>
          <w:color w:val="auto"/>
          <w:sz w:val="22"/>
          <w:szCs w:val="22"/>
          <w:lang w:val="el-GR"/>
        </w:rPr>
        <w:t>εξωπυραμιδικών</w:t>
      </w:r>
      <w:proofErr w:type="spellEnd"/>
      <w:r w:rsidRPr="00A66AB5">
        <w:rPr>
          <w:color w:val="auto"/>
          <w:sz w:val="22"/>
          <w:szCs w:val="22"/>
          <w:lang w:val="el-GR"/>
        </w:rPr>
        <w:t xml:space="preserve"> συμπτωμάτων σε ασθενείς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σε σύγκριση με εκείνους που έλαβαν θεραπεία με εικονικό φάρμακο σε βραχυπρόθεσμες κλινικές δοκιμές με έλεγχο εικονικού φαρμάκου σε ΜΚΔ και διπολική κατάθλιψη. Σε βραχυπρόθεσμες δοκιμές με έλεγχο εικονικού φαρμάκου στη διπολική κατάθλιψη, η συνολική επίπτωση των </w:t>
      </w:r>
      <w:proofErr w:type="spellStart"/>
      <w:r w:rsidRPr="00A66AB5">
        <w:rPr>
          <w:color w:val="auto"/>
          <w:sz w:val="22"/>
          <w:szCs w:val="22"/>
          <w:lang w:val="el-GR"/>
        </w:rPr>
        <w:t>εξωπυραμιδικών</w:t>
      </w:r>
      <w:proofErr w:type="spellEnd"/>
      <w:r w:rsidRPr="00A66AB5">
        <w:rPr>
          <w:color w:val="auto"/>
          <w:sz w:val="22"/>
          <w:szCs w:val="22"/>
          <w:lang w:val="el-GR"/>
        </w:rPr>
        <w:t xml:space="preserve"> συμπτωμάτων ήταν 8,9% για την </w:t>
      </w:r>
      <w:proofErr w:type="spellStart"/>
      <w:r w:rsidRPr="00A66AB5">
        <w:rPr>
          <w:color w:val="auto"/>
          <w:sz w:val="22"/>
          <w:szCs w:val="22"/>
          <w:lang w:val="el-GR"/>
        </w:rPr>
        <w:t>κουετιαπίνη</w:t>
      </w:r>
      <w:proofErr w:type="spellEnd"/>
      <w:r w:rsidRPr="00A66AB5">
        <w:rPr>
          <w:color w:val="auto"/>
          <w:sz w:val="22"/>
          <w:szCs w:val="22"/>
          <w:lang w:val="el-GR"/>
        </w:rPr>
        <w:t xml:space="preserve"> σε σύγκριση με 3,8% για το εικονικό φάρμακο. Σε βραχυπρόθεσμες κλινικές δοκιμές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με έλεγχο εικονικού φαρμάκου, στη μείζονα καταθλιπτική διαταραχή, η συνολική επίπτωση </w:t>
      </w:r>
      <w:proofErr w:type="spellStart"/>
      <w:r w:rsidRPr="00A66AB5">
        <w:rPr>
          <w:color w:val="auto"/>
          <w:sz w:val="22"/>
          <w:szCs w:val="22"/>
          <w:lang w:val="el-GR"/>
        </w:rPr>
        <w:t>εξωπυραμιδικών</w:t>
      </w:r>
      <w:proofErr w:type="spellEnd"/>
      <w:r w:rsidRPr="00A66AB5">
        <w:rPr>
          <w:color w:val="auto"/>
          <w:sz w:val="22"/>
          <w:szCs w:val="22"/>
          <w:lang w:val="el-GR"/>
        </w:rPr>
        <w:t xml:space="preserve"> συμπτωμάτων ήταν 5,4% για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και 3,2% για το εικονικό φάρμακο. Σε μια βραχυπρόθεσμη κλινική δοκιμή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με έλεγχο εικονικού φαρμάκου σε ηλικιωμένους ασθενείς με μείζονα καταθλιπτική διαταραχή, η συνολική επίπτωση </w:t>
      </w:r>
      <w:proofErr w:type="spellStart"/>
      <w:r w:rsidRPr="00A66AB5">
        <w:rPr>
          <w:color w:val="auto"/>
          <w:sz w:val="22"/>
          <w:szCs w:val="22"/>
          <w:lang w:val="el-GR"/>
        </w:rPr>
        <w:t>εξωπυραμιδικών</w:t>
      </w:r>
      <w:proofErr w:type="spellEnd"/>
      <w:r w:rsidRPr="00A66AB5">
        <w:rPr>
          <w:color w:val="auto"/>
          <w:sz w:val="22"/>
          <w:szCs w:val="22"/>
          <w:lang w:val="el-GR"/>
        </w:rPr>
        <w:t xml:space="preserve"> συμπτωμάτων ήταν 9,0% για τα δισκία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παρατεταμένης αποδέσμευσης και 2,3% για το εικονικό φάρμακο. Τόσο στη διπολική κατάθλιψη όσο και στην ΜΚΔ, η επίπτωση των μεμονωμένων ανεπιθύμητων συμβάντων </w:t>
      </w:r>
      <w:r w:rsidR="00195C77">
        <w:rPr>
          <w:color w:val="auto"/>
          <w:sz w:val="22"/>
          <w:szCs w:val="22"/>
          <w:lang w:val="el-GR"/>
        </w:rPr>
        <w:t>(</w:t>
      </w:r>
      <w:r w:rsidR="00195C77" w:rsidRPr="00195C77">
        <w:rPr>
          <w:color w:val="auto"/>
          <w:sz w:val="22"/>
          <w:szCs w:val="22"/>
          <w:lang w:val="el-GR"/>
        </w:rPr>
        <w:t xml:space="preserve">π.χ. </w:t>
      </w:r>
      <w:proofErr w:type="spellStart"/>
      <w:r w:rsidR="00195C77" w:rsidRPr="00195C77">
        <w:rPr>
          <w:color w:val="auto"/>
          <w:sz w:val="22"/>
          <w:szCs w:val="22"/>
          <w:lang w:val="el-GR"/>
        </w:rPr>
        <w:t>ακαθησία</w:t>
      </w:r>
      <w:proofErr w:type="spellEnd"/>
      <w:r w:rsidR="00195C77" w:rsidRPr="00195C77">
        <w:rPr>
          <w:color w:val="auto"/>
          <w:sz w:val="22"/>
          <w:szCs w:val="22"/>
          <w:lang w:val="el-GR"/>
        </w:rPr>
        <w:t xml:space="preserve">, </w:t>
      </w:r>
      <w:proofErr w:type="spellStart"/>
      <w:r w:rsidR="00195C77" w:rsidRPr="00195C77">
        <w:rPr>
          <w:color w:val="auto"/>
          <w:sz w:val="22"/>
          <w:szCs w:val="22"/>
          <w:lang w:val="el-GR"/>
        </w:rPr>
        <w:t>εξωπυραμιδική</w:t>
      </w:r>
      <w:proofErr w:type="spellEnd"/>
      <w:r w:rsidR="00195C77" w:rsidRPr="00195C77">
        <w:rPr>
          <w:color w:val="auto"/>
          <w:sz w:val="22"/>
          <w:szCs w:val="22"/>
          <w:lang w:val="el-GR"/>
        </w:rPr>
        <w:t xml:space="preserve"> διαταραχή, τρόμος, δυσκινησία, δυστονία, ανησυχία, ακούσιες μυϊκές συσπάσεις, ψυχοκινητική υπερδραστηριότητα και μυϊκή </w:t>
      </w:r>
      <w:r w:rsidR="00C15BA7">
        <w:rPr>
          <w:color w:val="auto"/>
          <w:sz w:val="22"/>
          <w:szCs w:val="22"/>
          <w:lang w:val="el-GR"/>
        </w:rPr>
        <w:t>α</w:t>
      </w:r>
      <w:r w:rsidR="00195C77" w:rsidRPr="00195C77">
        <w:rPr>
          <w:color w:val="auto"/>
          <w:sz w:val="22"/>
          <w:szCs w:val="22"/>
          <w:lang w:val="el-GR"/>
        </w:rPr>
        <w:t>καμψία</w:t>
      </w:r>
      <w:r w:rsidR="00195C77">
        <w:rPr>
          <w:color w:val="auto"/>
          <w:sz w:val="22"/>
          <w:szCs w:val="22"/>
          <w:lang w:val="el-GR"/>
        </w:rPr>
        <w:t>)</w:t>
      </w:r>
      <w:r w:rsidRPr="00A66AB5">
        <w:rPr>
          <w:color w:val="auto"/>
          <w:sz w:val="22"/>
          <w:szCs w:val="22"/>
          <w:lang w:val="el-GR"/>
        </w:rPr>
        <w:t xml:space="preserve"> δεν υπερέβη το 4% σε οποιαδήποτε ομάδα θεραπείας.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βραχυπρόθεσμες μελέτες, σταθερής δόσης (50 </w:t>
      </w:r>
      <w:r w:rsidRPr="00A66AB5">
        <w:rPr>
          <w:color w:val="auto"/>
          <w:sz w:val="22"/>
          <w:szCs w:val="22"/>
        </w:rPr>
        <w:t>mg</w:t>
      </w:r>
      <w:r w:rsidRPr="00A66AB5">
        <w:rPr>
          <w:color w:val="auto"/>
          <w:sz w:val="22"/>
          <w:szCs w:val="22"/>
          <w:lang w:val="el-GR"/>
        </w:rPr>
        <w:t xml:space="preserve">/ημέρα έως 800 </w:t>
      </w:r>
      <w:r w:rsidRPr="00A66AB5">
        <w:rPr>
          <w:color w:val="auto"/>
          <w:sz w:val="22"/>
          <w:szCs w:val="22"/>
        </w:rPr>
        <w:t>mg</w:t>
      </w:r>
      <w:r w:rsidRPr="00A66AB5">
        <w:rPr>
          <w:color w:val="auto"/>
          <w:sz w:val="22"/>
          <w:szCs w:val="22"/>
          <w:lang w:val="el-GR"/>
        </w:rPr>
        <w:t xml:space="preserve">/ημέρα) με έλεγχο εικονικού φαρμάκου (με διάρκεια που κυμαινόταν από 3 έως 8 εβδομάδες), η μέση αύξηση βάρους για τους ασθενείς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κυμαίνονταν από 0,8 </w:t>
      </w:r>
      <w:r w:rsidRPr="00A66AB5">
        <w:rPr>
          <w:color w:val="auto"/>
          <w:sz w:val="22"/>
          <w:szCs w:val="22"/>
        </w:rPr>
        <w:t>kg</w:t>
      </w:r>
      <w:r w:rsidRPr="00A66AB5">
        <w:rPr>
          <w:color w:val="auto"/>
          <w:sz w:val="22"/>
          <w:szCs w:val="22"/>
          <w:lang w:val="el-GR"/>
        </w:rPr>
        <w:t xml:space="preserve"> για ημερήσια δόση 50 </w:t>
      </w:r>
      <w:r w:rsidRPr="00A66AB5">
        <w:rPr>
          <w:color w:val="auto"/>
          <w:sz w:val="22"/>
          <w:szCs w:val="22"/>
        </w:rPr>
        <w:t>mg</w:t>
      </w:r>
      <w:r w:rsidRPr="00A66AB5">
        <w:rPr>
          <w:color w:val="auto"/>
          <w:sz w:val="22"/>
          <w:szCs w:val="22"/>
          <w:lang w:val="el-GR"/>
        </w:rPr>
        <w:t xml:space="preserve"> έως 1,4 </w:t>
      </w:r>
      <w:r w:rsidRPr="00A66AB5">
        <w:rPr>
          <w:color w:val="auto"/>
          <w:sz w:val="22"/>
          <w:szCs w:val="22"/>
        </w:rPr>
        <w:t>kg</w:t>
      </w:r>
      <w:r w:rsidRPr="00A66AB5">
        <w:rPr>
          <w:color w:val="auto"/>
          <w:sz w:val="22"/>
          <w:szCs w:val="22"/>
          <w:lang w:val="el-GR"/>
        </w:rPr>
        <w:t xml:space="preserve"> για ημερήσια δόση 600 </w:t>
      </w:r>
      <w:r w:rsidRPr="00A66AB5">
        <w:rPr>
          <w:color w:val="auto"/>
          <w:sz w:val="22"/>
          <w:szCs w:val="22"/>
        </w:rPr>
        <w:t>mg</w:t>
      </w:r>
      <w:r w:rsidRPr="00A66AB5">
        <w:rPr>
          <w:color w:val="auto"/>
          <w:sz w:val="22"/>
          <w:szCs w:val="22"/>
          <w:lang w:val="el-GR"/>
        </w:rPr>
        <w:t xml:space="preserve"> (με χαμηλότερη αύξηση για την ημερήσια δόση 800 </w:t>
      </w:r>
      <w:r w:rsidRPr="00A66AB5">
        <w:rPr>
          <w:color w:val="auto"/>
          <w:sz w:val="22"/>
          <w:szCs w:val="22"/>
        </w:rPr>
        <w:t>mg</w:t>
      </w:r>
      <w:r w:rsidRPr="00A66AB5">
        <w:rPr>
          <w:color w:val="auto"/>
          <w:sz w:val="22"/>
          <w:szCs w:val="22"/>
          <w:lang w:val="el-GR"/>
        </w:rPr>
        <w:t xml:space="preserve">), σε σύγκριση με 0,2 </w:t>
      </w:r>
      <w:r w:rsidRPr="00A66AB5">
        <w:rPr>
          <w:color w:val="auto"/>
          <w:sz w:val="22"/>
          <w:szCs w:val="22"/>
        </w:rPr>
        <w:t>kg</w:t>
      </w:r>
      <w:r w:rsidRPr="00A66AB5">
        <w:rPr>
          <w:color w:val="auto"/>
          <w:sz w:val="22"/>
          <w:szCs w:val="22"/>
          <w:lang w:val="el-GR"/>
        </w:rPr>
        <w:t xml:space="preserve"> για τους ασθενείς που έλαβαν θεραπεία με </w:t>
      </w:r>
      <w:r w:rsidRPr="00A66AB5">
        <w:rPr>
          <w:color w:val="auto"/>
          <w:sz w:val="22"/>
          <w:szCs w:val="22"/>
          <w:lang w:val="el-GR"/>
        </w:rPr>
        <w:lastRenderedPageBreak/>
        <w:t xml:space="preserve">εικονικό φάρμακο. Το ποσοστό των ασθενών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οι οποίοι παρουσίασαν αύξηση του σωματικού τους βάρος κατά </w:t>
      </w:r>
      <w:r w:rsidR="00C23604">
        <w:rPr>
          <w:noProof/>
          <w:snapToGrid/>
          <w:color w:val="auto"/>
          <w:sz w:val="22"/>
          <w:szCs w:val="22"/>
          <w:lang w:val="el-GR"/>
        </w:rPr>
        <w:drawing>
          <wp:inline distT="0" distB="0" distL="0" distR="0" wp14:anchorId="2FA7D854" wp14:editId="5522ED4D">
            <wp:extent cx="109220" cy="109220"/>
            <wp:effectExtent l="19050" t="0" r="5080" b="0"/>
            <wp:docPr id="1" name="Εικόνα 1"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THAN OR EQUAL TO (8805)"/>
                    <pic:cNvPicPr>
                      <a:picLocks noChangeAspect="1" noChangeArrowheads="1"/>
                    </pic:cNvPicPr>
                  </pic:nvPicPr>
                  <pic:blipFill>
                    <a:blip r:embed="rId9"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Pr="00A66AB5">
        <w:rPr>
          <w:color w:val="auto"/>
          <w:sz w:val="22"/>
          <w:szCs w:val="22"/>
          <w:lang w:val="el-GR"/>
        </w:rPr>
        <w:t xml:space="preserve">7% κυμαινόταν από 5,3% για ημερήσια δόση 50 </w:t>
      </w:r>
      <w:r w:rsidRPr="00A66AB5">
        <w:rPr>
          <w:color w:val="auto"/>
          <w:sz w:val="22"/>
          <w:szCs w:val="22"/>
        </w:rPr>
        <w:t>mg</w:t>
      </w:r>
      <w:r w:rsidRPr="00A66AB5">
        <w:rPr>
          <w:color w:val="auto"/>
          <w:sz w:val="22"/>
          <w:szCs w:val="22"/>
          <w:lang w:val="el-GR"/>
        </w:rPr>
        <w:t xml:space="preserve"> έως 15,5% για ημερήσια δόση 400 </w:t>
      </w:r>
      <w:r w:rsidRPr="00A66AB5">
        <w:rPr>
          <w:color w:val="auto"/>
          <w:sz w:val="22"/>
          <w:szCs w:val="22"/>
        </w:rPr>
        <w:t>mg</w:t>
      </w:r>
      <w:r w:rsidRPr="00A66AB5">
        <w:rPr>
          <w:color w:val="auto"/>
          <w:sz w:val="22"/>
          <w:szCs w:val="22"/>
          <w:lang w:val="el-GR"/>
        </w:rPr>
        <w:t xml:space="preserve"> (με χαμηλότερη αύξηση για τις ημερήσιες δόσεις 600 και 800 </w:t>
      </w:r>
      <w:r w:rsidRPr="00A66AB5">
        <w:rPr>
          <w:color w:val="auto"/>
          <w:sz w:val="22"/>
          <w:szCs w:val="22"/>
        </w:rPr>
        <w:t>mg</w:t>
      </w:r>
      <w:r w:rsidRPr="00A66AB5">
        <w:rPr>
          <w:color w:val="auto"/>
          <w:sz w:val="22"/>
          <w:szCs w:val="22"/>
          <w:lang w:val="el-GR"/>
        </w:rPr>
        <w:t xml:space="preserve">), σε σύγκριση με 3,7% για τους ασθενείς που έλαβαν θεραπεία με εικονικό φάρμακο.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Οι πιο μακροπρόθεσμες δοκιμές πρόληψης υποτροπών είχαν μια ανοικτή περίοδο (με διάρκεια που κυμαινόταν από 4 έως 36 εβδομάδες) κατά τη διάρκεια της οποίας οι ασθενείς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ακολουθούμενη από τυχαιοποιημένη περίοδο διακοπής κατά τη διάρκεια της οποίας οι ασθενείς </w:t>
      </w:r>
      <w:proofErr w:type="spellStart"/>
      <w:r w:rsidRPr="00A66AB5">
        <w:rPr>
          <w:color w:val="auto"/>
          <w:sz w:val="22"/>
          <w:szCs w:val="22"/>
          <w:lang w:val="el-GR"/>
        </w:rPr>
        <w:t>τυχαιοποιήθηκαν</w:t>
      </w:r>
      <w:proofErr w:type="spellEnd"/>
      <w:r w:rsidRPr="00A66AB5">
        <w:rPr>
          <w:color w:val="auto"/>
          <w:sz w:val="22"/>
          <w:szCs w:val="22"/>
          <w:lang w:val="el-GR"/>
        </w:rPr>
        <w:t xml:space="preserve"> σε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ή εικονικό φάρμακο. Για τους ασθενείς που </w:t>
      </w:r>
      <w:proofErr w:type="spellStart"/>
      <w:r w:rsidRPr="00A66AB5">
        <w:rPr>
          <w:color w:val="auto"/>
          <w:sz w:val="22"/>
          <w:szCs w:val="22"/>
          <w:lang w:val="el-GR"/>
        </w:rPr>
        <w:t>τυχαιοποιήθηκαν</w:t>
      </w:r>
      <w:proofErr w:type="spellEnd"/>
      <w:r w:rsidRPr="00A66AB5">
        <w:rPr>
          <w:color w:val="auto"/>
          <w:sz w:val="22"/>
          <w:szCs w:val="22"/>
          <w:lang w:val="el-GR"/>
        </w:rPr>
        <w:t xml:space="preserve"> σε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η μέση αύξηση βάρους κατά τη διάρκεια της ανοικτής περιόδου ήταν 2,56 </w:t>
      </w:r>
      <w:r w:rsidRPr="00A66AB5">
        <w:rPr>
          <w:color w:val="auto"/>
          <w:sz w:val="22"/>
          <w:szCs w:val="22"/>
        </w:rPr>
        <w:t>kg</w:t>
      </w:r>
      <w:r w:rsidRPr="00A66AB5">
        <w:rPr>
          <w:color w:val="auto"/>
          <w:sz w:val="22"/>
          <w:szCs w:val="22"/>
          <w:lang w:val="el-GR"/>
        </w:rPr>
        <w:t xml:space="preserve"> και μέχρι την εβδομάδα 48 της τυχαιοποιημένης περιόδου, η μέση αύξηση βάρους ήταν 3,22 </w:t>
      </w:r>
      <w:r w:rsidRPr="00A66AB5">
        <w:rPr>
          <w:color w:val="auto"/>
          <w:sz w:val="22"/>
          <w:szCs w:val="22"/>
        </w:rPr>
        <w:t>kg</w:t>
      </w:r>
      <w:r w:rsidRPr="00A66AB5">
        <w:rPr>
          <w:color w:val="auto"/>
          <w:sz w:val="22"/>
          <w:szCs w:val="22"/>
          <w:lang w:val="el-GR"/>
        </w:rPr>
        <w:t xml:space="preserve">, σε σύγκριση με την ανοικτή αρχική περίοδο. Για τους ασθενείς που </w:t>
      </w:r>
      <w:proofErr w:type="spellStart"/>
      <w:r w:rsidRPr="00A66AB5">
        <w:rPr>
          <w:color w:val="auto"/>
          <w:sz w:val="22"/>
          <w:szCs w:val="22"/>
          <w:lang w:val="el-GR"/>
        </w:rPr>
        <w:t>τυχαιοποιήθηκαν</w:t>
      </w:r>
      <w:proofErr w:type="spellEnd"/>
      <w:r w:rsidRPr="00A66AB5">
        <w:rPr>
          <w:color w:val="auto"/>
          <w:sz w:val="22"/>
          <w:szCs w:val="22"/>
          <w:lang w:val="el-GR"/>
        </w:rPr>
        <w:t xml:space="preserve"> σε εικονικό φάρμακο, η μέση αύξηση βάρους κατά τη διάρκεια της ανοικτής περιόδου ήταν 2,39 </w:t>
      </w:r>
      <w:r w:rsidRPr="00A66AB5">
        <w:rPr>
          <w:color w:val="auto"/>
          <w:sz w:val="22"/>
          <w:szCs w:val="22"/>
        </w:rPr>
        <w:t>kg</w:t>
      </w:r>
      <w:r w:rsidRPr="00A66AB5">
        <w:rPr>
          <w:color w:val="auto"/>
          <w:sz w:val="22"/>
          <w:szCs w:val="22"/>
          <w:lang w:val="el-GR"/>
        </w:rPr>
        <w:t xml:space="preserve"> και μέχρι την εβδομάδα 48 της τυχαιοποιημένης περιόδου, η μέση αύξηση βάρους ήταν 0,89 </w:t>
      </w:r>
      <w:r w:rsidRPr="00A66AB5">
        <w:rPr>
          <w:color w:val="auto"/>
          <w:sz w:val="22"/>
          <w:szCs w:val="22"/>
        </w:rPr>
        <w:t>kg</w:t>
      </w:r>
      <w:r w:rsidRPr="00A66AB5">
        <w:rPr>
          <w:color w:val="auto"/>
          <w:sz w:val="22"/>
          <w:szCs w:val="22"/>
          <w:lang w:val="el-GR"/>
        </w:rPr>
        <w:t xml:space="preserve">, σε σύγκριση με την ανοικτή αρχική περίοδο.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Σε μελέτες με έλεγχο εικονικού φαρμάκου σε ηλικιωμένους ασθενείς με ψύχωση που σχετίζεται με άνοια, η επίπτωση αγγειακών εγκεφαλικών ανεπιθύμητων συμβάντων ανά 100 ασθενείς-έτη δεν ήταν υψηλότερη σε ασθενείς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σε σχέση με ασθενείς που έλαβαν θεραπεία με εικονικό φάρμακο. </w:t>
      </w:r>
    </w:p>
    <w:p w:rsidR="00380EEB" w:rsidRPr="00A66AB5" w:rsidRDefault="00380EEB">
      <w:pPr>
        <w:pStyle w:val="Web"/>
        <w:spacing w:before="0" w:beforeAutospacing="0" w:after="0"/>
        <w:jc w:val="both"/>
        <w:rPr>
          <w:color w:val="auto"/>
          <w:sz w:val="22"/>
          <w:szCs w:val="22"/>
          <w:lang w:val="el-GR"/>
        </w:rPr>
      </w:pPr>
    </w:p>
    <w:p w:rsidR="00380EEB" w:rsidRDefault="00380EEB">
      <w:pPr>
        <w:pStyle w:val="Web"/>
        <w:spacing w:before="0" w:beforeAutospacing="0" w:after="0"/>
        <w:jc w:val="both"/>
        <w:rPr>
          <w:color w:val="auto"/>
          <w:sz w:val="22"/>
          <w:szCs w:val="22"/>
          <w:lang w:val="el-GR"/>
        </w:rPr>
      </w:pPr>
      <w:r w:rsidRPr="00A66AB5">
        <w:rPr>
          <w:color w:val="auto"/>
          <w:sz w:val="22"/>
          <w:szCs w:val="22"/>
          <w:lang w:val="el-GR"/>
        </w:rPr>
        <w:t xml:space="preserve">Σε </w:t>
      </w:r>
      <w:r w:rsidR="001F7643" w:rsidRPr="00A66AB5">
        <w:rPr>
          <w:color w:val="auto"/>
          <w:sz w:val="22"/>
          <w:szCs w:val="22"/>
          <w:lang w:val="el-GR"/>
        </w:rPr>
        <w:t xml:space="preserve">όλες τις βραχυχρόνιες </w:t>
      </w:r>
      <w:r w:rsidRPr="00A66AB5">
        <w:rPr>
          <w:color w:val="auto"/>
          <w:sz w:val="22"/>
          <w:szCs w:val="22"/>
          <w:lang w:val="el-GR"/>
        </w:rPr>
        <w:t xml:space="preserve">δοκιμές </w:t>
      </w:r>
      <w:proofErr w:type="spellStart"/>
      <w:r w:rsidRPr="00A66AB5">
        <w:rPr>
          <w:color w:val="auto"/>
          <w:sz w:val="22"/>
          <w:szCs w:val="22"/>
          <w:lang w:val="el-GR"/>
        </w:rPr>
        <w:t>μονοθεραπείας</w:t>
      </w:r>
      <w:proofErr w:type="spellEnd"/>
      <w:r w:rsidRPr="00A66AB5">
        <w:rPr>
          <w:color w:val="auto"/>
          <w:sz w:val="22"/>
          <w:szCs w:val="22"/>
          <w:lang w:val="el-GR"/>
        </w:rPr>
        <w:t xml:space="preserve"> με έλεγχο εικονικού φαρμάκου σε ασθενείς με αρχικό αριθμό ουδετερόφιλων </w:t>
      </w:r>
      <w:r w:rsidR="00C23604">
        <w:rPr>
          <w:noProof/>
          <w:snapToGrid/>
          <w:color w:val="auto"/>
          <w:sz w:val="22"/>
          <w:szCs w:val="22"/>
          <w:lang w:val="el-GR"/>
        </w:rPr>
        <w:drawing>
          <wp:inline distT="0" distB="0" distL="0" distR="0" wp14:anchorId="37F67432" wp14:editId="04D4781C">
            <wp:extent cx="109220" cy="109220"/>
            <wp:effectExtent l="19050" t="0" r="5080" b="0"/>
            <wp:docPr id="2" name="Εικόνα 2"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ER-THAN OR EQUAL TO (8805)"/>
                    <pic:cNvPicPr>
                      <a:picLocks noChangeAspect="1" noChangeArrowheads="1"/>
                    </pic:cNvPicPr>
                  </pic:nvPicPr>
                  <pic:blipFill>
                    <a:blip r:embed="rId9"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Pr="00A66AB5">
        <w:rPr>
          <w:color w:val="auto"/>
          <w:sz w:val="22"/>
          <w:szCs w:val="22"/>
          <w:lang w:val="el-GR"/>
        </w:rPr>
        <w:t xml:space="preserve">1,5 </w:t>
      </w:r>
      <w:r w:rsidRPr="00A66AB5">
        <w:rPr>
          <w:color w:val="auto"/>
          <w:sz w:val="22"/>
          <w:szCs w:val="22"/>
        </w:rPr>
        <w:t>X</w:t>
      </w:r>
      <w:r w:rsidRPr="00A66AB5">
        <w:rPr>
          <w:color w:val="auto"/>
          <w:sz w:val="22"/>
          <w:szCs w:val="22"/>
          <w:lang w:val="el-GR"/>
        </w:rPr>
        <w:t xml:space="preserve"> 10</w:t>
      </w:r>
      <w:r w:rsidRPr="00A66AB5">
        <w:rPr>
          <w:color w:val="auto"/>
          <w:sz w:val="22"/>
          <w:szCs w:val="22"/>
          <w:vertAlign w:val="superscript"/>
          <w:lang w:val="el-GR"/>
        </w:rPr>
        <w:t>9</w:t>
      </w:r>
      <w:r w:rsidRPr="00A66AB5">
        <w:rPr>
          <w:color w:val="auto"/>
          <w:sz w:val="22"/>
          <w:szCs w:val="22"/>
          <w:lang w:val="el-GR"/>
        </w:rPr>
        <w:t>/</w:t>
      </w:r>
      <w:r w:rsidRPr="00A66AB5">
        <w:rPr>
          <w:color w:val="auto"/>
          <w:sz w:val="22"/>
          <w:szCs w:val="22"/>
        </w:rPr>
        <w:t>L</w:t>
      </w:r>
      <w:r w:rsidRPr="00A66AB5">
        <w:rPr>
          <w:color w:val="auto"/>
          <w:sz w:val="22"/>
          <w:szCs w:val="22"/>
          <w:lang w:val="el-GR"/>
        </w:rPr>
        <w:t xml:space="preserve">, η επίπτωση τουλάχιστον μίας εμφάνισης </w:t>
      </w:r>
      <w:r w:rsidR="001F7643" w:rsidRPr="00A66AB5">
        <w:rPr>
          <w:color w:val="auto"/>
          <w:sz w:val="22"/>
          <w:szCs w:val="22"/>
          <w:lang w:val="el-GR"/>
        </w:rPr>
        <w:t xml:space="preserve">μετατόπισης σε αριθμό </w:t>
      </w:r>
      <w:r w:rsidRPr="00A66AB5">
        <w:rPr>
          <w:color w:val="auto"/>
          <w:sz w:val="22"/>
          <w:szCs w:val="22"/>
          <w:lang w:val="el-GR"/>
        </w:rPr>
        <w:t xml:space="preserve">ουδετερόφιλων &lt; 1,5 </w:t>
      </w:r>
      <w:r w:rsidRPr="00A66AB5">
        <w:rPr>
          <w:color w:val="auto"/>
          <w:sz w:val="22"/>
          <w:szCs w:val="22"/>
        </w:rPr>
        <w:t>X</w:t>
      </w:r>
      <w:r w:rsidRPr="00A66AB5">
        <w:rPr>
          <w:color w:val="auto"/>
          <w:sz w:val="22"/>
          <w:szCs w:val="22"/>
          <w:lang w:val="el-GR"/>
        </w:rPr>
        <w:t xml:space="preserve"> 10</w:t>
      </w:r>
      <w:r w:rsidRPr="00A66AB5">
        <w:rPr>
          <w:color w:val="auto"/>
          <w:sz w:val="22"/>
          <w:szCs w:val="22"/>
          <w:vertAlign w:val="superscript"/>
          <w:lang w:val="el-GR"/>
        </w:rPr>
        <w:t>9</w:t>
      </w:r>
      <w:r w:rsidRPr="00A66AB5">
        <w:rPr>
          <w:color w:val="auto"/>
          <w:sz w:val="22"/>
          <w:szCs w:val="22"/>
          <w:lang w:val="el-GR"/>
        </w:rPr>
        <w:t>/</w:t>
      </w:r>
      <w:r w:rsidRPr="00A66AB5">
        <w:rPr>
          <w:color w:val="auto"/>
          <w:sz w:val="22"/>
          <w:szCs w:val="22"/>
        </w:rPr>
        <w:t>L</w:t>
      </w:r>
      <w:r w:rsidRPr="00A66AB5">
        <w:rPr>
          <w:color w:val="auto"/>
          <w:sz w:val="22"/>
          <w:szCs w:val="22"/>
          <w:lang w:val="el-GR"/>
        </w:rPr>
        <w:t xml:space="preserve"> ήταν 1,</w:t>
      </w:r>
      <w:r w:rsidR="001F7643" w:rsidRPr="00A66AB5">
        <w:rPr>
          <w:color w:val="auto"/>
          <w:sz w:val="22"/>
          <w:szCs w:val="22"/>
          <w:lang w:val="el-GR"/>
        </w:rPr>
        <w:t>9</w:t>
      </w:r>
      <w:r w:rsidRPr="00A66AB5">
        <w:rPr>
          <w:color w:val="auto"/>
          <w:sz w:val="22"/>
          <w:szCs w:val="22"/>
          <w:lang w:val="el-GR"/>
        </w:rPr>
        <w:t xml:space="preserve">% σε ασθενείς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σε σύγκριση με </w:t>
      </w:r>
      <w:r w:rsidR="001F7643" w:rsidRPr="00A66AB5">
        <w:rPr>
          <w:color w:val="auto"/>
          <w:sz w:val="22"/>
          <w:szCs w:val="22"/>
          <w:lang w:val="el-GR"/>
        </w:rPr>
        <w:t>1</w:t>
      </w:r>
      <w:r w:rsidRPr="00A66AB5">
        <w:rPr>
          <w:color w:val="auto"/>
          <w:sz w:val="22"/>
          <w:szCs w:val="22"/>
          <w:lang w:val="el-GR"/>
        </w:rPr>
        <w:t>,3% σε ασθενείς που έλαβαν θεραπεία με εικονικό φάρμακο.</w:t>
      </w:r>
      <w:r w:rsidR="001F7643" w:rsidRPr="00A66AB5">
        <w:rPr>
          <w:color w:val="auto"/>
          <w:sz w:val="22"/>
          <w:szCs w:val="22"/>
          <w:lang w:val="el-GR"/>
        </w:rPr>
        <w:t xml:space="preserve"> Η επίπτωση των μετατοπίσεων σε τιμές &gt;0,5 - &lt;1,0 X 10</w:t>
      </w:r>
      <w:r w:rsidR="001F7643" w:rsidRPr="00A66AB5">
        <w:rPr>
          <w:color w:val="auto"/>
          <w:sz w:val="22"/>
          <w:szCs w:val="22"/>
          <w:vertAlign w:val="superscript"/>
          <w:lang w:val="el-GR"/>
        </w:rPr>
        <w:t>9</w:t>
      </w:r>
      <w:r w:rsidR="001F7643" w:rsidRPr="00A66AB5">
        <w:rPr>
          <w:color w:val="auto"/>
          <w:sz w:val="22"/>
          <w:szCs w:val="22"/>
          <w:lang w:val="el-GR"/>
        </w:rPr>
        <w:t xml:space="preserve">/L σε ασθενείς που έλαβαν θεραπεία με </w:t>
      </w:r>
      <w:proofErr w:type="spellStart"/>
      <w:r w:rsidR="001F7643" w:rsidRPr="00A66AB5">
        <w:rPr>
          <w:color w:val="auto"/>
          <w:sz w:val="22"/>
          <w:szCs w:val="22"/>
          <w:lang w:val="el-GR"/>
        </w:rPr>
        <w:t>κουετιαπίνη</w:t>
      </w:r>
      <w:proofErr w:type="spellEnd"/>
      <w:r w:rsidR="001F7643" w:rsidRPr="00A66AB5">
        <w:rPr>
          <w:color w:val="auto"/>
          <w:sz w:val="22"/>
          <w:szCs w:val="22"/>
          <w:lang w:val="el-GR"/>
        </w:rPr>
        <w:t xml:space="preserve"> ήταν η ίδια (0,2%) με εκείνη των ασθενών που έλαβαν θεραπεία με εικονικό φάρμακο.</w:t>
      </w:r>
      <w:r w:rsidRPr="00A66AB5">
        <w:rPr>
          <w:color w:val="auto"/>
          <w:sz w:val="22"/>
          <w:szCs w:val="22"/>
          <w:lang w:val="el-GR"/>
        </w:rPr>
        <w:t xml:space="preserve"> Σε όλες τις κλινικές δοκιμές (με έλεγχο εικονικού φαρμάκου, ανοικτές, με δραστική συγκριτική ουσία</w:t>
      </w:r>
      <w:r w:rsidR="001F7643" w:rsidRPr="00A66AB5">
        <w:rPr>
          <w:color w:val="auto"/>
          <w:sz w:val="22"/>
          <w:szCs w:val="22"/>
          <w:lang w:val="el-GR"/>
        </w:rPr>
        <w:t>)</w:t>
      </w:r>
      <w:r w:rsidRPr="00A66AB5">
        <w:rPr>
          <w:color w:val="auto"/>
          <w:sz w:val="22"/>
          <w:szCs w:val="22"/>
          <w:lang w:val="el-GR"/>
        </w:rPr>
        <w:t xml:space="preserve"> σε ασθενείς με αρχικό αριθμό ουδετερόφιλων </w:t>
      </w:r>
      <w:r w:rsidR="00C23604">
        <w:rPr>
          <w:noProof/>
          <w:snapToGrid/>
          <w:color w:val="auto"/>
          <w:sz w:val="22"/>
          <w:szCs w:val="22"/>
          <w:lang w:val="el-GR"/>
        </w:rPr>
        <w:drawing>
          <wp:inline distT="0" distB="0" distL="0" distR="0" wp14:anchorId="66108AC2" wp14:editId="23A82459">
            <wp:extent cx="109220" cy="109220"/>
            <wp:effectExtent l="19050" t="0" r="5080" b="0"/>
            <wp:docPr id="3" name="Εικόνα 3"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ER-THAN OR EQUAL TO (8805)"/>
                    <pic:cNvPicPr>
                      <a:picLocks noChangeAspect="1" noChangeArrowheads="1"/>
                    </pic:cNvPicPr>
                  </pic:nvPicPr>
                  <pic:blipFill>
                    <a:blip r:embed="rId9"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Pr="00A66AB5">
        <w:rPr>
          <w:color w:val="auto"/>
          <w:sz w:val="22"/>
          <w:szCs w:val="22"/>
          <w:lang w:val="el-GR"/>
        </w:rPr>
        <w:t xml:space="preserve">1,5 </w:t>
      </w:r>
      <w:r w:rsidRPr="00A66AB5">
        <w:rPr>
          <w:color w:val="auto"/>
          <w:sz w:val="22"/>
          <w:szCs w:val="22"/>
        </w:rPr>
        <w:t>X</w:t>
      </w:r>
      <w:r w:rsidRPr="00A66AB5">
        <w:rPr>
          <w:color w:val="auto"/>
          <w:sz w:val="22"/>
          <w:szCs w:val="22"/>
          <w:lang w:val="el-GR"/>
        </w:rPr>
        <w:t xml:space="preserve"> </w:t>
      </w:r>
      <w:r w:rsidR="003E7EF0" w:rsidRPr="00791987">
        <w:rPr>
          <w:color w:val="auto"/>
          <w:sz w:val="22"/>
          <w:szCs w:val="22"/>
          <w:lang w:val="el-GR"/>
        </w:rPr>
        <w:t>10</w:t>
      </w:r>
      <w:r w:rsidR="003E7EF0" w:rsidRPr="00791987">
        <w:rPr>
          <w:color w:val="auto"/>
          <w:sz w:val="22"/>
          <w:szCs w:val="22"/>
          <w:vertAlign w:val="superscript"/>
          <w:lang w:val="el-GR"/>
        </w:rPr>
        <w:t>9</w:t>
      </w:r>
      <w:r w:rsidR="003E7EF0" w:rsidRPr="00791987">
        <w:rPr>
          <w:color w:val="auto"/>
          <w:sz w:val="22"/>
          <w:szCs w:val="22"/>
          <w:lang w:val="el-GR"/>
        </w:rPr>
        <w:t>/</w:t>
      </w:r>
      <w:r w:rsidR="003E7EF0" w:rsidRPr="003E7EF0">
        <w:rPr>
          <w:color w:val="auto"/>
          <w:sz w:val="22"/>
          <w:szCs w:val="22"/>
          <w:lang w:val="en-GB"/>
        </w:rPr>
        <w:t>L</w:t>
      </w:r>
      <w:r w:rsidR="003E7EF0" w:rsidRPr="00791987">
        <w:rPr>
          <w:color w:val="auto"/>
          <w:sz w:val="22"/>
          <w:szCs w:val="22"/>
          <w:lang w:val="el-GR"/>
        </w:rPr>
        <w:t>,</w:t>
      </w:r>
      <w:r w:rsidRPr="00A66AB5">
        <w:rPr>
          <w:color w:val="auto"/>
          <w:sz w:val="22"/>
          <w:szCs w:val="22"/>
          <w:lang w:val="el-GR"/>
        </w:rPr>
        <w:t xml:space="preserve"> η επίπτωση τουλάχιστον μίας εμφάνισης </w:t>
      </w:r>
      <w:r w:rsidR="001F7643" w:rsidRPr="00A66AB5">
        <w:rPr>
          <w:color w:val="auto"/>
          <w:sz w:val="22"/>
          <w:szCs w:val="22"/>
          <w:lang w:val="el-GR"/>
        </w:rPr>
        <w:t xml:space="preserve">μετατόπισης σε αριθμό </w:t>
      </w:r>
      <w:r w:rsidRPr="00A66AB5">
        <w:rPr>
          <w:color w:val="auto"/>
          <w:sz w:val="22"/>
          <w:szCs w:val="22"/>
          <w:lang w:val="el-GR"/>
        </w:rPr>
        <w:t>ουδετερόφιλων &lt;</w:t>
      </w:r>
      <w:r w:rsidR="001F7643" w:rsidRPr="00A66AB5">
        <w:rPr>
          <w:color w:val="auto"/>
          <w:sz w:val="22"/>
          <w:szCs w:val="22"/>
          <w:lang w:val="el-GR"/>
        </w:rPr>
        <w:t>1</w:t>
      </w:r>
      <w:r w:rsidRPr="00A66AB5">
        <w:rPr>
          <w:color w:val="auto"/>
          <w:sz w:val="22"/>
          <w:szCs w:val="22"/>
          <w:lang w:val="el-GR"/>
        </w:rPr>
        <w:t xml:space="preserve">,5 </w:t>
      </w:r>
      <w:r w:rsidRPr="00A66AB5">
        <w:rPr>
          <w:color w:val="auto"/>
          <w:sz w:val="22"/>
          <w:szCs w:val="22"/>
        </w:rPr>
        <w:t>X</w:t>
      </w:r>
      <w:r w:rsidRPr="00A66AB5">
        <w:rPr>
          <w:color w:val="auto"/>
          <w:sz w:val="22"/>
          <w:szCs w:val="22"/>
          <w:lang w:val="el-GR"/>
        </w:rPr>
        <w:t xml:space="preserve"> 10</w:t>
      </w:r>
      <w:r w:rsidRPr="00A66AB5">
        <w:rPr>
          <w:color w:val="auto"/>
          <w:sz w:val="22"/>
          <w:szCs w:val="22"/>
          <w:vertAlign w:val="superscript"/>
          <w:lang w:val="el-GR"/>
        </w:rPr>
        <w:t>9</w:t>
      </w:r>
      <w:r w:rsidRPr="00A66AB5">
        <w:rPr>
          <w:color w:val="auto"/>
          <w:sz w:val="22"/>
          <w:szCs w:val="22"/>
          <w:lang w:val="el-GR"/>
        </w:rPr>
        <w:t>/</w:t>
      </w:r>
      <w:r w:rsidRPr="00A66AB5">
        <w:rPr>
          <w:color w:val="auto"/>
          <w:sz w:val="22"/>
          <w:szCs w:val="22"/>
        </w:rPr>
        <w:t>L</w:t>
      </w:r>
      <w:r w:rsidRPr="00A66AB5">
        <w:rPr>
          <w:color w:val="auto"/>
          <w:sz w:val="22"/>
          <w:szCs w:val="22"/>
          <w:lang w:val="el-GR"/>
        </w:rPr>
        <w:t xml:space="preserve"> ήταν </w:t>
      </w:r>
      <w:r w:rsidR="001F7643" w:rsidRPr="00A66AB5">
        <w:rPr>
          <w:color w:val="auto"/>
          <w:sz w:val="22"/>
          <w:szCs w:val="22"/>
          <w:lang w:val="el-GR"/>
        </w:rPr>
        <w:t>2</w:t>
      </w:r>
      <w:r w:rsidRPr="00A66AB5">
        <w:rPr>
          <w:color w:val="auto"/>
          <w:sz w:val="22"/>
          <w:szCs w:val="22"/>
          <w:lang w:val="el-GR"/>
        </w:rPr>
        <w:t>,</w:t>
      </w:r>
      <w:r w:rsidR="001F7643" w:rsidRPr="00A66AB5">
        <w:rPr>
          <w:color w:val="auto"/>
          <w:sz w:val="22"/>
          <w:szCs w:val="22"/>
          <w:lang w:val="el-GR"/>
        </w:rPr>
        <w:t>9</w:t>
      </w:r>
      <w:r w:rsidRPr="00A66AB5">
        <w:rPr>
          <w:color w:val="auto"/>
          <w:sz w:val="22"/>
          <w:szCs w:val="22"/>
          <w:lang w:val="el-GR"/>
        </w:rPr>
        <w:t xml:space="preserve">% </w:t>
      </w:r>
      <w:r w:rsidR="001F7643" w:rsidRPr="00A66AB5">
        <w:rPr>
          <w:color w:val="auto"/>
          <w:sz w:val="22"/>
          <w:szCs w:val="22"/>
          <w:lang w:val="el-GR"/>
        </w:rPr>
        <w:t>και σε &lt;0,5 X 10</w:t>
      </w:r>
      <w:r w:rsidR="001F7643" w:rsidRPr="00A66AB5">
        <w:rPr>
          <w:color w:val="auto"/>
          <w:sz w:val="22"/>
          <w:szCs w:val="22"/>
          <w:vertAlign w:val="superscript"/>
          <w:lang w:val="el-GR"/>
        </w:rPr>
        <w:t>9</w:t>
      </w:r>
      <w:r w:rsidR="001F7643" w:rsidRPr="00A66AB5">
        <w:rPr>
          <w:color w:val="auto"/>
          <w:sz w:val="22"/>
          <w:szCs w:val="22"/>
          <w:lang w:val="el-GR"/>
        </w:rPr>
        <w:t xml:space="preserve">/L ήταν 0,21% </w:t>
      </w:r>
      <w:r w:rsidRPr="00A66AB5">
        <w:rPr>
          <w:color w:val="auto"/>
          <w:sz w:val="22"/>
          <w:szCs w:val="22"/>
          <w:lang w:val="el-GR"/>
        </w:rPr>
        <w:t xml:space="preserve">σε ασθενείς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w:t>
      </w:r>
    </w:p>
    <w:p w:rsidR="00195C77" w:rsidRPr="00A66AB5" w:rsidRDefault="00195C77">
      <w:pPr>
        <w:pStyle w:val="Web"/>
        <w:spacing w:before="0" w:beforeAutospacing="0" w:after="0"/>
        <w:jc w:val="both"/>
        <w:rPr>
          <w:sz w:val="22"/>
          <w:szCs w:val="22"/>
          <w:lang w:val="el-GR"/>
        </w:rPr>
      </w:pPr>
    </w:p>
    <w:p w:rsidR="00195C77" w:rsidRPr="00BD3BEF" w:rsidRDefault="00195C77" w:rsidP="00195C77">
      <w:pPr>
        <w:pStyle w:val="Web"/>
        <w:spacing w:after="0"/>
        <w:jc w:val="both"/>
        <w:rPr>
          <w:sz w:val="22"/>
          <w:szCs w:val="22"/>
          <w:lang w:val="el-GR"/>
        </w:rPr>
      </w:pPr>
      <w:r w:rsidRPr="00195C77">
        <w:rPr>
          <w:sz w:val="22"/>
          <w:szCs w:val="22"/>
          <w:lang w:val="el-GR"/>
        </w:rPr>
        <w:t xml:space="preserve">Η θεραπεία με </w:t>
      </w:r>
      <w:proofErr w:type="spellStart"/>
      <w:r w:rsidRPr="00195C77">
        <w:rPr>
          <w:sz w:val="22"/>
          <w:szCs w:val="22"/>
          <w:lang w:val="el-GR"/>
        </w:rPr>
        <w:t>κουετιαπίνη</w:t>
      </w:r>
      <w:proofErr w:type="spellEnd"/>
      <w:r w:rsidRPr="00195C77">
        <w:rPr>
          <w:sz w:val="22"/>
          <w:szCs w:val="22"/>
          <w:lang w:val="el-GR"/>
        </w:rPr>
        <w:t xml:space="preserve"> συσχετίστηκε με </w:t>
      </w:r>
      <w:proofErr w:type="spellStart"/>
      <w:r w:rsidRPr="00195C77">
        <w:rPr>
          <w:sz w:val="22"/>
          <w:szCs w:val="22"/>
          <w:lang w:val="el-GR"/>
        </w:rPr>
        <w:t>δοσοεξαρτώμενες</w:t>
      </w:r>
      <w:proofErr w:type="spellEnd"/>
      <w:r w:rsidRPr="00195C77">
        <w:rPr>
          <w:sz w:val="22"/>
          <w:szCs w:val="22"/>
          <w:lang w:val="el-GR"/>
        </w:rPr>
        <w:t xml:space="preserve"> μειώσεις στα επίπεδα των </w:t>
      </w:r>
      <w:proofErr w:type="spellStart"/>
      <w:r w:rsidRPr="00195C77">
        <w:rPr>
          <w:sz w:val="22"/>
          <w:szCs w:val="22"/>
          <w:lang w:val="el-GR"/>
        </w:rPr>
        <w:t>θυρεοειδικών</w:t>
      </w:r>
      <w:proofErr w:type="spellEnd"/>
      <w:r w:rsidRPr="00195C77">
        <w:rPr>
          <w:sz w:val="22"/>
          <w:szCs w:val="22"/>
          <w:lang w:val="el-GR"/>
        </w:rPr>
        <w:t xml:space="preserve"> ορμονών. </w:t>
      </w:r>
      <w:r w:rsidR="003E7EF0">
        <w:rPr>
          <w:sz w:val="22"/>
          <w:szCs w:val="22"/>
          <w:lang w:val="el-GR"/>
        </w:rPr>
        <w:t>Η</w:t>
      </w:r>
      <w:r w:rsidR="003E7EF0" w:rsidRPr="00195C77">
        <w:rPr>
          <w:sz w:val="22"/>
          <w:szCs w:val="22"/>
          <w:lang w:val="el-GR"/>
        </w:rPr>
        <w:t xml:space="preserve"> </w:t>
      </w:r>
      <w:r w:rsidRPr="00195C77">
        <w:rPr>
          <w:sz w:val="22"/>
          <w:szCs w:val="22"/>
          <w:lang w:val="el-GR"/>
        </w:rPr>
        <w:t>επ</w:t>
      </w:r>
      <w:r w:rsidR="003E7EF0">
        <w:rPr>
          <w:sz w:val="22"/>
          <w:szCs w:val="22"/>
          <w:lang w:val="el-GR"/>
        </w:rPr>
        <w:t>ί</w:t>
      </w:r>
      <w:r w:rsidRPr="00195C77">
        <w:rPr>
          <w:sz w:val="22"/>
          <w:szCs w:val="22"/>
          <w:lang w:val="el-GR"/>
        </w:rPr>
        <w:t>πτ</w:t>
      </w:r>
      <w:r w:rsidR="003E7EF0">
        <w:rPr>
          <w:sz w:val="22"/>
          <w:szCs w:val="22"/>
          <w:lang w:val="el-GR"/>
        </w:rPr>
        <w:t>ωση</w:t>
      </w:r>
      <w:r w:rsidRPr="00195C77">
        <w:rPr>
          <w:sz w:val="22"/>
          <w:szCs w:val="22"/>
          <w:lang w:val="el-GR"/>
        </w:rPr>
        <w:t xml:space="preserve"> των μεταβολών της TSH ήταν 3,2% για την </w:t>
      </w:r>
      <w:proofErr w:type="spellStart"/>
      <w:r w:rsidRPr="00195C77">
        <w:rPr>
          <w:sz w:val="22"/>
          <w:szCs w:val="22"/>
          <w:lang w:val="el-GR"/>
        </w:rPr>
        <w:t>κουετιαπίνη</w:t>
      </w:r>
      <w:proofErr w:type="spellEnd"/>
      <w:r w:rsidRPr="00195C77">
        <w:rPr>
          <w:sz w:val="22"/>
          <w:szCs w:val="22"/>
          <w:lang w:val="el-GR"/>
        </w:rPr>
        <w:t xml:space="preserve"> έναντι 2,7% για το εικονικό φάρμακο.</w:t>
      </w:r>
      <w:r w:rsidRPr="00BD3BEF">
        <w:rPr>
          <w:sz w:val="22"/>
          <w:szCs w:val="22"/>
          <w:lang w:val="el-GR"/>
        </w:rPr>
        <w:t xml:space="preserve"> </w:t>
      </w:r>
      <w:r w:rsidRPr="00195C77">
        <w:rPr>
          <w:sz w:val="22"/>
          <w:szCs w:val="22"/>
          <w:lang w:val="el-GR"/>
        </w:rPr>
        <w:t xml:space="preserve">Η </w:t>
      </w:r>
      <w:r w:rsidR="00C15BA7">
        <w:rPr>
          <w:sz w:val="22"/>
          <w:szCs w:val="22"/>
          <w:lang w:val="el-GR"/>
        </w:rPr>
        <w:t>εμφάνιση</w:t>
      </w:r>
      <w:r w:rsidRPr="00195C77">
        <w:rPr>
          <w:sz w:val="22"/>
          <w:szCs w:val="22"/>
          <w:lang w:val="el-GR"/>
        </w:rPr>
        <w:t xml:space="preserve"> </w:t>
      </w:r>
      <w:r w:rsidR="00C15BA7">
        <w:rPr>
          <w:sz w:val="22"/>
          <w:szCs w:val="22"/>
          <w:lang w:val="el-GR"/>
        </w:rPr>
        <w:t>αντίστροφων</w:t>
      </w:r>
      <w:r w:rsidRPr="00195C77">
        <w:rPr>
          <w:sz w:val="22"/>
          <w:szCs w:val="22"/>
          <w:lang w:val="el-GR"/>
        </w:rPr>
        <w:t>, δυνητικά κλινικά σημαντικών μεταβολών της T</w:t>
      </w:r>
      <w:r w:rsidRPr="00195C77">
        <w:rPr>
          <w:sz w:val="22"/>
          <w:szCs w:val="22"/>
          <w:vertAlign w:val="subscript"/>
          <w:lang w:val="el-GR"/>
        </w:rPr>
        <w:t>3</w:t>
      </w:r>
      <w:r w:rsidRPr="00195C77">
        <w:rPr>
          <w:sz w:val="22"/>
          <w:szCs w:val="22"/>
          <w:lang w:val="el-GR"/>
        </w:rPr>
        <w:t xml:space="preserve"> ή της T</w:t>
      </w:r>
      <w:r w:rsidRPr="00195C77">
        <w:rPr>
          <w:sz w:val="22"/>
          <w:szCs w:val="22"/>
          <w:vertAlign w:val="subscript"/>
          <w:lang w:val="el-GR"/>
        </w:rPr>
        <w:t>4</w:t>
      </w:r>
      <w:r w:rsidRPr="00195C77">
        <w:rPr>
          <w:sz w:val="22"/>
          <w:szCs w:val="22"/>
          <w:lang w:val="el-GR"/>
        </w:rPr>
        <w:t xml:space="preserve"> και της TSH σε αυτές τις δοκιμές ήταν σπάνια και οι παρατηρούμενες αλλαγές στα επίπεδα των </w:t>
      </w:r>
      <w:proofErr w:type="spellStart"/>
      <w:r w:rsidRPr="00195C77">
        <w:rPr>
          <w:sz w:val="22"/>
          <w:szCs w:val="22"/>
          <w:lang w:val="el-GR"/>
        </w:rPr>
        <w:t>θυρεοειδικών</w:t>
      </w:r>
      <w:proofErr w:type="spellEnd"/>
      <w:r w:rsidRPr="00195C77">
        <w:rPr>
          <w:sz w:val="22"/>
          <w:szCs w:val="22"/>
          <w:lang w:val="el-GR"/>
        </w:rPr>
        <w:t xml:space="preserve"> ορμονών δεν συσχετίστηκαν με κλινικά συμπτωματικό υποθυρεοειδισμό.</w:t>
      </w:r>
      <w:r w:rsidRPr="00BD3BEF">
        <w:rPr>
          <w:sz w:val="22"/>
          <w:szCs w:val="22"/>
          <w:lang w:val="el-GR"/>
        </w:rPr>
        <w:t xml:space="preserve"> </w:t>
      </w:r>
      <w:r w:rsidRPr="00195C77">
        <w:rPr>
          <w:sz w:val="22"/>
          <w:szCs w:val="22"/>
          <w:lang w:val="el-GR"/>
        </w:rPr>
        <w:t>Η μείωση της ολικής και της ελεύθερης T</w:t>
      </w:r>
      <w:r w:rsidRPr="00BD3BEF">
        <w:rPr>
          <w:sz w:val="22"/>
          <w:szCs w:val="22"/>
          <w:vertAlign w:val="subscript"/>
          <w:lang w:val="el-GR"/>
        </w:rPr>
        <w:t>4</w:t>
      </w:r>
      <w:r w:rsidRPr="00195C77">
        <w:rPr>
          <w:sz w:val="22"/>
          <w:szCs w:val="22"/>
          <w:lang w:val="el-GR"/>
        </w:rPr>
        <w:t xml:space="preserve"> ήταν μέγιστη εντός των πρώτων έξι εβδομάδων θεραπεία</w:t>
      </w:r>
      <w:r w:rsidR="00C15BA7">
        <w:rPr>
          <w:sz w:val="22"/>
          <w:szCs w:val="22"/>
          <w:lang w:val="el-GR"/>
        </w:rPr>
        <w:t>ς</w:t>
      </w:r>
      <w:r w:rsidRPr="00195C77">
        <w:rPr>
          <w:sz w:val="22"/>
          <w:szCs w:val="22"/>
          <w:lang w:val="el-GR"/>
        </w:rPr>
        <w:t xml:space="preserve"> με </w:t>
      </w:r>
      <w:proofErr w:type="spellStart"/>
      <w:r w:rsidRPr="00195C77">
        <w:rPr>
          <w:sz w:val="22"/>
          <w:szCs w:val="22"/>
          <w:lang w:val="el-GR"/>
        </w:rPr>
        <w:t>κουετιαπίνη</w:t>
      </w:r>
      <w:proofErr w:type="spellEnd"/>
      <w:r w:rsidRPr="00195C77">
        <w:rPr>
          <w:sz w:val="22"/>
          <w:szCs w:val="22"/>
          <w:lang w:val="el-GR"/>
        </w:rPr>
        <w:t>, χωρίς περαιτέρω μείωση κατά τη διάρκεια της μακροχρόνιας θεραπείας.</w:t>
      </w:r>
      <w:r w:rsidRPr="00BD3BEF">
        <w:rPr>
          <w:sz w:val="22"/>
          <w:szCs w:val="22"/>
          <w:lang w:val="el-GR"/>
        </w:rPr>
        <w:t xml:space="preserve"> </w:t>
      </w:r>
      <w:r w:rsidRPr="00195C77">
        <w:rPr>
          <w:sz w:val="22"/>
          <w:szCs w:val="22"/>
          <w:lang w:val="el-GR"/>
        </w:rPr>
        <w:t xml:space="preserve">Στα 2/3 όλων των περιπτώσεων περίπου, η διακοπή της θεραπείας με </w:t>
      </w:r>
      <w:proofErr w:type="spellStart"/>
      <w:r w:rsidRPr="00195C77">
        <w:rPr>
          <w:sz w:val="22"/>
          <w:szCs w:val="22"/>
          <w:lang w:val="el-GR"/>
        </w:rPr>
        <w:t>κουετιαπίνη</w:t>
      </w:r>
      <w:proofErr w:type="spellEnd"/>
      <w:r w:rsidRPr="00195C77">
        <w:rPr>
          <w:sz w:val="22"/>
          <w:szCs w:val="22"/>
          <w:lang w:val="el-GR"/>
        </w:rPr>
        <w:t xml:space="preserve"> συσχετίστηκε με αν</w:t>
      </w:r>
      <w:r w:rsidR="00C15BA7">
        <w:rPr>
          <w:sz w:val="22"/>
          <w:szCs w:val="22"/>
          <w:lang w:val="el-GR"/>
        </w:rPr>
        <w:t>τι</w:t>
      </w:r>
      <w:r w:rsidRPr="00195C77">
        <w:rPr>
          <w:sz w:val="22"/>
          <w:szCs w:val="22"/>
          <w:lang w:val="el-GR"/>
        </w:rPr>
        <w:t>στροφή των επιδράσεων στην ολική και ελεύθερη T</w:t>
      </w:r>
      <w:r w:rsidRPr="00195C77">
        <w:rPr>
          <w:sz w:val="22"/>
          <w:szCs w:val="22"/>
          <w:vertAlign w:val="subscript"/>
          <w:lang w:val="el-GR"/>
        </w:rPr>
        <w:t>4</w:t>
      </w:r>
      <w:r w:rsidRPr="00195C77">
        <w:rPr>
          <w:sz w:val="22"/>
          <w:szCs w:val="22"/>
          <w:lang w:val="el-GR"/>
        </w:rPr>
        <w:t>, ανεξάρτητα από τη διάρκεια της θεραπείας.</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rPr>
          <w:b/>
          <w:sz w:val="22"/>
          <w:szCs w:val="22"/>
          <w:lang w:val="el-GR"/>
        </w:rPr>
      </w:pPr>
      <w:r w:rsidRPr="00A66AB5">
        <w:rPr>
          <w:b/>
          <w:sz w:val="22"/>
          <w:szCs w:val="22"/>
          <w:lang w:val="el-GR"/>
        </w:rPr>
        <w:t>Καταρράκτης/Θολερότητα φακού</w:t>
      </w:r>
    </w:p>
    <w:p w:rsidR="00380EEB" w:rsidRPr="00A66AB5" w:rsidRDefault="00380EEB">
      <w:pPr>
        <w:rPr>
          <w:sz w:val="22"/>
          <w:szCs w:val="22"/>
          <w:lang w:val="el-GR"/>
        </w:rPr>
      </w:pPr>
      <w:r w:rsidRPr="00A66AB5">
        <w:rPr>
          <w:sz w:val="22"/>
          <w:szCs w:val="22"/>
          <w:lang w:val="el-GR"/>
        </w:rPr>
        <w:t xml:space="preserve">Σε μα κλινική δοκιμή για την αξιολόγηση του δυναμικού δημιουργίας καταρράκτη λόγω της </w:t>
      </w:r>
      <w:proofErr w:type="spellStart"/>
      <w:r w:rsidRPr="00A66AB5">
        <w:rPr>
          <w:sz w:val="22"/>
          <w:szCs w:val="22"/>
          <w:lang w:val="el-GR"/>
        </w:rPr>
        <w:t>κουετιαπίνης</w:t>
      </w:r>
      <w:proofErr w:type="spellEnd"/>
      <w:r w:rsidRPr="00A66AB5">
        <w:rPr>
          <w:sz w:val="22"/>
          <w:szCs w:val="22"/>
          <w:lang w:val="el-GR"/>
        </w:rPr>
        <w:t xml:space="preserve"> (200-800 </w:t>
      </w:r>
      <w:proofErr w:type="spellStart"/>
      <w:r w:rsidRPr="00A66AB5">
        <w:rPr>
          <w:sz w:val="22"/>
          <w:szCs w:val="22"/>
          <w:lang w:val="el-GR"/>
        </w:rPr>
        <w:t>mg</w:t>
      </w:r>
      <w:proofErr w:type="spellEnd"/>
      <w:r w:rsidRPr="00A66AB5">
        <w:rPr>
          <w:sz w:val="22"/>
          <w:szCs w:val="22"/>
          <w:lang w:val="el-GR"/>
        </w:rPr>
        <w:t xml:space="preserve">/ημέρα) έναντι της </w:t>
      </w:r>
      <w:proofErr w:type="spellStart"/>
      <w:r w:rsidRPr="00A66AB5">
        <w:rPr>
          <w:sz w:val="22"/>
          <w:szCs w:val="22"/>
          <w:lang w:val="el-GR"/>
        </w:rPr>
        <w:t>ρισπεριδόνης</w:t>
      </w:r>
      <w:proofErr w:type="spellEnd"/>
      <w:r w:rsidRPr="00A66AB5">
        <w:rPr>
          <w:sz w:val="22"/>
          <w:szCs w:val="22"/>
          <w:lang w:val="el-GR"/>
        </w:rPr>
        <w:t xml:space="preserve"> (2-8 </w:t>
      </w:r>
      <w:proofErr w:type="spellStart"/>
      <w:r w:rsidRPr="00A66AB5">
        <w:rPr>
          <w:sz w:val="22"/>
          <w:szCs w:val="22"/>
          <w:lang w:val="el-GR"/>
        </w:rPr>
        <w:t>mg</w:t>
      </w:r>
      <w:proofErr w:type="spellEnd"/>
      <w:r w:rsidRPr="00A66AB5">
        <w:rPr>
          <w:sz w:val="22"/>
          <w:szCs w:val="22"/>
          <w:lang w:val="el-GR"/>
        </w:rPr>
        <w:t xml:space="preserve">/ημέρα) σε ασθενείς με σχιζοφρένεια ή </w:t>
      </w:r>
      <w:proofErr w:type="spellStart"/>
      <w:r w:rsidRPr="00A66AB5">
        <w:rPr>
          <w:sz w:val="22"/>
          <w:szCs w:val="22"/>
          <w:lang w:val="el-GR"/>
        </w:rPr>
        <w:t>σχιζοσυναισθηματική</w:t>
      </w:r>
      <w:proofErr w:type="spellEnd"/>
      <w:r w:rsidRPr="00A66AB5">
        <w:rPr>
          <w:sz w:val="22"/>
          <w:szCs w:val="22"/>
          <w:lang w:val="el-GR"/>
        </w:rPr>
        <w:t xml:space="preserve"> διαταραχή, το ποσοστό των ασθενών με αυξημένο βαθμό θολερότητας φακού δεν ήταν υψηλότερο με την </w:t>
      </w:r>
      <w:proofErr w:type="spellStart"/>
      <w:r w:rsidRPr="00A66AB5">
        <w:rPr>
          <w:sz w:val="22"/>
          <w:szCs w:val="22"/>
          <w:lang w:val="el-GR"/>
        </w:rPr>
        <w:t>κουετιαπίνη</w:t>
      </w:r>
      <w:proofErr w:type="spellEnd"/>
      <w:r w:rsidRPr="00A66AB5">
        <w:rPr>
          <w:sz w:val="22"/>
          <w:szCs w:val="22"/>
          <w:lang w:val="el-GR"/>
        </w:rPr>
        <w:t xml:space="preserve"> (4%) σε σύγκριση με τη </w:t>
      </w:r>
      <w:proofErr w:type="spellStart"/>
      <w:r w:rsidRPr="00A66AB5">
        <w:rPr>
          <w:sz w:val="22"/>
          <w:szCs w:val="22"/>
          <w:lang w:val="el-GR"/>
        </w:rPr>
        <w:t>ρισπεριδόνη</w:t>
      </w:r>
      <w:proofErr w:type="spellEnd"/>
      <w:r w:rsidRPr="00A66AB5">
        <w:rPr>
          <w:sz w:val="22"/>
          <w:szCs w:val="22"/>
          <w:lang w:val="el-GR"/>
        </w:rPr>
        <w:t xml:space="preserve"> (10%), για ασθενείς με τουλάχιστον 21 μήνες έκθεσης.</w:t>
      </w:r>
    </w:p>
    <w:p w:rsidR="00380EEB" w:rsidRPr="00A66AB5" w:rsidRDefault="00380EEB">
      <w:pPr>
        <w:pStyle w:val="Web"/>
        <w:spacing w:before="0" w:beforeAutospacing="0" w:after="0"/>
        <w:jc w:val="both"/>
        <w:rPr>
          <w:color w:val="auto"/>
          <w:sz w:val="22"/>
          <w:szCs w:val="22"/>
          <w:lang w:val="el-GR"/>
        </w:rPr>
      </w:pPr>
    </w:p>
    <w:p w:rsidR="00195C77" w:rsidRDefault="00380EEB">
      <w:pPr>
        <w:pStyle w:val="Web"/>
        <w:spacing w:before="0" w:beforeAutospacing="0" w:after="0"/>
        <w:jc w:val="both"/>
        <w:rPr>
          <w:color w:val="auto"/>
          <w:sz w:val="22"/>
          <w:szCs w:val="22"/>
          <w:lang w:val="el-GR"/>
        </w:rPr>
      </w:pPr>
      <w:r w:rsidRPr="00A66AB5">
        <w:rPr>
          <w:b/>
          <w:color w:val="auto"/>
          <w:sz w:val="22"/>
          <w:szCs w:val="22"/>
          <w:lang w:val="el-GR"/>
        </w:rPr>
        <w:t>Παιδι</w:t>
      </w:r>
      <w:r w:rsidR="00147123">
        <w:rPr>
          <w:b/>
          <w:color w:val="auto"/>
          <w:sz w:val="22"/>
          <w:szCs w:val="22"/>
          <w:lang w:val="el-GR"/>
        </w:rPr>
        <w:t>ά και Έφηβοι (10 με 17 ετών)</w:t>
      </w: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lastRenderedPageBreak/>
        <w:t xml:space="preserve">Η αποτελεσματικότητα και η ασφάλεια της </w:t>
      </w:r>
      <w:proofErr w:type="spellStart"/>
      <w:r w:rsidRPr="00A66AB5">
        <w:rPr>
          <w:color w:val="auto"/>
          <w:sz w:val="22"/>
          <w:szCs w:val="22"/>
          <w:lang w:val="el-GR"/>
        </w:rPr>
        <w:t>κουετιαπίνης</w:t>
      </w:r>
      <w:proofErr w:type="spellEnd"/>
      <w:r w:rsidRPr="00A66AB5">
        <w:rPr>
          <w:color w:val="auto"/>
          <w:sz w:val="22"/>
          <w:szCs w:val="22"/>
          <w:lang w:val="el-GR"/>
        </w:rPr>
        <w:t xml:space="preserve"> μελετήθηκε σε μια μελέτη με έλεγχο εικονικού φαρμάκου διάρκειας 3 εβδομάδων για τη θεραπεία της μανίας (</w:t>
      </w:r>
      <w:r w:rsidRPr="00A66AB5">
        <w:rPr>
          <w:color w:val="auto"/>
          <w:sz w:val="22"/>
          <w:szCs w:val="22"/>
        </w:rPr>
        <w:t>n</w:t>
      </w:r>
      <w:r w:rsidRPr="00A66AB5">
        <w:rPr>
          <w:color w:val="auto"/>
          <w:sz w:val="22"/>
          <w:szCs w:val="22"/>
          <w:lang w:val="el-GR"/>
        </w:rPr>
        <w:t>= 284 ασθενείς από τις Η.Π.Α., ηλικίας 10-17 ετών). Περίπου 45% του πληθυσμού των ασθενών είχαν επιπλέον διάγνωση διαταραχής ελλειμματικής προσοχής-</w:t>
      </w:r>
      <w:proofErr w:type="spellStart"/>
      <w:r w:rsidRPr="00A66AB5">
        <w:rPr>
          <w:color w:val="auto"/>
          <w:sz w:val="22"/>
          <w:szCs w:val="22"/>
          <w:lang w:val="el-GR"/>
        </w:rPr>
        <w:t>υπερκινητικότητας</w:t>
      </w:r>
      <w:proofErr w:type="spellEnd"/>
      <w:r w:rsidRPr="00A66AB5">
        <w:rPr>
          <w:color w:val="auto"/>
          <w:sz w:val="22"/>
          <w:szCs w:val="22"/>
          <w:lang w:val="el-GR"/>
        </w:rPr>
        <w:t>. Επιπλέον, πραγματοποιήθηκε μια μελέτη με έλεγχο εικονικού φαρμάκου διάρκειας 6 εβδομάδων για τη θεραπεία της σχιζοφρένειας (</w:t>
      </w:r>
      <w:r w:rsidRPr="00A66AB5">
        <w:rPr>
          <w:color w:val="auto"/>
          <w:sz w:val="22"/>
          <w:szCs w:val="22"/>
        </w:rPr>
        <w:t>n</w:t>
      </w:r>
      <w:r w:rsidRPr="00A66AB5">
        <w:rPr>
          <w:color w:val="auto"/>
          <w:sz w:val="22"/>
          <w:szCs w:val="22"/>
          <w:lang w:val="el-GR"/>
        </w:rPr>
        <w:t xml:space="preserve"> = 222 ασθενείς, ηλικίας 13-17 ετών).  Και στις δύο μελέτες, αποκλείστηκαν οι ασθενείς με γνωστή έλλειψη ανταπόκρισης στην </w:t>
      </w:r>
      <w:proofErr w:type="spellStart"/>
      <w:r w:rsidRPr="00A66AB5">
        <w:rPr>
          <w:color w:val="auto"/>
          <w:sz w:val="22"/>
          <w:szCs w:val="22"/>
          <w:lang w:val="el-GR"/>
        </w:rPr>
        <w:t>κουετιαπίνη</w:t>
      </w:r>
      <w:proofErr w:type="spellEnd"/>
      <w:r w:rsidRPr="00A66AB5">
        <w:rPr>
          <w:color w:val="auto"/>
          <w:sz w:val="22"/>
          <w:szCs w:val="22"/>
          <w:lang w:val="el-GR"/>
        </w:rPr>
        <w:t xml:space="preserve">. Η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άρχισε σε δόση 50 </w:t>
      </w:r>
      <w:r w:rsidRPr="00A66AB5">
        <w:rPr>
          <w:color w:val="auto"/>
          <w:sz w:val="22"/>
          <w:szCs w:val="22"/>
        </w:rPr>
        <w:t>mg</w:t>
      </w:r>
      <w:r w:rsidRPr="00A66AB5">
        <w:rPr>
          <w:color w:val="auto"/>
          <w:sz w:val="22"/>
          <w:szCs w:val="22"/>
          <w:lang w:val="el-GR"/>
        </w:rPr>
        <w:t xml:space="preserve">/ημέρα και την ημέρα 2 αυξήθηκε σε 100 </w:t>
      </w:r>
      <w:r w:rsidRPr="00A66AB5">
        <w:rPr>
          <w:color w:val="auto"/>
          <w:sz w:val="22"/>
          <w:szCs w:val="22"/>
        </w:rPr>
        <w:t>mg</w:t>
      </w:r>
      <w:r w:rsidRPr="00A66AB5">
        <w:rPr>
          <w:color w:val="auto"/>
          <w:sz w:val="22"/>
          <w:szCs w:val="22"/>
          <w:lang w:val="el-GR"/>
        </w:rPr>
        <w:t xml:space="preserve">/ημέρα. Ακολούθως η δόση </w:t>
      </w:r>
      <w:proofErr w:type="spellStart"/>
      <w:r w:rsidRPr="00A66AB5">
        <w:rPr>
          <w:color w:val="auto"/>
          <w:sz w:val="22"/>
          <w:szCs w:val="22"/>
          <w:lang w:val="el-GR"/>
        </w:rPr>
        <w:t>τιτλοποιήθηκε</w:t>
      </w:r>
      <w:proofErr w:type="spellEnd"/>
      <w:r w:rsidRPr="00A66AB5">
        <w:rPr>
          <w:color w:val="auto"/>
          <w:sz w:val="22"/>
          <w:szCs w:val="22"/>
          <w:lang w:val="el-GR"/>
        </w:rPr>
        <w:t xml:space="preserve"> σε δόση-στόχο (μανία 400-600 </w:t>
      </w:r>
      <w:proofErr w:type="spellStart"/>
      <w:r w:rsidRPr="00A66AB5">
        <w:rPr>
          <w:color w:val="auto"/>
          <w:sz w:val="22"/>
          <w:szCs w:val="22"/>
          <w:lang w:val="el-GR"/>
        </w:rPr>
        <w:t>mg</w:t>
      </w:r>
      <w:proofErr w:type="spellEnd"/>
      <w:r w:rsidRPr="00A66AB5">
        <w:rPr>
          <w:color w:val="auto"/>
          <w:sz w:val="22"/>
          <w:szCs w:val="22"/>
          <w:lang w:val="el-GR"/>
        </w:rPr>
        <w:t xml:space="preserve">/ημέρα, σχιζοφρένεια 400-800 </w:t>
      </w:r>
      <w:proofErr w:type="spellStart"/>
      <w:r w:rsidRPr="00A66AB5">
        <w:rPr>
          <w:color w:val="auto"/>
          <w:sz w:val="22"/>
          <w:szCs w:val="22"/>
          <w:lang w:val="el-GR"/>
        </w:rPr>
        <w:t>mg</w:t>
      </w:r>
      <w:proofErr w:type="spellEnd"/>
      <w:r w:rsidRPr="00A66AB5">
        <w:rPr>
          <w:color w:val="auto"/>
          <w:sz w:val="22"/>
          <w:szCs w:val="22"/>
          <w:lang w:val="el-GR"/>
        </w:rPr>
        <w:t xml:space="preserve">/ημέρα) με χρήση βημάτων των 100 </w:t>
      </w:r>
      <w:proofErr w:type="spellStart"/>
      <w:r w:rsidRPr="00A66AB5">
        <w:rPr>
          <w:color w:val="auto"/>
          <w:sz w:val="22"/>
          <w:szCs w:val="22"/>
          <w:lang w:val="el-GR"/>
        </w:rPr>
        <w:t>mg</w:t>
      </w:r>
      <w:proofErr w:type="spellEnd"/>
      <w:r w:rsidRPr="00A66AB5">
        <w:rPr>
          <w:color w:val="auto"/>
          <w:sz w:val="22"/>
          <w:szCs w:val="22"/>
          <w:lang w:val="el-GR"/>
        </w:rPr>
        <w:t xml:space="preserve">/ημέρα, χορηγούμενη δύο ή τρεις φορές την ημέρα.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Στη μελέτη για τη μανία, η διαφορά στη μέση αλλαγή LS ως προς την αρχική αξιολόγηση στη συνολική βαθμολογία YMRS (δραστική ουσία μείον εικονικό φάρμακο) ήταν –5,21 για το δισκίο </w:t>
      </w:r>
      <w:proofErr w:type="spellStart"/>
      <w:r w:rsidRPr="00A66AB5">
        <w:rPr>
          <w:color w:val="auto"/>
          <w:sz w:val="22"/>
          <w:szCs w:val="22"/>
          <w:lang w:val="el-GR"/>
        </w:rPr>
        <w:t>κουετιαπίνης</w:t>
      </w:r>
      <w:proofErr w:type="spellEnd"/>
      <w:r w:rsidRPr="00A66AB5">
        <w:rPr>
          <w:color w:val="auto"/>
          <w:sz w:val="22"/>
          <w:szCs w:val="22"/>
          <w:lang w:val="el-GR"/>
        </w:rPr>
        <w:t xml:space="preserve"> 400 </w:t>
      </w:r>
      <w:proofErr w:type="spellStart"/>
      <w:r w:rsidRPr="00A66AB5">
        <w:rPr>
          <w:color w:val="auto"/>
          <w:sz w:val="22"/>
          <w:szCs w:val="22"/>
          <w:lang w:val="el-GR"/>
        </w:rPr>
        <w:t>mg</w:t>
      </w:r>
      <w:proofErr w:type="spellEnd"/>
      <w:r w:rsidRPr="00A66AB5">
        <w:rPr>
          <w:color w:val="auto"/>
          <w:sz w:val="22"/>
          <w:szCs w:val="22"/>
          <w:lang w:val="el-GR"/>
        </w:rPr>
        <w:t xml:space="preserve">/ημέρα και –6,56 για το δισκίο </w:t>
      </w:r>
      <w:proofErr w:type="spellStart"/>
      <w:r w:rsidRPr="00A66AB5">
        <w:rPr>
          <w:color w:val="auto"/>
          <w:sz w:val="22"/>
          <w:szCs w:val="22"/>
          <w:lang w:val="el-GR"/>
        </w:rPr>
        <w:t>κουετιαπίνης</w:t>
      </w:r>
      <w:proofErr w:type="spellEnd"/>
      <w:r w:rsidRPr="00A66AB5">
        <w:rPr>
          <w:color w:val="auto"/>
          <w:sz w:val="22"/>
          <w:szCs w:val="22"/>
          <w:lang w:val="el-GR"/>
        </w:rPr>
        <w:t xml:space="preserve"> 600 </w:t>
      </w:r>
      <w:proofErr w:type="spellStart"/>
      <w:r w:rsidRPr="00A66AB5">
        <w:rPr>
          <w:color w:val="auto"/>
          <w:sz w:val="22"/>
          <w:szCs w:val="22"/>
          <w:lang w:val="el-GR"/>
        </w:rPr>
        <w:t>mg</w:t>
      </w:r>
      <w:proofErr w:type="spellEnd"/>
      <w:r w:rsidRPr="00A66AB5">
        <w:rPr>
          <w:color w:val="auto"/>
          <w:sz w:val="22"/>
          <w:szCs w:val="22"/>
          <w:lang w:val="el-GR"/>
        </w:rPr>
        <w:t xml:space="preserve">/ημέρα. Τα ποσοστά των ατόμων που παρουσίασαν ανταπόκριση (βελτίωση YMRS κατά </w:t>
      </w:r>
      <w:r w:rsidR="00C23604">
        <w:rPr>
          <w:noProof/>
          <w:snapToGrid/>
          <w:color w:val="auto"/>
          <w:sz w:val="22"/>
          <w:szCs w:val="22"/>
          <w:lang w:val="el-GR"/>
        </w:rPr>
        <w:drawing>
          <wp:inline distT="0" distB="0" distL="0" distR="0" wp14:anchorId="04872514" wp14:editId="4FA63353">
            <wp:extent cx="109220" cy="109220"/>
            <wp:effectExtent l="19050" t="0" r="5080" b="0"/>
            <wp:docPr id="4" name="Εικόνα 4"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ER-THAN OR EQUAL TO (8805)"/>
                    <pic:cNvPicPr>
                      <a:picLocks noChangeAspect="1" noChangeArrowheads="1"/>
                    </pic:cNvPicPr>
                  </pic:nvPicPr>
                  <pic:blipFill>
                    <a:blip r:embed="rId9"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Pr="00A66AB5">
        <w:rPr>
          <w:color w:val="auto"/>
          <w:sz w:val="22"/>
          <w:szCs w:val="22"/>
          <w:lang w:val="el-GR"/>
        </w:rPr>
        <w:t xml:space="preserve">50%) ήταν 64% για το δισκίο </w:t>
      </w:r>
      <w:proofErr w:type="spellStart"/>
      <w:r w:rsidRPr="00A66AB5">
        <w:rPr>
          <w:color w:val="auto"/>
          <w:sz w:val="22"/>
          <w:szCs w:val="22"/>
          <w:lang w:val="el-GR"/>
        </w:rPr>
        <w:t>κουετιαπίνης</w:t>
      </w:r>
      <w:proofErr w:type="spellEnd"/>
      <w:r w:rsidRPr="00A66AB5">
        <w:rPr>
          <w:color w:val="auto"/>
          <w:sz w:val="22"/>
          <w:szCs w:val="22"/>
          <w:lang w:val="el-GR"/>
        </w:rPr>
        <w:t xml:space="preserve"> 400 </w:t>
      </w:r>
      <w:proofErr w:type="spellStart"/>
      <w:r w:rsidRPr="00A66AB5">
        <w:rPr>
          <w:color w:val="auto"/>
          <w:sz w:val="22"/>
          <w:szCs w:val="22"/>
          <w:lang w:val="el-GR"/>
        </w:rPr>
        <w:t>mg</w:t>
      </w:r>
      <w:proofErr w:type="spellEnd"/>
      <w:r w:rsidRPr="00A66AB5">
        <w:rPr>
          <w:color w:val="auto"/>
          <w:sz w:val="22"/>
          <w:szCs w:val="22"/>
          <w:lang w:val="el-GR"/>
        </w:rPr>
        <w:t xml:space="preserve">/ημέρα, 58% για 600 </w:t>
      </w:r>
      <w:proofErr w:type="spellStart"/>
      <w:r w:rsidRPr="00A66AB5">
        <w:rPr>
          <w:color w:val="auto"/>
          <w:sz w:val="22"/>
          <w:szCs w:val="22"/>
          <w:lang w:val="el-GR"/>
        </w:rPr>
        <w:t>mg</w:t>
      </w:r>
      <w:proofErr w:type="spellEnd"/>
      <w:r w:rsidRPr="00A66AB5">
        <w:rPr>
          <w:color w:val="auto"/>
          <w:sz w:val="22"/>
          <w:szCs w:val="22"/>
          <w:lang w:val="el-GR"/>
        </w:rPr>
        <w:t xml:space="preserve">/ημέρα και 37% στο σκέλος εικονικού φαρμάκου. </w:t>
      </w: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r w:rsidRPr="00A66AB5">
        <w:rPr>
          <w:color w:val="auto"/>
          <w:sz w:val="22"/>
          <w:szCs w:val="22"/>
          <w:lang w:val="el-GR"/>
        </w:rPr>
        <w:t xml:space="preserve">Στη μελέτη για τη σχιζοφρένεια, η διαφορά στη μέση αλλαγή LS ως προς την αρχική αξιολόγηση στη συνολική βαθμολογία PANSS (δραστική ουσία μείον εικονικό φάρμακο) ήταν -8,16 για το δισκίο </w:t>
      </w:r>
      <w:proofErr w:type="spellStart"/>
      <w:r w:rsidRPr="00A66AB5">
        <w:rPr>
          <w:color w:val="auto"/>
          <w:sz w:val="22"/>
          <w:szCs w:val="22"/>
          <w:lang w:val="el-GR"/>
        </w:rPr>
        <w:t>κουετιαπίνης</w:t>
      </w:r>
      <w:proofErr w:type="spellEnd"/>
      <w:r w:rsidRPr="00A66AB5">
        <w:rPr>
          <w:color w:val="auto"/>
          <w:sz w:val="22"/>
          <w:szCs w:val="22"/>
          <w:lang w:val="el-GR"/>
        </w:rPr>
        <w:t xml:space="preserve"> 400 </w:t>
      </w:r>
      <w:proofErr w:type="spellStart"/>
      <w:r w:rsidRPr="00A66AB5">
        <w:rPr>
          <w:color w:val="auto"/>
          <w:sz w:val="22"/>
          <w:szCs w:val="22"/>
          <w:lang w:val="el-GR"/>
        </w:rPr>
        <w:t>mg</w:t>
      </w:r>
      <w:proofErr w:type="spellEnd"/>
      <w:r w:rsidRPr="00A66AB5">
        <w:rPr>
          <w:color w:val="auto"/>
          <w:sz w:val="22"/>
          <w:szCs w:val="22"/>
          <w:lang w:val="el-GR"/>
        </w:rPr>
        <w:t xml:space="preserve">/ημέρα και -9,29 για το δισκίο </w:t>
      </w:r>
      <w:proofErr w:type="spellStart"/>
      <w:r w:rsidRPr="00A66AB5">
        <w:rPr>
          <w:color w:val="auto"/>
          <w:sz w:val="22"/>
          <w:szCs w:val="22"/>
          <w:lang w:val="el-GR"/>
        </w:rPr>
        <w:t>κουετιαπίνης</w:t>
      </w:r>
      <w:proofErr w:type="spellEnd"/>
      <w:r w:rsidRPr="00A66AB5">
        <w:rPr>
          <w:color w:val="auto"/>
          <w:sz w:val="22"/>
          <w:szCs w:val="22"/>
          <w:lang w:val="el-GR"/>
        </w:rPr>
        <w:t xml:space="preserve"> 800 </w:t>
      </w:r>
      <w:proofErr w:type="spellStart"/>
      <w:r w:rsidRPr="00A66AB5">
        <w:rPr>
          <w:color w:val="auto"/>
          <w:sz w:val="22"/>
          <w:szCs w:val="22"/>
          <w:lang w:val="el-GR"/>
        </w:rPr>
        <w:t>mg</w:t>
      </w:r>
      <w:proofErr w:type="spellEnd"/>
      <w:r w:rsidRPr="00A66AB5">
        <w:rPr>
          <w:color w:val="auto"/>
          <w:sz w:val="22"/>
          <w:szCs w:val="22"/>
          <w:lang w:val="el-GR"/>
        </w:rPr>
        <w:t xml:space="preserve">/ημέρα. Ούτε το σχήμα χαμηλής δόσης (400 </w:t>
      </w:r>
      <w:proofErr w:type="spellStart"/>
      <w:r w:rsidRPr="00A66AB5">
        <w:rPr>
          <w:color w:val="auto"/>
          <w:sz w:val="22"/>
          <w:szCs w:val="22"/>
          <w:lang w:val="el-GR"/>
        </w:rPr>
        <w:t>mg</w:t>
      </w:r>
      <w:proofErr w:type="spellEnd"/>
      <w:r w:rsidRPr="00A66AB5">
        <w:rPr>
          <w:color w:val="auto"/>
          <w:sz w:val="22"/>
          <w:szCs w:val="22"/>
          <w:lang w:val="el-GR"/>
        </w:rPr>
        <w:t xml:space="preserve">/ημέρα) ούτε το σχήμα υψηλής δόσης (800 </w:t>
      </w:r>
      <w:proofErr w:type="spellStart"/>
      <w:r w:rsidRPr="00A66AB5">
        <w:rPr>
          <w:color w:val="auto"/>
          <w:sz w:val="22"/>
          <w:szCs w:val="22"/>
          <w:lang w:val="el-GR"/>
        </w:rPr>
        <w:t>mg</w:t>
      </w:r>
      <w:proofErr w:type="spellEnd"/>
      <w:r w:rsidRPr="00A66AB5">
        <w:rPr>
          <w:color w:val="auto"/>
          <w:sz w:val="22"/>
          <w:szCs w:val="22"/>
          <w:lang w:val="el-GR"/>
        </w:rPr>
        <w:t xml:space="preserve">/ημέρα) </w:t>
      </w:r>
      <w:proofErr w:type="spellStart"/>
      <w:r w:rsidRPr="00A66AB5">
        <w:rPr>
          <w:color w:val="auto"/>
          <w:sz w:val="22"/>
          <w:szCs w:val="22"/>
          <w:lang w:val="el-GR"/>
        </w:rPr>
        <w:t>κουετιαπίνης</w:t>
      </w:r>
      <w:proofErr w:type="spellEnd"/>
      <w:r w:rsidRPr="00A66AB5">
        <w:rPr>
          <w:color w:val="auto"/>
          <w:sz w:val="22"/>
          <w:szCs w:val="22"/>
          <w:lang w:val="el-GR"/>
        </w:rPr>
        <w:t xml:space="preserve"> δεν ήταν ανώτερο από το εικονικό φάρμακο όσον αφορά το ποσοστό των ασθενών που πέτυχαν ανταπόκριση, η οποία ορίζεται ως μείωση </w:t>
      </w:r>
      <w:r w:rsidR="00C23604">
        <w:rPr>
          <w:noProof/>
          <w:snapToGrid/>
          <w:color w:val="auto"/>
          <w:sz w:val="22"/>
          <w:szCs w:val="22"/>
          <w:lang w:val="el-GR"/>
        </w:rPr>
        <w:drawing>
          <wp:inline distT="0" distB="0" distL="0" distR="0" wp14:anchorId="360BE6CC" wp14:editId="01A1EC51">
            <wp:extent cx="109220" cy="109220"/>
            <wp:effectExtent l="19050" t="0" r="5080" b="0"/>
            <wp:docPr id="5" name="Εικόνα 5"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ER-THAN OR EQUAL TO (8805)"/>
                    <pic:cNvPicPr>
                      <a:picLocks noChangeAspect="1" noChangeArrowheads="1"/>
                    </pic:cNvPicPr>
                  </pic:nvPicPr>
                  <pic:blipFill>
                    <a:blip r:embed="rId9"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Pr="00A66AB5">
        <w:rPr>
          <w:color w:val="auto"/>
          <w:sz w:val="22"/>
          <w:szCs w:val="22"/>
          <w:lang w:val="el-GR"/>
        </w:rPr>
        <w:t xml:space="preserve">30% ως προς την αρχική αξιολόγηση στη συνολική βαθμολογία PANSS. Τόσο στη μανία όσο και στη σχιζοφρένεια, οι υψηλότερες δόσεις κατέληξαν σε αριθμητικά χαμηλότερα ποσοστά ανταπόκρισης. </w:t>
      </w:r>
    </w:p>
    <w:p w:rsidR="00380EEB" w:rsidRDefault="00380EEB">
      <w:pPr>
        <w:pStyle w:val="Web"/>
        <w:spacing w:before="0" w:beforeAutospacing="0" w:after="0"/>
        <w:jc w:val="both"/>
        <w:rPr>
          <w:color w:val="auto"/>
          <w:sz w:val="22"/>
          <w:szCs w:val="22"/>
          <w:lang w:val="el-GR"/>
        </w:rPr>
      </w:pPr>
    </w:p>
    <w:p w:rsidR="00147123" w:rsidRPr="001F02A0" w:rsidRDefault="00147123">
      <w:pPr>
        <w:pStyle w:val="Web"/>
        <w:spacing w:before="0" w:beforeAutospacing="0" w:after="0"/>
        <w:jc w:val="both"/>
        <w:rPr>
          <w:color w:val="auto"/>
          <w:sz w:val="22"/>
          <w:szCs w:val="22"/>
          <w:lang w:val="el-GR"/>
        </w:rPr>
      </w:pPr>
      <w:r w:rsidRPr="00AA4FA4">
        <w:rPr>
          <w:color w:val="auto"/>
          <w:sz w:val="22"/>
          <w:szCs w:val="22"/>
          <w:lang w:val="el-GR"/>
        </w:rPr>
        <w:t xml:space="preserve">Σε μια τρίτη βραχυπρόθεσμη ελεγχόμενη με εικονικό φάρμακο </w:t>
      </w:r>
      <w:r>
        <w:rPr>
          <w:color w:val="auto"/>
          <w:sz w:val="22"/>
          <w:szCs w:val="22"/>
          <w:lang w:val="el-GR"/>
        </w:rPr>
        <w:t>δοκιμή</w:t>
      </w:r>
      <w:r w:rsidRPr="00147123">
        <w:rPr>
          <w:color w:val="auto"/>
          <w:sz w:val="22"/>
          <w:szCs w:val="22"/>
          <w:lang w:val="el-GR"/>
        </w:rPr>
        <w:t xml:space="preserve"> </w:t>
      </w:r>
      <w:proofErr w:type="spellStart"/>
      <w:r w:rsidRPr="00AA4FA4">
        <w:rPr>
          <w:color w:val="auto"/>
          <w:sz w:val="22"/>
          <w:szCs w:val="22"/>
          <w:lang w:val="el-GR"/>
        </w:rPr>
        <w:t>μονοθεραπείας</w:t>
      </w:r>
      <w:proofErr w:type="spellEnd"/>
      <w:r w:rsidRPr="00AA4FA4">
        <w:rPr>
          <w:color w:val="auto"/>
          <w:sz w:val="22"/>
          <w:szCs w:val="22"/>
          <w:lang w:val="el-GR"/>
        </w:rPr>
        <w:t xml:space="preserve"> με </w:t>
      </w:r>
      <w:proofErr w:type="spellStart"/>
      <w:r w:rsidRPr="00AA4FA4">
        <w:rPr>
          <w:color w:val="auto"/>
          <w:sz w:val="22"/>
          <w:szCs w:val="22"/>
          <w:lang w:val="el-GR"/>
        </w:rPr>
        <w:t>κουετιαπίνη</w:t>
      </w:r>
      <w:proofErr w:type="spellEnd"/>
      <w:r w:rsidRPr="00AA4FA4">
        <w:rPr>
          <w:color w:val="auto"/>
          <w:sz w:val="22"/>
          <w:szCs w:val="22"/>
          <w:lang w:val="el-GR"/>
        </w:rPr>
        <w:t xml:space="preserve"> σε παιδιά και έφηβους ασθενείς (ηλικίας 10-17 ετών) με διπολική κατάθλιψη, η αποτελεσματικότητα δεν αποδείχθηκε.</w:t>
      </w:r>
    </w:p>
    <w:p w:rsidR="00147123" w:rsidRDefault="00147123">
      <w:pPr>
        <w:pStyle w:val="Web"/>
        <w:spacing w:before="0" w:beforeAutospacing="0" w:after="0"/>
        <w:jc w:val="both"/>
        <w:rPr>
          <w:color w:val="auto"/>
          <w:sz w:val="22"/>
          <w:szCs w:val="22"/>
          <w:lang w:val="el-GR"/>
        </w:rPr>
      </w:pPr>
    </w:p>
    <w:p w:rsidR="00380EEB" w:rsidRDefault="00380EEB">
      <w:pPr>
        <w:pStyle w:val="Web"/>
        <w:spacing w:before="0" w:beforeAutospacing="0" w:after="0"/>
        <w:jc w:val="both"/>
        <w:rPr>
          <w:color w:val="auto"/>
          <w:sz w:val="22"/>
          <w:szCs w:val="22"/>
          <w:lang w:val="el-GR"/>
        </w:rPr>
      </w:pPr>
      <w:r w:rsidRPr="00A66AB5">
        <w:rPr>
          <w:color w:val="auto"/>
          <w:sz w:val="22"/>
          <w:szCs w:val="22"/>
          <w:lang w:val="el-GR"/>
        </w:rPr>
        <w:t xml:space="preserve">Δεν διατίθενται δεδομένα σχετικά με τη διατήρηση της επίδρασης ή της πρόληψης υποτροπής σε αυτή την ηλικιακή ομάδα. </w:t>
      </w:r>
    </w:p>
    <w:p w:rsidR="0028772B" w:rsidRDefault="0028772B">
      <w:pPr>
        <w:pStyle w:val="Web"/>
        <w:spacing w:before="0" w:beforeAutospacing="0" w:after="0"/>
        <w:jc w:val="both"/>
        <w:rPr>
          <w:color w:val="auto"/>
          <w:sz w:val="22"/>
          <w:szCs w:val="22"/>
          <w:lang w:val="el-GR"/>
        </w:rPr>
      </w:pPr>
    </w:p>
    <w:p w:rsidR="0028772B" w:rsidRPr="00AA4FA4" w:rsidRDefault="0028772B">
      <w:pPr>
        <w:pStyle w:val="Web"/>
        <w:spacing w:before="0" w:beforeAutospacing="0" w:after="0"/>
        <w:jc w:val="both"/>
        <w:rPr>
          <w:color w:val="auto"/>
          <w:sz w:val="22"/>
          <w:szCs w:val="22"/>
          <w:lang w:val="el-GR"/>
        </w:rPr>
      </w:pPr>
      <w:r w:rsidRPr="00B646E4">
        <w:rPr>
          <w:b/>
          <w:i/>
          <w:color w:val="auto"/>
          <w:sz w:val="22"/>
          <w:szCs w:val="22"/>
          <w:u w:val="single"/>
          <w:lang w:val="el-GR"/>
        </w:rPr>
        <w:t>Κλινική ασφάλεια:</w:t>
      </w:r>
    </w:p>
    <w:p w:rsidR="00380EEB" w:rsidRPr="00AA4FA4" w:rsidRDefault="0028772B">
      <w:pPr>
        <w:pStyle w:val="Web"/>
        <w:spacing w:before="0" w:beforeAutospacing="0" w:after="0"/>
        <w:jc w:val="both"/>
        <w:rPr>
          <w:color w:val="auto"/>
          <w:sz w:val="22"/>
          <w:szCs w:val="22"/>
          <w:lang w:val="el-GR"/>
        </w:rPr>
      </w:pPr>
      <w:r w:rsidRPr="00AA4FA4">
        <w:rPr>
          <w:color w:val="auto"/>
          <w:sz w:val="22"/>
          <w:szCs w:val="22"/>
          <w:lang w:val="el-GR"/>
        </w:rPr>
        <w:t>Σε βραχυπρόθεσμ</w:t>
      </w:r>
      <w:r w:rsidRPr="00B646E4">
        <w:rPr>
          <w:color w:val="auto"/>
          <w:sz w:val="22"/>
          <w:szCs w:val="22"/>
          <w:lang w:val="el-GR"/>
        </w:rPr>
        <w:t>ες</w:t>
      </w:r>
      <w:r w:rsidRPr="00AA4FA4">
        <w:rPr>
          <w:color w:val="auto"/>
          <w:sz w:val="22"/>
          <w:szCs w:val="22"/>
          <w:lang w:val="el-GR"/>
        </w:rPr>
        <w:t xml:space="preserve"> παιδιατρικές δοκιμές με </w:t>
      </w:r>
      <w:proofErr w:type="spellStart"/>
      <w:r w:rsidRPr="00B646E4">
        <w:rPr>
          <w:color w:val="auto"/>
          <w:sz w:val="22"/>
          <w:szCs w:val="22"/>
          <w:lang w:val="el-GR"/>
        </w:rPr>
        <w:t>κουετιαπίνη</w:t>
      </w:r>
      <w:proofErr w:type="spellEnd"/>
      <w:r w:rsidRPr="00AA4FA4">
        <w:rPr>
          <w:color w:val="auto"/>
          <w:sz w:val="22"/>
          <w:szCs w:val="22"/>
          <w:lang w:val="el-GR"/>
        </w:rPr>
        <w:t xml:space="preserve"> που περιγράφονται ανωτέρω, τα</w:t>
      </w:r>
      <w:r w:rsidRPr="00B646E4">
        <w:rPr>
          <w:color w:val="auto"/>
          <w:sz w:val="22"/>
          <w:szCs w:val="22"/>
          <w:lang w:val="el-GR"/>
        </w:rPr>
        <w:t xml:space="preserve"> </w:t>
      </w:r>
      <w:r w:rsidRPr="00AA4FA4">
        <w:rPr>
          <w:color w:val="auto"/>
          <w:sz w:val="22"/>
          <w:szCs w:val="22"/>
          <w:lang w:val="el-GR"/>
        </w:rPr>
        <w:t>ποσοστά</w:t>
      </w:r>
      <w:r w:rsidRPr="00B646E4">
        <w:rPr>
          <w:color w:val="auto"/>
          <w:sz w:val="22"/>
          <w:szCs w:val="22"/>
          <w:lang w:val="el-GR"/>
        </w:rPr>
        <w:t xml:space="preserve"> </w:t>
      </w:r>
      <w:r w:rsidRPr="00AA4FA4">
        <w:rPr>
          <w:color w:val="auto"/>
          <w:sz w:val="22"/>
          <w:szCs w:val="22"/>
          <w:lang w:val="el-GR"/>
        </w:rPr>
        <w:t>τ</w:t>
      </w:r>
      <w:r w:rsidR="00D82E63">
        <w:rPr>
          <w:color w:val="auto"/>
          <w:sz w:val="22"/>
          <w:szCs w:val="22"/>
          <w:lang w:val="el-GR"/>
        </w:rPr>
        <w:t>ων</w:t>
      </w:r>
      <w:r w:rsidRPr="00AA4FA4">
        <w:rPr>
          <w:color w:val="auto"/>
          <w:sz w:val="22"/>
          <w:szCs w:val="22"/>
          <w:lang w:val="el-GR"/>
        </w:rPr>
        <w:t xml:space="preserve"> </w:t>
      </w:r>
      <w:r w:rsidR="001D2D4B" w:rsidRPr="00AA4FA4">
        <w:rPr>
          <w:color w:val="auto"/>
          <w:sz w:val="22"/>
          <w:szCs w:val="22"/>
          <w:lang w:val="el-GR"/>
        </w:rPr>
        <w:t>ΕΠΣ</w:t>
      </w:r>
      <w:r w:rsidRPr="00AA4FA4">
        <w:rPr>
          <w:color w:val="auto"/>
          <w:sz w:val="22"/>
          <w:szCs w:val="22"/>
          <w:lang w:val="el-GR"/>
        </w:rPr>
        <w:t xml:space="preserve"> σ</w:t>
      </w:r>
      <w:r w:rsidR="000A4BD6" w:rsidRPr="00B646E4">
        <w:rPr>
          <w:color w:val="auto"/>
          <w:sz w:val="22"/>
          <w:szCs w:val="22"/>
          <w:lang w:val="el-GR"/>
        </w:rPr>
        <w:t>το</w:t>
      </w:r>
      <w:r w:rsidR="00D82E63">
        <w:rPr>
          <w:color w:val="auto"/>
          <w:sz w:val="22"/>
          <w:szCs w:val="22"/>
          <w:lang w:val="el-GR"/>
        </w:rPr>
        <w:t>ν ενεργό βραχίονα της μελέτης</w:t>
      </w:r>
      <w:r w:rsidR="00727383" w:rsidRPr="00AA4FA4">
        <w:rPr>
          <w:color w:val="auto"/>
          <w:sz w:val="22"/>
          <w:szCs w:val="22"/>
          <w:lang w:val="el-GR"/>
        </w:rPr>
        <w:t xml:space="preserve"> ήταν</w:t>
      </w:r>
      <w:r w:rsidRPr="00AA4FA4">
        <w:rPr>
          <w:color w:val="auto"/>
          <w:sz w:val="22"/>
          <w:szCs w:val="22"/>
          <w:lang w:val="el-GR"/>
        </w:rPr>
        <w:t xml:space="preserve"> </w:t>
      </w:r>
      <w:r w:rsidR="00727383" w:rsidRPr="00AA4FA4">
        <w:rPr>
          <w:color w:val="auto"/>
          <w:sz w:val="22"/>
          <w:szCs w:val="22"/>
          <w:lang w:val="el-GR"/>
        </w:rPr>
        <w:t xml:space="preserve">12,9% </w:t>
      </w:r>
      <w:r w:rsidRPr="00AA4FA4">
        <w:rPr>
          <w:color w:val="auto"/>
          <w:sz w:val="22"/>
          <w:szCs w:val="22"/>
          <w:lang w:val="el-GR"/>
        </w:rPr>
        <w:t xml:space="preserve">έναντι του εικονικού φαρμάκου που </w:t>
      </w:r>
      <w:r w:rsidR="00727383" w:rsidRPr="00AA4FA4">
        <w:rPr>
          <w:color w:val="auto"/>
          <w:sz w:val="22"/>
          <w:szCs w:val="22"/>
          <w:lang w:val="el-GR"/>
        </w:rPr>
        <w:t>ήταν</w:t>
      </w:r>
      <w:r w:rsidRPr="00AA4FA4">
        <w:rPr>
          <w:color w:val="auto"/>
          <w:sz w:val="22"/>
          <w:szCs w:val="22"/>
          <w:lang w:val="el-GR"/>
        </w:rPr>
        <w:t xml:space="preserve"> 5,3% στη </w:t>
      </w:r>
      <w:r w:rsidR="00080CD6">
        <w:rPr>
          <w:color w:val="auto"/>
          <w:sz w:val="22"/>
          <w:szCs w:val="22"/>
          <w:lang w:val="el-GR"/>
        </w:rPr>
        <w:t>μελέτη</w:t>
      </w:r>
      <w:r w:rsidR="00727383" w:rsidRPr="00AA4FA4">
        <w:rPr>
          <w:color w:val="auto"/>
          <w:sz w:val="22"/>
          <w:szCs w:val="22"/>
          <w:lang w:val="el-GR"/>
        </w:rPr>
        <w:t xml:space="preserve"> για σ</w:t>
      </w:r>
      <w:r w:rsidRPr="00AA4FA4">
        <w:rPr>
          <w:color w:val="auto"/>
          <w:sz w:val="22"/>
          <w:szCs w:val="22"/>
          <w:lang w:val="el-GR"/>
        </w:rPr>
        <w:t>χιζοφρένεια,</w:t>
      </w:r>
      <w:r w:rsidRPr="00B646E4">
        <w:rPr>
          <w:color w:val="auto"/>
          <w:sz w:val="22"/>
          <w:szCs w:val="22"/>
          <w:lang w:val="el-GR"/>
        </w:rPr>
        <w:t xml:space="preserve"> </w:t>
      </w:r>
      <w:r w:rsidRPr="00AA4FA4">
        <w:rPr>
          <w:color w:val="auto"/>
          <w:sz w:val="22"/>
          <w:szCs w:val="22"/>
          <w:lang w:val="el-GR"/>
        </w:rPr>
        <w:t>3,6%</w:t>
      </w:r>
      <w:r w:rsidRPr="00B646E4">
        <w:rPr>
          <w:color w:val="auto"/>
          <w:sz w:val="22"/>
          <w:szCs w:val="22"/>
          <w:lang w:val="el-GR"/>
        </w:rPr>
        <w:t xml:space="preserve"> </w:t>
      </w:r>
      <w:r w:rsidRPr="00AA4FA4">
        <w:rPr>
          <w:color w:val="auto"/>
          <w:sz w:val="22"/>
          <w:szCs w:val="22"/>
          <w:lang w:val="el-GR"/>
        </w:rPr>
        <w:t>έναντι</w:t>
      </w:r>
      <w:r w:rsidRPr="00B646E4">
        <w:rPr>
          <w:color w:val="auto"/>
          <w:sz w:val="22"/>
          <w:szCs w:val="22"/>
          <w:lang w:val="el-GR"/>
        </w:rPr>
        <w:t xml:space="preserve"> </w:t>
      </w:r>
      <w:r w:rsidRPr="00AA4FA4">
        <w:rPr>
          <w:color w:val="auto"/>
          <w:sz w:val="22"/>
          <w:szCs w:val="22"/>
          <w:lang w:val="el-GR"/>
        </w:rPr>
        <w:t xml:space="preserve">1,1% στη </w:t>
      </w:r>
      <w:r w:rsidR="00080CD6">
        <w:rPr>
          <w:color w:val="auto"/>
          <w:sz w:val="22"/>
          <w:szCs w:val="22"/>
          <w:lang w:val="el-GR"/>
        </w:rPr>
        <w:t>μελέτη</w:t>
      </w:r>
      <w:r w:rsidR="00727383" w:rsidRPr="00AA4FA4">
        <w:rPr>
          <w:color w:val="auto"/>
          <w:sz w:val="22"/>
          <w:szCs w:val="22"/>
          <w:lang w:val="el-GR"/>
        </w:rPr>
        <w:t xml:space="preserve"> </w:t>
      </w:r>
      <w:r w:rsidRPr="00AA4FA4">
        <w:rPr>
          <w:color w:val="auto"/>
          <w:sz w:val="22"/>
          <w:szCs w:val="22"/>
          <w:lang w:val="el-GR"/>
        </w:rPr>
        <w:t>διπολική</w:t>
      </w:r>
      <w:r w:rsidR="00727383" w:rsidRPr="00AA4FA4">
        <w:rPr>
          <w:color w:val="auto"/>
          <w:sz w:val="22"/>
          <w:szCs w:val="22"/>
          <w:lang w:val="el-GR"/>
        </w:rPr>
        <w:t>ς</w:t>
      </w:r>
      <w:r w:rsidRPr="00AA4FA4">
        <w:rPr>
          <w:color w:val="auto"/>
          <w:sz w:val="22"/>
          <w:szCs w:val="22"/>
          <w:lang w:val="el-GR"/>
        </w:rPr>
        <w:t xml:space="preserve"> μανία</w:t>
      </w:r>
      <w:r w:rsidR="00727383" w:rsidRPr="00AA4FA4">
        <w:rPr>
          <w:color w:val="auto"/>
          <w:sz w:val="22"/>
          <w:szCs w:val="22"/>
          <w:lang w:val="el-GR"/>
        </w:rPr>
        <w:t>ς</w:t>
      </w:r>
      <w:r w:rsidRPr="00AA4FA4">
        <w:rPr>
          <w:color w:val="auto"/>
          <w:sz w:val="22"/>
          <w:szCs w:val="22"/>
          <w:lang w:val="el-GR"/>
        </w:rPr>
        <w:t>, και 1,1%</w:t>
      </w:r>
      <w:r w:rsidRPr="00B646E4">
        <w:rPr>
          <w:color w:val="auto"/>
          <w:sz w:val="22"/>
          <w:szCs w:val="22"/>
          <w:lang w:val="el-GR"/>
        </w:rPr>
        <w:t xml:space="preserve"> </w:t>
      </w:r>
      <w:r w:rsidRPr="00AA4FA4">
        <w:rPr>
          <w:color w:val="auto"/>
          <w:sz w:val="22"/>
          <w:szCs w:val="22"/>
          <w:lang w:val="el-GR"/>
        </w:rPr>
        <w:t xml:space="preserve">έναντι 0% στη </w:t>
      </w:r>
      <w:r w:rsidR="00080CD6">
        <w:rPr>
          <w:color w:val="auto"/>
          <w:sz w:val="22"/>
          <w:szCs w:val="22"/>
          <w:lang w:val="el-GR"/>
        </w:rPr>
        <w:t>μελέτη</w:t>
      </w:r>
      <w:r w:rsidR="00727383" w:rsidRPr="00AA4FA4">
        <w:rPr>
          <w:color w:val="auto"/>
          <w:sz w:val="22"/>
          <w:szCs w:val="22"/>
          <w:lang w:val="el-GR"/>
        </w:rPr>
        <w:t xml:space="preserve"> </w:t>
      </w:r>
      <w:r w:rsidRPr="00AA4FA4">
        <w:rPr>
          <w:color w:val="auto"/>
          <w:sz w:val="22"/>
          <w:szCs w:val="22"/>
          <w:lang w:val="el-GR"/>
        </w:rPr>
        <w:t>διπολική</w:t>
      </w:r>
      <w:r w:rsidR="00727383" w:rsidRPr="00AA4FA4">
        <w:rPr>
          <w:color w:val="auto"/>
          <w:sz w:val="22"/>
          <w:szCs w:val="22"/>
          <w:lang w:val="el-GR"/>
        </w:rPr>
        <w:t>ς</w:t>
      </w:r>
      <w:r w:rsidRPr="00AA4FA4">
        <w:rPr>
          <w:color w:val="auto"/>
          <w:sz w:val="22"/>
          <w:szCs w:val="22"/>
          <w:lang w:val="el-GR"/>
        </w:rPr>
        <w:t xml:space="preserve"> κατάθλιψη</w:t>
      </w:r>
      <w:r w:rsidR="00727383" w:rsidRPr="00AA4FA4">
        <w:rPr>
          <w:color w:val="auto"/>
          <w:sz w:val="22"/>
          <w:szCs w:val="22"/>
          <w:lang w:val="el-GR"/>
        </w:rPr>
        <w:t>ς</w:t>
      </w:r>
      <w:r w:rsidRPr="00AA4FA4">
        <w:rPr>
          <w:color w:val="auto"/>
          <w:sz w:val="22"/>
          <w:szCs w:val="22"/>
          <w:lang w:val="el-GR"/>
        </w:rPr>
        <w:t xml:space="preserve">. </w:t>
      </w:r>
      <w:r w:rsidR="00B079EA" w:rsidRPr="00B646E4">
        <w:rPr>
          <w:color w:val="auto"/>
          <w:sz w:val="22"/>
          <w:szCs w:val="22"/>
          <w:lang w:val="el-GR"/>
        </w:rPr>
        <w:t>Τ</w:t>
      </w:r>
      <w:r w:rsidR="00353EEC">
        <w:rPr>
          <w:color w:val="auto"/>
          <w:sz w:val="22"/>
          <w:szCs w:val="22"/>
          <w:lang w:val="el-GR"/>
        </w:rPr>
        <w:t>α</w:t>
      </w:r>
      <w:r w:rsidR="00B079EA" w:rsidRPr="00B646E4">
        <w:rPr>
          <w:color w:val="auto"/>
          <w:sz w:val="22"/>
          <w:szCs w:val="22"/>
          <w:lang w:val="el-GR"/>
        </w:rPr>
        <w:t xml:space="preserve"> </w:t>
      </w:r>
      <w:r w:rsidR="00353EEC">
        <w:rPr>
          <w:color w:val="auto"/>
          <w:sz w:val="22"/>
          <w:szCs w:val="22"/>
          <w:lang w:val="el-GR"/>
        </w:rPr>
        <w:t>ποσοστά αύξησης βάρους ≥</w:t>
      </w:r>
      <w:r w:rsidR="00B079EA" w:rsidRPr="00AA4FA4">
        <w:rPr>
          <w:color w:val="auto"/>
          <w:sz w:val="22"/>
          <w:szCs w:val="22"/>
          <w:lang w:val="el-GR"/>
        </w:rPr>
        <w:t xml:space="preserve">7%, </w:t>
      </w:r>
      <w:r w:rsidR="00353EEC">
        <w:rPr>
          <w:color w:val="auto"/>
          <w:sz w:val="22"/>
          <w:szCs w:val="22"/>
          <w:lang w:val="el-GR"/>
        </w:rPr>
        <w:t>από το αρχικό βάρος σώματος κατά την έναρξη</w:t>
      </w:r>
      <w:r w:rsidR="00080CD6">
        <w:rPr>
          <w:color w:val="auto"/>
          <w:sz w:val="22"/>
          <w:szCs w:val="22"/>
          <w:lang w:val="el-GR"/>
        </w:rPr>
        <w:t>,</w:t>
      </w:r>
      <w:r w:rsidR="00353EEC">
        <w:rPr>
          <w:color w:val="auto"/>
          <w:sz w:val="22"/>
          <w:szCs w:val="22"/>
          <w:lang w:val="el-GR"/>
        </w:rPr>
        <w:t xml:space="preserve"> στον ενεργό βραχίονα έναντι του εικονικού φαρμάκου ήταν</w:t>
      </w:r>
      <w:r w:rsidR="00817704">
        <w:rPr>
          <w:color w:val="auto"/>
          <w:sz w:val="22"/>
          <w:szCs w:val="22"/>
          <w:lang w:val="el-GR"/>
        </w:rPr>
        <w:t xml:space="preserve"> </w:t>
      </w:r>
      <w:r w:rsidR="00727383" w:rsidRPr="00AA4FA4">
        <w:rPr>
          <w:color w:val="auto"/>
          <w:sz w:val="22"/>
          <w:szCs w:val="22"/>
          <w:lang w:val="el-GR"/>
        </w:rPr>
        <w:t>17%</w:t>
      </w:r>
      <w:r w:rsidR="00B079EA" w:rsidRPr="00AA4FA4">
        <w:rPr>
          <w:color w:val="auto"/>
          <w:sz w:val="22"/>
          <w:szCs w:val="22"/>
          <w:lang w:val="el-GR"/>
        </w:rPr>
        <w:t xml:space="preserve"> έναντι</w:t>
      </w:r>
      <w:r w:rsidR="00727383" w:rsidRPr="00AA4FA4">
        <w:rPr>
          <w:color w:val="auto"/>
          <w:sz w:val="22"/>
          <w:szCs w:val="22"/>
          <w:lang w:val="el-GR"/>
        </w:rPr>
        <w:t xml:space="preserve"> 2,5% </w:t>
      </w:r>
      <w:r w:rsidR="00353EEC">
        <w:rPr>
          <w:color w:val="auto"/>
          <w:sz w:val="22"/>
          <w:szCs w:val="22"/>
          <w:lang w:val="el-GR"/>
        </w:rPr>
        <w:t xml:space="preserve">στις μελέτες σχιζοφρένειας και διπολικής μανίας και </w:t>
      </w:r>
      <w:r w:rsidR="00B079EA" w:rsidRPr="00AA4FA4">
        <w:rPr>
          <w:color w:val="auto"/>
          <w:sz w:val="22"/>
          <w:szCs w:val="22"/>
          <w:lang w:val="el-GR"/>
        </w:rPr>
        <w:t xml:space="preserve">12,5% </w:t>
      </w:r>
      <w:r w:rsidR="00353EEC">
        <w:rPr>
          <w:color w:val="auto"/>
          <w:sz w:val="22"/>
          <w:szCs w:val="22"/>
          <w:lang w:val="el-GR"/>
        </w:rPr>
        <w:t xml:space="preserve">έναντι </w:t>
      </w:r>
      <w:r w:rsidR="00B079EA" w:rsidRPr="00AA4FA4">
        <w:rPr>
          <w:color w:val="auto"/>
          <w:sz w:val="22"/>
          <w:szCs w:val="22"/>
          <w:lang w:val="el-GR"/>
        </w:rPr>
        <w:t xml:space="preserve">6% </w:t>
      </w:r>
      <w:r w:rsidR="00353EEC">
        <w:rPr>
          <w:color w:val="auto"/>
          <w:sz w:val="22"/>
          <w:szCs w:val="22"/>
          <w:lang w:val="el-GR"/>
        </w:rPr>
        <w:t>στη μελέτη διπολικής κατάθλιψης</w:t>
      </w:r>
      <w:r w:rsidRPr="00AA4FA4">
        <w:rPr>
          <w:color w:val="auto"/>
          <w:sz w:val="22"/>
          <w:szCs w:val="22"/>
          <w:lang w:val="el-GR"/>
        </w:rPr>
        <w:t xml:space="preserve">. Τα ποσοστά των γεγονότων που σχετίζονται με αυτοκτονία </w:t>
      </w:r>
      <w:r w:rsidR="00B079EA" w:rsidRPr="00AA4FA4">
        <w:rPr>
          <w:color w:val="auto"/>
          <w:sz w:val="22"/>
          <w:szCs w:val="22"/>
          <w:lang w:val="el-GR"/>
        </w:rPr>
        <w:t xml:space="preserve">του </w:t>
      </w:r>
      <w:r w:rsidR="00353EEC">
        <w:rPr>
          <w:color w:val="auto"/>
          <w:sz w:val="22"/>
          <w:szCs w:val="22"/>
          <w:lang w:val="el-GR"/>
        </w:rPr>
        <w:t xml:space="preserve">βραχίονα του </w:t>
      </w:r>
      <w:r w:rsidR="00B079EA" w:rsidRPr="00AA4FA4">
        <w:rPr>
          <w:color w:val="auto"/>
          <w:sz w:val="22"/>
          <w:szCs w:val="22"/>
          <w:lang w:val="el-GR"/>
        </w:rPr>
        <w:t xml:space="preserve">ενεργού </w:t>
      </w:r>
      <w:r w:rsidR="00B646E4" w:rsidRPr="00AA4FA4">
        <w:rPr>
          <w:color w:val="auto"/>
          <w:sz w:val="22"/>
          <w:szCs w:val="22"/>
          <w:lang w:val="el-GR"/>
        </w:rPr>
        <w:t xml:space="preserve">φαρμάκου ήταν 1,4% </w:t>
      </w:r>
      <w:r w:rsidR="00B079EA" w:rsidRPr="00AA4FA4">
        <w:rPr>
          <w:color w:val="auto"/>
          <w:sz w:val="22"/>
          <w:szCs w:val="22"/>
          <w:lang w:val="el-GR"/>
        </w:rPr>
        <w:t xml:space="preserve">έναντι </w:t>
      </w:r>
      <w:r w:rsidR="00353EEC">
        <w:rPr>
          <w:color w:val="auto"/>
          <w:sz w:val="22"/>
          <w:szCs w:val="22"/>
          <w:lang w:val="el-GR"/>
        </w:rPr>
        <w:t xml:space="preserve">1,3% </w:t>
      </w:r>
      <w:r w:rsidR="00B079EA" w:rsidRPr="00AA4FA4">
        <w:rPr>
          <w:color w:val="auto"/>
          <w:sz w:val="22"/>
          <w:szCs w:val="22"/>
          <w:lang w:val="el-GR"/>
        </w:rPr>
        <w:t>του εικονικού φαρμάκου</w:t>
      </w:r>
      <w:r w:rsidR="00817704">
        <w:rPr>
          <w:color w:val="auto"/>
          <w:sz w:val="22"/>
          <w:szCs w:val="22"/>
          <w:lang w:val="el-GR"/>
        </w:rPr>
        <w:t xml:space="preserve"> </w:t>
      </w:r>
      <w:r w:rsidRPr="00AA4FA4">
        <w:rPr>
          <w:color w:val="auto"/>
          <w:sz w:val="22"/>
          <w:szCs w:val="22"/>
          <w:lang w:val="el-GR"/>
        </w:rPr>
        <w:t xml:space="preserve">στη </w:t>
      </w:r>
      <w:r w:rsidR="00353EEC">
        <w:rPr>
          <w:color w:val="auto"/>
          <w:sz w:val="22"/>
          <w:szCs w:val="22"/>
          <w:lang w:val="el-GR"/>
        </w:rPr>
        <w:t>μελέτη</w:t>
      </w:r>
      <w:r w:rsidR="00B079EA" w:rsidRPr="00AA4FA4">
        <w:rPr>
          <w:color w:val="auto"/>
          <w:sz w:val="22"/>
          <w:szCs w:val="22"/>
          <w:lang w:val="el-GR"/>
        </w:rPr>
        <w:t xml:space="preserve"> </w:t>
      </w:r>
      <w:r w:rsidRPr="00AA4FA4">
        <w:rPr>
          <w:color w:val="auto"/>
          <w:sz w:val="22"/>
          <w:szCs w:val="22"/>
          <w:lang w:val="el-GR"/>
        </w:rPr>
        <w:t>σχιζοφρένεια</w:t>
      </w:r>
      <w:r w:rsidR="00B079EA" w:rsidRPr="00AA4FA4">
        <w:rPr>
          <w:color w:val="auto"/>
          <w:sz w:val="22"/>
          <w:szCs w:val="22"/>
          <w:lang w:val="el-GR"/>
        </w:rPr>
        <w:t>ς</w:t>
      </w:r>
      <w:r w:rsidRPr="00AA4FA4">
        <w:rPr>
          <w:color w:val="auto"/>
          <w:sz w:val="22"/>
          <w:szCs w:val="22"/>
          <w:lang w:val="el-GR"/>
        </w:rPr>
        <w:t>, 1,0% έναντι 0% στ</w:t>
      </w:r>
      <w:r w:rsidR="00B646E4" w:rsidRPr="00AA4FA4">
        <w:rPr>
          <w:color w:val="auto"/>
          <w:sz w:val="22"/>
          <w:szCs w:val="22"/>
          <w:lang w:val="el-GR"/>
        </w:rPr>
        <w:t xml:space="preserve">η </w:t>
      </w:r>
      <w:r w:rsidR="00353EEC">
        <w:rPr>
          <w:color w:val="auto"/>
          <w:sz w:val="22"/>
          <w:szCs w:val="22"/>
          <w:lang w:val="el-GR"/>
        </w:rPr>
        <w:t>μελέτη</w:t>
      </w:r>
      <w:r w:rsidR="00817704">
        <w:rPr>
          <w:color w:val="auto"/>
          <w:sz w:val="22"/>
          <w:szCs w:val="22"/>
          <w:lang w:val="el-GR"/>
        </w:rPr>
        <w:t xml:space="preserve"> </w:t>
      </w:r>
      <w:r w:rsidR="00B646E4" w:rsidRPr="00AA4FA4">
        <w:rPr>
          <w:color w:val="auto"/>
          <w:sz w:val="22"/>
          <w:szCs w:val="22"/>
          <w:lang w:val="el-GR"/>
        </w:rPr>
        <w:t>για</w:t>
      </w:r>
      <w:r w:rsidRPr="00AA4FA4">
        <w:rPr>
          <w:color w:val="auto"/>
          <w:sz w:val="22"/>
          <w:szCs w:val="22"/>
          <w:lang w:val="el-GR"/>
        </w:rPr>
        <w:t xml:space="preserve"> διπολικ</w:t>
      </w:r>
      <w:r w:rsidR="00B646E4" w:rsidRPr="00AA4FA4">
        <w:rPr>
          <w:color w:val="auto"/>
          <w:sz w:val="22"/>
          <w:szCs w:val="22"/>
          <w:lang w:val="el-GR"/>
        </w:rPr>
        <w:t>ή</w:t>
      </w:r>
      <w:r w:rsidRPr="00B646E4">
        <w:rPr>
          <w:color w:val="auto"/>
          <w:sz w:val="22"/>
          <w:szCs w:val="22"/>
          <w:lang w:val="el-GR"/>
        </w:rPr>
        <w:t xml:space="preserve"> </w:t>
      </w:r>
      <w:r w:rsidRPr="00AA4FA4">
        <w:rPr>
          <w:color w:val="auto"/>
          <w:sz w:val="22"/>
          <w:szCs w:val="22"/>
          <w:lang w:val="el-GR"/>
        </w:rPr>
        <w:t xml:space="preserve">μανία, και 1,1% έναντι 0% στη </w:t>
      </w:r>
      <w:r w:rsidR="00353EEC">
        <w:rPr>
          <w:color w:val="auto"/>
          <w:sz w:val="22"/>
          <w:szCs w:val="22"/>
          <w:lang w:val="el-GR"/>
        </w:rPr>
        <w:t>μελέτη</w:t>
      </w:r>
      <w:r w:rsidR="00817704">
        <w:rPr>
          <w:color w:val="auto"/>
          <w:sz w:val="22"/>
          <w:szCs w:val="22"/>
          <w:lang w:val="el-GR"/>
        </w:rPr>
        <w:t xml:space="preserve"> </w:t>
      </w:r>
      <w:r w:rsidR="00B646E4" w:rsidRPr="00AA4FA4">
        <w:rPr>
          <w:color w:val="auto"/>
          <w:sz w:val="22"/>
          <w:szCs w:val="22"/>
          <w:lang w:val="el-GR"/>
        </w:rPr>
        <w:t xml:space="preserve">για τη </w:t>
      </w:r>
      <w:r w:rsidRPr="00AA4FA4">
        <w:rPr>
          <w:color w:val="auto"/>
          <w:sz w:val="22"/>
          <w:szCs w:val="22"/>
          <w:lang w:val="el-GR"/>
        </w:rPr>
        <w:t>διπολική</w:t>
      </w:r>
      <w:r w:rsidRPr="00B646E4">
        <w:rPr>
          <w:color w:val="auto"/>
          <w:sz w:val="22"/>
          <w:szCs w:val="22"/>
          <w:lang w:val="el-GR"/>
        </w:rPr>
        <w:t xml:space="preserve"> </w:t>
      </w:r>
      <w:r w:rsidRPr="00AA4FA4">
        <w:rPr>
          <w:color w:val="auto"/>
          <w:sz w:val="22"/>
          <w:szCs w:val="22"/>
          <w:lang w:val="el-GR"/>
        </w:rPr>
        <w:t>κατάθλιψη. Κατά τη διάρκεια μιας</w:t>
      </w:r>
      <w:r w:rsidRPr="00B646E4">
        <w:rPr>
          <w:color w:val="auto"/>
          <w:sz w:val="22"/>
          <w:szCs w:val="22"/>
          <w:lang w:val="el-GR"/>
        </w:rPr>
        <w:t xml:space="preserve"> </w:t>
      </w:r>
      <w:r w:rsidRPr="00AA4FA4">
        <w:rPr>
          <w:color w:val="auto"/>
          <w:sz w:val="22"/>
          <w:szCs w:val="22"/>
          <w:lang w:val="el-GR"/>
        </w:rPr>
        <w:t>εκτεταμένης</w:t>
      </w:r>
      <w:r w:rsidR="00B646E4" w:rsidRPr="00AA4FA4">
        <w:rPr>
          <w:color w:val="auto"/>
          <w:sz w:val="22"/>
          <w:szCs w:val="22"/>
          <w:lang w:val="el-GR"/>
        </w:rPr>
        <w:t>,</w:t>
      </w:r>
      <w:r w:rsidRPr="00B646E4">
        <w:rPr>
          <w:color w:val="auto"/>
          <w:sz w:val="22"/>
          <w:szCs w:val="22"/>
          <w:lang w:val="el-GR"/>
        </w:rPr>
        <w:t xml:space="preserve"> </w:t>
      </w:r>
      <w:r w:rsidRPr="00AA4FA4">
        <w:rPr>
          <w:color w:val="auto"/>
          <w:sz w:val="22"/>
          <w:szCs w:val="22"/>
          <w:lang w:val="el-GR"/>
        </w:rPr>
        <w:t>μετά τη θεραπεία</w:t>
      </w:r>
      <w:r w:rsidR="00B646E4" w:rsidRPr="00AA4FA4">
        <w:rPr>
          <w:color w:val="auto"/>
          <w:sz w:val="22"/>
          <w:szCs w:val="22"/>
          <w:lang w:val="el-GR"/>
        </w:rPr>
        <w:t>,</w:t>
      </w:r>
      <w:r w:rsidRPr="00AA4FA4">
        <w:rPr>
          <w:color w:val="auto"/>
          <w:sz w:val="22"/>
          <w:szCs w:val="22"/>
          <w:lang w:val="el-GR"/>
        </w:rPr>
        <w:t xml:space="preserve"> </w:t>
      </w:r>
      <w:r w:rsidR="00B646E4" w:rsidRPr="00AA4FA4">
        <w:rPr>
          <w:color w:val="auto"/>
          <w:sz w:val="22"/>
          <w:szCs w:val="22"/>
          <w:lang w:val="el-GR"/>
        </w:rPr>
        <w:t xml:space="preserve">φάσης </w:t>
      </w:r>
      <w:r w:rsidRPr="00AA4FA4">
        <w:rPr>
          <w:color w:val="auto"/>
          <w:sz w:val="22"/>
          <w:szCs w:val="22"/>
          <w:lang w:val="el-GR"/>
        </w:rPr>
        <w:t>παρακολούθηση</w:t>
      </w:r>
      <w:r w:rsidR="00B646E4" w:rsidRPr="00AA4FA4">
        <w:rPr>
          <w:color w:val="auto"/>
          <w:sz w:val="22"/>
          <w:szCs w:val="22"/>
          <w:lang w:val="el-GR"/>
        </w:rPr>
        <w:t>ς</w:t>
      </w:r>
      <w:r w:rsidRPr="00B646E4">
        <w:rPr>
          <w:color w:val="auto"/>
          <w:sz w:val="22"/>
          <w:szCs w:val="22"/>
          <w:lang w:val="el-GR"/>
        </w:rPr>
        <w:t xml:space="preserve"> </w:t>
      </w:r>
      <w:r w:rsidRPr="00AA4FA4">
        <w:rPr>
          <w:color w:val="auto"/>
          <w:sz w:val="22"/>
          <w:szCs w:val="22"/>
          <w:lang w:val="el-GR"/>
        </w:rPr>
        <w:t xml:space="preserve">της </w:t>
      </w:r>
      <w:r w:rsidR="00B646E4" w:rsidRPr="00AA4FA4">
        <w:rPr>
          <w:color w:val="auto"/>
          <w:sz w:val="22"/>
          <w:szCs w:val="22"/>
          <w:lang w:val="el-GR"/>
        </w:rPr>
        <w:t xml:space="preserve">δοκιμής για τη </w:t>
      </w:r>
      <w:r w:rsidRPr="00AA4FA4">
        <w:rPr>
          <w:color w:val="auto"/>
          <w:sz w:val="22"/>
          <w:szCs w:val="22"/>
          <w:lang w:val="el-GR"/>
        </w:rPr>
        <w:t>διπολική κατάθλιψη, υπήρχαν δύο</w:t>
      </w:r>
      <w:r w:rsidRPr="00B646E4">
        <w:rPr>
          <w:color w:val="auto"/>
          <w:sz w:val="22"/>
          <w:szCs w:val="22"/>
          <w:lang w:val="el-GR"/>
        </w:rPr>
        <w:t xml:space="preserve"> </w:t>
      </w:r>
      <w:r w:rsidRPr="00AA4FA4">
        <w:rPr>
          <w:color w:val="auto"/>
          <w:sz w:val="22"/>
          <w:szCs w:val="22"/>
          <w:lang w:val="el-GR"/>
        </w:rPr>
        <w:t>πρόσθετα γεγονότα που σχετίζονται με</w:t>
      </w:r>
      <w:r w:rsidRPr="00B646E4">
        <w:rPr>
          <w:color w:val="auto"/>
          <w:sz w:val="22"/>
          <w:szCs w:val="22"/>
          <w:lang w:val="el-GR"/>
        </w:rPr>
        <w:t xml:space="preserve"> </w:t>
      </w:r>
      <w:r w:rsidRPr="00AA4FA4">
        <w:rPr>
          <w:color w:val="auto"/>
          <w:sz w:val="22"/>
          <w:szCs w:val="22"/>
          <w:lang w:val="el-GR"/>
        </w:rPr>
        <w:t>αυτοκτονία σε δύο ασθενείς</w:t>
      </w:r>
      <w:r w:rsidR="00B646E4" w:rsidRPr="00AA4FA4">
        <w:rPr>
          <w:color w:val="auto"/>
          <w:sz w:val="22"/>
          <w:szCs w:val="22"/>
          <w:lang w:val="el-GR"/>
        </w:rPr>
        <w:t>. Ένας</w:t>
      </w:r>
      <w:r w:rsidRPr="00AA4FA4">
        <w:rPr>
          <w:color w:val="auto"/>
          <w:sz w:val="22"/>
          <w:szCs w:val="22"/>
          <w:lang w:val="el-GR"/>
        </w:rPr>
        <w:t xml:space="preserve"> από αυτούς τους ασθενείς </w:t>
      </w:r>
      <w:r w:rsidR="00B646E4" w:rsidRPr="00AA4FA4">
        <w:rPr>
          <w:color w:val="auto"/>
          <w:sz w:val="22"/>
          <w:szCs w:val="22"/>
          <w:lang w:val="el-GR"/>
        </w:rPr>
        <w:t xml:space="preserve">λάμβανε </w:t>
      </w:r>
      <w:proofErr w:type="spellStart"/>
      <w:r w:rsidR="00B646E4" w:rsidRPr="00AA4FA4">
        <w:rPr>
          <w:color w:val="auto"/>
          <w:sz w:val="22"/>
          <w:szCs w:val="22"/>
          <w:lang w:val="el-GR"/>
        </w:rPr>
        <w:t>κουετιαπίνη</w:t>
      </w:r>
      <w:proofErr w:type="spellEnd"/>
      <w:r w:rsidR="00B646E4" w:rsidRPr="00AA4FA4">
        <w:rPr>
          <w:color w:val="auto"/>
          <w:sz w:val="22"/>
          <w:szCs w:val="22"/>
          <w:lang w:val="el-GR"/>
        </w:rPr>
        <w:t xml:space="preserve"> </w:t>
      </w:r>
      <w:r w:rsidR="00D82E63">
        <w:rPr>
          <w:color w:val="auto"/>
          <w:sz w:val="22"/>
          <w:szCs w:val="22"/>
          <w:lang w:val="el-GR"/>
        </w:rPr>
        <w:t>όταν έλαβε χώρα το συμβάν</w:t>
      </w:r>
      <w:r w:rsidRPr="00B646E4">
        <w:rPr>
          <w:color w:val="auto"/>
          <w:sz w:val="22"/>
          <w:szCs w:val="22"/>
          <w:lang w:val="el-GR"/>
        </w:rPr>
        <w:t>.</w:t>
      </w:r>
    </w:p>
    <w:p w:rsidR="000A4BD6" w:rsidRPr="00AA4FA4" w:rsidRDefault="000A4BD6" w:rsidP="000A4BD6">
      <w:pPr>
        <w:pStyle w:val="Web"/>
        <w:spacing w:before="0" w:beforeAutospacing="0" w:after="0"/>
        <w:jc w:val="both"/>
        <w:rPr>
          <w:color w:val="auto"/>
          <w:sz w:val="22"/>
          <w:szCs w:val="22"/>
          <w:lang w:val="el-GR"/>
        </w:rPr>
      </w:pPr>
      <w:r w:rsidRPr="00AA4FA4">
        <w:rPr>
          <w:b/>
          <w:i/>
          <w:color w:val="auto"/>
          <w:sz w:val="22"/>
          <w:szCs w:val="22"/>
          <w:u w:val="single"/>
          <w:lang w:val="el-GR"/>
        </w:rPr>
        <w:t>Η μακρο</w:t>
      </w:r>
      <w:r w:rsidR="001D2D4B" w:rsidRPr="00AA4FA4">
        <w:rPr>
          <w:b/>
          <w:i/>
          <w:color w:val="auto"/>
          <w:sz w:val="22"/>
          <w:szCs w:val="22"/>
          <w:u w:val="single"/>
          <w:lang w:val="el-GR"/>
        </w:rPr>
        <w:t>πρόθεσμη</w:t>
      </w:r>
      <w:r w:rsidRPr="00AA4FA4">
        <w:rPr>
          <w:b/>
          <w:i/>
          <w:color w:val="auto"/>
          <w:sz w:val="22"/>
          <w:szCs w:val="22"/>
          <w:u w:val="single"/>
          <w:lang w:val="el-GR"/>
        </w:rPr>
        <w:t xml:space="preserve"> ασφάλεια:</w:t>
      </w:r>
    </w:p>
    <w:p w:rsidR="00380EEB" w:rsidRDefault="00380EEB">
      <w:pPr>
        <w:pStyle w:val="Web"/>
        <w:spacing w:before="0" w:beforeAutospacing="0" w:after="0"/>
        <w:jc w:val="both"/>
        <w:rPr>
          <w:color w:val="auto"/>
          <w:sz w:val="22"/>
          <w:szCs w:val="22"/>
          <w:lang w:val="el-GR"/>
        </w:rPr>
      </w:pPr>
      <w:r w:rsidRPr="00A66AB5">
        <w:rPr>
          <w:color w:val="auto"/>
          <w:sz w:val="22"/>
          <w:szCs w:val="22"/>
          <w:lang w:val="el-GR"/>
        </w:rPr>
        <w:t xml:space="preserve">Μια ανοικτή επέκταση διάρκειας 26 εβδομάδων στις βραχείες δοκιμές (n= 380 ασθενείς),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χορηγούμενη σε ευέλικτες δόσεις 400-800 </w:t>
      </w:r>
      <w:proofErr w:type="spellStart"/>
      <w:r w:rsidRPr="00A66AB5">
        <w:rPr>
          <w:color w:val="auto"/>
          <w:sz w:val="22"/>
          <w:szCs w:val="22"/>
          <w:lang w:val="el-GR"/>
        </w:rPr>
        <w:t>mg</w:t>
      </w:r>
      <w:proofErr w:type="spellEnd"/>
      <w:r w:rsidRPr="00A66AB5">
        <w:rPr>
          <w:color w:val="auto"/>
          <w:sz w:val="22"/>
          <w:szCs w:val="22"/>
          <w:lang w:val="el-GR"/>
        </w:rPr>
        <w:t xml:space="preserve">/ημέρα, παρείχε επιπλέον δεδομένα ασφάλειας. Αναφέρθηκαν αυξήσεις στην αρτηριακή πίεση σε παιδιά και εφήβους και αυξημένη όρεξη, </w:t>
      </w:r>
      <w:proofErr w:type="spellStart"/>
      <w:r w:rsidRPr="00A66AB5">
        <w:rPr>
          <w:color w:val="auto"/>
          <w:sz w:val="22"/>
          <w:szCs w:val="22"/>
          <w:lang w:val="el-GR"/>
        </w:rPr>
        <w:t>εξωπυραμιδικά</w:t>
      </w:r>
      <w:proofErr w:type="spellEnd"/>
      <w:r w:rsidRPr="00A66AB5">
        <w:rPr>
          <w:color w:val="auto"/>
          <w:sz w:val="22"/>
          <w:szCs w:val="22"/>
          <w:lang w:val="el-GR"/>
        </w:rPr>
        <w:t xml:space="preserve"> συμπτώματα και αυξήσεις της </w:t>
      </w:r>
      <w:proofErr w:type="spellStart"/>
      <w:r w:rsidRPr="00A66AB5">
        <w:rPr>
          <w:color w:val="auto"/>
          <w:sz w:val="22"/>
          <w:szCs w:val="22"/>
          <w:lang w:val="el-GR"/>
        </w:rPr>
        <w:t>προλακτίνης</w:t>
      </w:r>
      <w:proofErr w:type="spellEnd"/>
      <w:r w:rsidRPr="00A66AB5">
        <w:rPr>
          <w:color w:val="auto"/>
          <w:sz w:val="22"/>
          <w:szCs w:val="22"/>
          <w:lang w:val="el-GR"/>
        </w:rPr>
        <w:t xml:space="preserve"> στον ορό με </w:t>
      </w:r>
      <w:r w:rsidRPr="00A66AB5">
        <w:rPr>
          <w:color w:val="auto"/>
          <w:sz w:val="22"/>
          <w:szCs w:val="22"/>
          <w:lang w:val="el-GR"/>
        </w:rPr>
        <w:lastRenderedPageBreak/>
        <w:t xml:space="preserve">υψηλότερη συχνότητα σε παιδιά και εφήβους παρά σε ενήλικες ασθενείς (βλ. παράγραφο 4.4 και 4.8). </w:t>
      </w:r>
    </w:p>
    <w:p w:rsidR="000A4BD6" w:rsidRDefault="000A4BD6">
      <w:pPr>
        <w:pStyle w:val="Web"/>
        <w:spacing w:before="0" w:beforeAutospacing="0" w:after="0"/>
        <w:jc w:val="both"/>
        <w:rPr>
          <w:color w:val="auto"/>
          <w:sz w:val="22"/>
          <w:szCs w:val="22"/>
          <w:lang w:val="el-GR"/>
        </w:rPr>
      </w:pPr>
    </w:p>
    <w:p w:rsidR="000A4BD6" w:rsidRPr="00A66AB5" w:rsidRDefault="000A4BD6" w:rsidP="000A4BD6">
      <w:pPr>
        <w:pStyle w:val="Web"/>
        <w:spacing w:before="0" w:beforeAutospacing="0" w:after="0"/>
        <w:jc w:val="both"/>
        <w:rPr>
          <w:sz w:val="22"/>
          <w:szCs w:val="22"/>
          <w:lang w:val="el-GR"/>
        </w:rPr>
      </w:pPr>
      <w:r>
        <w:rPr>
          <w:color w:val="auto"/>
          <w:sz w:val="22"/>
          <w:szCs w:val="22"/>
          <w:lang w:val="el-GR"/>
        </w:rPr>
        <w:t>Σε ότι αφορά στην αύξηση βάρους, κ</w:t>
      </w:r>
      <w:r w:rsidRPr="00A66AB5">
        <w:rPr>
          <w:color w:val="auto"/>
          <w:sz w:val="22"/>
          <w:szCs w:val="22"/>
          <w:lang w:val="el-GR"/>
        </w:rPr>
        <w:t xml:space="preserve">ατά την προσαρμογή για τη φυσιολογική ανάπτυξη μακροπρόθεσμα, χρησιμοποιήθηκε ως μέτρο κλινικά σημαντικής </w:t>
      </w:r>
      <w:r w:rsidR="00D82E63">
        <w:rPr>
          <w:color w:val="auto"/>
          <w:sz w:val="22"/>
          <w:szCs w:val="22"/>
          <w:lang w:val="el-GR"/>
        </w:rPr>
        <w:t>μεταβολ</w:t>
      </w:r>
      <w:r w:rsidRPr="00A66AB5">
        <w:rPr>
          <w:color w:val="auto"/>
          <w:sz w:val="22"/>
          <w:szCs w:val="22"/>
          <w:lang w:val="el-GR"/>
        </w:rPr>
        <w:t xml:space="preserve">ής η αύξηση κατά τουλάχιστον 0,5 τυπικής απόκλισης, ως προς την αρχική αξιολόγηση, στον δείκτη μάζας σώματος (BMI). Το 18,3% των ασθενών που έλαβαν θεραπεία με </w:t>
      </w:r>
      <w:proofErr w:type="spellStart"/>
      <w:r w:rsidRPr="00A66AB5">
        <w:rPr>
          <w:color w:val="auto"/>
          <w:sz w:val="22"/>
          <w:szCs w:val="22"/>
          <w:lang w:val="el-GR"/>
        </w:rPr>
        <w:t>κουετιαπίνη</w:t>
      </w:r>
      <w:proofErr w:type="spellEnd"/>
      <w:r w:rsidRPr="00A66AB5">
        <w:rPr>
          <w:color w:val="auto"/>
          <w:sz w:val="22"/>
          <w:szCs w:val="22"/>
          <w:lang w:val="el-GR"/>
        </w:rPr>
        <w:t xml:space="preserve"> για </w:t>
      </w:r>
      <w:r w:rsidR="00D82E63">
        <w:rPr>
          <w:color w:val="auto"/>
          <w:sz w:val="22"/>
          <w:szCs w:val="22"/>
          <w:lang w:val="el-GR"/>
        </w:rPr>
        <w:t xml:space="preserve">τουλάχιστον </w:t>
      </w:r>
      <w:r w:rsidRPr="00A66AB5">
        <w:rPr>
          <w:color w:val="auto"/>
          <w:sz w:val="22"/>
          <w:szCs w:val="22"/>
          <w:lang w:val="el-GR"/>
        </w:rPr>
        <w:t xml:space="preserve">26 εβδομάδες πληρούσαν αυτό το κριτήριο. </w:t>
      </w:r>
    </w:p>
    <w:p w:rsidR="000A4BD6" w:rsidRPr="00A66AB5" w:rsidRDefault="000A4BD6">
      <w:pPr>
        <w:pStyle w:val="Web"/>
        <w:spacing w:before="0" w:beforeAutospacing="0" w:after="0"/>
        <w:jc w:val="both"/>
        <w:rPr>
          <w:sz w:val="22"/>
          <w:szCs w:val="22"/>
          <w:lang w:val="el-GR"/>
        </w:rPr>
      </w:pPr>
    </w:p>
    <w:p w:rsidR="00380EEB" w:rsidRPr="00A66AB5" w:rsidRDefault="00380EEB">
      <w:pPr>
        <w:pStyle w:val="Web"/>
        <w:spacing w:before="0" w:beforeAutospacing="0" w:after="0"/>
        <w:jc w:val="both"/>
        <w:rPr>
          <w:color w:val="auto"/>
          <w:sz w:val="22"/>
          <w:szCs w:val="22"/>
          <w:lang w:val="el-GR"/>
        </w:rPr>
      </w:pPr>
    </w:p>
    <w:p w:rsidR="00380EEB" w:rsidRPr="00A66AB5" w:rsidRDefault="00380EEB">
      <w:pPr>
        <w:pStyle w:val="Web"/>
        <w:spacing w:before="0" w:beforeAutospacing="0" w:after="0"/>
        <w:jc w:val="both"/>
        <w:rPr>
          <w:sz w:val="22"/>
          <w:szCs w:val="22"/>
          <w:lang w:val="el-GR"/>
        </w:rPr>
      </w:pP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numPr>
          <w:ilvl w:val="1"/>
          <w:numId w:val="7"/>
        </w:numPr>
        <w:tabs>
          <w:tab w:val="clear" w:pos="4320"/>
          <w:tab w:val="clear" w:pos="8640"/>
        </w:tabs>
        <w:jc w:val="both"/>
        <w:rPr>
          <w:b/>
          <w:sz w:val="22"/>
          <w:szCs w:val="22"/>
        </w:rPr>
      </w:pPr>
      <w:proofErr w:type="spellStart"/>
      <w:r w:rsidRPr="00A66AB5">
        <w:rPr>
          <w:b/>
          <w:sz w:val="22"/>
          <w:szCs w:val="22"/>
          <w:lang w:val="el-GR"/>
        </w:rPr>
        <w:t>Φ</w:t>
      </w:r>
      <w:r w:rsidR="003E7EF0">
        <w:rPr>
          <w:b/>
          <w:sz w:val="22"/>
          <w:szCs w:val="22"/>
          <w:lang w:val="el-GR"/>
        </w:rPr>
        <w:t>αρμακοκινητικές</w:t>
      </w:r>
      <w:proofErr w:type="spellEnd"/>
      <w:r w:rsidR="003E7EF0">
        <w:rPr>
          <w:b/>
          <w:sz w:val="22"/>
          <w:szCs w:val="22"/>
          <w:lang w:val="el-GR"/>
        </w:rPr>
        <w:t xml:space="preserve"> ιδιότητες</w:t>
      </w:r>
    </w:p>
    <w:p w:rsidR="00380EEB" w:rsidRPr="00A66AB5" w:rsidRDefault="00380EEB">
      <w:pPr>
        <w:pStyle w:val="a3"/>
        <w:tabs>
          <w:tab w:val="clear" w:pos="4320"/>
          <w:tab w:val="clear" w:pos="8640"/>
        </w:tabs>
        <w:jc w:val="both"/>
        <w:rPr>
          <w:b/>
          <w:sz w:val="22"/>
          <w:szCs w:val="22"/>
        </w:rPr>
      </w:pPr>
    </w:p>
    <w:p w:rsidR="00380EEB" w:rsidRPr="00D15B02" w:rsidRDefault="00380EEB">
      <w:pPr>
        <w:autoSpaceDE w:val="0"/>
        <w:autoSpaceDN w:val="0"/>
        <w:adjustRightInd w:val="0"/>
        <w:jc w:val="both"/>
        <w:rPr>
          <w:b/>
          <w:sz w:val="22"/>
          <w:szCs w:val="22"/>
        </w:rPr>
      </w:pPr>
      <w:r w:rsidRPr="00791987">
        <w:rPr>
          <w:b/>
          <w:sz w:val="22"/>
          <w:szCs w:val="22"/>
          <w:lang w:val="el-GR"/>
        </w:rPr>
        <w:t>Απορρόφηση</w:t>
      </w:r>
      <w:r w:rsidR="003E7EF0" w:rsidRPr="00791987">
        <w:rPr>
          <w:b/>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w:t>
      </w:r>
      <w:proofErr w:type="spellStart"/>
      <w:r w:rsidRPr="00A66AB5">
        <w:rPr>
          <w:sz w:val="22"/>
          <w:szCs w:val="22"/>
          <w:lang w:val="el-GR"/>
        </w:rPr>
        <w:t>κουετιαπίνη</w:t>
      </w:r>
      <w:proofErr w:type="spellEnd"/>
      <w:r w:rsidRPr="00A66AB5">
        <w:rPr>
          <w:sz w:val="22"/>
          <w:szCs w:val="22"/>
          <w:lang w:val="el-GR"/>
        </w:rPr>
        <w:t xml:space="preserve"> απορροφάται καλά μετά τη χορήγηση από του στόματος. </w:t>
      </w:r>
      <w:r w:rsidR="003E7EF0">
        <w:rPr>
          <w:sz w:val="22"/>
          <w:szCs w:val="22"/>
          <w:lang w:val="el-GR"/>
        </w:rPr>
        <w:t xml:space="preserve">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3E7EF0" w:rsidRPr="00791987">
        <w:rPr>
          <w:sz w:val="22"/>
          <w:szCs w:val="22"/>
          <w:lang w:val="el-GR"/>
        </w:rPr>
        <w:t>5</w:t>
      </w:r>
      <w:r w:rsidR="00D65C75" w:rsidRPr="002471CA">
        <w:rPr>
          <w:sz w:val="22"/>
          <w:szCs w:val="22"/>
          <w:lang w:val="el-GR"/>
        </w:rPr>
        <w:t xml:space="preserve"> </w:t>
      </w:r>
      <w:r w:rsidR="003E7EF0" w:rsidRPr="00791987">
        <w:rPr>
          <w:sz w:val="22"/>
          <w:szCs w:val="22"/>
          <w:lang w:val="el-GR"/>
        </w:rPr>
        <w:t xml:space="preserve">0 </w:t>
      </w:r>
      <w:r w:rsidR="003E7EF0" w:rsidRPr="003E7EF0">
        <w:rPr>
          <w:sz w:val="22"/>
          <w:szCs w:val="22"/>
        </w:rPr>
        <w:t>mg</w:t>
      </w:r>
      <w:r w:rsidR="003E7EF0" w:rsidRPr="00791987">
        <w:rPr>
          <w:sz w:val="22"/>
          <w:szCs w:val="22"/>
          <w:lang w:val="el-GR"/>
        </w:rPr>
        <w:t xml:space="preserve"> / 200 </w:t>
      </w:r>
      <w:r w:rsidR="003E7EF0" w:rsidRPr="003E7EF0">
        <w:rPr>
          <w:sz w:val="22"/>
          <w:szCs w:val="22"/>
        </w:rPr>
        <w:t>mg</w:t>
      </w:r>
      <w:r w:rsidR="003E7EF0" w:rsidRPr="00791987">
        <w:rPr>
          <w:sz w:val="22"/>
          <w:szCs w:val="22"/>
          <w:lang w:val="el-GR"/>
        </w:rPr>
        <w:t xml:space="preserve"> / 300 </w:t>
      </w:r>
      <w:r w:rsidR="003E7EF0" w:rsidRPr="003E7EF0">
        <w:rPr>
          <w:sz w:val="22"/>
          <w:szCs w:val="22"/>
        </w:rPr>
        <w:t>mg</w:t>
      </w:r>
      <w:r w:rsidR="003E7EF0" w:rsidRPr="00791987">
        <w:rPr>
          <w:sz w:val="22"/>
          <w:szCs w:val="22"/>
          <w:lang w:val="el-GR"/>
        </w:rPr>
        <w:t xml:space="preserve"> / 400 </w:t>
      </w:r>
      <w:r w:rsidR="003E7EF0" w:rsidRPr="003E7EF0">
        <w:rPr>
          <w:sz w:val="22"/>
          <w:szCs w:val="22"/>
        </w:rPr>
        <w:t>mg</w:t>
      </w:r>
      <w:r w:rsidR="003E7EF0" w:rsidRPr="00791987">
        <w:rPr>
          <w:sz w:val="22"/>
          <w:szCs w:val="22"/>
          <w:lang w:val="el-GR"/>
        </w:rPr>
        <w:t xml:space="preserve"> δισκίο παρατεταμένης αποδέσμευσης</w:t>
      </w:r>
      <w:r w:rsidR="00D75BCF" w:rsidRPr="00A66AB5">
        <w:rPr>
          <w:sz w:val="22"/>
          <w:szCs w:val="22"/>
          <w:lang w:val="el-GR"/>
        </w:rPr>
        <w:t xml:space="preserve"> </w:t>
      </w:r>
      <w:r w:rsidRPr="00A66AB5">
        <w:rPr>
          <w:sz w:val="22"/>
          <w:szCs w:val="22"/>
          <w:lang w:val="el-GR"/>
        </w:rPr>
        <w:t>επιτυγχάν</w:t>
      </w:r>
      <w:r w:rsidR="00D75BCF" w:rsidRPr="00A66AB5">
        <w:rPr>
          <w:sz w:val="22"/>
          <w:szCs w:val="22"/>
          <w:lang w:val="el-GR"/>
        </w:rPr>
        <w:t xml:space="preserve">ει </w:t>
      </w:r>
      <w:r w:rsidRPr="00A66AB5">
        <w:rPr>
          <w:sz w:val="22"/>
          <w:szCs w:val="22"/>
          <w:lang w:val="el-GR"/>
        </w:rPr>
        <w:t xml:space="preserve">μέγιστες συγκεντρώσεις </w:t>
      </w:r>
      <w:proofErr w:type="spellStart"/>
      <w:r w:rsidRPr="00A66AB5">
        <w:rPr>
          <w:sz w:val="22"/>
          <w:szCs w:val="22"/>
          <w:lang w:val="el-GR"/>
        </w:rPr>
        <w:t>κουετιαπίνης</w:t>
      </w:r>
      <w:proofErr w:type="spellEnd"/>
      <w:r w:rsidRPr="00A66AB5">
        <w:rPr>
          <w:sz w:val="22"/>
          <w:szCs w:val="22"/>
          <w:lang w:val="el-GR"/>
        </w:rPr>
        <w:t xml:space="preserve"> και </w:t>
      </w:r>
      <w:proofErr w:type="spellStart"/>
      <w:r w:rsidRPr="00A66AB5">
        <w:rPr>
          <w:sz w:val="22"/>
          <w:szCs w:val="22"/>
          <w:lang w:val="el-GR"/>
        </w:rPr>
        <w:t>νορκουετιαπίνης</w:t>
      </w:r>
      <w:proofErr w:type="spellEnd"/>
      <w:r w:rsidRPr="00A66AB5">
        <w:rPr>
          <w:sz w:val="22"/>
          <w:szCs w:val="22"/>
          <w:lang w:val="el-GR"/>
        </w:rPr>
        <w:t xml:space="preserve"> στο πλάσμα σε περίπου 6 ώρες μετά τη χορήγηση (</w:t>
      </w:r>
      <w:proofErr w:type="spellStart"/>
      <w:r w:rsidRPr="00A66AB5">
        <w:rPr>
          <w:sz w:val="22"/>
          <w:szCs w:val="22"/>
        </w:rPr>
        <w:t>Tmax</w:t>
      </w:r>
      <w:proofErr w:type="spellEnd"/>
      <w:r w:rsidRPr="00A66AB5">
        <w:rPr>
          <w:sz w:val="22"/>
          <w:szCs w:val="22"/>
          <w:lang w:val="el-GR"/>
        </w:rPr>
        <w:t xml:space="preserve">). Οι μέγιστες γραμμομοριακές συγκεντρώσεις σταθερής κατάστασης του δραστικού μεταβολίτη </w:t>
      </w:r>
      <w:proofErr w:type="spellStart"/>
      <w:r w:rsidRPr="00A66AB5">
        <w:rPr>
          <w:sz w:val="22"/>
          <w:szCs w:val="22"/>
          <w:lang w:val="el-GR"/>
        </w:rPr>
        <w:t>νορκουετιαπίνη</w:t>
      </w:r>
      <w:proofErr w:type="spellEnd"/>
      <w:r w:rsidRPr="00A66AB5">
        <w:rPr>
          <w:sz w:val="22"/>
          <w:szCs w:val="22"/>
          <w:lang w:val="el-GR"/>
        </w:rPr>
        <w:t xml:space="preserve"> είναι 35% εκείνων που παρατηρούνται για την </w:t>
      </w:r>
      <w:proofErr w:type="spellStart"/>
      <w:r w:rsidRPr="00A66AB5">
        <w:rPr>
          <w:sz w:val="22"/>
          <w:szCs w:val="22"/>
          <w:lang w:val="el-GR"/>
        </w:rPr>
        <w:t>κουετιαπίνη</w:t>
      </w:r>
      <w:proofErr w:type="spellEnd"/>
      <w:r w:rsidRPr="00A66AB5">
        <w:rPr>
          <w:sz w:val="22"/>
          <w:szCs w:val="22"/>
          <w:lang w:val="el-GR"/>
        </w:rPr>
        <w:t>.</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και της </w:t>
      </w:r>
      <w:proofErr w:type="spellStart"/>
      <w:r w:rsidRPr="00A66AB5">
        <w:rPr>
          <w:sz w:val="22"/>
          <w:szCs w:val="22"/>
          <w:lang w:val="el-GR"/>
        </w:rPr>
        <w:t>νορκουετιαπίνης</w:t>
      </w:r>
      <w:proofErr w:type="spellEnd"/>
      <w:r w:rsidRPr="00A66AB5">
        <w:rPr>
          <w:sz w:val="22"/>
          <w:szCs w:val="22"/>
          <w:lang w:val="el-GR"/>
        </w:rPr>
        <w:t xml:space="preserve"> είναι γραμμική και ανάλογη με τη δόση για δόσεις έως και 800 </w:t>
      </w:r>
      <w:r w:rsidRPr="00A66AB5">
        <w:rPr>
          <w:sz w:val="22"/>
          <w:szCs w:val="22"/>
        </w:rPr>
        <w:t>mg</w:t>
      </w:r>
      <w:r w:rsidRPr="00A66AB5">
        <w:rPr>
          <w:sz w:val="22"/>
          <w:szCs w:val="22"/>
          <w:lang w:val="el-GR"/>
        </w:rPr>
        <w:t xml:space="preserve">, χορηγούμενες μία φορά την ημέρα. </w:t>
      </w:r>
      <w:r w:rsidR="003E7EF0">
        <w:rPr>
          <w:sz w:val="22"/>
          <w:szCs w:val="22"/>
          <w:lang w:val="el-GR"/>
        </w:rPr>
        <w:t xml:space="preserve">Όταν 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3E7EF0" w:rsidRPr="00791987">
        <w:rPr>
          <w:sz w:val="22"/>
          <w:szCs w:val="22"/>
          <w:lang w:val="el-GR"/>
        </w:rPr>
        <w:t xml:space="preserve">50 </w:t>
      </w:r>
      <w:r w:rsidR="003E7EF0" w:rsidRPr="003E7EF0">
        <w:rPr>
          <w:sz w:val="22"/>
          <w:szCs w:val="22"/>
        </w:rPr>
        <w:t>mg</w:t>
      </w:r>
      <w:r w:rsidR="003E7EF0" w:rsidRPr="00791987">
        <w:rPr>
          <w:sz w:val="22"/>
          <w:szCs w:val="22"/>
          <w:lang w:val="el-GR"/>
        </w:rPr>
        <w:t xml:space="preserve"> / 200 </w:t>
      </w:r>
      <w:r w:rsidR="003E7EF0" w:rsidRPr="003E7EF0">
        <w:rPr>
          <w:sz w:val="22"/>
          <w:szCs w:val="22"/>
        </w:rPr>
        <w:t>mg</w:t>
      </w:r>
      <w:r w:rsidR="003E7EF0" w:rsidRPr="00791987">
        <w:rPr>
          <w:sz w:val="22"/>
          <w:szCs w:val="22"/>
          <w:lang w:val="el-GR"/>
        </w:rPr>
        <w:t xml:space="preserve"> / 300 </w:t>
      </w:r>
      <w:r w:rsidR="003E7EF0" w:rsidRPr="003E7EF0">
        <w:rPr>
          <w:sz w:val="22"/>
          <w:szCs w:val="22"/>
        </w:rPr>
        <w:t>mg</w:t>
      </w:r>
      <w:r w:rsidR="003E7EF0" w:rsidRPr="00791987">
        <w:rPr>
          <w:sz w:val="22"/>
          <w:szCs w:val="22"/>
          <w:lang w:val="el-GR"/>
        </w:rPr>
        <w:t xml:space="preserve"> / 400 </w:t>
      </w:r>
      <w:r w:rsidR="003E7EF0" w:rsidRPr="003E7EF0">
        <w:rPr>
          <w:sz w:val="22"/>
          <w:szCs w:val="22"/>
        </w:rPr>
        <w:t>mg</w:t>
      </w:r>
      <w:r w:rsidR="003E7EF0" w:rsidRPr="00791987">
        <w:rPr>
          <w:sz w:val="22"/>
          <w:szCs w:val="22"/>
          <w:lang w:val="el-GR"/>
        </w:rPr>
        <w:t xml:space="preserve"> δισκίο παρατεταμένης αποδέσμευσης</w:t>
      </w:r>
      <w:r w:rsidRPr="00A66AB5">
        <w:rPr>
          <w:sz w:val="22"/>
          <w:szCs w:val="22"/>
          <w:lang w:val="el-GR"/>
        </w:rPr>
        <w:t xml:space="preserve"> </w:t>
      </w:r>
      <w:r w:rsidR="00336C03" w:rsidRPr="00A66AB5">
        <w:rPr>
          <w:sz w:val="22"/>
          <w:szCs w:val="22"/>
          <w:lang w:val="el-GR"/>
        </w:rPr>
        <w:t>χορηγούμεν</w:t>
      </w:r>
      <w:r w:rsidR="003E7EF0">
        <w:rPr>
          <w:sz w:val="22"/>
          <w:szCs w:val="22"/>
          <w:lang w:val="el-GR"/>
        </w:rPr>
        <w:t>ο</w:t>
      </w:r>
      <w:r w:rsidR="00336C03" w:rsidRPr="00A66AB5">
        <w:rPr>
          <w:sz w:val="22"/>
          <w:szCs w:val="22"/>
          <w:lang w:val="el-GR"/>
        </w:rPr>
        <w:t xml:space="preserve"> </w:t>
      </w:r>
      <w:r w:rsidRPr="00A66AB5">
        <w:rPr>
          <w:sz w:val="22"/>
          <w:szCs w:val="22"/>
          <w:lang w:val="el-GR"/>
        </w:rPr>
        <w:t xml:space="preserve">μία φορά την ημέρα, </w:t>
      </w:r>
      <w:r w:rsidR="00195C77" w:rsidRPr="00A66AB5">
        <w:rPr>
          <w:sz w:val="22"/>
          <w:szCs w:val="22"/>
          <w:lang w:val="el-GR"/>
        </w:rPr>
        <w:t xml:space="preserve">συγκρίνεται </w:t>
      </w:r>
      <w:r w:rsidRPr="00A66AB5">
        <w:rPr>
          <w:sz w:val="22"/>
          <w:szCs w:val="22"/>
          <w:lang w:val="el-GR"/>
        </w:rPr>
        <w:t xml:space="preserve">με την ίδια συνολική ημερήσια δόση </w:t>
      </w:r>
      <w:proofErr w:type="spellStart"/>
      <w:r w:rsidRPr="00A66AB5">
        <w:rPr>
          <w:sz w:val="22"/>
          <w:szCs w:val="22"/>
          <w:lang w:val="el-GR"/>
        </w:rPr>
        <w:t>φουμαρικής</w:t>
      </w:r>
      <w:proofErr w:type="spellEnd"/>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άμεσης αποδέσμευσης (δισκίο </w:t>
      </w:r>
      <w:proofErr w:type="spellStart"/>
      <w:r w:rsidRPr="00A66AB5">
        <w:rPr>
          <w:sz w:val="22"/>
          <w:szCs w:val="22"/>
          <w:lang w:val="el-GR"/>
        </w:rPr>
        <w:t>κουετιαπίνης</w:t>
      </w:r>
      <w:proofErr w:type="spellEnd"/>
      <w:r w:rsidRPr="00A66AB5">
        <w:rPr>
          <w:sz w:val="22"/>
          <w:szCs w:val="22"/>
          <w:lang w:val="el-GR"/>
        </w:rPr>
        <w:t xml:space="preserve"> άμεσης αποδέσμευσης), χορηγούμενη δύο φορές την ημέρα, το εμβαδόν κάτω από την καμπύλη συγκέντρωσης στο πλάσμα-χρόνου (</w:t>
      </w:r>
      <w:r w:rsidRPr="00A66AB5">
        <w:rPr>
          <w:sz w:val="22"/>
          <w:szCs w:val="22"/>
        </w:rPr>
        <w:t>AUC</w:t>
      </w:r>
      <w:r w:rsidRPr="00A66AB5">
        <w:rPr>
          <w:sz w:val="22"/>
          <w:szCs w:val="22"/>
          <w:lang w:val="el-GR"/>
        </w:rPr>
        <w:t>) είναι ισοδύναμο, αλλά η μέγιστη συγκέντρωση στο πλάσμα (</w:t>
      </w:r>
      <w:proofErr w:type="spellStart"/>
      <w:r w:rsidRPr="00A66AB5">
        <w:rPr>
          <w:sz w:val="22"/>
          <w:szCs w:val="22"/>
        </w:rPr>
        <w:t>Cmax</w:t>
      </w:r>
      <w:proofErr w:type="spellEnd"/>
      <w:r w:rsidRPr="00A66AB5">
        <w:rPr>
          <w:sz w:val="22"/>
          <w:szCs w:val="22"/>
          <w:lang w:val="el-GR"/>
        </w:rPr>
        <w:t xml:space="preserve">) είναι κατά 13% χαμηλότερη στη σταθερή κατάσταση. Όταν </w:t>
      </w:r>
      <w:r w:rsidR="003E7EF0">
        <w:rPr>
          <w:sz w:val="22"/>
          <w:szCs w:val="22"/>
          <w:lang w:val="el-GR"/>
        </w:rPr>
        <w:t xml:space="preserve">το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3E7EF0" w:rsidRPr="00791987">
        <w:rPr>
          <w:sz w:val="22"/>
          <w:szCs w:val="22"/>
          <w:lang w:val="el-GR"/>
        </w:rPr>
        <w:t xml:space="preserve">50 </w:t>
      </w:r>
      <w:r w:rsidR="003E7EF0" w:rsidRPr="003E7EF0">
        <w:rPr>
          <w:sz w:val="22"/>
          <w:szCs w:val="22"/>
        </w:rPr>
        <w:t>mg</w:t>
      </w:r>
      <w:r w:rsidR="003E7EF0" w:rsidRPr="00791987">
        <w:rPr>
          <w:sz w:val="22"/>
          <w:szCs w:val="22"/>
          <w:lang w:val="el-GR"/>
        </w:rPr>
        <w:t xml:space="preserve"> / 200 </w:t>
      </w:r>
      <w:r w:rsidR="003E7EF0" w:rsidRPr="003E7EF0">
        <w:rPr>
          <w:sz w:val="22"/>
          <w:szCs w:val="22"/>
        </w:rPr>
        <w:t>mg</w:t>
      </w:r>
      <w:r w:rsidR="003E7EF0" w:rsidRPr="00791987">
        <w:rPr>
          <w:sz w:val="22"/>
          <w:szCs w:val="22"/>
          <w:lang w:val="el-GR"/>
        </w:rPr>
        <w:t xml:space="preserve"> / 300 </w:t>
      </w:r>
      <w:r w:rsidR="003E7EF0" w:rsidRPr="003E7EF0">
        <w:rPr>
          <w:sz w:val="22"/>
          <w:szCs w:val="22"/>
        </w:rPr>
        <w:t>mg</w:t>
      </w:r>
      <w:r w:rsidR="003E7EF0" w:rsidRPr="00791987">
        <w:rPr>
          <w:sz w:val="22"/>
          <w:szCs w:val="22"/>
          <w:lang w:val="el-GR"/>
        </w:rPr>
        <w:t xml:space="preserve"> / 400 </w:t>
      </w:r>
      <w:r w:rsidR="003E7EF0" w:rsidRPr="003E7EF0">
        <w:rPr>
          <w:sz w:val="22"/>
          <w:szCs w:val="22"/>
        </w:rPr>
        <w:t>mg</w:t>
      </w:r>
      <w:r w:rsidR="003E7EF0" w:rsidRPr="00791987">
        <w:rPr>
          <w:sz w:val="22"/>
          <w:szCs w:val="22"/>
          <w:lang w:val="el-GR"/>
        </w:rPr>
        <w:t xml:space="preserve"> δισκίο παρατεταμένης αποδέσμευσης</w:t>
      </w:r>
      <w:r w:rsidRPr="00A66AB5">
        <w:rPr>
          <w:sz w:val="22"/>
          <w:szCs w:val="22"/>
          <w:lang w:val="el-GR"/>
        </w:rPr>
        <w:t xml:space="preserve"> </w:t>
      </w:r>
      <w:r w:rsidR="003E7EF0" w:rsidRPr="00A66AB5">
        <w:rPr>
          <w:sz w:val="22"/>
          <w:szCs w:val="22"/>
          <w:lang w:val="el-GR"/>
        </w:rPr>
        <w:t>συγκρίν</w:t>
      </w:r>
      <w:r w:rsidR="003E7EF0">
        <w:rPr>
          <w:sz w:val="22"/>
          <w:szCs w:val="22"/>
          <w:lang w:val="el-GR"/>
        </w:rPr>
        <w:t>ε</w:t>
      </w:r>
      <w:r w:rsidR="003E7EF0" w:rsidRPr="00A66AB5">
        <w:rPr>
          <w:sz w:val="22"/>
          <w:szCs w:val="22"/>
          <w:lang w:val="el-GR"/>
        </w:rPr>
        <w:t xml:space="preserve">ται </w:t>
      </w:r>
      <w:r w:rsidRPr="00A66AB5">
        <w:rPr>
          <w:sz w:val="22"/>
          <w:szCs w:val="22"/>
          <w:lang w:val="el-GR"/>
        </w:rPr>
        <w:t xml:space="preserve">με την </w:t>
      </w:r>
      <w:proofErr w:type="spellStart"/>
      <w:r w:rsidRPr="00A66AB5">
        <w:rPr>
          <w:sz w:val="22"/>
          <w:szCs w:val="22"/>
          <w:lang w:val="el-GR"/>
        </w:rPr>
        <w:t>κουετιαπίνη</w:t>
      </w:r>
      <w:proofErr w:type="spellEnd"/>
      <w:r w:rsidRPr="00A66AB5">
        <w:rPr>
          <w:sz w:val="22"/>
          <w:szCs w:val="22"/>
          <w:lang w:val="el-GR"/>
        </w:rPr>
        <w:t xml:space="preserve"> άμεσης αποδέσμευσης, το </w:t>
      </w:r>
      <w:r w:rsidRPr="00A66AB5">
        <w:rPr>
          <w:sz w:val="22"/>
          <w:szCs w:val="22"/>
        </w:rPr>
        <w:t>AUC</w:t>
      </w:r>
      <w:r w:rsidRPr="00A66AB5">
        <w:rPr>
          <w:sz w:val="22"/>
          <w:szCs w:val="22"/>
          <w:lang w:val="el-GR"/>
        </w:rPr>
        <w:t xml:space="preserve"> του μεταβολίτη </w:t>
      </w:r>
      <w:proofErr w:type="spellStart"/>
      <w:r w:rsidRPr="00A66AB5">
        <w:rPr>
          <w:sz w:val="22"/>
          <w:szCs w:val="22"/>
          <w:lang w:val="el-GR"/>
        </w:rPr>
        <w:t>νορκουετιαπίνη</w:t>
      </w:r>
      <w:proofErr w:type="spellEnd"/>
      <w:r w:rsidRPr="00A66AB5">
        <w:rPr>
          <w:sz w:val="22"/>
          <w:szCs w:val="22"/>
          <w:lang w:val="el-GR"/>
        </w:rPr>
        <w:t xml:space="preserve"> είναι 18% χαμηλότερο.</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Σε μια μελέτη που εξετάστηκαν οι επιδράσεις της τροφής στη βιοδιαθεσιμότητα της </w:t>
      </w:r>
      <w:proofErr w:type="spellStart"/>
      <w:r w:rsidRPr="00A66AB5">
        <w:rPr>
          <w:sz w:val="22"/>
          <w:szCs w:val="22"/>
          <w:lang w:val="el-GR"/>
        </w:rPr>
        <w:t>κουετιαπίνης</w:t>
      </w:r>
      <w:proofErr w:type="spellEnd"/>
      <w:r w:rsidRPr="00A66AB5">
        <w:rPr>
          <w:sz w:val="22"/>
          <w:szCs w:val="22"/>
          <w:lang w:val="el-GR"/>
        </w:rPr>
        <w:t xml:space="preserve">, ένα γεύμα πλούσιο σε λιπαρά βρέθηκε ότι προκαλεί στατιστικά σημαντικές αυξήσεις στην </w:t>
      </w:r>
      <w:proofErr w:type="spellStart"/>
      <w:r w:rsidRPr="00A66AB5">
        <w:rPr>
          <w:sz w:val="22"/>
          <w:szCs w:val="22"/>
        </w:rPr>
        <w:t>Cmax</w:t>
      </w:r>
      <w:proofErr w:type="spellEnd"/>
      <w:r w:rsidRPr="00A66AB5">
        <w:rPr>
          <w:sz w:val="22"/>
          <w:szCs w:val="22"/>
          <w:lang w:val="el-GR"/>
        </w:rPr>
        <w:t xml:space="preserve"> και το </w:t>
      </w:r>
      <w:r w:rsidRPr="00A66AB5">
        <w:rPr>
          <w:sz w:val="22"/>
          <w:szCs w:val="22"/>
        </w:rPr>
        <w:t>AUC</w:t>
      </w:r>
      <w:r w:rsidR="00D75BCF" w:rsidRPr="00A66AB5">
        <w:rPr>
          <w:sz w:val="22"/>
          <w:szCs w:val="22"/>
          <w:lang w:val="el-GR"/>
        </w:rPr>
        <w:t xml:space="preserve"> του</w:t>
      </w:r>
      <w:r w:rsidRPr="00A66AB5">
        <w:rPr>
          <w:sz w:val="22"/>
          <w:szCs w:val="22"/>
          <w:lang w:val="el-GR"/>
        </w:rPr>
        <w:t xml:space="preserve"> </w:t>
      </w:r>
      <w:proofErr w:type="spellStart"/>
      <w:r w:rsidR="002F279F">
        <w:rPr>
          <w:sz w:val="22"/>
          <w:szCs w:val="22"/>
        </w:rPr>
        <w:t>Secuelia</w:t>
      </w:r>
      <w:proofErr w:type="spellEnd"/>
      <w:r w:rsidR="002F279F" w:rsidRPr="002F279F">
        <w:rPr>
          <w:sz w:val="22"/>
          <w:szCs w:val="22"/>
          <w:lang w:val="el-GR"/>
        </w:rPr>
        <w:t xml:space="preserve"> </w:t>
      </w:r>
      <w:r w:rsidR="002F279F">
        <w:rPr>
          <w:sz w:val="22"/>
          <w:szCs w:val="22"/>
        </w:rPr>
        <w:t>XR</w:t>
      </w:r>
      <w:r w:rsidR="00B1568C" w:rsidRPr="00791987">
        <w:rPr>
          <w:sz w:val="22"/>
          <w:szCs w:val="22"/>
          <w:lang w:val="el-GR"/>
        </w:rPr>
        <w:t xml:space="preserve">50 </w:t>
      </w:r>
      <w:r w:rsidR="00B1568C" w:rsidRPr="00B1568C">
        <w:rPr>
          <w:sz w:val="22"/>
          <w:szCs w:val="22"/>
        </w:rPr>
        <w:t>mg</w:t>
      </w:r>
      <w:r w:rsidR="00B1568C" w:rsidRPr="00791987">
        <w:rPr>
          <w:sz w:val="22"/>
          <w:szCs w:val="22"/>
          <w:lang w:val="el-GR"/>
        </w:rPr>
        <w:t xml:space="preserve"> / 200 </w:t>
      </w:r>
      <w:r w:rsidR="00B1568C" w:rsidRPr="00B1568C">
        <w:rPr>
          <w:sz w:val="22"/>
          <w:szCs w:val="22"/>
        </w:rPr>
        <w:t>mg</w:t>
      </w:r>
      <w:r w:rsidR="00B1568C" w:rsidRPr="00791987">
        <w:rPr>
          <w:sz w:val="22"/>
          <w:szCs w:val="22"/>
          <w:lang w:val="el-GR"/>
        </w:rPr>
        <w:t xml:space="preserve"> / 300 </w:t>
      </w:r>
      <w:r w:rsidR="00B1568C" w:rsidRPr="00B1568C">
        <w:rPr>
          <w:sz w:val="22"/>
          <w:szCs w:val="22"/>
        </w:rPr>
        <w:t>mg</w:t>
      </w:r>
      <w:r w:rsidR="00B1568C" w:rsidRPr="00791987">
        <w:rPr>
          <w:sz w:val="22"/>
          <w:szCs w:val="22"/>
          <w:lang w:val="el-GR"/>
        </w:rPr>
        <w:t xml:space="preserve"> / 400 </w:t>
      </w:r>
      <w:r w:rsidR="00B1568C" w:rsidRPr="00B1568C">
        <w:rPr>
          <w:sz w:val="22"/>
          <w:szCs w:val="22"/>
        </w:rPr>
        <w:t>mg</w:t>
      </w:r>
      <w:r w:rsidR="00B1568C" w:rsidRPr="00791987">
        <w:rPr>
          <w:sz w:val="22"/>
          <w:szCs w:val="22"/>
          <w:lang w:val="el-GR"/>
        </w:rPr>
        <w:t xml:space="preserve"> δισκίο παρατεταμένης αποδέσμευσης</w:t>
      </w:r>
      <w:r w:rsidRPr="00A66AB5">
        <w:rPr>
          <w:sz w:val="22"/>
          <w:szCs w:val="22"/>
          <w:lang w:val="el-GR"/>
        </w:rPr>
        <w:t xml:space="preserve">, περίπου 50% και 20%, αντίστοιχα. Δεν μπορεί να αποκλειστεί ότι η επίδραση ενός γεύματος πλούσιου σε λιπαρά στο ιδιοσκεύασμα ενδέχεται να είναι μεγαλύτερη. Συγκριτικά, ένα ελαφρύ γεύμα δεν είχε σημαντική επίδραση στη </w:t>
      </w:r>
      <w:proofErr w:type="spellStart"/>
      <w:r w:rsidRPr="00A66AB5">
        <w:rPr>
          <w:sz w:val="22"/>
          <w:szCs w:val="22"/>
        </w:rPr>
        <w:t>Cmax</w:t>
      </w:r>
      <w:proofErr w:type="spellEnd"/>
      <w:r w:rsidRPr="00A66AB5">
        <w:rPr>
          <w:sz w:val="22"/>
          <w:szCs w:val="22"/>
          <w:lang w:val="el-GR"/>
        </w:rPr>
        <w:t xml:space="preserve"> ή το </w:t>
      </w:r>
      <w:r w:rsidRPr="00A66AB5">
        <w:rPr>
          <w:sz w:val="22"/>
          <w:szCs w:val="22"/>
        </w:rPr>
        <w:t>AUC</w:t>
      </w:r>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Συνιστάται η λήψη </w:t>
      </w:r>
      <w:r w:rsidR="002F279F">
        <w:rPr>
          <w:noProof/>
          <w:sz w:val="22"/>
          <w:szCs w:val="22"/>
        </w:rPr>
        <w:t>Secuelia</w:t>
      </w:r>
      <w:r w:rsidR="002F279F" w:rsidRPr="002F279F">
        <w:rPr>
          <w:noProof/>
          <w:sz w:val="22"/>
          <w:szCs w:val="22"/>
          <w:lang w:val="el-GR"/>
        </w:rPr>
        <w:t xml:space="preserve"> </w:t>
      </w:r>
      <w:r w:rsidR="002F279F">
        <w:rPr>
          <w:noProof/>
          <w:sz w:val="22"/>
          <w:szCs w:val="22"/>
        </w:rPr>
        <w:t>XR</w:t>
      </w:r>
      <w:r w:rsidR="00B1568C" w:rsidRPr="00791987">
        <w:rPr>
          <w:noProof/>
          <w:sz w:val="22"/>
          <w:szCs w:val="22"/>
          <w:lang w:val="el-GR"/>
        </w:rPr>
        <w:t xml:space="preserve">50 </w:t>
      </w:r>
      <w:r w:rsidR="00B1568C" w:rsidRPr="00B1568C">
        <w:rPr>
          <w:noProof/>
          <w:sz w:val="22"/>
          <w:szCs w:val="22"/>
        </w:rPr>
        <w:t>mg</w:t>
      </w:r>
      <w:r w:rsidR="00B1568C" w:rsidRPr="00791987">
        <w:rPr>
          <w:noProof/>
          <w:sz w:val="22"/>
          <w:szCs w:val="22"/>
          <w:lang w:val="el-GR"/>
        </w:rPr>
        <w:t xml:space="preserve"> / 200 </w:t>
      </w:r>
      <w:r w:rsidR="00B1568C" w:rsidRPr="00B1568C">
        <w:rPr>
          <w:noProof/>
          <w:sz w:val="22"/>
          <w:szCs w:val="22"/>
        </w:rPr>
        <w:t>mg</w:t>
      </w:r>
      <w:r w:rsidR="00B1568C" w:rsidRPr="00791987">
        <w:rPr>
          <w:noProof/>
          <w:sz w:val="22"/>
          <w:szCs w:val="22"/>
          <w:lang w:val="el-GR"/>
        </w:rPr>
        <w:t xml:space="preserve"> / 300 </w:t>
      </w:r>
      <w:r w:rsidR="00B1568C" w:rsidRPr="00B1568C">
        <w:rPr>
          <w:noProof/>
          <w:sz w:val="22"/>
          <w:szCs w:val="22"/>
        </w:rPr>
        <w:t>mg</w:t>
      </w:r>
      <w:r w:rsidR="00B1568C" w:rsidRPr="00791987">
        <w:rPr>
          <w:noProof/>
          <w:sz w:val="22"/>
          <w:szCs w:val="22"/>
          <w:lang w:val="el-GR"/>
        </w:rPr>
        <w:t xml:space="preserve"> / 400 </w:t>
      </w:r>
      <w:r w:rsidR="00B1568C" w:rsidRPr="00B1568C">
        <w:rPr>
          <w:noProof/>
          <w:sz w:val="22"/>
          <w:szCs w:val="22"/>
        </w:rPr>
        <w:t>mg</w:t>
      </w:r>
      <w:r w:rsidR="00B1568C" w:rsidRPr="00791987">
        <w:rPr>
          <w:noProof/>
          <w:sz w:val="22"/>
          <w:szCs w:val="22"/>
          <w:lang w:val="el-GR"/>
        </w:rPr>
        <w:t xml:space="preserve"> δισκίο παρατεταμένης αποδέσμευσης</w:t>
      </w:r>
      <w:r w:rsidR="00D75BCF" w:rsidRPr="00A66AB5">
        <w:rPr>
          <w:sz w:val="22"/>
          <w:szCs w:val="22"/>
          <w:lang w:val="el-GR"/>
        </w:rPr>
        <w:t xml:space="preserve"> </w:t>
      </w:r>
      <w:r w:rsidRPr="00A66AB5">
        <w:rPr>
          <w:sz w:val="22"/>
          <w:szCs w:val="22"/>
          <w:lang w:val="el-GR"/>
        </w:rPr>
        <w:t>μία φορά την ημέρα χωρίς τροφή.</w:t>
      </w:r>
    </w:p>
    <w:p w:rsidR="00380EEB" w:rsidRPr="00A66AB5" w:rsidRDefault="00380EEB">
      <w:pPr>
        <w:autoSpaceDE w:val="0"/>
        <w:autoSpaceDN w:val="0"/>
        <w:adjustRightInd w:val="0"/>
        <w:jc w:val="both"/>
        <w:rPr>
          <w:sz w:val="22"/>
          <w:szCs w:val="22"/>
          <w:lang w:val="el-GR"/>
        </w:rPr>
      </w:pPr>
    </w:p>
    <w:p w:rsidR="00380EEB" w:rsidRPr="00D15B02" w:rsidRDefault="00380EEB">
      <w:pPr>
        <w:autoSpaceDE w:val="0"/>
        <w:autoSpaceDN w:val="0"/>
        <w:adjustRightInd w:val="0"/>
        <w:jc w:val="both"/>
        <w:rPr>
          <w:b/>
          <w:sz w:val="22"/>
          <w:szCs w:val="22"/>
          <w:lang w:val="el-GR"/>
        </w:rPr>
      </w:pPr>
      <w:r w:rsidRPr="00791987">
        <w:rPr>
          <w:b/>
          <w:sz w:val="22"/>
          <w:szCs w:val="22"/>
          <w:lang w:val="el-GR"/>
        </w:rPr>
        <w:t>Κατανομή</w:t>
      </w:r>
      <w:r w:rsidR="00B1568C"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w:t>
      </w:r>
      <w:proofErr w:type="spellStart"/>
      <w:r w:rsidRPr="00A66AB5">
        <w:rPr>
          <w:sz w:val="22"/>
          <w:szCs w:val="22"/>
          <w:lang w:val="el-GR"/>
        </w:rPr>
        <w:t>κουετιαπίνη</w:t>
      </w:r>
      <w:proofErr w:type="spellEnd"/>
      <w:r w:rsidRPr="00A66AB5">
        <w:rPr>
          <w:sz w:val="22"/>
          <w:szCs w:val="22"/>
          <w:lang w:val="el-GR"/>
        </w:rPr>
        <w:t xml:space="preserve"> δεσμεύεται κατά περίπου 83% σε πρωτεΐνες του πλάσματος.</w:t>
      </w:r>
    </w:p>
    <w:p w:rsidR="00380EEB" w:rsidRPr="00A66AB5" w:rsidRDefault="00380EEB">
      <w:pPr>
        <w:autoSpaceDE w:val="0"/>
        <w:autoSpaceDN w:val="0"/>
        <w:adjustRightInd w:val="0"/>
        <w:jc w:val="both"/>
        <w:rPr>
          <w:sz w:val="22"/>
          <w:szCs w:val="22"/>
          <w:lang w:val="el-GR"/>
        </w:rPr>
      </w:pPr>
    </w:p>
    <w:p w:rsidR="000552F7" w:rsidRPr="00D15B02" w:rsidRDefault="00195C77">
      <w:pPr>
        <w:autoSpaceDE w:val="0"/>
        <w:autoSpaceDN w:val="0"/>
        <w:adjustRightInd w:val="0"/>
        <w:jc w:val="both"/>
        <w:rPr>
          <w:sz w:val="22"/>
          <w:szCs w:val="22"/>
          <w:lang w:val="el-GR"/>
        </w:rPr>
      </w:pPr>
      <w:proofErr w:type="spellStart"/>
      <w:r w:rsidRPr="00791987">
        <w:rPr>
          <w:b/>
          <w:sz w:val="22"/>
          <w:szCs w:val="22"/>
          <w:lang w:val="el-GR"/>
        </w:rPr>
        <w:t>Βιομετασχηματισμός</w:t>
      </w:r>
      <w:proofErr w:type="spellEnd"/>
      <w:r w:rsidR="00B1568C"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w:t>
      </w:r>
      <w:proofErr w:type="spellStart"/>
      <w:r w:rsidRPr="00A66AB5">
        <w:rPr>
          <w:sz w:val="22"/>
          <w:szCs w:val="22"/>
          <w:lang w:val="el-GR"/>
        </w:rPr>
        <w:t>κουετιαπίνη</w:t>
      </w:r>
      <w:proofErr w:type="spellEnd"/>
      <w:r w:rsidRPr="00A66AB5">
        <w:rPr>
          <w:sz w:val="22"/>
          <w:szCs w:val="22"/>
          <w:lang w:val="el-GR"/>
        </w:rPr>
        <w:t xml:space="preserve"> μεταβολίζεται εκτενώς από το ήπαρ, με τη μητρική ουσία να αντιστοιχεί σε λιγότερο από 5% του αμετάβλητου υλικού που σχετίζεται με το φάρμακο στα ούρα ή τα κόπρανα, μετά τη χορήγηση </w:t>
      </w:r>
      <w:proofErr w:type="spellStart"/>
      <w:r w:rsidRPr="00A66AB5">
        <w:rPr>
          <w:sz w:val="22"/>
          <w:szCs w:val="22"/>
          <w:lang w:val="el-GR"/>
        </w:rPr>
        <w:t>ραδιοσημασμένης</w:t>
      </w:r>
      <w:proofErr w:type="spellEnd"/>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sz w:val="22"/>
          <w:szCs w:val="22"/>
          <w:lang w:val="el-GR"/>
        </w:rPr>
      </w:pPr>
      <w:proofErr w:type="gramStart"/>
      <w:r w:rsidRPr="00A66AB5">
        <w:rPr>
          <w:i/>
          <w:sz w:val="22"/>
          <w:szCs w:val="22"/>
        </w:rPr>
        <w:t>In</w:t>
      </w:r>
      <w:r w:rsidRPr="00A66AB5">
        <w:rPr>
          <w:i/>
          <w:sz w:val="22"/>
          <w:szCs w:val="22"/>
          <w:lang w:val="el-GR"/>
        </w:rPr>
        <w:t xml:space="preserve"> </w:t>
      </w:r>
      <w:r w:rsidRPr="00A66AB5">
        <w:rPr>
          <w:i/>
          <w:sz w:val="22"/>
          <w:szCs w:val="22"/>
        </w:rPr>
        <w:t>vitro</w:t>
      </w:r>
      <w:r w:rsidRPr="00A66AB5">
        <w:rPr>
          <w:i/>
          <w:sz w:val="22"/>
          <w:szCs w:val="22"/>
          <w:lang w:val="el-GR"/>
        </w:rPr>
        <w:t xml:space="preserve"> </w:t>
      </w:r>
      <w:r w:rsidRPr="00A66AB5">
        <w:rPr>
          <w:sz w:val="22"/>
          <w:szCs w:val="22"/>
          <w:lang w:val="el-GR"/>
        </w:rPr>
        <w:t xml:space="preserve">έρευνες τεκμηρίωσαν ότι το </w:t>
      </w:r>
      <w:r w:rsidRPr="00A66AB5">
        <w:rPr>
          <w:sz w:val="22"/>
          <w:szCs w:val="22"/>
        </w:rPr>
        <w:t>CYP</w:t>
      </w:r>
      <w:r w:rsidRPr="00A66AB5">
        <w:rPr>
          <w:sz w:val="22"/>
          <w:szCs w:val="22"/>
          <w:lang w:val="el-GR"/>
        </w:rPr>
        <w:t>3</w:t>
      </w:r>
      <w:r w:rsidRPr="00A66AB5">
        <w:rPr>
          <w:sz w:val="22"/>
          <w:szCs w:val="22"/>
        </w:rPr>
        <w:t>A</w:t>
      </w:r>
      <w:r w:rsidRPr="00A66AB5">
        <w:rPr>
          <w:sz w:val="22"/>
          <w:szCs w:val="22"/>
          <w:lang w:val="el-GR"/>
        </w:rPr>
        <w:t xml:space="preserve">4 είναι το κύριο ένζυμο που είναι υπεύθυνο για τον μεταβολισμό της </w:t>
      </w:r>
      <w:proofErr w:type="spellStart"/>
      <w:r w:rsidRPr="00A66AB5">
        <w:rPr>
          <w:sz w:val="22"/>
          <w:szCs w:val="22"/>
          <w:lang w:val="el-GR"/>
        </w:rPr>
        <w:t>κουετιαπίνης</w:t>
      </w:r>
      <w:proofErr w:type="spellEnd"/>
      <w:r w:rsidRPr="00A66AB5">
        <w:rPr>
          <w:sz w:val="22"/>
          <w:szCs w:val="22"/>
          <w:lang w:val="el-GR"/>
        </w:rPr>
        <w:t xml:space="preserve"> που </w:t>
      </w:r>
      <w:proofErr w:type="spellStart"/>
      <w:r w:rsidRPr="00A66AB5">
        <w:rPr>
          <w:sz w:val="22"/>
          <w:szCs w:val="22"/>
          <w:lang w:val="el-GR"/>
        </w:rPr>
        <w:t>διαμεσολαβείται</w:t>
      </w:r>
      <w:proofErr w:type="spellEnd"/>
      <w:r w:rsidRPr="00A66AB5">
        <w:rPr>
          <w:sz w:val="22"/>
          <w:szCs w:val="22"/>
          <w:lang w:val="el-GR"/>
        </w:rPr>
        <w:t xml:space="preserve"> από το κυτόχρωμα </w:t>
      </w:r>
      <w:r w:rsidRPr="00A66AB5">
        <w:rPr>
          <w:sz w:val="22"/>
          <w:szCs w:val="22"/>
        </w:rPr>
        <w:t>P</w:t>
      </w:r>
      <w:r w:rsidRPr="00A66AB5">
        <w:rPr>
          <w:sz w:val="22"/>
          <w:szCs w:val="22"/>
          <w:lang w:val="el-GR"/>
        </w:rPr>
        <w:t>450.</w:t>
      </w:r>
      <w:proofErr w:type="gramEnd"/>
      <w:r w:rsidRPr="00A66AB5">
        <w:rPr>
          <w:sz w:val="22"/>
          <w:szCs w:val="22"/>
          <w:lang w:val="el-GR"/>
        </w:rPr>
        <w:t xml:space="preserve"> Η </w:t>
      </w:r>
      <w:proofErr w:type="spellStart"/>
      <w:r w:rsidRPr="00A66AB5">
        <w:rPr>
          <w:sz w:val="22"/>
          <w:szCs w:val="22"/>
          <w:lang w:val="el-GR"/>
        </w:rPr>
        <w:t>νορκουετιαπίνη</w:t>
      </w:r>
      <w:proofErr w:type="spellEnd"/>
      <w:r w:rsidRPr="00A66AB5">
        <w:rPr>
          <w:sz w:val="22"/>
          <w:szCs w:val="22"/>
          <w:lang w:val="el-GR"/>
        </w:rPr>
        <w:t xml:space="preserve"> σχηματίζεται κυρίως και αποβάλλεται μέσω του </w:t>
      </w:r>
      <w:r w:rsidRPr="00A66AB5">
        <w:rPr>
          <w:sz w:val="22"/>
          <w:szCs w:val="22"/>
        </w:rPr>
        <w:t>CYP</w:t>
      </w:r>
      <w:r w:rsidRPr="00A66AB5">
        <w:rPr>
          <w:sz w:val="22"/>
          <w:szCs w:val="22"/>
          <w:lang w:val="el-GR"/>
        </w:rPr>
        <w:t>3</w:t>
      </w:r>
      <w:r w:rsidRPr="00A66AB5">
        <w:rPr>
          <w:sz w:val="22"/>
          <w:szCs w:val="22"/>
        </w:rPr>
        <w:t>A</w:t>
      </w:r>
      <w:r w:rsidRPr="00A66AB5">
        <w:rPr>
          <w:sz w:val="22"/>
          <w:szCs w:val="22"/>
          <w:lang w:val="el-GR"/>
        </w:rPr>
        <w:t>4.</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sz w:val="22"/>
          <w:szCs w:val="22"/>
          <w:lang w:val="el-GR"/>
        </w:rPr>
      </w:pPr>
      <w:r w:rsidRPr="00A66AB5">
        <w:rPr>
          <w:sz w:val="22"/>
          <w:szCs w:val="22"/>
          <w:lang w:val="el-GR"/>
        </w:rPr>
        <w:lastRenderedPageBreak/>
        <w:t xml:space="preserve">Η </w:t>
      </w:r>
      <w:proofErr w:type="spellStart"/>
      <w:r w:rsidRPr="00A66AB5">
        <w:rPr>
          <w:sz w:val="22"/>
          <w:szCs w:val="22"/>
          <w:lang w:val="el-GR"/>
        </w:rPr>
        <w:t>κουετιαπίνη</w:t>
      </w:r>
      <w:proofErr w:type="spellEnd"/>
      <w:r w:rsidRPr="00A66AB5">
        <w:rPr>
          <w:sz w:val="22"/>
          <w:szCs w:val="22"/>
          <w:lang w:val="el-GR"/>
        </w:rPr>
        <w:t xml:space="preserve"> και αρκετοί από τους μεταβολίτες της (συμπεριλαμβανομένης της </w:t>
      </w:r>
      <w:proofErr w:type="spellStart"/>
      <w:r w:rsidRPr="00A66AB5">
        <w:rPr>
          <w:sz w:val="22"/>
          <w:szCs w:val="22"/>
          <w:lang w:val="el-GR"/>
        </w:rPr>
        <w:t>νορκουετιαπίνης</w:t>
      </w:r>
      <w:proofErr w:type="spellEnd"/>
      <w:r w:rsidRPr="00A66AB5">
        <w:rPr>
          <w:sz w:val="22"/>
          <w:szCs w:val="22"/>
          <w:lang w:val="el-GR"/>
        </w:rPr>
        <w:t xml:space="preserve">) βρέθηκε ότι είναι ασθενείς αναστολείς </w:t>
      </w:r>
      <w:r w:rsidR="004830F0" w:rsidRPr="00A66AB5">
        <w:rPr>
          <w:sz w:val="22"/>
          <w:szCs w:val="22"/>
          <w:lang w:val="el-GR"/>
        </w:rPr>
        <w:t>της δραστικότητας</w:t>
      </w:r>
      <w:r w:rsidRPr="00A66AB5">
        <w:rPr>
          <w:sz w:val="22"/>
          <w:szCs w:val="22"/>
          <w:lang w:val="el-GR"/>
        </w:rPr>
        <w:t xml:space="preserve"> του ανθρώπινου κυτοχρώματος </w:t>
      </w:r>
      <w:r w:rsidRPr="00A66AB5">
        <w:rPr>
          <w:sz w:val="22"/>
          <w:szCs w:val="22"/>
        </w:rPr>
        <w:t>P</w:t>
      </w:r>
      <w:r w:rsidRPr="00A66AB5">
        <w:rPr>
          <w:sz w:val="22"/>
          <w:szCs w:val="22"/>
          <w:lang w:val="el-GR"/>
        </w:rPr>
        <w:t>450 1</w:t>
      </w:r>
      <w:r w:rsidRPr="00A66AB5">
        <w:rPr>
          <w:sz w:val="22"/>
          <w:szCs w:val="22"/>
        </w:rPr>
        <w:t>A</w:t>
      </w:r>
      <w:r w:rsidRPr="00A66AB5">
        <w:rPr>
          <w:sz w:val="22"/>
          <w:szCs w:val="22"/>
          <w:lang w:val="el-GR"/>
        </w:rPr>
        <w:t>2, 2</w:t>
      </w:r>
      <w:r w:rsidRPr="00A66AB5">
        <w:rPr>
          <w:sz w:val="22"/>
          <w:szCs w:val="22"/>
        </w:rPr>
        <w:t>C</w:t>
      </w:r>
      <w:r w:rsidRPr="00A66AB5">
        <w:rPr>
          <w:sz w:val="22"/>
          <w:szCs w:val="22"/>
          <w:lang w:val="el-GR"/>
        </w:rPr>
        <w:t>9, 2</w:t>
      </w:r>
      <w:r w:rsidRPr="00A66AB5">
        <w:rPr>
          <w:sz w:val="22"/>
          <w:szCs w:val="22"/>
        </w:rPr>
        <w:t>C</w:t>
      </w:r>
      <w:r w:rsidRPr="00A66AB5">
        <w:rPr>
          <w:sz w:val="22"/>
          <w:szCs w:val="22"/>
          <w:lang w:val="el-GR"/>
        </w:rPr>
        <w:t>19, 2</w:t>
      </w:r>
      <w:r w:rsidRPr="00A66AB5">
        <w:rPr>
          <w:sz w:val="22"/>
          <w:szCs w:val="22"/>
        </w:rPr>
        <w:t>D</w:t>
      </w:r>
      <w:r w:rsidRPr="00A66AB5">
        <w:rPr>
          <w:sz w:val="22"/>
          <w:szCs w:val="22"/>
          <w:lang w:val="el-GR"/>
        </w:rPr>
        <w:t>6 και 3</w:t>
      </w:r>
      <w:r w:rsidRPr="00A66AB5">
        <w:rPr>
          <w:sz w:val="22"/>
          <w:szCs w:val="22"/>
        </w:rPr>
        <w:t>A</w:t>
      </w:r>
      <w:r w:rsidRPr="00A66AB5">
        <w:rPr>
          <w:sz w:val="22"/>
          <w:szCs w:val="22"/>
          <w:lang w:val="el-GR"/>
        </w:rPr>
        <w:t xml:space="preserve">4 </w:t>
      </w:r>
      <w:r w:rsidRPr="00A66AB5">
        <w:rPr>
          <w:sz w:val="22"/>
          <w:szCs w:val="22"/>
        </w:rPr>
        <w:t>in</w:t>
      </w:r>
      <w:r w:rsidRPr="00A66AB5">
        <w:rPr>
          <w:sz w:val="22"/>
          <w:szCs w:val="22"/>
          <w:lang w:val="el-GR"/>
        </w:rPr>
        <w:t xml:space="preserve"> </w:t>
      </w:r>
      <w:r w:rsidRPr="00A66AB5">
        <w:rPr>
          <w:sz w:val="22"/>
          <w:szCs w:val="22"/>
        </w:rPr>
        <w:t>vitro</w:t>
      </w:r>
      <w:r w:rsidRPr="00A66AB5">
        <w:rPr>
          <w:sz w:val="22"/>
          <w:szCs w:val="22"/>
          <w:lang w:val="el-GR"/>
        </w:rPr>
        <w:t xml:space="preserve">. Η </w:t>
      </w:r>
      <w:r w:rsidRPr="00A66AB5">
        <w:rPr>
          <w:sz w:val="22"/>
          <w:szCs w:val="22"/>
        </w:rPr>
        <w:t>in</w:t>
      </w:r>
      <w:r w:rsidRPr="00A66AB5">
        <w:rPr>
          <w:sz w:val="22"/>
          <w:szCs w:val="22"/>
          <w:lang w:val="el-GR"/>
        </w:rPr>
        <w:t xml:space="preserve"> </w:t>
      </w:r>
      <w:r w:rsidRPr="00A66AB5">
        <w:rPr>
          <w:sz w:val="22"/>
          <w:szCs w:val="22"/>
        </w:rPr>
        <w:t>vitro</w:t>
      </w:r>
      <w:r w:rsidRPr="00A66AB5">
        <w:rPr>
          <w:sz w:val="22"/>
          <w:szCs w:val="22"/>
          <w:lang w:val="el-GR"/>
        </w:rPr>
        <w:t xml:space="preserve"> αναστολή </w:t>
      </w:r>
      <w:r w:rsidRPr="00A66AB5">
        <w:rPr>
          <w:sz w:val="22"/>
          <w:szCs w:val="22"/>
        </w:rPr>
        <w:t>CYP</w:t>
      </w:r>
      <w:r w:rsidRPr="00A66AB5">
        <w:rPr>
          <w:sz w:val="22"/>
          <w:szCs w:val="22"/>
          <w:lang w:val="el-GR"/>
        </w:rPr>
        <w:t xml:space="preserve"> παρατηρείται μόνο σε συγκεντρώσεις περίπου 5 έως 50 φορές υψηλότερες από εκείνες που παρατηρούνται σε εύρος δόσης 300 έως 800 </w:t>
      </w:r>
      <w:r w:rsidRPr="00A66AB5">
        <w:rPr>
          <w:sz w:val="22"/>
          <w:szCs w:val="22"/>
        </w:rPr>
        <w:t>mg</w:t>
      </w:r>
      <w:r w:rsidRPr="00A66AB5">
        <w:rPr>
          <w:sz w:val="22"/>
          <w:szCs w:val="22"/>
          <w:lang w:val="el-GR"/>
        </w:rPr>
        <w:t xml:space="preserve">/ημέρα σε ανθρώπους. Με βάση αυτά τα αποτελέσματα </w:t>
      </w:r>
      <w:r w:rsidRPr="00A66AB5">
        <w:rPr>
          <w:sz w:val="22"/>
          <w:szCs w:val="22"/>
        </w:rPr>
        <w:t>in</w:t>
      </w:r>
      <w:r w:rsidRPr="00A66AB5">
        <w:rPr>
          <w:sz w:val="22"/>
          <w:szCs w:val="22"/>
          <w:lang w:val="el-GR"/>
        </w:rPr>
        <w:t xml:space="preserve"> </w:t>
      </w:r>
      <w:r w:rsidRPr="00A66AB5">
        <w:rPr>
          <w:sz w:val="22"/>
          <w:szCs w:val="22"/>
        </w:rPr>
        <w:t>vitro</w:t>
      </w:r>
      <w:r w:rsidRPr="00A66AB5">
        <w:rPr>
          <w:sz w:val="22"/>
          <w:szCs w:val="22"/>
          <w:lang w:val="el-GR"/>
        </w:rPr>
        <w:t xml:space="preserve">, είναι απίθανο η </w:t>
      </w:r>
      <w:proofErr w:type="spellStart"/>
      <w:r w:rsidRPr="00A66AB5">
        <w:rPr>
          <w:sz w:val="22"/>
          <w:szCs w:val="22"/>
          <w:lang w:val="el-GR"/>
        </w:rPr>
        <w:t>συγχορήγηση</w:t>
      </w:r>
      <w:proofErr w:type="spellEnd"/>
      <w:r w:rsidRPr="00A66AB5">
        <w:rPr>
          <w:sz w:val="22"/>
          <w:szCs w:val="22"/>
          <w:lang w:val="el-GR"/>
        </w:rPr>
        <w:t xml:space="preserve"> </w:t>
      </w:r>
      <w:proofErr w:type="spellStart"/>
      <w:r w:rsidRPr="00A66AB5">
        <w:rPr>
          <w:sz w:val="22"/>
          <w:szCs w:val="22"/>
          <w:lang w:val="el-GR"/>
        </w:rPr>
        <w:t>κουετιαπίνης</w:t>
      </w:r>
      <w:proofErr w:type="spellEnd"/>
      <w:r w:rsidRPr="00A66AB5">
        <w:rPr>
          <w:sz w:val="22"/>
          <w:szCs w:val="22"/>
          <w:lang w:val="el-GR"/>
        </w:rPr>
        <w:t xml:space="preserve"> με άλλα φάρμακα να οδηγήσει σε κλινικά σημαντική φαρμακευτική αναστολή του μεταβολισμού του άλλου φαρμάκου που </w:t>
      </w:r>
      <w:proofErr w:type="spellStart"/>
      <w:r w:rsidRPr="00A66AB5">
        <w:rPr>
          <w:sz w:val="22"/>
          <w:szCs w:val="22"/>
          <w:lang w:val="el-GR"/>
        </w:rPr>
        <w:t>διαμεσολαβείται</w:t>
      </w:r>
      <w:proofErr w:type="spellEnd"/>
      <w:r w:rsidRPr="00A66AB5">
        <w:rPr>
          <w:sz w:val="22"/>
          <w:szCs w:val="22"/>
          <w:lang w:val="el-GR"/>
        </w:rPr>
        <w:t xml:space="preserve"> από το κυτόχρωμα </w:t>
      </w:r>
      <w:r w:rsidRPr="00A66AB5">
        <w:rPr>
          <w:sz w:val="22"/>
          <w:szCs w:val="22"/>
        </w:rPr>
        <w:t>P</w:t>
      </w:r>
      <w:r w:rsidRPr="00A66AB5">
        <w:rPr>
          <w:sz w:val="22"/>
          <w:szCs w:val="22"/>
          <w:lang w:val="el-GR"/>
        </w:rPr>
        <w:t xml:space="preserve">450. Από τις μελέτες σε ζώα, φαίνεται ότι η </w:t>
      </w:r>
      <w:proofErr w:type="spellStart"/>
      <w:r w:rsidRPr="00A66AB5">
        <w:rPr>
          <w:sz w:val="22"/>
          <w:szCs w:val="22"/>
          <w:lang w:val="el-GR"/>
        </w:rPr>
        <w:t>κουετιαπίνη</w:t>
      </w:r>
      <w:proofErr w:type="spellEnd"/>
      <w:r w:rsidRPr="00A66AB5">
        <w:rPr>
          <w:sz w:val="22"/>
          <w:szCs w:val="22"/>
          <w:lang w:val="el-GR"/>
        </w:rPr>
        <w:t xml:space="preserve"> μπορεί να επάγει τα ένζυμα του κυτοχρώματος Ρ450. Σε μια μελέτη ειδικής αλληλεπίδρασης σε </w:t>
      </w:r>
      <w:proofErr w:type="spellStart"/>
      <w:r w:rsidRPr="00A66AB5">
        <w:rPr>
          <w:sz w:val="22"/>
          <w:szCs w:val="22"/>
          <w:lang w:val="el-GR"/>
        </w:rPr>
        <w:t>ψυχωσικούς</w:t>
      </w:r>
      <w:proofErr w:type="spellEnd"/>
      <w:r w:rsidRPr="00A66AB5">
        <w:rPr>
          <w:sz w:val="22"/>
          <w:szCs w:val="22"/>
          <w:lang w:val="el-GR"/>
        </w:rPr>
        <w:t xml:space="preserve"> ασθενείς, ωστόσο, δεν διαπιστώθηκε καμία αύξηση στη δραστικότητα του κυτοχρώματος Ρ450 μετά τη χορήγηση της </w:t>
      </w:r>
      <w:proofErr w:type="spellStart"/>
      <w:r w:rsidRPr="00A66AB5">
        <w:rPr>
          <w:sz w:val="22"/>
          <w:szCs w:val="22"/>
          <w:lang w:val="el-GR"/>
        </w:rPr>
        <w:t>κουετιαπίνης</w:t>
      </w:r>
      <w:proofErr w:type="spellEnd"/>
      <w:r w:rsidRPr="00A66AB5">
        <w:rPr>
          <w:sz w:val="22"/>
          <w:szCs w:val="22"/>
          <w:lang w:val="el-GR"/>
        </w:rPr>
        <w:t>.</w:t>
      </w:r>
    </w:p>
    <w:p w:rsidR="00380EEB" w:rsidRPr="00A66AB5" w:rsidRDefault="00380EEB">
      <w:pPr>
        <w:autoSpaceDE w:val="0"/>
        <w:autoSpaceDN w:val="0"/>
        <w:adjustRightInd w:val="0"/>
        <w:jc w:val="both"/>
        <w:rPr>
          <w:sz w:val="22"/>
          <w:szCs w:val="22"/>
          <w:lang w:val="el-GR"/>
        </w:rPr>
      </w:pPr>
    </w:p>
    <w:p w:rsidR="00380EEB" w:rsidRPr="00D15B02" w:rsidRDefault="00380EEB">
      <w:pPr>
        <w:autoSpaceDE w:val="0"/>
        <w:autoSpaceDN w:val="0"/>
        <w:adjustRightInd w:val="0"/>
        <w:jc w:val="both"/>
        <w:rPr>
          <w:b/>
          <w:sz w:val="22"/>
          <w:szCs w:val="22"/>
          <w:lang w:val="el-GR"/>
        </w:rPr>
      </w:pPr>
      <w:r w:rsidRPr="00791987">
        <w:rPr>
          <w:b/>
          <w:sz w:val="22"/>
          <w:szCs w:val="22"/>
          <w:lang w:val="el-GR"/>
        </w:rPr>
        <w:t>Αποβολή</w:t>
      </w:r>
      <w:r w:rsidR="006403FF"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Οι χρόνοι ημίσειας ζωής αποβολής της </w:t>
      </w:r>
      <w:proofErr w:type="spellStart"/>
      <w:r w:rsidRPr="00A66AB5">
        <w:rPr>
          <w:sz w:val="22"/>
          <w:szCs w:val="22"/>
          <w:lang w:val="el-GR"/>
        </w:rPr>
        <w:t>κουετιαπίνης</w:t>
      </w:r>
      <w:proofErr w:type="spellEnd"/>
      <w:r w:rsidRPr="00A66AB5">
        <w:rPr>
          <w:sz w:val="22"/>
          <w:szCs w:val="22"/>
          <w:lang w:val="el-GR"/>
        </w:rPr>
        <w:t xml:space="preserve"> και </w:t>
      </w:r>
      <w:proofErr w:type="spellStart"/>
      <w:r w:rsidRPr="00A66AB5">
        <w:rPr>
          <w:sz w:val="22"/>
          <w:szCs w:val="22"/>
          <w:lang w:val="el-GR"/>
        </w:rPr>
        <w:t>νορκουετιαπίνης</w:t>
      </w:r>
      <w:proofErr w:type="spellEnd"/>
      <w:r w:rsidRPr="00A66AB5">
        <w:rPr>
          <w:sz w:val="22"/>
          <w:szCs w:val="22"/>
          <w:lang w:val="el-GR"/>
        </w:rPr>
        <w:t xml:space="preserve"> είναι περίπου 7 και 12 ώρες, αντίστοιχα. Περίπου 73% του </w:t>
      </w:r>
      <w:proofErr w:type="spellStart"/>
      <w:r w:rsidRPr="00A66AB5">
        <w:rPr>
          <w:sz w:val="22"/>
          <w:szCs w:val="22"/>
          <w:lang w:val="el-GR"/>
        </w:rPr>
        <w:t>ραδιοσημασμένου</w:t>
      </w:r>
      <w:proofErr w:type="spellEnd"/>
      <w:r w:rsidRPr="00A66AB5">
        <w:rPr>
          <w:sz w:val="22"/>
          <w:szCs w:val="22"/>
          <w:lang w:val="el-GR"/>
        </w:rPr>
        <w:t xml:space="preserve"> φαρμάκου απεκκρίθηκε στα ούρα και 21% στα κόπρανα με λιγότερο από 5% της συνολικής ραδιενέργειας να αντιπροσωπεύει αμετάβλητο υλικό που σχετίζεται με το φάρμακο. Το μέσο γραμμομοριακό κλάσμα δόσης της ελεύθερης </w:t>
      </w:r>
      <w:proofErr w:type="spellStart"/>
      <w:r w:rsidRPr="00A66AB5">
        <w:rPr>
          <w:sz w:val="22"/>
          <w:szCs w:val="22"/>
          <w:lang w:val="el-GR"/>
        </w:rPr>
        <w:t>κουετιαπίνης</w:t>
      </w:r>
      <w:proofErr w:type="spellEnd"/>
      <w:r w:rsidRPr="00A66AB5">
        <w:rPr>
          <w:sz w:val="22"/>
          <w:szCs w:val="22"/>
          <w:lang w:val="el-GR"/>
        </w:rPr>
        <w:t xml:space="preserve"> και του δραστικού μεταβολίτη στο ανθρώπινο πλάσμα η </w:t>
      </w:r>
      <w:proofErr w:type="spellStart"/>
      <w:r w:rsidRPr="00A66AB5">
        <w:rPr>
          <w:sz w:val="22"/>
          <w:szCs w:val="22"/>
          <w:lang w:val="el-GR"/>
        </w:rPr>
        <w:t>νορκουετιαπίνη</w:t>
      </w:r>
      <w:proofErr w:type="spellEnd"/>
      <w:r w:rsidRPr="00A66AB5">
        <w:rPr>
          <w:sz w:val="22"/>
          <w:szCs w:val="22"/>
          <w:lang w:val="el-GR"/>
        </w:rPr>
        <w:t xml:space="preserve"> </w:t>
      </w:r>
      <w:r w:rsidR="004830F0" w:rsidRPr="00A66AB5">
        <w:rPr>
          <w:sz w:val="22"/>
          <w:szCs w:val="22"/>
          <w:lang w:val="el-GR"/>
        </w:rPr>
        <w:t xml:space="preserve">είναι &lt;5%  απεκκρινόμενο </w:t>
      </w:r>
      <w:r w:rsidRPr="00A66AB5">
        <w:rPr>
          <w:sz w:val="22"/>
          <w:szCs w:val="22"/>
          <w:lang w:val="el-GR"/>
        </w:rPr>
        <w:t>στα ούρα.</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b/>
          <w:sz w:val="22"/>
          <w:szCs w:val="22"/>
          <w:lang w:val="el-GR"/>
        </w:rPr>
      </w:pPr>
      <w:r w:rsidRPr="00A66AB5">
        <w:rPr>
          <w:b/>
          <w:sz w:val="22"/>
          <w:szCs w:val="22"/>
          <w:lang w:val="el-GR"/>
        </w:rPr>
        <w:t>Ειδικοί πληθυσμοί</w:t>
      </w:r>
      <w:r w:rsidR="006403FF" w:rsidRPr="00791987">
        <w:rPr>
          <w:b/>
          <w:bCs/>
          <w:sz w:val="22"/>
          <w:szCs w:val="22"/>
          <w:lang w:val="el-GR"/>
        </w:rPr>
        <w:t>:</w:t>
      </w:r>
    </w:p>
    <w:p w:rsidR="00380EEB" w:rsidRPr="00A66AB5" w:rsidRDefault="00380EEB">
      <w:pPr>
        <w:autoSpaceDE w:val="0"/>
        <w:autoSpaceDN w:val="0"/>
        <w:adjustRightInd w:val="0"/>
        <w:jc w:val="both"/>
        <w:rPr>
          <w:b/>
          <w:i/>
          <w:sz w:val="22"/>
          <w:szCs w:val="22"/>
          <w:lang w:val="el-GR"/>
        </w:rPr>
      </w:pPr>
    </w:p>
    <w:p w:rsidR="00380EEB" w:rsidRPr="00A66AB5" w:rsidRDefault="00380EEB">
      <w:pPr>
        <w:autoSpaceDE w:val="0"/>
        <w:autoSpaceDN w:val="0"/>
        <w:adjustRightInd w:val="0"/>
        <w:jc w:val="both"/>
        <w:rPr>
          <w:b/>
          <w:sz w:val="22"/>
          <w:szCs w:val="22"/>
          <w:lang w:val="el-GR"/>
        </w:rPr>
      </w:pPr>
      <w:r w:rsidRPr="00A66AB5">
        <w:rPr>
          <w:b/>
          <w:sz w:val="22"/>
          <w:szCs w:val="22"/>
          <w:lang w:val="el-GR"/>
        </w:rPr>
        <w:t>Φύλο</w:t>
      </w:r>
      <w:r w:rsidR="006403FF"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w:t>
      </w:r>
      <w:proofErr w:type="spellStart"/>
      <w:r w:rsidRPr="00A66AB5">
        <w:rPr>
          <w:sz w:val="22"/>
          <w:szCs w:val="22"/>
          <w:lang w:val="el-GR"/>
        </w:rPr>
        <w:t>φαρμακοκινητική</w:t>
      </w:r>
      <w:proofErr w:type="spellEnd"/>
      <w:r w:rsidRPr="00A66AB5">
        <w:rPr>
          <w:sz w:val="22"/>
          <w:szCs w:val="22"/>
          <w:lang w:val="el-GR"/>
        </w:rPr>
        <w:t xml:space="preserve"> της </w:t>
      </w:r>
      <w:proofErr w:type="spellStart"/>
      <w:r w:rsidRPr="00A66AB5">
        <w:rPr>
          <w:sz w:val="22"/>
          <w:szCs w:val="22"/>
          <w:lang w:val="el-GR"/>
        </w:rPr>
        <w:t>κουετιαπίνης</w:t>
      </w:r>
      <w:proofErr w:type="spellEnd"/>
      <w:r w:rsidRPr="00A66AB5">
        <w:rPr>
          <w:sz w:val="22"/>
          <w:szCs w:val="22"/>
          <w:lang w:val="el-GR"/>
        </w:rPr>
        <w:t xml:space="preserve"> δεν διαφέρει μεταξύ των ανδρών και των γυναικών.</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b/>
          <w:sz w:val="22"/>
          <w:szCs w:val="22"/>
          <w:lang w:val="el-GR"/>
        </w:rPr>
      </w:pPr>
      <w:r w:rsidRPr="00A66AB5">
        <w:rPr>
          <w:b/>
          <w:sz w:val="22"/>
          <w:szCs w:val="22"/>
          <w:lang w:val="el-GR"/>
        </w:rPr>
        <w:t>Ηλικιωμένοι</w:t>
      </w:r>
      <w:r w:rsidR="006403FF"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μέση κάθαρση της </w:t>
      </w:r>
      <w:proofErr w:type="spellStart"/>
      <w:r w:rsidRPr="00A66AB5">
        <w:rPr>
          <w:sz w:val="22"/>
          <w:szCs w:val="22"/>
          <w:lang w:val="el-GR"/>
        </w:rPr>
        <w:t>κουετιαπίνης</w:t>
      </w:r>
      <w:proofErr w:type="spellEnd"/>
      <w:r w:rsidRPr="00A66AB5">
        <w:rPr>
          <w:sz w:val="22"/>
          <w:szCs w:val="22"/>
          <w:lang w:val="el-GR"/>
        </w:rPr>
        <w:t xml:space="preserve"> στους ηλικιωμένους είναι περίπου 30 έως 50% χαμηλότερη από αυτή που παρατηρείται σε ενήλικες ηλικίας 18 έως 65 ετών.</w:t>
      </w:r>
    </w:p>
    <w:p w:rsidR="00380EEB" w:rsidRPr="00A66AB5" w:rsidRDefault="00380EEB">
      <w:pPr>
        <w:autoSpaceDE w:val="0"/>
        <w:autoSpaceDN w:val="0"/>
        <w:adjustRightInd w:val="0"/>
        <w:jc w:val="both"/>
        <w:rPr>
          <w:sz w:val="22"/>
          <w:szCs w:val="22"/>
          <w:lang w:val="el-GR"/>
        </w:rPr>
      </w:pPr>
    </w:p>
    <w:p w:rsidR="00380EEB" w:rsidRPr="00A66AB5" w:rsidRDefault="00380EEB">
      <w:pPr>
        <w:autoSpaceDE w:val="0"/>
        <w:autoSpaceDN w:val="0"/>
        <w:adjustRightInd w:val="0"/>
        <w:jc w:val="both"/>
        <w:rPr>
          <w:b/>
          <w:sz w:val="22"/>
          <w:szCs w:val="22"/>
          <w:lang w:val="el-GR"/>
        </w:rPr>
      </w:pPr>
      <w:r w:rsidRPr="00A66AB5">
        <w:rPr>
          <w:b/>
          <w:sz w:val="22"/>
          <w:szCs w:val="22"/>
          <w:lang w:val="el-GR"/>
        </w:rPr>
        <w:t>Νεφρική δυσλειτουργία</w:t>
      </w:r>
      <w:r w:rsidR="006403FF"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μέση κάθαρση </w:t>
      </w:r>
      <w:proofErr w:type="spellStart"/>
      <w:r w:rsidRPr="00A66AB5">
        <w:rPr>
          <w:sz w:val="22"/>
          <w:szCs w:val="22"/>
          <w:lang w:val="el-GR"/>
        </w:rPr>
        <w:t>κουετιαπίνης</w:t>
      </w:r>
      <w:proofErr w:type="spellEnd"/>
      <w:r w:rsidRPr="00A66AB5">
        <w:rPr>
          <w:sz w:val="22"/>
          <w:szCs w:val="22"/>
          <w:lang w:val="el-GR"/>
        </w:rPr>
        <w:t xml:space="preserve"> στο πλάσμα μειώθηκε κατά περίπου 25% σε ασθενείς με βαριά νεφρική δυσλειτουργία (κάθαρση </w:t>
      </w:r>
      <w:proofErr w:type="spellStart"/>
      <w:r w:rsidRPr="00A66AB5">
        <w:rPr>
          <w:sz w:val="22"/>
          <w:szCs w:val="22"/>
          <w:lang w:val="el-GR"/>
        </w:rPr>
        <w:t>κρεατινίνης</w:t>
      </w:r>
      <w:proofErr w:type="spellEnd"/>
      <w:r w:rsidRPr="00A66AB5">
        <w:rPr>
          <w:sz w:val="22"/>
          <w:szCs w:val="22"/>
          <w:lang w:val="el-GR"/>
        </w:rPr>
        <w:t xml:space="preserve"> χαμηλότερη από 30 </w:t>
      </w:r>
      <w:r w:rsidRPr="00A66AB5">
        <w:rPr>
          <w:sz w:val="22"/>
          <w:szCs w:val="22"/>
        </w:rPr>
        <w:t>ml</w:t>
      </w:r>
      <w:r w:rsidRPr="00A66AB5">
        <w:rPr>
          <w:sz w:val="22"/>
          <w:szCs w:val="22"/>
          <w:lang w:val="el-GR"/>
        </w:rPr>
        <w:t>/</w:t>
      </w:r>
      <w:r w:rsidRPr="00A66AB5">
        <w:rPr>
          <w:sz w:val="22"/>
          <w:szCs w:val="22"/>
        </w:rPr>
        <w:t>min</w:t>
      </w:r>
      <w:r w:rsidRPr="00A66AB5">
        <w:rPr>
          <w:sz w:val="22"/>
          <w:szCs w:val="22"/>
          <w:lang w:val="el-GR"/>
        </w:rPr>
        <w:t xml:space="preserve">/1,73 </w:t>
      </w:r>
      <w:r w:rsidRPr="00A66AB5">
        <w:rPr>
          <w:sz w:val="22"/>
          <w:szCs w:val="22"/>
        </w:rPr>
        <w:t>m</w:t>
      </w:r>
      <w:r w:rsidRPr="00A66AB5">
        <w:rPr>
          <w:sz w:val="22"/>
          <w:szCs w:val="22"/>
          <w:lang w:val="el-GR"/>
        </w:rPr>
        <w:t>2), αλλά οι μεμονωμένες τιμές κάθαρσης ήταν εντός του εύρους για φυσιολογικούς συμμετέχοντες.</w:t>
      </w:r>
    </w:p>
    <w:p w:rsidR="00380EEB" w:rsidRPr="00A66AB5" w:rsidRDefault="00380EEB">
      <w:pPr>
        <w:autoSpaceDE w:val="0"/>
        <w:autoSpaceDN w:val="0"/>
        <w:adjustRightInd w:val="0"/>
        <w:jc w:val="both"/>
        <w:rPr>
          <w:b/>
          <w:sz w:val="22"/>
          <w:szCs w:val="22"/>
          <w:lang w:val="el-GR"/>
        </w:rPr>
      </w:pPr>
    </w:p>
    <w:p w:rsidR="00380EEB" w:rsidRPr="00A66AB5" w:rsidRDefault="00380EEB">
      <w:pPr>
        <w:autoSpaceDE w:val="0"/>
        <w:autoSpaceDN w:val="0"/>
        <w:adjustRightInd w:val="0"/>
        <w:jc w:val="both"/>
        <w:rPr>
          <w:b/>
          <w:sz w:val="22"/>
          <w:szCs w:val="22"/>
          <w:lang w:val="el-GR"/>
        </w:rPr>
      </w:pPr>
      <w:r w:rsidRPr="00A66AB5">
        <w:rPr>
          <w:b/>
          <w:sz w:val="22"/>
          <w:szCs w:val="22"/>
          <w:lang w:val="el-GR"/>
        </w:rPr>
        <w:t>Ηπατική δυσλειτουργία</w:t>
      </w:r>
      <w:r w:rsidR="006403FF" w:rsidRPr="00791987">
        <w:rPr>
          <w:b/>
          <w:bCs/>
          <w:sz w:val="22"/>
          <w:szCs w:val="22"/>
          <w:lang w:val="el-GR"/>
        </w:rPr>
        <w:t>:</w:t>
      </w:r>
    </w:p>
    <w:p w:rsidR="00380EEB" w:rsidRPr="00A66AB5" w:rsidRDefault="00380EEB">
      <w:pPr>
        <w:autoSpaceDE w:val="0"/>
        <w:autoSpaceDN w:val="0"/>
        <w:adjustRightInd w:val="0"/>
        <w:jc w:val="both"/>
        <w:rPr>
          <w:sz w:val="22"/>
          <w:szCs w:val="22"/>
          <w:lang w:val="el-GR"/>
        </w:rPr>
      </w:pPr>
      <w:r w:rsidRPr="00A66AB5">
        <w:rPr>
          <w:sz w:val="22"/>
          <w:szCs w:val="22"/>
          <w:lang w:val="el-GR"/>
        </w:rPr>
        <w:t xml:space="preserve">Η μέση κάθαρση της </w:t>
      </w:r>
      <w:proofErr w:type="spellStart"/>
      <w:r w:rsidRPr="00A66AB5">
        <w:rPr>
          <w:sz w:val="22"/>
          <w:szCs w:val="22"/>
          <w:lang w:val="el-GR"/>
        </w:rPr>
        <w:t>κουετιαπίνης</w:t>
      </w:r>
      <w:proofErr w:type="spellEnd"/>
      <w:r w:rsidRPr="00A66AB5">
        <w:rPr>
          <w:sz w:val="22"/>
          <w:szCs w:val="22"/>
          <w:lang w:val="el-GR"/>
        </w:rPr>
        <w:t xml:space="preserve"> στο πλάσμα μειώνεται κατά περίπου 25% σε άτομα με γνωστή ηπατική δυσλειτουργία (σταθερή αλκοολική κίρρωση). Καθώς η </w:t>
      </w:r>
      <w:proofErr w:type="spellStart"/>
      <w:r w:rsidRPr="00A66AB5">
        <w:rPr>
          <w:sz w:val="22"/>
          <w:szCs w:val="22"/>
          <w:lang w:val="el-GR"/>
        </w:rPr>
        <w:t>κουετιαπίνη</w:t>
      </w:r>
      <w:proofErr w:type="spellEnd"/>
      <w:r w:rsidRPr="00A66AB5">
        <w:rPr>
          <w:sz w:val="22"/>
          <w:szCs w:val="22"/>
          <w:lang w:val="el-GR"/>
        </w:rPr>
        <w:t xml:space="preserve"> μεταβολίζεται εκτενώς από το ήπαρ, αναμένονται υψηλά επίπεδα στο πλάσμα στον πληθυσμό με ηπατική δυσλειτουργία. Ενδέχεται να απαιτηθούν προσαρμογές της δόσης σε αυτούς τους ασθενείς (βλ. παράγραφο 4.2).</w:t>
      </w:r>
    </w:p>
    <w:p w:rsidR="00380EEB" w:rsidRPr="00A66AB5" w:rsidRDefault="00380EEB">
      <w:pPr>
        <w:autoSpaceDE w:val="0"/>
        <w:autoSpaceDN w:val="0"/>
        <w:adjustRightInd w:val="0"/>
        <w:jc w:val="both"/>
        <w:rPr>
          <w:sz w:val="22"/>
          <w:szCs w:val="22"/>
          <w:lang w:val="el-GR"/>
        </w:rPr>
      </w:pPr>
    </w:p>
    <w:p w:rsidR="00380EEB" w:rsidRPr="00A66AB5" w:rsidRDefault="000A4BD6">
      <w:pPr>
        <w:pStyle w:val="A-TableHeader"/>
        <w:keepNext w:val="0"/>
        <w:tabs>
          <w:tab w:val="left" w:pos="0"/>
          <w:tab w:val="left" w:pos="567"/>
          <w:tab w:val="left" w:pos="8496"/>
        </w:tabs>
        <w:suppressAutoHyphens/>
        <w:spacing w:before="0" w:after="0" w:line="260" w:lineRule="exact"/>
        <w:jc w:val="both"/>
        <w:rPr>
          <w:bCs w:val="0"/>
          <w:lang w:val="el-GR"/>
        </w:rPr>
      </w:pPr>
      <w:r>
        <w:rPr>
          <w:bCs w:val="0"/>
          <w:lang w:val="el-GR"/>
        </w:rPr>
        <w:t>Παιδιά και Έφηβοι (10 με 17 ετών)</w:t>
      </w:r>
    </w:p>
    <w:p w:rsidR="00380EEB" w:rsidRPr="00A66AB5" w:rsidRDefault="00380EEB">
      <w:pPr>
        <w:tabs>
          <w:tab w:val="left" w:pos="0"/>
          <w:tab w:val="left" w:pos="8496"/>
        </w:tabs>
        <w:suppressAutoHyphens/>
        <w:jc w:val="both"/>
        <w:rPr>
          <w:sz w:val="22"/>
          <w:szCs w:val="22"/>
          <w:lang w:val="el-GR"/>
        </w:rPr>
      </w:pPr>
      <w:r w:rsidRPr="00A66AB5">
        <w:rPr>
          <w:sz w:val="22"/>
          <w:szCs w:val="22"/>
          <w:lang w:val="el-GR"/>
        </w:rPr>
        <w:t xml:space="preserve">Δείγματα για δεδομένα </w:t>
      </w:r>
      <w:proofErr w:type="spellStart"/>
      <w:r w:rsidRPr="00A66AB5">
        <w:rPr>
          <w:sz w:val="22"/>
          <w:szCs w:val="22"/>
          <w:lang w:val="el-GR"/>
        </w:rPr>
        <w:t>φαρμακοκινητικής</w:t>
      </w:r>
      <w:proofErr w:type="spellEnd"/>
      <w:r w:rsidRPr="00A66AB5">
        <w:rPr>
          <w:sz w:val="22"/>
          <w:szCs w:val="22"/>
          <w:lang w:val="el-GR"/>
        </w:rPr>
        <w:t xml:space="preserve"> ελήφθησαν από 9 παιδιά ηλικίας 10-12 ετών και 12 εφήβους που βρίσκονταν σε θεραπεία σταθερής κατάστασης με δόση </w:t>
      </w:r>
      <w:proofErr w:type="spellStart"/>
      <w:r w:rsidRPr="00A66AB5">
        <w:rPr>
          <w:sz w:val="22"/>
          <w:szCs w:val="22"/>
          <w:lang w:val="el-GR"/>
        </w:rPr>
        <w:t>κουετιαπίνης</w:t>
      </w:r>
      <w:proofErr w:type="spellEnd"/>
      <w:r w:rsidRPr="00A66AB5">
        <w:rPr>
          <w:sz w:val="22"/>
          <w:szCs w:val="22"/>
          <w:lang w:val="el-GR"/>
        </w:rPr>
        <w:t xml:space="preserve"> 400 </w:t>
      </w:r>
      <w:r w:rsidRPr="00A66AB5">
        <w:rPr>
          <w:sz w:val="22"/>
          <w:szCs w:val="22"/>
          <w:lang w:val="en-GB"/>
        </w:rPr>
        <w:t>mg</w:t>
      </w:r>
      <w:r w:rsidRPr="00A66AB5">
        <w:rPr>
          <w:sz w:val="22"/>
          <w:szCs w:val="22"/>
          <w:lang w:val="el-GR"/>
        </w:rPr>
        <w:t xml:space="preserve"> δύο φορές την ημέρα. Σε σταθερή κατάσταση, τα επίπεδα στο πλάσμα της μητρικής ουσίας, της </w:t>
      </w:r>
      <w:proofErr w:type="spellStart"/>
      <w:r w:rsidRPr="00A66AB5">
        <w:rPr>
          <w:sz w:val="22"/>
          <w:szCs w:val="22"/>
          <w:lang w:val="el-GR"/>
        </w:rPr>
        <w:t>κουετιαπίνης</w:t>
      </w:r>
      <w:proofErr w:type="spellEnd"/>
      <w:r w:rsidRPr="00A66AB5">
        <w:rPr>
          <w:sz w:val="22"/>
          <w:szCs w:val="22"/>
          <w:lang w:val="el-GR"/>
        </w:rPr>
        <w:t xml:space="preserve">, ομαλοποιημένα για τη δόση σε παιδιά και εφήβους (ηλικίας 10-17 ετών) ήταν γενικά παρόμοια με αυτά των ενηλίκων, μολονότι η </w:t>
      </w:r>
      <w:proofErr w:type="spellStart"/>
      <w:r w:rsidRPr="00A66AB5">
        <w:rPr>
          <w:sz w:val="22"/>
          <w:szCs w:val="22"/>
          <w:lang w:val="en-GB"/>
        </w:rPr>
        <w:t>Cmax</w:t>
      </w:r>
      <w:proofErr w:type="spellEnd"/>
      <w:r w:rsidRPr="00A66AB5">
        <w:rPr>
          <w:sz w:val="22"/>
          <w:szCs w:val="22"/>
          <w:lang w:val="el-GR"/>
        </w:rPr>
        <w:t xml:space="preserve"> σε παιδιά ήταν στο υψηλότερο άκρο του εύρους που παρατηρήθηκε σε ενήλικες. Το </w:t>
      </w:r>
      <w:r w:rsidRPr="00A66AB5">
        <w:rPr>
          <w:sz w:val="22"/>
          <w:szCs w:val="22"/>
          <w:lang w:val="en-GB"/>
        </w:rPr>
        <w:t>AUC</w:t>
      </w:r>
      <w:r w:rsidRPr="00A66AB5">
        <w:rPr>
          <w:sz w:val="22"/>
          <w:szCs w:val="22"/>
          <w:lang w:val="el-GR"/>
        </w:rPr>
        <w:t xml:space="preserve"> και η </w:t>
      </w:r>
      <w:proofErr w:type="spellStart"/>
      <w:r w:rsidRPr="00A66AB5">
        <w:rPr>
          <w:sz w:val="22"/>
          <w:szCs w:val="22"/>
          <w:lang w:val="en-GB"/>
        </w:rPr>
        <w:t>Cmax</w:t>
      </w:r>
      <w:proofErr w:type="spellEnd"/>
      <w:r w:rsidRPr="00A66AB5">
        <w:rPr>
          <w:sz w:val="22"/>
          <w:szCs w:val="22"/>
          <w:lang w:val="el-GR"/>
        </w:rPr>
        <w:t xml:space="preserve"> για τον δραστικό μεταβολίτη, </w:t>
      </w:r>
      <w:proofErr w:type="spellStart"/>
      <w:r w:rsidRPr="00A66AB5">
        <w:rPr>
          <w:sz w:val="22"/>
          <w:szCs w:val="22"/>
          <w:lang w:val="el-GR"/>
        </w:rPr>
        <w:t>νορκουετιαπίνη</w:t>
      </w:r>
      <w:proofErr w:type="spellEnd"/>
      <w:r w:rsidRPr="00A66AB5">
        <w:rPr>
          <w:sz w:val="22"/>
          <w:szCs w:val="22"/>
          <w:lang w:val="el-GR"/>
        </w:rPr>
        <w:t>, ήταν υψηλότερα, κατά περίπου 62% και 49% σε παιδιά (ηλικίας 10-12 ετών), αντίστοιχα και κατά 28% και 14% σε εφήβους (ηλικίας 13-17 ετών), αντίστοιχα, συγκριτικά με ενήλικες.</w:t>
      </w:r>
    </w:p>
    <w:p w:rsidR="00380EEB" w:rsidRPr="00A66AB5" w:rsidRDefault="00380EEB">
      <w:pPr>
        <w:tabs>
          <w:tab w:val="left" w:pos="0"/>
          <w:tab w:val="left" w:pos="8496"/>
        </w:tabs>
        <w:suppressAutoHyphens/>
        <w:jc w:val="both"/>
        <w:rPr>
          <w:sz w:val="22"/>
          <w:szCs w:val="22"/>
          <w:lang w:val="el-GR"/>
        </w:rPr>
      </w:pPr>
    </w:p>
    <w:p w:rsidR="00380EEB" w:rsidRPr="00A66AB5" w:rsidRDefault="00380EEB">
      <w:pPr>
        <w:jc w:val="both"/>
        <w:rPr>
          <w:sz w:val="22"/>
          <w:szCs w:val="22"/>
          <w:lang w:val="el-GR"/>
        </w:rPr>
      </w:pPr>
      <w:r w:rsidRPr="00A66AB5">
        <w:rPr>
          <w:sz w:val="22"/>
          <w:szCs w:val="22"/>
          <w:lang w:val="el-GR"/>
        </w:rPr>
        <w:t xml:space="preserve">Δεν διατίθενται πληροφορίες για τα δισκία </w:t>
      </w:r>
      <w:proofErr w:type="spellStart"/>
      <w:r w:rsidRPr="00A66AB5">
        <w:rPr>
          <w:sz w:val="22"/>
          <w:szCs w:val="22"/>
          <w:lang w:val="el-GR"/>
        </w:rPr>
        <w:t>κουετιαπίνης</w:t>
      </w:r>
      <w:proofErr w:type="spellEnd"/>
      <w:r w:rsidRPr="00A66AB5">
        <w:rPr>
          <w:sz w:val="22"/>
          <w:szCs w:val="22"/>
          <w:lang w:val="el-GR"/>
        </w:rPr>
        <w:t xml:space="preserve"> παρατεταμένης αποδέσμευσης σε παιδιά και εφήβους.</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numPr>
          <w:ilvl w:val="1"/>
          <w:numId w:val="7"/>
        </w:numPr>
        <w:tabs>
          <w:tab w:val="clear" w:pos="4320"/>
          <w:tab w:val="clear" w:pos="8640"/>
        </w:tabs>
        <w:jc w:val="both"/>
        <w:rPr>
          <w:b/>
          <w:sz w:val="22"/>
          <w:szCs w:val="22"/>
          <w:lang w:val="el-GR"/>
        </w:rPr>
      </w:pPr>
      <w:proofErr w:type="spellStart"/>
      <w:r w:rsidRPr="00A66AB5">
        <w:rPr>
          <w:b/>
          <w:sz w:val="22"/>
          <w:szCs w:val="22"/>
          <w:lang w:val="el-GR"/>
        </w:rPr>
        <w:t>Π</w:t>
      </w:r>
      <w:r w:rsidR="006403FF">
        <w:rPr>
          <w:b/>
          <w:sz w:val="22"/>
          <w:szCs w:val="22"/>
          <w:lang w:val="el-GR"/>
        </w:rPr>
        <w:t>ροκλινικά</w:t>
      </w:r>
      <w:proofErr w:type="spellEnd"/>
      <w:r w:rsidR="006403FF">
        <w:rPr>
          <w:b/>
          <w:sz w:val="22"/>
          <w:szCs w:val="22"/>
          <w:lang w:val="el-GR"/>
        </w:rPr>
        <w:t xml:space="preserve"> δεδομένα για την ασφάλεια</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Δεν υπήρξαν ενδείξεις </w:t>
      </w:r>
      <w:proofErr w:type="spellStart"/>
      <w:r w:rsidRPr="00A66AB5">
        <w:rPr>
          <w:sz w:val="22"/>
          <w:szCs w:val="22"/>
          <w:lang w:val="el-GR"/>
        </w:rPr>
        <w:t>γονοτοξικότητας</w:t>
      </w:r>
      <w:proofErr w:type="spellEnd"/>
      <w:r w:rsidRPr="00A66AB5">
        <w:rPr>
          <w:sz w:val="22"/>
          <w:szCs w:val="22"/>
          <w:lang w:val="el-GR"/>
        </w:rPr>
        <w:t xml:space="preserve"> σε μια σειρά μελετών </w:t>
      </w:r>
      <w:proofErr w:type="spellStart"/>
      <w:r w:rsidRPr="00A66AB5">
        <w:rPr>
          <w:sz w:val="22"/>
          <w:szCs w:val="22"/>
          <w:lang w:val="el-GR"/>
        </w:rPr>
        <w:t>γονοτοξικότητας</w:t>
      </w:r>
      <w:proofErr w:type="spellEnd"/>
      <w:r w:rsidRPr="00A66AB5">
        <w:rPr>
          <w:sz w:val="22"/>
          <w:szCs w:val="22"/>
          <w:lang w:val="el-GR"/>
        </w:rPr>
        <w:t xml:space="preserve"> </w:t>
      </w:r>
      <w:proofErr w:type="spellStart"/>
      <w:r w:rsidRPr="00A66AB5">
        <w:rPr>
          <w:sz w:val="22"/>
          <w:szCs w:val="22"/>
          <w:lang w:val="el-GR"/>
        </w:rPr>
        <w:t>in</w:t>
      </w:r>
      <w:proofErr w:type="spellEnd"/>
      <w:r w:rsidRPr="00A66AB5">
        <w:rPr>
          <w:sz w:val="22"/>
          <w:szCs w:val="22"/>
          <w:lang w:val="el-GR"/>
        </w:rPr>
        <w:t xml:space="preserve"> </w:t>
      </w:r>
      <w:proofErr w:type="spellStart"/>
      <w:r w:rsidRPr="00A66AB5">
        <w:rPr>
          <w:sz w:val="22"/>
          <w:szCs w:val="22"/>
          <w:lang w:val="el-GR"/>
        </w:rPr>
        <w:t>vitro</w:t>
      </w:r>
      <w:proofErr w:type="spellEnd"/>
      <w:r w:rsidRPr="00A66AB5">
        <w:rPr>
          <w:sz w:val="22"/>
          <w:szCs w:val="22"/>
          <w:lang w:val="el-GR"/>
        </w:rPr>
        <w:t xml:space="preserve"> και </w:t>
      </w:r>
      <w:proofErr w:type="spellStart"/>
      <w:r w:rsidRPr="00A66AB5">
        <w:rPr>
          <w:sz w:val="22"/>
          <w:szCs w:val="22"/>
          <w:lang w:val="el-GR"/>
        </w:rPr>
        <w:t>in</w:t>
      </w:r>
      <w:proofErr w:type="spellEnd"/>
      <w:r w:rsidRPr="00A66AB5">
        <w:rPr>
          <w:sz w:val="22"/>
          <w:szCs w:val="22"/>
          <w:lang w:val="el-GR"/>
        </w:rPr>
        <w:t xml:space="preserve"> </w:t>
      </w:r>
      <w:proofErr w:type="spellStart"/>
      <w:r w:rsidRPr="00A66AB5">
        <w:rPr>
          <w:sz w:val="22"/>
          <w:szCs w:val="22"/>
          <w:lang w:val="el-GR"/>
        </w:rPr>
        <w:t>vivo</w:t>
      </w:r>
      <w:proofErr w:type="spellEnd"/>
      <w:r w:rsidRPr="00A66AB5">
        <w:rPr>
          <w:sz w:val="22"/>
          <w:szCs w:val="22"/>
          <w:lang w:val="el-GR"/>
        </w:rPr>
        <w:t>. Σε ζώα εργαστηρίου σε κλινικά σχετικό επίπεδο έκθεσης, παρατηρήθηκαν οι παρακάτω αποκλίσεις, οι οποίες δεν έχουν επιβεβαιωθεί μέχρι τώρα σε μακροπρόθεσμη κλινική έρευνα:</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Σε αρουραίους, έχει παρατηρηθεί εναπόθεση χρωστικής στον θυρεοειδή αδένα, σε πιθήκους του γένους </w:t>
      </w:r>
      <w:proofErr w:type="spellStart"/>
      <w:r w:rsidRPr="00A66AB5">
        <w:rPr>
          <w:sz w:val="22"/>
          <w:szCs w:val="22"/>
          <w:lang w:val="el-GR"/>
        </w:rPr>
        <w:t>cynomolgus</w:t>
      </w:r>
      <w:proofErr w:type="spellEnd"/>
      <w:r w:rsidRPr="00A66AB5">
        <w:rPr>
          <w:sz w:val="22"/>
          <w:szCs w:val="22"/>
          <w:lang w:val="el-GR"/>
        </w:rPr>
        <w:t xml:space="preserve"> έχει παρατηρηθεί υπερτροφία </w:t>
      </w:r>
      <w:proofErr w:type="spellStart"/>
      <w:r w:rsidRPr="00A66AB5">
        <w:rPr>
          <w:sz w:val="22"/>
          <w:szCs w:val="22"/>
          <w:lang w:val="el-GR"/>
        </w:rPr>
        <w:t>θυλακιωδών</w:t>
      </w:r>
      <w:proofErr w:type="spellEnd"/>
      <w:r w:rsidRPr="00A66AB5">
        <w:rPr>
          <w:sz w:val="22"/>
          <w:szCs w:val="22"/>
          <w:lang w:val="el-GR"/>
        </w:rPr>
        <w:t xml:space="preserve"> κυττάρων του θυρεοειδούς, μείωση των επιπέδων Τ3 στο πλάσμα, μειωμένη συγκέντρωση αιμοσφαιρίνης και μείωση του αριθμού των ερυθρών και λευκών αιμοσφαιρίων και σε σκύλους έχει παρατηρηθεί θολερότητα φακού και καταρράκτης. (Για τον καταρράκτη/θολερότητες φακού, βλ. παράγραφο 5.1).</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 xml:space="preserve">Λαμβάνοντας υπόψη αυτά τα ευρήματα, τα οφέλη της θεραπείας με </w:t>
      </w:r>
      <w:proofErr w:type="spellStart"/>
      <w:r w:rsidRPr="00A66AB5">
        <w:rPr>
          <w:sz w:val="22"/>
          <w:szCs w:val="22"/>
          <w:lang w:val="el-GR"/>
        </w:rPr>
        <w:t>κουετιαπίνη</w:t>
      </w:r>
      <w:proofErr w:type="spellEnd"/>
      <w:r w:rsidRPr="00A66AB5">
        <w:rPr>
          <w:sz w:val="22"/>
          <w:szCs w:val="22"/>
          <w:lang w:val="el-GR"/>
        </w:rPr>
        <w:t xml:space="preserve"> χρειάζεται να σταθμιστούν έναντι των κινδύνων ασφάλειας για τον ασθενή.</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numPr>
          <w:ilvl w:val="0"/>
          <w:numId w:val="7"/>
        </w:numPr>
        <w:tabs>
          <w:tab w:val="clear" w:pos="4320"/>
          <w:tab w:val="clear" w:pos="8640"/>
        </w:tabs>
        <w:jc w:val="both"/>
        <w:rPr>
          <w:b/>
          <w:sz w:val="22"/>
          <w:szCs w:val="22"/>
        </w:rPr>
      </w:pPr>
      <w:r w:rsidRPr="00A66AB5">
        <w:rPr>
          <w:b/>
          <w:sz w:val="22"/>
          <w:szCs w:val="22"/>
          <w:lang w:val="el-GR"/>
        </w:rPr>
        <w:t>ΦΑΡΜΑΚΕΥΤΙΚΕΣ ΠΛΗΡΟΦΟΡΙΕΣ</w:t>
      </w:r>
    </w:p>
    <w:p w:rsidR="00380EEB" w:rsidRPr="00A66AB5" w:rsidRDefault="00380EEB">
      <w:pPr>
        <w:pStyle w:val="a3"/>
        <w:tabs>
          <w:tab w:val="clear" w:pos="4320"/>
          <w:tab w:val="clear" w:pos="8640"/>
        </w:tabs>
        <w:jc w:val="both"/>
        <w:rPr>
          <w:b/>
          <w:sz w:val="22"/>
          <w:szCs w:val="22"/>
        </w:rPr>
      </w:pPr>
    </w:p>
    <w:p w:rsidR="00380EEB" w:rsidRPr="00A66AB5" w:rsidRDefault="000552F7">
      <w:pPr>
        <w:pStyle w:val="a3"/>
        <w:numPr>
          <w:ilvl w:val="1"/>
          <w:numId w:val="7"/>
        </w:numPr>
        <w:tabs>
          <w:tab w:val="clear" w:pos="4320"/>
          <w:tab w:val="clear" w:pos="8640"/>
        </w:tabs>
        <w:jc w:val="both"/>
        <w:rPr>
          <w:b/>
          <w:sz w:val="22"/>
          <w:szCs w:val="22"/>
        </w:rPr>
      </w:pPr>
      <w:r>
        <w:rPr>
          <w:b/>
          <w:sz w:val="22"/>
          <w:szCs w:val="22"/>
          <w:lang w:val="el-GR"/>
        </w:rPr>
        <w:t>Κατάλογος εκδόχων</w:t>
      </w:r>
    </w:p>
    <w:p w:rsidR="00380EEB" w:rsidRPr="00A66AB5" w:rsidRDefault="00380EEB">
      <w:pPr>
        <w:pStyle w:val="a3"/>
        <w:tabs>
          <w:tab w:val="clear" w:pos="4320"/>
          <w:tab w:val="clear" w:pos="8640"/>
        </w:tabs>
        <w:jc w:val="both"/>
        <w:rPr>
          <w:b/>
          <w:sz w:val="22"/>
          <w:szCs w:val="22"/>
        </w:rPr>
      </w:pPr>
    </w:p>
    <w:p w:rsidR="00380EEB" w:rsidRPr="00A66AB5" w:rsidRDefault="00380EEB">
      <w:pPr>
        <w:pStyle w:val="a3"/>
        <w:tabs>
          <w:tab w:val="clear" w:pos="4320"/>
          <w:tab w:val="clear" w:pos="8640"/>
        </w:tabs>
        <w:jc w:val="both"/>
        <w:rPr>
          <w:sz w:val="22"/>
          <w:szCs w:val="22"/>
        </w:rPr>
      </w:pPr>
      <w:r w:rsidRPr="00A66AB5">
        <w:rPr>
          <w:b/>
          <w:sz w:val="22"/>
          <w:szCs w:val="22"/>
          <w:u w:val="single"/>
          <w:lang w:val="el-GR"/>
        </w:rPr>
        <w:t>Πυρήνας</w:t>
      </w:r>
      <w:r w:rsidRPr="00A66AB5">
        <w:rPr>
          <w:b/>
          <w:sz w:val="22"/>
          <w:szCs w:val="22"/>
          <w:u w:val="single"/>
        </w:rPr>
        <w:t xml:space="preserve">: </w:t>
      </w:r>
    </w:p>
    <w:p w:rsidR="00841862" w:rsidRPr="00841862" w:rsidRDefault="00841862" w:rsidP="00841862">
      <w:pPr>
        <w:pStyle w:val="a3"/>
        <w:jc w:val="both"/>
        <w:rPr>
          <w:b/>
          <w:bCs/>
          <w:i/>
          <w:sz w:val="22"/>
          <w:szCs w:val="22"/>
        </w:rPr>
      </w:pPr>
      <w:r w:rsidRPr="00841862">
        <w:rPr>
          <w:b/>
          <w:bCs/>
          <w:i/>
          <w:sz w:val="22"/>
          <w:szCs w:val="22"/>
        </w:rPr>
        <w:t>50</w:t>
      </w:r>
      <w:r>
        <w:rPr>
          <w:b/>
          <w:bCs/>
          <w:i/>
          <w:sz w:val="22"/>
          <w:szCs w:val="22"/>
          <w:lang w:val="el-GR"/>
        </w:rPr>
        <w:t xml:space="preserve"> </w:t>
      </w:r>
      <w:r w:rsidRPr="00841862">
        <w:rPr>
          <w:b/>
          <w:bCs/>
          <w:i/>
          <w:sz w:val="22"/>
          <w:szCs w:val="22"/>
        </w:rPr>
        <w:t>mg:</w:t>
      </w:r>
    </w:p>
    <w:p w:rsidR="00380EEB" w:rsidRPr="00A66AB5" w:rsidRDefault="00640CE8">
      <w:pPr>
        <w:pStyle w:val="a3"/>
        <w:tabs>
          <w:tab w:val="clear" w:pos="4320"/>
          <w:tab w:val="clear" w:pos="8640"/>
        </w:tabs>
        <w:jc w:val="both"/>
        <w:rPr>
          <w:sz w:val="22"/>
          <w:szCs w:val="22"/>
        </w:rPr>
      </w:pPr>
      <w:proofErr w:type="spellStart"/>
      <w:r w:rsidRPr="00A66AB5">
        <w:rPr>
          <w:sz w:val="22"/>
          <w:szCs w:val="22"/>
          <w:lang w:val="el-GR"/>
        </w:rPr>
        <w:t>Μονοϋδρική</w:t>
      </w:r>
      <w:proofErr w:type="spellEnd"/>
      <w:r w:rsidRPr="00A66AB5">
        <w:rPr>
          <w:sz w:val="22"/>
          <w:szCs w:val="22"/>
          <w:lang w:val="el-GR"/>
        </w:rPr>
        <w:t xml:space="preserve"> </w:t>
      </w:r>
      <w:r w:rsidR="00380EEB" w:rsidRPr="00A66AB5">
        <w:rPr>
          <w:sz w:val="22"/>
          <w:szCs w:val="22"/>
          <w:lang w:val="el-GR"/>
        </w:rPr>
        <w:t>λακτόζη</w:t>
      </w:r>
    </w:p>
    <w:p w:rsidR="00380EEB" w:rsidRPr="00A66AB5" w:rsidRDefault="00380EEB">
      <w:pPr>
        <w:pStyle w:val="a3"/>
        <w:tabs>
          <w:tab w:val="clear" w:pos="4320"/>
          <w:tab w:val="clear" w:pos="8640"/>
        </w:tabs>
        <w:jc w:val="both"/>
        <w:rPr>
          <w:sz w:val="22"/>
          <w:szCs w:val="22"/>
        </w:rPr>
      </w:pPr>
      <w:proofErr w:type="spellStart"/>
      <w:r w:rsidRPr="00A66AB5">
        <w:rPr>
          <w:sz w:val="22"/>
          <w:szCs w:val="22"/>
          <w:lang w:val="el-GR"/>
        </w:rPr>
        <w:t>Υπρομελλόζη</w:t>
      </w:r>
      <w:proofErr w:type="spellEnd"/>
      <w:r w:rsidR="00841862" w:rsidRPr="00BC6736">
        <w:rPr>
          <w:sz w:val="22"/>
          <w:szCs w:val="22"/>
        </w:rPr>
        <w:t xml:space="preserve"> (</w:t>
      </w:r>
      <w:r w:rsidR="00841862" w:rsidRPr="00841862">
        <w:rPr>
          <w:sz w:val="22"/>
          <w:szCs w:val="22"/>
          <w:lang w:val="en-GB"/>
        </w:rPr>
        <w:t xml:space="preserve">K4M </w:t>
      </w:r>
      <w:r w:rsidR="00841862">
        <w:rPr>
          <w:sz w:val="22"/>
          <w:szCs w:val="22"/>
          <w:lang w:val="el-GR"/>
        </w:rPr>
        <w:t>και</w:t>
      </w:r>
      <w:r w:rsidR="00841862" w:rsidRPr="00841862">
        <w:rPr>
          <w:sz w:val="22"/>
          <w:szCs w:val="22"/>
          <w:lang w:val="en-GB"/>
        </w:rPr>
        <w:t xml:space="preserve"> K100 Premium LV CR</w:t>
      </w:r>
      <w:r w:rsidR="00841862" w:rsidRPr="00BC6736">
        <w:rPr>
          <w:sz w:val="22"/>
          <w:szCs w:val="22"/>
        </w:rPr>
        <w:t>)</w:t>
      </w:r>
    </w:p>
    <w:p w:rsidR="00380EEB" w:rsidRPr="00BC6736" w:rsidRDefault="00380EEB">
      <w:pPr>
        <w:pStyle w:val="a3"/>
        <w:tabs>
          <w:tab w:val="clear" w:pos="4320"/>
          <w:tab w:val="clear" w:pos="8640"/>
        </w:tabs>
        <w:jc w:val="both"/>
        <w:rPr>
          <w:sz w:val="22"/>
          <w:szCs w:val="22"/>
          <w:lang w:val="el-GR"/>
        </w:rPr>
      </w:pPr>
      <w:r w:rsidRPr="00A66AB5">
        <w:rPr>
          <w:sz w:val="22"/>
          <w:szCs w:val="22"/>
          <w:lang w:val="el-GR"/>
        </w:rPr>
        <w:t>Χλωριούχο νάτριο</w:t>
      </w:r>
    </w:p>
    <w:p w:rsidR="00380EEB" w:rsidRDefault="00380EEB">
      <w:pPr>
        <w:pStyle w:val="a3"/>
        <w:tabs>
          <w:tab w:val="clear" w:pos="4320"/>
          <w:tab w:val="clear" w:pos="8640"/>
        </w:tabs>
        <w:jc w:val="both"/>
        <w:rPr>
          <w:sz w:val="22"/>
          <w:szCs w:val="22"/>
          <w:lang w:val="el-GR"/>
        </w:rPr>
      </w:pPr>
      <w:proofErr w:type="spellStart"/>
      <w:r w:rsidRPr="00A66AB5">
        <w:rPr>
          <w:sz w:val="22"/>
          <w:szCs w:val="22"/>
          <w:lang w:val="el-GR"/>
        </w:rPr>
        <w:t>Ποβιδόνη</w:t>
      </w:r>
      <w:proofErr w:type="spellEnd"/>
      <w:r w:rsidRPr="00A66AB5">
        <w:rPr>
          <w:sz w:val="22"/>
          <w:szCs w:val="22"/>
          <w:lang w:val="el-GR"/>
        </w:rPr>
        <w:t xml:space="preserve"> Κ</w:t>
      </w:r>
      <w:r w:rsidRPr="00BC6736">
        <w:rPr>
          <w:sz w:val="22"/>
          <w:szCs w:val="22"/>
          <w:lang w:val="el-GR"/>
        </w:rPr>
        <w:t>-30</w:t>
      </w:r>
    </w:p>
    <w:p w:rsidR="00841862" w:rsidRPr="00791987" w:rsidRDefault="00F67AFC">
      <w:pPr>
        <w:pStyle w:val="a3"/>
        <w:tabs>
          <w:tab w:val="clear" w:pos="4320"/>
          <w:tab w:val="clear" w:pos="8640"/>
        </w:tabs>
        <w:jc w:val="both"/>
        <w:rPr>
          <w:sz w:val="22"/>
          <w:szCs w:val="22"/>
          <w:lang w:val="el-GR"/>
        </w:rPr>
      </w:pPr>
      <w:proofErr w:type="spellStart"/>
      <w:r>
        <w:rPr>
          <w:sz w:val="22"/>
          <w:szCs w:val="22"/>
          <w:lang w:val="el-GR"/>
        </w:rPr>
        <w:t>Μ</w:t>
      </w:r>
      <w:r w:rsidRPr="00F67AFC">
        <w:rPr>
          <w:sz w:val="22"/>
          <w:szCs w:val="22"/>
          <w:lang w:val="el-GR"/>
        </w:rPr>
        <w:t>ικροκρυσταλλική</w:t>
      </w:r>
      <w:proofErr w:type="spellEnd"/>
      <w:r w:rsidRPr="00F67AFC">
        <w:rPr>
          <w:sz w:val="22"/>
          <w:szCs w:val="22"/>
          <w:lang w:val="el-GR"/>
        </w:rPr>
        <w:t xml:space="preserve"> κυτταρίνη κορεσμένη με οξείδιο του πυριτίου</w:t>
      </w:r>
      <w:r w:rsidR="00841862">
        <w:rPr>
          <w:sz w:val="22"/>
          <w:szCs w:val="22"/>
          <w:lang w:val="el-GR"/>
        </w:rPr>
        <w:t xml:space="preserve"> (</w:t>
      </w:r>
      <w:proofErr w:type="spellStart"/>
      <w:r w:rsidR="00841862" w:rsidRPr="00841862">
        <w:rPr>
          <w:sz w:val="22"/>
          <w:szCs w:val="22"/>
          <w:lang w:val="el-GR"/>
        </w:rPr>
        <w:t>μικροκρυσταλλική</w:t>
      </w:r>
      <w:proofErr w:type="spellEnd"/>
      <w:r w:rsidR="00841862" w:rsidRPr="00841862">
        <w:rPr>
          <w:sz w:val="22"/>
          <w:szCs w:val="22"/>
          <w:lang w:val="el-GR"/>
        </w:rPr>
        <w:t xml:space="preserve"> κυτταρίνη</w:t>
      </w:r>
      <w:r w:rsidR="00841862">
        <w:rPr>
          <w:sz w:val="22"/>
          <w:szCs w:val="22"/>
          <w:lang w:val="el-GR"/>
        </w:rPr>
        <w:t xml:space="preserve"> και </w:t>
      </w:r>
      <w:r w:rsidR="00841862" w:rsidRPr="00841862">
        <w:rPr>
          <w:sz w:val="22"/>
          <w:szCs w:val="22"/>
          <w:lang w:val="el-GR"/>
        </w:rPr>
        <w:t xml:space="preserve">κολλοειδής άνυδρη </w:t>
      </w:r>
      <w:proofErr w:type="spellStart"/>
      <w:r w:rsidR="00841862" w:rsidRPr="00841862">
        <w:rPr>
          <w:sz w:val="22"/>
          <w:szCs w:val="22"/>
          <w:lang w:val="el-GR"/>
        </w:rPr>
        <w:t>πυριτία</w:t>
      </w:r>
      <w:proofErr w:type="spellEnd"/>
      <w:r w:rsidR="00841862">
        <w:rPr>
          <w:sz w:val="22"/>
          <w:szCs w:val="22"/>
          <w:lang w:val="el-GR"/>
        </w:rPr>
        <w:t>)</w:t>
      </w:r>
    </w:p>
    <w:p w:rsidR="00380EEB" w:rsidRPr="00791987" w:rsidRDefault="00380EEB">
      <w:pPr>
        <w:pStyle w:val="a3"/>
        <w:tabs>
          <w:tab w:val="clear" w:pos="4320"/>
          <w:tab w:val="clear" w:pos="8640"/>
        </w:tabs>
        <w:jc w:val="both"/>
        <w:rPr>
          <w:sz w:val="22"/>
          <w:szCs w:val="22"/>
          <w:lang w:val="el-GR"/>
        </w:rPr>
      </w:pPr>
      <w:proofErr w:type="spellStart"/>
      <w:r w:rsidRPr="00A66AB5">
        <w:rPr>
          <w:sz w:val="22"/>
          <w:szCs w:val="22"/>
          <w:lang w:val="el-GR"/>
        </w:rPr>
        <w:t>Τ</w:t>
      </w:r>
      <w:r w:rsidR="00841862">
        <w:rPr>
          <w:sz w:val="22"/>
          <w:szCs w:val="22"/>
          <w:lang w:val="el-GR"/>
        </w:rPr>
        <w:t>ά</w:t>
      </w:r>
      <w:r w:rsidRPr="00A66AB5">
        <w:rPr>
          <w:sz w:val="22"/>
          <w:szCs w:val="22"/>
          <w:lang w:val="el-GR"/>
        </w:rPr>
        <w:t>λκ</w:t>
      </w:r>
      <w:r w:rsidR="00640CE8" w:rsidRPr="00A66AB5">
        <w:rPr>
          <w:sz w:val="22"/>
          <w:szCs w:val="22"/>
          <w:lang w:val="el-GR"/>
        </w:rPr>
        <w:t>η</w:t>
      </w:r>
      <w:proofErr w:type="spellEnd"/>
    </w:p>
    <w:p w:rsidR="00380EEB" w:rsidRPr="00791987" w:rsidRDefault="00380EEB">
      <w:pPr>
        <w:pStyle w:val="a3"/>
        <w:tabs>
          <w:tab w:val="clear" w:pos="4320"/>
          <w:tab w:val="clear" w:pos="8640"/>
        </w:tabs>
        <w:jc w:val="both"/>
        <w:rPr>
          <w:sz w:val="22"/>
          <w:szCs w:val="22"/>
          <w:lang w:val="el-GR"/>
        </w:rPr>
      </w:pPr>
      <w:r w:rsidRPr="00A66AB5">
        <w:rPr>
          <w:sz w:val="22"/>
          <w:szCs w:val="22"/>
          <w:lang w:val="el-GR"/>
        </w:rPr>
        <w:t>Στεατικό μαγνήσιο</w:t>
      </w:r>
      <w:r w:rsidRPr="00791987">
        <w:rPr>
          <w:sz w:val="22"/>
          <w:szCs w:val="22"/>
          <w:lang w:val="el-GR"/>
        </w:rPr>
        <w:t xml:space="preserve"> (</w:t>
      </w:r>
      <w:r w:rsidR="00841862" w:rsidRPr="00841862">
        <w:rPr>
          <w:sz w:val="22"/>
          <w:szCs w:val="22"/>
          <w:lang w:val="en-GB"/>
        </w:rPr>
        <w:t>E</w:t>
      </w:r>
      <w:r w:rsidR="00841862" w:rsidRPr="00791987">
        <w:rPr>
          <w:sz w:val="22"/>
          <w:szCs w:val="22"/>
          <w:lang w:val="el-GR"/>
        </w:rPr>
        <w:t>470</w:t>
      </w:r>
      <w:r w:rsidR="00841862" w:rsidRPr="00841862">
        <w:rPr>
          <w:sz w:val="22"/>
          <w:szCs w:val="22"/>
          <w:lang w:val="en-GB"/>
        </w:rPr>
        <w:t>b</w:t>
      </w:r>
      <w:r w:rsidRPr="00791987">
        <w:rPr>
          <w:sz w:val="22"/>
          <w:szCs w:val="22"/>
          <w:lang w:val="el-GR"/>
        </w:rPr>
        <w:t>)</w:t>
      </w:r>
    </w:p>
    <w:p w:rsidR="00841862" w:rsidRPr="00791987" w:rsidRDefault="00841862" w:rsidP="00841862">
      <w:pPr>
        <w:pStyle w:val="a3"/>
        <w:jc w:val="both"/>
        <w:rPr>
          <w:b/>
          <w:bCs/>
          <w:sz w:val="22"/>
          <w:szCs w:val="22"/>
          <w:u w:val="single"/>
          <w:lang w:val="el-GR"/>
        </w:rPr>
      </w:pPr>
    </w:p>
    <w:p w:rsidR="00841862" w:rsidRPr="00791987" w:rsidRDefault="00841862" w:rsidP="00841862">
      <w:pPr>
        <w:pStyle w:val="a3"/>
        <w:jc w:val="both"/>
        <w:rPr>
          <w:b/>
          <w:bCs/>
          <w:i/>
          <w:sz w:val="22"/>
          <w:szCs w:val="22"/>
          <w:u w:val="single"/>
          <w:lang w:val="el-GR"/>
        </w:rPr>
      </w:pPr>
      <w:r w:rsidRPr="00791987">
        <w:rPr>
          <w:b/>
          <w:bCs/>
          <w:i/>
          <w:sz w:val="22"/>
          <w:szCs w:val="22"/>
          <w:u w:val="single"/>
          <w:lang w:val="el-GR"/>
        </w:rPr>
        <w:t>200/300/400</w:t>
      </w:r>
      <w:r>
        <w:rPr>
          <w:b/>
          <w:bCs/>
          <w:i/>
          <w:sz w:val="22"/>
          <w:szCs w:val="22"/>
          <w:u w:val="single"/>
          <w:lang w:val="el-GR"/>
        </w:rPr>
        <w:t xml:space="preserve"> </w:t>
      </w:r>
      <w:r w:rsidRPr="00841862">
        <w:rPr>
          <w:b/>
          <w:bCs/>
          <w:i/>
          <w:sz w:val="22"/>
          <w:szCs w:val="22"/>
          <w:u w:val="single"/>
        </w:rPr>
        <w:t>mg</w:t>
      </w:r>
      <w:r w:rsidRPr="00791987">
        <w:rPr>
          <w:b/>
          <w:bCs/>
          <w:i/>
          <w:sz w:val="22"/>
          <w:szCs w:val="22"/>
          <w:u w:val="single"/>
          <w:lang w:val="el-GR"/>
        </w:rPr>
        <w:t>:</w:t>
      </w:r>
    </w:p>
    <w:p w:rsidR="00841862" w:rsidRPr="00791987" w:rsidRDefault="00841862" w:rsidP="00841862">
      <w:pPr>
        <w:pStyle w:val="a3"/>
        <w:jc w:val="both"/>
        <w:rPr>
          <w:sz w:val="22"/>
          <w:szCs w:val="22"/>
          <w:u w:val="single"/>
          <w:lang w:val="el-GR"/>
        </w:rPr>
      </w:pPr>
      <w:proofErr w:type="spellStart"/>
      <w:r w:rsidRPr="00A66AB5">
        <w:rPr>
          <w:sz w:val="22"/>
          <w:szCs w:val="22"/>
          <w:lang w:val="el-GR"/>
        </w:rPr>
        <w:t>Μονοϋδρική</w:t>
      </w:r>
      <w:proofErr w:type="spellEnd"/>
      <w:r w:rsidRPr="00A66AB5">
        <w:rPr>
          <w:sz w:val="22"/>
          <w:szCs w:val="22"/>
          <w:lang w:val="el-GR"/>
        </w:rPr>
        <w:t xml:space="preserve"> λακτόζη</w:t>
      </w:r>
    </w:p>
    <w:p w:rsidR="00841862" w:rsidRPr="00791987" w:rsidRDefault="00841862" w:rsidP="00841862">
      <w:pPr>
        <w:pStyle w:val="a3"/>
        <w:jc w:val="both"/>
        <w:rPr>
          <w:sz w:val="22"/>
          <w:szCs w:val="22"/>
          <w:u w:val="single"/>
          <w:lang w:val="el-GR"/>
        </w:rPr>
      </w:pPr>
      <w:proofErr w:type="spellStart"/>
      <w:r w:rsidRPr="00A66AB5">
        <w:rPr>
          <w:sz w:val="22"/>
          <w:szCs w:val="22"/>
          <w:lang w:val="el-GR"/>
        </w:rPr>
        <w:t>Υπρομελλόζη</w:t>
      </w:r>
      <w:proofErr w:type="spellEnd"/>
      <w:r w:rsidRPr="00791987">
        <w:rPr>
          <w:sz w:val="22"/>
          <w:szCs w:val="22"/>
          <w:u w:val="single"/>
          <w:lang w:val="el-GR"/>
        </w:rPr>
        <w:t xml:space="preserve"> (</w:t>
      </w:r>
      <w:r w:rsidRPr="00791987">
        <w:rPr>
          <w:sz w:val="22"/>
          <w:szCs w:val="22"/>
          <w:u w:val="single"/>
        </w:rPr>
        <w:t>K</w:t>
      </w:r>
      <w:r w:rsidRPr="00791987">
        <w:rPr>
          <w:sz w:val="22"/>
          <w:szCs w:val="22"/>
          <w:u w:val="single"/>
          <w:lang w:val="el-GR"/>
        </w:rPr>
        <w:t>4</w:t>
      </w:r>
      <w:r w:rsidRPr="00791987">
        <w:rPr>
          <w:sz w:val="22"/>
          <w:szCs w:val="22"/>
          <w:u w:val="single"/>
        </w:rPr>
        <w:t>M</w:t>
      </w:r>
      <w:r w:rsidRPr="00791987">
        <w:rPr>
          <w:sz w:val="22"/>
          <w:szCs w:val="22"/>
          <w:u w:val="single"/>
          <w:lang w:val="el-GR"/>
        </w:rPr>
        <w:t>)</w:t>
      </w:r>
    </w:p>
    <w:p w:rsidR="00841862" w:rsidRPr="00791987" w:rsidRDefault="00841862" w:rsidP="00841862">
      <w:pPr>
        <w:pStyle w:val="a3"/>
        <w:jc w:val="both"/>
        <w:rPr>
          <w:sz w:val="22"/>
          <w:szCs w:val="22"/>
          <w:u w:val="single"/>
          <w:lang w:val="el-GR"/>
        </w:rPr>
      </w:pPr>
      <w:r w:rsidRPr="00A66AB5">
        <w:rPr>
          <w:sz w:val="22"/>
          <w:szCs w:val="22"/>
          <w:lang w:val="el-GR"/>
        </w:rPr>
        <w:t>Χλωριούχο νάτριο</w:t>
      </w:r>
    </w:p>
    <w:p w:rsidR="00841862" w:rsidRPr="00791987" w:rsidRDefault="00841862" w:rsidP="00841862">
      <w:pPr>
        <w:pStyle w:val="a3"/>
        <w:jc w:val="both"/>
        <w:rPr>
          <w:sz w:val="22"/>
          <w:szCs w:val="22"/>
          <w:u w:val="single"/>
          <w:lang w:val="el-GR"/>
        </w:rPr>
      </w:pPr>
      <w:proofErr w:type="spellStart"/>
      <w:r w:rsidRPr="00A66AB5">
        <w:rPr>
          <w:sz w:val="22"/>
          <w:szCs w:val="22"/>
          <w:lang w:val="el-GR"/>
        </w:rPr>
        <w:t>Ποβιδόνη</w:t>
      </w:r>
      <w:proofErr w:type="spellEnd"/>
      <w:r w:rsidRPr="00791987">
        <w:rPr>
          <w:sz w:val="22"/>
          <w:szCs w:val="22"/>
          <w:lang w:val="el-GR"/>
        </w:rPr>
        <w:t xml:space="preserve"> </w:t>
      </w:r>
      <w:r w:rsidRPr="00791987">
        <w:rPr>
          <w:sz w:val="22"/>
          <w:szCs w:val="22"/>
        </w:rPr>
        <w:t>K</w:t>
      </w:r>
      <w:r w:rsidRPr="00791987">
        <w:rPr>
          <w:sz w:val="22"/>
          <w:szCs w:val="22"/>
          <w:lang w:val="el-GR"/>
        </w:rPr>
        <w:t>-30</w:t>
      </w:r>
    </w:p>
    <w:p w:rsidR="00841862" w:rsidRPr="00791987" w:rsidRDefault="00841862" w:rsidP="00841862">
      <w:pPr>
        <w:pStyle w:val="a3"/>
        <w:jc w:val="both"/>
        <w:rPr>
          <w:sz w:val="22"/>
          <w:szCs w:val="22"/>
          <w:u w:val="single"/>
          <w:lang w:val="el-GR"/>
        </w:rPr>
      </w:pPr>
      <w:proofErr w:type="spellStart"/>
      <w:r w:rsidRPr="00A66AB5">
        <w:rPr>
          <w:sz w:val="22"/>
          <w:szCs w:val="22"/>
          <w:lang w:val="el-GR"/>
        </w:rPr>
        <w:t>Τ</w:t>
      </w:r>
      <w:r>
        <w:rPr>
          <w:sz w:val="22"/>
          <w:szCs w:val="22"/>
          <w:lang w:val="el-GR"/>
        </w:rPr>
        <w:t>ά</w:t>
      </w:r>
      <w:r w:rsidRPr="00A66AB5">
        <w:rPr>
          <w:sz w:val="22"/>
          <w:szCs w:val="22"/>
          <w:lang w:val="el-GR"/>
        </w:rPr>
        <w:t>λκη</w:t>
      </w:r>
      <w:proofErr w:type="spellEnd"/>
    </w:p>
    <w:p w:rsidR="00841862" w:rsidRPr="00791987" w:rsidRDefault="00841862" w:rsidP="00841862">
      <w:pPr>
        <w:pStyle w:val="a3"/>
        <w:jc w:val="both"/>
        <w:rPr>
          <w:sz w:val="22"/>
          <w:szCs w:val="22"/>
          <w:u w:val="single"/>
          <w:lang w:val="el-GR"/>
        </w:rPr>
      </w:pPr>
      <w:r w:rsidRPr="00A66AB5">
        <w:rPr>
          <w:sz w:val="22"/>
          <w:szCs w:val="22"/>
          <w:lang w:val="el-GR"/>
        </w:rPr>
        <w:t>Στεατικό μαγνήσιο</w:t>
      </w:r>
      <w:r w:rsidRPr="00791987">
        <w:rPr>
          <w:sz w:val="22"/>
          <w:szCs w:val="22"/>
          <w:lang w:val="el-GR"/>
        </w:rPr>
        <w:t xml:space="preserve"> (</w:t>
      </w:r>
      <w:r w:rsidRPr="00791987">
        <w:rPr>
          <w:sz w:val="22"/>
          <w:szCs w:val="22"/>
        </w:rPr>
        <w:t>E</w:t>
      </w:r>
      <w:r w:rsidRPr="00791987">
        <w:rPr>
          <w:sz w:val="22"/>
          <w:szCs w:val="22"/>
          <w:lang w:val="el-GR"/>
        </w:rPr>
        <w:t>470</w:t>
      </w:r>
      <w:r w:rsidRPr="00791987">
        <w:rPr>
          <w:sz w:val="22"/>
          <w:szCs w:val="22"/>
        </w:rPr>
        <w:t>b</w:t>
      </w:r>
      <w:r w:rsidRPr="00791987">
        <w:rPr>
          <w:sz w:val="22"/>
          <w:szCs w:val="22"/>
          <w:lang w:val="el-GR"/>
        </w:rPr>
        <w:t>)</w:t>
      </w:r>
    </w:p>
    <w:p w:rsidR="00380EEB" w:rsidRPr="00791987" w:rsidRDefault="00380EEB">
      <w:pPr>
        <w:pStyle w:val="a3"/>
        <w:tabs>
          <w:tab w:val="clear" w:pos="4320"/>
          <w:tab w:val="clear" w:pos="8640"/>
        </w:tabs>
        <w:jc w:val="both"/>
        <w:rPr>
          <w:b/>
          <w:sz w:val="22"/>
          <w:szCs w:val="22"/>
          <w:u w:val="single"/>
          <w:lang w:val="el-GR"/>
        </w:rPr>
      </w:pPr>
    </w:p>
    <w:p w:rsidR="00380EEB" w:rsidRPr="00791987" w:rsidRDefault="00380EEB">
      <w:pPr>
        <w:pStyle w:val="a3"/>
        <w:tabs>
          <w:tab w:val="clear" w:pos="4320"/>
          <w:tab w:val="clear" w:pos="8640"/>
        </w:tabs>
        <w:jc w:val="both"/>
        <w:rPr>
          <w:b/>
          <w:sz w:val="22"/>
          <w:szCs w:val="22"/>
          <w:u w:val="single"/>
          <w:lang w:val="el-GR"/>
        </w:rPr>
      </w:pPr>
      <w:r w:rsidRPr="00A66AB5">
        <w:rPr>
          <w:b/>
          <w:sz w:val="22"/>
          <w:szCs w:val="22"/>
          <w:u w:val="single"/>
          <w:lang w:val="el-GR"/>
        </w:rPr>
        <w:t>Επικάλυψη</w:t>
      </w:r>
      <w:r w:rsidRPr="00791987">
        <w:rPr>
          <w:b/>
          <w:sz w:val="22"/>
          <w:szCs w:val="22"/>
          <w:u w:val="single"/>
          <w:lang w:val="el-GR"/>
        </w:rPr>
        <w:t>:</w:t>
      </w:r>
    </w:p>
    <w:p w:rsidR="00841862" w:rsidRPr="00791987" w:rsidRDefault="00841862" w:rsidP="00841862">
      <w:pPr>
        <w:pStyle w:val="a3"/>
        <w:tabs>
          <w:tab w:val="clear" w:pos="4320"/>
          <w:tab w:val="clear" w:pos="8640"/>
        </w:tabs>
        <w:jc w:val="both"/>
        <w:rPr>
          <w:b/>
          <w:bCs/>
          <w:sz w:val="22"/>
          <w:szCs w:val="22"/>
          <w:lang w:val="el-GR"/>
        </w:rPr>
      </w:pPr>
      <w:r w:rsidRPr="00791987">
        <w:rPr>
          <w:b/>
          <w:sz w:val="22"/>
          <w:szCs w:val="22"/>
          <w:lang w:val="el-GR"/>
        </w:rPr>
        <w:t xml:space="preserve">Για </w:t>
      </w:r>
      <w:r>
        <w:rPr>
          <w:b/>
          <w:sz w:val="22"/>
          <w:szCs w:val="22"/>
          <w:lang w:val="el-GR"/>
        </w:rPr>
        <w:t xml:space="preserve">τα </w:t>
      </w:r>
      <w:r w:rsidRPr="00791987">
        <w:rPr>
          <w:b/>
          <w:bCs/>
          <w:sz w:val="22"/>
          <w:szCs w:val="22"/>
          <w:lang w:val="el-GR"/>
        </w:rPr>
        <w:t>50</w:t>
      </w:r>
      <w:r>
        <w:rPr>
          <w:b/>
          <w:bCs/>
          <w:sz w:val="22"/>
          <w:szCs w:val="22"/>
          <w:lang w:val="el-GR"/>
        </w:rPr>
        <w:t xml:space="preserve"> </w:t>
      </w:r>
      <w:r w:rsidRPr="00841862">
        <w:rPr>
          <w:b/>
          <w:bCs/>
          <w:sz w:val="22"/>
          <w:szCs w:val="22"/>
        </w:rPr>
        <w:t>mg</w:t>
      </w:r>
      <w:r w:rsidRPr="00791987">
        <w:rPr>
          <w:b/>
          <w:bCs/>
          <w:sz w:val="22"/>
          <w:szCs w:val="22"/>
          <w:lang w:val="el-GR"/>
        </w:rPr>
        <w:t>:</w:t>
      </w:r>
    </w:p>
    <w:p w:rsidR="00841862" w:rsidRPr="00791987" w:rsidRDefault="00300312" w:rsidP="00841862">
      <w:pPr>
        <w:pStyle w:val="a3"/>
        <w:jc w:val="both"/>
        <w:rPr>
          <w:b/>
          <w:bCs/>
          <w:i/>
          <w:sz w:val="22"/>
          <w:szCs w:val="22"/>
          <w:lang w:val="el-GR"/>
        </w:rPr>
      </w:pPr>
      <w:r>
        <w:rPr>
          <w:b/>
          <w:bCs/>
          <w:i/>
          <w:sz w:val="22"/>
          <w:szCs w:val="22"/>
          <w:lang w:val="el-GR"/>
        </w:rPr>
        <w:t xml:space="preserve">Ροζ χρωστική </w:t>
      </w:r>
      <w:proofErr w:type="spellStart"/>
      <w:r>
        <w:rPr>
          <w:b/>
          <w:bCs/>
          <w:i/>
          <w:sz w:val="22"/>
          <w:szCs w:val="22"/>
        </w:rPr>
        <w:t>Opadry</w:t>
      </w:r>
      <w:proofErr w:type="spellEnd"/>
      <w:r w:rsidRPr="00791987">
        <w:rPr>
          <w:b/>
          <w:bCs/>
          <w:i/>
          <w:sz w:val="22"/>
          <w:szCs w:val="22"/>
          <w:lang w:val="el-GR"/>
        </w:rPr>
        <w:t xml:space="preserve"> </w:t>
      </w:r>
      <w:r>
        <w:rPr>
          <w:b/>
          <w:bCs/>
          <w:i/>
          <w:sz w:val="22"/>
          <w:szCs w:val="22"/>
        </w:rPr>
        <w:t>II</w:t>
      </w:r>
      <w:r w:rsidRPr="00791987">
        <w:rPr>
          <w:b/>
          <w:bCs/>
          <w:i/>
          <w:sz w:val="22"/>
          <w:szCs w:val="22"/>
          <w:lang w:val="el-GR"/>
        </w:rPr>
        <w:t xml:space="preserve"> 85</w:t>
      </w:r>
      <w:r>
        <w:rPr>
          <w:b/>
          <w:bCs/>
          <w:i/>
          <w:sz w:val="22"/>
          <w:szCs w:val="22"/>
        </w:rPr>
        <w:t>F</w:t>
      </w:r>
      <w:r w:rsidRPr="00791987">
        <w:rPr>
          <w:b/>
          <w:bCs/>
          <w:i/>
          <w:sz w:val="22"/>
          <w:szCs w:val="22"/>
          <w:lang w:val="el-GR"/>
        </w:rPr>
        <w:t>540003</w:t>
      </w:r>
      <w:r w:rsidR="00841862" w:rsidRPr="00791987">
        <w:rPr>
          <w:b/>
          <w:bCs/>
          <w:i/>
          <w:sz w:val="22"/>
          <w:szCs w:val="22"/>
          <w:lang w:val="el-GR"/>
        </w:rPr>
        <w:t>:</w:t>
      </w:r>
    </w:p>
    <w:p w:rsidR="00841862" w:rsidRPr="00791987" w:rsidRDefault="00300312" w:rsidP="00841862">
      <w:pPr>
        <w:pStyle w:val="a3"/>
        <w:jc w:val="both"/>
        <w:rPr>
          <w:sz w:val="22"/>
          <w:szCs w:val="22"/>
          <w:lang w:val="de-DE"/>
        </w:rPr>
      </w:pPr>
      <w:r>
        <w:rPr>
          <w:sz w:val="22"/>
          <w:szCs w:val="22"/>
          <w:lang w:val="el-GR"/>
        </w:rPr>
        <w:t>Π</w:t>
      </w:r>
      <w:proofErr w:type="spellStart"/>
      <w:r w:rsidRPr="00300312">
        <w:rPr>
          <w:sz w:val="22"/>
          <w:szCs w:val="22"/>
          <w:lang w:val="de-DE"/>
        </w:rPr>
        <w:t>ολυ</w:t>
      </w:r>
      <w:proofErr w:type="spellEnd"/>
      <w:r w:rsidRPr="00300312">
        <w:rPr>
          <w:sz w:val="22"/>
          <w:szCs w:val="22"/>
          <w:lang w:val="de-DE"/>
        </w:rPr>
        <w:t>βινυλική α</w:t>
      </w:r>
      <w:proofErr w:type="spellStart"/>
      <w:r w:rsidRPr="00300312">
        <w:rPr>
          <w:sz w:val="22"/>
          <w:szCs w:val="22"/>
          <w:lang w:val="de-DE"/>
        </w:rPr>
        <w:t>λκοόλη</w:t>
      </w:r>
      <w:proofErr w:type="spellEnd"/>
      <w:r w:rsidR="00841862" w:rsidRPr="00791987">
        <w:rPr>
          <w:sz w:val="22"/>
          <w:szCs w:val="22"/>
          <w:lang w:val="de-DE"/>
        </w:rPr>
        <w:t xml:space="preserve"> (E1203)</w:t>
      </w:r>
    </w:p>
    <w:p w:rsidR="00300312" w:rsidRPr="00791987" w:rsidRDefault="00300312" w:rsidP="00300312">
      <w:pPr>
        <w:pStyle w:val="a3"/>
        <w:jc w:val="both"/>
        <w:rPr>
          <w:sz w:val="22"/>
          <w:szCs w:val="22"/>
          <w:lang w:val="de-DE"/>
        </w:rPr>
      </w:pPr>
      <w:r w:rsidRPr="00A66AB5">
        <w:rPr>
          <w:sz w:val="22"/>
          <w:szCs w:val="22"/>
          <w:lang w:val="el-GR"/>
        </w:rPr>
        <w:t>Διοξείδιο του τιτανίου</w:t>
      </w:r>
      <w:r w:rsidRPr="00791987">
        <w:rPr>
          <w:sz w:val="22"/>
          <w:szCs w:val="22"/>
          <w:lang w:val="de-DE"/>
        </w:rPr>
        <w:t xml:space="preserve"> (E171)</w:t>
      </w:r>
    </w:p>
    <w:p w:rsidR="00300312" w:rsidRPr="00791987" w:rsidRDefault="00300312" w:rsidP="00300312">
      <w:pPr>
        <w:pStyle w:val="a3"/>
        <w:jc w:val="both"/>
        <w:rPr>
          <w:sz w:val="22"/>
          <w:szCs w:val="22"/>
          <w:lang w:val="de-DE"/>
        </w:rPr>
      </w:pPr>
      <w:proofErr w:type="spellStart"/>
      <w:r w:rsidRPr="00A66AB5">
        <w:rPr>
          <w:sz w:val="22"/>
          <w:szCs w:val="22"/>
          <w:lang w:val="el-GR"/>
        </w:rPr>
        <w:t>Πολυαιθυλενογλυκόλη</w:t>
      </w:r>
      <w:proofErr w:type="spellEnd"/>
      <w:r w:rsidRPr="00BC6736">
        <w:rPr>
          <w:sz w:val="22"/>
          <w:szCs w:val="22"/>
          <w:lang w:val="de-DE"/>
        </w:rPr>
        <w:t xml:space="preserve"> (</w:t>
      </w:r>
      <w:proofErr w:type="spellStart"/>
      <w:r w:rsidRPr="00791987">
        <w:rPr>
          <w:sz w:val="22"/>
          <w:szCs w:val="22"/>
          <w:lang w:val="de-DE"/>
        </w:rPr>
        <w:t>Macrogol</w:t>
      </w:r>
      <w:proofErr w:type="spellEnd"/>
      <w:r w:rsidRPr="00BC6736">
        <w:rPr>
          <w:sz w:val="22"/>
          <w:szCs w:val="22"/>
          <w:lang w:val="de-DE"/>
        </w:rPr>
        <w:t xml:space="preserve">) </w:t>
      </w:r>
      <w:r w:rsidRPr="00791987">
        <w:rPr>
          <w:sz w:val="22"/>
          <w:szCs w:val="22"/>
          <w:lang w:val="de-DE"/>
        </w:rPr>
        <w:t>3350 (E1521)</w:t>
      </w:r>
    </w:p>
    <w:p w:rsidR="00300312" w:rsidRPr="00791987" w:rsidRDefault="00300312" w:rsidP="00300312">
      <w:pPr>
        <w:pStyle w:val="a3"/>
        <w:jc w:val="both"/>
        <w:rPr>
          <w:sz w:val="22"/>
          <w:szCs w:val="22"/>
          <w:lang w:val="de-DE"/>
        </w:rPr>
      </w:pPr>
      <w:proofErr w:type="spellStart"/>
      <w:r w:rsidRPr="00A66AB5">
        <w:rPr>
          <w:sz w:val="22"/>
          <w:szCs w:val="22"/>
          <w:lang w:val="el-GR"/>
        </w:rPr>
        <w:t>Τ</w:t>
      </w:r>
      <w:r>
        <w:rPr>
          <w:sz w:val="22"/>
          <w:szCs w:val="22"/>
          <w:lang w:val="el-GR"/>
        </w:rPr>
        <w:t>ά</w:t>
      </w:r>
      <w:r w:rsidRPr="00A66AB5">
        <w:rPr>
          <w:sz w:val="22"/>
          <w:szCs w:val="22"/>
          <w:lang w:val="el-GR"/>
        </w:rPr>
        <w:t>λκη</w:t>
      </w:r>
      <w:proofErr w:type="spellEnd"/>
      <w:r w:rsidRPr="00BC6736">
        <w:rPr>
          <w:sz w:val="22"/>
          <w:szCs w:val="22"/>
          <w:lang w:val="de-DE"/>
        </w:rPr>
        <w:t xml:space="preserve"> </w:t>
      </w:r>
      <w:r w:rsidRPr="00791987">
        <w:rPr>
          <w:sz w:val="22"/>
          <w:szCs w:val="22"/>
          <w:lang w:val="de-DE"/>
        </w:rPr>
        <w:t>(E553b)</w:t>
      </w:r>
    </w:p>
    <w:p w:rsidR="00300312" w:rsidRPr="00791987" w:rsidRDefault="00300312" w:rsidP="00300312">
      <w:pPr>
        <w:pStyle w:val="a3"/>
        <w:jc w:val="both"/>
        <w:rPr>
          <w:sz w:val="22"/>
          <w:szCs w:val="22"/>
          <w:lang w:val="de-DE"/>
        </w:rPr>
      </w:pPr>
      <w:r>
        <w:rPr>
          <w:sz w:val="22"/>
          <w:szCs w:val="22"/>
          <w:lang w:val="el-GR"/>
        </w:rPr>
        <w:t xml:space="preserve">Κόκκινο </w:t>
      </w:r>
      <w:r w:rsidRPr="00A66AB5">
        <w:rPr>
          <w:sz w:val="22"/>
          <w:szCs w:val="22"/>
          <w:lang w:val="el-GR"/>
        </w:rPr>
        <w:t>οξείδιο σιδήρου</w:t>
      </w:r>
      <w:r w:rsidRPr="00791987">
        <w:rPr>
          <w:sz w:val="22"/>
          <w:szCs w:val="22"/>
          <w:lang w:val="de-DE"/>
        </w:rPr>
        <w:t xml:space="preserve"> (E172) </w:t>
      </w:r>
    </w:p>
    <w:p w:rsidR="00300312" w:rsidRPr="00791987" w:rsidRDefault="00300312" w:rsidP="00300312">
      <w:pPr>
        <w:pStyle w:val="a3"/>
        <w:jc w:val="both"/>
        <w:rPr>
          <w:sz w:val="22"/>
          <w:szCs w:val="22"/>
          <w:lang w:val="de-DE"/>
        </w:rPr>
      </w:pPr>
      <w:r w:rsidRPr="00A66AB5">
        <w:rPr>
          <w:sz w:val="22"/>
          <w:szCs w:val="22"/>
          <w:lang w:val="el-GR"/>
        </w:rPr>
        <w:t>Κίτρινο οξείδιο σιδήρου</w:t>
      </w:r>
      <w:r w:rsidRPr="00791987">
        <w:rPr>
          <w:sz w:val="22"/>
          <w:szCs w:val="22"/>
          <w:lang w:val="de-DE"/>
        </w:rPr>
        <w:t xml:space="preserve"> (E172) </w:t>
      </w:r>
    </w:p>
    <w:p w:rsidR="00841862" w:rsidRDefault="00841862">
      <w:pPr>
        <w:pStyle w:val="a3"/>
        <w:tabs>
          <w:tab w:val="clear" w:pos="4320"/>
          <w:tab w:val="clear" w:pos="8640"/>
        </w:tabs>
        <w:jc w:val="both"/>
        <w:rPr>
          <w:b/>
          <w:sz w:val="22"/>
          <w:szCs w:val="22"/>
          <w:u w:val="single"/>
          <w:lang w:val="el-GR"/>
        </w:rPr>
      </w:pPr>
    </w:p>
    <w:p w:rsidR="00380EEB" w:rsidRPr="00791987" w:rsidRDefault="00300312">
      <w:pPr>
        <w:pStyle w:val="a3"/>
        <w:tabs>
          <w:tab w:val="clear" w:pos="4320"/>
          <w:tab w:val="clear" w:pos="8640"/>
        </w:tabs>
        <w:jc w:val="both"/>
        <w:rPr>
          <w:b/>
          <w:sz w:val="22"/>
          <w:szCs w:val="22"/>
          <w:lang w:val="el-GR"/>
        </w:rPr>
      </w:pPr>
      <w:r w:rsidRPr="00791987">
        <w:rPr>
          <w:b/>
          <w:sz w:val="22"/>
          <w:szCs w:val="22"/>
          <w:lang w:val="el-GR"/>
        </w:rPr>
        <w:t xml:space="preserve">Για τα </w:t>
      </w:r>
      <w:r w:rsidR="00380EEB" w:rsidRPr="00791987">
        <w:rPr>
          <w:b/>
          <w:sz w:val="22"/>
          <w:szCs w:val="22"/>
          <w:lang w:val="el-GR"/>
        </w:rPr>
        <w:t>200</w:t>
      </w:r>
      <w:r w:rsidR="00923693" w:rsidRPr="00791987">
        <w:rPr>
          <w:b/>
          <w:sz w:val="22"/>
          <w:szCs w:val="22"/>
          <w:lang w:val="el-GR"/>
        </w:rPr>
        <w:t xml:space="preserve"> </w:t>
      </w:r>
      <w:r w:rsidR="00380EEB" w:rsidRPr="00791987">
        <w:rPr>
          <w:b/>
          <w:sz w:val="22"/>
          <w:szCs w:val="22"/>
        </w:rPr>
        <w:t>mg</w:t>
      </w:r>
      <w:r w:rsidR="00380EEB" w:rsidRPr="00791987">
        <w:rPr>
          <w:b/>
          <w:sz w:val="22"/>
          <w:szCs w:val="22"/>
          <w:lang w:val="el-GR"/>
        </w:rPr>
        <w:t>:</w:t>
      </w:r>
    </w:p>
    <w:p w:rsidR="00380EEB" w:rsidRPr="00A66AB5" w:rsidRDefault="00300312">
      <w:pPr>
        <w:pStyle w:val="a3"/>
        <w:tabs>
          <w:tab w:val="clear" w:pos="4320"/>
          <w:tab w:val="clear" w:pos="8640"/>
        </w:tabs>
        <w:jc w:val="both"/>
        <w:rPr>
          <w:sz w:val="22"/>
          <w:szCs w:val="22"/>
          <w:lang w:val="el-GR"/>
        </w:rPr>
      </w:pPr>
      <w:r w:rsidRPr="00791987">
        <w:rPr>
          <w:b/>
          <w:i/>
          <w:sz w:val="22"/>
          <w:szCs w:val="22"/>
          <w:lang w:val="el-GR"/>
        </w:rPr>
        <w:t>Κ</w:t>
      </w:r>
      <w:r w:rsidR="00380EEB" w:rsidRPr="00791987">
        <w:rPr>
          <w:b/>
          <w:i/>
          <w:sz w:val="22"/>
          <w:szCs w:val="22"/>
          <w:lang w:val="el-GR"/>
        </w:rPr>
        <w:t xml:space="preserve">ίτρινη χρωστική </w:t>
      </w:r>
      <w:proofErr w:type="spellStart"/>
      <w:r w:rsidRPr="00300312">
        <w:rPr>
          <w:b/>
          <w:bCs/>
          <w:i/>
          <w:sz w:val="22"/>
          <w:szCs w:val="22"/>
          <w:lang w:val="en-GB"/>
        </w:rPr>
        <w:t>Opadry</w:t>
      </w:r>
      <w:proofErr w:type="spellEnd"/>
      <w:r w:rsidRPr="00791987">
        <w:rPr>
          <w:b/>
          <w:bCs/>
          <w:i/>
          <w:sz w:val="22"/>
          <w:szCs w:val="22"/>
          <w:lang w:val="el-GR"/>
        </w:rPr>
        <w:t xml:space="preserve"> 03</w:t>
      </w:r>
      <w:r w:rsidRPr="00300312">
        <w:rPr>
          <w:b/>
          <w:bCs/>
          <w:i/>
          <w:sz w:val="22"/>
          <w:szCs w:val="22"/>
          <w:lang w:val="en-GB"/>
        </w:rPr>
        <w:t>B</w:t>
      </w:r>
      <w:r w:rsidRPr="00791987">
        <w:rPr>
          <w:b/>
          <w:bCs/>
          <w:i/>
          <w:sz w:val="22"/>
          <w:szCs w:val="22"/>
          <w:lang w:val="el-GR"/>
        </w:rPr>
        <w:t>52117</w:t>
      </w:r>
      <w:r w:rsidR="00380EEB" w:rsidRPr="00E81051">
        <w:rPr>
          <w:b/>
          <w:sz w:val="22"/>
          <w:szCs w:val="22"/>
          <w:lang w:val="el-GR"/>
        </w:rPr>
        <w:t>:</w:t>
      </w:r>
    </w:p>
    <w:p w:rsidR="00380EEB" w:rsidRPr="00A66AB5" w:rsidRDefault="00380EEB">
      <w:pPr>
        <w:pStyle w:val="a3"/>
        <w:tabs>
          <w:tab w:val="clear" w:pos="4320"/>
          <w:tab w:val="clear" w:pos="8640"/>
        </w:tabs>
        <w:jc w:val="both"/>
        <w:rPr>
          <w:sz w:val="22"/>
          <w:szCs w:val="22"/>
          <w:lang w:val="el-GR"/>
        </w:rPr>
      </w:pPr>
      <w:proofErr w:type="spellStart"/>
      <w:r w:rsidRPr="00A66AB5">
        <w:rPr>
          <w:sz w:val="22"/>
          <w:szCs w:val="22"/>
          <w:lang w:val="el-GR"/>
        </w:rPr>
        <w:t>Υπρομελλόζη</w:t>
      </w:r>
      <w:proofErr w:type="spellEnd"/>
      <w:r w:rsidRPr="00A66AB5">
        <w:rPr>
          <w:sz w:val="22"/>
          <w:szCs w:val="22"/>
          <w:lang w:val="el-GR"/>
        </w:rPr>
        <w:t xml:space="preserve"> 6 </w:t>
      </w:r>
      <w:proofErr w:type="spellStart"/>
      <w:r w:rsidRPr="00A66AB5">
        <w:rPr>
          <w:sz w:val="22"/>
          <w:szCs w:val="22"/>
        </w:rPr>
        <w:t>cP</w:t>
      </w:r>
      <w:proofErr w:type="spellEnd"/>
      <w:r w:rsidRPr="00A66AB5">
        <w:rPr>
          <w:sz w:val="22"/>
          <w:szCs w:val="22"/>
          <w:lang w:val="el-GR"/>
        </w:rPr>
        <w:t xml:space="preserve"> (</w:t>
      </w:r>
      <w:r w:rsidRPr="00A66AB5">
        <w:rPr>
          <w:sz w:val="22"/>
          <w:szCs w:val="22"/>
        </w:rPr>
        <w:t>E</w:t>
      </w:r>
      <w:r w:rsidRPr="00A66AB5">
        <w:rPr>
          <w:sz w:val="22"/>
          <w:szCs w:val="22"/>
          <w:lang w:val="el-GR"/>
        </w:rPr>
        <w:t>464)</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Διοξείδιο του τιτανίου (</w:t>
      </w:r>
      <w:r w:rsidRPr="00A66AB5">
        <w:rPr>
          <w:sz w:val="22"/>
          <w:szCs w:val="22"/>
        </w:rPr>
        <w:t>E</w:t>
      </w:r>
      <w:r w:rsidRPr="00A66AB5">
        <w:rPr>
          <w:sz w:val="22"/>
          <w:szCs w:val="22"/>
          <w:lang w:val="el-GR"/>
        </w:rPr>
        <w:t>171)</w:t>
      </w:r>
    </w:p>
    <w:p w:rsidR="00380EEB" w:rsidRPr="00A66AB5" w:rsidRDefault="00380EEB">
      <w:pPr>
        <w:pStyle w:val="a3"/>
        <w:tabs>
          <w:tab w:val="clear" w:pos="4320"/>
          <w:tab w:val="clear" w:pos="8640"/>
        </w:tabs>
        <w:jc w:val="both"/>
        <w:rPr>
          <w:sz w:val="22"/>
          <w:szCs w:val="22"/>
          <w:lang w:val="el-GR"/>
        </w:rPr>
      </w:pPr>
      <w:proofErr w:type="spellStart"/>
      <w:r w:rsidRPr="00A66AB5">
        <w:rPr>
          <w:sz w:val="22"/>
          <w:szCs w:val="22"/>
          <w:lang w:val="el-GR"/>
        </w:rPr>
        <w:lastRenderedPageBreak/>
        <w:t>Πολυαιθυλενογλυκόλη</w:t>
      </w:r>
      <w:proofErr w:type="spellEnd"/>
      <w:r w:rsidRPr="00A66AB5">
        <w:rPr>
          <w:sz w:val="22"/>
          <w:szCs w:val="22"/>
          <w:lang w:val="el-GR"/>
        </w:rPr>
        <w:t xml:space="preserve"> (</w:t>
      </w:r>
      <w:proofErr w:type="spellStart"/>
      <w:r w:rsidRPr="00A66AB5">
        <w:rPr>
          <w:sz w:val="22"/>
          <w:szCs w:val="22"/>
        </w:rPr>
        <w:t>Macrogol</w:t>
      </w:r>
      <w:proofErr w:type="spellEnd"/>
      <w:r w:rsidRPr="00A66AB5">
        <w:rPr>
          <w:sz w:val="22"/>
          <w:szCs w:val="22"/>
          <w:lang w:val="el-GR"/>
        </w:rPr>
        <w:t xml:space="preserve">) </w:t>
      </w:r>
      <w:r w:rsidR="00300312" w:rsidRPr="00791987">
        <w:rPr>
          <w:sz w:val="22"/>
          <w:szCs w:val="22"/>
          <w:lang w:val="el-GR"/>
        </w:rPr>
        <w:t xml:space="preserve">400 </w:t>
      </w:r>
      <w:r w:rsidRPr="00A66AB5">
        <w:rPr>
          <w:sz w:val="22"/>
          <w:szCs w:val="22"/>
          <w:lang w:val="el-GR"/>
        </w:rPr>
        <w:t>(</w:t>
      </w:r>
      <w:r w:rsidR="00300312" w:rsidRPr="00300312">
        <w:rPr>
          <w:sz w:val="22"/>
          <w:szCs w:val="22"/>
          <w:lang w:val="en-GB"/>
        </w:rPr>
        <w:t>E</w:t>
      </w:r>
      <w:r w:rsidR="00300312" w:rsidRPr="00791987">
        <w:rPr>
          <w:sz w:val="22"/>
          <w:szCs w:val="22"/>
          <w:lang w:val="el-GR"/>
        </w:rPr>
        <w:t>1521</w:t>
      </w:r>
      <w:r w:rsidRPr="00A66AB5">
        <w:rPr>
          <w:sz w:val="22"/>
          <w:szCs w:val="22"/>
          <w:lang w:val="el-GR"/>
        </w:rPr>
        <w:t>)</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Κίτρινο οξείδιο σιδήρου (Ε172)</w:t>
      </w:r>
    </w:p>
    <w:p w:rsidR="00380EEB" w:rsidRPr="00A66AB5" w:rsidRDefault="00380EEB">
      <w:pPr>
        <w:pStyle w:val="a3"/>
        <w:tabs>
          <w:tab w:val="clear" w:pos="4320"/>
          <w:tab w:val="clear" w:pos="8640"/>
        </w:tabs>
        <w:jc w:val="both"/>
        <w:rPr>
          <w:sz w:val="22"/>
          <w:szCs w:val="22"/>
          <w:lang w:val="el-GR"/>
        </w:rPr>
      </w:pPr>
    </w:p>
    <w:p w:rsidR="00380EEB" w:rsidRPr="00791987" w:rsidRDefault="00300312">
      <w:pPr>
        <w:pStyle w:val="a3"/>
        <w:tabs>
          <w:tab w:val="clear" w:pos="4320"/>
          <w:tab w:val="clear" w:pos="8640"/>
        </w:tabs>
        <w:jc w:val="both"/>
        <w:rPr>
          <w:b/>
          <w:sz w:val="22"/>
          <w:szCs w:val="22"/>
          <w:lang w:val="el-GR"/>
        </w:rPr>
      </w:pPr>
      <w:r w:rsidRPr="00791987">
        <w:rPr>
          <w:b/>
          <w:sz w:val="22"/>
          <w:szCs w:val="22"/>
          <w:lang w:val="el-GR"/>
        </w:rPr>
        <w:t xml:space="preserve">Για τα </w:t>
      </w:r>
      <w:r w:rsidR="00380EEB" w:rsidRPr="00791987">
        <w:rPr>
          <w:b/>
          <w:sz w:val="22"/>
          <w:szCs w:val="22"/>
          <w:lang w:val="el-GR"/>
        </w:rPr>
        <w:t>300</w:t>
      </w:r>
      <w:r w:rsidR="00923693" w:rsidRPr="00791987">
        <w:rPr>
          <w:b/>
          <w:sz w:val="22"/>
          <w:szCs w:val="22"/>
          <w:lang w:val="el-GR"/>
        </w:rPr>
        <w:t xml:space="preserve"> </w:t>
      </w:r>
      <w:r w:rsidR="00380EEB" w:rsidRPr="00791987">
        <w:rPr>
          <w:b/>
          <w:sz w:val="22"/>
          <w:szCs w:val="22"/>
        </w:rPr>
        <w:t>mg</w:t>
      </w:r>
      <w:r w:rsidR="00380EEB" w:rsidRPr="00791987">
        <w:rPr>
          <w:b/>
          <w:sz w:val="22"/>
          <w:szCs w:val="22"/>
          <w:lang w:val="el-GR"/>
        </w:rPr>
        <w:t>:</w:t>
      </w:r>
    </w:p>
    <w:p w:rsidR="00380EEB" w:rsidRPr="00E81051" w:rsidRDefault="00300312">
      <w:pPr>
        <w:pStyle w:val="a3"/>
        <w:tabs>
          <w:tab w:val="clear" w:pos="4320"/>
          <w:tab w:val="clear" w:pos="8640"/>
        </w:tabs>
        <w:jc w:val="both"/>
        <w:rPr>
          <w:b/>
          <w:sz w:val="22"/>
          <w:szCs w:val="22"/>
          <w:lang w:val="el-GR"/>
        </w:rPr>
      </w:pPr>
      <w:r w:rsidRPr="00791987">
        <w:rPr>
          <w:b/>
          <w:i/>
          <w:sz w:val="22"/>
          <w:szCs w:val="22"/>
          <w:lang w:val="el-GR"/>
        </w:rPr>
        <w:t>Κ</w:t>
      </w:r>
      <w:r w:rsidR="00380EEB" w:rsidRPr="00791987">
        <w:rPr>
          <w:b/>
          <w:i/>
          <w:sz w:val="22"/>
          <w:szCs w:val="22"/>
          <w:lang w:val="el-GR"/>
        </w:rPr>
        <w:t xml:space="preserve">ίτρινη χρωστική </w:t>
      </w:r>
      <w:proofErr w:type="spellStart"/>
      <w:r w:rsidRPr="00300312">
        <w:rPr>
          <w:b/>
          <w:bCs/>
          <w:i/>
          <w:sz w:val="22"/>
          <w:szCs w:val="22"/>
          <w:lang w:val="en-GB"/>
        </w:rPr>
        <w:t>Opadry</w:t>
      </w:r>
      <w:proofErr w:type="spellEnd"/>
      <w:r w:rsidRPr="00791987">
        <w:rPr>
          <w:b/>
          <w:bCs/>
          <w:i/>
          <w:sz w:val="22"/>
          <w:szCs w:val="22"/>
          <w:lang w:val="el-GR"/>
        </w:rPr>
        <w:t xml:space="preserve"> 03</w:t>
      </w:r>
      <w:r w:rsidRPr="00300312">
        <w:rPr>
          <w:b/>
          <w:bCs/>
          <w:i/>
          <w:sz w:val="22"/>
          <w:szCs w:val="22"/>
          <w:lang w:val="en-GB"/>
        </w:rPr>
        <w:t>B</w:t>
      </w:r>
      <w:r w:rsidRPr="00791987">
        <w:rPr>
          <w:b/>
          <w:bCs/>
          <w:i/>
          <w:sz w:val="22"/>
          <w:szCs w:val="22"/>
          <w:lang w:val="el-GR"/>
        </w:rPr>
        <w:t>82929</w:t>
      </w:r>
      <w:r w:rsidR="00380EEB" w:rsidRPr="00E81051">
        <w:rPr>
          <w:b/>
          <w:sz w:val="22"/>
          <w:szCs w:val="22"/>
          <w:lang w:val="el-GR"/>
        </w:rPr>
        <w:t>:</w:t>
      </w:r>
    </w:p>
    <w:p w:rsidR="00380EEB" w:rsidRPr="00A66AB5" w:rsidRDefault="00380EEB">
      <w:pPr>
        <w:pStyle w:val="a3"/>
        <w:tabs>
          <w:tab w:val="clear" w:pos="4320"/>
          <w:tab w:val="clear" w:pos="8640"/>
        </w:tabs>
        <w:jc w:val="both"/>
        <w:rPr>
          <w:sz w:val="22"/>
          <w:szCs w:val="22"/>
          <w:lang w:val="el-GR"/>
        </w:rPr>
      </w:pPr>
      <w:proofErr w:type="spellStart"/>
      <w:r w:rsidRPr="00A66AB5">
        <w:rPr>
          <w:sz w:val="22"/>
          <w:szCs w:val="22"/>
          <w:lang w:val="el-GR"/>
        </w:rPr>
        <w:t>Υπρομελλόζη</w:t>
      </w:r>
      <w:proofErr w:type="spellEnd"/>
      <w:r w:rsidRPr="00A66AB5">
        <w:rPr>
          <w:sz w:val="22"/>
          <w:szCs w:val="22"/>
          <w:lang w:val="el-GR"/>
        </w:rPr>
        <w:t xml:space="preserve"> 6 </w:t>
      </w:r>
      <w:proofErr w:type="spellStart"/>
      <w:r w:rsidRPr="00A66AB5">
        <w:rPr>
          <w:sz w:val="22"/>
          <w:szCs w:val="22"/>
        </w:rPr>
        <w:t>cP</w:t>
      </w:r>
      <w:proofErr w:type="spellEnd"/>
      <w:r w:rsidRPr="00A66AB5">
        <w:rPr>
          <w:sz w:val="22"/>
          <w:szCs w:val="22"/>
          <w:lang w:val="el-GR"/>
        </w:rPr>
        <w:t xml:space="preserve"> (</w:t>
      </w:r>
      <w:r w:rsidRPr="00A66AB5">
        <w:rPr>
          <w:sz w:val="22"/>
          <w:szCs w:val="22"/>
        </w:rPr>
        <w:t>E</w:t>
      </w:r>
      <w:r w:rsidRPr="00A66AB5">
        <w:rPr>
          <w:sz w:val="22"/>
          <w:szCs w:val="22"/>
          <w:lang w:val="el-GR"/>
        </w:rPr>
        <w:t>464)</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Διοξείδιο του τιτανίου (</w:t>
      </w:r>
      <w:r w:rsidRPr="00A66AB5">
        <w:rPr>
          <w:sz w:val="22"/>
          <w:szCs w:val="22"/>
        </w:rPr>
        <w:t>E</w:t>
      </w:r>
      <w:r w:rsidRPr="00A66AB5">
        <w:rPr>
          <w:sz w:val="22"/>
          <w:szCs w:val="22"/>
          <w:lang w:val="el-GR"/>
        </w:rPr>
        <w:t>171)</w:t>
      </w:r>
    </w:p>
    <w:p w:rsidR="00380EEB" w:rsidRPr="00A66AB5" w:rsidRDefault="00380EEB">
      <w:pPr>
        <w:pStyle w:val="a3"/>
        <w:tabs>
          <w:tab w:val="clear" w:pos="4320"/>
          <w:tab w:val="clear" w:pos="8640"/>
        </w:tabs>
        <w:jc w:val="both"/>
        <w:rPr>
          <w:sz w:val="22"/>
          <w:szCs w:val="22"/>
          <w:lang w:val="el-GR"/>
        </w:rPr>
      </w:pPr>
      <w:proofErr w:type="spellStart"/>
      <w:r w:rsidRPr="00A66AB5">
        <w:rPr>
          <w:sz w:val="22"/>
          <w:szCs w:val="22"/>
          <w:lang w:val="el-GR"/>
        </w:rPr>
        <w:t>Πολυαιθυλενογλυκόλη</w:t>
      </w:r>
      <w:proofErr w:type="spellEnd"/>
      <w:r w:rsidRPr="00A66AB5">
        <w:rPr>
          <w:sz w:val="22"/>
          <w:szCs w:val="22"/>
          <w:lang w:val="el-GR"/>
        </w:rPr>
        <w:t xml:space="preserve"> (</w:t>
      </w:r>
      <w:proofErr w:type="spellStart"/>
      <w:r w:rsidRPr="00A66AB5">
        <w:rPr>
          <w:sz w:val="22"/>
          <w:szCs w:val="22"/>
        </w:rPr>
        <w:t>Macrogol</w:t>
      </w:r>
      <w:proofErr w:type="spellEnd"/>
      <w:r w:rsidRPr="00A66AB5">
        <w:rPr>
          <w:sz w:val="22"/>
          <w:szCs w:val="22"/>
          <w:lang w:val="el-GR"/>
        </w:rPr>
        <w:t xml:space="preserve">) </w:t>
      </w:r>
      <w:r w:rsidR="00300312" w:rsidRPr="00791987">
        <w:rPr>
          <w:sz w:val="22"/>
          <w:szCs w:val="22"/>
          <w:lang w:val="el-GR"/>
        </w:rPr>
        <w:t xml:space="preserve">400 </w:t>
      </w:r>
      <w:r w:rsidRPr="00A66AB5">
        <w:rPr>
          <w:sz w:val="22"/>
          <w:szCs w:val="22"/>
          <w:lang w:val="el-GR"/>
        </w:rPr>
        <w:t>(</w:t>
      </w:r>
      <w:r w:rsidR="00300312" w:rsidRPr="00300312">
        <w:rPr>
          <w:sz w:val="22"/>
          <w:szCs w:val="22"/>
          <w:lang w:val="en-GB"/>
        </w:rPr>
        <w:t>E</w:t>
      </w:r>
      <w:r w:rsidR="00300312" w:rsidRPr="00791987">
        <w:rPr>
          <w:sz w:val="22"/>
          <w:szCs w:val="22"/>
          <w:lang w:val="el-GR"/>
        </w:rPr>
        <w:t>1521</w:t>
      </w:r>
      <w:r w:rsidRPr="00A66AB5">
        <w:rPr>
          <w:sz w:val="22"/>
          <w:szCs w:val="22"/>
          <w:lang w:val="el-GR"/>
        </w:rPr>
        <w:t>)</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Κίτρινο οξείδιο σιδήρου (Ε172)</w:t>
      </w:r>
    </w:p>
    <w:p w:rsidR="00380EEB" w:rsidRPr="00A66AB5" w:rsidRDefault="00380EEB">
      <w:pPr>
        <w:pStyle w:val="a3"/>
        <w:tabs>
          <w:tab w:val="clear" w:pos="4320"/>
          <w:tab w:val="clear" w:pos="8640"/>
        </w:tabs>
        <w:jc w:val="both"/>
        <w:rPr>
          <w:b/>
          <w:sz w:val="22"/>
          <w:szCs w:val="22"/>
          <w:u w:val="single"/>
          <w:lang w:val="el-GR"/>
        </w:rPr>
      </w:pPr>
    </w:p>
    <w:p w:rsidR="00380EEB" w:rsidRPr="00791987" w:rsidRDefault="00300312">
      <w:pPr>
        <w:pStyle w:val="a3"/>
        <w:tabs>
          <w:tab w:val="clear" w:pos="4320"/>
          <w:tab w:val="clear" w:pos="8640"/>
        </w:tabs>
        <w:jc w:val="both"/>
        <w:rPr>
          <w:b/>
          <w:sz w:val="22"/>
          <w:szCs w:val="22"/>
          <w:lang w:val="el-GR"/>
        </w:rPr>
      </w:pPr>
      <w:r w:rsidRPr="00791987">
        <w:rPr>
          <w:b/>
          <w:sz w:val="22"/>
          <w:szCs w:val="22"/>
          <w:lang w:val="el-GR"/>
        </w:rPr>
        <w:t xml:space="preserve">Για τα </w:t>
      </w:r>
      <w:r w:rsidR="00380EEB" w:rsidRPr="00791987">
        <w:rPr>
          <w:b/>
          <w:sz w:val="22"/>
          <w:szCs w:val="22"/>
          <w:lang w:val="el-GR"/>
        </w:rPr>
        <w:t>400</w:t>
      </w:r>
      <w:r w:rsidR="00923693" w:rsidRPr="00791987">
        <w:rPr>
          <w:b/>
          <w:sz w:val="22"/>
          <w:szCs w:val="22"/>
          <w:lang w:val="el-GR"/>
        </w:rPr>
        <w:t xml:space="preserve"> </w:t>
      </w:r>
      <w:r w:rsidR="00380EEB" w:rsidRPr="00791987">
        <w:rPr>
          <w:b/>
          <w:sz w:val="22"/>
          <w:szCs w:val="22"/>
        </w:rPr>
        <w:t>mg</w:t>
      </w:r>
      <w:r w:rsidR="00380EEB" w:rsidRPr="00791987">
        <w:rPr>
          <w:b/>
          <w:sz w:val="22"/>
          <w:szCs w:val="22"/>
          <w:lang w:val="el-GR"/>
        </w:rPr>
        <w:t>:</w:t>
      </w:r>
    </w:p>
    <w:p w:rsidR="00380EEB" w:rsidRPr="00E81051" w:rsidRDefault="00300312">
      <w:pPr>
        <w:pStyle w:val="a3"/>
        <w:tabs>
          <w:tab w:val="clear" w:pos="4320"/>
          <w:tab w:val="clear" w:pos="8640"/>
        </w:tabs>
        <w:jc w:val="both"/>
        <w:rPr>
          <w:b/>
          <w:sz w:val="22"/>
          <w:szCs w:val="22"/>
          <w:lang w:val="el-GR"/>
        </w:rPr>
      </w:pPr>
      <w:r w:rsidRPr="00791987">
        <w:rPr>
          <w:b/>
          <w:i/>
          <w:sz w:val="22"/>
          <w:szCs w:val="22"/>
          <w:lang w:val="el-GR"/>
        </w:rPr>
        <w:t>Λ</w:t>
      </w:r>
      <w:r w:rsidR="00380EEB" w:rsidRPr="00791987">
        <w:rPr>
          <w:b/>
          <w:i/>
          <w:sz w:val="22"/>
          <w:szCs w:val="22"/>
          <w:lang w:val="el-GR"/>
        </w:rPr>
        <w:t xml:space="preserve">ευκή χρωστική </w:t>
      </w:r>
      <w:proofErr w:type="spellStart"/>
      <w:r w:rsidRPr="00300312">
        <w:rPr>
          <w:b/>
          <w:bCs/>
          <w:i/>
          <w:sz w:val="22"/>
          <w:szCs w:val="22"/>
          <w:lang w:val="en-GB"/>
        </w:rPr>
        <w:t>Opadry</w:t>
      </w:r>
      <w:proofErr w:type="spellEnd"/>
      <w:r w:rsidRPr="00791987">
        <w:rPr>
          <w:b/>
          <w:bCs/>
          <w:i/>
          <w:sz w:val="22"/>
          <w:szCs w:val="22"/>
          <w:lang w:val="el-GR"/>
        </w:rPr>
        <w:t xml:space="preserve"> 03</w:t>
      </w:r>
      <w:r w:rsidRPr="00300312">
        <w:rPr>
          <w:b/>
          <w:bCs/>
          <w:i/>
          <w:sz w:val="22"/>
          <w:szCs w:val="22"/>
          <w:lang w:val="en-GB"/>
        </w:rPr>
        <w:t>B</w:t>
      </w:r>
      <w:r w:rsidRPr="00791987">
        <w:rPr>
          <w:b/>
          <w:bCs/>
          <w:i/>
          <w:sz w:val="22"/>
          <w:szCs w:val="22"/>
          <w:lang w:val="el-GR"/>
        </w:rPr>
        <w:t>58900</w:t>
      </w:r>
      <w:r w:rsidR="00380EEB" w:rsidRPr="00E81051">
        <w:rPr>
          <w:b/>
          <w:sz w:val="22"/>
          <w:szCs w:val="22"/>
          <w:lang w:val="el-GR"/>
        </w:rPr>
        <w:t>:</w:t>
      </w:r>
    </w:p>
    <w:p w:rsidR="00380EEB" w:rsidRPr="00A66AB5" w:rsidRDefault="00380EEB">
      <w:pPr>
        <w:pStyle w:val="a3"/>
        <w:tabs>
          <w:tab w:val="clear" w:pos="4320"/>
          <w:tab w:val="clear" w:pos="8640"/>
        </w:tabs>
        <w:jc w:val="both"/>
        <w:rPr>
          <w:sz w:val="22"/>
          <w:szCs w:val="22"/>
          <w:lang w:val="el-GR"/>
        </w:rPr>
      </w:pPr>
      <w:proofErr w:type="spellStart"/>
      <w:r w:rsidRPr="00A66AB5">
        <w:rPr>
          <w:sz w:val="22"/>
          <w:szCs w:val="22"/>
          <w:lang w:val="el-GR"/>
        </w:rPr>
        <w:t>Υπρομελλόζη</w:t>
      </w:r>
      <w:proofErr w:type="spellEnd"/>
      <w:r w:rsidRPr="00A66AB5">
        <w:rPr>
          <w:sz w:val="22"/>
          <w:szCs w:val="22"/>
          <w:lang w:val="el-GR"/>
        </w:rPr>
        <w:t xml:space="preserve"> 6 </w:t>
      </w:r>
      <w:proofErr w:type="spellStart"/>
      <w:r w:rsidRPr="00A66AB5">
        <w:rPr>
          <w:sz w:val="22"/>
          <w:szCs w:val="22"/>
        </w:rPr>
        <w:t>cP</w:t>
      </w:r>
      <w:proofErr w:type="spellEnd"/>
      <w:r w:rsidRPr="00A66AB5">
        <w:rPr>
          <w:sz w:val="22"/>
          <w:szCs w:val="22"/>
          <w:lang w:val="el-GR"/>
        </w:rPr>
        <w:t xml:space="preserve"> (</w:t>
      </w:r>
      <w:r w:rsidRPr="00A66AB5">
        <w:rPr>
          <w:sz w:val="22"/>
          <w:szCs w:val="22"/>
        </w:rPr>
        <w:t>E</w:t>
      </w:r>
      <w:r w:rsidRPr="00A66AB5">
        <w:rPr>
          <w:sz w:val="22"/>
          <w:szCs w:val="22"/>
          <w:lang w:val="el-GR"/>
        </w:rPr>
        <w:t>464)</w:t>
      </w: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Διοξείδιο του τιτανίου (</w:t>
      </w:r>
      <w:r w:rsidRPr="00A66AB5">
        <w:rPr>
          <w:sz w:val="22"/>
          <w:szCs w:val="22"/>
        </w:rPr>
        <w:t>E</w:t>
      </w:r>
      <w:r w:rsidRPr="00A66AB5">
        <w:rPr>
          <w:sz w:val="22"/>
          <w:szCs w:val="22"/>
          <w:lang w:val="el-GR"/>
        </w:rPr>
        <w:t>171)</w:t>
      </w:r>
    </w:p>
    <w:p w:rsidR="00380EEB" w:rsidRPr="00A66AB5" w:rsidRDefault="00380EEB">
      <w:pPr>
        <w:pStyle w:val="a3"/>
        <w:tabs>
          <w:tab w:val="clear" w:pos="4320"/>
          <w:tab w:val="clear" w:pos="8640"/>
        </w:tabs>
        <w:jc w:val="both"/>
        <w:rPr>
          <w:sz w:val="22"/>
          <w:szCs w:val="22"/>
          <w:lang w:val="el-GR"/>
        </w:rPr>
      </w:pPr>
      <w:proofErr w:type="spellStart"/>
      <w:r w:rsidRPr="00A66AB5">
        <w:rPr>
          <w:sz w:val="22"/>
          <w:szCs w:val="22"/>
          <w:lang w:val="el-GR"/>
        </w:rPr>
        <w:t>Πολυαιθυλενογλυκόλη</w:t>
      </w:r>
      <w:proofErr w:type="spellEnd"/>
      <w:r w:rsidRPr="00A66AB5">
        <w:rPr>
          <w:sz w:val="22"/>
          <w:szCs w:val="22"/>
          <w:lang w:val="el-GR"/>
        </w:rPr>
        <w:t xml:space="preserve"> (</w:t>
      </w:r>
      <w:proofErr w:type="spellStart"/>
      <w:r w:rsidRPr="00A66AB5">
        <w:rPr>
          <w:sz w:val="22"/>
          <w:szCs w:val="22"/>
        </w:rPr>
        <w:t>Macrogol</w:t>
      </w:r>
      <w:proofErr w:type="spellEnd"/>
      <w:r w:rsidRPr="00A66AB5">
        <w:rPr>
          <w:sz w:val="22"/>
          <w:szCs w:val="22"/>
          <w:lang w:val="el-GR"/>
        </w:rPr>
        <w:t xml:space="preserve">) </w:t>
      </w:r>
      <w:r w:rsidR="00300312" w:rsidRPr="00791987">
        <w:rPr>
          <w:sz w:val="22"/>
          <w:szCs w:val="22"/>
          <w:lang w:val="el-GR"/>
        </w:rPr>
        <w:t xml:space="preserve">400 </w:t>
      </w:r>
      <w:r w:rsidRPr="00A66AB5">
        <w:rPr>
          <w:sz w:val="22"/>
          <w:szCs w:val="22"/>
          <w:lang w:val="el-GR"/>
        </w:rPr>
        <w:t>(</w:t>
      </w:r>
      <w:r w:rsidR="00300312" w:rsidRPr="00300312">
        <w:rPr>
          <w:sz w:val="22"/>
          <w:szCs w:val="22"/>
          <w:lang w:val="en-GB"/>
        </w:rPr>
        <w:t>E</w:t>
      </w:r>
      <w:r w:rsidR="00300312" w:rsidRPr="00791987">
        <w:rPr>
          <w:sz w:val="22"/>
          <w:szCs w:val="22"/>
          <w:lang w:val="el-GR"/>
        </w:rPr>
        <w:t>1521</w:t>
      </w:r>
      <w:r w:rsidRPr="00A66AB5">
        <w:rPr>
          <w:sz w:val="22"/>
          <w:szCs w:val="22"/>
          <w:lang w:val="el-GR"/>
        </w:rPr>
        <w:t>)</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b/>
          <w:sz w:val="22"/>
          <w:szCs w:val="22"/>
          <w:lang w:val="el-GR"/>
        </w:rPr>
        <w:t>6.2</w:t>
      </w:r>
      <w:r w:rsidRPr="00A66AB5">
        <w:rPr>
          <w:b/>
          <w:sz w:val="22"/>
          <w:szCs w:val="22"/>
          <w:lang w:val="el-GR"/>
        </w:rPr>
        <w:tab/>
        <w:t>Α</w:t>
      </w:r>
      <w:r w:rsidR="00860BFC">
        <w:rPr>
          <w:b/>
          <w:sz w:val="22"/>
          <w:szCs w:val="22"/>
          <w:lang w:val="el-GR"/>
        </w:rPr>
        <w:t>συμβατότητες</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Δεν εφαρμόζεται</w:t>
      </w:r>
    </w:p>
    <w:p w:rsidR="00380EEB" w:rsidRPr="00A66AB5" w:rsidRDefault="00380EEB">
      <w:pPr>
        <w:pStyle w:val="a3"/>
        <w:tabs>
          <w:tab w:val="clear" w:pos="4320"/>
          <w:tab w:val="clear" w:pos="8640"/>
        </w:tabs>
        <w:jc w:val="both"/>
        <w:rPr>
          <w:sz w:val="22"/>
          <w:szCs w:val="22"/>
          <w:lang w:val="el-GR"/>
        </w:rPr>
      </w:pPr>
    </w:p>
    <w:p w:rsidR="00380EEB" w:rsidRPr="00791987" w:rsidRDefault="00380EEB">
      <w:pPr>
        <w:pStyle w:val="a3"/>
        <w:tabs>
          <w:tab w:val="clear" w:pos="4320"/>
          <w:tab w:val="clear" w:pos="8640"/>
          <w:tab w:val="left" w:pos="748"/>
        </w:tabs>
        <w:jc w:val="both"/>
        <w:rPr>
          <w:b/>
          <w:sz w:val="22"/>
          <w:szCs w:val="22"/>
          <w:lang w:val="el-GR"/>
        </w:rPr>
      </w:pPr>
      <w:r w:rsidRPr="00791987">
        <w:rPr>
          <w:b/>
          <w:sz w:val="22"/>
          <w:szCs w:val="22"/>
          <w:lang w:val="el-GR"/>
        </w:rPr>
        <w:t xml:space="preserve">6.3       </w:t>
      </w:r>
      <w:r w:rsidRPr="00A66AB5">
        <w:rPr>
          <w:b/>
          <w:sz w:val="22"/>
          <w:szCs w:val="22"/>
          <w:lang w:val="el-GR"/>
        </w:rPr>
        <w:t>Δ</w:t>
      </w:r>
      <w:r w:rsidR="00860BFC">
        <w:rPr>
          <w:b/>
          <w:sz w:val="22"/>
          <w:szCs w:val="22"/>
          <w:lang w:val="el-GR"/>
        </w:rPr>
        <w:t>ιάρκεια ζωής</w:t>
      </w:r>
    </w:p>
    <w:p w:rsidR="00380EEB" w:rsidRPr="00791987" w:rsidRDefault="00380EEB">
      <w:pPr>
        <w:pStyle w:val="a3"/>
        <w:tabs>
          <w:tab w:val="clear" w:pos="4320"/>
          <w:tab w:val="clear" w:pos="8640"/>
        </w:tabs>
        <w:jc w:val="both"/>
        <w:rPr>
          <w:b/>
          <w:sz w:val="22"/>
          <w:szCs w:val="22"/>
          <w:lang w:val="el-GR"/>
        </w:rPr>
      </w:pPr>
    </w:p>
    <w:p w:rsidR="00380EEB" w:rsidRDefault="00860BFC">
      <w:pPr>
        <w:pStyle w:val="a3"/>
        <w:tabs>
          <w:tab w:val="clear" w:pos="4320"/>
          <w:tab w:val="clear" w:pos="8640"/>
        </w:tabs>
        <w:jc w:val="both"/>
        <w:rPr>
          <w:sz w:val="22"/>
          <w:szCs w:val="22"/>
          <w:lang w:val="el-GR"/>
        </w:rPr>
      </w:pPr>
      <w:r>
        <w:rPr>
          <w:sz w:val="22"/>
          <w:szCs w:val="22"/>
          <w:lang w:val="el-GR"/>
        </w:rPr>
        <w:t xml:space="preserve">Για τα </w:t>
      </w:r>
      <w:r w:rsidRPr="00791987">
        <w:rPr>
          <w:sz w:val="22"/>
          <w:szCs w:val="22"/>
          <w:lang w:val="el-GR"/>
        </w:rPr>
        <w:t xml:space="preserve">50 </w:t>
      </w:r>
      <w:r w:rsidRPr="00860BFC">
        <w:rPr>
          <w:sz w:val="22"/>
          <w:szCs w:val="22"/>
          <w:lang w:val="en-GB"/>
        </w:rPr>
        <w:t>mg</w:t>
      </w:r>
      <w:r w:rsidRPr="00791987">
        <w:rPr>
          <w:sz w:val="22"/>
          <w:szCs w:val="22"/>
          <w:lang w:val="el-GR"/>
        </w:rPr>
        <w:t>:</w:t>
      </w:r>
      <w:r>
        <w:rPr>
          <w:sz w:val="22"/>
          <w:szCs w:val="22"/>
          <w:lang w:val="el-GR"/>
        </w:rPr>
        <w:t xml:space="preserve"> </w:t>
      </w:r>
      <w:r w:rsidR="00380EEB" w:rsidRPr="00A66AB5">
        <w:rPr>
          <w:sz w:val="22"/>
          <w:szCs w:val="22"/>
          <w:lang w:val="el-GR"/>
        </w:rPr>
        <w:t>30 μήνες</w:t>
      </w:r>
    </w:p>
    <w:p w:rsidR="00860BFC" w:rsidRPr="00791987" w:rsidRDefault="00860BFC">
      <w:pPr>
        <w:pStyle w:val="a3"/>
        <w:tabs>
          <w:tab w:val="clear" w:pos="4320"/>
          <w:tab w:val="clear" w:pos="8640"/>
        </w:tabs>
        <w:jc w:val="both"/>
        <w:rPr>
          <w:sz w:val="22"/>
          <w:szCs w:val="22"/>
          <w:lang w:val="el-GR"/>
        </w:rPr>
      </w:pPr>
      <w:r>
        <w:rPr>
          <w:sz w:val="22"/>
          <w:szCs w:val="22"/>
          <w:lang w:val="el-GR"/>
        </w:rPr>
        <w:t xml:space="preserve">Για τα </w:t>
      </w:r>
      <w:r w:rsidRPr="00791987">
        <w:rPr>
          <w:sz w:val="22"/>
          <w:szCs w:val="22"/>
          <w:lang w:val="el-GR"/>
        </w:rPr>
        <w:t xml:space="preserve">200 </w:t>
      </w:r>
      <w:r w:rsidRPr="00860BFC">
        <w:rPr>
          <w:sz w:val="22"/>
          <w:szCs w:val="22"/>
          <w:lang w:val="en-GB"/>
        </w:rPr>
        <w:t>mg</w:t>
      </w:r>
      <w:r w:rsidRPr="00791987">
        <w:rPr>
          <w:sz w:val="22"/>
          <w:szCs w:val="22"/>
          <w:lang w:val="el-GR"/>
        </w:rPr>
        <w:t xml:space="preserve"> / 300 </w:t>
      </w:r>
      <w:r w:rsidRPr="00860BFC">
        <w:rPr>
          <w:sz w:val="22"/>
          <w:szCs w:val="22"/>
          <w:lang w:val="en-GB"/>
        </w:rPr>
        <w:t>mg</w:t>
      </w:r>
      <w:r w:rsidRPr="00791987">
        <w:rPr>
          <w:sz w:val="22"/>
          <w:szCs w:val="22"/>
          <w:lang w:val="el-GR"/>
        </w:rPr>
        <w:t xml:space="preserve"> / 400 </w:t>
      </w:r>
      <w:r w:rsidRPr="00860BFC">
        <w:rPr>
          <w:sz w:val="22"/>
          <w:szCs w:val="22"/>
          <w:lang w:val="en-GB"/>
        </w:rPr>
        <w:t>mg</w:t>
      </w:r>
      <w:r w:rsidRPr="00791987">
        <w:rPr>
          <w:sz w:val="22"/>
          <w:szCs w:val="22"/>
          <w:lang w:val="el-GR"/>
        </w:rPr>
        <w:t xml:space="preserve">: 3 </w:t>
      </w:r>
      <w:r>
        <w:rPr>
          <w:sz w:val="22"/>
          <w:szCs w:val="22"/>
          <w:lang w:val="el-GR"/>
        </w:rPr>
        <w:t>χρόνια</w:t>
      </w:r>
    </w:p>
    <w:p w:rsidR="00380EEB" w:rsidRPr="00791987" w:rsidRDefault="00380EEB">
      <w:pPr>
        <w:pStyle w:val="a3"/>
        <w:tabs>
          <w:tab w:val="clear" w:pos="4320"/>
          <w:tab w:val="clear" w:pos="8640"/>
        </w:tabs>
        <w:jc w:val="both"/>
        <w:rPr>
          <w:sz w:val="22"/>
          <w:szCs w:val="22"/>
          <w:lang w:val="el-GR"/>
        </w:rPr>
      </w:pPr>
    </w:p>
    <w:p w:rsidR="00380EEB" w:rsidRPr="00A66AB5" w:rsidRDefault="00923693">
      <w:pPr>
        <w:pStyle w:val="a3"/>
        <w:numPr>
          <w:ilvl w:val="1"/>
          <w:numId w:val="10"/>
        </w:numPr>
        <w:tabs>
          <w:tab w:val="clear" w:pos="4320"/>
          <w:tab w:val="clear" w:pos="8640"/>
        </w:tabs>
        <w:jc w:val="both"/>
        <w:rPr>
          <w:b/>
          <w:sz w:val="22"/>
          <w:szCs w:val="22"/>
          <w:lang w:val="el-GR"/>
        </w:rPr>
      </w:pPr>
      <w:r w:rsidRPr="00A66AB5">
        <w:rPr>
          <w:b/>
          <w:sz w:val="22"/>
          <w:szCs w:val="22"/>
          <w:lang w:val="el-GR"/>
        </w:rPr>
        <w:t>Ι</w:t>
      </w:r>
      <w:r w:rsidR="00860BFC">
        <w:rPr>
          <w:b/>
          <w:sz w:val="22"/>
          <w:szCs w:val="22"/>
          <w:lang w:val="el-GR"/>
        </w:rPr>
        <w:t>διαίτερες προφυλάξεις κατά τη φύλαξη του προϊόντος</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Αυτό το φαρμακευτικό προϊόν δεν απαιτεί ειδικές συνθήκες φύλαξης</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b/>
          <w:sz w:val="22"/>
          <w:szCs w:val="22"/>
          <w:lang w:val="el-GR"/>
        </w:rPr>
      </w:pPr>
      <w:r w:rsidRPr="00A66AB5">
        <w:rPr>
          <w:b/>
          <w:sz w:val="22"/>
          <w:szCs w:val="22"/>
          <w:lang w:val="el-GR"/>
        </w:rPr>
        <w:t>6.5</w:t>
      </w:r>
      <w:r w:rsidRPr="00A66AB5">
        <w:rPr>
          <w:b/>
          <w:sz w:val="22"/>
          <w:szCs w:val="22"/>
          <w:lang w:val="el-GR"/>
        </w:rPr>
        <w:tab/>
        <w:t>Φ</w:t>
      </w:r>
      <w:r w:rsidR="00860BFC">
        <w:rPr>
          <w:b/>
          <w:sz w:val="22"/>
          <w:szCs w:val="22"/>
          <w:lang w:val="el-GR"/>
        </w:rPr>
        <w:t xml:space="preserve">ύση και συστατικά του </w:t>
      </w:r>
      <w:proofErr w:type="spellStart"/>
      <w:r w:rsidR="00860BFC">
        <w:rPr>
          <w:b/>
          <w:sz w:val="22"/>
          <w:szCs w:val="22"/>
          <w:lang w:val="el-GR"/>
        </w:rPr>
        <w:t>περιέκτη</w:t>
      </w:r>
      <w:proofErr w:type="spellEnd"/>
    </w:p>
    <w:p w:rsidR="00380EEB" w:rsidRPr="00A66AB5" w:rsidRDefault="00380EEB">
      <w:pPr>
        <w:pStyle w:val="a3"/>
        <w:tabs>
          <w:tab w:val="clear" w:pos="4320"/>
          <w:tab w:val="clear" w:pos="8640"/>
        </w:tabs>
        <w:jc w:val="both"/>
        <w:rPr>
          <w:sz w:val="22"/>
          <w:szCs w:val="22"/>
          <w:lang w:val="el-GR"/>
        </w:rPr>
      </w:pPr>
    </w:p>
    <w:p w:rsidR="00380EEB" w:rsidRDefault="00380EEB">
      <w:pPr>
        <w:pStyle w:val="a3"/>
        <w:tabs>
          <w:tab w:val="clear" w:pos="4320"/>
          <w:tab w:val="clear" w:pos="8640"/>
        </w:tabs>
        <w:jc w:val="both"/>
        <w:rPr>
          <w:sz w:val="22"/>
          <w:szCs w:val="22"/>
          <w:lang w:val="el-GR"/>
        </w:rPr>
      </w:pPr>
      <w:r w:rsidRPr="00A66AB5">
        <w:rPr>
          <w:sz w:val="22"/>
          <w:szCs w:val="22"/>
          <w:lang w:val="el-GR"/>
        </w:rPr>
        <w:t xml:space="preserve">Τα δισκία </w:t>
      </w:r>
      <w:proofErr w:type="spellStart"/>
      <w:r w:rsidRPr="00A66AB5">
        <w:rPr>
          <w:sz w:val="22"/>
          <w:szCs w:val="22"/>
          <w:lang w:val="el-GR"/>
        </w:rPr>
        <w:t>κουετιαπίνης</w:t>
      </w:r>
      <w:proofErr w:type="spellEnd"/>
      <w:r w:rsidRPr="00A66AB5">
        <w:rPr>
          <w:sz w:val="22"/>
          <w:szCs w:val="22"/>
          <w:lang w:val="el-GR"/>
        </w:rPr>
        <w:t xml:space="preserve"> παρατεταμένης αποδέσμευσης </w:t>
      </w:r>
      <w:r w:rsidR="00860BFC">
        <w:rPr>
          <w:sz w:val="22"/>
          <w:szCs w:val="22"/>
          <w:lang w:val="el-GR"/>
        </w:rPr>
        <w:t>50</w:t>
      </w:r>
      <w:r w:rsidRPr="00A66AB5">
        <w:rPr>
          <w:sz w:val="22"/>
          <w:szCs w:val="22"/>
          <w:lang w:val="el-GR"/>
        </w:rPr>
        <w:t xml:space="preserve"> </w:t>
      </w:r>
      <w:r w:rsidRPr="00A66AB5">
        <w:rPr>
          <w:sz w:val="22"/>
          <w:szCs w:val="22"/>
        </w:rPr>
        <w:t>mg</w:t>
      </w:r>
      <w:r w:rsidRPr="00A66AB5">
        <w:rPr>
          <w:sz w:val="22"/>
          <w:szCs w:val="22"/>
          <w:lang w:val="el-GR"/>
        </w:rPr>
        <w:t xml:space="preserve"> συσκευάζονται </w:t>
      </w:r>
      <w:r w:rsidR="00860BFC">
        <w:rPr>
          <w:sz w:val="22"/>
          <w:szCs w:val="22"/>
          <w:lang w:val="el-GR"/>
        </w:rPr>
        <w:t xml:space="preserve">είτε </w:t>
      </w:r>
      <w:r w:rsidRPr="00A66AB5">
        <w:rPr>
          <w:sz w:val="22"/>
          <w:szCs w:val="22"/>
          <w:lang w:val="el-GR"/>
        </w:rPr>
        <w:t xml:space="preserve">σε συσκευασία </w:t>
      </w:r>
      <w:r w:rsidR="006C5503">
        <w:rPr>
          <w:sz w:val="22"/>
          <w:szCs w:val="22"/>
          <w:lang w:val="el-GR"/>
        </w:rPr>
        <w:t xml:space="preserve">αδιαφανούς λευκού </w:t>
      </w:r>
      <w:r w:rsidRPr="00A66AB5">
        <w:rPr>
          <w:sz w:val="22"/>
          <w:szCs w:val="22"/>
        </w:rPr>
        <w:t>blister</w:t>
      </w:r>
      <w:r w:rsidRPr="00A66AB5">
        <w:rPr>
          <w:sz w:val="22"/>
          <w:szCs w:val="22"/>
          <w:lang w:val="el-GR"/>
        </w:rPr>
        <w:t xml:space="preserve"> από </w:t>
      </w:r>
      <w:r w:rsidRPr="00A66AB5">
        <w:rPr>
          <w:sz w:val="22"/>
          <w:szCs w:val="22"/>
        </w:rPr>
        <w:t>PVC</w:t>
      </w:r>
      <w:r w:rsidRPr="00A66AB5">
        <w:rPr>
          <w:sz w:val="22"/>
          <w:szCs w:val="22"/>
          <w:lang w:val="el-GR"/>
        </w:rPr>
        <w:t>/</w:t>
      </w:r>
      <w:r w:rsidRPr="00A66AB5">
        <w:rPr>
          <w:sz w:val="22"/>
          <w:szCs w:val="22"/>
        </w:rPr>
        <w:t>PVDC</w:t>
      </w:r>
      <w:r w:rsidRPr="00A66AB5">
        <w:rPr>
          <w:sz w:val="22"/>
          <w:szCs w:val="22"/>
          <w:lang w:val="el-GR"/>
        </w:rPr>
        <w:t>-αλουμίνιο</w:t>
      </w:r>
      <w:r w:rsidR="00860BFC">
        <w:rPr>
          <w:sz w:val="22"/>
          <w:szCs w:val="22"/>
          <w:lang w:val="el-GR"/>
        </w:rPr>
        <w:t xml:space="preserve"> είτε σε </w:t>
      </w:r>
      <w:r w:rsidR="00860BFC" w:rsidRPr="00A66AB5">
        <w:rPr>
          <w:sz w:val="22"/>
          <w:szCs w:val="22"/>
          <w:lang w:val="el-GR"/>
        </w:rPr>
        <w:t xml:space="preserve">συσκευασία τύπου </w:t>
      </w:r>
      <w:r w:rsidR="00860BFC" w:rsidRPr="00A66AB5">
        <w:rPr>
          <w:sz w:val="22"/>
          <w:szCs w:val="22"/>
        </w:rPr>
        <w:t>blister</w:t>
      </w:r>
      <w:r w:rsidR="00860BFC" w:rsidRPr="00A66AB5">
        <w:rPr>
          <w:sz w:val="22"/>
          <w:szCs w:val="22"/>
          <w:lang w:val="el-GR"/>
        </w:rPr>
        <w:t xml:space="preserve"> από </w:t>
      </w:r>
      <w:r w:rsidR="00860BFC" w:rsidRPr="00860BFC">
        <w:rPr>
          <w:sz w:val="22"/>
          <w:szCs w:val="22"/>
          <w:lang w:val="en-GB"/>
        </w:rPr>
        <w:t>OPA</w:t>
      </w:r>
      <w:r w:rsidR="00860BFC" w:rsidRPr="00791987">
        <w:rPr>
          <w:sz w:val="22"/>
          <w:szCs w:val="22"/>
          <w:lang w:val="el-GR"/>
        </w:rPr>
        <w:t>/</w:t>
      </w:r>
      <w:r w:rsidR="00860BFC">
        <w:rPr>
          <w:sz w:val="22"/>
          <w:szCs w:val="22"/>
          <w:lang w:val="el-GR"/>
        </w:rPr>
        <w:t>Αλουμίνιο</w:t>
      </w:r>
      <w:r w:rsidR="00860BFC" w:rsidRPr="00791987">
        <w:rPr>
          <w:sz w:val="22"/>
          <w:szCs w:val="22"/>
          <w:lang w:val="el-GR"/>
        </w:rPr>
        <w:t>/</w:t>
      </w:r>
      <w:r w:rsidR="00860BFC" w:rsidRPr="00860BFC">
        <w:rPr>
          <w:sz w:val="22"/>
          <w:szCs w:val="22"/>
          <w:lang w:val="en-GB"/>
        </w:rPr>
        <w:t>PVC</w:t>
      </w:r>
      <w:r w:rsidR="00860BFC" w:rsidRPr="00791987">
        <w:rPr>
          <w:sz w:val="22"/>
          <w:szCs w:val="22"/>
          <w:lang w:val="el-GR"/>
        </w:rPr>
        <w:t>-</w:t>
      </w:r>
      <w:r w:rsidR="00860BFC">
        <w:rPr>
          <w:sz w:val="22"/>
          <w:szCs w:val="22"/>
          <w:lang w:val="el-GR"/>
        </w:rPr>
        <w:t>Αλουμίνιο</w:t>
      </w:r>
      <w:r w:rsidRPr="00A66AB5">
        <w:rPr>
          <w:sz w:val="22"/>
          <w:szCs w:val="22"/>
          <w:lang w:val="el-GR"/>
        </w:rPr>
        <w:t>. Μεγέθη συσκευασίας των 10, 30, 50, 60 και 100 δισκίων ανά συσκευασία.</w:t>
      </w:r>
    </w:p>
    <w:p w:rsidR="00860BFC" w:rsidRDefault="00860BFC">
      <w:pPr>
        <w:pStyle w:val="a3"/>
        <w:tabs>
          <w:tab w:val="clear" w:pos="4320"/>
          <w:tab w:val="clear" w:pos="8640"/>
        </w:tabs>
        <w:jc w:val="both"/>
        <w:rPr>
          <w:sz w:val="22"/>
          <w:szCs w:val="22"/>
          <w:lang w:val="el-GR"/>
        </w:rPr>
      </w:pPr>
    </w:p>
    <w:p w:rsidR="00860BFC" w:rsidRPr="00A66AB5" w:rsidRDefault="00860BFC">
      <w:pPr>
        <w:pStyle w:val="a3"/>
        <w:tabs>
          <w:tab w:val="clear" w:pos="4320"/>
          <w:tab w:val="clear" w:pos="8640"/>
        </w:tabs>
        <w:jc w:val="both"/>
        <w:rPr>
          <w:sz w:val="22"/>
          <w:szCs w:val="22"/>
          <w:lang w:val="el-GR"/>
        </w:rPr>
      </w:pPr>
      <w:r w:rsidRPr="00A66AB5">
        <w:rPr>
          <w:sz w:val="22"/>
          <w:szCs w:val="22"/>
          <w:lang w:val="el-GR"/>
        </w:rPr>
        <w:t xml:space="preserve">Τα δισκία </w:t>
      </w:r>
      <w:proofErr w:type="spellStart"/>
      <w:r w:rsidRPr="00A66AB5">
        <w:rPr>
          <w:sz w:val="22"/>
          <w:szCs w:val="22"/>
          <w:lang w:val="el-GR"/>
        </w:rPr>
        <w:t>κουετιαπίνης</w:t>
      </w:r>
      <w:proofErr w:type="spellEnd"/>
      <w:r w:rsidRPr="00A66AB5">
        <w:rPr>
          <w:sz w:val="22"/>
          <w:szCs w:val="22"/>
          <w:lang w:val="el-GR"/>
        </w:rPr>
        <w:t xml:space="preserve"> παρατεταμένης αποδέσμευσης </w:t>
      </w:r>
      <w:r w:rsidRPr="00791987">
        <w:rPr>
          <w:sz w:val="22"/>
          <w:szCs w:val="22"/>
          <w:lang w:val="el-GR"/>
        </w:rPr>
        <w:t xml:space="preserve">200 </w:t>
      </w:r>
      <w:r w:rsidRPr="00860BFC">
        <w:rPr>
          <w:sz w:val="22"/>
          <w:szCs w:val="22"/>
          <w:lang w:val="en-GB"/>
        </w:rPr>
        <w:t>mg</w:t>
      </w:r>
      <w:r w:rsidRPr="00791987">
        <w:rPr>
          <w:sz w:val="22"/>
          <w:szCs w:val="22"/>
          <w:lang w:val="el-GR"/>
        </w:rPr>
        <w:t xml:space="preserve"> / 300 </w:t>
      </w:r>
      <w:r w:rsidRPr="00860BFC">
        <w:rPr>
          <w:sz w:val="22"/>
          <w:szCs w:val="22"/>
          <w:lang w:val="en-GB"/>
        </w:rPr>
        <w:t>mg</w:t>
      </w:r>
      <w:r w:rsidRPr="00791987">
        <w:rPr>
          <w:sz w:val="22"/>
          <w:szCs w:val="22"/>
          <w:lang w:val="el-GR"/>
        </w:rPr>
        <w:t xml:space="preserve"> / 400 </w:t>
      </w:r>
      <w:r w:rsidRPr="00860BFC">
        <w:rPr>
          <w:sz w:val="22"/>
          <w:szCs w:val="22"/>
          <w:lang w:val="en-GB"/>
        </w:rPr>
        <w:t>mg</w:t>
      </w:r>
      <w:r w:rsidRPr="00A66AB5">
        <w:rPr>
          <w:sz w:val="22"/>
          <w:szCs w:val="22"/>
          <w:lang w:val="el-GR"/>
        </w:rPr>
        <w:t xml:space="preserve"> συσκευάζονται σε συσκευασία </w:t>
      </w:r>
      <w:r w:rsidR="006C5503">
        <w:rPr>
          <w:sz w:val="22"/>
          <w:szCs w:val="22"/>
          <w:lang w:val="el-GR"/>
        </w:rPr>
        <w:t xml:space="preserve">αδιαφανούς λευκού </w:t>
      </w:r>
      <w:r w:rsidRPr="00A66AB5">
        <w:rPr>
          <w:sz w:val="22"/>
          <w:szCs w:val="22"/>
        </w:rPr>
        <w:t>blister</w:t>
      </w:r>
      <w:r w:rsidRPr="00A66AB5">
        <w:rPr>
          <w:sz w:val="22"/>
          <w:szCs w:val="22"/>
          <w:lang w:val="el-GR"/>
        </w:rPr>
        <w:t xml:space="preserve"> από </w:t>
      </w:r>
      <w:r w:rsidRPr="00A66AB5">
        <w:rPr>
          <w:sz w:val="22"/>
          <w:szCs w:val="22"/>
        </w:rPr>
        <w:t>PVC</w:t>
      </w:r>
      <w:r w:rsidRPr="00A66AB5">
        <w:rPr>
          <w:sz w:val="22"/>
          <w:szCs w:val="22"/>
          <w:lang w:val="el-GR"/>
        </w:rPr>
        <w:t>/</w:t>
      </w:r>
      <w:r w:rsidRPr="00A66AB5">
        <w:rPr>
          <w:sz w:val="22"/>
          <w:szCs w:val="22"/>
        </w:rPr>
        <w:t>PVDC</w:t>
      </w:r>
      <w:r w:rsidRPr="00A66AB5">
        <w:rPr>
          <w:sz w:val="22"/>
          <w:szCs w:val="22"/>
          <w:lang w:val="el-GR"/>
        </w:rPr>
        <w:t>-αλουμίνιο. Μεγέθη συσκευασίας των 10, 30, 50, 60 και 100 δισκίων ανά συσκευασία.</w:t>
      </w:r>
    </w:p>
    <w:p w:rsidR="00380EEB" w:rsidRPr="00A66AB5" w:rsidRDefault="00380EEB">
      <w:pPr>
        <w:pStyle w:val="a3"/>
        <w:tabs>
          <w:tab w:val="clear" w:pos="4320"/>
          <w:tab w:val="clear" w:pos="8640"/>
        </w:tabs>
        <w:jc w:val="both"/>
        <w:rPr>
          <w:sz w:val="22"/>
          <w:szCs w:val="22"/>
          <w:lang w:val="el-GR"/>
        </w:rPr>
      </w:pPr>
    </w:p>
    <w:p w:rsidR="00380EEB" w:rsidRPr="00A66AB5" w:rsidRDefault="00923693">
      <w:pPr>
        <w:pStyle w:val="a3"/>
        <w:tabs>
          <w:tab w:val="clear" w:pos="4320"/>
          <w:tab w:val="clear" w:pos="8640"/>
        </w:tabs>
        <w:jc w:val="both"/>
        <w:rPr>
          <w:sz w:val="22"/>
          <w:szCs w:val="22"/>
          <w:lang w:val="el-GR"/>
        </w:rPr>
      </w:pPr>
      <w:r w:rsidRPr="00A66AB5">
        <w:rPr>
          <w:sz w:val="22"/>
          <w:szCs w:val="22"/>
          <w:lang w:val="el-GR"/>
        </w:rPr>
        <w:t>Μπορεί</w:t>
      </w:r>
      <w:r w:rsidR="00380EEB" w:rsidRPr="00A66AB5">
        <w:rPr>
          <w:sz w:val="22"/>
          <w:szCs w:val="22"/>
          <w:lang w:val="el-GR"/>
        </w:rPr>
        <w:t xml:space="preserve"> να μην κυκλοφορούν </w:t>
      </w:r>
      <w:r w:rsidR="00DD5A66" w:rsidRPr="00A66AB5">
        <w:rPr>
          <w:sz w:val="22"/>
          <w:szCs w:val="22"/>
          <w:lang w:val="el-GR"/>
        </w:rPr>
        <w:t>όλες οι</w:t>
      </w:r>
      <w:r w:rsidR="00380EEB" w:rsidRPr="00A66AB5">
        <w:rPr>
          <w:sz w:val="22"/>
          <w:szCs w:val="22"/>
          <w:lang w:val="el-GR"/>
        </w:rPr>
        <w:t xml:space="preserve"> συσκευασ</w:t>
      </w:r>
      <w:r w:rsidR="00DD5A66" w:rsidRPr="00A66AB5">
        <w:rPr>
          <w:sz w:val="22"/>
          <w:szCs w:val="22"/>
          <w:lang w:val="el-GR"/>
        </w:rPr>
        <w:t>ίες</w:t>
      </w:r>
      <w:r w:rsidR="00380EEB" w:rsidRPr="00A66AB5">
        <w:rPr>
          <w:sz w:val="22"/>
          <w:szCs w:val="22"/>
          <w:lang w:val="el-GR"/>
        </w:rPr>
        <w:t>.</w:t>
      </w:r>
    </w:p>
    <w:p w:rsidR="00380EEB" w:rsidRPr="00A66AB5"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b/>
          <w:sz w:val="22"/>
          <w:szCs w:val="22"/>
          <w:lang w:val="el-GR"/>
        </w:rPr>
      </w:pPr>
      <w:r w:rsidRPr="00A66AB5">
        <w:rPr>
          <w:b/>
          <w:sz w:val="22"/>
          <w:szCs w:val="22"/>
          <w:lang w:val="el-GR"/>
        </w:rPr>
        <w:t>6.6</w:t>
      </w:r>
      <w:r w:rsidRPr="00A66AB5">
        <w:rPr>
          <w:b/>
          <w:sz w:val="22"/>
          <w:szCs w:val="22"/>
          <w:lang w:val="el-GR"/>
        </w:rPr>
        <w:tab/>
      </w:r>
      <w:r w:rsidR="00923693" w:rsidRPr="00A66AB5">
        <w:rPr>
          <w:b/>
          <w:sz w:val="22"/>
          <w:szCs w:val="22"/>
          <w:lang w:val="el-GR"/>
        </w:rPr>
        <w:t>Ι</w:t>
      </w:r>
      <w:r w:rsidR="006C5503">
        <w:rPr>
          <w:b/>
          <w:sz w:val="22"/>
          <w:szCs w:val="22"/>
          <w:lang w:val="el-GR"/>
        </w:rPr>
        <w:t>διαίτερες προφυλάξεις απόρριψης</w:t>
      </w: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tabs>
          <w:tab w:val="clear" w:pos="4320"/>
          <w:tab w:val="clear" w:pos="8640"/>
        </w:tabs>
        <w:jc w:val="both"/>
        <w:rPr>
          <w:sz w:val="22"/>
          <w:szCs w:val="22"/>
          <w:lang w:val="el-GR"/>
        </w:rPr>
      </w:pPr>
      <w:r w:rsidRPr="00A66AB5">
        <w:rPr>
          <w:sz w:val="22"/>
          <w:szCs w:val="22"/>
          <w:lang w:val="el-GR"/>
        </w:rPr>
        <w:t>Καμία ειδική υποχρέωση.</w:t>
      </w:r>
    </w:p>
    <w:p w:rsidR="00380EEB" w:rsidRPr="00277E70" w:rsidRDefault="00380EEB">
      <w:pPr>
        <w:pStyle w:val="a3"/>
        <w:tabs>
          <w:tab w:val="clear" w:pos="4320"/>
          <w:tab w:val="clear" w:pos="8640"/>
        </w:tabs>
        <w:jc w:val="both"/>
        <w:rPr>
          <w:sz w:val="22"/>
          <w:szCs w:val="22"/>
          <w:lang w:val="el-GR"/>
        </w:rPr>
      </w:pPr>
    </w:p>
    <w:p w:rsidR="00380EEB" w:rsidRPr="00A66AB5" w:rsidRDefault="00380EEB">
      <w:pPr>
        <w:pStyle w:val="a3"/>
        <w:tabs>
          <w:tab w:val="clear" w:pos="4320"/>
          <w:tab w:val="clear" w:pos="8640"/>
        </w:tabs>
        <w:jc w:val="both"/>
        <w:rPr>
          <w:b/>
          <w:sz w:val="22"/>
          <w:szCs w:val="22"/>
          <w:lang w:val="el-GR"/>
        </w:rPr>
      </w:pPr>
    </w:p>
    <w:p w:rsidR="00380EEB" w:rsidRPr="00A66AB5" w:rsidRDefault="00380EEB">
      <w:pPr>
        <w:pStyle w:val="a3"/>
        <w:numPr>
          <w:ilvl w:val="0"/>
          <w:numId w:val="10"/>
        </w:numPr>
        <w:tabs>
          <w:tab w:val="clear" w:pos="4320"/>
          <w:tab w:val="clear" w:pos="8640"/>
        </w:tabs>
        <w:jc w:val="both"/>
        <w:rPr>
          <w:b/>
          <w:sz w:val="22"/>
          <w:szCs w:val="22"/>
        </w:rPr>
      </w:pPr>
      <w:r w:rsidRPr="00A66AB5">
        <w:rPr>
          <w:b/>
          <w:sz w:val="22"/>
          <w:szCs w:val="22"/>
          <w:lang w:val="el-GR"/>
        </w:rPr>
        <w:t>ΚΑΤΟΧΟΣ ΤΗΣ ΑΔΕΙΑΣ ΚΥΚΛΟΦΟΡΙΑΣ</w:t>
      </w:r>
    </w:p>
    <w:p w:rsidR="00380EEB" w:rsidRPr="00A66AB5" w:rsidRDefault="00380EEB">
      <w:pPr>
        <w:pStyle w:val="a3"/>
        <w:tabs>
          <w:tab w:val="clear" w:pos="4320"/>
          <w:tab w:val="clear" w:pos="8640"/>
        </w:tabs>
        <w:jc w:val="both"/>
        <w:rPr>
          <w:b/>
          <w:sz w:val="22"/>
          <w:szCs w:val="22"/>
        </w:rPr>
      </w:pPr>
    </w:p>
    <w:p w:rsidR="00D65C75" w:rsidRDefault="00D65C75" w:rsidP="00BC6736">
      <w:pPr>
        <w:jc w:val="both"/>
        <w:rPr>
          <w:sz w:val="22"/>
          <w:szCs w:val="22"/>
        </w:rPr>
      </w:pPr>
      <w:r w:rsidRPr="00D65C75">
        <w:rPr>
          <w:sz w:val="22"/>
          <w:szCs w:val="22"/>
        </w:rPr>
        <w:t>ELPEN AE ΦΑΡΜΑΚΕΥΤΙΚΗ ΒΙΟΜΗΧΑΝΙΑ</w:t>
      </w:r>
      <w:r>
        <w:rPr>
          <w:sz w:val="22"/>
          <w:szCs w:val="22"/>
        </w:rPr>
        <w:t>,</w:t>
      </w:r>
    </w:p>
    <w:p w:rsidR="00D65C75" w:rsidRDefault="00D65C75" w:rsidP="00BC6736">
      <w:pPr>
        <w:jc w:val="both"/>
        <w:rPr>
          <w:sz w:val="22"/>
          <w:szCs w:val="22"/>
        </w:rPr>
      </w:pPr>
      <w:proofErr w:type="spellStart"/>
      <w:r>
        <w:rPr>
          <w:sz w:val="22"/>
          <w:szCs w:val="22"/>
        </w:rPr>
        <w:t>Λεωφ</w:t>
      </w:r>
      <w:proofErr w:type="spellEnd"/>
      <w:r>
        <w:rPr>
          <w:sz w:val="22"/>
          <w:szCs w:val="22"/>
        </w:rPr>
        <w:t>. Μαρα</w:t>
      </w:r>
      <w:proofErr w:type="spellStart"/>
      <w:r>
        <w:rPr>
          <w:sz w:val="22"/>
          <w:szCs w:val="22"/>
        </w:rPr>
        <w:t>θώνος</w:t>
      </w:r>
      <w:proofErr w:type="spellEnd"/>
      <w:r>
        <w:rPr>
          <w:sz w:val="22"/>
          <w:szCs w:val="22"/>
        </w:rPr>
        <w:t xml:space="preserve"> 95</w:t>
      </w:r>
    </w:p>
    <w:p w:rsidR="00D65C75" w:rsidRDefault="00D65C75" w:rsidP="00BC6736">
      <w:pPr>
        <w:jc w:val="both"/>
        <w:rPr>
          <w:sz w:val="22"/>
          <w:szCs w:val="22"/>
        </w:rPr>
      </w:pPr>
      <w:r>
        <w:rPr>
          <w:sz w:val="22"/>
          <w:szCs w:val="22"/>
        </w:rPr>
        <w:t xml:space="preserve">190 09, </w:t>
      </w:r>
      <w:proofErr w:type="spellStart"/>
      <w:r>
        <w:rPr>
          <w:sz w:val="22"/>
          <w:szCs w:val="22"/>
        </w:rPr>
        <w:t>Πικέρμι</w:t>
      </w:r>
      <w:proofErr w:type="spellEnd"/>
      <w:r>
        <w:rPr>
          <w:sz w:val="22"/>
          <w:szCs w:val="22"/>
        </w:rPr>
        <w:t xml:space="preserve">, </w:t>
      </w:r>
      <w:proofErr w:type="spellStart"/>
      <w:r w:rsidRPr="00D65C75">
        <w:rPr>
          <w:sz w:val="22"/>
          <w:szCs w:val="22"/>
        </w:rPr>
        <w:t>Ελλάδ</w:t>
      </w:r>
      <w:proofErr w:type="spellEnd"/>
      <w:r w:rsidRPr="00D65C75">
        <w:rPr>
          <w:sz w:val="22"/>
          <w:szCs w:val="22"/>
        </w:rPr>
        <w:t>α</w:t>
      </w:r>
    </w:p>
    <w:p w:rsidR="00D65C75" w:rsidRDefault="00D65C75" w:rsidP="00BC6736">
      <w:pPr>
        <w:jc w:val="both"/>
        <w:rPr>
          <w:sz w:val="22"/>
          <w:szCs w:val="22"/>
        </w:rPr>
      </w:pPr>
    </w:p>
    <w:p w:rsidR="00380EEB" w:rsidRPr="00A66AB5" w:rsidRDefault="00380EEB" w:rsidP="00BC6736">
      <w:pPr>
        <w:jc w:val="both"/>
        <w:rPr>
          <w:sz w:val="22"/>
          <w:szCs w:val="22"/>
        </w:rPr>
      </w:pPr>
    </w:p>
    <w:p w:rsidR="00380EEB" w:rsidRDefault="00380EEB">
      <w:pPr>
        <w:pStyle w:val="a3"/>
        <w:tabs>
          <w:tab w:val="clear" w:pos="4320"/>
          <w:tab w:val="clear" w:pos="8640"/>
        </w:tabs>
        <w:jc w:val="both"/>
        <w:rPr>
          <w:b/>
          <w:sz w:val="22"/>
          <w:szCs w:val="22"/>
          <w:lang w:val="el-GR"/>
        </w:rPr>
      </w:pPr>
    </w:p>
    <w:p w:rsidR="006C5503" w:rsidRPr="00791987" w:rsidRDefault="006C5503">
      <w:pPr>
        <w:pStyle w:val="a3"/>
        <w:tabs>
          <w:tab w:val="clear" w:pos="4320"/>
          <w:tab w:val="clear" w:pos="8640"/>
        </w:tabs>
        <w:jc w:val="both"/>
        <w:rPr>
          <w:b/>
          <w:sz w:val="22"/>
          <w:szCs w:val="22"/>
          <w:lang w:val="el-GR"/>
        </w:rPr>
      </w:pPr>
    </w:p>
    <w:p w:rsidR="00380EEB" w:rsidRPr="00A66AB5" w:rsidRDefault="00380EEB">
      <w:pPr>
        <w:pStyle w:val="a3"/>
        <w:numPr>
          <w:ilvl w:val="0"/>
          <w:numId w:val="10"/>
        </w:numPr>
        <w:tabs>
          <w:tab w:val="clear" w:pos="4320"/>
          <w:tab w:val="clear" w:pos="8640"/>
        </w:tabs>
        <w:jc w:val="both"/>
        <w:rPr>
          <w:b/>
          <w:sz w:val="22"/>
          <w:szCs w:val="22"/>
        </w:rPr>
      </w:pPr>
      <w:r w:rsidRPr="00A66AB5">
        <w:rPr>
          <w:b/>
          <w:sz w:val="22"/>
          <w:szCs w:val="22"/>
          <w:lang w:val="el-GR"/>
        </w:rPr>
        <w:t>ΑΡΙΘΜΟΣ</w:t>
      </w:r>
      <w:r w:rsidRPr="00A66AB5">
        <w:rPr>
          <w:b/>
          <w:sz w:val="22"/>
          <w:szCs w:val="22"/>
        </w:rPr>
        <w:t>(</w:t>
      </w:r>
      <w:r w:rsidRPr="00A66AB5">
        <w:rPr>
          <w:b/>
          <w:sz w:val="22"/>
          <w:szCs w:val="22"/>
          <w:lang w:val="el-GR"/>
        </w:rPr>
        <w:t>ΟΙ</w:t>
      </w:r>
      <w:r w:rsidRPr="00A66AB5">
        <w:rPr>
          <w:b/>
          <w:sz w:val="22"/>
          <w:szCs w:val="22"/>
        </w:rPr>
        <w:t xml:space="preserve">) </w:t>
      </w:r>
      <w:r w:rsidRPr="00A66AB5">
        <w:rPr>
          <w:b/>
          <w:sz w:val="22"/>
          <w:szCs w:val="22"/>
          <w:lang w:val="el-GR"/>
        </w:rPr>
        <w:t>ΑΔΕΙΑΣ ΚΥΚΛΟΦΟΡΙΑΣ</w:t>
      </w:r>
    </w:p>
    <w:p w:rsidR="00380EEB" w:rsidRPr="00A66AB5" w:rsidRDefault="00380EEB">
      <w:pPr>
        <w:pStyle w:val="a3"/>
        <w:tabs>
          <w:tab w:val="clear" w:pos="4320"/>
          <w:tab w:val="clear" w:pos="8640"/>
        </w:tabs>
        <w:jc w:val="both"/>
        <w:rPr>
          <w:b/>
          <w:sz w:val="22"/>
          <w:szCs w:val="22"/>
        </w:rPr>
      </w:pPr>
    </w:p>
    <w:p w:rsidR="00380EEB" w:rsidRPr="00A66AB5" w:rsidRDefault="00380EEB">
      <w:pPr>
        <w:pStyle w:val="a3"/>
        <w:tabs>
          <w:tab w:val="clear" w:pos="4320"/>
          <w:tab w:val="clear" w:pos="8640"/>
        </w:tabs>
        <w:jc w:val="both"/>
        <w:rPr>
          <w:b/>
          <w:sz w:val="22"/>
          <w:szCs w:val="22"/>
        </w:rPr>
      </w:pPr>
    </w:p>
    <w:p w:rsidR="00380EEB" w:rsidRPr="00A66AB5" w:rsidRDefault="00380EEB">
      <w:pPr>
        <w:pStyle w:val="a3"/>
        <w:numPr>
          <w:ilvl w:val="0"/>
          <w:numId w:val="10"/>
        </w:numPr>
        <w:tabs>
          <w:tab w:val="clear" w:pos="4320"/>
          <w:tab w:val="clear" w:pos="8640"/>
        </w:tabs>
        <w:jc w:val="both"/>
        <w:rPr>
          <w:b/>
          <w:sz w:val="22"/>
          <w:szCs w:val="22"/>
          <w:lang w:val="el-GR"/>
        </w:rPr>
      </w:pPr>
      <w:r w:rsidRPr="00A66AB5">
        <w:rPr>
          <w:b/>
          <w:sz w:val="22"/>
          <w:szCs w:val="22"/>
          <w:lang w:val="el-GR"/>
        </w:rPr>
        <w:t>ΗΜΕΡΟΜΗΝΙΑ ΠΡΩΤΗΣ ΕΓΚΡΙΣΗΣ / ΑΝΑΝΕΩΣΗΣ ΤΗΣ ΑΔΕΙΑΣ</w:t>
      </w:r>
    </w:p>
    <w:p w:rsidR="00380EEB" w:rsidRPr="00A66AB5" w:rsidRDefault="00380EEB">
      <w:pPr>
        <w:pStyle w:val="a3"/>
        <w:tabs>
          <w:tab w:val="clear" w:pos="4320"/>
          <w:tab w:val="clear" w:pos="8640"/>
        </w:tabs>
        <w:jc w:val="both"/>
        <w:rPr>
          <w:b/>
          <w:sz w:val="22"/>
          <w:szCs w:val="22"/>
          <w:lang w:val="el-GR"/>
        </w:rPr>
      </w:pPr>
    </w:p>
    <w:p w:rsidR="00380EEB" w:rsidRPr="00A66AB5" w:rsidRDefault="00625B15">
      <w:pPr>
        <w:pStyle w:val="a3"/>
        <w:tabs>
          <w:tab w:val="clear" w:pos="4320"/>
          <w:tab w:val="clear" w:pos="8640"/>
        </w:tabs>
        <w:jc w:val="both"/>
        <w:rPr>
          <w:b/>
          <w:sz w:val="22"/>
          <w:szCs w:val="22"/>
        </w:rPr>
      </w:pPr>
      <w:r w:rsidRPr="00A66AB5">
        <w:rPr>
          <w:sz w:val="22"/>
          <w:szCs w:val="22"/>
          <w:lang w:val="en-GB"/>
        </w:rPr>
        <w:t>-</w:t>
      </w:r>
    </w:p>
    <w:p w:rsidR="00380EEB" w:rsidRPr="00A66AB5" w:rsidRDefault="00380EEB">
      <w:pPr>
        <w:pStyle w:val="a3"/>
        <w:numPr>
          <w:ilvl w:val="0"/>
          <w:numId w:val="10"/>
        </w:numPr>
        <w:tabs>
          <w:tab w:val="clear" w:pos="4320"/>
          <w:tab w:val="clear" w:pos="8640"/>
        </w:tabs>
        <w:jc w:val="both"/>
        <w:rPr>
          <w:b/>
          <w:sz w:val="22"/>
          <w:szCs w:val="22"/>
        </w:rPr>
      </w:pPr>
      <w:r w:rsidRPr="00A66AB5">
        <w:rPr>
          <w:b/>
          <w:sz w:val="22"/>
          <w:szCs w:val="22"/>
          <w:lang w:val="el-GR"/>
        </w:rPr>
        <w:t>ΗΜΕΡΟΜΗΝΙΑ ΑΝΑΘΕΩΡΗΣΗΣ ΤΟΥ ΚΕΙΜΕΝΟΥ</w:t>
      </w:r>
    </w:p>
    <w:p w:rsidR="00380EEB" w:rsidRPr="00A66AB5" w:rsidRDefault="00380EEB">
      <w:pPr>
        <w:pStyle w:val="a3"/>
        <w:tabs>
          <w:tab w:val="clear" w:pos="4320"/>
          <w:tab w:val="clear" w:pos="8640"/>
        </w:tabs>
        <w:jc w:val="both"/>
        <w:rPr>
          <w:b/>
          <w:sz w:val="22"/>
          <w:szCs w:val="22"/>
        </w:rPr>
      </w:pPr>
    </w:p>
    <w:p w:rsidR="00380EEB" w:rsidRPr="00A66AB5" w:rsidRDefault="00625B15">
      <w:pPr>
        <w:pStyle w:val="a3"/>
        <w:tabs>
          <w:tab w:val="clear" w:pos="4320"/>
          <w:tab w:val="clear" w:pos="8640"/>
        </w:tabs>
        <w:jc w:val="both"/>
        <w:rPr>
          <w:b/>
          <w:sz w:val="22"/>
          <w:szCs w:val="22"/>
          <w:lang w:val="en-GB"/>
        </w:rPr>
      </w:pPr>
      <w:r w:rsidRPr="00A66AB5">
        <w:rPr>
          <w:sz w:val="22"/>
          <w:szCs w:val="22"/>
          <w:lang w:val="en-GB"/>
        </w:rPr>
        <w:t>-</w:t>
      </w:r>
    </w:p>
    <w:sectPr w:rsidR="00380EEB" w:rsidRPr="00A66AB5">
      <w:headerReference w:type="default" r:id="rId10"/>
      <w:footerReference w:type="default" r:id="rId11"/>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FA" w:rsidRDefault="001E0BFA">
      <w:r>
        <w:separator/>
      </w:r>
    </w:p>
  </w:endnote>
  <w:endnote w:type="continuationSeparator" w:id="0">
    <w:p w:rsidR="001E0BFA" w:rsidRDefault="001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3C" w:rsidRPr="00D36473" w:rsidRDefault="00D56E3C" w:rsidP="00D36473">
    <w:pPr>
      <w:pStyle w:val="a4"/>
    </w:pPr>
    <w:r>
      <w:rPr>
        <w:lang w:val="el-GR"/>
      </w:rPr>
      <w:t>Τμήμα 1.3.1</w:t>
    </w:r>
    <w:r>
      <w:rPr>
        <w:lang w:val="el-GR"/>
      </w:rPr>
      <w:tab/>
    </w:r>
    <w:r>
      <w:rPr>
        <w:lang w:val="en-GB"/>
      </w:rPr>
      <w:tab/>
    </w:r>
    <w:r>
      <w:rPr>
        <w:lang w:val="el-GR"/>
      </w:rPr>
      <w:t xml:space="preserve">Σελίδα </w:t>
    </w:r>
    <w:r>
      <w:rPr>
        <w:lang w:val="el-GR"/>
      </w:rPr>
      <w:fldChar w:fldCharType="begin"/>
    </w:r>
    <w:r>
      <w:rPr>
        <w:lang w:val="el-GR"/>
      </w:rPr>
      <w:instrText xml:space="preserve"> PAGE </w:instrText>
    </w:r>
    <w:r>
      <w:rPr>
        <w:lang w:val="el-GR"/>
      </w:rPr>
      <w:fldChar w:fldCharType="separate"/>
    </w:r>
    <w:r w:rsidR="00A94D3B">
      <w:rPr>
        <w:noProof/>
        <w:lang w:val="el-GR"/>
      </w:rPr>
      <w:t>27</w:t>
    </w:r>
    <w:r>
      <w:rPr>
        <w:lang w:val="el-GR"/>
      </w:rPr>
      <w:fldChar w:fldCharType="end"/>
    </w:r>
    <w:r>
      <w:rPr>
        <w:lang w:val="el-GR"/>
      </w:rPr>
      <w:t xml:space="preserve"> από </w:t>
    </w:r>
    <w:r>
      <w:rPr>
        <w:lang w:val="el-GR"/>
      </w:rPr>
      <w:fldChar w:fldCharType="begin"/>
    </w:r>
    <w:r>
      <w:rPr>
        <w:lang w:val="el-GR"/>
      </w:rPr>
      <w:instrText xml:space="preserve"> NUMPAGES </w:instrText>
    </w:r>
    <w:r>
      <w:rPr>
        <w:lang w:val="el-GR"/>
      </w:rPr>
      <w:fldChar w:fldCharType="separate"/>
    </w:r>
    <w:r w:rsidR="00A94D3B">
      <w:rPr>
        <w:noProof/>
        <w:lang w:val="el-GR"/>
      </w:rPr>
      <w:t>27</w:t>
    </w:r>
    <w:r>
      <w:rPr>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FA" w:rsidRDefault="001E0BFA">
      <w:r>
        <w:separator/>
      </w:r>
    </w:p>
  </w:footnote>
  <w:footnote w:type="continuationSeparator" w:id="0">
    <w:p w:rsidR="001E0BFA" w:rsidRDefault="001E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3C" w:rsidRDefault="00D56E3C">
    <w:pPr>
      <w:pStyle w:val="a3"/>
    </w:pPr>
    <w:r>
      <w:rPr>
        <w:lang w:val="el-GR"/>
      </w:rPr>
      <w:t>Δ</w:t>
    </w:r>
    <w:proofErr w:type="spellStart"/>
    <w:r w:rsidRPr="009B2F14">
      <w:t>ισκί</w:t>
    </w:r>
    <w:proofErr w:type="spellEnd"/>
    <w:r>
      <w:rPr>
        <w:lang w:val="el-GR"/>
      </w:rPr>
      <w:t>α</w:t>
    </w:r>
    <w:r w:rsidRPr="009B2F14">
      <w:t xml:space="preserve"> </w:t>
    </w:r>
    <w:proofErr w:type="spellStart"/>
    <w:r w:rsidRPr="009B2F14">
      <w:t>κουετι</w:t>
    </w:r>
    <w:proofErr w:type="spellEnd"/>
    <w:r w:rsidRPr="009B2F14">
      <w:t>απίνης παρα</w:t>
    </w:r>
    <w:proofErr w:type="spellStart"/>
    <w:r w:rsidRPr="009B2F14">
      <w:t>τετ</w:t>
    </w:r>
    <w:proofErr w:type="spellEnd"/>
    <w:r w:rsidRPr="009B2F14">
      <w:t>αμένης απ</w:t>
    </w:r>
    <w:proofErr w:type="spellStart"/>
    <w:r w:rsidRPr="009B2F14">
      <w:t>οδέσμευσης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B5"/>
    <w:multiLevelType w:val="hybridMultilevel"/>
    <w:tmpl w:val="22E2864E"/>
    <w:lvl w:ilvl="0" w:tplc="41D02AA4">
      <w:start w:val="8"/>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614E86"/>
    <w:multiLevelType w:val="hybridMultilevel"/>
    <w:tmpl w:val="4846FFB6"/>
    <w:lvl w:ilvl="0" w:tplc="A8C2C7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A325D"/>
    <w:multiLevelType w:val="multilevel"/>
    <w:tmpl w:val="BE7C0D6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442E9D"/>
    <w:multiLevelType w:val="hybridMultilevel"/>
    <w:tmpl w:val="39A03732"/>
    <w:lvl w:ilvl="0" w:tplc="0409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18B765C2"/>
    <w:multiLevelType w:val="singleLevel"/>
    <w:tmpl w:val="0A9C6148"/>
    <w:lvl w:ilvl="0">
      <w:start w:val="1"/>
      <w:numFmt w:val="decimal"/>
      <w:lvlText w:val="(%1)"/>
      <w:lvlJc w:val="left"/>
      <w:pPr>
        <w:ind w:left="1080" w:hanging="360"/>
      </w:pPr>
      <w:rPr>
        <w:rFonts w:cs="Times New Roman"/>
      </w:rPr>
    </w:lvl>
  </w:abstractNum>
  <w:abstractNum w:abstractNumId="5">
    <w:nsid w:val="27371EA8"/>
    <w:multiLevelType w:val="multilevel"/>
    <w:tmpl w:val="758CDD34"/>
    <w:lvl w:ilvl="0">
      <w:start w:val="1"/>
      <w:numFmt w:val="decimal"/>
      <w:lvlText w:val="%1."/>
      <w:lvlJc w:val="left"/>
      <w:pPr>
        <w:tabs>
          <w:tab w:val="num" w:pos="533"/>
        </w:tabs>
        <w:ind w:left="533" w:hanging="360"/>
      </w:pPr>
      <w:rPr>
        <w:rFonts w:cs="Times New Roman"/>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6">
    <w:nsid w:val="28696CAD"/>
    <w:multiLevelType w:val="hybridMultilevel"/>
    <w:tmpl w:val="D1C28EE2"/>
    <w:lvl w:ilvl="0" w:tplc="D5D04086">
      <w:start w:val="1"/>
      <w:numFmt w:val="decimal"/>
      <w:lvlText w:val="(%1)"/>
      <w:lvlJc w:val="left"/>
      <w:pPr>
        <w:tabs>
          <w:tab w:val="num" w:pos="533"/>
        </w:tabs>
        <w:ind w:left="533" w:hanging="360"/>
      </w:pPr>
      <w:rPr>
        <w:rFonts w:cs="Times New Roman"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AB05D48"/>
    <w:multiLevelType w:val="multilevel"/>
    <w:tmpl w:val="BBFAD56E"/>
    <w:lvl w:ilvl="0">
      <w:start w:val="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55C2E71"/>
    <w:multiLevelType w:val="hybridMultilevel"/>
    <w:tmpl w:val="C1C076A4"/>
    <w:lvl w:ilvl="0" w:tplc="910C0EB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5C6DB1"/>
    <w:multiLevelType w:val="multilevel"/>
    <w:tmpl w:val="D1E6068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9DD6A11"/>
    <w:multiLevelType w:val="hybridMultilevel"/>
    <w:tmpl w:val="1A34BDCA"/>
    <w:lvl w:ilvl="0" w:tplc="D062FF62">
      <w:start w:val="1"/>
      <w:numFmt w:val="bullet"/>
      <w:lvlText w:val="-"/>
      <w:lvlJc w:val="left"/>
      <w:pPr>
        <w:tabs>
          <w:tab w:val="num" w:pos="1712"/>
        </w:tabs>
        <w:ind w:left="1712"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1">
    <w:nsid w:val="4C004FBE"/>
    <w:multiLevelType w:val="multilevel"/>
    <w:tmpl w:val="F9862D8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3D60F82"/>
    <w:multiLevelType w:val="hybridMultilevel"/>
    <w:tmpl w:val="39A0373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3">
    <w:nsid w:val="59543939"/>
    <w:multiLevelType w:val="hybridMultilevel"/>
    <w:tmpl w:val="39A03732"/>
    <w:lvl w:ilvl="0" w:tplc="450AE13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nsid w:val="64637DD7"/>
    <w:multiLevelType w:val="hybridMultilevel"/>
    <w:tmpl w:val="943C3FD8"/>
    <w:lvl w:ilvl="0" w:tplc="07ACB4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8E330D"/>
    <w:multiLevelType w:val="hybridMultilevel"/>
    <w:tmpl w:val="6C4AB542"/>
    <w:lvl w:ilvl="0" w:tplc="450AE13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nsid w:val="6A256DC2"/>
    <w:multiLevelType w:val="hybridMultilevel"/>
    <w:tmpl w:val="1A34BDCA"/>
    <w:lvl w:ilvl="0" w:tplc="D062FF62">
      <w:start w:val="1"/>
      <w:numFmt w:val="bullet"/>
      <w:lvlText w:val="-"/>
      <w:lvlJc w:val="left"/>
      <w:pPr>
        <w:tabs>
          <w:tab w:val="num" w:pos="1712"/>
        </w:tabs>
        <w:ind w:left="1712"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7">
    <w:nsid w:val="6ACF4BF0"/>
    <w:multiLevelType w:val="hybridMultilevel"/>
    <w:tmpl w:val="C18E0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265731"/>
    <w:multiLevelType w:val="multilevel"/>
    <w:tmpl w:val="943C3F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BD65230"/>
    <w:multiLevelType w:val="hybridMultilevel"/>
    <w:tmpl w:val="1A34BDCA"/>
    <w:lvl w:ilvl="0" w:tplc="D062FF62">
      <w:start w:val="1"/>
      <w:numFmt w:val="bullet"/>
      <w:lvlText w:val="-"/>
      <w:lvlJc w:val="left"/>
      <w:pPr>
        <w:tabs>
          <w:tab w:val="num" w:pos="1712"/>
        </w:tabs>
        <w:ind w:left="1712"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20">
    <w:nsid w:val="6FF01BCF"/>
    <w:multiLevelType w:val="multilevel"/>
    <w:tmpl w:val="035E8056"/>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1D308F4"/>
    <w:multiLevelType w:val="hybridMultilevel"/>
    <w:tmpl w:val="8D66FAFC"/>
    <w:lvl w:ilvl="0" w:tplc="30D492EE">
      <w:start w:val="1"/>
      <w:numFmt w:val="decimal"/>
      <w:lvlText w:val="%1."/>
      <w:lvlJc w:val="left"/>
      <w:pPr>
        <w:tabs>
          <w:tab w:val="num" w:pos="533"/>
        </w:tabs>
        <w:ind w:left="533" w:hanging="360"/>
      </w:pPr>
      <w:rPr>
        <w:rFonts w:cs="Times New Roman" w:hint="default"/>
        <w:sz w:val="20"/>
      </w:rPr>
    </w:lvl>
    <w:lvl w:ilvl="1" w:tplc="04090019" w:tentative="1">
      <w:start w:val="1"/>
      <w:numFmt w:val="lowerLetter"/>
      <w:lvlText w:val="%2."/>
      <w:lvlJc w:val="left"/>
      <w:pPr>
        <w:tabs>
          <w:tab w:val="num" w:pos="1253"/>
        </w:tabs>
        <w:ind w:left="1253" w:hanging="360"/>
      </w:pPr>
      <w:rPr>
        <w:rFonts w:cs="Times New Roman"/>
      </w:rPr>
    </w:lvl>
    <w:lvl w:ilvl="2" w:tplc="0409001B" w:tentative="1">
      <w:start w:val="1"/>
      <w:numFmt w:val="lowerRoman"/>
      <w:lvlText w:val="%3."/>
      <w:lvlJc w:val="right"/>
      <w:pPr>
        <w:tabs>
          <w:tab w:val="num" w:pos="1973"/>
        </w:tabs>
        <w:ind w:left="1973" w:hanging="180"/>
      </w:pPr>
      <w:rPr>
        <w:rFonts w:cs="Times New Roman"/>
      </w:rPr>
    </w:lvl>
    <w:lvl w:ilvl="3" w:tplc="0409000F" w:tentative="1">
      <w:start w:val="1"/>
      <w:numFmt w:val="decimal"/>
      <w:lvlText w:val="%4."/>
      <w:lvlJc w:val="left"/>
      <w:pPr>
        <w:tabs>
          <w:tab w:val="num" w:pos="2693"/>
        </w:tabs>
        <w:ind w:left="2693" w:hanging="360"/>
      </w:pPr>
      <w:rPr>
        <w:rFonts w:cs="Times New Roman"/>
      </w:rPr>
    </w:lvl>
    <w:lvl w:ilvl="4" w:tplc="04090019" w:tentative="1">
      <w:start w:val="1"/>
      <w:numFmt w:val="lowerLetter"/>
      <w:lvlText w:val="%5."/>
      <w:lvlJc w:val="left"/>
      <w:pPr>
        <w:tabs>
          <w:tab w:val="num" w:pos="3413"/>
        </w:tabs>
        <w:ind w:left="3413" w:hanging="360"/>
      </w:pPr>
      <w:rPr>
        <w:rFonts w:cs="Times New Roman"/>
      </w:rPr>
    </w:lvl>
    <w:lvl w:ilvl="5" w:tplc="0409001B" w:tentative="1">
      <w:start w:val="1"/>
      <w:numFmt w:val="lowerRoman"/>
      <w:lvlText w:val="%6."/>
      <w:lvlJc w:val="right"/>
      <w:pPr>
        <w:tabs>
          <w:tab w:val="num" w:pos="4133"/>
        </w:tabs>
        <w:ind w:left="4133" w:hanging="180"/>
      </w:pPr>
      <w:rPr>
        <w:rFonts w:cs="Times New Roman"/>
      </w:rPr>
    </w:lvl>
    <w:lvl w:ilvl="6" w:tplc="0409000F" w:tentative="1">
      <w:start w:val="1"/>
      <w:numFmt w:val="decimal"/>
      <w:lvlText w:val="%7."/>
      <w:lvlJc w:val="left"/>
      <w:pPr>
        <w:tabs>
          <w:tab w:val="num" w:pos="4853"/>
        </w:tabs>
        <w:ind w:left="4853" w:hanging="360"/>
      </w:pPr>
      <w:rPr>
        <w:rFonts w:cs="Times New Roman"/>
      </w:rPr>
    </w:lvl>
    <w:lvl w:ilvl="7" w:tplc="04090019" w:tentative="1">
      <w:start w:val="1"/>
      <w:numFmt w:val="lowerLetter"/>
      <w:lvlText w:val="%8."/>
      <w:lvlJc w:val="left"/>
      <w:pPr>
        <w:tabs>
          <w:tab w:val="num" w:pos="5573"/>
        </w:tabs>
        <w:ind w:left="5573" w:hanging="360"/>
      </w:pPr>
      <w:rPr>
        <w:rFonts w:cs="Times New Roman"/>
      </w:rPr>
    </w:lvl>
    <w:lvl w:ilvl="8" w:tplc="0409001B" w:tentative="1">
      <w:start w:val="1"/>
      <w:numFmt w:val="lowerRoman"/>
      <w:lvlText w:val="%9."/>
      <w:lvlJc w:val="right"/>
      <w:pPr>
        <w:tabs>
          <w:tab w:val="num" w:pos="6293"/>
        </w:tabs>
        <w:ind w:left="6293" w:hanging="180"/>
      </w:pPr>
      <w:rPr>
        <w:rFonts w:cs="Times New Roman"/>
      </w:rPr>
    </w:lvl>
  </w:abstractNum>
  <w:abstractNum w:abstractNumId="22">
    <w:nsid w:val="720F0BB1"/>
    <w:multiLevelType w:val="hybridMultilevel"/>
    <w:tmpl w:val="94AE7504"/>
    <w:lvl w:ilvl="0" w:tplc="BA2CA81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29E7766"/>
    <w:multiLevelType w:val="multilevel"/>
    <w:tmpl w:val="C7A8291E"/>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38B71C7"/>
    <w:multiLevelType w:val="hybridMultilevel"/>
    <w:tmpl w:val="5508AE0C"/>
    <w:lvl w:ilvl="0" w:tplc="0152E8DA">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1A4502"/>
    <w:multiLevelType w:val="hybridMultilevel"/>
    <w:tmpl w:val="B9184A8A"/>
    <w:lvl w:ilvl="0" w:tplc="FEEEB9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3"/>
  </w:num>
  <w:num w:numId="4">
    <w:abstractNumId w:val="20"/>
  </w:num>
  <w:num w:numId="5">
    <w:abstractNumId w:val="25"/>
  </w:num>
  <w:num w:numId="6">
    <w:abstractNumId w:val="22"/>
  </w:num>
  <w:num w:numId="7">
    <w:abstractNumId w:val="11"/>
  </w:num>
  <w:num w:numId="8">
    <w:abstractNumId w:val="2"/>
  </w:num>
  <w:num w:numId="9">
    <w:abstractNumId w:val="9"/>
  </w:num>
  <w:num w:numId="10">
    <w:abstractNumId w:val="7"/>
  </w:num>
  <w:num w:numId="11">
    <w:abstractNumId w:val="16"/>
  </w:num>
  <w:num w:numId="12">
    <w:abstractNumId w:val="19"/>
  </w:num>
  <w:num w:numId="13">
    <w:abstractNumId w:val="10"/>
  </w:num>
  <w:num w:numId="14">
    <w:abstractNumId w:val="24"/>
  </w:num>
  <w:num w:numId="15">
    <w:abstractNumId w:val="4"/>
    <w:lvlOverride w:ilvl="0">
      <w:startOverride w:val="1"/>
    </w:lvlOverride>
  </w:num>
  <w:num w:numId="16">
    <w:abstractNumId w:val="14"/>
  </w:num>
  <w:num w:numId="17">
    <w:abstractNumId w:val="21"/>
  </w:num>
  <w:num w:numId="18">
    <w:abstractNumId w:val="12"/>
  </w:num>
  <w:num w:numId="19">
    <w:abstractNumId w:val="13"/>
  </w:num>
  <w:num w:numId="20">
    <w:abstractNumId w:val="3"/>
  </w:num>
  <w:num w:numId="21">
    <w:abstractNumId w:val="15"/>
  </w:num>
  <w:num w:numId="22">
    <w:abstractNumId w:val="0"/>
  </w:num>
  <w:num w:numId="23">
    <w:abstractNumId w:val="5"/>
  </w:num>
  <w:num w:numId="24">
    <w:abstractNumId w:val="1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E9"/>
    <w:rsid w:val="00000C45"/>
    <w:rsid w:val="00002C3C"/>
    <w:rsid w:val="00010107"/>
    <w:rsid w:val="000114F9"/>
    <w:rsid w:val="000121A9"/>
    <w:rsid w:val="00021AD3"/>
    <w:rsid w:val="00025908"/>
    <w:rsid w:val="00030627"/>
    <w:rsid w:val="000309A3"/>
    <w:rsid w:val="00033004"/>
    <w:rsid w:val="0003473F"/>
    <w:rsid w:val="000545CB"/>
    <w:rsid w:val="000552F7"/>
    <w:rsid w:val="000578BA"/>
    <w:rsid w:val="00057BA8"/>
    <w:rsid w:val="000635FD"/>
    <w:rsid w:val="00067C2D"/>
    <w:rsid w:val="00080CD6"/>
    <w:rsid w:val="00082B90"/>
    <w:rsid w:val="000A4BD6"/>
    <w:rsid w:val="000A571D"/>
    <w:rsid w:val="000C116A"/>
    <w:rsid w:val="000C7171"/>
    <w:rsid w:val="000E1B1D"/>
    <w:rsid w:val="000F4051"/>
    <w:rsid w:val="00101225"/>
    <w:rsid w:val="00105230"/>
    <w:rsid w:val="001169D6"/>
    <w:rsid w:val="00122C84"/>
    <w:rsid w:val="00125EE1"/>
    <w:rsid w:val="001345B7"/>
    <w:rsid w:val="00147123"/>
    <w:rsid w:val="00154520"/>
    <w:rsid w:val="001545F2"/>
    <w:rsid w:val="00155E2F"/>
    <w:rsid w:val="00162416"/>
    <w:rsid w:val="00163D8D"/>
    <w:rsid w:val="00171611"/>
    <w:rsid w:val="00171674"/>
    <w:rsid w:val="00176D44"/>
    <w:rsid w:val="00177AFA"/>
    <w:rsid w:val="00186AF5"/>
    <w:rsid w:val="00195C77"/>
    <w:rsid w:val="00196E03"/>
    <w:rsid w:val="001C1027"/>
    <w:rsid w:val="001D2D4B"/>
    <w:rsid w:val="001D63B7"/>
    <w:rsid w:val="001E0BFA"/>
    <w:rsid w:val="001E497F"/>
    <w:rsid w:val="001F02A0"/>
    <w:rsid w:val="001F7223"/>
    <w:rsid w:val="001F7643"/>
    <w:rsid w:val="002139A4"/>
    <w:rsid w:val="00214B2F"/>
    <w:rsid w:val="00221214"/>
    <w:rsid w:val="00226857"/>
    <w:rsid w:val="00235DBA"/>
    <w:rsid w:val="002471CA"/>
    <w:rsid w:val="00253968"/>
    <w:rsid w:val="00256388"/>
    <w:rsid w:val="00274B65"/>
    <w:rsid w:val="00276D84"/>
    <w:rsid w:val="00277E70"/>
    <w:rsid w:val="00280761"/>
    <w:rsid w:val="0028772B"/>
    <w:rsid w:val="002B1C79"/>
    <w:rsid w:val="002B29D4"/>
    <w:rsid w:val="002C52CF"/>
    <w:rsid w:val="002C6A0A"/>
    <w:rsid w:val="002D5073"/>
    <w:rsid w:val="002E63E0"/>
    <w:rsid w:val="002F0C2B"/>
    <w:rsid w:val="002F279F"/>
    <w:rsid w:val="002F5A7A"/>
    <w:rsid w:val="00300312"/>
    <w:rsid w:val="003008D9"/>
    <w:rsid w:val="003049B8"/>
    <w:rsid w:val="00310356"/>
    <w:rsid w:val="00310532"/>
    <w:rsid w:val="00310919"/>
    <w:rsid w:val="00312C9E"/>
    <w:rsid w:val="003304EA"/>
    <w:rsid w:val="00333843"/>
    <w:rsid w:val="00336229"/>
    <w:rsid w:val="00336C03"/>
    <w:rsid w:val="003371DF"/>
    <w:rsid w:val="0034556E"/>
    <w:rsid w:val="003538AA"/>
    <w:rsid w:val="00353EEC"/>
    <w:rsid w:val="00365371"/>
    <w:rsid w:val="003706AA"/>
    <w:rsid w:val="00372CFA"/>
    <w:rsid w:val="00380EEB"/>
    <w:rsid w:val="00390566"/>
    <w:rsid w:val="00396F5A"/>
    <w:rsid w:val="003A15DC"/>
    <w:rsid w:val="003C394A"/>
    <w:rsid w:val="003D2103"/>
    <w:rsid w:val="003D3B7A"/>
    <w:rsid w:val="003E0682"/>
    <w:rsid w:val="003E331C"/>
    <w:rsid w:val="003E3AD0"/>
    <w:rsid w:val="003E7EF0"/>
    <w:rsid w:val="003F10F2"/>
    <w:rsid w:val="003F7EAD"/>
    <w:rsid w:val="004024D4"/>
    <w:rsid w:val="0041055B"/>
    <w:rsid w:val="004140A1"/>
    <w:rsid w:val="004172EA"/>
    <w:rsid w:val="00425DFC"/>
    <w:rsid w:val="00427F1A"/>
    <w:rsid w:val="00450D5B"/>
    <w:rsid w:val="004560FF"/>
    <w:rsid w:val="00463492"/>
    <w:rsid w:val="00464501"/>
    <w:rsid w:val="00466D2E"/>
    <w:rsid w:val="004713C7"/>
    <w:rsid w:val="00476444"/>
    <w:rsid w:val="00481DF2"/>
    <w:rsid w:val="004830F0"/>
    <w:rsid w:val="00487E93"/>
    <w:rsid w:val="00490778"/>
    <w:rsid w:val="0049264B"/>
    <w:rsid w:val="00497162"/>
    <w:rsid w:val="004A2BB3"/>
    <w:rsid w:val="004B0557"/>
    <w:rsid w:val="004B10DA"/>
    <w:rsid w:val="004C0A8D"/>
    <w:rsid w:val="004C52C0"/>
    <w:rsid w:val="004D0F36"/>
    <w:rsid w:val="004D1961"/>
    <w:rsid w:val="004E27FB"/>
    <w:rsid w:val="004E6ADA"/>
    <w:rsid w:val="004E7035"/>
    <w:rsid w:val="004E7F7D"/>
    <w:rsid w:val="004F58F1"/>
    <w:rsid w:val="00505BA7"/>
    <w:rsid w:val="00517AEE"/>
    <w:rsid w:val="0053479A"/>
    <w:rsid w:val="00542345"/>
    <w:rsid w:val="005479FF"/>
    <w:rsid w:val="005531E9"/>
    <w:rsid w:val="005723AF"/>
    <w:rsid w:val="0058791C"/>
    <w:rsid w:val="0059071A"/>
    <w:rsid w:val="005941C8"/>
    <w:rsid w:val="00596ED6"/>
    <w:rsid w:val="005C5292"/>
    <w:rsid w:val="005C5828"/>
    <w:rsid w:val="005D4A98"/>
    <w:rsid w:val="005D5282"/>
    <w:rsid w:val="005D60B4"/>
    <w:rsid w:val="005D6889"/>
    <w:rsid w:val="005E2918"/>
    <w:rsid w:val="005E2F1D"/>
    <w:rsid w:val="005F7120"/>
    <w:rsid w:val="00614C22"/>
    <w:rsid w:val="006173F6"/>
    <w:rsid w:val="00620B15"/>
    <w:rsid w:val="006228E6"/>
    <w:rsid w:val="00622FB6"/>
    <w:rsid w:val="00625B15"/>
    <w:rsid w:val="006272B8"/>
    <w:rsid w:val="006338E9"/>
    <w:rsid w:val="006403FF"/>
    <w:rsid w:val="00640CE8"/>
    <w:rsid w:val="00642747"/>
    <w:rsid w:val="00650FDB"/>
    <w:rsid w:val="006520B9"/>
    <w:rsid w:val="00657669"/>
    <w:rsid w:val="00662405"/>
    <w:rsid w:val="00663B42"/>
    <w:rsid w:val="00664B9D"/>
    <w:rsid w:val="00666FC2"/>
    <w:rsid w:val="00666FFD"/>
    <w:rsid w:val="00667717"/>
    <w:rsid w:val="00671456"/>
    <w:rsid w:val="0067582D"/>
    <w:rsid w:val="006770F0"/>
    <w:rsid w:val="00680DDD"/>
    <w:rsid w:val="006811E9"/>
    <w:rsid w:val="006825F9"/>
    <w:rsid w:val="006A1063"/>
    <w:rsid w:val="006B23BE"/>
    <w:rsid w:val="006B30B5"/>
    <w:rsid w:val="006B35A1"/>
    <w:rsid w:val="006B3E91"/>
    <w:rsid w:val="006B3F1F"/>
    <w:rsid w:val="006C5503"/>
    <w:rsid w:val="006D060B"/>
    <w:rsid w:val="006D5A78"/>
    <w:rsid w:val="006F3E70"/>
    <w:rsid w:val="00700254"/>
    <w:rsid w:val="0070681F"/>
    <w:rsid w:val="00710CDC"/>
    <w:rsid w:val="00711066"/>
    <w:rsid w:val="0071684D"/>
    <w:rsid w:val="00727383"/>
    <w:rsid w:val="0073322D"/>
    <w:rsid w:val="007337B6"/>
    <w:rsid w:val="007401A7"/>
    <w:rsid w:val="007425D9"/>
    <w:rsid w:val="00746FBB"/>
    <w:rsid w:val="00747590"/>
    <w:rsid w:val="00756452"/>
    <w:rsid w:val="00761C22"/>
    <w:rsid w:val="00763234"/>
    <w:rsid w:val="007676AF"/>
    <w:rsid w:val="007761D0"/>
    <w:rsid w:val="00786BF6"/>
    <w:rsid w:val="007907B4"/>
    <w:rsid w:val="00791987"/>
    <w:rsid w:val="007946C5"/>
    <w:rsid w:val="00796CC9"/>
    <w:rsid w:val="00797573"/>
    <w:rsid w:val="007B65AF"/>
    <w:rsid w:val="007B723A"/>
    <w:rsid w:val="007C539F"/>
    <w:rsid w:val="007D44BE"/>
    <w:rsid w:val="007D7113"/>
    <w:rsid w:val="007E63A7"/>
    <w:rsid w:val="007F3F49"/>
    <w:rsid w:val="00816522"/>
    <w:rsid w:val="00817704"/>
    <w:rsid w:val="00841862"/>
    <w:rsid w:val="00847B69"/>
    <w:rsid w:val="00860BFC"/>
    <w:rsid w:val="00863381"/>
    <w:rsid w:val="00871BEE"/>
    <w:rsid w:val="00876F0E"/>
    <w:rsid w:val="00880F70"/>
    <w:rsid w:val="00881F38"/>
    <w:rsid w:val="00891DB0"/>
    <w:rsid w:val="008928D5"/>
    <w:rsid w:val="008B061C"/>
    <w:rsid w:val="008C2263"/>
    <w:rsid w:val="008D2C10"/>
    <w:rsid w:val="008D3F1F"/>
    <w:rsid w:val="008D7048"/>
    <w:rsid w:val="008E23D8"/>
    <w:rsid w:val="008F09B4"/>
    <w:rsid w:val="008F172F"/>
    <w:rsid w:val="008F2783"/>
    <w:rsid w:val="008F5464"/>
    <w:rsid w:val="008F556F"/>
    <w:rsid w:val="00904140"/>
    <w:rsid w:val="00916545"/>
    <w:rsid w:val="009169CD"/>
    <w:rsid w:val="0091797D"/>
    <w:rsid w:val="00923693"/>
    <w:rsid w:val="009264EF"/>
    <w:rsid w:val="00940126"/>
    <w:rsid w:val="009577AA"/>
    <w:rsid w:val="009A1388"/>
    <w:rsid w:val="009B2F14"/>
    <w:rsid w:val="009B6554"/>
    <w:rsid w:val="009C2A3B"/>
    <w:rsid w:val="009C7ABC"/>
    <w:rsid w:val="009D545E"/>
    <w:rsid w:val="009F1E9E"/>
    <w:rsid w:val="009F6913"/>
    <w:rsid w:val="009F6A7B"/>
    <w:rsid w:val="00A0455A"/>
    <w:rsid w:val="00A135AB"/>
    <w:rsid w:val="00A43010"/>
    <w:rsid w:val="00A44E51"/>
    <w:rsid w:val="00A50106"/>
    <w:rsid w:val="00A537CB"/>
    <w:rsid w:val="00A63E06"/>
    <w:rsid w:val="00A6463D"/>
    <w:rsid w:val="00A65503"/>
    <w:rsid w:val="00A66AB5"/>
    <w:rsid w:val="00A72765"/>
    <w:rsid w:val="00A74A8B"/>
    <w:rsid w:val="00A843AC"/>
    <w:rsid w:val="00A8469D"/>
    <w:rsid w:val="00A9026B"/>
    <w:rsid w:val="00A94D3B"/>
    <w:rsid w:val="00A9516F"/>
    <w:rsid w:val="00A96A0C"/>
    <w:rsid w:val="00AA0B50"/>
    <w:rsid w:val="00AA4FA4"/>
    <w:rsid w:val="00AB2E21"/>
    <w:rsid w:val="00AB40E2"/>
    <w:rsid w:val="00AB4CEC"/>
    <w:rsid w:val="00AC485B"/>
    <w:rsid w:val="00AD0CE7"/>
    <w:rsid w:val="00AD300A"/>
    <w:rsid w:val="00AD74CD"/>
    <w:rsid w:val="00AF0176"/>
    <w:rsid w:val="00AF17BA"/>
    <w:rsid w:val="00AF498A"/>
    <w:rsid w:val="00AF716B"/>
    <w:rsid w:val="00B043D6"/>
    <w:rsid w:val="00B07718"/>
    <w:rsid w:val="00B079EA"/>
    <w:rsid w:val="00B10D90"/>
    <w:rsid w:val="00B125B9"/>
    <w:rsid w:val="00B1568C"/>
    <w:rsid w:val="00B22036"/>
    <w:rsid w:val="00B322F9"/>
    <w:rsid w:val="00B60747"/>
    <w:rsid w:val="00B630DB"/>
    <w:rsid w:val="00B646E4"/>
    <w:rsid w:val="00B65B88"/>
    <w:rsid w:val="00B7782D"/>
    <w:rsid w:val="00B77A91"/>
    <w:rsid w:val="00B91177"/>
    <w:rsid w:val="00B9154E"/>
    <w:rsid w:val="00B96499"/>
    <w:rsid w:val="00BA0160"/>
    <w:rsid w:val="00BA14D8"/>
    <w:rsid w:val="00BA69B2"/>
    <w:rsid w:val="00BB2CBA"/>
    <w:rsid w:val="00BC03F8"/>
    <w:rsid w:val="00BC0A8C"/>
    <w:rsid w:val="00BC6736"/>
    <w:rsid w:val="00BD3BEF"/>
    <w:rsid w:val="00BE57D1"/>
    <w:rsid w:val="00BF0AC9"/>
    <w:rsid w:val="00BF14B5"/>
    <w:rsid w:val="00BF1869"/>
    <w:rsid w:val="00BF73CE"/>
    <w:rsid w:val="00C03D84"/>
    <w:rsid w:val="00C11DC3"/>
    <w:rsid w:val="00C15BA7"/>
    <w:rsid w:val="00C21117"/>
    <w:rsid w:val="00C23604"/>
    <w:rsid w:val="00C30483"/>
    <w:rsid w:val="00C34950"/>
    <w:rsid w:val="00C4036F"/>
    <w:rsid w:val="00C41852"/>
    <w:rsid w:val="00C45CDD"/>
    <w:rsid w:val="00C623D1"/>
    <w:rsid w:val="00C63325"/>
    <w:rsid w:val="00C719E8"/>
    <w:rsid w:val="00C74FF0"/>
    <w:rsid w:val="00C75524"/>
    <w:rsid w:val="00C91769"/>
    <w:rsid w:val="00C919F1"/>
    <w:rsid w:val="00C95171"/>
    <w:rsid w:val="00CA1B6A"/>
    <w:rsid w:val="00CA7BB9"/>
    <w:rsid w:val="00CB673B"/>
    <w:rsid w:val="00CB761D"/>
    <w:rsid w:val="00CD2581"/>
    <w:rsid w:val="00CD42D0"/>
    <w:rsid w:val="00CE1DC9"/>
    <w:rsid w:val="00CE30E1"/>
    <w:rsid w:val="00D03B1C"/>
    <w:rsid w:val="00D07CC5"/>
    <w:rsid w:val="00D128F6"/>
    <w:rsid w:val="00D12A1D"/>
    <w:rsid w:val="00D14B33"/>
    <w:rsid w:val="00D15B02"/>
    <w:rsid w:val="00D21212"/>
    <w:rsid w:val="00D26323"/>
    <w:rsid w:val="00D36473"/>
    <w:rsid w:val="00D4362A"/>
    <w:rsid w:val="00D44EC7"/>
    <w:rsid w:val="00D53D5C"/>
    <w:rsid w:val="00D56E3C"/>
    <w:rsid w:val="00D62B03"/>
    <w:rsid w:val="00D65C75"/>
    <w:rsid w:val="00D670D2"/>
    <w:rsid w:val="00D67CFB"/>
    <w:rsid w:val="00D75BCF"/>
    <w:rsid w:val="00D82E63"/>
    <w:rsid w:val="00D84C48"/>
    <w:rsid w:val="00D92BC6"/>
    <w:rsid w:val="00D9630B"/>
    <w:rsid w:val="00DA2675"/>
    <w:rsid w:val="00DA2690"/>
    <w:rsid w:val="00DA4ED0"/>
    <w:rsid w:val="00DA7B0E"/>
    <w:rsid w:val="00DB53E4"/>
    <w:rsid w:val="00DB6E1D"/>
    <w:rsid w:val="00DB7BB0"/>
    <w:rsid w:val="00DC1AF9"/>
    <w:rsid w:val="00DC22E2"/>
    <w:rsid w:val="00DD4FBE"/>
    <w:rsid w:val="00DD5A66"/>
    <w:rsid w:val="00DE0D0A"/>
    <w:rsid w:val="00DF2FA2"/>
    <w:rsid w:val="00E0305B"/>
    <w:rsid w:val="00E03989"/>
    <w:rsid w:val="00E113AC"/>
    <w:rsid w:val="00E113AD"/>
    <w:rsid w:val="00E2007B"/>
    <w:rsid w:val="00E205D1"/>
    <w:rsid w:val="00E238E4"/>
    <w:rsid w:val="00E3201C"/>
    <w:rsid w:val="00E32263"/>
    <w:rsid w:val="00E40EF9"/>
    <w:rsid w:val="00E45598"/>
    <w:rsid w:val="00E654D1"/>
    <w:rsid w:val="00E73CBB"/>
    <w:rsid w:val="00E73FBE"/>
    <w:rsid w:val="00E7436D"/>
    <w:rsid w:val="00E75189"/>
    <w:rsid w:val="00E81051"/>
    <w:rsid w:val="00E86C10"/>
    <w:rsid w:val="00EA58C0"/>
    <w:rsid w:val="00EB1BEF"/>
    <w:rsid w:val="00EE54E8"/>
    <w:rsid w:val="00EE6B93"/>
    <w:rsid w:val="00EF129B"/>
    <w:rsid w:val="00EF3B00"/>
    <w:rsid w:val="00F0185C"/>
    <w:rsid w:val="00F07BDE"/>
    <w:rsid w:val="00F14BD6"/>
    <w:rsid w:val="00F21D57"/>
    <w:rsid w:val="00F25BB6"/>
    <w:rsid w:val="00F31342"/>
    <w:rsid w:val="00F32AA2"/>
    <w:rsid w:val="00F44272"/>
    <w:rsid w:val="00F6005F"/>
    <w:rsid w:val="00F622CE"/>
    <w:rsid w:val="00F67A57"/>
    <w:rsid w:val="00F67AFC"/>
    <w:rsid w:val="00F72499"/>
    <w:rsid w:val="00F75994"/>
    <w:rsid w:val="00F834E0"/>
    <w:rsid w:val="00F837E5"/>
    <w:rsid w:val="00F85AA5"/>
    <w:rsid w:val="00F97906"/>
    <w:rsid w:val="00FA2A0A"/>
    <w:rsid w:val="00FB22BB"/>
    <w:rsid w:val="00FB45E8"/>
    <w:rsid w:val="00FB6600"/>
    <w:rsid w:val="00FC213B"/>
    <w:rsid w:val="00FD2C1D"/>
    <w:rsid w:val="00FD7079"/>
    <w:rsid w:val="00FE4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val="en-US"/>
    </w:rPr>
  </w:style>
  <w:style w:type="paragraph" w:styleId="6">
    <w:name w:val="heading 6"/>
    <w:basedOn w:val="a"/>
    <w:next w:val="a"/>
    <w:qFormat/>
    <w:pPr>
      <w:keepNext/>
      <w:tabs>
        <w:tab w:val="left" w:pos="-720"/>
        <w:tab w:val="left" w:pos="567"/>
        <w:tab w:val="left" w:pos="4536"/>
      </w:tabs>
      <w:suppressAutoHyphens/>
      <w:spacing w:line="260" w:lineRule="exact"/>
      <w:outlineLvl w:val="5"/>
    </w:pPr>
    <w:rPr>
      <w:i/>
      <w:sz w:val="22"/>
      <w:szCs w:val="20"/>
      <w:lang w:val="en-GB"/>
    </w:rPr>
  </w:style>
  <w:style w:type="paragraph" w:styleId="7">
    <w:name w:val="heading 7"/>
    <w:basedOn w:val="a"/>
    <w:next w:val="a"/>
    <w:link w:val="7Char"/>
    <w:semiHidden/>
    <w:unhideWhenUsed/>
    <w:qFormat/>
    <w:rsid w:val="007D711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pPr>
      <w:tabs>
        <w:tab w:val="center" w:pos="4320"/>
        <w:tab w:val="right" w:pos="8640"/>
      </w:tabs>
    </w:pPr>
    <w:rPr>
      <w:snapToGrid/>
    </w:rPr>
  </w:style>
  <w:style w:type="paragraph" w:styleId="a5">
    <w:name w:val="Body Text"/>
    <w:basedOn w:val="a"/>
    <w:pPr>
      <w:jc w:val="both"/>
    </w:pPr>
  </w:style>
  <w:style w:type="paragraph" w:styleId="2">
    <w:name w:val="Body Text 2"/>
    <w:basedOn w:val="a"/>
    <w:link w:val="2Char"/>
    <w:pPr>
      <w:jc w:val="both"/>
    </w:pPr>
    <w:rPr>
      <w:snapToGrid/>
    </w:rPr>
  </w:style>
  <w:style w:type="paragraph" w:customStyle="1" w:styleId="A-NormalIndent">
    <w:name w:val="A-Normal Indent"/>
    <w:next w:val="a"/>
    <w:pPr>
      <w:spacing w:after="240" w:line="280" w:lineRule="atLeast"/>
      <w:ind w:left="992"/>
    </w:pPr>
    <w:rPr>
      <w:snapToGrid w:val="0"/>
      <w:sz w:val="24"/>
      <w:szCs w:val="24"/>
      <w:lang w:val="en-GB"/>
    </w:rPr>
  </w:style>
  <w:style w:type="character" w:styleId="a6">
    <w:name w:val="page number"/>
    <w:rPr>
      <w:rFonts w:cs="Times New Roman"/>
    </w:rPr>
  </w:style>
  <w:style w:type="character" w:styleId="a7">
    <w:name w:val="Strong"/>
    <w:qFormat/>
    <w:rPr>
      <w:rFonts w:cs="Times New Roman"/>
      <w:b/>
      <w:bCs/>
    </w:rPr>
  </w:style>
  <w:style w:type="paragraph" w:customStyle="1" w:styleId="A-TableText">
    <w:name w:val="A-Table Text"/>
    <w:pPr>
      <w:overflowPunct w:val="0"/>
      <w:autoSpaceDE w:val="0"/>
      <w:autoSpaceDN w:val="0"/>
      <w:adjustRightInd w:val="0"/>
      <w:spacing w:before="60" w:after="60"/>
    </w:pPr>
    <w:rPr>
      <w:snapToGrid w:val="0"/>
      <w:sz w:val="22"/>
      <w:szCs w:val="22"/>
      <w:lang w:val="en-GB"/>
    </w:rPr>
  </w:style>
  <w:style w:type="paragraph" w:styleId="a8">
    <w:name w:val="Body Text Indent"/>
    <w:basedOn w:val="a"/>
    <w:pPr>
      <w:spacing w:after="120"/>
      <w:ind w:left="360"/>
    </w:pPr>
  </w:style>
  <w:style w:type="paragraph" w:customStyle="1" w:styleId="A-TableHeader">
    <w:name w:val="A-Table Header"/>
    <w:next w:val="A-TableText"/>
    <w:pPr>
      <w:keepNext/>
      <w:overflowPunct w:val="0"/>
      <w:autoSpaceDE w:val="0"/>
      <w:autoSpaceDN w:val="0"/>
      <w:adjustRightInd w:val="0"/>
      <w:spacing w:before="60" w:after="60"/>
    </w:pPr>
    <w:rPr>
      <w:b/>
      <w:bCs/>
      <w:snapToGrid w:val="0"/>
      <w:sz w:val="22"/>
      <w:szCs w:val="22"/>
      <w:lang w:val="en-GB"/>
    </w:rPr>
  </w:style>
  <w:style w:type="paragraph" w:styleId="Web">
    <w:name w:val="Normal (Web)"/>
    <w:basedOn w:val="a"/>
    <w:pPr>
      <w:spacing w:before="100" w:beforeAutospacing="1" w:after="75"/>
    </w:pPr>
    <w:rPr>
      <w:color w:val="000000"/>
    </w:rPr>
  </w:style>
  <w:style w:type="character" w:customStyle="1" w:styleId="longtext">
    <w:name w:val="long_text"/>
    <w:rPr>
      <w:rFonts w:cs="Times New Roman"/>
    </w:rPr>
  </w:style>
  <w:style w:type="character" w:customStyle="1" w:styleId="hps">
    <w:name w:val="hps"/>
    <w:rPr>
      <w:rFonts w:cs="Times New Roman"/>
    </w:rPr>
  </w:style>
  <w:style w:type="character" w:styleId="a9">
    <w:name w:val="Emphasis"/>
    <w:qFormat/>
    <w:rPr>
      <w:rFonts w:cs="Times New Roman"/>
      <w:i/>
      <w:iCs/>
    </w:rPr>
  </w:style>
  <w:style w:type="character" w:customStyle="1" w:styleId="CharChar3">
    <w:name w:val="Char Char3"/>
    <w:locked/>
    <w:rPr>
      <w:rFonts w:cs="Times New Roman"/>
      <w:sz w:val="24"/>
      <w:szCs w:val="24"/>
      <w:lang w:val="en-US"/>
    </w:rPr>
  </w:style>
  <w:style w:type="character" w:customStyle="1" w:styleId="tw4winMark">
    <w:name w:val="tw4winMark"/>
    <w:rPr>
      <w:rFonts w:ascii="Courier New" w:hAnsi="Courier New"/>
      <w:vanish/>
      <w:color w:val="800080"/>
      <w:sz w:val="24"/>
      <w:vertAlign w:val="subscript"/>
    </w:rPr>
  </w:style>
  <w:style w:type="character" w:customStyle="1" w:styleId="Char">
    <w:name w:val="Υποσέλιδο Char"/>
    <w:link w:val="a4"/>
    <w:locked/>
    <w:rPr>
      <w:rFonts w:cs="Times New Roman"/>
      <w:sz w:val="24"/>
      <w:szCs w:val="24"/>
      <w:lang w:val="en-US"/>
    </w:rPr>
  </w:style>
  <w:style w:type="character" w:customStyle="1" w:styleId="2Char">
    <w:name w:val="Σώμα κείμενου 2 Char"/>
    <w:link w:val="2"/>
    <w:locked/>
    <w:rPr>
      <w:rFonts w:cs="Times New Roman"/>
      <w:sz w:val="24"/>
      <w:szCs w:val="24"/>
      <w:lang w:val="en-US"/>
    </w:rPr>
  </w:style>
  <w:style w:type="character" w:customStyle="1" w:styleId="CharChar">
    <w:name w:val="Char Char"/>
    <w:locked/>
    <w:rPr>
      <w:rFonts w:cs="Times New Roman"/>
      <w:b/>
      <w:bCs/>
      <w:sz w:val="24"/>
      <w:szCs w:val="24"/>
      <w:lang w:val="en-US"/>
    </w:rPr>
  </w:style>
  <w:style w:type="character" w:customStyle="1" w:styleId="CharChar4">
    <w:name w:val="Char Char4"/>
    <w:locked/>
    <w:rPr>
      <w:rFonts w:cs="Times New Roman"/>
      <w:i/>
      <w:sz w:val="22"/>
      <w:lang w:val="en-GB"/>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aa">
    <w:name w:val="Balloon Text"/>
    <w:basedOn w:val="a"/>
    <w:link w:val="Char0"/>
    <w:rsid w:val="00F837E5"/>
    <w:rPr>
      <w:rFonts w:ascii="Tahoma" w:hAnsi="Tahoma"/>
      <w:sz w:val="16"/>
      <w:szCs w:val="16"/>
    </w:rPr>
  </w:style>
  <w:style w:type="character" w:customStyle="1" w:styleId="Char0">
    <w:name w:val="Κείμενο πλαισίου Char"/>
    <w:link w:val="aa"/>
    <w:rsid w:val="00F837E5"/>
    <w:rPr>
      <w:rFonts w:ascii="Tahoma" w:hAnsi="Tahoma" w:cs="Tahoma"/>
      <w:snapToGrid/>
      <w:sz w:val="16"/>
      <w:szCs w:val="16"/>
      <w:lang w:val="en-US" w:eastAsia="el-GR"/>
    </w:rPr>
  </w:style>
  <w:style w:type="character" w:customStyle="1" w:styleId="7Char">
    <w:name w:val="Επικεφαλίδα 7 Char"/>
    <w:link w:val="7"/>
    <w:uiPriority w:val="9"/>
    <w:rsid w:val="007D7113"/>
    <w:rPr>
      <w:rFonts w:ascii="Calibri" w:eastAsia="Times New Roman" w:hAnsi="Calibri" w:cs="Times New Roman"/>
      <w:snapToGrid/>
      <w:sz w:val="24"/>
      <w:szCs w:val="24"/>
      <w:lang w:val="en-US"/>
    </w:rPr>
  </w:style>
  <w:style w:type="character" w:customStyle="1" w:styleId="shorttext">
    <w:name w:val="short_text"/>
    <w:rsid w:val="00740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val="en-US"/>
    </w:rPr>
  </w:style>
  <w:style w:type="paragraph" w:styleId="6">
    <w:name w:val="heading 6"/>
    <w:basedOn w:val="a"/>
    <w:next w:val="a"/>
    <w:qFormat/>
    <w:pPr>
      <w:keepNext/>
      <w:tabs>
        <w:tab w:val="left" w:pos="-720"/>
        <w:tab w:val="left" w:pos="567"/>
        <w:tab w:val="left" w:pos="4536"/>
      </w:tabs>
      <w:suppressAutoHyphens/>
      <w:spacing w:line="260" w:lineRule="exact"/>
      <w:outlineLvl w:val="5"/>
    </w:pPr>
    <w:rPr>
      <w:i/>
      <w:sz w:val="22"/>
      <w:szCs w:val="20"/>
      <w:lang w:val="en-GB"/>
    </w:rPr>
  </w:style>
  <w:style w:type="paragraph" w:styleId="7">
    <w:name w:val="heading 7"/>
    <w:basedOn w:val="a"/>
    <w:next w:val="a"/>
    <w:link w:val="7Char"/>
    <w:semiHidden/>
    <w:unhideWhenUsed/>
    <w:qFormat/>
    <w:rsid w:val="007D711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pPr>
      <w:tabs>
        <w:tab w:val="center" w:pos="4320"/>
        <w:tab w:val="right" w:pos="8640"/>
      </w:tabs>
    </w:pPr>
    <w:rPr>
      <w:snapToGrid/>
    </w:rPr>
  </w:style>
  <w:style w:type="paragraph" w:styleId="a5">
    <w:name w:val="Body Text"/>
    <w:basedOn w:val="a"/>
    <w:pPr>
      <w:jc w:val="both"/>
    </w:pPr>
  </w:style>
  <w:style w:type="paragraph" w:styleId="2">
    <w:name w:val="Body Text 2"/>
    <w:basedOn w:val="a"/>
    <w:link w:val="2Char"/>
    <w:pPr>
      <w:jc w:val="both"/>
    </w:pPr>
    <w:rPr>
      <w:snapToGrid/>
    </w:rPr>
  </w:style>
  <w:style w:type="paragraph" w:customStyle="1" w:styleId="A-NormalIndent">
    <w:name w:val="A-Normal Indent"/>
    <w:next w:val="a"/>
    <w:pPr>
      <w:spacing w:after="240" w:line="280" w:lineRule="atLeast"/>
      <w:ind w:left="992"/>
    </w:pPr>
    <w:rPr>
      <w:snapToGrid w:val="0"/>
      <w:sz w:val="24"/>
      <w:szCs w:val="24"/>
      <w:lang w:val="en-GB"/>
    </w:rPr>
  </w:style>
  <w:style w:type="character" w:styleId="a6">
    <w:name w:val="page number"/>
    <w:rPr>
      <w:rFonts w:cs="Times New Roman"/>
    </w:rPr>
  </w:style>
  <w:style w:type="character" w:styleId="a7">
    <w:name w:val="Strong"/>
    <w:qFormat/>
    <w:rPr>
      <w:rFonts w:cs="Times New Roman"/>
      <w:b/>
      <w:bCs/>
    </w:rPr>
  </w:style>
  <w:style w:type="paragraph" w:customStyle="1" w:styleId="A-TableText">
    <w:name w:val="A-Table Text"/>
    <w:pPr>
      <w:overflowPunct w:val="0"/>
      <w:autoSpaceDE w:val="0"/>
      <w:autoSpaceDN w:val="0"/>
      <w:adjustRightInd w:val="0"/>
      <w:spacing w:before="60" w:after="60"/>
    </w:pPr>
    <w:rPr>
      <w:snapToGrid w:val="0"/>
      <w:sz w:val="22"/>
      <w:szCs w:val="22"/>
      <w:lang w:val="en-GB"/>
    </w:rPr>
  </w:style>
  <w:style w:type="paragraph" w:styleId="a8">
    <w:name w:val="Body Text Indent"/>
    <w:basedOn w:val="a"/>
    <w:pPr>
      <w:spacing w:after="120"/>
      <w:ind w:left="360"/>
    </w:pPr>
  </w:style>
  <w:style w:type="paragraph" w:customStyle="1" w:styleId="A-TableHeader">
    <w:name w:val="A-Table Header"/>
    <w:next w:val="A-TableText"/>
    <w:pPr>
      <w:keepNext/>
      <w:overflowPunct w:val="0"/>
      <w:autoSpaceDE w:val="0"/>
      <w:autoSpaceDN w:val="0"/>
      <w:adjustRightInd w:val="0"/>
      <w:spacing w:before="60" w:after="60"/>
    </w:pPr>
    <w:rPr>
      <w:b/>
      <w:bCs/>
      <w:snapToGrid w:val="0"/>
      <w:sz w:val="22"/>
      <w:szCs w:val="22"/>
      <w:lang w:val="en-GB"/>
    </w:rPr>
  </w:style>
  <w:style w:type="paragraph" w:styleId="Web">
    <w:name w:val="Normal (Web)"/>
    <w:basedOn w:val="a"/>
    <w:pPr>
      <w:spacing w:before="100" w:beforeAutospacing="1" w:after="75"/>
    </w:pPr>
    <w:rPr>
      <w:color w:val="000000"/>
    </w:rPr>
  </w:style>
  <w:style w:type="character" w:customStyle="1" w:styleId="longtext">
    <w:name w:val="long_text"/>
    <w:rPr>
      <w:rFonts w:cs="Times New Roman"/>
    </w:rPr>
  </w:style>
  <w:style w:type="character" w:customStyle="1" w:styleId="hps">
    <w:name w:val="hps"/>
    <w:rPr>
      <w:rFonts w:cs="Times New Roman"/>
    </w:rPr>
  </w:style>
  <w:style w:type="character" w:styleId="a9">
    <w:name w:val="Emphasis"/>
    <w:qFormat/>
    <w:rPr>
      <w:rFonts w:cs="Times New Roman"/>
      <w:i/>
      <w:iCs/>
    </w:rPr>
  </w:style>
  <w:style w:type="character" w:customStyle="1" w:styleId="CharChar3">
    <w:name w:val="Char Char3"/>
    <w:locked/>
    <w:rPr>
      <w:rFonts w:cs="Times New Roman"/>
      <w:sz w:val="24"/>
      <w:szCs w:val="24"/>
      <w:lang w:val="en-US"/>
    </w:rPr>
  </w:style>
  <w:style w:type="character" w:customStyle="1" w:styleId="tw4winMark">
    <w:name w:val="tw4winMark"/>
    <w:rPr>
      <w:rFonts w:ascii="Courier New" w:hAnsi="Courier New"/>
      <w:vanish/>
      <w:color w:val="800080"/>
      <w:sz w:val="24"/>
      <w:vertAlign w:val="subscript"/>
    </w:rPr>
  </w:style>
  <w:style w:type="character" w:customStyle="1" w:styleId="Char">
    <w:name w:val="Υποσέλιδο Char"/>
    <w:link w:val="a4"/>
    <w:locked/>
    <w:rPr>
      <w:rFonts w:cs="Times New Roman"/>
      <w:sz w:val="24"/>
      <w:szCs w:val="24"/>
      <w:lang w:val="en-US"/>
    </w:rPr>
  </w:style>
  <w:style w:type="character" w:customStyle="1" w:styleId="2Char">
    <w:name w:val="Σώμα κείμενου 2 Char"/>
    <w:link w:val="2"/>
    <w:locked/>
    <w:rPr>
      <w:rFonts w:cs="Times New Roman"/>
      <w:sz w:val="24"/>
      <w:szCs w:val="24"/>
      <w:lang w:val="en-US"/>
    </w:rPr>
  </w:style>
  <w:style w:type="character" w:customStyle="1" w:styleId="CharChar">
    <w:name w:val="Char Char"/>
    <w:locked/>
    <w:rPr>
      <w:rFonts w:cs="Times New Roman"/>
      <w:b/>
      <w:bCs/>
      <w:sz w:val="24"/>
      <w:szCs w:val="24"/>
      <w:lang w:val="en-US"/>
    </w:rPr>
  </w:style>
  <w:style w:type="character" w:customStyle="1" w:styleId="CharChar4">
    <w:name w:val="Char Char4"/>
    <w:locked/>
    <w:rPr>
      <w:rFonts w:cs="Times New Roman"/>
      <w:i/>
      <w:sz w:val="22"/>
      <w:lang w:val="en-GB"/>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aa">
    <w:name w:val="Balloon Text"/>
    <w:basedOn w:val="a"/>
    <w:link w:val="Char0"/>
    <w:rsid w:val="00F837E5"/>
    <w:rPr>
      <w:rFonts w:ascii="Tahoma" w:hAnsi="Tahoma"/>
      <w:sz w:val="16"/>
      <w:szCs w:val="16"/>
    </w:rPr>
  </w:style>
  <w:style w:type="character" w:customStyle="1" w:styleId="Char0">
    <w:name w:val="Κείμενο πλαισίου Char"/>
    <w:link w:val="aa"/>
    <w:rsid w:val="00F837E5"/>
    <w:rPr>
      <w:rFonts w:ascii="Tahoma" w:hAnsi="Tahoma" w:cs="Tahoma"/>
      <w:snapToGrid/>
      <w:sz w:val="16"/>
      <w:szCs w:val="16"/>
      <w:lang w:val="en-US" w:eastAsia="el-GR"/>
    </w:rPr>
  </w:style>
  <w:style w:type="character" w:customStyle="1" w:styleId="7Char">
    <w:name w:val="Επικεφαλίδα 7 Char"/>
    <w:link w:val="7"/>
    <w:uiPriority w:val="9"/>
    <w:rsid w:val="007D7113"/>
    <w:rPr>
      <w:rFonts w:ascii="Calibri" w:eastAsia="Times New Roman" w:hAnsi="Calibri" w:cs="Times New Roman"/>
      <w:snapToGrid/>
      <w:sz w:val="24"/>
      <w:szCs w:val="24"/>
      <w:lang w:val="en-US"/>
    </w:rPr>
  </w:style>
  <w:style w:type="character" w:customStyle="1" w:styleId="shorttext">
    <w:name w:val="short_text"/>
    <w:rsid w:val="0074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12220</Words>
  <Characters>65990</Characters>
  <Application>Microsoft Office Word</Application>
  <DocSecurity>0</DocSecurity>
  <Lines>549</Lines>
  <Paragraphs>156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PharmaSwiss</Company>
  <LinksUpToDate>false</LinksUpToDate>
  <CharactersWithSpaces>78054</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rauser</dc:creator>
  <cp:lastModifiedBy>ΘΑΛΑΣΣΙΝΟΥ ΜΑΡΙΑ</cp:lastModifiedBy>
  <cp:revision>6</cp:revision>
  <cp:lastPrinted>2016-10-04T10:16:00Z</cp:lastPrinted>
  <dcterms:created xsi:type="dcterms:W3CDTF">2016-10-04T09:58:00Z</dcterms:created>
  <dcterms:modified xsi:type="dcterms:W3CDTF">2016-10-04T11:03:00Z</dcterms:modified>
</cp:coreProperties>
</file>