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78" w:rsidRDefault="00645378">
      <w:pPr>
        <w:rPr>
          <w:rFonts w:ascii="Times New Roman" w:eastAsia="Times New Roman" w:hAnsi="Times New Roman" w:cs="Times New Roman"/>
          <w:sz w:val="20"/>
          <w:szCs w:val="20"/>
        </w:rPr>
      </w:pPr>
      <w:bookmarkStart w:id="0" w:name="_GoBack"/>
      <w:bookmarkEnd w:id="0"/>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rPr>
          <w:rFonts w:ascii="Times New Roman" w:eastAsia="Times New Roman" w:hAnsi="Times New Roman" w:cs="Times New Roman"/>
          <w:sz w:val="20"/>
          <w:szCs w:val="20"/>
        </w:rPr>
      </w:pPr>
    </w:p>
    <w:p w:rsidR="00645378" w:rsidRDefault="00645378">
      <w:pPr>
        <w:spacing w:before="6"/>
        <w:rPr>
          <w:rFonts w:ascii="Times New Roman" w:eastAsia="Times New Roman" w:hAnsi="Times New Roman" w:cs="Times New Roman"/>
          <w:sz w:val="18"/>
          <w:szCs w:val="18"/>
        </w:rPr>
      </w:pPr>
    </w:p>
    <w:p w:rsidR="00645378" w:rsidRPr="003B31D5" w:rsidRDefault="00645378">
      <w:pPr>
        <w:pStyle w:val="1"/>
        <w:ind w:left="1269" w:right="1269"/>
        <w:jc w:val="center"/>
        <w:rPr>
          <w:b w:val="0"/>
          <w:bCs w:val="0"/>
          <w:lang w:val="el-GR"/>
        </w:rPr>
      </w:pPr>
      <w:bookmarkStart w:id="1" w:name="ΠΕΡΙΛΗΨΗ_ΤΩΝ_ΧΑΡΑΚΤΗΡΙΣΤΙΚΩΝ_ΤΟΥ_ΠΡΟΪΟΝΤ"/>
      <w:bookmarkEnd w:id="1"/>
    </w:p>
    <w:p w:rsidR="00645378" w:rsidRPr="003B31D5" w:rsidRDefault="00645378">
      <w:pPr>
        <w:spacing w:before="1"/>
        <w:rPr>
          <w:rFonts w:ascii="Times New Roman" w:eastAsia="Times New Roman" w:hAnsi="Times New Roman" w:cs="Times New Roman"/>
          <w:b/>
          <w:bCs/>
          <w:sz w:val="23"/>
          <w:szCs w:val="23"/>
          <w:lang w:val="el-GR"/>
        </w:rPr>
      </w:pPr>
    </w:p>
    <w:p w:rsidR="00645378" w:rsidRPr="003B31D5" w:rsidRDefault="007134E2">
      <w:pPr>
        <w:ind w:left="1272" w:right="1269"/>
        <w:jc w:val="center"/>
        <w:rPr>
          <w:rFonts w:ascii="Times New Roman" w:eastAsia="Times New Roman" w:hAnsi="Times New Roman" w:cs="Times New Roman"/>
          <w:lang w:val="el-GR"/>
        </w:rPr>
      </w:pPr>
      <w:r w:rsidRPr="003B31D5">
        <w:rPr>
          <w:rFonts w:ascii="Times New Roman" w:hAnsi="Times New Roman"/>
          <w:b/>
          <w:lang w:val="el-GR"/>
        </w:rPr>
        <w:t>ΠΕΡΙΛΗΨΗ ΤΩΝ ΧΑΡΑΚΤΗΡΙΣΤΙΚΩΝ ΤΟΥ</w:t>
      </w:r>
      <w:r w:rsidRPr="003B31D5">
        <w:rPr>
          <w:rFonts w:ascii="Times New Roman" w:hAnsi="Times New Roman"/>
          <w:b/>
          <w:spacing w:val="20"/>
          <w:lang w:val="el-GR"/>
        </w:rPr>
        <w:t xml:space="preserve"> </w:t>
      </w:r>
      <w:r w:rsidRPr="003B31D5">
        <w:rPr>
          <w:rFonts w:ascii="Times New Roman" w:hAnsi="Times New Roman"/>
          <w:b/>
          <w:lang w:val="el-GR"/>
        </w:rPr>
        <w:t>ΠΡΟΪΟΝΤΟΣ</w:t>
      </w:r>
    </w:p>
    <w:p w:rsidR="00645378" w:rsidRPr="003B31D5" w:rsidRDefault="00645378">
      <w:pPr>
        <w:jc w:val="center"/>
        <w:rPr>
          <w:rFonts w:ascii="Times New Roman" w:eastAsia="Times New Roman" w:hAnsi="Times New Roman" w:cs="Times New Roman"/>
          <w:lang w:val="el-GR"/>
        </w:rPr>
        <w:sectPr w:rsidR="00645378" w:rsidRPr="003B31D5">
          <w:footerReference w:type="default" r:id="rId9"/>
          <w:type w:val="continuous"/>
          <w:pgSz w:w="11910" w:h="16850"/>
          <w:pgMar w:top="1600" w:right="1680" w:bottom="900" w:left="1680" w:header="720" w:footer="703" w:gutter="0"/>
          <w:pgNumType w:start="1"/>
          <w:cols w:space="720"/>
        </w:sectPr>
      </w:pPr>
    </w:p>
    <w:p w:rsidR="00645378" w:rsidRDefault="007134E2" w:rsidP="009E32D3">
      <w:pPr>
        <w:pStyle w:val="a4"/>
        <w:numPr>
          <w:ilvl w:val="0"/>
          <w:numId w:val="5"/>
        </w:numPr>
        <w:tabs>
          <w:tab w:val="left" w:pos="142"/>
        </w:tabs>
        <w:spacing w:before="60"/>
        <w:ind w:left="0" w:right="-24" w:firstLine="0"/>
        <w:rPr>
          <w:rFonts w:ascii="Times New Roman" w:eastAsia="Times New Roman" w:hAnsi="Times New Roman" w:cs="Times New Roman"/>
        </w:rPr>
      </w:pPr>
      <w:r>
        <w:rPr>
          <w:rFonts w:ascii="Times New Roman" w:hAnsi="Times New Roman"/>
          <w:b/>
        </w:rPr>
        <w:lastRenderedPageBreak/>
        <w:t>ΟΝΟΜΑΣΙΑ ΤΟΥ ΦΑΡΜΑΚΕΥΤΙΚΟΥ</w:t>
      </w:r>
      <w:r>
        <w:rPr>
          <w:rFonts w:ascii="Times New Roman" w:hAnsi="Times New Roman"/>
          <w:b/>
          <w:spacing w:val="1"/>
        </w:rPr>
        <w:t xml:space="preserve"> </w:t>
      </w:r>
      <w:r>
        <w:rPr>
          <w:rFonts w:ascii="Times New Roman" w:hAnsi="Times New Roman"/>
          <w:b/>
        </w:rPr>
        <w:t>ΠΡΟΪΟΝΤΟΣ</w:t>
      </w:r>
    </w:p>
    <w:p w:rsidR="00645378" w:rsidRDefault="00645378" w:rsidP="009E32D3">
      <w:pPr>
        <w:tabs>
          <w:tab w:val="left" w:pos="142"/>
        </w:tabs>
        <w:spacing w:before="8"/>
        <w:ind w:right="-24"/>
        <w:rPr>
          <w:rFonts w:ascii="Times New Roman" w:eastAsia="Times New Roman" w:hAnsi="Times New Roman" w:cs="Times New Roman"/>
          <w:b/>
          <w:bCs/>
        </w:rPr>
      </w:pPr>
    </w:p>
    <w:p w:rsidR="00645378" w:rsidRPr="003B31D5" w:rsidRDefault="006638CB" w:rsidP="009E32D3">
      <w:pPr>
        <w:pStyle w:val="a3"/>
        <w:tabs>
          <w:tab w:val="left" w:pos="142"/>
        </w:tabs>
        <w:ind w:left="0" w:right="-24"/>
        <w:rPr>
          <w:lang w:val="el-GR"/>
        </w:rPr>
      </w:pPr>
      <w:r>
        <w:t>A</w:t>
      </w:r>
      <w:r w:rsidR="003464A6">
        <w:t>RGIODIN</w:t>
      </w:r>
      <w:r w:rsidR="007134E2" w:rsidRPr="003B31D5">
        <w:rPr>
          <w:lang w:val="el-GR"/>
        </w:rPr>
        <w:t xml:space="preserve"> 200 </w:t>
      </w:r>
      <w:r w:rsidR="007134E2">
        <w:t>mg</w:t>
      </w:r>
      <w:r w:rsidR="007134E2" w:rsidRPr="003B31D5">
        <w:rPr>
          <w:lang w:val="el-GR"/>
        </w:rPr>
        <w:t xml:space="preserve">/245 </w:t>
      </w:r>
      <w:r w:rsidR="007134E2">
        <w:t>mg</w:t>
      </w:r>
      <w:r w:rsidR="007134E2" w:rsidRPr="003B31D5">
        <w:rPr>
          <w:lang w:val="el-GR"/>
        </w:rPr>
        <w:t xml:space="preserve"> επικαλυμμένα με λεπτό υμένιο</w:t>
      </w:r>
      <w:r w:rsidR="007134E2" w:rsidRPr="003B31D5">
        <w:rPr>
          <w:spacing w:val="-6"/>
          <w:lang w:val="el-GR"/>
        </w:rPr>
        <w:t xml:space="preserve"> </w:t>
      </w:r>
      <w:r w:rsidR="007134E2" w:rsidRPr="003B31D5">
        <w:rPr>
          <w:lang w:val="el-GR"/>
        </w:rPr>
        <w:t>δισκία</w:t>
      </w:r>
    </w:p>
    <w:p w:rsidR="00645378" w:rsidRPr="003B31D5" w:rsidRDefault="00645378" w:rsidP="009E32D3">
      <w:pPr>
        <w:tabs>
          <w:tab w:val="left" w:pos="142"/>
        </w:tabs>
        <w:ind w:right="-24"/>
        <w:rPr>
          <w:rFonts w:ascii="Times New Roman" w:eastAsia="Times New Roman" w:hAnsi="Times New Roman" w:cs="Times New Roman"/>
          <w:lang w:val="el-GR"/>
        </w:rPr>
      </w:pPr>
    </w:p>
    <w:p w:rsidR="00645378" w:rsidRDefault="007134E2" w:rsidP="009E32D3">
      <w:pPr>
        <w:pStyle w:val="1"/>
        <w:numPr>
          <w:ilvl w:val="0"/>
          <w:numId w:val="5"/>
        </w:numPr>
        <w:tabs>
          <w:tab w:val="left" w:pos="142"/>
        </w:tabs>
        <w:ind w:left="0" w:right="-24" w:firstLine="0"/>
        <w:rPr>
          <w:b w:val="0"/>
          <w:bCs w:val="0"/>
        </w:rPr>
      </w:pPr>
      <w:r>
        <w:t>ΠΟΙΟΤΙΚΗ ΚΑΙ ΠΟΣΟΤΙΚΗ</w:t>
      </w:r>
      <w:r>
        <w:rPr>
          <w:spacing w:val="2"/>
        </w:rPr>
        <w:t xml:space="preserve"> </w:t>
      </w:r>
      <w:r>
        <w:t>ΣΥΝΘΕΣΗ</w:t>
      </w:r>
    </w:p>
    <w:p w:rsidR="00645378" w:rsidRDefault="00645378" w:rsidP="009E32D3">
      <w:pPr>
        <w:tabs>
          <w:tab w:val="left" w:pos="142"/>
        </w:tabs>
        <w:spacing w:before="8"/>
        <w:ind w:right="-24"/>
        <w:rPr>
          <w:rFonts w:ascii="Times New Roman" w:eastAsia="Times New Roman" w:hAnsi="Times New Roman" w:cs="Times New Roman"/>
          <w:b/>
          <w:bCs/>
        </w:rPr>
      </w:pPr>
    </w:p>
    <w:p w:rsidR="00645378" w:rsidRPr="006638CB" w:rsidRDefault="007134E2" w:rsidP="009E32D3">
      <w:pPr>
        <w:pStyle w:val="a3"/>
        <w:tabs>
          <w:tab w:val="left" w:pos="142"/>
        </w:tabs>
        <w:spacing w:line="244" w:lineRule="auto"/>
        <w:ind w:left="0" w:right="-24"/>
        <w:rPr>
          <w:lang w:val="el-GR"/>
        </w:rPr>
      </w:pPr>
      <w:r w:rsidRPr="006638CB">
        <w:rPr>
          <w:lang w:val="el-GR"/>
        </w:rPr>
        <w:t xml:space="preserve">Κάθε επικαλυμμένο με λεπτό υμένιο δισκίο περιέχει 200 </w:t>
      </w:r>
      <w:r>
        <w:t>mg</w:t>
      </w:r>
      <w:r w:rsidRPr="006638CB">
        <w:rPr>
          <w:lang w:val="el-GR"/>
        </w:rPr>
        <w:t xml:space="preserve"> </w:t>
      </w:r>
      <w:r w:rsidR="006638CB">
        <w:rPr>
          <w:lang w:val="el-GR"/>
        </w:rPr>
        <w:t>εμτρισιταβίνης</w:t>
      </w:r>
      <w:r w:rsidRPr="006638CB">
        <w:rPr>
          <w:lang w:val="el-GR"/>
        </w:rPr>
        <w:t xml:space="preserve"> και 245 </w:t>
      </w:r>
      <w:r>
        <w:t>mg</w:t>
      </w:r>
      <w:r w:rsidRPr="006638CB">
        <w:rPr>
          <w:lang w:val="el-GR"/>
        </w:rPr>
        <w:t xml:space="preserve"> </w:t>
      </w:r>
      <w:r w:rsidR="006638CB">
        <w:rPr>
          <w:lang w:val="el-GR"/>
        </w:rPr>
        <w:t>τενοφοβίρης</w:t>
      </w:r>
      <w:r w:rsidR="006638CB" w:rsidRPr="006638CB">
        <w:rPr>
          <w:lang w:val="el-GR"/>
        </w:rPr>
        <w:t xml:space="preserve"> </w:t>
      </w:r>
      <w:r w:rsidR="006638CB">
        <w:rPr>
          <w:lang w:val="el-GR"/>
        </w:rPr>
        <w:t>δισοπρόξιλης</w:t>
      </w:r>
      <w:r w:rsidR="006638CB" w:rsidRPr="006638CB">
        <w:rPr>
          <w:lang w:val="el-GR"/>
        </w:rPr>
        <w:t xml:space="preserve"> (</w:t>
      </w:r>
      <w:r w:rsidR="006638CB">
        <w:rPr>
          <w:lang w:val="el-GR"/>
        </w:rPr>
        <w:t>ισοδύναμης</w:t>
      </w:r>
      <w:r w:rsidR="006638CB" w:rsidRPr="006638CB">
        <w:rPr>
          <w:lang w:val="el-GR"/>
        </w:rPr>
        <w:t xml:space="preserve"> </w:t>
      </w:r>
      <w:r w:rsidR="006638CB">
        <w:rPr>
          <w:lang w:val="el-GR"/>
        </w:rPr>
        <w:t>με</w:t>
      </w:r>
      <w:r w:rsidR="00EA4893">
        <w:rPr>
          <w:lang w:val="el-GR"/>
        </w:rPr>
        <w:t xml:space="preserve"> 300</w:t>
      </w:r>
      <w:r w:rsidR="00EA4893" w:rsidRPr="00EA4893">
        <w:rPr>
          <w:lang w:val="el-GR"/>
        </w:rPr>
        <w:t>,</w:t>
      </w:r>
      <w:r w:rsidR="006638CB" w:rsidRPr="006638CB">
        <w:rPr>
          <w:lang w:val="el-GR"/>
        </w:rPr>
        <w:t>6</w:t>
      </w:r>
      <w:r w:rsidR="00F36DB7">
        <w:rPr>
          <w:lang w:val="el-GR"/>
        </w:rPr>
        <w:t xml:space="preserve"> </w:t>
      </w:r>
      <w:r w:rsidR="006638CB" w:rsidRPr="006638CB">
        <w:t>mg</w:t>
      </w:r>
      <w:r w:rsidR="006638CB" w:rsidRPr="006638CB">
        <w:rPr>
          <w:lang w:val="el-GR"/>
        </w:rPr>
        <w:t xml:space="preserve"> </w:t>
      </w:r>
      <w:r w:rsidR="006638CB">
        <w:rPr>
          <w:lang w:val="el-GR"/>
        </w:rPr>
        <w:t>τενοφοβίρης</w:t>
      </w:r>
      <w:r w:rsidR="006638CB" w:rsidRPr="006638CB">
        <w:rPr>
          <w:lang w:val="el-GR"/>
        </w:rPr>
        <w:t xml:space="preserve"> </w:t>
      </w:r>
      <w:r w:rsidR="006638CB">
        <w:rPr>
          <w:lang w:val="el-GR"/>
        </w:rPr>
        <w:t>δισοπρόξιλης</w:t>
      </w:r>
      <w:r w:rsidR="006638CB" w:rsidRPr="006638CB">
        <w:rPr>
          <w:lang w:val="el-GR"/>
        </w:rPr>
        <w:t xml:space="preserve"> </w:t>
      </w:r>
      <w:r w:rsidR="006638CB">
        <w:rPr>
          <w:lang w:val="el-GR"/>
        </w:rPr>
        <w:t>ηλεκτρικής).</w:t>
      </w:r>
    </w:p>
    <w:p w:rsidR="00645378" w:rsidRPr="006638CB" w:rsidRDefault="00645378" w:rsidP="009E32D3">
      <w:pPr>
        <w:tabs>
          <w:tab w:val="left" w:pos="142"/>
        </w:tabs>
        <w:spacing w:before="7"/>
        <w:ind w:right="-24"/>
        <w:rPr>
          <w:rFonts w:ascii="Times New Roman" w:eastAsia="Times New Roman" w:hAnsi="Times New Roman" w:cs="Times New Roman"/>
          <w:lang w:val="el-GR"/>
        </w:rPr>
      </w:pPr>
    </w:p>
    <w:p w:rsidR="00645378" w:rsidRPr="003B31D5" w:rsidRDefault="00513DD5" w:rsidP="009E32D3">
      <w:pPr>
        <w:pStyle w:val="a3"/>
        <w:tabs>
          <w:tab w:val="left" w:pos="142"/>
        </w:tabs>
        <w:ind w:left="0" w:right="-24"/>
        <w:rPr>
          <w:lang w:val="el-GR"/>
        </w:rPr>
      </w:pPr>
      <w:r>
        <w:rPr>
          <w:u w:val="single" w:color="000000"/>
          <w:lang w:val="el-GR"/>
        </w:rPr>
        <w:t>Έκδοχο με γνωστή</w:t>
      </w:r>
      <w:r w:rsidR="007134E2" w:rsidRPr="003B31D5">
        <w:rPr>
          <w:spacing w:val="2"/>
          <w:u w:val="single" w:color="000000"/>
          <w:lang w:val="el-GR"/>
        </w:rPr>
        <w:t xml:space="preserve"> </w:t>
      </w:r>
      <w:r>
        <w:rPr>
          <w:u w:val="single" w:color="000000"/>
          <w:lang w:val="el-GR"/>
        </w:rPr>
        <w:t>δράση</w:t>
      </w:r>
      <w:r w:rsidR="007134E2" w:rsidRPr="003B31D5">
        <w:rPr>
          <w:u w:val="single" w:color="000000"/>
          <w:lang w:val="el-GR"/>
        </w:rPr>
        <w:t>:</w:t>
      </w:r>
    </w:p>
    <w:p w:rsidR="00645378" w:rsidRPr="003B31D5" w:rsidRDefault="007134E2" w:rsidP="009E32D3">
      <w:pPr>
        <w:pStyle w:val="a3"/>
        <w:tabs>
          <w:tab w:val="left" w:pos="142"/>
        </w:tabs>
        <w:spacing w:before="72"/>
        <w:ind w:left="0" w:right="-24"/>
        <w:rPr>
          <w:lang w:val="el-GR"/>
        </w:rPr>
      </w:pPr>
      <w:r w:rsidRPr="003B31D5">
        <w:rPr>
          <w:lang w:val="el-GR"/>
        </w:rPr>
        <w:t xml:space="preserve">Κάθε δισκίο περιέχει 96 </w:t>
      </w:r>
      <w:r>
        <w:t>mg</w:t>
      </w:r>
      <w:r w:rsidRPr="003B31D5">
        <w:rPr>
          <w:lang w:val="el-GR"/>
        </w:rPr>
        <w:t xml:space="preserve"> </w:t>
      </w:r>
      <w:r w:rsidR="00F36DB7">
        <w:rPr>
          <w:lang w:val="el-GR"/>
        </w:rPr>
        <w:t>μονοϋδρικής λακτόζης</w:t>
      </w:r>
      <w:r w:rsidRPr="003B31D5">
        <w:rPr>
          <w:lang w:val="el-GR"/>
        </w:rPr>
        <w:t>.</w:t>
      </w:r>
    </w:p>
    <w:p w:rsidR="00645378" w:rsidRPr="003B31D5" w:rsidRDefault="007134E2" w:rsidP="009E32D3">
      <w:pPr>
        <w:pStyle w:val="a3"/>
        <w:tabs>
          <w:tab w:val="left" w:pos="142"/>
        </w:tabs>
        <w:ind w:left="0" w:right="-24"/>
        <w:rPr>
          <w:lang w:val="el-GR"/>
        </w:rPr>
      </w:pPr>
      <w:r w:rsidRPr="003B31D5">
        <w:rPr>
          <w:lang w:val="el-GR"/>
        </w:rPr>
        <w:t>Για τον πλήρη κατάλογο των εκδόχων, βλ. παράγραφο</w:t>
      </w:r>
      <w:r w:rsidRPr="003B31D5">
        <w:rPr>
          <w:spacing w:val="4"/>
          <w:lang w:val="el-GR"/>
        </w:rPr>
        <w:t xml:space="preserve"> </w:t>
      </w:r>
      <w:r w:rsidRPr="003B31D5">
        <w:rPr>
          <w:lang w:val="el-GR"/>
        </w:rPr>
        <w:t>6.1.</w:t>
      </w:r>
    </w:p>
    <w:p w:rsidR="00645378" w:rsidRPr="003B31D5" w:rsidRDefault="00645378" w:rsidP="009E32D3">
      <w:pPr>
        <w:tabs>
          <w:tab w:val="left" w:pos="142"/>
        </w:tabs>
        <w:spacing w:before="1"/>
        <w:ind w:right="-24"/>
        <w:rPr>
          <w:rFonts w:ascii="Times New Roman" w:eastAsia="Times New Roman" w:hAnsi="Times New Roman" w:cs="Times New Roman"/>
          <w:sz w:val="24"/>
          <w:szCs w:val="24"/>
          <w:lang w:val="el-GR"/>
        </w:rPr>
      </w:pPr>
    </w:p>
    <w:p w:rsidR="00645378" w:rsidRDefault="007134E2" w:rsidP="009E32D3">
      <w:pPr>
        <w:pStyle w:val="1"/>
        <w:numPr>
          <w:ilvl w:val="0"/>
          <w:numId w:val="5"/>
        </w:numPr>
        <w:tabs>
          <w:tab w:val="left" w:pos="142"/>
        </w:tabs>
        <w:ind w:left="0" w:right="-24" w:firstLine="0"/>
        <w:rPr>
          <w:b w:val="0"/>
          <w:bCs w:val="0"/>
        </w:rPr>
      </w:pPr>
      <w:r>
        <w:t>ΦΑΡΜΑΚΟΤΕΧΝΙΚΗ</w:t>
      </w:r>
      <w:r>
        <w:rPr>
          <w:spacing w:val="1"/>
        </w:rPr>
        <w:t xml:space="preserve"> </w:t>
      </w:r>
      <w:r>
        <w:t>ΜΟΡΦΗ</w:t>
      </w:r>
    </w:p>
    <w:p w:rsidR="00645378" w:rsidRDefault="00645378" w:rsidP="009E32D3">
      <w:pPr>
        <w:tabs>
          <w:tab w:val="left" w:pos="142"/>
        </w:tabs>
        <w:spacing w:before="8"/>
        <w:ind w:right="-24"/>
        <w:rPr>
          <w:rFonts w:ascii="Times New Roman" w:eastAsia="Times New Roman" w:hAnsi="Times New Roman" w:cs="Times New Roman"/>
          <w:b/>
          <w:bCs/>
        </w:rPr>
      </w:pPr>
    </w:p>
    <w:p w:rsidR="00645378" w:rsidRPr="003B31D5" w:rsidRDefault="007134E2" w:rsidP="009E32D3">
      <w:pPr>
        <w:pStyle w:val="a3"/>
        <w:tabs>
          <w:tab w:val="left" w:pos="142"/>
        </w:tabs>
        <w:ind w:left="0" w:right="-24"/>
        <w:rPr>
          <w:lang w:val="el-GR"/>
        </w:rPr>
      </w:pPr>
      <w:r w:rsidRPr="003B31D5">
        <w:rPr>
          <w:lang w:val="el-GR"/>
        </w:rPr>
        <w:t>Επικαλυμμέν</w:t>
      </w:r>
      <w:r>
        <w:t>o</w:t>
      </w:r>
      <w:r w:rsidRPr="003B31D5">
        <w:rPr>
          <w:lang w:val="el-GR"/>
        </w:rPr>
        <w:t xml:space="preserve"> με λεπτό υμένιο</w:t>
      </w:r>
      <w:r w:rsidRPr="003B31D5">
        <w:rPr>
          <w:spacing w:val="2"/>
          <w:lang w:val="el-GR"/>
        </w:rPr>
        <w:t xml:space="preserve"> </w:t>
      </w:r>
      <w:r w:rsidRPr="003B31D5">
        <w:rPr>
          <w:lang w:val="el-GR"/>
        </w:rPr>
        <w:t>δισκίο.</w:t>
      </w:r>
    </w:p>
    <w:p w:rsidR="00645378" w:rsidRPr="003B31D5" w:rsidRDefault="00645378" w:rsidP="009E32D3">
      <w:pPr>
        <w:tabs>
          <w:tab w:val="left" w:pos="142"/>
        </w:tabs>
        <w:spacing w:before="1"/>
        <w:ind w:right="-24"/>
        <w:rPr>
          <w:rFonts w:ascii="Times New Roman" w:eastAsia="Times New Roman" w:hAnsi="Times New Roman" w:cs="Times New Roman"/>
          <w:sz w:val="23"/>
          <w:szCs w:val="23"/>
          <w:lang w:val="el-GR"/>
        </w:rPr>
      </w:pPr>
    </w:p>
    <w:p w:rsidR="00645378" w:rsidRPr="003B31D5" w:rsidRDefault="007134E2" w:rsidP="006638CB">
      <w:pPr>
        <w:pStyle w:val="a3"/>
        <w:tabs>
          <w:tab w:val="left" w:pos="142"/>
        </w:tabs>
        <w:ind w:left="0" w:right="-24"/>
        <w:rPr>
          <w:lang w:val="el-GR"/>
        </w:rPr>
      </w:pPr>
      <w:r w:rsidRPr="003B31D5">
        <w:rPr>
          <w:lang w:val="el-GR"/>
        </w:rPr>
        <w:t xml:space="preserve">Επικαλυμμένο με λεπτό υμένιο δισκίο, </w:t>
      </w:r>
      <w:r w:rsidR="00B6343D">
        <w:rPr>
          <w:lang w:val="el-GR"/>
        </w:rPr>
        <w:t>μπλε</w:t>
      </w:r>
      <w:r w:rsidR="00B6343D" w:rsidRPr="003B31D5">
        <w:rPr>
          <w:lang w:val="el-GR"/>
        </w:rPr>
        <w:t xml:space="preserve"> </w:t>
      </w:r>
      <w:r w:rsidRPr="003B31D5">
        <w:rPr>
          <w:lang w:val="el-GR"/>
        </w:rPr>
        <w:t>χρώματος και σχήμα καψακίου,</w:t>
      </w:r>
      <w:r w:rsidRPr="003B31D5">
        <w:rPr>
          <w:spacing w:val="5"/>
          <w:lang w:val="el-GR"/>
        </w:rPr>
        <w:t xml:space="preserve"> </w:t>
      </w:r>
      <w:r w:rsidR="007B5723">
        <w:rPr>
          <w:spacing w:val="5"/>
          <w:lang w:val="el-GR"/>
        </w:rPr>
        <w:t xml:space="preserve">χωρίς </w:t>
      </w:r>
      <w:r w:rsidR="00A72179">
        <w:rPr>
          <w:spacing w:val="5"/>
          <w:lang w:val="el-GR"/>
        </w:rPr>
        <w:t>ενδείξεις στις πλευρές</w:t>
      </w:r>
      <w:r w:rsidR="007B5723">
        <w:rPr>
          <w:spacing w:val="5"/>
          <w:lang w:val="el-GR"/>
        </w:rPr>
        <w:t>.</w:t>
      </w:r>
      <w:r w:rsidR="006638CB">
        <w:rPr>
          <w:spacing w:val="5"/>
          <w:lang w:val="el-GR"/>
        </w:rPr>
        <w:t xml:space="preserve"> Οι διαστάσεις του δισκίου είναι 19,3</w:t>
      </w:r>
      <w:r w:rsidR="00F36DB7">
        <w:rPr>
          <w:spacing w:val="5"/>
          <w:lang w:val="el-GR"/>
        </w:rPr>
        <w:t xml:space="preserve"> </w:t>
      </w:r>
      <w:r w:rsidR="006638CB">
        <w:rPr>
          <w:spacing w:val="5"/>
        </w:rPr>
        <w:t>mm</w:t>
      </w:r>
      <w:r w:rsidR="006638CB" w:rsidRPr="006638CB">
        <w:rPr>
          <w:spacing w:val="5"/>
          <w:lang w:val="el-GR"/>
        </w:rPr>
        <w:t xml:space="preserve"> </w:t>
      </w:r>
      <w:r w:rsidR="006638CB">
        <w:rPr>
          <w:spacing w:val="5"/>
        </w:rPr>
        <w:t>x</w:t>
      </w:r>
      <w:r w:rsidR="006638CB" w:rsidRPr="006638CB">
        <w:rPr>
          <w:spacing w:val="5"/>
          <w:lang w:val="el-GR"/>
        </w:rPr>
        <w:t xml:space="preserve"> 8,8</w:t>
      </w:r>
      <w:r w:rsidR="00F36DB7">
        <w:rPr>
          <w:spacing w:val="5"/>
          <w:lang w:val="el-GR"/>
        </w:rPr>
        <w:t xml:space="preserve"> </w:t>
      </w:r>
      <w:r w:rsidR="006638CB">
        <w:rPr>
          <w:spacing w:val="5"/>
        </w:rPr>
        <w:t>mm</w:t>
      </w:r>
      <w:r w:rsidR="00F36DB7">
        <w:rPr>
          <w:spacing w:val="5"/>
          <w:lang w:val="el-GR"/>
        </w:rPr>
        <w:t xml:space="preserve"> </w:t>
      </w:r>
      <w:r w:rsidR="006638CB" w:rsidRPr="006638CB">
        <w:rPr>
          <w:rFonts w:cs="Times New Roman"/>
          <w:spacing w:val="5"/>
          <w:lang w:val="el-GR"/>
        </w:rPr>
        <w:t>±</w:t>
      </w:r>
      <w:r w:rsidR="006638CB" w:rsidRPr="006638CB">
        <w:rPr>
          <w:spacing w:val="5"/>
          <w:lang w:val="el-GR"/>
        </w:rPr>
        <w:t xml:space="preserve"> 5%.</w:t>
      </w:r>
    </w:p>
    <w:p w:rsidR="00645378" w:rsidRPr="003B31D5" w:rsidRDefault="00645378" w:rsidP="009E32D3">
      <w:pPr>
        <w:tabs>
          <w:tab w:val="left" w:pos="142"/>
        </w:tabs>
        <w:spacing w:before="7"/>
        <w:ind w:right="-24"/>
        <w:rPr>
          <w:rFonts w:ascii="Times New Roman" w:eastAsia="Times New Roman" w:hAnsi="Times New Roman" w:cs="Times New Roman"/>
          <w:sz w:val="23"/>
          <w:szCs w:val="23"/>
          <w:lang w:val="el-GR"/>
        </w:rPr>
      </w:pPr>
    </w:p>
    <w:p w:rsidR="00645378" w:rsidRDefault="007134E2" w:rsidP="009E32D3">
      <w:pPr>
        <w:pStyle w:val="1"/>
        <w:numPr>
          <w:ilvl w:val="0"/>
          <w:numId w:val="5"/>
        </w:numPr>
        <w:tabs>
          <w:tab w:val="left" w:pos="142"/>
        </w:tabs>
        <w:ind w:left="0" w:right="-24" w:firstLine="0"/>
        <w:rPr>
          <w:b w:val="0"/>
          <w:bCs w:val="0"/>
        </w:rPr>
      </w:pPr>
      <w:r>
        <w:t>ΚΛΙΝΙΚΕΣ</w:t>
      </w:r>
      <w:r>
        <w:rPr>
          <w:spacing w:val="-1"/>
        </w:rPr>
        <w:t xml:space="preserve"> </w:t>
      </w:r>
      <w:r>
        <w:t>ΠΛΗΡΟΦΟΡΙΕΣ</w:t>
      </w:r>
    </w:p>
    <w:p w:rsidR="00645378" w:rsidRDefault="00645378" w:rsidP="009E32D3">
      <w:pPr>
        <w:tabs>
          <w:tab w:val="left" w:pos="142"/>
        </w:tabs>
        <w:spacing w:before="1"/>
        <w:ind w:right="-24"/>
        <w:rPr>
          <w:rFonts w:ascii="Times New Roman" w:eastAsia="Times New Roman" w:hAnsi="Times New Roman" w:cs="Times New Roman"/>
          <w:b/>
          <w:bCs/>
          <w:sz w:val="23"/>
          <w:szCs w:val="23"/>
        </w:rPr>
      </w:pPr>
    </w:p>
    <w:p w:rsidR="00645378" w:rsidRDefault="007134E2" w:rsidP="009E32D3">
      <w:pPr>
        <w:pStyle w:val="a4"/>
        <w:numPr>
          <w:ilvl w:val="1"/>
          <w:numId w:val="5"/>
        </w:numPr>
        <w:tabs>
          <w:tab w:val="left" w:pos="142"/>
        </w:tabs>
        <w:ind w:left="0" w:right="-24" w:firstLine="0"/>
        <w:rPr>
          <w:rFonts w:ascii="Times New Roman" w:eastAsia="Times New Roman" w:hAnsi="Times New Roman" w:cs="Times New Roman"/>
        </w:rPr>
      </w:pPr>
      <w:r>
        <w:rPr>
          <w:rFonts w:ascii="Times New Roman" w:hAnsi="Times New Roman"/>
          <w:b/>
        </w:rPr>
        <w:t>Θεραπευτικές ενδείξεις</w:t>
      </w:r>
    </w:p>
    <w:p w:rsidR="00645378" w:rsidRDefault="00645378" w:rsidP="009E32D3">
      <w:pPr>
        <w:tabs>
          <w:tab w:val="left" w:pos="142"/>
        </w:tabs>
        <w:spacing w:before="8"/>
        <w:ind w:right="-24"/>
        <w:rPr>
          <w:rFonts w:ascii="Times New Roman" w:eastAsia="Times New Roman" w:hAnsi="Times New Roman" w:cs="Times New Roman"/>
          <w:b/>
          <w:bCs/>
        </w:rPr>
      </w:pPr>
    </w:p>
    <w:p w:rsidR="00645378" w:rsidRPr="00AA2F31" w:rsidRDefault="007134E2" w:rsidP="009E32D3">
      <w:pPr>
        <w:pStyle w:val="a3"/>
        <w:tabs>
          <w:tab w:val="left" w:pos="142"/>
        </w:tabs>
        <w:spacing w:line="244" w:lineRule="auto"/>
        <w:ind w:left="0" w:right="-24"/>
        <w:rPr>
          <w:lang w:val="el-GR"/>
        </w:rPr>
      </w:pPr>
      <w:r w:rsidRPr="006638CB">
        <w:rPr>
          <w:lang w:val="el-GR"/>
        </w:rPr>
        <w:t xml:space="preserve">Το </w:t>
      </w:r>
      <w:r w:rsidR="003464A6">
        <w:t>ARGIODIN</w:t>
      </w:r>
      <w:r w:rsidR="003464A6" w:rsidRPr="006638CB">
        <w:rPr>
          <w:lang w:val="el-GR"/>
        </w:rPr>
        <w:t xml:space="preserve"> </w:t>
      </w:r>
      <w:r w:rsidRPr="006638CB">
        <w:rPr>
          <w:lang w:val="el-GR"/>
        </w:rPr>
        <w:t xml:space="preserve">είναι συνδυασμός σταθερής δόσης </w:t>
      </w:r>
      <w:r w:rsidR="006638CB">
        <w:rPr>
          <w:lang w:val="el-GR"/>
        </w:rPr>
        <w:t>εμτρισιταβίνης</w:t>
      </w:r>
      <w:r w:rsidR="006638CB" w:rsidRPr="006638CB">
        <w:rPr>
          <w:lang w:val="el-GR"/>
        </w:rPr>
        <w:t xml:space="preserve"> </w:t>
      </w:r>
      <w:r w:rsidR="006638CB">
        <w:rPr>
          <w:lang w:val="el-GR"/>
        </w:rPr>
        <w:t>και</w:t>
      </w:r>
      <w:r w:rsidR="006638CB" w:rsidRPr="006638CB">
        <w:rPr>
          <w:lang w:val="el-GR"/>
        </w:rPr>
        <w:t xml:space="preserve"> </w:t>
      </w:r>
      <w:r w:rsidR="006638CB">
        <w:rPr>
          <w:lang w:val="el-GR"/>
        </w:rPr>
        <w:t>τενοφοβίρης</w:t>
      </w:r>
      <w:r w:rsidR="006638CB" w:rsidRPr="006638CB">
        <w:rPr>
          <w:lang w:val="el-GR"/>
        </w:rPr>
        <w:t xml:space="preserve"> </w:t>
      </w:r>
      <w:r w:rsidR="006638CB">
        <w:rPr>
          <w:lang w:val="el-GR"/>
        </w:rPr>
        <w:t>δισοπρόξιλης</w:t>
      </w:r>
      <w:r w:rsidR="006638CB" w:rsidRPr="006638CB">
        <w:rPr>
          <w:lang w:val="el-GR"/>
        </w:rPr>
        <w:t xml:space="preserve"> </w:t>
      </w:r>
      <w:r w:rsidR="009C45F5">
        <w:rPr>
          <w:lang w:val="el-GR"/>
        </w:rPr>
        <w:t>ηλεκτρικής. Ε</w:t>
      </w:r>
      <w:r w:rsidRPr="00AA2F31">
        <w:rPr>
          <w:lang w:val="el-GR"/>
        </w:rPr>
        <w:t>νδείκνυται, ως συνδυασμένη αντιρετροϊκή αγωγή, για τη θεραπεία ενηλίκων ηλικίας 18 ετών</w:t>
      </w:r>
      <w:r w:rsidRPr="00AA2F31">
        <w:rPr>
          <w:spacing w:val="8"/>
          <w:lang w:val="el-GR"/>
        </w:rPr>
        <w:t xml:space="preserve"> </w:t>
      </w:r>
      <w:r w:rsidRPr="00AA2F31">
        <w:rPr>
          <w:lang w:val="el-GR"/>
        </w:rPr>
        <w:t xml:space="preserve">και άνω που έχουν προσβληθεί από τον ιό </w:t>
      </w:r>
      <w:r>
        <w:t>HIV</w:t>
      </w:r>
      <w:r w:rsidRPr="00AA2F31">
        <w:rPr>
          <w:lang w:val="el-GR"/>
        </w:rPr>
        <w:t>-1.</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645378" w:rsidRPr="00AA2F31" w:rsidRDefault="007134E2" w:rsidP="009E32D3">
      <w:pPr>
        <w:pStyle w:val="a3"/>
        <w:tabs>
          <w:tab w:val="left" w:pos="142"/>
        </w:tabs>
        <w:spacing w:line="244" w:lineRule="auto"/>
        <w:ind w:left="0" w:right="-24"/>
        <w:rPr>
          <w:lang w:val="el-GR"/>
        </w:rPr>
      </w:pPr>
      <w:r w:rsidRPr="00AA2F31">
        <w:rPr>
          <w:lang w:val="el-GR"/>
        </w:rPr>
        <w:t>Η απόδειξη των</w:t>
      </w:r>
      <w:r w:rsidRPr="00AA2F31">
        <w:rPr>
          <w:spacing w:val="2"/>
          <w:lang w:val="el-GR"/>
        </w:rPr>
        <w:t xml:space="preserve"> </w:t>
      </w:r>
      <w:r w:rsidRPr="00AA2F31">
        <w:rPr>
          <w:lang w:val="el-GR"/>
        </w:rPr>
        <w:t>θεραπευτικών</w:t>
      </w:r>
      <w:r w:rsidRPr="00AA2F31">
        <w:rPr>
          <w:spacing w:val="2"/>
          <w:lang w:val="el-GR"/>
        </w:rPr>
        <w:t xml:space="preserve"> </w:t>
      </w:r>
      <w:r w:rsidRPr="00AA2F31">
        <w:rPr>
          <w:lang w:val="el-GR"/>
        </w:rPr>
        <w:t>επιδράσεων</w:t>
      </w:r>
      <w:r w:rsidRPr="00AA2F31">
        <w:rPr>
          <w:spacing w:val="2"/>
          <w:lang w:val="el-GR"/>
        </w:rPr>
        <w:t xml:space="preserve"> </w:t>
      </w:r>
      <w:r w:rsidR="009C45F5">
        <w:rPr>
          <w:spacing w:val="2"/>
          <w:lang w:val="el-GR"/>
        </w:rPr>
        <w:t xml:space="preserve">στην </w:t>
      </w:r>
      <w:r w:rsidR="009C45F5" w:rsidRPr="00AA2F31">
        <w:rPr>
          <w:lang w:val="el-GR"/>
        </w:rPr>
        <w:t xml:space="preserve">αντιρετροϊκή αγωγή </w:t>
      </w:r>
      <w:r w:rsidRPr="00AA2F31">
        <w:rPr>
          <w:lang w:val="el-GR"/>
        </w:rPr>
        <w:t>της αγωγής συνδυασμού</w:t>
      </w:r>
      <w:r w:rsidRPr="00AA2F31">
        <w:rPr>
          <w:spacing w:val="2"/>
          <w:lang w:val="el-GR"/>
        </w:rPr>
        <w:t xml:space="preserve"> </w:t>
      </w:r>
      <w:r w:rsidRPr="00AA2F31">
        <w:rPr>
          <w:lang w:val="el-GR"/>
        </w:rPr>
        <w:t>με</w:t>
      </w:r>
      <w:r w:rsidRPr="00AA2F31">
        <w:rPr>
          <w:spacing w:val="2"/>
          <w:lang w:val="el-GR"/>
        </w:rPr>
        <w:t xml:space="preserve"> </w:t>
      </w:r>
      <w:r w:rsidR="006638CB">
        <w:rPr>
          <w:spacing w:val="2"/>
          <w:lang w:val="el-GR"/>
        </w:rPr>
        <w:t xml:space="preserve">εμτρισιταβίνη και </w:t>
      </w:r>
      <w:r w:rsidR="00071DB5">
        <w:rPr>
          <w:spacing w:val="2"/>
          <w:lang w:val="el-GR"/>
        </w:rPr>
        <w:t>τενοφοβίρη δισοπρόξιλη</w:t>
      </w:r>
      <w:r w:rsidRPr="00AA2F31">
        <w:rPr>
          <w:lang w:val="el-GR"/>
        </w:rPr>
        <w:t xml:space="preserve"> βασίζεται αποκλειστικά σε μελέτες που διεξήχθησαν σε</w:t>
      </w:r>
      <w:r w:rsidRPr="00AA2F31">
        <w:rPr>
          <w:spacing w:val="11"/>
          <w:lang w:val="el-GR"/>
        </w:rPr>
        <w:t xml:space="preserve"> </w:t>
      </w:r>
      <w:r w:rsidRPr="00AA2F31">
        <w:rPr>
          <w:lang w:val="el-GR"/>
        </w:rPr>
        <w:t>πρωτοθεραπευόμενους ασθενείς, (βλ. παράγραφο</w:t>
      </w:r>
      <w:r w:rsidRPr="00AA2F31">
        <w:rPr>
          <w:spacing w:val="-1"/>
          <w:lang w:val="el-GR"/>
        </w:rPr>
        <w:t xml:space="preserve"> </w:t>
      </w:r>
      <w:r w:rsidRPr="00AA2F31">
        <w:rPr>
          <w:lang w:val="el-GR"/>
        </w:rPr>
        <w:t>5.1).</w:t>
      </w:r>
    </w:p>
    <w:p w:rsidR="00645378" w:rsidRPr="00AA2F31" w:rsidRDefault="00645378" w:rsidP="009E32D3">
      <w:pPr>
        <w:tabs>
          <w:tab w:val="left" w:pos="142"/>
        </w:tabs>
        <w:spacing w:before="1"/>
        <w:ind w:right="-24"/>
        <w:rPr>
          <w:rFonts w:ascii="Times New Roman" w:eastAsia="Times New Roman" w:hAnsi="Times New Roman" w:cs="Times New Roman"/>
          <w:sz w:val="23"/>
          <w:szCs w:val="23"/>
          <w:lang w:val="el-GR"/>
        </w:rPr>
      </w:pPr>
    </w:p>
    <w:p w:rsidR="00645378" w:rsidRDefault="007134E2" w:rsidP="009E32D3">
      <w:pPr>
        <w:pStyle w:val="1"/>
        <w:numPr>
          <w:ilvl w:val="1"/>
          <w:numId w:val="5"/>
        </w:numPr>
        <w:tabs>
          <w:tab w:val="left" w:pos="142"/>
        </w:tabs>
        <w:ind w:left="0" w:right="-24" w:firstLine="0"/>
        <w:rPr>
          <w:b w:val="0"/>
          <w:bCs w:val="0"/>
        </w:rPr>
      </w:pPr>
      <w:r>
        <w:t>Δοσολογία και τρόπος</w:t>
      </w:r>
      <w:r>
        <w:rPr>
          <w:spacing w:val="-1"/>
        </w:rPr>
        <w:t xml:space="preserve"> </w:t>
      </w:r>
      <w:r>
        <w:t>χορήγησης</w:t>
      </w:r>
    </w:p>
    <w:p w:rsidR="00645378" w:rsidRDefault="00645378" w:rsidP="009E32D3">
      <w:pPr>
        <w:tabs>
          <w:tab w:val="left" w:pos="142"/>
        </w:tabs>
        <w:spacing w:before="8"/>
        <w:ind w:right="-24"/>
        <w:rPr>
          <w:rFonts w:ascii="Times New Roman" w:eastAsia="Times New Roman" w:hAnsi="Times New Roman" w:cs="Times New Roman"/>
          <w:b/>
          <w:bCs/>
        </w:rPr>
      </w:pPr>
    </w:p>
    <w:p w:rsidR="00645378" w:rsidRPr="00AA2F31" w:rsidRDefault="007134E2" w:rsidP="009E32D3">
      <w:pPr>
        <w:pStyle w:val="a3"/>
        <w:tabs>
          <w:tab w:val="left" w:pos="142"/>
        </w:tabs>
        <w:spacing w:line="244" w:lineRule="auto"/>
        <w:ind w:left="0" w:right="-24"/>
        <w:rPr>
          <w:lang w:val="el-GR"/>
        </w:rPr>
      </w:pPr>
      <w:r w:rsidRPr="00AA2F31">
        <w:rPr>
          <w:lang w:val="el-GR"/>
        </w:rPr>
        <w:t>Την έναρξη θεραπείας πρέπει να αναλαμβάνει γιατρός με εμπειρία στο χειρισμό λοιμώξεων από</w:t>
      </w:r>
      <w:r w:rsidRPr="00AA2F31">
        <w:rPr>
          <w:spacing w:val="6"/>
          <w:lang w:val="el-GR"/>
        </w:rPr>
        <w:t xml:space="preserve"> </w:t>
      </w:r>
      <w:r w:rsidRPr="00AA2F31">
        <w:rPr>
          <w:lang w:val="el-GR"/>
        </w:rPr>
        <w:t>τον ιό</w:t>
      </w:r>
      <w:r w:rsidRPr="00AA2F31">
        <w:rPr>
          <w:spacing w:val="-3"/>
          <w:lang w:val="el-GR"/>
        </w:rPr>
        <w:t xml:space="preserve"> </w:t>
      </w:r>
      <w:r>
        <w:t>HIV</w:t>
      </w:r>
      <w:r w:rsidRPr="00AA2F31">
        <w:rPr>
          <w:lang w:val="el-GR"/>
        </w:rPr>
        <w:t>.</w:t>
      </w:r>
    </w:p>
    <w:p w:rsidR="00645378" w:rsidRPr="00AA2F31" w:rsidRDefault="00645378" w:rsidP="009E32D3">
      <w:pPr>
        <w:tabs>
          <w:tab w:val="left" w:pos="142"/>
        </w:tabs>
        <w:spacing w:before="7"/>
        <w:ind w:right="-24"/>
        <w:rPr>
          <w:rFonts w:ascii="Times New Roman" w:eastAsia="Times New Roman" w:hAnsi="Times New Roman" w:cs="Times New Roman"/>
          <w:lang w:val="el-GR"/>
        </w:rPr>
      </w:pPr>
    </w:p>
    <w:p w:rsidR="00645378" w:rsidRPr="00AA2F31" w:rsidRDefault="007134E2" w:rsidP="009E32D3">
      <w:pPr>
        <w:pStyle w:val="a3"/>
        <w:tabs>
          <w:tab w:val="left" w:pos="142"/>
        </w:tabs>
        <w:ind w:left="0" w:right="-24"/>
        <w:rPr>
          <w:lang w:val="el-GR"/>
        </w:rPr>
      </w:pPr>
      <w:r w:rsidRPr="00AA2F31">
        <w:rPr>
          <w:u w:val="single" w:color="000000"/>
          <w:lang w:val="el-GR"/>
        </w:rPr>
        <w:t>Δοσολογία</w:t>
      </w:r>
    </w:p>
    <w:p w:rsidR="00645378" w:rsidRPr="00AA2F31" w:rsidRDefault="007134E2" w:rsidP="009E32D3">
      <w:pPr>
        <w:pStyle w:val="a3"/>
        <w:tabs>
          <w:tab w:val="left" w:pos="142"/>
        </w:tabs>
        <w:spacing w:before="6" w:line="244" w:lineRule="auto"/>
        <w:ind w:left="0" w:right="-24"/>
        <w:rPr>
          <w:lang w:val="el-GR"/>
        </w:rPr>
      </w:pPr>
      <w:r w:rsidRPr="00AA2F31">
        <w:rPr>
          <w:i/>
          <w:lang w:val="el-GR"/>
        </w:rPr>
        <w:t xml:space="preserve">Ενήλικες: </w:t>
      </w:r>
      <w:r w:rsidRPr="00AA2F31">
        <w:rPr>
          <w:lang w:val="el-GR"/>
        </w:rPr>
        <w:t>Η</w:t>
      </w:r>
      <w:r w:rsidRPr="00AA2F31">
        <w:rPr>
          <w:spacing w:val="-1"/>
          <w:lang w:val="el-GR"/>
        </w:rPr>
        <w:t xml:space="preserve"> </w:t>
      </w:r>
      <w:r w:rsidRPr="00AA2F31">
        <w:rPr>
          <w:lang w:val="el-GR"/>
        </w:rPr>
        <w:t>συνιστώμενη</w:t>
      </w:r>
      <w:r w:rsidRPr="00AA2F31">
        <w:rPr>
          <w:spacing w:val="-1"/>
          <w:lang w:val="el-GR"/>
        </w:rPr>
        <w:t xml:space="preserve"> </w:t>
      </w:r>
      <w:r w:rsidRPr="00AA2F31">
        <w:rPr>
          <w:lang w:val="el-GR"/>
        </w:rPr>
        <w:t>δόση</w:t>
      </w:r>
      <w:r w:rsidRPr="00AA2F31">
        <w:rPr>
          <w:spacing w:val="-1"/>
          <w:lang w:val="el-GR"/>
        </w:rPr>
        <w:t xml:space="preserve"> </w:t>
      </w:r>
      <w:r w:rsidR="003464A6">
        <w:t>ARGIODIN</w:t>
      </w:r>
      <w:r w:rsidRPr="00AA2F31">
        <w:rPr>
          <w:lang w:val="el-GR"/>
        </w:rPr>
        <w:t xml:space="preserve"> είναι ένα</w:t>
      </w:r>
      <w:r w:rsidRPr="00AA2F31">
        <w:rPr>
          <w:spacing w:val="-1"/>
          <w:lang w:val="el-GR"/>
        </w:rPr>
        <w:t xml:space="preserve"> </w:t>
      </w:r>
      <w:r w:rsidRPr="00AA2F31">
        <w:rPr>
          <w:lang w:val="el-GR"/>
        </w:rPr>
        <w:t>δισκίο λαμβανόμενο από του</w:t>
      </w:r>
      <w:r w:rsidRPr="00AA2F31">
        <w:rPr>
          <w:spacing w:val="1"/>
          <w:lang w:val="el-GR"/>
        </w:rPr>
        <w:t xml:space="preserve"> </w:t>
      </w:r>
      <w:r w:rsidRPr="00AA2F31">
        <w:rPr>
          <w:lang w:val="el-GR"/>
        </w:rPr>
        <w:t>στόματος, μία</w:t>
      </w:r>
      <w:r w:rsidRPr="00AA2F31">
        <w:rPr>
          <w:spacing w:val="-1"/>
          <w:lang w:val="el-GR"/>
        </w:rPr>
        <w:t xml:space="preserve"> </w:t>
      </w:r>
      <w:r w:rsidR="00513DD5">
        <w:rPr>
          <w:lang w:val="el-GR"/>
        </w:rPr>
        <w:t xml:space="preserve">φορά </w:t>
      </w:r>
      <w:r w:rsidRPr="00AA2F31">
        <w:rPr>
          <w:lang w:val="el-GR"/>
        </w:rPr>
        <w:t xml:space="preserve">ημερησίως. Προκειμένου να βελτιστοποιηθεί η απορρόφηση </w:t>
      </w:r>
      <w:r w:rsidR="000F502F">
        <w:rPr>
          <w:lang w:val="el-GR"/>
        </w:rPr>
        <w:t>της τενοφοβίρης</w:t>
      </w:r>
      <w:r w:rsidRPr="00AA2F31">
        <w:rPr>
          <w:lang w:val="el-GR"/>
        </w:rPr>
        <w:t xml:space="preserve">, συνιστάται το </w:t>
      </w:r>
      <w:r w:rsidR="003464A6">
        <w:t>ARGIODIN</w:t>
      </w:r>
      <w:r w:rsidRPr="00AA2F31">
        <w:rPr>
          <w:spacing w:val="9"/>
          <w:lang w:val="el-GR"/>
        </w:rPr>
        <w:t xml:space="preserve"> </w:t>
      </w:r>
      <w:r w:rsidRPr="00AA2F31">
        <w:rPr>
          <w:lang w:val="el-GR"/>
        </w:rPr>
        <w:t xml:space="preserve">να λαμβάνεται μαζί με τροφή. Ακόμη και ένα ελαφρύ γεύμα βελτιώνει την απορρόφηση </w:t>
      </w:r>
      <w:r w:rsidR="000F502F">
        <w:rPr>
          <w:lang w:val="el-GR"/>
        </w:rPr>
        <w:t>της τενοφοβίρης</w:t>
      </w:r>
      <w:r w:rsidRPr="00AA2F31">
        <w:rPr>
          <w:lang w:val="el-GR"/>
        </w:rPr>
        <w:t xml:space="preserve"> από το δισκίο συνδυασμού (βλ. παράγραφο</w:t>
      </w:r>
      <w:r w:rsidRPr="00AA2F31">
        <w:rPr>
          <w:spacing w:val="4"/>
          <w:lang w:val="el-GR"/>
        </w:rPr>
        <w:t xml:space="preserve"> </w:t>
      </w:r>
      <w:r w:rsidRPr="00AA2F31">
        <w:rPr>
          <w:lang w:val="el-GR"/>
        </w:rPr>
        <w:t>5.2).</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645378" w:rsidRPr="00F379EC" w:rsidRDefault="007134E2" w:rsidP="009E32D3">
      <w:pPr>
        <w:pStyle w:val="a3"/>
        <w:tabs>
          <w:tab w:val="left" w:pos="142"/>
        </w:tabs>
        <w:spacing w:line="244" w:lineRule="auto"/>
        <w:ind w:left="0" w:right="-24"/>
        <w:rPr>
          <w:lang w:val="el-GR"/>
        </w:rPr>
      </w:pPr>
      <w:r w:rsidRPr="00AA2F31">
        <w:rPr>
          <w:lang w:val="el-GR"/>
        </w:rPr>
        <w:t xml:space="preserve">Όταν κρίνεται σκόπιμη η διακοπή της αγωγής με κάποιο από τα συστατικά του </w:t>
      </w:r>
      <w:r w:rsidR="003464A6">
        <w:t>ARGIODIN</w:t>
      </w:r>
      <w:r w:rsidRPr="00AA2F31">
        <w:rPr>
          <w:lang w:val="el-GR"/>
        </w:rPr>
        <w:t xml:space="preserve"> ή</w:t>
      </w:r>
      <w:r w:rsidRPr="00AA2F31">
        <w:rPr>
          <w:spacing w:val="-6"/>
          <w:lang w:val="el-GR"/>
        </w:rPr>
        <w:t xml:space="preserve"> </w:t>
      </w:r>
      <w:r w:rsidRPr="00AA2F31">
        <w:rPr>
          <w:lang w:val="el-GR"/>
        </w:rPr>
        <w:t xml:space="preserve">όταν απαιτείται τροποποίηση των δόσεων, διατίθενται μεμονωμένα σκευάσματα της </w:t>
      </w:r>
      <w:r w:rsidR="000F502F">
        <w:rPr>
          <w:lang w:val="el-GR"/>
        </w:rPr>
        <w:t>εμτρισιταβίνης</w:t>
      </w:r>
      <w:r w:rsidRPr="00AA2F31">
        <w:rPr>
          <w:lang w:val="el-GR"/>
        </w:rPr>
        <w:t xml:space="preserve"> και</w:t>
      </w:r>
      <w:r w:rsidRPr="00AA2F31">
        <w:rPr>
          <w:spacing w:val="7"/>
          <w:lang w:val="el-GR"/>
        </w:rPr>
        <w:t xml:space="preserve"> </w:t>
      </w:r>
      <w:r w:rsidR="00F379EC">
        <w:rPr>
          <w:lang w:val="el-GR"/>
        </w:rPr>
        <w:t>της τενοφοβίρης δισοπρ</w:t>
      </w:r>
      <w:r w:rsidR="000F502F">
        <w:rPr>
          <w:lang w:val="el-GR"/>
        </w:rPr>
        <w:t>όξιλης</w:t>
      </w:r>
      <w:r w:rsidRPr="00AA2F31">
        <w:rPr>
          <w:lang w:val="el-GR"/>
        </w:rPr>
        <w:t>. Παρακαλώ, ανατρέξτε στην Περίληψη των Χαρακτηριστικών του</w:t>
      </w:r>
      <w:r w:rsidRPr="00AA2F31">
        <w:rPr>
          <w:spacing w:val="-36"/>
          <w:lang w:val="el-GR"/>
        </w:rPr>
        <w:t xml:space="preserve"> </w:t>
      </w:r>
      <w:r w:rsidRPr="00AA2F31">
        <w:rPr>
          <w:lang w:val="el-GR"/>
        </w:rPr>
        <w:t>Προϊόντος γ</w:t>
      </w:r>
      <w:r w:rsidR="000F502F">
        <w:rPr>
          <w:lang w:val="el-GR"/>
        </w:rPr>
        <w:t>ια τα φαρμακευτικά αυτά προϊόντα.</w:t>
      </w:r>
    </w:p>
    <w:p w:rsidR="00645378" w:rsidRPr="00AA2F31" w:rsidRDefault="00645378" w:rsidP="009E32D3">
      <w:pPr>
        <w:tabs>
          <w:tab w:val="left" w:pos="142"/>
        </w:tabs>
        <w:spacing w:before="8"/>
        <w:ind w:right="-24"/>
        <w:rPr>
          <w:rFonts w:ascii="Times New Roman" w:eastAsia="Times New Roman" w:hAnsi="Times New Roman" w:cs="Times New Roman"/>
          <w:i/>
          <w:lang w:val="el-GR"/>
        </w:rPr>
      </w:pPr>
    </w:p>
    <w:p w:rsidR="00645378" w:rsidRPr="00AA2F31" w:rsidRDefault="007134E2" w:rsidP="004C13AD">
      <w:pPr>
        <w:pStyle w:val="a3"/>
        <w:tabs>
          <w:tab w:val="left" w:pos="142"/>
        </w:tabs>
        <w:spacing w:line="244" w:lineRule="auto"/>
        <w:ind w:left="0" w:right="-24"/>
        <w:rPr>
          <w:lang w:val="el-GR"/>
        </w:rPr>
      </w:pPr>
      <w:r w:rsidRPr="00AA2F31">
        <w:rPr>
          <w:lang w:val="el-GR"/>
        </w:rPr>
        <w:t xml:space="preserve">Εάν ένας ασθενής παραλείψει κάποια δόση του </w:t>
      </w:r>
      <w:r w:rsidR="003464A6">
        <w:t>ARGIODIN</w:t>
      </w:r>
      <w:r w:rsidR="003464A6" w:rsidRPr="00AA2F31">
        <w:rPr>
          <w:lang w:val="el-GR"/>
        </w:rPr>
        <w:t xml:space="preserve"> </w:t>
      </w:r>
      <w:r w:rsidRPr="00AA2F31">
        <w:rPr>
          <w:lang w:val="el-GR"/>
        </w:rPr>
        <w:t>εντός 12 ωρών από την κανονική ώρα</w:t>
      </w:r>
      <w:r w:rsidRPr="00AA2F31">
        <w:rPr>
          <w:spacing w:val="6"/>
          <w:lang w:val="el-GR"/>
        </w:rPr>
        <w:t xml:space="preserve"> </w:t>
      </w:r>
      <w:r w:rsidRPr="00AA2F31">
        <w:rPr>
          <w:lang w:val="el-GR"/>
        </w:rPr>
        <w:t xml:space="preserve">λήψης της δόσης, ο ασθενής πρέπει να πάρει το </w:t>
      </w:r>
      <w:r w:rsidR="003464A6">
        <w:t>ARGIODIN</w:t>
      </w:r>
      <w:r w:rsidRPr="00AA2F31">
        <w:rPr>
          <w:lang w:val="el-GR"/>
        </w:rPr>
        <w:t xml:space="preserve"> μαζί με τροφή όσο το δυνατό γρηγορότερα και</w:t>
      </w:r>
      <w:r w:rsidRPr="00AA2F31">
        <w:rPr>
          <w:spacing w:val="1"/>
          <w:lang w:val="el-GR"/>
        </w:rPr>
        <w:t xml:space="preserve"> </w:t>
      </w:r>
      <w:r w:rsidRPr="00AA2F31">
        <w:rPr>
          <w:lang w:val="el-GR"/>
        </w:rPr>
        <w:t>να</w:t>
      </w:r>
      <w:r w:rsidR="004C13AD">
        <w:rPr>
          <w:lang w:val="el-GR"/>
        </w:rPr>
        <w:t xml:space="preserve"> </w:t>
      </w:r>
      <w:r w:rsidRPr="00AA2F31">
        <w:rPr>
          <w:lang w:val="el-GR"/>
        </w:rPr>
        <w:t>συνεχίσει το κανονικό του δοσολογικό πρόγραμμα. Εάν ένας ασθενής παραλείψει κάποια δόση</w:t>
      </w:r>
      <w:r w:rsidRPr="00AA2F31">
        <w:rPr>
          <w:spacing w:val="3"/>
          <w:lang w:val="el-GR"/>
        </w:rPr>
        <w:t xml:space="preserve"> </w:t>
      </w:r>
      <w:r w:rsidRPr="00AA2F31">
        <w:rPr>
          <w:lang w:val="el-GR"/>
        </w:rPr>
        <w:t xml:space="preserve">του </w:t>
      </w:r>
      <w:r w:rsidR="003464A6">
        <w:t>ARGIODIN</w:t>
      </w:r>
      <w:r w:rsidR="000F502F" w:rsidRPr="00AA2F31">
        <w:rPr>
          <w:lang w:val="el-GR"/>
        </w:rPr>
        <w:t xml:space="preserve"> </w:t>
      </w:r>
      <w:r w:rsidRPr="00AA2F31">
        <w:rPr>
          <w:lang w:val="el-GR"/>
        </w:rPr>
        <w:t>για περισσότερο από 12 ώρες και πλησιάζει η ώρα για την επόμενη δόση, ο ασθενής</w:t>
      </w:r>
      <w:r w:rsidRPr="00AA2F31">
        <w:rPr>
          <w:spacing w:val="-1"/>
          <w:lang w:val="el-GR"/>
        </w:rPr>
        <w:t xml:space="preserve"> </w:t>
      </w:r>
      <w:r w:rsidRPr="00AA2F31">
        <w:rPr>
          <w:lang w:val="el-GR"/>
        </w:rPr>
        <w:t>δεν πρέπει να</w:t>
      </w:r>
      <w:r w:rsidRPr="00AA2F31">
        <w:rPr>
          <w:spacing w:val="-1"/>
          <w:lang w:val="el-GR"/>
        </w:rPr>
        <w:t xml:space="preserve"> </w:t>
      </w:r>
      <w:r w:rsidRPr="00AA2F31">
        <w:rPr>
          <w:lang w:val="el-GR"/>
        </w:rPr>
        <w:t>πάρει τη</w:t>
      </w:r>
      <w:r w:rsidRPr="00AA2F31">
        <w:rPr>
          <w:spacing w:val="-1"/>
          <w:lang w:val="el-GR"/>
        </w:rPr>
        <w:t xml:space="preserve"> </w:t>
      </w:r>
      <w:r w:rsidRPr="00AA2F31">
        <w:rPr>
          <w:lang w:val="el-GR"/>
        </w:rPr>
        <w:t>δόση</w:t>
      </w:r>
      <w:r w:rsidRPr="00AA2F31">
        <w:rPr>
          <w:spacing w:val="-1"/>
          <w:lang w:val="el-GR"/>
        </w:rPr>
        <w:t xml:space="preserve"> </w:t>
      </w:r>
      <w:r w:rsidRPr="00AA2F31">
        <w:rPr>
          <w:lang w:val="el-GR"/>
        </w:rPr>
        <w:t>που</w:t>
      </w:r>
      <w:r w:rsidRPr="00AA2F31">
        <w:rPr>
          <w:spacing w:val="1"/>
          <w:lang w:val="el-GR"/>
        </w:rPr>
        <w:t xml:space="preserve"> </w:t>
      </w:r>
      <w:r w:rsidRPr="00AA2F31">
        <w:rPr>
          <w:lang w:val="el-GR"/>
        </w:rPr>
        <w:t>παρέλειψε, αλλά</w:t>
      </w:r>
      <w:r w:rsidRPr="00AA2F31">
        <w:rPr>
          <w:spacing w:val="-1"/>
          <w:lang w:val="el-GR"/>
        </w:rPr>
        <w:t xml:space="preserve"> </w:t>
      </w:r>
      <w:r w:rsidRPr="00AA2F31">
        <w:rPr>
          <w:lang w:val="el-GR"/>
        </w:rPr>
        <w:t>απλά</w:t>
      </w:r>
      <w:r w:rsidRPr="00AA2F31">
        <w:rPr>
          <w:spacing w:val="-1"/>
          <w:lang w:val="el-GR"/>
        </w:rPr>
        <w:t xml:space="preserve"> </w:t>
      </w:r>
      <w:r w:rsidRPr="00AA2F31">
        <w:rPr>
          <w:lang w:val="el-GR"/>
        </w:rPr>
        <w:t>να</w:t>
      </w:r>
      <w:r w:rsidRPr="00AA2F31">
        <w:rPr>
          <w:spacing w:val="-1"/>
          <w:lang w:val="el-GR"/>
        </w:rPr>
        <w:t xml:space="preserve"> </w:t>
      </w:r>
      <w:r w:rsidRPr="00AA2F31">
        <w:rPr>
          <w:lang w:val="el-GR"/>
        </w:rPr>
        <w:t>συνεχίσει το κανονικό δοσολο</w:t>
      </w:r>
      <w:r w:rsidR="00513DD5">
        <w:rPr>
          <w:lang w:val="el-GR"/>
        </w:rPr>
        <w:t xml:space="preserve">γικό </w:t>
      </w:r>
      <w:r w:rsidRPr="00AA2F31">
        <w:rPr>
          <w:lang w:val="el-GR"/>
        </w:rPr>
        <w:t>πρόγραμμα.</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645378" w:rsidRPr="00AA2F31" w:rsidRDefault="007134E2" w:rsidP="009E32D3">
      <w:pPr>
        <w:pStyle w:val="a3"/>
        <w:tabs>
          <w:tab w:val="left" w:pos="142"/>
        </w:tabs>
        <w:spacing w:line="244" w:lineRule="auto"/>
        <w:ind w:left="0" w:right="-24"/>
        <w:rPr>
          <w:lang w:val="el-GR"/>
        </w:rPr>
      </w:pPr>
      <w:r w:rsidRPr="00AA2F31">
        <w:rPr>
          <w:lang w:val="el-GR"/>
        </w:rPr>
        <w:lastRenderedPageBreak/>
        <w:t xml:space="preserve">Εάν ο ασθενής κάνει εμετό εντός 1 ώρας από τη λήψη του </w:t>
      </w:r>
      <w:r w:rsidR="003464A6">
        <w:t>ARGIODIN</w:t>
      </w:r>
      <w:r w:rsidRPr="00AA2F31">
        <w:rPr>
          <w:lang w:val="el-GR"/>
        </w:rPr>
        <w:t>, πρέπει να πάρει ένα άλλο</w:t>
      </w:r>
      <w:r w:rsidRPr="00AA2F31">
        <w:rPr>
          <w:spacing w:val="2"/>
          <w:lang w:val="el-GR"/>
        </w:rPr>
        <w:t xml:space="preserve"> </w:t>
      </w:r>
      <w:r w:rsidRPr="00AA2F31">
        <w:rPr>
          <w:lang w:val="el-GR"/>
        </w:rPr>
        <w:t xml:space="preserve">δισκίο. Εάν ο ασθενής κάνει εμετό αφού περάσει περισσότερο από 1 ώρα μετά τη λήψη του </w:t>
      </w:r>
      <w:r w:rsidR="003464A6">
        <w:t>ARGIODIN</w:t>
      </w:r>
      <w:r w:rsidRPr="00AA2F31">
        <w:rPr>
          <w:lang w:val="el-GR"/>
        </w:rPr>
        <w:t>, δεν</w:t>
      </w:r>
      <w:r w:rsidR="00CD7B73" w:rsidRPr="00CD7B73">
        <w:rPr>
          <w:lang w:val="el-GR"/>
        </w:rPr>
        <w:t xml:space="preserve"> </w:t>
      </w:r>
      <w:r w:rsidRPr="00AA2F31">
        <w:rPr>
          <w:spacing w:val="-49"/>
          <w:lang w:val="el-GR"/>
        </w:rPr>
        <w:t xml:space="preserve"> </w:t>
      </w:r>
      <w:r w:rsidRPr="00AA2F31">
        <w:rPr>
          <w:lang w:val="el-GR"/>
        </w:rPr>
        <w:t>χρειάζεται να πάρει άλλη</w:t>
      </w:r>
      <w:r w:rsidRPr="00AA2F31">
        <w:rPr>
          <w:spacing w:val="-2"/>
          <w:lang w:val="el-GR"/>
        </w:rPr>
        <w:t xml:space="preserve"> </w:t>
      </w:r>
      <w:r w:rsidR="000F502F">
        <w:rPr>
          <w:lang w:val="el-GR"/>
        </w:rPr>
        <w:t>δόση.</w:t>
      </w:r>
    </w:p>
    <w:p w:rsidR="00645378" w:rsidRPr="00AA2F31" w:rsidRDefault="00645378" w:rsidP="009E32D3">
      <w:pPr>
        <w:tabs>
          <w:tab w:val="left" w:pos="142"/>
        </w:tabs>
        <w:spacing w:before="7"/>
        <w:ind w:right="-24"/>
        <w:rPr>
          <w:rFonts w:ascii="Times New Roman" w:eastAsia="Times New Roman" w:hAnsi="Times New Roman" w:cs="Times New Roman"/>
          <w:lang w:val="el-GR"/>
        </w:rPr>
      </w:pPr>
    </w:p>
    <w:p w:rsidR="00645378" w:rsidRPr="00AA2F31" w:rsidRDefault="007134E2" w:rsidP="009E32D3">
      <w:pPr>
        <w:tabs>
          <w:tab w:val="left" w:pos="142"/>
        </w:tabs>
        <w:ind w:right="-24"/>
        <w:rPr>
          <w:rFonts w:ascii="Times New Roman" w:eastAsia="Times New Roman" w:hAnsi="Times New Roman" w:cs="Times New Roman"/>
          <w:lang w:val="el-GR"/>
        </w:rPr>
      </w:pPr>
      <w:r w:rsidRPr="00AA2F31">
        <w:rPr>
          <w:rFonts w:ascii="Times New Roman" w:hAnsi="Times New Roman"/>
          <w:i/>
          <w:u w:val="single" w:color="000000"/>
          <w:lang w:val="el-GR"/>
        </w:rPr>
        <w:t>Ειδικοί</w:t>
      </w:r>
      <w:r w:rsidRPr="00AA2F31">
        <w:rPr>
          <w:rFonts w:ascii="Times New Roman" w:hAnsi="Times New Roman"/>
          <w:i/>
          <w:spacing w:val="1"/>
          <w:u w:val="single" w:color="000000"/>
          <w:lang w:val="el-GR"/>
        </w:rPr>
        <w:t xml:space="preserve"> </w:t>
      </w:r>
      <w:r w:rsidRPr="00AA2F31">
        <w:rPr>
          <w:rFonts w:ascii="Times New Roman" w:hAnsi="Times New Roman"/>
          <w:i/>
          <w:u w:val="single" w:color="000000"/>
          <w:lang w:val="el-GR"/>
        </w:rPr>
        <w:t>πληθυσμοί</w:t>
      </w:r>
    </w:p>
    <w:p w:rsidR="00645378" w:rsidRPr="00AA2F31" w:rsidRDefault="007134E2" w:rsidP="009E32D3">
      <w:pPr>
        <w:pStyle w:val="a3"/>
        <w:tabs>
          <w:tab w:val="left" w:pos="142"/>
        </w:tabs>
        <w:spacing w:before="6" w:line="244" w:lineRule="auto"/>
        <w:ind w:left="0" w:right="-24"/>
        <w:rPr>
          <w:lang w:val="el-GR"/>
        </w:rPr>
      </w:pPr>
      <w:r w:rsidRPr="00AA2F31">
        <w:rPr>
          <w:i/>
          <w:lang w:val="el-GR"/>
        </w:rPr>
        <w:t xml:space="preserve">Ηλικιωμένοι: </w:t>
      </w:r>
      <w:r w:rsidRPr="00AA2F31">
        <w:rPr>
          <w:lang w:val="el-GR"/>
        </w:rPr>
        <w:t>Δεν υπάρχουν διαθέσιμα στοιχεία βάσει των οποίων να προταθεί δόση για</w:t>
      </w:r>
      <w:r w:rsidRPr="00AA2F31">
        <w:rPr>
          <w:spacing w:val="12"/>
          <w:lang w:val="el-GR"/>
        </w:rPr>
        <w:t xml:space="preserve"> </w:t>
      </w:r>
      <w:r w:rsidRPr="00AA2F31">
        <w:rPr>
          <w:lang w:val="el-GR"/>
        </w:rPr>
        <w:t>ασθενείς ηλικίας μεγαλύτερης των 65 ετών. Εν τούτοις, δεν πρέπει να απαιτείται προσαρμογή στη</w:t>
      </w:r>
      <w:r w:rsidRPr="00AA2F31">
        <w:rPr>
          <w:spacing w:val="-48"/>
          <w:lang w:val="el-GR"/>
        </w:rPr>
        <w:t xml:space="preserve"> </w:t>
      </w:r>
      <w:r w:rsidRPr="00AA2F31">
        <w:rPr>
          <w:lang w:val="el-GR"/>
        </w:rPr>
        <w:t>συνιστώμενη ημερήσια δόση για ενήλικες, εκτός εάν υπάρχουν ενδείξεις νεφρικής</w:t>
      </w:r>
      <w:r w:rsidRPr="00AA2F31">
        <w:rPr>
          <w:spacing w:val="1"/>
          <w:lang w:val="el-GR"/>
        </w:rPr>
        <w:t xml:space="preserve"> </w:t>
      </w:r>
      <w:r w:rsidRPr="00AA2F31">
        <w:rPr>
          <w:lang w:val="el-GR"/>
        </w:rPr>
        <w:t>ανεπάρκειας.</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645378" w:rsidRPr="00AA2F31" w:rsidRDefault="007134E2" w:rsidP="000F502F">
      <w:pPr>
        <w:pStyle w:val="a3"/>
        <w:tabs>
          <w:tab w:val="left" w:pos="142"/>
        </w:tabs>
        <w:spacing w:line="244" w:lineRule="auto"/>
        <w:ind w:left="0" w:right="-24"/>
        <w:rPr>
          <w:lang w:val="el-GR"/>
        </w:rPr>
      </w:pPr>
      <w:r w:rsidRPr="00AA2F31">
        <w:rPr>
          <w:i/>
          <w:lang w:val="el-GR"/>
        </w:rPr>
        <w:t xml:space="preserve">Νεφρική δυσλειτουργία: </w:t>
      </w:r>
      <w:r w:rsidRPr="00AA2F31">
        <w:rPr>
          <w:lang w:val="el-GR"/>
        </w:rPr>
        <w:t xml:space="preserve">Η </w:t>
      </w:r>
      <w:r w:rsidR="000F502F">
        <w:rPr>
          <w:lang w:val="el-GR"/>
        </w:rPr>
        <w:t>εμτρισιταβίνη</w:t>
      </w:r>
      <w:r w:rsidRPr="00AA2F31">
        <w:rPr>
          <w:lang w:val="el-GR"/>
        </w:rPr>
        <w:t xml:space="preserve"> και </w:t>
      </w:r>
      <w:r w:rsidR="000F502F">
        <w:rPr>
          <w:lang w:val="el-GR"/>
        </w:rPr>
        <w:t>η τενοφοβίρη</w:t>
      </w:r>
      <w:r w:rsidR="00513DD5">
        <w:rPr>
          <w:lang w:val="el-GR"/>
        </w:rPr>
        <w:t xml:space="preserve"> απομακρύνονται με </w:t>
      </w:r>
      <w:r w:rsidRPr="00AA2F31">
        <w:rPr>
          <w:lang w:val="el-GR"/>
        </w:rPr>
        <w:t>νεφρική απέκκριση και</w:t>
      </w:r>
      <w:r w:rsidRPr="00AA2F31">
        <w:rPr>
          <w:spacing w:val="7"/>
          <w:lang w:val="el-GR"/>
        </w:rPr>
        <w:t xml:space="preserve"> </w:t>
      </w:r>
      <w:r w:rsidRPr="00AA2F31">
        <w:rPr>
          <w:lang w:val="el-GR"/>
        </w:rPr>
        <w:t xml:space="preserve">η έκθεση στην </w:t>
      </w:r>
      <w:r w:rsidR="000F502F">
        <w:rPr>
          <w:lang w:val="el-GR"/>
        </w:rPr>
        <w:t>εμτρισιταβίνη</w:t>
      </w:r>
      <w:r w:rsidRPr="00AA2F31">
        <w:rPr>
          <w:lang w:val="el-GR"/>
        </w:rPr>
        <w:t xml:space="preserve"> και στ</w:t>
      </w:r>
      <w:r w:rsidR="000F502F">
        <w:rPr>
          <w:lang w:val="el-GR"/>
        </w:rPr>
        <w:t>η</w:t>
      </w:r>
      <w:r w:rsidR="00CD7B73">
        <w:rPr>
          <w:lang w:val="el-GR"/>
        </w:rPr>
        <w:t>ν</w:t>
      </w:r>
      <w:r w:rsidRPr="00AA2F31">
        <w:rPr>
          <w:lang w:val="el-GR"/>
        </w:rPr>
        <w:t xml:space="preserve"> </w:t>
      </w:r>
      <w:r w:rsidR="000F502F">
        <w:rPr>
          <w:lang w:val="el-GR"/>
        </w:rPr>
        <w:t>τενοφοβίρη</w:t>
      </w:r>
      <w:r w:rsidRPr="00AA2F31">
        <w:rPr>
          <w:lang w:val="el-GR"/>
        </w:rPr>
        <w:t xml:space="preserve"> αυξάνεται σε ασθενείς με νεφρική</w:t>
      </w:r>
      <w:r w:rsidRPr="00AA2F31">
        <w:rPr>
          <w:spacing w:val="19"/>
          <w:lang w:val="el-GR"/>
        </w:rPr>
        <w:t xml:space="preserve"> </w:t>
      </w:r>
      <w:r w:rsidRPr="00AA2F31">
        <w:rPr>
          <w:lang w:val="el-GR"/>
        </w:rPr>
        <w:t>δυσλειτουργία.</w:t>
      </w:r>
      <w:r w:rsidR="000F502F">
        <w:rPr>
          <w:lang w:val="el-GR"/>
        </w:rPr>
        <w:t xml:space="preserve"> </w:t>
      </w:r>
      <w:r w:rsidRPr="00AA2F31">
        <w:rPr>
          <w:lang w:val="el-GR"/>
        </w:rPr>
        <w:t xml:space="preserve">Υπάρχουν περιορισμένα δεδομένα για την ασφάλεια και την αποτελεσματικότητα </w:t>
      </w:r>
      <w:r w:rsidR="00B36F9B">
        <w:rPr>
          <w:lang w:val="el-GR"/>
        </w:rPr>
        <w:t>της</w:t>
      </w:r>
      <w:r w:rsidR="000F502F">
        <w:rPr>
          <w:lang w:val="el-GR"/>
        </w:rPr>
        <w:t xml:space="preserve"> εμτρισιταβίνης</w:t>
      </w:r>
      <w:r w:rsidR="00B36F9B">
        <w:rPr>
          <w:lang w:val="el-GR"/>
        </w:rPr>
        <w:t xml:space="preserve"> και </w:t>
      </w:r>
      <w:r w:rsidR="000F502F">
        <w:rPr>
          <w:lang w:val="el-GR"/>
        </w:rPr>
        <w:t>τενοφοβίρης δισοπρόξιλης</w:t>
      </w:r>
      <w:r w:rsidRPr="00AA2F31">
        <w:rPr>
          <w:lang w:val="el-GR"/>
        </w:rPr>
        <w:t xml:space="preserve"> σε</w:t>
      </w:r>
      <w:r w:rsidR="00513DD5">
        <w:rPr>
          <w:lang w:val="el-GR"/>
        </w:rPr>
        <w:t xml:space="preserve"> </w:t>
      </w:r>
      <w:r w:rsidRPr="00AA2F31">
        <w:rPr>
          <w:spacing w:val="-50"/>
          <w:lang w:val="el-GR"/>
        </w:rPr>
        <w:t xml:space="preserve"> </w:t>
      </w:r>
      <w:r w:rsidRPr="00AA2F31">
        <w:rPr>
          <w:lang w:val="el-GR"/>
        </w:rPr>
        <w:t xml:space="preserve">ασθενείς με μέτρια και σοβαρή νεφρική δυσλειτουργία (κάθαρση κρεατινίνης &lt; 50 </w:t>
      </w:r>
      <w:r>
        <w:t>ml</w:t>
      </w:r>
      <w:r w:rsidRPr="00AA2F31">
        <w:rPr>
          <w:lang w:val="el-GR"/>
        </w:rPr>
        <w:t>/</w:t>
      </w:r>
      <w:r>
        <w:t>min</w:t>
      </w:r>
      <w:r w:rsidR="00513DD5">
        <w:rPr>
          <w:lang w:val="el-GR"/>
        </w:rPr>
        <w:t xml:space="preserve">) και τα </w:t>
      </w:r>
      <w:r w:rsidRPr="00AA2F31">
        <w:rPr>
          <w:lang w:val="el-GR"/>
        </w:rPr>
        <w:t>μακροπρόθεσμα δεδομένα ασφάλειας δεν έχουν αξιολογηθεί για ήπια νεφρική δυσλειτουρ</w:t>
      </w:r>
      <w:r w:rsidR="000C59D7">
        <w:rPr>
          <w:lang w:val="el-GR"/>
        </w:rPr>
        <w:t>γία (</w:t>
      </w:r>
      <w:r w:rsidRPr="00AA2F31">
        <w:rPr>
          <w:lang w:val="el-GR"/>
        </w:rPr>
        <w:t xml:space="preserve">κάθαρση κρεατινίνης 50-80 </w:t>
      </w:r>
      <w:r>
        <w:t>ml</w:t>
      </w:r>
      <w:r w:rsidRPr="00AA2F31">
        <w:rPr>
          <w:lang w:val="el-GR"/>
        </w:rPr>
        <w:t>/</w:t>
      </w:r>
      <w:r>
        <w:t>min</w:t>
      </w:r>
      <w:r w:rsidRPr="00AA2F31">
        <w:rPr>
          <w:lang w:val="el-GR"/>
        </w:rPr>
        <w:t xml:space="preserve">). Ως εκ τούτου, σε ασθενείς με νεφρική δυσλειτουργία </w:t>
      </w:r>
      <w:r w:rsidR="00B36F9B">
        <w:rPr>
          <w:lang w:val="el-GR"/>
        </w:rPr>
        <w:t>η</w:t>
      </w:r>
      <w:r w:rsidR="000C59D7">
        <w:rPr>
          <w:lang w:val="el-GR"/>
        </w:rPr>
        <w:t xml:space="preserve"> εμτρισιταβίνη</w:t>
      </w:r>
      <w:r w:rsidR="00B36F9B">
        <w:rPr>
          <w:lang w:val="el-GR"/>
        </w:rPr>
        <w:t xml:space="preserve"> και </w:t>
      </w:r>
      <w:r w:rsidR="000C59D7">
        <w:rPr>
          <w:lang w:val="el-GR"/>
        </w:rPr>
        <w:t>τενοφοβίρη δισοπρόξιλη</w:t>
      </w:r>
      <w:r w:rsidRPr="00AA2F31">
        <w:rPr>
          <w:lang w:val="el-GR"/>
        </w:rPr>
        <w:t xml:space="preserve"> πρέπει να χρησιμοποιείται μόνο εάν θεωρείται ότι τα ενδεχόμενα οφέλη από την</w:t>
      </w:r>
      <w:r w:rsidRPr="00AA2F31">
        <w:rPr>
          <w:spacing w:val="2"/>
          <w:lang w:val="el-GR"/>
        </w:rPr>
        <w:t xml:space="preserve"> </w:t>
      </w:r>
      <w:r w:rsidRPr="00AA2F31">
        <w:rPr>
          <w:lang w:val="el-GR"/>
        </w:rPr>
        <w:t>θεραπεία υπερσκελίζουν τους ενδεχόμενους κινδύνους. Ασθενείς με</w:t>
      </w:r>
      <w:r w:rsidR="00EA4893">
        <w:rPr>
          <w:lang w:val="el-GR"/>
        </w:rPr>
        <w:t xml:space="preserve"> νεφρική δυσλειτουργία μπορεί να </w:t>
      </w:r>
      <w:r w:rsidRPr="00AA2F31">
        <w:rPr>
          <w:lang w:val="el-GR"/>
        </w:rPr>
        <w:t>χρειαστούν στενή παρακολούθηση της νεφρικής λειτουργίας (βλ. παράγραφο 4.4).</w:t>
      </w:r>
      <w:r w:rsidRPr="00AA2F31">
        <w:rPr>
          <w:spacing w:val="2"/>
          <w:lang w:val="el-GR"/>
        </w:rPr>
        <w:t xml:space="preserve"> </w:t>
      </w:r>
      <w:r w:rsidRPr="00AA2F31">
        <w:rPr>
          <w:lang w:val="el-GR"/>
        </w:rPr>
        <w:t>Αναπροσαρμογές του δοσολογικού μεσοδιαστήματος συνιστώνται για ασθενείς με κάθαρση κρεατινίνης μεταξύ 30</w:t>
      </w:r>
      <w:r w:rsidRPr="00AA2F31">
        <w:rPr>
          <w:spacing w:val="8"/>
          <w:lang w:val="el-GR"/>
        </w:rPr>
        <w:t xml:space="preserve"> </w:t>
      </w:r>
      <w:r w:rsidRPr="00AA2F31">
        <w:rPr>
          <w:lang w:val="el-GR"/>
        </w:rPr>
        <w:t xml:space="preserve">και 49 </w:t>
      </w:r>
      <w:r>
        <w:t>ml</w:t>
      </w:r>
      <w:r w:rsidRPr="00AA2F31">
        <w:rPr>
          <w:lang w:val="el-GR"/>
        </w:rPr>
        <w:t>/</w:t>
      </w:r>
      <w:r>
        <w:t>min</w:t>
      </w:r>
      <w:r w:rsidRPr="00AA2F31">
        <w:rPr>
          <w:lang w:val="el-GR"/>
        </w:rPr>
        <w:t>. Αυτές οι αναπροσαρμογές της δόσης δεν έχουν επιβεβ</w:t>
      </w:r>
      <w:r w:rsidR="00513DD5">
        <w:rPr>
          <w:lang w:val="el-GR"/>
        </w:rPr>
        <w:t xml:space="preserve">αιωθεί σε κλινικές μελέτες και η </w:t>
      </w:r>
      <w:r w:rsidRPr="00AA2F31">
        <w:rPr>
          <w:spacing w:val="-51"/>
          <w:lang w:val="el-GR"/>
        </w:rPr>
        <w:t xml:space="preserve"> </w:t>
      </w:r>
      <w:r w:rsidRPr="00AA2F31">
        <w:rPr>
          <w:lang w:val="el-GR"/>
        </w:rPr>
        <w:t>κλινική ανταπόκριση στην αγωγή πρέπει να παρακολουθείται στενά σε αυτούς τους ασθενείς (βλ.</w:t>
      </w:r>
      <w:r w:rsidRPr="00AA2F31">
        <w:rPr>
          <w:spacing w:val="-50"/>
          <w:lang w:val="el-GR"/>
        </w:rPr>
        <w:t xml:space="preserve"> </w:t>
      </w:r>
      <w:r w:rsidRPr="00AA2F31">
        <w:rPr>
          <w:lang w:val="el-GR"/>
        </w:rPr>
        <w:t>παραγράφους 4.4 και</w:t>
      </w:r>
      <w:r w:rsidRPr="00AA2F31">
        <w:rPr>
          <w:spacing w:val="-2"/>
          <w:lang w:val="el-GR"/>
        </w:rPr>
        <w:t xml:space="preserve"> </w:t>
      </w:r>
      <w:r w:rsidRPr="00AA2F31">
        <w:rPr>
          <w:lang w:val="el-GR"/>
        </w:rPr>
        <w:t>5.2).</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645378" w:rsidRPr="000C59D7" w:rsidRDefault="007134E2" w:rsidP="009E32D3">
      <w:pPr>
        <w:tabs>
          <w:tab w:val="left" w:pos="142"/>
        </w:tabs>
        <w:spacing w:line="244" w:lineRule="auto"/>
        <w:ind w:right="-24"/>
        <w:rPr>
          <w:rFonts w:ascii="Times New Roman" w:eastAsia="Times New Roman" w:hAnsi="Times New Roman" w:cs="Times New Roman"/>
          <w:lang w:val="el-GR"/>
        </w:rPr>
      </w:pPr>
      <w:r w:rsidRPr="000C59D7">
        <w:rPr>
          <w:rFonts w:ascii="Times New Roman" w:hAnsi="Times New Roman" w:cs="Times New Roman"/>
          <w:i/>
          <w:lang w:val="el-GR"/>
        </w:rPr>
        <w:t xml:space="preserve">Ήπια νεφρική δυσλειτουργία (κάθαρση κρεατινίνης 50-80 </w:t>
      </w:r>
      <w:r w:rsidRPr="000C59D7">
        <w:rPr>
          <w:rFonts w:ascii="Times New Roman" w:hAnsi="Times New Roman" w:cs="Times New Roman"/>
          <w:i/>
        </w:rPr>
        <w:t>ml</w:t>
      </w:r>
      <w:r w:rsidRPr="000C59D7">
        <w:rPr>
          <w:rFonts w:ascii="Times New Roman" w:hAnsi="Times New Roman" w:cs="Times New Roman"/>
          <w:i/>
          <w:lang w:val="el-GR"/>
        </w:rPr>
        <w:t>/</w:t>
      </w:r>
      <w:r w:rsidRPr="000C59D7">
        <w:rPr>
          <w:rFonts w:ascii="Times New Roman" w:hAnsi="Times New Roman" w:cs="Times New Roman"/>
          <w:i/>
        </w:rPr>
        <w:t>min</w:t>
      </w:r>
      <w:r w:rsidRPr="000C59D7">
        <w:rPr>
          <w:rFonts w:ascii="Times New Roman" w:hAnsi="Times New Roman" w:cs="Times New Roman"/>
          <w:i/>
          <w:lang w:val="el-GR"/>
        </w:rPr>
        <w:t xml:space="preserve">): </w:t>
      </w:r>
      <w:r w:rsidRPr="000C59D7">
        <w:rPr>
          <w:rFonts w:ascii="Times New Roman" w:hAnsi="Times New Roman" w:cs="Times New Roman"/>
          <w:lang w:val="el-GR"/>
        </w:rPr>
        <w:t>Περιορισμένα δεδομένα</w:t>
      </w:r>
      <w:r w:rsidRPr="000C59D7">
        <w:rPr>
          <w:rFonts w:ascii="Times New Roman" w:hAnsi="Times New Roman" w:cs="Times New Roman"/>
          <w:spacing w:val="-3"/>
          <w:lang w:val="el-GR"/>
        </w:rPr>
        <w:t xml:space="preserve"> </w:t>
      </w:r>
      <w:r w:rsidRPr="000C59D7">
        <w:rPr>
          <w:rFonts w:ascii="Times New Roman" w:hAnsi="Times New Roman" w:cs="Times New Roman"/>
          <w:lang w:val="el-GR"/>
        </w:rPr>
        <w:t xml:space="preserve">από κλινικές μελέτες υποστηρίζουν την εφάπαξ δόση </w:t>
      </w:r>
      <w:r w:rsidR="000C59D7" w:rsidRPr="000C59D7">
        <w:rPr>
          <w:rFonts w:ascii="Times New Roman" w:hAnsi="Times New Roman" w:cs="Times New Roman"/>
          <w:lang w:val="el-GR"/>
        </w:rPr>
        <w:t>εμτρισιταβίνης</w:t>
      </w:r>
      <w:r w:rsidR="00B36F9B">
        <w:rPr>
          <w:rFonts w:ascii="Times New Roman" w:hAnsi="Times New Roman" w:cs="Times New Roman"/>
          <w:lang w:val="el-GR"/>
        </w:rPr>
        <w:t xml:space="preserve"> και </w:t>
      </w:r>
      <w:r w:rsidR="000C59D7" w:rsidRPr="000C59D7">
        <w:rPr>
          <w:rFonts w:ascii="Times New Roman" w:hAnsi="Times New Roman" w:cs="Times New Roman"/>
          <w:lang w:val="el-GR"/>
        </w:rPr>
        <w:t xml:space="preserve">τενοφοβίρης δισοπρόξιλης </w:t>
      </w:r>
      <w:r w:rsidRPr="000C59D7">
        <w:rPr>
          <w:rFonts w:ascii="Times New Roman" w:hAnsi="Times New Roman" w:cs="Times New Roman"/>
          <w:lang w:val="el-GR"/>
        </w:rPr>
        <w:t>ημερησίως σε ασθενείς με ήπια</w:t>
      </w:r>
      <w:r w:rsidRPr="000C59D7">
        <w:rPr>
          <w:rFonts w:ascii="Times New Roman" w:hAnsi="Times New Roman" w:cs="Times New Roman"/>
          <w:spacing w:val="3"/>
          <w:lang w:val="el-GR"/>
        </w:rPr>
        <w:t xml:space="preserve"> </w:t>
      </w:r>
      <w:r w:rsidRPr="000C59D7">
        <w:rPr>
          <w:rFonts w:ascii="Times New Roman" w:hAnsi="Times New Roman" w:cs="Times New Roman"/>
          <w:lang w:val="el-GR"/>
        </w:rPr>
        <w:t>νεφρική δυσλειτουργία (βλ. παράγραφο</w:t>
      </w:r>
      <w:r w:rsidRPr="000C59D7">
        <w:rPr>
          <w:rFonts w:ascii="Times New Roman" w:hAnsi="Times New Roman" w:cs="Times New Roman"/>
          <w:spacing w:val="4"/>
          <w:lang w:val="el-GR"/>
        </w:rPr>
        <w:t xml:space="preserve"> </w:t>
      </w:r>
      <w:r w:rsidRPr="000C59D7">
        <w:rPr>
          <w:rFonts w:ascii="Times New Roman" w:hAnsi="Times New Roman" w:cs="Times New Roman"/>
          <w:lang w:val="el-GR"/>
        </w:rPr>
        <w:t>4.4).</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645378" w:rsidRPr="00AA2F31" w:rsidRDefault="007134E2" w:rsidP="009E32D3">
      <w:pPr>
        <w:pStyle w:val="a3"/>
        <w:tabs>
          <w:tab w:val="left" w:pos="142"/>
        </w:tabs>
        <w:spacing w:line="244" w:lineRule="auto"/>
        <w:ind w:left="0" w:right="-24"/>
        <w:jc w:val="both"/>
        <w:rPr>
          <w:lang w:val="el-GR"/>
        </w:rPr>
      </w:pPr>
      <w:r w:rsidRPr="00AA2F31">
        <w:rPr>
          <w:i/>
          <w:lang w:val="el-GR"/>
        </w:rPr>
        <w:t xml:space="preserve">Μέτρια νεφρική δυσλειτουργία (κάθαρση κρεατινίνης 30-49 </w:t>
      </w:r>
      <w:r>
        <w:rPr>
          <w:i/>
        </w:rPr>
        <w:t>ml</w:t>
      </w:r>
      <w:r w:rsidRPr="00AA2F31">
        <w:rPr>
          <w:i/>
          <w:lang w:val="el-GR"/>
        </w:rPr>
        <w:t>/</w:t>
      </w:r>
      <w:r>
        <w:rPr>
          <w:i/>
        </w:rPr>
        <w:t>min</w:t>
      </w:r>
      <w:r w:rsidRPr="00AA2F31">
        <w:rPr>
          <w:i/>
          <w:lang w:val="el-GR"/>
        </w:rPr>
        <w:t xml:space="preserve">): </w:t>
      </w:r>
      <w:r w:rsidRPr="00AA2F31">
        <w:rPr>
          <w:lang w:val="el-GR"/>
        </w:rPr>
        <w:t>Συνιστάται η χορήγηση</w:t>
      </w:r>
      <w:r w:rsidRPr="00AA2F31">
        <w:rPr>
          <w:spacing w:val="4"/>
          <w:lang w:val="el-GR"/>
        </w:rPr>
        <w:t xml:space="preserve"> </w:t>
      </w:r>
      <w:r w:rsidR="000C59D7" w:rsidRPr="000C59D7">
        <w:rPr>
          <w:rFonts w:cs="Times New Roman"/>
          <w:lang w:val="el-GR"/>
        </w:rPr>
        <w:t>εμτρισιταβίνης</w:t>
      </w:r>
      <w:r w:rsidR="00B36F9B">
        <w:rPr>
          <w:rFonts w:cs="Times New Roman"/>
          <w:lang w:val="el-GR"/>
        </w:rPr>
        <w:t xml:space="preserve"> και </w:t>
      </w:r>
      <w:r w:rsidR="000C59D7" w:rsidRPr="000C59D7">
        <w:rPr>
          <w:rFonts w:cs="Times New Roman"/>
          <w:lang w:val="el-GR"/>
        </w:rPr>
        <w:t>τενοφοβίρης δισοπρόξιλης</w:t>
      </w:r>
      <w:r w:rsidR="000C59D7" w:rsidRPr="000C59D7">
        <w:rPr>
          <w:lang w:val="el-GR"/>
        </w:rPr>
        <w:t xml:space="preserve"> </w:t>
      </w:r>
      <w:r w:rsidRPr="00AA2F31">
        <w:rPr>
          <w:lang w:val="el-GR"/>
        </w:rPr>
        <w:t xml:space="preserve">κάθε 48 ώρες, με βάση τη διαμόρφωση των φαρμακοκινητικών δεδομένων για την </w:t>
      </w:r>
      <w:r w:rsidR="000C59D7" w:rsidRPr="000C59D7">
        <w:rPr>
          <w:rFonts w:cs="Times New Roman"/>
          <w:lang w:val="el-GR"/>
        </w:rPr>
        <w:t>εμτρισιταβίνη</w:t>
      </w:r>
      <w:r w:rsidRPr="00AA2F31">
        <w:rPr>
          <w:spacing w:val="11"/>
          <w:lang w:val="el-GR"/>
        </w:rPr>
        <w:t xml:space="preserve"> </w:t>
      </w:r>
      <w:r w:rsidRPr="00AA2F31">
        <w:rPr>
          <w:lang w:val="el-GR"/>
        </w:rPr>
        <w:t>και τ</w:t>
      </w:r>
      <w:r w:rsidR="000C59D7">
        <w:rPr>
          <w:lang w:val="el-GR"/>
        </w:rPr>
        <w:t>η</w:t>
      </w:r>
      <w:r w:rsidR="00B36F9B">
        <w:rPr>
          <w:lang w:val="el-GR"/>
        </w:rPr>
        <w:t>ν</w:t>
      </w:r>
      <w:r w:rsidR="000C59D7">
        <w:rPr>
          <w:lang w:val="el-GR"/>
        </w:rPr>
        <w:t xml:space="preserve"> τενοφοβίρη δισοπρόξιλη </w:t>
      </w:r>
      <w:r w:rsidRPr="00AA2F31">
        <w:rPr>
          <w:lang w:val="el-GR"/>
        </w:rPr>
        <w:t xml:space="preserve">από τη χορήγηση μονήρους δόσης σε άτομα χωρίς </w:t>
      </w:r>
      <w:r>
        <w:rPr>
          <w:spacing w:val="-2"/>
        </w:rPr>
        <w:t>HIV</w:t>
      </w:r>
      <w:r w:rsidRPr="00AA2F31">
        <w:rPr>
          <w:spacing w:val="-2"/>
          <w:lang w:val="el-GR"/>
        </w:rPr>
        <w:t xml:space="preserve"> </w:t>
      </w:r>
      <w:r w:rsidRPr="00AA2F31">
        <w:rPr>
          <w:lang w:val="el-GR"/>
        </w:rPr>
        <w:t>λοίμωξη</w:t>
      </w:r>
      <w:r w:rsidRPr="00AA2F31">
        <w:rPr>
          <w:spacing w:val="13"/>
          <w:lang w:val="el-GR"/>
        </w:rPr>
        <w:t xml:space="preserve"> </w:t>
      </w:r>
      <w:r w:rsidRPr="00AA2F31">
        <w:rPr>
          <w:lang w:val="el-GR"/>
        </w:rPr>
        <w:t>με διαφορετικό βαθμό νεφρικής δυσλειτουργίας (βλ. παράγραφο</w:t>
      </w:r>
      <w:r w:rsidRPr="00AA2F31">
        <w:rPr>
          <w:spacing w:val="1"/>
          <w:lang w:val="el-GR"/>
        </w:rPr>
        <w:t xml:space="preserve"> </w:t>
      </w:r>
      <w:r w:rsidRPr="00AA2F31">
        <w:rPr>
          <w:lang w:val="el-GR"/>
        </w:rPr>
        <w:t>4.4).</w:t>
      </w:r>
    </w:p>
    <w:p w:rsidR="00645378" w:rsidRPr="00973021" w:rsidRDefault="00645378" w:rsidP="009E32D3">
      <w:pPr>
        <w:tabs>
          <w:tab w:val="left" w:pos="142"/>
        </w:tabs>
        <w:spacing w:before="8"/>
        <w:ind w:right="-24"/>
        <w:rPr>
          <w:rFonts w:ascii="Times New Roman" w:eastAsia="Times New Roman" w:hAnsi="Times New Roman" w:cs="Times New Roman"/>
          <w:lang w:val="el-GR"/>
        </w:rPr>
      </w:pPr>
    </w:p>
    <w:p w:rsidR="00645378" w:rsidRPr="00973021" w:rsidRDefault="007134E2" w:rsidP="00973021">
      <w:pPr>
        <w:tabs>
          <w:tab w:val="left" w:pos="142"/>
        </w:tabs>
        <w:spacing w:line="244" w:lineRule="auto"/>
        <w:ind w:right="-24"/>
        <w:rPr>
          <w:rFonts w:ascii="Times New Roman" w:hAnsi="Times New Roman" w:cs="Times New Roman"/>
          <w:lang w:val="el-GR"/>
        </w:rPr>
      </w:pPr>
      <w:r w:rsidRPr="00973021">
        <w:rPr>
          <w:rFonts w:ascii="Times New Roman" w:hAnsi="Times New Roman" w:cs="Times New Roman"/>
          <w:i/>
          <w:lang w:val="el-GR"/>
        </w:rPr>
        <w:t xml:space="preserve">Σοβαρή νεφρική δυσλειτουργία (κάθαρση κρεατινίνης &lt; 30 </w:t>
      </w:r>
      <w:r w:rsidRPr="00973021">
        <w:rPr>
          <w:rFonts w:ascii="Times New Roman" w:hAnsi="Times New Roman" w:cs="Times New Roman"/>
          <w:i/>
        </w:rPr>
        <w:t>ml</w:t>
      </w:r>
      <w:r w:rsidRPr="00973021">
        <w:rPr>
          <w:rFonts w:ascii="Times New Roman" w:hAnsi="Times New Roman" w:cs="Times New Roman"/>
          <w:i/>
          <w:lang w:val="el-GR"/>
        </w:rPr>
        <w:t>/</w:t>
      </w:r>
      <w:r w:rsidRPr="00973021">
        <w:rPr>
          <w:rFonts w:ascii="Times New Roman" w:hAnsi="Times New Roman" w:cs="Times New Roman"/>
          <w:i/>
        </w:rPr>
        <w:t>min</w:t>
      </w:r>
      <w:r w:rsidRPr="00973021">
        <w:rPr>
          <w:rFonts w:ascii="Times New Roman" w:hAnsi="Times New Roman" w:cs="Times New Roman"/>
          <w:i/>
          <w:lang w:val="el-GR"/>
        </w:rPr>
        <w:t>) και ασθενείς υπό αιμοκάθαρση:</w:t>
      </w:r>
      <w:r w:rsidRPr="00973021">
        <w:rPr>
          <w:rFonts w:ascii="Times New Roman" w:hAnsi="Times New Roman" w:cs="Times New Roman"/>
          <w:i/>
          <w:spacing w:val="-4"/>
          <w:lang w:val="el-GR"/>
        </w:rPr>
        <w:t xml:space="preserve"> </w:t>
      </w:r>
      <w:r w:rsidR="00EB1F3B">
        <w:rPr>
          <w:rFonts w:ascii="Times New Roman" w:hAnsi="Times New Roman" w:cs="Times New Roman"/>
          <w:spacing w:val="-4"/>
          <w:lang w:val="el-GR"/>
        </w:rPr>
        <w:t>Η</w:t>
      </w:r>
      <w:r w:rsidR="00973021" w:rsidRPr="00973021">
        <w:rPr>
          <w:rFonts w:ascii="Times New Roman" w:hAnsi="Times New Roman" w:cs="Times New Roman"/>
          <w:spacing w:val="-4"/>
          <w:lang w:val="el-GR"/>
        </w:rPr>
        <w:t xml:space="preserve"> </w:t>
      </w:r>
      <w:r w:rsidR="00973021" w:rsidRPr="00973021">
        <w:rPr>
          <w:rFonts w:ascii="Times New Roman" w:hAnsi="Times New Roman" w:cs="Times New Roman"/>
          <w:lang w:val="el-GR"/>
        </w:rPr>
        <w:t>εμτρισιταβίνη</w:t>
      </w:r>
      <w:r w:rsidR="00B36F9B">
        <w:rPr>
          <w:rFonts w:ascii="Times New Roman" w:hAnsi="Times New Roman" w:cs="Times New Roman"/>
          <w:lang w:val="el-GR"/>
        </w:rPr>
        <w:t xml:space="preserve"> και </w:t>
      </w:r>
      <w:r w:rsidR="00973021" w:rsidRPr="00973021">
        <w:rPr>
          <w:rFonts w:ascii="Times New Roman" w:hAnsi="Times New Roman" w:cs="Times New Roman"/>
          <w:lang w:val="el-GR"/>
        </w:rPr>
        <w:t xml:space="preserve">τενοφοβίρη δισοπρόξιλη </w:t>
      </w:r>
      <w:r w:rsidRPr="00973021">
        <w:rPr>
          <w:rFonts w:ascii="Times New Roman" w:hAnsi="Times New Roman" w:cs="Times New Roman"/>
          <w:lang w:val="el-GR"/>
        </w:rPr>
        <w:t>δεν ενδείκνυται για ασθενείς με σοβαρή νεφρική δυσλειτουργία (κάθαρση</w:t>
      </w:r>
      <w:r w:rsidRPr="00973021">
        <w:rPr>
          <w:rFonts w:ascii="Times New Roman" w:hAnsi="Times New Roman" w:cs="Times New Roman"/>
          <w:spacing w:val="7"/>
          <w:lang w:val="el-GR"/>
        </w:rPr>
        <w:t xml:space="preserve"> </w:t>
      </w:r>
      <w:r w:rsidRPr="00973021">
        <w:rPr>
          <w:rFonts w:ascii="Times New Roman" w:hAnsi="Times New Roman" w:cs="Times New Roman"/>
          <w:lang w:val="el-GR"/>
        </w:rPr>
        <w:t>κρεατινίνης</w:t>
      </w:r>
      <w:r w:rsidR="00973021" w:rsidRPr="00973021">
        <w:rPr>
          <w:rFonts w:ascii="Times New Roman" w:hAnsi="Times New Roman" w:cs="Times New Roman"/>
          <w:lang w:val="el-GR"/>
        </w:rPr>
        <w:t xml:space="preserve"> </w:t>
      </w:r>
      <w:r w:rsidRPr="00973021">
        <w:rPr>
          <w:rFonts w:ascii="Times New Roman" w:hAnsi="Times New Roman" w:cs="Times New Roman"/>
          <w:lang w:val="el-GR"/>
        </w:rPr>
        <w:t xml:space="preserve">&lt; 30 </w:t>
      </w:r>
      <w:r w:rsidRPr="00973021">
        <w:rPr>
          <w:rFonts w:ascii="Times New Roman" w:hAnsi="Times New Roman" w:cs="Times New Roman"/>
        </w:rPr>
        <w:t>ml</w:t>
      </w:r>
      <w:r w:rsidRPr="00973021">
        <w:rPr>
          <w:rFonts w:ascii="Times New Roman" w:hAnsi="Times New Roman" w:cs="Times New Roman"/>
          <w:lang w:val="el-GR"/>
        </w:rPr>
        <w:t>/</w:t>
      </w:r>
      <w:r w:rsidRPr="00973021">
        <w:rPr>
          <w:rFonts w:ascii="Times New Roman" w:hAnsi="Times New Roman" w:cs="Times New Roman"/>
        </w:rPr>
        <w:t>min</w:t>
      </w:r>
      <w:r w:rsidRPr="00973021">
        <w:rPr>
          <w:rFonts w:ascii="Times New Roman" w:hAnsi="Times New Roman" w:cs="Times New Roman"/>
          <w:lang w:val="el-GR"/>
        </w:rPr>
        <w:t>) και για ασθενείς που χρειάζονται αιμοδιαπίδυση, καθ’ ότι με το δισκίο συνδυασμού</w:t>
      </w:r>
      <w:r w:rsidRPr="00973021">
        <w:rPr>
          <w:rFonts w:ascii="Times New Roman" w:hAnsi="Times New Roman" w:cs="Times New Roman"/>
          <w:spacing w:val="4"/>
          <w:lang w:val="el-GR"/>
        </w:rPr>
        <w:t xml:space="preserve"> </w:t>
      </w:r>
      <w:r w:rsidRPr="00973021">
        <w:rPr>
          <w:rFonts w:ascii="Times New Roman" w:hAnsi="Times New Roman" w:cs="Times New Roman"/>
          <w:lang w:val="el-GR"/>
        </w:rPr>
        <w:t>δεν μπορούν να επιτευχθούν οι κατάλληλες μειώσεις στη</w:t>
      </w:r>
      <w:r w:rsidRPr="00973021">
        <w:rPr>
          <w:rFonts w:ascii="Times New Roman" w:hAnsi="Times New Roman" w:cs="Times New Roman"/>
          <w:spacing w:val="7"/>
          <w:lang w:val="el-GR"/>
        </w:rPr>
        <w:t xml:space="preserve"> </w:t>
      </w:r>
      <w:r w:rsidRPr="00973021">
        <w:rPr>
          <w:rFonts w:ascii="Times New Roman" w:hAnsi="Times New Roman" w:cs="Times New Roman"/>
          <w:lang w:val="el-GR"/>
        </w:rPr>
        <w:t>δόση.</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645378" w:rsidRPr="00AA2F31" w:rsidRDefault="007134E2" w:rsidP="009E32D3">
      <w:pPr>
        <w:pStyle w:val="a3"/>
        <w:tabs>
          <w:tab w:val="left" w:pos="142"/>
        </w:tabs>
        <w:spacing w:line="244" w:lineRule="auto"/>
        <w:ind w:left="0" w:right="-24"/>
        <w:rPr>
          <w:lang w:val="el-GR"/>
        </w:rPr>
      </w:pPr>
      <w:r w:rsidRPr="00AA2F31">
        <w:rPr>
          <w:i/>
          <w:lang w:val="el-GR"/>
        </w:rPr>
        <w:t xml:space="preserve">Ηπατική δυσλειτουργία: </w:t>
      </w:r>
      <w:r w:rsidRPr="00AA2F31">
        <w:rPr>
          <w:lang w:val="el-GR"/>
        </w:rPr>
        <w:t xml:space="preserve">Η φαρμακοκινητική </w:t>
      </w:r>
      <w:r w:rsidR="00B36F9B">
        <w:rPr>
          <w:lang w:val="el-GR"/>
        </w:rPr>
        <w:t>της</w:t>
      </w:r>
      <w:r w:rsidR="00973021" w:rsidRPr="000C59D7">
        <w:rPr>
          <w:rFonts w:cs="Times New Roman"/>
          <w:lang w:val="el-GR"/>
        </w:rPr>
        <w:t xml:space="preserve"> εμτρισιταβίνης</w:t>
      </w:r>
      <w:r w:rsidR="00B36F9B">
        <w:rPr>
          <w:rFonts w:cs="Times New Roman"/>
          <w:lang w:val="el-GR"/>
        </w:rPr>
        <w:t xml:space="preserve"> και </w:t>
      </w:r>
      <w:r w:rsidR="00973021" w:rsidRPr="000C59D7">
        <w:rPr>
          <w:rFonts w:cs="Times New Roman"/>
          <w:lang w:val="el-GR"/>
        </w:rPr>
        <w:t>τενοφοβίρης δισοπρόξιλης</w:t>
      </w:r>
      <w:r w:rsidR="00973021" w:rsidRPr="000C59D7">
        <w:rPr>
          <w:lang w:val="el-GR"/>
        </w:rPr>
        <w:t xml:space="preserve"> </w:t>
      </w:r>
      <w:r w:rsidRPr="00AA2F31">
        <w:rPr>
          <w:lang w:val="el-GR"/>
        </w:rPr>
        <w:t xml:space="preserve">και της </w:t>
      </w:r>
      <w:r w:rsidR="00145E29">
        <w:rPr>
          <w:lang w:val="el-GR"/>
        </w:rPr>
        <w:t>εμτρισιταβίνης</w:t>
      </w:r>
      <w:r w:rsidRPr="00AA2F31">
        <w:rPr>
          <w:lang w:val="el-GR"/>
        </w:rPr>
        <w:t xml:space="preserve"> δεν έχει μελετηθεί</w:t>
      </w:r>
      <w:r w:rsidRPr="00AA2F31">
        <w:rPr>
          <w:spacing w:val="5"/>
          <w:lang w:val="el-GR"/>
        </w:rPr>
        <w:t xml:space="preserve"> </w:t>
      </w:r>
      <w:r w:rsidRPr="00AA2F31">
        <w:rPr>
          <w:lang w:val="el-GR"/>
        </w:rPr>
        <w:t>σε ασθενείς με ηπατική δυσλε</w:t>
      </w:r>
      <w:r w:rsidR="00973021">
        <w:rPr>
          <w:lang w:val="el-GR"/>
        </w:rPr>
        <w:t>ιτουργία. Η φαρμακοκινητική της τενοφοβίρης</w:t>
      </w:r>
      <w:r w:rsidRPr="00AA2F31">
        <w:rPr>
          <w:lang w:val="el-GR"/>
        </w:rPr>
        <w:t xml:space="preserve"> έχει μελετηθεί σε ασθενείς</w:t>
      </w:r>
      <w:r w:rsidRPr="00AA2F31">
        <w:rPr>
          <w:spacing w:val="5"/>
          <w:lang w:val="el-GR"/>
        </w:rPr>
        <w:t xml:space="preserve"> </w:t>
      </w:r>
      <w:r w:rsidRPr="00AA2F31">
        <w:rPr>
          <w:lang w:val="el-GR"/>
        </w:rPr>
        <w:t xml:space="preserve">με ηπατική δυσλειτουργία και δεν απαιτείται αναπροσαρμογή της δόσης </w:t>
      </w:r>
      <w:r w:rsidR="00973021">
        <w:rPr>
          <w:lang w:val="el-GR"/>
        </w:rPr>
        <w:t>της τενοφοβίρης δισοπρόξιλης σε</w:t>
      </w:r>
      <w:r w:rsidRPr="00AA2F31">
        <w:rPr>
          <w:lang w:val="el-GR"/>
        </w:rPr>
        <w:t xml:space="preserve"> αυτούς τους ασθενείς. Με βάση τον ελάχιστο ηπατικό μεταβολισμό της </w:t>
      </w:r>
      <w:r w:rsidR="00973021">
        <w:rPr>
          <w:lang w:val="el-GR"/>
        </w:rPr>
        <w:t>εμτρισιταβίνης</w:t>
      </w:r>
      <w:r w:rsidRPr="00AA2F31">
        <w:rPr>
          <w:spacing w:val="11"/>
          <w:lang w:val="el-GR"/>
        </w:rPr>
        <w:t xml:space="preserve"> </w:t>
      </w:r>
      <w:r w:rsidRPr="00AA2F31">
        <w:rPr>
          <w:lang w:val="el-GR"/>
        </w:rPr>
        <w:t>και τη νεφρική οδό απομάκρυνσής της, δεν είναι πιθανή η ανάγκη αναπροσαρμογής της δόσης</w:t>
      </w:r>
      <w:r w:rsidRPr="00AA2F31">
        <w:rPr>
          <w:spacing w:val="-10"/>
          <w:lang w:val="el-GR"/>
        </w:rPr>
        <w:t xml:space="preserve"> </w:t>
      </w:r>
      <w:r w:rsidR="00EB1F3B">
        <w:rPr>
          <w:lang w:val="el-GR"/>
        </w:rPr>
        <w:t>της</w:t>
      </w:r>
      <w:r w:rsidR="009C45F5" w:rsidRPr="000C59D7">
        <w:rPr>
          <w:rFonts w:cs="Times New Roman"/>
          <w:lang w:val="el-GR"/>
        </w:rPr>
        <w:t xml:space="preserve"> εμτρισιταβίνης</w:t>
      </w:r>
      <w:r w:rsidR="00EB1F3B">
        <w:rPr>
          <w:rFonts w:cs="Times New Roman"/>
          <w:lang w:val="el-GR"/>
        </w:rPr>
        <w:t xml:space="preserve"> και </w:t>
      </w:r>
      <w:r w:rsidR="009C45F5" w:rsidRPr="000C59D7">
        <w:rPr>
          <w:rFonts w:cs="Times New Roman"/>
          <w:lang w:val="el-GR"/>
        </w:rPr>
        <w:t>τενοφοβίρης δισοπρόξιλης</w:t>
      </w:r>
      <w:r w:rsidR="009C45F5" w:rsidRPr="00AA2F31">
        <w:rPr>
          <w:lang w:val="el-GR"/>
        </w:rPr>
        <w:t xml:space="preserve"> </w:t>
      </w:r>
      <w:r w:rsidRPr="00AA2F31">
        <w:rPr>
          <w:lang w:val="el-GR"/>
        </w:rPr>
        <w:t>σε ασθενείς με ηπατική δυσλειτουργία (βλ. παραγράφους 4.4 και</w:t>
      </w:r>
      <w:r w:rsidRPr="00AA2F31">
        <w:rPr>
          <w:spacing w:val="2"/>
          <w:lang w:val="el-GR"/>
        </w:rPr>
        <w:t xml:space="preserve"> </w:t>
      </w:r>
      <w:r w:rsidRPr="00AA2F31">
        <w:rPr>
          <w:lang w:val="el-GR"/>
        </w:rPr>
        <w:t>5.2).</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645378" w:rsidRPr="00AA2F31" w:rsidRDefault="007134E2" w:rsidP="009E32D3">
      <w:pPr>
        <w:pStyle w:val="a3"/>
        <w:tabs>
          <w:tab w:val="left" w:pos="142"/>
        </w:tabs>
        <w:spacing w:line="244" w:lineRule="auto"/>
        <w:ind w:left="0" w:right="-24"/>
        <w:rPr>
          <w:lang w:val="el-GR"/>
        </w:rPr>
      </w:pPr>
      <w:r w:rsidRPr="00AA2F31">
        <w:rPr>
          <w:lang w:val="el-GR"/>
        </w:rPr>
        <w:t xml:space="preserve">Αν </w:t>
      </w:r>
      <w:r w:rsidR="00EB1F3B">
        <w:rPr>
          <w:rFonts w:cs="Times New Roman"/>
          <w:spacing w:val="-4"/>
          <w:lang w:val="el-GR"/>
        </w:rPr>
        <w:t>η</w:t>
      </w:r>
      <w:r w:rsidR="003409A1" w:rsidRPr="00973021">
        <w:rPr>
          <w:rFonts w:cs="Times New Roman"/>
          <w:spacing w:val="-4"/>
          <w:lang w:val="el-GR"/>
        </w:rPr>
        <w:t xml:space="preserve"> </w:t>
      </w:r>
      <w:r w:rsidR="003409A1" w:rsidRPr="00973021">
        <w:rPr>
          <w:rFonts w:cs="Times New Roman"/>
          <w:lang w:val="el-GR"/>
        </w:rPr>
        <w:t>εμτρισιταβίνη</w:t>
      </w:r>
      <w:r w:rsidR="00EB1F3B">
        <w:rPr>
          <w:rFonts w:cs="Times New Roman"/>
          <w:lang w:val="el-GR"/>
        </w:rPr>
        <w:t xml:space="preserve"> και </w:t>
      </w:r>
      <w:r w:rsidR="003409A1" w:rsidRPr="00973021">
        <w:rPr>
          <w:rFonts w:cs="Times New Roman"/>
          <w:lang w:val="el-GR"/>
        </w:rPr>
        <w:t>τενοφοβίρη δισοπρόξιλη</w:t>
      </w:r>
      <w:r w:rsidR="003409A1" w:rsidRPr="00AA2F31">
        <w:rPr>
          <w:lang w:val="el-GR"/>
        </w:rPr>
        <w:t xml:space="preserve"> </w:t>
      </w:r>
      <w:r w:rsidRPr="00AA2F31">
        <w:rPr>
          <w:lang w:val="el-GR"/>
        </w:rPr>
        <w:t xml:space="preserve">διακοπεί σε ασθενείς με συνυπάρχουσα λοίμωξη από τον ιό </w:t>
      </w:r>
      <w:r>
        <w:rPr>
          <w:spacing w:val="-2"/>
        </w:rPr>
        <w:t>HIV</w:t>
      </w:r>
      <w:r w:rsidRPr="00AA2F31">
        <w:rPr>
          <w:spacing w:val="-2"/>
          <w:lang w:val="el-GR"/>
        </w:rPr>
        <w:t xml:space="preserve"> </w:t>
      </w:r>
      <w:r w:rsidRPr="00AA2F31">
        <w:rPr>
          <w:lang w:val="el-GR"/>
        </w:rPr>
        <w:t>και από τον ιό</w:t>
      </w:r>
      <w:r w:rsidRPr="00AA2F31">
        <w:rPr>
          <w:spacing w:val="14"/>
          <w:lang w:val="el-GR"/>
        </w:rPr>
        <w:t xml:space="preserve"> </w:t>
      </w:r>
      <w:r w:rsidR="00722251" w:rsidRPr="004155A8">
        <w:rPr>
          <w:lang w:val="el-GR"/>
        </w:rPr>
        <w:t>της ηπατίτιδας Β (HBV)</w:t>
      </w:r>
      <w:r w:rsidRPr="00AA2F31">
        <w:rPr>
          <w:lang w:val="el-GR"/>
        </w:rPr>
        <w:t>, οι ασθενείς</w:t>
      </w:r>
      <w:r w:rsidRPr="00AA2F31">
        <w:rPr>
          <w:spacing w:val="-1"/>
          <w:lang w:val="el-GR"/>
        </w:rPr>
        <w:t xml:space="preserve"> </w:t>
      </w:r>
      <w:r w:rsidRPr="00AA2F31">
        <w:rPr>
          <w:lang w:val="el-GR"/>
        </w:rPr>
        <w:t>αυτοί πρέπει να</w:t>
      </w:r>
      <w:r w:rsidRPr="00AA2F31">
        <w:rPr>
          <w:spacing w:val="-1"/>
          <w:lang w:val="el-GR"/>
        </w:rPr>
        <w:t xml:space="preserve"> </w:t>
      </w:r>
      <w:r w:rsidRPr="00AA2F31">
        <w:rPr>
          <w:lang w:val="el-GR"/>
        </w:rPr>
        <w:t>παρακολουθούνται στενά</w:t>
      </w:r>
      <w:r w:rsidRPr="00AA2F31">
        <w:rPr>
          <w:spacing w:val="-1"/>
          <w:lang w:val="el-GR"/>
        </w:rPr>
        <w:t xml:space="preserve"> </w:t>
      </w:r>
      <w:r w:rsidRPr="00AA2F31">
        <w:rPr>
          <w:lang w:val="el-GR"/>
        </w:rPr>
        <w:t>για</w:t>
      </w:r>
      <w:r w:rsidRPr="00AA2F31">
        <w:rPr>
          <w:spacing w:val="-1"/>
          <w:lang w:val="el-GR"/>
        </w:rPr>
        <w:t xml:space="preserve"> </w:t>
      </w:r>
      <w:r w:rsidRPr="00AA2F31">
        <w:rPr>
          <w:lang w:val="el-GR"/>
        </w:rPr>
        <w:t>ένδειξη</w:t>
      </w:r>
      <w:r w:rsidRPr="00AA2F31">
        <w:rPr>
          <w:spacing w:val="-1"/>
          <w:lang w:val="el-GR"/>
        </w:rPr>
        <w:t xml:space="preserve"> </w:t>
      </w:r>
      <w:r w:rsidRPr="00AA2F31">
        <w:rPr>
          <w:lang w:val="el-GR"/>
        </w:rPr>
        <w:t>έξαρσης</w:t>
      </w:r>
      <w:r w:rsidRPr="00AA2F31">
        <w:rPr>
          <w:spacing w:val="-1"/>
          <w:lang w:val="el-GR"/>
        </w:rPr>
        <w:t xml:space="preserve"> </w:t>
      </w:r>
      <w:r w:rsidR="00EA4893">
        <w:rPr>
          <w:lang w:val="el-GR"/>
        </w:rPr>
        <w:t xml:space="preserve">της </w:t>
      </w:r>
      <w:r w:rsidRPr="00AA2F31">
        <w:rPr>
          <w:spacing w:val="-52"/>
          <w:lang w:val="el-GR"/>
        </w:rPr>
        <w:t xml:space="preserve"> </w:t>
      </w:r>
      <w:r w:rsidRPr="00AA2F31">
        <w:rPr>
          <w:lang w:val="el-GR"/>
        </w:rPr>
        <w:t>ηπατίτιδας (βλ. παράγραφο</w:t>
      </w:r>
      <w:r w:rsidRPr="00AA2F31">
        <w:rPr>
          <w:spacing w:val="-5"/>
          <w:lang w:val="el-GR"/>
        </w:rPr>
        <w:t xml:space="preserve"> </w:t>
      </w:r>
      <w:r w:rsidRPr="00AA2F31">
        <w:rPr>
          <w:lang w:val="el-GR"/>
        </w:rPr>
        <w:t>4.4).</w:t>
      </w:r>
    </w:p>
    <w:p w:rsidR="00645378" w:rsidRPr="00AA2F31" w:rsidRDefault="00645378" w:rsidP="009E32D3">
      <w:pPr>
        <w:tabs>
          <w:tab w:val="left" w:pos="142"/>
        </w:tabs>
        <w:spacing w:before="8"/>
        <w:ind w:right="-24"/>
        <w:rPr>
          <w:rFonts w:ascii="Times New Roman" w:eastAsia="Times New Roman" w:hAnsi="Times New Roman" w:cs="Times New Roman"/>
          <w:lang w:val="el-GR"/>
        </w:rPr>
      </w:pPr>
    </w:p>
    <w:p w:rsidR="00C8267E" w:rsidRPr="00C8267E" w:rsidRDefault="007134E2" w:rsidP="00C8267E">
      <w:pPr>
        <w:pStyle w:val="a3"/>
        <w:tabs>
          <w:tab w:val="left" w:pos="142"/>
        </w:tabs>
        <w:spacing w:line="244" w:lineRule="auto"/>
        <w:ind w:left="0" w:right="-24"/>
        <w:rPr>
          <w:lang w:val="el-GR"/>
        </w:rPr>
      </w:pPr>
      <w:r w:rsidRPr="00AA2F31">
        <w:rPr>
          <w:i/>
          <w:lang w:val="el-GR"/>
        </w:rPr>
        <w:t xml:space="preserve">Παιδιατρικός πληθυσμός: </w:t>
      </w:r>
      <w:r w:rsidRPr="00AA2F31">
        <w:rPr>
          <w:lang w:val="el-GR"/>
        </w:rPr>
        <w:t xml:space="preserve">Η ασφάλεια και η αποτελεσματικότητα </w:t>
      </w:r>
      <w:r w:rsidR="00EB1F3B">
        <w:rPr>
          <w:lang w:val="el-GR"/>
        </w:rPr>
        <w:t xml:space="preserve">της </w:t>
      </w:r>
      <w:r w:rsidR="003409A1" w:rsidRPr="000C59D7">
        <w:rPr>
          <w:rFonts w:cs="Times New Roman"/>
          <w:lang w:val="el-GR"/>
        </w:rPr>
        <w:t xml:space="preserve"> εμτρισιταβίνης</w:t>
      </w:r>
      <w:r w:rsidR="00EB1F3B">
        <w:rPr>
          <w:rFonts w:cs="Times New Roman"/>
          <w:lang w:val="el-GR"/>
        </w:rPr>
        <w:t xml:space="preserve"> και </w:t>
      </w:r>
      <w:r w:rsidR="003409A1" w:rsidRPr="000C59D7">
        <w:rPr>
          <w:rFonts w:cs="Times New Roman"/>
          <w:lang w:val="el-GR"/>
        </w:rPr>
        <w:lastRenderedPageBreak/>
        <w:t>τενοφοβίρης δισοπρόξιλης</w:t>
      </w:r>
      <w:r w:rsidR="003409A1" w:rsidRPr="00AA2F31">
        <w:rPr>
          <w:lang w:val="el-GR"/>
        </w:rPr>
        <w:t xml:space="preserve"> </w:t>
      </w:r>
      <w:r w:rsidRPr="00AA2F31">
        <w:rPr>
          <w:lang w:val="el-GR"/>
        </w:rPr>
        <w:t>σε παιδιά ηλικίας</w:t>
      </w:r>
      <w:r w:rsidRPr="00AA2F31">
        <w:rPr>
          <w:spacing w:val="-5"/>
          <w:lang w:val="el-GR"/>
        </w:rPr>
        <w:t xml:space="preserve"> </w:t>
      </w:r>
      <w:r w:rsidRPr="00AA2F31">
        <w:rPr>
          <w:lang w:val="el-GR"/>
        </w:rPr>
        <w:t>κάτω των 18 ετών δεν έχουν ακόμα τεκμηριωθεί (βλ. παράγραφο</w:t>
      </w:r>
      <w:r w:rsidRPr="00AA2F31">
        <w:rPr>
          <w:spacing w:val="10"/>
          <w:lang w:val="el-GR"/>
        </w:rPr>
        <w:t xml:space="preserve"> </w:t>
      </w:r>
      <w:r w:rsidRPr="00AA2F31">
        <w:rPr>
          <w:lang w:val="el-GR"/>
        </w:rPr>
        <w:t>5.2).</w:t>
      </w:r>
    </w:p>
    <w:p w:rsidR="00C8267E" w:rsidRPr="00C00C24" w:rsidRDefault="00C8267E" w:rsidP="00C8267E">
      <w:pPr>
        <w:pStyle w:val="a3"/>
        <w:tabs>
          <w:tab w:val="left" w:pos="142"/>
        </w:tabs>
        <w:spacing w:line="244" w:lineRule="auto"/>
        <w:ind w:left="0" w:right="-24"/>
        <w:rPr>
          <w:lang w:val="el-GR"/>
        </w:rPr>
      </w:pPr>
    </w:p>
    <w:p w:rsidR="00645378" w:rsidRPr="00AA2F31" w:rsidRDefault="007134E2" w:rsidP="00C8267E">
      <w:pPr>
        <w:pStyle w:val="a3"/>
        <w:tabs>
          <w:tab w:val="left" w:pos="142"/>
        </w:tabs>
        <w:spacing w:line="244" w:lineRule="auto"/>
        <w:ind w:left="0" w:right="-24"/>
        <w:rPr>
          <w:lang w:val="el-GR"/>
        </w:rPr>
      </w:pPr>
      <w:r w:rsidRPr="00AA2F31">
        <w:rPr>
          <w:u w:val="single" w:color="000000"/>
          <w:lang w:val="el-GR"/>
        </w:rPr>
        <w:t>Τρόπος</w:t>
      </w:r>
      <w:r w:rsidRPr="00AA2F31">
        <w:rPr>
          <w:spacing w:val="1"/>
          <w:u w:val="single" w:color="000000"/>
          <w:lang w:val="el-GR"/>
        </w:rPr>
        <w:t xml:space="preserve"> </w:t>
      </w:r>
      <w:r w:rsidRPr="00AA2F31">
        <w:rPr>
          <w:u w:val="single" w:color="000000"/>
          <w:lang w:val="el-GR"/>
        </w:rPr>
        <w:t>χορήγησης</w:t>
      </w:r>
    </w:p>
    <w:p w:rsidR="00645378" w:rsidRPr="00AA2F31" w:rsidRDefault="007134E2" w:rsidP="009E32D3">
      <w:pPr>
        <w:pStyle w:val="a3"/>
        <w:spacing w:before="6"/>
        <w:ind w:left="0" w:right="-24"/>
        <w:rPr>
          <w:lang w:val="el-GR"/>
        </w:rPr>
      </w:pPr>
      <w:r w:rsidRPr="00AA2F31">
        <w:rPr>
          <w:lang w:val="el-GR"/>
        </w:rPr>
        <w:t xml:space="preserve">Τα δισκία </w:t>
      </w:r>
      <w:r w:rsidR="003464A6">
        <w:t>ARGIODIN</w:t>
      </w:r>
      <w:r w:rsidRPr="00AA2F31">
        <w:rPr>
          <w:lang w:val="el-GR"/>
        </w:rPr>
        <w:t xml:space="preserve"> πρέπει να λαμβάνονται από του στόματος, μία φορά ημερησίως μαζί με</w:t>
      </w:r>
      <w:r w:rsidRPr="00AA2F31">
        <w:rPr>
          <w:spacing w:val="-2"/>
          <w:lang w:val="el-GR"/>
        </w:rPr>
        <w:t xml:space="preserve"> </w:t>
      </w:r>
      <w:r w:rsidRPr="00AA2F31">
        <w:rPr>
          <w:lang w:val="el-GR"/>
        </w:rPr>
        <w:t>τροφή.</w:t>
      </w:r>
    </w:p>
    <w:p w:rsidR="00645378" w:rsidRPr="00AA2F31" w:rsidRDefault="00645378" w:rsidP="009E32D3">
      <w:pPr>
        <w:spacing w:before="1"/>
        <w:ind w:right="-24"/>
        <w:rPr>
          <w:rFonts w:ascii="Times New Roman" w:eastAsia="Times New Roman" w:hAnsi="Times New Roman" w:cs="Times New Roman"/>
          <w:sz w:val="23"/>
          <w:szCs w:val="23"/>
          <w:lang w:val="el-GR"/>
        </w:rPr>
      </w:pPr>
    </w:p>
    <w:p w:rsidR="00645378" w:rsidRPr="00AA2F31" w:rsidRDefault="007134E2" w:rsidP="009E32D3">
      <w:pPr>
        <w:pStyle w:val="a3"/>
        <w:spacing w:line="244" w:lineRule="auto"/>
        <w:ind w:left="0" w:right="-24"/>
        <w:rPr>
          <w:lang w:val="el-GR"/>
        </w:rPr>
      </w:pPr>
      <w:r w:rsidRPr="00AA2F31">
        <w:rPr>
          <w:lang w:val="el-GR"/>
        </w:rPr>
        <w:t xml:space="preserve">Αν οι ασθενείς παρουσιάζουν δυσκολία στην κατάποση, το </w:t>
      </w:r>
      <w:r w:rsidR="003464A6">
        <w:t>ARGIODIN</w:t>
      </w:r>
      <w:r w:rsidRPr="00AA2F31">
        <w:rPr>
          <w:lang w:val="el-GR"/>
        </w:rPr>
        <w:t xml:space="preserve"> μπορεί να διαλυθεί σε</w:t>
      </w:r>
      <w:r w:rsidRPr="00AA2F31">
        <w:rPr>
          <w:spacing w:val="4"/>
          <w:lang w:val="el-GR"/>
        </w:rPr>
        <w:t xml:space="preserve"> </w:t>
      </w:r>
      <w:r w:rsidR="00FF0997">
        <w:rPr>
          <w:spacing w:val="4"/>
          <w:lang w:val="el-GR"/>
        </w:rPr>
        <w:t>τουλάχιστον</w:t>
      </w:r>
      <w:r w:rsidRPr="00AA2F31">
        <w:rPr>
          <w:lang w:val="el-GR"/>
        </w:rPr>
        <w:t xml:space="preserve"> 100 </w:t>
      </w:r>
      <w:r>
        <w:t>ml</w:t>
      </w:r>
      <w:r w:rsidRPr="00AA2F31">
        <w:rPr>
          <w:lang w:val="el-GR"/>
        </w:rPr>
        <w:t xml:space="preserve"> ύδατος, χυμού πορτοκαλιού ή σταφυλιού και να ληφθεί</w:t>
      </w:r>
      <w:r w:rsidRPr="00AA2F31">
        <w:rPr>
          <w:spacing w:val="3"/>
          <w:lang w:val="el-GR"/>
        </w:rPr>
        <w:t xml:space="preserve"> </w:t>
      </w:r>
      <w:r w:rsidRPr="00AA2F31">
        <w:rPr>
          <w:lang w:val="el-GR"/>
        </w:rPr>
        <w:t>αμέσως.</w:t>
      </w:r>
    </w:p>
    <w:p w:rsidR="00645378" w:rsidRPr="00AA2F31" w:rsidRDefault="00645378" w:rsidP="009E32D3">
      <w:pPr>
        <w:spacing w:before="1"/>
        <w:ind w:right="-24"/>
        <w:rPr>
          <w:rFonts w:ascii="Times New Roman" w:eastAsia="Times New Roman" w:hAnsi="Times New Roman" w:cs="Times New Roman"/>
          <w:sz w:val="23"/>
          <w:szCs w:val="23"/>
          <w:lang w:val="el-GR"/>
        </w:rPr>
      </w:pPr>
    </w:p>
    <w:p w:rsidR="00645378" w:rsidRDefault="007134E2" w:rsidP="009E32D3">
      <w:pPr>
        <w:pStyle w:val="1"/>
        <w:numPr>
          <w:ilvl w:val="1"/>
          <w:numId w:val="5"/>
        </w:numPr>
        <w:tabs>
          <w:tab w:val="left" w:pos="685"/>
        </w:tabs>
        <w:ind w:left="0" w:right="-24" w:firstLine="0"/>
        <w:rPr>
          <w:b w:val="0"/>
          <w:bCs w:val="0"/>
        </w:rPr>
      </w:pPr>
      <w:r>
        <w:t>Αντενδείξεις</w:t>
      </w:r>
    </w:p>
    <w:p w:rsidR="00645378" w:rsidRDefault="00645378" w:rsidP="009E32D3">
      <w:pPr>
        <w:spacing w:before="8"/>
        <w:ind w:right="-24"/>
        <w:rPr>
          <w:rFonts w:ascii="Times New Roman" w:eastAsia="Times New Roman" w:hAnsi="Times New Roman" w:cs="Times New Roman"/>
          <w:b/>
          <w:bCs/>
        </w:rPr>
      </w:pPr>
    </w:p>
    <w:p w:rsidR="00645378" w:rsidRPr="00AA2F31" w:rsidRDefault="007134E2" w:rsidP="009E32D3">
      <w:pPr>
        <w:pStyle w:val="a3"/>
        <w:spacing w:line="244" w:lineRule="auto"/>
        <w:ind w:left="0" w:right="-24"/>
        <w:rPr>
          <w:lang w:val="el-GR"/>
        </w:rPr>
      </w:pPr>
      <w:r w:rsidRPr="00AA2F31">
        <w:rPr>
          <w:lang w:val="el-GR"/>
        </w:rPr>
        <w:t>Υπερευαισθησία στις δραστικές ουσίες ή σε κάποιο από τα έκδοχα που αναφέρονται</w:t>
      </w:r>
      <w:r w:rsidRPr="00AA2F31">
        <w:rPr>
          <w:spacing w:val="-2"/>
          <w:lang w:val="el-GR"/>
        </w:rPr>
        <w:t xml:space="preserve"> </w:t>
      </w:r>
      <w:r w:rsidRPr="00AA2F31">
        <w:rPr>
          <w:lang w:val="el-GR"/>
        </w:rPr>
        <w:t>στην παράγραφο</w:t>
      </w:r>
      <w:r w:rsidRPr="00AA2F31">
        <w:rPr>
          <w:spacing w:val="-3"/>
          <w:lang w:val="el-GR"/>
        </w:rPr>
        <w:t xml:space="preserve"> </w:t>
      </w:r>
      <w:r w:rsidRPr="00AA2F31">
        <w:rPr>
          <w:lang w:val="el-GR"/>
        </w:rPr>
        <w:t>6.1.</w:t>
      </w:r>
    </w:p>
    <w:p w:rsidR="00645378" w:rsidRPr="00AA2F31" w:rsidRDefault="00645378" w:rsidP="009E32D3">
      <w:pPr>
        <w:spacing w:before="1"/>
        <w:ind w:right="-24"/>
        <w:rPr>
          <w:rFonts w:ascii="Times New Roman" w:eastAsia="Times New Roman" w:hAnsi="Times New Roman" w:cs="Times New Roman"/>
          <w:sz w:val="23"/>
          <w:szCs w:val="23"/>
          <w:lang w:val="el-GR"/>
        </w:rPr>
      </w:pPr>
    </w:p>
    <w:p w:rsidR="00645378" w:rsidRPr="00AA2F31" w:rsidRDefault="007134E2" w:rsidP="009E32D3">
      <w:pPr>
        <w:pStyle w:val="1"/>
        <w:numPr>
          <w:ilvl w:val="1"/>
          <w:numId w:val="5"/>
        </w:numPr>
        <w:tabs>
          <w:tab w:val="left" w:pos="685"/>
        </w:tabs>
        <w:ind w:left="0" w:right="-24" w:firstLine="0"/>
        <w:rPr>
          <w:b w:val="0"/>
          <w:bCs w:val="0"/>
          <w:lang w:val="el-GR"/>
        </w:rPr>
      </w:pPr>
      <w:r w:rsidRPr="00AA2F31">
        <w:rPr>
          <w:lang w:val="el-GR"/>
        </w:rPr>
        <w:t>Ειδικές προειδοποιήσεις και προφυλάξεις κατά τη</w:t>
      </w:r>
      <w:r w:rsidRPr="00AA2F31">
        <w:rPr>
          <w:spacing w:val="-2"/>
          <w:lang w:val="el-GR"/>
        </w:rPr>
        <w:t xml:space="preserve"> </w:t>
      </w:r>
      <w:r w:rsidRPr="00AA2F31">
        <w:rPr>
          <w:lang w:val="el-GR"/>
        </w:rPr>
        <w:t>χρήση</w:t>
      </w:r>
    </w:p>
    <w:p w:rsidR="00645378" w:rsidRPr="00AA2F31" w:rsidRDefault="00645378" w:rsidP="009E32D3">
      <w:pPr>
        <w:spacing w:before="7"/>
        <w:ind w:right="-24"/>
        <w:rPr>
          <w:rFonts w:ascii="Times New Roman" w:eastAsia="Times New Roman" w:hAnsi="Times New Roman" w:cs="Times New Roman"/>
          <w:b/>
          <w:bCs/>
          <w:lang w:val="el-GR"/>
        </w:rPr>
      </w:pPr>
    </w:p>
    <w:p w:rsidR="00645378" w:rsidRDefault="007134E2" w:rsidP="009E32D3">
      <w:pPr>
        <w:pStyle w:val="a3"/>
        <w:ind w:left="0" w:right="-24"/>
        <w:rPr>
          <w:u w:val="single" w:color="000000"/>
          <w:lang w:val="el-GR"/>
        </w:rPr>
      </w:pPr>
      <w:r w:rsidRPr="00AA2F31">
        <w:rPr>
          <w:u w:val="single" w:color="000000"/>
          <w:lang w:val="el-GR"/>
        </w:rPr>
        <w:t>Συγχορήγηση άλλων φαρμακευτικών</w:t>
      </w:r>
      <w:r w:rsidRPr="00AA2F31">
        <w:rPr>
          <w:spacing w:val="8"/>
          <w:u w:val="single" w:color="000000"/>
          <w:lang w:val="el-GR"/>
        </w:rPr>
        <w:t xml:space="preserve"> </w:t>
      </w:r>
      <w:r w:rsidRPr="00AA2F31">
        <w:rPr>
          <w:u w:val="single" w:color="000000"/>
          <w:lang w:val="el-GR"/>
        </w:rPr>
        <w:t>προϊόντων</w:t>
      </w:r>
    </w:p>
    <w:p w:rsidR="00FF0997" w:rsidRPr="00AA2F31" w:rsidRDefault="00FF0997" w:rsidP="009E32D3">
      <w:pPr>
        <w:pStyle w:val="a3"/>
        <w:ind w:left="0" w:right="-24"/>
        <w:rPr>
          <w:lang w:val="el-GR"/>
        </w:rPr>
      </w:pPr>
    </w:p>
    <w:p w:rsidR="00645378" w:rsidRPr="00AA2F31" w:rsidRDefault="007134E2" w:rsidP="009E32D3">
      <w:pPr>
        <w:pStyle w:val="a3"/>
        <w:spacing w:before="6" w:line="244" w:lineRule="auto"/>
        <w:ind w:left="0" w:right="-24"/>
        <w:rPr>
          <w:lang w:val="el-GR"/>
        </w:rPr>
      </w:pPr>
      <w:r w:rsidRPr="00AA2F31">
        <w:rPr>
          <w:lang w:val="el-GR"/>
        </w:rPr>
        <w:t xml:space="preserve">Το </w:t>
      </w:r>
      <w:r w:rsidR="003464A6">
        <w:t>ARGIODIN</w:t>
      </w:r>
      <w:r w:rsidRPr="00AA2F31">
        <w:rPr>
          <w:lang w:val="el-GR"/>
        </w:rPr>
        <w:t xml:space="preserve"> δεν πρέπει να συγχορηγείται με άλλα φαρμακευτικά προϊόντα που περιέχουν</w:t>
      </w:r>
      <w:r w:rsidRPr="00AA2F31">
        <w:rPr>
          <w:spacing w:val="-48"/>
          <w:lang w:val="el-GR"/>
        </w:rPr>
        <w:t xml:space="preserve"> </w:t>
      </w:r>
      <w:r w:rsidR="00D46AC7">
        <w:rPr>
          <w:lang w:val="el-GR"/>
        </w:rPr>
        <w:t>εμτρισιταβίνη</w:t>
      </w:r>
      <w:r w:rsidRPr="00AA2F31">
        <w:rPr>
          <w:lang w:val="el-GR"/>
        </w:rPr>
        <w:t>,</w:t>
      </w:r>
      <w:r w:rsidR="00D46AC7">
        <w:rPr>
          <w:lang w:val="el-GR"/>
        </w:rPr>
        <w:t xml:space="preserve"> τενοφοβίρη δισοπρόξιλη</w:t>
      </w:r>
      <w:r w:rsidRPr="00AA2F31">
        <w:rPr>
          <w:lang w:val="el-GR"/>
        </w:rPr>
        <w:t xml:space="preserve"> ή άλλα ανάλογα κυτιδίνης, όπως </w:t>
      </w:r>
      <w:r w:rsidR="00F36DB7">
        <w:rPr>
          <w:lang w:val="el-GR"/>
        </w:rPr>
        <w:t>η λαμιβουδίνη</w:t>
      </w:r>
      <w:r w:rsidR="00A72179" w:rsidRPr="00AA2F31">
        <w:rPr>
          <w:spacing w:val="15"/>
          <w:lang w:val="el-GR"/>
        </w:rPr>
        <w:t xml:space="preserve"> </w:t>
      </w:r>
      <w:r w:rsidRPr="00AA2F31">
        <w:rPr>
          <w:lang w:val="el-GR"/>
        </w:rPr>
        <w:t xml:space="preserve">(βλ. παράγραφο 4.5). Το </w:t>
      </w:r>
      <w:r w:rsidR="003464A6">
        <w:t>ARGIODIN</w:t>
      </w:r>
      <w:r w:rsidRPr="00AA2F31">
        <w:rPr>
          <w:lang w:val="el-GR"/>
        </w:rPr>
        <w:t xml:space="preserve"> δεν πρέπει να συγχορηγείται με </w:t>
      </w:r>
      <w:r w:rsidR="00F36DB7" w:rsidRPr="00F36DB7">
        <w:rPr>
          <w:lang w:val="el-GR"/>
        </w:rPr>
        <w:t>αδεφοβίρη διπιβοξίλη</w:t>
      </w:r>
      <w:r w:rsidR="00D46AC7">
        <w:rPr>
          <w:lang w:val="el-GR"/>
        </w:rPr>
        <w:t>.</w:t>
      </w:r>
    </w:p>
    <w:p w:rsidR="00645378" w:rsidRPr="00AA2F31" w:rsidRDefault="00645378" w:rsidP="009E32D3">
      <w:pPr>
        <w:spacing w:before="8"/>
        <w:ind w:right="-24"/>
        <w:rPr>
          <w:rFonts w:ascii="Times New Roman" w:eastAsia="Times New Roman" w:hAnsi="Times New Roman" w:cs="Times New Roman"/>
          <w:lang w:val="el-GR"/>
        </w:rPr>
      </w:pPr>
    </w:p>
    <w:p w:rsidR="00645378" w:rsidRPr="00F36DB7" w:rsidRDefault="007134E2" w:rsidP="00F36DB7">
      <w:pPr>
        <w:rPr>
          <w:rFonts w:ascii="Times New Roman" w:hAnsi="Times New Roman" w:cs="Times New Roman"/>
          <w:lang w:val="el-GR"/>
        </w:rPr>
      </w:pPr>
      <w:r w:rsidRPr="00F36DB7">
        <w:rPr>
          <w:rFonts w:ascii="Times New Roman" w:hAnsi="Times New Roman" w:cs="Times New Roman"/>
          <w:i/>
          <w:lang w:val="el-GR"/>
        </w:rPr>
        <w:t xml:space="preserve">Συγχορήγηση </w:t>
      </w:r>
      <w:r w:rsidR="00D46AC7" w:rsidRPr="00F36DB7">
        <w:rPr>
          <w:rFonts w:ascii="Times New Roman" w:hAnsi="Times New Roman" w:cs="Times New Roman"/>
          <w:i/>
          <w:lang w:val="el-GR"/>
        </w:rPr>
        <w:t>της τενοφοβίρης δισοπρόξιλης</w:t>
      </w:r>
      <w:r w:rsidRPr="00F36DB7">
        <w:rPr>
          <w:rFonts w:ascii="Times New Roman" w:hAnsi="Times New Roman" w:cs="Times New Roman"/>
          <w:i/>
          <w:lang w:val="el-GR"/>
        </w:rPr>
        <w:t xml:space="preserve"> με </w:t>
      </w:r>
      <w:r w:rsidR="00F36DB7" w:rsidRPr="00F36DB7">
        <w:rPr>
          <w:rFonts w:ascii="Times New Roman" w:hAnsi="Times New Roman" w:cs="Times New Roman"/>
          <w:i/>
          <w:lang w:val="el-GR"/>
        </w:rPr>
        <w:t>διδανοσίνη</w:t>
      </w:r>
      <w:r w:rsidRPr="00F36DB7">
        <w:rPr>
          <w:rFonts w:ascii="Times New Roman" w:hAnsi="Times New Roman" w:cs="Times New Roman"/>
          <w:i/>
          <w:lang w:val="el-GR"/>
        </w:rPr>
        <w:t xml:space="preserve">: </w:t>
      </w:r>
      <w:r w:rsidRPr="00F36DB7">
        <w:rPr>
          <w:rFonts w:ascii="Times New Roman" w:hAnsi="Times New Roman" w:cs="Times New Roman"/>
          <w:lang w:val="el-GR"/>
        </w:rPr>
        <w:t>Δεν συνιστάται. Η συγχορήγηση</w:t>
      </w:r>
      <w:r w:rsidRPr="00F36DB7">
        <w:rPr>
          <w:rFonts w:ascii="Times New Roman" w:hAnsi="Times New Roman" w:cs="Times New Roman"/>
          <w:spacing w:val="-32"/>
          <w:lang w:val="el-GR"/>
        </w:rPr>
        <w:t xml:space="preserve"> </w:t>
      </w:r>
      <w:r w:rsidR="00D46AC7" w:rsidRPr="00F36DB7">
        <w:rPr>
          <w:rFonts w:ascii="Times New Roman" w:hAnsi="Times New Roman" w:cs="Times New Roman"/>
          <w:lang w:val="el-GR"/>
        </w:rPr>
        <w:t>τενοφοβίρης δισοπρόξιλης</w:t>
      </w:r>
      <w:r w:rsidRPr="00F36DB7">
        <w:rPr>
          <w:rFonts w:ascii="Times New Roman" w:hAnsi="Times New Roman" w:cs="Times New Roman"/>
          <w:lang w:val="el-GR"/>
        </w:rPr>
        <w:t xml:space="preserve"> με </w:t>
      </w:r>
      <w:r w:rsidR="00F36DB7" w:rsidRPr="00F36DB7">
        <w:rPr>
          <w:rFonts w:ascii="Times New Roman" w:hAnsi="Times New Roman" w:cs="Times New Roman"/>
          <w:lang w:val="el-GR"/>
        </w:rPr>
        <w:t xml:space="preserve">διδανοσίνη οδηγεί σε κατά 40-60% αυξημένη συστηματική έκθεση στη διδανοσίνη, που μπορεί να αυξήσει τον κίνδυνο ανεπιθύμητων ενεργειών συσχετιζόμενων με τη διδανοσίνη (βλ. παράγραφο 4.5). Σπάνια, έχουν αναφερθεί παγκρεατίτιδα και γαλακτική οξέωση, ενίοτε μοιραία. Η συγχορήγηση της τενοφοβίρης δισοπρόξιλης με διδανοσίνη σε δόση 400 </w:t>
      </w:r>
      <w:r w:rsidR="00F36DB7" w:rsidRPr="00F36DB7">
        <w:rPr>
          <w:rFonts w:ascii="Times New Roman" w:hAnsi="Times New Roman" w:cs="Times New Roman"/>
        </w:rPr>
        <w:t>mg</w:t>
      </w:r>
      <w:r w:rsidR="00F36DB7" w:rsidRPr="00F36DB7">
        <w:rPr>
          <w:rFonts w:ascii="Times New Roman" w:hAnsi="Times New Roman" w:cs="Times New Roman"/>
          <w:lang w:val="el-GR"/>
        </w:rPr>
        <w:t xml:space="preserve"> ημερησίως συσχετίστηκε με σημαντική μείωση του αριθμού κυττάρων </w:t>
      </w:r>
      <w:r w:rsidR="00F36DB7" w:rsidRPr="00F36DB7">
        <w:rPr>
          <w:rFonts w:ascii="Times New Roman" w:hAnsi="Times New Roman" w:cs="Times New Roman"/>
        </w:rPr>
        <w:t>CD</w:t>
      </w:r>
      <w:r w:rsidR="00F36DB7" w:rsidRPr="00F36DB7">
        <w:rPr>
          <w:rFonts w:ascii="Times New Roman" w:hAnsi="Times New Roman" w:cs="Times New Roman"/>
          <w:lang w:val="el-GR"/>
        </w:rPr>
        <w:t xml:space="preserve">4, πιθανώς λόγω ενδοκυττάριας αλληλεπίδρασης εξ αιτίας της οποίας αυξήθηκε η φωσφορυλιωμένη (δηλ. η δραστική) διδανοσίνη. Μειωμένη δόση 250 </w:t>
      </w:r>
      <w:r w:rsidR="00F36DB7" w:rsidRPr="00F36DB7">
        <w:rPr>
          <w:rFonts w:ascii="Times New Roman" w:hAnsi="Times New Roman" w:cs="Times New Roman"/>
        </w:rPr>
        <w:t>mg</w:t>
      </w:r>
      <w:r w:rsidR="00F36DB7" w:rsidRPr="00F36DB7">
        <w:rPr>
          <w:rFonts w:ascii="Times New Roman" w:hAnsi="Times New Roman" w:cs="Times New Roman"/>
          <w:lang w:val="el-GR"/>
        </w:rPr>
        <w:t xml:space="preserve"> διδανοσίνης συγχορηγούμενης με θεραπεία με τενοφοβίρη δισοπρόξιλη συσχετίστηκε με αναφορές υψηλού ποσοστού ιολογικής αποτυχίας με τους διάφορους συνδυασμούς που δοκιμάστηκαν. </w:t>
      </w:r>
    </w:p>
    <w:p w:rsidR="00645378" w:rsidRPr="00AA2F31" w:rsidRDefault="00645378" w:rsidP="009E32D3">
      <w:pPr>
        <w:spacing w:before="7"/>
        <w:ind w:right="36"/>
        <w:rPr>
          <w:rFonts w:ascii="Times New Roman" w:eastAsia="Times New Roman" w:hAnsi="Times New Roman" w:cs="Times New Roman"/>
          <w:lang w:val="el-GR"/>
        </w:rPr>
      </w:pPr>
    </w:p>
    <w:p w:rsidR="00645378" w:rsidRPr="00AA2F31" w:rsidRDefault="007134E2" w:rsidP="009E32D3">
      <w:pPr>
        <w:pStyle w:val="a3"/>
        <w:ind w:left="0" w:right="36"/>
        <w:rPr>
          <w:lang w:val="el-GR"/>
        </w:rPr>
      </w:pPr>
      <w:r w:rsidRPr="00AA2F31">
        <w:rPr>
          <w:u w:val="single" w:color="000000"/>
          <w:lang w:val="el-GR"/>
        </w:rPr>
        <w:t>Αγωγή τριπλού συνδυασμού</w:t>
      </w:r>
      <w:r w:rsidRPr="00AA2F31">
        <w:rPr>
          <w:spacing w:val="11"/>
          <w:u w:val="single" w:color="000000"/>
          <w:lang w:val="el-GR"/>
        </w:rPr>
        <w:t xml:space="preserve"> </w:t>
      </w:r>
      <w:r w:rsidRPr="00AA2F31">
        <w:rPr>
          <w:u w:val="single" w:color="000000"/>
          <w:lang w:val="el-GR"/>
        </w:rPr>
        <w:t>νουκλεοσιδίων</w:t>
      </w:r>
    </w:p>
    <w:p w:rsidR="00645378" w:rsidRPr="009E32D3" w:rsidRDefault="00F36DB7" w:rsidP="009E32D3">
      <w:pPr>
        <w:pStyle w:val="a3"/>
        <w:spacing w:before="6" w:line="244" w:lineRule="auto"/>
        <w:ind w:left="0" w:right="36"/>
        <w:rPr>
          <w:lang w:val="el-GR"/>
        </w:rPr>
      </w:pPr>
      <w:r w:rsidRPr="00F36DB7">
        <w:rPr>
          <w:lang w:val="el-GR"/>
        </w:rPr>
        <w:t>Έχουν υπάρξει αναφορές με υψηλό ποσοστό ιολογικής αποτυχίας και ανάπτυξης αντοχής σε πρώιμο στάδιο, όταν η τενοφοβίρη δισοπρόξιλη συνδυάστηκε με λαμιβουδίνη και αβακαβίρη, όπως επίσης και με λαμιβουδίνη και διδανοσίνη ως θεραπευτικό σχήμα εφ’ άπαξ ημερησίως. Υπάρχει στενή ομοιότητα από πλευράς δομής μεταξύ λαμιβουδίνης και εμτρισιταβίνης ως επίσης και φαρμακοκινητικές και φαρμακοδυναμικές ομοιότητες μεταξύ αυτών των δύο φαρμάκων. Επομένως, μπορεί να παρατηρηθούν τα ίδια προβλήματα, αν ο συνδυασμός της εμτρισιταβίνης και της τενοφοβίρης δισοπρόξιλης χορηγηθεί με ένα τρίτο νουκλεοσιδικό ανάλογο.</w:t>
      </w:r>
    </w:p>
    <w:p w:rsidR="00645378" w:rsidRPr="009E32D3" w:rsidRDefault="00645378" w:rsidP="009E32D3">
      <w:pPr>
        <w:spacing w:before="7"/>
        <w:ind w:right="36"/>
        <w:rPr>
          <w:rFonts w:ascii="Times New Roman" w:eastAsia="Times New Roman" w:hAnsi="Times New Roman" w:cs="Times New Roman"/>
          <w:lang w:val="el-GR"/>
        </w:rPr>
      </w:pPr>
    </w:p>
    <w:p w:rsidR="00645378" w:rsidRPr="00CF242F" w:rsidRDefault="007134E2" w:rsidP="009E32D3">
      <w:pPr>
        <w:pStyle w:val="a3"/>
        <w:ind w:left="0" w:right="36"/>
        <w:rPr>
          <w:color w:val="000000" w:themeColor="text1"/>
          <w:lang w:val="el-GR"/>
        </w:rPr>
      </w:pPr>
      <w:r w:rsidRPr="00CF242F">
        <w:rPr>
          <w:color w:val="000000" w:themeColor="text1"/>
          <w:u w:val="single" w:color="000000"/>
          <w:lang w:val="el-GR"/>
        </w:rPr>
        <w:t>Ευκαιριακές</w:t>
      </w:r>
      <w:r w:rsidRPr="00CF242F">
        <w:rPr>
          <w:color w:val="000000" w:themeColor="text1"/>
          <w:spacing w:val="1"/>
          <w:u w:val="single" w:color="000000"/>
          <w:lang w:val="el-GR"/>
        </w:rPr>
        <w:t xml:space="preserve"> </w:t>
      </w:r>
      <w:r w:rsidRPr="00CF242F">
        <w:rPr>
          <w:color w:val="000000" w:themeColor="text1"/>
          <w:u w:val="single" w:color="000000"/>
          <w:lang w:val="el-GR"/>
        </w:rPr>
        <w:t>λοιμώξεις</w:t>
      </w:r>
    </w:p>
    <w:p w:rsidR="00645378" w:rsidRPr="00CF242F" w:rsidRDefault="007134E2" w:rsidP="009E32D3">
      <w:pPr>
        <w:pStyle w:val="a3"/>
        <w:spacing w:before="6" w:line="244" w:lineRule="auto"/>
        <w:ind w:left="0" w:right="36"/>
        <w:rPr>
          <w:color w:val="000000" w:themeColor="text1"/>
          <w:lang w:val="el-GR"/>
        </w:rPr>
      </w:pPr>
      <w:r w:rsidRPr="00CF242F">
        <w:rPr>
          <w:color w:val="000000" w:themeColor="text1"/>
          <w:lang w:val="el-GR"/>
        </w:rPr>
        <w:t xml:space="preserve">Ασθενείς οι οποίοι ελάμβαναν </w:t>
      </w:r>
      <w:r w:rsidR="00CF242F" w:rsidRPr="00CF242F">
        <w:rPr>
          <w:rFonts w:cs="Times New Roman"/>
          <w:color w:val="000000" w:themeColor="text1"/>
          <w:lang w:val="el-GR"/>
        </w:rPr>
        <w:t>εμτρισιταβίνη</w:t>
      </w:r>
      <w:r w:rsidR="00D43E9B">
        <w:rPr>
          <w:rFonts w:cs="Times New Roman"/>
          <w:color w:val="000000" w:themeColor="text1"/>
          <w:lang w:val="el-GR"/>
        </w:rPr>
        <w:t xml:space="preserve"> και </w:t>
      </w:r>
      <w:r w:rsidR="00CF242F" w:rsidRPr="00CF242F">
        <w:rPr>
          <w:rFonts w:cs="Times New Roman"/>
          <w:color w:val="000000" w:themeColor="text1"/>
          <w:lang w:val="el-GR"/>
        </w:rPr>
        <w:t xml:space="preserve">τενοφοβίρη δισοπρόξιλη ή οποιαδήποτε άλλη </w:t>
      </w:r>
      <w:r w:rsidR="00CF242F" w:rsidRPr="00CF242F">
        <w:rPr>
          <w:color w:val="000000" w:themeColor="text1"/>
          <w:lang w:val="el-GR"/>
        </w:rPr>
        <w:t>αντιρετροϊκή αγωγή</w:t>
      </w:r>
      <w:r w:rsidRPr="00CF242F">
        <w:rPr>
          <w:color w:val="000000" w:themeColor="text1"/>
          <w:lang w:val="el-GR"/>
        </w:rPr>
        <w:t xml:space="preserve"> μπορεί να εξακολουθήσουν να αναπτύσσουν ευκαιριακές</w:t>
      </w:r>
      <w:r w:rsidRPr="00CF242F">
        <w:rPr>
          <w:color w:val="000000" w:themeColor="text1"/>
          <w:spacing w:val="-41"/>
          <w:lang w:val="el-GR"/>
        </w:rPr>
        <w:t xml:space="preserve"> </w:t>
      </w:r>
      <w:r w:rsidRPr="00CF242F">
        <w:rPr>
          <w:color w:val="000000" w:themeColor="text1"/>
          <w:lang w:val="el-GR"/>
        </w:rPr>
        <w:t xml:space="preserve">λοιμώξεις και άλλες επιπλοκές της </w:t>
      </w:r>
      <w:r w:rsidRPr="00CF242F">
        <w:rPr>
          <w:color w:val="000000" w:themeColor="text1"/>
          <w:spacing w:val="-2"/>
        </w:rPr>
        <w:t>HIV</w:t>
      </w:r>
      <w:r w:rsidRPr="00CF242F">
        <w:rPr>
          <w:color w:val="000000" w:themeColor="text1"/>
          <w:spacing w:val="-2"/>
          <w:lang w:val="el-GR"/>
        </w:rPr>
        <w:t xml:space="preserve"> </w:t>
      </w:r>
      <w:r w:rsidRPr="00CF242F">
        <w:rPr>
          <w:color w:val="000000" w:themeColor="text1"/>
          <w:lang w:val="el-GR"/>
        </w:rPr>
        <w:t>λοίμωξης και συνεπώς πρέπει να παραμένουν υπό στενή</w:t>
      </w:r>
      <w:r w:rsidRPr="00CF242F">
        <w:rPr>
          <w:color w:val="000000" w:themeColor="text1"/>
          <w:spacing w:val="-50"/>
          <w:lang w:val="el-GR"/>
        </w:rPr>
        <w:t xml:space="preserve"> </w:t>
      </w:r>
      <w:r w:rsidRPr="00CF242F">
        <w:rPr>
          <w:color w:val="000000" w:themeColor="text1"/>
          <w:lang w:val="el-GR"/>
        </w:rPr>
        <w:t>ιατρική παρακολούθηση από γιατρούς με εμπειρία στη θεραπεία ασθενών με νόσους</w:t>
      </w:r>
      <w:r w:rsidRPr="00CF242F">
        <w:rPr>
          <w:color w:val="000000" w:themeColor="text1"/>
          <w:spacing w:val="4"/>
          <w:lang w:val="el-GR"/>
        </w:rPr>
        <w:t xml:space="preserve"> </w:t>
      </w:r>
      <w:r w:rsidRPr="00CF242F">
        <w:rPr>
          <w:color w:val="000000" w:themeColor="text1"/>
          <w:lang w:val="el-GR"/>
        </w:rPr>
        <w:t xml:space="preserve">συσχετιζόμενες με τον ιό </w:t>
      </w:r>
      <w:r w:rsidRPr="00CF242F">
        <w:rPr>
          <w:color w:val="000000" w:themeColor="text1"/>
        </w:rPr>
        <w:t>HIV</w:t>
      </w:r>
      <w:r w:rsidRPr="00CF242F">
        <w:rPr>
          <w:color w:val="000000" w:themeColor="text1"/>
          <w:lang w:val="el-GR"/>
        </w:rPr>
        <w:t>.</w:t>
      </w:r>
    </w:p>
    <w:p w:rsidR="00645378" w:rsidRPr="009E32D3" w:rsidRDefault="00645378" w:rsidP="009E32D3">
      <w:pPr>
        <w:spacing w:before="8"/>
        <w:ind w:right="36"/>
        <w:rPr>
          <w:rFonts w:ascii="Times New Roman" w:eastAsia="Times New Roman" w:hAnsi="Times New Roman" w:cs="Times New Roman"/>
          <w:lang w:val="el-GR"/>
        </w:rPr>
      </w:pPr>
    </w:p>
    <w:p w:rsidR="00645378" w:rsidRPr="009E32D3" w:rsidRDefault="007134E2" w:rsidP="009E32D3">
      <w:pPr>
        <w:pStyle w:val="a3"/>
        <w:ind w:left="0" w:right="36"/>
        <w:rPr>
          <w:lang w:val="el-GR"/>
        </w:rPr>
      </w:pPr>
      <w:r w:rsidRPr="009E32D3">
        <w:rPr>
          <w:u w:val="single" w:color="000000"/>
          <w:lang w:val="el-GR"/>
        </w:rPr>
        <w:t>Μετάδοση του</w:t>
      </w:r>
      <w:r w:rsidRPr="009E32D3">
        <w:rPr>
          <w:spacing w:val="4"/>
          <w:u w:val="single" w:color="000000"/>
          <w:lang w:val="el-GR"/>
        </w:rPr>
        <w:t xml:space="preserve"> </w:t>
      </w:r>
      <w:r>
        <w:rPr>
          <w:spacing w:val="-2"/>
          <w:u w:val="single" w:color="000000"/>
        </w:rPr>
        <w:t>HIV</w:t>
      </w:r>
    </w:p>
    <w:p w:rsidR="00645378" w:rsidRPr="009E32D3" w:rsidRDefault="007134E2" w:rsidP="009E32D3">
      <w:pPr>
        <w:pStyle w:val="a3"/>
        <w:spacing w:before="6" w:line="244" w:lineRule="auto"/>
        <w:ind w:left="0" w:right="36"/>
        <w:rPr>
          <w:lang w:val="el-GR"/>
        </w:rPr>
      </w:pPr>
      <w:r w:rsidRPr="009E32D3">
        <w:rPr>
          <w:lang w:val="el-GR"/>
        </w:rPr>
        <w:t>Αν και η αποτελεσματική ιολογική καταστολή με αντιρετροϊική θεραπεία έχει αποδειχθεί ότι μειώνει σημαντικά τον κίνδυνο μετάδοσης του ιού με σεξουαλική επαφή, δεν μπορεί να</w:t>
      </w:r>
      <w:r w:rsidRPr="009E32D3">
        <w:rPr>
          <w:spacing w:val="2"/>
          <w:lang w:val="el-GR"/>
        </w:rPr>
        <w:t xml:space="preserve"> </w:t>
      </w:r>
      <w:r w:rsidRPr="009E32D3">
        <w:rPr>
          <w:lang w:val="el-GR"/>
        </w:rPr>
        <w:t>αποκλειστεί υπολειπόμενος</w:t>
      </w:r>
      <w:r w:rsidRPr="009E32D3">
        <w:rPr>
          <w:spacing w:val="-1"/>
          <w:lang w:val="el-GR"/>
        </w:rPr>
        <w:t xml:space="preserve"> </w:t>
      </w:r>
      <w:r w:rsidRPr="009E32D3">
        <w:rPr>
          <w:lang w:val="el-GR"/>
        </w:rPr>
        <w:t>κίνδυνος. Θα</w:t>
      </w:r>
      <w:r w:rsidRPr="009E32D3">
        <w:rPr>
          <w:spacing w:val="-1"/>
          <w:lang w:val="el-GR"/>
        </w:rPr>
        <w:t xml:space="preserve"> </w:t>
      </w:r>
      <w:r w:rsidRPr="009E32D3">
        <w:rPr>
          <w:lang w:val="el-GR"/>
        </w:rPr>
        <w:t>πρέπει να</w:t>
      </w:r>
      <w:r w:rsidRPr="009E32D3">
        <w:rPr>
          <w:spacing w:val="-1"/>
          <w:lang w:val="el-GR"/>
        </w:rPr>
        <w:t xml:space="preserve"> </w:t>
      </w:r>
      <w:r w:rsidRPr="009E32D3">
        <w:rPr>
          <w:lang w:val="el-GR"/>
        </w:rPr>
        <w:t>λαμβάνονται προφυλάξεις</w:t>
      </w:r>
      <w:r w:rsidRPr="009E32D3">
        <w:rPr>
          <w:spacing w:val="-1"/>
          <w:lang w:val="el-GR"/>
        </w:rPr>
        <w:t xml:space="preserve"> </w:t>
      </w:r>
      <w:r w:rsidRPr="009E32D3">
        <w:rPr>
          <w:lang w:val="el-GR"/>
        </w:rPr>
        <w:t>σύμφωνα</w:t>
      </w:r>
      <w:r w:rsidRPr="009E32D3">
        <w:rPr>
          <w:spacing w:val="-1"/>
          <w:lang w:val="el-GR"/>
        </w:rPr>
        <w:t xml:space="preserve"> </w:t>
      </w:r>
      <w:r w:rsidRPr="009E32D3">
        <w:rPr>
          <w:lang w:val="el-GR"/>
        </w:rPr>
        <w:t>με</w:t>
      </w:r>
      <w:r w:rsidRPr="009E32D3">
        <w:rPr>
          <w:spacing w:val="1"/>
          <w:lang w:val="el-GR"/>
        </w:rPr>
        <w:t xml:space="preserve"> </w:t>
      </w:r>
      <w:r w:rsidRPr="009E32D3">
        <w:rPr>
          <w:lang w:val="el-GR"/>
        </w:rPr>
        <w:t>τις</w:t>
      </w:r>
      <w:r w:rsidRPr="009E32D3">
        <w:rPr>
          <w:spacing w:val="-1"/>
          <w:lang w:val="el-GR"/>
        </w:rPr>
        <w:t xml:space="preserve"> </w:t>
      </w:r>
      <w:r w:rsidRPr="009E32D3">
        <w:rPr>
          <w:lang w:val="el-GR"/>
        </w:rPr>
        <w:lastRenderedPageBreak/>
        <w:t>εθνικές</w:t>
      </w:r>
      <w:r w:rsidRPr="009E32D3">
        <w:rPr>
          <w:spacing w:val="-52"/>
          <w:lang w:val="el-GR"/>
        </w:rPr>
        <w:t xml:space="preserve"> </w:t>
      </w:r>
      <w:r w:rsidRPr="009E32D3">
        <w:rPr>
          <w:lang w:val="el-GR"/>
        </w:rPr>
        <w:t>κατευθυντήριες οδηγίες.</w:t>
      </w:r>
    </w:p>
    <w:p w:rsidR="00FF0997" w:rsidRPr="009E32D3" w:rsidRDefault="00FF0997" w:rsidP="009E32D3">
      <w:pPr>
        <w:spacing w:before="8"/>
        <w:ind w:right="36"/>
        <w:rPr>
          <w:rFonts w:ascii="Times New Roman" w:eastAsia="Times New Roman" w:hAnsi="Times New Roman" w:cs="Times New Roman"/>
          <w:lang w:val="el-GR"/>
        </w:rPr>
      </w:pPr>
    </w:p>
    <w:p w:rsidR="00645378" w:rsidRPr="009E32D3" w:rsidRDefault="007134E2" w:rsidP="009E32D3">
      <w:pPr>
        <w:pStyle w:val="a3"/>
        <w:ind w:left="0" w:right="36"/>
        <w:rPr>
          <w:lang w:val="el-GR"/>
        </w:rPr>
      </w:pPr>
      <w:r w:rsidRPr="009E32D3">
        <w:rPr>
          <w:u w:val="single" w:color="000000"/>
          <w:lang w:val="el-GR"/>
        </w:rPr>
        <w:t>Νεφρική</w:t>
      </w:r>
      <w:r w:rsidRPr="009E32D3">
        <w:rPr>
          <w:spacing w:val="3"/>
          <w:u w:val="single" w:color="000000"/>
          <w:lang w:val="el-GR"/>
        </w:rPr>
        <w:t xml:space="preserve"> </w:t>
      </w:r>
      <w:r w:rsidRPr="009E32D3">
        <w:rPr>
          <w:u w:val="single" w:color="000000"/>
          <w:lang w:val="el-GR"/>
        </w:rPr>
        <w:t>δυσλειτουργία</w:t>
      </w:r>
    </w:p>
    <w:p w:rsidR="00645378" w:rsidRDefault="007134E2" w:rsidP="009E32D3">
      <w:pPr>
        <w:pStyle w:val="a3"/>
        <w:spacing w:before="6" w:line="244" w:lineRule="auto"/>
        <w:ind w:left="0" w:right="36"/>
        <w:rPr>
          <w:lang w:val="el-GR"/>
        </w:rPr>
      </w:pPr>
      <w:r w:rsidRPr="009E32D3">
        <w:rPr>
          <w:lang w:val="el-GR"/>
        </w:rPr>
        <w:t xml:space="preserve">Η </w:t>
      </w:r>
      <w:r w:rsidR="00CF242F">
        <w:rPr>
          <w:lang w:val="el-GR"/>
        </w:rPr>
        <w:t>εμτρισιταβίνη</w:t>
      </w:r>
      <w:r w:rsidRPr="009E32D3">
        <w:rPr>
          <w:lang w:val="el-GR"/>
        </w:rPr>
        <w:t xml:space="preserve"> και </w:t>
      </w:r>
      <w:r w:rsidR="003B2F63">
        <w:rPr>
          <w:lang w:val="el-GR"/>
        </w:rPr>
        <w:t>η τενοφοβίρη</w:t>
      </w:r>
      <w:r w:rsidRPr="009E32D3">
        <w:rPr>
          <w:lang w:val="el-GR"/>
        </w:rPr>
        <w:t xml:space="preserve"> απεκκρίνονται κυρίως από </w:t>
      </w:r>
      <w:r w:rsidR="003B2F63">
        <w:rPr>
          <w:lang w:val="el-GR"/>
        </w:rPr>
        <w:t>τους νεφρούς, μέσω σπειραματικής δ</w:t>
      </w:r>
      <w:r w:rsidRPr="009E32D3">
        <w:rPr>
          <w:lang w:val="el-GR"/>
        </w:rPr>
        <w:t>ιήθησης και ενεργού σωληναριακής απέκκρισης. Νεφρική έκπτωση, νεφρική</w:t>
      </w:r>
      <w:r w:rsidRPr="009E32D3">
        <w:rPr>
          <w:spacing w:val="-3"/>
          <w:lang w:val="el-GR"/>
        </w:rPr>
        <w:t xml:space="preserve"> </w:t>
      </w:r>
      <w:r w:rsidRPr="009E32D3">
        <w:rPr>
          <w:lang w:val="el-GR"/>
        </w:rPr>
        <w:t>δυσλειτουργία, αυξημένη κρεατινίνη, υποφωσφαταιμία και κεντρική σωληναριοπάθεια (συμπεριλαμβανομένου</w:t>
      </w:r>
      <w:r w:rsidRPr="009E32D3">
        <w:rPr>
          <w:spacing w:val="3"/>
          <w:lang w:val="el-GR"/>
        </w:rPr>
        <w:t xml:space="preserve"> </w:t>
      </w:r>
      <w:r w:rsidRPr="009E32D3">
        <w:rPr>
          <w:lang w:val="el-GR"/>
        </w:rPr>
        <w:t xml:space="preserve">του συνδρόμου </w:t>
      </w:r>
      <w:r>
        <w:t>Fanconi</w:t>
      </w:r>
      <w:r w:rsidRPr="009E32D3">
        <w:rPr>
          <w:lang w:val="el-GR"/>
        </w:rPr>
        <w:t>), έχουν αναφερθεί στην κλινική πράξη με τη χρήση</w:t>
      </w:r>
      <w:r w:rsidR="00CF242F">
        <w:rPr>
          <w:lang w:val="el-GR"/>
        </w:rPr>
        <w:t xml:space="preserve"> της </w:t>
      </w:r>
      <w:r w:rsidR="00CF242F" w:rsidRPr="00CF242F">
        <w:rPr>
          <w:rFonts w:cs="Times New Roman"/>
          <w:color w:val="000000" w:themeColor="text1"/>
          <w:lang w:val="el-GR"/>
        </w:rPr>
        <w:t>τενοφοβίρης δισοπρόξιλης</w:t>
      </w:r>
      <w:r w:rsidRPr="009E32D3">
        <w:rPr>
          <w:lang w:val="el-GR"/>
        </w:rPr>
        <w:t xml:space="preserve"> (βλ. παράγραφο 4.8).</w:t>
      </w:r>
    </w:p>
    <w:p w:rsidR="00FF0997" w:rsidRPr="009E32D3" w:rsidRDefault="00FF0997" w:rsidP="009E32D3">
      <w:pPr>
        <w:pStyle w:val="a3"/>
        <w:spacing w:before="6" w:line="244" w:lineRule="auto"/>
        <w:ind w:left="0" w:right="36"/>
        <w:rPr>
          <w:lang w:val="el-GR"/>
        </w:rPr>
      </w:pPr>
    </w:p>
    <w:p w:rsidR="00645378" w:rsidRPr="009E32D3" w:rsidRDefault="007134E2" w:rsidP="009E32D3">
      <w:pPr>
        <w:pStyle w:val="a3"/>
        <w:spacing w:before="54" w:line="244" w:lineRule="auto"/>
        <w:ind w:left="0" w:right="-66"/>
        <w:rPr>
          <w:lang w:val="el-GR"/>
        </w:rPr>
      </w:pPr>
      <w:r w:rsidRPr="009E32D3">
        <w:rPr>
          <w:lang w:val="el-GR"/>
        </w:rPr>
        <w:t>Συνιστάται ο υπολογισμός της κάθαρσης κρεατινίνης σε όλους τους ασθενείς πριν την έναρξη της</w:t>
      </w:r>
      <w:r w:rsidRPr="009E32D3">
        <w:rPr>
          <w:spacing w:val="-46"/>
          <w:lang w:val="el-GR"/>
        </w:rPr>
        <w:t xml:space="preserve"> </w:t>
      </w:r>
      <w:r w:rsidRPr="009E32D3">
        <w:rPr>
          <w:lang w:val="el-GR"/>
        </w:rPr>
        <w:t xml:space="preserve">αγωγής με </w:t>
      </w:r>
      <w:r w:rsidR="00CF242F" w:rsidRPr="00CF242F">
        <w:rPr>
          <w:rFonts w:cs="Times New Roman"/>
          <w:color w:val="000000" w:themeColor="text1"/>
          <w:lang w:val="el-GR"/>
        </w:rPr>
        <w:t>εμτρισιταβίνη</w:t>
      </w:r>
      <w:r w:rsidR="00D43E9B">
        <w:rPr>
          <w:rFonts w:cs="Times New Roman"/>
          <w:color w:val="000000" w:themeColor="text1"/>
          <w:lang w:val="el-GR"/>
        </w:rPr>
        <w:t xml:space="preserve"> και </w:t>
      </w:r>
      <w:r w:rsidR="00CF242F" w:rsidRPr="00CF242F">
        <w:rPr>
          <w:rFonts w:cs="Times New Roman"/>
          <w:color w:val="000000" w:themeColor="text1"/>
          <w:lang w:val="el-GR"/>
        </w:rPr>
        <w:t>τενοφοβίρη δισοπρόξιλη</w:t>
      </w:r>
      <w:r w:rsidRPr="009E32D3">
        <w:rPr>
          <w:lang w:val="el-GR"/>
        </w:rPr>
        <w:t xml:space="preserve"> ως επίσης και η παρακολούθηση της νεφρικής λειτουργίας (κάθαρση</w:t>
      </w:r>
      <w:r w:rsidRPr="009E32D3">
        <w:rPr>
          <w:spacing w:val="-2"/>
          <w:lang w:val="el-GR"/>
        </w:rPr>
        <w:t xml:space="preserve"> </w:t>
      </w:r>
      <w:r w:rsidRPr="009E32D3">
        <w:rPr>
          <w:lang w:val="el-GR"/>
        </w:rPr>
        <w:t>κρεατινίνης και φώσφορος ορού) μετά από δύο έως τέσσερις εβδομάδες αγωγής, μετά από τρεις μήνες αγωγής</w:t>
      </w:r>
      <w:r w:rsidRPr="009E32D3">
        <w:rPr>
          <w:spacing w:val="1"/>
          <w:lang w:val="el-GR"/>
        </w:rPr>
        <w:t xml:space="preserve"> </w:t>
      </w:r>
      <w:r w:rsidRPr="009E32D3">
        <w:rPr>
          <w:lang w:val="el-GR"/>
        </w:rPr>
        <w:t>και στη συνέχεια κάθε τρεις έως έξι μήνες σε ασθενείς χωρίς νεφρικούς παράγοντες κινδύνου.</w:t>
      </w:r>
      <w:r w:rsidRPr="009E32D3">
        <w:rPr>
          <w:spacing w:val="26"/>
          <w:lang w:val="el-GR"/>
        </w:rPr>
        <w:t xml:space="preserve"> </w:t>
      </w:r>
      <w:r w:rsidRPr="009E32D3">
        <w:rPr>
          <w:lang w:val="el-GR"/>
        </w:rPr>
        <w:t>Σε ασθενείς</w:t>
      </w:r>
      <w:r w:rsidRPr="009E32D3">
        <w:rPr>
          <w:spacing w:val="-1"/>
          <w:lang w:val="el-GR"/>
        </w:rPr>
        <w:t xml:space="preserve"> </w:t>
      </w:r>
      <w:r w:rsidRPr="009E32D3">
        <w:rPr>
          <w:lang w:val="el-GR"/>
        </w:rPr>
        <w:t>με</w:t>
      </w:r>
      <w:r w:rsidRPr="009E32D3">
        <w:rPr>
          <w:spacing w:val="1"/>
          <w:lang w:val="el-GR"/>
        </w:rPr>
        <w:t xml:space="preserve"> </w:t>
      </w:r>
      <w:r w:rsidRPr="009E32D3">
        <w:rPr>
          <w:lang w:val="el-GR"/>
        </w:rPr>
        <w:t>κίνδυνο για</w:t>
      </w:r>
      <w:r w:rsidRPr="009E32D3">
        <w:rPr>
          <w:spacing w:val="-1"/>
          <w:lang w:val="el-GR"/>
        </w:rPr>
        <w:t xml:space="preserve"> </w:t>
      </w:r>
      <w:r w:rsidRPr="009E32D3">
        <w:rPr>
          <w:lang w:val="el-GR"/>
        </w:rPr>
        <w:t>νεφρική δυσλειτουργία, απαιτείται συχνότερη</w:t>
      </w:r>
      <w:r w:rsidRPr="009E32D3">
        <w:rPr>
          <w:spacing w:val="-1"/>
          <w:lang w:val="el-GR"/>
        </w:rPr>
        <w:t xml:space="preserve"> </w:t>
      </w:r>
      <w:r w:rsidRPr="009E32D3">
        <w:rPr>
          <w:lang w:val="el-GR"/>
        </w:rPr>
        <w:t>παρακολούθηση</w:t>
      </w:r>
      <w:r w:rsidRPr="009E32D3">
        <w:rPr>
          <w:spacing w:val="-1"/>
          <w:lang w:val="el-GR"/>
        </w:rPr>
        <w:t xml:space="preserve"> </w:t>
      </w:r>
      <w:r w:rsidRPr="009E32D3">
        <w:rPr>
          <w:lang w:val="el-GR"/>
        </w:rPr>
        <w:t>της</w:t>
      </w:r>
      <w:r w:rsidRPr="009E32D3">
        <w:rPr>
          <w:spacing w:val="-1"/>
          <w:lang w:val="el-GR"/>
        </w:rPr>
        <w:t xml:space="preserve"> </w:t>
      </w:r>
      <w:r w:rsidR="00FF0997">
        <w:rPr>
          <w:lang w:val="el-GR"/>
        </w:rPr>
        <w:t xml:space="preserve">νεφρικής </w:t>
      </w:r>
      <w:r w:rsidRPr="009E32D3">
        <w:rPr>
          <w:lang w:val="el-GR"/>
        </w:rPr>
        <w:t>λειτουργίας.</w:t>
      </w:r>
    </w:p>
    <w:p w:rsidR="00645378" w:rsidRPr="009E32D3" w:rsidRDefault="00645378" w:rsidP="009E32D3">
      <w:pPr>
        <w:spacing w:before="8"/>
        <w:ind w:right="-66"/>
        <w:rPr>
          <w:rFonts w:ascii="Times New Roman" w:eastAsia="Times New Roman" w:hAnsi="Times New Roman" w:cs="Times New Roman"/>
          <w:lang w:val="el-GR"/>
        </w:rPr>
      </w:pPr>
    </w:p>
    <w:p w:rsidR="00645378" w:rsidRPr="00F13AEB" w:rsidRDefault="007134E2" w:rsidP="00F13AEB">
      <w:pPr>
        <w:spacing w:line="244" w:lineRule="auto"/>
        <w:ind w:right="-66"/>
        <w:rPr>
          <w:rFonts w:ascii="Times New Roman" w:hAnsi="Times New Roman" w:cs="Times New Roman"/>
          <w:lang w:val="el-GR"/>
        </w:rPr>
      </w:pPr>
      <w:r w:rsidRPr="00F13AEB">
        <w:rPr>
          <w:rFonts w:ascii="Times New Roman" w:hAnsi="Times New Roman" w:cs="Times New Roman"/>
          <w:i/>
          <w:lang w:val="el-GR"/>
        </w:rPr>
        <w:t xml:space="preserve">Ασθενείς με νεφρική δυσλειτουργία (κάθαρση κρεατινίνης &lt; 80 </w:t>
      </w:r>
      <w:r w:rsidRPr="00F13AEB">
        <w:rPr>
          <w:rFonts w:ascii="Times New Roman" w:hAnsi="Times New Roman" w:cs="Times New Roman"/>
          <w:i/>
        </w:rPr>
        <w:t>ml</w:t>
      </w:r>
      <w:r w:rsidRPr="00F13AEB">
        <w:rPr>
          <w:rFonts w:ascii="Times New Roman" w:hAnsi="Times New Roman" w:cs="Times New Roman"/>
          <w:i/>
          <w:lang w:val="el-GR"/>
        </w:rPr>
        <w:t>/</w:t>
      </w:r>
      <w:r w:rsidRPr="00F13AEB">
        <w:rPr>
          <w:rFonts w:ascii="Times New Roman" w:hAnsi="Times New Roman" w:cs="Times New Roman"/>
          <w:i/>
        </w:rPr>
        <w:t>min</w:t>
      </w:r>
      <w:r w:rsidRPr="00F13AEB">
        <w:rPr>
          <w:rFonts w:ascii="Times New Roman" w:hAnsi="Times New Roman" w:cs="Times New Roman"/>
          <w:i/>
          <w:lang w:val="el-GR"/>
        </w:rPr>
        <w:t>),</w:t>
      </w:r>
      <w:r w:rsidRPr="00F13AEB">
        <w:rPr>
          <w:rFonts w:ascii="Times New Roman" w:hAnsi="Times New Roman" w:cs="Times New Roman"/>
          <w:i/>
          <w:spacing w:val="-8"/>
          <w:lang w:val="el-GR"/>
        </w:rPr>
        <w:t xml:space="preserve"> </w:t>
      </w:r>
      <w:r w:rsidRPr="00F13AEB">
        <w:rPr>
          <w:rFonts w:ascii="Times New Roman" w:hAnsi="Times New Roman" w:cs="Times New Roman"/>
          <w:i/>
          <w:lang w:val="el-GR"/>
        </w:rPr>
        <w:t xml:space="preserve">συμπεριλαμβανομένων ασθενών υπό αιμοκάθαρση: </w:t>
      </w:r>
      <w:r w:rsidR="00CF242F" w:rsidRPr="00F13AEB">
        <w:rPr>
          <w:rFonts w:ascii="Times New Roman" w:hAnsi="Times New Roman" w:cs="Times New Roman"/>
          <w:lang w:val="el-GR"/>
        </w:rPr>
        <w:t xml:space="preserve">Η νεφρική ασφάλεια με </w:t>
      </w:r>
      <w:r w:rsidR="00D43E9B">
        <w:rPr>
          <w:rFonts w:ascii="Times New Roman" w:hAnsi="Times New Roman" w:cs="Times New Roman"/>
          <w:lang w:val="el-GR"/>
        </w:rPr>
        <w:t>την</w:t>
      </w:r>
      <w:r w:rsidR="00CF242F" w:rsidRPr="00F13AEB">
        <w:rPr>
          <w:rFonts w:ascii="Times New Roman" w:hAnsi="Times New Roman" w:cs="Times New Roman"/>
          <w:color w:val="000000" w:themeColor="text1"/>
          <w:spacing w:val="-4"/>
          <w:lang w:val="el-GR"/>
        </w:rPr>
        <w:t xml:space="preserve"> </w:t>
      </w:r>
      <w:r w:rsidR="00CF242F" w:rsidRPr="00F13AEB">
        <w:rPr>
          <w:rFonts w:ascii="Times New Roman" w:hAnsi="Times New Roman" w:cs="Times New Roman"/>
          <w:color w:val="000000" w:themeColor="text1"/>
          <w:lang w:val="el-GR"/>
        </w:rPr>
        <w:t>εμτρισιταβίνη</w:t>
      </w:r>
      <w:r w:rsidR="00D43E9B">
        <w:rPr>
          <w:rFonts w:ascii="Times New Roman" w:hAnsi="Times New Roman" w:cs="Times New Roman"/>
          <w:color w:val="000000" w:themeColor="text1"/>
          <w:lang w:val="el-GR"/>
        </w:rPr>
        <w:t xml:space="preserve"> και </w:t>
      </w:r>
      <w:r w:rsidR="00CF242F" w:rsidRPr="00F13AEB">
        <w:rPr>
          <w:rFonts w:ascii="Times New Roman" w:hAnsi="Times New Roman" w:cs="Times New Roman"/>
          <w:color w:val="000000" w:themeColor="text1"/>
          <w:lang w:val="el-GR"/>
        </w:rPr>
        <w:t>τενοφοβίρη δισοπρόξιλη</w:t>
      </w:r>
      <w:r w:rsidRPr="00F13AEB">
        <w:rPr>
          <w:rFonts w:ascii="Times New Roman" w:hAnsi="Times New Roman" w:cs="Times New Roman"/>
          <w:lang w:val="el-GR"/>
        </w:rPr>
        <w:t xml:space="preserve"> έχει μελετηθεί μόνο σε πολύ περιορισμένο βαθμό σε ασθενείς με έκπτωση της νεφρικής λειτουργίας (κάθαρση</w:t>
      </w:r>
      <w:r w:rsidRPr="00F13AEB">
        <w:rPr>
          <w:rFonts w:ascii="Times New Roman" w:hAnsi="Times New Roman" w:cs="Times New Roman"/>
          <w:spacing w:val="4"/>
          <w:lang w:val="el-GR"/>
        </w:rPr>
        <w:t xml:space="preserve"> </w:t>
      </w:r>
      <w:r w:rsidRPr="00F13AEB">
        <w:rPr>
          <w:rFonts w:ascii="Times New Roman" w:hAnsi="Times New Roman" w:cs="Times New Roman"/>
          <w:lang w:val="el-GR"/>
        </w:rPr>
        <w:t>κρεατινίνης</w:t>
      </w:r>
      <w:r w:rsidR="00CF242F" w:rsidRPr="00F13AEB">
        <w:rPr>
          <w:rFonts w:ascii="Times New Roman" w:hAnsi="Times New Roman" w:cs="Times New Roman"/>
          <w:lang w:val="el-GR"/>
        </w:rPr>
        <w:t xml:space="preserve"> </w:t>
      </w:r>
      <w:r w:rsidRPr="00F13AEB">
        <w:rPr>
          <w:rFonts w:ascii="Times New Roman" w:hAnsi="Times New Roman" w:cs="Times New Roman"/>
          <w:lang w:val="el-GR"/>
        </w:rPr>
        <w:t xml:space="preserve">&lt; 80 </w:t>
      </w:r>
      <w:r w:rsidRPr="00F13AEB">
        <w:rPr>
          <w:rFonts w:ascii="Times New Roman" w:hAnsi="Times New Roman" w:cs="Times New Roman"/>
        </w:rPr>
        <w:t>ml</w:t>
      </w:r>
      <w:r w:rsidRPr="00F13AEB">
        <w:rPr>
          <w:rFonts w:ascii="Times New Roman" w:hAnsi="Times New Roman" w:cs="Times New Roman"/>
          <w:lang w:val="el-GR"/>
        </w:rPr>
        <w:t>/</w:t>
      </w:r>
      <w:r w:rsidRPr="00F13AEB">
        <w:rPr>
          <w:rFonts w:ascii="Times New Roman" w:hAnsi="Times New Roman" w:cs="Times New Roman"/>
        </w:rPr>
        <w:t>min</w:t>
      </w:r>
      <w:r w:rsidRPr="00F13AEB">
        <w:rPr>
          <w:rFonts w:ascii="Times New Roman" w:hAnsi="Times New Roman" w:cs="Times New Roman"/>
          <w:lang w:val="el-GR"/>
        </w:rPr>
        <w:t>). Αναπροσαρμογές του δοσολογικού μεσοδιαστήμ</w:t>
      </w:r>
      <w:r w:rsidR="003B2F63">
        <w:rPr>
          <w:rFonts w:ascii="Times New Roman" w:hAnsi="Times New Roman" w:cs="Times New Roman"/>
          <w:lang w:val="el-GR"/>
        </w:rPr>
        <w:t xml:space="preserve">ατος συνιστώνται για ασθενείς με </w:t>
      </w:r>
      <w:r w:rsidRPr="00F13AEB">
        <w:rPr>
          <w:rFonts w:ascii="Times New Roman" w:hAnsi="Times New Roman" w:cs="Times New Roman"/>
          <w:lang w:val="el-GR"/>
        </w:rPr>
        <w:t xml:space="preserve">κάθαρση κρεατινίνης μεταξύ 30 και 49 </w:t>
      </w:r>
      <w:r w:rsidRPr="00F13AEB">
        <w:rPr>
          <w:rFonts w:ascii="Times New Roman" w:hAnsi="Times New Roman" w:cs="Times New Roman"/>
        </w:rPr>
        <w:t>ml</w:t>
      </w:r>
      <w:r w:rsidRPr="00F13AEB">
        <w:rPr>
          <w:rFonts w:ascii="Times New Roman" w:hAnsi="Times New Roman" w:cs="Times New Roman"/>
          <w:lang w:val="el-GR"/>
        </w:rPr>
        <w:t>/</w:t>
      </w:r>
      <w:r w:rsidRPr="00F13AEB">
        <w:rPr>
          <w:rFonts w:ascii="Times New Roman" w:hAnsi="Times New Roman" w:cs="Times New Roman"/>
        </w:rPr>
        <w:t>min</w:t>
      </w:r>
      <w:r w:rsidRPr="00F13AEB">
        <w:rPr>
          <w:rFonts w:ascii="Times New Roman" w:hAnsi="Times New Roman" w:cs="Times New Roman"/>
          <w:lang w:val="el-GR"/>
        </w:rPr>
        <w:t xml:space="preserve"> (βλ. παράγραφο 4.2). Περιορισμένα δεδομένα</w:t>
      </w:r>
      <w:r w:rsidRPr="00F13AEB">
        <w:rPr>
          <w:rFonts w:ascii="Times New Roman" w:hAnsi="Times New Roman" w:cs="Times New Roman"/>
          <w:spacing w:val="-3"/>
          <w:lang w:val="el-GR"/>
        </w:rPr>
        <w:t xml:space="preserve"> </w:t>
      </w:r>
      <w:r w:rsidRPr="00F13AEB">
        <w:rPr>
          <w:rFonts w:ascii="Times New Roman" w:hAnsi="Times New Roman" w:cs="Times New Roman"/>
          <w:lang w:val="el-GR"/>
        </w:rPr>
        <w:t>από κλινικές μελέτες καταδεικνύουν ότι το παρατεταμένο δοσολογικό μεσοδιάστημα δεν είναι ιδανικό</w:t>
      </w:r>
      <w:r w:rsidRPr="00F13AEB">
        <w:rPr>
          <w:rFonts w:ascii="Times New Roman" w:hAnsi="Times New Roman" w:cs="Times New Roman"/>
          <w:spacing w:val="4"/>
          <w:lang w:val="el-GR"/>
        </w:rPr>
        <w:t xml:space="preserve"> </w:t>
      </w:r>
      <w:r w:rsidRPr="00F13AEB">
        <w:rPr>
          <w:rFonts w:ascii="Times New Roman" w:hAnsi="Times New Roman" w:cs="Times New Roman"/>
          <w:lang w:val="el-GR"/>
        </w:rPr>
        <w:t>και θα μπορούσε να έχει ως αποτέλεσμα αυξημένη τοξικότητα και ενδεχομένως ανεπαρκή</w:t>
      </w:r>
      <w:r w:rsidRPr="00F13AEB">
        <w:rPr>
          <w:rFonts w:ascii="Times New Roman" w:hAnsi="Times New Roman" w:cs="Times New Roman"/>
          <w:spacing w:val="-3"/>
          <w:lang w:val="el-GR"/>
        </w:rPr>
        <w:t xml:space="preserve"> </w:t>
      </w:r>
      <w:r w:rsidRPr="00F13AEB">
        <w:rPr>
          <w:rFonts w:ascii="Times New Roman" w:hAnsi="Times New Roman" w:cs="Times New Roman"/>
          <w:lang w:val="el-GR"/>
        </w:rPr>
        <w:t xml:space="preserve">ανταπόκριση. Επιπλέον, σε μία μικρή κλινική μελέτη, μία υποομάδα ασθενών με κάθαρση κρεατινίνης μεταξύ 50 και 60 </w:t>
      </w:r>
      <w:r w:rsidRPr="00F13AEB">
        <w:rPr>
          <w:rFonts w:ascii="Times New Roman" w:hAnsi="Times New Roman" w:cs="Times New Roman"/>
        </w:rPr>
        <w:t>ml</w:t>
      </w:r>
      <w:r w:rsidRPr="00F13AEB">
        <w:rPr>
          <w:rFonts w:ascii="Times New Roman" w:hAnsi="Times New Roman" w:cs="Times New Roman"/>
          <w:lang w:val="el-GR"/>
        </w:rPr>
        <w:t>/</w:t>
      </w:r>
      <w:r w:rsidRPr="00F13AEB">
        <w:rPr>
          <w:rFonts w:ascii="Times New Roman" w:hAnsi="Times New Roman" w:cs="Times New Roman"/>
        </w:rPr>
        <w:t>min</w:t>
      </w:r>
      <w:r w:rsidRPr="00F13AEB">
        <w:rPr>
          <w:rFonts w:ascii="Times New Roman" w:hAnsi="Times New Roman" w:cs="Times New Roman"/>
          <w:lang w:val="el-GR"/>
        </w:rPr>
        <w:t xml:space="preserve"> οι οποίοι έλαβαν</w:t>
      </w:r>
      <w:r w:rsidR="00CF242F" w:rsidRPr="00F13AEB">
        <w:rPr>
          <w:rFonts w:ascii="Times New Roman" w:hAnsi="Times New Roman" w:cs="Times New Roman"/>
          <w:lang w:val="el-GR"/>
        </w:rPr>
        <w:t xml:space="preserve"> τενοφοβίρη δισοπρόξιλη </w:t>
      </w:r>
      <w:r w:rsidRPr="00F13AEB">
        <w:rPr>
          <w:rFonts w:ascii="Times New Roman" w:hAnsi="Times New Roman" w:cs="Times New Roman"/>
          <w:lang w:val="el-GR"/>
        </w:rPr>
        <w:t xml:space="preserve">σε συνδυασμό με </w:t>
      </w:r>
      <w:r w:rsidR="00CF242F" w:rsidRPr="00F13AEB">
        <w:rPr>
          <w:rFonts w:ascii="Times New Roman" w:hAnsi="Times New Roman" w:cs="Times New Roman"/>
          <w:lang w:val="el-GR"/>
        </w:rPr>
        <w:t>εμτρισιταβίνη</w:t>
      </w:r>
      <w:r w:rsidRPr="00F13AEB">
        <w:rPr>
          <w:rFonts w:ascii="Times New Roman" w:hAnsi="Times New Roman" w:cs="Times New Roman"/>
          <w:lang w:val="el-GR"/>
        </w:rPr>
        <w:t xml:space="preserve"> κάθε</w:t>
      </w:r>
      <w:r w:rsidRPr="00F13AEB">
        <w:rPr>
          <w:rFonts w:ascii="Times New Roman" w:hAnsi="Times New Roman" w:cs="Times New Roman"/>
          <w:spacing w:val="19"/>
          <w:lang w:val="el-GR"/>
        </w:rPr>
        <w:t xml:space="preserve"> </w:t>
      </w:r>
      <w:r w:rsidRPr="00F13AEB">
        <w:rPr>
          <w:rFonts w:ascii="Times New Roman" w:hAnsi="Times New Roman" w:cs="Times New Roman"/>
          <w:lang w:val="el-GR"/>
        </w:rPr>
        <w:t>24 ώρες, είχαν 2-4 φορές μεγαλύτερη έκθεση στ</w:t>
      </w:r>
      <w:r w:rsidR="003B2F63">
        <w:rPr>
          <w:rFonts w:ascii="Times New Roman" w:hAnsi="Times New Roman" w:cs="Times New Roman"/>
          <w:lang w:val="el-GR"/>
        </w:rPr>
        <w:t>η τενοφοβίρη</w:t>
      </w:r>
      <w:r w:rsidRPr="00F13AEB">
        <w:rPr>
          <w:rFonts w:ascii="Times New Roman" w:hAnsi="Times New Roman" w:cs="Times New Roman"/>
          <w:lang w:val="el-GR"/>
        </w:rPr>
        <w:t xml:space="preserve"> και επιδείνωση της νεφρικής</w:t>
      </w:r>
      <w:r w:rsidRPr="00F13AEB">
        <w:rPr>
          <w:rFonts w:ascii="Times New Roman" w:hAnsi="Times New Roman" w:cs="Times New Roman"/>
          <w:spacing w:val="6"/>
          <w:lang w:val="el-GR"/>
        </w:rPr>
        <w:t xml:space="preserve"> </w:t>
      </w:r>
      <w:r w:rsidRPr="00F13AEB">
        <w:rPr>
          <w:rFonts w:ascii="Times New Roman" w:hAnsi="Times New Roman" w:cs="Times New Roman"/>
          <w:lang w:val="el-GR"/>
        </w:rPr>
        <w:t>λειτουργίας</w:t>
      </w:r>
      <w:r w:rsidR="00F13AEB" w:rsidRPr="00F13AEB">
        <w:rPr>
          <w:rFonts w:ascii="Times New Roman" w:hAnsi="Times New Roman" w:cs="Times New Roman"/>
          <w:lang w:val="el-GR"/>
        </w:rPr>
        <w:t xml:space="preserve"> </w:t>
      </w:r>
      <w:r w:rsidRPr="00F13AEB">
        <w:rPr>
          <w:rFonts w:ascii="Times New Roman" w:hAnsi="Times New Roman" w:cs="Times New Roman"/>
          <w:lang w:val="el-GR"/>
        </w:rPr>
        <w:t>(βλ. παράγραφο 5.2). Ως εκ τούτου, απαιτείται μία προσεκτική εκτίμηση οφέλους-κινδύνου όταν</w:t>
      </w:r>
      <w:r w:rsidRPr="00F13AEB">
        <w:rPr>
          <w:rFonts w:ascii="Times New Roman" w:hAnsi="Times New Roman" w:cs="Times New Roman"/>
          <w:spacing w:val="-1"/>
          <w:lang w:val="el-GR"/>
        </w:rPr>
        <w:t xml:space="preserve"> </w:t>
      </w:r>
      <w:r w:rsidR="00F13AEB">
        <w:rPr>
          <w:rFonts w:ascii="Times New Roman" w:hAnsi="Times New Roman" w:cs="Times New Roman"/>
          <w:spacing w:val="-1"/>
          <w:lang w:val="el-GR"/>
        </w:rPr>
        <w:t xml:space="preserve">ο συνδυασμός </w:t>
      </w:r>
      <w:r w:rsidR="00F13AEB" w:rsidRPr="00F13AEB">
        <w:rPr>
          <w:rFonts w:ascii="Times New Roman" w:hAnsi="Times New Roman" w:cs="Times New Roman"/>
          <w:color w:val="000000" w:themeColor="text1"/>
          <w:lang w:val="el-GR"/>
        </w:rPr>
        <w:t>εμτρισιταβίνης</w:t>
      </w:r>
      <w:r w:rsidR="00D43E9B">
        <w:rPr>
          <w:rFonts w:ascii="Times New Roman" w:hAnsi="Times New Roman" w:cs="Times New Roman"/>
          <w:color w:val="000000" w:themeColor="text1"/>
          <w:lang w:val="el-GR"/>
        </w:rPr>
        <w:t xml:space="preserve"> και </w:t>
      </w:r>
      <w:r w:rsidR="00F13AEB" w:rsidRPr="00F13AEB">
        <w:rPr>
          <w:rFonts w:ascii="Times New Roman" w:hAnsi="Times New Roman" w:cs="Times New Roman"/>
          <w:color w:val="000000" w:themeColor="text1"/>
          <w:lang w:val="el-GR"/>
        </w:rPr>
        <w:t>τενοφοβίρης δισοπρόξιλης</w:t>
      </w:r>
      <w:r w:rsidR="00F13AEB" w:rsidRPr="00F13AEB">
        <w:rPr>
          <w:rFonts w:ascii="Times New Roman" w:hAnsi="Times New Roman" w:cs="Times New Roman"/>
          <w:lang w:val="el-GR"/>
        </w:rPr>
        <w:t xml:space="preserve"> </w:t>
      </w:r>
      <w:r w:rsidRPr="00F13AEB">
        <w:rPr>
          <w:rFonts w:ascii="Times New Roman" w:hAnsi="Times New Roman" w:cs="Times New Roman"/>
          <w:lang w:val="el-GR"/>
        </w:rPr>
        <w:t xml:space="preserve">χρησιμοποιείται σε ασθενείς με κάθαρση κρεατινίνης &lt; 60 </w:t>
      </w:r>
      <w:r w:rsidRPr="00F13AEB">
        <w:rPr>
          <w:rFonts w:ascii="Times New Roman" w:hAnsi="Times New Roman" w:cs="Times New Roman"/>
        </w:rPr>
        <w:t>ml</w:t>
      </w:r>
      <w:r w:rsidRPr="00F13AEB">
        <w:rPr>
          <w:rFonts w:ascii="Times New Roman" w:hAnsi="Times New Roman" w:cs="Times New Roman"/>
          <w:lang w:val="el-GR"/>
        </w:rPr>
        <w:t>/</w:t>
      </w:r>
      <w:r w:rsidRPr="00F13AEB">
        <w:rPr>
          <w:rFonts w:ascii="Times New Roman" w:hAnsi="Times New Roman" w:cs="Times New Roman"/>
        </w:rPr>
        <w:t>min</w:t>
      </w:r>
      <w:r w:rsidRPr="00F13AEB">
        <w:rPr>
          <w:rFonts w:ascii="Times New Roman" w:hAnsi="Times New Roman" w:cs="Times New Roman"/>
          <w:lang w:val="el-GR"/>
        </w:rPr>
        <w:t xml:space="preserve"> και η νεφρική</w:t>
      </w:r>
      <w:r w:rsidRPr="00F13AEB">
        <w:rPr>
          <w:rFonts w:ascii="Times New Roman" w:hAnsi="Times New Roman" w:cs="Times New Roman"/>
          <w:spacing w:val="2"/>
          <w:lang w:val="el-GR"/>
        </w:rPr>
        <w:t xml:space="preserve"> </w:t>
      </w:r>
      <w:r w:rsidRPr="00F13AEB">
        <w:rPr>
          <w:rFonts w:ascii="Times New Roman" w:hAnsi="Times New Roman" w:cs="Times New Roman"/>
          <w:lang w:val="el-GR"/>
        </w:rPr>
        <w:t>λειτουργία πρέπει να παρακολουθείται στενά. Επιπλέον, η κλινική ανταπόκριση στην αγωγή πρέπει</w:t>
      </w:r>
      <w:r w:rsidRPr="00F13AEB">
        <w:rPr>
          <w:rFonts w:ascii="Times New Roman" w:hAnsi="Times New Roman" w:cs="Times New Roman"/>
          <w:spacing w:val="-4"/>
          <w:lang w:val="el-GR"/>
        </w:rPr>
        <w:t xml:space="preserve"> </w:t>
      </w:r>
      <w:r w:rsidRPr="00F13AEB">
        <w:rPr>
          <w:rFonts w:ascii="Times New Roman" w:hAnsi="Times New Roman" w:cs="Times New Roman"/>
          <w:lang w:val="el-GR"/>
        </w:rPr>
        <w:t xml:space="preserve">να παρακολουθείται στενά σε ασθενείς που λαμβάνουν </w:t>
      </w:r>
      <w:r w:rsidR="00F13AEB" w:rsidRPr="00F13AEB">
        <w:rPr>
          <w:rFonts w:ascii="Times New Roman" w:hAnsi="Times New Roman" w:cs="Times New Roman"/>
          <w:color w:val="000000" w:themeColor="text1"/>
          <w:lang w:val="el-GR"/>
        </w:rPr>
        <w:t>εμτρισιταβίνη</w:t>
      </w:r>
      <w:r w:rsidR="00D43E9B">
        <w:rPr>
          <w:rFonts w:ascii="Times New Roman" w:hAnsi="Times New Roman" w:cs="Times New Roman"/>
          <w:color w:val="000000" w:themeColor="text1"/>
          <w:lang w:val="el-GR"/>
        </w:rPr>
        <w:t xml:space="preserve"> και </w:t>
      </w:r>
      <w:r w:rsidR="00F13AEB" w:rsidRPr="00F13AEB">
        <w:rPr>
          <w:rFonts w:ascii="Times New Roman" w:hAnsi="Times New Roman" w:cs="Times New Roman"/>
          <w:color w:val="000000" w:themeColor="text1"/>
          <w:lang w:val="el-GR"/>
        </w:rPr>
        <w:t>τενοφοβίρη δισοπρόξιλη</w:t>
      </w:r>
      <w:r w:rsidRPr="00F13AEB">
        <w:rPr>
          <w:rFonts w:ascii="Times New Roman" w:hAnsi="Times New Roman" w:cs="Times New Roman"/>
          <w:lang w:val="el-GR"/>
        </w:rPr>
        <w:t xml:space="preserve"> για παρατεταμένο δοσο</w:t>
      </w:r>
      <w:r w:rsidR="00FF0997">
        <w:rPr>
          <w:rFonts w:ascii="Times New Roman" w:hAnsi="Times New Roman" w:cs="Times New Roman"/>
          <w:lang w:val="el-GR"/>
        </w:rPr>
        <w:t xml:space="preserve">λογικό </w:t>
      </w:r>
      <w:r w:rsidR="00F13AEB">
        <w:rPr>
          <w:rFonts w:ascii="Times New Roman" w:hAnsi="Times New Roman" w:cs="Times New Roman"/>
          <w:lang w:val="el-GR"/>
        </w:rPr>
        <w:t xml:space="preserve">μεσοδιάστημα. Η χρήση </w:t>
      </w:r>
      <w:r w:rsidR="00F13AEB" w:rsidRPr="00F13AEB">
        <w:rPr>
          <w:rFonts w:ascii="Times New Roman" w:hAnsi="Times New Roman" w:cs="Times New Roman"/>
          <w:color w:val="000000" w:themeColor="text1"/>
          <w:lang w:val="el-GR"/>
        </w:rPr>
        <w:t>εμτρισιταβίνης</w:t>
      </w:r>
      <w:r w:rsidR="00D43E9B">
        <w:rPr>
          <w:rFonts w:ascii="Times New Roman" w:hAnsi="Times New Roman" w:cs="Times New Roman"/>
          <w:color w:val="000000" w:themeColor="text1"/>
          <w:lang w:val="el-GR"/>
        </w:rPr>
        <w:t xml:space="preserve"> και </w:t>
      </w:r>
      <w:r w:rsidR="00F13AEB" w:rsidRPr="00F13AEB">
        <w:rPr>
          <w:rFonts w:ascii="Times New Roman" w:hAnsi="Times New Roman" w:cs="Times New Roman"/>
          <w:color w:val="000000" w:themeColor="text1"/>
          <w:lang w:val="el-GR"/>
        </w:rPr>
        <w:t>τενοφοβίρης δισοπρόξιλης</w:t>
      </w:r>
      <w:r w:rsidR="00F13AEB" w:rsidRPr="00F13AEB">
        <w:rPr>
          <w:rFonts w:ascii="Times New Roman" w:hAnsi="Times New Roman" w:cs="Times New Roman"/>
          <w:lang w:val="el-GR"/>
        </w:rPr>
        <w:t xml:space="preserve"> </w:t>
      </w:r>
      <w:r w:rsidRPr="00F13AEB">
        <w:rPr>
          <w:rFonts w:ascii="Times New Roman" w:hAnsi="Times New Roman" w:cs="Times New Roman"/>
          <w:lang w:val="el-GR"/>
        </w:rPr>
        <w:t>δεν συνιστάται σε ασθενείς με σοβαρή νεφρική</w:t>
      </w:r>
      <w:r w:rsidRPr="00F13AEB">
        <w:rPr>
          <w:rFonts w:ascii="Times New Roman" w:hAnsi="Times New Roman" w:cs="Times New Roman"/>
          <w:spacing w:val="12"/>
          <w:lang w:val="el-GR"/>
        </w:rPr>
        <w:t xml:space="preserve"> </w:t>
      </w:r>
      <w:r w:rsidRPr="00F13AEB">
        <w:rPr>
          <w:rFonts w:ascii="Times New Roman" w:hAnsi="Times New Roman" w:cs="Times New Roman"/>
          <w:lang w:val="el-GR"/>
        </w:rPr>
        <w:t xml:space="preserve">δυσλειτουργία (κάθαρση κρεατινίνης &lt; 30 </w:t>
      </w:r>
      <w:r w:rsidRPr="00F13AEB">
        <w:rPr>
          <w:rFonts w:ascii="Times New Roman" w:hAnsi="Times New Roman" w:cs="Times New Roman"/>
        </w:rPr>
        <w:t>ml</w:t>
      </w:r>
      <w:r w:rsidRPr="00F13AEB">
        <w:rPr>
          <w:rFonts w:ascii="Times New Roman" w:hAnsi="Times New Roman" w:cs="Times New Roman"/>
          <w:lang w:val="el-GR"/>
        </w:rPr>
        <w:t>/</w:t>
      </w:r>
      <w:r w:rsidRPr="00F13AEB">
        <w:rPr>
          <w:rFonts w:ascii="Times New Roman" w:hAnsi="Times New Roman" w:cs="Times New Roman"/>
        </w:rPr>
        <w:t>min</w:t>
      </w:r>
      <w:r w:rsidRPr="00F13AEB">
        <w:rPr>
          <w:rFonts w:ascii="Times New Roman" w:hAnsi="Times New Roman" w:cs="Times New Roman"/>
          <w:lang w:val="el-GR"/>
        </w:rPr>
        <w:t>) και σε ασθενείς που χρειάζονται αιμοδιαπίδυση, εφόσον με</w:t>
      </w:r>
      <w:r w:rsidRPr="00F13AEB">
        <w:rPr>
          <w:rFonts w:ascii="Times New Roman" w:hAnsi="Times New Roman" w:cs="Times New Roman"/>
          <w:spacing w:val="2"/>
          <w:lang w:val="el-GR"/>
        </w:rPr>
        <w:t xml:space="preserve"> </w:t>
      </w:r>
      <w:r w:rsidRPr="00F13AEB">
        <w:rPr>
          <w:rFonts w:ascii="Times New Roman" w:hAnsi="Times New Roman" w:cs="Times New Roman"/>
          <w:lang w:val="el-GR"/>
        </w:rPr>
        <w:t>το δισκίο συνδυασμού δεν μπορούν να επιτευχθούν οι κατάλληλες μειώσεις στη δόση</w:t>
      </w:r>
      <w:r w:rsidRPr="00F13AEB">
        <w:rPr>
          <w:rFonts w:ascii="Times New Roman" w:hAnsi="Times New Roman" w:cs="Times New Roman"/>
          <w:spacing w:val="43"/>
          <w:lang w:val="el-GR"/>
        </w:rPr>
        <w:t xml:space="preserve"> </w:t>
      </w:r>
      <w:r w:rsidRPr="00F13AEB">
        <w:rPr>
          <w:rFonts w:ascii="Times New Roman" w:hAnsi="Times New Roman" w:cs="Times New Roman"/>
          <w:lang w:val="el-GR"/>
        </w:rPr>
        <w:t>(βλ. παραγράφους 4.2 και</w:t>
      </w:r>
      <w:r w:rsidRPr="00F13AEB">
        <w:rPr>
          <w:rFonts w:ascii="Times New Roman" w:hAnsi="Times New Roman" w:cs="Times New Roman"/>
          <w:spacing w:val="-2"/>
          <w:lang w:val="el-GR"/>
        </w:rPr>
        <w:t xml:space="preserve"> </w:t>
      </w:r>
      <w:r w:rsidRPr="00F13AEB">
        <w:rPr>
          <w:rFonts w:ascii="Times New Roman" w:hAnsi="Times New Roman" w:cs="Times New Roman"/>
          <w:lang w:val="el-GR"/>
        </w:rPr>
        <w:t>5.2).</w:t>
      </w:r>
    </w:p>
    <w:p w:rsidR="00645378" w:rsidRPr="00F13AEB"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F13AEB">
        <w:rPr>
          <w:rFonts w:cs="Times New Roman"/>
          <w:lang w:val="el-GR"/>
        </w:rPr>
        <w:t xml:space="preserve">Αν τα επίπεδα φωσφόρου ορού είναι &lt; 1,5 </w:t>
      </w:r>
      <w:r w:rsidRPr="00F13AEB">
        <w:rPr>
          <w:rFonts w:cs="Times New Roman"/>
        </w:rPr>
        <w:t>mg</w:t>
      </w:r>
      <w:r w:rsidRPr="00F13AEB">
        <w:rPr>
          <w:rFonts w:cs="Times New Roman"/>
          <w:lang w:val="el-GR"/>
        </w:rPr>
        <w:t>/</w:t>
      </w:r>
      <w:r w:rsidRPr="00F13AEB">
        <w:rPr>
          <w:rFonts w:cs="Times New Roman"/>
        </w:rPr>
        <w:t>dl</w:t>
      </w:r>
      <w:r w:rsidRPr="00F13AEB">
        <w:rPr>
          <w:rFonts w:cs="Times New Roman"/>
          <w:lang w:val="el-GR"/>
        </w:rPr>
        <w:t xml:space="preserve"> (0,48 </w:t>
      </w:r>
      <w:r w:rsidRPr="00F13AEB">
        <w:rPr>
          <w:rFonts w:cs="Times New Roman"/>
        </w:rPr>
        <w:t>mmol</w:t>
      </w:r>
      <w:r w:rsidRPr="00F13AEB">
        <w:rPr>
          <w:rFonts w:cs="Times New Roman"/>
          <w:lang w:val="el-GR"/>
        </w:rPr>
        <w:t>/</w:t>
      </w:r>
      <w:r w:rsidRPr="00F13AEB">
        <w:rPr>
          <w:rFonts w:cs="Times New Roman"/>
        </w:rPr>
        <w:t>l</w:t>
      </w:r>
      <w:r w:rsidRPr="00F13AEB">
        <w:rPr>
          <w:rFonts w:cs="Times New Roman"/>
          <w:lang w:val="el-GR"/>
        </w:rPr>
        <w:t>) ή η κάθαρση κρεατινίνης</w:t>
      </w:r>
      <w:r w:rsidRPr="00F13AEB">
        <w:rPr>
          <w:rFonts w:cs="Times New Roman"/>
          <w:spacing w:val="-1"/>
          <w:lang w:val="el-GR"/>
        </w:rPr>
        <w:t xml:space="preserve"> </w:t>
      </w:r>
      <w:r w:rsidRPr="00F13AEB">
        <w:rPr>
          <w:rFonts w:cs="Times New Roman"/>
          <w:lang w:val="el-GR"/>
        </w:rPr>
        <w:t xml:space="preserve">μειώνεται σε &lt; 50 </w:t>
      </w:r>
      <w:r w:rsidRPr="00F13AEB">
        <w:rPr>
          <w:rFonts w:cs="Times New Roman"/>
        </w:rPr>
        <w:t>ml</w:t>
      </w:r>
      <w:r w:rsidRPr="00F13AEB">
        <w:rPr>
          <w:rFonts w:cs="Times New Roman"/>
          <w:lang w:val="el-GR"/>
        </w:rPr>
        <w:t>/</w:t>
      </w:r>
      <w:r w:rsidRPr="00F13AEB">
        <w:rPr>
          <w:rFonts w:cs="Times New Roman"/>
        </w:rPr>
        <w:t>min</w:t>
      </w:r>
      <w:r w:rsidRPr="00F13AEB">
        <w:rPr>
          <w:rFonts w:cs="Times New Roman"/>
          <w:lang w:val="el-GR"/>
        </w:rPr>
        <w:t xml:space="preserve"> σε οποιονδήποτε ασθενή λαμβάνει</w:t>
      </w:r>
      <w:r w:rsidR="003A6E0D">
        <w:rPr>
          <w:rFonts w:cs="Times New Roman"/>
          <w:lang w:val="el-GR"/>
        </w:rPr>
        <w:t xml:space="preserve"> </w:t>
      </w:r>
      <w:r w:rsidR="003A6E0D" w:rsidRPr="00F13AEB">
        <w:rPr>
          <w:rFonts w:cs="Times New Roman"/>
          <w:color w:val="000000" w:themeColor="text1"/>
          <w:lang w:val="el-GR"/>
        </w:rPr>
        <w:t>εμτρισιταβίνη</w:t>
      </w:r>
      <w:r w:rsidR="00D43E9B">
        <w:rPr>
          <w:rFonts w:cs="Times New Roman"/>
          <w:color w:val="000000" w:themeColor="text1"/>
          <w:lang w:val="el-GR"/>
        </w:rPr>
        <w:t xml:space="preserve"> και </w:t>
      </w:r>
      <w:r w:rsidR="003A6E0D" w:rsidRPr="00F13AEB">
        <w:rPr>
          <w:rFonts w:cs="Times New Roman"/>
          <w:color w:val="000000" w:themeColor="text1"/>
          <w:lang w:val="el-GR"/>
        </w:rPr>
        <w:t>τενοφοβίρη δισοπρόξιλη</w:t>
      </w:r>
      <w:r w:rsidR="003B2F63">
        <w:rPr>
          <w:rFonts w:cs="Times New Roman"/>
          <w:lang w:val="el-GR"/>
        </w:rPr>
        <w:t xml:space="preserve">, η νεφρική λειτουργία πρέπει να </w:t>
      </w:r>
      <w:r w:rsidRPr="00F13AEB">
        <w:rPr>
          <w:rFonts w:cs="Times New Roman"/>
          <w:lang w:val="el-GR"/>
        </w:rPr>
        <w:t>επαναξιολογείται εντός μιας εβδομάδας, συμπεριλαμβανομένων και μετρήσεων των</w:t>
      </w:r>
      <w:r w:rsidRPr="00F13AEB">
        <w:rPr>
          <w:rFonts w:cs="Times New Roman"/>
          <w:spacing w:val="12"/>
          <w:lang w:val="el-GR"/>
        </w:rPr>
        <w:t xml:space="preserve"> </w:t>
      </w:r>
      <w:r w:rsidRPr="00F13AEB">
        <w:rPr>
          <w:rFonts w:cs="Times New Roman"/>
          <w:lang w:val="el-GR"/>
        </w:rPr>
        <w:t>συγκεντρώσεων γλυκόζης αίματος, καλίου αίματος και γλυκόζης ού</w:t>
      </w:r>
      <w:r w:rsidR="003F4886">
        <w:rPr>
          <w:rFonts w:cs="Times New Roman"/>
          <w:lang w:val="el-GR"/>
        </w:rPr>
        <w:t xml:space="preserve">ρων (βλ. παράγραφο 4.8, κεντρική </w:t>
      </w:r>
      <w:r w:rsidRPr="00F13AEB">
        <w:rPr>
          <w:rFonts w:cs="Times New Roman"/>
          <w:lang w:val="el-GR"/>
        </w:rPr>
        <w:t xml:space="preserve">σωληναριοπάθεια). Θα πρέπει επίσης να ληφθεί υπόψη η διακοπή της θεραπείας με </w:t>
      </w:r>
      <w:r w:rsidR="003A6E0D" w:rsidRPr="00F13AEB">
        <w:rPr>
          <w:rFonts w:cs="Times New Roman"/>
          <w:color w:val="000000" w:themeColor="text1"/>
          <w:lang w:val="el-GR"/>
        </w:rPr>
        <w:t>εμτρισιταβίνη</w:t>
      </w:r>
      <w:r w:rsidR="00D43E9B">
        <w:rPr>
          <w:rFonts w:cs="Times New Roman"/>
          <w:color w:val="000000" w:themeColor="text1"/>
          <w:lang w:val="el-GR"/>
        </w:rPr>
        <w:t xml:space="preserve"> και </w:t>
      </w:r>
      <w:r w:rsidR="003A6E0D" w:rsidRPr="00F13AEB">
        <w:rPr>
          <w:rFonts w:cs="Times New Roman"/>
          <w:color w:val="000000" w:themeColor="text1"/>
          <w:lang w:val="el-GR"/>
        </w:rPr>
        <w:t>τενοφοβίρη δισοπρόξιλη</w:t>
      </w:r>
      <w:r w:rsidR="003A6E0D">
        <w:rPr>
          <w:rFonts w:cs="Times New Roman"/>
          <w:lang w:val="el-GR"/>
        </w:rPr>
        <w:t xml:space="preserve"> </w:t>
      </w:r>
      <w:r w:rsidRPr="00F13AEB">
        <w:rPr>
          <w:rFonts w:cs="Times New Roman"/>
          <w:lang w:val="el-GR"/>
        </w:rPr>
        <w:t xml:space="preserve">σε ασθενείς με κάθαρση κρεατινίνης &lt; 50 </w:t>
      </w:r>
      <w:r w:rsidRPr="00F13AEB">
        <w:rPr>
          <w:rFonts w:cs="Times New Roman"/>
        </w:rPr>
        <w:t>ml</w:t>
      </w:r>
      <w:r w:rsidRPr="00F13AEB">
        <w:rPr>
          <w:rFonts w:cs="Times New Roman"/>
          <w:lang w:val="el-GR"/>
        </w:rPr>
        <w:t>/</w:t>
      </w:r>
      <w:r w:rsidRPr="00F13AEB">
        <w:rPr>
          <w:rFonts w:cs="Times New Roman"/>
        </w:rPr>
        <w:t>min</w:t>
      </w:r>
      <w:r w:rsidRPr="00F13AEB">
        <w:rPr>
          <w:rFonts w:cs="Times New Roman"/>
          <w:lang w:val="el-GR"/>
        </w:rPr>
        <w:t xml:space="preserve"> ή μείωση του φωσφόρου</w:t>
      </w:r>
      <w:r w:rsidRPr="00F13AEB">
        <w:rPr>
          <w:rFonts w:cs="Times New Roman"/>
          <w:spacing w:val="11"/>
          <w:lang w:val="el-GR"/>
        </w:rPr>
        <w:t xml:space="preserve"> </w:t>
      </w:r>
      <w:r w:rsidRPr="00F13AEB">
        <w:rPr>
          <w:rFonts w:cs="Times New Roman"/>
          <w:lang w:val="el-GR"/>
        </w:rPr>
        <w:t>ορού</w:t>
      </w:r>
      <w:r w:rsidRPr="009E32D3">
        <w:rPr>
          <w:lang w:val="el-GR"/>
        </w:rPr>
        <w:t xml:space="preserve"> σε &lt; 1,0 </w:t>
      </w:r>
      <w:r>
        <w:t>mg</w:t>
      </w:r>
      <w:r w:rsidRPr="009E32D3">
        <w:rPr>
          <w:lang w:val="el-GR"/>
        </w:rPr>
        <w:t>/</w:t>
      </w:r>
      <w:r>
        <w:t>dl</w:t>
      </w:r>
      <w:r w:rsidRPr="009E32D3">
        <w:rPr>
          <w:lang w:val="el-GR"/>
        </w:rPr>
        <w:t xml:space="preserve"> (0,32 </w:t>
      </w:r>
      <w:r>
        <w:t>mmol</w:t>
      </w:r>
      <w:r w:rsidRPr="009E32D3">
        <w:rPr>
          <w:lang w:val="el-GR"/>
        </w:rPr>
        <w:t>/</w:t>
      </w:r>
      <w:r>
        <w:t>l</w:t>
      </w:r>
      <w:r w:rsidRPr="009E32D3">
        <w:rPr>
          <w:lang w:val="el-GR"/>
        </w:rPr>
        <w:t xml:space="preserve">). Η διακοπή της θεραπείας με </w:t>
      </w:r>
      <w:r w:rsidR="003A6E0D" w:rsidRPr="00F13AEB">
        <w:rPr>
          <w:rFonts w:cs="Times New Roman"/>
          <w:color w:val="000000" w:themeColor="text1"/>
          <w:lang w:val="el-GR"/>
        </w:rPr>
        <w:t>εμτρισιταβίνη</w:t>
      </w:r>
      <w:r w:rsidR="00D43E9B">
        <w:rPr>
          <w:rFonts w:cs="Times New Roman"/>
          <w:color w:val="000000" w:themeColor="text1"/>
          <w:lang w:val="el-GR"/>
        </w:rPr>
        <w:t xml:space="preserve"> και </w:t>
      </w:r>
      <w:r w:rsidR="003A6E0D" w:rsidRPr="00F13AEB">
        <w:rPr>
          <w:rFonts w:cs="Times New Roman"/>
          <w:color w:val="000000" w:themeColor="text1"/>
          <w:lang w:val="el-GR"/>
        </w:rPr>
        <w:t>τενοφοβίρη δισοπρόξιλη</w:t>
      </w:r>
      <w:r w:rsidR="003A6E0D">
        <w:rPr>
          <w:rFonts w:cs="Times New Roman"/>
          <w:lang w:val="el-GR"/>
        </w:rPr>
        <w:t xml:space="preserve"> </w:t>
      </w:r>
      <w:r w:rsidRPr="009E32D3">
        <w:rPr>
          <w:lang w:val="el-GR"/>
        </w:rPr>
        <w:t>θα πρέπει επίσης να</w:t>
      </w:r>
      <w:r w:rsidRPr="009E32D3">
        <w:rPr>
          <w:spacing w:val="-11"/>
          <w:lang w:val="el-GR"/>
        </w:rPr>
        <w:t xml:space="preserve"> </w:t>
      </w:r>
      <w:r w:rsidRPr="009E32D3">
        <w:rPr>
          <w:lang w:val="el-GR"/>
        </w:rPr>
        <w:t>ληφθεί υπόψη στην περίπτωση προοδευτικής μείωσης της νεφρικής λειτουργίας όταν δεν έχει</w:t>
      </w:r>
      <w:r w:rsidRPr="009E32D3">
        <w:rPr>
          <w:spacing w:val="7"/>
          <w:lang w:val="el-GR"/>
        </w:rPr>
        <w:t xml:space="preserve"> </w:t>
      </w:r>
      <w:r w:rsidRPr="009E32D3">
        <w:rPr>
          <w:lang w:val="el-GR"/>
        </w:rPr>
        <w:t>αναγνωριστεί κάποια άλλη</w:t>
      </w:r>
      <w:r w:rsidRPr="009E32D3">
        <w:rPr>
          <w:spacing w:val="-4"/>
          <w:lang w:val="el-GR"/>
        </w:rPr>
        <w:t xml:space="preserve"> </w:t>
      </w:r>
      <w:r w:rsidRPr="009E32D3">
        <w:rPr>
          <w:lang w:val="el-GR"/>
        </w:rPr>
        <w:t>αιτία.</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9E32D3">
        <w:rPr>
          <w:lang w:val="el-GR"/>
        </w:rPr>
        <w:t xml:space="preserve">Η χρήση </w:t>
      </w:r>
      <w:r w:rsidR="003A6E0D" w:rsidRPr="00F13AEB">
        <w:rPr>
          <w:rFonts w:cs="Times New Roman"/>
          <w:color w:val="000000" w:themeColor="text1"/>
          <w:lang w:val="el-GR"/>
        </w:rPr>
        <w:t>εμτρισιταβίνης</w:t>
      </w:r>
      <w:r w:rsidR="007B49E4">
        <w:rPr>
          <w:rFonts w:cs="Times New Roman"/>
          <w:color w:val="000000" w:themeColor="text1"/>
          <w:lang w:val="el-GR"/>
        </w:rPr>
        <w:t xml:space="preserve"> και </w:t>
      </w:r>
      <w:r w:rsidR="003A6E0D" w:rsidRPr="00F13AEB">
        <w:rPr>
          <w:rFonts w:cs="Times New Roman"/>
          <w:color w:val="000000" w:themeColor="text1"/>
          <w:lang w:val="el-GR"/>
        </w:rPr>
        <w:t>τενοφοβίρης δισοπρόξιλης</w:t>
      </w:r>
      <w:r w:rsidRPr="009E32D3">
        <w:rPr>
          <w:lang w:val="el-GR"/>
        </w:rPr>
        <w:t xml:space="preserve"> πρέπει να αποφεύγεται με συγχορήγηση ή πρόσφατη χρήση</w:t>
      </w:r>
      <w:r w:rsidRPr="009E32D3">
        <w:rPr>
          <w:spacing w:val="4"/>
          <w:lang w:val="el-GR"/>
        </w:rPr>
        <w:t xml:space="preserve"> </w:t>
      </w:r>
      <w:r w:rsidRPr="009E32D3">
        <w:rPr>
          <w:lang w:val="el-GR"/>
        </w:rPr>
        <w:t xml:space="preserve">νεφροτοξικού φαρμακευτικού προϊόντος (βλ. παράγραφο 4.5). Αν η ταυτόχρονη χορήγηση </w:t>
      </w:r>
      <w:r w:rsidR="003A6E0D" w:rsidRPr="00F13AEB">
        <w:rPr>
          <w:rFonts w:cs="Times New Roman"/>
          <w:color w:val="000000" w:themeColor="text1"/>
          <w:lang w:val="el-GR"/>
        </w:rPr>
        <w:t>εμτρισιταβίνης</w:t>
      </w:r>
      <w:r w:rsidR="007B49E4">
        <w:rPr>
          <w:rFonts w:cs="Times New Roman"/>
          <w:color w:val="000000" w:themeColor="text1"/>
          <w:lang w:val="el-GR"/>
        </w:rPr>
        <w:t xml:space="preserve"> και </w:t>
      </w:r>
      <w:r w:rsidR="003A6E0D" w:rsidRPr="00F13AEB">
        <w:rPr>
          <w:rFonts w:cs="Times New Roman"/>
          <w:color w:val="000000" w:themeColor="text1"/>
          <w:lang w:val="el-GR"/>
        </w:rPr>
        <w:t>τενοφοβίρης δισοπρόξιλης</w:t>
      </w:r>
      <w:r w:rsidR="003B2F63">
        <w:rPr>
          <w:lang w:val="el-GR"/>
        </w:rPr>
        <w:t xml:space="preserve"> με </w:t>
      </w:r>
      <w:r w:rsidRPr="009E32D3">
        <w:rPr>
          <w:lang w:val="el-GR"/>
        </w:rPr>
        <w:t>νεφροτοξικές ουσίες είναι αναπόφευκτη, η νεφρική λειτουργία των ασθενών θα πρέπει να</w:t>
      </w:r>
      <w:r w:rsidRPr="009E32D3">
        <w:rPr>
          <w:spacing w:val="-46"/>
          <w:lang w:val="el-GR"/>
        </w:rPr>
        <w:t xml:space="preserve"> </w:t>
      </w:r>
      <w:r w:rsidRPr="009E32D3">
        <w:rPr>
          <w:lang w:val="el-GR"/>
        </w:rPr>
        <w:t>παρακολουθείται σε εβδομαδιαία</w:t>
      </w:r>
      <w:r w:rsidRPr="009E32D3">
        <w:rPr>
          <w:spacing w:val="-1"/>
          <w:lang w:val="el-GR"/>
        </w:rPr>
        <w:t xml:space="preserve"> </w:t>
      </w:r>
      <w:r w:rsidRPr="009E32D3">
        <w:rPr>
          <w:lang w:val="el-GR"/>
        </w:rPr>
        <w:t>βάση.</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9E32D3">
        <w:rPr>
          <w:lang w:val="el-GR"/>
        </w:rPr>
        <w:t>Περιπτώσεις</w:t>
      </w:r>
      <w:r w:rsidRPr="009E32D3">
        <w:rPr>
          <w:spacing w:val="-1"/>
          <w:lang w:val="el-GR"/>
        </w:rPr>
        <w:t xml:space="preserve"> </w:t>
      </w:r>
      <w:r w:rsidRPr="009E32D3">
        <w:rPr>
          <w:lang w:val="el-GR"/>
        </w:rPr>
        <w:t>οξείας</w:t>
      </w:r>
      <w:r w:rsidRPr="009E32D3">
        <w:rPr>
          <w:spacing w:val="-1"/>
          <w:lang w:val="el-GR"/>
        </w:rPr>
        <w:t xml:space="preserve"> </w:t>
      </w:r>
      <w:r w:rsidRPr="009E32D3">
        <w:rPr>
          <w:lang w:val="el-GR"/>
        </w:rPr>
        <w:t>νεφρικής</w:t>
      </w:r>
      <w:r w:rsidRPr="009E32D3">
        <w:rPr>
          <w:spacing w:val="-1"/>
          <w:lang w:val="el-GR"/>
        </w:rPr>
        <w:t xml:space="preserve"> </w:t>
      </w:r>
      <w:r w:rsidRPr="009E32D3">
        <w:rPr>
          <w:lang w:val="el-GR"/>
        </w:rPr>
        <w:t>ανεπάρκειας</w:t>
      </w:r>
      <w:r w:rsidRPr="009E32D3">
        <w:rPr>
          <w:spacing w:val="-1"/>
          <w:lang w:val="el-GR"/>
        </w:rPr>
        <w:t xml:space="preserve"> </w:t>
      </w:r>
      <w:r w:rsidRPr="009E32D3">
        <w:rPr>
          <w:lang w:val="el-GR"/>
        </w:rPr>
        <w:t>μετά</w:t>
      </w:r>
      <w:r w:rsidRPr="009E32D3">
        <w:rPr>
          <w:spacing w:val="-1"/>
          <w:lang w:val="el-GR"/>
        </w:rPr>
        <w:t xml:space="preserve"> </w:t>
      </w:r>
      <w:r w:rsidRPr="009E32D3">
        <w:rPr>
          <w:lang w:val="el-GR"/>
        </w:rPr>
        <w:t>την</w:t>
      </w:r>
      <w:r w:rsidRPr="009E32D3">
        <w:rPr>
          <w:spacing w:val="1"/>
          <w:lang w:val="el-GR"/>
        </w:rPr>
        <w:t xml:space="preserve"> </w:t>
      </w:r>
      <w:r w:rsidRPr="009E32D3">
        <w:rPr>
          <w:lang w:val="el-GR"/>
        </w:rPr>
        <w:t>έναρξη</w:t>
      </w:r>
      <w:r w:rsidRPr="009E32D3">
        <w:rPr>
          <w:spacing w:val="-1"/>
          <w:lang w:val="el-GR"/>
        </w:rPr>
        <w:t xml:space="preserve"> </w:t>
      </w:r>
      <w:r w:rsidRPr="009E32D3">
        <w:rPr>
          <w:lang w:val="el-GR"/>
        </w:rPr>
        <w:t>υψηλής</w:t>
      </w:r>
      <w:r w:rsidRPr="009E32D3">
        <w:rPr>
          <w:spacing w:val="-1"/>
          <w:lang w:val="el-GR"/>
        </w:rPr>
        <w:t xml:space="preserve"> </w:t>
      </w:r>
      <w:r w:rsidRPr="009E32D3">
        <w:rPr>
          <w:lang w:val="el-GR"/>
        </w:rPr>
        <w:t>δόσης</w:t>
      </w:r>
      <w:r w:rsidRPr="009E32D3">
        <w:rPr>
          <w:spacing w:val="-1"/>
          <w:lang w:val="el-GR"/>
        </w:rPr>
        <w:t xml:space="preserve"> </w:t>
      </w:r>
      <w:r w:rsidRPr="009E32D3">
        <w:rPr>
          <w:lang w:val="el-GR"/>
        </w:rPr>
        <w:t>ή</w:t>
      </w:r>
      <w:r w:rsidRPr="009E32D3">
        <w:rPr>
          <w:spacing w:val="-1"/>
          <w:lang w:val="el-GR"/>
        </w:rPr>
        <w:t xml:space="preserve"> </w:t>
      </w:r>
      <w:r w:rsidRPr="009E32D3">
        <w:rPr>
          <w:lang w:val="el-GR"/>
        </w:rPr>
        <w:t>πολλαπλών</w:t>
      </w:r>
      <w:r w:rsidRPr="009E32D3">
        <w:rPr>
          <w:spacing w:val="1"/>
          <w:lang w:val="el-GR"/>
        </w:rPr>
        <w:t xml:space="preserve"> </w:t>
      </w:r>
      <w:r w:rsidRPr="009E32D3">
        <w:rPr>
          <w:lang w:val="el-GR"/>
        </w:rPr>
        <w:t>μη</w:t>
      </w:r>
      <w:r w:rsidRPr="009E32D3">
        <w:rPr>
          <w:spacing w:val="-53"/>
          <w:lang w:val="el-GR"/>
        </w:rPr>
        <w:t xml:space="preserve"> </w:t>
      </w:r>
      <w:r w:rsidRPr="009E32D3">
        <w:rPr>
          <w:lang w:val="el-GR"/>
        </w:rPr>
        <w:lastRenderedPageBreak/>
        <w:t>στεροειδών</w:t>
      </w:r>
      <w:r w:rsidRPr="009E32D3">
        <w:rPr>
          <w:spacing w:val="2"/>
          <w:lang w:val="el-GR"/>
        </w:rPr>
        <w:t xml:space="preserve"> </w:t>
      </w:r>
      <w:r w:rsidRPr="009E32D3">
        <w:rPr>
          <w:lang w:val="el-GR"/>
        </w:rPr>
        <w:t>αντιφλεγμονωδών</w:t>
      </w:r>
      <w:r w:rsidRPr="009E32D3">
        <w:rPr>
          <w:spacing w:val="2"/>
          <w:lang w:val="el-GR"/>
        </w:rPr>
        <w:t xml:space="preserve"> </w:t>
      </w:r>
      <w:r w:rsidRPr="009E32D3">
        <w:rPr>
          <w:lang w:val="el-GR"/>
        </w:rPr>
        <w:t>φαρμάκων</w:t>
      </w:r>
      <w:r w:rsidRPr="009E32D3">
        <w:rPr>
          <w:spacing w:val="2"/>
          <w:lang w:val="el-GR"/>
        </w:rPr>
        <w:t xml:space="preserve"> </w:t>
      </w:r>
      <w:r w:rsidRPr="009E32D3">
        <w:rPr>
          <w:lang w:val="el-GR"/>
        </w:rPr>
        <w:t>(ΜΣΑΦ)</w:t>
      </w:r>
      <w:r w:rsidRPr="009E32D3">
        <w:rPr>
          <w:spacing w:val="2"/>
          <w:lang w:val="el-GR"/>
        </w:rPr>
        <w:t xml:space="preserve"> </w:t>
      </w:r>
      <w:r w:rsidRPr="009E32D3">
        <w:rPr>
          <w:lang w:val="el-GR"/>
        </w:rPr>
        <w:t>έχουν</w:t>
      </w:r>
      <w:r w:rsidRPr="009E32D3">
        <w:rPr>
          <w:spacing w:val="2"/>
          <w:lang w:val="el-GR"/>
        </w:rPr>
        <w:t xml:space="preserve"> </w:t>
      </w:r>
      <w:r w:rsidRPr="009E32D3">
        <w:rPr>
          <w:lang w:val="el-GR"/>
        </w:rPr>
        <w:t>αναφερθεί</w:t>
      </w:r>
      <w:r w:rsidRPr="009E32D3">
        <w:rPr>
          <w:spacing w:val="1"/>
          <w:lang w:val="el-GR"/>
        </w:rPr>
        <w:t xml:space="preserve"> </w:t>
      </w:r>
      <w:r w:rsidRPr="009E32D3">
        <w:rPr>
          <w:lang w:val="el-GR"/>
        </w:rPr>
        <w:t>σε</w:t>
      </w:r>
      <w:r w:rsidRPr="009E32D3">
        <w:rPr>
          <w:spacing w:val="2"/>
          <w:lang w:val="el-GR"/>
        </w:rPr>
        <w:t xml:space="preserve"> </w:t>
      </w:r>
      <w:r w:rsidRPr="009E32D3">
        <w:rPr>
          <w:lang w:val="el-GR"/>
        </w:rPr>
        <w:t>ασθενείς οι</w:t>
      </w:r>
      <w:r w:rsidRPr="009E32D3">
        <w:rPr>
          <w:spacing w:val="1"/>
          <w:lang w:val="el-GR"/>
        </w:rPr>
        <w:t xml:space="preserve"> </w:t>
      </w:r>
      <w:r w:rsidRPr="009E32D3">
        <w:rPr>
          <w:lang w:val="el-GR"/>
        </w:rPr>
        <w:t>οποίοι</w:t>
      </w:r>
      <w:r w:rsidRPr="009E32D3">
        <w:rPr>
          <w:spacing w:val="1"/>
          <w:lang w:val="el-GR"/>
        </w:rPr>
        <w:t xml:space="preserve"> </w:t>
      </w:r>
      <w:r w:rsidRPr="009E32D3">
        <w:rPr>
          <w:lang w:val="el-GR"/>
        </w:rPr>
        <w:t>έλαβαν</w:t>
      </w:r>
      <w:r w:rsidRPr="009E32D3">
        <w:rPr>
          <w:spacing w:val="-53"/>
          <w:lang w:val="el-GR"/>
        </w:rPr>
        <w:t xml:space="preserve"> </w:t>
      </w:r>
      <w:r w:rsidRPr="009E32D3">
        <w:rPr>
          <w:lang w:val="el-GR"/>
        </w:rPr>
        <w:t xml:space="preserve">θεραπεία με </w:t>
      </w:r>
      <w:r w:rsidR="003A6E0D">
        <w:rPr>
          <w:lang w:val="el-GR"/>
        </w:rPr>
        <w:t>τενοφοβίρη</w:t>
      </w:r>
      <w:r w:rsidR="003A6E0D" w:rsidRPr="003A6E0D">
        <w:rPr>
          <w:lang w:val="el-GR"/>
        </w:rPr>
        <w:t xml:space="preserve"> </w:t>
      </w:r>
      <w:r w:rsidR="003A6E0D">
        <w:rPr>
          <w:lang w:val="el-GR"/>
        </w:rPr>
        <w:t>δισοπρόξιλη</w:t>
      </w:r>
      <w:r w:rsidRPr="009E32D3">
        <w:rPr>
          <w:lang w:val="el-GR"/>
        </w:rPr>
        <w:t xml:space="preserve"> και με παράγοντες κινδύνου για νεφρική</w:t>
      </w:r>
      <w:r w:rsidRPr="009E32D3">
        <w:rPr>
          <w:spacing w:val="12"/>
          <w:lang w:val="el-GR"/>
        </w:rPr>
        <w:t xml:space="preserve"> </w:t>
      </w:r>
      <w:r w:rsidRPr="009E32D3">
        <w:rPr>
          <w:lang w:val="el-GR"/>
        </w:rPr>
        <w:t xml:space="preserve">δυσλειτουργία. Εάν </w:t>
      </w:r>
      <w:r w:rsidR="007B49E4">
        <w:rPr>
          <w:lang w:val="el-GR"/>
        </w:rPr>
        <w:t>η</w:t>
      </w:r>
      <w:r w:rsidR="00071DB5" w:rsidRPr="00F13AEB">
        <w:rPr>
          <w:rFonts w:cs="Times New Roman"/>
          <w:lang w:val="el-GR"/>
        </w:rPr>
        <w:t xml:space="preserve"> </w:t>
      </w:r>
      <w:r w:rsidR="00071DB5" w:rsidRPr="00F13AEB">
        <w:rPr>
          <w:rFonts w:cs="Times New Roman"/>
          <w:color w:val="000000" w:themeColor="text1"/>
          <w:lang w:val="el-GR"/>
        </w:rPr>
        <w:t>εμτρισιταβίνη</w:t>
      </w:r>
      <w:r w:rsidR="007B49E4">
        <w:rPr>
          <w:rFonts w:cs="Times New Roman"/>
          <w:color w:val="000000" w:themeColor="text1"/>
          <w:lang w:val="el-GR"/>
        </w:rPr>
        <w:t xml:space="preserve"> και </w:t>
      </w:r>
      <w:r w:rsidR="00071DB5" w:rsidRPr="00F13AEB">
        <w:rPr>
          <w:rFonts w:cs="Times New Roman"/>
          <w:color w:val="000000" w:themeColor="text1"/>
          <w:lang w:val="el-GR"/>
        </w:rPr>
        <w:t>τενοφοβίρη δισοπρόξιλη</w:t>
      </w:r>
      <w:r w:rsidR="00071DB5">
        <w:rPr>
          <w:rFonts w:cs="Times New Roman"/>
          <w:lang w:val="el-GR"/>
        </w:rPr>
        <w:t xml:space="preserve"> </w:t>
      </w:r>
      <w:r w:rsidRPr="009E32D3">
        <w:rPr>
          <w:lang w:val="el-GR"/>
        </w:rPr>
        <w:t>συγχορηγείται με ένα ΜΣΑΦ, η νεφρική λειτουργία θα πρέπει να</w:t>
      </w:r>
      <w:r w:rsidRPr="009E32D3">
        <w:rPr>
          <w:spacing w:val="5"/>
          <w:lang w:val="el-GR"/>
        </w:rPr>
        <w:t xml:space="preserve"> </w:t>
      </w:r>
      <w:r w:rsidRPr="009E32D3">
        <w:rPr>
          <w:lang w:val="el-GR"/>
        </w:rPr>
        <w:t>παρακολουθείται επαρκώς.</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F36DB7" w:rsidP="009E32D3">
      <w:pPr>
        <w:pStyle w:val="a3"/>
        <w:spacing w:line="244" w:lineRule="auto"/>
        <w:ind w:left="0" w:right="-66"/>
        <w:rPr>
          <w:lang w:val="el-GR"/>
        </w:rPr>
      </w:pPr>
      <w:r w:rsidRPr="00F36DB7">
        <w:rPr>
          <w:lang w:val="el-GR"/>
        </w:rPr>
        <w:t>Υψηλότερος κίνδυνος νεφρικής δυσλειτουργίας έχει αναφερθεί σε ασθενείς που έλαβαν τενοφοβίρη δισοπρόξιλη σε συνδυασμό με αναστολέα πρωτεάσης ενισχυμένο με ριτοναβίρη ή κομπισιστάτη. Απαιτείται στενή παρακολούθηση της νεφρικής λειτουργίας σε αυτούς τους ασθενείς (βλ. παράγραφο 4.5). Σε ασθενείς με νεφρικούς παράγοντες κινδύνου, η συγχορήγηση της τενοφοβίρης δισοπρόξιλης με ενισχυμένο αναστολέα πρωτεάσης θα πρέπει να αξιολογείται προσεκτικά.</w:t>
      </w:r>
    </w:p>
    <w:p w:rsidR="00C8267E" w:rsidRPr="00C00C24" w:rsidRDefault="00C8267E" w:rsidP="009E32D3">
      <w:pPr>
        <w:pStyle w:val="a3"/>
        <w:spacing w:before="55"/>
        <w:ind w:left="0" w:right="-66"/>
        <w:rPr>
          <w:u w:val="single" w:color="000000"/>
          <w:lang w:val="el-GR"/>
        </w:rPr>
      </w:pPr>
    </w:p>
    <w:p w:rsidR="00645378" w:rsidRPr="009E32D3" w:rsidRDefault="007134E2" w:rsidP="009E32D3">
      <w:pPr>
        <w:pStyle w:val="a3"/>
        <w:spacing w:before="55"/>
        <w:ind w:left="0" w:right="-66"/>
        <w:rPr>
          <w:lang w:val="el-GR"/>
        </w:rPr>
      </w:pPr>
      <w:r w:rsidRPr="009E32D3">
        <w:rPr>
          <w:u w:val="single" w:color="000000"/>
          <w:lang w:val="el-GR"/>
        </w:rPr>
        <w:t xml:space="preserve">Ασθενείς με </w:t>
      </w:r>
      <w:r>
        <w:rPr>
          <w:u w:val="single" w:color="000000"/>
        </w:rPr>
        <w:t>HIV</w:t>
      </w:r>
      <w:r w:rsidRPr="009E32D3">
        <w:rPr>
          <w:u w:val="single" w:color="000000"/>
          <w:lang w:val="el-GR"/>
        </w:rPr>
        <w:t>-1 λοίμωξη και με στελέχη που περιλαμβάνουν</w:t>
      </w:r>
      <w:r w:rsidRPr="009E32D3">
        <w:rPr>
          <w:spacing w:val="-3"/>
          <w:u w:val="single" w:color="000000"/>
          <w:lang w:val="el-GR"/>
        </w:rPr>
        <w:t xml:space="preserve"> </w:t>
      </w:r>
      <w:r w:rsidRPr="009E32D3">
        <w:rPr>
          <w:u w:val="single" w:color="000000"/>
          <w:lang w:val="el-GR"/>
        </w:rPr>
        <w:t>μεταλλάξεις</w:t>
      </w:r>
    </w:p>
    <w:p w:rsidR="00645378" w:rsidRPr="009E32D3" w:rsidRDefault="00296577" w:rsidP="009E32D3">
      <w:pPr>
        <w:pStyle w:val="a3"/>
        <w:spacing w:before="6" w:line="244" w:lineRule="auto"/>
        <w:ind w:left="0" w:right="-66"/>
        <w:rPr>
          <w:lang w:val="el-GR"/>
        </w:rPr>
      </w:pPr>
      <w:r>
        <w:rPr>
          <w:rFonts w:cs="Times New Roman"/>
          <w:color w:val="000000" w:themeColor="text1"/>
          <w:lang w:val="el-GR"/>
        </w:rPr>
        <w:t>Η</w:t>
      </w:r>
      <w:r w:rsidR="005F11C3">
        <w:rPr>
          <w:rFonts w:cs="Times New Roman"/>
          <w:color w:val="000000" w:themeColor="text1"/>
          <w:lang w:val="el-GR"/>
        </w:rPr>
        <w:t xml:space="preserve"> </w:t>
      </w:r>
      <w:r w:rsidR="005F11C3" w:rsidRPr="00F13AEB">
        <w:rPr>
          <w:rFonts w:cs="Times New Roman"/>
          <w:color w:val="000000" w:themeColor="text1"/>
          <w:lang w:val="el-GR"/>
        </w:rPr>
        <w:t>εμτρισιταβίνη</w:t>
      </w:r>
      <w:r>
        <w:rPr>
          <w:rFonts w:cs="Times New Roman"/>
          <w:color w:val="000000" w:themeColor="text1"/>
          <w:lang w:val="el-GR"/>
        </w:rPr>
        <w:t xml:space="preserve"> και </w:t>
      </w:r>
      <w:r w:rsidR="005F11C3" w:rsidRPr="00F13AEB">
        <w:rPr>
          <w:rFonts w:cs="Times New Roman"/>
          <w:color w:val="000000" w:themeColor="text1"/>
          <w:lang w:val="el-GR"/>
        </w:rPr>
        <w:t>τενοφοβίρη δισοπρόξιλη</w:t>
      </w:r>
      <w:r w:rsidR="007134E2" w:rsidRPr="009E32D3">
        <w:rPr>
          <w:lang w:val="el-GR"/>
        </w:rPr>
        <w:t xml:space="preserve"> πρέπει να αποφεύγεται σε ασθενείς που έχουν λάβει προηγουμένως</w:t>
      </w:r>
      <w:r w:rsidR="007134E2" w:rsidRPr="009E32D3">
        <w:rPr>
          <w:spacing w:val="11"/>
          <w:lang w:val="el-GR"/>
        </w:rPr>
        <w:t xml:space="preserve"> </w:t>
      </w:r>
      <w:r w:rsidR="007134E2" w:rsidRPr="009E32D3">
        <w:rPr>
          <w:lang w:val="el-GR"/>
        </w:rPr>
        <w:t xml:space="preserve">αντιρετροϊκή θεραπεία με </w:t>
      </w:r>
      <w:r w:rsidR="007134E2">
        <w:t>HIV</w:t>
      </w:r>
      <w:r w:rsidR="007134E2" w:rsidRPr="009E32D3">
        <w:rPr>
          <w:lang w:val="el-GR"/>
        </w:rPr>
        <w:t xml:space="preserve">-1 λοίμωξη και με στελέχη που περιλαμβάνουν την </w:t>
      </w:r>
      <w:r w:rsidR="007134E2">
        <w:t>K</w:t>
      </w:r>
      <w:r w:rsidR="007134E2" w:rsidRPr="009E32D3">
        <w:rPr>
          <w:lang w:val="el-GR"/>
        </w:rPr>
        <w:t>65</w:t>
      </w:r>
      <w:r w:rsidR="007134E2">
        <w:t>R</w:t>
      </w:r>
      <w:r w:rsidR="007134E2" w:rsidRPr="009E32D3">
        <w:rPr>
          <w:lang w:val="el-GR"/>
        </w:rPr>
        <w:t xml:space="preserve"> μετάλλαξη (βλ</w:t>
      </w:r>
      <w:r w:rsidR="007134E2" w:rsidRPr="009E32D3">
        <w:rPr>
          <w:i/>
          <w:lang w:val="el-GR"/>
        </w:rPr>
        <w:t xml:space="preserve">. </w:t>
      </w:r>
      <w:r w:rsidR="007134E2" w:rsidRPr="009E32D3">
        <w:rPr>
          <w:lang w:val="el-GR"/>
        </w:rPr>
        <w:t>παράγραφο</w:t>
      </w:r>
      <w:r w:rsidR="007134E2" w:rsidRPr="009E32D3">
        <w:rPr>
          <w:spacing w:val="-2"/>
          <w:lang w:val="el-GR"/>
        </w:rPr>
        <w:t xml:space="preserve"> </w:t>
      </w:r>
      <w:r w:rsidR="007134E2" w:rsidRPr="009E32D3">
        <w:rPr>
          <w:lang w:val="el-GR"/>
        </w:rPr>
        <w:t>5.1).</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ind w:left="0" w:right="-66"/>
        <w:rPr>
          <w:lang w:val="el-GR"/>
        </w:rPr>
      </w:pPr>
      <w:r w:rsidRPr="009E32D3">
        <w:rPr>
          <w:u w:val="single" w:color="000000"/>
          <w:lang w:val="el-GR"/>
        </w:rPr>
        <w:t>Επιδράσεις στα</w:t>
      </w:r>
      <w:r w:rsidRPr="009E32D3">
        <w:rPr>
          <w:spacing w:val="-2"/>
          <w:u w:val="single" w:color="000000"/>
          <w:lang w:val="el-GR"/>
        </w:rPr>
        <w:t xml:space="preserve"> </w:t>
      </w:r>
      <w:r w:rsidRPr="009E32D3">
        <w:rPr>
          <w:u w:val="single" w:color="000000"/>
          <w:lang w:val="el-GR"/>
        </w:rPr>
        <w:t>οστά</w:t>
      </w:r>
    </w:p>
    <w:p w:rsidR="00645378" w:rsidRDefault="00F36DB7" w:rsidP="009E32D3">
      <w:pPr>
        <w:spacing w:before="1"/>
        <w:ind w:right="-66"/>
        <w:rPr>
          <w:rFonts w:ascii="Times New Roman" w:eastAsia="Times New Roman" w:hAnsi="Times New Roman"/>
          <w:lang w:val="el-GR"/>
        </w:rPr>
      </w:pPr>
      <w:r w:rsidRPr="00F36DB7">
        <w:rPr>
          <w:rFonts w:ascii="Times New Roman" w:eastAsia="Times New Roman" w:hAnsi="Times New Roman"/>
          <w:lang w:val="el-GR"/>
        </w:rPr>
        <w:t>Σε ελεγχόμενη κλινική μελέτη διάρκειας 144 εβδομάδων κατά την οποία συγκρίθηκαν η τενοφοβίρη δισοπρόξιλη με τη σταβουδίνη χορηγούμενα σε συνδυασμό με λαμιβουδίνη και εφαβιρένζη σε πρωτοθεραπευόμενους με αντιρετροϊκή θεραπεία ασθενείς, παρατηρήθηκαν μικρές μειώσεις της οστικής πυκνότητας στο ισχίο και στη σπονδυλική στήλη και στις δύο ομάδες θεραπείας. Οι μειώσεις της οστικής πυκνότητας στη σπονδυλική στήλη και οι μεταβολές των βιοχημικών δεικτών των οστών από την έναρξη της μελέτης, ήταν σημαντικά μεγαλύτερες στην ομάδα θεραπείας με την τενοφοβίρη δισοπρόξιλη την 144η εβδομάδα. Οι μειώσεις της οστικής πυκνότητας στο ισχίο ήταν σημαντικά μεγαλύτερες στην ομάδα αυτή μέχρι την 96η εβδομάδα. Εν τούτοις, δεν υπήρξε αυξημένος κίνδυνος καταγμάτων ή ένδειξη για κλινικά συσχετιζόμενες οστικές διαταραχές καθ’ όλη την περίοδο των 144 εβδομάδων.</w:t>
      </w:r>
    </w:p>
    <w:p w:rsidR="00F36DB7" w:rsidRPr="00071DB5" w:rsidRDefault="00F36DB7" w:rsidP="009E32D3">
      <w:pPr>
        <w:spacing w:before="1"/>
        <w:ind w:right="-66"/>
        <w:rPr>
          <w:rFonts w:ascii="Times New Roman" w:eastAsia="Times New Roman" w:hAnsi="Times New Roman" w:cs="Times New Roman"/>
          <w:sz w:val="23"/>
          <w:szCs w:val="23"/>
          <w:lang w:val="el-GR"/>
        </w:rPr>
      </w:pPr>
    </w:p>
    <w:p w:rsidR="00071DB5" w:rsidRPr="00071DB5" w:rsidRDefault="000402D1" w:rsidP="00071DB5">
      <w:pPr>
        <w:rPr>
          <w:rFonts w:ascii="Times New Roman" w:hAnsi="Times New Roman" w:cs="Times New Roman"/>
          <w:color w:val="000000" w:themeColor="text1"/>
          <w:lang w:val="el-GR"/>
        </w:rPr>
      </w:pPr>
      <w:r>
        <w:rPr>
          <w:rFonts w:ascii="Times New Roman" w:hAnsi="Times New Roman" w:cs="Times New Roman"/>
          <w:color w:val="000000" w:themeColor="text1"/>
          <w:lang w:val="el-GR"/>
        </w:rPr>
        <w:t>Σε άλλες μελέτες (</w:t>
      </w:r>
      <w:r w:rsidR="00071DB5" w:rsidRPr="00071DB5">
        <w:rPr>
          <w:rFonts w:ascii="Times New Roman" w:hAnsi="Times New Roman" w:cs="Times New Roman"/>
          <w:color w:val="000000" w:themeColor="text1"/>
          <w:lang w:val="el-GR"/>
        </w:rPr>
        <w:t xml:space="preserve">προοπτικές και συγχρονικές), </w:t>
      </w:r>
      <w:r w:rsidR="00296577">
        <w:rPr>
          <w:rFonts w:ascii="Times New Roman" w:hAnsi="Times New Roman" w:cs="Times New Roman"/>
          <w:color w:val="000000" w:themeColor="text1"/>
          <w:lang w:val="el-GR"/>
        </w:rPr>
        <w:t>οι πιο έντονες μειώσεις</w:t>
      </w:r>
      <w:r w:rsidR="00071DB5" w:rsidRPr="00071DB5">
        <w:rPr>
          <w:rFonts w:ascii="Times New Roman" w:hAnsi="Times New Roman" w:cs="Times New Roman"/>
          <w:color w:val="000000" w:themeColor="text1"/>
          <w:lang w:val="el-GR"/>
        </w:rPr>
        <w:t xml:space="preserve"> </w:t>
      </w:r>
      <w:r w:rsidR="00296577">
        <w:rPr>
          <w:rFonts w:ascii="Times New Roman" w:hAnsi="Times New Roman" w:cs="Times New Roman"/>
          <w:color w:val="000000" w:themeColor="text1"/>
          <w:lang w:val="el-GR"/>
        </w:rPr>
        <w:t>σ</w:t>
      </w:r>
      <w:r w:rsidR="00071DB5" w:rsidRPr="00071DB5">
        <w:rPr>
          <w:rFonts w:ascii="Times New Roman" w:hAnsi="Times New Roman" w:cs="Times New Roman"/>
          <w:color w:val="000000" w:themeColor="text1"/>
          <w:lang w:val="el-GR"/>
        </w:rPr>
        <w:t>τη</w:t>
      </w:r>
      <w:r w:rsidR="00296577">
        <w:rPr>
          <w:rFonts w:ascii="Times New Roman" w:hAnsi="Times New Roman" w:cs="Times New Roman"/>
          <w:color w:val="000000" w:themeColor="text1"/>
          <w:lang w:val="el-GR"/>
        </w:rPr>
        <w:t>ν</w:t>
      </w:r>
      <w:r w:rsidR="00071DB5" w:rsidRPr="00071DB5">
        <w:rPr>
          <w:rFonts w:ascii="Times New Roman" w:hAnsi="Times New Roman" w:cs="Times New Roman"/>
          <w:color w:val="000000" w:themeColor="text1"/>
          <w:lang w:val="el-GR"/>
        </w:rPr>
        <w:t xml:space="preserve"> οστική πυκνότητα</w:t>
      </w:r>
      <w:r w:rsidR="00296577">
        <w:rPr>
          <w:rFonts w:ascii="Times New Roman" w:hAnsi="Times New Roman" w:cs="Times New Roman"/>
          <w:color w:val="000000" w:themeColor="text1"/>
          <w:lang w:val="el-GR"/>
        </w:rPr>
        <w:t xml:space="preserve"> (ΟΠ)</w:t>
      </w:r>
      <w:r w:rsidR="00071DB5" w:rsidRPr="00071DB5">
        <w:rPr>
          <w:rFonts w:ascii="Times New Roman" w:hAnsi="Times New Roman" w:cs="Times New Roman"/>
          <w:color w:val="000000" w:themeColor="text1"/>
          <w:lang w:val="el-GR"/>
        </w:rPr>
        <w:t xml:space="preserve"> </w:t>
      </w:r>
      <w:r w:rsidR="00296577" w:rsidRPr="00071DB5">
        <w:rPr>
          <w:rFonts w:ascii="Times New Roman" w:hAnsi="Times New Roman" w:cs="Times New Roman"/>
          <w:color w:val="000000" w:themeColor="text1"/>
          <w:lang w:val="el-GR"/>
        </w:rPr>
        <w:t>παρατηρήθηκ</w:t>
      </w:r>
      <w:r w:rsidR="00296577">
        <w:rPr>
          <w:rFonts w:ascii="Times New Roman" w:hAnsi="Times New Roman" w:cs="Times New Roman"/>
          <w:color w:val="000000" w:themeColor="text1"/>
          <w:lang w:val="el-GR"/>
        </w:rPr>
        <w:t>αν</w:t>
      </w:r>
      <w:r w:rsidR="00296577" w:rsidRPr="00071DB5">
        <w:rPr>
          <w:rFonts w:ascii="Times New Roman" w:hAnsi="Times New Roman" w:cs="Times New Roman"/>
          <w:color w:val="000000" w:themeColor="text1"/>
          <w:lang w:val="el-GR"/>
        </w:rPr>
        <w:t xml:space="preserve"> σ</w:t>
      </w:r>
      <w:r w:rsidR="00296577">
        <w:rPr>
          <w:rFonts w:ascii="Times New Roman" w:hAnsi="Times New Roman" w:cs="Times New Roman"/>
          <w:color w:val="000000" w:themeColor="text1"/>
          <w:lang w:val="el-GR"/>
        </w:rPr>
        <w:t>ε</w:t>
      </w:r>
      <w:r w:rsidR="00296577" w:rsidRPr="00071DB5">
        <w:rPr>
          <w:rFonts w:ascii="Times New Roman" w:hAnsi="Times New Roman" w:cs="Times New Roman"/>
          <w:color w:val="000000" w:themeColor="text1"/>
          <w:lang w:val="el-GR"/>
        </w:rPr>
        <w:t xml:space="preserve"> </w:t>
      </w:r>
      <w:r w:rsidR="00071DB5" w:rsidRPr="00071DB5">
        <w:rPr>
          <w:rFonts w:ascii="Times New Roman" w:hAnsi="Times New Roman" w:cs="Times New Roman"/>
          <w:color w:val="000000" w:themeColor="text1"/>
          <w:lang w:val="el-GR"/>
        </w:rPr>
        <w:t xml:space="preserve">ασθενείς που </w:t>
      </w:r>
      <w:r w:rsidR="00296577">
        <w:rPr>
          <w:rFonts w:ascii="Times New Roman" w:hAnsi="Times New Roman" w:cs="Times New Roman"/>
          <w:color w:val="000000" w:themeColor="text1"/>
          <w:lang w:val="el-GR"/>
        </w:rPr>
        <w:t>υποβλήθηκαν σε θεραπεία με</w:t>
      </w:r>
      <w:r w:rsidR="00296577" w:rsidRPr="00071DB5">
        <w:rPr>
          <w:rFonts w:ascii="Times New Roman" w:hAnsi="Times New Roman" w:cs="Times New Roman"/>
          <w:color w:val="000000" w:themeColor="text1"/>
          <w:lang w:val="el-GR"/>
        </w:rPr>
        <w:t xml:space="preserve"> </w:t>
      </w:r>
      <w:r w:rsidR="00071DB5" w:rsidRPr="00071DB5">
        <w:rPr>
          <w:rFonts w:ascii="Times New Roman" w:hAnsi="Times New Roman" w:cs="Times New Roman"/>
          <w:color w:val="000000" w:themeColor="text1"/>
          <w:lang w:val="el-GR"/>
        </w:rPr>
        <w:t xml:space="preserve">τενοφοβίρη δισοπρόξιλη </w:t>
      </w:r>
      <w:r w:rsidR="00296577">
        <w:rPr>
          <w:rFonts w:ascii="Times New Roman" w:hAnsi="Times New Roman" w:cs="Times New Roman"/>
          <w:color w:val="000000" w:themeColor="text1"/>
          <w:lang w:val="el-GR"/>
        </w:rPr>
        <w:t xml:space="preserve">ως μέρος ενός θεραπευτικού σχήματος </w:t>
      </w:r>
      <w:r w:rsidR="00071DB5" w:rsidRPr="00071DB5">
        <w:rPr>
          <w:rFonts w:ascii="Times New Roman" w:hAnsi="Times New Roman" w:cs="Times New Roman"/>
          <w:color w:val="000000" w:themeColor="text1"/>
          <w:lang w:val="el-GR"/>
        </w:rPr>
        <w:t xml:space="preserve">που </w:t>
      </w:r>
      <w:r w:rsidR="00296577">
        <w:rPr>
          <w:rFonts w:ascii="Times New Roman" w:hAnsi="Times New Roman" w:cs="Times New Roman"/>
          <w:color w:val="000000" w:themeColor="text1"/>
          <w:lang w:val="el-GR"/>
        </w:rPr>
        <w:t xml:space="preserve">περιείχε </w:t>
      </w:r>
      <w:r w:rsidR="00071DB5" w:rsidRPr="00071DB5">
        <w:rPr>
          <w:rFonts w:ascii="Times New Roman" w:hAnsi="Times New Roman" w:cs="Times New Roman"/>
          <w:color w:val="000000" w:themeColor="text1"/>
          <w:lang w:val="el-GR"/>
        </w:rPr>
        <w:t xml:space="preserve">ενισχυμένο αναστολέα πρωτεάσης. Θα πρέπει να </w:t>
      </w:r>
      <w:r w:rsidR="00296577">
        <w:rPr>
          <w:rFonts w:ascii="Times New Roman" w:hAnsi="Times New Roman" w:cs="Times New Roman"/>
          <w:color w:val="000000" w:themeColor="text1"/>
          <w:lang w:val="el-GR"/>
        </w:rPr>
        <w:t>εξετάζονται</w:t>
      </w:r>
      <w:r w:rsidR="00071DB5" w:rsidRPr="00071DB5">
        <w:rPr>
          <w:rFonts w:ascii="Times New Roman" w:hAnsi="Times New Roman" w:cs="Times New Roman"/>
          <w:color w:val="000000" w:themeColor="text1"/>
          <w:lang w:val="el-GR"/>
        </w:rPr>
        <w:t xml:space="preserve"> εναλλακτικά θεραπευτικά σχήματα για τους ασθενείς με οστεοπόρωση οι οποίοι έχουν υψηλό κίνδυνο για κατάγματα.</w:t>
      </w:r>
    </w:p>
    <w:p w:rsidR="00071DB5" w:rsidRPr="00071DB5" w:rsidRDefault="00071DB5" w:rsidP="009E32D3">
      <w:pPr>
        <w:spacing w:before="1"/>
        <w:ind w:right="-66"/>
        <w:rPr>
          <w:rFonts w:ascii="Times New Roman" w:eastAsia="Times New Roman" w:hAnsi="Times New Roman" w:cs="Times New Roman"/>
          <w:sz w:val="23"/>
          <w:szCs w:val="23"/>
          <w:lang w:val="el-GR"/>
        </w:rPr>
      </w:pPr>
    </w:p>
    <w:p w:rsidR="00645378" w:rsidRPr="009E32D3" w:rsidRDefault="007134E2" w:rsidP="009E32D3">
      <w:pPr>
        <w:pStyle w:val="a3"/>
        <w:spacing w:line="244" w:lineRule="auto"/>
        <w:ind w:left="0" w:right="-66"/>
        <w:rPr>
          <w:lang w:val="el-GR"/>
        </w:rPr>
      </w:pPr>
      <w:r w:rsidRPr="00071DB5">
        <w:rPr>
          <w:rFonts w:cs="Times New Roman"/>
          <w:lang w:val="el-GR"/>
        </w:rPr>
        <w:t>Οστικές διαταραχές (που συμβάλλουν όχι συχνά σε κατάγματα) μπορεί να σχετίζονται με</w:t>
      </w:r>
      <w:r w:rsidRPr="00071DB5">
        <w:rPr>
          <w:rFonts w:cs="Times New Roman"/>
          <w:spacing w:val="10"/>
          <w:lang w:val="el-GR"/>
        </w:rPr>
        <w:t xml:space="preserve"> </w:t>
      </w:r>
      <w:r w:rsidRPr="00071DB5">
        <w:rPr>
          <w:rFonts w:cs="Times New Roman"/>
          <w:lang w:val="el-GR"/>
        </w:rPr>
        <w:t>κεντρική νεφρική σωληναριοπάθεια (βλ. παράγραφο 4.8). Επί υπόνοιας οστικών διαταραχών πρέπει</w:t>
      </w:r>
      <w:r w:rsidRPr="00071DB5">
        <w:rPr>
          <w:rFonts w:cs="Times New Roman"/>
          <w:spacing w:val="-1"/>
          <w:lang w:val="el-GR"/>
        </w:rPr>
        <w:t xml:space="preserve"> </w:t>
      </w:r>
      <w:r w:rsidRPr="00071DB5">
        <w:rPr>
          <w:rFonts w:cs="Times New Roman"/>
          <w:lang w:val="el-GR"/>
        </w:rPr>
        <w:t>να διενεργείται η κατάλ</w:t>
      </w:r>
      <w:r w:rsidRPr="009E32D3">
        <w:rPr>
          <w:lang w:val="el-GR"/>
        </w:rPr>
        <w:t>ληλη εξέταση.</w:t>
      </w:r>
    </w:p>
    <w:p w:rsidR="00645378" w:rsidRPr="009E32D3" w:rsidRDefault="00645378" w:rsidP="009E32D3">
      <w:pPr>
        <w:spacing w:before="7"/>
        <w:ind w:right="-66"/>
        <w:rPr>
          <w:rFonts w:ascii="Times New Roman" w:eastAsia="Times New Roman" w:hAnsi="Times New Roman" w:cs="Times New Roman"/>
          <w:lang w:val="el-GR"/>
        </w:rPr>
      </w:pPr>
    </w:p>
    <w:p w:rsidR="00645378" w:rsidRPr="009E32D3" w:rsidRDefault="007134E2" w:rsidP="009E32D3">
      <w:pPr>
        <w:pStyle w:val="a3"/>
        <w:ind w:left="0" w:right="-66"/>
        <w:rPr>
          <w:lang w:val="el-GR"/>
        </w:rPr>
      </w:pPr>
      <w:r w:rsidRPr="009E32D3">
        <w:rPr>
          <w:u w:val="single" w:color="000000"/>
          <w:lang w:val="el-GR"/>
        </w:rPr>
        <w:t xml:space="preserve">Ασθενείς με συνυπάρχουσα λοίμωξη από τον ιό </w:t>
      </w:r>
      <w:r>
        <w:rPr>
          <w:spacing w:val="-2"/>
          <w:u w:val="single" w:color="000000"/>
        </w:rPr>
        <w:t>HIV</w:t>
      </w:r>
      <w:r w:rsidRPr="009E32D3">
        <w:rPr>
          <w:spacing w:val="-2"/>
          <w:u w:val="single" w:color="000000"/>
          <w:lang w:val="el-GR"/>
        </w:rPr>
        <w:t xml:space="preserve"> </w:t>
      </w:r>
      <w:r w:rsidRPr="009E32D3">
        <w:rPr>
          <w:u w:val="single" w:color="000000"/>
          <w:lang w:val="el-GR"/>
        </w:rPr>
        <w:t>και τον ιό της ηπατίτιδας Β ή</w:t>
      </w:r>
      <w:r w:rsidRPr="009E32D3">
        <w:rPr>
          <w:spacing w:val="5"/>
          <w:u w:val="single" w:color="000000"/>
          <w:lang w:val="el-GR"/>
        </w:rPr>
        <w:t xml:space="preserve"> </w:t>
      </w:r>
      <w:r>
        <w:rPr>
          <w:u w:val="single" w:color="000000"/>
        </w:rPr>
        <w:t>C</w:t>
      </w:r>
    </w:p>
    <w:p w:rsidR="00645378" w:rsidRPr="009E32D3" w:rsidRDefault="007134E2" w:rsidP="009E32D3">
      <w:pPr>
        <w:pStyle w:val="a3"/>
        <w:spacing w:before="6" w:line="244" w:lineRule="auto"/>
        <w:ind w:left="0" w:right="-66"/>
        <w:rPr>
          <w:lang w:val="el-GR"/>
        </w:rPr>
      </w:pPr>
      <w:r w:rsidRPr="009E32D3">
        <w:rPr>
          <w:lang w:val="el-GR"/>
        </w:rPr>
        <w:t xml:space="preserve">Ασθενείς με χρόνια ηπατίτιδα Β ή </w:t>
      </w:r>
      <w:r>
        <w:t>C</w:t>
      </w:r>
      <w:r w:rsidRPr="009E32D3">
        <w:rPr>
          <w:lang w:val="el-GR"/>
        </w:rPr>
        <w:t xml:space="preserve"> οι οποίοι λαμβάνουν αντιρετροϊκή αγωγή έχουν</w:t>
      </w:r>
      <w:r w:rsidRPr="009E32D3">
        <w:rPr>
          <w:spacing w:val="8"/>
          <w:lang w:val="el-GR"/>
        </w:rPr>
        <w:t xml:space="preserve"> </w:t>
      </w:r>
      <w:r w:rsidRPr="009E32D3">
        <w:rPr>
          <w:lang w:val="el-GR"/>
        </w:rPr>
        <w:t>αυξημένο κίνδυνο εμφάνισης σοβαρών και δυνητικά θανατηφόρων ηπατικών ανεπιθύμητων</w:t>
      </w:r>
      <w:r w:rsidRPr="009E32D3">
        <w:rPr>
          <w:spacing w:val="12"/>
          <w:lang w:val="el-GR"/>
        </w:rPr>
        <w:t xml:space="preserve"> </w:t>
      </w:r>
      <w:r w:rsidRPr="009E32D3">
        <w:rPr>
          <w:lang w:val="el-GR"/>
        </w:rPr>
        <w:t>ενεργειών.</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jc w:val="both"/>
        <w:rPr>
          <w:lang w:val="el-GR"/>
        </w:rPr>
      </w:pPr>
      <w:r w:rsidRPr="009E32D3">
        <w:rPr>
          <w:lang w:val="el-GR"/>
        </w:rPr>
        <w:t>Οι γιατροί πρέπει να ανατρέχουν στις τρέχουσες κατευθυντήριες οδηγίες των αγωγών κατά του</w:t>
      </w:r>
      <w:r w:rsidRPr="009E32D3">
        <w:rPr>
          <w:spacing w:val="16"/>
          <w:lang w:val="el-GR"/>
        </w:rPr>
        <w:t xml:space="preserve"> </w:t>
      </w:r>
      <w:r>
        <w:rPr>
          <w:spacing w:val="-2"/>
        </w:rPr>
        <w:t>HIV</w:t>
      </w:r>
      <w:r w:rsidRPr="009E32D3">
        <w:rPr>
          <w:lang w:val="el-GR"/>
        </w:rPr>
        <w:t xml:space="preserve"> για τη βέλτιστη διαχείριση της </w:t>
      </w:r>
      <w:r>
        <w:rPr>
          <w:spacing w:val="-2"/>
        </w:rPr>
        <w:t>HIV</w:t>
      </w:r>
      <w:r w:rsidRPr="009E32D3">
        <w:rPr>
          <w:spacing w:val="-2"/>
          <w:lang w:val="el-GR"/>
        </w:rPr>
        <w:t xml:space="preserve"> </w:t>
      </w:r>
      <w:r w:rsidRPr="009E32D3">
        <w:rPr>
          <w:lang w:val="el-GR"/>
        </w:rPr>
        <w:t>λοίμωξης σε ασθενείς με συνυπάρχουσα λοίμωξη από τον ιό</w:t>
      </w:r>
      <w:r w:rsidRPr="009E32D3">
        <w:rPr>
          <w:spacing w:val="14"/>
          <w:lang w:val="el-GR"/>
        </w:rPr>
        <w:t xml:space="preserve"> </w:t>
      </w:r>
      <w:r w:rsidRPr="009E32D3">
        <w:rPr>
          <w:lang w:val="el-GR"/>
        </w:rPr>
        <w:t>της ηπατίτιδας Β</w:t>
      </w:r>
      <w:r w:rsidRPr="009E32D3">
        <w:rPr>
          <w:spacing w:val="-4"/>
          <w:lang w:val="el-GR"/>
        </w:rPr>
        <w:t xml:space="preserve"> </w:t>
      </w:r>
      <w:r w:rsidRPr="009E32D3">
        <w:rPr>
          <w:lang w:val="el-GR"/>
        </w:rPr>
        <w:t>(</w:t>
      </w:r>
      <w:r>
        <w:t>HBV</w:t>
      </w:r>
      <w:r w:rsidRPr="009E32D3">
        <w:rPr>
          <w:lang w:val="el-GR"/>
        </w:rPr>
        <w:t>).</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9E32D3">
        <w:rPr>
          <w:lang w:val="el-GR"/>
        </w:rPr>
        <w:t xml:space="preserve">Σε περίπτωση συγχορήγησης αντιρετροϊκής αγωγής για ηπατίτιδα Β ή </w:t>
      </w:r>
      <w:r>
        <w:t>C</w:t>
      </w:r>
      <w:r w:rsidRPr="009E32D3">
        <w:rPr>
          <w:lang w:val="el-GR"/>
        </w:rPr>
        <w:t>, παρακαλώ, ανατρέξτε επίσης στις σχετικές με τα φαρμακευτικά αυτά προϊόντα Περιλήψεις Χαρακτηριστικών του</w:t>
      </w:r>
      <w:r w:rsidRPr="009E32D3">
        <w:rPr>
          <w:spacing w:val="-51"/>
          <w:lang w:val="el-GR"/>
        </w:rPr>
        <w:t xml:space="preserve"> </w:t>
      </w:r>
      <w:r w:rsidRPr="009E32D3">
        <w:rPr>
          <w:lang w:val="el-GR"/>
        </w:rPr>
        <w:t>Προϊόντος.</w:t>
      </w:r>
    </w:p>
    <w:p w:rsidR="00645378" w:rsidRPr="009E32D3" w:rsidRDefault="007134E2" w:rsidP="009E32D3">
      <w:pPr>
        <w:pStyle w:val="a3"/>
        <w:spacing w:line="244" w:lineRule="auto"/>
        <w:ind w:left="0" w:right="-66"/>
        <w:rPr>
          <w:lang w:val="el-GR"/>
        </w:rPr>
      </w:pPr>
      <w:r w:rsidRPr="00AA2F31">
        <w:rPr>
          <w:lang w:val="el-GR"/>
        </w:rPr>
        <w:t xml:space="preserve">Η ασφάλεια και η αποτελεσματικότητα </w:t>
      </w:r>
      <w:r w:rsidR="003C5662">
        <w:rPr>
          <w:lang w:val="el-GR"/>
        </w:rPr>
        <w:t>της</w:t>
      </w:r>
      <w:r w:rsidR="001030D5">
        <w:rPr>
          <w:lang w:val="el-GR"/>
        </w:rPr>
        <w:t xml:space="preserve"> </w:t>
      </w:r>
      <w:r w:rsidR="001030D5" w:rsidRPr="00F13AEB">
        <w:rPr>
          <w:rFonts w:cs="Times New Roman"/>
          <w:color w:val="000000" w:themeColor="text1"/>
          <w:lang w:val="el-GR"/>
        </w:rPr>
        <w:t>εμτρισιταβίνης</w:t>
      </w:r>
      <w:r w:rsidR="003C5662">
        <w:rPr>
          <w:rFonts w:cs="Times New Roman"/>
          <w:color w:val="000000" w:themeColor="text1"/>
          <w:lang w:val="el-GR"/>
        </w:rPr>
        <w:t xml:space="preserve"> και </w:t>
      </w:r>
      <w:r w:rsidR="001030D5" w:rsidRPr="00F13AEB">
        <w:rPr>
          <w:rFonts w:cs="Times New Roman"/>
          <w:color w:val="000000" w:themeColor="text1"/>
          <w:lang w:val="el-GR"/>
        </w:rPr>
        <w:t>τενοφοβίρης δισοπρόξιλης</w:t>
      </w:r>
      <w:r w:rsidR="001030D5" w:rsidRPr="009E32D3">
        <w:rPr>
          <w:lang w:val="el-GR"/>
        </w:rPr>
        <w:t xml:space="preserve"> </w:t>
      </w:r>
      <w:r w:rsidRPr="00AA2F31">
        <w:rPr>
          <w:lang w:val="el-GR"/>
        </w:rPr>
        <w:t>όσον αφορά την αντιμετώπιση της χρόνιας</w:t>
      </w:r>
      <w:r w:rsidRPr="00AA2F31">
        <w:rPr>
          <w:spacing w:val="-1"/>
          <w:lang w:val="el-GR"/>
        </w:rPr>
        <w:t xml:space="preserve"> </w:t>
      </w:r>
      <w:r>
        <w:t>HBV</w:t>
      </w:r>
      <w:r w:rsidRPr="00AA2F31">
        <w:rPr>
          <w:lang w:val="el-GR"/>
        </w:rPr>
        <w:t xml:space="preserve"> λοίμωξης δεν έχουν αποδειχθεί. </w:t>
      </w:r>
      <w:r w:rsidRPr="009E32D3">
        <w:rPr>
          <w:lang w:val="el-GR"/>
        </w:rPr>
        <w:t xml:space="preserve">Η </w:t>
      </w:r>
      <w:r w:rsidR="001030D5" w:rsidRPr="00F13AEB">
        <w:rPr>
          <w:rFonts w:cs="Times New Roman"/>
          <w:color w:val="000000" w:themeColor="text1"/>
          <w:lang w:val="el-GR"/>
        </w:rPr>
        <w:t>εμτρισιταβ</w:t>
      </w:r>
      <w:r w:rsidR="001030D5">
        <w:rPr>
          <w:rFonts w:cs="Times New Roman"/>
          <w:color w:val="000000" w:themeColor="text1"/>
          <w:lang w:val="el-GR"/>
        </w:rPr>
        <w:t xml:space="preserve">ίνη και η </w:t>
      </w:r>
      <w:r w:rsidR="001030D5" w:rsidRPr="00F13AEB">
        <w:rPr>
          <w:rFonts w:cs="Times New Roman"/>
          <w:color w:val="000000" w:themeColor="text1"/>
          <w:lang w:val="el-GR"/>
        </w:rPr>
        <w:t>τενοφοβίρ</w:t>
      </w:r>
      <w:r w:rsidR="001030D5">
        <w:rPr>
          <w:rFonts w:cs="Times New Roman"/>
          <w:color w:val="000000" w:themeColor="text1"/>
          <w:lang w:val="el-GR"/>
        </w:rPr>
        <w:t>η</w:t>
      </w:r>
      <w:r w:rsidR="001030D5" w:rsidRPr="00F13AEB">
        <w:rPr>
          <w:rFonts w:cs="Times New Roman"/>
          <w:color w:val="000000" w:themeColor="text1"/>
          <w:lang w:val="el-GR"/>
        </w:rPr>
        <w:t xml:space="preserve"> δισοπρ</w:t>
      </w:r>
      <w:r w:rsidR="001030D5">
        <w:rPr>
          <w:rFonts w:cs="Times New Roman"/>
          <w:color w:val="000000" w:themeColor="text1"/>
          <w:lang w:val="el-GR"/>
        </w:rPr>
        <w:t>όξιλη</w:t>
      </w:r>
      <w:r w:rsidR="00710961">
        <w:rPr>
          <w:lang w:val="el-GR"/>
        </w:rPr>
        <w:t xml:space="preserve"> μεμονωμένα και σε συνδυασμό </w:t>
      </w:r>
      <w:r w:rsidRPr="009E32D3">
        <w:rPr>
          <w:lang w:val="el-GR"/>
        </w:rPr>
        <w:t xml:space="preserve">έχουν επιδείξει δράση κατά του ιού </w:t>
      </w:r>
      <w:r>
        <w:t>HBV</w:t>
      </w:r>
      <w:r w:rsidRPr="009E32D3">
        <w:rPr>
          <w:lang w:val="el-GR"/>
        </w:rPr>
        <w:t xml:space="preserve"> σε φαρμακοδυναμικές μελέτες (βλ. παράγραφο 5.1). Η</w:t>
      </w:r>
      <w:r w:rsidRPr="009E32D3">
        <w:rPr>
          <w:spacing w:val="6"/>
          <w:lang w:val="el-GR"/>
        </w:rPr>
        <w:t xml:space="preserve"> </w:t>
      </w:r>
      <w:r w:rsidRPr="009E32D3">
        <w:rPr>
          <w:lang w:val="el-GR"/>
        </w:rPr>
        <w:t xml:space="preserve">έως τώρα περιορισμένη κλινική εμπειρία υποδεικνύει ότι η </w:t>
      </w:r>
      <w:r w:rsidR="001030D5" w:rsidRPr="00F13AEB">
        <w:rPr>
          <w:rFonts w:cs="Times New Roman"/>
          <w:color w:val="000000" w:themeColor="text1"/>
          <w:lang w:val="el-GR"/>
        </w:rPr>
        <w:t>εμτρισιταβ</w:t>
      </w:r>
      <w:r w:rsidR="001030D5">
        <w:rPr>
          <w:rFonts w:cs="Times New Roman"/>
          <w:color w:val="000000" w:themeColor="text1"/>
          <w:lang w:val="el-GR"/>
        </w:rPr>
        <w:t xml:space="preserve">ίνη και η </w:t>
      </w:r>
      <w:r w:rsidR="001030D5" w:rsidRPr="00F13AEB">
        <w:rPr>
          <w:rFonts w:cs="Times New Roman"/>
          <w:color w:val="000000" w:themeColor="text1"/>
          <w:lang w:val="el-GR"/>
        </w:rPr>
        <w:t>τενοφοβίρ</w:t>
      </w:r>
      <w:r w:rsidR="001030D5">
        <w:rPr>
          <w:rFonts w:cs="Times New Roman"/>
          <w:color w:val="000000" w:themeColor="text1"/>
          <w:lang w:val="el-GR"/>
        </w:rPr>
        <w:t>η</w:t>
      </w:r>
      <w:r w:rsidR="001030D5" w:rsidRPr="00F13AEB">
        <w:rPr>
          <w:rFonts w:cs="Times New Roman"/>
          <w:color w:val="000000" w:themeColor="text1"/>
          <w:lang w:val="el-GR"/>
        </w:rPr>
        <w:t xml:space="preserve"> δισοπρ</w:t>
      </w:r>
      <w:r w:rsidR="001030D5">
        <w:rPr>
          <w:rFonts w:cs="Times New Roman"/>
          <w:color w:val="000000" w:themeColor="text1"/>
          <w:lang w:val="el-GR"/>
        </w:rPr>
        <w:t>όξιλη</w:t>
      </w:r>
      <w:r w:rsidR="001030D5" w:rsidRPr="009E32D3">
        <w:rPr>
          <w:lang w:val="el-GR"/>
        </w:rPr>
        <w:t xml:space="preserve"> </w:t>
      </w:r>
      <w:r w:rsidRPr="009E32D3">
        <w:rPr>
          <w:lang w:val="el-GR"/>
        </w:rPr>
        <w:t xml:space="preserve">εμφανίζουν δράση κατά </w:t>
      </w:r>
      <w:r w:rsidRPr="009E32D3">
        <w:rPr>
          <w:lang w:val="el-GR"/>
        </w:rPr>
        <w:lastRenderedPageBreak/>
        <w:t xml:space="preserve">του ιού </w:t>
      </w:r>
      <w:r>
        <w:t>HBV</w:t>
      </w:r>
      <w:r w:rsidRPr="009E32D3">
        <w:rPr>
          <w:lang w:val="el-GR"/>
        </w:rPr>
        <w:t xml:space="preserve"> όταν χρησιμοποιούνται ως</w:t>
      </w:r>
      <w:r w:rsidRPr="009E32D3">
        <w:rPr>
          <w:spacing w:val="26"/>
          <w:lang w:val="el-GR"/>
        </w:rPr>
        <w:t xml:space="preserve"> </w:t>
      </w:r>
      <w:r w:rsidRPr="009E32D3">
        <w:rPr>
          <w:lang w:val="el-GR"/>
        </w:rPr>
        <w:t xml:space="preserve">συνδυασμένη αντιρετροϊκή αγωγή κατά της </w:t>
      </w:r>
      <w:r>
        <w:rPr>
          <w:spacing w:val="-2"/>
        </w:rPr>
        <w:t>HIV</w:t>
      </w:r>
      <w:r w:rsidRPr="009E32D3">
        <w:rPr>
          <w:spacing w:val="3"/>
          <w:lang w:val="el-GR"/>
        </w:rPr>
        <w:t xml:space="preserve"> </w:t>
      </w:r>
      <w:r w:rsidRPr="009E32D3">
        <w:rPr>
          <w:lang w:val="el-GR"/>
        </w:rPr>
        <w:t>λοίμωξης.</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9E32D3">
        <w:rPr>
          <w:lang w:val="el-GR"/>
        </w:rPr>
        <w:t xml:space="preserve">Η διακοπή της αγωγής με </w:t>
      </w:r>
      <w:r w:rsidR="0063687C" w:rsidRPr="00F13AEB">
        <w:rPr>
          <w:rFonts w:cs="Times New Roman"/>
          <w:color w:val="000000" w:themeColor="text1"/>
          <w:lang w:val="el-GR"/>
        </w:rPr>
        <w:t>εμτρισιταβίνη</w:t>
      </w:r>
      <w:r w:rsidR="003C5662">
        <w:rPr>
          <w:rFonts w:cs="Times New Roman"/>
          <w:color w:val="000000" w:themeColor="text1"/>
          <w:lang w:val="el-GR"/>
        </w:rPr>
        <w:t xml:space="preserve"> και </w:t>
      </w:r>
      <w:r w:rsidR="0063687C" w:rsidRPr="00F13AEB">
        <w:rPr>
          <w:rFonts w:cs="Times New Roman"/>
          <w:color w:val="000000" w:themeColor="text1"/>
          <w:lang w:val="el-GR"/>
        </w:rPr>
        <w:t>τενοφοβίρη δισοπρόξιλη</w:t>
      </w:r>
      <w:r w:rsidR="0063687C" w:rsidRPr="009E32D3">
        <w:rPr>
          <w:lang w:val="el-GR"/>
        </w:rPr>
        <w:t xml:space="preserve"> </w:t>
      </w:r>
      <w:r w:rsidRPr="009E32D3">
        <w:rPr>
          <w:lang w:val="el-GR"/>
        </w:rPr>
        <w:t xml:space="preserve">σε ασθενείς με συνυπάρχουσα λοίμωξη από τον ιό </w:t>
      </w:r>
      <w:r>
        <w:rPr>
          <w:spacing w:val="-2"/>
        </w:rPr>
        <w:t>HIV</w:t>
      </w:r>
      <w:r w:rsidRPr="009E32D3">
        <w:rPr>
          <w:spacing w:val="-2"/>
          <w:lang w:val="el-GR"/>
        </w:rPr>
        <w:t xml:space="preserve"> </w:t>
      </w:r>
      <w:r w:rsidRPr="009E32D3">
        <w:rPr>
          <w:lang w:val="el-GR"/>
        </w:rPr>
        <w:t>και τον</w:t>
      </w:r>
      <w:r w:rsidRPr="009E32D3">
        <w:rPr>
          <w:spacing w:val="11"/>
          <w:lang w:val="el-GR"/>
        </w:rPr>
        <w:t xml:space="preserve"> </w:t>
      </w:r>
      <w:r w:rsidRPr="009E32D3">
        <w:rPr>
          <w:lang w:val="el-GR"/>
        </w:rPr>
        <w:t xml:space="preserve">ιό </w:t>
      </w:r>
      <w:r w:rsidR="003B2F63">
        <w:t>HBV</w:t>
      </w:r>
      <w:r w:rsidRPr="009E32D3">
        <w:rPr>
          <w:lang w:val="el-GR"/>
        </w:rPr>
        <w:t xml:space="preserve"> μπορεί να συσχετισθεί με σοβαρές, οξείες εξάρσεις ηπατίτιδας. Ασθενείς</w:t>
      </w:r>
      <w:r w:rsidRPr="009E32D3">
        <w:rPr>
          <w:spacing w:val="-6"/>
          <w:lang w:val="el-GR"/>
        </w:rPr>
        <w:t xml:space="preserve"> </w:t>
      </w:r>
      <w:r w:rsidRPr="009E32D3">
        <w:rPr>
          <w:lang w:val="el-GR"/>
        </w:rPr>
        <w:t>με συνυπάρχουσα</w:t>
      </w:r>
      <w:r w:rsidRPr="009E32D3">
        <w:rPr>
          <w:spacing w:val="-1"/>
          <w:lang w:val="el-GR"/>
        </w:rPr>
        <w:t xml:space="preserve"> </w:t>
      </w:r>
      <w:r w:rsidRPr="009E32D3">
        <w:rPr>
          <w:lang w:val="el-GR"/>
        </w:rPr>
        <w:t>λοίμωξη</w:t>
      </w:r>
      <w:r w:rsidRPr="009E32D3">
        <w:rPr>
          <w:spacing w:val="-1"/>
          <w:lang w:val="el-GR"/>
        </w:rPr>
        <w:t xml:space="preserve"> </w:t>
      </w:r>
      <w:r w:rsidRPr="009E32D3">
        <w:rPr>
          <w:lang w:val="el-GR"/>
        </w:rPr>
        <w:t>από τον</w:t>
      </w:r>
      <w:r w:rsidRPr="009E32D3">
        <w:rPr>
          <w:spacing w:val="1"/>
          <w:lang w:val="el-GR"/>
        </w:rPr>
        <w:t xml:space="preserve"> </w:t>
      </w:r>
      <w:r w:rsidRPr="009E32D3">
        <w:rPr>
          <w:lang w:val="el-GR"/>
        </w:rPr>
        <w:t xml:space="preserve">ιό </w:t>
      </w:r>
      <w:r>
        <w:rPr>
          <w:spacing w:val="-2"/>
        </w:rPr>
        <w:t>HIV</w:t>
      </w:r>
      <w:r w:rsidRPr="009E32D3">
        <w:rPr>
          <w:spacing w:val="1"/>
          <w:lang w:val="el-GR"/>
        </w:rPr>
        <w:t xml:space="preserve"> </w:t>
      </w:r>
      <w:r w:rsidRPr="009E32D3">
        <w:rPr>
          <w:lang w:val="el-GR"/>
        </w:rPr>
        <w:t>και τον</w:t>
      </w:r>
      <w:r w:rsidRPr="009E32D3">
        <w:rPr>
          <w:spacing w:val="1"/>
          <w:lang w:val="el-GR"/>
        </w:rPr>
        <w:t xml:space="preserve"> </w:t>
      </w:r>
      <w:r w:rsidR="00710961">
        <w:rPr>
          <w:lang w:val="el-GR"/>
        </w:rPr>
        <w:t>ιό</w:t>
      </w:r>
      <w:r w:rsidR="00710961" w:rsidRPr="00710961">
        <w:rPr>
          <w:lang w:val="el-GR"/>
        </w:rPr>
        <w:t xml:space="preserve"> </w:t>
      </w:r>
      <w:r w:rsidR="00710961">
        <w:rPr>
          <w:spacing w:val="-2"/>
        </w:rPr>
        <w:t>HBV</w:t>
      </w:r>
      <w:r w:rsidRPr="009E32D3">
        <w:rPr>
          <w:spacing w:val="-1"/>
          <w:lang w:val="el-GR"/>
        </w:rPr>
        <w:t xml:space="preserve"> </w:t>
      </w:r>
      <w:r w:rsidRPr="009E32D3">
        <w:rPr>
          <w:lang w:val="el-GR"/>
        </w:rPr>
        <w:t>που</w:t>
      </w:r>
      <w:r w:rsidRPr="009E32D3">
        <w:rPr>
          <w:spacing w:val="1"/>
          <w:lang w:val="el-GR"/>
        </w:rPr>
        <w:t xml:space="preserve"> </w:t>
      </w:r>
      <w:r w:rsidRPr="009E32D3">
        <w:rPr>
          <w:lang w:val="el-GR"/>
        </w:rPr>
        <w:t>διακόπτουν</w:t>
      </w:r>
      <w:r w:rsidRPr="009E32D3">
        <w:rPr>
          <w:spacing w:val="1"/>
          <w:lang w:val="el-GR"/>
        </w:rPr>
        <w:t xml:space="preserve"> </w:t>
      </w:r>
      <w:r w:rsidR="003C5662">
        <w:rPr>
          <w:lang w:val="el-GR"/>
        </w:rPr>
        <w:t>την</w:t>
      </w:r>
      <w:r w:rsidR="0063687C">
        <w:rPr>
          <w:lang w:val="el-GR"/>
        </w:rPr>
        <w:t xml:space="preserve"> </w:t>
      </w:r>
      <w:r w:rsidR="0063687C" w:rsidRPr="00F13AEB">
        <w:rPr>
          <w:rFonts w:cs="Times New Roman"/>
          <w:color w:val="000000" w:themeColor="text1"/>
          <w:lang w:val="el-GR"/>
        </w:rPr>
        <w:t>εμτρισιταβίνη</w:t>
      </w:r>
      <w:r w:rsidR="003C5662">
        <w:rPr>
          <w:rFonts w:cs="Times New Roman"/>
          <w:color w:val="000000" w:themeColor="text1"/>
          <w:lang w:val="el-GR"/>
        </w:rPr>
        <w:t xml:space="preserve"> και </w:t>
      </w:r>
      <w:r w:rsidR="0063687C" w:rsidRPr="00F13AEB">
        <w:rPr>
          <w:rFonts w:cs="Times New Roman"/>
          <w:color w:val="000000" w:themeColor="text1"/>
          <w:lang w:val="el-GR"/>
        </w:rPr>
        <w:t>τενοφοβίρη δισοπρόξιλη</w:t>
      </w:r>
      <w:r w:rsidR="0063687C">
        <w:rPr>
          <w:lang w:val="el-GR"/>
        </w:rPr>
        <w:t xml:space="preserve"> </w:t>
      </w:r>
      <w:r w:rsidRPr="009E32D3">
        <w:rPr>
          <w:lang w:val="el-GR"/>
        </w:rPr>
        <w:t xml:space="preserve">πρέπει να παρακολουθούνται στενά με κλινικό και εργαστηριακό επακόλουθο </w:t>
      </w:r>
      <w:r w:rsidR="003B2F63">
        <w:rPr>
          <w:lang w:val="el-GR"/>
        </w:rPr>
        <w:t xml:space="preserve">έλεγχο για </w:t>
      </w:r>
      <w:r w:rsidRPr="009E32D3">
        <w:rPr>
          <w:lang w:val="el-GR"/>
        </w:rPr>
        <w:t>τουλάχιστον αρκετούς μήνες μετά τη διακοπή της αγωγής. Εάν χρειάζεται, μπορεί να</w:t>
      </w:r>
      <w:r w:rsidRPr="009E32D3">
        <w:rPr>
          <w:spacing w:val="-1"/>
          <w:lang w:val="el-GR"/>
        </w:rPr>
        <w:t xml:space="preserve"> </w:t>
      </w:r>
      <w:r w:rsidRPr="009E32D3">
        <w:rPr>
          <w:lang w:val="el-GR"/>
        </w:rPr>
        <w:t xml:space="preserve">δικαιολογείται η συνέχιση της θεραπείας για ηπατίτιδα </w:t>
      </w:r>
      <w:r>
        <w:t>B</w:t>
      </w:r>
      <w:r w:rsidRPr="009E32D3">
        <w:rPr>
          <w:lang w:val="el-GR"/>
        </w:rPr>
        <w:t>. Σε ασθενείς με προχωρημένη ηπατική νόσο ή κίρρωση,</w:t>
      </w:r>
      <w:r w:rsidRPr="009E32D3">
        <w:rPr>
          <w:spacing w:val="-1"/>
          <w:lang w:val="el-GR"/>
        </w:rPr>
        <w:t xml:space="preserve"> </w:t>
      </w:r>
      <w:r w:rsidRPr="009E32D3">
        <w:rPr>
          <w:lang w:val="el-GR"/>
        </w:rPr>
        <w:t>η διακοπή της θεραπείας δεν συνιστάται, εφόσον η έξαρση της ηπατίτιδας μετά τη θεραπεία μπορεί</w:t>
      </w:r>
      <w:r w:rsidRPr="009E32D3">
        <w:rPr>
          <w:spacing w:val="-8"/>
          <w:lang w:val="el-GR"/>
        </w:rPr>
        <w:t xml:space="preserve"> </w:t>
      </w:r>
      <w:r w:rsidRPr="009E32D3">
        <w:rPr>
          <w:lang w:val="el-GR"/>
        </w:rPr>
        <w:t>να οδηγήσει σε έλλειψη ηπατικής</w:t>
      </w:r>
      <w:r w:rsidRPr="009E32D3">
        <w:rPr>
          <w:spacing w:val="-4"/>
          <w:lang w:val="el-GR"/>
        </w:rPr>
        <w:t xml:space="preserve"> </w:t>
      </w:r>
      <w:r w:rsidRPr="009E32D3">
        <w:rPr>
          <w:lang w:val="el-GR"/>
        </w:rPr>
        <w:t>αντιρρόπησης.</w:t>
      </w:r>
    </w:p>
    <w:p w:rsidR="00645378" w:rsidRPr="009E32D3" w:rsidRDefault="00645378" w:rsidP="009E32D3">
      <w:pPr>
        <w:spacing w:before="7"/>
        <w:ind w:right="-66"/>
        <w:rPr>
          <w:rFonts w:ascii="Times New Roman" w:eastAsia="Times New Roman" w:hAnsi="Times New Roman" w:cs="Times New Roman"/>
          <w:lang w:val="el-GR"/>
        </w:rPr>
      </w:pPr>
    </w:p>
    <w:p w:rsidR="00645378" w:rsidRPr="009E32D3" w:rsidRDefault="007134E2" w:rsidP="009E32D3">
      <w:pPr>
        <w:pStyle w:val="a3"/>
        <w:ind w:left="0" w:right="-66"/>
        <w:rPr>
          <w:lang w:val="el-GR"/>
        </w:rPr>
      </w:pPr>
      <w:r w:rsidRPr="009E32D3">
        <w:rPr>
          <w:u w:val="single" w:color="000000"/>
          <w:lang w:val="el-GR"/>
        </w:rPr>
        <w:t>Ηπατική</w:t>
      </w:r>
      <w:r w:rsidRPr="009E32D3">
        <w:rPr>
          <w:spacing w:val="-3"/>
          <w:u w:val="single" w:color="000000"/>
          <w:lang w:val="el-GR"/>
        </w:rPr>
        <w:t xml:space="preserve"> </w:t>
      </w:r>
      <w:r w:rsidRPr="009E32D3">
        <w:rPr>
          <w:u w:val="single" w:color="000000"/>
          <w:lang w:val="el-GR"/>
        </w:rPr>
        <w:t>νόσος</w:t>
      </w:r>
    </w:p>
    <w:p w:rsidR="00645378" w:rsidRPr="009E32D3" w:rsidRDefault="007134E2" w:rsidP="00AD0001">
      <w:pPr>
        <w:pStyle w:val="a3"/>
        <w:spacing w:before="6" w:line="244" w:lineRule="auto"/>
        <w:ind w:left="0" w:right="-66"/>
        <w:rPr>
          <w:lang w:val="el-GR"/>
        </w:rPr>
      </w:pPr>
      <w:r w:rsidRPr="009E32D3">
        <w:rPr>
          <w:lang w:val="el-GR"/>
        </w:rPr>
        <w:t xml:space="preserve">Η ασφάλεια και η αποτελεσματικότητα </w:t>
      </w:r>
      <w:r w:rsidR="00C13246">
        <w:rPr>
          <w:lang w:val="el-GR"/>
        </w:rPr>
        <w:t>της</w:t>
      </w:r>
      <w:r w:rsidR="00AD0001">
        <w:rPr>
          <w:lang w:val="el-GR"/>
        </w:rPr>
        <w:t xml:space="preserve"> </w:t>
      </w:r>
      <w:r w:rsidR="00AD0001" w:rsidRPr="00F13AEB">
        <w:rPr>
          <w:rFonts w:cs="Times New Roman"/>
          <w:color w:val="000000" w:themeColor="text1"/>
          <w:lang w:val="el-GR"/>
        </w:rPr>
        <w:t>εμτρισιταβίνης</w:t>
      </w:r>
      <w:r w:rsidR="00C13246">
        <w:rPr>
          <w:rFonts w:cs="Times New Roman"/>
          <w:color w:val="000000" w:themeColor="text1"/>
          <w:lang w:val="el-GR"/>
        </w:rPr>
        <w:t xml:space="preserve"> και </w:t>
      </w:r>
      <w:r w:rsidR="00AD0001" w:rsidRPr="00F13AEB">
        <w:rPr>
          <w:rFonts w:cs="Times New Roman"/>
          <w:color w:val="000000" w:themeColor="text1"/>
          <w:lang w:val="el-GR"/>
        </w:rPr>
        <w:t>τενοφοβίρης δισοπρόξιλης</w:t>
      </w:r>
      <w:r w:rsidR="00AD0001" w:rsidRPr="009E32D3">
        <w:rPr>
          <w:lang w:val="el-GR"/>
        </w:rPr>
        <w:t xml:space="preserve"> </w:t>
      </w:r>
      <w:r w:rsidR="00AD0001">
        <w:rPr>
          <w:lang w:val="el-GR"/>
        </w:rPr>
        <w:t>σ</w:t>
      </w:r>
      <w:r w:rsidRPr="009E32D3">
        <w:rPr>
          <w:lang w:val="el-GR"/>
        </w:rPr>
        <w:t xml:space="preserve">ε ασθενείς με σημαντικές υποκείμενες ηπατικές διαταραχές δεν έχουν αποδειχθεί. Η φαρμακοκινητική </w:t>
      </w:r>
      <w:r w:rsidR="00C13246">
        <w:rPr>
          <w:lang w:val="el-GR"/>
        </w:rPr>
        <w:t>της</w:t>
      </w:r>
      <w:r w:rsidR="00AD0001">
        <w:rPr>
          <w:lang w:val="el-GR"/>
        </w:rPr>
        <w:t xml:space="preserve"> </w:t>
      </w:r>
      <w:r w:rsidR="00AD0001" w:rsidRPr="00F13AEB">
        <w:rPr>
          <w:rFonts w:cs="Times New Roman"/>
          <w:color w:val="000000" w:themeColor="text1"/>
          <w:lang w:val="el-GR"/>
        </w:rPr>
        <w:t>εμτρισιταβίνης</w:t>
      </w:r>
      <w:r w:rsidR="00C13246">
        <w:rPr>
          <w:rFonts w:cs="Times New Roman"/>
          <w:color w:val="000000" w:themeColor="text1"/>
          <w:lang w:val="el-GR"/>
        </w:rPr>
        <w:t xml:space="preserve"> και </w:t>
      </w:r>
      <w:r w:rsidR="00AD0001" w:rsidRPr="00F13AEB">
        <w:rPr>
          <w:rFonts w:cs="Times New Roman"/>
          <w:color w:val="000000" w:themeColor="text1"/>
          <w:lang w:val="el-GR"/>
        </w:rPr>
        <w:t>τενοφοβίρης δισοπρόξιλης</w:t>
      </w:r>
      <w:r w:rsidR="00AD0001" w:rsidRPr="009E32D3">
        <w:rPr>
          <w:lang w:val="el-GR"/>
        </w:rPr>
        <w:t xml:space="preserve"> </w:t>
      </w:r>
      <w:r w:rsidRPr="009E32D3">
        <w:rPr>
          <w:lang w:val="el-GR"/>
        </w:rPr>
        <w:t xml:space="preserve">και της </w:t>
      </w:r>
      <w:r w:rsidR="00AD0001">
        <w:rPr>
          <w:lang w:val="el-GR"/>
        </w:rPr>
        <w:t xml:space="preserve">εμτρισιταβίνης </w:t>
      </w:r>
      <w:r w:rsidR="00710961">
        <w:rPr>
          <w:lang w:val="el-GR"/>
        </w:rPr>
        <w:t xml:space="preserve">δεν έχει </w:t>
      </w:r>
      <w:r w:rsidRPr="009E32D3">
        <w:rPr>
          <w:lang w:val="el-GR"/>
        </w:rPr>
        <w:t xml:space="preserve">μελετηθεί σε ασθενείς με ηπατική δυσλειτουργία. Η φαρμακοκινητική </w:t>
      </w:r>
      <w:r w:rsidR="00AD0001">
        <w:rPr>
          <w:lang w:val="el-GR"/>
        </w:rPr>
        <w:t>της τενοφοβίρης</w:t>
      </w:r>
      <w:r w:rsidRPr="009E32D3">
        <w:rPr>
          <w:lang w:val="el-GR"/>
        </w:rPr>
        <w:t xml:space="preserve"> έχει</w:t>
      </w:r>
      <w:r w:rsidRPr="009E32D3">
        <w:rPr>
          <w:spacing w:val="6"/>
          <w:lang w:val="el-GR"/>
        </w:rPr>
        <w:t xml:space="preserve"> </w:t>
      </w:r>
      <w:r w:rsidRPr="009E32D3">
        <w:rPr>
          <w:lang w:val="el-GR"/>
        </w:rPr>
        <w:t>μελετηθεί</w:t>
      </w:r>
      <w:r w:rsidR="00AD0001">
        <w:rPr>
          <w:lang w:val="el-GR"/>
        </w:rPr>
        <w:t xml:space="preserve"> </w:t>
      </w:r>
      <w:r w:rsidRPr="009E32D3">
        <w:rPr>
          <w:lang w:val="el-GR"/>
        </w:rPr>
        <w:t>σε ασθενείς με ηπατική δυσλειτουργία και δεν απα</w:t>
      </w:r>
      <w:r w:rsidR="00AD0001">
        <w:rPr>
          <w:lang w:val="el-GR"/>
        </w:rPr>
        <w:t xml:space="preserve">ιτείται αναπροσαρμογή της δόσης </w:t>
      </w:r>
      <w:r w:rsidRPr="009E32D3">
        <w:rPr>
          <w:lang w:val="el-GR"/>
        </w:rPr>
        <w:t>στους ασθενείς αυτούς. Με βάση τον ελάχιστο ηπατικό μεταβολισμό</w:t>
      </w:r>
      <w:r w:rsidRPr="009E32D3">
        <w:rPr>
          <w:spacing w:val="13"/>
          <w:lang w:val="el-GR"/>
        </w:rPr>
        <w:t xml:space="preserve"> </w:t>
      </w:r>
      <w:r w:rsidRPr="009E32D3">
        <w:rPr>
          <w:lang w:val="el-GR"/>
        </w:rPr>
        <w:t>της</w:t>
      </w:r>
      <w:r w:rsidR="00C8267E" w:rsidRPr="00C8267E">
        <w:rPr>
          <w:lang w:val="el-GR"/>
        </w:rPr>
        <w:t xml:space="preserve"> </w:t>
      </w:r>
      <w:r w:rsidR="00AD0001" w:rsidRPr="00F13AEB">
        <w:rPr>
          <w:rFonts w:cs="Times New Roman"/>
          <w:color w:val="000000" w:themeColor="text1"/>
          <w:lang w:val="el-GR"/>
        </w:rPr>
        <w:t>εμτρισιταβίνης</w:t>
      </w:r>
      <w:r w:rsidR="00AD0001">
        <w:rPr>
          <w:lang w:val="el-GR"/>
        </w:rPr>
        <w:t xml:space="preserve"> </w:t>
      </w:r>
      <w:r w:rsidRPr="009E32D3">
        <w:rPr>
          <w:lang w:val="el-GR"/>
        </w:rPr>
        <w:t>και τη νεφρική οδό απομάκρυνσής της, δεν είναι πιθανή η ανάγκη αναπροσαρμογής</w:t>
      </w:r>
      <w:r w:rsidRPr="009E32D3">
        <w:rPr>
          <w:spacing w:val="-6"/>
          <w:lang w:val="el-GR"/>
        </w:rPr>
        <w:t xml:space="preserve"> </w:t>
      </w:r>
      <w:r w:rsidRPr="009E32D3">
        <w:rPr>
          <w:lang w:val="el-GR"/>
        </w:rPr>
        <w:t>της δόσης σε ασθενείς με ηπατική δυσλειτουργία (βλ. παράγραφο</w:t>
      </w:r>
      <w:r w:rsidRPr="009E32D3">
        <w:rPr>
          <w:spacing w:val="2"/>
          <w:lang w:val="el-GR"/>
        </w:rPr>
        <w:t xml:space="preserve"> </w:t>
      </w:r>
      <w:r w:rsidRPr="009E32D3">
        <w:rPr>
          <w:lang w:val="el-GR"/>
        </w:rPr>
        <w:t>5.2).</w:t>
      </w:r>
    </w:p>
    <w:p w:rsidR="00645378" w:rsidRPr="009E32D3" w:rsidRDefault="00645378" w:rsidP="009E32D3">
      <w:pPr>
        <w:spacing w:before="8"/>
        <w:ind w:right="-66"/>
        <w:rPr>
          <w:rFonts w:ascii="Times New Roman" w:eastAsia="Times New Roman" w:hAnsi="Times New Roman" w:cs="Times New Roman"/>
          <w:lang w:val="el-GR"/>
        </w:rPr>
      </w:pPr>
    </w:p>
    <w:p w:rsidR="00645378" w:rsidRPr="00071DB5" w:rsidRDefault="007134E2" w:rsidP="009E32D3">
      <w:pPr>
        <w:pStyle w:val="a3"/>
        <w:spacing w:line="244" w:lineRule="auto"/>
        <w:ind w:left="0" w:right="-66"/>
        <w:rPr>
          <w:rFonts w:cs="Times New Roman"/>
          <w:lang w:val="el-GR"/>
        </w:rPr>
      </w:pPr>
      <w:r w:rsidRPr="009E32D3">
        <w:rPr>
          <w:lang w:val="el-GR"/>
        </w:rPr>
        <w:t>Κατά τη διάρκεια συνδυασμένης αντιρετροϊκής αγωγής (</w:t>
      </w:r>
      <w:r>
        <w:t>CART</w:t>
      </w:r>
      <w:r w:rsidRPr="009E32D3">
        <w:rPr>
          <w:lang w:val="el-GR"/>
        </w:rPr>
        <w:t>), ασθενείς με προϋπάρχουσα</w:t>
      </w:r>
      <w:r w:rsidRPr="009E32D3">
        <w:rPr>
          <w:spacing w:val="1"/>
          <w:lang w:val="el-GR"/>
        </w:rPr>
        <w:t xml:space="preserve"> </w:t>
      </w:r>
      <w:r w:rsidRPr="009E32D3">
        <w:rPr>
          <w:lang w:val="el-GR"/>
        </w:rPr>
        <w:t xml:space="preserve">ηπατική </w:t>
      </w:r>
      <w:r w:rsidRPr="00071DB5">
        <w:rPr>
          <w:rFonts w:cs="Times New Roman"/>
          <w:lang w:val="el-GR"/>
        </w:rPr>
        <w:t>δυσλειτουργία συμπεριλαμβανομένης της χρόνιας ενεργού ηπατίτιδας έχουν αυξημένη συχνότητα</w:t>
      </w:r>
      <w:r w:rsidRPr="00071DB5">
        <w:rPr>
          <w:rFonts w:cs="Times New Roman"/>
          <w:spacing w:val="-45"/>
          <w:lang w:val="el-GR"/>
        </w:rPr>
        <w:t xml:space="preserve"> </w:t>
      </w:r>
      <w:r w:rsidRPr="00071DB5">
        <w:rPr>
          <w:rFonts w:cs="Times New Roman"/>
          <w:lang w:val="el-GR"/>
        </w:rPr>
        <w:t>εμφάνισης διαταραχών της ηπατικής λειτουργίας και πρέπει να παρακολουθούνται σύμφωνα με</w:t>
      </w:r>
      <w:r w:rsidRPr="00071DB5">
        <w:rPr>
          <w:rFonts w:cs="Times New Roman"/>
          <w:spacing w:val="-2"/>
          <w:lang w:val="el-GR"/>
        </w:rPr>
        <w:t xml:space="preserve"> </w:t>
      </w:r>
      <w:r w:rsidRPr="00071DB5">
        <w:rPr>
          <w:rFonts w:cs="Times New Roman"/>
          <w:lang w:val="el-GR"/>
        </w:rPr>
        <w:t>την καθιερωμένη πρακτική. Σε περίπτωση επιδείνωσης της ηπατικής νόσου στην κατηγορία αυτή των</w:t>
      </w:r>
      <w:r w:rsidRPr="00071DB5">
        <w:rPr>
          <w:rFonts w:cs="Times New Roman"/>
          <w:spacing w:val="-54"/>
          <w:lang w:val="el-GR"/>
        </w:rPr>
        <w:t xml:space="preserve"> </w:t>
      </w:r>
      <w:r w:rsidRPr="00071DB5">
        <w:rPr>
          <w:rFonts w:cs="Times New Roman"/>
          <w:lang w:val="el-GR"/>
        </w:rPr>
        <w:t>ασθενών, πρέπει να εξετάζεται η διακοπή ή η οριστική παύση της</w:t>
      </w:r>
      <w:r w:rsidRPr="00071DB5">
        <w:rPr>
          <w:rFonts w:cs="Times New Roman"/>
          <w:spacing w:val="-6"/>
          <w:lang w:val="el-GR"/>
        </w:rPr>
        <w:t xml:space="preserve"> </w:t>
      </w:r>
      <w:r w:rsidRPr="00071DB5">
        <w:rPr>
          <w:rFonts w:cs="Times New Roman"/>
          <w:lang w:val="el-GR"/>
        </w:rPr>
        <w:t>αγωγής.</w:t>
      </w:r>
    </w:p>
    <w:p w:rsidR="00645378" w:rsidRPr="00071DB5" w:rsidRDefault="00645378" w:rsidP="009E32D3">
      <w:pPr>
        <w:spacing w:before="7"/>
        <w:ind w:right="-66"/>
        <w:rPr>
          <w:rFonts w:ascii="Times New Roman" w:eastAsia="Times New Roman" w:hAnsi="Times New Roman" w:cs="Times New Roman"/>
          <w:lang w:val="el-GR"/>
        </w:rPr>
      </w:pPr>
    </w:p>
    <w:p w:rsidR="00071DB5" w:rsidRPr="00071DB5" w:rsidRDefault="008269BD" w:rsidP="00071DB5">
      <w:pPr>
        <w:rPr>
          <w:rFonts w:ascii="Times New Roman" w:hAnsi="Times New Roman" w:cs="Times New Roman"/>
          <w:u w:val="single"/>
          <w:lang w:val="el-GR"/>
        </w:rPr>
      </w:pPr>
      <w:r>
        <w:rPr>
          <w:rFonts w:ascii="Times New Roman" w:hAnsi="Times New Roman" w:cs="Times New Roman"/>
          <w:u w:val="single"/>
          <w:lang w:val="el-GR"/>
        </w:rPr>
        <w:t>Σωματικό β</w:t>
      </w:r>
      <w:r w:rsidRPr="00071DB5">
        <w:rPr>
          <w:rFonts w:ascii="Times New Roman" w:hAnsi="Times New Roman" w:cs="Times New Roman"/>
          <w:u w:val="single"/>
          <w:lang w:val="el-GR"/>
        </w:rPr>
        <w:t xml:space="preserve">άρος </w:t>
      </w:r>
      <w:r w:rsidR="00071DB5" w:rsidRPr="00071DB5">
        <w:rPr>
          <w:rFonts w:ascii="Times New Roman" w:hAnsi="Times New Roman" w:cs="Times New Roman"/>
          <w:u w:val="single"/>
          <w:lang w:val="el-GR"/>
        </w:rPr>
        <w:t>και μεταβολικές παράμετροι</w:t>
      </w:r>
    </w:p>
    <w:p w:rsidR="00071DB5" w:rsidRPr="00071DB5" w:rsidRDefault="00071DB5" w:rsidP="00071DB5">
      <w:pPr>
        <w:rPr>
          <w:rFonts w:ascii="Times New Roman" w:eastAsia="Times New Roman" w:hAnsi="Times New Roman" w:cs="Times New Roman"/>
          <w:color w:val="000000" w:themeColor="text1"/>
          <w:szCs w:val="24"/>
          <w:lang w:val="el-GR" w:eastAsia="el-GR"/>
        </w:rPr>
      </w:pPr>
      <w:r w:rsidRPr="00071DB5">
        <w:rPr>
          <w:rFonts w:ascii="Times New Roman" w:hAnsi="Times New Roman" w:cs="Times New Roman"/>
          <w:lang w:val="el-GR"/>
        </w:rPr>
        <w:t>Κατά τη διάρκει</w:t>
      </w:r>
      <w:r w:rsidR="009A5DFC">
        <w:rPr>
          <w:rFonts w:ascii="Times New Roman" w:hAnsi="Times New Roman" w:cs="Times New Roman"/>
          <w:color w:val="000000" w:themeColor="text1"/>
          <w:lang w:val="el-GR"/>
        </w:rPr>
        <w:t>α της αντιρετροϊκής αγωγής</w:t>
      </w:r>
      <w:r w:rsidRPr="00071DB5">
        <w:rPr>
          <w:rFonts w:ascii="Times New Roman" w:hAnsi="Times New Roman" w:cs="Times New Roman"/>
          <w:color w:val="000000" w:themeColor="text1"/>
          <w:lang w:val="el-GR"/>
        </w:rPr>
        <w:t xml:space="preserve"> μπορεί να παρατηρηθεί αύξηση του </w:t>
      </w:r>
      <w:r w:rsidR="008269BD">
        <w:rPr>
          <w:rFonts w:ascii="Times New Roman" w:hAnsi="Times New Roman" w:cs="Times New Roman"/>
          <w:color w:val="000000" w:themeColor="text1"/>
          <w:lang w:val="el-GR"/>
        </w:rPr>
        <w:t xml:space="preserve">σωματικού </w:t>
      </w:r>
      <w:r w:rsidRPr="00071DB5">
        <w:rPr>
          <w:rFonts w:ascii="Times New Roman" w:hAnsi="Times New Roman" w:cs="Times New Roman"/>
          <w:color w:val="000000" w:themeColor="text1"/>
          <w:lang w:val="el-GR"/>
        </w:rPr>
        <w:t xml:space="preserve">βάρους και των επιπέδων των λιπιδίων στο αίμα. </w:t>
      </w:r>
      <w:r w:rsidR="00C13246">
        <w:rPr>
          <w:rFonts w:ascii="Times New Roman" w:hAnsi="Times New Roman" w:cs="Times New Roman"/>
          <w:color w:val="000000" w:themeColor="text1"/>
          <w:lang w:val="el-GR"/>
        </w:rPr>
        <w:t>οι αλλαγές αυτές μπορεί, εν μέρει, να συνδέονται</w:t>
      </w:r>
      <w:r w:rsidRPr="00071DB5">
        <w:rPr>
          <w:rFonts w:ascii="Times New Roman" w:hAnsi="Times New Roman" w:cs="Times New Roman"/>
          <w:color w:val="000000" w:themeColor="text1"/>
          <w:lang w:val="el-GR"/>
        </w:rPr>
        <w:t xml:space="preserve"> με τον έλεγχο της </w:t>
      </w:r>
      <w:r w:rsidR="00C13246">
        <w:rPr>
          <w:rFonts w:ascii="Times New Roman" w:hAnsi="Times New Roman" w:cs="Times New Roman"/>
          <w:color w:val="000000" w:themeColor="text1"/>
          <w:lang w:val="el-GR"/>
        </w:rPr>
        <w:t>νόσου</w:t>
      </w:r>
      <w:r w:rsidR="00C13246" w:rsidRPr="00071DB5">
        <w:rPr>
          <w:rFonts w:ascii="Times New Roman" w:hAnsi="Times New Roman" w:cs="Times New Roman"/>
          <w:color w:val="000000" w:themeColor="text1"/>
          <w:lang w:val="el-GR"/>
        </w:rPr>
        <w:t xml:space="preserve"> </w:t>
      </w:r>
      <w:r w:rsidRPr="00071DB5">
        <w:rPr>
          <w:rFonts w:ascii="Times New Roman" w:hAnsi="Times New Roman" w:cs="Times New Roman"/>
          <w:color w:val="000000" w:themeColor="text1"/>
          <w:lang w:val="el-GR"/>
        </w:rPr>
        <w:t xml:space="preserve">και τον τρόπο ζωής. </w:t>
      </w:r>
      <w:r w:rsidR="00C13246">
        <w:rPr>
          <w:rFonts w:ascii="Times New Roman" w:hAnsi="Times New Roman" w:cs="Times New Roman"/>
          <w:color w:val="000000" w:themeColor="text1"/>
          <w:lang w:val="el-GR"/>
        </w:rPr>
        <w:t>Αναφορικά με τα λιπίδια, σ</w:t>
      </w:r>
      <w:r w:rsidRPr="00071DB5">
        <w:rPr>
          <w:rFonts w:ascii="Times New Roman" w:hAnsi="Times New Roman" w:cs="Times New Roman"/>
          <w:color w:val="000000" w:themeColor="text1"/>
          <w:lang w:val="el-GR"/>
        </w:rPr>
        <w:t xml:space="preserve">ε </w:t>
      </w:r>
      <w:r w:rsidR="00C13246">
        <w:rPr>
          <w:rFonts w:ascii="Times New Roman" w:hAnsi="Times New Roman" w:cs="Times New Roman"/>
          <w:color w:val="000000" w:themeColor="text1"/>
          <w:lang w:val="el-GR"/>
        </w:rPr>
        <w:t>ορισμένες</w:t>
      </w:r>
      <w:r w:rsidR="00C13246" w:rsidRPr="00071DB5">
        <w:rPr>
          <w:rFonts w:ascii="Times New Roman" w:hAnsi="Times New Roman" w:cs="Times New Roman"/>
          <w:color w:val="000000" w:themeColor="text1"/>
          <w:lang w:val="el-GR"/>
        </w:rPr>
        <w:t xml:space="preserve"> </w:t>
      </w:r>
      <w:r w:rsidRPr="00071DB5">
        <w:rPr>
          <w:rFonts w:ascii="Times New Roman" w:hAnsi="Times New Roman" w:cs="Times New Roman"/>
          <w:color w:val="000000" w:themeColor="text1"/>
          <w:lang w:val="el-GR"/>
        </w:rPr>
        <w:t xml:space="preserve">περιπτώσεις υπάρχουν ενδείξεις </w:t>
      </w:r>
      <w:r w:rsidR="005F56D0">
        <w:rPr>
          <w:rFonts w:ascii="Times New Roman" w:hAnsi="Times New Roman" w:cs="Times New Roman"/>
          <w:color w:val="000000" w:themeColor="text1"/>
          <w:lang w:val="el-GR"/>
        </w:rPr>
        <w:t>για</w:t>
      </w:r>
      <w:r w:rsidRPr="00071DB5">
        <w:rPr>
          <w:rFonts w:ascii="Times New Roman" w:hAnsi="Times New Roman" w:cs="Times New Roman"/>
          <w:color w:val="000000" w:themeColor="text1"/>
          <w:lang w:val="el-GR"/>
        </w:rPr>
        <w:t xml:space="preserve"> </w:t>
      </w:r>
      <w:r w:rsidR="005F56D0">
        <w:rPr>
          <w:rFonts w:ascii="Times New Roman" w:hAnsi="Times New Roman" w:cs="Times New Roman"/>
          <w:color w:val="000000" w:themeColor="text1"/>
          <w:lang w:val="el-GR"/>
        </w:rPr>
        <w:t>επίδραση</w:t>
      </w:r>
      <w:r w:rsidR="005F56D0" w:rsidRPr="00071DB5">
        <w:rPr>
          <w:rFonts w:ascii="Times New Roman" w:hAnsi="Times New Roman" w:cs="Times New Roman"/>
          <w:color w:val="000000" w:themeColor="text1"/>
          <w:lang w:val="el-GR"/>
        </w:rPr>
        <w:t xml:space="preserve"> </w:t>
      </w:r>
      <w:r w:rsidRPr="00071DB5">
        <w:rPr>
          <w:rFonts w:ascii="Times New Roman" w:hAnsi="Times New Roman" w:cs="Times New Roman"/>
          <w:color w:val="000000" w:themeColor="text1"/>
          <w:lang w:val="el-GR"/>
        </w:rPr>
        <w:t xml:space="preserve">της θεραπείας, ενώ </w:t>
      </w:r>
      <w:r w:rsidR="005F56D0">
        <w:rPr>
          <w:rFonts w:ascii="Times New Roman" w:hAnsi="Times New Roman" w:cs="Times New Roman"/>
          <w:color w:val="000000" w:themeColor="text1"/>
          <w:lang w:val="el-GR"/>
        </w:rPr>
        <w:t xml:space="preserve">όσον αφορά την αύξηση του σωματικού βάρους </w:t>
      </w:r>
      <w:r w:rsidRPr="00071DB5">
        <w:rPr>
          <w:rFonts w:ascii="Times New Roman" w:hAnsi="Times New Roman" w:cs="Times New Roman"/>
          <w:color w:val="000000" w:themeColor="text1"/>
          <w:lang w:val="el-GR"/>
        </w:rPr>
        <w:t xml:space="preserve">δεν υπάρχουν ισχυρές ενδείξεις που να </w:t>
      </w:r>
      <w:r w:rsidR="005F56D0">
        <w:rPr>
          <w:rFonts w:ascii="Times New Roman" w:hAnsi="Times New Roman" w:cs="Times New Roman"/>
          <w:color w:val="000000" w:themeColor="text1"/>
          <w:lang w:val="el-GR"/>
        </w:rPr>
        <w:t>τη συ</w:t>
      </w:r>
      <w:r w:rsidRPr="00071DB5">
        <w:rPr>
          <w:rFonts w:ascii="Times New Roman" w:hAnsi="Times New Roman" w:cs="Times New Roman"/>
          <w:color w:val="000000" w:themeColor="text1"/>
          <w:lang w:val="el-GR"/>
        </w:rPr>
        <w:t xml:space="preserve">σχετίζουν με </w:t>
      </w:r>
      <w:r w:rsidR="005F56D0">
        <w:rPr>
          <w:rFonts w:ascii="Times New Roman" w:hAnsi="Times New Roman" w:cs="Times New Roman"/>
          <w:color w:val="000000" w:themeColor="text1"/>
          <w:lang w:val="el-GR"/>
        </w:rPr>
        <w:t>οποιαδήποτε</w:t>
      </w:r>
      <w:r w:rsidR="005F56D0" w:rsidRPr="00071DB5">
        <w:rPr>
          <w:rFonts w:ascii="Times New Roman" w:hAnsi="Times New Roman" w:cs="Times New Roman"/>
          <w:color w:val="000000" w:themeColor="text1"/>
          <w:lang w:val="el-GR"/>
        </w:rPr>
        <w:t xml:space="preserve"> </w:t>
      </w:r>
      <w:r w:rsidRPr="00071DB5">
        <w:rPr>
          <w:rFonts w:ascii="Times New Roman" w:hAnsi="Times New Roman" w:cs="Times New Roman"/>
          <w:color w:val="000000" w:themeColor="text1"/>
          <w:lang w:val="el-GR"/>
        </w:rPr>
        <w:t xml:space="preserve">συγκεκριμένη θεραπεία. </w:t>
      </w:r>
      <w:r w:rsidRPr="00071DB5">
        <w:rPr>
          <w:rFonts w:ascii="Times New Roman" w:eastAsia="Times New Roman" w:hAnsi="Times New Roman" w:cs="Times New Roman"/>
          <w:color w:val="000000" w:themeColor="text1"/>
          <w:szCs w:val="24"/>
          <w:lang w:val="el-GR" w:eastAsia="el-GR"/>
        </w:rPr>
        <w:t xml:space="preserve">Η παρακολούθηση των λιπιδίων και της γλυκόζης του αίματος </w:t>
      </w:r>
      <w:r w:rsidR="005F56D0">
        <w:rPr>
          <w:rFonts w:ascii="Times New Roman" w:eastAsia="Times New Roman" w:hAnsi="Times New Roman" w:cs="Times New Roman"/>
          <w:color w:val="000000" w:themeColor="text1"/>
          <w:szCs w:val="24"/>
          <w:lang w:val="el-GR" w:eastAsia="el-GR"/>
        </w:rPr>
        <w:t>πρέπει να βασίζεται</w:t>
      </w:r>
      <w:r w:rsidRPr="00071DB5">
        <w:rPr>
          <w:rFonts w:ascii="Times New Roman" w:eastAsia="Times New Roman" w:hAnsi="Times New Roman" w:cs="Times New Roman"/>
          <w:color w:val="000000" w:themeColor="text1"/>
          <w:szCs w:val="24"/>
          <w:lang w:val="el-GR" w:eastAsia="el-GR"/>
        </w:rPr>
        <w:t xml:space="preserve"> </w:t>
      </w:r>
      <w:r w:rsidR="005F56D0">
        <w:rPr>
          <w:rFonts w:ascii="Times New Roman" w:eastAsia="Times New Roman" w:hAnsi="Times New Roman" w:cs="Times New Roman"/>
          <w:color w:val="000000" w:themeColor="text1"/>
          <w:szCs w:val="24"/>
          <w:lang w:val="el-GR" w:eastAsia="el-GR"/>
        </w:rPr>
        <w:t>σ</w:t>
      </w:r>
      <w:r w:rsidRPr="00071DB5">
        <w:rPr>
          <w:rFonts w:ascii="Times New Roman" w:eastAsia="Times New Roman" w:hAnsi="Times New Roman" w:cs="Times New Roman"/>
          <w:color w:val="000000" w:themeColor="text1"/>
          <w:szCs w:val="24"/>
          <w:lang w:val="el-GR" w:eastAsia="el-GR"/>
        </w:rPr>
        <w:t>τις καθιερωμένες κατευθυντήριες οδηγίες θεραπεία</w:t>
      </w:r>
      <w:r w:rsidR="005F56D0">
        <w:rPr>
          <w:rFonts w:ascii="Times New Roman" w:eastAsia="Times New Roman" w:hAnsi="Times New Roman" w:cs="Times New Roman"/>
          <w:color w:val="000000" w:themeColor="text1"/>
          <w:szCs w:val="24"/>
          <w:lang w:val="el-GR" w:eastAsia="el-GR"/>
        </w:rPr>
        <w:t>ς</w:t>
      </w:r>
      <w:r w:rsidRPr="00071DB5">
        <w:rPr>
          <w:rFonts w:ascii="Times New Roman" w:eastAsia="Times New Roman" w:hAnsi="Times New Roman" w:cs="Times New Roman"/>
          <w:color w:val="000000" w:themeColor="text1"/>
          <w:szCs w:val="24"/>
          <w:lang w:val="el-GR" w:eastAsia="el-GR"/>
        </w:rPr>
        <w:t xml:space="preserve"> του </w:t>
      </w:r>
      <w:r w:rsidRPr="00071DB5">
        <w:rPr>
          <w:rFonts w:ascii="Times New Roman" w:eastAsia="Times New Roman" w:hAnsi="Times New Roman" w:cs="Times New Roman"/>
          <w:color w:val="000000" w:themeColor="text1"/>
          <w:szCs w:val="24"/>
          <w:lang w:eastAsia="el-GR"/>
        </w:rPr>
        <w:t>HIV</w:t>
      </w:r>
      <w:r w:rsidRPr="00071DB5">
        <w:rPr>
          <w:rFonts w:ascii="Times New Roman" w:eastAsia="Times New Roman" w:hAnsi="Times New Roman" w:cs="Times New Roman"/>
          <w:color w:val="000000" w:themeColor="text1"/>
          <w:szCs w:val="24"/>
          <w:lang w:val="el-GR" w:eastAsia="el-GR"/>
        </w:rPr>
        <w:t xml:space="preserve">. Οι διαταραχές των λιπιδίων θα πρέπει να αντιμετωπίζονται όπως </w:t>
      </w:r>
      <w:r w:rsidR="005F56D0">
        <w:rPr>
          <w:rFonts w:ascii="Times New Roman" w:eastAsia="Times New Roman" w:hAnsi="Times New Roman" w:cs="Times New Roman"/>
          <w:color w:val="000000" w:themeColor="text1"/>
          <w:szCs w:val="24"/>
          <w:lang w:val="el-GR" w:eastAsia="el-GR"/>
        </w:rPr>
        <w:t>ενδείκνυται</w:t>
      </w:r>
      <w:r w:rsidR="005F56D0" w:rsidRPr="00071DB5">
        <w:rPr>
          <w:rFonts w:ascii="Times New Roman" w:eastAsia="Times New Roman" w:hAnsi="Times New Roman" w:cs="Times New Roman"/>
          <w:color w:val="000000" w:themeColor="text1"/>
          <w:szCs w:val="24"/>
          <w:lang w:val="el-GR" w:eastAsia="el-GR"/>
        </w:rPr>
        <w:t xml:space="preserve"> </w:t>
      </w:r>
      <w:r w:rsidRPr="00071DB5">
        <w:rPr>
          <w:rFonts w:ascii="Times New Roman" w:eastAsia="Times New Roman" w:hAnsi="Times New Roman" w:cs="Times New Roman"/>
          <w:color w:val="000000" w:themeColor="text1"/>
          <w:szCs w:val="24"/>
          <w:lang w:val="el-GR" w:eastAsia="el-GR"/>
        </w:rPr>
        <w:t>κλινικά.</w:t>
      </w:r>
    </w:p>
    <w:p w:rsidR="00645378" w:rsidRPr="009E32D3" w:rsidRDefault="00645378" w:rsidP="009E32D3">
      <w:pPr>
        <w:spacing w:before="7"/>
        <w:ind w:right="-66"/>
        <w:rPr>
          <w:rFonts w:ascii="Times New Roman" w:eastAsia="Times New Roman" w:hAnsi="Times New Roman" w:cs="Times New Roman"/>
          <w:lang w:val="el-GR"/>
        </w:rPr>
      </w:pPr>
    </w:p>
    <w:p w:rsidR="00645378" w:rsidRPr="009E32D3" w:rsidRDefault="007134E2" w:rsidP="009E32D3">
      <w:pPr>
        <w:pStyle w:val="a3"/>
        <w:ind w:left="0" w:right="-66"/>
        <w:rPr>
          <w:lang w:val="el-GR"/>
        </w:rPr>
      </w:pPr>
      <w:r w:rsidRPr="009E32D3">
        <w:rPr>
          <w:u w:val="single" w:color="000000"/>
          <w:lang w:val="el-GR"/>
        </w:rPr>
        <w:t>Μιτοχονδριακή</w:t>
      </w:r>
      <w:r w:rsidRPr="009E32D3">
        <w:rPr>
          <w:spacing w:val="6"/>
          <w:u w:val="single" w:color="000000"/>
          <w:lang w:val="el-GR"/>
        </w:rPr>
        <w:t xml:space="preserve"> </w:t>
      </w:r>
      <w:r w:rsidRPr="009E32D3">
        <w:rPr>
          <w:u w:val="single" w:color="000000"/>
          <w:lang w:val="el-GR"/>
        </w:rPr>
        <w:t>δυσλειτουργία</w:t>
      </w:r>
    </w:p>
    <w:p w:rsidR="00645378" w:rsidRPr="009E32D3" w:rsidRDefault="007134E2" w:rsidP="004155A8">
      <w:pPr>
        <w:pStyle w:val="a3"/>
        <w:spacing w:before="6" w:line="244" w:lineRule="auto"/>
        <w:ind w:left="0" w:right="-66"/>
        <w:rPr>
          <w:lang w:val="el-GR"/>
        </w:rPr>
      </w:pPr>
      <w:r w:rsidRPr="009E32D3">
        <w:rPr>
          <w:lang w:val="el-GR"/>
        </w:rPr>
        <w:t>Έχει δειχθεί ότι τα</w:t>
      </w:r>
      <w:r w:rsidRPr="009E32D3">
        <w:rPr>
          <w:spacing w:val="-1"/>
          <w:lang w:val="el-GR"/>
        </w:rPr>
        <w:t xml:space="preserve"> </w:t>
      </w:r>
      <w:r w:rsidRPr="009E32D3">
        <w:rPr>
          <w:lang w:val="el-GR"/>
        </w:rPr>
        <w:t>νουκλεοσιδικά</w:t>
      </w:r>
      <w:r w:rsidRPr="009E32D3">
        <w:rPr>
          <w:spacing w:val="-1"/>
          <w:lang w:val="el-GR"/>
        </w:rPr>
        <w:t xml:space="preserve"> </w:t>
      </w:r>
      <w:r w:rsidRPr="009E32D3">
        <w:rPr>
          <w:lang w:val="el-GR"/>
        </w:rPr>
        <w:t>και νουκλεοτιδικά</w:t>
      </w:r>
      <w:r w:rsidRPr="009E32D3">
        <w:rPr>
          <w:spacing w:val="-1"/>
          <w:lang w:val="el-GR"/>
        </w:rPr>
        <w:t xml:space="preserve"> </w:t>
      </w:r>
      <w:r w:rsidRPr="009E32D3">
        <w:rPr>
          <w:lang w:val="el-GR"/>
        </w:rPr>
        <w:t>ανάλογα</w:t>
      </w:r>
      <w:r w:rsidRPr="009E32D3">
        <w:rPr>
          <w:spacing w:val="-1"/>
          <w:lang w:val="el-GR"/>
        </w:rPr>
        <w:t xml:space="preserve"> </w:t>
      </w:r>
      <w:r w:rsidRPr="009E32D3">
        <w:rPr>
          <w:lang w:val="el-GR"/>
        </w:rPr>
        <w:t>μπορεί να</w:t>
      </w:r>
      <w:r w:rsidRPr="009E32D3">
        <w:rPr>
          <w:spacing w:val="-1"/>
          <w:lang w:val="el-GR"/>
        </w:rPr>
        <w:t xml:space="preserve"> </w:t>
      </w:r>
      <w:r w:rsidRPr="009E32D3">
        <w:rPr>
          <w:lang w:val="el-GR"/>
        </w:rPr>
        <w:t>προκαλέσουν</w:t>
      </w:r>
      <w:r w:rsidRPr="009E32D3">
        <w:rPr>
          <w:spacing w:val="1"/>
          <w:lang w:val="el-GR"/>
        </w:rPr>
        <w:t xml:space="preserve"> </w:t>
      </w:r>
      <w:r>
        <w:rPr>
          <w:i/>
        </w:rPr>
        <w:t>in</w:t>
      </w:r>
      <w:r w:rsidRPr="009E32D3">
        <w:rPr>
          <w:i/>
          <w:spacing w:val="-1"/>
          <w:lang w:val="el-GR"/>
        </w:rPr>
        <w:t xml:space="preserve"> </w:t>
      </w:r>
      <w:r>
        <w:rPr>
          <w:i/>
        </w:rPr>
        <w:t>vivo</w:t>
      </w:r>
      <w:r w:rsidRPr="009E32D3">
        <w:rPr>
          <w:i/>
          <w:spacing w:val="-1"/>
          <w:lang w:val="el-GR"/>
        </w:rPr>
        <w:t xml:space="preserve"> </w:t>
      </w:r>
      <w:r w:rsidRPr="009E32D3">
        <w:rPr>
          <w:lang w:val="el-GR"/>
        </w:rPr>
        <w:t>και</w:t>
      </w:r>
      <w:r w:rsidR="00710961">
        <w:rPr>
          <w:lang w:val="el-GR"/>
        </w:rPr>
        <w:t xml:space="preserve"> </w:t>
      </w:r>
      <w:r w:rsidRPr="009E32D3">
        <w:rPr>
          <w:spacing w:val="-53"/>
          <w:lang w:val="el-GR"/>
        </w:rPr>
        <w:t xml:space="preserve"> </w:t>
      </w:r>
      <w:r>
        <w:rPr>
          <w:i/>
        </w:rPr>
        <w:t>in</w:t>
      </w:r>
      <w:r w:rsidRPr="009E32D3">
        <w:rPr>
          <w:i/>
          <w:lang w:val="el-GR"/>
        </w:rPr>
        <w:t xml:space="preserve"> </w:t>
      </w:r>
      <w:r>
        <w:rPr>
          <w:i/>
        </w:rPr>
        <w:t>vitro</w:t>
      </w:r>
      <w:r w:rsidRPr="009E32D3">
        <w:rPr>
          <w:i/>
          <w:lang w:val="el-GR"/>
        </w:rPr>
        <w:t xml:space="preserve"> </w:t>
      </w:r>
      <w:r w:rsidRPr="009E32D3">
        <w:rPr>
          <w:lang w:val="el-GR"/>
        </w:rPr>
        <w:t>μιτοχονδριακές βλάβες ποικίλου βαθμού. Έχει αναφερθεί μιτοχονδριακή δυσλειτουργία</w:t>
      </w:r>
      <w:r w:rsidRPr="009E32D3">
        <w:rPr>
          <w:spacing w:val="11"/>
          <w:lang w:val="el-GR"/>
        </w:rPr>
        <w:t xml:space="preserve"> </w:t>
      </w:r>
      <w:r w:rsidRPr="009E32D3">
        <w:rPr>
          <w:lang w:val="el-GR"/>
        </w:rPr>
        <w:t xml:space="preserve">σε </w:t>
      </w:r>
      <w:r>
        <w:rPr>
          <w:spacing w:val="-2"/>
        </w:rPr>
        <w:t>HIV</w:t>
      </w:r>
      <w:r w:rsidRPr="009E32D3">
        <w:rPr>
          <w:spacing w:val="-2"/>
          <w:lang w:val="el-GR"/>
        </w:rPr>
        <w:t xml:space="preserve"> </w:t>
      </w:r>
      <w:r w:rsidRPr="009E32D3">
        <w:rPr>
          <w:lang w:val="el-GR"/>
        </w:rPr>
        <w:t xml:space="preserve">αρνητικά βρέφη τα οποία είχαν εκτεθεί </w:t>
      </w:r>
      <w:r>
        <w:rPr>
          <w:i/>
        </w:rPr>
        <w:t>in</w:t>
      </w:r>
      <w:r w:rsidRPr="009E32D3">
        <w:rPr>
          <w:i/>
          <w:lang w:val="el-GR"/>
        </w:rPr>
        <w:t xml:space="preserve"> </w:t>
      </w:r>
      <w:r>
        <w:rPr>
          <w:i/>
        </w:rPr>
        <w:t>utero</w:t>
      </w:r>
      <w:r w:rsidRPr="009E32D3">
        <w:rPr>
          <w:i/>
          <w:lang w:val="el-GR"/>
        </w:rPr>
        <w:t xml:space="preserve"> </w:t>
      </w:r>
      <w:r w:rsidRPr="009E32D3">
        <w:rPr>
          <w:lang w:val="el-GR"/>
        </w:rPr>
        <w:t>ή/και μετά τη γέννηση σε</w:t>
      </w:r>
      <w:r w:rsidRPr="009E32D3">
        <w:rPr>
          <w:spacing w:val="10"/>
          <w:lang w:val="el-GR"/>
        </w:rPr>
        <w:t xml:space="preserve"> </w:t>
      </w:r>
      <w:r w:rsidRPr="009E32D3">
        <w:rPr>
          <w:lang w:val="el-GR"/>
        </w:rPr>
        <w:t>νουκλεοσιδικά</w:t>
      </w:r>
      <w:r w:rsidR="005F56D0">
        <w:rPr>
          <w:lang w:val="el-GR"/>
        </w:rPr>
        <w:t xml:space="preserve"> </w:t>
      </w:r>
      <w:r w:rsidRPr="00AA2F31">
        <w:rPr>
          <w:lang w:val="el-GR"/>
        </w:rPr>
        <w:t>ανάλογα. Οι κύριες ανεπιθύμητες ενέργειες οι οποίες αναφέρθηκαν, είναι αιματολογικές</w:t>
      </w:r>
      <w:r w:rsidRPr="00AA2F31">
        <w:rPr>
          <w:spacing w:val="-2"/>
          <w:lang w:val="el-GR"/>
        </w:rPr>
        <w:t xml:space="preserve"> </w:t>
      </w:r>
      <w:r w:rsidRPr="00AA2F31">
        <w:rPr>
          <w:lang w:val="el-GR"/>
        </w:rPr>
        <w:t>διαταραχές (αναιμία, ουδετεροπενία), μεταβολικές διαταραχές (υψηλά επίπεδα γαλακτικού οξέος στο</w:t>
      </w:r>
      <w:r w:rsidRPr="00AA2F31">
        <w:rPr>
          <w:spacing w:val="-3"/>
          <w:lang w:val="el-GR"/>
        </w:rPr>
        <w:t xml:space="preserve"> </w:t>
      </w:r>
      <w:r w:rsidRPr="00AA2F31">
        <w:rPr>
          <w:lang w:val="el-GR"/>
        </w:rPr>
        <w:t xml:space="preserve">αίμα, υψηλά επίπεδα λιπάσης στο αίμα). </w:t>
      </w:r>
      <w:r w:rsidRPr="009E32D3">
        <w:rPr>
          <w:lang w:val="el-GR"/>
        </w:rPr>
        <w:t>Οι ενέργειες αυτές είναι συνήθως παροδικές. Έχουν</w:t>
      </w:r>
      <w:r w:rsidRPr="009E32D3">
        <w:rPr>
          <w:spacing w:val="-2"/>
          <w:lang w:val="el-GR"/>
        </w:rPr>
        <w:t xml:space="preserve"> </w:t>
      </w:r>
      <w:r w:rsidRPr="009E32D3">
        <w:rPr>
          <w:lang w:val="el-GR"/>
        </w:rPr>
        <w:t>αναφερθεί κάποιες</w:t>
      </w:r>
      <w:r w:rsidRPr="009E32D3">
        <w:rPr>
          <w:spacing w:val="-1"/>
          <w:lang w:val="el-GR"/>
        </w:rPr>
        <w:t xml:space="preserve"> </w:t>
      </w:r>
      <w:r w:rsidRPr="009E32D3">
        <w:rPr>
          <w:lang w:val="el-GR"/>
        </w:rPr>
        <w:t>νευρολογικές</w:t>
      </w:r>
      <w:r w:rsidRPr="009E32D3">
        <w:rPr>
          <w:spacing w:val="-1"/>
          <w:lang w:val="el-GR"/>
        </w:rPr>
        <w:t xml:space="preserve"> </w:t>
      </w:r>
      <w:r w:rsidRPr="009E32D3">
        <w:rPr>
          <w:lang w:val="el-GR"/>
        </w:rPr>
        <w:t>διαταραχές</w:t>
      </w:r>
      <w:r w:rsidRPr="009E32D3">
        <w:rPr>
          <w:spacing w:val="-1"/>
          <w:lang w:val="el-GR"/>
        </w:rPr>
        <w:t xml:space="preserve"> </w:t>
      </w:r>
      <w:r w:rsidRPr="009E32D3">
        <w:rPr>
          <w:lang w:val="el-GR"/>
        </w:rPr>
        <w:t>όψιμης</w:t>
      </w:r>
      <w:r w:rsidRPr="009E32D3">
        <w:rPr>
          <w:spacing w:val="-1"/>
          <w:lang w:val="el-GR"/>
        </w:rPr>
        <w:t xml:space="preserve"> </w:t>
      </w:r>
      <w:r w:rsidRPr="009E32D3">
        <w:rPr>
          <w:lang w:val="el-GR"/>
        </w:rPr>
        <w:t>έναρξης</w:t>
      </w:r>
      <w:r w:rsidRPr="009E32D3">
        <w:rPr>
          <w:spacing w:val="-1"/>
          <w:lang w:val="el-GR"/>
        </w:rPr>
        <w:t xml:space="preserve"> </w:t>
      </w:r>
      <w:r w:rsidRPr="009E32D3">
        <w:rPr>
          <w:lang w:val="el-GR"/>
        </w:rPr>
        <w:t>(υπερτονία, σπασμοί, μη</w:t>
      </w:r>
      <w:r w:rsidRPr="009E32D3">
        <w:rPr>
          <w:spacing w:val="-1"/>
          <w:lang w:val="el-GR"/>
        </w:rPr>
        <w:t xml:space="preserve"> </w:t>
      </w:r>
      <w:r w:rsidRPr="009E32D3">
        <w:rPr>
          <w:lang w:val="el-GR"/>
        </w:rPr>
        <w:t>φυσιολογική</w:t>
      </w:r>
      <w:r w:rsidRPr="009E32D3">
        <w:rPr>
          <w:spacing w:val="-51"/>
          <w:lang w:val="el-GR"/>
        </w:rPr>
        <w:t xml:space="preserve"> </w:t>
      </w:r>
      <w:r w:rsidRPr="009E32D3">
        <w:rPr>
          <w:lang w:val="el-GR"/>
        </w:rPr>
        <w:t>συμπεριφορά). Δεν είναι επί του παρόντος γνωστό, αν οι νευρολογικές διαταραχές είναι παροδικές</w:t>
      </w:r>
      <w:r w:rsidRPr="009E32D3">
        <w:rPr>
          <w:spacing w:val="9"/>
          <w:lang w:val="el-GR"/>
        </w:rPr>
        <w:t xml:space="preserve"> </w:t>
      </w:r>
      <w:r w:rsidRPr="009E32D3">
        <w:rPr>
          <w:lang w:val="el-GR"/>
        </w:rPr>
        <w:t xml:space="preserve">ή μόνιμες. Οποιοδήποτε παιδί, ακόμη και αν είναι </w:t>
      </w:r>
      <w:r>
        <w:rPr>
          <w:spacing w:val="-2"/>
        </w:rPr>
        <w:t>HIV</w:t>
      </w:r>
      <w:r w:rsidRPr="009E32D3">
        <w:rPr>
          <w:spacing w:val="-2"/>
          <w:lang w:val="el-GR"/>
        </w:rPr>
        <w:t xml:space="preserve"> </w:t>
      </w:r>
      <w:r w:rsidRPr="009E32D3">
        <w:rPr>
          <w:lang w:val="el-GR"/>
        </w:rPr>
        <w:t xml:space="preserve">αρνητικό, </w:t>
      </w:r>
      <w:r w:rsidR="00C2163C" w:rsidRPr="009E32D3">
        <w:rPr>
          <w:lang w:val="el-GR"/>
        </w:rPr>
        <w:t>πο</w:t>
      </w:r>
      <w:r w:rsidR="00C2163C">
        <w:rPr>
          <w:lang w:val="el-GR"/>
        </w:rPr>
        <w:t>υ</w:t>
      </w:r>
      <w:r w:rsidR="00C2163C" w:rsidRPr="009E32D3">
        <w:rPr>
          <w:lang w:val="el-GR"/>
        </w:rPr>
        <w:t xml:space="preserve"> </w:t>
      </w:r>
      <w:r w:rsidRPr="009E32D3">
        <w:rPr>
          <w:lang w:val="el-GR"/>
        </w:rPr>
        <w:t xml:space="preserve">εκτέθηκε </w:t>
      </w:r>
      <w:r>
        <w:rPr>
          <w:i/>
        </w:rPr>
        <w:t>in</w:t>
      </w:r>
      <w:r w:rsidRPr="009E32D3">
        <w:rPr>
          <w:i/>
          <w:lang w:val="el-GR"/>
        </w:rPr>
        <w:t xml:space="preserve"> </w:t>
      </w:r>
      <w:r>
        <w:rPr>
          <w:i/>
        </w:rPr>
        <w:t>utero</w:t>
      </w:r>
      <w:r w:rsidRPr="009E32D3">
        <w:rPr>
          <w:i/>
          <w:spacing w:val="4"/>
          <w:lang w:val="el-GR"/>
        </w:rPr>
        <w:t xml:space="preserve"> </w:t>
      </w:r>
      <w:r w:rsidRPr="009E32D3">
        <w:rPr>
          <w:lang w:val="el-GR"/>
        </w:rPr>
        <w:t>σε νουκλεοσιδικά</w:t>
      </w:r>
      <w:r w:rsidRPr="009E32D3">
        <w:rPr>
          <w:spacing w:val="-1"/>
          <w:lang w:val="el-GR"/>
        </w:rPr>
        <w:t xml:space="preserve"> </w:t>
      </w:r>
      <w:r w:rsidRPr="009E32D3">
        <w:rPr>
          <w:lang w:val="el-GR"/>
        </w:rPr>
        <w:t>και νουκλεοτιδικά</w:t>
      </w:r>
      <w:r w:rsidRPr="009E32D3">
        <w:rPr>
          <w:spacing w:val="-1"/>
          <w:lang w:val="el-GR"/>
        </w:rPr>
        <w:t xml:space="preserve"> </w:t>
      </w:r>
      <w:r w:rsidRPr="009E32D3">
        <w:rPr>
          <w:lang w:val="el-GR"/>
        </w:rPr>
        <w:t>ανάλογα, πρέπει να</w:t>
      </w:r>
      <w:r w:rsidRPr="009E32D3">
        <w:rPr>
          <w:spacing w:val="-1"/>
          <w:lang w:val="el-GR"/>
        </w:rPr>
        <w:t xml:space="preserve"> </w:t>
      </w:r>
      <w:r w:rsidRPr="009E32D3">
        <w:rPr>
          <w:lang w:val="el-GR"/>
        </w:rPr>
        <w:t>παρακολουθείται εργαστηριακά</w:t>
      </w:r>
      <w:r w:rsidRPr="009E32D3">
        <w:rPr>
          <w:spacing w:val="-1"/>
          <w:lang w:val="el-GR"/>
        </w:rPr>
        <w:t xml:space="preserve"> </w:t>
      </w:r>
      <w:r w:rsidRPr="009E32D3">
        <w:rPr>
          <w:lang w:val="el-GR"/>
        </w:rPr>
        <w:t>και να</w:t>
      </w:r>
      <w:r w:rsidRPr="009E32D3">
        <w:rPr>
          <w:spacing w:val="-53"/>
          <w:lang w:val="el-GR"/>
        </w:rPr>
        <w:t xml:space="preserve"> </w:t>
      </w:r>
      <w:r w:rsidRPr="009E32D3">
        <w:rPr>
          <w:lang w:val="el-GR"/>
        </w:rPr>
        <w:t>διερευνάται πλήρως για πιθανή μιτοχονδριακή δυσλειτουργία σε περίπτωση εμφάνισης συναφών</w:t>
      </w:r>
      <w:r w:rsidRPr="009E32D3">
        <w:rPr>
          <w:spacing w:val="-50"/>
          <w:lang w:val="el-GR"/>
        </w:rPr>
        <w:t xml:space="preserve"> </w:t>
      </w:r>
      <w:r w:rsidRPr="009E32D3">
        <w:rPr>
          <w:lang w:val="el-GR"/>
        </w:rPr>
        <w:t>σημείων</w:t>
      </w:r>
      <w:r w:rsidRPr="009E32D3">
        <w:rPr>
          <w:spacing w:val="2"/>
          <w:lang w:val="el-GR"/>
        </w:rPr>
        <w:t xml:space="preserve"> </w:t>
      </w:r>
      <w:r w:rsidRPr="009E32D3">
        <w:rPr>
          <w:lang w:val="el-GR"/>
        </w:rPr>
        <w:t>και</w:t>
      </w:r>
      <w:r w:rsidRPr="009E32D3">
        <w:rPr>
          <w:spacing w:val="1"/>
          <w:lang w:val="el-GR"/>
        </w:rPr>
        <w:t xml:space="preserve"> </w:t>
      </w:r>
      <w:r w:rsidRPr="009E32D3">
        <w:rPr>
          <w:lang w:val="el-GR"/>
        </w:rPr>
        <w:t>συμπτωμάτων.</w:t>
      </w:r>
      <w:r w:rsidRPr="009E32D3">
        <w:rPr>
          <w:spacing w:val="1"/>
          <w:lang w:val="el-GR"/>
        </w:rPr>
        <w:t xml:space="preserve"> </w:t>
      </w:r>
      <w:r w:rsidRPr="009E32D3">
        <w:rPr>
          <w:lang w:val="el-GR"/>
        </w:rPr>
        <w:t>Τα ευρήματα αυτά δεν</w:t>
      </w:r>
      <w:r w:rsidRPr="009E32D3">
        <w:rPr>
          <w:spacing w:val="2"/>
          <w:lang w:val="el-GR"/>
        </w:rPr>
        <w:t xml:space="preserve"> </w:t>
      </w:r>
      <w:r w:rsidRPr="009E32D3">
        <w:rPr>
          <w:lang w:val="el-GR"/>
        </w:rPr>
        <w:t>επηρεάζουν</w:t>
      </w:r>
      <w:r w:rsidRPr="009E32D3">
        <w:rPr>
          <w:spacing w:val="2"/>
          <w:lang w:val="el-GR"/>
        </w:rPr>
        <w:t xml:space="preserve"> </w:t>
      </w:r>
      <w:r w:rsidRPr="009E32D3">
        <w:rPr>
          <w:lang w:val="el-GR"/>
        </w:rPr>
        <w:t>τις παρούσες εθνικές συστάσεις για</w:t>
      </w:r>
      <w:r w:rsidRPr="009E32D3">
        <w:rPr>
          <w:spacing w:val="-53"/>
          <w:lang w:val="el-GR"/>
        </w:rPr>
        <w:t xml:space="preserve"> </w:t>
      </w:r>
      <w:r w:rsidRPr="009E32D3">
        <w:rPr>
          <w:lang w:val="el-GR"/>
        </w:rPr>
        <w:t xml:space="preserve">τη χρήση αντιρετροϊκής αγωγής σε έγκυες γυναίκες, προκειμένου να προληφθεί η κάθετη μετάδοση του ιού </w:t>
      </w:r>
      <w:r>
        <w:t>HIV</w:t>
      </w:r>
      <w:r w:rsidRPr="009E32D3">
        <w:rPr>
          <w:lang w:val="el-GR"/>
        </w:rPr>
        <w:t>.</w:t>
      </w:r>
    </w:p>
    <w:p w:rsidR="00645378" w:rsidRPr="009E32D3" w:rsidRDefault="00645378" w:rsidP="009E32D3">
      <w:pPr>
        <w:spacing w:before="7"/>
        <w:ind w:right="-66"/>
        <w:rPr>
          <w:rFonts w:ascii="Times New Roman" w:eastAsia="Times New Roman" w:hAnsi="Times New Roman" w:cs="Times New Roman"/>
          <w:lang w:val="el-GR"/>
        </w:rPr>
      </w:pPr>
    </w:p>
    <w:p w:rsidR="00645378" w:rsidRPr="009E32D3" w:rsidRDefault="007134E2" w:rsidP="009E32D3">
      <w:pPr>
        <w:pStyle w:val="a3"/>
        <w:ind w:left="0" w:right="-66"/>
        <w:rPr>
          <w:lang w:val="el-GR"/>
        </w:rPr>
      </w:pPr>
      <w:r w:rsidRPr="009E32D3">
        <w:rPr>
          <w:u w:val="single" w:color="000000"/>
          <w:lang w:val="el-GR"/>
        </w:rPr>
        <w:lastRenderedPageBreak/>
        <w:t>Σύνδρομο Επανεργοποίησης του Ανοσοποιητικού</w:t>
      </w:r>
      <w:r w:rsidRPr="009E32D3">
        <w:rPr>
          <w:spacing w:val="5"/>
          <w:u w:val="single" w:color="000000"/>
          <w:lang w:val="el-GR"/>
        </w:rPr>
        <w:t xml:space="preserve"> </w:t>
      </w:r>
      <w:r w:rsidRPr="009E32D3">
        <w:rPr>
          <w:u w:val="single" w:color="000000"/>
          <w:lang w:val="el-GR"/>
        </w:rPr>
        <w:t>Συστήματος</w:t>
      </w:r>
    </w:p>
    <w:p w:rsidR="00645378" w:rsidRPr="009E32D3" w:rsidRDefault="007134E2" w:rsidP="009E32D3">
      <w:pPr>
        <w:pStyle w:val="a3"/>
        <w:spacing w:before="6" w:line="244" w:lineRule="auto"/>
        <w:ind w:left="0" w:right="-66"/>
        <w:rPr>
          <w:lang w:val="el-GR"/>
        </w:rPr>
      </w:pPr>
      <w:r w:rsidRPr="009E32D3">
        <w:rPr>
          <w:lang w:val="el-GR"/>
        </w:rPr>
        <w:t xml:space="preserve">Σε </w:t>
      </w:r>
      <w:r>
        <w:rPr>
          <w:spacing w:val="-2"/>
        </w:rPr>
        <w:t>HIV</w:t>
      </w:r>
      <w:r w:rsidRPr="009E32D3">
        <w:rPr>
          <w:spacing w:val="-2"/>
          <w:lang w:val="el-GR"/>
        </w:rPr>
        <w:t xml:space="preserve"> </w:t>
      </w:r>
      <w:r w:rsidRPr="009E32D3">
        <w:rPr>
          <w:lang w:val="el-GR"/>
        </w:rPr>
        <w:t>οροθετικούς ασθενείς με σοβαρή ανοσολογική ανεπάρκεια ενδέχεται να εμφανιστεί, κατά</w:t>
      </w:r>
      <w:r w:rsidRPr="009E32D3">
        <w:rPr>
          <w:spacing w:val="9"/>
          <w:lang w:val="el-GR"/>
        </w:rPr>
        <w:t xml:space="preserve"> </w:t>
      </w:r>
      <w:r w:rsidRPr="009E32D3">
        <w:rPr>
          <w:lang w:val="el-GR"/>
        </w:rPr>
        <w:t>την έναρξη</w:t>
      </w:r>
      <w:r w:rsidRPr="009E32D3">
        <w:rPr>
          <w:spacing w:val="-1"/>
          <w:lang w:val="el-GR"/>
        </w:rPr>
        <w:t xml:space="preserve"> </w:t>
      </w:r>
      <w:r w:rsidRPr="009E32D3">
        <w:rPr>
          <w:lang w:val="el-GR"/>
        </w:rPr>
        <w:t>της</w:t>
      </w:r>
      <w:r w:rsidRPr="009E32D3">
        <w:rPr>
          <w:spacing w:val="-1"/>
          <w:lang w:val="el-GR"/>
        </w:rPr>
        <w:t xml:space="preserve"> </w:t>
      </w:r>
      <w:r>
        <w:t>CART</w:t>
      </w:r>
      <w:r w:rsidRPr="009E32D3">
        <w:rPr>
          <w:lang w:val="el-GR"/>
        </w:rPr>
        <w:t>, μία</w:t>
      </w:r>
      <w:r w:rsidRPr="009E32D3">
        <w:rPr>
          <w:spacing w:val="-1"/>
          <w:lang w:val="el-GR"/>
        </w:rPr>
        <w:t xml:space="preserve"> </w:t>
      </w:r>
      <w:r w:rsidRPr="009E32D3">
        <w:rPr>
          <w:lang w:val="el-GR"/>
        </w:rPr>
        <w:t>φλεγμονώδης</w:t>
      </w:r>
      <w:r w:rsidRPr="009E32D3">
        <w:rPr>
          <w:spacing w:val="-1"/>
          <w:lang w:val="el-GR"/>
        </w:rPr>
        <w:t xml:space="preserve"> </w:t>
      </w:r>
      <w:r w:rsidRPr="009E32D3">
        <w:rPr>
          <w:lang w:val="el-GR"/>
        </w:rPr>
        <w:t>αντίδραση</w:t>
      </w:r>
      <w:r w:rsidRPr="009E32D3">
        <w:rPr>
          <w:spacing w:val="-1"/>
          <w:lang w:val="el-GR"/>
        </w:rPr>
        <w:t xml:space="preserve"> </w:t>
      </w:r>
      <w:r w:rsidRPr="009E32D3">
        <w:rPr>
          <w:lang w:val="el-GR"/>
        </w:rPr>
        <w:t>σε</w:t>
      </w:r>
      <w:r w:rsidRPr="009E32D3">
        <w:rPr>
          <w:spacing w:val="1"/>
          <w:lang w:val="el-GR"/>
        </w:rPr>
        <w:t xml:space="preserve"> </w:t>
      </w:r>
      <w:r w:rsidRPr="009E32D3">
        <w:rPr>
          <w:lang w:val="el-GR"/>
        </w:rPr>
        <w:t>ασυμπτωματικά</w:t>
      </w:r>
      <w:r w:rsidRPr="009E32D3">
        <w:rPr>
          <w:spacing w:val="-1"/>
          <w:lang w:val="el-GR"/>
        </w:rPr>
        <w:t xml:space="preserve"> </w:t>
      </w:r>
      <w:r w:rsidRPr="009E32D3">
        <w:rPr>
          <w:lang w:val="el-GR"/>
        </w:rPr>
        <w:t>ή</w:t>
      </w:r>
      <w:r w:rsidRPr="009E32D3">
        <w:rPr>
          <w:spacing w:val="-1"/>
          <w:lang w:val="el-GR"/>
        </w:rPr>
        <w:t xml:space="preserve"> </w:t>
      </w:r>
      <w:r w:rsidRPr="009E32D3">
        <w:rPr>
          <w:lang w:val="el-GR"/>
        </w:rPr>
        <w:t>υπολειμματικά</w:t>
      </w:r>
      <w:r w:rsidRPr="009E32D3">
        <w:rPr>
          <w:spacing w:val="-1"/>
          <w:lang w:val="el-GR"/>
        </w:rPr>
        <w:t xml:space="preserve"> </w:t>
      </w:r>
      <w:r w:rsidRPr="009E32D3">
        <w:rPr>
          <w:lang w:val="el-GR"/>
        </w:rPr>
        <w:t>ευκαιριακά</w:t>
      </w:r>
      <w:r w:rsidRPr="009E32D3">
        <w:rPr>
          <w:spacing w:val="-53"/>
          <w:lang w:val="el-GR"/>
        </w:rPr>
        <w:t xml:space="preserve"> </w:t>
      </w:r>
      <w:r w:rsidRPr="009E32D3">
        <w:rPr>
          <w:lang w:val="el-GR"/>
        </w:rPr>
        <w:t>παθογόνα και να προκληθούν σοβαρές κλινικές καταστάσεις ή επιδείνωση των</w:t>
      </w:r>
      <w:r w:rsidRPr="009E32D3">
        <w:rPr>
          <w:spacing w:val="4"/>
          <w:lang w:val="el-GR"/>
        </w:rPr>
        <w:t xml:space="preserve"> </w:t>
      </w:r>
      <w:r w:rsidRPr="009E32D3">
        <w:rPr>
          <w:lang w:val="el-GR"/>
        </w:rPr>
        <w:t>συμπτωμάτων.</w:t>
      </w:r>
    </w:p>
    <w:p w:rsidR="00677FA9" w:rsidRDefault="007134E2" w:rsidP="009E32D3">
      <w:pPr>
        <w:pStyle w:val="a3"/>
        <w:spacing w:before="1" w:line="244" w:lineRule="auto"/>
        <w:ind w:left="0" w:right="-66"/>
        <w:rPr>
          <w:lang w:val="el-GR"/>
        </w:rPr>
      </w:pPr>
      <w:r w:rsidRPr="009E32D3">
        <w:rPr>
          <w:lang w:val="el-GR"/>
        </w:rPr>
        <w:t>Τέτοιες αντιδράσεις έχουν τυπικά παρουσιαστεί εντός των πρώτων εβδομάδων ή μηνών από</w:t>
      </w:r>
      <w:r w:rsidRPr="009E32D3">
        <w:rPr>
          <w:spacing w:val="16"/>
          <w:lang w:val="el-GR"/>
        </w:rPr>
        <w:t xml:space="preserve"> </w:t>
      </w:r>
      <w:r w:rsidRPr="009E32D3">
        <w:rPr>
          <w:lang w:val="el-GR"/>
        </w:rPr>
        <w:t xml:space="preserve">την έναρξη της </w:t>
      </w:r>
      <w:r>
        <w:t>CART</w:t>
      </w:r>
      <w:r w:rsidRPr="009E32D3">
        <w:rPr>
          <w:lang w:val="el-GR"/>
        </w:rPr>
        <w:t>. Σχετικά παραδείγματα είναι η αμφιβληστροειδίτιδα από</w:t>
      </w:r>
      <w:r w:rsidRPr="009E32D3">
        <w:rPr>
          <w:spacing w:val="-4"/>
          <w:lang w:val="el-GR"/>
        </w:rPr>
        <w:t xml:space="preserve"> </w:t>
      </w:r>
      <w:r w:rsidRPr="009E32D3">
        <w:rPr>
          <w:lang w:val="el-GR"/>
        </w:rPr>
        <w:t>κυτταρομεγαλοϊό, γενικευμένες και/ή εστιακές λοιμώξεις από μυκοβακτηρίδια και πνευμονία οφειλόμενη σε</w:t>
      </w:r>
      <w:r w:rsidRPr="009E32D3">
        <w:rPr>
          <w:spacing w:val="-53"/>
          <w:lang w:val="el-GR"/>
        </w:rPr>
        <w:t xml:space="preserve"> </w:t>
      </w:r>
      <w:r>
        <w:rPr>
          <w:i/>
        </w:rPr>
        <w:t>Pneumocystis</w:t>
      </w:r>
      <w:r w:rsidRPr="009E32D3">
        <w:rPr>
          <w:i/>
          <w:lang w:val="el-GR"/>
        </w:rPr>
        <w:t xml:space="preserve"> </w:t>
      </w:r>
      <w:r>
        <w:rPr>
          <w:i/>
        </w:rPr>
        <w:t>jirovecii</w:t>
      </w:r>
      <w:r w:rsidRPr="009E32D3">
        <w:rPr>
          <w:lang w:val="el-GR"/>
        </w:rPr>
        <w:t xml:space="preserve">. </w:t>
      </w:r>
    </w:p>
    <w:p w:rsidR="00677FA9" w:rsidRDefault="00677FA9" w:rsidP="009E32D3">
      <w:pPr>
        <w:pStyle w:val="a3"/>
        <w:spacing w:before="1" w:line="244" w:lineRule="auto"/>
        <w:ind w:left="0" w:right="-66"/>
        <w:rPr>
          <w:lang w:val="el-GR"/>
        </w:rPr>
      </w:pPr>
    </w:p>
    <w:p w:rsidR="00645378" w:rsidRPr="009E32D3" w:rsidRDefault="007134E2" w:rsidP="009E32D3">
      <w:pPr>
        <w:pStyle w:val="a3"/>
        <w:spacing w:before="1" w:line="244" w:lineRule="auto"/>
        <w:ind w:left="0" w:right="-66"/>
        <w:rPr>
          <w:lang w:val="el-GR"/>
        </w:rPr>
      </w:pPr>
      <w:r w:rsidRPr="009E32D3">
        <w:rPr>
          <w:lang w:val="el-GR"/>
        </w:rPr>
        <w:t>Θα πρέπει να εκτιμώνται οποιαδήποτε φλεγμονώδη συμπτώματα και</w:t>
      </w:r>
      <w:r w:rsidRPr="009E32D3">
        <w:rPr>
          <w:spacing w:val="6"/>
          <w:lang w:val="el-GR"/>
        </w:rPr>
        <w:t xml:space="preserve"> </w:t>
      </w:r>
      <w:r w:rsidRPr="009E32D3">
        <w:rPr>
          <w:lang w:val="el-GR"/>
        </w:rPr>
        <w:t>να ορίζεται θεραπεία, όταν</w:t>
      </w:r>
      <w:r w:rsidRPr="009E32D3">
        <w:rPr>
          <w:spacing w:val="-2"/>
          <w:lang w:val="el-GR"/>
        </w:rPr>
        <w:t xml:space="preserve"> </w:t>
      </w:r>
      <w:r w:rsidRPr="009E32D3">
        <w:rPr>
          <w:lang w:val="el-GR"/>
        </w:rPr>
        <w:t>απαιτείται.</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C8267E">
      <w:pPr>
        <w:pStyle w:val="a3"/>
        <w:spacing w:line="244" w:lineRule="auto"/>
        <w:ind w:left="0" w:right="-66"/>
        <w:rPr>
          <w:lang w:val="el-GR"/>
        </w:rPr>
      </w:pPr>
      <w:r>
        <w:t>A</w:t>
      </w:r>
      <w:r w:rsidRPr="009E32D3">
        <w:rPr>
          <w:lang w:val="el-GR"/>
        </w:rPr>
        <w:t xml:space="preserve">υτοάνοσες διαταραχές (όπως η νόσος του </w:t>
      </w:r>
      <w:r>
        <w:t>Graves</w:t>
      </w:r>
      <w:r w:rsidRPr="009E32D3">
        <w:rPr>
          <w:lang w:val="el-GR"/>
        </w:rPr>
        <w:t>) έχουν επίσης αναφερθεί ότι συμβαίνουν κατά</w:t>
      </w:r>
      <w:r w:rsidRPr="009E32D3">
        <w:rPr>
          <w:spacing w:val="6"/>
          <w:lang w:val="el-GR"/>
        </w:rPr>
        <w:t xml:space="preserve"> </w:t>
      </w:r>
      <w:r w:rsidRPr="009E32D3">
        <w:rPr>
          <w:lang w:val="el-GR"/>
        </w:rPr>
        <w:t>τη ρύθμιση της επανεργοποίησης του ανοσοποιητικού συστήματος. Ωστόσο, ο αναφερόμενος</w:t>
      </w:r>
      <w:r w:rsidRPr="009E32D3">
        <w:rPr>
          <w:spacing w:val="5"/>
          <w:lang w:val="el-GR"/>
        </w:rPr>
        <w:t xml:space="preserve"> </w:t>
      </w:r>
      <w:r w:rsidRPr="009E32D3">
        <w:rPr>
          <w:lang w:val="el-GR"/>
        </w:rPr>
        <w:t>χρόνος</w:t>
      </w:r>
      <w:r w:rsidR="00C8267E" w:rsidRPr="00C8267E">
        <w:rPr>
          <w:lang w:val="el-GR"/>
        </w:rPr>
        <w:t xml:space="preserve"> </w:t>
      </w:r>
      <w:r w:rsidRPr="009E32D3">
        <w:rPr>
          <w:lang w:val="el-GR"/>
        </w:rPr>
        <w:t>έως την έναρξη είναι περισσότερο μεταβλητός και αυτά τα γεγονότα μπορεί να συμβούν</w:t>
      </w:r>
      <w:r w:rsidRPr="009E32D3">
        <w:rPr>
          <w:spacing w:val="10"/>
          <w:lang w:val="el-GR"/>
        </w:rPr>
        <w:t xml:space="preserve"> </w:t>
      </w:r>
      <w:r w:rsidRPr="009E32D3">
        <w:rPr>
          <w:lang w:val="el-GR"/>
        </w:rPr>
        <w:t>πολλούς μήνες μετά την έναρξη της</w:t>
      </w:r>
      <w:r w:rsidRPr="009E32D3">
        <w:rPr>
          <w:spacing w:val="-4"/>
          <w:lang w:val="el-GR"/>
        </w:rPr>
        <w:t xml:space="preserve"> </w:t>
      </w:r>
      <w:r w:rsidRPr="009E32D3">
        <w:rPr>
          <w:lang w:val="el-GR"/>
        </w:rPr>
        <w:t>θεραπείας.</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9E32D3">
        <w:rPr>
          <w:lang w:val="el-GR"/>
        </w:rPr>
        <w:t xml:space="preserve">Οι </w:t>
      </w:r>
      <w:r>
        <w:rPr>
          <w:spacing w:val="-2"/>
        </w:rPr>
        <w:t>HIV</w:t>
      </w:r>
      <w:r w:rsidRPr="009E32D3">
        <w:rPr>
          <w:spacing w:val="-2"/>
          <w:lang w:val="el-GR"/>
        </w:rPr>
        <w:t xml:space="preserve"> </w:t>
      </w:r>
      <w:r w:rsidRPr="009E32D3">
        <w:rPr>
          <w:lang w:val="el-GR"/>
        </w:rPr>
        <w:t>οροθετικοί ασθενείς με συνυπάρχουσα λοίμωξη από τον ιό της ηπατίτιδας Β ενδέχεται</w:t>
      </w:r>
      <w:r w:rsidRPr="009E32D3">
        <w:rPr>
          <w:spacing w:val="9"/>
          <w:lang w:val="el-GR"/>
        </w:rPr>
        <w:t xml:space="preserve"> </w:t>
      </w:r>
      <w:r w:rsidRPr="009E32D3">
        <w:rPr>
          <w:lang w:val="el-GR"/>
        </w:rPr>
        <w:t>να βιώσουν οξείες εξάρσεις ηπατίτιδας, συσχετιζόμενες με το σύνδρομο επανεργοποίησης του</w:t>
      </w:r>
      <w:r w:rsidRPr="009E32D3">
        <w:rPr>
          <w:spacing w:val="-45"/>
          <w:lang w:val="el-GR"/>
        </w:rPr>
        <w:t xml:space="preserve"> </w:t>
      </w:r>
      <w:r w:rsidRPr="009E32D3">
        <w:rPr>
          <w:lang w:val="el-GR"/>
        </w:rPr>
        <w:t>ανοσοποιητικού συστήματος, το οποίο ακολουθεί την έναρξη της αντιρετροϊκής</w:t>
      </w:r>
      <w:r w:rsidRPr="009E32D3">
        <w:rPr>
          <w:spacing w:val="4"/>
          <w:lang w:val="el-GR"/>
        </w:rPr>
        <w:t xml:space="preserve"> </w:t>
      </w:r>
      <w:r w:rsidRPr="009E32D3">
        <w:rPr>
          <w:lang w:val="el-GR"/>
        </w:rPr>
        <w:t>αγωγής.</w:t>
      </w:r>
    </w:p>
    <w:p w:rsidR="00645378" w:rsidRPr="009E32D3" w:rsidRDefault="00645378" w:rsidP="009E32D3">
      <w:pPr>
        <w:spacing w:before="7"/>
        <w:ind w:right="-66"/>
        <w:rPr>
          <w:rFonts w:ascii="Times New Roman" w:eastAsia="Times New Roman" w:hAnsi="Times New Roman" w:cs="Times New Roman"/>
          <w:lang w:val="el-GR"/>
        </w:rPr>
      </w:pPr>
    </w:p>
    <w:p w:rsidR="00645378" w:rsidRPr="009E32D3" w:rsidRDefault="007134E2" w:rsidP="009E32D3">
      <w:pPr>
        <w:pStyle w:val="a3"/>
        <w:ind w:left="0" w:right="-66"/>
        <w:rPr>
          <w:lang w:val="el-GR"/>
        </w:rPr>
      </w:pPr>
      <w:r w:rsidRPr="009E32D3">
        <w:rPr>
          <w:u w:val="single" w:color="000000"/>
          <w:lang w:val="el-GR"/>
        </w:rPr>
        <w:t>Οστεονέκρωση</w:t>
      </w:r>
    </w:p>
    <w:p w:rsidR="00645378" w:rsidRPr="009E32D3" w:rsidRDefault="007134E2" w:rsidP="009E32D3">
      <w:pPr>
        <w:pStyle w:val="a3"/>
        <w:spacing w:before="6" w:line="244" w:lineRule="auto"/>
        <w:ind w:left="0" w:right="-66"/>
        <w:rPr>
          <w:lang w:val="el-GR"/>
        </w:rPr>
      </w:pPr>
      <w:r w:rsidRPr="009E32D3">
        <w:rPr>
          <w:lang w:val="el-GR"/>
        </w:rPr>
        <w:t xml:space="preserve">Αναφέρθηκαν περιπτώσεις οστεονέκρωσης κυρίως σε ασθενείς με προχωρημένη λοίμωξη </w:t>
      </w:r>
      <w:r>
        <w:rPr>
          <w:spacing w:val="-2"/>
        </w:rPr>
        <w:t>HIV</w:t>
      </w:r>
      <w:r w:rsidRPr="009E32D3">
        <w:rPr>
          <w:spacing w:val="10"/>
          <w:lang w:val="el-GR"/>
        </w:rPr>
        <w:t xml:space="preserve"> </w:t>
      </w:r>
      <w:r w:rsidRPr="009E32D3">
        <w:rPr>
          <w:lang w:val="el-GR"/>
        </w:rPr>
        <w:t xml:space="preserve">και/ή μακράς διάρκειας έκθεση σε </w:t>
      </w:r>
      <w:r>
        <w:t>CART</w:t>
      </w:r>
      <w:r w:rsidRPr="009E32D3">
        <w:rPr>
          <w:lang w:val="el-GR"/>
        </w:rPr>
        <w:t xml:space="preserve"> αν και η αιτιολογία θεωρείται</w:t>
      </w:r>
      <w:r w:rsidRPr="009E32D3">
        <w:rPr>
          <w:spacing w:val="-1"/>
          <w:lang w:val="el-GR"/>
        </w:rPr>
        <w:t xml:space="preserve"> </w:t>
      </w:r>
      <w:r w:rsidRPr="009E32D3">
        <w:rPr>
          <w:lang w:val="el-GR"/>
        </w:rPr>
        <w:t>πολυπαραγοντική (συμπεριλαμβάνονται η χρήση κορτικοστεροειδών, η κατανάλωση αλκοόλ, η σοβαρή</w:t>
      </w:r>
      <w:r w:rsidRPr="009E32D3">
        <w:rPr>
          <w:spacing w:val="-50"/>
          <w:lang w:val="el-GR"/>
        </w:rPr>
        <w:t xml:space="preserve"> </w:t>
      </w:r>
      <w:r w:rsidRPr="009E32D3">
        <w:rPr>
          <w:lang w:val="el-GR"/>
        </w:rPr>
        <w:t>ανοσοκαταστολή, ο υψηλότερος δείκτης μάζας σώματος). Οι ασθενείς θα πρέπει να ζητούν</w:t>
      </w:r>
      <w:r w:rsidRPr="009E32D3">
        <w:rPr>
          <w:spacing w:val="-2"/>
          <w:lang w:val="el-GR"/>
        </w:rPr>
        <w:t xml:space="preserve"> </w:t>
      </w:r>
      <w:r w:rsidRPr="009E32D3">
        <w:rPr>
          <w:lang w:val="el-GR"/>
        </w:rPr>
        <w:t>ιατρική συμβουλή εάν παρουσιάζουν ενοχλήσεις και άλγος στις</w:t>
      </w:r>
      <w:r w:rsidR="003B2F63">
        <w:rPr>
          <w:lang w:val="el-GR"/>
        </w:rPr>
        <w:t xml:space="preserve"> αρθρώσεις, δυσκαμψία άρθρωσης ή </w:t>
      </w:r>
      <w:r w:rsidRPr="009E32D3">
        <w:rPr>
          <w:spacing w:val="-46"/>
          <w:lang w:val="el-GR"/>
        </w:rPr>
        <w:t xml:space="preserve"> </w:t>
      </w:r>
      <w:r w:rsidRPr="009E32D3">
        <w:rPr>
          <w:lang w:val="el-GR"/>
        </w:rPr>
        <w:t>δυσκολία στην</w:t>
      </w:r>
      <w:r w:rsidRPr="009E32D3">
        <w:rPr>
          <w:spacing w:val="2"/>
          <w:lang w:val="el-GR"/>
        </w:rPr>
        <w:t xml:space="preserve"> </w:t>
      </w:r>
      <w:r w:rsidRPr="009E32D3">
        <w:rPr>
          <w:lang w:val="el-GR"/>
        </w:rPr>
        <w:t>κίνηση.</w:t>
      </w:r>
    </w:p>
    <w:p w:rsidR="00645378" w:rsidRPr="009E32D3" w:rsidRDefault="00645378" w:rsidP="009E32D3">
      <w:pPr>
        <w:spacing w:before="7"/>
        <w:ind w:right="-66"/>
        <w:rPr>
          <w:rFonts w:ascii="Times New Roman" w:eastAsia="Times New Roman" w:hAnsi="Times New Roman" w:cs="Times New Roman"/>
          <w:lang w:val="el-GR"/>
        </w:rPr>
      </w:pPr>
    </w:p>
    <w:p w:rsidR="00645378" w:rsidRPr="009E32D3" w:rsidRDefault="007134E2" w:rsidP="009E32D3">
      <w:pPr>
        <w:pStyle w:val="a3"/>
        <w:ind w:left="0" w:right="-66"/>
        <w:rPr>
          <w:lang w:val="el-GR"/>
        </w:rPr>
      </w:pPr>
      <w:r w:rsidRPr="009E32D3">
        <w:rPr>
          <w:u w:val="single" w:color="000000"/>
          <w:lang w:val="el-GR"/>
        </w:rPr>
        <w:t>Ηλικιωμένοι</w:t>
      </w:r>
    </w:p>
    <w:p w:rsidR="00645378" w:rsidRPr="009E32D3" w:rsidRDefault="00D87C2E" w:rsidP="009E32D3">
      <w:pPr>
        <w:pStyle w:val="a3"/>
        <w:spacing w:before="6" w:line="244" w:lineRule="auto"/>
        <w:ind w:left="0" w:right="-66"/>
        <w:jc w:val="both"/>
        <w:rPr>
          <w:lang w:val="el-GR"/>
        </w:rPr>
      </w:pPr>
      <w:r>
        <w:rPr>
          <w:lang w:val="el-GR"/>
        </w:rPr>
        <w:t>Η</w:t>
      </w:r>
      <w:r w:rsidR="00677FA9">
        <w:rPr>
          <w:lang w:val="el-GR"/>
        </w:rPr>
        <w:t xml:space="preserve"> </w:t>
      </w:r>
      <w:r w:rsidR="00677FA9" w:rsidRPr="00F13AEB">
        <w:rPr>
          <w:rFonts w:cs="Times New Roman"/>
          <w:color w:val="000000" w:themeColor="text1"/>
          <w:lang w:val="el-GR"/>
        </w:rPr>
        <w:t>εμτρισιταβίνη</w:t>
      </w:r>
      <w:r>
        <w:rPr>
          <w:rFonts w:cs="Times New Roman"/>
          <w:color w:val="000000" w:themeColor="text1"/>
          <w:lang w:val="el-GR"/>
        </w:rPr>
        <w:t xml:space="preserve"> και </w:t>
      </w:r>
      <w:r w:rsidR="00677FA9" w:rsidRPr="00F13AEB">
        <w:rPr>
          <w:rFonts w:cs="Times New Roman"/>
          <w:color w:val="000000" w:themeColor="text1"/>
          <w:lang w:val="el-GR"/>
        </w:rPr>
        <w:t>τενοφοβίρη δισοπρόξιλη</w:t>
      </w:r>
      <w:r w:rsidR="00677FA9" w:rsidRPr="009E32D3">
        <w:rPr>
          <w:lang w:val="el-GR"/>
        </w:rPr>
        <w:t xml:space="preserve"> </w:t>
      </w:r>
      <w:r w:rsidR="007134E2" w:rsidRPr="009E32D3">
        <w:rPr>
          <w:lang w:val="el-GR"/>
        </w:rPr>
        <w:t>δεν έχει μελετηθεί σε ασθενείς ηλικίας πάνω από 65. Οι ηλικιωμένοι ασθενείς είναι</w:t>
      </w:r>
      <w:r w:rsidR="007134E2" w:rsidRPr="009E32D3">
        <w:rPr>
          <w:spacing w:val="4"/>
          <w:lang w:val="el-GR"/>
        </w:rPr>
        <w:t xml:space="preserve"> </w:t>
      </w:r>
      <w:r w:rsidR="007134E2" w:rsidRPr="009E32D3">
        <w:rPr>
          <w:lang w:val="el-GR"/>
        </w:rPr>
        <w:t>πιο πιθανό να έχουν μειωμένη νεφρική λειτουργία, ως εκ τούτου απαιτείται προσοχή κατά τη</w:t>
      </w:r>
      <w:r w:rsidR="007134E2" w:rsidRPr="009E32D3">
        <w:rPr>
          <w:spacing w:val="4"/>
          <w:lang w:val="el-GR"/>
        </w:rPr>
        <w:t xml:space="preserve"> </w:t>
      </w:r>
      <w:r w:rsidR="007134E2" w:rsidRPr="009E32D3">
        <w:rPr>
          <w:lang w:val="el-GR"/>
        </w:rPr>
        <w:t xml:space="preserve">θεραπεία ηλικιωμένων ασθενών με </w:t>
      </w:r>
      <w:r w:rsidR="00677FA9" w:rsidRPr="00F13AEB">
        <w:rPr>
          <w:rFonts w:cs="Times New Roman"/>
          <w:color w:val="000000" w:themeColor="text1"/>
          <w:lang w:val="el-GR"/>
        </w:rPr>
        <w:t>εμτρισιταβίνη</w:t>
      </w:r>
      <w:r>
        <w:rPr>
          <w:rFonts w:cs="Times New Roman"/>
          <w:color w:val="000000" w:themeColor="text1"/>
          <w:lang w:val="el-GR"/>
        </w:rPr>
        <w:t xml:space="preserve"> και </w:t>
      </w:r>
      <w:r w:rsidR="00677FA9" w:rsidRPr="00F13AEB">
        <w:rPr>
          <w:rFonts w:cs="Times New Roman"/>
          <w:color w:val="000000" w:themeColor="text1"/>
          <w:lang w:val="el-GR"/>
        </w:rPr>
        <w:t>τενοφοβίρη δισοπρόξιλη</w:t>
      </w:r>
      <w:r w:rsidR="007134E2" w:rsidRPr="009E32D3">
        <w:rPr>
          <w:lang w:val="el-GR"/>
        </w:rPr>
        <w:t>.</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9E32D3">
        <w:rPr>
          <w:lang w:val="el-GR"/>
        </w:rPr>
        <w:t>Το</w:t>
      </w:r>
      <w:r w:rsidRPr="00F36DB7">
        <w:rPr>
          <w:lang w:val="el-GR"/>
        </w:rPr>
        <w:t xml:space="preserve"> </w:t>
      </w:r>
      <w:r w:rsidR="003464A6">
        <w:t>ARGIODIN</w:t>
      </w:r>
      <w:r w:rsidRPr="00F36DB7">
        <w:rPr>
          <w:lang w:val="el-GR"/>
        </w:rPr>
        <w:t xml:space="preserve"> </w:t>
      </w:r>
      <w:r w:rsidRPr="009E32D3">
        <w:rPr>
          <w:lang w:val="el-GR"/>
        </w:rPr>
        <w:t>περιέχει</w:t>
      </w:r>
      <w:r w:rsidRPr="00F36DB7">
        <w:rPr>
          <w:lang w:val="el-GR"/>
        </w:rPr>
        <w:t xml:space="preserve"> </w:t>
      </w:r>
      <w:r w:rsidR="00F36DB7">
        <w:rPr>
          <w:lang w:val="el-GR"/>
        </w:rPr>
        <w:t>μονοϋδρική λακτόζη</w:t>
      </w:r>
      <w:r w:rsidRPr="00F36DB7">
        <w:rPr>
          <w:lang w:val="el-GR"/>
        </w:rPr>
        <w:t xml:space="preserve">. </w:t>
      </w:r>
      <w:r w:rsidRPr="009E32D3">
        <w:rPr>
          <w:lang w:val="el-GR"/>
        </w:rPr>
        <w:t>Συνεπώς, ασθενείς με σπάνια κληρονομικά νοσήματα</w:t>
      </w:r>
      <w:r w:rsidR="00F36DB7">
        <w:rPr>
          <w:lang w:val="el-GR"/>
        </w:rPr>
        <w:t xml:space="preserve"> </w:t>
      </w:r>
      <w:r w:rsidRPr="009E32D3">
        <w:rPr>
          <w:spacing w:val="-48"/>
          <w:lang w:val="el-GR"/>
        </w:rPr>
        <w:t xml:space="preserve"> </w:t>
      </w:r>
      <w:r w:rsidRPr="009E32D3">
        <w:rPr>
          <w:lang w:val="el-GR"/>
        </w:rPr>
        <w:t xml:space="preserve">δυσανεξίας στη γαλακτόζη, ανεπάρκεια λακτάσης του </w:t>
      </w:r>
      <w:r>
        <w:t>Lapp</w:t>
      </w:r>
      <w:r w:rsidRPr="009E32D3">
        <w:rPr>
          <w:lang w:val="el-GR"/>
        </w:rPr>
        <w:t xml:space="preserve"> ή δυσαπορρόφηση</w:t>
      </w:r>
      <w:r w:rsidRPr="009E32D3">
        <w:rPr>
          <w:spacing w:val="-10"/>
          <w:lang w:val="el-GR"/>
        </w:rPr>
        <w:t xml:space="preserve"> </w:t>
      </w:r>
      <w:r w:rsidRPr="009E32D3">
        <w:rPr>
          <w:lang w:val="el-GR"/>
        </w:rPr>
        <w:t>γλυκόζης-γαλακτόζης, δεν πρέπει να λαμβάνουν αυτό το</w:t>
      </w:r>
      <w:r w:rsidRPr="009E32D3">
        <w:rPr>
          <w:spacing w:val="2"/>
          <w:lang w:val="el-GR"/>
        </w:rPr>
        <w:t xml:space="preserve"> </w:t>
      </w:r>
      <w:r w:rsidRPr="009E32D3">
        <w:rPr>
          <w:lang w:val="el-GR"/>
        </w:rPr>
        <w:t>φάρμακο.</w:t>
      </w:r>
    </w:p>
    <w:p w:rsidR="00645378" w:rsidRPr="009E32D3" w:rsidRDefault="00645378" w:rsidP="009E32D3">
      <w:pPr>
        <w:spacing w:before="1"/>
        <w:ind w:right="-66"/>
        <w:rPr>
          <w:rFonts w:ascii="Times New Roman" w:eastAsia="Times New Roman" w:hAnsi="Times New Roman" w:cs="Times New Roman"/>
          <w:sz w:val="23"/>
          <w:szCs w:val="23"/>
          <w:lang w:val="el-GR"/>
        </w:rPr>
      </w:pPr>
    </w:p>
    <w:p w:rsidR="00645378" w:rsidRPr="009E32D3" w:rsidRDefault="007134E2" w:rsidP="009E32D3">
      <w:pPr>
        <w:pStyle w:val="1"/>
        <w:numPr>
          <w:ilvl w:val="1"/>
          <w:numId w:val="5"/>
        </w:numPr>
        <w:tabs>
          <w:tab w:val="left" w:pos="685"/>
        </w:tabs>
        <w:ind w:left="0" w:right="-66" w:firstLine="0"/>
        <w:rPr>
          <w:b w:val="0"/>
          <w:bCs w:val="0"/>
          <w:lang w:val="el-GR"/>
        </w:rPr>
      </w:pPr>
      <w:r w:rsidRPr="009E32D3">
        <w:rPr>
          <w:lang w:val="el-GR"/>
        </w:rPr>
        <w:t>Αλληλεπιδράσεις με άλλα φαρμακευτικά προϊόντα και άλλες μορφές</w:t>
      </w:r>
      <w:r w:rsidRPr="009E32D3">
        <w:rPr>
          <w:spacing w:val="-13"/>
          <w:lang w:val="el-GR"/>
        </w:rPr>
        <w:t xml:space="preserve"> </w:t>
      </w:r>
      <w:r w:rsidRPr="009E32D3">
        <w:rPr>
          <w:lang w:val="el-GR"/>
        </w:rPr>
        <w:t>αλληλεπίδρασης</w:t>
      </w:r>
    </w:p>
    <w:p w:rsidR="00645378" w:rsidRPr="009E32D3" w:rsidRDefault="00645378" w:rsidP="009E32D3">
      <w:pPr>
        <w:spacing w:before="8"/>
        <w:ind w:right="-66"/>
        <w:rPr>
          <w:rFonts w:ascii="Times New Roman" w:eastAsia="Times New Roman" w:hAnsi="Times New Roman" w:cs="Times New Roman"/>
          <w:b/>
          <w:bCs/>
          <w:lang w:val="el-GR"/>
        </w:rPr>
      </w:pPr>
    </w:p>
    <w:p w:rsidR="00645378" w:rsidRPr="009E32D3" w:rsidRDefault="006557AF" w:rsidP="009E32D3">
      <w:pPr>
        <w:pStyle w:val="a3"/>
        <w:spacing w:line="244" w:lineRule="auto"/>
        <w:ind w:left="0" w:right="-66"/>
        <w:rPr>
          <w:lang w:val="el-GR"/>
        </w:rPr>
      </w:pPr>
      <w:r>
        <w:rPr>
          <w:lang w:val="el-GR"/>
        </w:rPr>
        <w:t xml:space="preserve">Εφόσον </w:t>
      </w:r>
      <w:r w:rsidR="007134E2" w:rsidRPr="009E32D3">
        <w:rPr>
          <w:lang w:val="el-GR"/>
        </w:rPr>
        <w:t xml:space="preserve">ο </w:t>
      </w:r>
      <w:r>
        <w:rPr>
          <w:lang w:val="el-GR"/>
        </w:rPr>
        <w:t xml:space="preserve">συνδυασμός </w:t>
      </w:r>
      <w:r w:rsidRPr="00F13AEB">
        <w:rPr>
          <w:rFonts w:cs="Times New Roman"/>
          <w:color w:val="000000" w:themeColor="text1"/>
          <w:lang w:val="el-GR"/>
        </w:rPr>
        <w:t>εμτρισιταβίνης</w:t>
      </w:r>
      <w:r w:rsidR="00D87C2E">
        <w:rPr>
          <w:rFonts w:cs="Times New Roman"/>
          <w:color w:val="000000" w:themeColor="text1"/>
          <w:lang w:val="el-GR"/>
        </w:rPr>
        <w:t xml:space="preserve"> και </w:t>
      </w:r>
      <w:r w:rsidRPr="00F13AEB">
        <w:rPr>
          <w:rFonts w:cs="Times New Roman"/>
          <w:color w:val="000000" w:themeColor="text1"/>
          <w:lang w:val="el-GR"/>
        </w:rPr>
        <w:t>τενοφοβίρης δισοπρόξιλης</w:t>
      </w:r>
      <w:r w:rsidRPr="009E32D3">
        <w:rPr>
          <w:lang w:val="el-GR"/>
        </w:rPr>
        <w:t xml:space="preserve"> </w:t>
      </w:r>
      <w:r w:rsidR="007134E2" w:rsidRPr="009E32D3">
        <w:rPr>
          <w:lang w:val="el-GR"/>
        </w:rPr>
        <w:t xml:space="preserve">περιέχει </w:t>
      </w:r>
      <w:r w:rsidRPr="00F13AEB">
        <w:rPr>
          <w:rFonts w:cs="Times New Roman"/>
          <w:color w:val="000000" w:themeColor="text1"/>
          <w:lang w:val="el-GR"/>
        </w:rPr>
        <w:t>εμτρισιταβ</w:t>
      </w:r>
      <w:r>
        <w:rPr>
          <w:rFonts w:cs="Times New Roman"/>
          <w:color w:val="000000" w:themeColor="text1"/>
          <w:lang w:val="el-GR"/>
        </w:rPr>
        <w:t>ίνη</w:t>
      </w:r>
      <w:r w:rsidRPr="006557AF">
        <w:rPr>
          <w:rFonts w:cs="Times New Roman"/>
          <w:color w:val="000000" w:themeColor="text1"/>
          <w:lang w:val="el-GR"/>
        </w:rPr>
        <w:t xml:space="preserve"> </w:t>
      </w:r>
      <w:r>
        <w:rPr>
          <w:rFonts w:cs="Times New Roman"/>
          <w:color w:val="000000" w:themeColor="text1"/>
          <w:lang w:val="el-GR"/>
        </w:rPr>
        <w:t xml:space="preserve">και </w:t>
      </w:r>
      <w:r w:rsidRPr="00F13AEB">
        <w:rPr>
          <w:rFonts w:cs="Times New Roman"/>
          <w:color w:val="000000" w:themeColor="text1"/>
          <w:lang w:val="el-GR"/>
        </w:rPr>
        <w:t>τενοφοβίρ</w:t>
      </w:r>
      <w:r>
        <w:rPr>
          <w:rFonts w:cs="Times New Roman"/>
          <w:color w:val="000000" w:themeColor="text1"/>
          <w:lang w:val="el-GR"/>
        </w:rPr>
        <w:t>η</w:t>
      </w:r>
      <w:r w:rsidRPr="00F13AEB">
        <w:rPr>
          <w:rFonts w:cs="Times New Roman"/>
          <w:color w:val="000000" w:themeColor="text1"/>
          <w:lang w:val="el-GR"/>
        </w:rPr>
        <w:t xml:space="preserve"> δισοπρ</w:t>
      </w:r>
      <w:r>
        <w:rPr>
          <w:rFonts w:cs="Times New Roman"/>
          <w:color w:val="000000" w:themeColor="text1"/>
          <w:lang w:val="el-GR"/>
        </w:rPr>
        <w:t>όξιλη</w:t>
      </w:r>
      <w:r w:rsidR="00F14B75">
        <w:rPr>
          <w:lang w:val="el-GR"/>
        </w:rPr>
        <w:t xml:space="preserve">, οποιεσδήποτε </w:t>
      </w:r>
      <w:r w:rsidR="007134E2" w:rsidRPr="009E32D3">
        <w:rPr>
          <w:lang w:val="el-GR"/>
        </w:rPr>
        <w:t>αλληλεπιδράσεις έχουν αναγνωριστεί μεμονωμένα με αυτές τις ουσίες ενδέχεται να εμφανιστούν</w:t>
      </w:r>
      <w:r w:rsidR="007134E2" w:rsidRPr="009E32D3">
        <w:rPr>
          <w:spacing w:val="12"/>
          <w:lang w:val="el-GR"/>
        </w:rPr>
        <w:t xml:space="preserve"> </w:t>
      </w:r>
      <w:r w:rsidR="007134E2" w:rsidRPr="009E32D3">
        <w:rPr>
          <w:lang w:val="el-GR"/>
        </w:rPr>
        <w:t xml:space="preserve">και με το </w:t>
      </w:r>
      <w:r>
        <w:rPr>
          <w:lang w:val="el-GR"/>
        </w:rPr>
        <w:t xml:space="preserve">συνδυασμό </w:t>
      </w:r>
      <w:r w:rsidRPr="00F13AEB">
        <w:rPr>
          <w:rFonts w:cs="Times New Roman"/>
          <w:color w:val="000000" w:themeColor="text1"/>
          <w:lang w:val="el-GR"/>
        </w:rPr>
        <w:t>εμτρισιταβίνης</w:t>
      </w:r>
      <w:r w:rsidR="00D87C2E">
        <w:rPr>
          <w:rFonts w:cs="Times New Roman"/>
          <w:color w:val="000000" w:themeColor="text1"/>
          <w:lang w:val="el-GR"/>
        </w:rPr>
        <w:t xml:space="preserve"> και </w:t>
      </w:r>
      <w:r w:rsidRPr="00F13AEB">
        <w:rPr>
          <w:rFonts w:cs="Times New Roman"/>
          <w:color w:val="000000" w:themeColor="text1"/>
          <w:lang w:val="el-GR"/>
        </w:rPr>
        <w:t>τενοφοβίρης δισοπρόξιλης</w:t>
      </w:r>
      <w:r w:rsidR="007134E2" w:rsidRPr="009E32D3">
        <w:rPr>
          <w:lang w:val="el-GR"/>
        </w:rPr>
        <w:t>. Μελέτες αλληλεπιδράσεων έχουν πραγματοποιηθεί μόνο σε</w:t>
      </w:r>
      <w:r w:rsidR="007134E2" w:rsidRPr="009E32D3">
        <w:rPr>
          <w:spacing w:val="8"/>
          <w:lang w:val="el-GR"/>
        </w:rPr>
        <w:t xml:space="preserve"> </w:t>
      </w:r>
      <w:r w:rsidR="007134E2" w:rsidRPr="009E32D3">
        <w:rPr>
          <w:lang w:val="el-GR"/>
        </w:rPr>
        <w:t>ενήλικες.</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9E32D3">
        <w:rPr>
          <w:lang w:val="el-GR"/>
        </w:rPr>
        <w:t xml:space="preserve">Η φαρμακοκινητική της </w:t>
      </w:r>
      <w:r w:rsidR="006557AF" w:rsidRPr="00F13AEB">
        <w:rPr>
          <w:rFonts w:cs="Times New Roman"/>
          <w:color w:val="000000" w:themeColor="text1"/>
          <w:lang w:val="el-GR"/>
        </w:rPr>
        <w:t>εμτρισιταβίνης</w:t>
      </w:r>
      <w:r w:rsidRPr="009E32D3">
        <w:rPr>
          <w:lang w:val="el-GR"/>
        </w:rPr>
        <w:t xml:space="preserve"> και </w:t>
      </w:r>
      <w:r w:rsidR="006557AF">
        <w:rPr>
          <w:lang w:val="el-GR"/>
        </w:rPr>
        <w:t>της τενοφοβίρης</w:t>
      </w:r>
      <w:r w:rsidRPr="009E32D3">
        <w:rPr>
          <w:lang w:val="el-GR"/>
        </w:rPr>
        <w:t xml:space="preserve"> κατά τη σταθεροποιημένη κατάσταση όταν</w:t>
      </w:r>
      <w:r w:rsidRPr="009E32D3">
        <w:rPr>
          <w:spacing w:val="1"/>
          <w:lang w:val="el-GR"/>
        </w:rPr>
        <w:t xml:space="preserve"> </w:t>
      </w:r>
      <w:r w:rsidRPr="009E32D3">
        <w:rPr>
          <w:lang w:val="el-GR"/>
        </w:rPr>
        <w:t xml:space="preserve">η </w:t>
      </w:r>
      <w:r w:rsidR="006557AF">
        <w:rPr>
          <w:lang w:val="el-GR"/>
        </w:rPr>
        <w:t>εμτρισιταβίνη και η τενοφοβίρη δισοπρόξιλη</w:t>
      </w:r>
      <w:r w:rsidRPr="009E32D3">
        <w:rPr>
          <w:lang w:val="el-GR"/>
        </w:rPr>
        <w:t xml:space="preserve"> χορηγήθηκαν ταυτόχρονα ήταν ίδια με τη</w:t>
      </w:r>
      <w:r w:rsidRPr="009E32D3">
        <w:rPr>
          <w:spacing w:val="-39"/>
          <w:lang w:val="el-GR"/>
        </w:rPr>
        <w:t xml:space="preserve"> </w:t>
      </w:r>
      <w:r w:rsidRPr="009E32D3">
        <w:rPr>
          <w:lang w:val="el-GR"/>
        </w:rPr>
        <w:t>φαρμακοκινητική αυτών των φαρμακευτικών προϊόντων κατά τη μεμονωμένη χορήγησή</w:t>
      </w:r>
      <w:r w:rsidRPr="009E32D3">
        <w:rPr>
          <w:spacing w:val="10"/>
          <w:lang w:val="el-GR"/>
        </w:rPr>
        <w:t xml:space="preserve"> </w:t>
      </w:r>
      <w:r w:rsidRPr="009E32D3">
        <w:rPr>
          <w:lang w:val="el-GR"/>
        </w:rPr>
        <w:t>τους.</w:t>
      </w:r>
    </w:p>
    <w:p w:rsidR="00645378" w:rsidRPr="009E32D3" w:rsidRDefault="00645378" w:rsidP="009E32D3">
      <w:pPr>
        <w:spacing w:before="8"/>
        <w:ind w:right="-66"/>
        <w:rPr>
          <w:rFonts w:ascii="Times New Roman" w:eastAsia="Times New Roman" w:hAnsi="Times New Roman" w:cs="Times New Roman"/>
          <w:lang w:val="el-GR"/>
        </w:rPr>
      </w:pPr>
    </w:p>
    <w:p w:rsidR="00645378" w:rsidRPr="009E32D3" w:rsidRDefault="007134E2" w:rsidP="009E32D3">
      <w:pPr>
        <w:pStyle w:val="a3"/>
        <w:spacing w:line="244" w:lineRule="auto"/>
        <w:ind w:left="0" w:right="-66"/>
        <w:rPr>
          <w:lang w:val="el-GR"/>
        </w:rPr>
      </w:pPr>
      <w:r w:rsidRPr="009E32D3">
        <w:rPr>
          <w:lang w:val="el-GR"/>
        </w:rPr>
        <w:t xml:space="preserve">Κλινικές και </w:t>
      </w:r>
      <w:r>
        <w:rPr>
          <w:i/>
        </w:rPr>
        <w:t>in</w:t>
      </w:r>
      <w:r w:rsidRPr="009E32D3">
        <w:rPr>
          <w:i/>
          <w:lang w:val="el-GR"/>
        </w:rPr>
        <w:t xml:space="preserve"> </w:t>
      </w:r>
      <w:r>
        <w:rPr>
          <w:i/>
        </w:rPr>
        <w:t>vitro</w:t>
      </w:r>
      <w:r w:rsidRPr="009E32D3">
        <w:rPr>
          <w:i/>
          <w:lang w:val="el-GR"/>
        </w:rPr>
        <w:t xml:space="preserve"> </w:t>
      </w:r>
      <w:r w:rsidRPr="009E32D3">
        <w:rPr>
          <w:lang w:val="el-GR"/>
        </w:rPr>
        <w:t>μελέτες φαρμακοκινητικής αλληλεπίδρασ</w:t>
      </w:r>
      <w:r w:rsidR="00F14B75">
        <w:rPr>
          <w:lang w:val="el-GR"/>
        </w:rPr>
        <w:t xml:space="preserve">ης έδειξαν ότι το ενδεχόμενο των </w:t>
      </w:r>
      <w:r w:rsidRPr="009E32D3">
        <w:rPr>
          <w:lang w:val="el-GR"/>
        </w:rPr>
        <w:t xml:space="preserve">μέσω του </w:t>
      </w:r>
      <w:r>
        <w:t>CYP</w:t>
      </w:r>
      <w:r w:rsidRPr="009E32D3">
        <w:rPr>
          <w:lang w:val="el-GR"/>
        </w:rPr>
        <w:t xml:space="preserve">450 αλληλεπιδράσεων που εμπλέκουν την </w:t>
      </w:r>
      <w:r w:rsidR="006557AF">
        <w:rPr>
          <w:lang w:val="el-GR"/>
        </w:rPr>
        <w:t xml:space="preserve">εμτρισιταβίνη και την τενοφοβίρη </w:t>
      </w:r>
      <w:r w:rsidR="006557AF">
        <w:rPr>
          <w:lang w:val="el-GR"/>
        </w:rPr>
        <w:lastRenderedPageBreak/>
        <w:t xml:space="preserve">δισοπρόξιλη </w:t>
      </w:r>
      <w:r w:rsidRPr="009E32D3">
        <w:rPr>
          <w:lang w:val="el-GR"/>
        </w:rPr>
        <w:t>με άλλα φαρμακευτικά προϊόντα, είναι</w:t>
      </w:r>
      <w:r w:rsidRPr="009E32D3">
        <w:rPr>
          <w:spacing w:val="-1"/>
          <w:lang w:val="el-GR"/>
        </w:rPr>
        <w:t xml:space="preserve"> </w:t>
      </w:r>
      <w:r w:rsidRPr="009E32D3">
        <w:rPr>
          <w:lang w:val="el-GR"/>
        </w:rPr>
        <w:t>χαμηλό.</w:t>
      </w:r>
    </w:p>
    <w:p w:rsidR="00645378" w:rsidRPr="009E32D3" w:rsidRDefault="00645378" w:rsidP="009E32D3">
      <w:pPr>
        <w:spacing w:before="7"/>
        <w:ind w:right="-66"/>
        <w:rPr>
          <w:rFonts w:ascii="Times New Roman" w:eastAsia="Times New Roman" w:hAnsi="Times New Roman" w:cs="Times New Roman"/>
          <w:lang w:val="el-GR"/>
        </w:rPr>
      </w:pPr>
    </w:p>
    <w:p w:rsidR="00645378" w:rsidRPr="009E32D3" w:rsidRDefault="007134E2" w:rsidP="009E32D3">
      <w:pPr>
        <w:pStyle w:val="a3"/>
        <w:ind w:left="0" w:right="14"/>
        <w:rPr>
          <w:lang w:val="el-GR"/>
        </w:rPr>
      </w:pPr>
      <w:r w:rsidRPr="009E32D3">
        <w:rPr>
          <w:u w:val="single" w:color="000000"/>
          <w:lang w:val="el-GR"/>
        </w:rPr>
        <w:t>Η συγχορήγηση δεν</w:t>
      </w:r>
      <w:r w:rsidRPr="009E32D3">
        <w:rPr>
          <w:spacing w:val="3"/>
          <w:u w:val="single" w:color="000000"/>
          <w:lang w:val="el-GR"/>
        </w:rPr>
        <w:t xml:space="preserve"> </w:t>
      </w:r>
      <w:r w:rsidRPr="009E32D3">
        <w:rPr>
          <w:u w:val="single" w:color="000000"/>
          <w:lang w:val="el-GR"/>
        </w:rPr>
        <w:t>συνιστάται</w:t>
      </w:r>
    </w:p>
    <w:p w:rsidR="00645378" w:rsidRPr="009E32D3" w:rsidRDefault="007134E2" w:rsidP="009E32D3">
      <w:pPr>
        <w:pStyle w:val="a3"/>
        <w:spacing w:before="6" w:line="244" w:lineRule="auto"/>
        <w:ind w:left="0" w:right="14"/>
        <w:rPr>
          <w:lang w:val="el-GR"/>
        </w:rPr>
      </w:pPr>
      <w:r w:rsidRPr="009E32D3">
        <w:rPr>
          <w:lang w:val="el-GR"/>
        </w:rPr>
        <w:t xml:space="preserve">Λόγω ομοιοτήτων με την </w:t>
      </w:r>
      <w:r w:rsidR="006557AF">
        <w:rPr>
          <w:lang w:val="el-GR"/>
        </w:rPr>
        <w:t xml:space="preserve">εμτρισιταβίνη, </w:t>
      </w:r>
      <w:r w:rsidR="00F14B75">
        <w:rPr>
          <w:lang w:val="el-GR"/>
        </w:rPr>
        <w:t xml:space="preserve">το </w:t>
      </w:r>
      <w:r w:rsidR="00F14B75">
        <w:t>ARGIODIN</w:t>
      </w:r>
      <w:r w:rsidR="006557AF">
        <w:rPr>
          <w:lang w:val="el-GR"/>
        </w:rPr>
        <w:t xml:space="preserve"> </w:t>
      </w:r>
      <w:r w:rsidRPr="009E32D3">
        <w:rPr>
          <w:lang w:val="el-GR"/>
        </w:rPr>
        <w:t>δεν πρέπει να συγχορηγείται με άλλα</w:t>
      </w:r>
      <w:r w:rsidRPr="009E32D3">
        <w:rPr>
          <w:spacing w:val="17"/>
          <w:lang w:val="el-GR"/>
        </w:rPr>
        <w:t xml:space="preserve"> </w:t>
      </w:r>
      <w:r w:rsidRPr="009E32D3">
        <w:rPr>
          <w:lang w:val="el-GR"/>
        </w:rPr>
        <w:t xml:space="preserve">ανάλογα κυτιδίνης, όπως </w:t>
      </w:r>
      <w:r w:rsidR="00D909ED">
        <w:rPr>
          <w:lang w:val="el-GR"/>
        </w:rPr>
        <w:t xml:space="preserve">το </w:t>
      </w:r>
      <w:r w:rsidR="00D909ED">
        <w:t>lamivudine</w:t>
      </w:r>
      <w:r w:rsidRPr="009E32D3">
        <w:rPr>
          <w:lang w:val="el-GR"/>
        </w:rPr>
        <w:t xml:space="preserve"> (βλ. παράγραφο 4.4).</w:t>
      </w:r>
    </w:p>
    <w:p w:rsidR="00645378" w:rsidRPr="009E32D3" w:rsidRDefault="00645378" w:rsidP="009E32D3">
      <w:pPr>
        <w:spacing w:before="8"/>
        <w:ind w:right="14"/>
        <w:rPr>
          <w:rFonts w:ascii="Times New Roman" w:eastAsia="Times New Roman" w:hAnsi="Times New Roman" w:cs="Times New Roman"/>
          <w:lang w:val="el-GR"/>
        </w:rPr>
      </w:pPr>
    </w:p>
    <w:p w:rsidR="00645378" w:rsidRPr="009E32D3" w:rsidRDefault="007134E2" w:rsidP="009E32D3">
      <w:pPr>
        <w:pStyle w:val="a3"/>
        <w:spacing w:line="244" w:lineRule="auto"/>
        <w:ind w:left="0" w:right="14"/>
        <w:rPr>
          <w:lang w:val="el-GR"/>
        </w:rPr>
      </w:pPr>
      <w:r w:rsidRPr="009E32D3">
        <w:rPr>
          <w:lang w:val="el-GR"/>
        </w:rPr>
        <w:t xml:space="preserve">Ως σταθερός συνδυασμός, το </w:t>
      </w:r>
      <w:r w:rsidR="003464A6">
        <w:t>ARGIODIN</w:t>
      </w:r>
      <w:r w:rsidR="003464A6" w:rsidRPr="009E32D3">
        <w:rPr>
          <w:lang w:val="el-GR"/>
        </w:rPr>
        <w:t xml:space="preserve"> </w:t>
      </w:r>
      <w:r w:rsidRPr="009E32D3">
        <w:rPr>
          <w:lang w:val="el-GR"/>
        </w:rPr>
        <w:t>δεν πρέπει να συγχορηγείται με άλλα φαρμακευτικά</w:t>
      </w:r>
      <w:r w:rsidRPr="009E32D3">
        <w:rPr>
          <w:spacing w:val="6"/>
          <w:lang w:val="el-GR"/>
        </w:rPr>
        <w:t xml:space="preserve"> </w:t>
      </w:r>
      <w:r w:rsidRPr="009E32D3">
        <w:rPr>
          <w:lang w:val="el-GR"/>
        </w:rPr>
        <w:t xml:space="preserve">προϊόντα που περιέχουν οποιαδήποτε από τις ενώσεις, </w:t>
      </w:r>
      <w:r w:rsidR="006557AF" w:rsidRPr="00F13AEB">
        <w:rPr>
          <w:rFonts w:cs="Times New Roman"/>
          <w:color w:val="000000" w:themeColor="text1"/>
          <w:lang w:val="el-GR"/>
        </w:rPr>
        <w:t>εμτρισιταβίνη</w:t>
      </w:r>
      <w:r w:rsidR="006557AF" w:rsidRPr="006557AF">
        <w:rPr>
          <w:rFonts w:cs="Times New Roman"/>
          <w:color w:val="000000" w:themeColor="text1"/>
          <w:lang w:val="el-GR"/>
        </w:rPr>
        <w:t xml:space="preserve"> </w:t>
      </w:r>
      <w:r w:rsidR="006557AF">
        <w:rPr>
          <w:rFonts w:cs="Times New Roman"/>
          <w:color w:val="000000" w:themeColor="text1"/>
          <w:lang w:val="el-GR"/>
        </w:rPr>
        <w:t>ή</w:t>
      </w:r>
      <w:r w:rsidR="00AA6C14">
        <w:rPr>
          <w:rFonts w:cs="Times New Roman"/>
          <w:color w:val="000000" w:themeColor="text1"/>
          <w:lang w:val="el-GR"/>
        </w:rPr>
        <w:t xml:space="preserve"> </w:t>
      </w:r>
      <w:r w:rsidR="006557AF" w:rsidRPr="00F13AEB">
        <w:rPr>
          <w:rFonts w:cs="Times New Roman"/>
          <w:color w:val="000000" w:themeColor="text1"/>
          <w:lang w:val="el-GR"/>
        </w:rPr>
        <w:t>τενοφοβίρ</w:t>
      </w:r>
      <w:r w:rsidR="006557AF">
        <w:rPr>
          <w:rFonts w:cs="Times New Roman"/>
          <w:color w:val="000000" w:themeColor="text1"/>
          <w:lang w:val="el-GR"/>
        </w:rPr>
        <w:t>η</w:t>
      </w:r>
      <w:r w:rsidR="006557AF" w:rsidRPr="00F13AEB">
        <w:rPr>
          <w:rFonts w:cs="Times New Roman"/>
          <w:color w:val="000000" w:themeColor="text1"/>
          <w:lang w:val="el-GR"/>
        </w:rPr>
        <w:t xml:space="preserve"> δισοπρ</w:t>
      </w:r>
      <w:r w:rsidR="006557AF">
        <w:rPr>
          <w:rFonts w:cs="Times New Roman"/>
          <w:color w:val="000000" w:themeColor="text1"/>
          <w:lang w:val="el-GR"/>
        </w:rPr>
        <w:t>όξιλη</w:t>
      </w:r>
      <w:r w:rsidRPr="009E32D3">
        <w:rPr>
          <w:lang w:val="el-GR"/>
        </w:rPr>
        <w:t>.</w:t>
      </w:r>
    </w:p>
    <w:p w:rsidR="00D87C2E" w:rsidRDefault="00D87C2E" w:rsidP="009E32D3">
      <w:pPr>
        <w:pStyle w:val="a3"/>
        <w:ind w:left="0" w:right="14"/>
        <w:rPr>
          <w:lang w:val="el-GR"/>
        </w:rPr>
      </w:pPr>
    </w:p>
    <w:p w:rsidR="00645378" w:rsidRPr="009E32D3" w:rsidRDefault="007134E2" w:rsidP="009E32D3">
      <w:pPr>
        <w:pStyle w:val="a3"/>
        <w:ind w:left="0" w:right="14"/>
        <w:rPr>
          <w:lang w:val="el-GR"/>
        </w:rPr>
      </w:pPr>
      <w:r w:rsidRPr="009E32D3">
        <w:rPr>
          <w:lang w:val="el-GR"/>
        </w:rPr>
        <w:t xml:space="preserve">Το </w:t>
      </w:r>
      <w:r w:rsidR="003464A6">
        <w:t>ARGIODIN</w:t>
      </w:r>
      <w:r w:rsidR="00AA6C14" w:rsidRPr="00AA6C14">
        <w:rPr>
          <w:lang w:val="el-GR"/>
        </w:rPr>
        <w:t xml:space="preserve"> </w:t>
      </w:r>
      <w:r w:rsidRPr="009E32D3">
        <w:rPr>
          <w:lang w:val="el-GR"/>
        </w:rPr>
        <w:t>δε</w:t>
      </w:r>
      <w:r w:rsidR="00AA6C14">
        <w:rPr>
          <w:lang w:val="el-GR"/>
        </w:rPr>
        <w:t xml:space="preserve">ν πρέπει να συγχορηγείται με </w:t>
      </w:r>
      <w:r w:rsidR="00D909ED">
        <w:t>adefovir</w:t>
      </w:r>
      <w:r w:rsidR="00D909ED" w:rsidRPr="004155A8">
        <w:rPr>
          <w:lang w:val="el-GR"/>
        </w:rPr>
        <w:t xml:space="preserve"> </w:t>
      </w:r>
      <w:r w:rsidR="00D909ED">
        <w:t>dipivoxil</w:t>
      </w:r>
      <w:r w:rsidR="00AA6C14">
        <w:rPr>
          <w:lang w:val="el-GR"/>
        </w:rPr>
        <w:t>.</w:t>
      </w:r>
    </w:p>
    <w:p w:rsidR="00645378" w:rsidRPr="00B84A45" w:rsidRDefault="00645378" w:rsidP="009E32D3">
      <w:pPr>
        <w:spacing w:before="1"/>
        <w:ind w:right="14"/>
        <w:rPr>
          <w:rFonts w:ascii="Times New Roman" w:eastAsia="Times New Roman" w:hAnsi="Times New Roman" w:cs="Times New Roman"/>
          <w:color w:val="000000" w:themeColor="text1"/>
          <w:sz w:val="23"/>
          <w:szCs w:val="23"/>
          <w:lang w:val="el-GR"/>
        </w:rPr>
      </w:pPr>
    </w:p>
    <w:p w:rsidR="00645378" w:rsidRPr="00B84A45" w:rsidRDefault="00F36DB7" w:rsidP="009E32D3">
      <w:pPr>
        <w:pStyle w:val="a3"/>
        <w:spacing w:line="244" w:lineRule="auto"/>
        <w:ind w:left="0" w:right="14"/>
        <w:rPr>
          <w:color w:val="000000" w:themeColor="text1"/>
          <w:lang w:val="el-GR"/>
        </w:rPr>
      </w:pPr>
      <w:r w:rsidRPr="00F36DB7">
        <w:rPr>
          <w:i/>
          <w:lang w:val="el-GR"/>
        </w:rPr>
        <w:t>Διδανοσίνη</w:t>
      </w:r>
      <w:r w:rsidR="007134E2" w:rsidRPr="00B84A45">
        <w:rPr>
          <w:i/>
          <w:color w:val="000000" w:themeColor="text1"/>
          <w:lang w:val="el-GR"/>
        </w:rPr>
        <w:t xml:space="preserve">: </w:t>
      </w:r>
      <w:r w:rsidR="007134E2" w:rsidRPr="00B84A45">
        <w:rPr>
          <w:color w:val="000000" w:themeColor="text1"/>
          <w:lang w:val="el-GR"/>
        </w:rPr>
        <w:t xml:space="preserve">Η συγχορήγηση </w:t>
      </w:r>
      <w:r w:rsidR="00D87C2E">
        <w:rPr>
          <w:color w:val="000000" w:themeColor="text1"/>
          <w:lang w:val="el-GR"/>
        </w:rPr>
        <w:t>της</w:t>
      </w:r>
      <w:r w:rsidR="00AA6C14">
        <w:rPr>
          <w:color w:val="000000" w:themeColor="text1"/>
          <w:lang w:val="el-GR"/>
        </w:rPr>
        <w:t xml:space="preserve"> </w:t>
      </w:r>
      <w:r w:rsidR="00AA6C14" w:rsidRPr="00F13AEB">
        <w:rPr>
          <w:rFonts w:cs="Times New Roman"/>
          <w:color w:val="000000" w:themeColor="text1"/>
          <w:lang w:val="el-GR"/>
        </w:rPr>
        <w:t>εμτρισιταβίνης</w:t>
      </w:r>
      <w:r w:rsidR="00D87C2E">
        <w:rPr>
          <w:rFonts w:cs="Times New Roman"/>
          <w:color w:val="000000" w:themeColor="text1"/>
          <w:lang w:val="el-GR"/>
        </w:rPr>
        <w:t xml:space="preserve"> και </w:t>
      </w:r>
      <w:r w:rsidR="00AA6C14" w:rsidRPr="00F13AEB">
        <w:rPr>
          <w:rFonts w:cs="Times New Roman"/>
          <w:color w:val="000000" w:themeColor="text1"/>
          <w:lang w:val="el-GR"/>
        </w:rPr>
        <w:t>τενοφοβίρης δισοπρόξιλης</w:t>
      </w:r>
      <w:r w:rsidR="00AA6C14">
        <w:rPr>
          <w:lang w:val="el-GR"/>
        </w:rPr>
        <w:t xml:space="preserve"> </w:t>
      </w:r>
      <w:r w:rsidR="007134E2" w:rsidRPr="00B84A45">
        <w:rPr>
          <w:color w:val="000000" w:themeColor="text1"/>
          <w:lang w:val="el-GR"/>
        </w:rPr>
        <w:t xml:space="preserve">με </w:t>
      </w:r>
      <w:r w:rsidRPr="00F36DB7">
        <w:rPr>
          <w:lang w:val="el-GR"/>
        </w:rPr>
        <w:t>διδανοσίνη</w:t>
      </w:r>
      <w:r w:rsidR="00D909ED" w:rsidRPr="00F36DB7">
        <w:rPr>
          <w:color w:val="000000" w:themeColor="text1"/>
          <w:lang w:val="el-GR"/>
        </w:rPr>
        <w:t xml:space="preserve"> </w:t>
      </w:r>
      <w:r w:rsidR="007134E2" w:rsidRPr="00B84A45">
        <w:rPr>
          <w:color w:val="000000" w:themeColor="text1"/>
          <w:lang w:val="el-GR"/>
        </w:rPr>
        <w:t>δεν συνιστάται (βλ. παράγραφο 4.4</w:t>
      </w:r>
      <w:r w:rsidR="007134E2" w:rsidRPr="00B84A45">
        <w:rPr>
          <w:color w:val="000000" w:themeColor="text1"/>
          <w:spacing w:val="12"/>
          <w:lang w:val="el-GR"/>
        </w:rPr>
        <w:t xml:space="preserve"> </w:t>
      </w:r>
      <w:r w:rsidR="007134E2" w:rsidRPr="00B84A45">
        <w:rPr>
          <w:color w:val="000000" w:themeColor="text1"/>
          <w:lang w:val="el-GR"/>
        </w:rPr>
        <w:t>και Πίνακα</w:t>
      </w:r>
      <w:r w:rsidR="007134E2" w:rsidRPr="00B84A45">
        <w:rPr>
          <w:color w:val="000000" w:themeColor="text1"/>
          <w:spacing w:val="-1"/>
          <w:lang w:val="el-GR"/>
        </w:rPr>
        <w:t xml:space="preserve"> </w:t>
      </w:r>
      <w:r w:rsidR="007134E2" w:rsidRPr="00B84A45">
        <w:rPr>
          <w:color w:val="000000" w:themeColor="text1"/>
          <w:lang w:val="el-GR"/>
        </w:rPr>
        <w:t>1).</w:t>
      </w:r>
    </w:p>
    <w:p w:rsidR="00645378" w:rsidRPr="00B84A45" w:rsidRDefault="00645378" w:rsidP="009E32D3">
      <w:pPr>
        <w:spacing w:before="8"/>
        <w:ind w:right="14"/>
        <w:rPr>
          <w:rFonts w:ascii="Times New Roman" w:eastAsia="Times New Roman" w:hAnsi="Times New Roman" w:cs="Times New Roman"/>
          <w:color w:val="000000" w:themeColor="text1"/>
          <w:lang w:val="el-GR"/>
        </w:rPr>
      </w:pPr>
    </w:p>
    <w:p w:rsidR="00ED1DDD" w:rsidRPr="00B84A45" w:rsidRDefault="007134E2" w:rsidP="00ED1DDD">
      <w:pPr>
        <w:pStyle w:val="a3"/>
        <w:spacing w:line="244" w:lineRule="auto"/>
        <w:ind w:left="0" w:right="14"/>
        <w:rPr>
          <w:color w:val="000000" w:themeColor="text1"/>
          <w:lang w:val="el-GR"/>
        </w:rPr>
      </w:pPr>
      <w:r w:rsidRPr="00B84A45">
        <w:rPr>
          <w:i/>
          <w:color w:val="000000" w:themeColor="text1"/>
          <w:lang w:val="el-GR"/>
        </w:rPr>
        <w:t xml:space="preserve">Φαρμακευτικά προϊόντα που απεκκρίνονται από τη νεφρική οδό: </w:t>
      </w:r>
      <w:r w:rsidRPr="00B84A45">
        <w:rPr>
          <w:color w:val="000000" w:themeColor="text1"/>
          <w:lang w:val="el-GR"/>
        </w:rPr>
        <w:t xml:space="preserve">Εφόσον η </w:t>
      </w:r>
      <w:r w:rsidR="00AA6C14" w:rsidRPr="00F13AEB">
        <w:rPr>
          <w:rFonts w:cs="Times New Roman"/>
          <w:color w:val="000000" w:themeColor="text1"/>
          <w:lang w:val="el-GR"/>
        </w:rPr>
        <w:t>εμτρισιταβίνη</w:t>
      </w:r>
      <w:r w:rsidRPr="00B84A45">
        <w:rPr>
          <w:color w:val="000000" w:themeColor="text1"/>
          <w:lang w:val="el-GR"/>
        </w:rPr>
        <w:t xml:space="preserve"> και </w:t>
      </w:r>
      <w:r w:rsidR="003B2F63">
        <w:rPr>
          <w:color w:val="000000" w:themeColor="text1"/>
          <w:lang w:val="el-GR"/>
        </w:rPr>
        <w:t>η τενοφοβίρη</w:t>
      </w:r>
      <w:r w:rsidRPr="00B84A45">
        <w:rPr>
          <w:color w:val="000000" w:themeColor="text1"/>
          <w:lang w:val="el-GR"/>
        </w:rPr>
        <w:t xml:space="preserve"> απεκκρίνονται κυρίως από τους νεφρούς, η συγχορήγηση </w:t>
      </w:r>
      <w:r w:rsidR="005939DE">
        <w:rPr>
          <w:color w:val="000000" w:themeColor="text1"/>
          <w:lang w:val="el-GR"/>
        </w:rPr>
        <w:t>της</w:t>
      </w:r>
      <w:r w:rsidR="00AA6C14">
        <w:rPr>
          <w:color w:val="000000" w:themeColor="text1"/>
          <w:lang w:val="el-GR"/>
        </w:rPr>
        <w:t xml:space="preserve"> </w:t>
      </w:r>
      <w:r w:rsidR="00AA6C14" w:rsidRPr="00F13AEB">
        <w:rPr>
          <w:rFonts w:cs="Times New Roman"/>
          <w:color w:val="000000" w:themeColor="text1"/>
          <w:lang w:val="el-GR"/>
        </w:rPr>
        <w:t>εμτρισιταβίνης</w:t>
      </w:r>
      <w:r w:rsidR="005939DE">
        <w:rPr>
          <w:rFonts w:cs="Times New Roman"/>
          <w:color w:val="000000" w:themeColor="text1"/>
          <w:lang w:val="el-GR"/>
        </w:rPr>
        <w:t xml:space="preserve"> και </w:t>
      </w:r>
      <w:r w:rsidR="00AA6C14" w:rsidRPr="00F13AEB">
        <w:rPr>
          <w:rFonts w:cs="Times New Roman"/>
          <w:color w:val="000000" w:themeColor="text1"/>
          <w:lang w:val="el-GR"/>
        </w:rPr>
        <w:t>τενοφοβίρης δισοπρόξιλης</w:t>
      </w:r>
      <w:r w:rsidR="00AA6C14">
        <w:rPr>
          <w:lang w:val="el-GR"/>
        </w:rPr>
        <w:t xml:space="preserve"> </w:t>
      </w:r>
      <w:r w:rsidRPr="00B84A45">
        <w:rPr>
          <w:color w:val="000000" w:themeColor="text1"/>
          <w:lang w:val="el-GR"/>
        </w:rPr>
        <w:t>με</w:t>
      </w:r>
      <w:r w:rsidRPr="00B84A45">
        <w:rPr>
          <w:color w:val="000000" w:themeColor="text1"/>
          <w:spacing w:val="9"/>
          <w:lang w:val="el-GR"/>
        </w:rPr>
        <w:t xml:space="preserve"> </w:t>
      </w:r>
      <w:r w:rsidRPr="00B84A45">
        <w:rPr>
          <w:color w:val="000000" w:themeColor="text1"/>
          <w:lang w:val="el-GR"/>
        </w:rPr>
        <w:t>φαρμακευτικά προϊόντα που</w:t>
      </w:r>
      <w:r w:rsidRPr="00B84A45">
        <w:rPr>
          <w:color w:val="000000" w:themeColor="text1"/>
          <w:spacing w:val="2"/>
          <w:lang w:val="el-GR"/>
        </w:rPr>
        <w:t xml:space="preserve"> </w:t>
      </w:r>
      <w:r w:rsidRPr="00B84A45">
        <w:rPr>
          <w:color w:val="000000" w:themeColor="text1"/>
          <w:lang w:val="el-GR"/>
        </w:rPr>
        <w:t>ελαττώνουν</w:t>
      </w:r>
      <w:r w:rsidRPr="00B84A45">
        <w:rPr>
          <w:color w:val="000000" w:themeColor="text1"/>
          <w:spacing w:val="2"/>
          <w:lang w:val="el-GR"/>
        </w:rPr>
        <w:t xml:space="preserve"> </w:t>
      </w:r>
      <w:r w:rsidRPr="00B84A45">
        <w:rPr>
          <w:color w:val="000000" w:themeColor="text1"/>
          <w:lang w:val="el-GR"/>
        </w:rPr>
        <w:t>τη νεφρική λειτουργία ή ανταγωνίζονται</w:t>
      </w:r>
      <w:r w:rsidRPr="00B84A45">
        <w:rPr>
          <w:color w:val="000000" w:themeColor="text1"/>
          <w:spacing w:val="1"/>
          <w:lang w:val="el-GR"/>
        </w:rPr>
        <w:t xml:space="preserve"> </w:t>
      </w:r>
      <w:r w:rsidRPr="00B84A45">
        <w:rPr>
          <w:color w:val="000000" w:themeColor="text1"/>
          <w:lang w:val="el-GR"/>
        </w:rPr>
        <w:t>για την</w:t>
      </w:r>
      <w:r w:rsidRPr="00B84A45">
        <w:rPr>
          <w:color w:val="000000" w:themeColor="text1"/>
          <w:spacing w:val="2"/>
          <w:lang w:val="el-GR"/>
        </w:rPr>
        <w:t xml:space="preserve"> </w:t>
      </w:r>
      <w:r w:rsidRPr="00B84A45">
        <w:rPr>
          <w:color w:val="000000" w:themeColor="text1"/>
          <w:lang w:val="el-GR"/>
        </w:rPr>
        <w:t>ενεργό</w:t>
      </w:r>
      <w:r w:rsidRPr="00B84A45">
        <w:rPr>
          <w:color w:val="000000" w:themeColor="text1"/>
          <w:spacing w:val="1"/>
          <w:lang w:val="el-GR"/>
        </w:rPr>
        <w:t xml:space="preserve"> </w:t>
      </w:r>
      <w:r w:rsidR="003B2F63">
        <w:rPr>
          <w:color w:val="000000" w:themeColor="text1"/>
          <w:lang w:val="el-GR"/>
        </w:rPr>
        <w:t>σωληναριακή α</w:t>
      </w:r>
      <w:r w:rsidRPr="00B84A45">
        <w:rPr>
          <w:color w:val="000000" w:themeColor="text1"/>
          <w:lang w:val="el-GR"/>
        </w:rPr>
        <w:t>πέκκριση (π.χ.</w:t>
      </w:r>
      <w:r w:rsidRPr="00B84A45">
        <w:rPr>
          <w:color w:val="000000" w:themeColor="text1"/>
          <w:spacing w:val="1"/>
          <w:lang w:val="el-GR"/>
        </w:rPr>
        <w:t xml:space="preserve"> </w:t>
      </w:r>
      <w:r w:rsidR="00F36DB7" w:rsidRPr="00F36DB7">
        <w:rPr>
          <w:lang w:val="el-GR"/>
        </w:rPr>
        <w:t>σιδοφοβίρη</w:t>
      </w:r>
      <w:r w:rsidRPr="00B84A45">
        <w:rPr>
          <w:color w:val="000000" w:themeColor="text1"/>
          <w:lang w:val="el-GR"/>
        </w:rPr>
        <w:t>)</w:t>
      </w:r>
      <w:r w:rsidRPr="00B84A45">
        <w:rPr>
          <w:color w:val="000000" w:themeColor="text1"/>
          <w:spacing w:val="2"/>
          <w:lang w:val="el-GR"/>
        </w:rPr>
        <w:t xml:space="preserve"> </w:t>
      </w:r>
      <w:r w:rsidRPr="00B84A45">
        <w:rPr>
          <w:color w:val="000000" w:themeColor="text1"/>
          <w:lang w:val="el-GR"/>
        </w:rPr>
        <w:t>μπορεί</w:t>
      </w:r>
      <w:r w:rsidRPr="00B84A45">
        <w:rPr>
          <w:color w:val="000000" w:themeColor="text1"/>
          <w:spacing w:val="1"/>
          <w:lang w:val="el-GR"/>
        </w:rPr>
        <w:t xml:space="preserve"> </w:t>
      </w:r>
      <w:r w:rsidRPr="00B84A45">
        <w:rPr>
          <w:color w:val="000000" w:themeColor="text1"/>
          <w:lang w:val="el-GR"/>
        </w:rPr>
        <w:t>να αυξήσει</w:t>
      </w:r>
      <w:r w:rsidRPr="00B84A45">
        <w:rPr>
          <w:color w:val="000000" w:themeColor="text1"/>
          <w:spacing w:val="1"/>
          <w:lang w:val="el-GR"/>
        </w:rPr>
        <w:t xml:space="preserve"> </w:t>
      </w:r>
      <w:r w:rsidRPr="00B84A45">
        <w:rPr>
          <w:color w:val="000000" w:themeColor="text1"/>
          <w:lang w:val="el-GR"/>
        </w:rPr>
        <w:t xml:space="preserve">τις συγκεντρώσεις της </w:t>
      </w:r>
      <w:r w:rsidR="00AA6C14" w:rsidRPr="00F13AEB">
        <w:rPr>
          <w:rFonts w:cs="Times New Roman"/>
          <w:color w:val="000000" w:themeColor="text1"/>
          <w:lang w:val="el-GR"/>
        </w:rPr>
        <w:t>εμτρισιταβίνης</w:t>
      </w:r>
      <w:r w:rsidRPr="00B84A45">
        <w:rPr>
          <w:color w:val="000000" w:themeColor="text1"/>
          <w:lang w:val="el-GR"/>
        </w:rPr>
        <w:t>,</w:t>
      </w:r>
      <w:r w:rsidRPr="00B84A45">
        <w:rPr>
          <w:color w:val="000000" w:themeColor="text1"/>
          <w:spacing w:val="1"/>
          <w:lang w:val="el-GR"/>
        </w:rPr>
        <w:t xml:space="preserve"> </w:t>
      </w:r>
      <w:r w:rsidR="00AA6C14">
        <w:rPr>
          <w:color w:val="000000" w:themeColor="text1"/>
          <w:lang w:val="el-GR"/>
        </w:rPr>
        <w:t xml:space="preserve">της </w:t>
      </w:r>
      <w:r w:rsidR="00F14B75">
        <w:rPr>
          <w:rFonts w:cs="Times New Roman"/>
          <w:color w:val="000000" w:themeColor="text1"/>
          <w:lang w:val="el-GR"/>
        </w:rPr>
        <w:t>τενοφοβίρης</w:t>
      </w:r>
      <w:r w:rsidR="00AA6C14">
        <w:rPr>
          <w:lang w:val="el-GR"/>
        </w:rPr>
        <w:t xml:space="preserve"> </w:t>
      </w:r>
      <w:r w:rsidRPr="00B84A45">
        <w:rPr>
          <w:color w:val="000000" w:themeColor="text1"/>
          <w:spacing w:val="-51"/>
          <w:lang w:val="el-GR"/>
        </w:rPr>
        <w:t xml:space="preserve"> </w:t>
      </w:r>
      <w:r w:rsidRPr="00B84A45">
        <w:rPr>
          <w:color w:val="000000" w:themeColor="text1"/>
          <w:lang w:val="el-GR"/>
        </w:rPr>
        <w:t>και/ή των συγχορηγούμε</w:t>
      </w:r>
      <w:r w:rsidR="00F14B75">
        <w:rPr>
          <w:color w:val="000000" w:themeColor="text1"/>
          <w:lang w:val="el-GR"/>
        </w:rPr>
        <w:t>νων φαρμακευτικών προϊόντων</w:t>
      </w:r>
      <w:r w:rsidRPr="00B84A45">
        <w:rPr>
          <w:color w:val="000000" w:themeColor="text1"/>
          <w:lang w:val="el-GR"/>
        </w:rPr>
        <w:t>.</w:t>
      </w:r>
    </w:p>
    <w:p w:rsidR="005A400F" w:rsidRDefault="005A400F" w:rsidP="00ED1DDD">
      <w:pPr>
        <w:pStyle w:val="a3"/>
        <w:spacing w:line="244" w:lineRule="auto"/>
        <w:ind w:left="0" w:right="14"/>
        <w:rPr>
          <w:lang w:val="el-GR"/>
        </w:rPr>
      </w:pPr>
    </w:p>
    <w:p w:rsidR="00F36DB7" w:rsidRPr="00F36DB7" w:rsidRDefault="007134E2" w:rsidP="00F36DB7">
      <w:pPr>
        <w:rPr>
          <w:rFonts w:ascii="Times New Roman" w:hAnsi="Times New Roman" w:cs="Times New Roman"/>
          <w:lang w:val="el-GR"/>
        </w:rPr>
      </w:pPr>
      <w:r w:rsidRPr="00F36DB7">
        <w:rPr>
          <w:rFonts w:ascii="Times New Roman" w:hAnsi="Times New Roman" w:cs="Times New Roman"/>
          <w:lang w:val="el-GR"/>
        </w:rPr>
        <w:t xml:space="preserve">Η χρήση </w:t>
      </w:r>
      <w:r w:rsidR="005939DE" w:rsidRPr="00F36DB7">
        <w:rPr>
          <w:rFonts w:ascii="Times New Roman" w:hAnsi="Times New Roman" w:cs="Times New Roman"/>
          <w:lang w:val="el-GR"/>
        </w:rPr>
        <w:t>της</w:t>
      </w:r>
      <w:r w:rsidR="00AA6C14" w:rsidRPr="00F36DB7">
        <w:rPr>
          <w:rFonts w:ascii="Times New Roman" w:hAnsi="Times New Roman" w:cs="Times New Roman"/>
          <w:color w:val="000000" w:themeColor="text1"/>
          <w:lang w:val="el-GR"/>
        </w:rPr>
        <w:t xml:space="preserve"> </w:t>
      </w:r>
      <w:r w:rsidR="00F14B75" w:rsidRPr="00F36DB7">
        <w:rPr>
          <w:rFonts w:ascii="Times New Roman" w:hAnsi="Times New Roman" w:cs="Times New Roman"/>
          <w:color w:val="000000" w:themeColor="text1"/>
          <w:lang w:val="el-GR"/>
        </w:rPr>
        <w:t>εμτρισιταβίνης</w:t>
      </w:r>
      <w:r w:rsidR="005939DE" w:rsidRPr="00F36DB7">
        <w:rPr>
          <w:rFonts w:ascii="Times New Roman" w:hAnsi="Times New Roman" w:cs="Times New Roman"/>
          <w:color w:val="000000" w:themeColor="text1"/>
          <w:lang w:val="el-GR"/>
        </w:rPr>
        <w:t xml:space="preserve"> και </w:t>
      </w:r>
      <w:r w:rsidR="00F14B75" w:rsidRPr="00F36DB7">
        <w:rPr>
          <w:rFonts w:ascii="Times New Roman" w:hAnsi="Times New Roman" w:cs="Times New Roman"/>
          <w:color w:val="000000" w:themeColor="text1"/>
          <w:lang w:val="el-GR"/>
        </w:rPr>
        <w:t xml:space="preserve">τενοφοβίρης </w:t>
      </w:r>
      <w:r w:rsidR="00AA6C14" w:rsidRPr="00F36DB7">
        <w:rPr>
          <w:rFonts w:ascii="Times New Roman" w:hAnsi="Times New Roman" w:cs="Times New Roman"/>
          <w:color w:val="000000" w:themeColor="text1"/>
          <w:lang w:val="el-GR"/>
        </w:rPr>
        <w:t>δισοπρόξιλης</w:t>
      </w:r>
      <w:r w:rsidR="00AA6C14" w:rsidRPr="00F36DB7">
        <w:rPr>
          <w:rFonts w:ascii="Times New Roman" w:hAnsi="Times New Roman" w:cs="Times New Roman"/>
          <w:lang w:val="el-GR"/>
        </w:rPr>
        <w:t xml:space="preserve"> </w:t>
      </w:r>
      <w:r w:rsidRPr="00F36DB7">
        <w:rPr>
          <w:rFonts w:ascii="Times New Roman" w:hAnsi="Times New Roman" w:cs="Times New Roman"/>
          <w:lang w:val="el-GR"/>
        </w:rPr>
        <w:t>πρέπει να αποφεύγεται με συγχορήγη</w:t>
      </w:r>
      <w:r w:rsidR="003B2F63" w:rsidRPr="00F36DB7">
        <w:rPr>
          <w:rFonts w:ascii="Times New Roman" w:hAnsi="Times New Roman" w:cs="Times New Roman"/>
          <w:lang w:val="el-GR"/>
        </w:rPr>
        <w:t>ση ή πρόσφατη χρήση νεφροτοξικού φ</w:t>
      </w:r>
      <w:r w:rsidRPr="00F36DB7">
        <w:rPr>
          <w:rFonts w:ascii="Times New Roman" w:hAnsi="Times New Roman" w:cs="Times New Roman"/>
          <w:lang w:val="el-GR"/>
        </w:rPr>
        <w:t xml:space="preserve">αρμακευτικού προϊόντος. Ορισμένα παραδείγματα συμπεριλαμβάνουν, αλλά χωρίς να περιορίζονται σε αυτά, </w:t>
      </w:r>
      <w:r w:rsidR="00F36DB7" w:rsidRPr="00F36DB7">
        <w:rPr>
          <w:rFonts w:ascii="Times New Roman" w:hAnsi="Times New Roman" w:cs="Times New Roman"/>
          <w:lang w:val="el-GR"/>
        </w:rPr>
        <w:t>αμινογλυκοσίδες, αμφοτερικίνη Β, φοσκαρνέτη, γκανσικλοβίρη, πενταμιδίνη, βανκομυκίνη, σιδοφοβίρη ή ιντερλευκίνη-2 (βλ. παράγραφο 4.4).</w:t>
      </w:r>
    </w:p>
    <w:p w:rsidR="00645378" w:rsidRPr="009E32D3" w:rsidRDefault="00645378" w:rsidP="00F36DB7">
      <w:pPr>
        <w:pStyle w:val="a3"/>
        <w:spacing w:line="244" w:lineRule="auto"/>
        <w:ind w:left="0" w:right="14"/>
        <w:rPr>
          <w:rFonts w:cs="Times New Roman"/>
          <w:lang w:val="el-GR"/>
        </w:rPr>
      </w:pPr>
    </w:p>
    <w:p w:rsidR="00645378" w:rsidRPr="009E32D3" w:rsidRDefault="007134E2" w:rsidP="009E32D3">
      <w:pPr>
        <w:pStyle w:val="a3"/>
        <w:ind w:left="0" w:right="14"/>
        <w:rPr>
          <w:lang w:val="el-GR"/>
        </w:rPr>
      </w:pPr>
      <w:r w:rsidRPr="009E32D3">
        <w:rPr>
          <w:u w:val="single" w:color="000000"/>
          <w:lang w:val="el-GR"/>
        </w:rPr>
        <w:t>Άλλες</w:t>
      </w:r>
      <w:r w:rsidRPr="009E32D3">
        <w:rPr>
          <w:spacing w:val="-3"/>
          <w:u w:val="single" w:color="000000"/>
          <w:lang w:val="el-GR"/>
        </w:rPr>
        <w:t xml:space="preserve"> </w:t>
      </w:r>
      <w:r w:rsidRPr="009E32D3">
        <w:rPr>
          <w:u w:val="single" w:color="000000"/>
          <w:lang w:val="el-GR"/>
        </w:rPr>
        <w:t>αλληλεπιδράσεις</w:t>
      </w:r>
    </w:p>
    <w:p w:rsidR="00645378" w:rsidRPr="009E32D3" w:rsidRDefault="007134E2" w:rsidP="009E32D3">
      <w:pPr>
        <w:pStyle w:val="a3"/>
        <w:spacing w:before="6" w:line="244" w:lineRule="auto"/>
        <w:ind w:left="0" w:right="14"/>
        <w:rPr>
          <w:lang w:val="el-GR"/>
        </w:rPr>
      </w:pPr>
      <w:r w:rsidRPr="009E32D3">
        <w:rPr>
          <w:lang w:val="el-GR"/>
        </w:rPr>
        <w:t xml:space="preserve">Οι αλληλεπιδράσεις μεταξύ των συστατικών </w:t>
      </w:r>
      <w:r w:rsidR="005939DE">
        <w:rPr>
          <w:lang w:val="el-GR"/>
        </w:rPr>
        <w:t>της</w:t>
      </w:r>
      <w:r w:rsidR="00E13BF6">
        <w:rPr>
          <w:color w:val="000000" w:themeColor="text1"/>
          <w:lang w:val="el-GR"/>
        </w:rPr>
        <w:t xml:space="preserve"> </w:t>
      </w:r>
      <w:r w:rsidR="00E13BF6" w:rsidRPr="00F13AEB">
        <w:rPr>
          <w:rFonts w:cs="Times New Roman"/>
          <w:color w:val="000000" w:themeColor="text1"/>
          <w:lang w:val="el-GR"/>
        </w:rPr>
        <w:t>εμτρισιταβίνης</w:t>
      </w:r>
      <w:r w:rsidR="005939DE">
        <w:rPr>
          <w:rFonts w:cs="Times New Roman"/>
          <w:color w:val="000000" w:themeColor="text1"/>
          <w:lang w:val="el-GR"/>
        </w:rPr>
        <w:t xml:space="preserve"> και </w:t>
      </w:r>
      <w:r w:rsidR="00E13BF6" w:rsidRPr="00F13AEB">
        <w:rPr>
          <w:rFonts w:cs="Times New Roman"/>
          <w:color w:val="000000" w:themeColor="text1"/>
          <w:lang w:val="el-GR"/>
        </w:rPr>
        <w:t>τενοφοβίρης δισοπρόξιλης</w:t>
      </w:r>
      <w:r w:rsidR="00E13BF6">
        <w:rPr>
          <w:lang w:val="el-GR"/>
        </w:rPr>
        <w:t xml:space="preserve"> </w:t>
      </w:r>
      <w:r w:rsidR="003B2F63">
        <w:rPr>
          <w:lang w:val="el-GR"/>
        </w:rPr>
        <w:t xml:space="preserve">και αναστολέων πρωτεασών και των </w:t>
      </w:r>
      <w:r w:rsidRPr="009E32D3">
        <w:rPr>
          <w:lang w:val="el-GR"/>
        </w:rPr>
        <w:t>νουκλεοσιδικών αναστολέων της ανάστροφης μεταγραφάσης παρατίθενται στον Πίνακα 1</w:t>
      </w:r>
      <w:r w:rsidRPr="009E32D3">
        <w:rPr>
          <w:spacing w:val="3"/>
          <w:lang w:val="el-GR"/>
        </w:rPr>
        <w:t xml:space="preserve"> </w:t>
      </w:r>
      <w:r w:rsidRPr="009E32D3">
        <w:rPr>
          <w:lang w:val="el-GR"/>
        </w:rPr>
        <w:t>παρακάτω (η αύξηση υποδεικνύεται</w:t>
      </w:r>
      <w:r w:rsidRPr="009E32D3">
        <w:rPr>
          <w:spacing w:val="1"/>
          <w:lang w:val="el-GR"/>
        </w:rPr>
        <w:t xml:space="preserve"> </w:t>
      </w:r>
      <w:r w:rsidRPr="009E32D3">
        <w:rPr>
          <w:lang w:val="el-GR"/>
        </w:rPr>
        <w:t xml:space="preserve">ως </w:t>
      </w:r>
      <w:r w:rsidRPr="009E32D3">
        <w:rPr>
          <w:spacing w:val="-3"/>
          <w:lang w:val="el-GR"/>
        </w:rPr>
        <w:t>«↑»,</w:t>
      </w:r>
      <w:r w:rsidRPr="009E32D3">
        <w:rPr>
          <w:spacing w:val="1"/>
          <w:lang w:val="el-GR"/>
        </w:rPr>
        <w:t xml:space="preserve"> </w:t>
      </w:r>
      <w:r w:rsidRPr="009E32D3">
        <w:rPr>
          <w:lang w:val="el-GR"/>
        </w:rPr>
        <w:t xml:space="preserve">η μείωση ως </w:t>
      </w:r>
      <w:r w:rsidRPr="009E32D3">
        <w:rPr>
          <w:spacing w:val="-3"/>
          <w:lang w:val="el-GR"/>
        </w:rPr>
        <w:t>«↓»,</w:t>
      </w:r>
      <w:r w:rsidRPr="009E32D3">
        <w:rPr>
          <w:spacing w:val="1"/>
          <w:lang w:val="el-GR"/>
        </w:rPr>
        <w:t xml:space="preserve"> </w:t>
      </w:r>
      <w:r w:rsidRPr="009E32D3">
        <w:rPr>
          <w:lang w:val="el-GR"/>
        </w:rPr>
        <w:t xml:space="preserve">καμία μεταβολή ως </w:t>
      </w:r>
      <w:r w:rsidRPr="009E32D3">
        <w:rPr>
          <w:spacing w:val="-4"/>
          <w:lang w:val="el-GR"/>
        </w:rPr>
        <w:t>«↔»,</w:t>
      </w:r>
      <w:r w:rsidRPr="009E32D3">
        <w:rPr>
          <w:spacing w:val="1"/>
          <w:lang w:val="el-GR"/>
        </w:rPr>
        <w:t xml:space="preserve"> </w:t>
      </w:r>
      <w:r w:rsidRPr="009E32D3">
        <w:rPr>
          <w:lang w:val="el-GR"/>
        </w:rPr>
        <w:t>δύο</w:t>
      </w:r>
      <w:r w:rsidRPr="009E32D3">
        <w:rPr>
          <w:spacing w:val="1"/>
          <w:lang w:val="el-GR"/>
        </w:rPr>
        <w:t xml:space="preserve"> </w:t>
      </w:r>
      <w:r w:rsidRPr="009E32D3">
        <w:rPr>
          <w:lang w:val="el-GR"/>
        </w:rPr>
        <w:t>φορές ημερησίως</w:t>
      </w:r>
      <w:r w:rsidR="00E13BF6">
        <w:rPr>
          <w:lang w:val="el-GR"/>
        </w:rPr>
        <w:t xml:space="preserve"> </w:t>
      </w:r>
      <w:r w:rsidRPr="009E32D3">
        <w:rPr>
          <w:spacing w:val="-51"/>
          <w:lang w:val="el-GR"/>
        </w:rPr>
        <w:t xml:space="preserve"> </w:t>
      </w:r>
      <w:r w:rsidRPr="009E32D3">
        <w:rPr>
          <w:lang w:val="el-GR"/>
        </w:rPr>
        <w:t>ως «</w:t>
      </w:r>
      <w:r>
        <w:t>b</w:t>
      </w:r>
      <w:r w:rsidRPr="009E32D3">
        <w:rPr>
          <w:lang w:val="el-GR"/>
        </w:rPr>
        <w:t>.</w:t>
      </w:r>
      <w:r>
        <w:t>i</w:t>
      </w:r>
      <w:r w:rsidRPr="009E32D3">
        <w:rPr>
          <w:lang w:val="el-GR"/>
        </w:rPr>
        <w:t>.</w:t>
      </w:r>
      <w:r>
        <w:t>d</w:t>
      </w:r>
      <w:r w:rsidRPr="009E32D3">
        <w:rPr>
          <w:lang w:val="el-GR"/>
        </w:rPr>
        <w:t>.» και μία φορά ημερησίως ως «</w:t>
      </w:r>
      <w:r>
        <w:t>q</w:t>
      </w:r>
      <w:r w:rsidRPr="009E32D3">
        <w:rPr>
          <w:lang w:val="el-GR"/>
        </w:rPr>
        <w:t>.</w:t>
      </w:r>
      <w:r>
        <w:t>d</w:t>
      </w:r>
      <w:r w:rsidRPr="009E32D3">
        <w:rPr>
          <w:lang w:val="el-GR"/>
        </w:rPr>
        <w:t>.»). Εάν είναι διαθέσιμα, τα διαστήματα</w:t>
      </w:r>
      <w:r w:rsidRPr="009E32D3">
        <w:rPr>
          <w:spacing w:val="-15"/>
          <w:lang w:val="el-GR"/>
        </w:rPr>
        <w:t xml:space="preserve"> </w:t>
      </w:r>
      <w:r w:rsidRPr="009E32D3">
        <w:rPr>
          <w:lang w:val="el-GR"/>
        </w:rPr>
        <w:t>εμπιστοσύνης 90% δίνονται σε</w:t>
      </w:r>
      <w:r w:rsidRPr="009E32D3">
        <w:rPr>
          <w:spacing w:val="4"/>
          <w:lang w:val="el-GR"/>
        </w:rPr>
        <w:t xml:space="preserve"> </w:t>
      </w:r>
      <w:r w:rsidRPr="009E32D3">
        <w:rPr>
          <w:lang w:val="el-GR"/>
        </w:rPr>
        <w:t>παρενθέσεις.</w:t>
      </w:r>
    </w:p>
    <w:p w:rsidR="00645378" w:rsidRPr="009E32D3" w:rsidRDefault="00645378" w:rsidP="009E32D3">
      <w:pPr>
        <w:spacing w:before="1"/>
        <w:ind w:right="14"/>
        <w:rPr>
          <w:rFonts w:ascii="Times New Roman" w:eastAsia="Times New Roman" w:hAnsi="Times New Roman" w:cs="Times New Roman"/>
          <w:sz w:val="23"/>
          <w:szCs w:val="23"/>
          <w:lang w:val="el-GR"/>
        </w:rPr>
      </w:pPr>
    </w:p>
    <w:p w:rsidR="00BC788D" w:rsidRPr="00BC788D" w:rsidRDefault="00BC788D" w:rsidP="00BC788D">
      <w:pPr>
        <w:autoSpaceDE w:val="0"/>
        <w:autoSpaceDN w:val="0"/>
        <w:adjustRightInd w:val="0"/>
        <w:rPr>
          <w:rFonts w:ascii="Times New Roman" w:eastAsia="TimesNewRoman,Bold" w:hAnsi="Times New Roman" w:cs="Times New Roman"/>
          <w:b/>
          <w:bCs/>
          <w:lang w:val="el-GR"/>
        </w:rPr>
      </w:pPr>
      <w:r w:rsidRPr="00BC788D">
        <w:rPr>
          <w:rFonts w:ascii="Times New Roman" w:eastAsia="TimesNewRoman,Bold" w:hAnsi="Times New Roman" w:cs="Times New Roman"/>
          <w:b/>
          <w:bCs/>
          <w:lang w:val="el-GR"/>
        </w:rPr>
        <w:t xml:space="preserve">Πίνακας 1: Αλληλεπιδράσεις μεταξύ των μεμονωμένων συστατικών του </w:t>
      </w:r>
      <w:r>
        <w:rPr>
          <w:rFonts w:ascii="Times New Roman" w:eastAsia="TimesNewRoman,Bold" w:hAnsi="Times New Roman" w:cs="Times New Roman"/>
          <w:b/>
          <w:bCs/>
        </w:rPr>
        <w:t>ARGIODIN</w:t>
      </w:r>
      <w:r w:rsidRPr="00BC788D">
        <w:rPr>
          <w:rFonts w:ascii="Times New Roman" w:eastAsia="TimesNewRoman,Bold" w:hAnsi="Times New Roman" w:cs="Times New Roman"/>
          <w:b/>
          <w:bCs/>
          <w:lang w:val="el-GR"/>
        </w:rPr>
        <w:t xml:space="preserve"> και άλλων φαρμακευτικών προϊόντων</w:t>
      </w:r>
    </w:p>
    <w:p w:rsidR="00ED1DDD" w:rsidRPr="00C00C24" w:rsidRDefault="00ED1DDD" w:rsidP="009E32D3">
      <w:pPr>
        <w:pStyle w:val="1"/>
        <w:spacing w:line="244" w:lineRule="auto"/>
        <w:ind w:left="0" w:right="14"/>
        <w:rPr>
          <w:lang w:val="el-GR"/>
        </w:rPr>
      </w:pPr>
    </w:p>
    <w:tbl>
      <w:tblPr>
        <w:tblStyle w:val="a8"/>
        <w:tblW w:w="0" w:type="auto"/>
        <w:tblLayout w:type="fixed"/>
        <w:tblLook w:val="04A0" w:firstRow="1" w:lastRow="0" w:firstColumn="1" w:lastColumn="0" w:noHBand="0" w:noVBand="1"/>
      </w:tblPr>
      <w:tblGrid>
        <w:gridCol w:w="3652"/>
        <w:gridCol w:w="2410"/>
        <w:gridCol w:w="2700"/>
      </w:tblGrid>
      <w:tr w:rsidR="00BC788D" w:rsidRPr="00EB273D" w:rsidTr="00F36DB7">
        <w:tc>
          <w:tcPr>
            <w:tcW w:w="3652" w:type="dxa"/>
          </w:tcPr>
          <w:p w:rsidR="00BC788D" w:rsidRPr="004155A8" w:rsidRDefault="00BC788D" w:rsidP="008167C4">
            <w:pPr>
              <w:autoSpaceDE w:val="0"/>
              <w:autoSpaceDN w:val="0"/>
              <w:adjustRightInd w:val="0"/>
              <w:jc w:val="center"/>
              <w:rPr>
                <w:rFonts w:ascii="Times New Roman" w:eastAsia="TimesNewRoman,Bold" w:hAnsi="Times New Roman" w:cs="Times New Roman"/>
                <w:b/>
                <w:bCs/>
                <w:color w:val="000000" w:themeColor="text1"/>
                <w:sz w:val="20"/>
                <w:szCs w:val="20"/>
                <w:lang w:val="el-GR"/>
              </w:rPr>
            </w:pPr>
            <w:r w:rsidRPr="004155A8">
              <w:rPr>
                <w:rFonts w:ascii="Times New Roman" w:eastAsia="TimesNewRoman,Bold" w:hAnsi="Times New Roman" w:cs="Times New Roman"/>
                <w:b/>
                <w:bCs/>
                <w:color w:val="000000" w:themeColor="text1"/>
                <w:sz w:val="20"/>
                <w:szCs w:val="20"/>
                <w:lang w:val="el-GR"/>
              </w:rPr>
              <w:t>Φαρμακευτικό προϊόν ανά θεραπευτική περιοχή</w:t>
            </w:r>
          </w:p>
        </w:tc>
        <w:tc>
          <w:tcPr>
            <w:tcW w:w="2410" w:type="dxa"/>
          </w:tcPr>
          <w:p w:rsidR="00BC788D" w:rsidRPr="004155A8" w:rsidRDefault="00BC788D" w:rsidP="008167C4">
            <w:pPr>
              <w:autoSpaceDE w:val="0"/>
              <w:autoSpaceDN w:val="0"/>
              <w:adjustRightInd w:val="0"/>
              <w:jc w:val="center"/>
              <w:rPr>
                <w:rFonts w:ascii="Times New Roman" w:eastAsia="TimesNewRoman,Bold" w:hAnsi="Times New Roman" w:cs="Times New Roman"/>
                <w:b/>
                <w:bCs/>
                <w:color w:val="000000" w:themeColor="text1"/>
                <w:sz w:val="20"/>
                <w:szCs w:val="20"/>
                <w:lang w:val="el-GR"/>
              </w:rPr>
            </w:pPr>
            <w:r w:rsidRPr="004155A8">
              <w:rPr>
                <w:rFonts w:ascii="Times New Roman" w:eastAsia="TimesNewRoman,Bold" w:hAnsi="Times New Roman" w:cs="Times New Roman"/>
                <w:b/>
                <w:bCs/>
                <w:color w:val="000000" w:themeColor="text1"/>
                <w:sz w:val="20"/>
                <w:szCs w:val="20"/>
                <w:lang w:val="el-GR"/>
              </w:rPr>
              <w:t>Επιδράσεις στα επίπεδα φαρμάκου</w:t>
            </w:r>
          </w:p>
          <w:p w:rsidR="00BC788D" w:rsidRPr="004155A8" w:rsidRDefault="00BC788D" w:rsidP="008167C4">
            <w:pPr>
              <w:autoSpaceDE w:val="0"/>
              <w:autoSpaceDN w:val="0"/>
              <w:adjustRightInd w:val="0"/>
              <w:jc w:val="center"/>
              <w:rPr>
                <w:rFonts w:ascii="Times New Roman" w:eastAsia="TimesNewRoman,Bold" w:hAnsi="Times New Roman" w:cs="Times New Roman"/>
                <w:b/>
                <w:bCs/>
                <w:color w:val="000000" w:themeColor="text1"/>
                <w:sz w:val="20"/>
                <w:szCs w:val="20"/>
                <w:lang w:val="el-GR"/>
              </w:rPr>
            </w:pPr>
            <w:r w:rsidRPr="004155A8">
              <w:rPr>
                <w:rFonts w:ascii="Times New Roman" w:eastAsia="TimesNewRoman,Bold" w:hAnsi="Times New Roman" w:cs="Times New Roman"/>
                <w:b/>
                <w:bCs/>
                <w:color w:val="000000" w:themeColor="text1"/>
                <w:sz w:val="20"/>
                <w:szCs w:val="20"/>
                <w:lang w:val="el-GR"/>
              </w:rPr>
              <w:t xml:space="preserve">Μέση ποσοστιαία μεταβολή στις τιμές </w:t>
            </w:r>
            <w:r w:rsidRPr="004155A8">
              <w:rPr>
                <w:rFonts w:ascii="Times New Roman" w:eastAsia="TimesNewRoman,Bold" w:hAnsi="Times New Roman" w:cs="Times New Roman"/>
                <w:b/>
                <w:bCs/>
                <w:color w:val="000000" w:themeColor="text1"/>
                <w:sz w:val="20"/>
                <w:szCs w:val="20"/>
              </w:rPr>
              <w:t>AUC</w:t>
            </w:r>
            <w:r w:rsidRPr="004155A8">
              <w:rPr>
                <w:rFonts w:ascii="Times New Roman" w:eastAsia="TimesNewRoman,Bold" w:hAnsi="Times New Roman" w:cs="Times New Roman"/>
                <w:b/>
                <w:bCs/>
                <w:color w:val="000000" w:themeColor="text1"/>
                <w:sz w:val="20"/>
                <w:szCs w:val="20"/>
                <w:lang w:val="el-GR"/>
              </w:rPr>
              <w:t xml:space="preserve">, </w:t>
            </w:r>
            <w:r w:rsidRPr="004155A8">
              <w:rPr>
                <w:rFonts w:ascii="Times New Roman" w:eastAsia="TimesNewRoman,Bold" w:hAnsi="Times New Roman" w:cs="Times New Roman"/>
                <w:b/>
                <w:bCs/>
                <w:color w:val="000000" w:themeColor="text1"/>
                <w:sz w:val="20"/>
                <w:szCs w:val="20"/>
              </w:rPr>
              <w:t>C</w:t>
            </w:r>
            <w:r w:rsidRPr="004155A8">
              <w:rPr>
                <w:rFonts w:ascii="Times New Roman" w:eastAsia="TimesNewRoman,Bold" w:hAnsi="Times New Roman" w:cs="Times New Roman"/>
                <w:b/>
                <w:bCs/>
                <w:color w:val="000000" w:themeColor="text1"/>
                <w:sz w:val="20"/>
                <w:szCs w:val="20"/>
                <w:vertAlign w:val="subscript"/>
              </w:rPr>
              <w:t>max</w:t>
            </w:r>
            <w:r w:rsidRPr="004155A8">
              <w:rPr>
                <w:rFonts w:ascii="Times New Roman" w:eastAsia="TimesNewRoman,Bold" w:hAnsi="Times New Roman" w:cs="Times New Roman"/>
                <w:b/>
                <w:bCs/>
                <w:color w:val="000000" w:themeColor="text1"/>
                <w:sz w:val="20"/>
                <w:szCs w:val="20"/>
                <w:lang w:val="el-GR"/>
              </w:rPr>
              <w:t xml:space="preserve">, </w:t>
            </w:r>
            <w:r w:rsidRPr="004155A8">
              <w:rPr>
                <w:rFonts w:ascii="Times New Roman" w:eastAsia="TimesNewRoman,Bold" w:hAnsi="Times New Roman" w:cs="Times New Roman"/>
                <w:b/>
                <w:bCs/>
                <w:color w:val="000000" w:themeColor="text1"/>
                <w:sz w:val="20"/>
                <w:szCs w:val="20"/>
              </w:rPr>
              <w:t>C</w:t>
            </w:r>
            <w:r w:rsidRPr="004155A8">
              <w:rPr>
                <w:rFonts w:ascii="Times New Roman" w:eastAsia="TimesNewRoman,Bold" w:hAnsi="Times New Roman" w:cs="Times New Roman"/>
                <w:b/>
                <w:bCs/>
                <w:color w:val="000000" w:themeColor="text1"/>
                <w:sz w:val="20"/>
                <w:szCs w:val="20"/>
                <w:vertAlign w:val="subscript"/>
              </w:rPr>
              <w:t>min</w:t>
            </w:r>
            <w:r w:rsidRPr="004155A8">
              <w:rPr>
                <w:rFonts w:ascii="Times New Roman" w:eastAsia="TimesNewRoman,Bold" w:hAnsi="Times New Roman" w:cs="Times New Roman"/>
                <w:b/>
                <w:bCs/>
                <w:color w:val="000000" w:themeColor="text1"/>
                <w:sz w:val="20"/>
                <w:szCs w:val="20"/>
                <w:lang w:val="el-GR"/>
              </w:rPr>
              <w:t xml:space="preserve"> με 90% διαστήματα εμπιστοσύνης, εφόσον είναι διαθέσιμα (μηχανισμός)</w:t>
            </w:r>
          </w:p>
        </w:tc>
        <w:tc>
          <w:tcPr>
            <w:tcW w:w="2700" w:type="dxa"/>
          </w:tcPr>
          <w:p w:rsidR="00BC788D" w:rsidRPr="004155A8" w:rsidRDefault="00BC788D" w:rsidP="008167C4">
            <w:pPr>
              <w:autoSpaceDE w:val="0"/>
              <w:autoSpaceDN w:val="0"/>
              <w:adjustRightInd w:val="0"/>
              <w:jc w:val="center"/>
              <w:rPr>
                <w:rFonts w:ascii="Times New Roman" w:eastAsia="TimesNewRoman,Bold" w:hAnsi="Times New Roman" w:cs="Times New Roman"/>
                <w:b/>
                <w:bCs/>
                <w:color w:val="000000" w:themeColor="text1"/>
                <w:sz w:val="20"/>
                <w:szCs w:val="20"/>
                <w:lang w:val="el-GR"/>
              </w:rPr>
            </w:pPr>
            <w:r w:rsidRPr="004155A8">
              <w:rPr>
                <w:rFonts w:ascii="Times New Roman" w:eastAsia="TimesNewRoman,Bold" w:hAnsi="Times New Roman" w:cs="Times New Roman"/>
                <w:b/>
                <w:bCs/>
                <w:color w:val="000000" w:themeColor="text1"/>
                <w:sz w:val="20"/>
                <w:szCs w:val="20"/>
                <w:lang w:val="el-GR"/>
              </w:rPr>
              <w:t xml:space="preserve">Σύσταση σχετικά με τη συγχορήγηση με (εμτρισιταβίνη 200 </w:t>
            </w:r>
            <w:r w:rsidRPr="004155A8">
              <w:rPr>
                <w:rFonts w:ascii="Times New Roman" w:eastAsia="TimesNewRoman,Bold" w:hAnsi="Times New Roman" w:cs="Times New Roman"/>
                <w:b/>
                <w:bCs/>
                <w:color w:val="000000" w:themeColor="text1"/>
                <w:sz w:val="20"/>
                <w:szCs w:val="20"/>
              </w:rPr>
              <w:t>mg</w:t>
            </w:r>
            <w:r w:rsidRPr="004155A8">
              <w:rPr>
                <w:rFonts w:ascii="Times New Roman" w:eastAsia="TimesNewRoman,Bold" w:hAnsi="Times New Roman" w:cs="Times New Roman"/>
                <w:b/>
                <w:bCs/>
                <w:color w:val="000000" w:themeColor="text1"/>
                <w:sz w:val="20"/>
                <w:szCs w:val="20"/>
                <w:lang w:val="el-GR"/>
              </w:rPr>
              <w:t xml:space="preserve">, τενοφοβίρη δισοπρόξιλη 245 </w:t>
            </w:r>
            <w:r w:rsidRPr="004155A8">
              <w:rPr>
                <w:rFonts w:ascii="Times New Roman" w:eastAsia="TimesNewRoman,Bold" w:hAnsi="Times New Roman" w:cs="Times New Roman"/>
                <w:b/>
                <w:bCs/>
                <w:color w:val="000000" w:themeColor="text1"/>
                <w:sz w:val="20"/>
                <w:szCs w:val="20"/>
              </w:rPr>
              <w:t>mg</w:t>
            </w:r>
            <w:r w:rsidRPr="004155A8">
              <w:rPr>
                <w:rFonts w:ascii="Times New Roman" w:eastAsia="TimesNewRoman,Bold" w:hAnsi="Times New Roman" w:cs="Times New Roman"/>
                <w:b/>
                <w:bCs/>
                <w:color w:val="000000" w:themeColor="text1"/>
                <w:sz w:val="20"/>
                <w:szCs w:val="20"/>
                <w:lang w:val="el-GR"/>
              </w:rPr>
              <w:t>)</w:t>
            </w:r>
          </w:p>
        </w:tc>
      </w:tr>
      <w:tr w:rsidR="00BC788D" w:rsidRPr="00F14B75" w:rsidTr="008167C4">
        <w:tc>
          <w:tcPr>
            <w:tcW w:w="8762" w:type="dxa"/>
            <w:gridSpan w:val="3"/>
          </w:tcPr>
          <w:p w:rsidR="00BC788D" w:rsidRPr="00F14B75" w:rsidRDefault="00BC788D" w:rsidP="008167C4">
            <w:pPr>
              <w:autoSpaceDE w:val="0"/>
              <w:autoSpaceDN w:val="0"/>
              <w:adjustRightInd w:val="0"/>
              <w:rPr>
                <w:rFonts w:ascii="Times New Roman" w:eastAsia="TimesNewRoman,Bold" w:hAnsi="Times New Roman" w:cs="Times New Roman"/>
                <w:b/>
                <w:bCs/>
                <w:i/>
                <w:color w:val="000000" w:themeColor="text1"/>
                <w:sz w:val="20"/>
                <w:szCs w:val="20"/>
              </w:rPr>
            </w:pPr>
            <w:r w:rsidRPr="00F14B75">
              <w:rPr>
                <w:rFonts w:ascii="Times New Roman" w:eastAsia="TimesNewRoman,Bold" w:hAnsi="Times New Roman" w:cs="Times New Roman"/>
                <w:b/>
                <w:bCs/>
                <w:i/>
                <w:color w:val="000000" w:themeColor="text1"/>
                <w:sz w:val="20"/>
                <w:szCs w:val="20"/>
              </w:rPr>
              <w:t>ΑΝΤΙ-ΛΟΙΜΩΔΗ</w:t>
            </w:r>
          </w:p>
        </w:tc>
      </w:tr>
      <w:tr w:rsidR="00BC788D" w:rsidRPr="00F14B75" w:rsidTr="008167C4">
        <w:tc>
          <w:tcPr>
            <w:tcW w:w="8762" w:type="dxa"/>
            <w:gridSpan w:val="3"/>
          </w:tcPr>
          <w:p w:rsidR="00BC788D" w:rsidRPr="00F14B75" w:rsidRDefault="00BC788D" w:rsidP="008167C4">
            <w:pPr>
              <w:autoSpaceDE w:val="0"/>
              <w:autoSpaceDN w:val="0"/>
              <w:adjustRightInd w:val="0"/>
              <w:rPr>
                <w:rFonts w:ascii="Times New Roman" w:eastAsia="TimesNewRoman,Bold" w:hAnsi="Times New Roman" w:cs="Times New Roman"/>
                <w:b/>
                <w:bCs/>
                <w:color w:val="000000" w:themeColor="text1"/>
                <w:sz w:val="20"/>
                <w:szCs w:val="20"/>
              </w:rPr>
            </w:pPr>
            <w:r w:rsidRPr="00F14B75">
              <w:rPr>
                <w:rFonts w:ascii="Times New Roman" w:eastAsia="TimesNewRoman,Bold" w:hAnsi="Times New Roman" w:cs="Times New Roman"/>
                <w:b/>
                <w:bCs/>
                <w:color w:val="000000" w:themeColor="text1"/>
                <w:sz w:val="20"/>
                <w:szCs w:val="20"/>
              </w:rPr>
              <w:t>Αντιρετροϊκά</w:t>
            </w:r>
          </w:p>
        </w:tc>
      </w:tr>
      <w:tr w:rsidR="00BC788D" w:rsidRPr="00F14B75" w:rsidTr="008167C4">
        <w:tc>
          <w:tcPr>
            <w:tcW w:w="8762" w:type="dxa"/>
            <w:gridSpan w:val="3"/>
          </w:tcPr>
          <w:p w:rsidR="00BC788D" w:rsidRPr="00F14B75" w:rsidRDefault="00BC788D" w:rsidP="008167C4">
            <w:pPr>
              <w:autoSpaceDE w:val="0"/>
              <w:autoSpaceDN w:val="0"/>
              <w:adjustRightInd w:val="0"/>
              <w:rPr>
                <w:rFonts w:ascii="Times New Roman" w:eastAsia="TimesNewRoman,Bold" w:hAnsi="Times New Roman" w:cs="Times New Roman"/>
                <w:b/>
                <w:bCs/>
                <w:color w:val="000000" w:themeColor="text1"/>
                <w:sz w:val="20"/>
                <w:szCs w:val="20"/>
              </w:rPr>
            </w:pPr>
            <w:r w:rsidRPr="00F14B75">
              <w:rPr>
                <w:rFonts w:ascii="Times New Roman" w:eastAsia="TimesNewRoman,Bold" w:hAnsi="Times New Roman" w:cs="Times New Roman"/>
                <w:b/>
                <w:bCs/>
                <w:color w:val="000000" w:themeColor="text1"/>
                <w:sz w:val="20"/>
                <w:szCs w:val="20"/>
              </w:rPr>
              <w:t>Αναστολείς πρωτεασών</w:t>
            </w:r>
          </w:p>
        </w:tc>
      </w:tr>
      <w:tr w:rsidR="00F36DB7" w:rsidRPr="00F14B75" w:rsidTr="00F36DB7">
        <w:trPr>
          <w:trHeight w:val="2796"/>
        </w:trPr>
        <w:tc>
          <w:tcPr>
            <w:tcW w:w="3652" w:type="dxa"/>
          </w:tcPr>
          <w:p w:rsidR="00F36DB7" w:rsidRPr="00F36DB7" w:rsidRDefault="00F36DB7" w:rsidP="004A3587">
            <w:pPr>
              <w:rPr>
                <w:rFonts w:ascii="Times New Roman" w:hAnsi="Times New Roman" w:cs="Times New Roman"/>
              </w:rPr>
            </w:pPr>
            <w:r w:rsidRPr="00F36DB7">
              <w:rPr>
                <w:rFonts w:ascii="Times New Roman" w:hAnsi="Times New Roman" w:cs="Times New Roman"/>
              </w:rPr>
              <w:lastRenderedPageBreak/>
              <w:t xml:space="preserve">Αταζαναβίρη/Ριτοναβίρη/Τενοφοβίρη δισοπρόξιλη </w:t>
            </w:r>
          </w:p>
          <w:p w:rsidR="00F36DB7" w:rsidRPr="00F36DB7" w:rsidRDefault="00F36DB7" w:rsidP="004A3587">
            <w:pPr>
              <w:rPr>
                <w:rFonts w:ascii="Times New Roman" w:hAnsi="Times New Roman" w:cs="Times New Roman"/>
              </w:rPr>
            </w:pPr>
            <w:r w:rsidRPr="00F36DB7">
              <w:rPr>
                <w:rFonts w:ascii="Times New Roman" w:hAnsi="Times New Roman" w:cs="Times New Roman"/>
              </w:rPr>
              <w:t xml:space="preserve">(300 mg q.d./100 mg q.d./245 mg q.d.) </w:t>
            </w:r>
          </w:p>
        </w:tc>
        <w:tc>
          <w:tcPr>
            <w:tcW w:w="2410" w:type="dxa"/>
          </w:tcPr>
          <w:p w:rsidR="00F36DB7" w:rsidRPr="00F36DB7" w:rsidRDefault="00F36DB7" w:rsidP="00F36DB7">
            <w:pPr>
              <w:autoSpaceDE w:val="0"/>
              <w:autoSpaceDN w:val="0"/>
              <w:adjustRightInd w:val="0"/>
              <w:rPr>
                <w:rFonts w:ascii="Times New Roman" w:eastAsia="TimesNewRoman,Bold" w:hAnsi="Times New Roman" w:cs="Times New Roman"/>
                <w:bCs/>
                <w:color w:val="000000" w:themeColor="text1"/>
                <w:sz w:val="20"/>
                <w:szCs w:val="20"/>
              </w:rPr>
            </w:pPr>
            <w:r w:rsidRPr="00F36DB7">
              <w:rPr>
                <w:rFonts w:ascii="Times New Roman" w:eastAsia="TimesNewRoman,Bold" w:hAnsi="Times New Roman" w:cs="Times New Roman"/>
                <w:bCs/>
                <w:color w:val="000000" w:themeColor="text1"/>
                <w:sz w:val="20"/>
                <w:szCs w:val="20"/>
              </w:rPr>
              <w:t xml:space="preserve">Αταζαναβίρη: </w:t>
            </w:r>
          </w:p>
          <w:p w:rsidR="00F36DB7" w:rsidRPr="00F36DB7" w:rsidRDefault="00F36DB7" w:rsidP="00F36DB7">
            <w:pPr>
              <w:autoSpaceDE w:val="0"/>
              <w:autoSpaceDN w:val="0"/>
              <w:adjustRightInd w:val="0"/>
              <w:rPr>
                <w:rFonts w:ascii="Times New Roman" w:eastAsia="TimesNewRoman,Bold" w:hAnsi="Times New Roman" w:cs="Times New Roman"/>
                <w:bCs/>
                <w:color w:val="000000" w:themeColor="text1"/>
                <w:sz w:val="20"/>
                <w:szCs w:val="20"/>
              </w:rPr>
            </w:pPr>
            <w:r w:rsidRPr="00F36DB7">
              <w:rPr>
                <w:rFonts w:ascii="Times New Roman" w:eastAsia="TimesNewRoman,Bold" w:hAnsi="Times New Roman" w:cs="Times New Roman"/>
                <w:bCs/>
                <w:color w:val="000000" w:themeColor="text1"/>
                <w:sz w:val="20"/>
                <w:szCs w:val="20"/>
              </w:rPr>
              <w:t xml:space="preserve">AUC: ↓ 25% (↓ 42 έως ↓ 3) </w:t>
            </w:r>
          </w:p>
          <w:p w:rsidR="00F36DB7" w:rsidRPr="00F36DB7" w:rsidRDefault="00F36DB7" w:rsidP="00F36DB7">
            <w:pPr>
              <w:autoSpaceDE w:val="0"/>
              <w:autoSpaceDN w:val="0"/>
              <w:adjustRightInd w:val="0"/>
              <w:rPr>
                <w:rFonts w:ascii="Times New Roman" w:eastAsia="TimesNewRoman,Bold" w:hAnsi="Times New Roman" w:cs="Times New Roman"/>
                <w:bCs/>
                <w:color w:val="000000" w:themeColor="text1"/>
                <w:sz w:val="20"/>
                <w:szCs w:val="20"/>
              </w:rPr>
            </w:pPr>
            <w:r w:rsidRPr="00F36DB7">
              <w:rPr>
                <w:rFonts w:ascii="Times New Roman" w:eastAsia="TimesNewRoman,Bold" w:hAnsi="Times New Roman" w:cs="Times New Roman"/>
                <w:bCs/>
                <w:color w:val="000000" w:themeColor="text1"/>
                <w:sz w:val="20"/>
                <w:szCs w:val="20"/>
              </w:rPr>
              <w:t xml:space="preserve">Cmax: ↓ 28% (↓ 50 έως ↑ 5) </w:t>
            </w:r>
          </w:p>
          <w:p w:rsidR="00F36DB7" w:rsidRPr="00F36DB7" w:rsidRDefault="00F36DB7" w:rsidP="00F36DB7">
            <w:pPr>
              <w:autoSpaceDE w:val="0"/>
              <w:autoSpaceDN w:val="0"/>
              <w:adjustRightInd w:val="0"/>
              <w:rPr>
                <w:rFonts w:ascii="Times New Roman" w:eastAsia="TimesNewRoman,Bold" w:hAnsi="Times New Roman" w:cs="Times New Roman"/>
                <w:bCs/>
                <w:color w:val="000000" w:themeColor="text1"/>
                <w:sz w:val="20"/>
                <w:szCs w:val="20"/>
              </w:rPr>
            </w:pPr>
            <w:r w:rsidRPr="00F36DB7">
              <w:rPr>
                <w:rFonts w:ascii="Times New Roman" w:eastAsia="TimesNewRoman,Bold" w:hAnsi="Times New Roman" w:cs="Times New Roman"/>
                <w:bCs/>
                <w:color w:val="000000" w:themeColor="text1"/>
                <w:sz w:val="20"/>
                <w:szCs w:val="20"/>
              </w:rPr>
              <w:t xml:space="preserve">Cmin: ↓ 26% (↓ 46 έως ↑ 10) </w:t>
            </w:r>
          </w:p>
          <w:p w:rsidR="00F36DB7" w:rsidRPr="00F36DB7" w:rsidRDefault="00F36DB7" w:rsidP="00F36DB7">
            <w:pPr>
              <w:autoSpaceDE w:val="0"/>
              <w:autoSpaceDN w:val="0"/>
              <w:adjustRightInd w:val="0"/>
              <w:rPr>
                <w:rFonts w:ascii="Times New Roman" w:eastAsia="TimesNewRoman,Bold" w:hAnsi="Times New Roman" w:cs="Times New Roman"/>
                <w:bCs/>
                <w:color w:val="000000" w:themeColor="text1"/>
                <w:sz w:val="20"/>
                <w:szCs w:val="20"/>
              </w:rPr>
            </w:pPr>
            <w:r w:rsidRPr="00F36DB7">
              <w:rPr>
                <w:rFonts w:ascii="Times New Roman" w:eastAsia="TimesNewRoman,Bold" w:hAnsi="Times New Roman" w:cs="Times New Roman"/>
                <w:bCs/>
                <w:color w:val="000000" w:themeColor="text1"/>
                <w:sz w:val="20"/>
                <w:szCs w:val="20"/>
              </w:rPr>
              <w:t xml:space="preserve">Τενοφοβίρη: </w:t>
            </w:r>
          </w:p>
          <w:p w:rsidR="00F36DB7" w:rsidRPr="00F36DB7" w:rsidRDefault="00F36DB7" w:rsidP="00F36DB7">
            <w:pPr>
              <w:autoSpaceDE w:val="0"/>
              <w:autoSpaceDN w:val="0"/>
              <w:adjustRightInd w:val="0"/>
              <w:rPr>
                <w:rFonts w:ascii="Times New Roman" w:eastAsia="TimesNewRoman,Bold" w:hAnsi="Times New Roman" w:cs="Times New Roman"/>
                <w:bCs/>
                <w:color w:val="000000" w:themeColor="text1"/>
                <w:sz w:val="20"/>
                <w:szCs w:val="20"/>
              </w:rPr>
            </w:pPr>
            <w:r w:rsidRPr="00F36DB7">
              <w:rPr>
                <w:rFonts w:ascii="Times New Roman" w:eastAsia="TimesNewRoman,Bold" w:hAnsi="Times New Roman" w:cs="Times New Roman"/>
                <w:bCs/>
                <w:color w:val="000000" w:themeColor="text1"/>
                <w:sz w:val="20"/>
                <w:szCs w:val="20"/>
              </w:rPr>
              <w:t xml:space="preserve">AUC: ↑ 37% </w:t>
            </w:r>
          </w:p>
          <w:p w:rsidR="00F36DB7" w:rsidRPr="00F36DB7" w:rsidRDefault="00F36DB7" w:rsidP="00F36DB7">
            <w:pPr>
              <w:autoSpaceDE w:val="0"/>
              <w:autoSpaceDN w:val="0"/>
              <w:adjustRightInd w:val="0"/>
              <w:rPr>
                <w:rFonts w:ascii="Times New Roman" w:eastAsia="TimesNewRoman,Bold" w:hAnsi="Times New Roman" w:cs="Times New Roman"/>
                <w:bCs/>
                <w:color w:val="000000" w:themeColor="text1"/>
                <w:sz w:val="20"/>
                <w:szCs w:val="20"/>
              </w:rPr>
            </w:pPr>
            <w:r w:rsidRPr="00F36DB7">
              <w:rPr>
                <w:rFonts w:ascii="Times New Roman" w:eastAsia="TimesNewRoman,Bold" w:hAnsi="Times New Roman" w:cs="Times New Roman"/>
                <w:bCs/>
                <w:color w:val="000000" w:themeColor="text1"/>
                <w:sz w:val="20"/>
                <w:szCs w:val="20"/>
              </w:rPr>
              <w:t xml:space="preserve">Cmax: ↑ 34% </w:t>
            </w:r>
          </w:p>
          <w:p w:rsidR="00F36DB7" w:rsidRDefault="00F36DB7" w:rsidP="00F36DB7">
            <w:pPr>
              <w:autoSpaceDE w:val="0"/>
              <w:autoSpaceDN w:val="0"/>
              <w:adjustRightInd w:val="0"/>
              <w:rPr>
                <w:rFonts w:ascii="Times New Roman" w:eastAsia="TimesNewRoman,Bold" w:hAnsi="Times New Roman" w:cs="Times New Roman"/>
                <w:bCs/>
                <w:color w:val="000000" w:themeColor="text1"/>
                <w:sz w:val="20"/>
                <w:szCs w:val="20"/>
                <w:lang w:val="el-GR"/>
              </w:rPr>
            </w:pPr>
            <w:r w:rsidRPr="00F36DB7">
              <w:rPr>
                <w:rFonts w:ascii="Times New Roman" w:eastAsia="TimesNewRoman,Bold" w:hAnsi="Times New Roman" w:cs="Times New Roman"/>
                <w:bCs/>
                <w:color w:val="000000" w:themeColor="text1"/>
                <w:sz w:val="20"/>
                <w:szCs w:val="20"/>
              </w:rPr>
              <w:t xml:space="preserve">Cmin: ↑ 29% </w:t>
            </w:r>
          </w:p>
          <w:p w:rsidR="00F36DB7" w:rsidRPr="003B2F63"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tc>
        <w:tc>
          <w:tcPr>
            <w:tcW w:w="2700" w:type="dxa"/>
            <w:vMerge w:val="restart"/>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rPr>
            </w:pPr>
            <w:r w:rsidRPr="00F14B75">
              <w:rPr>
                <w:rFonts w:ascii="Times New Roman" w:eastAsia="TimesNewRoman,Bold" w:hAnsi="Times New Roman" w:cs="Times New Roman"/>
                <w:bCs/>
                <w:color w:val="000000" w:themeColor="text1"/>
                <w:sz w:val="20"/>
                <w:szCs w:val="20"/>
                <w:lang w:val="el-GR"/>
              </w:rPr>
              <w:t xml:space="preserve">Δεν συνιστάται αναπροσαρμογή της δόσης. Η αυξημένη έκθεση της τενοφοβίρης θα μπορούσε να ενισχύσει τις σχετιζόμενες με τη τενοφοβίρη ανεπιθύμητες ενέργειες συμπεριλαμβανομένων και των νεφρικών διαταραχών. </w:t>
            </w:r>
            <w:r w:rsidRPr="00F14B75">
              <w:rPr>
                <w:rFonts w:ascii="Times New Roman" w:eastAsia="TimesNewRoman,Bold" w:hAnsi="Times New Roman" w:cs="Times New Roman"/>
                <w:bCs/>
                <w:color w:val="000000" w:themeColor="text1"/>
                <w:sz w:val="20"/>
                <w:szCs w:val="20"/>
              </w:rPr>
              <w:t>Η νεφρική λειτουργία πρέπει να παρακολουθείται στενά (βλ. παράγραφο 4.4).</w:t>
            </w:r>
          </w:p>
        </w:tc>
      </w:tr>
      <w:tr w:rsidR="00F36DB7" w:rsidRPr="00EB273D" w:rsidTr="00F36DB7">
        <w:tc>
          <w:tcPr>
            <w:tcW w:w="3652" w:type="dxa"/>
          </w:tcPr>
          <w:p w:rsidR="00F36DB7" w:rsidRPr="00F36DB7" w:rsidRDefault="00F36DB7" w:rsidP="00F36DB7">
            <w:pPr>
              <w:rPr>
                <w:rFonts w:ascii="Times New Roman" w:hAnsi="Times New Roman" w:cs="Times New Roman"/>
                <w:lang w:val="el-GR"/>
              </w:rPr>
            </w:pPr>
            <w:r w:rsidRPr="00F36DB7">
              <w:rPr>
                <w:rFonts w:ascii="Times New Roman" w:hAnsi="Times New Roman" w:cs="Times New Roman"/>
              </w:rPr>
              <w:t>Αταζαναβίρη/Ριτοναβίρη/Εμτρισιταβίνη</w:t>
            </w:r>
          </w:p>
        </w:tc>
        <w:tc>
          <w:tcPr>
            <w:tcW w:w="2410" w:type="dxa"/>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F14B75">
              <w:rPr>
                <w:rFonts w:ascii="Times New Roman" w:eastAsia="TimesNewRoman,Bold" w:hAnsi="Times New Roman" w:cs="Times New Roman"/>
                <w:bCs/>
                <w:color w:val="000000" w:themeColor="text1"/>
                <w:sz w:val="20"/>
                <w:szCs w:val="20"/>
                <w:lang w:val="el-GR"/>
              </w:rPr>
              <w:t>Η αλληλεπίδραση δεν έχει μελετηθεί.</w:t>
            </w:r>
          </w:p>
        </w:tc>
        <w:tc>
          <w:tcPr>
            <w:tcW w:w="2700" w:type="dxa"/>
            <w:vMerge/>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tc>
      </w:tr>
      <w:tr w:rsidR="00F36DB7" w:rsidRPr="00F14B75" w:rsidTr="00F36DB7">
        <w:tc>
          <w:tcPr>
            <w:tcW w:w="3652" w:type="dxa"/>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C36768">
              <w:rPr>
                <w:rFonts w:ascii="Times New Roman" w:eastAsia="TimesNewRoman,Bold" w:hAnsi="Times New Roman" w:cs="Times New Roman"/>
                <w:bCs/>
                <w:color w:val="000000" w:themeColor="text1"/>
                <w:sz w:val="20"/>
                <w:szCs w:val="20"/>
                <w:lang w:val="el-GR"/>
              </w:rPr>
              <w:t xml:space="preserve">Δαρουναβίρη/Ριτοναβίρη/Τενοφοβίρη δισοπρόξιλη </w:t>
            </w:r>
            <w:r w:rsidRPr="00F14B75">
              <w:rPr>
                <w:rFonts w:ascii="Times New Roman" w:eastAsia="TimesNewRoman,Bold" w:hAnsi="Times New Roman" w:cs="Times New Roman"/>
                <w:bCs/>
                <w:color w:val="000000" w:themeColor="text1"/>
                <w:sz w:val="20"/>
                <w:szCs w:val="20"/>
                <w:lang w:val="el-GR"/>
              </w:rPr>
              <w:t xml:space="preserve">(300 </w:t>
            </w:r>
            <w:r w:rsidRPr="00F14B75">
              <w:rPr>
                <w:rFonts w:ascii="Times New Roman" w:eastAsia="TimesNewRoman,Bold" w:hAnsi="Times New Roman" w:cs="Times New Roman"/>
                <w:bCs/>
                <w:color w:val="000000" w:themeColor="text1"/>
                <w:sz w:val="20"/>
                <w:szCs w:val="20"/>
                <w:lang w:val="en-GB"/>
              </w:rPr>
              <w:t>mg</w:t>
            </w:r>
            <w:r w:rsidRPr="00F14B75">
              <w:rPr>
                <w:rFonts w:ascii="Times New Roman" w:eastAsia="TimesNewRoman,Bold" w:hAnsi="Times New Roman" w:cs="Times New Roman"/>
                <w:bCs/>
                <w:color w:val="000000" w:themeColor="text1"/>
                <w:sz w:val="20"/>
                <w:szCs w:val="20"/>
                <w:lang w:val="el-GR"/>
              </w:rPr>
              <w:t xml:space="preserve"> </w:t>
            </w:r>
            <w:r w:rsidRPr="00F14B75">
              <w:rPr>
                <w:rFonts w:ascii="Times New Roman" w:eastAsia="TimesNewRoman,Bold" w:hAnsi="Times New Roman" w:cs="Times New Roman"/>
                <w:bCs/>
                <w:color w:val="000000" w:themeColor="text1"/>
                <w:sz w:val="20"/>
                <w:szCs w:val="20"/>
                <w:lang w:val="en-GB"/>
              </w:rPr>
              <w:t>q</w:t>
            </w:r>
            <w:r w:rsidRPr="00F14B75">
              <w:rPr>
                <w:rFonts w:ascii="Times New Roman" w:eastAsia="TimesNewRoman,Bold" w:hAnsi="Times New Roman" w:cs="Times New Roman"/>
                <w:bCs/>
                <w:color w:val="000000" w:themeColor="text1"/>
                <w:sz w:val="20"/>
                <w:szCs w:val="20"/>
                <w:lang w:val="el-GR"/>
              </w:rPr>
              <w:t>.</w:t>
            </w:r>
            <w:r w:rsidRPr="00F14B75">
              <w:rPr>
                <w:rFonts w:ascii="Times New Roman" w:eastAsia="TimesNewRoman,Bold" w:hAnsi="Times New Roman" w:cs="Times New Roman"/>
                <w:bCs/>
                <w:color w:val="000000" w:themeColor="text1"/>
                <w:sz w:val="20"/>
                <w:szCs w:val="20"/>
                <w:lang w:val="en-GB"/>
              </w:rPr>
              <w:t>d</w:t>
            </w:r>
            <w:r w:rsidRPr="00F14B75">
              <w:rPr>
                <w:rFonts w:ascii="Times New Roman" w:eastAsia="TimesNewRoman,Bold" w:hAnsi="Times New Roman" w:cs="Times New Roman"/>
                <w:bCs/>
                <w:color w:val="000000" w:themeColor="text1"/>
                <w:sz w:val="20"/>
                <w:szCs w:val="20"/>
                <w:lang w:val="el-GR"/>
              </w:rPr>
              <w:t xml:space="preserve">./100 </w:t>
            </w:r>
            <w:r w:rsidRPr="00F14B75">
              <w:rPr>
                <w:rFonts w:ascii="Times New Roman" w:eastAsia="TimesNewRoman,Bold" w:hAnsi="Times New Roman" w:cs="Times New Roman"/>
                <w:bCs/>
                <w:color w:val="000000" w:themeColor="text1"/>
                <w:sz w:val="20"/>
                <w:szCs w:val="20"/>
                <w:lang w:val="en-GB"/>
              </w:rPr>
              <w:t>mg</w:t>
            </w:r>
            <w:r w:rsidRPr="00F14B75">
              <w:rPr>
                <w:rFonts w:ascii="Times New Roman" w:eastAsia="TimesNewRoman,Bold" w:hAnsi="Times New Roman" w:cs="Times New Roman"/>
                <w:bCs/>
                <w:color w:val="000000" w:themeColor="text1"/>
                <w:sz w:val="20"/>
                <w:szCs w:val="20"/>
                <w:lang w:val="el-GR"/>
              </w:rPr>
              <w:t xml:space="preserve"> </w:t>
            </w:r>
            <w:r w:rsidRPr="00F14B75">
              <w:rPr>
                <w:rFonts w:ascii="Times New Roman" w:eastAsia="TimesNewRoman,Bold" w:hAnsi="Times New Roman" w:cs="Times New Roman"/>
                <w:bCs/>
                <w:color w:val="000000" w:themeColor="text1"/>
                <w:sz w:val="20"/>
                <w:szCs w:val="20"/>
                <w:lang w:val="en-GB"/>
              </w:rPr>
              <w:t>q</w:t>
            </w:r>
            <w:r w:rsidRPr="00F14B75">
              <w:rPr>
                <w:rFonts w:ascii="Times New Roman" w:eastAsia="TimesNewRoman,Bold" w:hAnsi="Times New Roman" w:cs="Times New Roman"/>
                <w:bCs/>
                <w:color w:val="000000" w:themeColor="text1"/>
                <w:sz w:val="20"/>
                <w:szCs w:val="20"/>
                <w:lang w:val="el-GR"/>
              </w:rPr>
              <w:t>.</w:t>
            </w:r>
            <w:r w:rsidRPr="00F14B75">
              <w:rPr>
                <w:rFonts w:ascii="Times New Roman" w:eastAsia="TimesNewRoman,Bold" w:hAnsi="Times New Roman" w:cs="Times New Roman"/>
                <w:bCs/>
                <w:color w:val="000000" w:themeColor="text1"/>
                <w:sz w:val="20"/>
                <w:szCs w:val="20"/>
                <w:lang w:val="en-GB"/>
              </w:rPr>
              <w:t>d</w:t>
            </w:r>
            <w:r w:rsidRPr="00F14B75">
              <w:rPr>
                <w:rFonts w:ascii="Times New Roman" w:eastAsia="TimesNewRoman,Bold" w:hAnsi="Times New Roman" w:cs="Times New Roman"/>
                <w:bCs/>
                <w:color w:val="000000" w:themeColor="text1"/>
                <w:sz w:val="20"/>
                <w:szCs w:val="20"/>
                <w:lang w:val="el-GR"/>
              </w:rPr>
              <w:t xml:space="preserve">./300 </w:t>
            </w:r>
            <w:r w:rsidRPr="00F14B75">
              <w:rPr>
                <w:rFonts w:ascii="Times New Roman" w:eastAsia="TimesNewRoman,Bold" w:hAnsi="Times New Roman" w:cs="Times New Roman"/>
                <w:bCs/>
                <w:color w:val="000000" w:themeColor="text1"/>
                <w:sz w:val="20"/>
                <w:szCs w:val="20"/>
                <w:lang w:val="en-GB"/>
              </w:rPr>
              <w:t>mg</w:t>
            </w:r>
            <w:r w:rsidRPr="00F14B75">
              <w:rPr>
                <w:rFonts w:ascii="Times New Roman" w:eastAsia="TimesNewRoman,Bold" w:hAnsi="Times New Roman" w:cs="Times New Roman"/>
                <w:bCs/>
                <w:color w:val="000000" w:themeColor="text1"/>
                <w:sz w:val="20"/>
                <w:szCs w:val="20"/>
                <w:lang w:val="el-GR"/>
              </w:rPr>
              <w:t xml:space="preserve"> </w:t>
            </w:r>
            <w:r w:rsidRPr="00F14B75">
              <w:rPr>
                <w:rFonts w:ascii="Times New Roman" w:eastAsia="TimesNewRoman,Bold" w:hAnsi="Times New Roman" w:cs="Times New Roman"/>
                <w:bCs/>
                <w:color w:val="000000" w:themeColor="text1"/>
                <w:sz w:val="20"/>
                <w:szCs w:val="20"/>
                <w:lang w:val="en-GB"/>
              </w:rPr>
              <w:t>q</w:t>
            </w:r>
            <w:r w:rsidRPr="00F14B75">
              <w:rPr>
                <w:rFonts w:ascii="Times New Roman" w:eastAsia="TimesNewRoman,Bold" w:hAnsi="Times New Roman" w:cs="Times New Roman"/>
                <w:bCs/>
                <w:color w:val="000000" w:themeColor="text1"/>
                <w:sz w:val="20"/>
                <w:szCs w:val="20"/>
                <w:lang w:val="el-GR"/>
              </w:rPr>
              <w:t>.</w:t>
            </w:r>
            <w:r w:rsidRPr="00F14B75">
              <w:rPr>
                <w:rFonts w:ascii="Times New Roman" w:eastAsia="TimesNewRoman,Bold" w:hAnsi="Times New Roman" w:cs="Times New Roman"/>
                <w:bCs/>
                <w:color w:val="000000" w:themeColor="text1"/>
                <w:sz w:val="20"/>
                <w:szCs w:val="20"/>
                <w:lang w:val="en-GB"/>
              </w:rPr>
              <w:t>d</w:t>
            </w:r>
            <w:r w:rsidRPr="00F14B75">
              <w:rPr>
                <w:rFonts w:ascii="Times New Roman" w:eastAsia="TimesNewRoman,Bold" w:hAnsi="Times New Roman" w:cs="Times New Roman"/>
                <w:bCs/>
                <w:color w:val="000000" w:themeColor="text1"/>
                <w:sz w:val="20"/>
                <w:szCs w:val="20"/>
                <w:lang w:val="el-GR"/>
              </w:rPr>
              <w:t>.)</w:t>
            </w: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tc>
        <w:tc>
          <w:tcPr>
            <w:tcW w:w="2410" w:type="dxa"/>
          </w:tcPr>
          <w:p w:rsidR="00F36DB7" w:rsidRPr="00F14B75" w:rsidRDefault="00C36768"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C36768">
              <w:rPr>
                <w:rFonts w:ascii="Times New Roman" w:eastAsia="TimesNewRoman,Bold" w:hAnsi="Times New Roman" w:cs="Times New Roman"/>
                <w:bCs/>
                <w:color w:val="000000" w:themeColor="text1"/>
                <w:sz w:val="20"/>
                <w:szCs w:val="20"/>
              </w:rPr>
              <w:t>Δαρουναβίρη:</w:t>
            </w:r>
            <w:r w:rsidR="00F36DB7" w:rsidRPr="00F14B75">
              <w:rPr>
                <w:rFonts w:ascii="Times New Roman" w:eastAsia="TimesNewRoman,Bold" w:hAnsi="Times New Roman" w:cs="Times New Roman"/>
                <w:bCs/>
                <w:color w:val="000000" w:themeColor="text1"/>
                <w:sz w:val="20"/>
                <w:szCs w:val="20"/>
                <w:lang w:val="el-GR"/>
              </w:rPr>
              <w:t xml:space="preserve"> </w:t>
            </w: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F14B75">
              <w:rPr>
                <w:rFonts w:ascii="Times New Roman" w:eastAsia="TimesNewRoman,Bold" w:hAnsi="Times New Roman" w:cs="Times New Roman"/>
                <w:bCs/>
                <w:color w:val="000000" w:themeColor="text1"/>
                <w:sz w:val="20"/>
                <w:szCs w:val="20"/>
                <w:lang w:val="en-GB"/>
              </w:rPr>
              <w:t>AUC</w:t>
            </w:r>
            <w:r w:rsidRPr="00F14B75">
              <w:rPr>
                <w:rFonts w:ascii="Times New Roman" w:eastAsia="TimesNewRoman,Bold" w:hAnsi="Times New Roman" w:cs="Times New Roman"/>
                <w:bCs/>
                <w:color w:val="000000" w:themeColor="text1"/>
                <w:sz w:val="20"/>
                <w:szCs w:val="20"/>
                <w:lang w:val="el-GR"/>
              </w:rPr>
              <w:t xml:space="preserve">: ↔ </w:t>
            </w: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F14B75">
              <w:rPr>
                <w:rFonts w:ascii="Times New Roman" w:eastAsia="TimesNewRoman,Bold" w:hAnsi="Times New Roman" w:cs="Times New Roman"/>
                <w:bCs/>
                <w:color w:val="000000" w:themeColor="text1"/>
                <w:sz w:val="20"/>
                <w:szCs w:val="20"/>
                <w:lang w:val="en-GB"/>
              </w:rPr>
              <w:t>C</w:t>
            </w:r>
            <w:r w:rsidRPr="00F14B75">
              <w:rPr>
                <w:rFonts w:ascii="Times New Roman" w:eastAsia="TimesNewRoman,Bold" w:hAnsi="Times New Roman" w:cs="Times New Roman"/>
                <w:bCs/>
                <w:color w:val="000000" w:themeColor="text1"/>
                <w:sz w:val="20"/>
                <w:szCs w:val="20"/>
                <w:vertAlign w:val="subscript"/>
                <w:lang w:val="en-GB"/>
              </w:rPr>
              <w:t>min</w:t>
            </w:r>
            <w:r w:rsidRPr="00F14B75">
              <w:rPr>
                <w:rFonts w:ascii="Times New Roman" w:eastAsia="TimesNewRoman,Bold" w:hAnsi="Times New Roman" w:cs="Times New Roman"/>
                <w:bCs/>
                <w:color w:val="000000" w:themeColor="text1"/>
                <w:sz w:val="20"/>
                <w:szCs w:val="20"/>
                <w:lang w:val="el-GR"/>
              </w:rPr>
              <w:t>: ↔</w:t>
            </w: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F14B75">
              <w:rPr>
                <w:rFonts w:ascii="Times New Roman" w:eastAsia="TimesNewRoman,Bold" w:hAnsi="Times New Roman" w:cs="Times New Roman"/>
                <w:bCs/>
                <w:color w:val="000000" w:themeColor="text1"/>
                <w:sz w:val="20"/>
                <w:szCs w:val="20"/>
                <w:lang w:val="el-GR"/>
              </w:rPr>
              <w:t xml:space="preserve">Τενοφοβίρη: </w:t>
            </w: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F14B75">
              <w:rPr>
                <w:rFonts w:ascii="Times New Roman" w:eastAsia="TimesNewRoman,Bold" w:hAnsi="Times New Roman" w:cs="Times New Roman"/>
                <w:bCs/>
                <w:color w:val="000000" w:themeColor="text1"/>
                <w:sz w:val="20"/>
                <w:szCs w:val="20"/>
              </w:rPr>
              <w:t>AUC</w:t>
            </w:r>
            <w:r w:rsidRPr="00F14B75">
              <w:rPr>
                <w:rFonts w:ascii="Times New Roman" w:eastAsia="TimesNewRoman,Bold" w:hAnsi="Times New Roman" w:cs="Times New Roman"/>
                <w:bCs/>
                <w:color w:val="000000" w:themeColor="text1"/>
                <w:sz w:val="20"/>
                <w:szCs w:val="20"/>
                <w:lang w:val="el-GR"/>
              </w:rPr>
              <w:t xml:space="preserve">: ↑ 22% </w:t>
            </w: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rPr>
            </w:pPr>
            <w:r w:rsidRPr="00F14B75">
              <w:rPr>
                <w:rFonts w:ascii="Times New Roman" w:eastAsia="TimesNewRoman,Bold" w:hAnsi="Times New Roman" w:cs="Times New Roman"/>
                <w:bCs/>
                <w:color w:val="000000" w:themeColor="text1"/>
                <w:sz w:val="20"/>
                <w:szCs w:val="20"/>
              </w:rPr>
              <w:t>C</w:t>
            </w:r>
            <w:r w:rsidRPr="00F14B75">
              <w:rPr>
                <w:rFonts w:ascii="Times New Roman" w:eastAsia="TimesNewRoman,Bold" w:hAnsi="Times New Roman" w:cs="Times New Roman"/>
                <w:bCs/>
                <w:color w:val="000000" w:themeColor="text1"/>
                <w:sz w:val="20"/>
                <w:szCs w:val="20"/>
                <w:vertAlign w:val="subscript"/>
              </w:rPr>
              <w:t>min</w:t>
            </w:r>
            <w:r w:rsidRPr="00F14B75">
              <w:rPr>
                <w:rFonts w:ascii="Times New Roman" w:eastAsia="TimesNewRoman,Bold" w:hAnsi="Times New Roman" w:cs="Times New Roman"/>
                <w:bCs/>
                <w:color w:val="000000" w:themeColor="text1"/>
                <w:sz w:val="20"/>
                <w:szCs w:val="20"/>
              </w:rPr>
              <w:t>: ↑ 37%</w:t>
            </w: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rPr>
            </w:pPr>
          </w:p>
          <w:p w:rsidR="00F36DB7"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p w:rsidR="00F36DB7"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p w:rsidR="00F36DB7"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p w:rsidR="00F36DB7" w:rsidRPr="003B2F63"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tc>
        <w:tc>
          <w:tcPr>
            <w:tcW w:w="2700" w:type="dxa"/>
            <w:vMerge w:val="restart"/>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rPr>
            </w:pPr>
            <w:r w:rsidRPr="00F14B75">
              <w:rPr>
                <w:rFonts w:ascii="Times New Roman" w:eastAsia="TimesNewRoman,Bold" w:hAnsi="Times New Roman" w:cs="Times New Roman"/>
                <w:bCs/>
                <w:color w:val="000000" w:themeColor="text1"/>
                <w:sz w:val="20"/>
                <w:szCs w:val="20"/>
                <w:lang w:val="el-GR"/>
              </w:rPr>
              <w:t xml:space="preserve">Δεν συνιστάται αναπροσαρμογή της δόσης. Η αυξημένη έκθεση της τενοφοβίρης θα μπορούσε να ενισχύσει τις σχετιζόμενες με τη τενοφοβίρη ανεπιθύμητες ενέργειες συμπεριλαμβανομένων και των νεφρικών διαταραχών. </w:t>
            </w:r>
            <w:r w:rsidRPr="00F14B75">
              <w:rPr>
                <w:rFonts w:ascii="Times New Roman" w:eastAsia="TimesNewRoman,Bold" w:hAnsi="Times New Roman" w:cs="Times New Roman"/>
                <w:bCs/>
                <w:color w:val="000000" w:themeColor="text1"/>
                <w:sz w:val="20"/>
                <w:szCs w:val="20"/>
              </w:rPr>
              <w:t>Η νεφρική λειτουργία πρέπει να παρακολουθείται στενά (βλ. παράγραφο 4.4)</w:t>
            </w:r>
          </w:p>
        </w:tc>
      </w:tr>
      <w:tr w:rsidR="00F36DB7" w:rsidRPr="00EB273D" w:rsidTr="00F36DB7">
        <w:tc>
          <w:tcPr>
            <w:tcW w:w="3652" w:type="dxa"/>
          </w:tcPr>
          <w:p w:rsidR="00F36DB7" w:rsidRPr="00F14B75" w:rsidRDefault="00C36768" w:rsidP="008167C4">
            <w:pPr>
              <w:autoSpaceDE w:val="0"/>
              <w:autoSpaceDN w:val="0"/>
              <w:adjustRightInd w:val="0"/>
              <w:rPr>
                <w:rFonts w:ascii="Times New Roman" w:eastAsia="TimesNewRoman,Bold" w:hAnsi="Times New Roman" w:cs="Times New Roman"/>
                <w:bCs/>
                <w:color w:val="000000" w:themeColor="text1"/>
                <w:sz w:val="20"/>
                <w:szCs w:val="20"/>
              </w:rPr>
            </w:pPr>
            <w:r w:rsidRPr="00C36768">
              <w:rPr>
                <w:rFonts w:ascii="Times New Roman" w:eastAsia="TimesNewRoman,Bold" w:hAnsi="Times New Roman" w:cs="Times New Roman"/>
                <w:bCs/>
                <w:color w:val="000000" w:themeColor="text1"/>
                <w:sz w:val="20"/>
                <w:szCs w:val="20"/>
              </w:rPr>
              <w:t>Δαρουναβίρη/Ριτοναβίρη/Εμτρισιταβίνη</w:t>
            </w:r>
          </w:p>
        </w:tc>
        <w:tc>
          <w:tcPr>
            <w:tcW w:w="2410" w:type="dxa"/>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F14B75">
              <w:rPr>
                <w:rFonts w:ascii="Times New Roman" w:eastAsia="TimesNewRoman,Bold" w:hAnsi="Times New Roman" w:cs="Times New Roman"/>
                <w:bCs/>
                <w:color w:val="000000" w:themeColor="text1"/>
                <w:sz w:val="20"/>
                <w:szCs w:val="20"/>
                <w:lang w:val="el-GR"/>
              </w:rPr>
              <w:t>Η αλληλεπίδραση δεν έχει μελετηθεί</w:t>
            </w:r>
          </w:p>
        </w:tc>
        <w:tc>
          <w:tcPr>
            <w:tcW w:w="2700" w:type="dxa"/>
            <w:vMerge/>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tc>
      </w:tr>
      <w:tr w:rsidR="00F36DB7" w:rsidRPr="00F14B75" w:rsidTr="00F36DB7">
        <w:tc>
          <w:tcPr>
            <w:tcW w:w="3652" w:type="dxa"/>
          </w:tcPr>
          <w:p w:rsidR="00C36768" w:rsidRDefault="00C36768"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C36768">
              <w:rPr>
                <w:rFonts w:ascii="Times New Roman" w:eastAsia="TimesNewRoman,Bold" w:hAnsi="Times New Roman" w:cs="Times New Roman"/>
                <w:bCs/>
                <w:color w:val="000000" w:themeColor="text1"/>
                <w:sz w:val="20"/>
                <w:szCs w:val="20"/>
                <w:lang w:val="el-GR"/>
              </w:rPr>
              <w:t xml:space="preserve">Λοπιναβίρη/Ριτοναβίρη /Τενοφοβίρη δισοπρόξιλη </w:t>
            </w:r>
          </w:p>
          <w:p w:rsidR="00F36DB7" w:rsidRPr="00716CE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716CE8">
              <w:rPr>
                <w:rFonts w:ascii="Times New Roman" w:eastAsia="TimesNewRoman,Bold" w:hAnsi="Times New Roman" w:cs="Times New Roman"/>
                <w:bCs/>
                <w:color w:val="000000" w:themeColor="text1"/>
                <w:sz w:val="20"/>
                <w:szCs w:val="20"/>
                <w:lang w:val="el-GR"/>
              </w:rPr>
              <w:t xml:space="preserve">(400 </w:t>
            </w:r>
            <w:r w:rsidRPr="00F14B75">
              <w:rPr>
                <w:rFonts w:ascii="Times New Roman" w:eastAsia="TimesNewRoman,Bold" w:hAnsi="Times New Roman" w:cs="Times New Roman"/>
                <w:bCs/>
                <w:color w:val="000000" w:themeColor="text1"/>
                <w:sz w:val="20"/>
                <w:szCs w:val="20"/>
                <w:lang w:val="en-GB"/>
              </w:rPr>
              <w:t>mg</w:t>
            </w:r>
            <w:r w:rsidRPr="00716CE8">
              <w:rPr>
                <w:rFonts w:ascii="Times New Roman" w:eastAsia="TimesNewRoman,Bold" w:hAnsi="Times New Roman" w:cs="Times New Roman"/>
                <w:bCs/>
                <w:color w:val="000000" w:themeColor="text1"/>
                <w:sz w:val="20"/>
                <w:szCs w:val="20"/>
                <w:lang w:val="el-GR"/>
              </w:rPr>
              <w:t xml:space="preserve"> </w:t>
            </w:r>
            <w:r w:rsidRPr="00F14B75">
              <w:rPr>
                <w:rFonts w:ascii="Times New Roman" w:eastAsia="TimesNewRoman,Bold" w:hAnsi="Times New Roman" w:cs="Times New Roman"/>
                <w:bCs/>
                <w:color w:val="000000" w:themeColor="text1"/>
                <w:sz w:val="20"/>
                <w:szCs w:val="20"/>
                <w:lang w:val="en-GB"/>
              </w:rPr>
              <w:t>b</w:t>
            </w:r>
            <w:r w:rsidRPr="00716CE8">
              <w:rPr>
                <w:rFonts w:ascii="Times New Roman" w:eastAsia="TimesNewRoman,Bold" w:hAnsi="Times New Roman" w:cs="Times New Roman"/>
                <w:bCs/>
                <w:color w:val="000000" w:themeColor="text1"/>
                <w:sz w:val="20"/>
                <w:szCs w:val="20"/>
                <w:lang w:val="el-GR"/>
              </w:rPr>
              <w:t>.</w:t>
            </w:r>
            <w:r w:rsidRPr="00F14B75">
              <w:rPr>
                <w:rFonts w:ascii="Times New Roman" w:eastAsia="TimesNewRoman,Bold" w:hAnsi="Times New Roman" w:cs="Times New Roman"/>
                <w:bCs/>
                <w:color w:val="000000" w:themeColor="text1"/>
                <w:sz w:val="20"/>
                <w:szCs w:val="20"/>
                <w:lang w:val="en-GB"/>
              </w:rPr>
              <w:t>i</w:t>
            </w:r>
            <w:r w:rsidRPr="00716CE8">
              <w:rPr>
                <w:rFonts w:ascii="Times New Roman" w:eastAsia="TimesNewRoman,Bold" w:hAnsi="Times New Roman" w:cs="Times New Roman"/>
                <w:bCs/>
                <w:color w:val="000000" w:themeColor="text1"/>
                <w:sz w:val="20"/>
                <w:szCs w:val="20"/>
                <w:lang w:val="el-GR"/>
              </w:rPr>
              <w:t>.</w:t>
            </w:r>
            <w:r w:rsidRPr="00F14B75">
              <w:rPr>
                <w:rFonts w:ascii="Times New Roman" w:eastAsia="TimesNewRoman,Bold" w:hAnsi="Times New Roman" w:cs="Times New Roman"/>
                <w:bCs/>
                <w:color w:val="000000" w:themeColor="text1"/>
                <w:sz w:val="20"/>
                <w:szCs w:val="20"/>
                <w:lang w:val="en-GB"/>
              </w:rPr>
              <w:t>d</w:t>
            </w:r>
            <w:r w:rsidRPr="00716CE8">
              <w:rPr>
                <w:rFonts w:ascii="Times New Roman" w:eastAsia="TimesNewRoman,Bold" w:hAnsi="Times New Roman" w:cs="Times New Roman"/>
                <w:bCs/>
                <w:color w:val="000000" w:themeColor="text1"/>
                <w:sz w:val="20"/>
                <w:szCs w:val="20"/>
                <w:lang w:val="el-GR"/>
              </w:rPr>
              <w:t xml:space="preserve">./100 </w:t>
            </w:r>
            <w:r w:rsidRPr="00F14B75">
              <w:rPr>
                <w:rFonts w:ascii="Times New Roman" w:eastAsia="TimesNewRoman,Bold" w:hAnsi="Times New Roman" w:cs="Times New Roman"/>
                <w:bCs/>
                <w:color w:val="000000" w:themeColor="text1"/>
                <w:sz w:val="20"/>
                <w:szCs w:val="20"/>
                <w:lang w:val="en-GB"/>
              </w:rPr>
              <w:t>mg</w:t>
            </w:r>
            <w:r w:rsidRPr="00716CE8">
              <w:rPr>
                <w:rFonts w:ascii="Times New Roman" w:eastAsia="TimesNewRoman,Bold" w:hAnsi="Times New Roman" w:cs="Times New Roman"/>
                <w:bCs/>
                <w:color w:val="000000" w:themeColor="text1"/>
                <w:sz w:val="20"/>
                <w:szCs w:val="20"/>
                <w:lang w:val="el-GR"/>
              </w:rPr>
              <w:t xml:space="preserve"> </w:t>
            </w:r>
            <w:r w:rsidRPr="00F14B75">
              <w:rPr>
                <w:rFonts w:ascii="Times New Roman" w:eastAsia="TimesNewRoman,Bold" w:hAnsi="Times New Roman" w:cs="Times New Roman"/>
                <w:bCs/>
                <w:color w:val="000000" w:themeColor="text1"/>
                <w:sz w:val="20"/>
                <w:szCs w:val="20"/>
                <w:lang w:val="en-GB"/>
              </w:rPr>
              <w:t>b</w:t>
            </w:r>
            <w:r w:rsidRPr="00716CE8">
              <w:rPr>
                <w:rFonts w:ascii="Times New Roman" w:eastAsia="TimesNewRoman,Bold" w:hAnsi="Times New Roman" w:cs="Times New Roman"/>
                <w:bCs/>
                <w:color w:val="000000" w:themeColor="text1"/>
                <w:sz w:val="20"/>
                <w:szCs w:val="20"/>
                <w:lang w:val="el-GR"/>
              </w:rPr>
              <w:t>.</w:t>
            </w:r>
            <w:r w:rsidRPr="00F14B75">
              <w:rPr>
                <w:rFonts w:ascii="Times New Roman" w:eastAsia="TimesNewRoman,Bold" w:hAnsi="Times New Roman" w:cs="Times New Roman"/>
                <w:bCs/>
                <w:color w:val="000000" w:themeColor="text1"/>
                <w:sz w:val="20"/>
                <w:szCs w:val="20"/>
                <w:lang w:val="en-GB"/>
              </w:rPr>
              <w:t>i</w:t>
            </w:r>
            <w:r w:rsidRPr="00716CE8">
              <w:rPr>
                <w:rFonts w:ascii="Times New Roman" w:eastAsia="TimesNewRoman,Bold" w:hAnsi="Times New Roman" w:cs="Times New Roman"/>
                <w:bCs/>
                <w:color w:val="000000" w:themeColor="text1"/>
                <w:sz w:val="20"/>
                <w:szCs w:val="20"/>
                <w:lang w:val="el-GR"/>
              </w:rPr>
              <w:t>.</w:t>
            </w:r>
            <w:r w:rsidRPr="00F14B75">
              <w:rPr>
                <w:rFonts w:ascii="Times New Roman" w:eastAsia="TimesNewRoman,Bold" w:hAnsi="Times New Roman" w:cs="Times New Roman"/>
                <w:bCs/>
                <w:color w:val="000000" w:themeColor="text1"/>
                <w:sz w:val="20"/>
                <w:szCs w:val="20"/>
                <w:lang w:val="en-GB"/>
              </w:rPr>
              <w:t>d</w:t>
            </w:r>
            <w:r w:rsidRPr="00716CE8">
              <w:rPr>
                <w:rFonts w:ascii="Times New Roman" w:eastAsia="TimesNewRoman,Bold" w:hAnsi="Times New Roman" w:cs="Times New Roman"/>
                <w:bCs/>
                <w:color w:val="000000" w:themeColor="text1"/>
                <w:sz w:val="20"/>
                <w:szCs w:val="20"/>
                <w:lang w:val="el-GR"/>
              </w:rPr>
              <w:t xml:space="preserve">./300 </w:t>
            </w:r>
            <w:r w:rsidRPr="00F14B75">
              <w:rPr>
                <w:rFonts w:ascii="Times New Roman" w:eastAsia="TimesNewRoman,Bold" w:hAnsi="Times New Roman" w:cs="Times New Roman"/>
                <w:bCs/>
                <w:color w:val="000000" w:themeColor="text1"/>
                <w:sz w:val="20"/>
                <w:szCs w:val="20"/>
                <w:lang w:val="en-GB"/>
              </w:rPr>
              <w:t>mg</w:t>
            </w:r>
            <w:r w:rsidRPr="00716CE8">
              <w:rPr>
                <w:rFonts w:ascii="Times New Roman" w:eastAsia="TimesNewRoman,Bold" w:hAnsi="Times New Roman" w:cs="Times New Roman"/>
                <w:bCs/>
                <w:color w:val="000000" w:themeColor="text1"/>
                <w:sz w:val="20"/>
                <w:szCs w:val="20"/>
                <w:lang w:val="el-GR"/>
              </w:rPr>
              <w:t xml:space="preserve"> </w:t>
            </w:r>
            <w:r w:rsidRPr="00F14B75">
              <w:rPr>
                <w:rFonts w:ascii="Times New Roman" w:eastAsia="TimesNewRoman,Bold" w:hAnsi="Times New Roman" w:cs="Times New Roman"/>
                <w:bCs/>
                <w:color w:val="000000" w:themeColor="text1"/>
                <w:sz w:val="20"/>
                <w:szCs w:val="20"/>
                <w:lang w:val="en-GB"/>
              </w:rPr>
              <w:t>q</w:t>
            </w:r>
            <w:r w:rsidRPr="00716CE8">
              <w:rPr>
                <w:rFonts w:ascii="Times New Roman" w:eastAsia="TimesNewRoman,Bold" w:hAnsi="Times New Roman" w:cs="Times New Roman"/>
                <w:bCs/>
                <w:color w:val="000000" w:themeColor="text1"/>
                <w:sz w:val="20"/>
                <w:szCs w:val="20"/>
                <w:lang w:val="el-GR"/>
              </w:rPr>
              <w:t>.</w:t>
            </w:r>
            <w:r w:rsidRPr="00F14B75">
              <w:rPr>
                <w:rFonts w:ascii="Times New Roman" w:eastAsia="TimesNewRoman,Bold" w:hAnsi="Times New Roman" w:cs="Times New Roman"/>
                <w:bCs/>
                <w:color w:val="000000" w:themeColor="text1"/>
                <w:sz w:val="20"/>
                <w:szCs w:val="20"/>
                <w:lang w:val="en-GB"/>
              </w:rPr>
              <w:t>d</w:t>
            </w:r>
            <w:r w:rsidRPr="00716CE8">
              <w:rPr>
                <w:rFonts w:ascii="Times New Roman" w:eastAsia="TimesNewRoman,Bold" w:hAnsi="Times New Roman" w:cs="Times New Roman"/>
                <w:bCs/>
                <w:color w:val="000000" w:themeColor="text1"/>
                <w:sz w:val="20"/>
                <w:szCs w:val="20"/>
                <w:lang w:val="el-GR"/>
              </w:rPr>
              <w:t>.)</w:t>
            </w:r>
          </w:p>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tc>
        <w:tc>
          <w:tcPr>
            <w:tcW w:w="2410" w:type="dxa"/>
          </w:tcPr>
          <w:p w:rsidR="00F36DB7" w:rsidRPr="004155A8" w:rsidRDefault="00C36768" w:rsidP="008167C4">
            <w:pPr>
              <w:autoSpaceDE w:val="0"/>
              <w:autoSpaceDN w:val="0"/>
              <w:adjustRightInd w:val="0"/>
              <w:rPr>
                <w:rFonts w:ascii="Times New Roman" w:eastAsia="TimesNewRoman,Bold" w:hAnsi="Times New Roman" w:cs="Times New Roman"/>
                <w:bCs/>
                <w:color w:val="000000" w:themeColor="text1"/>
                <w:sz w:val="20"/>
                <w:szCs w:val="20"/>
                <w:lang w:val="en-GB"/>
              </w:rPr>
            </w:pPr>
            <w:r w:rsidRPr="00F76B79">
              <w:rPr>
                <w:rFonts w:ascii="Times New Roman" w:hAnsi="Times New Roman" w:cs="Times New Roman"/>
                <w:lang w:val="el-GR"/>
              </w:rPr>
              <w:t>Λοπιναβίρη/Ριτοναβίρη</w:t>
            </w:r>
            <w:r w:rsidR="00F36DB7" w:rsidRPr="004155A8">
              <w:rPr>
                <w:rFonts w:ascii="Times New Roman" w:eastAsia="TimesNewRoman,Bold" w:hAnsi="Times New Roman" w:cs="Times New Roman"/>
                <w:bCs/>
                <w:color w:val="000000" w:themeColor="text1"/>
                <w:sz w:val="20"/>
                <w:szCs w:val="20"/>
                <w:lang w:val="en-GB"/>
              </w:rPr>
              <w:t xml:space="preserve">: </w:t>
            </w:r>
            <w:r w:rsidR="00F36DB7" w:rsidRPr="00F14B75">
              <w:rPr>
                <w:rFonts w:ascii="Times New Roman" w:eastAsia="TimesNewRoman,Bold" w:hAnsi="Times New Roman" w:cs="Times New Roman"/>
                <w:bCs/>
                <w:color w:val="000000" w:themeColor="text1"/>
                <w:sz w:val="20"/>
                <w:szCs w:val="20"/>
                <w:lang w:val="en-GB"/>
              </w:rPr>
              <w:t>AUC</w:t>
            </w:r>
            <w:r w:rsidR="00F36DB7" w:rsidRPr="004155A8">
              <w:rPr>
                <w:rFonts w:ascii="Times New Roman" w:eastAsia="TimesNewRoman,Bold" w:hAnsi="Times New Roman" w:cs="Times New Roman"/>
                <w:bCs/>
                <w:color w:val="000000" w:themeColor="text1"/>
                <w:sz w:val="20"/>
                <w:szCs w:val="20"/>
                <w:lang w:val="en-GB"/>
              </w:rPr>
              <w:t>: ↔</w:t>
            </w: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r w:rsidRPr="004155A8">
              <w:rPr>
                <w:rFonts w:ascii="Times New Roman" w:eastAsia="TimesNewRoman,Bold" w:hAnsi="Times New Roman" w:cs="Times New Roman"/>
                <w:bCs/>
                <w:color w:val="000000" w:themeColor="text1"/>
                <w:sz w:val="20"/>
                <w:szCs w:val="20"/>
                <w:lang w:val="en-GB"/>
              </w:rPr>
              <w:t xml:space="preserve"> </w:t>
            </w:r>
            <w:r w:rsidRPr="00F14B75">
              <w:rPr>
                <w:rFonts w:ascii="Times New Roman" w:eastAsia="TimesNewRoman,Bold" w:hAnsi="Times New Roman" w:cs="Times New Roman"/>
                <w:bCs/>
                <w:color w:val="000000" w:themeColor="text1"/>
                <w:sz w:val="20"/>
                <w:szCs w:val="20"/>
                <w:lang w:val="en-GB"/>
              </w:rPr>
              <w:t>C</w:t>
            </w:r>
            <w:r w:rsidRPr="00F14B75">
              <w:rPr>
                <w:rFonts w:ascii="Times New Roman" w:eastAsia="TimesNewRoman,Bold" w:hAnsi="Times New Roman" w:cs="Times New Roman"/>
                <w:bCs/>
                <w:color w:val="000000" w:themeColor="text1"/>
                <w:sz w:val="20"/>
                <w:szCs w:val="20"/>
                <w:vertAlign w:val="subscript"/>
                <w:lang w:val="en-GB"/>
              </w:rPr>
              <w:t>max</w:t>
            </w:r>
            <w:r w:rsidRPr="004155A8">
              <w:rPr>
                <w:rFonts w:ascii="Times New Roman" w:eastAsia="TimesNewRoman,Bold" w:hAnsi="Times New Roman" w:cs="Times New Roman"/>
                <w:bCs/>
                <w:color w:val="000000" w:themeColor="text1"/>
                <w:sz w:val="20"/>
                <w:szCs w:val="20"/>
                <w:lang w:val="en-GB"/>
              </w:rPr>
              <w:t>: ↔</w:t>
            </w: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r w:rsidRPr="00F14B75">
              <w:rPr>
                <w:rFonts w:ascii="Times New Roman" w:eastAsia="TimesNewRoman,Bold" w:hAnsi="Times New Roman" w:cs="Times New Roman"/>
                <w:bCs/>
                <w:color w:val="000000" w:themeColor="text1"/>
                <w:sz w:val="20"/>
                <w:szCs w:val="20"/>
                <w:lang w:val="en-GB"/>
              </w:rPr>
              <w:t>C</w:t>
            </w:r>
            <w:r w:rsidRPr="00F14B75">
              <w:rPr>
                <w:rFonts w:ascii="Times New Roman" w:eastAsia="TimesNewRoman,Bold" w:hAnsi="Times New Roman" w:cs="Times New Roman"/>
                <w:bCs/>
                <w:color w:val="000000" w:themeColor="text1"/>
                <w:sz w:val="20"/>
                <w:szCs w:val="20"/>
                <w:vertAlign w:val="subscript"/>
                <w:lang w:val="en-GB"/>
              </w:rPr>
              <w:t>min</w:t>
            </w:r>
            <w:r w:rsidRPr="004155A8">
              <w:rPr>
                <w:rFonts w:ascii="Times New Roman" w:eastAsia="TimesNewRoman,Bold" w:hAnsi="Times New Roman" w:cs="Times New Roman"/>
                <w:bCs/>
                <w:color w:val="000000" w:themeColor="text1"/>
                <w:sz w:val="20"/>
                <w:szCs w:val="20"/>
                <w:lang w:val="en-GB"/>
              </w:rPr>
              <w:t>: ↔</w:t>
            </w: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r w:rsidRPr="00F14B75">
              <w:rPr>
                <w:rFonts w:ascii="Times New Roman" w:eastAsia="TimesNewRoman,Bold" w:hAnsi="Times New Roman" w:cs="Times New Roman"/>
                <w:bCs/>
                <w:color w:val="000000" w:themeColor="text1"/>
                <w:sz w:val="20"/>
                <w:szCs w:val="20"/>
                <w:lang w:val="el-GR"/>
              </w:rPr>
              <w:t>Τενοφοβίρη</w:t>
            </w:r>
            <w:r w:rsidRPr="004155A8">
              <w:rPr>
                <w:rFonts w:ascii="Times New Roman" w:eastAsia="TimesNewRoman,Bold" w:hAnsi="Times New Roman" w:cs="Times New Roman"/>
                <w:bCs/>
                <w:color w:val="000000" w:themeColor="text1"/>
                <w:sz w:val="20"/>
                <w:szCs w:val="20"/>
                <w:lang w:val="en-GB"/>
              </w:rPr>
              <w:t xml:space="preserve">: </w:t>
            </w: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r w:rsidRPr="00F14B75">
              <w:rPr>
                <w:rFonts w:ascii="Times New Roman" w:eastAsia="TimesNewRoman,Bold" w:hAnsi="Times New Roman" w:cs="Times New Roman"/>
                <w:bCs/>
                <w:color w:val="000000" w:themeColor="text1"/>
                <w:sz w:val="20"/>
                <w:szCs w:val="20"/>
              </w:rPr>
              <w:t>AUC</w:t>
            </w:r>
            <w:r w:rsidRPr="004155A8">
              <w:rPr>
                <w:rFonts w:ascii="Times New Roman" w:eastAsia="TimesNewRoman,Bold" w:hAnsi="Times New Roman" w:cs="Times New Roman"/>
                <w:bCs/>
                <w:color w:val="000000" w:themeColor="text1"/>
                <w:sz w:val="20"/>
                <w:szCs w:val="20"/>
                <w:lang w:val="en-GB"/>
              </w:rPr>
              <w:t xml:space="preserve">: ↑ 32% (↑ 25 </w:t>
            </w:r>
            <w:r w:rsidRPr="00F14B75">
              <w:rPr>
                <w:rFonts w:ascii="Times New Roman" w:eastAsia="TimesNewRoman,Bold" w:hAnsi="Times New Roman" w:cs="Times New Roman"/>
                <w:bCs/>
                <w:color w:val="000000" w:themeColor="text1"/>
                <w:sz w:val="20"/>
                <w:szCs w:val="20"/>
                <w:lang w:val="el-GR"/>
              </w:rPr>
              <w:t>έως</w:t>
            </w:r>
            <w:r w:rsidRPr="004155A8">
              <w:rPr>
                <w:rFonts w:ascii="Times New Roman" w:eastAsia="TimesNewRoman,Bold" w:hAnsi="Times New Roman" w:cs="Times New Roman"/>
                <w:bCs/>
                <w:color w:val="000000" w:themeColor="text1"/>
                <w:sz w:val="20"/>
                <w:szCs w:val="20"/>
                <w:lang w:val="en-GB"/>
              </w:rPr>
              <w:t xml:space="preserve"> ↑ 38) </w:t>
            </w: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r w:rsidRPr="00F14B75">
              <w:rPr>
                <w:rFonts w:ascii="Times New Roman" w:eastAsia="TimesNewRoman,Bold" w:hAnsi="Times New Roman" w:cs="Times New Roman"/>
                <w:bCs/>
                <w:color w:val="000000" w:themeColor="text1"/>
                <w:sz w:val="20"/>
                <w:szCs w:val="20"/>
              </w:rPr>
              <w:t>C</w:t>
            </w:r>
            <w:r w:rsidRPr="00F14B75">
              <w:rPr>
                <w:rFonts w:ascii="Times New Roman" w:eastAsia="TimesNewRoman,Bold" w:hAnsi="Times New Roman" w:cs="Times New Roman"/>
                <w:bCs/>
                <w:color w:val="000000" w:themeColor="text1"/>
                <w:sz w:val="20"/>
                <w:szCs w:val="20"/>
                <w:vertAlign w:val="subscript"/>
              </w:rPr>
              <w:t>max</w:t>
            </w:r>
            <w:r w:rsidRPr="004155A8">
              <w:rPr>
                <w:rFonts w:ascii="Times New Roman" w:eastAsia="TimesNewRoman,Bold" w:hAnsi="Times New Roman" w:cs="Times New Roman"/>
                <w:bCs/>
                <w:color w:val="000000" w:themeColor="text1"/>
                <w:sz w:val="20"/>
                <w:szCs w:val="20"/>
                <w:lang w:val="en-GB"/>
              </w:rPr>
              <w:t>: ↔</w:t>
            </w: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r w:rsidRPr="00F14B75">
              <w:rPr>
                <w:rFonts w:ascii="Times New Roman" w:eastAsia="TimesNewRoman,Bold" w:hAnsi="Times New Roman" w:cs="Times New Roman"/>
                <w:bCs/>
                <w:color w:val="000000" w:themeColor="text1"/>
                <w:sz w:val="20"/>
                <w:szCs w:val="20"/>
              </w:rPr>
              <w:t>C</w:t>
            </w:r>
            <w:r w:rsidRPr="00F14B75">
              <w:rPr>
                <w:rFonts w:ascii="Times New Roman" w:eastAsia="TimesNewRoman,Bold" w:hAnsi="Times New Roman" w:cs="Times New Roman"/>
                <w:bCs/>
                <w:color w:val="000000" w:themeColor="text1"/>
                <w:sz w:val="20"/>
                <w:szCs w:val="20"/>
                <w:vertAlign w:val="subscript"/>
              </w:rPr>
              <w:t>min</w:t>
            </w:r>
            <w:r w:rsidRPr="004155A8">
              <w:rPr>
                <w:rFonts w:ascii="Times New Roman" w:eastAsia="TimesNewRoman,Bold" w:hAnsi="Times New Roman" w:cs="Times New Roman"/>
                <w:bCs/>
                <w:color w:val="000000" w:themeColor="text1"/>
                <w:sz w:val="20"/>
                <w:szCs w:val="20"/>
                <w:lang w:val="en-GB"/>
              </w:rPr>
              <w:t xml:space="preserve">: ↑ 51% (↑ 37 </w:t>
            </w:r>
            <w:r w:rsidRPr="00F14B75">
              <w:rPr>
                <w:rFonts w:ascii="Times New Roman" w:eastAsia="TimesNewRoman,Bold" w:hAnsi="Times New Roman" w:cs="Times New Roman"/>
                <w:bCs/>
                <w:color w:val="000000" w:themeColor="text1"/>
                <w:sz w:val="20"/>
                <w:szCs w:val="20"/>
                <w:lang w:val="el-GR"/>
              </w:rPr>
              <w:t>έως</w:t>
            </w:r>
            <w:r w:rsidRPr="004155A8">
              <w:rPr>
                <w:rFonts w:ascii="Times New Roman" w:eastAsia="TimesNewRoman,Bold" w:hAnsi="Times New Roman" w:cs="Times New Roman"/>
                <w:bCs/>
                <w:color w:val="000000" w:themeColor="text1"/>
                <w:sz w:val="20"/>
                <w:szCs w:val="20"/>
                <w:lang w:val="en-GB"/>
              </w:rPr>
              <w:t xml:space="preserve"> ↑ 66)</w:t>
            </w: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p>
          <w:p w:rsidR="00F36DB7" w:rsidRPr="004155A8"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n-GB"/>
              </w:rPr>
            </w:pPr>
          </w:p>
        </w:tc>
        <w:tc>
          <w:tcPr>
            <w:tcW w:w="2700" w:type="dxa"/>
            <w:vMerge w:val="restart"/>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rPr>
            </w:pPr>
            <w:r w:rsidRPr="00F14B75">
              <w:rPr>
                <w:rFonts w:ascii="Times New Roman" w:eastAsia="TimesNewRoman,Bold" w:hAnsi="Times New Roman" w:cs="Times New Roman"/>
                <w:bCs/>
                <w:color w:val="000000" w:themeColor="text1"/>
                <w:sz w:val="20"/>
                <w:szCs w:val="20"/>
                <w:lang w:val="el-GR"/>
              </w:rPr>
              <w:t xml:space="preserve">Δεν συνιστάται αναπροσαρμογή της δόσης. Η αυξημένη έκθεση της τενοφοβίρης θα μπορούσε να ενισχύσει τις σχετιζόμενες με τη τενοφοβίρη ανεπιθύμητες ενέργειες συμπεριλαμβανομένων και των νεφρικών διαταραχών. </w:t>
            </w:r>
            <w:r w:rsidRPr="00F14B75">
              <w:rPr>
                <w:rFonts w:ascii="Times New Roman" w:eastAsia="TimesNewRoman,Bold" w:hAnsi="Times New Roman" w:cs="Times New Roman"/>
                <w:bCs/>
                <w:color w:val="000000" w:themeColor="text1"/>
                <w:sz w:val="20"/>
                <w:szCs w:val="20"/>
              </w:rPr>
              <w:t>Η νεφρική λειτουργία πρέπει να παρακολουθείται στενά (βλ. παράγραφο 4.4).</w:t>
            </w:r>
          </w:p>
        </w:tc>
      </w:tr>
      <w:tr w:rsidR="00F36DB7" w:rsidRPr="00EB273D" w:rsidTr="00F36DB7">
        <w:tc>
          <w:tcPr>
            <w:tcW w:w="3652" w:type="dxa"/>
          </w:tcPr>
          <w:p w:rsidR="00F36DB7" w:rsidRPr="00F14B75" w:rsidRDefault="00C36768" w:rsidP="008167C4">
            <w:pPr>
              <w:autoSpaceDE w:val="0"/>
              <w:autoSpaceDN w:val="0"/>
              <w:adjustRightInd w:val="0"/>
              <w:rPr>
                <w:rFonts w:ascii="Times New Roman" w:eastAsia="TimesNewRoman,Bold" w:hAnsi="Times New Roman" w:cs="Times New Roman"/>
                <w:bCs/>
                <w:color w:val="000000" w:themeColor="text1"/>
                <w:sz w:val="20"/>
                <w:szCs w:val="20"/>
                <w:lang w:val="en-GB"/>
              </w:rPr>
            </w:pPr>
            <w:r w:rsidRPr="00C36768">
              <w:rPr>
                <w:rFonts w:ascii="Times New Roman" w:eastAsia="TimesNewRoman,Bold" w:hAnsi="Times New Roman" w:cs="Times New Roman"/>
                <w:bCs/>
                <w:color w:val="000000" w:themeColor="text1"/>
                <w:sz w:val="20"/>
                <w:szCs w:val="20"/>
              </w:rPr>
              <w:t>Λοπιναβίρη/Ριτοναβίρη/Εμτρισιταβίνη</w:t>
            </w:r>
          </w:p>
        </w:tc>
        <w:tc>
          <w:tcPr>
            <w:tcW w:w="2410" w:type="dxa"/>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F14B75">
              <w:rPr>
                <w:rFonts w:ascii="Times New Roman" w:eastAsia="TimesNewRoman,Bold" w:hAnsi="Times New Roman" w:cs="Times New Roman"/>
                <w:bCs/>
                <w:color w:val="000000" w:themeColor="text1"/>
                <w:sz w:val="20"/>
                <w:szCs w:val="20"/>
                <w:lang w:val="el-GR"/>
              </w:rPr>
              <w:t>Η αλληλεπίδραση δεν έχει μελετηθεί.</w:t>
            </w:r>
          </w:p>
        </w:tc>
        <w:tc>
          <w:tcPr>
            <w:tcW w:w="2700" w:type="dxa"/>
            <w:vMerge/>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tc>
      </w:tr>
      <w:tr w:rsidR="00F36DB7" w:rsidRPr="00F14B75" w:rsidTr="008167C4">
        <w:tc>
          <w:tcPr>
            <w:tcW w:w="8762" w:type="dxa"/>
            <w:gridSpan w:val="3"/>
          </w:tcPr>
          <w:p w:rsidR="00F36DB7" w:rsidRPr="003B2F63" w:rsidRDefault="00F36DB7" w:rsidP="008167C4">
            <w:pPr>
              <w:autoSpaceDE w:val="0"/>
              <w:autoSpaceDN w:val="0"/>
              <w:adjustRightInd w:val="0"/>
              <w:rPr>
                <w:rFonts w:ascii="Times New Roman" w:eastAsia="TimesNewRoman,Bold" w:hAnsi="Times New Roman" w:cs="Times New Roman"/>
                <w:b/>
                <w:bCs/>
                <w:color w:val="000000" w:themeColor="text1"/>
                <w:sz w:val="20"/>
                <w:szCs w:val="20"/>
                <w:lang w:val="en-GB"/>
              </w:rPr>
            </w:pPr>
            <w:r w:rsidRPr="003B2F63">
              <w:rPr>
                <w:rFonts w:ascii="Times New Roman" w:eastAsia="TimesNewRoman,Bold" w:hAnsi="Times New Roman" w:cs="Times New Roman"/>
                <w:b/>
                <w:bCs/>
                <w:color w:val="000000" w:themeColor="text1"/>
                <w:sz w:val="20"/>
                <w:szCs w:val="20"/>
                <w:lang w:val="en-GB"/>
              </w:rPr>
              <w:t>NRTIs</w:t>
            </w:r>
          </w:p>
        </w:tc>
      </w:tr>
      <w:tr w:rsidR="00F36DB7" w:rsidRPr="00EB273D" w:rsidTr="00F36DB7">
        <w:tc>
          <w:tcPr>
            <w:tcW w:w="3652" w:type="dxa"/>
          </w:tcPr>
          <w:p w:rsidR="00F36DB7" w:rsidRPr="00C36768" w:rsidRDefault="00C36768"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C36768">
              <w:rPr>
                <w:rFonts w:ascii="Times New Roman" w:hAnsi="Times New Roman" w:cs="Times New Roman"/>
              </w:rPr>
              <w:t>Διδανοσίνη/Τενοφοβίρη δισοπρόξιλη</w:t>
            </w:r>
          </w:p>
        </w:tc>
        <w:tc>
          <w:tcPr>
            <w:tcW w:w="2410" w:type="dxa"/>
          </w:tcPr>
          <w:p w:rsidR="00F36DB7" w:rsidRPr="00C36768" w:rsidRDefault="00F36DB7" w:rsidP="00C36768">
            <w:pPr>
              <w:autoSpaceDE w:val="0"/>
              <w:autoSpaceDN w:val="0"/>
              <w:adjustRightInd w:val="0"/>
              <w:rPr>
                <w:rFonts w:ascii="Times New Roman" w:eastAsia="TimesNewRoman,Bold" w:hAnsi="Times New Roman" w:cs="Times New Roman"/>
                <w:bCs/>
                <w:color w:val="000000" w:themeColor="text1"/>
                <w:sz w:val="20"/>
                <w:szCs w:val="20"/>
                <w:lang w:val="el-GR"/>
              </w:rPr>
            </w:pPr>
            <w:r w:rsidRPr="00C36768">
              <w:rPr>
                <w:rFonts w:ascii="Times New Roman" w:eastAsia="TimesNewRoman,Bold" w:hAnsi="Times New Roman" w:cs="Times New Roman"/>
                <w:bCs/>
                <w:color w:val="000000" w:themeColor="text1"/>
                <w:sz w:val="20"/>
                <w:szCs w:val="20"/>
                <w:lang w:val="el-GR"/>
              </w:rPr>
              <w:t xml:space="preserve">Η συγχορήγηση τενοφοβίρης δισοπρόξιλης με </w:t>
            </w:r>
            <w:r w:rsidR="00C36768" w:rsidRPr="00C36768">
              <w:rPr>
                <w:rFonts w:ascii="Times New Roman" w:hAnsi="Times New Roman" w:cs="Times New Roman"/>
                <w:lang w:val="el-GR"/>
              </w:rPr>
              <w:t>διδανοσίνη</w:t>
            </w:r>
            <w:r w:rsidR="00C36768" w:rsidRPr="00C36768">
              <w:rPr>
                <w:rFonts w:ascii="Times New Roman" w:eastAsia="TimesNewRoman,Bold" w:hAnsi="Times New Roman" w:cs="Times New Roman"/>
                <w:bCs/>
                <w:color w:val="000000" w:themeColor="text1"/>
                <w:sz w:val="20"/>
                <w:szCs w:val="20"/>
                <w:lang w:val="el-GR"/>
              </w:rPr>
              <w:t xml:space="preserve"> </w:t>
            </w:r>
            <w:r w:rsidRPr="00C36768">
              <w:rPr>
                <w:rFonts w:ascii="Times New Roman" w:eastAsia="TimesNewRoman,Bold" w:hAnsi="Times New Roman" w:cs="Times New Roman"/>
                <w:bCs/>
                <w:color w:val="000000" w:themeColor="text1"/>
                <w:sz w:val="20"/>
                <w:szCs w:val="20"/>
                <w:lang w:val="el-GR"/>
              </w:rPr>
              <w:t>οδηγεί σε κατά 40-60% αυξημένη συστηματική έκθεση στ</w:t>
            </w:r>
            <w:r w:rsidR="00C36768" w:rsidRPr="00C36768">
              <w:rPr>
                <w:rFonts w:ascii="Times New Roman" w:eastAsia="TimesNewRoman,Bold" w:hAnsi="Times New Roman" w:cs="Times New Roman"/>
                <w:bCs/>
                <w:color w:val="000000" w:themeColor="text1"/>
                <w:sz w:val="20"/>
                <w:szCs w:val="20"/>
                <w:lang w:val="el-GR"/>
              </w:rPr>
              <w:t>η</w:t>
            </w:r>
            <w:r w:rsidR="00C36768" w:rsidRPr="00C36768">
              <w:rPr>
                <w:rFonts w:ascii="Times New Roman" w:hAnsi="Times New Roman" w:cs="Times New Roman"/>
                <w:lang w:val="el-GR"/>
              </w:rPr>
              <w:t xml:space="preserve"> διδανοσίνη</w:t>
            </w:r>
            <w:r w:rsidRPr="00C36768">
              <w:rPr>
                <w:rFonts w:ascii="Times New Roman" w:eastAsia="TimesNewRoman,Bold" w:hAnsi="Times New Roman" w:cs="Times New Roman"/>
                <w:bCs/>
                <w:color w:val="000000" w:themeColor="text1"/>
                <w:sz w:val="20"/>
                <w:szCs w:val="20"/>
                <w:lang w:val="el-GR"/>
              </w:rPr>
              <w:t xml:space="preserve">, που μπορεί να αυξήσει τον κίνδυνο ανεπιθύμητων ενεργειών συσχετιζόμενων με τη </w:t>
            </w:r>
            <w:r w:rsidR="00C36768" w:rsidRPr="00C36768">
              <w:rPr>
                <w:rFonts w:ascii="Times New Roman" w:hAnsi="Times New Roman" w:cs="Times New Roman"/>
                <w:lang w:val="el-GR"/>
              </w:rPr>
              <w:t>διδανοσίνη</w:t>
            </w:r>
            <w:r w:rsidRPr="00C36768">
              <w:rPr>
                <w:rFonts w:ascii="Times New Roman" w:eastAsia="TimesNewRoman,Bold" w:hAnsi="Times New Roman" w:cs="Times New Roman"/>
                <w:bCs/>
                <w:color w:val="000000" w:themeColor="text1"/>
                <w:sz w:val="20"/>
                <w:szCs w:val="20"/>
                <w:lang w:val="el-GR"/>
              </w:rPr>
              <w:t xml:space="preserve">. Σπάνια, έχουν αναφερθεί παγκρεατίτιδα και γαλακτική οξέωση, ενίοτε μοιραία. Η συγχορήγηση της τενοφοβίρης δισοπρόξιλη με </w:t>
            </w:r>
            <w:r w:rsidR="00C36768" w:rsidRPr="00C36768">
              <w:rPr>
                <w:rFonts w:ascii="Times New Roman" w:hAnsi="Times New Roman" w:cs="Times New Roman"/>
                <w:lang w:val="el-GR"/>
              </w:rPr>
              <w:lastRenderedPageBreak/>
              <w:t>διδανοσίνη</w:t>
            </w:r>
            <w:r w:rsidRPr="00C36768">
              <w:rPr>
                <w:rFonts w:ascii="Times New Roman" w:eastAsia="TimesNewRoman,Bold" w:hAnsi="Times New Roman" w:cs="Times New Roman"/>
                <w:bCs/>
                <w:color w:val="000000" w:themeColor="text1"/>
                <w:sz w:val="20"/>
                <w:szCs w:val="20"/>
                <w:lang w:val="el-GR"/>
              </w:rPr>
              <w:t xml:space="preserve"> σε δόση 400 </w:t>
            </w:r>
            <w:r w:rsidRPr="00C36768">
              <w:rPr>
                <w:rFonts w:ascii="Times New Roman" w:eastAsia="TimesNewRoman,Bold" w:hAnsi="Times New Roman" w:cs="Times New Roman"/>
                <w:bCs/>
                <w:color w:val="000000" w:themeColor="text1"/>
                <w:sz w:val="20"/>
                <w:szCs w:val="20"/>
                <w:lang w:val="en-GB"/>
              </w:rPr>
              <w:t>mg</w:t>
            </w:r>
            <w:r w:rsidRPr="00C36768">
              <w:rPr>
                <w:rFonts w:ascii="Times New Roman" w:eastAsia="TimesNewRoman,Bold" w:hAnsi="Times New Roman" w:cs="Times New Roman"/>
                <w:bCs/>
                <w:color w:val="000000" w:themeColor="text1"/>
                <w:sz w:val="20"/>
                <w:szCs w:val="20"/>
                <w:lang w:val="el-GR"/>
              </w:rPr>
              <w:t xml:space="preserve"> ημερησίως συσχετίστηκε με σημαντική μείωση του αριθμού κυττάρων </w:t>
            </w:r>
            <w:r w:rsidRPr="00C36768">
              <w:rPr>
                <w:rFonts w:ascii="Times New Roman" w:eastAsia="TimesNewRoman,Bold" w:hAnsi="Times New Roman" w:cs="Times New Roman"/>
                <w:bCs/>
                <w:color w:val="000000" w:themeColor="text1"/>
                <w:sz w:val="20"/>
                <w:szCs w:val="20"/>
                <w:lang w:val="en-GB"/>
              </w:rPr>
              <w:t>CD</w:t>
            </w:r>
            <w:r w:rsidRPr="00C36768">
              <w:rPr>
                <w:rFonts w:ascii="Times New Roman" w:eastAsia="TimesNewRoman,Bold" w:hAnsi="Times New Roman" w:cs="Times New Roman"/>
                <w:bCs/>
                <w:color w:val="000000" w:themeColor="text1"/>
                <w:sz w:val="20"/>
                <w:szCs w:val="20"/>
                <w:lang w:val="el-GR"/>
              </w:rPr>
              <w:t xml:space="preserve">4, πιθανώς λόγω ενδοκυττάριας αλληλεπίδρασης εξ αιτίας της οποίας αυξήθηκε το φωσφορυλιωμένο (δηλ. η δραστική) </w:t>
            </w:r>
            <w:r w:rsidR="00C36768" w:rsidRPr="00C36768">
              <w:rPr>
                <w:rFonts w:ascii="Times New Roman" w:hAnsi="Times New Roman" w:cs="Times New Roman"/>
                <w:lang w:val="el-GR"/>
              </w:rPr>
              <w:t>διδανοσίνη</w:t>
            </w:r>
            <w:r w:rsidRPr="00C36768">
              <w:rPr>
                <w:rFonts w:ascii="Times New Roman" w:eastAsia="TimesNewRoman,Bold" w:hAnsi="Times New Roman" w:cs="Times New Roman"/>
                <w:bCs/>
                <w:color w:val="000000" w:themeColor="text1"/>
                <w:sz w:val="20"/>
                <w:szCs w:val="20"/>
                <w:lang w:val="el-GR"/>
              </w:rPr>
              <w:t xml:space="preserve">. Μια μειωμένη δόση των 250 </w:t>
            </w:r>
            <w:r w:rsidRPr="00C36768">
              <w:rPr>
                <w:rFonts w:ascii="Times New Roman" w:eastAsia="TimesNewRoman,Bold" w:hAnsi="Times New Roman" w:cs="Times New Roman"/>
                <w:bCs/>
                <w:color w:val="000000" w:themeColor="text1"/>
                <w:sz w:val="20"/>
                <w:szCs w:val="20"/>
                <w:lang w:val="en-GB"/>
              </w:rPr>
              <w:t>mg</w:t>
            </w:r>
            <w:r w:rsidRPr="00C36768">
              <w:rPr>
                <w:rFonts w:ascii="Times New Roman" w:eastAsia="TimesNewRoman,Bold" w:hAnsi="Times New Roman" w:cs="Times New Roman"/>
                <w:bCs/>
                <w:color w:val="000000" w:themeColor="text1"/>
                <w:sz w:val="20"/>
                <w:szCs w:val="20"/>
                <w:lang w:val="el-GR"/>
              </w:rPr>
              <w:t xml:space="preserve"> </w:t>
            </w:r>
            <w:r w:rsidR="00C36768" w:rsidRPr="00C36768">
              <w:rPr>
                <w:rFonts w:ascii="Times New Roman" w:hAnsi="Times New Roman" w:cs="Times New Roman"/>
                <w:lang w:val="el-GR"/>
              </w:rPr>
              <w:t>διδανοσίνη</w:t>
            </w:r>
            <w:r w:rsidRPr="00C36768">
              <w:rPr>
                <w:rFonts w:ascii="Times New Roman" w:eastAsia="TimesNewRoman,Bold" w:hAnsi="Times New Roman" w:cs="Times New Roman"/>
                <w:bCs/>
                <w:color w:val="000000" w:themeColor="text1"/>
                <w:sz w:val="20"/>
                <w:szCs w:val="20"/>
                <w:lang w:val="el-GR"/>
              </w:rPr>
              <w:t xml:space="preserve"> συγχορηγούμενης με θεραπεία τενοφοβίρης δισοπρόξιλης συσχετίστηκε με αναφορές υψηλού ποσοστού ιολογικής αποτυχίας με τους διάφορους συνδυασμούς που δοκιμάστηκαν για τη θεραπεία της λοίμωξης από τον ιό </w:t>
            </w:r>
            <w:r w:rsidRPr="00C36768">
              <w:rPr>
                <w:rFonts w:ascii="Times New Roman" w:eastAsia="TimesNewRoman,Bold" w:hAnsi="Times New Roman" w:cs="Times New Roman"/>
                <w:bCs/>
                <w:color w:val="000000" w:themeColor="text1"/>
                <w:sz w:val="20"/>
                <w:szCs w:val="20"/>
                <w:lang w:val="en-GB"/>
              </w:rPr>
              <w:t>HIV</w:t>
            </w:r>
            <w:r w:rsidRPr="00C36768">
              <w:rPr>
                <w:rFonts w:ascii="Times New Roman" w:eastAsia="TimesNewRoman,Bold" w:hAnsi="Times New Roman" w:cs="Times New Roman"/>
                <w:bCs/>
                <w:color w:val="000000" w:themeColor="text1"/>
                <w:sz w:val="20"/>
                <w:szCs w:val="20"/>
                <w:lang w:val="el-GR"/>
              </w:rPr>
              <w:t>-1.</w:t>
            </w:r>
          </w:p>
        </w:tc>
        <w:tc>
          <w:tcPr>
            <w:tcW w:w="2700" w:type="dxa"/>
          </w:tcPr>
          <w:p w:rsidR="00F36DB7" w:rsidRPr="00C36768" w:rsidRDefault="00F36DB7" w:rsidP="00A55267">
            <w:pPr>
              <w:autoSpaceDE w:val="0"/>
              <w:autoSpaceDN w:val="0"/>
              <w:adjustRightInd w:val="0"/>
              <w:rPr>
                <w:rFonts w:ascii="Times New Roman" w:eastAsia="TimesNewRoman,Bold" w:hAnsi="Times New Roman" w:cs="Times New Roman"/>
                <w:bCs/>
                <w:color w:val="000000" w:themeColor="text1"/>
                <w:sz w:val="20"/>
                <w:szCs w:val="20"/>
                <w:lang w:val="el-GR"/>
              </w:rPr>
            </w:pPr>
            <w:r w:rsidRPr="00C36768">
              <w:rPr>
                <w:rFonts w:ascii="Times New Roman" w:eastAsia="TimesNewRoman,Bold" w:hAnsi="Times New Roman" w:cs="Times New Roman"/>
                <w:bCs/>
                <w:color w:val="000000" w:themeColor="text1"/>
                <w:sz w:val="20"/>
                <w:szCs w:val="20"/>
                <w:lang w:val="el-GR"/>
              </w:rPr>
              <w:lastRenderedPageBreak/>
              <w:t xml:space="preserve">Η συγχορήγηση της </w:t>
            </w:r>
            <w:r w:rsidRPr="00C36768">
              <w:rPr>
                <w:rFonts w:ascii="Times New Roman" w:hAnsi="Times New Roman" w:cs="Times New Roman"/>
                <w:color w:val="000000" w:themeColor="text1"/>
                <w:sz w:val="20"/>
                <w:szCs w:val="20"/>
                <w:lang w:val="el-GR"/>
              </w:rPr>
              <w:t>εμτρισιταβίνης και τενοφοβίρης δισοπρόξιλης</w:t>
            </w:r>
            <w:r w:rsidRPr="00C36768">
              <w:rPr>
                <w:rFonts w:ascii="Times New Roman" w:eastAsia="TimesNewRoman,Bold" w:hAnsi="Times New Roman" w:cs="Times New Roman"/>
                <w:bCs/>
                <w:color w:val="000000" w:themeColor="text1"/>
                <w:sz w:val="20"/>
                <w:szCs w:val="20"/>
                <w:lang w:val="el-GR"/>
              </w:rPr>
              <w:t xml:space="preserve"> με </w:t>
            </w:r>
            <w:r w:rsidR="00C36768" w:rsidRPr="00C36768">
              <w:rPr>
                <w:rFonts w:ascii="Times New Roman" w:hAnsi="Times New Roman" w:cs="Times New Roman"/>
                <w:lang w:val="el-GR"/>
              </w:rPr>
              <w:t>διδανοσίνη</w:t>
            </w:r>
            <w:r w:rsidRPr="00C36768">
              <w:rPr>
                <w:rFonts w:ascii="Times New Roman" w:eastAsia="TimesNewRoman,Bold" w:hAnsi="Times New Roman" w:cs="Times New Roman"/>
                <w:bCs/>
                <w:color w:val="000000" w:themeColor="text1"/>
                <w:sz w:val="20"/>
                <w:szCs w:val="20"/>
                <w:lang w:val="el-GR"/>
              </w:rPr>
              <w:t xml:space="preserve"> δεν συνιστάται (βλ. παράγραφο 4.4).</w:t>
            </w:r>
          </w:p>
        </w:tc>
      </w:tr>
      <w:tr w:rsidR="00F36DB7" w:rsidRPr="00EB273D" w:rsidTr="00F36DB7">
        <w:tc>
          <w:tcPr>
            <w:tcW w:w="3652" w:type="dxa"/>
          </w:tcPr>
          <w:p w:rsidR="00F36DB7" w:rsidRPr="00C36768" w:rsidRDefault="00C36768" w:rsidP="008167C4">
            <w:pPr>
              <w:autoSpaceDE w:val="0"/>
              <w:autoSpaceDN w:val="0"/>
              <w:adjustRightInd w:val="0"/>
              <w:rPr>
                <w:rFonts w:ascii="Times New Roman" w:eastAsia="TimesNewRoman,Bold" w:hAnsi="Times New Roman" w:cs="Times New Roman"/>
                <w:bCs/>
                <w:color w:val="000000" w:themeColor="text1"/>
                <w:sz w:val="20"/>
                <w:szCs w:val="20"/>
              </w:rPr>
            </w:pPr>
            <w:r w:rsidRPr="00C36768">
              <w:rPr>
                <w:rFonts w:ascii="Times New Roman" w:hAnsi="Times New Roman" w:cs="Times New Roman"/>
              </w:rPr>
              <w:lastRenderedPageBreak/>
              <w:t>Διδανοσίνη/Εμτρισιταβίνη</w:t>
            </w:r>
          </w:p>
        </w:tc>
        <w:tc>
          <w:tcPr>
            <w:tcW w:w="2410" w:type="dxa"/>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r w:rsidRPr="00F14B75">
              <w:rPr>
                <w:rFonts w:ascii="Times New Roman" w:eastAsia="TimesNewRoman,Bold" w:hAnsi="Times New Roman" w:cs="Times New Roman"/>
                <w:bCs/>
                <w:color w:val="000000" w:themeColor="text1"/>
                <w:sz w:val="20"/>
                <w:szCs w:val="20"/>
                <w:lang w:val="el-GR"/>
              </w:rPr>
              <w:t>Η αλληλεπίδραση δεν έχει μελετηθεί.</w:t>
            </w:r>
          </w:p>
        </w:tc>
        <w:tc>
          <w:tcPr>
            <w:tcW w:w="2700" w:type="dxa"/>
          </w:tcPr>
          <w:p w:rsidR="00F36DB7" w:rsidRPr="00F14B75" w:rsidRDefault="00F36DB7" w:rsidP="008167C4">
            <w:pPr>
              <w:autoSpaceDE w:val="0"/>
              <w:autoSpaceDN w:val="0"/>
              <w:adjustRightInd w:val="0"/>
              <w:rPr>
                <w:rFonts w:ascii="Times New Roman" w:eastAsia="TimesNewRoman,Bold" w:hAnsi="Times New Roman" w:cs="Times New Roman"/>
                <w:bCs/>
                <w:color w:val="000000" w:themeColor="text1"/>
                <w:sz w:val="20"/>
                <w:szCs w:val="20"/>
                <w:lang w:val="el-GR"/>
              </w:rPr>
            </w:pPr>
          </w:p>
        </w:tc>
      </w:tr>
    </w:tbl>
    <w:p w:rsidR="003A43C7" w:rsidRPr="005A400F" w:rsidRDefault="003A43C7" w:rsidP="009E32D3">
      <w:pPr>
        <w:pStyle w:val="1"/>
        <w:spacing w:line="244" w:lineRule="auto"/>
        <w:ind w:left="0" w:right="14"/>
        <w:rPr>
          <w:color w:val="FF0000"/>
          <w:lang w:val="el-GR"/>
        </w:rPr>
      </w:pPr>
    </w:p>
    <w:p w:rsidR="00ED1DDD" w:rsidRPr="00E0368D" w:rsidRDefault="00ED1DDD" w:rsidP="009E32D3">
      <w:pPr>
        <w:pStyle w:val="a3"/>
        <w:spacing w:before="72"/>
        <w:ind w:left="0"/>
        <w:jc w:val="both"/>
        <w:rPr>
          <w:color w:val="000000" w:themeColor="text1"/>
          <w:lang w:val="el-GR"/>
        </w:rPr>
      </w:pPr>
      <w:r w:rsidRPr="00E0368D">
        <w:rPr>
          <w:color w:val="000000" w:themeColor="text1"/>
          <w:u w:val="single" w:color="000000"/>
          <w:lang w:val="el-GR"/>
        </w:rPr>
        <w:t>Μελέτες πουν διενεργήθηκαν με άλλα φαρμακευτικα προϊόντα</w:t>
      </w:r>
    </w:p>
    <w:p w:rsidR="00645378" w:rsidRPr="009E32D3" w:rsidRDefault="00DF0976" w:rsidP="009E32D3">
      <w:pPr>
        <w:pStyle w:val="a3"/>
        <w:spacing w:before="6" w:line="244" w:lineRule="auto"/>
        <w:ind w:left="0"/>
        <w:jc w:val="both"/>
        <w:rPr>
          <w:lang w:val="el-GR"/>
        </w:rPr>
      </w:pPr>
      <w:r>
        <w:rPr>
          <w:i/>
          <w:lang w:val="el-GR"/>
        </w:rPr>
        <w:t>Εμτρισιταβίνη</w:t>
      </w:r>
      <w:r w:rsidR="007134E2" w:rsidRPr="009E32D3">
        <w:rPr>
          <w:i/>
          <w:lang w:val="el-GR"/>
        </w:rPr>
        <w:t xml:space="preserve">: </w:t>
      </w:r>
      <w:r w:rsidR="007134E2">
        <w:rPr>
          <w:i/>
        </w:rPr>
        <w:t>In</w:t>
      </w:r>
      <w:r w:rsidR="007134E2" w:rsidRPr="009E32D3">
        <w:rPr>
          <w:i/>
          <w:lang w:val="el-GR"/>
        </w:rPr>
        <w:t xml:space="preserve"> </w:t>
      </w:r>
      <w:r w:rsidR="007134E2">
        <w:rPr>
          <w:i/>
        </w:rPr>
        <w:t>vitro</w:t>
      </w:r>
      <w:r w:rsidR="007134E2" w:rsidRPr="009E32D3">
        <w:rPr>
          <w:i/>
          <w:lang w:val="el-GR"/>
        </w:rPr>
        <w:t xml:space="preserve">, </w:t>
      </w:r>
      <w:r w:rsidR="007134E2" w:rsidRPr="009E32D3">
        <w:rPr>
          <w:lang w:val="el-GR"/>
        </w:rPr>
        <w:t xml:space="preserve">η </w:t>
      </w:r>
      <w:r>
        <w:rPr>
          <w:lang w:val="el-GR"/>
        </w:rPr>
        <w:t>εμτρισιταβίνη</w:t>
      </w:r>
      <w:r w:rsidR="007134E2" w:rsidRPr="009E32D3">
        <w:rPr>
          <w:lang w:val="el-GR"/>
        </w:rPr>
        <w:t xml:space="preserve"> δεν αναστέλλει το μεταβολισμό φαρμάκων που</w:t>
      </w:r>
      <w:r w:rsidR="007134E2" w:rsidRPr="009E32D3">
        <w:rPr>
          <w:spacing w:val="21"/>
          <w:lang w:val="el-GR"/>
        </w:rPr>
        <w:t xml:space="preserve"> </w:t>
      </w:r>
      <w:r w:rsidR="007134E2" w:rsidRPr="009E32D3">
        <w:rPr>
          <w:lang w:val="el-GR"/>
        </w:rPr>
        <w:t xml:space="preserve">διενεργείται μέσω κάποιας από τις ακόλουθες ισομορφές του ανθρώπινου </w:t>
      </w:r>
      <w:r w:rsidR="007134E2">
        <w:t>CYP</w:t>
      </w:r>
      <w:r w:rsidR="007134E2" w:rsidRPr="009E32D3">
        <w:rPr>
          <w:lang w:val="el-GR"/>
        </w:rPr>
        <w:t>450: 1</w:t>
      </w:r>
      <w:r w:rsidR="007134E2">
        <w:t>A</w:t>
      </w:r>
      <w:r w:rsidR="007134E2" w:rsidRPr="009E32D3">
        <w:rPr>
          <w:lang w:val="el-GR"/>
        </w:rPr>
        <w:t>2, 2</w:t>
      </w:r>
      <w:r w:rsidR="007134E2">
        <w:t>A</w:t>
      </w:r>
      <w:r w:rsidR="007134E2" w:rsidRPr="009E32D3">
        <w:rPr>
          <w:lang w:val="el-GR"/>
        </w:rPr>
        <w:t>6, 2</w:t>
      </w:r>
      <w:r w:rsidR="007134E2">
        <w:t>B</w:t>
      </w:r>
      <w:r w:rsidR="007134E2" w:rsidRPr="009E32D3">
        <w:rPr>
          <w:lang w:val="el-GR"/>
        </w:rPr>
        <w:t>6, 2</w:t>
      </w:r>
      <w:r w:rsidR="007134E2">
        <w:t>C</w:t>
      </w:r>
      <w:r w:rsidR="007134E2" w:rsidRPr="009E32D3">
        <w:rPr>
          <w:lang w:val="el-GR"/>
        </w:rPr>
        <w:t>9,</w:t>
      </w:r>
      <w:r w:rsidR="007134E2" w:rsidRPr="009E32D3">
        <w:rPr>
          <w:spacing w:val="2"/>
          <w:lang w:val="el-GR"/>
        </w:rPr>
        <w:t xml:space="preserve"> </w:t>
      </w:r>
      <w:r w:rsidR="007134E2" w:rsidRPr="009E32D3">
        <w:rPr>
          <w:lang w:val="el-GR"/>
        </w:rPr>
        <w:t>2</w:t>
      </w:r>
      <w:r w:rsidR="007134E2">
        <w:t>C</w:t>
      </w:r>
      <w:r w:rsidR="007134E2" w:rsidRPr="009E32D3">
        <w:rPr>
          <w:lang w:val="el-GR"/>
        </w:rPr>
        <w:t>19, 2</w:t>
      </w:r>
      <w:r w:rsidR="007134E2">
        <w:t>D</w:t>
      </w:r>
      <w:r w:rsidR="007134E2" w:rsidRPr="009E32D3">
        <w:rPr>
          <w:lang w:val="el-GR"/>
        </w:rPr>
        <w:t>6 και 3</w:t>
      </w:r>
      <w:r w:rsidR="007134E2">
        <w:t>A</w:t>
      </w:r>
      <w:r w:rsidR="007134E2" w:rsidRPr="009E32D3">
        <w:rPr>
          <w:lang w:val="el-GR"/>
        </w:rPr>
        <w:t xml:space="preserve">4. Η </w:t>
      </w:r>
      <w:r>
        <w:rPr>
          <w:lang w:val="el-GR"/>
        </w:rPr>
        <w:t>εμτρισιταβίνη</w:t>
      </w:r>
      <w:r w:rsidR="007134E2" w:rsidRPr="009E32D3">
        <w:rPr>
          <w:lang w:val="el-GR"/>
        </w:rPr>
        <w:t xml:space="preserve"> δεν αναστέλλει το ένζυμο που ευθύνεται για τη</w:t>
      </w:r>
      <w:r w:rsidR="007134E2" w:rsidRPr="009E32D3">
        <w:rPr>
          <w:spacing w:val="16"/>
          <w:lang w:val="el-GR"/>
        </w:rPr>
        <w:t xml:space="preserve"> </w:t>
      </w:r>
      <w:r w:rsidR="007134E2" w:rsidRPr="009E32D3">
        <w:rPr>
          <w:lang w:val="el-GR"/>
        </w:rPr>
        <w:t>γλυκουρονιδίωση.</w:t>
      </w:r>
    </w:p>
    <w:p w:rsidR="00645378" w:rsidRPr="009E32D3" w:rsidRDefault="00645378" w:rsidP="009E32D3">
      <w:pPr>
        <w:spacing w:before="8"/>
        <w:rPr>
          <w:rFonts w:ascii="Times New Roman" w:eastAsia="Times New Roman" w:hAnsi="Times New Roman" w:cs="Times New Roman"/>
          <w:lang w:val="el-GR"/>
        </w:rPr>
      </w:pPr>
    </w:p>
    <w:p w:rsidR="00645378" w:rsidRPr="009E32D3" w:rsidRDefault="007134E2" w:rsidP="009E32D3">
      <w:pPr>
        <w:pStyle w:val="a3"/>
        <w:spacing w:line="244" w:lineRule="auto"/>
        <w:ind w:left="0"/>
        <w:rPr>
          <w:lang w:val="el-GR"/>
        </w:rPr>
      </w:pPr>
      <w:r w:rsidRPr="009E32D3">
        <w:rPr>
          <w:lang w:val="el-GR"/>
        </w:rPr>
        <w:t xml:space="preserve">Δεν υπάρχουν κλινικά σημαντικές φαρμακοκινητικές αλληλεπιδράσεις κατά τη συγχορήγηση της </w:t>
      </w:r>
      <w:r w:rsidR="00DF0976">
        <w:rPr>
          <w:lang w:val="el-GR"/>
        </w:rPr>
        <w:t>εμτρισιταβίνης</w:t>
      </w:r>
      <w:r w:rsidRPr="009E32D3">
        <w:rPr>
          <w:lang w:val="el-GR"/>
        </w:rPr>
        <w:t xml:space="preserve"> με </w:t>
      </w:r>
      <w:r w:rsidR="00A55267">
        <w:t>indinavir</w:t>
      </w:r>
      <w:r w:rsidRPr="009E32D3">
        <w:rPr>
          <w:lang w:val="el-GR"/>
        </w:rPr>
        <w:t xml:space="preserve">, </w:t>
      </w:r>
      <w:r w:rsidR="00A55267">
        <w:t>zidovudine</w:t>
      </w:r>
      <w:r w:rsidRPr="009E32D3">
        <w:rPr>
          <w:lang w:val="el-GR"/>
        </w:rPr>
        <w:t xml:space="preserve">, </w:t>
      </w:r>
      <w:r w:rsidR="00A55267">
        <w:t>stavudine</w:t>
      </w:r>
      <w:r w:rsidR="00A55267" w:rsidRPr="009E32D3">
        <w:rPr>
          <w:lang w:val="el-GR"/>
        </w:rPr>
        <w:t xml:space="preserve"> </w:t>
      </w:r>
      <w:r w:rsidRPr="009E32D3">
        <w:rPr>
          <w:lang w:val="el-GR"/>
        </w:rPr>
        <w:t>ή</w:t>
      </w:r>
      <w:r w:rsidRPr="009E32D3">
        <w:rPr>
          <w:spacing w:val="9"/>
          <w:lang w:val="el-GR"/>
        </w:rPr>
        <w:t xml:space="preserve"> </w:t>
      </w:r>
      <w:r w:rsidR="00A55267">
        <w:t>famciclovir</w:t>
      </w:r>
      <w:r w:rsidRPr="009E32D3">
        <w:rPr>
          <w:lang w:val="el-GR"/>
        </w:rPr>
        <w:t>.</w:t>
      </w:r>
    </w:p>
    <w:p w:rsidR="00645378" w:rsidRPr="009E32D3" w:rsidRDefault="00645378" w:rsidP="009E32D3">
      <w:pPr>
        <w:spacing w:before="8"/>
        <w:rPr>
          <w:rFonts w:ascii="Times New Roman" w:eastAsia="Times New Roman" w:hAnsi="Times New Roman" w:cs="Times New Roman"/>
          <w:lang w:val="el-GR"/>
        </w:rPr>
      </w:pPr>
    </w:p>
    <w:p w:rsidR="00C36768" w:rsidRPr="00C36768" w:rsidRDefault="00C36768" w:rsidP="00C36768">
      <w:pPr>
        <w:rPr>
          <w:rFonts w:ascii="Times New Roman" w:hAnsi="Times New Roman" w:cs="Times New Roman"/>
          <w:noProof/>
          <w:lang w:val="el-GR"/>
        </w:rPr>
      </w:pPr>
      <w:r w:rsidRPr="00C36768">
        <w:rPr>
          <w:rFonts w:ascii="Times New Roman" w:hAnsi="Times New Roman" w:cs="Times New Roman"/>
          <w:i/>
          <w:noProof/>
          <w:lang w:val="el-GR"/>
        </w:rPr>
        <w:t>Τενοφοβίρη δισοπρόξιλη:</w:t>
      </w:r>
      <w:r w:rsidRPr="00C36768">
        <w:rPr>
          <w:rFonts w:ascii="Times New Roman" w:hAnsi="Times New Roman" w:cs="Times New Roman"/>
          <w:noProof/>
          <w:lang w:val="el-GR"/>
        </w:rPr>
        <w:t xml:space="preserve"> Η συγχορήγηση των λαμιβουδίνης, ινδιναβίρης, εφαβιρένζης, νελφιναβίρης ή σακιναβίρης (ενισχυμένης με ριτοναβίρη), μεθαδόνης, ριμπαβιρίνης, ριφαμπικίνης, αδεφοβίρης διπιβοξίλης ή του ορμονικού αντισυλληπτικού νοργεστιμάτης/αιθυνυλοιστραδιόλης με </w:t>
      </w:r>
      <w:r w:rsidRPr="00C36768">
        <w:rPr>
          <w:rFonts w:ascii="Times New Roman" w:hAnsi="Times New Roman" w:cs="Times New Roman"/>
          <w:lang w:val="el-GR"/>
        </w:rPr>
        <w:t>την τενοφοβίρη δισοπρόξιλη</w:t>
      </w:r>
      <w:r w:rsidRPr="00C36768">
        <w:rPr>
          <w:rFonts w:ascii="Times New Roman" w:hAnsi="Times New Roman" w:cs="Times New Roman"/>
          <w:noProof/>
          <w:lang w:val="el-GR"/>
        </w:rPr>
        <w:t xml:space="preserve"> δεν κατέληξε σε καμία κλινικά σημαντική φαρμακοκινητική αλληλεπίδραση. </w:t>
      </w:r>
    </w:p>
    <w:p w:rsidR="00645378" w:rsidRPr="00C36768" w:rsidRDefault="00645378" w:rsidP="009E32D3">
      <w:pPr>
        <w:spacing w:before="8"/>
        <w:rPr>
          <w:rFonts w:ascii="Times New Roman" w:eastAsia="Times New Roman" w:hAnsi="Times New Roman" w:cs="Times New Roman"/>
          <w:lang w:val="el-GR"/>
        </w:rPr>
      </w:pPr>
    </w:p>
    <w:p w:rsidR="00645378" w:rsidRPr="00C36768" w:rsidRDefault="00E52D24" w:rsidP="009E32D3">
      <w:pPr>
        <w:pStyle w:val="a3"/>
        <w:spacing w:line="244" w:lineRule="auto"/>
        <w:ind w:left="0"/>
        <w:rPr>
          <w:rFonts w:cs="Times New Roman"/>
          <w:lang w:val="el-GR"/>
        </w:rPr>
      </w:pPr>
      <w:r w:rsidRPr="00C36768">
        <w:rPr>
          <w:rFonts w:cs="Times New Roman"/>
          <w:i/>
          <w:color w:val="000000" w:themeColor="text1"/>
          <w:lang w:val="el-GR"/>
        </w:rPr>
        <w:t>Ε</w:t>
      </w:r>
      <w:r w:rsidR="003A2A13" w:rsidRPr="00C36768">
        <w:rPr>
          <w:rFonts w:cs="Times New Roman"/>
          <w:i/>
          <w:color w:val="000000" w:themeColor="text1"/>
          <w:lang w:val="el-GR"/>
        </w:rPr>
        <w:t>μτρισιταβίνη</w:t>
      </w:r>
      <w:r w:rsidRPr="00C36768">
        <w:rPr>
          <w:rFonts w:cs="Times New Roman"/>
          <w:i/>
          <w:color w:val="000000" w:themeColor="text1"/>
          <w:lang w:val="el-GR"/>
        </w:rPr>
        <w:t xml:space="preserve"> και </w:t>
      </w:r>
      <w:r w:rsidR="003A2A13" w:rsidRPr="00C36768">
        <w:rPr>
          <w:rFonts w:cs="Times New Roman"/>
          <w:i/>
          <w:color w:val="000000" w:themeColor="text1"/>
          <w:lang w:val="el-GR"/>
        </w:rPr>
        <w:t>τενοφοβίρη δισοπρόξιλη</w:t>
      </w:r>
      <w:r w:rsidR="007134E2" w:rsidRPr="00C36768">
        <w:rPr>
          <w:rFonts w:cs="Times New Roman"/>
          <w:i/>
          <w:lang w:val="el-GR"/>
        </w:rPr>
        <w:t xml:space="preserve">: </w:t>
      </w:r>
      <w:r w:rsidR="00AB69CF" w:rsidRPr="00C36768">
        <w:rPr>
          <w:rFonts w:cs="Times New Roman"/>
          <w:lang w:val="el-GR"/>
        </w:rPr>
        <w:t xml:space="preserve">Η συγχορήγηση </w:t>
      </w:r>
      <w:r w:rsidR="00A55267" w:rsidRPr="00C36768">
        <w:rPr>
          <w:rFonts w:cs="Times New Roman"/>
          <w:lang w:val="el-GR"/>
        </w:rPr>
        <w:t xml:space="preserve">του </w:t>
      </w:r>
      <w:r w:rsidR="00C36768" w:rsidRPr="00C36768">
        <w:rPr>
          <w:rFonts w:cs="Times New Roman"/>
          <w:noProof/>
          <w:lang w:val="el-GR"/>
        </w:rPr>
        <w:t>τακρόλιμους</w:t>
      </w:r>
      <w:r w:rsidR="00A55267" w:rsidRPr="00C36768">
        <w:rPr>
          <w:rFonts w:cs="Times New Roman"/>
          <w:lang w:val="el-GR"/>
        </w:rPr>
        <w:t xml:space="preserve"> </w:t>
      </w:r>
      <w:r w:rsidR="007134E2" w:rsidRPr="00C36768">
        <w:rPr>
          <w:rFonts w:cs="Times New Roman"/>
          <w:lang w:val="el-GR"/>
        </w:rPr>
        <w:t xml:space="preserve">με το </w:t>
      </w:r>
      <w:r w:rsidRPr="00C36768">
        <w:rPr>
          <w:rFonts w:cs="Times New Roman"/>
          <w:lang w:val="el-GR"/>
        </w:rPr>
        <w:t xml:space="preserve">προϊόν </w:t>
      </w:r>
      <w:r w:rsidR="003A2A13" w:rsidRPr="00C36768">
        <w:rPr>
          <w:rFonts w:cs="Times New Roman"/>
          <w:color w:val="000000" w:themeColor="text1"/>
          <w:lang w:val="el-GR"/>
        </w:rPr>
        <w:t>εμτρισιταβίνη</w:t>
      </w:r>
      <w:r w:rsidRPr="00C36768">
        <w:rPr>
          <w:rFonts w:cs="Times New Roman"/>
          <w:color w:val="000000" w:themeColor="text1"/>
          <w:lang w:val="el-GR"/>
        </w:rPr>
        <w:t xml:space="preserve"> και </w:t>
      </w:r>
      <w:r w:rsidR="003A2A13" w:rsidRPr="00C36768">
        <w:rPr>
          <w:rFonts w:cs="Times New Roman"/>
          <w:color w:val="000000" w:themeColor="text1"/>
          <w:lang w:val="el-GR"/>
        </w:rPr>
        <w:t>τενοφοβίρη δισοπρόξιλη</w:t>
      </w:r>
      <w:r w:rsidR="003A2A13" w:rsidRPr="00C36768">
        <w:rPr>
          <w:rFonts w:cs="Times New Roman"/>
          <w:lang w:val="el-GR"/>
        </w:rPr>
        <w:t xml:space="preserve"> </w:t>
      </w:r>
      <w:r w:rsidR="007134E2" w:rsidRPr="00C36768">
        <w:rPr>
          <w:rFonts w:cs="Times New Roman"/>
          <w:lang w:val="el-GR"/>
        </w:rPr>
        <w:t>δεν κατέληξε σε καμία</w:t>
      </w:r>
      <w:r w:rsidR="007134E2" w:rsidRPr="00C36768">
        <w:rPr>
          <w:rFonts w:cs="Times New Roman"/>
          <w:spacing w:val="16"/>
          <w:lang w:val="el-GR"/>
        </w:rPr>
        <w:t xml:space="preserve"> </w:t>
      </w:r>
      <w:r w:rsidR="007134E2" w:rsidRPr="00C36768">
        <w:rPr>
          <w:rFonts w:cs="Times New Roman"/>
          <w:lang w:val="el-GR"/>
        </w:rPr>
        <w:t>κλινικά σημαντική φαρμακοκινητική</w:t>
      </w:r>
      <w:r w:rsidR="007134E2" w:rsidRPr="00C36768">
        <w:rPr>
          <w:rFonts w:cs="Times New Roman"/>
          <w:spacing w:val="-7"/>
          <w:lang w:val="el-GR"/>
        </w:rPr>
        <w:t xml:space="preserve"> </w:t>
      </w:r>
      <w:r w:rsidR="007134E2" w:rsidRPr="00C36768">
        <w:rPr>
          <w:rFonts w:cs="Times New Roman"/>
          <w:lang w:val="el-GR"/>
        </w:rPr>
        <w:t>αλληλεπίδραση.</w:t>
      </w:r>
    </w:p>
    <w:p w:rsidR="00924600" w:rsidRPr="009E32D3" w:rsidRDefault="00924600" w:rsidP="009E32D3">
      <w:pPr>
        <w:pStyle w:val="a3"/>
        <w:spacing w:line="244" w:lineRule="auto"/>
        <w:ind w:left="0"/>
        <w:rPr>
          <w:lang w:val="el-GR"/>
        </w:rPr>
      </w:pPr>
    </w:p>
    <w:p w:rsidR="00645378" w:rsidRPr="007D1B8B" w:rsidRDefault="007134E2" w:rsidP="009E32D3">
      <w:pPr>
        <w:pStyle w:val="1"/>
        <w:numPr>
          <w:ilvl w:val="1"/>
          <w:numId w:val="5"/>
        </w:numPr>
        <w:tabs>
          <w:tab w:val="left" w:pos="0"/>
        </w:tabs>
        <w:spacing w:before="60"/>
        <w:ind w:left="0" w:right="96" w:firstLine="0"/>
        <w:rPr>
          <w:b w:val="0"/>
          <w:bCs w:val="0"/>
          <w:color w:val="000000" w:themeColor="text1"/>
        </w:rPr>
      </w:pPr>
      <w:r w:rsidRPr="007D1B8B">
        <w:rPr>
          <w:color w:val="000000" w:themeColor="text1"/>
        </w:rPr>
        <w:t>Γονιμότητα, κύηση και γαλουχία</w:t>
      </w:r>
    </w:p>
    <w:p w:rsidR="00645378" w:rsidRDefault="00645378" w:rsidP="009E32D3">
      <w:pPr>
        <w:tabs>
          <w:tab w:val="left" w:pos="0"/>
        </w:tabs>
        <w:spacing w:before="8"/>
        <w:ind w:right="96"/>
        <w:rPr>
          <w:rFonts w:ascii="Times New Roman" w:eastAsia="Times New Roman" w:hAnsi="Times New Roman" w:cs="Times New Roman"/>
          <w:b/>
          <w:bCs/>
        </w:rPr>
      </w:pPr>
    </w:p>
    <w:p w:rsidR="00645378" w:rsidRDefault="007134E2" w:rsidP="009E32D3">
      <w:pPr>
        <w:pStyle w:val="a3"/>
        <w:tabs>
          <w:tab w:val="left" w:pos="0"/>
        </w:tabs>
        <w:ind w:left="0" w:right="96"/>
      </w:pPr>
      <w:r>
        <w:rPr>
          <w:u w:val="single" w:color="000000"/>
        </w:rPr>
        <w:t>Εγκυμοσύνη</w:t>
      </w:r>
    </w:p>
    <w:p w:rsidR="00645378" w:rsidRPr="009E32D3" w:rsidRDefault="007134E2" w:rsidP="007D1B8B">
      <w:pPr>
        <w:pStyle w:val="a3"/>
        <w:tabs>
          <w:tab w:val="left" w:pos="0"/>
        </w:tabs>
        <w:spacing w:before="6" w:line="244" w:lineRule="auto"/>
        <w:ind w:left="0" w:right="96"/>
        <w:rPr>
          <w:lang w:val="el-GR"/>
        </w:rPr>
      </w:pPr>
      <w:r w:rsidRPr="00AA2F31">
        <w:rPr>
          <w:lang w:val="el-GR"/>
        </w:rPr>
        <w:t>Τα δεδομένα από σχετικά περιορισμένο αριθμό εγκύων γυναικών (περιπτώσεις έκβασης</w:t>
      </w:r>
      <w:r w:rsidRPr="00AA2F31">
        <w:rPr>
          <w:spacing w:val="10"/>
          <w:lang w:val="el-GR"/>
        </w:rPr>
        <w:t xml:space="preserve"> </w:t>
      </w:r>
      <w:r w:rsidRPr="00AA2F31">
        <w:rPr>
          <w:lang w:val="el-GR"/>
        </w:rPr>
        <w:t>εγκυμοσύνης μεταξύ 300-1.000) δεν καταδεικνύουν την ύπαρξη συγγενών διαμαρτιών ή τοξικότητας στο</w:t>
      </w:r>
      <w:r w:rsidR="00E52D24">
        <w:rPr>
          <w:lang w:val="el-GR"/>
        </w:rPr>
        <w:t xml:space="preserve"> </w:t>
      </w:r>
      <w:r w:rsidRPr="00AA2F31">
        <w:rPr>
          <w:spacing w:val="-42"/>
          <w:lang w:val="el-GR"/>
        </w:rPr>
        <w:t xml:space="preserve"> </w:t>
      </w:r>
      <w:r w:rsidRPr="00AA2F31">
        <w:rPr>
          <w:lang w:val="el-GR"/>
        </w:rPr>
        <w:t xml:space="preserve">έμβρυο/νεογνό σχετιζόμενης με την </w:t>
      </w:r>
      <w:r w:rsidR="007D1B8B">
        <w:rPr>
          <w:lang w:val="el-GR"/>
        </w:rPr>
        <w:t>εμτρισιταβίνη</w:t>
      </w:r>
      <w:r w:rsidRPr="00AA2F31">
        <w:rPr>
          <w:lang w:val="el-GR"/>
        </w:rPr>
        <w:t xml:space="preserve"> και τ</w:t>
      </w:r>
      <w:r w:rsidR="00AB69CF">
        <w:rPr>
          <w:lang w:val="el-GR"/>
        </w:rPr>
        <w:t>η</w:t>
      </w:r>
      <w:r w:rsidR="00685406">
        <w:rPr>
          <w:lang w:val="el-GR"/>
        </w:rPr>
        <w:t>ν</w:t>
      </w:r>
      <w:r w:rsidR="00AB69CF">
        <w:rPr>
          <w:lang w:val="el-GR"/>
        </w:rPr>
        <w:t xml:space="preserve"> τενοφοβίρη δισο</w:t>
      </w:r>
      <w:r w:rsidR="007D1B8B">
        <w:rPr>
          <w:lang w:val="el-GR"/>
        </w:rPr>
        <w:t>πρόξιλη</w:t>
      </w:r>
      <w:r w:rsidRPr="00AA2F31">
        <w:rPr>
          <w:lang w:val="el-GR"/>
        </w:rPr>
        <w:t xml:space="preserve">. </w:t>
      </w:r>
      <w:r w:rsidRPr="009E32D3">
        <w:rPr>
          <w:lang w:val="el-GR"/>
        </w:rPr>
        <w:t>Μελέτες σε</w:t>
      </w:r>
      <w:r w:rsidRPr="009E32D3">
        <w:rPr>
          <w:spacing w:val="-30"/>
          <w:lang w:val="el-GR"/>
        </w:rPr>
        <w:t xml:space="preserve"> </w:t>
      </w:r>
      <w:r w:rsidRPr="009E32D3">
        <w:rPr>
          <w:lang w:val="el-GR"/>
        </w:rPr>
        <w:t xml:space="preserve">ζώα με </w:t>
      </w:r>
      <w:r w:rsidR="00685406">
        <w:rPr>
          <w:lang w:val="el-GR"/>
        </w:rPr>
        <w:t xml:space="preserve">την </w:t>
      </w:r>
      <w:r w:rsidR="00AB69CF">
        <w:rPr>
          <w:lang w:val="el-GR"/>
        </w:rPr>
        <w:t xml:space="preserve">εμτρισιταβίνη και </w:t>
      </w:r>
      <w:r w:rsidR="00685406">
        <w:rPr>
          <w:lang w:val="el-GR"/>
        </w:rPr>
        <w:t xml:space="preserve">την </w:t>
      </w:r>
      <w:r w:rsidR="00AB69CF">
        <w:rPr>
          <w:lang w:val="el-GR"/>
        </w:rPr>
        <w:t>τενοφοβίρη δισοπρόξιλη</w:t>
      </w:r>
      <w:r w:rsidR="007D1B8B" w:rsidRPr="009E32D3">
        <w:rPr>
          <w:lang w:val="el-GR"/>
        </w:rPr>
        <w:t xml:space="preserve"> </w:t>
      </w:r>
      <w:r w:rsidRPr="009E32D3">
        <w:rPr>
          <w:lang w:val="el-GR"/>
        </w:rPr>
        <w:t>δεν κατέδειξαν αναπαραγωγική</w:t>
      </w:r>
      <w:r w:rsidR="00C54B2C">
        <w:rPr>
          <w:lang w:val="el-GR"/>
        </w:rPr>
        <w:t xml:space="preserve"> τοξικότητα</w:t>
      </w:r>
      <w:r w:rsidRPr="009E32D3">
        <w:rPr>
          <w:lang w:val="el-GR"/>
        </w:rPr>
        <w:t xml:space="preserve"> (βλ. παράγραφο 5.3). Συνεπώς η χρήση </w:t>
      </w:r>
      <w:r w:rsidR="00685406">
        <w:rPr>
          <w:lang w:val="el-GR"/>
        </w:rPr>
        <w:t>της</w:t>
      </w:r>
      <w:r w:rsidR="007D1B8B" w:rsidRPr="009E32D3">
        <w:rPr>
          <w:lang w:val="el-GR"/>
        </w:rPr>
        <w:t xml:space="preserve"> </w:t>
      </w:r>
      <w:r w:rsidR="00AB69CF">
        <w:rPr>
          <w:lang w:val="el-GR"/>
        </w:rPr>
        <w:t>εμτρισιταβίνης</w:t>
      </w:r>
      <w:r w:rsidR="00685406">
        <w:rPr>
          <w:lang w:val="el-GR"/>
        </w:rPr>
        <w:t xml:space="preserve"> και </w:t>
      </w:r>
      <w:r w:rsidR="00AB69CF">
        <w:rPr>
          <w:lang w:val="el-GR"/>
        </w:rPr>
        <w:t>τενοφοβίρης δισο</w:t>
      </w:r>
      <w:r w:rsidR="007D1B8B">
        <w:rPr>
          <w:lang w:val="el-GR"/>
        </w:rPr>
        <w:t>πρόξιλης</w:t>
      </w:r>
      <w:r w:rsidR="007D1B8B" w:rsidRPr="009E32D3">
        <w:rPr>
          <w:lang w:val="el-GR"/>
        </w:rPr>
        <w:t xml:space="preserve"> </w:t>
      </w:r>
      <w:r w:rsidRPr="009E32D3">
        <w:rPr>
          <w:lang w:val="el-GR"/>
        </w:rPr>
        <w:t>θα μπορούσε να αποφασιστεί</w:t>
      </w:r>
      <w:r w:rsidRPr="009E32D3">
        <w:rPr>
          <w:spacing w:val="7"/>
          <w:lang w:val="el-GR"/>
        </w:rPr>
        <w:t xml:space="preserve"> </w:t>
      </w:r>
      <w:r w:rsidRPr="009E32D3">
        <w:rPr>
          <w:lang w:val="el-GR"/>
        </w:rPr>
        <w:t>κατά</w:t>
      </w:r>
      <w:r w:rsidR="007D1B8B">
        <w:rPr>
          <w:lang w:val="el-GR"/>
        </w:rPr>
        <w:t xml:space="preserve"> </w:t>
      </w:r>
      <w:r w:rsidRPr="009E32D3">
        <w:rPr>
          <w:lang w:val="el-GR"/>
        </w:rPr>
        <w:t>τη διάρκεια της εγκυμοσύνης, εάν αυτή κρίνεται</w:t>
      </w:r>
      <w:r w:rsidRPr="009E32D3">
        <w:rPr>
          <w:spacing w:val="-1"/>
          <w:lang w:val="el-GR"/>
        </w:rPr>
        <w:t xml:space="preserve"> </w:t>
      </w:r>
      <w:r w:rsidRPr="009E32D3">
        <w:rPr>
          <w:lang w:val="el-GR"/>
        </w:rPr>
        <w:t>απαραίτητη.</w:t>
      </w:r>
    </w:p>
    <w:p w:rsidR="00645378" w:rsidRPr="009E32D3" w:rsidRDefault="00645378" w:rsidP="009E32D3">
      <w:pPr>
        <w:tabs>
          <w:tab w:val="left" w:pos="0"/>
        </w:tabs>
        <w:spacing w:before="1"/>
        <w:ind w:right="96"/>
        <w:rPr>
          <w:rFonts w:ascii="Times New Roman" w:eastAsia="Times New Roman" w:hAnsi="Times New Roman" w:cs="Times New Roman"/>
          <w:sz w:val="23"/>
          <w:szCs w:val="23"/>
          <w:lang w:val="el-GR"/>
        </w:rPr>
      </w:pPr>
    </w:p>
    <w:p w:rsidR="00645378" w:rsidRPr="009E32D3" w:rsidRDefault="007134E2" w:rsidP="009E32D3">
      <w:pPr>
        <w:pStyle w:val="a3"/>
        <w:tabs>
          <w:tab w:val="left" w:pos="0"/>
        </w:tabs>
        <w:ind w:left="0" w:right="96"/>
        <w:rPr>
          <w:lang w:val="el-GR"/>
        </w:rPr>
      </w:pPr>
      <w:r w:rsidRPr="009E32D3">
        <w:rPr>
          <w:u w:val="single" w:color="000000"/>
          <w:lang w:val="el-GR"/>
        </w:rPr>
        <w:lastRenderedPageBreak/>
        <w:t>Θηλασμός</w:t>
      </w:r>
    </w:p>
    <w:p w:rsidR="00645378" w:rsidRPr="009E32D3" w:rsidRDefault="007134E2" w:rsidP="009E32D3">
      <w:pPr>
        <w:pStyle w:val="a3"/>
        <w:tabs>
          <w:tab w:val="left" w:pos="0"/>
        </w:tabs>
        <w:spacing w:before="6" w:line="244" w:lineRule="auto"/>
        <w:ind w:left="0" w:right="96"/>
        <w:rPr>
          <w:lang w:val="el-GR"/>
        </w:rPr>
      </w:pPr>
      <w:r w:rsidRPr="009E32D3">
        <w:rPr>
          <w:lang w:val="el-GR"/>
        </w:rPr>
        <w:t xml:space="preserve">Η </w:t>
      </w:r>
      <w:r w:rsidR="007D1B8B">
        <w:rPr>
          <w:lang w:val="el-GR"/>
        </w:rPr>
        <w:t>εμτρισιταβίνη και η τενοφοβίρη</w:t>
      </w:r>
      <w:r w:rsidRPr="009E32D3">
        <w:rPr>
          <w:lang w:val="el-GR"/>
        </w:rPr>
        <w:t xml:space="preserve"> έχει αποδειχθεί ότι απεκκρίνονται στο ανθρώπινο γάλα.</w:t>
      </w:r>
      <w:r w:rsidRPr="009E32D3">
        <w:rPr>
          <w:spacing w:val="7"/>
          <w:lang w:val="el-GR"/>
        </w:rPr>
        <w:t xml:space="preserve"> </w:t>
      </w:r>
      <w:r w:rsidRPr="009E32D3">
        <w:rPr>
          <w:lang w:val="el-GR"/>
        </w:rPr>
        <w:t xml:space="preserve">Υπάρχουν ανεπαρκείς πληροφορίες σχετικά με την επίδραση της </w:t>
      </w:r>
      <w:r w:rsidR="007D1B8B">
        <w:rPr>
          <w:lang w:val="el-GR"/>
        </w:rPr>
        <w:t xml:space="preserve">εμτρισιταβίνης και </w:t>
      </w:r>
      <w:r w:rsidR="00AB69CF">
        <w:rPr>
          <w:lang w:val="el-GR"/>
        </w:rPr>
        <w:t>τ</w:t>
      </w:r>
      <w:r w:rsidR="007D1B8B">
        <w:rPr>
          <w:lang w:val="el-GR"/>
        </w:rPr>
        <w:t>η</w:t>
      </w:r>
      <w:r w:rsidR="00AB69CF">
        <w:rPr>
          <w:lang w:val="el-GR"/>
        </w:rPr>
        <w:t>ς</w:t>
      </w:r>
      <w:r w:rsidR="007D1B8B">
        <w:rPr>
          <w:lang w:val="el-GR"/>
        </w:rPr>
        <w:t xml:space="preserve"> τενοφοβίρης</w:t>
      </w:r>
      <w:r w:rsidR="007D1B8B" w:rsidRPr="009E32D3">
        <w:rPr>
          <w:lang w:val="el-GR"/>
        </w:rPr>
        <w:t xml:space="preserve"> </w:t>
      </w:r>
      <w:r w:rsidR="007D1B8B">
        <w:rPr>
          <w:lang w:val="el-GR"/>
        </w:rPr>
        <w:t xml:space="preserve">στα </w:t>
      </w:r>
      <w:r w:rsidRPr="009E32D3">
        <w:rPr>
          <w:lang w:val="el-GR"/>
        </w:rPr>
        <w:t xml:space="preserve">νεογέννητα/βρέφη. Συνεπώς το </w:t>
      </w:r>
      <w:r w:rsidR="003464A6">
        <w:t>ARGIODIN</w:t>
      </w:r>
      <w:r w:rsidR="003464A6" w:rsidRPr="009E32D3">
        <w:rPr>
          <w:lang w:val="el-GR"/>
        </w:rPr>
        <w:t xml:space="preserve"> </w:t>
      </w:r>
      <w:r w:rsidRPr="009E32D3">
        <w:rPr>
          <w:lang w:val="el-GR"/>
        </w:rPr>
        <w:t>δεν πρέπει να χρησιμοποιείται κατά την διάρκεια του</w:t>
      </w:r>
      <w:r w:rsidR="00924600">
        <w:rPr>
          <w:lang w:val="el-GR"/>
        </w:rPr>
        <w:t xml:space="preserve"> </w:t>
      </w:r>
      <w:r w:rsidRPr="009E32D3">
        <w:rPr>
          <w:spacing w:val="-48"/>
          <w:lang w:val="el-GR"/>
        </w:rPr>
        <w:t xml:space="preserve"> </w:t>
      </w:r>
      <w:r w:rsidRPr="009E32D3">
        <w:rPr>
          <w:lang w:val="el-GR"/>
        </w:rPr>
        <w:t>θηλασμού.</w:t>
      </w:r>
    </w:p>
    <w:p w:rsidR="00645378" w:rsidRPr="009E32D3" w:rsidRDefault="00645378" w:rsidP="009E32D3">
      <w:pPr>
        <w:tabs>
          <w:tab w:val="left" w:pos="0"/>
        </w:tabs>
        <w:spacing w:before="8"/>
        <w:ind w:right="96"/>
        <w:rPr>
          <w:rFonts w:ascii="Times New Roman" w:eastAsia="Times New Roman" w:hAnsi="Times New Roman" w:cs="Times New Roman"/>
          <w:lang w:val="el-GR"/>
        </w:rPr>
      </w:pPr>
    </w:p>
    <w:p w:rsidR="00645378" w:rsidRPr="009E32D3" w:rsidRDefault="007134E2" w:rsidP="009E32D3">
      <w:pPr>
        <w:pStyle w:val="a3"/>
        <w:tabs>
          <w:tab w:val="left" w:pos="0"/>
        </w:tabs>
        <w:spacing w:line="244" w:lineRule="auto"/>
        <w:ind w:left="0" w:right="96"/>
        <w:rPr>
          <w:lang w:val="el-GR"/>
        </w:rPr>
      </w:pPr>
      <w:r w:rsidRPr="009E32D3">
        <w:rPr>
          <w:lang w:val="el-GR"/>
        </w:rPr>
        <w:t>Ως γενικός κανόνας, δεν συνιστάται σε καμία περίπτωση σε γυναίκες που έχουν προσβληθεί από</w:t>
      </w:r>
      <w:r w:rsidRPr="009E32D3">
        <w:rPr>
          <w:spacing w:val="5"/>
          <w:lang w:val="el-GR"/>
        </w:rPr>
        <w:t xml:space="preserve"> </w:t>
      </w:r>
      <w:r w:rsidRPr="009E32D3">
        <w:rPr>
          <w:lang w:val="el-GR"/>
        </w:rPr>
        <w:t xml:space="preserve">τον ιό </w:t>
      </w:r>
      <w:r>
        <w:rPr>
          <w:spacing w:val="-2"/>
        </w:rPr>
        <w:t>HIV</w:t>
      </w:r>
      <w:r w:rsidRPr="009E32D3">
        <w:rPr>
          <w:spacing w:val="-2"/>
          <w:lang w:val="el-GR"/>
        </w:rPr>
        <w:t xml:space="preserve"> </w:t>
      </w:r>
      <w:r w:rsidRPr="009E32D3">
        <w:rPr>
          <w:lang w:val="el-GR"/>
        </w:rPr>
        <w:t xml:space="preserve">να θηλάζουν τα βρέφη τους, προκειμένου να αποφευχθεί η μετάδοση του ιού </w:t>
      </w:r>
      <w:r>
        <w:rPr>
          <w:spacing w:val="-2"/>
        </w:rPr>
        <w:t>HIV</w:t>
      </w:r>
      <w:r w:rsidRPr="009E32D3">
        <w:rPr>
          <w:spacing w:val="-2"/>
          <w:lang w:val="el-GR"/>
        </w:rPr>
        <w:t xml:space="preserve"> </w:t>
      </w:r>
      <w:r w:rsidRPr="009E32D3">
        <w:rPr>
          <w:lang w:val="el-GR"/>
        </w:rPr>
        <w:t>στο</w:t>
      </w:r>
      <w:r w:rsidRPr="009E32D3">
        <w:rPr>
          <w:spacing w:val="15"/>
          <w:lang w:val="el-GR"/>
        </w:rPr>
        <w:t xml:space="preserve"> </w:t>
      </w:r>
      <w:r w:rsidRPr="009E32D3">
        <w:rPr>
          <w:lang w:val="el-GR"/>
        </w:rPr>
        <w:t>βρέφος.</w:t>
      </w:r>
    </w:p>
    <w:p w:rsidR="000F078F" w:rsidRDefault="000F078F" w:rsidP="009E32D3">
      <w:pPr>
        <w:pStyle w:val="a3"/>
        <w:tabs>
          <w:tab w:val="left" w:pos="0"/>
        </w:tabs>
        <w:ind w:left="0" w:right="96"/>
        <w:rPr>
          <w:u w:val="single" w:color="000000"/>
          <w:lang w:val="el-GR"/>
        </w:rPr>
      </w:pPr>
    </w:p>
    <w:p w:rsidR="00645378" w:rsidRPr="000F078F" w:rsidRDefault="007134E2" w:rsidP="009E32D3">
      <w:pPr>
        <w:pStyle w:val="a3"/>
        <w:tabs>
          <w:tab w:val="left" w:pos="0"/>
        </w:tabs>
        <w:ind w:left="0" w:right="96"/>
        <w:rPr>
          <w:u w:val="single"/>
          <w:lang w:val="el-GR"/>
        </w:rPr>
      </w:pPr>
      <w:r w:rsidRPr="000F078F">
        <w:rPr>
          <w:u w:val="single"/>
          <w:lang w:val="el-GR"/>
        </w:rPr>
        <w:t>Γονιμότητα</w:t>
      </w:r>
    </w:p>
    <w:p w:rsidR="00645378" w:rsidRPr="009E32D3" w:rsidRDefault="007134E2" w:rsidP="009E32D3">
      <w:pPr>
        <w:pStyle w:val="a3"/>
        <w:tabs>
          <w:tab w:val="left" w:pos="0"/>
        </w:tabs>
        <w:spacing w:before="6" w:line="244" w:lineRule="auto"/>
        <w:ind w:left="0" w:right="96"/>
        <w:jc w:val="both"/>
        <w:rPr>
          <w:lang w:val="el-GR"/>
        </w:rPr>
      </w:pPr>
      <w:r w:rsidRPr="009E32D3">
        <w:rPr>
          <w:lang w:val="el-GR"/>
        </w:rPr>
        <w:t>Δεν υπάρχουν διαθέσιμα δεδομένα για ανθρώπο</w:t>
      </w:r>
      <w:r w:rsidR="007D1B8B">
        <w:rPr>
          <w:lang w:val="el-GR"/>
        </w:rPr>
        <w:t>υς σχετικά με τις επιπτώσεις</w:t>
      </w:r>
      <w:r w:rsidRPr="009E32D3">
        <w:rPr>
          <w:lang w:val="el-GR"/>
        </w:rPr>
        <w:t xml:space="preserve"> </w:t>
      </w:r>
      <w:r w:rsidR="00685406">
        <w:rPr>
          <w:lang w:val="el-GR"/>
        </w:rPr>
        <w:t>της</w:t>
      </w:r>
      <w:r w:rsidR="007D1B8B">
        <w:rPr>
          <w:color w:val="000000" w:themeColor="text1"/>
          <w:lang w:val="el-GR"/>
        </w:rPr>
        <w:t xml:space="preserve"> </w:t>
      </w:r>
      <w:r w:rsidR="007D1B8B" w:rsidRPr="00F13AEB">
        <w:rPr>
          <w:rFonts w:cs="Times New Roman"/>
          <w:color w:val="000000" w:themeColor="text1"/>
          <w:lang w:val="el-GR"/>
        </w:rPr>
        <w:t>εμτρισιταβίνης</w:t>
      </w:r>
      <w:r w:rsidR="00685406">
        <w:rPr>
          <w:rFonts w:cs="Times New Roman"/>
          <w:color w:val="000000" w:themeColor="text1"/>
          <w:lang w:val="el-GR"/>
        </w:rPr>
        <w:t xml:space="preserve"> και </w:t>
      </w:r>
      <w:r w:rsidR="007D1B8B" w:rsidRPr="00F13AEB">
        <w:rPr>
          <w:rFonts w:cs="Times New Roman"/>
          <w:color w:val="000000" w:themeColor="text1"/>
          <w:lang w:val="el-GR"/>
        </w:rPr>
        <w:t>τενοφοβίρης δισοπρόξιλης</w:t>
      </w:r>
      <w:r w:rsidRPr="009E32D3">
        <w:rPr>
          <w:lang w:val="el-GR"/>
        </w:rPr>
        <w:t>.</w:t>
      </w:r>
      <w:r w:rsidRPr="009E32D3">
        <w:rPr>
          <w:spacing w:val="7"/>
          <w:lang w:val="el-GR"/>
        </w:rPr>
        <w:t xml:space="preserve"> </w:t>
      </w:r>
      <w:r w:rsidRPr="009E32D3">
        <w:rPr>
          <w:lang w:val="el-GR"/>
        </w:rPr>
        <w:t xml:space="preserve">Μελέτες σε ζώα δεν κατέδειξαν επικίνδυνες επιπτώσεις </w:t>
      </w:r>
      <w:r w:rsidR="00AB69CF">
        <w:rPr>
          <w:lang w:val="el-GR"/>
        </w:rPr>
        <w:t>της</w:t>
      </w:r>
      <w:r w:rsidR="007D1B8B" w:rsidRPr="009E32D3">
        <w:rPr>
          <w:lang w:val="el-GR"/>
        </w:rPr>
        <w:t xml:space="preserve"> </w:t>
      </w:r>
      <w:r w:rsidR="007D1B8B" w:rsidRPr="00F13AEB">
        <w:rPr>
          <w:rFonts w:cs="Times New Roman"/>
          <w:color w:val="000000" w:themeColor="text1"/>
          <w:lang w:val="el-GR"/>
        </w:rPr>
        <w:t>εμτρ</w:t>
      </w:r>
      <w:r w:rsidR="00AB69CF">
        <w:rPr>
          <w:rFonts w:cs="Times New Roman"/>
          <w:color w:val="000000" w:themeColor="text1"/>
          <w:lang w:val="el-GR"/>
        </w:rPr>
        <w:t xml:space="preserve">ισιταβίνης ή της </w:t>
      </w:r>
      <w:r w:rsidR="007D1B8B" w:rsidRPr="00F13AEB">
        <w:rPr>
          <w:rFonts w:cs="Times New Roman"/>
          <w:color w:val="000000" w:themeColor="text1"/>
          <w:lang w:val="el-GR"/>
        </w:rPr>
        <w:t>τενοφοβίρης δισοπρόξιλης</w:t>
      </w:r>
      <w:r w:rsidR="007D1B8B" w:rsidRPr="009E32D3">
        <w:rPr>
          <w:lang w:val="el-GR"/>
        </w:rPr>
        <w:t xml:space="preserve"> </w:t>
      </w:r>
      <w:r w:rsidRPr="009E32D3">
        <w:rPr>
          <w:lang w:val="el-GR"/>
        </w:rPr>
        <w:t>στη</w:t>
      </w:r>
      <w:r w:rsidRPr="009E32D3">
        <w:rPr>
          <w:spacing w:val="2"/>
          <w:lang w:val="el-GR"/>
        </w:rPr>
        <w:t xml:space="preserve"> </w:t>
      </w:r>
      <w:r w:rsidRPr="009E32D3">
        <w:rPr>
          <w:lang w:val="el-GR"/>
        </w:rPr>
        <w:t>γονιμότητα.</w:t>
      </w:r>
    </w:p>
    <w:p w:rsidR="00645378" w:rsidRPr="009E32D3" w:rsidRDefault="00645378" w:rsidP="009E32D3">
      <w:pPr>
        <w:tabs>
          <w:tab w:val="left" w:pos="0"/>
        </w:tabs>
        <w:spacing w:before="1"/>
        <w:ind w:right="96"/>
        <w:rPr>
          <w:rFonts w:ascii="Times New Roman" w:eastAsia="Times New Roman" w:hAnsi="Times New Roman" w:cs="Times New Roman"/>
          <w:sz w:val="23"/>
          <w:szCs w:val="23"/>
          <w:lang w:val="el-GR"/>
        </w:rPr>
      </w:pPr>
    </w:p>
    <w:p w:rsidR="00645378" w:rsidRPr="009E32D3" w:rsidRDefault="007134E2" w:rsidP="009E32D3">
      <w:pPr>
        <w:pStyle w:val="1"/>
        <w:numPr>
          <w:ilvl w:val="1"/>
          <w:numId w:val="5"/>
        </w:numPr>
        <w:tabs>
          <w:tab w:val="left" w:pos="0"/>
        </w:tabs>
        <w:ind w:left="0" w:right="96" w:firstLine="0"/>
        <w:rPr>
          <w:b w:val="0"/>
          <w:bCs w:val="0"/>
          <w:lang w:val="el-GR"/>
        </w:rPr>
      </w:pPr>
      <w:r w:rsidRPr="009E32D3">
        <w:rPr>
          <w:lang w:val="el-GR"/>
        </w:rPr>
        <w:t>Επιδράσεις στην ικανότητα οδήγησης και χειρισμού</w:t>
      </w:r>
      <w:r w:rsidRPr="009E32D3">
        <w:rPr>
          <w:spacing w:val="-3"/>
          <w:lang w:val="el-GR"/>
        </w:rPr>
        <w:t xml:space="preserve"> </w:t>
      </w:r>
      <w:r w:rsidR="00685406" w:rsidRPr="009E32D3">
        <w:rPr>
          <w:lang w:val="el-GR"/>
        </w:rPr>
        <w:t>μηχαν</w:t>
      </w:r>
      <w:r w:rsidR="00685406">
        <w:rPr>
          <w:lang w:val="el-GR"/>
        </w:rPr>
        <w:t>ημάτων</w:t>
      </w:r>
    </w:p>
    <w:p w:rsidR="00645378" w:rsidRPr="009E32D3" w:rsidRDefault="00645378" w:rsidP="009E32D3">
      <w:pPr>
        <w:tabs>
          <w:tab w:val="left" w:pos="0"/>
        </w:tabs>
        <w:spacing w:before="8"/>
        <w:ind w:right="96"/>
        <w:rPr>
          <w:rFonts w:ascii="Times New Roman" w:eastAsia="Times New Roman" w:hAnsi="Times New Roman" w:cs="Times New Roman"/>
          <w:b/>
          <w:bCs/>
          <w:lang w:val="el-GR"/>
        </w:rPr>
      </w:pPr>
    </w:p>
    <w:p w:rsidR="00645378" w:rsidRPr="009E32D3" w:rsidRDefault="007134E2" w:rsidP="009E32D3">
      <w:pPr>
        <w:pStyle w:val="a3"/>
        <w:tabs>
          <w:tab w:val="left" w:pos="0"/>
        </w:tabs>
        <w:spacing w:line="244" w:lineRule="auto"/>
        <w:ind w:left="0" w:right="96"/>
        <w:rPr>
          <w:lang w:val="el-GR"/>
        </w:rPr>
      </w:pPr>
      <w:r w:rsidRPr="009E32D3">
        <w:rPr>
          <w:lang w:val="el-GR"/>
        </w:rPr>
        <w:t>Δεν πραγματοποιήθηκαν μελέτε</w:t>
      </w:r>
      <w:r w:rsidR="00924600">
        <w:rPr>
          <w:lang w:val="el-GR"/>
        </w:rPr>
        <w:t>ς σχετικά με τις επιδράσεις</w:t>
      </w:r>
      <w:r w:rsidRPr="009E32D3">
        <w:rPr>
          <w:lang w:val="el-GR"/>
        </w:rPr>
        <w:t xml:space="preserve"> στην ικανότητα</w:t>
      </w:r>
      <w:r w:rsidRPr="009E32D3">
        <w:rPr>
          <w:spacing w:val="-1"/>
          <w:lang w:val="el-GR"/>
        </w:rPr>
        <w:t xml:space="preserve"> </w:t>
      </w:r>
      <w:r w:rsidRPr="009E32D3">
        <w:rPr>
          <w:lang w:val="el-GR"/>
        </w:rPr>
        <w:t xml:space="preserve">οδήγησης και χειρισμού </w:t>
      </w:r>
      <w:r w:rsidR="00685406" w:rsidRPr="009E32D3">
        <w:rPr>
          <w:lang w:val="el-GR"/>
        </w:rPr>
        <w:t>μηχαν</w:t>
      </w:r>
      <w:r w:rsidR="00685406">
        <w:rPr>
          <w:lang w:val="el-GR"/>
        </w:rPr>
        <w:t>ημάτων</w:t>
      </w:r>
      <w:r w:rsidRPr="009E32D3">
        <w:rPr>
          <w:lang w:val="el-GR"/>
        </w:rPr>
        <w:t>. Εν τούτοις, οι ασθενείς πρέπει να πλη</w:t>
      </w:r>
      <w:r w:rsidR="00924600">
        <w:rPr>
          <w:lang w:val="el-GR"/>
        </w:rPr>
        <w:t xml:space="preserve">ροφορούνται ότι κατά τη διάρκεια </w:t>
      </w:r>
      <w:r w:rsidRPr="009E32D3">
        <w:rPr>
          <w:lang w:val="el-GR"/>
        </w:rPr>
        <w:t>αγωγής με</w:t>
      </w:r>
      <w:r w:rsidR="00924600">
        <w:rPr>
          <w:lang w:val="el-GR"/>
        </w:rPr>
        <w:t xml:space="preserve"> </w:t>
      </w:r>
      <w:r w:rsidR="00924600">
        <w:rPr>
          <w:rFonts w:cs="Times New Roman"/>
          <w:color w:val="000000" w:themeColor="text1"/>
          <w:lang w:val="el-GR"/>
        </w:rPr>
        <w:t>εμτρισιταβίνη και με τενοφοβίρη δισοπρόξιλη</w:t>
      </w:r>
      <w:r w:rsidR="007D1B8B" w:rsidRPr="007D1B8B">
        <w:rPr>
          <w:lang w:val="el-GR"/>
        </w:rPr>
        <w:t xml:space="preserve"> </w:t>
      </w:r>
      <w:r w:rsidRPr="009E32D3">
        <w:rPr>
          <w:lang w:val="el-GR"/>
        </w:rPr>
        <w:t>αναφέρθηκε</w:t>
      </w:r>
      <w:r w:rsidRPr="009E32D3">
        <w:rPr>
          <w:spacing w:val="12"/>
          <w:lang w:val="el-GR"/>
        </w:rPr>
        <w:t xml:space="preserve"> </w:t>
      </w:r>
      <w:r w:rsidRPr="009E32D3">
        <w:rPr>
          <w:lang w:val="el-GR"/>
        </w:rPr>
        <w:t>ζάλη.</w:t>
      </w:r>
    </w:p>
    <w:p w:rsidR="00924600" w:rsidRPr="009E32D3" w:rsidRDefault="00924600" w:rsidP="009E32D3">
      <w:pPr>
        <w:tabs>
          <w:tab w:val="left" w:pos="0"/>
        </w:tabs>
        <w:spacing w:before="1"/>
        <w:ind w:right="96"/>
        <w:rPr>
          <w:rFonts w:ascii="Times New Roman" w:eastAsia="Times New Roman" w:hAnsi="Times New Roman" w:cs="Times New Roman"/>
          <w:sz w:val="23"/>
          <w:szCs w:val="23"/>
          <w:lang w:val="el-GR"/>
        </w:rPr>
      </w:pPr>
    </w:p>
    <w:p w:rsidR="00645378" w:rsidRDefault="007134E2" w:rsidP="009E32D3">
      <w:pPr>
        <w:pStyle w:val="1"/>
        <w:numPr>
          <w:ilvl w:val="1"/>
          <w:numId w:val="5"/>
        </w:numPr>
        <w:tabs>
          <w:tab w:val="left" w:pos="0"/>
        </w:tabs>
        <w:ind w:left="0" w:right="96" w:firstLine="0"/>
        <w:rPr>
          <w:b w:val="0"/>
          <w:bCs w:val="0"/>
        </w:rPr>
      </w:pPr>
      <w:r>
        <w:t>Ανεπιθύμητες</w:t>
      </w:r>
      <w:r>
        <w:rPr>
          <w:spacing w:val="-1"/>
        </w:rPr>
        <w:t xml:space="preserve"> </w:t>
      </w:r>
      <w:r>
        <w:t>ενέργειες</w:t>
      </w:r>
    </w:p>
    <w:p w:rsidR="00645378" w:rsidRDefault="00645378" w:rsidP="009E32D3">
      <w:pPr>
        <w:tabs>
          <w:tab w:val="left" w:pos="0"/>
        </w:tabs>
        <w:spacing w:before="5"/>
        <w:ind w:right="96"/>
        <w:rPr>
          <w:rFonts w:ascii="Times New Roman" w:eastAsia="Times New Roman" w:hAnsi="Times New Roman" w:cs="Times New Roman"/>
          <w:b/>
          <w:bCs/>
        </w:rPr>
      </w:pPr>
    </w:p>
    <w:p w:rsidR="00645378" w:rsidRDefault="007134E2" w:rsidP="009E32D3">
      <w:pPr>
        <w:pStyle w:val="a3"/>
        <w:tabs>
          <w:tab w:val="left" w:pos="0"/>
        </w:tabs>
        <w:ind w:left="0" w:right="96"/>
      </w:pPr>
      <w:r>
        <w:rPr>
          <w:u w:val="single" w:color="000000"/>
        </w:rPr>
        <w:t>Περίληψη του προφίλ</w:t>
      </w:r>
      <w:r>
        <w:rPr>
          <w:spacing w:val="-1"/>
          <w:u w:val="single" w:color="000000"/>
        </w:rPr>
        <w:t xml:space="preserve"> </w:t>
      </w:r>
      <w:r>
        <w:rPr>
          <w:u w:val="single" w:color="000000"/>
        </w:rPr>
        <w:t>ασφάλειας</w:t>
      </w:r>
    </w:p>
    <w:p w:rsidR="00645378" w:rsidRPr="009E32D3" w:rsidRDefault="007134E2" w:rsidP="009E32D3">
      <w:pPr>
        <w:pStyle w:val="a3"/>
        <w:tabs>
          <w:tab w:val="left" w:pos="0"/>
        </w:tabs>
        <w:spacing w:before="6" w:line="244" w:lineRule="auto"/>
        <w:ind w:left="0" w:right="96"/>
        <w:rPr>
          <w:lang w:val="el-GR"/>
        </w:rPr>
      </w:pPr>
      <w:r w:rsidRPr="00AA2F31">
        <w:rPr>
          <w:lang w:val="el-GR"/>
        </w:rPr>
        <w:t>Οι πλέον συχνά αναφερθείσες ανεπιθύμητες ενέργειες που θεωρήθηκαν σχετιζόμενες ή πιθανώς</w:t>
      </w:r>
      <w:r w:rsidRPr="00AA2F31">
        <w:rPr>
          <w:spacing w:val="-54"/>
          <w:lang w:val="el-GR"/>
        </w:rPr>
        <w:t xml:space="preserve"> </w:t>
      </w:r>
      <w:r w:rsidRPr="00AA2F31">
        <w:rPr>
          <w:lang w:val="el-GR"/>
        </w:rPr>
        <w:t xml:space="preserve">σχετιζόμενες με την </w:t>
      </w:r>
      <w:r w:rsidR="00FB1EA8">
        <w:rPr>
          <w:lang w:val="el-GR"/>
        </w:rPr>
        <w:t>εμτρισιταβίνη ή/και τη</w:t>
      </w:r>
      <w:r w:rsidR="00685406">
        <w:rPr>
          <w:lang w:val="el-GR"/>
        </w:rPr>
        <w:t>ν</w:t>
      </w:r>
      <w:r w:rsidRPr="00AA2F31">
        <w:rPr>
          <w:lang w:val="el-GR"/>
        </w:rPr>
        <w:t xml:space="preserve"> </w:t>
      </w:r>
      <w:r w:rsidR="00FB1EA8">
        <w:rPr>
          <w:lang w:val="el-GR"/>
        </w:rPr>
        <w:t>τενοφοβ</w:t>
      </w:r>
      <w:r w:rsidR="00B13864">
        <w:rPr>
          <w:lang w:val="el-GR"/>
        </w:rPr>
        <w:t>ίρ</w:t>
      </w:r>
      <w:r w:rsidR="00DD14E0">
        <w:rPr>
          <w:lang w:val="el-GR"/>
        </w:rPr>
        <w:t>η δισο</w:t>
      </w:r>
      <w:r w:rsidR="00FB1EA8">
        <w:rPr>
          <w:lang w:val="el-GR"/>
        </w:rPr>
        <w:t xml:space="preserve">πρόξιλη </w:t>
      </w:r>
      <w:r w:rsidRPr="00AA2F31">
        <w:rPr>
          <w:lang w:val="el-GR"/>
        </w:rPr>
        <w:t>ήταν ναυτία (12%) και</w:t>
      </w:r>
      <w:r w:rsidRPr="00AA2F31">
        <w:rPr>
          <w:spacing w:val="-33"/>
          <w:lang w:val="el-GR"/>
        </w:rPr>
        <w:t xml:space="preserve"> </w:t>
      </w:r>
      <w:r w:rsidRPr="00AA2F31">
        <w:rPr>
          <w:lang w:val="el-GR"/>
        </w:rPr>
        <w:t>διάρροια (7%) σε μια τυχαιοποιημένη κλινική δοκιμή γνωστοποιημένου φαρμάκου (</w:t>
      </w:r>
      <w:r>
        <w:t>GS</w:t>
      </w:r>
      <w:r w:rsidRPr="00AA2F31">
        <w:rPr>
          <w:lang w:val="el-GR"/>
        </w:rPr>
        <w:t>-01-934,</w:t>
      </w:r>
      <w:r w:rsidRPr="00AA2F31">
        <w:rPr>
          <w:spacing w:val="-2"/>
          <w:lang w:val="el-GR"/>
        </w:rPr>
        <w:t xml:space="preserve"> </w:t>
      </w:r>
      <w:r w:rsidRPr="00AA2F31">
        <w:rPr>
          <w:lang w:val="el-GR"/>
        </w:rPr>
        <w:t>βλ. παράγραφο</w:t>
      </w:r>
      <w:r w:rsidRPr="00AA2F31">
        <w:rPr>
          <w:spacing w:val="-1"/>
          <w:lang w:val="el-GR"/>
        </w:rPr>
        <w:t xml:space="preserve"> </w:t>
      </w:r>
      <w:r w:rsidRPr="00AA2F31">
        <w:rPr>
          <w:lang w:val="el-GR"/>
        </w:rPr>
        <w:t xml:space="preserve">5.1). </w:t>
      </w:r>
      <w:r w:rsidRPr="009E32D3">
        <w:rPr>
          <w:lang w:val="el-GR"/>
        </w:rPr>
        <w:t>Το προφίλ</w:t>
      </w:r>
      <w:r w:rsidRPr="009E32D3">
        <w:rPr>
          <w:spacing w:val="1"/>
          <w:lang w:val="el-GR"/>
        </w:rPr>
        <w:t xml:space="preserve"> </w:t>
      </w:r>
      <w:r w:rsidRPr="009E32D3">
        <w:rPr>
          <w:lang w:val="el-GR"/>
        </w:rPr>
        <w:t>ασφάλειας</w:t>
      </w:r>
      <w:r w:rsidRPr="009E32D3">
        <w:rPr>
          <w:spacing w:val="-1"/>
          <w:lang w:val="el-GR"/>
        </w:rPr>
        <w:t xml:space="preserve"> </w:t>
      </w:r>
      <w:r w:rsidRPr="009E32D3">
        <w:rPr>
          <w:lang w:val="el-GR"/>
        </w:rPr>
        <w:t>της</w:t>
      </w:r>
      <w:r w:rsidRPr="009E32D3">
        <w:rPr>
          <w:spacing w:val="-1"/>
          <w:lang w:val="el-GR"/>
        </w:rPr>
        <w:t xml:space="preserve"> </w:t>
      </w:r>
      <w:r w:rsidR="00FB1EA8">
        <w:rPr>
          <w:spacing w:val="-1"/>
          <w:lang w:val="el-GR"/>
        </w:rPr>
        <w:t>εμτρισιταβίνης</w:t>
      </w:r>
      <w:r w:rsidR="00DD14E0">
        <w:rPr>
          <w:lang w:val="el-GR"/>
        </w:rPr>
        <w:t xml:space="preserve"> και της τενοφοβίρης δισο</w:t>
      </w:r>
      <w:r w:rsidR="00FB1EA8">
        <w:rPr>
          <w:lang w:val="el-GR"/>
        </w:rPr>
        <w:t xml:space="preserve">πρόξιλης </w:t>
      </w:r>
      <w:r w:rsidRPr="009E32D3">
        <w:rPr>
          <w:lang w:val="el-GR"/>
        </w:rPr>
        <w:t>στη</w:t>
      </w:r>
      <w:r w:rsidRPr="009E32D3">
        <w:rPr>
          <w:spacing w:val="-52"/>
          <w:lang w:val="el-GR"/>
        </w:rPr>
        <w:t xml:space="preserve"> </w:t>
      </w:r>
      <w:r w:rsidRPr="009E32D3">
        <w:rPr>
          <w:lang w:val="el-GR"/>
        </w:rPr>
        <w:t>συγκεκριμένη μελέτη ήταν σύμφωνο με την προηγούμενη εμπειρία με αυτούς τους παράγοντες,</w:t>
      </w:r>
      <w:r w:rsidRPr="009E32D3">
        <w:rPr>
          <w:spacing w:val="9"/>
          <w:lang w:val="el-GR"/>
        </w:rPr>
        <w:t xml:space="preserve"> </w:t>
      </w:r>
      <w:r w:rsidRPr="009E32D3">
        <w:rPr>
          <w:lang w:val="el-GR"/>
        </w:rPr>
        <w:t>όταν ο καθένας χορηγήθηκε μαζί με άλλους αντιρετροϊκούς</w:t>
      </w:r>
      <w:r w:rsidRPr="009E32D3">
        <w:rPr>
          <w:spacing w:val="-1"/>
          <w:lang w:val="el-GR"/>
        </w:rPr>
        <w:t xml:space="preserve"> </w:t>
      </w:r>
      <w:r w:rsidRPr="009E32D3">
        <w:rPr>
          <w:lang w:val="el-GR"/>
        </w:rPr>
        <w:t>παράγοντες.</w:t>
      </w:r>
    </w:p>
    <w:p w:rsidR="00645378" w:rsidRPr="009E32D3" w:rsidRDefault="00645378" w:rsidP="009E32D3">
      <w:pPr>
        <w:tabs>
          <w:tab w:val="left" w:pos="0"/>
        </w:tabs>
        <w:spacing w:before="8"/>
        <w:ind w:right="96"/>
        <w:rPr>
          <w:rFonts w:ascii="Times New Roman" w:eastAsia="Times New Roman" w:hAnsi="Times New Roman" w:cs="Times New Roman"/>
          <w:lang w:val="el-GR"/>
        </w:rPr>
      </w:pPr>
    </w:p>
    <w:p w:rsidR="00645378" w:rsidRPr="009E32D3" w:rsidRDefault="007134E2" w:rsidP="009E32D3">
      <w:pPr>
        <w:pStyle w:val="a3"/>
        <w:tabs>
          <w:tab w:val="left" w:pos="0"/>
        </w:tabs>
        <w:spacing w:line="244" w:lineRule="auto"/>
        <w:ind w:left="0" w:right="96"/>
        <w:rPr>
          <w:lang w:val="el-GR"/>
        </w:rPr>
      </w:pPr>
      <w:r w:rsidRPr="009E32D3">
        <w:rPr>
          <w:lang w:val="el-GR"/>
        </w:rPr>
        <w:t xml:space="preserve">Σε ασθενείς που λαμβάνουν </w:t>
      </w:r>
      <w:r w:rsidR="00DD14E0">
        <w:rPr>
          <w:lang w:val="el-GR"/>
        </w:rPr>
        <w:t>τενοφοβίρη δισο</w:t>
      </w:r>
      <w:r w:rsidR="00B13864">
        <w:rPr>
          <w:lang w:val="el-GR"/>
        </w:rPr>
        <w:t>πρόξιλη</w:t>
      </w:r>
      <w:r w:rsidRPr="009E32D3">
        <w:rPr>
          <w:lang w:val="el-GR"/>
        </w:rPr>
        <w:t>,</w:t>
      </w:r>
      <w:r w:rsidR="007F11F6">
        <w:rPr>
          <w:lang w:val="el-GR"/>
        </w:rPr>
        <w:t xml:space="preserve"> έχουν αναφερθεί σπάνια συμβάντα </w:t>
      </w:r>
      <w:r w:rsidRPr="009E32D3">
        <w:rPr>
          <w:lang w:val="el-GR"/>
        </w:rPr>
        <w:t>νεφρικής δυσλειτουργίας, νεφρική έκπτωση και κεντρική σωληναριοπάθεια</w:t>
      </w:r>
      <w:r w:rsidRPr="009E32D3">
        <w:rPr>
          <w:spacing w:val="1"/>
          <w:lang w:val="el-GR"/>
        </w:rPr>
        <w:t xml:space="preserve"> </w:t>
      </w:r>
      <w:r w:rsidRPr="009E32D3">
        <w:rPr>
          <w:lang w:val="el-GR"/>
        </w:rPr>
        <w:t>(συμπεριλαμβανομένου του</w:t>
      </w:r>
      <w:r w:rsidRPr="009E32D3">
        <w:rPr>
          <w:spacing w:val="1"/>
          <w:lang w:val="el-GR"/>
        </w:rPr>
        <w:t xml:space="preserve"> </w:t>
      </w:r>
      <w:r w:rsidRPr="009E32D3">
        <w:rPr>
          <w:lang w:val="el-GR"/>
        </w:rPr>
        <w:t>συνδρόμου</w:t>
      </w:r>
      <w:r w:rsidRPr="009E32D3">
        <w:rPr>
          <w:spacing w:val="1"/>
          <w:lang w:val="el-GR"/>
        </w:rPr>
        <w:t xml:space="preserve"> </w:t>
      </w:r>
      <w:r>
        <w:t>Fanconi</w:t>
      </w:r>
      <w:r w:rsidRPr="009E32D3">
        <w:rPr>
          <w:lang w:val="el-GR"/>
        </w:rPr>
        <w:t>)</w:t>
      </w:r>
      <w:r w:rsidRPr="009E32D3">
        <w:rPr>
          <w:spacing w:val="1"/>
          <w:lang w:val="el-GR"/>
        </w:rPr>
        <w:t xml:space="preserve"> </w:t>
      </w:r>
      <w:r w:rsidRPr="009E32D3">
        <w:rPr>
          <w:lang w:val="el-GR"/>
        </w:rPr>
        <w:t>που</w:t>
      </w:r>
      <w:r w:rsidRPr="009E32D3">
        <w:rPr>
          <w:spacing w:val="1"/>
          <w:lang w:val="el-GR"/>
        </w:rPr>
        <w:t xml:space="preserve"> </w:t>
      </w:r>
      <w:r w:rsidRPr="009E32D3">
        <w:rPr>
          <w:lang w:val="el-GR"/>
        </w:rPr>
        <w:t>μερικές</w:t>
      </w:r>
      <w:r w:rsidRPr="009E32D3">
        <w:rPr>
          <w:spacing w:val="-1"/>
          <w:lang w:val="el-GR"/>
        </w:rPr>
        <w:t xml:space="preserve"> </w:t>
      </w:r>
      <w:r w:rsidRPr="009E32D3">
        <w:rPr>
          <w:lang w:val="el-GR"/>
        </w:rPr>
        <w:t>φορές</w:t>
      </w:r>
      <w:r w:rsidRPr="009E32D3">
        <w:rPr>
          <w:spacing w:val="-1"/>
          <w:lang w:val="el-GR"/>
        </w:rPr>
        <w:t xml:space="preserve"> </w:t>
      </w:r>
      <w:r w:rsidRPr="009E32D3">
        <w:rPr>
          <w:lang w:val="el-GR"/>
        </w:rPr>
        <w:t>οδηγούν</w:t>
      </w:r>
      <w:r w:rsidRPr="009E32D3">
        <w:rPr>
          <w:spacing w:val="1"/>
          <w:lang w:val="el-GR"/>
        </w:rPr>
        <w:t xml:space="preserve"> </w:t>
      </w:r>
      <w:r w:rsidRPr="009E32D3">
        <w:rPr>
          <w:lang w:val="el-GR"/>
        </w:rPr>
        <w:t>σε</w:t>
      </w:r>
      <w:r w:rsidRPr="009E32D3">
        <w:rPr>
          <w:spacing w:val="1"/>
          <w:lang w:val="el-GR"/>
        </w:rPr>
        <w:t xml:space="preserve"> </w:t>
      </w:r>
      <w:r w:rsidRPr="009E32D3">
        <w:rPr>
          <w:lang w:val="el-GR"/>
        </w:rPr>
        <w:t>οστικές</w:t>
      </w:r>
      <w:r w:rsidRPr="009E32D3">
        <w:rPr>
          <w:spacing w:val="-1"/>
          <w:lang w:val="el-GR"/>
        </w:rPr>
        <w:t xml:space="preserve"> </w:t>
      </w:r>
      <w:r w:rsidRPr="009E32D3">
        <w:rPr>
          <w:lang w:val="el-GR"/>
        </w:rPr>
        <w:t>διαταραχές</w:t>
      </w:r>
      <w:r w:rsidRPr="009E32D3">
        <w:rPr>
          <w:spacing w:val="-1"/>
          <w:lang w:val="el-GR"/>
        </w:rPr>
        <w:t xml:space="preserve"> </w:t>
      </w:r>
      <w:r w:rsidRPr="009E32D3">
        <w:rPr>
          <w:lang w:val="el-GR"/>
        </w:rPr>
        <w:t>(που</w:t>
      </w:r>
      <w:r w:rsidRPr="009E32D3">
        <w:rPr>
          <w:spacing w:val="1"/>
          <w:lang w:val="el-GR"/>
        </w:rPr>
        <w:t xml:space="preserve"> </w:t>
      </w:r>
      <w:r w:rsidRPr="009E32D3">
        <w:rPr>
          <w:lang w:val="el-GR"/>
        </w:rPr>
        <w:t>συμβάλλουν</w:t>
      </w:r>
      <w:r w:rsidRPr="009E32D3">
        <w:rPr>
          <w:spacing w:val="1"/>
          <w:lang w:val="el-GR"/>
        </w:rPr>
        <w:t xml:space="preserve"> </w:t>
      </w:r>
      <w:r w:rsidRPr="009E32D3">
        <w:rPr>
          <w:lang w:val="el-GR"/>
        </w:rPr>
        <w:t>όχι</w:t>
      </w:r>
      <w:r w:rsidR="00685406">
        <w:rPr>
          <w:lang w:val="el-GR"/>
        </w:rPr>
        <w:t xml:space="preserve"> </w:t>
      </w:r>
      <w:r w:rsidRPr="009E32D3">
        <w:rPr>
          <w:lang w:val="el-GR"/>
        </w:rPr>
        <w:t>συχνά σε κατάγματα). Συνιστάται στενή παρακολούθηση της νεφρικής λειτουργίας για ασθενείς</w:t>
      </w:r>
      <w:r w:rsidRPr="009E32D3">
        <w:rPr>
          <w:spacing w:val="5"/>
          <w:lang w:val="el-GR"/>
        </w:rPr>
        <w:t xml:space="preserve"> </w:t>
      </w:r>
      <w:r w:rsidRPr="009E32D3">
        <w:rPr>
          <w:lang w:val="el-GR"/>
        </w:rPr>
        <w:t xml:space="preserve">που λαμβάνουν </w:t>
      </w:r>
      <w:r w:rsidR="00B13864" w:rsidRPr="00F13AEB">
        <w:rPr>
          <w:rFonts w:cs="Times New Roman"/>
          <w:color w:val="000000" w:themeColor="text1"/>
          <w:lang w:val="el-GR"/>
        </w:rPr>
        <w:t>εμτρισιταβίνη</w:t>
      </w:r>
      <w:r w:rsidR="00E66C4C">
        <w:rPr>
          <w:rFonts w:cs="Times New Roman"/>
          <w:color w:val="000000" w:themeColor="text1"/>
          <w:lang w:val="el-GR"/>
        </w:rPr>
        <w:t xml:space="preserve"> και </w:t>
      </w:r>
      <w:r w:rsidR="00B13864" w:rsidRPr="00F13AEB">
        <w:rPr>
          <w:rFonts w:cs="Times New Roman"/>
          <w:color w:val="000000" w:themeColor="text1"/>
          <w:lang w:val="el-GR"/>
        </w:rPr>
        <w:t>τενοφοβίρη δισοπρόξιλη</w:t>
      </w:r>
      <w:r w:rsidRPr="009E32D3">
        <w:rPr>
          <w:lang w:val="el-GR"/>
        </w:rPr>
        <w:t xml:space="preserve"> (βλ. παράγραφο</w:t>
      </w:r>
      <w:r w:rsidRPr="009E32D3">
        <w:rPr>
          <w:spacing w:val="3"/>
          <w:lang w:val="el-GR"/>
        </w:rPr>
        <w:t xml:space="preserve"> </w:t>
      </w:r>
      <w:r w:rsidRPr="009E32D3">
        <w:rPr>
          <w:lang w:val="el-GR"/>
        </w:rPr>
        <w:t>4.4).</w:t>
      </w:r>
    </w:p>
    <w:p w:rsidR="00645378" w:rsidRPr="009E32D3" w:rsidRDefault="00645378" w:rsidP="009E32D3">
      <w:pPr>
        <w:tabs>
          <w:tab w:val="left" w:pos="0"/>
        </w:tabs>
        <w:spacing w:before="8"/>
        <w:ind w:right="96"/>
        <w:rPr>
          <w:rFonts w:ascii="Times New Roman" w:eastAsia="Times New Roman" w:hAnsi="Times New Roman" w:cs="Times New Roman"/>
          <w:lang w:val="el-GR"/>
        </w:rPr>
      </w:pPr>
    </w:p>
    <w:p w:rsidR="00645378" w:rsidRPr="009E32D3" w:rsidRDefault="007134E2" w:rsidP="009E32D3">
      <w:pPr>
        <w:pStyle w:val="a3"/>
        <w:tabs>
          <w:tab w:val="left" w:pos="0"/>
        </w:tabs>
        <w:spacing w:line="244" w:lineRule="auto"/>
        <w:ind w:left="0" w:right="96"/>
        <w:rPr>
          <w:lang w:val="el-GR"/>
        </w:rPr>
      </w:pPr>
      <w:r w:rsidRPr="009E32D3">
        <w:rPr>
          <w:lang w:val="el-GR"/>
        </w:rPr>
        <w:t xml:space="preserve">Η συγχορήγηση </w:t>
      </w:r>
      <w:r w:rsidR="00345A19">
        <w:rPr>
          <w:lang w:val="el-GR"/>
        </w:rPr>
        <w:t>της τενοφοβίρης</w:t>
      </w:r>
      <w:r w:rsidRPr="009E32D3">
        <w:rPr>
          <w:lang w:val="el-GR"/>
        </w:rPr>
        <w:t xml:space="preserve"> με </w:t>
      </w:r>
      <w:r w:rsidR="00C36768">
        <w:rPr>
          <w:lang w:val="el-GR"/>
        </w:rPr>
        <w:t>διδανοσίνη</w:t>
      </w:r>
      <w:r w:rsidR="00A55267" w:rsidRPr="009E32D3">
        <w:rPr>
          <w:lang w:val="el-GR"/>
        </w:rPr>
        <w:t xml:space="preserve"> </w:t>
      </w:r>
      <w:r w:rsidRPr="009E32D3">
        <w:rPr>
          <w:lang w:val="el-GR"/>
        </w:rPr>
        <w:t>δεν συνιστάται, καθώς ενδέχεται</w:t>
      </w:r>
      <w:r w:rsidRPr="009E32D3">
        <w:rPr>
          <w:spacing w:val="18"/>
          <w:lang w:val="el-GR"/>
        </w:rPr>
        <w:t xml:space="preserve"> </w:t>
      </w:r>
      <w:r w:rsidRPr="009E32D3">
        <w:rPr>
          <w:lang w:val="el-GR"/>
        </w:rPr>
        <w:t>να αυξήσει τον κίνδυνο ανεπιθύμητων ενεργειών (βλ. παράγραφο 4.5). Σπάνια, έχουν αναφερθεί</w:t>
      </w:r>
      <w:r w:rsidRPr="009E32D3">
        <w:rPr>
          <w:spacing w:val="-40"/>
          <w:lang w:val="el-GR"/>
        </w:rPr>
        <w:t xml:space="preserve"> </w:t>
      </w:r>
      <w:r w:rsidR="00E66C4C" w:rsidRPr="004155A8">
        <w:rPr>
          <w:lang w:val="el-GR"/>
        </w:rPr>
        <w:t xml:space="preserve"> </w:t>
      </w:r>
      <w:r w:rsidRPr="009E32D3">
        <w:rPr>
          <w:lang w:val="el-GR"/>
        </w:rPr>
        <w:t>παγκρεατίτιδα και γαλακτική οξέωση, ενίοτε μοιραία (βλ. παράγραφο</w:t>
      </w:r>
      <w:r w:rsidRPr="009E32D3">
        <w:rPr>
          <w:spacing w:val="-1"/>
          <w:lang w:val="el-GR"/>
        </w:rPr>
        <w:t xml:space="preserve"> </w:t>
      </w:r>
      <w:r w:rsidRPr="009E32D3">
        <w:rPr>
          <w:lang w:val="el-GR"/>
        </w:rPr>
        <w:t>4.4).</w:t>
      </w:r>
    </w:p>
    <w:p w:rsidR="00645378" w:rsidRPr="009E32D3" w:rsidRDefault="00645378" w:rsidP="009E32D3">
      <w:pPr>
        <w:tabs>
          <w:tab w:val="left" w:pos="0"/>
        </w:tabs>
        <w:spacing w:before="8"/>
        <w:ind w:right="96"/>
        <w:rPr>
          <w:rFonts w:ascii="Times New Roman" w:eastAsia="Times New Roman" w:hAnsi="Times New Roman" w:cs="Times New Roman"/>
          <w:lang w:val="el-GR"/>
        </w:rPr>
      </w:pPr>
    </w:p>
    <w:p w:rsidR="00B13864" w:rsidRDefault="007134E2" w:rsidP="005A400F">
      <w:pPr>
        <w:pStyle w:val="a3"/>
        <w:tabs>
          <w:tab w:val="left" w:pos="0"/>
        </w:tabs>
        <w:spacing w:line="244" w:lineRule="auto"/>
        <w:ind w:left="0" w:right="96"/>
        <w:rPr>
          <w:lang w:val="el-GR"/>
        </w:rPr>
      </w:pPr>
      <w:r w:rsidRPr="009E32D3">
        <w:rPr>
          <w:lang w:val="el-GR"/>
        </w:rPr>
        <w:t xml:space="preserve">Η διακοπή της αγωγής με </w:t>
      </w:r>
      <w:r w:rsidR="00B13864">
        <w:rPr>
          <w:rFonts w:cs="Times New Roman"/>
          <w:color w:val="000000" w:themeColor="text1"/>
          <w:lang w:val="el-GR"/>
        </w:rPr>
        <w:t>εμτρισιταβίνη</w:t>
      </w:r>
      <w:r w:rsidR="00E66C4C">
        <w:rPr>
          <w:rFonts w:cs="Times New Roman"/>
          <w:color w:val="000000" w:themeColor="text1"/>
          <w:lang w:val="el-GR"/>
        </w:rPr>
        <w:t xml:space="preserve"> και </w:t>
      </w:r>
      <w:r w:rsidR="00B13864">
        <w:rPr>
          <w:rFonts w:cs="Times New Roman"/>
          <w:color w:val="000000" w:themeColor="text1"/>
          <w:lang w:val="el-GR"/>
        </w:rPr>
        <w:t xml:space="preserve">τενοφοβίρη </w:t>
      </w:r>
      <w:r w:rsidR="00B13864" w:rsidRPr="00F13AEB">
        <w:rPr>
          <w:rFonts w:cs="Times New Roman"/>
          <w:color w:val="000000" w:themeColor="text1"/>
          <w:lang w:val="el-GR"/>
        </w:rPr>
        <w:t>δισοπρόξιλη</w:t>
      </w:r>
      <w:r w:rsidR="00B13864" w:rsidRPr="009E32D3">
        <w:rPr>
          <w:lang w:val="el-GR"/>
        </w:rPr>
        <w:t xml:space="preserve"> </w:t>
      </w:r>
      <w:r w:rsidRPr="009E32D3">
        <w:rPr>
          <w:lang w:val="el-GR"/>
        </w:rPr>
        <w:t xml:space="preserve">σε ασθενείς με συνυπάρχουσα λοίμωξη από τον ιό </w:t>
      </w:r>
      <w:r>
        <w:rPr>
          <w:spacing w:val="-2"/>
        </w:rPr>
        <w:t>HIV</w:t>
      </w:r>
      <w:r w:rsidRPr="009E32D3">
        <w:rPr>
          <w:spacing w:val="-2"/>
          <w:lang w:val="el-GR"/>
        </w:rPr>
        <w:t xml:space="preserve"> </w:t>
      </w:r>
      <w:r w:rsidRPr="009E32D3">
        <w:rPr>
          <w:lang w:val="el-GR"/>
        </w:rPr>
        <w:t>και τον</w:t>
      </w:r>
      <w:r w:rsidRPr="009E32D3">
        <w:rPr>
          <w:spacing w:val="12"/>
          <w:lang w:val="el-GR"/>
        </w:rPr>
        <w:t xml:space="preserve"> </w:t>
      </w:r>
      <w:r w:rsidRPr="009E32D3">
        <w:rPr>
          <w:lang w:val="el-GR"/>
        </w:rPr>
        <w:t xml:space="preserve">ιό </w:t>
      </w:r>
      <w:r w:rsidR="00E66C4C">
        <w:rPr>
          <w:lang w:val="el-GR"/>
        </w:rPr>
        <w:t>της ηπατίτιδας Β (</w:t>
      </w:r>
      <w:r w:rsidR="00E66C4C">
        <w:t>HBV</w:t>
      </w:r>
      <w:r w:rsidR="00E66C4C" w:rsidRPr="004155A8">
        <w:rPr>
          <w:lang w:val="el-GR"/>
        </w:rPr>
        <w:t>)</w:t>
      </w:r>
      <w:r w:rsidR="00E66C4C" w:rsidRPr="009E32D3">
        <w:rPr>
          <w:lang w:val="el-GR"/>
        </w:rPr>
        <w:t xml:space="preserve"> </w:t>
      </w:r>
      <w:r w:rsidRPr="009E32D3">
        <w:rPr>
          <w:lang w:val="el-GR"/>
        </w:rPr>
        <w:t>μπορεί να συσχετισθεί με σοβαρές, οξείες εξάρσεις ηπατίτιδας (βλ. παράγραφο</w:t>
      </w:r>
      <w:r w:rsidRPr="009E32D3">
        <w:rPr>
          <w:spacing w:val="-3"/>
          <w:lang w:val="el-GR"/>
        </w:rPr>
        <w:t xml:space="preserve"> </w:t>
      </w:r>
      <w:r w:rsidRPr="009E32D3">
        <w:rPr>
          <w:lang w:val="el-GR"/>
        </w:rPr>
        <w:t>4.4).</w:t>
      </w:r>
    </w:p>
    <w:p w:rsidR="00B13864" w:rsidRDefault="00B13864" w:rsidP="005A400F">
      <w:pPr>
        <w:pStyle w:val="a3"/>
        <w:tabs>
          <w:tab w:val="left" w:pos="0"/>
        </w:tabs>
        <w:spacing w:line="244" w:lineRule="auto"/>
        <w:ind w:left="0" w:right="96"/>
        <w:rPr>
          <w:lang w:val="el-GR"/>
        </w:rPr>
      </w:pPr>
    </w:p>
    <w:p w:rsidR="00645378" w:rsidRPr="009E32D3" w:rsidRDefault="007134E2" w:rsidP="005A400F">
      <w:pPr>
        <w:pStyle w:val="a3"/>
        <w:tabs>
          <w:tab w:val="left" w:pos="0"/>
        </w:tabs>
        <w:spacing w:line="244" w:lineRule="auto"/>
        <w:ind w:left="0" w:right="96"/>
        <w:rPr>
          <w:lang w:val="el-GR"/>
        </w:rPr>
      </w:pPr>
      <w:r w:rsidRPr="009E32D3">
        <w:rPr>
          <w:u w:val="single" w:color="000000"/>
          <w:lang w:val="el-GR"/>
        </w:rPr>
        <w:t>Συνοπτική περίληψη ανεπιθύμητων</w:t>
      </w:r>
      <w:r w:rsidRPr="009E32D3">
        <w:rPr>
          <w:spacing w:val="5"/>
          <w:u w:val="single" w:color="000000"/>
          <w:lang w:val="el-GR"/>
        </w:rPr>
        <w:t xml:space="preserve"> </w:t>
      </w:r>
      <w:r w:rsidRPr="009E32D3">
        <w:rPr>
          <w:u w:val="single" w:color="000000"/>
          <w:lang w:val="el-GR"/>
        </w:rPr>
        <w:t>ενεργειών</w:t>
      </w:r>
    </w:p>
    <w:p w:rsidR="00645378" w:rsidRPr="009E32D3" w:rsidRDefault="007134E2" w:rsidP="00B13864">
      <w:pPr>
        <w:pStyle w:val="a3"/>
        <w:spacing w:before="6" w:line="244" w:lineRule="auto"/>
        <w:ind w:left="0" w:right="-44"/>
        <w:rPr>
          <w:lang w:val="el-GR"/>
        </w:rPr>
      </w:pPr>
      <w:r w:rsidRPr="009E32D3">
        <w:rPr>
          <w:lang w:val="el-GR"/>
        </w:rPr>
        <w:t>Οι ανεπιθύμητες ενέργειες οι οποίες θεωρήθηκαν τουλάχιστον πιθανώς συσχετιζόμενες με τα</w:t>
      </w:r>
      <w:r w:rsidRPr="009E32D3">
        <w:rPr>
          <w:spacing w:val="-47"/>
          <w:lang w:val="el-GR"/>
        </w:rPr>
        <w:t xml:space="preserve"> </w:t>
      </w:r>
      <w:r w:rsidRPr="009E32D3">
        <w:rPr>
          <w:lang w:val="el-GR"/>
        </w:rPr>
        <w:t xml:space="preserve">συστατικά </w:t>
      </w:r>
      <w:r w:rsidR="00E66C4C">
        <w:rPr>
          <w:lang w:val="el-GR"/>
        </w:rPr>
        <w:t>της</w:t>
      </w:r>
      <w:r w:rsidR="00B13864">
        <w:rPr>
          <w:lang w:val="el-GR"/>
        </w:rPr>
        <w:t xml:space="preserve"> </w:t>
      </w:r>
      <w:r w:rsidR="00B13864" w:rsidRPr="00F13AEB">
        <w:rPr>
          <w:rFonts w:cs="Times New Roman"/>
          <w:color w:val="000000" w:themeColor="text1"/>
          <w:lang w:val="el-GR"/>
        </w:rPr>
        <w:t>εμτρισιταβίνης</w:t>
      </w:r>
      <w:r w:rsidR="00E66C4C">
        <w:rPr>
          <w:rFonts w:cs="Times New Roman"/>
          <w:color w:val="000000" w:themeColor="text1"/>
          <w:lang w:val="el-GR"/>
        </w:rPr>
        <w:t xml:space="preserve"> και </w:t>
      </w:r>
      <w:r w:rsidR="00B13864" w:rsidRPr="00F13AEB">
        <w:rPr>
          <w:rFonts w:cs="Times New Roman"/>
          <w:color w:val="000000" w:themeColor="text1"/>
          <w:lang w:val="el-GR"/>
        </w:rPr>
        <w:t>τενοφοβίρης δισοπρόξιλης</w:t>
      </w:r>
      <w:r w:rsidR="00B13864" w:rsidRPr="009E32D3">
        <w:rPr>
          <w:lang w:val="el-GR"/>
        </w:rPr>
        <w:t xml:space="preserve"> </w:t>
      </w:r>
      <w:r w:rsidRPr="009E32D3">
        <w:rPr>
          <w:lang w:val="el-GR"/>
        </w:rPr>
        <w:t>από κλινικές μελέτες και από τ</w:t>
      </w:r>
      <w:r w:rsidR="00DD14E0">
        <w:rPr>
          <w:lang w:val="el-GR"/>
        </w:rPr>
        <w:t>ην εμπειρία μετά την κυκλοφορία, κ</w:t>
      </w:r>
      <w:r w:rsidRPr="009E32D3">
        <w:rPr>
          <w:lang w:val="el-GR"/>
        </w:rPr>
        <w:t>αταγράφονται στο</w:t>
      </w:r>
      <w:r w:rsidR="00DD14E0">
        <w:rPr>
          <w:lang w:val="el-GR"/>
        </w:rPr>
        <w:t>ν Πίνακα 2</w:t>
      </w:r>
      <w:r w:rsidR="00345A19">
        <w:rPr>
          <w:lang w:val="el-GR"/>
        </w:rPr>
        <w:t>,</w:t>
      </w:r>
      <w:r w:rsidRPr="009E32D3">
        <w:rPr>
          <w:lang w:val="el-GR"/>
        </w:rPr>
        <w:t xml:space="preserve"> πιο κάτω, ανά κατηγορία οργανικού συστήματος του σώματος</w:t>
      </w:r>
      <w:r w:rsidRPr="009E32D3">
        <w:rPr>
          <w:spacing w:val="4"/>
          <w:lang w:val="el-GR"/>
        </w:rPr>
        <w:t xml:space="preserve"> </w:t>
      </w:r>
      <w:r w:rsidRPr="009E32D3">
        <w:rPr>
          <w:lang w:val="el-GR"/>
        </w:rPr>
        <w:t>και συχνότητα εμφάνισης. Εντός κάθε κατηγορίας συχνότητας εμφάνισης, οι ανεπιθύμητες</w:t>
      </w:r>
      <w:r w:rsidRPr="009E32D3">
        <w:rPr>
          <w:spacing w:val="1"/>
          <w:lang w:val="el-GR"/>
        </w:rPr>
        <w:t xml:space="preserve"> </w:t>
      </w:r>
      <w:r w:rsidRPr="009E32D3">
        <w:rPr>
          <w:lang w:val="el-GR"/>
        </w:rPr>
        <w:t>ενέργειες παρατίθενται κατά φθίνουσα σειρά σοβαρότητας. Οι συχνότητες προσδιορίζονται ως πολύ</w:t>
      </w:r>
      <w:r w:rsidRPr="009E32D3">
        <w:rPr>
          <w:spacing w:val="4"/>
          <w:lang w:val="el-GR"/>
        </w:rPr>
        <w:t xml:space="preserve"> </w:t>
      </w:r>
      <w:r w:rsidRPr="009E32D3">
        <w:rPr>
          <w:lang w:val="el-GR"/>
        </w:rPr>
        <w:t>συχνές</w:t>
      </w:r>
      <w:r w:rsidR="00B13864">
        <w:rPr>
          <w:lang w:val="el-GR"/>
        </w:rPr>
        <w:t xml:space="preserve"> </w:t>
      </w:r>
      <w:r w:rsidRPr="009E32D3">
        <w:rPr>
          <w:lang w:val="el-GR"/>
        </w:rPr>
        <w:t>(≥ 1/10), συχνές (≥ 1/100 έως &lt; 1/10), όχι συχνές (≥ 1/1.000 έως &lt; 1/100) ή σπάνιες (≥ 1/10.000</w:t>
      </w:r>
      <w:r w:rsidRPr="009E32D3">
        <w:rPr>
          <w:spacing w:val="35"/>
          <w:lang w:val="el-GR"/>
        </w:rPr>
        <w:t xml:space="preserve"> </w:t>
      </w:r>
      <w:r w:rsidRPr="009E32D3">
        <w:rPr>
          <w:lang w:val="el-GR"/>
        </w:rPr>
        <w:t>έως</w:t>
      </w:r>
      <w:r w:rsidR="00B13864">
        <w:rPr>
          <w:lang w:val="el-GR"/>
        </w:rPr>
        <w:t xml:space="preserve"> </w:t>
      </w:r>
      <w:r w:rsidRPr="009E32D3">
        <w:rPr>
          <w:lang w:val="el-GR"/>
        </w:rPr>
        <w:t>&lt;</w:t>
      </w:r>
      <w:r w:rsidRPr="009E32D3">
        <w:rPr>
          <w:spacing w:val="4"/>
          <w:lang w:val="el-GR"/>
        </w:rPr>
        <w:t xml:space="preserve"> </w:t>
      </w:r>
      <w:r w:rsidRPr="009E32D3">
        <w:rPr>
          <w:lang w:val="el-GR"/>
        </w:rPr>
        <w:t>1/1.000).</w:t>
      </w:r>
    </w:p>
    <w:p w:rsidR="00645378" w:rsidRPr="009E32D3" w:rsidRDefault="007134E2" w:rsidP="009E32D3">
      <w:pPr>
        <w:pStyle w:val="1"/>
        <w:spacing w:line="244" w:lineRule="auto"/>
        <w:ind w:left="0" w:right="-44"/>
        <w:rPr>
          <w:b w:val="0"/>
          <w:bCs w:val="0"/>
          <w:lang w:val="el-GR"/>
        </w:rPr>
      </w:pPr>
      <w:r w:rsidRPr="009E32D3">
        <w:rPr>
          <w:lang w:val="el-GR"/>
        </w:rPr>
        <w:lastRenderedPageBreak/>
        <w:t xml:space="preserve">Πίνακας 2: Συνοπτική περίληψη </w:t>
      </w:r>
      <w:r w:rsidRPr="009E32D3">
        <w:rPr>
          <w:spacing w:val="-3"/>
          <w:lang w:val="el-GR"/>
        </w:rPr>
        <w:t xml:space="preserve">των </w:t>
      </w:r>
      <w:r w:rsidRPr="009E32D3">
        <w:rPr>
          <w:lang w:val="el-GR"/>
        </w:rPr>
        <w:t>ανεπιθύμητων ενεργειών που σχετίζονται με</w:t>
      </w:r>
      <w:r w:rsidRPr="009E32D3">
        <w:rPr>
          <w:spacing w:val="-9"/>
          <w:lang w:val="el-GR"/>
        </w:rPr>
        <w:t xml:space="preserve"> </w:t>
      </w:r>
      <w:r w:rsidRPr="009E32D3">
        <w:rPr>
          <w:lang w:val="el-GR"/>
        </w:rPr>
        <w:t xml:space="preserve">τα μεμονωμένα συστατικά </w:t>
      </w:r>
      <w:r w:rsidR="00E66C4C">
        <w:rPr>
          <w:lang w:val="el-GR"/>
        </w:rPr>
        <w:t>της</w:t>
      </w:r>
      <w:r w:rsidR="00B13864" w:rsidRPr="009E32D3">
        <w:rPr>
          <w:lang w:val="el-GR"/>
        </w:rPr>
        <w:t xml:space="preserve"> </w:t>
      </w:r>
      <w:r w:rsidR="00B13864">
        <w:rPr>
          <w:lang w:val="el-GR"/>
        </w:rPr>
        <w:t>εμτρισιταβίνης</w:t>
      </w:r>
      <w:r w:rsidR="00E66C4C">
        <w:rPr>
          <w:lang w:val="el-GR"/>
        </w:rPr>
        <w:t xml:space="preserve"> και </w:t>
      </w:r>
      <w:r w:rsidR="00B13864">
        <w:rPr>
          <w:lang w:val="el-GR"/>
        </w:rPr>
        <w:t xml:space="preserve">τενοφοβίρης </w:t>
      </w:r>
      <w:r w:rsidR="00DD14E0">
        <w:rPr>
          <w:lang w:val="el-GR"/>
        </w:rPr>
        <w:t>δισο</w:t>
      </w:r>
      <w:r w:rsidR="00B13864">
        <w:rPr>
          <w:lang w:val="el-GR"/>
        </w:rPr>
        <w:t>πρόξιλης</w:t>
      </w:r>
      <w:r w:rsidR="00B13864" w:rsidRPr="009E32D3">
        <w:rPr>
          <w:lang w:val="el-GR"/>
        </w:rPr>
        <w:t xml:space="preserve"> </w:t>
      </w:r>
      <w:r w:rsidRPr="009E32D3">
        <w:rPr>
          <w:lang w:val="el-GR"/>
        </w:rPr>
        <w:t xml:space="preserve">βάσει </w:t>
      </w:r>
      <w:r w:rsidRPr="009E32D3">
        <w:rPr>
          <w:spacing w:val="-3"/>
          <w:lang w:val="el-GR"/>
        </w:rPr>
        <w:t xml:space="preserve">των </w:t>
      </w:r>
      <w:r w:rsidRPr="009E32D3">
        <w:rPr>
          <w:lang w:val="el-GR"/>
        </w:rPr>
        <w:t>κλινικών μελετών και της εμπειρίας μετά</w:t>
      </w:r>
      <w:r w:rsidRPr="009E32D3">
        <w:rPr>
          <w:spacing w:val="-34"/>
          <w:lang w:val="el-GR"/>
        </w:rPr>
        <w:t xml:space="preserve"> </w:t>
      </w:r>
      <w:r w:rsidRPr="009E32D3">
        <w:rPr>
          <w:lang w:val="el-GR"/>
        </w:rPr>
        <w:t>την κυκλοφορία</w:t>
      </w:r>
    </w:p>
    <w:p w:rsidR="000F078F" w:rsidRPr="009E32D3" w:rsidRDefault="000F078F" w:rsidP="009E32D3">
      <w:pPr>
        <w:spacing w:before="1"/>
        <w:ind w:right="-44"/>
        <w:rPr>
          <w:rFonts w:ascii="Times New Roman" w:eastAsia="Times New Roman" w:hAnsi="Times New Roman" w:cs="Times New Roman"/>
          <w:b/>
          <w:bCs/>
          <w:lang w:val="el-GR"/>
        </w:rPr>
      </w:pPr>
    </w:p>
    <w:tbl>
      <w:tblPr>
        <w:tblW w:w="0" w:type="auto"/>
        <w:tblInd w:w="105" w:type="dxa"/>
        <w:tblLayout w:type="fixed"/>
        <w:tblCellMar>
          <w:left w:w="0" w:type="dxa"/>
          <w:right w:w="0" w:type="dxa"/>
        </w:tblCellMar>
        <w:tblLook w:val="01E0" w:firstRow="1" w:lastRow="1" w:firstColumn="1" w:lastColumn="1" w:noHBand="0" w:noVBand="0"/>
      </w:tblPr>
      <w:tblGrid>
        <w:gridCol w:w="2518"/>
        <w:gridCol w:w="3384"/>
        <w:gridCol w:w="3386"/>
      </w:tblGrid>
      <w:tr w:rsidR="00645378" w:rsidRPr="009E6E68" w:rsidTr="00F379EC">
        <w:trPr>
          <w:trHeight w:hRule="exact" w:val="28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6"/>
              <w:ind w:left="103"/>
              <w:rPr>
                <w:rFonts w:ascii="Times New Roman" w:eastAsia="Times New Roman" w:hAnsi="Times New Roman" w:cs="Times New Roman"/>
              </w:rPr>
            </w:pPr>
            <w:r w:rsidRPr="009E6E68">
              <w:rPr>
                <w:rFonts w:ascii="Times New Roman" w:hAnsi="Times New Roman" w:cs="Times New Roman"/>
                <w:b/>
              </w:rPr>
              <w:t>Συχνότητα</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B13864">
            <w:pPr>
              <w:pStyle w:val="TableParagraph"/>
              <w:spacing w:before="6"/>
              <w:ind w:left="103"/>
              <w:rPr>
                <w:rFonts w:ascii="Times New Roman" w:eastAsia="Times New Roman" w:hAnsi="Times New Roman" w:cs="Times New Roman"/>
                <w:lang w:val="el-GR"/>
              </w:rPr>
            </w:pPr>
            <w:r w:rsidRPr="009E6E68">
              <w:rPr>
                <w:rFonts w:ascii="Times New Roman" w:hAnsi="Times New Roman" w:cs="Times New Roman"/>
                <w:b/>
                <w:lang w:val="el-GR"/>
              </w:rPr>
              <w:t>Εμτρισιταβίνη</w:t>
            </w:r>
          </w:p>
        </w:tc>
        <w:tc>
          <w:tcPr>
            <w:tcW w:w="3386" w:type="dxa"/>
            <w:tcBorders>
              <w:top w:val="single" w:sz="4" w:space="0" w:color="000000"/>
              <w:left w:val="single" w:sz="4" w:space="0" w:color="000000"/>
              <w:bottom w:val="single" w:sz="4" w:space="0" w:color="000000"/>
              <w:right w:val="single" w:sz="4" w:space="0" w:color="000000"/>
            </w:tcBorders>
          </w:tcPr>
          <w:p w:rsidR="00F379EC" w:rsidRPr="009E6E68" w:rsidRDefault="00DD14E0" w:rsidP="00F379EC">
            <w:pPr>
              <w:pStyle w:val="TableParagraph"/>
              <w:spacing w:before="6"/>
              <w:ind w:left="103"/>
              <w:rPr>
                <w:rFonts w:ascii="Times New Roman" w:hAnsi="Times New Roman" w:cs="Times New Roman"/>
                <w:b/>
              </w:rPr>
            </w:pPr>
            <w:r>
              <w:rPr>
                <w:rFonts w:ascii="Times New Roman" w:hAnsi="Times New Roman" w:cs="Times New Roman"/>
                <w:b/>
                <w:lang w:val="el-GR"/>
              </w:rPr>
              <w:t>Τενοφοβίρη δισο</w:t>
            </w:r>
            <w:r w:rsidR="00B13864" w:rsidRPr="009E6E68">
              <w:rPr>
                <w:rFonts w:ascii="Times New Roman" w:hAnsi="Times New Roman" w:cs="Times New Roman"/>
                <w:b/>
                <w:lang w:val="el-GR"/>
              </w:rPr>
              <w:t>πρόξιλη</w:t>
            </w:r>
          </w:p>
          <w:p w:rsidR="00645378" w:rsidRPr="009E6E68" w:rsidRDefault="00645378" w:rsidP="00B13864">
            <w:pPr>
              <w:pStyle w:val="TableParagraph"/>
              <w:spacing w:before="6"/>
              <w:ind w:left="103"/>
              <w:rPr>
                <w:rFonts w:ascii="Times New Roman" w:eastAsia="Times New Roman" w:hAnsi="Times New Roman" w:cs="Times New Roman"/>
              </w:rPr>
            </w:pPr>
          </w:p>
        </w:tc>
      </w:tr>
      <w:tr w:rsidR="00645378" w:rsidRPr="00EB273D">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7E7E7"/>
          </w:tcPr>
          <w:p w:rsidR="00645378" w:rsidRPr="009E6E68" w:rsidRDefault="007134E2">
            <w:pPr>
              <w:pStyle w:val="TableParagraph"/>
              <w:spacing w:before="1"/>
              <w:ind w:left="103"/>
              <w:rPr>
                <w:rFonts w:ascii="Times New Roman" w:eastAsia="Times New Roman" w:hAnsi="Times New Roman" w:cs="Times New Roman"/>
                <w:lang w:val="el-GR"/>
              </w:rPr>
            </w:pPr>
            <w:r w:rsidRPr="009E6E68">
              <w:rPr>
                <w:rFonts w:ascii="Times New Roman" w:hAnsi="Times New Roman" w:cs="Times New Roman"/>
                <w:i/>
                <w:lang w:val="el-GR"/>
              </w:rPr>
              <w:t>Διαταραχές του αιμοποιητικού και του λεμφικού</w:t>
            </w:r>
            <w:r w:rsidRPr="009E6E68">
              <w:rPr>
                <w:rFonts w:ascii="Times New Roman" w:hAnsi="Times New Roman" w:cs="Times New Roman"/>
                <w:i/>
                <w:spacing w:val="-3"/>
                <w:lang w:val="el-GR"/>
              </w:rPr>
              <w:t xml:space="preserve"> </w:t>
            </w:r>
            <w:r w:rsidRPr="009E6E68">
              <w:rPr>
                <w:rFonts w:ascii="Times New Roman" w:hAnsi="Times New Roman" w:cs="Times New Roman"/>
                <w:i/>
                <w:lang w:val="el-GR"/>
              </w:rPr>
              <w:t>συστήματος:</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ουδετεροπενία</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Όχι</w:t>
            </w:r>
            <w:r w:rsidRPr="009E6E68">
              <w:rPr>
                <w:rFonts w:ascii="Times New Roman" w:hAnsi="Times New Roman" w:cs="Times New Roman"/>
                <w:spacing w:val="1"/>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511BF8" w:rsidP="00B13864">
            <w:pPr>
              <w:pStyle w:val="TableParagraph"/>
              <w:spacing w:line="254" w:lineRule="exact"/>
              <w:ind w:left="103"/>
              <w:rPr>
                <w:rFonts w:ascii="Times New Roman" w:eastAsia="Times New Roman" w:hAnsi="Times New Roman" w:cs="Times New Roman"/>
                <w:lang w:val="el-GR"/>
              </w:rPr>
            </w:pPr>
            <w:r>
              <w:rPr>
                <w:rFonts w:ascii="Times New Roman" w:hAnsi="Times New Roman" w:cs="Times New Roman"/>
                <w:lang w:val="el-GR"/>
              </w:rPr>
              <w:t>α</w:t>
            </w:r>
            <w:r w:rsidR="00B13864" w:rsidRPr="009E6E68">
              <w:rPr>
                <w:rFonts w:ascii="Times New Roman" w:hAnsi="Times New Roman" w:cs="Times New Roman"/>
              </w:rPr>
              <w:t>ναιμί</w:t>
            </w:r>
            <w:r w:rsidR="00B13864" w:rsidRPr="009E6E68">
              <w:rPr>
                <w:rFonts w:ascii="Times New Roman" w:hAnsi="Times New Roman" w:cs="Times New Roman"/>
                <w:lang w:val="el-GR"/>
              </w:rPr>
              <w:t>α</w:t>
            </w:r>
            <w:r>
              <w:rPr>
                <w:rFonts w:ascii="Times New Roman" w:hAnsi="Times New Roman" w:cs="Times New Roman"/>
                <w:vertAlign w:val="superscript"/>
                <w:lang w:val="el-GR"/>
              </w:rPr>
              <w:t>2</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r>
      <w:tr w:rsidR="00645378" w:rsidRPr="009E6E68">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i/>
              </w:rPr>
              <w:t>Διαταραχές του ανοσοποιητικού</w:t>
            </w:r>
            <w:r w:rsidRPr="009E6E68">
              <w:rPr>
                <w:rFonts w:ascii="Times New Roman" w:hAnsi="Times New Roman" w:cs="Times New Roman"/>
                <w:i/>
                <w:spacing w:val="-5"/>
              </w:rPr>
              <w:t xml:space="preserve"> </w:t>
            </w:r>
            <w:r w:rsidRPr="009E6E68">
              <w:rPr>
                <w:rFonts w:ascii="Times New Roman" w:hAnsi="Times New Roman" w:cs="Times New Roman"/>
                <w:i/>
              </w:rPr>
              <w:t>συστήματος:</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αλλεργική αντίδραση</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r>
      <w:tr w:rsidR="00645378" w:rsidRPr="00EB273D">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1"/>
              <w:ind w:left="103"/>
              <w:rPr>
                <w:rFonts w:ascii="Times New Roman" w:eastAsia="Times New Roman" w:hAnsi="Times New Roman" w:cs="Times New Roman"/>
                <w:lang w:val="el-GR"/>
              </w:rPr>
            </w:pPr>
            <w:r w:rsidRPr="009E6E68">
              <w:rPr>
                <w:rFonts w:ascii="Times New Roman" w:hAnsi="Times New Roman" w:cs="Times New Roman"/>
                <w:i/>
                <w:lang w:val="el-GR"/>
              </w:rPr>
              <w:t>Διαταραχές του μεταβολισμού και της</w:t>
            </w:r>
            <w:r w:rsidRPr="009E6E68">
              <w:rPr>
                <w:rFonts w:ascii="Times New Roman" w:hAnsi="Times New Roman" w:cs="Times New Roman"/>
                <w:i/>
                <w:spacing w:val="-7"/>
                <w:lang w:val="el-GR"/>
              </w:rPr>
              <w:t xml:space="preserve"> </w:t>
            </w:r>
            <w:r w:rsidRPr="009E6E68">
              <w:rPr>
                <w:rFonts w:ascii="Times New Roman" w:hAnsi="Times New Roman" w:cs="Times New Roman"/>
                <w:i/>
                <w:lang w:val="el-GR"/>
              </w:rPr>
              <w:t>θρέψης:</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Πολύ</w:t>
            </w:r>
            <w:r w:rsidRPr="009E6E68">
              <w:rPr>
                <w:rFonts w:ascii="Times New Roman" w:hAnsi="Times New Roman" w:cs="Times New Roman"/>
                <w:spacing w:val="3"/>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511BF8" w:rsidP="00B13864">
            <w:pPr>
              <w:pStyle w:val="TableParagraph"/>
              <w:spacing w:line="254" w:lineRule="exact"/>
              <w:ind w:left="103"/>
              <w:rPr>
                <w:rFonts w:ascii="Times New Roman" w:eastAsia="Times New Roman" w:hAnsi="Times New Roman" w:cs="Times New Roman"/>
                <w:lang w:val="el-GR"/>
              </w:rPr>
            </w:pPr>
            <w:r>
              <w:rPr>
                <w:rFonts w:ascii="Times New Roman" w:hAnsi="Times New Roman" w:cs="Times New Roman"/>
                <w:lang w:val="el-GR"/>
              </w:rPr>
              <w:t>υ</w:t>
            </w:r>
            <w:r w:rsidR="007134E2" w:rsidRPr="009E6E68">
              <w:rPr>
                <w:rFonts w:ascii="Times New Roman" w:hAnsi="Times New Roman" w:cs="Times New Roman"/>
              </w:rPr>
              <w:t>ποφωσφατ</w:t>
            </w:r>
            <w:r w:rsidR="00B13864" w:rsidRPr="009E6E68">
              <w:rPr>
                <w:rFonts w:ascii="Times New Roman" w:hAnsi="Times New Roman" w:cs="Times New Roman"/>
              </w:rPr>
              <w:t>αιμί</w:t>
            </w:r>
            <w:r w:rsidR="00B13864" w:rsidRPr="009E6E68">
              <w:rPr>
                <w:rFonts w:ascii="Times New Roman" w:hAnsi="Times New Roman" w:cs="Times New Roman"/>
                <w:lang w:val="el-GR"/>
              </w:rPr>
              <w:t>α</w:t>
            </w:r>
            <w:r w:rsidR="00B13864" w:rsidRPr="009E6E68">
              <w:rPr>
                <w:rFonts w:ascii="Times New Roman" w:hAnsi="Times New Roman" w:cs="Times New Roman"/>
                <w:vertAlign w:val="superscript"/>
                <w:lang w:val="el-GR"/>
              </w:rPr>
              <w:t>1</w:t>
            </w:r>
          </w:p>
        </w:tc>
      </w:tr>
      <w:tr w:rsidR="00645378" w:rsidRPr="009E6E68">
        <w:trPr>
          <w:trHeight w:hRule="exact" w:val="528"/>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30"/>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line="244" w:lineRule="auto"/>
              <w:ind w:left="103" w:right="1321"/>
              <w:rPr>
                <w:rFonts w:ascii="Times New Roman" w:eastAsia="Times New Roman" w:hAnsi="Times New Roman" w:cs="Times New Roman"/>
              </w:rPr>
            </w:pPr>
            <w:r w:rsidRPr="009E6E68">
              <w:rPr>
                <w:rFonts w:ascii="Times New Roman" w:hAnsi="Times New Roman" w:cs="Times New Roman"/>
              </w:rPr>
              <w:t>υπεργλυκαιμία, υπερτριγλυκεριδαιμία</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Όχι</w:t>
            </w:r>
            <w:r w:rsidRPr="009E6E68">
              <w:rPr>
                <w:rFonts w:ascii="Times New Roman" w:hAnsi="Times New Roman" w:cs="Times New Roman"/>
                <w:spacing w:val="1"/>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511BF8">
            <w:pPr>
              <w:pStyle w:val="TableParagraph"/>
              <w:spacing w:line="254" w:lineRule="exact"/>
              <w:ind w:left="103"/>
              <w:rPr>
                <w:rFonts w:ascii="Times New Roman" w:eastAsia="Times New Roman" w:hAnsi="Times New Roman" w:cs="Times New Roman"/>
                <w:lang w:val="el-GR"/>
              </w:rPr>
            </w:pPr>
            <w:r>
              <w:rPr>
                <w:rFonts w:ascii="Times New Roman" w:hAnsi="Times New Roman" w:cs="Times New Roman"/>
                <w:lang w:val="el-GR"/>
              </w:rPr>
              <w:t>υ</w:t>
            </w:r>
            <w:r w:rsidR="00B13864" w:rsidRPr="009E6E68">
              <w:rPr>
                <w:rFonts w:ascii="Times New Roman" w:hAnsi="Times New Roman" w:cs="Times New Roman"/>
              </w:rPr>
              <w:t>ποκαλιαιμί</w:t>
            </w:r>
            <w:r w:rsidR="00B13864" w:rsidRPr="009E6E68">
              <w:rPr>
                <w:rFonts w:ascii="Times New Roman" w:hAnsi="Times New Roman" w:cs="Times New Roman"/>
                <w:lang w:val="el-GR"/>
              </w:rPr>
              <w:t>α</w:t>
            </w:r>
            <w:r w:rsidR="00B13864" w:rsidRPr="009E6E68">
              <w:rPr>
                <w:rFonts w:ascii="Times New Roman" w:hAnsi="Times New Roman" w:cs="Times New Roman"/>
                <w:vertAlign w:val="superscript"/>
                <w:lang w:val="el-GR"/>
              </w:rPr>
              <w:t>1</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Σπάνιες: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γαλακτική</w:t>
            </w:r>
            <w:r w:rsidRPr="009E6E68">
              <w:rPr>
                <w:rFonts w:ascii="Times New Roman" w:hAnsi="Times New Roman" w:cs="Times New Roman"/>
                <w:spacing w:val="1"/>
              </w:rPr>
              <w:t xml:space="preserve"> </w:t>
            </w:r>
            <w:r w:rsidRPr="009E6E68">
              <w:rPr>
                <w:rFonts w:ascii="Times New Roman" w:hAnsi="Times New Roman" w:cs="Times New Roman"/>
              </w:rPr>
              <w:t>οξέωση</w:t>
            </w:r>
          </w:p>
        </w:tc>
      </w:tr>
      <w:tr w:rsidR="00645378" w:rsidRPr="009E6E68">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i/>
              </w:rPr>
              <w:t>Ψυχιατρικές</w:t>
            </w:r>
            <w:r w:rsidRPr="009E6E68">
              <w:rPr>
                <w:rFonts w:ascii="Times New Roman" w:hAnsi="Times New Roman" w:cs="Times New Roman"/>
                <w:i/>
                <w:spacing w:val="-7"/>
              </w:rPr>
              <w:t xml:space="preserve"> </w:t>
            </w:r>
            <w:r w:rsidRPr="009E6E68">
              <w:rPr>
                <w:rFonts w:ascii="Times New Roman" w:hAnsi="Times New Roman" w:cs="Times New Roman"/>
                <w:i/>
              </w:rPr>
              <w:t>διαταραχές:</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αϋπνία, μη φυσιολογικά</w:t>
            </w:r>
            <w:r w:rsidRPr="009E6E68">
              <w:rPr>
                <w:rFonts w:ascii="Times New Roman" w:hAnsi="Times New Roman" w:cs="Times New Roman"/>
                <w:spacing w:val="4"/>
              </w:rPr>
              <w:t xml:space="preserve"> </w:t>
            </w:r>
            <w:r w:rsidRPr="009E6E68">
              <w:rPr>
                <w:rFonts w:ascii="Times New Roman" w:hAnsi="Times New Roman" w:cs="Times New Roman"/>
              </w:rPr>
              <w:t>όνειρα</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r>
      <w:tr w:rsidR="00645378" w:rsidRPr="009E6E68">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i/>
              </w:rPr>
              <w:t>Διαταραχές του νευρικού</w:t>
            </w:r>
            <w:r w:rsidRPr="009E6E68">
              <w:rPr>
                <w:rFonts w:ascii="Times New Roman" w:hAnsi="Times New Roman" w:cs="Times New Roman"/>
                <w:i/>
                <w:spacing w:val="-7"/>
              </w:rPr>
              <w:t xml:space="preserve"> </w:t>
            </w:r>
            <w:r w:rsidRPr="009E6E68">
              <w:rPr>
                <w:rFonts w:ascii="Times New Roman" w:hAnsi="Times New Roman" w:cs="Times New Roman"/>
                <w:i/>
              </w:rPr>
              <w:t>συστήματος:</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Πολύ</w:t>
            </w:r>
            <w:r w:rsidRPr="009E6E68">
              <w:rPr>
                <w:rFonts w:ascii="Times New Roman" w:hAnsi="Times New Roman" w:cs="Times New Roman"/>
                <w:spacing w:val="3"/>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κεφαλαλγία</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ζάλη</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ζάλη</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κεφαλαλγία</w:t>
            </w:r>
          </w:p>
        </w:tc>
      </w:tr>
      <w:tr w:rsidR="00645378" w:rsidRPr="009E6E68">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i/>
              </w:rPr>
              <w:t>Διαταραχές του</w:t>
            </w:r>
            <w:r w:rsidRPr="009E6E68">
              <w:rPr>
                <w:rFonts w:ascii="Times New Roman" w:hAnsi="Times New Roman" w:cs="Times New Roman"/>
                <w:i/>
                <w:spacing w:val="-7"/>
              </w:rPr>
              <w:t xml:space="preserve"> </w:t>
            </w:r>
            <w:r w:rsidRPr="009E6E68">
              <w:rPr>
                <w:rFonts w:ascii="Times New Roman" w:hAnsi="Times New Roman" w:cs="Times New Roman"/>
                <w:i/>
              </w:rPr>
              <w:t>γαστρεντερικού:</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Πολύ</w:t>
            </w:r>
            <w:r w:rsidRPr="009E6E68">
              <w:rPr>
                <w:rFonts w:ascii="Times New Roman" w:hAnsi="Times New Roman" w:cs="Times New Roman"/>
                <w:spacing w:val="3"/>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διάρροια,</w:t>
            </w:r>
            <w:r w:rsidRPr="009E6E68">
              <w:rPr>
                <w:rFonts w:ascii="Times New Roman" w:hAnsi="Times New Roman" w:cs="Times New Roman"/>
                <w:spacing w:val="3"/>
              </w:rPr>
              <w:t xml:space="preserve"> </w:t>
            </w:r>
            <w:r w:rsidRPr="009E6E68">
              <w:rPr>
                <w:rFonts w:ascii="Times New Roman" w:hAnsi="Times New Roman" w:cs="Times New Roman"/>
              </w:rPr>
              <w:t>ναυτία</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διάρροια, έμετος,</w:t>
            </w:r>
            <w:r w:rsidRPr="009E6E68">
              <w:rPr>
                <w:rFonts w:ascii="Times New Roman" w:hAnsi="Times New Roman" w:cs="Times New Roman"/>
                <w:spacing w:val="1"/>
              </w:rPr>
              <w:t xml:space="preserve"> </w:t>
            </w:r>
            <w:r w:rsidRPr="009E6E68">
              <w:rPr>
                <w:rFonts w:ascii="Times New Roman" w:hAnsi="Times New Roman" w:cs="Times New Roman"/>
              </w:rPr>
              <w:t>ναυτία</w:t>
            </w:r>
          </w:p>
        </w:tc>
      </w:tr>
      <w:tr w:rsidR="00645378" w:rsidRPr="00EB273D">
        <w:trPr>
          <w:trHeight w:hRule="exact" w:val="1306"/>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645378">
            <w:pPr>
              <w:pStyle w:val="TableParagraph"/>
              <w:rPr>
                <w:rFonts w:ascii="Times New Roman" w:eastAsia="Times New Roman" w:hAnsi="Times New Roman" w:cs="Times New Roman"/>
                <w:b/>
                <w:bCs/>
              </w:rPr>
            </w:pPr>
          </w:p>
          <w:p w:rsidR="00645378" w:rsidRPr="009E6E68" w:rsidRDefault="00645378">
            <w:pPr>
              <w:pStyle w:val="TableParagraph"/>
              <w:spacing w:before="2"/>
              <w:rPr>
                <w:rFonts w:ascii="Times New Roman" w:eastAsia="Times New Roman" w:hAnsi="Times New Roman" w:cs="Times New Roman"/>
                <w:b/>
                <w:bCs/>
              </w:rPr>
            </w:pPr>
          </w:p>
          <w:p w:rsidR="00645378" w:rsidRPr="009E6E68" w:rsidRDefault="007134E2">
            <w:pPr>
              <w:pStyle w:val="TableParagraph"/>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line="244" w:lineRule="auto"/>
              <w:ind w:left="103" w:right="133"/>
              <w:rPr>
                <w:rFonts w:ascii="Times New Roman" w:eastAsia="Times New Roman" w:hAnsi="Times New Roman" w:cs="Times New Roman"/>
                <w:lang w:val="el-GR"/>
              </w:rPr>
            </w:pPr>
            <w:r w:rsidRPr="009E6E68">
              <w:rPr>
                <w:rFonts w:ascii="Times New Roman" w:hAnsi="Times New Roman" w:cs="Times New Roman"/>
                <w:lang w:val="el-GR"/>
              </w:rPr>
              <w:t>αυξημένα επίπεδα</w:t>
            </w:r>
            <w:r w:rsidRPr="009E6E68">
              <w:rPr>
                <w:rFonts w:ascii="Times New Roman" w:hAnsi="Times New Roman" w:cs="Times New Roman"/>
                <w:spacing w:val="-3"/>
                <w:lang w:val="el-GR"/>
              </w:rPr>
              <w:t xml:space="preserve"> </w:t>
            </w:r>
            <w:r w:rsidRPr="009E6E68">
              <w:rPr>
                <w:rFonts w:ascii="Times New Roman" w:hAnsi="Times New Roman" w:cs="Times New Roman"/>
                <w:lang w:val="el-GR"/>
              </w:rPr>
              <w:t>αμυλάσης συμπεριλαμβανομένης</w:t>
            </w:r>
            <w:r w:rsidRPr="009E6E68">
              <w:rPr>
                <w:rFonts w:ascii="Times New Roman" w:hAnsi="Times New Roman" w:cs="Times New Roman"/>
                <w:spacing w:val="-1"/>
                <w:lang w:val="el-GR"/>
              </w:rPr>
              <w:t xml:space="preserve"> </w:t>
            </w:r>
            <w:r w:rsidRPr="009E6E68">
              <w:rPr>
                <w:rFonts w:ascii="Times New Roman" w:hAnsi="Times New Roman" w:cs="Times New Roman"/>
                <w:lang w:val="el-GR"/>
              </w:rPr>
              <w:t>της παγκρεατικής αμυλάσης,</w:t>
            </w:r>
            <w:r w:rsidRPr="009E6E68">
              <w:rPr>
                <w:rFonts w:ascii="Times New Roman" w:hAnsi="Times New Roman" w:cs="Times New Roman"/>
                <w:spacing w:val="-4"/>
                <w:lang w:val="el-GR"/>
              </w:rPr>
              <w:t xml:space="preserve"> </w:t>
            </w:r>
            <w:r w:rsidRPr="009E6E68">
              <w:rPr>
                <w:rFonts w:ascii="Times New Roman" w:hAnsi="Times New Roman" w:cs="Times New Roman"/>
                <w:lang w:val="el-GR"/>
              </w:rPr>
              <w:t>αυξημένα επίπεδα λιπάσης ορού,</w:t>
            </w:r>
            <w:r w:rsidRPr="009E6E68">
              <w:rPr>
                <w:rFonts w:ascii="Times New Roman" w:hAnsi="Times New Roman" w:cs="Times New Roman"/>
                <w:spacing w:val="-3"/>
                <w:lang w:val="el-GR"/>
              </w:rPr>
              <w:t xml:space="preserve"> </w:t>
            </w:r>
            <w:r w:rsidRPr="009E6E68">
              <w:rPr>
                <w:rFonts w:ascii="Times New Roman" w:hAnsi="Times New Roman" w:cs="Times New Roman"/>
                <w:lang w:val="el-GR"/>
              </w:rPr>
              <w:t>έμετος, κοιλιακό άλγος, δυσπεψία</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pStyle w:val="TableParagraph"/>
              <w:rPr>
                <w:rFonts w:ascii="Times New Roman" w:eastAsia="Times New Roman" w:hAnsi="Times New Roman" w:cs="Times New Roman"/>
                <w:b/>
                <w:bCs/>
                <w:lang w:val="el-GR"/>
              </w:rPr>
            </w:pPr>
          </w:p>
          <w:p w:rsidR="00645378" w:rsidRPr="009E6E68" w:rsidRDefault="007134E2">
            <w:pPr>
              <w:pStyle w:val="TableParagraph"/>
              <w:spacing w:before="137" w:line="244" w:lineRule="auto"/>
              <w:ind w:left="103" w:right="185"/>
              <w:rPr>
                <w:rFonts w:ascii="Times New Roman" w:eastAsia="Times New Roman" w:hAnsi="Times New Roman" w:cs="Times New Roman"/>
                <w:lang w:val="el-GR"/>
              </w:rPr>
            </w:pPr>
            <w:r w:rsidRPr="009E6E68">
              <w:rPr>
                <w:rFonts w:ascii="Times New Roman" w:hAnsi="Times New Roman" w:cs="Times New Roman"/>
                <w:lang w:val="el-GR"/>
              </w:rPr>
              <w:t>κοιλιακό άλγος, κοιλιακή</w:t>
            </w:r>
            <w:r w:rsidRPr="009E6E68">
              <w:rPr>
                <w:rFonts w:ascii="Times New Roman" w:hAnsi="Times New Roman" w:cs="Times New Roman"/>
                <w:spacing w:val="-4"/>
                <w:lang w:val="el-GR"/>
              </w:rPr>
              <w:t xml:space="preserve"> </w:t>
            </w:r>
            <w:r w:rsidRPr="009E6E68">
              <w:rPr>
                <w:rFonts w:ascii="Times New Roman" w:hAnsi="Times New Roman" w:cs="Times New Roman"/>
                <w:lang w:val="el-GR"/>
              </w:rPr>
              <w:t>διάταση, μετεωρισμός</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Όχι</w:t>
            </w:r>
            <w:r w:rsidRPr="009E6E68">
              <w:rPr>
                <w:rFonts w:ascii="Times New Roman" w:hAnsi="Times New Roman" w:cs="Times New Roman"/>
                <w:spacing w:val="1"/>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511BF8" w:rsidRDefault="00511BF8">
            <w:pPr>
              <w:pStyle w:val="TableParagraph"/>
              <w:spacing w:before="1"/>
              <w:ind w:left="103"/>
              <w:rPr>
                <w:rFonts w:ascii="Times New Roman" w:eastAsia="Times New Roman" w:hAnsi="Times New Roman" w:cs="Times New Roman"/>
                <w:lang w:val="el-GR"/>
              </w:rPr>
            </w:pPr>
            <w:r>
              <w:rPr>
                <w:rFonts w:ascii="Times New Roman" w:hAnsi="Times New Roman" w:cs="Times New Roman"/>
                <w:lang w:val="el-GR"/>
              </w:rPr>
              <w:t>π</w:t>
            </w:r>
            <w:r>
              <w:rPr>
                <w:rFonts w:ascii="Times New Roman" w:hAnsi="Times New Roman" w:cs="Times New Roman"/>
              </w:rPr>
              <w:t>αγκρεατίτιδ</w:t>
            </w:r>
            <w:r>
              <w:rPr>
                <w:rFonts w:ascii="Times New Roman" w:hAnsi="Times New Roman" w:cs="Times New Roman"/>
                <w:lang w:val="el-GR"/>
              </w:rPr>
              <w:t>α</w:t>
            </w:r>
          </w:p>
        </w:tc>
      </w:tr>
      <w:tr w:rsidR="00645378" w:rsidRPr="00EB273D">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1"/>
              <w:ind w:left="103"/>
              <w:rPr>
                <w:rFonts w:ascii="Times New Roman" w:eastAsia="Times New Roman" w:hAnsi="Times New Roman" w:cs="Times New Roman"/>
                <w:lang w:val="el-GR"/>
              </w:rPr>
            </w:pPr>
            <w:r w:rsidRPr="009E6E68">
              <w:rPr>
                <w:rFonts w:ascii="Times New Roman" w:hAnsi="Times New Roman" w:cs="Times New Roman"/>
                <w:i/>
                <w:lang w:val="el-GR"/>
              </w:rPr>
              <w:t>Διαταραχές του ήπατος και των</w:t>
            </w:r>
            <w:r w:rsidRPr="009E6E68">
              <w:rPr>
                <w:rFonts w:ascii="Times New Roman" w:hAnsi="Times New Roman" w:cs="Times New Roman"/>
                <w:i/>
                <w:spacing w:val="-2"/>
                <w:lang w:val="el-GR"/>
              </w:rPr>
              <w:t xml:space="preserve"> </w:t>
            </w:r>
            <w:r w:rsidRPr="009E6E68">
              <w:rPr>
                <w:rFonts w:ascii="Times New Roman" w:hAnsi="Times New Roman" w:cs="Times New Roman"/>
                <w:i/>
                <w:lang w:val="el-GR"/>
              </w:rPr>
              <w:t>χοληφόρων:</w:t>
            </w:r>
          </w:p>
        </w:tc>
      </w:tr>
      <w:tr w:rsidR="00645378" w:rsidRPr="009E6E68">
        <w:trPr>
          <w:trHeight w:hRule="exact" w:val="1565"/>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645378">
            <w:pPr>
              <w:pStyle w:val="TableParagraph"/>
              <w:rPr>
                <w:rFonts w:ascii="Times New Roman" w:eastAsia="Times New Roman" w:hAnsi="Times New Roman" w:cs="Times New Roman"/>
                <w:b/>
                <w:bCs/>
                <w:lang w:val="el-GR"/>
              </w:rPr>
            </w:pPr>
          </w:p>
          <w:p w:rsidR="00645378" w:rsidRPr="009E6E68" w:rsidRDefault="00645378">
            <w:pPr>
              <w:pStyle w:val="TableParagraph"/>
              <w:rPr>
                <w:rFonts w:ascii="Times New Roman" w:eastAsia="Times New Roman" w:hAnsi="Times New Roman" w:cs="Times New Roman"/>
                <w:b/>
                <w:bCs/>
                <w:lang w:val="el-GR"/>
              </w:rPr>
            </w:pPr>
          </w:p>
          <w:p w:rsidR="00645378" w:rsidRPr="009E6E68" w:rsidRDefault="007134E2">
            <w:pPr>
              <w:pStyle w:val="TableParagraph"/>
              <w:spacing w:before="143"/>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rsidP="00B078B0">
            <w:pPr>
              <w:pStyle w:val="TableParagraph"/>
              <w:spacing w:before="1" w:line="244" w:lineRule="auto"/>
              <w:ind w:left="103" w:right="258"/>
              <w:rPr>
                <w:rFonts w:ascii="Times New Roman" w:eastAsia="Times New Roman" w:hAnsi="Times New Roman" w:cs="Times New Roman"/>
                <w:lang w:val="el-GR"/>
              </w:rPr>
            </w:pPr>
            <w:r w:rsidRPr="009E6E68">
              <w:rPr>
                <w:rFonts w:ascii="Times New Roman" w:hAnsi="Times New Roman" w:cs="Times New Roman"/>
                <w:lang w:val="el-GR"/>
              </w:rPr>
              <w:t>αυξημένα επίπεδα</w:t>
            </w:r>
            <w:r w:rsidRPr="009E6E68">
              <w:rPr>
                <w:rFonts w:ascii="Times New Roman" w:hAnsi="Times New Roman" w:cs="Times New Roman"/>
                <w:spacing w:val="-3"/>
                <w:lang w:val="el-GR"/>
              </w:rPr>
              <w:t xml:space="preserve"> </w:t>
            </w:r>
            <w:r w:rsidRPr="009E6E68">
              <w:rPr>
                <w:rFonts w:ascii="Times New Roman" w:hAnsi="Times New Roman" w:cs="Times New Roman"/>
                <w:lang w:val="el-GR"/>
              </w:rPr>
              <w:t>ασπαρτικής αμινοτρανσφεράσης (</w:t>
            </w:r>
            <w:r w:rsidRPr="009E6E68">
              <w:rPr>
                <w:rFonts w:ascii="Times New Roman" w:hAnsi="Times New Roman" w:cs="Times New Roman"/>
              </w:rPr>
              <w:t>AST</w:t>
            </w:r>
            <w:r w:rsidRPr="009E6E68">
              <w:rPr>
                <w:rFonts w:ascii="Times New Roman" w:hAnsi="Times New Roman" w:cs="Times New Roman"/>
                <w:lang w:val="el-GR"/>
              </w:rPr>
              <w:t>) στον</w:t>
            </w:r>
            <w:r w:rsidRPr="009E6E68">
              <w:rPr>
                <w:rFonts w:ascii="Times New Roman" w:hAnsi="Times New Roman" w:cs="Times New Roman"/>
                <w:spacing w:val="-51"/>
                <w:lang w:val="el-GR"/>
              </w:rPr>
              <w:t xml:space="preserve"> </w:t>
            </w:r>
            <w:r w:rsidRPr="009E6E68">
              <w:rPr>
                <w:rFonts w:ascii="Times New Roman" w:hAnsi="Times New Roman" w:cs="Times New Roman"/>
                <w:lang w:val="el-GR"/>
              </w:rPr>
              <w:t>ορό ή/και αυξημένα</w:t>
            </w:r>
            <w:r w:rsidRPr="009E6E68">
              <w:rPr>
                <w:rFonts w:ascii="Times New Roman" w:hAnsi="Times New Roman" w:cs="Times New Roman"/>
                <w:spacing w:val="-2"/>
                <w:lang w:val="el-GR"/>
              </w:rPr>
              <w:t xml:space="preserve"> </w:t>
            </w:r>
            <w:r w:rsidRPr="009E6E68">
              <w:rPr>
                <w:rFonts w:ascii="Times New Roman" w:hAnsi="Times New Roman" w:cs="Times New Roman"/>
                <w:lang w:val="el-GR"/>
              </w:rPr>
              <w:t>επίπεδα αμινοτρανσφεράσης της αλανίνης (</w:t>
            </w:r>
            <w:r w:rsidRPr="009E6E68">
              <w:rPr>
                <w:rFonts w:ascii="Times New Roman" w:hAnsi="Times New Roman" w:cs="Times New Roman"/>
              </w:rPr>
              <w:t>ALT</w:t>
            </w:r>
            <w:r w:rsidRPr="009E6E68">
              <w:rPr>
                <w:rFonts w:ascii="Times New Roman" w:hAnsi="Times New Roman" w:cs="Times New Roman"/>
                <w:lang w:val="el-GR"/>
              </w:rPr>
              <w:t>) στον ορό,</w:t>
            </w:r>
            <w:r w:rsidR="00B078B0">
              <w:rPr>
                <w:rFonts w:ascii="Times New Roman" w:hAnsi="Times New Roman" w:cs="Times New Roman"/>
                <w:spacing w:val="-49"/>
                <w:lang w:val="el-GR"/>
              </w:rPr>
              <w:t xml:space="preserve"> υ</w:t>
            </w:r>
            <w:r w:rsidRPr="009E6E68">
              <w:rPr>
                <w:rFonts w:ascii="Times New Roman" w:hAnsi="Times New Roman" w:cs="Times New Roman"/>
                <w:lang w:val="el-GR"/>
              </w:rPr>
              <w:t>περχολερυθριναιμία</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pStyle w:val="TableParagraph"/>
              <w:rPr>
                <w:rFonts w:ascii="Times New Roman" w:eastAsia="Times New Roman" w:hAnsi="Times New Roman" w:cs="Times New Roman"/>
                <w:b/>
                <w:bCs/>
                <w:lang w:val="el-GR"/>
              </w:rPr>
            </w:pPr>
          </w:p>
          <w:p w:rsidR="00645378" w:rsidRPr="009E6E68" w:rsidRDefault="00645378">
            <w:pPr>
              <w:pStyle w:val="TableParagraph"/>
              <w:rPr>
                <w:rFonts w:ascii="Times New Roman" w:eastAsia="Times New Roman" w:hAnsi="Times New Roman" w:cs="Times New Roman"/>
                <w:b/>
                <w:bCs/>
                <w:lang w:val="el-GR"/>
              </w:rPr>
            </w:pPr>
          </w:p>
          <w:p w:rsidR="00645378" w:rsidRPr="009E6E68" w:rsidRDefault="007134E2">
            <w:pPr>
              <w:pStyle w:val="TableParagraph"/>
              <w:spacing w:before="143"/>
              <w:ind w:left="103"/>
              <w:rPr>
                <w:rFonts w:ascii="Times New Roman" w:eastAsia="Times New Roman" w:hAnsi="Times New Roman" w:cs="Times New Roman"/>
              </w:rPr>
            </w:pPr>
            <w:r w:rsidRPr="009E6E68">
              <w:rPr>
                <w:rFonts w:ascii="Times New Roman" w:hAnsi="Times New Roman" w:cs="Times New Roman"/>
              </w:rPr>
              <w:t>αυξημένα επίπεδα</w:t>
            </w:r>
            <w:r w:rsidRPr="009E6E68">
              <w:rPr>
                <w:rFonts w:ascii="Times New Roman" w:hAnsi="Times New Roman" w:cs="Times New Roman"/>
                <w:spacing w:val="-3"/>
              </w:rPr>
              <w:t xml:space="preserve"> </w:t>
            </w:r>
            <w:r w:rsidRPr="009E6E68">
              <w:rPr>
                <w:rFonts w:ascii="Times New Roman" w:hAnsi="Times New Roman" w:cs="Times New Roman"/>
              </w:rPr>
              <w:t>τρανσαμινασών</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
              <w:ind w:left="103"/>
              <w:rPr>
                <w:rFonts w:ascii="Times New Roman" w:eastAsia="Times New Roman" w:hAnsi="Times New Roman" w:cs="Times New Roman"/>
              </w:rPr>
            </w:pPr>
            <w:r w:rsidRPr="009E6E68">
              <w:rPr>
                <w:rFonts w:ascii="Times New Roman" w:hAnsi="Times New Roman" w:cs="Times New Roman"/>
              </w:rPr>
              <w:t>Σπάνιες: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511BF8">
            <w:pPr>
              <w:pStyle w:val="TableParagraph"/>
              <w:spacing w:before="1"/>
              <w:ind w:left="103"/>
              <w:rPr>
                <w:rFonts w:ascii="Times New Roman" w:eastAsia="Times New Roman" w:hAnsi="Times New Roman" w:cs="Times New Roman"/>
              </w:rPr>
            </w:pPr>
            <w:r>
              <w:rPr>
                <w:rFonts w:ascii="Times New Roman" w:hAnsi="Times New Roman" w:cs="Times New Roman"/>
              </w:rPr>
              <w:t>ηπατική στεάτωσ</w:t>
            </w:r>
            <w:r>
              <w:rPr>
                <w:rFonts w:ascii="Times New Roman" w:hAnsi="Times New Roman" w:cs="Times New Roman"/>
                <w:lang w:val="el-GR"/>
              </w:rPr>
              <w:t>η,</w:t>
            </w:r>
            <w:r w:rsidR="007134E2" w:rsidRPr="009E6E68">
              <w:rPr>
                <w:rFonts w:ascii="Times New Roman" w:hAnsi="Times New Roman" w:cs="Times New Roman"/>
                <w:spacing w:val="-3"/>
              </w:rPr>
              <w:t xml:space="preserve"> </w:t>
            </w:r>
            <w:r w:rsidR="007134E2" w:rsidRPr="009E6E68">
              <w:rPr>
                <w:rFonts w:ascii="Times New Roman" w:hAnsi="Times New Roman" w:cs="Times New Roman"/>
              </w:rPr>
              <w:t>ηπατίτιδα</w:t>
            </w:r>
          </w:p>
        </w:tc>
      </w:tr>
      <w:tr w:rsidR="00645378" w:rsidRPr="00EB273D">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8"/>
              <w:ind w:left="103"/>
              <w:rPr>
                <w:rFonts w:ascii="Times New Roman" w:eastAsia="Times New Roman" w:hAnsi="Times New Roman" w:cs="Times New Roman"/>
                <w:lang w:val="el-GR"/>
              </w:rPr>
            </w:pPr>
            <w:r w:rsidRPr="009E6E68">
              <w:rPr>
                <w:rFonts w:ascii="Times New Roman" w:hAnsi="Times New Roman" w:cs="Times New Roman"/>
                <w:i/>
                <w:lang w:val="el-GR"/>
              </w:rPr>
              <w:t>Διαταραχές του δέρματος και του υποδόριου</w:t>
            </w:r>
            <w:r w:rsidRPr="009E6E68">
              <w:rPr>
                <w:rFonts w:ascii="Times New Roman" w:hAnsi="Times New Roman" w:cs="Times New Roman"/>
                <w:i/>
                <w:spacing w:val="-5"/>
                <w:lang w:val="el-GR"/>
              </w:rPr>
              <w:t xml:space="preserve"> </w:t>
            </w:r>
            <w:r w:rsidRPr="009E6E68">
              <w:rPr>
                <w:rFonts w:ascii="Times New Roman" w:hAnsi="Times New Roman" w:cs="Times New Roman"/>
                <w:i/>
                <w:lang w:val="el-GR"/>
              </w:rPr>
              <w:t>ιστού:</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Πολύ</w:t>
            </w:r>
            <w:r w:rsidRPr="009E6E68">
              <w:rPr>
                <w:rFonts w:ascii="Times New Roman" w:hAnsi="Times New Roman" w:cs="Times New Roman"/>
                <w:spacing w:val="3"/>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εξάνθημα</w:t>
            </w:r>
          </w:p>
        </w:tc>
      </w:tr>
      <w:tr w:rsidR="00645378" w:rsidRPr="00EB273D">
        <w:trPr>
          <w:trHeight w:hRule="exact" w:val="1565"/>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645378">
            <w:pPr>
              <w:pStyle w:val="TableParagraph"/>
              <w:rPr>
                <w:rFonts w:ascii="Times New Roman" w:eastAsia="Times New Roman" w:hAnsi="Times New Roman" w:cs="Times New Roman"/>
                <w:b/>
                <w:bCs/>
              </w:rPr>
            </w:pPr>
          </w:p>
          <w:p w:rsidR="00645378" w:rsidRPr="009E6E68" w:rsidRDefault="00645378">
            <w:pPr>
              <w:pStyle w:val="TableParagraph"/>
              <w:rPr>
                <w:rFonts w:ascii="Times New Roman" w:eastAsia="Times New Roman" w:hAnsi="Times New Roman" w:cs="Times New Roman"/>
                <w:b/>
                <w:bCs/>
              </w:rPr>
            </w:pPr>
          </w:p>
          <w:p w:rsidR="00645378" w:rsidRPr="009E6E68" w:rsidRDefault="007134E2">
            <w:pPr>
              <w:pStyle w:val="TableParagraph"/>
              <w:spacing w:before="151"/>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ight="319"/>
              <w:rPr>
                <w:rFonts w:ascii="Times New Roman" w:eastAsia="Times New Roman" w:hAnsi="Times New Roman" w:cs="Times New Roman"/>
                <w:lang w:val="el-GR"/>
              </w:rPr>
            </w:pPr>
            <w:r w:rsidRPr="009E6E68">
              <w:rPr>
                <w:rFonts w:ascii="Times New Roman" w:hAnsi="Times New Roman" w:cs="Times New Roman"/>
                <w:lang w:val="el-GR"/>
              </w:rPr>
              <w:t>κυστικό-φυσαλλιδωτό</w:t>
            </w:r>
            <w:r w:rsidRPr="009E6E68">
              <w:rPr>
                <w:rFonts w:ascii="Times New Roman" w:hAnsi="Times New Roman" w:cs="Times New Roman"/>
                <w:spacing w:val="-1"/>
                <w:lang w:val="el-GR"/>
              </w:rPr>
              <w:t xml:space="preserve"> </w:t>
            </w:r>
            <w:r w:rsidRPr="009E6E68">
              <w:rPr>
                <w:rFonts w:ascii="Times New Roman" w:hAnsi="Times New Roman" w:cs="Times New Roman"/>
                <w:lang w:val="el-GR"/>
              </w:rPr>
              <w:t>εξάνθημα, φλυκταινώδες</w:t>
            </w:r>
            <w:r w:rsidRPr="009E6E68">
              <w:rPr>
                <w:rFonts w:ascii="Times New Roman" w:hAnsi="Times New Roman" w:cs="Times New Roman"/>
                <w:spacing w:val="-1"/>
                <w:lang w:val="el-GR"/>
              </w:rPr>
              <w:t xml:space="preserve"> </w:t>
            </w:r>
            <w:r w:rsidRPr="009E6E68">
              <w:rPr>
                <w:rFonts w:ascii="Times New Roman" w:hAnsi="Times New Roman" w:cs="Times New Roman"/>
                <w:lang w:val="el-GR"/>
              </w:rPr>
              <w:t>εξάνθημα, κηλιδοβλατιδώδες</w:t>
            </w:r>
            <w:r w:rsidRPr="009E6E68">
              <w:rPr>
                <w:rFonts w:ascii="Times New Roman" w:hAnsi="Times New Roman" w:cs="Times New Roman"/>
                <w:spacing w:val="-2"/>
                <w:lang w:val="el-GR"/>
              </w:rPr>
              <w:t xml:space="preserve"> </w:t>
            </w:r>
            <w:r w:rsidRPr="009E6E68">
              <w:rPr>
                <w:rFonts w:ascii="Times New Roman" w:hAnsi="Times New Roman" w:cs="Times New Roman"/>
                <w:lang w:val="el-GR"/>
              </w:rPr>
              <w:t>εξάνθημα, εξάνθημα, κνησμός,</w:t>
            </w:r>
            <w:r w:rsidRPr="009E6E68">
              <w:rPr>
                <w:rFonts w:ascii="Times New Roman" w:hAnsi="Times New Roman" w:cs="Times New Roman"/>
                <w:spacing w:val="-3"/>
                <w:lang w:val="el-GR"/>
              </w:rPr>
              <w:t xml:space="preserve"> </w:t>
            </w:r>
            <w:r w:rsidRPr="009E6E68">
              <w:rPr>
                <w:rFonts w:ascii="Times New Roman" w:hAnsi="Times New Roman" w:cs="Times New Roman"/>
                <w:lang w:val="el-GR"/>
              </w:rPr>
              <w:t>ουρτικάρια,</w:t>
            </w:r>
            <w:r w:rsidRPr="009E6E68">
              <w:rPr>
                <w:rFonts w:ascii="Times New Roman" w:hAnsi="Times New Roman" w:cs="Times New Roman"/>
                <w:spacing w:val="-1"/>
                <w:lang w:val="el-GR"/>
              </w:rPr>
              <w:t xml:space="preserve"> </w:t>
            </w:r>
            <w:r w:rsidRPr="009E6E68">
              <w:rPr>
                <w:rFonts w:ascii="Times New Roman" w:hAnsi="Times New Roman" w:cs="Times New Roman"/>
                <w:lang w:val="el-GR"/>
              </w:rPr>
              <w:t>αποχρωματισμ</w:t>
            </w:r>
            <w:r w:rsidR="0055285B" w:rsidRPr="009E6E68">
              <w:rPr>
                <w:rFonts w:ascii="Times New Roman" w:hAnsi="Times New Roman" w:cs="Times New Roman"/>
                <w:lang w:val="el-GR"/>
              </w:rPr>
              <w:t>ός του δέρματος (υπερμελάγχρωση)</w:t>
            </w:r>
            <w:r w:rsidR="00511BF8">
              <w:rPr>
                <w:rFonts w:ascii="Times New Roman" w:hAnsi="Times New Roman" w:cs="Times New Roman"/>
                <w:vertAlign w:val="superscript"/>
                <w:lang w:val="el-GR"/>
              </w:rPr>
              <w:t>2</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lang w:val="el-GR"/>
              </w:rPr>
            </w:pP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Όχι</w:t>
            </w:r>
            <w:r w:rsidRPr="009E6E68">
              <w:rPr>
                <w:rFonts w:ascii="Times New Roman" w:hAnsi="Times New Roman" w:cs="Times New Roman"/>
                <w:spacing w:val="1"/>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511BF8">
            <w:pPr>
              <w:pStyle w:val="TableParagraph"/>
              <w:spacing w:line="262" w:lineRule="exact"/>
              <w:ind w:left="103"/>
              <w:rPr>
                <w:rFonts w:ascii="Times New Roman" w:eastAsia="Times New Roman" w:hAnsi="Times New Roman" w:cs="Times New Roman"/>
                <w:lang w:val="el-GR"/>
              </w:rPr>
            </w:pPr>
            <w:r>
              <w:rPr>
                <w:rFonts w:ascii="Times New Roman" w:hAnsi="Times New Roman" w:cs="Times New Roman"/>
                <w:lang w:val="el-GR"/>
              </w:rPr>
              <w:t>α</w:t>
            </w:r>
            <w:r w:rsidR="0055285B" w:rsidRPr="009E6E68">
              <w:rPr>
                <w:rFonts w:ascii="Times New Roman" w:hAnsi="Times New Roman" w:cs="Times New Roman"/>
              </w:rPr>
              <w:t>γγειοοίδημ</w:t>
            </w:r>
            <w:r w:rsidR="0055285B" w:rsidRPr="009E6E68">
              <w:rPr>
                <w:rFonts w:ascii="Times New Roman" w:hAnsi="Times New Roman" w:cs="Times New Roman"/>
                <w:lang w:val="el-GR"/>
              </w:rPr>
              <w:t>α</w:t>
            </w:r>
            <w:r>
              <w:rPr>
                <w:rFonts w:ascii="Times New Roman" w:hAnsi="Times New Roman" w:cs="Times New Roman"/>
                <w:vertAlign w:val="superscript"/>
                <w:lang w:val="el-GR"/>
              </w:rPr>
              <w:t>3</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Σπάνιες: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αγγειοοίδημα</w:t>
            </w:r>
          </w:p>
        </w:tc>
      </w:tr>
      <w:tr w:rsidR="00645378" w:rsidRPr="00EB273D">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8"/>
              <w:ind w:left="103"/>
              <w:rPr>
                <w:rFonts w:ascii="Times New Roman" w:eastAsia="Times New Roman" w:hAnsi="Times New Roman" w:cs="Times New Roman"/>
                <w:lang w:val="el-GR"/>
              </w:rPr>
            </w:pPr>
            <w:r w:rsidRPr="009E6E68">
              <w:rPr>
                <w:rFonts w:ascii="Times New Roman" w:hAnsi="Times New Roman" w:cs="Times New Roman"/>
                <w:i/>
                <w:lang w:val="el-GR"/>
              </w:rPr>
              <w:t>Διαταραχές του μυοσκελετικού συστήματος και του συνδετικού</w:t>
            </w:r>
            <w:r w:rsidRPr="009E6E68">
              <w:rPr>
                <w:rFonts w:ascii="Times New Roman" w:hAnsi="Times New Roman" w:cs="Times New Roman"/>
                <w:i/>
                <w:spacing w:val="-8"/>
                <w:lang w:val="el-GR"/>
              </w:rPr>
              <w:t xml:space="preserve"> </w:t>
            </w:r>
            <w:r w:rsidRPr="009E6E68">
              <w:rPr>
                <w:rFonts w:ascii="Times New Roman" w:hAnsi="Times New Roman" w:cs="Times New Roman"/>
                <w:i/>
                <w:lang w:val="el-GR"/>
              </w:rPr>
              <w:t>ιστού:</w:t>
            </w:r>
          </w:p>
        </w:tc>
      </w:tr>
      <w:tr w:rsidR="00645378" w:rsidRPr="00EB273D">
        <w:trPr>
          <w:trHeight w:hRule="exact" w:val="528"/>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38"/>
              <w:ind w:left="103"/>
              <w:rPr>
                <w:rFonts w:ascii="Times New Roman" w:eastAsia="Times New Roman" w:hAnsi="Times New Roman" w:cs="Times New Roman"/>
              </w:rPr>
            </w:pPr>
            <w:r w:rsidRPr="009E6E68">
              <w:rPr>
                <w:rFonts w:ascii="Times New Roman" w:hAnsi="Times New Roman" w:cs="Times New Roman"/>
              </w:rPr>
              <w:t>Πολύ</w:t>
            </w:r>
            <w:r w:rsidRPr="009E6E68">
              <w:rPr>
                <w:rFonts w:ascii="Times New Roman" w:hAnsi="Times New Roman" w:cs="Times New Roman"/>
                <w:spacing w:val="3"/>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line="244" w:lineRule="auto"/>
              <w:ind w:left="103" w:right="551"/>
              <w:rPr>
                <w:rFonts w:ascii="Times New Roman" w:eastAsia="Times New Roman" w:hAnsi="Times New Roman" w:cs="Times New Roman"/>
                <w:lang w:val="el-GR"/>
              </w:rPr>
            </w:pPr>
            <w:r w:rsidRPr="009E6E68">
              <w:rPr>
                <w:rFonts w:ascii="Times New Roman" w:hAnsi="Times New Roman" w:cs="Times New Roman"/>
                <w:lang w:val="el-GR"/>
              </w:rPr>
              <w:t>αυξημένα επίπεδα κινάσης</w:t>
            </w:r>
            <w:r w:rsidRPr="009E6E68">
              <w:rPr>
                <w:rFonts w:ascii="Times New Roman" w:hAnsi="Times New Roman" w:cs="Times New Roman"/>
                <w:spacing w:val="-5"/>
                <w:lang w:val="el-GR"/>
              </w:rPr>
              <w:t xml:space="preserve"> </w:t>
            </w:r>
            <w:r w:rsidRPr="009E6E68">
              <w:rPr>
                <w:rFonts w:ascii="Times New Roman" w:hAnsi="Times New Roman" w:cs="Times New Roman"/>
                <w:lang w:val="el-GR"/>
              </w:rPr>
              <w:t>της κρεατίνης</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lang w:val="el-GR"/>
              </w:rPr>
            </w:pP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Όχι</w:t>
            </w:r>
            <w:r w:rsidRPr="009E6E68">
              <w:rPr>
                <w:rFonts w:ascii="Times New Roman" w:hAnsi="Times New Roman" w:cs="Times New Roman"/>
                <w:spacing w:val="1"/>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55285B">
            <w:pPr>
              <w:pStyle w:val="TableParagraph"/>
              <w:spacing w:line="262" w:lineRule="exact"/>
              <w:ind w:left="103"/>
              <w:rPr>
                <w:rFonts w:ascii="Times New Roman" w:eastAsia="Times New Roman" w:hAnsi="Times New Roman" w:cs="Times New Roman"/>
                <w:lang w:val="el-GR"/>
              </w:rPr>
            </w:pPr>
            <w:r w:rsidRPr="009E6E68">
              <w:rPr>
                <w:rFonts w:ascii="Times New Roman" w:hAnsi="Times New Roman" w:cs="Times New Roman"/>
              </w:rPr>
              <w:t>Ραβδομυόλυσ</w:t>
            </w:r>
            <w:r w:rsidRPr="009E6E68">
              <w:rPr>
                <w:rFonts w:ascii="Times New Roman" w:hAnsi="Times New Roman" w:cs="Times New Roman"/>
                <w:lang w:val="el-GR"/>
              </w:rPr>
              <w:t>η</w:t>
            </w:r>
            <w:r w:rsidRPr="009E6E68">
              <w:rPr>
                <w:rFonts w:ascii="Times New Roman" w:hAnsi="Times New Roman" w:cs="Times New Roman"/>
                <w:vertAlign w:val="superscript"/>
                <w:lang w:val="el-GR"/>
              </w:rPr>
              <w:t>1</w:t>
            </w:r>
            <w:r w:rsidR="007134E2" w:rsidRPr="009E6E68">
              <w:rPr>
                <w:rFonts w:ascii="Times New Roman" w:hAnsi="Times New Roman" w:cs="Times New Roman"/>
              </w:rPr>
              <w:t>, μυϊκή</w:t>
            </w:r>
            <w:r w:rsidR="007134E2" w:rsidRPr="009E6E68">
              <w:rPr>
                <w:rFonts w:ascii="Times New Roman" w:hAnsi="Times New Roman" w:cs="Times New Roman"/>
                <w:spacing w:val="1"/>
              </w:rPr>
              <w:t xml:space="preserve"> </w:t>
            </w:r>
            <w:r w:rsidRPr="009E6E68">
              <w:rPr>
                <w:rFonts w:ascii="Times New Roman" w:hAnsi="Times New Roman" w:cs="Times New Roman"/>
              </w:rPr>
              <w:t>αδυναμί</w:t>
            </w:r>
            <w:r w:rsidRPr="009E6E68">
              <w:rPr>
                <w:rFonts w:ascii="Times New Roman" w:hAnsi="Times New Roman" w:cs="Times New Roman"/>
                <w:lang w:val="el-GR"/>
              </w:rPr>
              <w:t>α</w:t>
            </w:r>
            <w:r w:rsidRPr="009E6E68">
              <w:rPr>
                <w:rFonts w:ascii="Times New Roman" w:hAnsi="Times New Roman" w:cs="Times New Roman"/>
                <w:vertAlign w:val="superscript"/>
                <w:lang w:val="el-GR"/>
              </w:rPr>
              <w:t>1</w:t>
            </w:r>
          </w:p>
        </w:tc>
      </w:tr>
      <w:tr w:rsidR="00645378" w:rsidRPr="00EB273D">
        <w:trPr>
          <w:trHeight w:hRule="exact" w:val="1046"/>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645378">
            <w:pPr>
              <w:pStyle w:val="TableParagraph"/>
              <w:rPr>
                <w:rFonts w:ascii="Times New Roman" w:eastAsia="Times New Roman" w:hAnsi="Times New Roman" w:cs="Times New Roman"/>
                <w:b/>
                <w:bCs/>
              </w:rPr>
            </w:pPr>
          </w:p>
          <w:p w:rsidR="00645378" w:rsidRPr="009E6E68" w:rsidRDefault="007134E2">
            <w:pPr>
              <w:pStyle w:val="TableParagraph"/>
              <w:spacing w:before="144"/>
              <w:ind w:left="103"/>
              <w:rPr>
                <w:rFonts w:ascii="Times New Roman" w:eastAsia="Times New Roman" w:hAnsi="Times New Roman" w:cs="Times New Roman"/>
              </w:rPr>
            </w:pPr>
            <w:r w:rsidRPr="009E6E68">
              <w:rPr>
                <w:rFonts w:ascii="Times New Roman" w:hAnsi="Times New Roman" w:cs="Times New Roman"/>
              </w:rPr>
              <w:t>Σπάνιες: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rsidP="0055285B">
            <w:pPr>
              <w:pStyle w:val="TableParagraph"/>
              <w:spacing w:before="6" w:line="260" w:lineRule="exact"/>
              <w:ind w:left="103" w:right="144"/>
              <w:rPr>
                <w:rFonts w:ascii="Times New Roman" w:eastAsia="Times New Roman" w:hAnsi="Times New Roman" w:cs="Times New Roman"/>
                <w:lang w:val="el-GR"/>
              </w:rPr>
            </w:pPr>
            <w:r w:rsidRPr="009E6E68">
              <w:rPr>
                <w:rFonts w:ascii="Times New Roman" w:hAnsi="Times New Roman" w:cs="Times New Roman"/>
                <w:lang w:val="el-GR"/>
              </w:rPr>
              <w:t>οστεομαλακία (που</w:t>
            </w:r>
            <w:r w:rsidRPr="009E6E68">
              <w:rPr>
                <w:rFonts w:ascii="Times New Roman" w:hAnsi="Times New Roman" w:cs="Times New Roman"/>
                <w:spacing w:val="6"/>
                <w:lang w:val="el-GR"/>
              </w:rPr>
              <w:t xml:space="preserve"> </w:t>
            </w:r>
            <w:r w:rsidRPr="009E6E68">
              <w:rPr>
                <w:rFonts w:ascii="Times New Roman" w:hAnsi="Times New Roman" w:cs="Times New Roman"/>
                <w:lang w:val="el-GR"/>
              </w:rPr>
              <w:t>εκδηλώνεται ως οστικό άλγος και συμβάλλει</w:t>
            </w:r>
            <w:r w:rsidRPr="009E6E68">
              <w:rPr>
                <w:rFonts w:ascii="Times New Roman" w:hAnsi="Times New Roman" w:cs="Times New Roman"/>
                <w:spacing w:val="3"/>
                <w:lang w:val="el-GR"/>
              </w:rPr>
              <w:t xml:space="preserve"> </w:t>
            </w:r>
            <w:r w:rsidRPr="009E6E68">
              <w:rPr>
                <w:rFonts w:ascii="Times New Roman" w:hAnsi="Times New Roman" w:cs="Times New Roman"/>
                <w:lang w:val="el-GR"/>
              </w:rPr>
              <w:t>όχι συχνά σε</w:t>
            </w:r>
            <w:r w:rsidRPr="009E6E68">
              <w:rPr>
                <w:rFonts w:ascii="Times New Roman" w:hAnsi="Times New Roman" w:cs="Times New Roman"/>
                <w:spacing w:val="5"/>
                <w:lang w:val="el-GR"/>
              </w:rPr>
              <w:t xml:space="preserve"> </w:t>
            </w:r>
            <w:r w:rsidR="0055285B" w:rsidRPr="009E6E68">
              <w:rPr>
                <w:rFonts w:ascii="Times New Roman" w:hAnsi="Times New Roman" w:cs="Times New Roman"/>
                <w:lang w:val="el-GR"/>
              </w:rPr>
              <w:t>κατάγματα)</w:t>
            </w:r>
            <w:r w:rsidR="00511BF8">
              <w:rPr>
                <w:rFonts w:ascii="Times New Roman" w:hAnsi="Times New Roman" w:cs="Times New Roman"/>
                <w:vertAlign w:val="superscript"/>
                <w:lang w:val="el-GR"/>
              </w:rPr>
              <w:t>1,3</w:t>
            </w:r>
            <w:r w:rsidRPr="009E6E68">
              <w:rPr>
                <w:rFonts w:ascii="Times New Roman" w:hAnsi="Times New Roman" w:cs="Times New Roman"/>
                <w:lang w:val="el-GR"/>
              </w:rPr>
              <w:t>, μυοπάθει</w:t>
            </w:r>
            <w:r w:rsidR="0055285B" w:rsidRPr="009E6E68">
              <w:rPr>
                <w:rFonts w:ascii="Times New Roman" w:hAnsi="Times New Roman" w:cs="Times New Roman"/>
                <w:lang w:val="el-GR"/>
              </w:rPr>
              <w:t>α</w:t>
            </w:r>
            <w:r w:rsidR="0055285B" w:rsidRPr="009E6E68">
              <w:rPr>
                <w:rFonts w:ascii="Times New Roman" w:hAnsi="Times New Roman" w:cs="Times New Roman"/>
                <w:vertAlign w:val="superscript"/>
                <w:lang w:val="el-GR"/>
              </w:rPr>
              <w:t>1</w:t>
            </w:r>
          </w:p>
        </w:tc>
      </w:tr>
      <w:tr w:rsidR="00645378" w:rsidRPr="00EB273D">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8"/>
              <w:ind w:left="103"/>
              <w:rPr>
                <w:rFonts w:ascii="Times New Roman" w:eastAsia="Times New Roman" w:hAnsi="Times New Roman" w:cs="Times New Roman"/>
                <w:lang w:val="el-GR"/>
              </w:rPr>
            </w:pPr>
            <w:r w:rsidRPr="009E6E68">
              <w:rPr>
                <w:rFonts w:ascii="Times New Roman" w:hAnsi="Times New Roman" w:cs="Times New Roman"/>
                <w:i/>
                <w:lang w:val="el-GR"/>
              </w:rPr>
              <w:t>Διαταραχές των νεφρών και των ουροφόρων</w:t>
            </w:r>
            <w:r w:rsidRPr="009E6E68">
              <w:rPr>
                <w:rFonts w:ascii="Times New Roman" w:hAnsi="Times New Roman" w:cs="Times New Roman"/>
                <w:i/>
                <w:spacing w:val="6"/>
                <w:lang w:val="el-GR"/>
              </w:rPr>
              <w:t xml:space="preserve"> </w:t>
            </w:r>
            <w:r w:rsidRPr="009E6E68">
              <w:rPr>
                <w:rFonts w:ascii="Times New Roman" w:hAnsi="Times New Roman" w:cs="Times New Roman"/>
                <w:i/>
                <w:lang w:val="el-GR"/>
              </w:rPr>
              <w:t>οδών:</w:t>
            </w:r>
          </w:p>
        </w:tc>
      </w:tr>
      <w:tr w:rsidR="00645378" w:rsidRPr="009E6E68">
        <w:trPr>
          <w:trHeight w:hRule="exact" w:val="528"/>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138"/>
              <w:ind w:left="103"/>
              <w:rPr>
                <w:rFonts w:ascii="Times New Roman" w:eastAsia="Times New Roman" w:hAnsi="Times New Roman" w:cs="Times New Roman"/>
              </w:rPr>
            </w:pPr>
            <w:r w:rsidRPr="009E6E68">
              <w:rPr>
                <w:rFonts w:ascii="Times New Roman" w:hAnsi="Times New Roman" w:cs="Times New Roman"/>
              </w:rPr>
              <w:t>Όχι</w:t>
            </w:r>
            <w:r w:rsidRPr="009E6E68">
              <w:rPr>
                <w:rFonts w:ascii="Times New Roman" w:hAnsi="Times New Roman" w:cs="Times New Roman"/>
                <w:spacing w:val="1"/>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line="244" w:lineRule="auto"/>
              <w:ind w:left="103" w:right="1339"/>
              <w:rPr>
                <w:rFonts w:ascii="Times New Roman" w:eastAsia="Times New Roman" w:hAnsi="Times New Roman" w:cs="Times New Roman"/>
              </w:rPr>
            </w:pPr>
            <w:r w:rsidRPr="009E6E68">
              <w:rPr>
                <w:rFonts w:ascii="Times New Roman" w:hAnsi="Times New Roman" w:cs="Times New Roman"/>
              </w:rPr>
              <w:t>αυξ</w:t>
            </w:r>
            <w:r w:rsidR="00B078B0">
              <w:rPr>
                <w:rFonts w:ascii="Times New Roman" w:hAnsi="Times New Roman" w:cs="Times New Roman"/>
              </w:rPr>
              <w:t>ημένη κρεατινίνη,</w:t>
            </w:r>
            <w:r w:rsidR="00B078B0">
              <w:rPr>
                <w:rFonts w:ascii="Times New Roman" w:hAnsi="Times New Roman" w:cs="Times New Roman"/>
                <w:lang w:val="el-GR"/>
              </w:rPr>
              <w:t xml:space="preserve"> </w:t>
            </w:r>
            <w:r w:rsidRPr="009E6E68">
              <w:rPr>
                <w:rFonts w:ascii="Times New Roman" w:hAnsi="Times New Roman" w:cs="Times New Roman"/>
              </w:rPr>
              <w:t>πρωτεϊνουρία</w:t>
            </w:r>
          </w:p>
        </w:tc>
      </w:tr>
      <w:tr w:rsidR="00645378" w:rsidRPr="00EB273D">
        <w:trPr>
          <w:trHeight w:hRule="exact" w:val="2342"/>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645378">
            <w:pPr>
              <w:pStyle w:val="TableParagraph"/>
              <w:rPr>
                <w:rFonts w:ascii="Times New Roman" w:eastAsia="Times New Roman" w:hAnsi="Times New Roman" w:cs="Times New Roman"/>
                <w:b/>
                <w:bCs/>
              </w:rPr>
            </w:pPr>
          </w:p>
          <w:p w:rsidR="00645378" w:rsidRPr="009E6E68" w:rsidRDefault="00645378">
            <w:pPr>
              <w:pStyle w:val="TableParagraph"/>
              <w:rPr>
                <w:rFonts w:ascii="Times New Roman" w:eastAsia="Times New Roman" w:hAnsi="Times New Roman" w:cs="Times New Roman"/>
                <w:b/>
                <w:bCs/>
              </w:rPr>
            </w:pPr>
          </w:p>
          <w:p w:rsidR="00645378" w:rsidRPr="009E6E68" w:rsidRDefault="00645378">
            <w:pPr>
              <w:pStyle w:val="TableParagraph"/>
              <w:rPr>
                <w:rFonts w:ascii="Times New Roman" w:eastAsia="Times New Roman" w:hAnsi="Times New Roman" w:cs="Times New Roman"/>
                <w:b/>
                <w:bCs/>
              </w:rPr>
            </w:pPr>
          </w:p>
          <w:p w:rsidR="00645378" w:rsidRPr="009E6E68" w:rsidRDefault="00645378">
            <w:pPr>
              <w:pStyle w:val="TableParagraph"/>
              <w:spacing w:before="11"/>
              <w:rPr>
                <w:rFonts w:ascii="Times New Roman" w:eastAsia="Times New Roman" w:hAnsi="Times New Roman" w:cs="Times New Roman"/>
                <w:b/>
                <w:bCs/>
              </w:rPr>
            </w:pPr>
          </w:p>
          <w:p w:rsidR="00645378" w:rsidRPr="009E6E68" w:rsidRDefault="007134E2">
            <w:pPr>
              <w:pStyle w:val="TableParagraph"/>
              <w:ind w:left="103"/>
              <w:rPr>
                <w:rFonts w:ascii="Times New Roman" w:eastAsia="Times New Roman" w:hAnsi="Times New Roman" w:cs="Times New Roman"/>
              </w:rPr>
            </w:pPr>
            <w:r w:rsidRPr="009E6E68">
              <w:rPr>
                <w:rFonts w:ascii="Times New Roman" w:hAnsi="Times New Roman" w:cs="Times New Roman"/>
              </w:rPr>
              <w:t>Σπάνιες: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line="242" w:lineRule="auto"/>
              <w:ind w:left="103" w:right="313"/>
              <w:rPr>
                <w:rFonts w:ascii="Times New Roman" w:eastAsia="Times New Roman" w:hAnsi="Times New Roman" w:cs="Times New Roman"/>
                <w:lang w:val="el-GR"/>
              </w:rPr>
            </w:pPr>
            <w:r w:rsidRPr="009E6E68">
              <w:rPr>
                <w:rFonts w:ascii="Times New Roman" w:hAnsi="Times New Roman" w:cs="Times New Roman"/>
                <w:lang w:val="el-GR"/>
              </w:rPr>
              <w:t>νεφρική ανεπάρκεια (οξεία</w:t>
            </w:r>
            <w:r w:rsidRPr="009E6E68">
              <w:rPr>
                <w:rFonts w:ascii="Times New Roman" w:hAnsi="Times New Roman" w:cs="Times New Roman"/>
                <w:spacing w:val="-4"/>
                <w:lang w:val="el-GR"/>
              </w:rPr>
              <w:t xml:space="preserve"> </w:t>
            </w:r>
            <w:r w:rsidRPr="009E6E68">
              <w:rPr>
                <w:rFonts w:ascii="Times New Roman" w:hAnsi="Times New Roman" w:cs="Times New Roman"/>
                <w:lang w:val="el-GR"/>
              </w:rPr>
              <w:t>και</w:t>
            </w:r>
            <w:r w:rsidRPr="009E6E68">
              <w:rPr>
                <w:rFonts w:ascii="Times New Roman" w:hAnsi="Times New Roman" w:cs="Times New Roman"/>
                <w:spacing w:val="-1"/>
                <w:lang w:val="el-GR"/>
              </w:rPr>
              <w:t xml:space="preserve"> </w:t>
            </w:r>
            <w:r w:rsidRPr="009E6E68">
              <w:rPr>
                <w:rFonts w:ascii="Times New Roman" w:hAnsi="Times New Roman" w:cs="Times New Roman"/>
                <w:lang w:val="el-GR"/>
              </w:rPr>
              <w:t>χρόνια), οξεία σωληναριακή</w:t>
            </w:r>
            <w:r w:rsidRPr="009E6E68">
              <w:rPr>
                <w:rFonts w:ascii="Times New Roman" w:hAnsi="Times New Roman" w:cs="Times New Roman"/>
                <w:spacing w:val="-51"/>
                <w:lang w:val="el-GR"/>
              </w:rPr>
              <w:t xml:space="preserve"> </w:t>
            </w:r>
            <w:r w:rsidRPr="009E6E68">
              <w:rPr>
                <w:rFonts w:ascii="Times New Roman" w:hAnsi="Times New Roman" w:cs="Times New Roman"/>
                <w:lang w:val="el-GR"/>
              </w:rPr>
              <w:t>νέκρωση, κεντρική νεφρική</w:t>
            </w:r>
            <w:r w:rsidRPr="009E6E68">
              <w:rPr>
                <w:rFonts w:ascii="Times New Roman" w:hAnsi="Times New Roman" w:cs="Times New Roman"/>
                <w:spacing w:val="-52"/>
                <w:lang w:val="el-GR"/>
              </w:rPr>
              <w:t xml:space="preserve"> </w:t>
            </w:r>
            <w:r w:rsidRPr="009E6E68">
              <w:rPr>
                <w:rFonts w:ascii="Times New Roman" w:hAnsi="Times New Roman" w:cs="Times New Roman"/>
                <w:lang w:val="el-GR"/>
              </w:rPr>
              <w:t>σωληναριοπάθεια, συμπεριλαμβανομένου του</w:t>
            </w:r>
            <w:r w:rsidRPr="009E6E68">
              <w:rPr>
                <w:rFonts w:ascii="Times New Roman" w:hAnsi="Times New Roman" w:cs="Times New Roman"/>
                <w:spacing w:val="-52"/>
                <w:lang w:val="el-GR"/>
              </w:rPr>
              <w:t xml:space="preserve"> </w:t>
            </w:r>
            <w:r w:rsidRPr="009E6E68">
              <w:rPr>
                <w:rFonts w:ascii="Times New Roman" w:hAnsi="Times New Roman" w:cs="Times New Roman"/>
                <w:lang w:val="el-GR"/>
              </w:rPr>
              <w:t xml:space="preserve">συνδρόμου </w:t>
            </w:r>
            <w:r w:rsidRPr="009E6E68">
              <w:rPr>
                <w:rFonts w:ascii="Times New Roman" w:hAnsi="Times New Roman" w:cs="Times New Roman"/>
              </w:rPr>
              <w:t>Fanconi</w:t>
            </w:r>
            <w:r w:rsidRPr="009E6E68">
              <w:rPr>
                <w:rFonts w:ascii="Times New Roman" w:hAnsi="Times New Roman" w:cs="Times New Roman"/>
                <w:lang w:val="el-GR"/>
              </w:rPr>
              <w:t>, νεφρίτις</w:t>
            </w:r>
            <w:r w:rsidRPr="009E6E68">
              <w:rPr>
                <w:rFonts w:ascii="Times New Roman" w:hAnsi="Times New Roman" w:cs="Times New Roman"/>
                <w:spacing w:val="-47"/>
                <w:lang w:val="el-GR"/>
              </w:rPr>
              <w:t xml:space="preserve"> </w:t>
            </w:r>
            <w:r w:rsidRPr="009E6E68">
              <w:rPr>
                <w:rFonts w:ascii="Times New Roman" w:hAnsi="Times New Roman" w:cs="Times New Roman"/>
                <w:lang w:val="el-GR"/>
              </w:rPr>
              <w:t>(συμπεριλαμβανομένης</w:t>
            </w:r>
            <w:r w:rsidRPr="009E6E68">
              <w:rPr>
                <w:rFonts w:ascii="Times New Roman" w:hAnsi="Times New Roman" w:cs="Times New Roman"/>
                <w:spacing w:val="-2"/>
                <w:lang w:val="el-GR"/>
              </w:rPr>
              <w:t xml:space="preserve"> </w:t>
            </w:r>
            <w:r w:rsidR="0055285B" w:rsidRPr="009E6E68">
              <w:rPr>
                <w:rFonts w:ascii="Times New Roman" w:hAnsi="Times New Roman" w:cs="Times New Roman"/>
                <w:lang w:val="el-GR"/>
              </w:rPr>
              <w:t>διάμεσης νεφρίτιδας)</w:t>
            </w:r>
            <w:r w:rsidR="00511BF8">
              <w:rPr>
                <w:rFonts w:ascii="Times New Roman" w:hAnsi="Times New Roman" w:cs="Times New Roman"/>
                <w:vertAlign w:val="superscript"/>
                <w:lang w:val="el-GR"/>
              </w:rPr>
              <w:t>3</w:t>
            </w:r>
            <w:r w:rsidRPr="009E6E68">
              <w:rPr>
                <w:rFonts w:ascii="Times New Roman" w:hAnsi="Times New Roman" w:cs="Times New Roman"/>
                <w:lang w:val="el-GR"/>
              </w:rPr>
              <w:t>, νεφρογενής</w:t>
            </w:r>
            <w:r w:rsidRPr="009E6E68">
              <w:rPr>
                <w:rFonts w:ascii="Times New Roman" w:hAnsi="Times New Roman" w:cs="Times New Roman"/>
                <w:spacing w:val="-1"/>
                <w:lang w:val="el-GR"/>
              </w:rPr>
              <w:t xml:space="preserve"> </w:t>
            </w:r>
            <w:r w:rsidRPr="009E6E68">
              <w:rPr>
                <w:rFonts w:ascii="Times New Roman" w:hAnsi="Times New Roman" w:cs="Times New Roman"/>
                <w:lang w:val="el-GR"/>
              </w:rPr>
              <w:t>άποιος διαβήτης</w:t>
            </w:r>
          </w:p>
        </w:tc>
      </w:tr>
      <w:tr w:rsidR="00645378" w:rsidRPr="00EB273D">
        <w:trPr>
          <w:trHeight w:hRule="exact" w:val="269"/>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E1E1E1"/>
          </w:tcPr>
          <w:p w:rsidR="00645378" w:rsidRPr="009E6E68" w:rsidRDefault="007134E2">
            <w:pPr>
              <w:pStyle w:val="TableParagraph"/>
              <w:spacing w:before="8"/>
              <w:ind w:left="103"/>
              <w:rPr>
                <w:rFonts w:ascii="Times New Roman" w:eastAsia="Times New Roman" w:hAnsi="Times New Roman" w:cs="Times New Roman"/>
                <w:lang w:val="el-GR"/>
              </w:rPr>
            </w:pPr>
            <w:r w:rsidRPr="009E6E68">
              <w:rPr>
                <w:rFonts w:ascii="Times New Roman" w:hAnsi="Times New Roman" w:cs="Times New Roman"/>
                <w:i/>
                <w:lang w:val="el-GR"/>
              </w:rPr>
              <w:t>Γενικές διαταραχές και καταστάσεις της οδού</w:t>
            </w:r>
            <w:r w:rsidRPr="009E6E68">
              <w:rPr>
                <w:rFonts w:ascii="Times New Roman" w:hAnsi="Times New Roman" w:cs="Times New Roman"/>
                <w:i/>
                <w:spacing w:val="-10"/>
                <w:lang w:val="el-GR"/>
              </w:rPr>
              <w:t xml:space="preserve"> </w:t>
            </w:r>
            <w:r w:rsidRPr="009E6E68">
              <w:rPr>
                <w:rFonts w:ascii="Times New Roman" w:hAnsi="Times New Roman" w:cs="Times New Roman"/>
                <w:i/>
                <w:lang w:val="el-GR"/>
              </w:rPr>
              <w:t>χορήγησης:</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Πολύ</w:t>
            </w:r>
            <w:r w:rsidRPr="009E6E68">
              <w:rPr>
                <w:rFonts w:ascii="Times New Roman" w:hAnsi="Times New Roman" w:cs="Times New Roman"/>
                <w:spacing w:val="3"/>
              </w:rPr>
              <w:t xml:space="preserve"> </w:t>
            </w: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καταβολή</w:t>
            </w:r>
          </w:p>
        </w:tc>
      </w:tr>
      <w:tr w:rsidR="00645378" w:rsidRPr="009E6E68">
        <w:trPr>
          <w:trHeight w:hRule="exact" w:val="269"/>
        </w:trPr>
        <w:tc>
          <w:tcPr>
            <w:tcW w:w="2518"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Συχνές:</w:t>
            </w:r>
          </w:p>
        </w:tc>
        <w:tc>
          <w:tcPr>
            <w:tcW w:w="3384" w:type="dxa"/>
            <w:tcBorders>
              <w:top w:val="single" w:sz="4" w:space="0" w:color="000000"/>
              <w:left w:val="single" w:sz="4" w:space="0" w:color="000000"/>
              <w:bottom w:val="single" w:sz="4" w:space="0" w:color="000000"/>
              <w:right w:val="single" w:sz="4" w:space="0" w:color="000000"/>
            </w:tcBorders>
          </w:tcPr>
          <w:p w:rsidR="00645378" w:rsidRPr="009E6E68" w:rsidRDefault="007134E2">
            <w:pPr>
              <w:pStyle w:val="TableParagraph"/>
              <w:spacing w:before="8"/>
              <w:ind w:left="103"/>
              <w:rPr>
                <w:rFonts w:ascii="Times New Roman" w:eastAsia="Times New Roman" w:hAnsi="Times New Roman" w:cs="Times New Roman"/>
              </w:rPr>
            </w:pPr>
            <w:r w:rsidRPr="009E6E68">
              <w:rPr>
                <w:rFonts w:ascii="Times New Roman" w:hAnsi="Times New Roman" w:cs="Times New Roman"/>
              </w:rPr>
              <w:t>πόνος,</w:t>
            </w:r>
            <w:r w:rsidRPr="009E6E68">
              <w:rPr>
                <w:rFonts w:ascii="Times New Roman" w:hAnsi="Times New Roman" w:cs="Times New Roman"/>
                <w:spacing w:val="-2"/>
              </w:rPr>
              <w:t xml:space="preserve"> </w:t>
            </w:r>
            <w:r w:rsidRPr="009E6E68">
              <w:rPr>
                <w:rFonts w:ascii="Times New Roman" w:hAnsi="Times New Roman" w:cs="Times New Roman"/>
              </w:rPr>
              <w:t>καταβολή</w:t>
            </w:r>
          </w:p>
        </w:tc>
        <w:tc>
          <w:tcPr>
            <w:tcW w:w="3386" w:type="dxa"/>
            <w:tcBorders>
              <w:top w:val="single" w:sz="4" w:space="0" w:color="000000"/>
              <w:left w:val="single" w:sz="4" w:space="0" w:color="000000"/>
              <w:bottom w:val="single" w:sz="4" w:space="0" w:color="000000"/>
              <w:right w:val="single" w:sz="4" w:space="0" w:color="000000"/>
            </w:tcBorders>
          </w:tcPr>
          <w:p w:rsidR="00645378" w:rsidRPr="009E6E68" w:rsidRDefault="00645378">
            <w:pPr>
              <w:rPr>
                <w:rFonts w:ascii="Times New Roman" w:hAnsi="Times New Roman" w:cs="Times New Roman"/>
              </w:rPr>
            </w:pPr>
          </w:p>
        </w:tc>
      </w:tr>
    </w:tbl>
    <w:p w:rsidR="00DB1DD6" w:rsidRDefault="00DB1DD6" w:rsidP="009E32D3">
      <w:pPr>
        <w:spacing w:before="6" w:line="212" w:lineRule="exact"/>
        <w:ind w:right="98"/>
        <w:rPr>
          <w:rFonts w:ascii="Times New Roman" w:hAnsi="Times New Roman"/>
          <w:lang w:val="el-GR"/>
        </w:rPr>
      </w:pPr>
    </w:p>
    <w:p w:rsidR="00645378" w:rsidRDefault="00DB1DD6" w:rsidP="009E32D3">
      <w:pPr>
        <w:spacing w:before="6" w:line="212" w:lineRule="exact"/>
        <w:ind w:right="98"/>
        <w:rPr>
          <w:rFonts w:ascii="Times New Roman" w:hAnsi="Times New Roman"/>
          <w:lang w:val="el-GR"/>
        </w:rPr>
      </w:pPr>
      <w:r w:rsidRPr="00DB1DD6">
        <w:rPr>
          <w:rFonts w:ascii="Times New Roman" w:hAnsi="Times New Roman"/>
          <w:vertAlign w:val="superscript"/>
          <w:lang w:val="el-GR"/>
        </w:rPr>
        <w:t>1</w:t>
      </w:r>
      <w:r>
        <w:rPr>
          <w:rFonts w:ascii="Times New Roman" w:hAnsi="Times New Roman"/>
          <w:lang w:val="el-GR"/>
        </w:rPr>
        <w:t>Αυ</w:t>
      </w:r>
      <w:r w:rsidR="007134E2" w:rsidRPr="00DB1DD6">
        <w:rPr>
          <w:rFonts w:ascii="Times New Roman" w:hAnsi="Times New Roman"/>
          <w:lang w:val="el-GR"/>
        </w:rPr>
        <w:t>τή η ανεπιθύμητη ενέργεια μπορεί να εμφανιστεί ως συνέπεια της κεντρικής νεφρικής σωληναριοπάθειας. Δεν</w:t>
      </w:r>
      <w:r w:rsidR="007134E2" w:rsidRPr="00DB1DD6">
        <w:rPr>
          <w:rFonts w:ascii="Times New Roman" w:hAnsi="Times New Roman"/>
          <w:spacing w:val="-24"/>
          <w:lang w:val="el-GR"/>
        </w:rPr>
        <w:t xml:space="preserve"> </w:t>
      </w:r>
      <w:r w:rsidR="007134E2" w:rsidRPr="00DB1DD6">
        <w:rPr>
          <w:rFonts w:ascii="Times New Roman" w:hAnsi="Times New Roman"/>
          <w:lang w:val="el-GR"/>
        </w:rPr>
        <w:t>θεωρείται αιτιωδώς</w:t>
      </w:r>
      <w:r w:rsidR="007134E2" w:rsidRPr="00DB1DD6">
        <w:rPr>
          <w:rFonts w:ascii="Times New Roman" w:hAnsi="Times New Roman"/>
          <w:spacing w:val="-4"/>
          <w:lang w:val="el-GR"/>
        </w:rPr>
        <w:t xml:space="preserve"> </w:t>
      </w:r>
      <w:r w:rsidR="007134E2" w:rsidRPr="00DB1DD6">
        <w:rPr>
          <w:rFonts w:ascii="Times New Roman" w:hAnsi="Times New Roman"/>
          <w:lang w:val="el-GR"/>
        </w:rPr>
        <w:t>συσχετιζόμενη</w:t>
      </w:r>
      <w:r w:rsidR="007134E2" w:rsidRPr="00DB1DD6">
        <w:rPr>
          <w:rFonts w:ascii="Times New Roman" w:hAnsi="Times New Roman"/>
          <w:spacing w:val="-5"/>
          <w:lang w:val="el-GR"/>
        </w:rPr>
        <w:t xml:space="preserve"> </w:t>
      </w:r>
      <w:r w:rsidR="007134E2" w:rsidRPr="00DB1DD6">
        <w:rPr>
          <w:rFonts w:ascii="Times New Roman" w:hAnsi="Times New Roman"/>
          <w:lang w:val="el-GR"/>
        </w:rPr>
        <w:t>με</w:t>
      </w:r>
      <w:r w:rsidR="007134E2" w:rsidRPr="00DB1DD6">
        <w:rPr>
          <w:rFonts w:ascii="Times New Roman" w:hAnsi="Times New Roman"/>
          <w:spacing w:val="-4"/>
          <w:lang w:val="el-GR"/>
        </w:rPr>
        <w:t xml:space="preserve"> </w:t>
      </w:r>
      <w:r w:rsidR="00B078B0">
        <w:rPr>
          <w:rFonts w:ascii="Times New Roman" w:hAnsi="Times New Roman"/>
          <w:spacing w:val="-4"/>
          <w:lang w:val="el-GR"/>
        </w:rPr>
        <w:t>τ</w:t>
      </w:r>
      <w:r>
        <w:rPr>
          <w:rFonts w:ascii="Times New Roman" w:hAnsi="Times New Roman"/>
          <w:lang w:val="el-GR"/>
        </w:rPr>
        <w:t>η τενοφοβίρη δισοπρόξιλη</w:t>
      </w:r>
      <w:r w:rsidR="007134E2" w:rsidRPr="00DB1DD6">
        <w:rPr>
          <w:rFonts w:ascii="Times New Roman" w:hAnsi="Times New Roman"/>
          <w:spacing w:val="-6"/>
          <w:lang w:val="el-GR"/>
        </w:rPr>
        <w:t xml:space="preserve"> </w:t>
      </w:r>
      <w:r w:rsidR="007134E2" w:rsidRPr="00DB1DD6">
        <w:rPr>
          <w:rFonts w:ascii="Times New Roman" w:hAnsi="Times New Roman"/>
          <w:lang w:val="el-GR"/>
        </w:rPr>
        <w:t>στην</w:t>
      </w:r>
      <w:r w:rsidR="007134E2" w:rsidRPr="00DB1DD6">
        <w:rPr>
          <w:rFonts w:ascii="Times New Roman" w:hAnsi="Times New Roman"/>
          <w:spacing w:val="-5"/>
          <w:lang w:val="el-GR"/>
        </w:rPr>
        <w:t xml:space="preserve"> </w:t>
      </w:r>
      <w:r w:rsidR="007134E2" w:rsidRPr="00DB1DD6">
        <w:rPr>
          <w:rFonts w:ascii="Times New Roman" w:hAnsi="Times New Roman"/>
          <w:lang w:val="el-GR"/>
        </w:rPr>
        <w:t>περίπτωση</w:t>
      </w:r>
      <w:r w:rsidR="007134E2" w:rsidRPr="00DB1DD6">
        <w:rPr>
          <w:rFonts w:ascii="Times New Roman" w:hAnsi="Times New Roman"/>
          <w:spacing w:val="-5"/>
          <w:lang w:val="el-GR"/>
        </w:rPr>
        <w:t xml:space="preserve"> </w:t>
      </w:r>
      <w:r w:rsidR="007134E2" w:rsidRPr="00DB1DD6">
        <w:rPr>
          <w:rFonts w:ascii="Times New Roman" w:hAnsi="Times New Roman"/>
          <w:lang w:val="el-GR"/>
        </w:rPr>
        <w:t>απουσίας</w:t>
      </w:r>
      <w:r w:rsidR="007134E2" w:rsidRPr="00DB1DD6">
        <w:rPr>
          <w:rFonts w:ascii="Times New Roman" w:hAnsi="Times New Roman"/>
          <w:spacing w:val="-4"/>
          <w:lang w:val="el-GR"/>
        </w:rPr>
        <w:t xml:space="preserve"> </w:t>
      </w:r>
      <w:r w:rsidR="007134E2" w:rsidRPr="00DB1DD6">
        <w:rPr>
          <w:rFonts w:ascii="Times New Roman" w:hAnsi="Times New Roman"/>
          <w:lang w:val="el-GR"/>
        </w:rPr>
        <w:t>αυτής</w:t>
      </w:r>
      <w:r w:rsidR="007134E2" w:rsidRPr="00DB1DD6">
        <w:rPr>
          <w:rFonts w:ascii="Times New Roman" w:hAnsi="Times New Roman"/>
          <w:spacing w:val="-4"/>
          <w:lang w:val="el-GR"/>
        </w:rPr>
        <w:t xml:space="preserve"> </w:t>
      </w:r>
      <w:r w:rsidR="007134E2" w:rsidRPr="00DB1DD6">
        <w:rPr>
          <w:rFonts w:ascii="Times New Roman" w:hAnsi="Times New Roman"/>
          <w:lang w:val="el-GR"/>
        </w:rPr>
        <w:t>της</w:t>
      </w:r>
      <w:r w:rsidR="007134E2" w:rsidRPr="00DB1DD6">
        <w:rPr>
          <w:rFonts w:ascii="Times New Roman" w:hAnsi="Times New Roman"/>
          <w:spacing w:val="-4"/>
          <w:lang w:val="el-GR"/>
        </w:rPr>
        <w:t xml:space="preserve"> </w:t>
      </w:r>
      <w:r w:rsidR="007134E2" w:rsidRPr="00DB1DD6">
        <w:rPr>
          <w:rFonts w:ascii="Times New Roman" w:hAnsi="Times New Roman"/>
          <w:lang w:val="el-GR"/>
        </w:rPr>
        <w:t>συνθήκης.</w:t>
      </w:r>
    </w:p>
    <w:p w:rsidR="00645378" w:rsidRPr="00DB1DD6" w:rsidRDefault="00511BF8" w:rsidP="009E32D3">
      <w:pPr>
        <w:spacing w:line="212" w:lineRule="exact"/>
        <w:ind w:right="98"/>
        <w:rPr>
          <w:rFonts w:ascii="Times New Roman" w:eastAsia="Times New Roman" w:hAnsi="Times New Roman" w:cs="Times New Roman"/>
          <w:lang w:val="el-GR"/>
        </w:rPr>
      </w:pPr>
      <w:r w:rsidRPr="00511BF8">
        <w:rPr>
          <w:rFonts w:ascii="Times New Roman" w:hAnsi="Times New Roman"/>
          <w:vertAlign w:val="superscript"/>
          <w:lang w:val="el-GR"/>
        </w:rPr>
        <w:t>2</w:t>
      </w:r>
      <w:r w:rsidR="00DB1DD6">
        <w:rPr>
          <w:rFonts w:ascii="Times New Roman" w:hAnsi="Times New Roman"/>
          <w:lang w:val="el-GR"/>
        </w:rPr>
        <w:t>Επ</w:t>
      </w:r>
      <w:r w:rsidR="007134E2" w:rsidRPr="00DB1DD6">
        <w:rPr>
          <w:rFonts w:ascii="Times New Roman" w:hAnsi="Times New Roman"/>
          <w:lang w:val="el-GR"/>
        </w:rPr>
        <w:t>ιπλέον, συχνή ήταν η αναιμία και πολύ συχνός ο αποχρωματισμός του δέρματος (αυξημένη υπερμελάγχρωση), όταν</w:t>
      </w:r>
      <w:r w:rsidR="007134E2" w:rsidRPr="00DB1DD6">
        <w:rPr>
          <w:rFonts w:ascii="Times New Roman" w:hAnsi="Times New Roman"/>
          <w:spacing w:val="-26"/>
          <w:lang w:val="el-GR"/>
        </w:rPr>
        <w:t xml:space="preserve"> </w:t>
      </w:r>
      <w:r w:rsidR="007134E2" w:rsidRPr="00DB1DD6">
        <w:rPr>
          <w:rFonts w:ascii="Times New Roman" w:hAnsi="Times New Roman"/>
          <w:lang w:val="el-GR"/>
        </w:rPr>
        <w:t xml:space="preserve">η </w:t>
      </w:r>
      <w:r w:rsidR="00DB1DD6">
        <w:rPr>
          <w:rFonts w:ascii="Times New Roman" w:hAnsi="Times New Roman"/>
          <w:lang w:val="el-GR"/>
        </w:rPr>
        <w:t>εμτρισιταβίνη</w:t>
      </w:r>
      <w:r w:rsidR="007134E2" w:rsidRPr="00DB1DD6">
        <w:rPr>
          <w:rFonts w:ascii="Times New Roman" w:hAnsi="Times New Roman"/>
          <w:lang w:val="el-GR"/>
        </w:rPr>
        <w:t xml:space="preserve"> χορηγήθηκε σε παιδιατρικούς</w:t>
      </w:r>
      <w:r w:rsidR="007134E2" w:rsidRPr="00DB1DD6">
        <w:rPr>
          <w:rFonts w:ascii="Times New Roman" w:hAnsi="Times New Roman"/>
          <w:spacing w:val="-22"/>
          <w:lang w:val="el-GR"/>
        </w:rPr>
        <w:t xml:space="preserve"> </w:t>
      </w:r>
      <w:r w:rsidR="007134E2" w:rsidRPr="00DB1DD6">
        <w:rPr>
          <w:rFonts w:ascii="Times New Roman" w:hAnsi="Times New Roman"/>
          <w:lang w:val="el-GR"/>
        </w:rPr>
        <w:t>ασθενείς.</w:t>
      </w:r>
    </w:p>
    <w:p w:rsidR="00645378" w:rsidRPr="00DB1DD6" w:rsidRDefault="00511BF8" w:rsidP="009E32D3">
      <w:pPr>
        <w:spacing w:line="212" w:lineRule="exact"/>
        <w:ind w:right="98"/>
        <w:rPr>
          <w:rFonts w:ascii="Times New Roman" w:eastAsia="Times New Roman" w:hAnsi="Times New Roman" w:cs="Times New Roman"/>
          <w:lang w:val="el-GR"/>
        </w:rPr>
      </w:pPr>
      <w:r w:rsidRPr="00511BF8">
        <w:rPr>
          <w:rFonts w:ascii="Times New Roman" w:hAnsi="Times New Roman"/>
          <w:vertAlign w:val="superscript"/>
          <w:lang w:val="el-GR"/>
        </w:rPr>
        <w:t>3</w:t>
      </w:r>
      <w:r w:rsidR="00DB1DD6">
        <w:rPr>
          <w:rFonts w:ascii="Times New Roman" w:hAnsi="Times New Roman"/>
          <w:lang w:val="el-GR"/>
        </w:rPr>
        <w:t>Α</w:t>
      </w:r>
      <w:r w:rsidR="007134E2" w:rsidRPr="00DB1DD6">
        <w:rPr>
          <w:rFonts w:ascii="Times New Roman" w:hAnsi="Times New Roman"/>
          <w:lang w:val="el-GR"/>
        </w:rPr>
        <w:t>υτή η ανεπιθύμητη ενέργεια αναγνωρίστηκε μέσω της παρακολούθησης μετά την κυκλοφορία, αλλά δεν</w:t>
      </w:r>
      <w:r w:rsidR="007134E2" w:rsidRPr="00DB1DD6">
        <w:rPr>
          <w:rFonts w:ascii="Times New Roman" w:hAnsi="Times New Roman"/>
          <w:spacing w:val="-19"/>
          <w:lang w:val="el-GR"/>
        </w:rPr>
        <w:t xml:space="preserve"> </w:t>
      </w:r>
      <w:r w:rsidR="007134E2" w:rsidRPr="00DB1DD6">
        <w:rPr>
          <w:rFonts w:ascii="Times New Roman" w:hAnsi="Times New Roman"/>
          <w:lang w:val="el-GR"/>
        </w:rPr>
        <w:t xml:space="preserve">παρατηρήθηκε σε τυχαιοποιημένες, ελεγχόμενες κλινικές μελέτες σε ενήλικες ή σε κλινικές μελέτες του </w:t>
      </w:r>
      <w:r w:rsidR="007134E2" w:rsidRPr="00DB1DD6">
        <w:rPr>
          <w:rFonts w:ascii="Times New Roman" w:hAnsi="Times New Roman"/>
        </w:rPr>
        <w:t>HIV</w:t>
      </w:r>
      <w:r w:rsidR="007134E2" w:rsidRPr="00DB1DD6">
        <w:rPr>
          <w:rFonts w:ascii="Times New Roman" w:hAnsi="Times New Roman"/>
          <w:lang w:val="el-GR"/>
        </w:rPr>
        <w:t xml:space="preserve"> για την </w:t>
      </w:r>
      <w:r w:rsidR="00DB1DD6">
        <w:rPr>
          <w:rFonts w:ascii="Times New Roman" w:hAnsi="Times New Roman"/>
          <w:lang w:val="el-GR"/>
        </w:rPr>
        <w:t>εμτρισιταβίνη</w:t>
      </w:r>
      <w:r w:rsidR="007134E2" w:rsidRPr="00DB1DD6">
        <w:rPr>
          <w:rFonts w:ascii="Times New Roman" w:hAnsi="Times New Roman"/>
          <w:spacing w:val="-6"/>
          <w:lang w:val="el-GR"/>
        </w:rPr>
        <w:t xml:space="preserve"> </w:t>
      </w:r>
      <w:r w:rsidR="007134E2" w:rsidRPr="00DB1DD6">
        <w:rPr>
          <w:rFonts w:ascii="Times New Roman" w:hAnsi="Times New Roman"/>
          <w:lang w:val="el-GR"/>
        </w:rPr>
        <w:t>σε παιδιατρικούς ασθενείς ή σε τυχαιοποιημένες κλινικές μελέτες ή στο διευρυμένο πρόγραμμα πρόσβασης στ</w:t>
      </w:r>
      <w:r w:rsidR="00DB1DD6">
        <w:rPr>
          <w:rFonts w:ascii="Times New Roman" w:hAnsi="Times New Roman"/>
          <w:lang w:val="el-GR"/>
        </w:rPr>
        <w:t>η τενοφοβίρη δισοπρόξιλη για τη τενοφοβίρη δισοπρόξιλη.</w:t>
      </w:r>
      <w:r w:rsidR="007134E2" w:rsidRPr="00DB1DD6">
        <w:rPr>
          <w:rFonts w:ascii="Times New Roman" w:hAnsi="Times New Roman"/>
          <w:lang w:val="el-GR"/>
        </w:rPr>
        <w:t xml:space="preserve"> Η κατηγορία συχνότητας εκτιμήθηκε από έναν</w:t>
      </w:r>
      <w:r w:rsidR="007134E2" w:rsidRPr="00DB1DD6">
        <w:rPr>
          <w:rFonts w:ascii="Times New Roman" w:hAnsi="Times New Roman"/>
          <w:spacing w:val="-20"/>
          <w:lang w:val="el-GR"/>
        </w:rPr>
        <w:t xml:space="preserve"> </w:t>
      </w:r>
      <w:r w:rsidR="007134E2" w:rsidRPr="00DB1DD6">
        <w:rPr>
          <w:rFonts w:ascii="Times New Roman" w:hAnsi="Times New Roman"/>
          <w:lang w:val="el-GR"/>
        </w:rPr>
        <w:t xml:space="preserve">στατιστικό υπολογισμό με βάση το συνολικό αριθμό των ασθενών που είχαν εκτεθεί στην </w:t>
      </w:r>
      <w:r w:rsidR="00DB1DD6">
        <w:rPr>
          <w:rFonts w:ascii="Times New Roman" w:hAnsi="Times New Roman"/>
          <w:lang w:val="el-GR"/>
        </w:rPr>
        <w:t>εμτρισιταβίνη</w:t>
      </w:r>
      <w:r w:rsidR="007134E2" w:rsidRPr="00DB1DD6">
        <w:rPr>
          <w:rFonts w:ascii="Times New Roman" w:hAnsi="Times New Roman"/>
          <w:lang w:val="el-GR"/>
        </w:rPr>
        <w:t xml:space="preserve"> σε τυχαιοποιημένες</w:t>
      </w:r>
      <w:r w:rsidR="007134E2" w:rsidRPr="00DB1DD6">
        <w:rPr>
          <w:rFonts w:ascii="Times New Roman" w:hAnsi="Times New Roman"/>
          <w:spacing w:val="-22"/>
          <w:lang w:val="el-GR"/>
        </w:rPr>
        <w:t xml:space="preserve"> </w:t>
      </w:r>
      <w:r w:rsidR="007134E2" w:rsidRPr="00DB1DD6">
        <w:rPr>
          <w:rFonts w:ascii="Times New Roman" w:hAnsi="Times New Roman"/>
          <w:lang w:val="el-GR"/>
        </w:rPr>
        <w:t>κλινικές</w:t>
      </w:r>
      <w:r w:rsidR="007134E2" w:rsidRPr="00DB1DD6">
        <w:rPr>
          <w:rFonts w:ascii="Times New Roman" w:hAnsi="Times New Roman"/>
          <w:spacing w:val="1"/>
          <w:lang w:val="el-GR"/>
        </w:rPr>
        <w:t xml:space="preserve"> </w:t>
      </w:r>
      <w:r w:rsidR="007134E2" w:rsidRPr="00DB1DD6">
        <w:rPr>
          <w:rFonts w:ascii="Times New Roman" w:hAnsi="Times New Roman"/>
          <w:lang w:val="el-GR"/>
        </w:rPr>
        <w:t>μελέτες (</w:t>
      </w:r>
      <w:r w:rsidR="007134E2" w:rsidRPr="00DB1DD6">
        <w:rPr>
          <w:rFonts w:ascii="Times New Roman" w:hAnsi="Times New Roman"/>
        </w:rPr>
        <w:t>n</w:t>
      </w:r>
      <w:r w:rsidR="007134E2" w:rsidRPr="00DB1DD6">
        <w:rPr>
          <w:rFonts w:ascii="Times New Roman" w:hAnsi="Times New Roman"/>
          <w:lang w:val="el-GR"/>
        </w:rPr>
        <w:t xml:space="preserve"> = 1.563) ή στ</w:t>
      </w:r>
      <w:r w:rsidR="00DB1DD6">
        <w:rPr>
          <w:rFonts w:ascii="Times New Roman" w:hAnsi="Times New Roman"/>
          <w:lang w:val="el-GR"/>
        </w:rPr>
        <w:t>η τενοφοβίρη δισοπρόξιλη</w:t>
      </w:r>
      <w:r w:rsidR="007134E2" w:rsidRPr="00DB1DD6">
        <w:rPr>
          <w:rFonts w:ascii="Times New Roman" w:hAnsi="Times New Roman"/>
          <w:lang w:val="el-GR"/>
        </w:rPr>
        <w:t xml:space="preserve"> σε τυχαιοποιημένες ελεγχόμενες κλινικές δοκιμές και το</w:t>
      </w:r>
      <w:r w:rsidR="007134E2" w:rsidRPr="00DB1DD6">
        <w:rPr>
          <w:rFonts w:ascii="Times New Roman" w:hAnsi="Times New Roman"/>
          <w:spacing w:val="-16"/>
          <w:lang w:val="el-GR"/>
        </w:rPr>
        <w:t xml:space="preserve"> </w:t>
      </w:r>
      <w:r w:rsidR="007134E2" w:rsidRPr="00DB1DD6">
        <w:rPr>
          <w:rFonts w:ascii="Times New Roman" w:hAnsi="Times New Roman"/>
          <w:lang w:val="el-GR"/>
        </w:rPr>
        <w:t>διευρυμένο πρόγραμμα πρόσβασης (</w:t>
      </w:r>
      <w:r w:rsidR="007134E2" w:rsidRPr="00DB1DD6">
        <w:rPr>
          <w:rFonts w:ascii="Times New Roman" w:hAnsi="Times New Roman"/>
        </w:rPr>
        <w:t>n</w:t>
      </w:r>
      <w:r w:rsidR="007134E2" w:rsidRPr="00DB1DD6">
        <w:rPr>
          <w:rFonts w:ascii="Times New Roman" w:hAnsi="Times New Roman"/>
          <w:lang w:val="el-GR"/>
        </w:rPr>
        <w:t xml:space="preserve"> =</w:t>
      </w:r>
      <w:r w:rsidR="007134E2" w:rsidRPr="00DB1DD6">
        <w:rPr>
          <w:rFonts w:ascii="Times New Roman" w:hAnsi="Times New Roman"/>
          <w:spacing w:val="-11"/>
          <w:lang w:val="el-GR"/>
        </w:rPr>
        <w:t xml:space="preserve"> </w:t>
      </w:r>
      <w:r w:rsidR="007134E2" w:rsidRPr="00DB1DD6">
        <w:rPr>
          <w:rFonts w:ascii="Times New Roman" w:hAnsi="Times New Roman"/>
          <w:lang w:val="el-GR"/>
        </w:rPr>
        <w:t>7.319).</w:t>
      </w:r>
    </w:p>
    <w:p w:rsidR="00645378" w:rsidRPr="009E32D3" w:rsidRDefault="00645378">
      <w:pPr>
        <w:spacing w:before="8"/>
        <w:rPr>
          <w:rFonts w:ascii="Times New Roman" w:eastAsia="Times New Roman" w:hAnsi="Times New Roman" w:cs="Times New Roman"/>
          <w:lang w:val="el-GR"/>
        </w:rPr>
      </w:pPr>
    </w:p>
    <w:p w:rsidR="00645378" w:rsidRPr="009E32D3" w:rsidRDefault="007134E2" w:rsidP="009E32D3">
      <w:pPr>
        <w:pStyle w:val="a3"/>
        <w:tabs>
          <w:tab w:val="left" w:pos="9214"/>
        </w:tabs>
        <w:ind w:left="0" w:right="76"/>
        <w:rPr>
          <w:lang w:val="el-GR"/>
        </w:rPr>
      </w:pPr>
      <w:r w:rsidRPr="009E32D3">
        <w:rPr>
          <w:u w:val="single" w:color="000000"/>
          <w:lang w:val="el-GR"/>
        </w:rPr>
        <w:t>Περιγραφή επιλεγμένων ανεπιθύμητων</w:t>
      </w:r>
      <w:r w:rsidRPr="009E32D3">
        <w:rPr>
          <w:spacing w:val="8"/>
          <w:u w:val="single" w:color="000000"/>
          <w:lang w:val="el-GR"/>
        </w:rPr>
        <w:t xml:space="preserve"> </w:t>
      </w:r>
      <w:r w:rsidRPr="009E32D3">
        <w:rPr>
          <w:u w:val="single" w:color="000000"/>
          <w:lang w:val="el-GR"/>
        </w:rPr>
        <w:t>ενεργειών</w:t>
      </w:r>
    </w:p>
    <w:p w:rsidR="00645378" w:rsidRDefault="007134E2" w:rsidP="009E32D3">
      <w:pPr>
        <w:pStyle w:val="a3"/>
        <w:tabs>
          <w:tab w:val="left" w:pos="9214"/>
        </w:tabs>
        <w:spacing w:before="6" w:line="244" w:lineRule="auto"/>
        <w:ind w:left="0" w:right="76"/>
        <w:rPr>
          <w:lang w:val="el-GR"/>
        </w:rPr>
      </w:pPr>
      <w:r w:rsidRPr="009E32D3">
        <w:rPr>
          <w:i/>
          <w:lang w:val="el-GR"/>
        </w:rPr>
        <w:t xml:space="preserve">Νεφρική δυσλειτουργία: </w:t>
      </w:r>
      <w:r w:rsidRPr="009E32D3">
        <w:rPr>
          <w:lang w:val="el-GR"/>
        </w:rPr>
        <w:t xml:space="preserve">Καθώς </w:t>
      </w:r>
      <w:r w:rsidR="0078230B">
        <w:rPr>
          <w:lang w:val="el-GR"/>
        </w:rPr>
        <w:t>η</w:t>
      </w:r>
      <w:r w:rsidR="00BC1CAD">
        <w:rPr>
          <w:lang w:val="el-GR"/>
        </w:rPr>
        <w:t xml:space="preserve"> </w:t>
      </w:r>
      <w:r w:rsidR="00BC1CAD">
        <w:rPr>
          <w:rFonts w:cs="Times New Roman"/>
          <w:color w:val="000000" w:themeColor="text1"/>
          <w:lang w:val="el-GR"/>
        </w:rPr>
        <w:t>εμτρισιταβίνη</w:t>
      </w:r>
      <w:r w:rsidR="0078230B">
        <w:rPr>
          <w:rFonts w:cs="Times New Roman"/>
          <w:color w:val="000000" w:themeColor="text1"/>
          <w:lang w:val="el-GR"/>
        </w:rPr>
        <w:t xml:space="preserve"> και </w:t>
      </w:r>
      <w:r w:rsidR="00BC1CAD">
        <w:rPr>
          <w:rFonts w:cs="Times New Roman"/>
          <w:color w:val="000000" w:themeColor="text1"/>
          <w:lang w:val="el-GR"/>
        </w:rPr>
        <w:t xml:space="preserve">τενοφοβίρη </w:t>
      </w:r>
      <w:r w:rsidR="00BC1CAD" w:rsidRPr="00F13AEB">
        <w:rPr>
          <w:rFonts w:cs="Times New Roman"/>
          <w:color w:val="000000" w:themeColor="text1"/>
          <w:lang w:val="el-GR"/>
        </w:rPr>
        <w:t>δισοπρόξιλη</w:t>
      </w:r>
      <w:r w:rsidR="00BC1CAD" w:rsidRPr="009E32D3">
        <w:rPr>
          <w:lang w:val="el-GR"/>
        </w:rPr>
        <w:t xml:space="preserve"> </w:t>
      </w:r>
      <w:r w:rsidRPr="009E32D3">
        <w:rPr>
          <w:lang w:val="el-GR"/>
        </w:rPr>
        <w:t>μπορεί να προκαλέσει νεφρική βλάβη συνιστάται η</w:t>
      </w:r>
      <w:r w:rsidRPr="009E32D3">
        <w:rPr>
          <w:spacing w:val="6"/>
          <w:lang w:val="el-GR"/>
        </w:rPr>
        <w:t xml:space="preserve"> </w:t>
      </w:r>
      <w:r w:rsidRPr="009E32D3">
        <w:rPr>
          <w:lang w:val="el-GR"/>
        </w:rPr>
        <w:t>στενή παρακολούθηση</w:t>
      </w:r>
      <w:r w:rsidRPr="009E32D3">
        <w:rPr>
          <w:spacing w:val="-1"/>
          <w:lang w:val="el-GR"/>
        </w:rPr>
        <w:t xml:space="preserve"> </w:t>
      </w:r>
      <w:r w:rsidRPr="009E32D3">
        <w:rPr>
          <w:lang w:val="el-GR"/>
        </w:rPr>
        <w:t>της</w:t>
      </w:r>
      <w:r w:rsidRPr="009E32D3">
        <w:rPr>
          <w:spacing w:val="-1"/>
          <w:lang w:val="el-GR"/>
        </w:rPr>
        <w:t xml:space="preserve"> </w:t>
      </w:r>
      <w:r w:rsidRPr="009E32D3">
        <w:rPr>
          <w:lang w:val="el-GR"/>
        </w:rPr>
        <w:t>νεφρικής</w:t>
      </w:r>
      <w:r w:rsidRPr="009E32D3">
        <w:rPr>
          <w:spacing w:val="-1"/>
          <w:lang w:val="el-GR"/>
        </w:rPr>
        <w:t xml:space="preserve"> </w:t>
      </w:r>
      <w:r w:rsidRPr="009E32D3">
        <w:rPr>
          <w:lang w:val="el-GR"/>
        </w:rPr>
        <w:t>λειτουργίας</w:t>
      </w:r>
      <w:r w:rsidRPr="009E32D3">
        <w:rPr>
          <w:spacing w:val="-1"/>
          <w:lang w:val="el-GR"/>
        </w:rPr>
        <w:t xml:space="preserve"> </w:t>
      </w:r>
      <w:r w:rsidRPr="009E32D3">
        <w:rPr>
          <w:lang w:val="el-GR"/>
        </w:rPr>
        <w:t>(βλ. παραγράφους</w:t>
      </w:r>
      <w:r w:rsidRPr="009E32D3">
        <w:rPr>
          <w:spacing w:val="-2"/>
          <w:lang w:val="el-GR"/>
        </w:rPr>
        <w:t xml:space="preserve"> </w:t>
      </w:r>
      <w:r w:rsidRPr="009E32D3">
        <w:rPr>
          <w:lang w:val="el-GR"/>
        </w:rPr>
        <w:t>4.4 και 4.8). Η</w:t>
      </w:r>
      <w:r w:rsidRPr="009E32D3">
        <w:rPr>
          <w:spacing w:val="-1"/>
          <w:lang w:val="el-GR"/>
        </w:rPr>
        <w:t xml:space="preserve"> </w:t>
      </w:r>
      <w:r w:rsidRPr="009E32D3">
        <w:rPr>
          <w:lang w:val="el-GR"/>
        </w:rPr>
        <w:t>κεντρική</w:t>
      </w:r>
      <w:r w:rsidRPr="009E32D3">
        <w:rPr>
          <w:spacing w:val="-1"/>
          <w:lang w:val="el-GR"/>
        </w:rPr>
        <w:t xml:space="preserve"> </w:t>
      </w:r>
      <w:r w:rsidR="007A1CE2">
        <w:rPr>
          <w:lang w:val="el-GR"/>
        </w:rPr>
        <w:t xml:space="preserve">νεφρική </w:t>
      </w:r>
      <w:r w:rsidRPr="009E32D3">
        <w:rPr>
          <w:lang w:val="el-GR"/>
        </w:rPr>
        <w:t>σωληναριοπάθεια γενικά επιλύθηκε ή βε</w:t>
      </w:r>
      <w:r w:rsidR="00BC1CAD">
        <w:rPr>
          <w:lang w:val="el-GR"/>
        </w:rPr>
        <w:t>λτιώθηκε μετά από τη διακοπή της τενοφοβίρης δισοπρόξιλης</w:t>
      </w:r>
      <w:r w:rsidRPr="009E32D3">
        <w:rPr>
          <w:lang w:val="el-GR"/>
        </w:rPr>
        <w:t>. Ωστόσο, σε ορισμένους ασθενείς, οι μειώσεις στην κά</w:t>
      </w:r>
      <w:r w:rsidR="00B078B0">
        <w:rPr>
          <w:lang w:val="el-GR"/>
        </w:rPr>
        <w:t>θαρση κρεατινίνης δεν επιλύθηκαν ε</w:t>
      </w:r>
      <w:r w:rsidRPr="009E32D3">
        <w:rPr>
          <w:lang w:val="el-GR"/>
        </w:rPr>
        <w:t xml:space="preserve">ντελώς παρά τη διακοπή </w:t>
      </w:r>
      <w:r w:rsidR="00BC1CAD">
        <w:rPr>
          <w:lang w:val="el-GR"/>
        </w:rPr>
        <w:t>της τενοφοβίρης δισοπρόξιλης</w:t>
      </w:r>
      <w:r w:rsidRPr="009E32D3">
        <w:rPr>
          <w:lang w:val="el-GR"/>
        </w:rPr>
        <w:t>. Ασθενείς με κίνδυνο νεφρικής</w:t>
      </w:r>
      <w:r w:rsidRPr="009E32D3">
        <w:rPr>
          <w:spacing w:val="-46"/>
          <w:lang w:val="el-GR"/>
        </w:rPr>
        <w:t xml:space="preserve"> </w:t>
      </w:r>
      <w:r w:rsidRPr="009E32D3">
        <w:rPr>
          <w:lang w:val="el-GR"/>
        </w:rPr>
        <w:t>δυσλειτουργίας (όπως ασθενείς με νεφρικούς παράγοντες κινδύ</w:t>
      </w:r>
      <w:r w:rsidR="00B078B0">
        <w:rPr>
          <w:lang w:val="el-GR"/>
        </w:rPr>
        <w:t>νου κατά την έναρξη, προχωρημένη λ</w:t>
      </w:r>
      <w:r w:rsidRPr="009E32D3">
        <w:rPr>
          <w:lang w:val="el-GR"/>
        </w:rPr>
        <w:t xml:space="preserve">οίμωξη </w:t>
      </w:r>
      <w:r>
        <w:t>HIV</w:t>
      </w:r>
      <w:r w:rsidRPr="009E32D3">
        <w:rPr>
          <w:lang w:val="el-GR"/>
        </w:rPr>
        <w:t>, ή ασθενείς που λαμβάνουν ταυτόχρονα νεφροτοξ</w:t>
      </w:r>
      <w:r w:rsidR="00B078B0">
        <w:rPr>
          <w:lang w:val="el-GR"/>
        </w:rPr>
        <w:t>ικά φαρμακευτικά προϊόντα) έχουν α</w:t>
      </w:r>
      <w:r w:rsidRPr="009E32D3">
        <w:rPr>
          <w:lang w:val="el-GR"/>
        </w:rPr>
        <w:t>υξημένο κίνδυνο να παρουσιάσουν ελλιπή ανάκτηση της νεφρικής λειτουργίας παρά τη διακοπή</w:t>
      </w:r>
      <w:r w:rsidRPr="009E32D3">
        <w:rPr>
          <w:spacing w:val="-1"/>
          <w:lang w:val="el-GR"/>
        </w:rPr>
        <w:t xml:space="preserve"> </w:t>
      </w:r>
      <w:r w:rsidR="00BC1CAD">
        <w:rPr>
          <w:lang w:val="el-GR"/>
        </w:rPr>
        <w:t>της τενοφοβίρης δισοπρόξιλης</w:t>
      </w:r>
      <w:r w:rsidRPr="009E32D3">
        <w:rPr>
          <w:lang w:val="el-GR"/>
        </w:rPr>
        <w:t xml:space="preserve"> (βλ. παράγραφο</w:t>
      </w:r>
      <w:r w:rsidRPr="009E32D3">
        <w:rPr>
          <w:spacing w:val="8"/>
          <w:lang w:val="el-GR"/>
        </w:rPr>
        <w:t xml:space="preserve"> </w:t>
      </w:r>
      <w:r w:rsidRPr="009E32D3">
        <w:rPr>
          <w:lang w:val="el-GR"/>
        </w:rPr>
        <w:t>4.4).</w:t>
      </w:r>
    </w:p>
    <w:p w:rsidR="00BC1CAD" w:rsidRPr="009E32D3" w:rsidRDefault="00BC1CAD" w:rsidP="009E32D3">
      <w:pPr>
        <w:pStyle w:val="a3"/>
        <w:tabs>
          <w:tab w:val="left" w:pos="9214"/>
        </w:tabs>
        <w:spacing w:before="6" w:line="244" w:lineRule="auto"/>
        <w:ind w:left="0" w:right="76"/>
        <w:rPr>
          <w:lang w:val="el-GR"/>
        </w:rPr>
      </w:pPr>
    </w:p>
    <w:p w:rsidR="00645378" w:rsidRPr="00511BF8" w:rsidRDefault="007134E2" w:rsidP="009E32D3">
      <w:pPr>
        <w:pStyle w:val="a3"/>
        <w:tabs>
          <w:tab w:val="left" w:pos="9214"/>
        </w:tabs>
        <w:spacing w:before="55" w:line="244" w:lineRule="auto"/>
        <w:ind w:left="0" w:right="76"/>
        <w:rPr>
          <w:rFonts w:cs="Times New Roman"/>
          <w:lang w:val="el-GR"/>
        </w:rPr>
      </w:pPr>
      <w:r w:rsidRPr="009E32D3">
        <w:rPr>
          <w:i/>
          <w:lang w:val="el-GR"/>
        </w:rPr>
        <w:t>Αλληλεπίδραση</w:t>
      </w:r>
      <w:r w:rsidRPr="009E32D3">
        <w:rPr>
          <w:i/>
          <w:spacing w:val="2"/>
          <w:lang w:val="el-GR"/>
        </w:rPr>
        <w:t xml:space="preserve"> </w:t>
      </w:r>
      <w:r w:rsidRPr="009E32D3">
        <w:rPr>
          <w:i/>
          <w:lang w:val="el-GR"/>
        </w:rPr>
        <w:t>με</w:t>
      </w:r>
      <w:r w:rsidR="00C36768">
        <w:rPr>
          <w:i/>
          <w:lang w:val="el-GR"/>
        </w:rPr>
        <w:t xml:space="preserve"> διδανοσίνη</w:t>
      </w:r>
      <w:r w:rsidRPr="009E32D3">
        <w:rPr>
          <w:i/>
          <w:lang w:val="el-GR"/>
        </w:rPr>
        <w:t>:</w:t>
      </w:r>
      <w:r w:rsidRPr="009E32D3">
        <w:rPr>
          <w:i/>
          <w:spacing w:val="1"/>
          <w:lang w:val="el-GR"/>
        </w:rPr>
        <w:t xml:space="preserve"> </w:t>
      </w:r>
      <w:r w:rsidRPr="009E32D3">
        <w:rPr>
          <w:lang w:val="el-GR"/>
        </w:rPr>
        <w:t xml:space="preserve">Η συγχορήγηση </w:t>
      </w:r>
      <w:r w:rsidR="00BC1CAD">
        <w:rPr>
          <w:lang w:val="el-GR"/>
        </w:rPr>
        <w:t>της τενοφοβίρης δισοπρόξιλης</w:t>
      </w:r>
      <w:r w:rsidRPr="009E32D3">
        <w:rPr>
          <w:spacing w:val="1"/>
          <w:lang w:val="el-GR"/>
        </w:rPr>
        <w:t xml:space="preserve"> </w:t>
      </w:r>
      <w:r w:rsidRPr="009E32D3">
        <w:rPr>
          <w:lang w:val="el-GR"/>
        </w:rPr>
        <w:t>με</w:t>
      </w:r>
      <w:r w:rsidRPr="009E32D3">
        <w:rPr>
          <w:spacing w:val="2"/>
          <w:lang w:val="el-GR"/>
        </w:rPr>
        <w:t xml:space="preserve"> </w:t>
      </w:r>
      <w:r w:rsidR="00C36768">
        <w:rPr>
          <w:lang w:val="el-GR"/>
        </w:rPr>
        <w:t xml:space="preserve">διδανοσίνη </w:t>
      </w:r>
      <w:r w:rsidRPr="009E32D3">
        <w:rPr>
          <w:lang w:val="el-GR"/>
        </w:rPr>
        <w:t>δεν</w:t>
      </w:r>
      <w:r w:rsidRPr="009E32D3">
        <w:rPr>
          <w:spacing w:val="-52"/>
          <w:lang w:val="el-GR"/>
        </w:rPr>
        <w:t xml:space="preserve"> </w:t>
      </w:r>
      <w:r w:rsidRPr="009E32D3">
        <w:rPr>
          <w:lang w:val="el-GR"/>
        </w:rPr>
        <w:t>συνιστάται καθώς οδηγεί σε 40-60%</w:t>
      </w:r>
      <w:r w:rsidR="00BC1CAD">
        <w:rPr>
          <w:lang w:val="el-GR"/>
        </w:rPr>
        <w:t xml:space="preserve"> </w:t>
      </w:r>
      <w:r w:rsidRPr="009E32D3">
        <w:rPr>
          <w:lang w:val="el-GR"/>
        </w:rPr>
        <w:t xml:space="preserve">αύξηση στη συστηματική έκθεση </w:t>
      </w:r>
      <w:r w:rsidR="00A55267" w:rsidRPr="009E32D3">
        <w:rPr>
          <w:lang w:val="el-GR"/>
        </w:rPr>
        <w:t>στ</w:t>
      </w:r>
      <w:r w:rsidR="00C36768">
        <w:rPr>
          <w:lang w:val="el-GR"/>
        </w:rPr>
        <w:t>η διδανοσίνη</w:t>
      </w:r>
      <w:r w:rsidRPr="009E32D3">
        <w:rPr>
          <w:lang w:val="el-GR"/>
        </w:rPr>
        <w:t>, που μπορεί</w:t>
      </w:r>
      <w:r w:rsidRPr="009E32D3">
        <w:rPr>
          <w:spacing w:val="1"/>
          <w:lang w:val="el-GR"/>
        </w:rPr>
        <w:t xml:space="preserve"> </w:t>
      </w:r>
      <w:r w:rsidRPr="009E32D3">
        <w:rPr>
          <w:lang w:val="el-GR"/>
        </w:rPr>
        <w:t xml:space="preserve">να αυξήσει τον κίνδυνο εμφάνισης ανεπιθύμητων ενεργειών σχετιζόμενων με </w:t>
      </w:r>
      <w:r w:rsidR="00A55267" w:rsidRPr="009E32D3">
        <w:rPr>
          <w:lang w:val="el-GR"/>
        </w:rPr>
        <w:t>τ</w:t>
      </w:r>
      <w:r w:rsidR="00C36768">
        <w:rPr>
          <w:lang w:val="el-GR"/>
        </w:rPr>
        <w:t>η διδανοσίνη</w:t>
      </w:r>
      <w:r w:rsidR="00A55267" w:rsidRPr="009E32D3">
        <w:rPr>
          <w:lang w:val="el-GR"/>
        </w:rPr>
        <w:t xml:space="preserve"> </w:t>
      </w:r>
      <w:r w:rsidRPr="009E32D3">
        <w:rPr>
          <w:lang w:val="el-GR"/>
        </w:rPr>
        <w:t>(βλ.</w:t>
      </w:r>
      <w:r w:rsidRPr="009E32D3">
        <w:rPr>
          <w:spacing w:val="-37"/>
          <w:lang w:val="el-GR"/>
        </w:rPr>
        <w:t xml:space="preserve"> </w:t>
      </w:r>
      <w:r w:rsidRPr="009E32D3">
        <w:rPr>
          <w:lang w:val="el-GR"/>
        </w:rPr>
        <w:t xml:space="preserve">παράγραφο 4.5). Σπάνια, έχουν </w:t>
      </w:r>
      <w:r w:rsidRPr="00511BF8">
        <w:rPr>
          <w:rFonts w:cs="Times New Roman"/>
          <w:lang w:val="el-GR"/>
        </w:rPr>
        <w:t>αναφερθεί παγκρεατίτιδα και γαλακτική οξέωση, ενίοτε</w:t>
      </w:r>
      <w:r w:rsidRPr="00511BF8">
        <w:rPr>
          <w:rFonts w:cs="Times New Roman"/>
          <w:spacing w:val="2"/>
          <w:lang w:val="el-GR"/>
        </w:rPr>
        <w:t xml:space="preserve"> </w:t>
      </w:r>
      <w:r w:rsidRPr="00511BF8">
        <w:rPr>
          <w:rFonts w:cs="Times New Roman"/>
          <w:lang w:val="el-GR"/>
        </w:rPr>
        <w:t>μοιραία.</w:t>
      </w:r>
    </w:p>
    <w:p w:rsidR="00645378" w:rsidRPr="00511BF8" w:rsidRDefault="00645378" w:rsidP="009E32D3">
      <w:pPr>
        <w:tabs>
          <w:tab w:val="left" w:pos="9214"/>
        </w:tabs>
        <w:spacing w:before="8"/>
        <w:ind w:right="76"/>
        <w:rPr>
          <w:rFonts w:ascii="Times New Roman" w:eastAsia="Times New Roman" w:hAnsi="Times New Roman" w:cs="Times New Roman"/>
          <w:lang w:val="el-GR"/>
        </w:rPr>
      </w:pPr>
    </w:p>
    <w:p w:rsidR="00511BF8" w:rsidRPr="009A5DFC" w:rsidRDefault="00511BF8" w:rsidP="00511BF8">
      <w:pPr>
        <w:rPr>
          <w:rFonts w:ascii="Times New Roman" w:hAnsi="Times New Roman" w:cs="Times New Roman"/>
          <w:i/>
          <w:color w:val="000000" w:themeColor="text1"/>
          <w:lang w:val="el-GR"/>
        </w:rPr>
      </w:pPr>
      <w:r w:rsidRPr="00511BF8">
        <w:rPr>
          <w:rFonts w:ascii="Times New Roman" w:hAnsi="Times New Roman" w:cs="Times New Roman"/>
          <w:i/>
          <w:color w:val="000000" w:themeColor="text1"/>
          <w:lang w:val="el-GR"/>
        </w:rPr>
        <w:t>Μεταβολικές παράμετροι</w:t>
      </w:r>
      <w:r w:rsidRPr="009A5DFC">
        <w:rPr>
          <w:rFonts w:ascii="Times New Roman" w:hAnsi="Times New Roman" w:cs="Times New Roman"/>
          <w:i/>
          <w:color w:val="000000" w:themeColor="text1"/>
          <w:lang w:val="el-GR"/>
        </w:rPr>
        <w:t>:</w:t>
      </w:r>
    </w:p>
    <w:p w:rsidR="00511BF8" w:rsidRPr="00511BF8" w:rsidRDefault="00511BF8" w:rsidP="00511BF8">
      <w:pPr>
        <w:rPr>
          <w:rFonts w:ascii="Times New Roman" w:hAnsi="Times New Roman" w:cs="Times New Roman"/>
          <w:color w:val="000000" w:themeColor="text1"/>
          <w:lang w:val="el-GR"/>
        </w:rPr>
      </w:pPr>
      <w:r w:rsidRPr="00511BF8">
        <w:rPr>
          <w:rFonts w:ascii="Times New Roman" w:hAnsi="Times New Roman" w:cs="Times New Roman"/>
          <w:color w:val="000000" w:themeColor="text1"/>
          <w:lang w:val="el-GR"/>
        </w:rPr>
        <w:t>Το βάρος και τα επίπεδα λιπιδίων και γλυκόζης στο αίμα μπορεί να αυξηθούν κατά τη διάρκεια της</w:t>
      </w:r>
      <w:r w:rsidR="009A5DFC">
        <w:rPr>
          <w:rFonts w:ascii="Times New Roman" w:hAnsi="Times New Roman" w:cs="Times New Roman"/>
          <w:color w:val="000000" w:themeColor="text1"/>
          <w:lang w:val="el-GR"/>
        </w:rPr>
        <w:t xml:space="preserve"> αντιρετροϊκής αγωγής</w:t>
      </w:r>
      <w:r w:rsidRPr="00511BF8">
        <w:rPr>
          <w:rFonts w:ascii="Times New Roman" w:hAnsi="Times New Roman" w:cs="Times New Roman"/>
          <w:color w:val="000000" w:themeColor="text1"/>
          <w:lang w:val="el-GR"/>
        </w:rPr>
        <w:t xml:space="preserve"> (βλ. παράγραφο 4.4).</w:t>
      </w:r>
    </w:p>
    <w:p w:rsidR="00645378" w:rsidRPr="00511BF8" w:rsidRDefault="00645378" w:rsidP="009E32D3">
      <w:pPr>
        <w:tabs>
          <w:tab w:val="left" w:pos="9214"/>
        </w:tabs>
        <w:spacing w:before="8"/>
        <w:ind w:right="76"/>
        <w:rPr>
          <w:rFonts w:ascii="Times New Roman" w:eastAsia="Times New Roman" w:hAnsi="Times New Roman" w:cs="Times New Roman"/>
          <w:lang w:val="el-GR"/>
        </w:rPr>
      </w:pPr>
    </w:p>
    <w:p w:rsidR="00645378" w:rsidRPr="00511BF8" w:rsidRDefault="007134E2" w:rsidP="009E32D3">
      <w:pPr>
        <w:pStyle w:val="a3"/>
        <w:tabs>
          <w:tab w:val="left" w:pos="9214"/>
        </w:tabs>
        <w:spacing w:line="244" w:lineRule="auto"/>
        <w:ind w:left="0" w:right="76"/>
        <w:rPr>
          <w:u w:val="single"/>
          <w:lang w:val="el-GR"/>
        </w:rPr>
      </w:pPr>
      <w:r w:rsidRPr="00511BF8">
        <w:rPr>
          <w:rFonts w:cs="Times New Roman"/>
          <w:i/>
          <w:u w:val="single"/>
          <w:lang w:val="el-GR"/>
        </w:rPr>
        <w:lastRenderedPageBreak/>
        <w:t xml:space="preserve">Σύνδρομο Επανεργοποίησης του Ανοσοποιητικού Συστήματος: </w:t>
      </w:r>
      <w:r w:rsidRPr="00511BF8">
        <w:rPr>
          <w:rFonts w:cs="Times New Roman"/>
          <w:u w:val="single"/>
          <w:lang w:val="el-GR"/>
        </w:rPr>
        <w:t xml:space="preserve">Σε </w:t>
      </w:r>
      <w:r w:rsidRPr="00511BF8">
        <w:rPr>
          <w:rFonts w:cs="Times New Roman"/>
          <w:spacing w:val="-2"/>
          <w:u w:val="single"/>
        </w:rPr>
        <w:t>HIV</w:t>
      </w:r>
      <w:r w:rsidRPr="00511BF8">
        <w:rPr>
          <w:rFonts w:cs="Times New Roman"/>
          <w:spacing w:val="-2"/>
          <w:u w:val="single"/>
          <w:lang w:val="el-GR"/>
        </w:rPr>
        <w:t xml:space="preserve"> </w:t>
      </w:r>
      <w:r w:rsidRPr="00511BF8">
        <w:rPr>
          <w:rFonts w:cs="Times New Roman"/>
          <w:u w:val="single"/>
          <w:lang w:val="el-GR"/>
        </w:rPr>
        <w:t>οροθετικούς ασθενείς με</w:t>
      </w:r>
      <w:r w:rsidRPr="00511BF8">
        <w:rPr>
          <w:rFonts w:cs="Times New Roman"/>
          <w:spacing w:val="-46"/>
          <w:u w:val="single"/>
          <w:lang w:val="el-GR"/>
        </w:rPr>
        <w:t xml:space="preserve"> </w:t>
      </w:r>
      <w:r w:rsidRPr="00511BF8">
        <w:rPr>
          <w:rFonts w:cs="Times New Roman"/>
          <w:u w:val="single"/>
          <w:lang w:val="el-GR"/>
        </w:rPr>
        <w:t>σοβαρή</w:t>
      </w:r>
      <w:r w:rsidRPr="00511BF8">
        <w:rPr>
          <w:rFonts w:cs="Times New Roman"/>
          <w:spacing w:val="-1"/>
          <w:u w:val="single"/>
          <w:lang w:val="el-GR"/>
        </w:rPr>
        <w:t xml:space="preserve"> </w:t>
      </w:r>
      <w:r w:rsidRPr="00511BF8">
        <w:rPr>
          <w:rFonts w:cs="Times New Roman"/>
          <w:u w:val="single"/>
          <w:lang w:val="el-GR"/>
        </w:rPr>
        <w:t>ανοσολογική</w:t>
      </w:r>
      <w:r w:rsidRPr="00511BF8">
        <w:rPr>
          <w:rFonts w:cs="Times New Roman"/>
          <w:spacing w:val="-1"/>
          <w:u w:val="single"/>
          <w:lang w:val="el-GR"/>
        </w:rPr>
        <w:t xml:space="preserve"> </w:t>
      </w:r>
      <w:r w:rsidRPr="00511BF8">
        <w:rPr>
          <w:rFonts w:cs="Times New Roman"/>
          <w:u w:val="single"/>
          <w:lang w:val="el-GR"/>
        </w:rPr>
        <w:t>ανεπάρκεια</w:t>
      </w:r>
      <w:r w:rsidRPr="00511BF8">
        <w:rPr>
          <w:rFonts w:cs="Times New Roman"/>
          <w:spacing w:val="-1"/>
          <w:u w:val="single"/>
          <w:lang w:val="el-GR"/>
        </w:rPr>
        <w:t xml:space="preserve"> </w:t>
      </w:r>
      <w:r w:rsidRPr="00511BF8">
        <w:rPr>
          <w:rFonts w:cs="Times New Roman"/>
          <w:u w:val="single"/>
          <w:lang w:val="el-GR"/>
        </w:rPr>
        <w:t>ενδέχεται να</w:t>
      </w:r>
      <w:r w:rsidRPr="00511BF8">
        <w:rPr>
          <w:rFonts w:cs="Times New Roman"/>
          <w:spacing w:val="-1"/>
          <w:u w:val="single"/>
          <w:lang w:val="el-GR"/>
        </w:rPr>
        <w:t xml:space="preserve"> </w:t>
      </w:r>
      <w:r w:rsidRPr="00511BF8">
        <w:rPr>
          <w:rFonts w:cs="Times New Roman"/>
          <w:u w:val="single"/>
          <w:lang w:val="el-GR"/>
        </w:rPr>
        <w:t>εμφανιστεί, κατά</w:t>
      </w:r>
      <w:r w:rsidRPr="00511BF8">
        <w:rPr>
          <w:rFonts w:cs="Times New Roman"/>
          <w:spacing w:val="-1"/>
          <w:u w:val="single"/>
          <w:lang w:val="el-GR"/>
        </w:rPr>
        <w:t xml:space="preserve"> </w:t>
      </w:r>
      <w:r w:rsidRPr="00511BF8">
        <w:rPr>
          <w:rFonts w:cs="Times New Roman"/>
          <w:u w:val="single"/>
          <w:lang w:val="el-GR"/>
        </w:rPr>
        <w:t>την</w:t>
      </w:r>
      <w:r w:rsidRPr="00511BF8">
        <w:rPr>
          <w:rFonts w:cs="Times New Roman"/>
          <w:spacing w:val="1"/>
          <w:u w:val="single"/>
          <w:lang w:val="el-GR"/>
        </w:rPr>
        <w:t xml:space="preserve"> </w:t>
      </w:r>
      <w:r w:rsidRPr="00511BF8">
        <w:rPr>
          <w:rFonts w:cs="Times New Roman"/>
          <w:u w:val="single"/>
          <w:lang w:val="el-GR"/>
        </w:rPr>
        <w:t>έναρξη</w:t>
      </w:r>
      <w:r w:rsidRPr="00511BF8">
        <w:rPr>
          <w:rFonts w:cs="Times New Roman"/>
          <w:spacing w:val="-1"/>
          <w:u w:val="single"/>
          <w:lang w:val="el-GR"/>
        </w:rPr>
        <w:t xml:space="preserve"> </w:t>
      </w:r>
      <w:r w:rsidRPr="00511BF8">
        <w:rPr>
          <w:rFonts w:cs="Times New Roman"/>
          <w:u w:val="single"/>
          <w:lang w:val="el-GR"/>
        </w:rPr>
        <w:t>της</w:t>
      </w:r>
      <w:r w:rsidRPr="00511BF8">
        <w:rPr>
          <w:rFonts w:cs="Times New Roman"/>
          <w:spacing w:val="-1"/>
          <w:u w:val="single"/>
          <w:lang w:val="el-GR"/>
        </w:rPr>
        <w:t xml:space="preserve"> </w:t>
      </w:r>
      <w:r w:rsidRPr="00511BF8">
        <w:rPr>
          <w:rFonts w:cs="Times New Roman"/>
          <w:u w:val="single"/>
        </w:rPr>
        <w:t>CART</w:t>
      </w:r>
      <w:r w:rsidRPr="00511BF8">
        <w:rPr>
          <w:rFonts w:cs="Times New Roman"/>
          <w:u w:val="single"/>
          <w:lang w:val="el-GR"/>
        </w:rPr>
        <w:t>, μία</w:t>
      </w:r>
      <w:r w:rsidRPr="00511BF8">
        <w:rPr>
          <w:rFonts w:cs="Times New Roman"/>
          <w:spacing w:val="-51"/>
          <w:u w:val="single"/>
          <w:lang w:val="el-GR"/>
        </w:rPr>
        <w:t xml:space="preserve"> </w:t>
      </w:r>
      <w:r w:rsidRPr="00511BF8">
        <w:rPr>
          <w:rFonts w:cs="Times New Roman"/>
          <w:u w:val="single"/>
          <w:lang w:val="el-GR"/>
        </w:rPr>
        <w:t>φλεγμονώδης</w:t>
      </w:r>
      <w:r w:rsidRPr="00511BF8">
        <w:rPr>
          <w:rFonts w:cs="Times New Roman"/>
          <w:spacing w:val="-1"/>
          <w:u w:val="single"/>
          <w:lang w:val="el-GR"/>
        </w:rPr>
        <w:t xml:space="preserve"> </w:t>
      </w:r>
      <w:r w:rsidRPr="00511BF8">
        <w:rPr>
          <w:rFonts w:cs="Times New Roman"/>
          <w:u w:val="single"/>
          <w:lang w:val="el-GR"/>
        </w:rPr>
        <w:t>αντίδραση</w:t>
      </w:r>
      <w:r w:rsidRPr="00511BF8">
        <w:rPr>
          <w:rFonts w:cs="Times New Roman"/>
          <w:spacing w:val="-1"/>
          <w:u w:val="single"/>
          <w:lang w:val="el-GR"/>
        </w:rPr>
        <w:t xml:space="preserve"> </w:t>
      </w:r>
      <w:r w:rsidRPr="00511BF8">
        <w:rPr>
          <w:rFonts w:cs="Times New Roman"/>
          <w:u w:val="single"/>
          <w:lang w:val="el-GR"/>
        </w:rPr>
        <w:t>σε</w:t>
      </w:r>
      <w:r w:rsidRPr="00511BF8">
        <w:rPr>
          <w:rFonts w:cs="Times New Roman"/>
          <w:spacing w:val="1"/>
          <w:u w:val="single"/>
          <w:lang w:val="el-GR"/>
        </w:rPr>
        <w:t xml:space="preserve"> </w:t>
      </w:r>
      <w:r w:rsidRPr="00511BF8">
        <w:rPr>
          <w:rFonts w:cs="Times New Roman"/>
          <w:u w:val="single"/>
          <w:lang w:val="el-GR"/>
        </w:rPr>
        <w:t>ασυμπτωματικ</w:t>
      </w:r>
      <w:r w:rsidRPr="00511BF8">
        <w:rPr>
          <w:u w:val="single"/>
          <w:lang w:val="el-GR"/>
        </w:rPr>
        <w:t>ά</w:t>
      </w:r>
      <w:r w:rsidRPr="00511BF8">
        <w:rPr>
          <w:spacing w:val="-1"/>
          <w:u w:val="single"/>
          <w:lang w:val="el-GR"/>
        </w:rPr>
        <w:t xml:space="preserve"> </w:t>
      </w:r>
      <w:r w:rsidRPr="00511BF8">
        <w:rPr>
          <w:u w:val="single"/>
          <w:lang w:val="el-GR"/>
        </w:rPr>
        <w:t>ή</w:t>
      </w:r>
      <w:r w:rsidRPr="00511BF8">
        <w:rPr>
          <w:spacing w:val="-1"/>
          <w:u w:val="single"/>
          <w:lang w:val="el-GR"/>
        </w:rPr>
        <w:t xml:space="preserve"> </w:t>
      </w:r>
      <w:r w:rsidRPr="00511BF8">
        <w:rPr>
          <w:u w:val="single"/>
          <w:lang w:val="el-GR"/>
        </w:rPr>
        <w:t>υπολειμματικά</w:t>
      </w:r>
      <w:r w:rsidRPr="00511BF8">
        <w:rPr>
          <w:spacing w:val="-1"/>
          <w:u w:val="single"/>
          <w:lang w:val="el-GR"/>
        </w:rPr>
        <w:t xml:space="preserve"> </w:t>
      </w:r>
      <w:r w:rsidRPr="00511BF8">
        <w:rPr>
          <w:u w:val="single"/>
          <w:lang w:val="el-GR"/>
        </w:rPr>
        <w:t>ευκαιριακά</w:t>
      </w:r>
      <w:r w:rsidRPr="00511BF8">
        <w:rPr>
          <w:spacing w:val="-1"/>
          <w:u w:val="single"/>
          <w:lang w:val="el-GR"/>
        </w:rPr>
        <w:t xml:space="preserve"> </w:t>
      </w:r>
      <w:r w:rsidRPr="00511BF8">
        <w:rPr>
          <w:u w:val="single"/>
          <w:lang w:val="el-GR"/>
        </w:rPr>
        <w:t xml:space="preserve">παθογόνα. </w:t>
      </w:r>
      <w:r w:rsidRPr="00511BF8">
        <w:rPr>
          <w:u w:val="single"/>
        </w:rPr>
        <w:t>A</w:t>
      </w:r>
      <w:r w:rsidRPr="00511BF8">
        <w:rPr>
          <w:u w:val="single"/>
          <w:lang w:val="el-GR"/>
        </w:rPr>
        <w:t>υτοάνοσες</w:t>
      </w:r>
      <w:r w:rsidRPr="00511BF8">
        <w:rPr>
          <w:spacing w:val="-53"/>
          <w:u w:val="single"/>
          <w:lang w:val="el-GR"/>
        </w:rPr>
        <w:t xml:space="preserve"> </w:t>
      </w:r>
      <w:r w:rsidRPr="00511BF8">
        <w:rPr>
          <w:u w:val="single"/>
          <w:lang w:val="el-GR"/>
        </w:rPr>
        <w:t xml:space="preserve">διαταραχές (όπως η νόσος του </w:t>
      </w:r>
      <w:r w:rsidRPr="00511BF8">
        <w:rPr>
          <w:u w:val="single"/>
        </w:rPr>
        <w:t>Graves</w:t>
      </w:r>
      <w:r w:rsidRPr="00511BF8">
        <w:rPr>
          <w:u w:val="single"/>
          <w:lang w:val="el-GR"/>
        </w:rPr>
        <w:t>) έχουν επίσης αναφερθεί. Ωστόσο, ο αναφερόμενος χρόνος</w:t>
      </w:r>
      <w:r w:rsidRPr="00511BF8">
        <w:rPr>
          <w:spacing w:val="7"/>
          <w:u w:val="single"/>
          <w:lang w:val="el-GR"/>
        </w:rPr>
        <w:t xml:space="preserve"> </w:t>
      </w:r>
      <w:r w:rsidRPr="00511BF8">
        <w:rPr>
          <w:u w:val="single"/>
          <w:lang w:val="el-GR"/>
        </w:rPr>
        <w:t>έως την έναρξη είναι περισσότερο μεταβλητός και αυτά τα γεγονότα</w:t>
      </w:r>
      <w:r w:rsidR="00BC1CAD" w:rsidRPr="00511BF8">
        <w:rPr>
          <w:u w:val="single"/>
          <w:lang w:val="el-GR"/>
        </w:rPr>
        <w:t xml:space="preserve"> μπορεί να συμβούν πολλούς μήνες </w:t>
      </w:r>
      <w:r w:rsidRPr="00511BF8">
        <w:rPr>
          <w:spacing w:val="-46"/>
          <w:u w:val="single"/>
          <w:lang w:val="el-GR"/>
        </w:rPr>
        <w:t xml:space="preserve"> </w:t>
      </w:r>
      <w:r w:rsidRPr="00511BF8">
        <w:rPr>
          <w:u w:val="single"/>
          <w:lang w:val="el-GR"/>
        </w:rPr>
        <w:t>μετά την έναρξη της θεραπείας (βλ. παράγραφο</w:t>
      </w:r>
      <w:r w:rsidRPr="00511BF8">
        <w:rPr>
          <w:spacing w:val="-5"/>
          <w:u w:val="single"/>
          <w:lang w:val="el-GR"/>
        </w:rPr>
        <w:t xml:space="preserve"> </w:t>
      </w:r>
      <w:r w:rsidRPr="00511BF8">
        <w:rPr>
          <w:u w:val="single"/>
          <w:lang w:val="el-GR"/>
        </w:rPr>
        <w:t>4.4).</w:t>
      </w:r>
    </w:p>
    <w:p w:rsidR="00645378" w:rsidRPr="00511BF8" w:rsidRDefault="00645378" w:rsidP="009E32D3">
      <w:pPr>
        <w:tabs>
          <w:tab w:val="left" w:pos="9214"/>
        </w:tabs>
        <w:spacing w:before="8"/>
        <w:ind w:right="76"/>
        <w:rPr>
          <w:rFonts w:ascii="Times New Roman" w:eastAsia="Times New Roman" w:hAnsi="Times New Roman" w:cs="Times New Roman"/>
          <w:u w:val="single"/>
          <w:lang w:val="el-GR"/>
        </w:rPr>
      </w:pPr>
    </w:p>
    <w:p w:rsidR="00645378" w:rsidRPr="00511BF8" w:rsidRDefault="007134E2" w:rsidP="009E32D3">
      <w:pPr>
        <w:pStyle w:val="a3"/>
        <w:tabs>
          <w:tab w:val="left" w:pos="9214"/>
        </w:tabs>
        <w:spacing w:line="244" w:lineRule="auto"/>
        <w:ind w:left="0" w:right="76"/>
        <w:rPr>
          <w:u w:val="single"/>
          <w:lang w:val="el-GR"/>
        </w:rPr>
      </w:pPr>
      <w:r w:rsidRPr="00511BF8">
        <w:rPr>
          <w:i/>
          <w:u w:val="single"/>
          <w:lang w:val="el-GR"/>
        </w:rPr>
        <w:t xml:space="preserve">Οστεονέκρωση: </w:t>
      </w:r>
      <w:r w:rsidRPr="00511BF8">
        <w:rPr>
          <w:u w:val="single"/>
          <w:lang w:val="el-GR"/>
        </w:rPr>
        <w:t>Έχουν αναφερθεί περιπτώσεις οστεονέκρωσης κυρίως σε ασθενείς με γνωστούς</w:t>
      </w:r>
      <w:r w:rsidRPr="00511BF8">
        <w:rPr>
          <w:spacing w:val="-41"/>
          <w:u w:val="single"/>
          <w:lang w:val="el-GR"/>
        </w:rPr>
        <w:t xml:space="preserve"> </w:t>
      </w:r>
      <w:r w:rsidRPr="00511BF8">
        <w:rPr>
          <w:u w:val="single"/>
          <w:lang w:val="el-GR"/>
        </w:rPr>
        <w:t xml:space="preserve">γενικά παράγοντες κινδύνου, προχωρημένη λοίμωξη </w:t>
      </w:r>
      <w:r w:rsidRPr="00511BF8">
        <w:rPr>
          <w:spacing w:val="-2"/>
          <w:u w:val="single"/>
        </w:rPr>
        <w:t>HIV</w:t>
      </w:r>
      <w:r w:rsidRPr="00511BF8">
        <w:rPr>
          <w:spacing w:val="-2"/>
          <w:u w:val="single"/>
          <w:lang w:val="el-GR"/>
        </w:rPr>
        <w:t xml:space="preserve"> </w:t>
      </w:r>
      <w:r w:rsidRPr="00511BF8">
        <w:rPr>
          <w:u w:val="single"/>
          <w:lang w:val="el-GR"/>
        </w:rPr>
        <w:t xml:space="preserve">ή μακράς διάρκειας έκθεση σε </w:t>
      </w:r>
      <w:r w:rsidRPr="00511BF8">
        <w:rPr>
          <w:u w:val="single"/>
        </w:rPr>
        <w:t>CART</w:t>
      </w:r>
      <w:r w:rsidRPr="00511BF8">
        <w:rPr>
          <w:u w:val="single"/>
          <w:lang w:val="el-GR"/>
        </w:rPr>
        <w:t>.</w:t>
      </w:r>
      <w:r w:rsidRPr="00511BF8">
        <w:rPr>
          <w:spacing w:val="5"/>
          <w:u w:val="single"/>
          <w:lang w:val="el-GR"/>
        </w:rPr>
        <w:t xml:space="preserve"> </w:t>
      </w:r>
      <w:r w:rsidRPr="00511BF8">
        <w:rPr>
          <w:u w:val="single"/>
          <w:lang w:val="el-GR"/>
        </w:rPr>
        <w:t>Η συχνότητα αυτών είναι άγνωστη (βλ. παράγραφο</w:t>
      </w:r>
      <w:r w:rsidRPr="00511BF8">
        <w:rPr>
          <w:spacing w:val="10"/>
          <w:u w:val="single"/>
          <w:lang w:val="el-GR"/>
        </w:rPr>
        <w:t xml:space="preserve"> </w:t>
      </w:r>
      <w:r w:rsidRPr="00511BF8">
        <w:rPr>
          <w:u w:val="single"/>
          <w:lang w:val="el-GR"/>
        </w:rPr>
        <w:t>4.4).</w:t>
      </w:r>
    </w:p>
    <w:p w:rsidR="00645378" w:rsidRPr="009E32D3" w:rsidRDefault="00645378" w:rsidP="009E32D3">
      <w:pPr>
        <w:tabs>
          <w:tab w:val="left" w:pos="9214"/>
        </w:tabs>
        <w:spacing w:before="7"/>
        <w:ind w:right="76"/>
        <w:rPr>
          <w:rFonts w:ascii="Times New Roman" w:eastAsia="Times New Roman" w:hAnsi="Times New Roman" w:cs="Times New Roman"/>
          <w:lang w:val="el-GR"/>
        </w:rPr>
      </w:pPr>
    </w:p>
    <w:p w:rsidR="00645378" w:rsidRPr="009E32D3" w:rsidRDefault="007134E2" w:rsidP="009E32D3">
      <w:pPr>
        <w:pStyle w:val="a3"/>
        <w:tabs>
          <w:tab w:val="left" w:pos="9214"/>
        </w:tabs>
        <w:ind w:left="0" w:right="76"/>
        <w:rPr>
          <w:lang w:val="el-GR"/>
        </w:rPr>
      </w:pPr>
      <w:r w:rsidRPr="009E32D3">
        <w:rPr>
          <w:u w:val="single" w:color="000000"/>
          <w:lang w:val="el-GR"/>
        </w:rPr>
        <w:t>Παιδιατρικός</w:t>
      </w:r>
      <w:r w:rsidRPr="009E32D3">
        <w:rPr>
          <w:spacing w:val="-4"/>
          <w:u w:val="single" w:color="000000"/>
          <w:lang w:val="el-GR"/>
        </w:rPr>
        <w:t xml:space="preserve"> </w:t>
      </w:r>
      <w:r w:rsidRPr="009E32D3">
        <w:rPr>
          <w:u w:val="single" w:color="000000"/>
          <w:lang w:val="el-GR"/>
        </w:rPr>
        <w:t>πληθυσμός</w:t>
      </w:r>
    </w:p>
    <w:p w:rsidR="00645378" w:rsidRPr="009E32D3" w:rsidRDefault="007134E2" w:rsidP="009E32D3">
      <w:pPr>
        <w:pStyle w:val="a3"/>
        <w:tabs>
          <w:tab w:val="left" w:pos="9214"/>
        </w:tabs>
        <w:spacing w:before="6" w:line="244" w:lineRule="auto"/>
        <w:ind w:left="0" w:right="76"/>
        <w:rPr>
          <w:lang w:val="el-GR"/>
        </w:rPr>
      </w:pPr>
      <w:r w:rsidRPr="009E32D3">
        <w:rPr>
          <w:lang w:val="el-GR"/>
        </w:rPr>
        <w:t xml:space="preserve">Δεν υπάρχουν επαρκή δεδομένα ασφάλειας για παιδιά ηλικίας κάτω των 18 ετών. </w:t>
      </w:r>
      <w:r w:rsidR="009976C6">
        <w:rPr>
          <w:lang w:val="el-GR"/>
        </w:rPr>
        <w:t>Η</w:t>
      </w:r>
      <w:r w:rsidR="00BC1CAD">
        <w:rPr>
          <w:lang w:val="el-GR"/>
        </w:rPr>
        <w:t xml:space="preserve"> </w:t>
      </w:r>
      <w:r w:rsidR="00BC1CAD">
        <w:rPr>
          <w:rFonts w:cs="Times New Roman"/>
          <w:color w:val="000000" w:themeColor="text1"/>
          <w:lang w:val="el-GR"/>
        </w:rPr>
        <w:t>εμτρισιταβίνη</w:t>
      </w:r>
      <w:r w:rsidR="009976C6">
        <w:rPr>
          <w:rFonts w:cs="Times New Roman"/>
          <w:color w:val="000000" w:themeColor="text1"/>
          <w:lang w:val="el-GR"/>
        </w:rPr>
        <w:t xml:space="preserve"> και </w:t>
      </w:r>
      <w:r w:rsidR="00BC1CAD">
        <w:rPr>
          <w:rFonts w:cs="Times New Roman"/>
          <w:color w:val="000000" w:themeColor="text1"/>
          <w:lang w:val="el-GR"/>
        </w:rPr>
        <w:t xml:space="preserve">/τενοφοβίρη </w:t>
      </w:r>
      <w:r w:rsidR="00BC1CAD" w:rsidRPr="00F13AEB">
        <w:rPr>
          <w:rFonts w:cs="Times New Roman"/>
          <w:color w:val="000000" w:themeColor="text1"/>
          <w:lang w:val="el-GR"/>
        </w:rPr>
        <w:t>δισοπρόξιλη</w:t>
      </w:r>
      <w:r w:rsidRPr="009E32D3">
        <w:rPr>
          <w:spacing w:val="5"/>
          <w:lang w:val="el-GR"/>
        </w:rPr>
        <w:t xml:space="preserve"> </w:t>
      </w:r>
      <w:r w:rsidRPr="009E32D3">
        <w:rPr>
          <w:lang w:val="el-GR"/>
        </w:rPr>
        <w:t>δεν συνιστάται σε αυτό τον πληθυσμό (βλ. παράγραφο</w:t>
      </w:r>
      <w:r w:rsidRPr="009E32D3">
        <w:rPr>
          <w:spacing w:val="7"/>
          <w:lang w:val="el-GR"/>
        </w:rPr>
        <w:t xml:space="preserve"> </w:t>
      </w:r>
      <w:r w:rsidRPr="009E32D3">
        <w:rPr>
          <w:lang w:val="el-GR"/>
        </w:rPr>
        <w:t>4.2).</w:t>
      </w:r>
    </w:p>
    <w:p w:rsidR="00645378" w:rsidRPr="009E32D3" w:rsidRDefault="00645378" w:rsidP="009E32D3">
      <w:pPr>
        <w:tabs>
          <w:tab w:val="left" w:pos="9214"/>
        </w:tabs>
        <w:spacing w:before="5"/>
        <w:ind w:right="76"/>
        <w:rPr>
          <w:rFonts w:ascii="Times New Roman" w:eastAsia="Times New Roman" w:hAnsi="Times New Roman" w:cs="Times New Roman"/>
          <w:lang w:val="el-GR"/>
        </w:rPr>
      </w:pPr>
    </w:p>
    <w:p w:rsidR="00645378" w:rsidRPr="009E32D3" w:rsidRDefault="007134E2" w:rsidP="009E32D3">
      <w:pPr>
        <w:pStyle w:val="a3"/>
        <w:tabs>
          <w:tab w:val="left" w:pos="9214"/>
        </w:tabs>
        <w:ind w:left="0" w:right="76"/>
        <w:rPr>
          <w:lang w:val="el-GR"/>
        </w:rPr>
      </w:pPr>
      <w:r w:rsidRPr="009E32D3">
        <w:rPr>
          <w:u w:val="single" w:color="000000"/>
          <w:lang w:val="el-GR"/>
        </w:rPr>
        <w:t>Άλλοι ειδικοί πληθυσμοί</w:t>
      </w:r>
    </w:p>
    <w:p w:rsidR="00645378" w:rsidRPr="009E32D3" w:rsidRDefault="007134E2" w:rsidP="009E32D3">
      <w:pPr>
        <w:pStyle w:val="a3"/>
        <w:tabs>
          <w:tab w:val="left" w:pos="9214"/>
        </w:tabs>
        <w:spacing w:before="6" w:line="244" w:lineRule="auto"/>
        <w:ind w:left="0" w:right="76"/>
        <w:rPr>
          <w:lang w:val="el-GR"/>
        </w:rPr>
      </w:pPr>
      <w:r w:rsidRPr="009E32D3">
        <w:rPr>
          <w:i/>
          <w:lang w:val="el-GR"/>
        </w:rPr>
        <w:t xml:space="preserve">Ηλικιωμένοι: </w:t>
      </w:r>
      <w:r w:rsidR="009976C6">
        <w:rPr>
          <w:lang w:val="el-GR"/>
        </w:rPr>
        <w:t>Η</w:t>
      </w:r>
      <w:r w:rsidR="00BC1CAD">
        <w:rPr>
          <w:lang w:val="el-GR"/>
        </w:rPr>
        <w:t xml:space="preserve"> </w:t>
      </w:r>
      <w:r w:rsidR="00BC1CAD">
        <w:rPr>
          <w:rFonts w:cs="Times New Roman"/>
          <w:color w:val="000000" w:themeColor="text1"/>
          <w:lang w:val="el-GR"/>
        </w:rPr>
        <w:t>εμτρισιταβίνη</w:t>
      </w:r>
      <w:r w:rsidR="009976C6">
        <w:rPr>
          <w:rFonts w:cs="Times New Roman"/>
          <w:color w:val="000000" w:themeColor="text1"/>
          <w:lang w:val="el-GR"/>
        </w:rPr>
        <w:t xml:space="preserve"> και </w:t>
      </w:r>
      <w:r w:rsidR="00BC1CAD">
        <w:rPr>
          <w:rFonts w:cs="Times New Roman"/>
          <w:color w:val="000000" w:themeColor="text1"/>
          <w:lang w:val="el-GR"/>
        </w:rPr>
        <w:t xml:space="preserve">τενοφοβίρη </w:t>
      </w:r>
      <w:r w:rsidR="00BC1CAD" w:rsidRPr="00F13AEB">
        <w:rPr>
          <w:rFonts w:cs="Times New Roman"/>
          <w:color w:val="000000" w:themeColor="text1"/>
          <w:lang w:val="el-GR"/>
        </w:rPr>
        <w:t>δισοπρόξιλη</w:t>
      </w:r>
      <w:r w:rsidR="00BC1CAD" w:rsidRPr="009E32D3">
        <w:rPr>
          <w:lang w:val="el-GR"/>
        </w:rPr>
        <w:t xml:space="preserve"> </w:t>
      </w:r>
      <w:r w:rsidRPr="009E32D3">
        <w:rPr>
          <w:lang w:val="el-GR"/>
        </w:rPr>
        <w:t>δεν έχει μελετηθεί σε ασθενείς ηλι</w:t>
      </w:r>
      <w:r w:rsidR="001D65D2">
        <w:rPr>
          <w:lang w:val="el-GR"/>
        </w:rPr>
        <w:t xml:space="preserve">κίας πάνω από 65. Οι ηλικιωμένοί </w:t>
      </w:r>
      <w:r w:rsidRPr="009E32D3">
        <w:rPr>
          <w:lang w:val="el-GR"/>
        </w:rPr>
        <w:t>ασθενείς είναι πιο πιθανό να έχουν μειωμένη νεφρική λειτουργία, ως εκ τούτου απαιτείται</w:t>
      </w:r>
      <w:r w:rsidRPr="009E32D3">
        <w:rPr>
          <w:spacing w:val="8"/>
          <w:lang w:val="el-GR"/>
        </w:rPr>
        <w:t xml:space="preserve"> </w:t>
      </w:r>
      <w:r w:rsidRPr="009E32D3">
        <w:rPr>
          <w:lang w:val="el-GR"/>
        </w:rPr>
        <w:t xml:space="preserve">προσοχή κατά τη θεραπεία ηλικιωμένων ασθενών με </w:t>
      </w:r>
      <w:r w:rsidR="00BC1CAD">
        <w:rPr>
          <w:rFonts w:cs="Times New Roman"/>
          <w:color w:val="000000" w:themeColor="text1"/>
          <w:lang w:val="el-GR"/>
        </w:rPr>
        <w:t>εμτρισιταβίνη</w:t>
      </w:r>
      <w:r w:rsidR="009976C6">
        <w:rPr>
          <w:rFonts w:cs="Times New Roman"/>
          <w:color w:val="000000" w:themeColor="text1"/>
          <w:lang w:val="el-GR"/>
        </w:rPr>
        <w:t xml:space="preserve"> και </w:t>
      </w:r>
      <w:r w:rsidR="00BC1CAD">
        <w:rPr>
          <w:rFonts w:cs="Times New Roman"/>
          <w:color w:val="000000" w:themeColor="text1"/>
          <w:lang w:val="el-GR"/>
        </w:rPr>
        <w:t xml:space="preserve">τενοφοβίρη </w:t>
      </w:r>
      <w:r w:rsidR="00BC1CAD" w:rsidRPr="00F13AEB">
        <w:rPr>
          <w:rFonts w:cs="Times New Roman"/>
          <w:color w:val="000000" w:themeColor="text1"/>
          <w:lang w:val="el-GR"/>
        </w:rPr>
        <w:t>δισοπρόξιλη</w:t>
      </w:r>
      <w:r w:rsidR="009D185E">
        <w:rPr>
          <w:lang w:val="el-GR"/>
        </w:rPr>
        <w:t xml:space="preserve"> </w:t>
      </w:r>
      <w:r w:rsidRPr="009E32D3">
        <w:rPr>
          <w:lang w:val="el-GR"/>
        </w:rPr>
        <w:t>(βλ. παράγραφο</w:t>
      </w:r>
      <w:r w:rsidRPr="009E32D3">
        <w:rPr>
          <w:spacing w:val="7"/>
          <w:lang w:val="el-GR"/>
        </w:rPr>
        <w:t xml:space="preserve"> </w:t>
      </w:r>
      <w:r w:rsidRPr="009E32D3">
        <w:rPr>
          <w:lang w:val="el-GR"/>
        </w:rPr>
        <w:t>4.4).</w:t>
      </w:r>
    </w:p>
    <w:p w:rsidR="00645378" w:rsidRPr="009E32D3" w:rsidRDefault="00645378" w:rsidP="009E32D3">
      <w:pPr>
        <w:tabs>
          <w:tab w:val="left" w:pos="9214"/>
        </w:tabs>
        <w:spacing w:before="8"/>
        <w:ind w:right="76"/>
        <w:rPr>
          <w:rFonts w:ascii="Times New Roman" w:eastAsia="Times New Roman" w:hAnsi="Times New Roman" w:cs="Times New Roman"/>
          <w:lang w:val="el-GR"/>
        </w:rPr>
      </w:pPr>
    </w:p>
    <w:p w:rsidR="00645378" w:rsidRPr="00AA2F31" w:rsidRDefault="007134E2" w:rsidP="009E32D3">
      <w:pPr>
        <w:pStyle w:val="a3"/>
        <w:tabs>
          <w:tab w:val="left" w:pos="9214"/>
        </w:tabs>
        <w:spacing w:line="244" w:lineRule="auto"/>
        <w:ind w:left="0" w:right="76"/>
        <w:jc w:val="both"/>
        <w:rPr>
          <w:lang w:val="el-GR"/>
        </w:rPr>
      </w:pPr>
      <w:r w:rsidRPr="00AA2F31">
        <w:rPr>
          <w:i/>
          <w:lang w:val="el-GR"/>
        </w:rPr>
        <w:t xml:space="preserve">Ασθενείς με νεφρική δυσλειτουργία: </w:t>
      </w:r>
      <w:r w:rsidRPr="00AA2F31">
        <w:rPr>
          <w:lang w:val="el-GR"/>
        </w:rPr>
        <w:t xml:space="preserve">εφόσον </w:t>
      </w:r>
      <w:r w:rsidR="009D185E">
        <w:rPr>
          <w:lang w:val="el-GR"/>
        </w:rPr>
        <w:t xml:space="preserve">η τενοφοβίρη δισοπρόξιλη μπορεί </w:t>
      </w:r>
      <w:r w:rsidRPr="00AA2F31">
        <w:rPr>
          <w:lang w:val="el-GR"/>
        </w:rPr>
        <w:t>να</w:t>
      </w:r>
      <w:r w:rsidRPr="00AA2F31">
        <w:rPr>
          <w:spacing w:val="8"/>
          <w:lang w:val="el-GR"/>
        </w:rPr>
        <w:t xml:space="preserve"> </w:t>
      </w:r>
      <w:r w:rsidRPr="00AA2F31">
        <w:rPr>
          <w:lang w:val="el-GR"/>
        </w:rPr>
        <w:t>προκαλέσει νεφρική τοξικότητα, συνιστάται στενή παρακολούθηση της νεφρικής λειτουργίας σε</w:t>
      </w:r>
      <w:r w:rsidRPr="00AA2F31">
        <w:rPr>
          <w:spacing w:val="4"/>
          <w:lang w:val="el-GR"/>
        </w:rPr>
        <w:t xml:space="preserve"> </w:t>
      </w:r>
      <w:r w:rsidRPr="00AA2F31">
        <w:rPr>
          <w:lang w:val="el-GR"/>
        </w:rPr>
        <w:t xml:space="preserve">οποιονδήποτε ασθενή λαμβάνει θεραπεία με </w:t>
      </w:r>
      <w:r w:rsidR="009D185E">
        <w:rPr>
          <w:rFonts w:cs="Times New Roman"/>
          <w:color w:val="000000" w:themeColor="text1"/>
          <w:lang w:val="el-GR"/>
        </w:rPr>
        <w:t>εμτρισιταβίνη</w:t>
      </w:r>
      <w:r w:rsidR="009976C6">
        <w:rPr>
          <w:rFonts w:cs="Times New Roman"/>
          <w:color w:val="000000" w:themeColor="text1"/>
          <w:lang w:val="el-GR"/>
        </w:rPr>
        <w:t xml:space="preserve"> και </w:t>
      </w:r>
      <w:r w:rsidR="009D185E">
        <w:rPr>
          <w:rFonts w:cs="Times New Roman"/>
          <w:color w:val="000000" w:themeColor="text1"/>
          <w:lang w:val="el-GR"/>
        </w:rPr>
        <w:t xml:space="preserve">τενοφοβίρη </w:t>
      </w:r>
      <w:r w:rsidR="009D185E" w:rsidRPr="00F13AEB">
        <w:rPr>
          <w:rFonts w:cs="Times New Roman"/>
          <w:color w:val="000000" w:themeColor="text1"/>
          <w:lang w:val="el-GR"/>
        </w:rPr>
        <w:t>δισοπρόξιλη</w:t>
      </w:r>
      <w:r w:rsidR="009D185E" w:rsidRPr="009E32D3">
        <w:rPr>
          <w:lang w:val="el-GR"/>
        </w:rPr>
        <w:t xml:space="preserve"> </w:t>
      </w:r>
      <w:r w:rsidRPr="00AA2F31">
        <w:rPr>
          <w:lang w:val="el-GR"/>
        </w:rPr>
        <w:t>(βλ. παραγράφους 4.2, 4.4 και 5.2).</w:t>
      </w:r>
    </w:p>
    <w:p w:rsidR="00645378" w:rsidRPr="00AA2F31" w:rsidRDefault="00645378" w:rsidP="009E32D3">
      <w:pPr>
        <w:tabs>
          <w:tab w:val="left" w:pos="9214"/>
        </w:tabs>
        <w:spacing w:before="8"/>
        <w:ind w:right="76"/>
        <w:rPr>
          <w:rFonts w:ascii="Times New Roman" w:eastAsia="Times New Roman" w:hAnsi="Times New Roman" w:cs="Times New Roman"/>
          <w:lang w:val="el-GR"/>
        </w:rPr>
      </w:pPr>
    </w:p>
    <w:p w:rsidR="00645378" w:rsidRPr="009E32D3" w:rsidRDefault="007134E2" w:rsidP="009E32D3">
      <w:pPr>
        <w:pStyle w:val="a3"/>
        <w:tabs>
          <w:tab w:val="left" w:pos="9214"/>
        </w:tabs>
        <w:spacing w:line="244" w:lineRule="auto"/>
        <w:ind w:left="0" w:right="76"/>
        <w:rPr>
          <w:lang w:val="el-GR"/>
        </w:rPr>
      </w:pPr>
      <w:r w:rsidRPr="009E32D3">
        <w:rPr>
          <w:i/>
          <w:lang w:val="el-GR"/>
        </w:rPr>
        <w:t xml:space="preserve">Ασθενείς με συνυπάρχουσα </w:t>
      </w:r>
      <w:r>
        <w:rPr>
          <w:i/>
        </w:rPr>
        <w:t>HIV</w:t>
      </w:r>
      <w:r w:rsidRPr="009E32D3">
        <w:rPr>
          <w:i/>
          <w:lang w:val="el-GR"/>
        </w:rPr>
        <w:t>/</w:t>
      </w:r>
      <w:r>
        <w:rPr>
          <w:i/>
        </w:rPr>
        <w:t>HBV</w:t>
      </w:r>
      <w:r w:rsidRPr="009E32D3">
        <w:rPr>
          <w:i/>
          <w:lang w:val="el-GR"/>
        </w:rPr>
        <w:t xml:space="preserve"> ή </w:t>
      </w:r>
      <w:r>
        <w:rPr>
          <w:i/>
        </w:rPr>
        <w:t>HCV</w:t>
      </w:r>
      <w:r w:rsidRPr="009E32D3">
        <w:rPr>
          <w:i/>
          <w:lang w:val="el-GR"/>
        </w:rPr>
        <w:t xml:space="preserve"> λοίμωξη: </w:t>
      </w:r>
      <w:r w:rsidRPr="009E32D3">
        <w:rPr>
          <w:lang w:val="el-GR"/>
        </w:rPr>
        <w:t>Περιορισμένος μόνο αριθμός ασθενών</w:t>
      </w:r>
      <w:r w:rsidRPr="009E32D3">
        <w:rPr>
          <w:spacing w:val="-7"/>
          <w:lang w:val="el-GR"/>
        </w:rPr>
        <w:t xml:space="preserve"> </w:t>
      </w:r>
      <w:r w:rsidRPr="009E32D3">
        <w:rPr>
          <w:lang w:val="el-GR"/>
        </w:rPr>
        <w:t xml:space="preserve">είχαν συνυπάρχουσα </w:t>
      </w:r>
      <w:r>
        <w:t>HBV</w:t>
      </w:r>
      <w:r w:rsidRPr="009E32D3">
        <w:rPr>
          <w:lang w:val="el-GR"/>
        </w:rPr>
        <w:t xml:space="preserve"> (</w:t>
      </w:r>
      <w:r>
        <w:t>n</w:t>
      </w:r>
      <w:r w:rsidRPr="009E32D3">
        <w:rPr>
          <w:lang w:val="el-GR"/>
        </w:rPr>
        <w:t xml:space="preserve">=13) ή </w:t>
      </w:r>
      <w:r>
        <w:t>HCV</w:t>
      </w:r>
      <w:r w:rsidRPr="009E32D3">
        <w:rPr>
          <w:lang w:val="el-GR"/>
        </w:rPr>
        <w:t xml:space="preserve"> (</w:t>
      </w:r>
      <w:r>
        <w:t>n</w:t>
      </w:r>
      <w:r w:rsidRPr="009E32D3">
        <w:rPr>
          <w:lang w:val="el-GR"/>
        </w:rPr>
        <w:t xml:space="preserve">=26) λοίμωξη στη μελέτη </w:t>
      </w:r>
      <w:r>
        <w:t>GS</w:t>
      </w:r>
      <w:r w:rsidRPr="009E32D3">
        <w:rPr>
          <w:lang w:val="el-GR"/>
        </w:rPr>
        <w:t>-01-934. Το προφίλ των</w:t>
      </w:r>
      <w:r w:rsidRPr="009E32D3">
        <w:rPr>
          <w:spacing w:val="-45"/>
          <w:lang w:val="el-GR"/>
        </w:rPr>
        <w:t xml:space="preserve"> </w:t>
      </w:r>
      <w:r w:rsidRPr="009E32D3">
        <w:rPr>
          <w:lang w:val="el-GR"/>
        </w:rPr>
        <w:t xml:space="preserve">ανεπιθύμητων ενεργειών της </w:t>
      </w:r>
      <w:r w:rsidR="009D185E">
        <w:rPr>
          <w:rFonts w:cs="Times New Roman"/>
          <w:color w:val="000000" w:themeColor="text1"/>
          <w:lang w:val="el-GR"/>
        </w:rPr>
        <w:t>εμτρισιταβίνης</w:t>
      </w:r>
      <w:r w:rsidR="009D185E">
        <w:rPr>
          <w:lang w:val="el-GR"/>
        </w:rPr>
        <w:t xml:space="preserve"> και της</w:t>
      </w:r>
      <w:r w:rsidRPr="009E32D3">
        <w:rPr>
          <w:lang w:val="el-GR"/>
        </w:rPr>
        <w:t xml:space="preserve"> </w:t>
      </w:r>
      <w:r w:rsidR="009D185E">
        <w:rPr>
          <w:rFonts w:cs="Times New Roman"/>
          <w:color w:val="000000" w:themeColor="text1"/>
          <w:lang w:val="el-GR"/>
        </w:rPr>
        <w:t xml:space="preserve">τενοφοβίρης </w:t>
      </w:r>
      <w:r w:rsidR="009D185E" w:rsidRPr="00F13AEB">
        <w:rPr>
          <w:rFonts w:cs="Times New Roman"/>
          <w:color w:val="000000" w:themeColor="text1"/>
          <w:lang w:val="el-GR"/>
        </w:rPr>
        <w:t>δισοπρόξιλης</w:t>
      </w:r>
      <w:r w:rsidR="009D185E" w:rsidRPr="009D185E">
        <w:rPr>
          <w:lang w:val="el-GR"/>
        </w:rPr>
        <w:t xml:space="preserve"> </w:t>
      </w:r>
      <w:r w:rsidRPr="009E32D3">
        <w:rPr>
          <w:lang w:val="el-GR"/>
        </w:rPr>
        <w:t>σε ασθενείς με</w:t>
      </w:r>
      <w:r w:rsidRPr="009E32D3">
        <w:rPr>
          <w:spacing w:val="-34"/>
          <w:lang w:val="el-GR"/>
        </w:rPr>
        <w:t xml:space="preserve"> </w:t>
      </w:r>
      <w:r w:rsidRPr="009E32D3">
        <w:rPr>
          <w:lang w:val="el-GR"/>
        </w:rPr>
        <w:t xml:space="preserve">συνυπάρχουσα </w:t>
      </w:r>
      <w:r>
        <w:t>HIV</w:t>
      </w:r>
      <w:r w:rsidRPr="009E32D3">
        <w:rPr>
          <w:lang w:val="el-GR"/>
        </w:rPr>
        <w:t>/</w:t>
      </w:r>
      <w:r>
        <w:t>HBV</w:t>
      </w:r>
      <w:r w:rsidRPr="009E32D3">
        <w:rPr>
          <w:lang w:val="el-GR"/>
        </w:rPr>
        <w:t xml:space="preserve"> ή </w:t>
      </w:r>
      <w:r>
        <w:t>HIV</w:t>
      </w:r>
      <w:r w:rsidRPr="009E32D3">
        <w:rPr>
          <w:lang w:val="el-GR"/>
        </w:rPr>
        <w:t>/</w:t>
      </w:r>
      <w:r>
        <w:t>HCV</w:t>
      </w:r>
      <w:r w:rsidRPr="009E32D3">
        <w:rPr>
          <w:lang w:val="el-GR"/>
        </w:rPr>
        <w:t xml:space="preserve"> λοίμωξη ήταν παρόμοιο με αυτό που παρατηρήθηκε</w:t>
      </w:r>
      <w:r w:rsidRPr="009E32D3">
        <w:rPr>
          <w:spacing w:val="1"/>
          <w:lang w:val="el-GR"/>
        </w:rPr>
        <w:t xml:space="preserve"> </w:t>
      </w:r>
      <w:r w:rsidRPr="009E32D3">
        <w:rPr>
          <w:lang w:val="el-GR"/>
        </w:rPr>
        <w:t xml:space="preserve">σε ασθενείς που είχαν μολυνθεί από τον ιό </w:t>
      </w:r>
      <w:r>
        <w:rPr>
          <w:spacing w:val="-2"/>
        </w:rPr>
        <w:t>HIV</w:t>
      </w:r>
      <w:r w:rsidRPr="009E32D3">
        <w:rPr>
          <w:spacing w:val="-2"/>
          <w:lang w:val="el-GR"/>
        </w:rPr>
        <w:t xml:space="preserve"> </w:t>
      </w:r>
      <w:r w:rsidRPr="009E32D3">
        <w:rPr>
          <w:lang w:val="el-GR"/>
        </w:rPr>
        <w:t>χωρίς συνυπάρχουσα λοίμωξη. Εν τούτοις,</w:t>
      </w:r>
      <w:r w:rsidRPr="009E32D3">
        <w:rPr>
          <w:spacing w:val="31"/>
          <w:lang w:val="el-GR"/>
        </w:rPr>
        <w:t xml:space="preserve"> </w:t>
      </w:r>
      <w:r w:rsidRPr="009E32D3">
        <w:rPr>
          <w:lang w:val="el-GR"/>
        </w:rPr>
        <w:t xml:space="preserve">όπως θα αναμενόταν για αυτόν τον πληθυσμό των ασθενών, οι αυξήσεις των </w:t>
      </w:r>
      <w:r>
        <w:t>AST</w:t>
      </w:r>
      <w:r w:rsidRPr="009E32D3">
        <w:rPr>
          <w:lang w:val="el-GR"/>
        </w:rPr>
        <w:t xml:space="preserve"> και </w:t>
      </w:r>
      <w:r>
        <w:t>ALT</w:t>
      </w:r>
      <w:r w:rsidRPr="009E32D3">
        <w:rPr>
          <w:spacing w:val="13"/>
          <w:lang w:val="el-GR"/>
        </w:rPr>
        <w:t xml:space="preserve"> </w:t>
      </w:r>
      <w:r w:rsidRPr="009E32D3">
        <w:rPr>
          <w:lang w:val="el-GR"/>
        </w:rPr>
        <w:t>παρατηρούνταν</w:t>
      </w:r>
      <w:r w:rsidRPr="009E32D3">
        <w:rPr>
          <w:spacing w:val="-1"/>
          <w:lang w:val="el-GR"/>
        </w:rPr>
        <w:t xml:space="preserve"> </w:t>
      </w:r>
      <w:r w:rsidRPr="009E32D3">
        <w:rPr>
          <w:lang w:val="el-GR"/>
        </w:rPr>
        <w:t xml:space="preserve">συχνότερα από ότι στο γενικό πληθυσμό με </w:t>
      </w:r>
      <w:r>
        <w:rPr>
          <w:spacing w:val="-2"/>
        </w:rPr>
        <w:t>HIV</w:t>
      </w:r>
      <w:r w:rsidRPr="009E32D3">
        <w:rPr>
          <w:spacing w:val="11"/>
          <w:lang w:val="el-GR"/>
        </w:rPr>
        <w:t xml:space="preserve"> </w:t>
      </w:r>
      <w:r w:rsidRPr="009E32D3">
        <w:rPr>
          <w:lang w:val="el-GR"/>
        </w:rPr>
        <w:t>λοίμωξη.</w:t>
      </w:r>
    </w:p>
    <w:p w:rsidR="00645378" w:rsidRPr="009E32D3" w:rsidRDefault="00645378" w:rsidP="009E32D3">
      <w:pPr>
        <w:tabs>
          <w:tab w:val="left" w:pos="9214"/>
        </w:tabs>
        <w:spacing w:before="8"/>
        <w:ind w:right="76"/>
        <w:rPr>
          <w:rFonts w:ascii="Times New Roman" w:eastAsia="Times New Roman" w:hAnsi="Times New Roman" w:cs="Times New Roman"/>
          <w:lang w:val="el-GR"/>
        </w:rPr>
      </w:pPr>
    </w:p>
    <w:p w:rsidR="00645378" w:rsidRPr="009E32D3" w:rsidRDefault="007134E2" w:rsidP="009E32D3">
      <w:pPr>
        <w:tabs>
          <w:tab w:val="left" w:pos="9214"/>
        </w:tabs>
        <w:spacing w:line="244" w:lineRule="auto"/>
        <w:ind w:right="76"/>
        <w:rPr>
          <w:rFonts w:ascii="Times New Roman" w:eastAsia="Times New Roman" w:hAnsi="Times New Roman" w:cs="Times New Roman"/>
          <w:lang w:val="el-GR"/>
        </w:rPr>
      </w:pPr>
      <w:r w:rsidRPr="009E32D3">
        <w:rPr>
          <w:rFonts w:ascii="Times New Roman" w:hAnsi="Times New Roman"/>
          <w:i/>
          <w:lang w:val="el-GR"/>
        </w:rPr>
        <w:t xml:space="preserve">Εξάρσεις ηπατίτιδας μετά τη διάρκεια της θεραπείας: </w:t>
      </w:r>
      <w:r w:rsidRPr="009E32D3">
        <w:rPr>
          <w:rFonts w:ascii="Times New Roman" w:hAnsi="Times New Roman"/>
          <w:lang w:val="el-GR"/>
        </w:rPr>
        <w:t xml:space="preserve">Σε ασθενείς με λοίμωξη από τον ιό </w:t>
      </w:r>
      <w:r>
        <w:rPr>
          <w:rFonts w:ascii="Times New Roman" w:hAnsi="Times New Roman"/>
          <w:spacing w:val="-2"/>
        </w:rPr>
        <w:t>HIV</w:t>
      </w:r>
      <w:r w:rsidRPr="009E32D3">
        <w:rPr>
          <w:rFonts w:ascii="Times New Roman" w:hAnsi="Times New Roman"/>
          <w:spacing w:val="1"/>
          <w:lang w:val="el-GR"/>
        </w:rPr>
        <w:t xml:space="preserve"> </w:t>
      </w:r>
      <w:r w:rsidRPr="009E32D3">
        <w:rPr>
          <w:rFonts w:ascii="Times New Roman" w:hAnsi="Times New Roman"/>
          <w:lang w:val="el-GR"/>
        </w:rPr>
        <w:t xml:space="preserve">με συνυπάρχουσα λοίμωξη </w:t>
      </w:r>
      <w:r>
        <w:rPr>
          <w:rFonts w:ascii="Times New Roman" w:hAnsi="Times New Roman"/>
        </w:rPr>
        <w:t>HBV</w:t>
      </w:r>
      <w:r w:rsidRPr="009E32D3">
        <w:rPr>
          <w:rFonts w:ascii="Times New Roman" w:hAnsi="Times New Roman"/>
          <w:lang w:val="el-GR"/>
        </w:rPr>
        <w:t>, παρουσιάστηκε κλινική και εργαστηριακή απόδειξη της</w:t>
      </w:r>
      <w:r w:rsidRPr="009E32D3">
        <w:rPr>
          <w:rFonts w:ascii="Times New Roman" w:hAnsi="Times New Roman"/>
          <w:spacing w:val="-4"/>
          <w:lang w:val="el-GR"/>
        </w:rPr>
        <w:t xml:space="preserve"> </w:t>
      </w:r>
      <w:r w:rsidRPr="009E32D3">
        <w:rPr>
          <w:rFonts w:ascii="Times New Roman" w:hAnsi="Times New Roman"/>
          <w:lang w:val="el-GR"/>
        </w:rPr>
        <w:t>ηπατίτιδας, μετά τη διακοπή της θεραπείας (βλ. παράγραφο</w:t>
      </w:r>
      <w:r w:rsidRPr="009E32D3">
        <w:rPr>
          <w:rFonts w:ascii="Times New Roman" w:hAnsi="Times New Roman"/>
          <w:spacing w:val="-8"/>
          <w:lang w:val="el-GR"/>
        </w:rPr>
        <w:t xml:space="preserve"> </w:t>
      </w:r>
      <w:r w:rsidRPr="009E32D3">
        <w:rPr>
          <w:rFonts w:ascii="Times New Roman" w:hAnsi="Times New Roman"/>
          <w:lang w:val="el-GR"/>
        </w:rPr>
        <w:t>4.4).</w:t>
      </w:r>
    </w:p>
    <w:p w:rsidR="00645378" w:rsidRPr="009E32D3" w:rsidRDefault="00645378" w:rsidP="009E32D3">
      <w:pPr>
        <w:tabs>
          <w:tab w:val="left" w:pos="9214"/>
        </w:tabs>
        <w:spacing w:before="7"/>
        <w:ind w:right="76"/>
        <w:rPr>
          <w:rFonts w:ascii="Times New Roman" w:eastAsia="Times New Roman" w:hAnsi="Times New Roman" w:cs="Times New Roman"/>
          <w:lang w:val="el-GR"/>
        </w:rPr>
      </w:pPr>
    </w:p>
    <w:p w:rsidR="00645378" w:rsidRPr="009E32D3" w:rsidRDefault="007134E2" w:rsidP="009E32D3">
      <w:pPr>
        <w:pStyle w:val="a3"/>
        <w:tabs>
          <w:tab w:val="left" w:pos="9214"/>
        </w:tabs>
        <w:ind w:left="0" w:right="76"/>
        <w:rPr>
          <w:lang w:val="el-GR"/>
        </w:rPr>
      </w:pPr>
      <w:r w:rsidRPr="009E32D3">
        <w:rPr>
          <w:u w:val="single" w:color="000000"/>
          <w:lang w:val="el-GR"/>
        </w:rPr>
        <w:t>Αναφορά πιθανολογούμενων ανεπιθύμητων</w:t>
      </w:r>
      <w:r w:rsidRPr="009E32D3">
        <w:rPr>
          <w:spacing w:val="8"/>
          <w:u w:val="single" w:color="000000"/>
          <w:lang w:val="el-GR"/>
        </w:rPr>
        <w:t xml:space="preserve"> </w:t>
      </w:r>
      <w:r w:rsidRPr="009E32D3">
        <w:rPr>
          <w:u w:val="single" w:color="000000"/>
          <w:lang w:val="el-GR"/>
        </w:rPr>
        <w:t>ενεργειών</w:t>
      </w:r>
    </w:p>
    <w:p w:rsidR="00BA143B" w:rsidRPr="00BA143B" w:rsidRDefault="007134E2" w:rsidP="00BA143B">
      <w:pPr>
        <w:pStyle w:val="a3"/>
        <w:ind w:left="0"/>
        <w:rPr>
          <w:rFonts w:cs="Times New Roman"/>
          <w:lang w:val="el-GR"/>
        </w:rPr>
      </w:pPr>
      <w:r w:rsidRPr="009E32D3">
        <w:rPr>
          <w:lang w:val="el-GR"/>
        </w:rPr>
        <w:t>Η αναφορά πιθανολογούμενων ανεπιθύμητων ενεργειών μετά από τη χορήγηση άδειας</w:t>
      </w:r>
      <w:r w:rsidR="009D185E">
        <w:rPr>
          <w:spacing w:val="7"/>
          <w:lang w:val="el-GR"/>
        </w:rPr>
        <w:t xml:space="preserve"> κ</w:t>
      </w:r>
      <w:r w:rsidRPr="009E32D3">
        <w:rPr>
          <w:lang w:val="el-GR"/>
        </w:rPr>
        <w:t>υκλοφορίας του φαρμακευτικού προϊόντος είναι σημαντική. Επιτρέπει τη συνεχή παρακολούθηση της σχέσης</w:t>
      </w:r>
      <w:r w:rsidRPr="009E32D3">
        <w:rPr>
          <w:spacing w:val="-53"/>
          <w:lang w:val="el-GR"/>
        </w:rPr>
        <w:t xml:space="preserve"> </w:t>
      </w:r>
      <w:r w:rsidRPr="00BA143B">
        <w:rPr>
          <w:color w:val="000000" w:themeColor="text1"/>
          <w:lang w:val="el-GR"/>
        </w:rPr>
        <w:t>οφέλους-κινδύνου του φαρμακευτικού προϊόντος. Ζητείται από τους επαγγελματίες του τομέα</w:t>
      </w:r>
      <w:r w:rsidRPr="00BA143B">
        <w:rPr>
          <w:color w:val="000000" w:themeColor="text1"/>
          <w:spacing w:val="1"/>
          <w:lang w:val="el-GR"/>
        </w:rPr>
        <w:t xml:space="preserve"> </w:t>
      </w:r>
      <w:r w:rsidRPr="00BA143B">
        <w:rPr>
          <w:color w:val="000000" w:themeColor="text1"/>
          <w:lang w:val="el-GR"/>
        </w:rPr>
        <w:t>της υγειονομικής περίθαλψης να αναφέρουν οποιεσδήποτε πιθανολ</w:t>
      </w:r>
      <w:r w:rsidR="00BA143B">
        <w:rPr>
          <w:color w:val="000000" w:themeColor="text1"/>
          <w:lang w:val="el-GR"/>
        </w:rPr>
        <w:t>ογούμενες ανεπιθύμητες ενέργειε</w:t>
      </w:r>
      <w:r w:rsidR="008B79C5">
        <w:rPr>
          <w:color w:val="000000" w:themeColor="text1"/>
          <w:lang w:val="el-GR"/>
        </w:rPr>
        <w:t>ς</w:t>
      </w:r>
      <w:r w:rsidR="008B79C5" w:rsidRPr="008B79C5">
        <w:rPr>
          <w:color w:val="000000" w:themeColor="text1"/>
          <w:lang w:val="el-GR"/>
        </w:rPr>
        <w:t xml:space="preserve"> </w:t>
      </w:r>
      <w:r w:rsidR="008B79C5">
        <w:rPr>
          <w:color w:val="000000" w:themeColor="text1"/>
          <w:lang w:val="el-GR"/>
        </w:rPr>
        <w:t xml:space="preserve">στον </w:t>
      </w:r>
      <w:r w:rsidR="00BA143B" w:rsidRPr="00BA143B">
        <w:rPr>
          <w:rFonts w:cs="Times New Roman"/>
          <w:color w:val="000000" w:themeColor="text1"/>
          <w:lang w:val="el-GR"/>
        </w:rPr>
        <w:t xml:space="preserve">Εθνικό Οργανισμό Φαρμάκων, Μεσογείων 284, GR-15562 Χολαργός, Αθήνα,  Τηλ: + 30 21 32040380/337, Φαξ: + 30 21 06549585, Ιστότοπος: </w:t>
      </w:r>
      <w:hyperlink r:id="rId10" w:history="1">
        <w:r w:rsidR="00BA143B" w:rsidRPr="00BA143B">
          <w:rPr>
            <w:rStyle w:val="-"/>
            <w:rFonts w:cs="Times New Roman"/>
            <w:color w:val="000000" w:themeColor="text1"/>
            <w:u w:val="none"/>
            <w:lang w:val="el-GR"/>
          </w:rPr>
          <w:t>http://www.eof.gr</w:t>
        </w:r>
      </w:hyperlink>
    </w:p>
    <w:p w:rsidR="00BA143B" w:rsidRPr="00BA143B" w:rsidRDefault="00BA143B" w:rsidP="00BA143B">
      <w:pPr>
        <w:pStyle w:val="a3"/>
        <w:ind w:left="0"/>
        <w:rPr>
          <w:rFonts w:cs="Times New Roman"/>
          <w:lang w:val="el-GR"/>
        </w:rPr>
      </w:pPr>
    </w:p>
    <w:p w:rsidR="00645378" w:rsidRDefault="007134E2" w:rsidP="009E32D3">
      <w:pPr>
        <w:pStyle w:val="1"/>
        <w:numPr>
          <w:ilvl w:val="1"/>
          <w:numId w:val="5"/>
        </w:numPr>
        <w:tabs>
          <w:tab w:val="left" w:pos="0"/>
        </w:tabs>
        <w:spacing w:before="59"/>
        <w:ind w:left="0" w:right="36" w:firstLine="0"/>
        <w:rPr>
          <w:b w:val="0"/>
          <w:bCs w:val="0"/>
        </w:rPr>
      </w:pPr>
      <w:r>
        <w:t>Υπερδοσολογία</w:t>
      </w:r>
    </w:p>
    <w:p w:rsidR="00645378" w:rsidRDefault="00645378" w:rsidP="009E32D3">
      <w:pPr>
        <w:tabs>
          <w:tab w:val="left" w:pos="0"/>
        </w:tabs>
        <w:spacing w:before="8"/>
        <w:ind w:right="36"/>
        <w:rPr>
          <w:rFonts w:ascii="Times New Roman" w:eastAsia="Times New Roman" w:hAnsi="Times New Roman" w:cs="Times New Roman"/>
          <w:b/>
          <w:bCs/>
        </w:rPr>
      </w:pPr>
    </w:p>
    <w:p w:rsidR="00645378" w:rsidRPr="009E32D3" w:rsidRDefault="007134E2" w:rsidP="009E32D3">
      <w:pPr>
        <w:pStyle w:val="a3"/>
        <w:tabs>
          <w:tab w:val="left" w:pos="0"/>
        </w:tabs>
        <w:spacing w:line="244" w:lineRule="auto"/>
        <w:ind w:left="0" w:right="36"/>
        <w:rPr>
          <w:lang w:val="el-GR"/>
        </w:rPr>
      </w:pPr>
      <w:r w:rsidRPr="009E32D3">
        <w:rPr>
          <w:lang w:val="el-GR"/>
        </w:rPr>
        <w:t>Σε περίπτωση υπερδοσολογίας, ο ασθενής πρέπει να παρακολουθείται για ενδείξεις τοξικότητας (βλ. παράγραφο 4.8) και πρέπει να εφαρμοστεί η συνήθης υποστηρικτική αγωγή, όπως</w:t>
      </w:r>
      <w:r w:rsidRPr="009E32D3">
        <w:rPr>
          <w:spacing w:val="-4"/>
          <w:lang w:val="el-GR"/>
        </w:rPr>
        <w:t xml:space="preserve"> </w:t>
      </w:r>
      <w:r w:rsidRPr="009E32D3">
        <w:rPr>
          <w:lang w:val="el-GR"/>
        </w:rPr>
        <w:t>απαιτείται.</w:t>
      </w:r>
    </w:p>
    <w:p w:rsidR="00645378" w:rsidRPr="009E32D3" w:rsidRDefault="00645378" w:rsidP="009E32D3">
      <w:pPr>
        <w:tabs>
          <w:tab w:val="left" w:pos="0"/>
        </w:tabs>
        <w:spacing w:before="8"/>
        <w:ind w:right="36"/>
        <w:rPr>
          <w:rFonts w:ascii="Times New Roman" w:eastAsia="Times New Roman" w:hAnsi="Times New Roman" w:cs="Times New Roman"/>
          <w:lang w:val="el-GR"/>
        </w:rPr>
      </w:pPr>
    </w:p>
    <w:p w:rsidR="00645378" w:rsidRPr="009E32D3" w:rsidRDefault="007134E2" w:rsidP="009E32D3">
      <w:pPr>
        <w:pStyle w:val="a3"/>
        <w:tabs>
          <w:tab w:val="left" w:pos="0"/>
        </w:tabs>
        <w:spacing w:line="244" w:lineRule="auto"/>
        <w:ind w:left="0" w:right="36"/>
        <w:rPr>
          <w:lang w:val="el-GR"/>
        </w:rPr>
      </w:pPr>
      <w:r w:rsidRPr="009E32D3">
        <w:rPr>
          <w:lang w:val="el-GR"/>
        </w:rPr>
        <w:t xml:space="preserve">Ποσοστό έως 30% της δόσης της </w:t>
      </w:r>
      <w:r w:rsidR="00F0332E">
        <w:rPr>
          <w:rFonts w:cs="Times New Roman"/>
          <w:color w:val="000000" w:themeColor="text1"/>
          <w:lang w:val="el-GR"/>
        </w:rPr>
        <w:t>εμτρισιταβίνης</w:t>
      </w:r>
      <w:r w:rsidR="00F0332E" w:rsidRPr="00F0332E">
        <w:rPr>
          <w:lang w:val="el-GR"/>
        </w:rPr>
        <w:t xml:space="preserve"> </w:t>
      </w:r>
      <w:r w:rsidRPr="009E32D3">
        <w:rPr>
          <w:lang w:val="el-GR"/>
        </w:rPr>
        <w:t xml:space="preserve">και περίπου 10% της δόσης </w:t>
      </w:r>
      <w:r w:rsidR="001D65D2">
        <w:rPr>
          <w:lang w:val="el-GR"/>
        </w:rPr>
        <w:t>της τενοφοβίρης</w:t>
      </w:r>
      <w:r w:rsidR="00F0332E" w:rsidRPr="009E32D3">
        <w:rPr>
          <w:spacing w:val="1"/>
          <w:lang w:val="el-GR"/>
        </w:rPr>
        <w:t xml:space="preserve"> </w:t>
      </w:r>
      <w:r w:rsidRPr="009E32D3">
        <w:rPr>
          <w:lang w:val="el-GR"/>
        </w:rPr>
        <w:lastRenderedPageBreak/>
        <w:t>μπορεί</w:t>
      </w:r>
      <w:r w:rsidRPr="009E32D3">
        <w:rPr>
          <w:spacing w:val="11"/>
          <w:lang w:val="el-GR"/>
        </w:rPr>
        <w:t xml:space="preserve"> </w:t>
      </w:r>
      <w:r w:rsidRPr="009E32D3">
        <w:rPr>
          <w:lang w:val="el-GR"/>
        </w:rPr>
        <w:t>να απομακρυνθεί με</w:t>
      </w:r>
      <w:r w:rsidRPr="009E32D3">
        <w:rPr>
          <w:spacing w:val="1"/>
          <w:lang w:val="el-GR"/>
        </w:rPr>
        <w:t xml:space="preserve"> </w:t>
      </w:r>
      <w:r w:rsidRPr="009E32D3">
        <w:rPr>
          <w:lang w:val="el-GR"/>
        </w:rPr>
        <w:t>αιμοδιαπίδυση. Δεν</w:t>
      </w:r>
      <w:r w:rsidRPr="009E32D3">
        <w:rPr>
          <w:spacing w:val="1"/>
          <w:lang w:val="el-GR"/>
        </w:rPr>
        <w:t xml:space="preserve"> </w:t>
      </w:r>
      <w:r w:rsidRPr="009E32D3">
        <w:rPr>
          <w:lang w:val="el-GR"/>
        </w:rPr>
        <w:t>είναι γνωστό εάν</w:t>
      </w:r>
      <w:r w:rsidRPr="009E32D3">
        <w:rPr>
          <w:spacing w:val="1"/>
          <w:lang w:val="el-GR"/>
        </w:rPr>
        <w:t xml:space="preserve"> </w:t>
      </w:r>
      <w:r w:rsidRPr="009E32D3">
        <w:rPr>
          <w:lang w:val="el-GR"/>
        </w:rPr>
        <w:t>η</w:t>
      </w:r>
      <w:r w:rsidRPr="009E32D3">
        <w:rPr>
          <w:spacing w:val="-1"/>
          <w:lang w:val="el-GR"/>
        </w:rPr>
        <w:t xml:space="preserve"> </w:t>
      </w:r>
      <w:r w:rsidR="00F0332E">
        <w:rPr>
          <w:rFonts w:cs="Times New Roman"/>
          <w:color w:val="000000" w:themeColor="text1"/>
          <w:lang w:val="el-GR"/>
        </w:rPr>
        <w:t>εμτρισιταβίνη</w:t>
      </w:r>
      <w:r w:rsidRPr="009E32D3">
        <w:rPr>
          <w:lang w:val="el-GR"/>
        </w:rPr>
        <w:t xml:space="preserve"> ή</w:t>
      </w:r>
      <w:r w:rsidRPr="009E32D3">
        <w:rPr>
          <w:spacing w:val="-1"/>
          <w:lang w:val="el-GR"/>
        </w:rPr>
        <w:t xml:space="preserve"> </w:t>
      </w:r>
      <w:r w:rsidR="00F0332E">
        <w:rPr>
          <w:spacing w:val="-1"/>
          <w:lang w:val="el-GR"/>
        </w:rPr>
        <w:t xml:space="preserve">η </w:t>
      </w:r>
      <w:r w:rsidR="001D65D2">
        <w:rPr>
          <w:lang w:val="el-GR"/>
        </w:rPr>
        <w:t xml:space="preserve">τενοφοβίρη </w:t>
      </w:r>
      <w:r w:rsidRPr="009E32D3">
        <w:rPr>
          <w:lang w:val="el-GR"/>
        </w:rPr>
        <w:t>μπορούν</w:t>
      </w:r>
      <w:r w:rsidR="00B078B0">
        <w:rPr>
          <w:spacing w:val="1"/>
          <w:lang w:val="el-GR"/>
        </w:rPr>
        <w:t xml:space="preserve"> να α</w:t>
      </w:r>
      <w:r w:rsidRPr="009E32D3">
        <w:rPr>
          <w:lang w:val="el-GR"/>
        </w:rPr>
        <w:t>πομακρυνθούν με περιτοναϊκή</w:t>
      </w:r>
      <w:r w:rsidRPr="009E32D3">
        <w:rPr>
          <w:spacing w:val="-1"/>
          <w:lang w:val="el-GR"/>
        </w:rPr>
        <w:t xml:space="preserve"> </w:t>
      </w:r>
      <w:r w:rsidRPr="009E32D3">
        <w:rPr>
          <w:lang w:val="el-GR"/>
        </w:rPr>
        <w:t>κάθαρση.</w:t>
      </w:r>
    </w:p>
    <w:p w:rsidR="00645378" w:rsidRPr="009E32D3" w:rsidRDefault="00645378" w:rsidP="009E32D3">
      <w:pPr>
        <w:tabs>
          <w:tab w:val="left" w:pos="0"/>
        </w:tabs>
        <w:ind w:right="36"/>
        <w:rPr>
          <w:rFonts w:ascii="Times New Roman" w:eastAsia="Times New Roman" w:hAnsi="Times New Roman" w:cs="Times New Roman"/>
          <w:lang w:val="el-GR"/>
        </w:rPr>
      </w:pPr>
    </w:p>
    <w:p w:rsidR="000F078F" w:rsidRPr="009E32D3" w:rsidRDefault="000F078F" w:rsidP="009E32D3">
      <w:pPr>
        <w:tabs>
          <w:tab w:val="left" w:pos="0"/>
        </w:tabs>
        <w:spacing w:before="7"/>
        <w:ind w:right="36"/>
        <w:rPr>
          <w:rFonts w:ascii="Times New Roman" w:eastAsia="Times New Roman" w:hAnsi="Times New Roman" w:cs="Times New Roman"/>
          <w:sz w:val="23"/>
          <w:szCs w:val="23"/>
          <w:lang w:val="el-GR"/>
        </w:rPr>
      </w:pPr>
    </w:p>
    <w:p w:rsidR="00645378" w:rsidRDefault="007134E2" w:rsidP="009E32D3">
      <w:pPr>
        <w:pStyle w:val="1"/>
        <w:numPr>
          <w:ilvl w:val="0"/>
          <w:numId w:val="5"/>
        </w:numPr>
        <w:tabs>
          <w:tab w:val="left" w:pos="0"/>
        </w:tabs>
        <w:ind w:left="0" w:right="36" w:firstLine="0"/>
        <w:rPr>
          <w:b w:val="0"/>
          <w:bCs w:val="0"/>
        </w:rPr>
      </w:pPr>
      <w:r>
        <w:t>ΦΑΡΜΑΚΟΛΟΓΙΚΕΣ</w:t>
      </w:r>
      <w:r>
        <w:rPr>
          <w:spacing w:val="-1"/>
        </w:rPr>
        <w:t xml:space="preserve"> </w:t>
      </w:r>
      <w:r>
        <w:t>ΙΔΙΟΤΗΤΕΣ</w:t>
      </w:r>
    </w:p>
    <w:p w:rsidR="00645378" w:rsidRDefault="00645378" w:rsidP="009E32D3">
      <w:pPr>
        <w:tabs>
          <w:tab w:val="left" w:pos="0"/>
        </w:tabs>
        <w:spacing w:before="1"/>
        <w:ind w:right="36"/>
        <w:rPr>
          <w:rFonts w:ascii="Times New Roman" w:eastAsia="Times New Roman" w:hAnsi="Times New Roman" w:cs="Times New Roman"/>
          <w:b/>
          <w:bCs/>
          <w:sz w:val="23"/>
          <w:szCs w:val="23"/>
        </w:rPr>
      </w:pPr>
    </w:p>
    <w:p w:rsidR="00645378" w:rsidRDefault="007134E2" w:rsidP="009E32D3">
      <w:pPr>
        <w:pStyle w:val="a4"/>
        <w:numPr>
          <w:ilvl w:val="1"/>
          <w:numId w:val="5"/>
        </w:numPr>
        <w:tabs>
          <w:tab w:val="left" w:pos="0"/>
        </w:tabs>
        <w:ind w:left="0" w:right="36" w:firstLine="0"/>
        <w:rPr>
          <w:rFonts w:ascii="Times New Roman" w:eastAsia="Times New Roman" w:hAnsi="Times New Roman" w:cs="Times New Roman"/>
        </w:rPr>
      </w:pPr>
      <w:r>
        <w:rPr>
          <w:rFonts w:ascii="Times New Roman" w:hAnsi="Times New Roman"/>
          <w:b/>
        </w:rPr>
        <w:t>Φαρμακοδυναμικές</w:t>
      </w:r>
      <w:r>
        <w:rPr>
          <w:rFonts w:ascii="Times New Roman" w:hAnsi="Times New Roman"/>
          <w:b/>
          <w:spacing w:val="-1"/>
        </w:rPr>
        <w:t xml:space="preserve"> </w:t>
      </w:r>
      <w:r>
        <w:rPr>
          <w:rFonts w:ascii="Times New Roman" w:hAnsi="Times New Roman"/>
          <w:b/>
        </w:rPr>
        <w:t>ιδιότητες</w:t>
      </w:r>
    </w:p>
    <w:p w:rsidR="00645378" w:rsidRDefault="00645378" w:rsidP="009E32D3">
      <w:pPr>
        <w:tabs>
          <w:tab w:val="left" w:pos="0"/>
        </w:tabs>
        <w:spacing w:before="8"/>
        <w:ind w:right="36"/>
        <w:rPr>
          <w:rFonts w:ascii="Times New Roman" w:eastAsia="Times New Roman" w:hAnsi="Times New Roman" w:cs="Times New Roman"/>
          <w:b/>
          <w:bCs/>
        </w:rPr>
      </w:pPr>
    </w:p>
    <w:p w:rsidR="00645378" w:rsidRPr="009E32D3" w:rsidRDefault="007134E2" w:rsidP="009E32D3">
      <w:pPr>
        <w:pStyle w:val="a3"/>
        <w:tabs>
          <w:tab w:val="left" w:pos="0"/>
        </w:tabs>
        <w:spacing w:line="244" w:lineRule="auto"/>
        <w:ind w:left="0" w:right="36"/>
        <w:rPr>
          <w:lang w:val="el-GR"/>
        </w:rPr>
      </w:pPr>
      <w:r w:rsidRPr="009E32D3">
        <w:rPr>
          <w:lang w:val="el-GR"/>
        </w:rPr>
        <w:t xml:space="preserve">Φαρμακοθεραπευτική κατηγορία: </w:t>
      </w:r>
      <w:r w:rsidR="001E7AB1" w:rsidRPr="009E32D3">
        <w:rPr>
          <w:lang w:val="el-GR"/>
        </w:rPr>
        <w:t>Αντι</w:t>
      </w:r>
      <w:r w:rsidR="001E7AB1">
        <w:rPr>
          <w:lang w:val="el-GR"/>
        </w:rPr>
        <w:t>ϊ</w:t>
      </w:r>
      <w:r w:rsidR="001E7AB1" w:rsidRPr="009E32D3">
        <w:rPr>
          <w:lang w:val="el-GR"/>
        </w:rPr>
        <w:t xml:space="preserve">κό </w:t>
      </w:r>
      <w:r w:rsidRPr="009E32D3">
        <w:rPr>
          <w:lang w:val="el-GR"/>
        </w:rPr>
        <w:t xml:space="preserve">για συστηματική χρήση, </w:t>
      </w:r>
      <w:r w:rsidR="001E7AB1" w:rsidRPr="009E32D3">
        <w:rPr>
          <w:lang w:val="el-GR"/>
        </w:rPr>
        <w:t>αντι</w:t>
      </w:r>
      <w:r w:rsidR="001E7AB1">
        <w:rPr>
          <w:lang w:val="el-GR"/>
        </w:rPr>
        <w:t>ϊ</w:t>
      </w:r>
      <w:r w:rsidR="001E7AB1" w:rsidRPr="009E32D3">
        <w:rPr>
          <w:lang w:val="el-GR"/>
        </w:rPr>
        <w:t xml:space="preserve">κά </w:t>
      </w:r>
      <w:r w:rsidRPr="009E32D3">
        <w:rPr>
          <w:lang w:val="el-GR"/>
        </w:rPr>
        <w:t>για τη θεραπεία των</w:t>
      </w:r>
      <w:r w:rsidRPr="009E32D3">
        <w:rPr>
          <w:spacing w:val="-1"/>
          <w:lang w:val="el-GR"/>
        </w:rPr>
        <w:t xml:space="preserve"> </w:t>
      </w:r>
      <w:r>
        <w:rPr>
          <w:spacing w:val="-2"/>
        </w:rPr>
        <w:t>HIV</w:t>
      </w:r>
      <w:r w:rsidRPr="009E32D3">
        <w:rPr>
          <w:lang w:val="el-GR"/>
        </w:rPr>
        <w:t xml:space="preserve"> λοιμώξεων, συνδυασμός. Κωδικός </w:t>
      </w:r>
      <w:r>
        <w:t>ATC</w:t>
      </w:r>
      <w:r w:rsidRPr="009E32D3">
        <w:rPr>
          <w:lang w:val="el-GR"/>
        </w:rPr>
        <w:t>:</w:t>
      </w:r>
      <w:r w:rsidRPr="009E32D3">
        <w:rPr>
          <w:spacing w:val="13"/>
          <w:lang w:val="el-GR"/>
        </w:rPr>
        <w:t xml:space="preserve"> </w:t>
      </w:r>
      <w:r>
        <w:t>J</w:t>
      </w:r>
      <w:r w:rsidRPr="009E32D3">
        <w:rPr>
          <w:lang w:val="el-GR"/>
        </w:rPr>
        <w:t>05</w:t>
      </w:r>
      <w:r>
        <w:t>AR</w:t>
      </w:r>
      <w:r w:rsidRPr="009E32D3">
        <w:rPr>
          <w:lang w:val="el-GR"/>
        </w:rPr>
        <w:t>03.</w:t>
      </w:r>
    </w:p>
    <w:p w:rsidR="00645378" w:rsidRPr="009E32D3" w:rsidRDefault="00645378" w:rsidP="009E32D3">
      <w:pPr>
        <w:tabs>
          <w:tab w:val="left" w:pos="0"/>
        </w:tabs>
        <w:spacing w:before="7"/>
        <w:ind w:right="36"/>
        <w:rPr>
          <w:rFonts w:ascii="Times New Roman" w:eastAsia="Times New Roman" w:hAnsi="Times New Roman" w:cs="Times New Roman"/>
          <w:lang w:val="el-GR"/>
        </w:rPr>
      </w:pPr>
    </w:p>
    <w:p w:rsidR="00645378" w:rsidRPr="009E32D3" w:rsidRDefault="007134E2" w:rsidP="009E32D3">
      <w:pPr>
        <w:pStyle w:val="a3"/>
        <w:tabs>
          <w:tab w:val="left" w:pos="0"/>
        </w:tabs>
        <w:ind w:left="0" w:right="36"/>
        <w:rPr>
          <w:lang w:val="el-GR"/>
        </w:rPr>
      </w:pPr>
      <w:r w:rsidRPr="009E32D3">
        <w:rPr>
          <w:u w:val="single" w:color="000000"/>
          <w:lang w:val="el-GR"/>
        </w:rPr>
        <w:t>Μηχανισμός δράσης και φαρμακοδυναμικές</w:t>
      </w:r>
      <w:r w:rsidRPr="009E32D3">
        <w:rPr>
          <w:spacing w:val="-7"/>
          <w:u w:val="single" w:color="000000"/>
          <w:lang w:val="el-GR"/>
        </w:rPr>
        <w:t xml:space="preserve"> </w:t>
      </w:r>
      <w:r w:rsidRPr="009E32D3">
        <w:rPr>
          <w:u w:val="single" w:color="000000"/>
          <w:lang w:val="el-GR"/>
        </w:rPr>
        <w:t>επιδράσεις</w:t>
      </w:r>
    </w:p>
    <w:p w:rsidR="00645378" w:rsidRPr="009E32D3" w:rsidRDefault="007134E2" w:rsidP="009E32D3">
      <w:pPr>
        <w:pStyle w:val="a3"/>
        <w:tabs>
          <w:tab w:val="left" w:pos="0"/>
        </w:tabs>
        <w:spacing w:before="6" w:line="244" w:lineRule="auto"/>
        <w:ind w:left="0" w:right="36"/>
        <w:rPr>
          <w:lang w:val="el-GR"/>
        </w:rPr>
      </w:pPr>
      <w:r>
        <w:t>H</w:t>
      </w:r>
      <w:r w:rsidRPr="009E32D3">
        <w:rPr>
          <w:lang w:val="el-GR"/>
        </w:rPr>
        <w:t xml:space="preserve"> </w:t>
      </w:r>
      <w:r w:rsidR="00F0332E">
        <w:rPr>
          <w:rFonts w:cs="Times New Roman"/>
          <w:color w:val="000000" w:themeColor="text1"/>
          <w:lang w:val="el-GR"/>
        </w:rPr>
        <w:t>εμτρισιταβίνη</w:t>
      </w:r>
      <w:r w:rsidRPr="009E32D3">
        <w:rPr>
          <w:lang w:val="el-GR"/>
        </w:rPr>
        <w:t xml:space="preserve"> είναι νουκλεοσιδικό ανάλογο της κυτιδίνης. </w:t>
      </w:r>
      <w:r w:rsidR="00F0332E">
        <w:rPr>
          <w:lang w:val="el-GR"/>
        </w:rPr>
        <w:t xml:space="preserve">Η τενοφοβίρη δισοπρόξιλη </w:t>
      </w:r>
      <w:r w:rsidRPr="009E32D3">
        <w:rPr>
          <w:lang w:val="el-GR"/>
        </w:rPr>
        <w:t xml:space="preserve">μετατρέπεται </w:t>
      </w:r>
      <w:r>
        <w:rPr>
          <w:i/>
        </w:rPr>
        <w:t>in</w:t>
      </w:r>
      <w:r w:rsidRPr="009E32D3">
        <w:rPr>
          <w:i/>
          <w:lang w:val="el-GR"/>
        </w:rPr>
        <w:t xml:space="preserve"> </w:t>
      </w:r>
      <w:r>
        <w:rPr>
          <w:i/>
        </w:rPr>
        <w:t>vivo</w:t>
      </w:r>
      <w:r w:rsidRPr="009E32D3">
        <w:rPr>
          <w:i/>
          <w:lang w:val="el-GR"/>
        </w:rPr>
        <w:t xml:space="preserve"> </w:t>
      </w:r>
      <w:r w:rsidRPr="009E32D3">
        <w:rPr>
          <w:lang w:val="el-GR"/>
        </w:rPr>
        <w:t xml:space="preserve">σε </w:t>
      </w:r>
      <w:r w:rsidR="00F0332E">
        <w:rPr>
          <w:lang w:val="el-GR"/>
        </w:rPr>
        <w:t>τενοφοβίρη</w:t>
      </w:r>
      <w:r w:rsidRPr="009E32D3">
        <w:rPr>
          <w:lang w:val="el-GR"/>
        </w:rPr>
        <w:t>, ένα ανάλογο μονοφωσφορικού νουκλεοσιδίου (νουκλεοτίδιο)</w:t>
      </w:r>
      <w:r w:rsidRPr="009E32D3">
        <w:rPr>
          <w:spacing w:val="17"/>
          <w:lang w:val="el-GR"/>
        </w:rPr>
        <w:t xml:space="preserve"> </w:t>
      </w:r>
      <w:r w:rsidR="00554364" w:rsidRPr="00554364">
        <w:rPr>
          <w:lang w:val="el-GR"/>
        </w:rPr>
        <w:t>της μονοφωσφορικής αδενοσίνης</w:t>
      </w:r>
      <w:r w:rsidRPr="009E32D3">
        <w:rPr>
          <w:lang w:val="el-GR"/>
        </w:rPr>
        <w:t>.</w:t>
      </w:r>
      <w:r w:rsidRPr="009E32D3">
        <w:rPr>
          <w:spacing w:val="1"/>
          <w:lang w:val="el-GR"/>
        </w:rPr>
        <w:t xml:space="preserve"> </w:t>
      </w:r>
      <w:r w:rsidRPr="009E32D3">
        <w:rPr>
          <w:lang w:val="el-GR"/>
        </w:rPr>
        <w:t>Τόσο</w:t>
      </w:r>
      <w:r w:rsidRPr="009E32D3">
        <w:rPr>
          <w:spacing w:val="1"/>
          <w:lang w:val="el-GR"/>
        </w:rPr>
        <w:t xml:space="preserve"> </w:t>
      </w:r>
      <w:r w:rsidRPr="009E32D3">
        <w:rPr>
          <w:lang w:val="el-GR"/>
        </w:rPr>
        <w:t xml:space="preserve">η </w:t>
      </w:r>
      <w:r w:rsidR="00F0332E">
        <w:rPr>
          <w:rFonts w:cs="Times New Roman"/>
          <w:color w:val="000000" w:themeColor="text1"/>
          <w:lang w:val="el-GR"/>
        </w:rPr>
        <w:t>εμτρισιταβίνη</w:t>
      </w:r>
      <w:r w:rsidRPr="009E32D3">
        <w:rPr>
          <w:spacing w:val="1"/>
          <w:lang w:val="el-GR"/>
        </w:rPr>
        <w:t xml:space="preserve"> </w:t>
      </w:r>
      <w:r w:rsidRPr="009E32D3">
        <w:rPr>
          <w:lang w:val="el-GR"/>
        </w:rPr>
        <w:t>όσο</w:t>
      </w:r>
      <w:r w:rsidRPr="009E32D3">
        <w:rPr>
          <w:spacing w:val="1"/>
          <w:lang w:val="el-GR"/>
        </w:rPr>
        <w:t xml:space="preserve"> </w:t>
      </w:r>
      <w:r w:rsidRPr="009E32D3">
        <w:rPr>
          <w:lang w:val="el-GR"/>
        </w:rPr>
        <w:t>και</w:t>
      </w:r>
      <w:r w:rsidRPr="009E32D3">
        <w:rPr>
          <w:spacing w:val="1"/>
          <w:lang w:val="el-GR"/>
        </w:rPr>
        <w:t xml:space="preserve"> </w:t>
      </w:r>
      <w:r w:rsidR="00F0332E">
        <w:rPr>
          <w:spacing w:val="1"/>
          <w:lang w:val="el-GR"/>
        </w:rPr>
        <w:t xml:space="preserve">η </w:t>
      </w:r>
      <w:r w:rsidR="00F0332E">
        <w:rPr>
          <w:lang w:val="el-GR"/>
        </w:rPr>
        <w:t>τενοφοβίρη</w:t>
      </w:r>
      <w:r w:rsidR="00F0332E" w:rsidRPr="009E32D3">
        <w:rPr>
          <w:lang w:val="el-GR"/>
        </w:rPr>
        <w:t xml:space="preserve"> </w:t>
      </w:r>
      <w:r w:rsidRPr="009E32D3">
        <w:rPr>
          <w:lang w:val="el-GR"/>
        </w:rPr>
        <w:t>εμφανίζουν</w:t>
      </w:r>
      <w:r w:rsidRPr="009E32D3">
        <w:rPr>
          <w:spacing w:val="2"/>
          <w:lang w:val="el-GR"/>
        </w:rPr>
        <w:t xml:space="preserve"> </w:t>
      </w:r>
      <w:r w:rsidR="005C1BB7">
        <w:rPr>
          <w:lang w:val="el-GR"/>
        </w:rPr>
        <w:t>εξειδικευμένη δ</w:t>
      </w:r>
      <w:r w:rsidRPr="009E32D3">
        <w:rPr>
          <w:lang w:val="el-GR"/>
        </w:rPr>
        <w:t>ράση έναντι του ανθρώπινου ιού της ανοσοανεπάρκειας (</w:t>
      </w:r>
      <w:r>
        <w:t>HIV</w:t>
      </w:r>
      <w:r w:rsidRPr="009E32D3">
        <w:rPr>
          <w:lang w:val="el-GR"/>
        </w:rPr>
        <w:t xml:space="preserve">-1 και </w:t>
      </w:r>
      <w:r>
        <w:t>HIV</w:t>
      </w:r>
      <w:r w:rsidRPr="009E32D3">
        <w:rPr>
          <w:lang w:val="el-GR"/>
        </w:rPr>
        <w:t>-2) και του ιού</w:t>
      </w:r>
      <w:r w:rsidRPr="009E32D3">
        <w:rPr>
          <w:spacing w:val="-1"/>
          <w:lang w:val="el-GR"/>
        </w:rPr>
        <w:t xml:space="preserve"> </w:t>
      </w:r>
      <w:r w:rsidRPr="009E32D3">
        <w:rPr>
          <w:lang w:val="el-GR"/>
        </w:rPr>
        <w:t>της ηπατίτιδας</w:t>
      </w:r>
      <w:r w:rsidRPr="009E32D3">
        <w:rPr>
          <w:spacing w:val="-5"/>
          <w:lang w:val="el-GR"/>
        </w:rPr>
        <w:t xml:space="preserve"> </w:t>
      </w:r>
      <w:r w:rsidRPr="009E32D3">
        <w:rPr>
          <w:lang w:val="el-GR"/>
        </w:rPr>
        <w:t>Β.</w:t>
      </w:r>
    </w:p>
    <w:p w:rsidR="00645378" w:rsidRPr="009E32D3" w:rsidRDefault="00645378" w:rsidP="009E32D3">
      <w:pPr>
        <w:tabs>
          <w:tab w:val="left" w:pos="0"/>
        </w:tabs>
        <w:spacing w:before="8"/>
        <w:ind w:right="36"/>
        <w:rPr>
          <w:rFonts w:ascii="Times New Roman" w:eastAsia="Times New Roman" w:hAnsi="Times New Roman" w:cs="Times New Roman"/>
          <w:lang w:val="el-GR"/>
        </w:rPr>
      </w:pPr>
    </w:p>
    <w:p w:rsidR="00645378" w:rsidRPr="009E32D3" w:rsidRDefault="007134E2" w:rsidP="009E32D3">
      <w:pPr>
        <w:pStyle w:val="a3"/>
        <w:tabs>
          <w:tab w:val="left" w:pos="0"/>
        </w:tabs>
        <w:spacing w:line="244" w:lineRule="auto"/>
        <w:ind w:left="0" w:right="36"/>
        <w:rPr>
          <w:lang w:val="el-GR"/>
        </w:rPr>
      </w:pPr>
      <w:r w:rsidRPr="009E32D3">
        <w:rPr>
          <w:lang w:val="el-GR"/>
        </w:rPr>
        <w:t xml:space="preserve">Η </w:t>
      </w:r>
      <w:r w:rsidR="00F0332E">
        <w:rPr>
          <w:rFonts w:cs="Times New Roman"/>
          <w:color w:val="000000" w:themeColor="text1"/>
          <w:lang w:val="el-GR"/>
        </w:rPr>
        <w:t>εμτρισιταβίνη</w:t>
      </w:r>
      <w:r w:rsidR="00F0332E" w:rsidRPr="00F0332E">
        <w:rPr>
          <w:lang w:val="el-GR"/>
        </w:rPr>
        <w:t xml:space="preserve"> </w:t>
      </w:r>
      <w:r w:rsidRPr="009E32D3">
        <w:rPr>
          <w:lang w:val="el-GR"/>
        </w:rPr>
        <w:t xml:space="preserve">και </w:t>
      </w:r>
      <w:r w:rsidR="00F0332E">
        <w:rPr>
          <w:lang w:val="el-GR"/>
        </w:rPr>
        <w:t>η τενοφοβίρη</w:t>
      </w:r>
      <w:r w:rsidR="00F0332E" w:rsidRPr="009E32D3">
        <w:rPr>
          <w:lang w:val="el-GR"/>
        </w:rPr>
        <w:t xml:space="preserve"> </w:t>
      </w:r>
      <w:r w:rsidRPr="009E32D3">
        <w:rPr>
          <w:lang w:val="el-GR"/>
        </w:rPr>
        <w:t>φωσφορυλιώνονται από κυτταρικά ένζυμα και σχηματίζουν</w:t>
      </w:r>
      <w:r w:rsidRPr="009E32D3">
        <w:rPr>
          <w:spacing w:val="-42"/>
          <w:lang w:val="el-GR"/>
        </w:rPr>
        <w:t xml:space="preserve"> </w:t>
      </w:r>
      <w:r w:rsidRPr="009E32D3">
        <w:rPr>
          <w:lang w:val="el-GR"/>
        </w:rPr>
        <w:t xml:space="preserve">τριφωσφορική </w:t>
      </w:r>
      <w:r w:rsidR="00F0332E">
        <w:rPr>
          <w:lang w:val="el-GR"/>
        </w:rPr>
        <w:t>εμτρισιταβίνη και διφωσφορική τενοφοβίρη</w:t>
      </w:r>
      <w:r w:rsidRPr="009E32D3">
        <w:rPr>
          <w:lang w:val="el-GR"/>
        </w:rPr>
        <w:t xml:space="preserve">, αντίστοιχα. Μελέτες </w:t>
      </w:r>
      <w:r>
        <w:rPr>
          <w:i/>
        </w:rPr>
        <w:t>in</w:t>
      </w:r>
      <w:r w:rsidRPr="009E32D3">
        <w:rPr>
          <w:i/>
          <w:lang w:val="el-GR"/>
        </w:rPr>
        <w:t xml:space="preserve"> </w:t>
      </w:r>
      <w:r>
        <w:rPr>
          <w:i/>
        </w:rPr>
        <w:t>vitro</w:t>
      </w:r>
      <w:r w:rsidRPr="009E32D3">
        <w:rPr>
          <w:i/>
          <w:lang w:val="el-GR"/>
        </w:rPr>
        <w:t xml:space="preserve"> </w:t>
      </w:r>
      <w:r w:rsidRPr="009E32D3">
        <w:rPr>
          <w:lang w:val="el-GR"/>
        </w:rPr>
        <w:t>έδειξαν ότι</w:t>
      </w:r>
      <w:r w:rsidRPr="009E32D3">
        <w:rPr>
          <w:spacing w:val="-37"/>
          <w:lang w:val="el-GR"/>
        </w:rPr>
        <w:t xml:space="preserve"> </w:t>
      </w:r>
      <w:r w:rsidRPr="009E32D3">
        <w:rPr>
          <w:lang w:val="el-GR"/>
        </w:rPr>
        <w:t>τόσο</w:t>
      </w:r>
      <w:r w:rsidRPr="009E32D3">
        <w:rPr>
          <w:spacing w:val="1"/>
          <w:lang w:val="el-GR"/>
        </w:rPr>
        <w:t xml:space="preserve"> </w:t>
      </w:r>
      <w:r w:rsidRPr="009E32D3">
        <w:rPr>
          <w:lang w:val="el-GR"/>
        </w:rPr>
        <w:t xml:space="preserve">η </w:t>
      </w:r>
      <w:r w:rsidR="00F0332E">
        <w:rPr>
          <w:lang w:val="el-GR"/>
        </w:rPr>
        <w:t>εμτρισιταβίνη</w:t>
      </w:r>
      <w:r w:rsidRPr="009E32D3">
        <w:rPr>
          <w:spacing w:val="1"/>
          <w:lang w:val="el-GR"/>
        </w:rPr>
        <w:t xml:space="preserve"> </w:t>
      </w:r>
      <w:r w:rsidRPr="009E32D3">
        <w:rPr>
          <w:lang w:val="el-GR"/>
        </w:rPr>
        <w:t>όσο</w:t>
      </w:r>
      <w:r w:rsidRPr="009E32D3">
        <w:rPr>
          <w:spacing w:val="1"/>
          <w:lang w:val="el-GR"/>
        </w:rPr>
        <w:t xml:space="preserve"> </w:t>
      </w:r>
      <w:r w:rsidRPr="009E32D3">
        <w:rPr>
          <w:lang w:val="el-GR"/>
        </w:rPr>
        <w:t>και</w:t>
      </w:r>
      <w:r w:rsidRPr="009E32D3">
        <w:rPr>
          <w:spacing w:val="1"/>
          <w:lang w:val="el-GR"/>
        </w:rPr>
        <w:t xml:space="preserve"> </w:t>
      </w:r>
      <w:r w:rsidR="00F0332E">
        <w:rPr>
          <w:spacing w:val="1"/>
          <w:lang w:val="el-GR"/>
        </w:rPr>
        <w:t>η τενοφοβίρη</w:t>
      </w:r>
      <w:r w:rsidRPr="009E32D3">
        <w:rPr>
          <w:spacing w:val="2"/>
          <w:lang w:val="el-GR"/>
        </w:rPr>
        <w:t xml:space="preserve"> </w:t>
      </w:r>
      <w:r w:rsidRPr="009E32D3">
        <w:rPr>
          <w:lang w:val="el-GR"/>
        </w:rPr>
        <w:t>μπορούν</w:t>
      </w:r>
      <w:r w:rsidRPr="009E32D3">
        <w:rPr>
          <w:spacing w:val="2"/>
          <w:lang w:val="el-GR"/>
        </w:rPr>
        <w:t xml:space="preserve"> </w:t>
      </w:r>
      <w:r w:rsidRPr="009E32D3">
        <w:rPr>
          <w:lang w:val="el-GR"/>
        </w:rPr>
        <w:t>να φωσφορυλιωθούν</w:t>
      </w:r>
      <w:r w:rsidRPr="009E32D3">
        <w:rPr>
          <w:spacing w:val="2"/>
          <w:lang w:val="el-GR"/>
        </w:rPr>
        <w:t xml:space="preserve"> </w:t>
      </w:r>
      <w:r w:rsidRPr="009E32D3">
        <w:rPr>
          <w:lang w:val="el-GR"/>
        </w:rPr>
        <w:t>πλήρως όταν</w:t>
      </w:r>
      <w:r w:rsidRPr="009E32D3">
        <w:rPr>
          <w:spacing w:val="2"/>
          <w:lang w:val="el-GR"/>
        </w:rPr>
        <w:t xml:space="preserve"> </w:t>
      </w:r>
      <w:r w:rsidRPr="009E32D3">
        <w:rPr>
          <w:lang w:val="el-GR"/>
        </w:rPr>
        <w:t>βρίσκονται</w:t>
      </w:r>
      <w:r w:rsidRPr="009E32D3">
        <w:rPr>
          <w:spacing w:val="-50"/>
          <w:lang w:val="el-GR"/>
        </w:rPr>
        <w:t xml:space="preserve"> </w:t>
      </w:r>
      <w:r w:rsidRPr="009E32D3">
        <w:rPr>
          <w:lang w:val="el-GR"/>
        </w:rPr>
        <w:t>ταυτόχρονα σε</w:t>
      </w:r>
      <w:r w:rsidRPr="009E32D3">
        <w:rPr>
          <w:spacing w:val="2"/>
          <w:lang w:val="el-GR"/>
        </w:rPr>
        <w:t xml:space="preserve"> </w:t>
      </w:r>
      <w:r w:rsidRPr="009E32D3">
        <w:rPr>
          <w:lang w:val="el-GR"/>
        </w:rPr>
        <w:t>συνδυασμό</w:t>
      </w:r>
      <w:r w:rsidRPr="009E32D3">
        <w:rPr>
          <w:spacing w:val="1"/>
          <w:lang w:val="el-GR"/>
        </w:rPr>
        <w:t xml:space="preserve"> </w:t>
      </w:r>
      <w:r w:rsidRPr="009E32D3">
        <w:rPr>
          <w:lang w:val="el-GR"/>
        </w:rPr>
        <w:t>μέσα στο</w:t>
      </w:r>
      <w:r w:rsidRPr="009E32D3">
        <w:rPr>
          <w:spacing w:val="1"/>
          <w:lang w:val="el-GR"/>
        </w:rPr>
        <w:t xml:space="preserve"> </w:t>
      </w:r>
      <w:r w:rsidRPr="009E32D3">
        <w:rPr>
          <w:lang w:val="el-GR"/>
        </w:rPr>
        <w:t>κύτταρο.</w:t>
      </w:r>
      <w:r w:rsidRPr="009E32D3">
        <w:rPr>
          <w:spacing w:val="1"/>
          <w:lang w:val="el-GR"/>
        </w:rPr>
        <w:t xml:space="preserve"> </w:t>
      </w:r>
      <w:r w:rsidRPr="009E32D3">
        <w:rPr>
          <w:lang w:val="el-GR"/>
        </w:rPr>
        <w:t xml:space="preserve">Η τριφωσφορική </w:t>
      </w:r>
      <w:r w:rsidR="00F0332E">
        <w:rPr>
          <w:lang w:val="el-GR"/>
        </w:rPr>
        <w:t>εμτρισιταβίνη</w:t>
      </w:r>
      <w:r w:rsidRPr="009E32D3">
        <w:rPr>
          <w:spacing w:val="1"/>
          <w:lang w:val="el-GR"/>
        </w:rPr>
        <w:t xml:space="preserve"> </w:t>
      </w:r>
      <w:r w:rsidRPr="009E32D3">
        <w:rPr>
          <w:lang w:val="el-GR"/>
        </w:rPr>
        <w:t>και</w:t>
      </w:r>
      <w:r w:rsidRPr="009E32D3">
        <w:rPr>
          <w:spacing w:val="1"/>
          <w:lang w:val="el-GR"/>
        </w:rPr>
        <w:t xml:space="preserve"> </w:t>
      </w:r>
      <w:r w:rsidR="00F0332E">
        <w:rPr>
          <w:lang w:val="el-GR"/>
        </w:rPr>
        <w:t>η</w:t>
      </w:r>
      <w:r w:rsidRPr="009E32D3">
        <w:rPr>
          <w:spacing w:val="1"/>
          <w:lang w:val="el-GR"/>
        </w:rPr>
        <w:t xml:space="preserve"> </w:t>
      </w:r>
      <w:r w:rsidR="00F0332E">
        <w:rPr>
          <w:lang w:val="el-GR"/>
        </w:rPr>
        <w:t>διφωσφορική τενοφοβίρη</w:t>
      </w:r>
      <w:r w:rsidRPr="009E32D3">
        <w:rPr>
          <w:lang w:val="el-GR"/>
        </w:rPr>
        <w:t xml:space="preserve"> αναστέλλουν ανταγωνιστικά την ανάστροφη μεταγραφάση του </w:t>
      </w:r>
      <w:r>
        <w:t>HIV</w:t>
      </w:r>
      <w:r w:rsidRPr="009E32D3">
        <w:rPr>
          <w:lang w:val="el-GR"/>
        </w:rPr>
        <w:t>-1 με αποτέλεσμα</w:t>
      </w:r>
      <w:r w:rsidRPr="009E32D3">
        <w:rPr>
          <w:spacing w:val="4"/>
          <w:lang w:val="el-GR"/>
        </w:rPr>
        <w:t xml:space="preserve"> </w:t>
      </w:r>
      <w:r w:rsidRPr="009E32D3">
        <w:rPr>
          <w:lang w:val="el-GR"/>
        </w:rPr>
        <w:t>τον τερματισμό της αλύσου του</w:t>
      </w:r>
      <w:r w:rsidRPr="009E32D3">
        <w:rPr>
          <w:spacing w:val="1"/>
          <w:lang w:val="el-GR"/>
        </w:rPr>
        <w:t xml:space="preserve"> </w:t>
      </w:r>
      <w:r>
        <w:t>DNA</w:t>
      </w:r>
      <w:r w:rsidRPr="009E32D3">
        <w:rPr>
          <w:lang w:val="el-GR"/>
        </w:rPr>
        <w:t>.</w:t>
      </w:r>
    </w:p>
    <w:p w:rsidR="00645378" w:rsidRPr="009E32D3" w:rsidRDefault="00645378" w:rsidP="009E32D3">
      <w:pPr>
        <w:tabs>
          <w:tab w:val="left" w:pos="0"/>
        </w:tabs>
        <w:spacing w:before="8"/>
        <w:ind w:right="36"/>
        <w:rPr>
          <w:rFonts w:ascii="Times New Roman" w:eastAsia="Times New Roman" w:hAnsi="Times New Roman" w:cs="Times New Roman"/>
          <w:lang w:val="el-GR"/>
        </w:rPr>
      </w:pPr>
    </w:p>
    <w:p w:rsidR="00645378" w:rsidRPr="009E32D3" w:rsidRDefault="007134E2" w:rsidP="009E32D3">
      <w:pPr>
        <w:pStyle w:val="a3"/>
        <w:tabs>
          <w:tab w:val="left" w:pos="0"/>
        </w:tabs>
        <w:spacing w:line="244" w:lineRule="auto"/>
        <w:ind w:left="0" w:right="36"/>
        <w:rPr>
          <w:lang w:val="el-GR"/>
        </w:rPr>
      </w:pPr>
      <w:r w:rsidRPr="009E32D3">
        <w:rPr>
          <w:lang w:val="el-GR"/>
        </w:rPr>
        <w:t xml:space="preserve">Η τριφωσφορική </w:t>
      </w:r>
      <w:r w:rsidR="00F0332E">
        <w:rPr>
          <w:lang w:val="el-GR"/>
        </w:rPr>
        <w:t>εμτρισιταβίνη</w:t>
      </w:r>
      <w:r w:rsidRPr="009E32D3">
        <w:rPr>
          <w:spacing w:val="1"/>
          <w:lang w:val="el-GR"/>
        </w:rPr>
        <w:t xml:space="preserve"> </w:t>
      </w:r>
      <w:r w:rsidRPr="009E32D3">
        <w:rPr>
          <w:lang w:val="el-GR"/>
        </w:rPr>
        <w:t>και</w:t>
      </w:r>
      <w:r w:rsidRPr="009E32D3">
        <w:rPr>
          <w:spacing w:val="1"/>
          <w:lang w:val="el-GR"/>
        </w:rPr>
        <w:t xml:space="preserve"> </w:t>
      </w:r>
      <w:r w:rsidR="00F0332E">
        <w:rPr>
          <w:lang w:val="el-GR"/>
        </w:rPr>
        <w:t>η</w:t>
      </w:r>
      <w:r w:rsidRPr="009E32D3">
        <w:rPr>
          <w:spacing w:val="1"/>
          <w:lang w:val="el-GR"/>
        </w:rPr>
        <w:t xml:space="preserve"> </w:t>
      </w:r>
      <w:r w:rsidR="00F0332E">
        <w:rPr>
          <w:lang w:val="el-GR"/>
        </w:rPr>
        <w:t>διφωσφορική</w:t>
      </w:r>
      <w:r w:rsidRPr="009E32D3">
        <w:rPr>
          <w:spacing w:val="1"/>
          <w:lang w:val="el-GR"/>
        </w:rPr>
        <w:t xml:space="preserve"> </w:t>
      </w:r>
      <w:r w:rsidR="00F0332E">
        <w:rPr>
          <w:spacing w:val="1"/>
          <w:lang w:val="el-GR"/>
        </w:rPr>
        <w:t>τενοφοβίρη</w:t>
      </w:r>
      <w:r w:rsidRPr="009E32D3">
        <w:rPr>
          <w:spacing w:val="2"/>
          <w:lang w:val="el-GR"/>
        </w:rPr>
        <w:t xml:space="preserve"> </w:t>
      </w:r>
      <w:r w:rsidRPr="009E32D3">
        <w:rPr>
          <w:lang w:val="el-GR"/>
        </w:rPr>
        <w:t>είναι</w:t>
      </w:r>
      <w:r w:rsidRPr="009E32D3">
        <w:rPr>
          <w:spacing w:val="1"/>
          <w:lang w:val="el-GR"/>
        </w:rPr>
        <w:t xml:space="preserve"> </w:t>
      </w:r>
      <w:r w:rsidRPr="009E32D3">
        <w:rPr>
          <w:lang w:val="el-GR"/>
        </w:rPr>
        <w:t>ασθενείς αναστολείς των</w:t>
      </w:r>
      <w:r w:rsidRPr="009E32D3">
        <w:rPr>
          <w:spacing w:val="2"/>
          <w:lang w:val="el-GR"/>
        </w:rPr>
        <w:t xml:space="preserve"> </w:t>
      </w:r>
      <w:r>
        <w:t>DNA</w:t>
      </w:r>
      <w:r w:rsidR="00661293">
        <w:rPr>
          <w:lang w:val="el-GR"/>
        </w:rPr>
        <w:t xml:space="preserve"> </w:t>
      </w:r>
      <w:r w:rsidRPr="009E32D3">
        <w:rPr>
          <w:spacing w:val="-52"/>
          <w:lang w:val="el-GR"/>
        </w:rPr>
        <w:t xml:space="preserve"> </w:t>
      </w:r>
      <w:r w:rsidRPr="009E32D3">
        <w:rPr>
          <w:lang w:val="el-GR"/>
        </w:rPr>
        <w:t xml:space="preserve">πολυμερασών των θηλαστικών και δεν υπήρξε ένδειξη για τοξικότητα στα μιτοχόνδρια είτε </w:t>
      </w:r>
      <w:r>
        <w:rPr>
          <w:i/>
        </w:rPr>
        <w:t>in</w:t>
      </w:r>
      <w:r w:rsidRPr="009E32D3">
        <w:rPr>
          <w:i/>
          <w:spacing w:val="17"/>
          <w:lang w:val="el-GR"/>
        </w:rPr>
        <w:t xml:space="preserve"> </w:t>
      </w:r>
      <w:r>
        <w:rPr>
          <w:i/>
        </w:rPr>
        <w:t>vitro</w:t>
      </w:r>
      <w:r w:rsidRPr="009E32D3">
        <w:rPr>
          <w:i/>
          <w:lang w:val="el-GR"/>
        </w:rPr>
        <w:t xml:space="preserve"> </w:t>
      </w:r>
      <w:r w:rsidRPr="009E32D3">
        <w:rPr>
          <w:lang w:val="el-GR"/>
        </w:rPr>
        <w:t xml:space="preserve">είτε </w:t>
      </w:r>
      <w:r>
        <w:rPr>
          <w:i/>
        </w:rPr>
        <w:t>in</w:t>
      </w:r>
      <w:r w:rsidRPr="009E32D3">
        <w:rPr>
          <w:i/>
          <w:spacing w:val="5"/>
          <w:lang w:val="el-GR"/>
        </w:rPr>
        <w:t xml:space="preserve"> </w:t>
      </w:r>
      <w:r>
        <w:rPr>
          <w:i/>
        </w:rPr>
        <w:t>vivo</w:t>
      </w:r>
      <w:r w:rsidRPr="009E32D3">
        <w:rPr>
          <w:lang w:val="el-GR"/>
        </w:rPr>
        <w:t>.</w:t>
      </w:r>
    </w:p>
    <w:p w:rsidR="00645378" w:rsidRPr="009E32D3" w:rsidRDefault="00645378" w:rsidP="009E32D3">
      <w:pPr>
        <w:tabs>
          <w:tab w:val="left" w:pos="0"/>
        </w:tabs>
        <w:spacing w:before="8"/>
        <w:ind w:right="36"/>
        <w:rPr>
          <w:rFonts w:ascii="Times New Roman" w:eastAsia="Times New Roman" w:hAnsi="Times New Roman" w:cs="Times New Roman"/>
          <w:lang w:val="el-GR"/>
        </w:rPr>
      </w:pPr>
    </w:p>
    <w:p w:rsidR="00645378" w:rsidRPr="009E32D3" w:rsidRDefault="007134E2" w:rsidP="009E32D3">
      <w:pPr>
        <w:pStyle w:val="a3"/>
        <w:tabs>
          <w:tab w:val="left" w:pos="0"/>
        </w:tabs>
        <w:spacing w:line="244" w:lineRule="auto"/>
        <w:ind w:left="0" w:right="36"/>
        <w:rPr>
          <w:lang w:val="el-GR"/>
        </w:rPr>
      </w:pPr>
      <w:r w:rsidRPr="009E32D3">
        <w:rPr>
          <w:i/>
          <w:lang w:val="el-GR"/>
        </w:rPr>
        <w:t xml:space="preserve">Αντιϊκή δραστικότητα </w:t>
      </w:r>
      <w:r>
        <w:rPr>
          <w:i/>
        </w:rPr>
        <w:t>in</w:t>
      </w:r>
      <w:r w:rsidRPr="009E32D3">
        <w:rPr>
          <w:i/>
          <w:lang w:val="el-GR"/>
        </w:rPr>
        <w:t xml:space="preserve"> </w:t>
      </w:r>
      <w:r>
        <w:rPr>
          <w:i/>
        </w:rPr>
        <w:t>vitro</w:t>
      </w:r>
      <w:r w:rsidRPr="009E32D3">
        <w:rPr>
          <w:i/>
          <w:lang w:val="el-GR"/>
        </w:rPr>
        <w:t xml:space="preserve">: </w:t>
      </w:r>
      <w:r w:rsidRPr="009E32D3">
        <w:rPr>
          <w:lang w:val="el-GR"/>
        </w:rPr>
        <w:t>Παρατηρήθηκε συνεργική αντιϊκή δράση με το συνδυασμό</w:t>
      </w:r>
      <w:r w:rsidRPr="009E32D3">
        <w:rPr>
          <w:spacing w:val="-47"/>
          <w:lang w:val="el-GR"/>
        </w:rPr>
        <w:t xml:space="preserve"> </w:t>
      </w:r>
      <w:r w:rsidR="005624A5">
        <w:rPr>
          <w:lang w:val="el-GR"/>
        </w:rPr>
        <w:t>εμτρισιταβίνης</w:t>
      </w:r>
      <w:r w:rsidRPr="009E32D3">
        <w:rPr>
          <w:lang w:val="el-GR"/>
        </w:rPr>
        <w:t xml:space="preserve"> και </w:t>
      </w:r>
      <w:r w:rsidR="005624A5">
        <w:rPr>
          <w:lang w:val="el-GR"/>
        </w:rPr>
        <w:t>τενοφοβίρης</w:t>
      </w:r>
      <w:r w:rsidRPr="009E32D3">
        <w:rPr>
          <w:lang w:val="el-GR"/>
        </w:rPr>
        <w:t xml:space="preserve"> </w:t>
      </w:r>
      <w:r>
        <w:rPr>
          <w:i/>
        </w:rPr>
        <w:t>in</w:t>
      </w:r>
      <w:r w:rsidRPr="009E32D3">
        <w:rPr>
          <w:i/>
          <w:lang w:val="el-GR"/>
        </w:rPr>
        <w:t xml:space="preserve"> </w:t>
      </w:r>
      <w:r>
        <w:rPr>
          <w:i/>
        </w:rPr>
        <w:t>vitro</w:t>
      </w:r>
      <w:r w:rsidRPr="009E32D3">
        <w:rPr>
          <w:lang w:val="el-GR"/>
        </w:rPr>
        <w:t>. Παρατηρήθηκαν επιπροσθέτως συνεργικά αποτελέσματα</w:t>
      </w:r>
      <w:r w:rsidRPr="009E32D3">
        <w:rPr>
          <w:spacing w:val="6"/>
          <w:lang w:val="el-GR"/>
        </w:rPr>
        <w:t xml:space="preserve"> </w:t>
      </w:r>
      <w:r w:rsidRPr="009E32D3">
        <w:rPr>
          <w:lang w:val="el-GR"/>
        </w:rPr>
        <w:t>σε μελέτες συνδυασμού με αναστολείς πρωτεάσης και με νουκλεοσιδικούς και μη</w:t>
      </w:r>
      <w:r w:rsidRPr="009E32D3">
        <w:rPr>
          <w:spacing w:val="12"/>
          <w:lang w:val="el-GR"/>
        </w:rPr>
        <w:t xml:space="preserve"> </w:t>
      </w:r>
      <w:r w:rsidRPr="009E32D3">
        <w:rPr>
          <w:lang w:val="el-GR"/>
        </w:rPr>
        <w:t xml:space="preserve">νουκλεοσιδικούς αναστολείς της </w:t>
      </w:r>
      <w:r>
        <w:rPr>
          <w:spacing w:val="-2"/>
        </w:rPr>
        <w:t>HIV</w:t>
      </w:r>
      <w:r w:rsidRPr="009E32D3">
        <w:rPr>
          <w:spacing w:val="-2"/>
          <w:lang w:val="el-GR"/>
        </w:rPr>
        <w:t xml:space="preserve"> </w:t>
      </w:r>
      <w:r w:rsidRPr="009E32D3">
        <w:rPr>
          <w:lang w:val="el-GR"/>
        </w:rPr>
        <w:t>ανάστροφης</w:t>
      </w:r>
      <w:r w:rsidRPr="009E32D3">
        <w:rPr>
          <w:spacing w:val="1"/>
          <w:lang w:val="el-GR"/>
        </w:rPr>
        <w:t xml:space="preserve"> </w:t>
      </w:r>
      <w:r w:rsidRPr="009E32D3">
        <w:rPr>
          <w:lang w:val="el-GR"/>
        </w:rPr>
        <w:t>μεταγραφάσης.</w:t>
      </w:r>
    </w:p>
    <w:p w:rsidR="00645378" w:rsidRPr="009E32D3" w:rsidRDefault="00645378" w:rsidP="009E32D3">
      <w:pPr>
        <w:tabs>
          <w:tab w:val="left" w:pos="0"/>
        </w:tabs>
        <w:spacing w:before="8"/>
        <w:ind w:right="36"/>
        <w:rPr>
          <w:rFonts w:ascii="Times New Roman" w:eastAsia="Times New Roman" w:hAnsi="Times New Roman" w:cs="Times New Roman"/>
          <w:lang w:val="el-GR"/>
        </w:rPr>
      </w:pPr>
    </w:p>
    <w:p w:rsidR="00645378" w:rsidRPr="009E32D3" w:rsidRDefault="007134E2" w:rsidP="001045D0">
      <w:pPr>
        <w:pStyle w:val="a3"/>
        <w:tabs>
          <w:tab w:val="left" w:pos="0"/>
        </w:tabs>
        <w:ind w:left="0" w:right="36"/>
        <w:rPr>
          <w:lang w:val="el-GR"/>
        </w:rPr>
      </w:pPr>
      <w:r w:rsidRPr="009E32D3">
        <w:rPr>
          <w:i/>
          <w:lang w:val="el-GR"/>
        </w:rPr>
        <w:t xml:space="preserve">Αντοχή: </w:t>
      </w:r>
      <w:r w:rsidR="00554364" w:rsidRPr="00554364">
        <w:rPr>
          <w:lang w:val="el-GR"/>
        </w:rPr>
        <w:t>Παρατηρήθηκε αντοχή in vitro και σε ορισμένους ασθενείς προσβεβλημένους από τον ιό HIV-1 λόγω της ανάπτυξης της μετάλλαξης M184V/I με την εμτρισιταβίνη ή της μετάλλαξης K65R με την τενοφοβίρη. Ιοί ανθεκτικοί στην εμτρισιταβίνη που έφεραν τη μετάλλαξη M184V/I, εμφάνισαν διασταυρούμενη αντοχή στη λαμιβουδίνη, αλλά διατήρησαν την ευαισθησία τους στη διδανοσίνη, τη σταβουδίνη, την τενοφοβίρη και τη ζιδοβουδίνη. Η μετάλλαξη K65R μπορεί να επιλεγεί και με την αβακαβίρη ή τη διδανοσίνη και προκαλεί μειωμένη ευαισθησία στα φάρμακα αυτά ως και στη λαμιβουδίνη, την εμτρισιταβίνη και στην τενοφοβίρη. Η τενοφοβίρη δισοπρόξιλη πρέπει να αποφεύγεται σε ασθενείς με εμπειρία προηγούμενης αντιρετροϊκής θεραπείας με στελέχη του HIV-1, που περιλαμβάνουν την K65R μετάλλαξη. Επιπλέον, μια K70E υποκατάσταση στην ανάστροφη μεταγραφάση HIV-1 έχει επιλεγεί από την τενοφοβίρη και οδηγεί σε χαμηλού επιπέδου μειωμένη ευαισθησία στην αβακαβίρη, εμτρισιταβίνη, λαμιβουδίνη και την τενοφοβίρη.</w:t>
      </w:r>
    </w:p>
    <w:p w:rsidR="00645378" w:rsidRPr="009E32D3" w:rsidRDefault="00645378" w:rsidP="009E32D3">
      <w:pPr>
        <w:tabs>
          <w:tab w:val="left" w:pos="0"/>
        </w:tabs>
        <w:spacing w:before="8"/>
        <w:ind w:right="36"/>
        <w:rPr>
          <w:rFonts w:ascii="Times New Roman" w:eastAsia="Times New Roman" w:hAnsi="Times New Roman" w:cs="Times New Roman"/>
          <w:lang w:val="el-GR"/>
        </w:rPr>
      </w:pPr>
    </w:p>
    <w:p w:rsidR="00DE1133" w:rsidRPr="00DE1133" w:rsidRDefault="007134E2" w:rsidP="00DE1133">
      <w:pPr>
        <w:pStyle w:val="a3"/>
        <w:tabs>
          <w:tab w:val="left" w:pos="0"/>
        </w:tabs>
        <w:spacing w:line="244" w:lineRule="auto"/>
        <w:ind w:left="0" w:right="36"/>
        <w:rPr>
          <w:lang w:val="el-GR"/>
        </w:rPr>
      </w:pPr>
      <w:r>
        <w:t>A</w:t>
      </w:r>
      <w:r w:rsidRPr="009E32D3">
        <w:rPr>
          <w:lang w:val="el-GR"/>
        </w:rPr>
        <w:t xml:space="preserve">σθενείς με </w:t>
      </w:r>
      <w:r>
        <w:t>HIV</w:t>
      </w:r>
      <w:r w:rsidRPr="009E32D3">
        <w:rPr>
          <w:lang w:val="el-GR"/>
        </w:rPr>
        <w:t>-1 που εμφανίζουν 3 ή περισσότερες μεταλλάξεις που συσχετίζονται με</w:t>
      </w:r>
      <w:r w:rsidRPr="009E32D3">
        <w:rPr>
          <w:spacing w:val="2"/>
          <w:lang w:val="el-GR"/>
        </w:rPr>
        <w:t xml:space="preserve"> </w:t>
      </w:r>
      <w:r w:rsidRPr="009E32D3">
        <w:rPr>
          <w:lang w:val="el-GR"/>
        </w:rPr>
        <w:t>ανάλογα θυμιδίνης (</w:t>
      </w:r>
      <w:r>
        <w:t>TAMs</w:t>
      </w:r>
      <w:r w:rsidRPr="009E32D3">
        <w:rPr>
          <w:lang w:val="el-GR"/>
        </w:rPr>
        <w:t xml:space="preserve">) και περιλαμβάνουν την </w:t>
      </w:r>
      <w:r>
        <w:t>M</w:t>
      </w:r>
      <w:r w:rsidRPr="009E32D3">
        <w:rPr>
          <w:lang w:val="el-GR"/>
        </w:rPr>
        <w:t>41</w:t>
      </w:r>
      <w:r>
        <w:t>L</w:t>
      </w:r>
      <w:r w:rsidRPr="009E32D3">
        <w:rPr>
          <w:lang w:val="el-GR"/>
        </w:rPr>
        <w:t xml:space="preserve"> ή </w:t>
      </w:r>
      <w:r>
        <w:t>L</w:t>
      </w:r>
      <w:r w:rsidRPr="009E32D3">
        <w:rPr>
          <w:lang w:val="el-GR"/>
        </w:rPr>
        <w:t>210</w:t>
      </w:r>
      <w:r>
        <w:t>W</w:t>
      </w:r>
      <w:r w:rsidRPr="009E32D3">
        <w:rPr>
          <w:lang w:val="el-GR"/>
        </w:rPr>
        <w:t xml:space="preserve"> μετάλλαξη της ανάστροφης</w:t>
      </w:r>
      <w:r w:rsidRPr="009E32D3">
        <w:rPr>
          <w:spacing w:val="-49"/>
          <w:lang w:val="el-GR"/>
        </w:rPr>
        <w:t xml:space="preserve"> </w:t>
      </w:r>
      <w:r w:rsidRPr="009E32D3">
        <w:rPr>
          <w:lang w:val="el-GR"/>
        </w:rPr>
        <w:t xml:space="preserve">μεταγραφάσης, επέδειξαν μειωμένη ευαισθησία στην αγωγή με </w:t>
      </w:r>
      <w:r w:rsidR="003D3B11">
        <w:rPr>
          <w:lang w:val="el-GR"/>
        </w:rPr>
        <w:t>τενοφοβίρη δισοπρόξιλη</w:t>
      </w:r>
      <w:r w:rsidRPr="009E32D3">
        <w:rPr>
          <w:lang w:val="el-GR"/>
        </w:rPr>
        <w:t>.</w:t>
      </w:r>
    </w:p>
    <w:p w:rsidR="00DE1133" w:rsidRPr="00C00C24" w:rsidRDefault="00DE1133" w:rsidP="00DE1133">
      <w:pPr>
        <w:pStyle w:val="a3"/>
        <w:tabs>
          <w:tab w:val="left" w:pos="0"/>
        </w:tabs>
        <w:spacing w:line="244" w:lineRule="auto"/>
        <w:ind w:left="0" w:right="36"/>
        <w:rPr>
          <w:lang w:val="el-GR"/>
        </w:rPr>
      </w:pPr>
    </w:p>
    <w:p w:rsidR="00645378" w:rsidRPr="002D0CF9" w:rsidRDefault="007134E2" w:rsidP="00DE1133">
      <w:pPr>
        <w:pStyle w:val="a3"/>
        <w:tabs>
          <w:tab w:val="left" w:pos="0"/>
        </w:tabs>
        <w:spacing w:line="244" w:lineRule="auto"/>
        <w:ind w:left="0" w:right="36"/>
        <w:rPr>
          <w:rFonts w:cs="Times New Roman"/>
          <w:lang w:val="el-GR"/>
        </w:rPr>
      </w:pPr>
      <w:r>
        <w:rPr>
          <w:i/>
        </w:rPr>
        <w:t>In</w:t>
      </w:r>
      <w:r w:rsidRPr="009E32D3">
        <w:rPr>
          <w:i/>
          <w:lang w:val="el-GR"/>
        </w:rPr>
        <w:t xml:space="preserve"> </w:t>
      </w:r>
      <w:r>
        <w:rPr>
          <w:i/>
        </w:rPr>
        <w:t>vivo</w:t>
      </w:r>
      <w:r w:rsidRPr="009E32D3">
        <w:rPr>
          <w:i/>
          <w:lang w:val="el-GR"/>
        </w:rPr>
        <w:t xml:space="preserve"> αντοχή (πρωτοθεραπευμένοι με αντιρετροϊκή αγωγή ασθενείς): </w:t>
      </w:r>
      <w:r w:rsidRPr="009E32D3">
        <w:rPr>
          <w:lang w:val="el-GR"/>
        </w:rPr>
        <w:t>Σε τυχαιοποιημένη</w:t>
      </w:r>
      <w:r w:rsidRPr="009E32D3">
        <w:rPr>
          <w:spacing w:val="-1"/>
          <w:lang w:val="el-GR"/>
        </w:rPr>
        <w:t xml:space="preserve"> </w:t>
      </w:r>
      <w:r w:rsidRPr="009E32D3">
        <w:rPr>
          <w:lang w:val="el-GR"/>
        </w:rPr>
        <w:t>κλινική μελέτη ανοιχτής επισήμανσης (</w:t>
      </w:r>
      <w:r>
        <w:t>GS</w:t>
      </w:r>
      <w:r w:rsidRPr="009E32D3">
        <w:rPr>
          <w:lang w:val="el-GR"/>
        </w:rPr>
        <w:t>-01-934) σε πρωτοθεραπευόμενους με αντιρετροϊκή</w:t>
      </w:r>
      <w:r w:rsidRPr="009E32D3">
        <w:rPr>
          <w:spacing w:val="-1"/>
          <w:lang w:val="el-GR"/>
        </w:rPr>
        <w:t xml:space="preserve"> </w:t>
      </w:r>
      <w:r w:rsidRPr="009E32D3">
        <w:rPr>
          <w:lang w:val="el-GR"/>
        </w:rPr>
        <w:t xml:space="preserve">αγωγή ασθενείς, </w:t>
      </w:r>
      <w:r w:rsidRPr="002D0CF9">
        <w:rPr>
          <w:rFonts w:cs="Times New Roman"/>
          <w:lang w:val="el-GR"/>
        </w:rPr>
        <w:t xml:space="preserve">διεξήχθη γονοτυπικός έλεγχος σε δείγματα πλάσματος </w:t>
      </w:r>
      <w:r w:rsidRPr="002D0CF9">
        <w:rPr>
          <w:rFonts w:cs="Times New Roman"/>
        </w:rPr>
        <w:t>HIV</w:t>
      </w:r>
      <w:r w:rsidRPr="002D0CF9">
        <w:rPr>
          <w:rFonts w:cs="Times New Roman"/>
          <w:lang w:val="el-GR"/>
        </w:rPr>
        <w:t xml:space="preserve">-1 από όλους τους </w:t>
      </w:r>
      <w:r w:rsidRPr="002D0CF9">
        <w:rPr>
          <w:rFonts w:cs="Times New Roman"/>
          <w:lang w:val="el-GR"/>
        </w:rPr>
        <w:lastRenderedPageBreak/>
        <w:t>ασθενείς</w:t>
      </w:r>
      <w:r w:rsidRPr="002D0CF9">
        <w:rPr>
          <w:rFonts w:cs="Times New Roman"/>
          <w:spacing w:val="-7"/>
          <w:lang w:val="el-GR"/>
        </w:rPr>
        <w:t xml:space="preserve"> </w:t>
      </w:r>
      <w:r w:rsidRPr="002D0CF9">
        <w:rPr>
          <w:rFonts w:cs="Times New Roman"/>
          <w:lang w:val="el-GR"/>
        </w:rPr>
        <w:t xml:space="preserve">με επιβεβαιωμένα επίπεδα </w:t>
      </w:r>
      <w:r w:rsidRPr="002D0CF9">
        <w:rPr>
          <w:rFonts w:cs="Times New Roman"/>
          <w:spacing w:val="-2"/>
        </w:rPr>
        <w:t>HIV</w:t>
      </w:r>
      <w:r w:rsidRPr="002D0CF9">
        <w:rPr>
          <w:rFonts w:cs="Times New Roman"/>
          <w:spacing w:val="-2"/>
          <w:lang w:val="el-GR"/>
        </w:rPr>
        <w:t xml:space="preserve"> </w:t>
      </w:r>
      <w:r w:rsidRPr="002D0CF9">
        <w:rPr>
          <w:rFonts w:cs="Times New Roman"/>
        </w:rPr>
        <w:t>RNA</w:t>
      </w:r>
      <w:r w:rsidRPr="002D0CF9">
        <w:rPr>
          <w:rFonts w:cs="Times New Roman"/>
          <w:lang w:val="el-GR"/>
        </w:rPr>
        <w:t xml:space="preserve"> &gt; 400 αντίγραφα/</w:t>
      </w:r>
      <w:r w:rsidRPr="002D0CF9">
        <w:rPr>
          <w:rFonts w:cs="Times New Roman"/>
        </w:rPr>
        <w:t>ml</w:t>
      </w:r>
      <w:r w:rsidR="00BD2297" w:rsidRPr="002D0CF9">
        <w:rPr>
          <w:rFonts w:cs="Times New Roman"/>
          <w:lang w:val="el-GR"/>
        </w:rPr>
        <w:t xml:space="preserve"> την 48</w:t>
      </w:r>
      <w:r w:rsidR="00BD2297" w:rsidRPr="002D0CF9">
        <w:rPr>
          <w:rFonts w:cs="Times New Roman"/>
          <w:vertAlign w:val="superscript"/>
          <w:lang w:val="el-GR"/>
        </w:rPr>
        <w:t>η</w:t>
      </w:r>
      <w:r w:rsidR="00BD2297" w:rsidRPr="002D0CF9">
        <w:rPr>
          <w:rFonts w:cs="Times New Roman"/>
          <w:lang w:val="el-GR"/>
        </w:rPr>
        <w:t>, 96</w:t>
      </w:r>
      <w:r w:rsidR="00BD2297" w:rsidRPr="002D0CF9">
        <w:rPr>
          <w:rFonts w:cs="Times New Roman"/>
          <w:vertAlign w:val="superscript"/>
          <w:lang w:val="el-GR"/>
        </w:rPr>
        <w:t>η</w:t>
      </w:r>
      <w:r w:rsidRPr="002D0CF9">
        <w:rPr>
          <w:rFonts w:cs="Times New Roman"/>
          <w:position w:val="10"/>
          <w:sz w:val="14"/>
          <w:lang w:val="el-GR"/>
        </w:rPr>
        <w:t xml:space="preserve"> </w:t>
      </w:r>
      <w:r w:rsidR="00BD2297" w:rsidRPr="002D0CF9">
        <w:rPr>
          <w:rFonts w:cs="Times New Roman"/>
          <w:lang w:val="el-GR"/>
        </w:rPr>
        <w:t>ή 144</w:t>
      </w:r>
      <w:r w:rsidR="00BD2297" w:rsidRPr="002D0CF9">
        <w:rPr>
          <w:rFonts w:cs="Times New Roman"/>
          <w:vertAlign w:val="superscript"/>
          <w:lang w:val="el-GR"/>
        </w:rPr>
        <w:t>η</w:t>
      </w:r>
      <w:r w:rsidRPr="002D0CF9">
        <w:rPr>
          <w:rFonts w:cs="Times New Roman"/>
          <w:position w:val="10"/>
          <w:sz w:val="14"/>
          <w:vertAlign w:val="superscript"/>
          <w:lang w:val="el-GR"/>
        </w:rPr>
        <w:t xml:space="preserve"> </w:t>
      </w:r>
      <w:r w:rsidR="005C1BB7">
        <w:rPr>
          <w:rFonts w:cs="Times New Roman"/>
          <w:lang w:val="el-GR"/>
        </w:rPr>
        <w:t>εβδομάδα ή κατά τη</w:t>
      </w:r>
      <w:r w:rsidRPr="002D0CF9">
        <w:rPr>
          <w:rFonts w:cs="Times New Roman"/>
          <w:lang w:val="el-GR"/>
        </w:rPr>
        <w:t xml:space="preserve"> στιγμή της πρόωρης διακοπής του φαρμάκου της μελέτης. </w:t>
      </w:r>
      <w:r w:rsidR="00BD2297" w:rsidRPr="002D0CF9">
        <w:rPr>
          <w:rFonts w:cs="Times New Roman"/>
          <w:lang w:val="el-GR"/>
        </w:rPr>
        <w:t>Στην 144</w:t>
      </w:r>
      <w:r w:rsidR="00BD2297" w:rsidRPr="002D0CF9">
        <w:rPr>
          <w:rFonts w:cs="Times New Roman"/>
          <w:vertAlign w:val="superscript"/>
          <w:lang w:val="el-GR"/>
        </w:rPr>
        <w:t>η</w:t>
      </w:r>
      <w:r w:rsidRPr="002D0CF9">
        <w:rPr>
          <w:rFonts w:cs="Times New Roman"/>
          <w:spacing w:val="15"/>
          <w:position w:val="10"/>
          <w:sz w:val="14"/>
          <w:lang w:val="el-GR"/>
        </w:rPr>
        <w:t xml:space="preserve"> </w:t>
      </w:r>
      <w:r w:rsidRPr="002D0CF9">
        <w:rPr>
          <w:rFonts w:cs="Times New Roman"/>
          <w:lang w:val="el-GR"/>
        </w:rPr>
        <w:t>εβδομάδα:</w:t>
      </w:r>
    </w:p>
    <w:p w:rsidR="00645378" w:rsidRPr="002D0CF9" w:rsidRDefault="00645378" w:rsidP="009E32D3">
      <w:pPr>
        <w:tabs>
          <w:tab w:val="left" w:pos="0"/>
        </w:tabs>
        <w:spacing w:before="7"/>
        <w:ind w:right="36"/>
        <w:rPr>
          <w:rFonts w:ascii="Times New Roman" w:eastAsia="Times New Roman" w:hAnsi="Times New Roman" w:cs="Times New Roman"/>
          <w:lang w:val="el-GR"/>
        </w:rPr>
      </w:pPr>
    </w:p>
    <w:p w:rsidR="00645378" w:rsidRPr="00554364" w:rsidRDefault="00554364" w:rsidP="00554364">
      <w:pPr>
        <w:widowControl/>
        <w:numPr>
          <w:ilvl w:val="0"/>
          <w:numId w:val="4"/>
        </w:numPr>
        <w:tabs>
          <w:tab w:val="left" w:pos="567"/>
        </w:tabs>
        <w:autoSpaceDE w:val="0"/>
        <w:autoSpaceDN w:val="0"/>
        <w:adjustRightInd w:val="0"/>
        <w:spacing w:after="38" w:line="244" w:lineRule="auto"/>
        <w:ind w:left="567" w:right="36"/>
        <w:rPr>
          <w:rFonts w:ascii="Times New Roman" w:eastAsia="Times New Roman" w:hAnsi="Times New Roman" w:cs="Times New Roman"/>
          <w:lang w:val="el-GR"/>
        </w:rPr>
      </w:pPr>
      <w:r w:rsidRPr="00554364">
        <w:rPr>
          <w:rFonts w:ascii="Times New Roman" w:hAnsi="Times New Roman" w:cs="Times New Roman"/>
          <w:color w:val="000000"/>
          <w:lang w:val="el-GR" w:eastAsia="el-GR"/>
        </w:rPr>
        <w:t xml:space="preserve">Η μετάλλαξη </w:t>
      </w:r>
      <w:r w:rsidRPr="00554364">
        <w:rPr>
          <w:rFonts w:ascii="Times New Roman" w:hAnsi="Times New Roman" w:cs="Times New Roman"/>
          <w:color w:val="000000"/>
          <w:lang w:eastAsia="el-GR"/>
        </w:rPr>
        <w:t>M</w:t>
      </w:r>
      <w:r w:rsidRPr="00554364">
        <w:rPr>
          <w:rFonts w:ascii="Times New Roman" w:hAnsi="Times New Roman" w:cs="Times New Roman"/>
          <w:color w:val="000000"/>
          <w:lang w:val="el-GR" w:eastAsia="el-GR"/>
        </w:rPr>
        <w:t>184</w:t>
      </w:r>
      <w:r w:rsidRPr="00554364">
        <w:rPr>
          <w:rFonts w:ascii="Times New Roman" w:hAnsi="Times New Roman" w:cs="Times New Roman"/>
          <w:color w:val="000000"/>
          <w:lang w:eastAsia="el-GR"/>
        </w:rPr>
        <w:t>V</w:t>
      </w:r>
      <w:r w:rsidRPr="00554364">
        <w:rPr>
          <w:rFonts w:ascii="Times New Roman" w:hAnsi="Times New Roman" w:cs="Times New Roman"/>
          <w:color w:val="000000"/>
          <w:lang w:val="el-GR" w:eastAsia="el-GR"/>
        </w:rPr>
        <w:t>/</w:t>
      </w:r>
      <w:r w:rsidRPr="00554364">
        <w:rPr>
          <w:rFonts w:ascii="Times New Roman" w:hAnsi="Times New Roman" w:cs="Times New Roman"/>
          <w:color w:val="000000"/>
          <w:lang w:eastAsia="el-GR"/>
        </w:rPr>
        <w:t>I</w:t>
      </w:r>
      <w:r w:rsidRPr="00554364">
        <w:rPr>
          <w:rFonts w:ascii="Times New Roman" w:hAnsi="Times New Roman" w:cs="Times New Roman"/>
          <w:color w:val="000000"/>
          <w:lang w:val="el-GR" w:eastAsia="el-GR"/>
        </w:rPr>
        <w:t xml:space="preserve"> αναπτύχθηκε σε 2/19 (10,5%) δείγματα που αναλύθηκαν από ασθενείς στην ομάδα </w:t>
      </w:r>
      <w:r w:rsidRPr="00554364">
        <w:rPr>
          <w:rFonts w:ascii="Times New Roman" w:hAnsi="Times New Roman" w:cs="Times New Roman"/>
          <w:lang w:val="el-GR"/>
        </w:rPr>
        <w:t>εμτρισιταβίνης</w:t>
      </w:r>
      <w:r w:rsidRPr="00554364">
        <w:rPr>
          <w:rFonts w:ascii="Times New Roman" w:hAnsi="Times New Roman" w:cs="Times New Roman"/>
          <w:color w:val="000000"/>
          <w:lang w:val="el-GR" w:eastAsia="el-GR"/>
        </w:rPr>
        <w:t xml:space="preserve">/τενοφοβίρης δισοπρόξιλης/εφαβιρένζης και σε 10/29 (34,5%) δείγματα που αναλύθηκαν από ασθενείς στην ομάδα λαμιβουδίνης/ζιδοβουδίνης/εφαβιρένζης (τιμή </w:t>
      </w:r>
      <w:r w:rsidRPr="00554364">
        <w:rPr>
          <w:rFonts w:ascii="Times New Roman" w:hAnsi="Times New Roman" w:cs="Times New Roman"/>
          <w:color w:val="000000"/>
          <w:lang w:eastAsia="el-GR"/>
        </w:rPr>
        <w:t>p</w:t>
      </w:r>
      <w:r w:rsidRPr="00554364">
        <w:rPr>
          <w:rFonts w:ascii="Times New Roman" w:hAnsi="Times New Roman" w:cs="Times New Roman"/>
          <w:color w:val="000000"/>
          <w:lang w:val="el-GR" w:eastAsia="el-GR"/>
        </w:rPr>
        <w:t xml:space="preserve"> &lt; 0,05, δοκιμασία </w:t>
      </w:r>
      <w:r w:rsidRPr="00554364">
        <w:rPr>
          <w:rFonts w:ascii="Times New Roman" w:hAnsi="Times New Roman" w:cs="Times New Roman"/>
          <w:color w:val="000000"/>
          <w:lang w:eastAsia="el-GR"/>
        </w:rPr>
        <w:t>Fisher</w:t>
      </w:r>
      <w:r w:rsidRPr="00554364">
        <w:rPr>
          <w:rFonts w:ascii="Times New Roman" w:hAnsi="Times New Roman" w:cs="Times New Roman"/>
          <w:color w:val="000000"/>
          <w:lang w:val="el-GR" w:eastAsia="el-GR"/>
        </w:rPr>
        <w:t xml:space="preserve"> </w:t>
      </w:r>
      <w:r w:rsidRPr="00554364">
        <w:rPr>
          <w:rFonts w:ascii="Times New Roman" w:hAnsi="Times New Roman" w:cs="Times New Roman"/>
          <w:color w:val="000000"/>
          <w:lang w:eastAsia="el-GR"/>
        </w:rPr>
        <w:t>Exact</w:t>
      </w:r>
      <w:r w:rsidRPr="00554364">
        <w:rPr>
          <w:rFonts w:ascii="Times New Roman" w:hAnsi="Times New Roman" w:cs="Times New Roman"/>
          <w:color w:val="000000"/>
          <w:lang w:val="el-GR" w:eastAsia="el-GR"/>
        </w:rPr>
        <w:t xml:space="preserve"> σύγκρισης της ομάδας </w:t>
      </w:r>
      <w:r w:rsidRPr="00554364">
        <w:rPr>
          <w:rFonts w:ascii="Times New Roman" w:hAnsi="Times New Roman" w:cs="Times New Roman"/>
          <w:lang w:val="el-GR"/>
        </w:rPr>
        <w:t>εμτρισιταβίνης</w:t>
      </w:r>
      <w:r w:rsidRPr="00554364">
        <w:rPr>
          <w:rFonts w:ascii="Times New Roman" w:hAnsi="Times New Roman" w:cs="Times New Roman"/>
          <w:color w:val="000000"/>
          <w:lang w:val="el-GR" w:eastAsia="el-GR"/>
        </w:rPr>
        <w:t>+τενοφοβίρης δισοπρόξιλης με την ομάδα λαμιβουδίνης/ζιδοβουδίνης σε όλους τους ασθενείς).</w:t>
      </w:r>
    </w:p>
    <w:p w:rsidR="00645378" w:rsidRPr="00554364" w:rsidRDefault="007134E2" w:rsidP="00554364">
      <w:pPr>
        <w:pStyle w:val="a4"/>
        <w:numPr>
          <w:ilvl w:val="0"/>
          <w:numId w:val="4"/>
        </w:numPr>
        <w:tabs>
          <w:tab w:val="left" w:pos="567"/>
        </w:tabs>
        <w:ind w:left="567" w:right="36"/>
        <w:rPr>
          <w:rFonts w:ascii="Times New Roman" w:eastAsia="Times New Roman" w:hAnsi="Times New Roman" w:cs="Times New Roman"/>
          <w:lang w:val="el-GR"/>
        </w:rPr>
      </w:pPr>
      <w:r w:rsidRPr="00554364">
        <w:rPr>
          <w:rFonts w:ascii="Times New Roman" w:hAnsi="Times New Roman" w:cs="Times New Roman"/>
          <w:lang w:val="el-GR"/>
        </w:rPr>
        <w:t xml:space="preserve">Κανείς ιός που αναλύθηκε δεν περιείχε την </w:t>
      </w:r>
      <w:r w:rsidRPr="00554364">
        <w:rPr>
          <w:rFonts w:ascii="Times New Roman" w:hAnsi="Times New Roman" w:cs="Times New Roman"/>
        </w:rPr>
        <w:t>K</w:t>
      </w:r>
      <w:r w:rsidRPr="00554364">
        <w:rPr>
          <w:rFonts w:ascii="Times New Roman" w:hAnsi="Times New Roman" w:cs="Times New Roman"/>
          <w:lang w:val="el-GR"/>
        </w:rPr>
        <w:t>65</w:t>
      </w:r>
      <w:r w:rsidRPr="00554364">
        <w:rPr>
          <w:rFonts w:ascii="Times New Roman" w:hAnsi="Times New Roman" w:cs="Times New Roman"/>
        </w:rPr>
        <w:t>R</w:t>
      </w:r>
      <w:r w:rsidRPr="00554364">
        <w:rPr>
          <w:rFonts w:ascii="Times New Roman" w:hAnsi="Times New Roman" w:cs="Times New Roman"/>
          <w:spacing w:val="4"/>
          <w:lang w:val="el-GR"/>
        </w:rPr>
        <w:t xml:space="preserve"> </w:t>
      </w:r>
      <w:r w:rsidRPr="00554364">
        <w:rPr>
          <w:rFonts w:ascii="Times New Roman" w:hAnsi="Times New Roman" w:cs="Times New Roman"/>
          <w:lang w:val="el-GR"/>
        </w:rPr>
        <w:t>μετάλλαξη.</w:t>
      </w:r>
    </w:p>
    <w:p w:rsidR="00645378" w:rsidRPr="00554364" w:rsidRDefault="007134E2" w:rsidP="00554364">
      <w:pPr>
        <w:pStyle w:val="a4"/>
        <w:numPr>
          <w:ilvl w:val="0"/>
          <w:numId w:val="4"/>
        </w:numPr>
        <w:tabs>
          <w:tab w:val="left" w:pos="567"/>
        </w:tabs>
        <w:spacing w:before="4" w:line="244" w:lineRule="auto"/>
        <w:ind w:left="567" w:right="36"/>
        <w:jc w:val="both"/>
        <w:rPr>
          <w:rFonts w:ascii="Times New Roman" w:eastAsia="Times New Roman" w:hAnsi="Times New Roman" w:cs="Times New Roman"/>
          <w:lang w:val="el-GR"/>
        </w:rPr>
      </w:pPr>
      <w:r w:rsidRPr="00554364">
        <w:rPr>
          <w:rFonts w:ascii="Times New Roman" w:hAnsi="Times New Roman" w:cs="Times New Roman"/>
          <w:lang w:val="el-GR"/>
        </w:rPr>
        <w:t xml:space="preserve">Γονοτυπική αντοχή στην </w:t>
      </w:r>
      <w:r w:rsidR="00107221" w:rsidRPr="00554364">
        <w:rPr>
          <w:rFonts w:ascii="Times New Roman" w:hAnsi="Times New Roman" w:cs="Times New Roman"/>
        </w:rPr>
        <w:t>efavirenz</w:t>
      </w:r>
      <w:r w:rsidRPr="00554364">
        <w:rPr>
          <w:rFonts w:ascii="Times New Roman" w:hAnsi="Times New Roman" w:cs="Times New Roman"/>
          <w:lang w:val="el-GR"/>
        </w:rPr>
        <w:t>, με κυρίαρχη την Κ103Ν μετάλλαξη, εξελίχθηκε σε ιό</w:t>
      </w:r>
      <w:r w:rsidRPr="00554364">
        <w:rPr>
          <w:rFonts w:ascii="Times New Roman" w:hAnsi="Times New Roman" w:cs="Times New Roman"/>
          <w:spacing w:val="10"/>
          <w:lang w:val="el-GR"/>
        </w:rPr>
        <w:t xml:space="preserve"> </w:t>
      </w:r>
      <w:r w:rsidRPr="00554364">
        <w:rPr>
          <w:rFonts w:ascii="Times New Roman" w:hAnsi="Times New Roman" w:cs="Times New Roman"/>
          <w:lang w:val="el-GR"/>
        </w:rPr>
        <w:t xml:space="preserve">σε 13/19 (68%) ασθενείς στην ομάδα </w:t>
      </w:r>
      <w:r w:rsidR="001D78A1" w:rsidRPr="00554364">
        <w:rPr>
          <w:rFonts w:ascii="Times New Roman" w:hAnsi="Times New Roman" w:cs="Times New Roman"/>
          <w:lang w:val="el-GR"/>
        </w:rPr>
        <w:t>εμτρισιταβίνης/τενοφοβίρης δισοπρόξιλης/</w:t>
      </w:r>
      <w:r w:rsidR="001045D0" w:rsidRPr="00554364">
        <w:rPr>
          <w:rFonts w:ascii="Times New Roman" w:hAnsi="Times New Roman" w:cs="Times New Roman"/>
        </w:rPr>
        <w:t>efavirenz</w:t>
      </w:r>
      <w:r w:rsidR="001045D0" w:rsidRPr="00554364">
        <w:rPr>
          <w:rFonts w:ascii="Times New Roman" w:hAnsi="Times New Roman" w:cs="Times New Roman"/>
          <w:lang w:val="el-GR"/>
        </w:rPr>
        <w:t xml:space="preserve"> </w:t>
      </w:r>
      <w:r w:rsidRPr="00554364">
        <w:rPr>
          <w:rFonts w:ascii="Times New Roman" w:hAnsi="Times New Roman" w:cs="Times New Roman"/>
          <w:lang w:val="el-GR"/>
        </w:rPr>
        <w:t>και σε ιό σε 21/29 (72%) ασθενείς στην ομάδα</w:t>
      </w:r>
      <w:r w:rsidRPr="00554364">
        <w:rPr>
          <w:rFonts w:ascii="Times New Roman" w:hAnsi="Times New Roman" w:cs="Times New Roman"/>
          <w:spacing w:val="2"/>
          <w:lang w:val="el-GR"/>
        </w:rPr>
        <w:t xml:space="preserve"> </w:t>
      </w:r>
      <w:r w:rsidRPr="00554364">
        <w:rPr>
          <w:rFonts w:ascii="Times New Roman" w:hAnsi="Times New Roman" w:cs="Times New Roman"/>
          <w:lang w:val="el-GR"/>
        </w:rPr>
        <w:t>σύγκρισης.</w:t>
      </w:r>
    </w:p>
    <w:p w:rsidR="00645378" w:rsidRPr="00554364" w:rsidRDefault="00645378" w:rsidP="009E32D3">
      <w:pPr>
        <w:tabs>
          <w:tab w:val="left" w:pos="0"/>
        </w:tabs>
        <w:spacing w:before="8"/>
        <w:ind w:right="36"/>
        <w:rPr>
          <w:rFonts w:ascii="Times New Roman" w:eastAsia="Times New Roman" w:hAnsi="Times New Roman" w:cs="Times New Roman"/>
          <w:lang w:val="el-GR"/>
        </w:rPr>
      </w:pPr>
    </w:p>
    <w:p w:rsidR="00645378" w:rsidRPr="009E32D3" w:rsidRDefault="007134E2" w:rsidP="009E32D3">
      <w:pPr>
        <w:pStyle w:val="a3"/>
        <w:tabs>
          <w:tab w:val="left" w:pos="0"/>
        </w:tabs>
        <w:ind w:left="0" w:right="36"/>
        <w:rPr>
          <w:lang w:val="el-GR"/>
        </w:rPr>
      </w:pPr>
      <w:r w:rsidRPr="009E32D3">
        <w:rPr>
          <w:u w:val="single" w:color="000000"/>
          <w:lang w:val="el-GR"/>
        </w:rPr>
        <w:t>Κλινική αποτελεσματικότητα και ασφάλεια</w:t>
      </w:r>
    </w:p>
    <w:p w:rsidR="00645378" w:rsidRPr="009E32D3" w:rsidRDefault="007134E2" w:rsidP="001270AA">
      <w:pPr>
        <w:pStyle w:val="a3"/>
        <w:tabs>
          <w:tab w:val="left" w:pos="0"/>
        </w:tabs>
        <w:spacing w:before="6" w:line="242" w:lineRule="auto"/>
        <w:ind w:left="0" w:right="36"/>
        <w:rPr>
          <w:lang w:val="el-GR"/>
        </w:rPr>
      </w:pPr>
      <w:r w:rsidRPr="009E32D3">
        <w:rPr>
          <w:lang w:val="el-GR"/>
        </w:rPr>
        <w:t>Σε τυχαιοποιημένη κλινική μελέτη ανοιχτής επισήμανσης (</w:t>
      </w:r>
      <w:r>
        <w:t>GS</w:t>
      </w:r>
      <w:r w:rsidRPr="009E32D3">
        <w:rPr>
          <w:lang w:val="el-GR"/>
        </w:rPr>
        <w:t>-01-934), πρωτοθεραπευόμενοι</w:t>
      </w:r>
      <w:r w:rsidRPr="009E32D3">
        <w:rPr>
          <w:spacing w:val="-4"/>
          <w:lang w:val="el-GR"/>
        </w:rPr>
        <w:t xml:space="preserve"> </w:t>
      </w:r>
      <w:r w:rsidRPr="009E32D3">
        <w:rPr>
          <w:lang w:val="el-GR"/>
        </w:rPr>
        <w:t xml:space="preserve">με αντιρετροϊκή αγωγή ασθενείς με </w:t>
      </w:r>
      <w:r>
        <w:t>HIV</w:t>
      </w:r>
      <w:r w:rsidRPr="009E32D3">
        <w:rPr>
          <w:lang w:val="el-GR"/>
        </w:rPr>
        <w:t xml:space="preserve">-1 λοίμωξη έλαβαν είτε σχήμα </w:t>
      </w:r>
      <w:r w:rsidR="001270AA" w:rsidRPr="002D0CF9">
        <w:rPr>
          <w:rFonts w:cs="Times New Roman"/>
          <w:lang w:val="el-GR"/>
        </w:rPr>
        <w:t>εμτρισιταβίνης</w:t>
      </w:r>
      <w:r w:rsidR="001270AA">
        <w:rPr>
          <w:rFonts w:cs="Times New Roman"/>
          <w:lang w:val="el-GR"/>
        </w:rPr>
        <w:t>,</w:t>
      </w:r>
      <w:r w:rsidR="005C1BB7">
        <w:rPr>
          <w:rFonts w:cs="Times New Roman"/>
          <w:lang w:val="el-GR"/>
        </w:rPr>
        <w:t xml:space="preserve"> </w:t>
      </w:r>
      <w:r w:rsidR="001270AA" w:rsidRPr="002D0CF9">
        <w:rPr>
          <w:rFonts w:cs="Times New Roman"/>
          <w:lang w:val="el-GR"/>
        </w:rPr>
        <w:t xml:space="preserve">τενοφοβίρης </w:t>
      </w:r>
      <w:r w:rsidR="00554364" w:rsidRPr="00554364">
        <w:rPr>
          <w:color w:val="000000"/>
          <w:lang w:val="el-GR" w:eastAsia="el-GR"/>
        </w:rPr>
        <w:t xml:space="preserve">δισοπρόξιλης και εφαβιρένζης </w:t>
      </w:r>
      <w:r w:rsidRPr="009E32D3">
        <w:rPr>
          <w:lang w:val="el-GR"/>
        </w:rPr>
        <w:t>(</w:t>
      </w:r>
      <w:r>
        <w:t>n</w:t>
      </w:r>
      <w:r w:rsidRPr="009E32D3">
        <w:rPr>
          <w:lang w:val="el-GR"/>
        </w:rPr>
        <w:t xml:space="preserve">=255) μια φορά </w:t>
      </w:r>
      <w:r w:rsidR="00E646A7">
        <w:rPr>
          <w:lang w:val="el-GR"/>
        </w:rPr>
        <w:t xml:space="preserve">ημερησίως είτε σταθερό συνδυασμό </w:t>
      </w:r>
      <w:r w:rsidR="00554364" w:rsidRPr="00554364">
        <w:rPr>
          <w:color w:val="000000"/>
          <w:lang w:val="el-GR" w:eastAsia="el-GR"/>
        </w:rPr>
        <w:t>λαμιβουδίνης και ζιβουδίνης (</w:t>
      </w:r>
      <w:r w:rsidR="00554364" w:rsidRPr="00F76B79">
        <w:rPr>
          <w:color w:val="000000"/>
          <w:lang w:eastAsia="el-GR"/>
        </w:rPr>
        <w:t>Combivir</w:t>
      </w:r>
      <w:r w:rsidR="00554364" w:rsidRPr="00554364">
        <w:rPr>
          <w:color w:val="000000"/>
          <w:lang w:val="el-GR" w:eastAsia="el-GR"/>
        </w:rPr>
        <w:t xml:space="preserve">) δύο φορές ημερησίως και εφαβιρένζη </w:t>
      </w:r>
      <w:r w:rsidRPr="009E32D3">
        <w:rPr>
          <w:lang w:val="el-GR"/>
        </w:rPr>
        <w:t>μία φορά</w:t>
      </w:r>
      <w:r w:rsidRPr="009E32D3">
        <w:rPr>
          <w:spacing w:val="-2"/>
          <w:lang w:val="el-GR"/>
        </w:rPr>
        <w:t xml:space="preserve"> </w:t>
      </w:r>
      <w:r w:rsidRPr="009E32D3">
        <w:rPr>
          <w:lang w:val="el-GR"/>
        </w:rPr>
        <w:t>ημερησίως (</w:t>
      </w:r>
      <w:r>
        <w:t>n</w:t>
      </w:r>
      <w:r w:rsidRPr="009E32D3">
        <w:rPr>
          <w:lang w:val="el-GR"/>
        </w:rPr>
        <w:t xml:space="preserve">=254). Οι ασθενείς στην ομάδα </w:t>
      </w:r>
      <w:r w:rsidR="00E7040E" w:rsidRPr="009E32D3">
        <w:rPr>
          <w:lang w:val="el-GR"/>
        </w:rPr>
        <w:t>τ</w:t>
      </w:r>
      <w:r w:rsidR="00E7040E">
        <w:rPr>
          <w:lang w:val="el-GR"/>
        </w:rPr>
        <w:t>ης</w:t>
      </w:r>
      <w:r w:rsidR="00E7040E" w:rsidRPr="009E32D3">
        <w:rPr>
          <w:lang w:val="el-GR"/>
        </w:rPr>
        <w:t xml:space="preserve"> </w:t>
      </w:r>
      <w:r w:rsidR="001270AA">
        <w:rPr>
          <w:lang w:val="el-GR"/>
        </w:rPr>
        <w:t xml:space="preserve">εμτρισιταβίνης και τενοφοβίρης δισοπρόξιλης έλαβαν συνδυασμό </w:t>
      </w:r>
      <w:r w:rsidR="001270AA" w:rsidRPr="002D0CF9">
        <w:rPr>
          <w:rFonts w:cs="Times New Roman"/>
          <w:lang w:val="el-GR"/>
        </w:rPr>
        <w:t>εμτρισιταβίνης/τενοφοβίρης δισοπρόξιλης</w:t>
      </w:r>
      <w:r w:rsidR="001270AA" w:rsidRPr="001270AA">
        <w:rPr>
          <w:lang w:val="el-GR"/>
        </w:rPr>
        <w:t xml:space="preserve"> </w:t>
      </w:r>
      <w:r w:rsidR="001270AA">
        <w:rPr>
          <w:lang w:val="el-GR"/>
        </w:rPr>
        <w:t xml:space="preserve">και </w:t>
      </w:r>
      <w:r w:rsidR="00554364" w:rsidRPr="00554364">
        <w:rPr>
          <w:color w:val="000000"/>
          <w:lang w:val="el-GR" w:eastAsia="el-GR"/>
        </w:rPr>
        <w:t>εφαβιρένζη</w:t>
      </w:r>
      <w:r w:rsidR="00554364">
        <w:rPr>
          <w:lang w:val="el-GR"/>
        </w:rPr>
        <w:t xml:space="preserve"> </w:t>
      </w:r>
      <w:r w:rsidR="001270AA">
        <w:rPr>
          <w:lang w:val="el-GR"/>
        </w:rPr>
        <w:t>από την 96</w:t>
      </w:r>
      <w:r w:rsidR="001270AA" w:rsidRPr="001270AA">
        <w:rPr>
          <w:vertAlign w:val="superscript"/>
          <w:lang w:val="el-GR"/>
        </w:rPr>
        <w:t>η</w:t>
      </w:r>
      <w:r w:rsidRPr="001270AA">
        <w:rPr>
          <w:position w:val="10"/>
          <w:sz w:val="14"/>
          <w:vertAlign w:val="superscript"/>
          <w:lang w:val="el-GR"/>
        </w:rPr>
        <w:t xml:space="preserve"> </w:t>
      </w:r>
      <w:r w:rsidR="001270AA">
        <w:rPr>
          <w:lang w:val="el-GR"/>
        </w:rPr>
        <w:t>εβδομάδα έως την 144</w:t>
      </w:r>
      <w:r w:rsidR="001270AA" w:rsidRPr="001270AA">
        <w:rPr>
          <w:vertAlign w:val="superscript"/>
          <w:lang w:val="el-GR"/>
        </w:rPr>
        <w:t>η</w:t>
      </w:r>
      <w:r w:rsidR="001270AA">
        <w:rPr>
          <w:lang w:val="el-GR"/>
        </w:rPr>
        <w:t xml:space="preserve"> </w:t>
      </w:r>
      <w:r w:rsidRPr="009E32D3">
        <w:rPr>
          <w:lang w:val="el-GR"/>
        </w:rPr>
        <w:t>εβδομάδα. Κατά την έναρξη</w:t>
      </w:r>
      <w:r w:rsidRPr="009E32D3">
        <w:rPr>
          <w:spacing w:val="-33"/>
          <w:lang w:val="el-GR"/>
        </w:rPr>
        <w:t xml:space="preserve"> </w:t>
      </w:r>
      <w:r w:rsidRPr="009E32D3">
        <w:rPr>
          <w:lang w:val="el-GR"/>
        </w:rPr>
        <w:t xml:space="preserve">της θεραπείας, στις τυχαιοποιημένες ομάδες τα επίπεδα </w:t>
      </w:r>
      <w:r>
        <w:t>HIV</w:t>
      </w:r>
      <w:r w:rsidRPr="009E32D3">
        <w:rPr>
          <w:lang w:val="el-GR"/>
        </w:rPr>
        <w:t xml:space="preserve">-1 </w:t>
      </w:r>
      <w:r>
        <w:t>RNA</w:t>
      </w:r>
      <w:r w:rsidRPr="009E32D3">
        <w:rPr>
          <w:lang w:val="el-GR"/>
        </w:rPr>
        <w:t xml:space="preserve"> πλάσματος (5,02</w:t>
      </w:r>
      <w:r w:rsidRPr="009E32D3">
        <w:rPr>
          <w:spacing w:val="-20"/>
          <w:lang w:val="el-GR"/>
        </w:rPr>
        <w:t xml:space="preserve"> </w:t>
      </w:r>
      <w:r w:rsidRPr="009E32D3">
        <w:rPr>
          <w:lang w:val="el-GR"/>
        </w:rPr>
        <w:t>και</w:t>
      </w:r>
      <w:r w:rsidR="001270AA">
        <w:rPr>
          <w:lang w:val="el-GR"/>
        </w:rPr>
        <w:t xml:space="preserve"> </w:t>
      </w:r>
      <w:r w:rsidRPr="009E32D3">
        <w:rPr>
          <w:lang w:val="el-GR"/>
        </w:rPr>
        <w:t xml:space="preserve">5,00 </w:t>
      </w:r>
      <w:r w:rsidR="001270AA">
        <w:t>log</w:t>
      </w:r>
      <w:r w:rsidR="001270AA" w:rsidRPr="001270AA">
        <w:rPr>
          <w:vertAlign w:val="subscript"/>
          <w:lang w:val="el-GR"/>
        </w:rPr>
        <w:t>10</w:t>
      </w:r>
      <w:r w:rsidRPr="009E32D3">
        <w:rPr>
          <w:position w:val="-2"/>
          <w:sz w:val="14"/>
          <w:lang w:val="el-GR"/>
        </w:rPr>
        <w:t xml:space="preserve"> </w:t>
      </w:r>
      <w:r w:rsidRPr="009E32D3">
        <w:rPr>
          <w:lang w:val="el-GR"/>
        </w:rPr>
        <w:t>αντίγραφα/</w:t>
      </w:r>
      <w:r>
        <w:t>ml</w:t>
      </w:r>
      <w:r w:rsidRPr="009E32D3">
        <w:rPr>
          <w:lang w:val="el-GR"/>
        </w:rPr>
        <w:t xml:space="preserve">) και ο αριθμός κυττάρων </w:t>
      </w:r>
      <w:r>
        <w:t>CD</w:t>
      </w:r>
      <w:r w:rsidRPr="009E32D3">
        <w:rPr>
          <w:lang w:val="el-GR"/>
        </w:rPr>
        <w:t>4 (233 και 241 κύτταρα/</w:t>
      </w:r>
      <w:r w:rsidR="001270AA">
        <w:t>mm</w:t>
      </w:r>
      <w:r w:rsidR="001270AA" w:rsidRPr="001270AA">
        <w:rPr>
          <w:vertAlign w:val="superscript"/>
          <w:lang w:val="el-GR"/>
        </w:rPr>
        <w:t>3</w:t>
      </w:r>
      <w:r w:rsidRPr="009E32D3">
        <w:rPr>
          <w:lang w:val="el-GR"/>
        </w:rPr>
        <w:t>) ήταν</w:t>
      </w:r>
      <w:r w:rsidRPr="009E32D3">
        <w:rPr>
          <w:spacing w:val="-18"/>
          <w:lang w:val="el-GR"/>
        </w:rPr>
        <w:t xml:space="preserve"> </w:t>
      </w:r>
      <w:r w:rsidRPr="009E32D3">
        <w:rPr>
          <w:lang w:val="el-GR"/>
        </w:rPr>
        <w:t>παρόμοια. Το πρωτογενές καταληκτικό σημείο αποτελεσματικότητας για αυτή τη μελέτη ήταν η επίτευξη και</w:t>
      </w:r>
      <w:r w:rsidRPr="009E32D3">
        <w:rPr>
          <w:spacing w:val="1"/>
          <w:lang w:val="el-GR"/>
        </w:rPr>
        <w:t xml:space="preserve"> </w:t>
      </w:r>
      <w:r w:rsidRPr="009E32D3">
        <w:rPr>
          <w:lang w:val="el-GR"/>
        </w:rPr>
        <w:t xml:space="preserve">η διατήρηση επιβεβαιωμένων συγκεντρώσεων </w:t>
      </w:r>
      <w:r>
        <w:t>HIV</w:t>
      </w:r>
      <w:r w:rsidRPr="009E32D3">
        <w:rPr>
          <w:lang w:val="el-GR"/>
        </w:rPr>
        <w:t xml:space="preserve">-1 </w:t>
      </w:r>
      <w:r>
        <w:t>RNA</w:t>
      </w:r>
      <w:r w:rsidRPr="009E32D3">
        <w:rPr>
          <w:lang w:val="el-GR"/>
        </w:rPr>
        <w:t xml:space="preserve"> &lt; 400 αντίγραφα/</w:t>
      </w:r>
      <w:r>
        <w:t>ml</w:t>
      </w:r>
      <w:r w:rsidRPr="009E32D3">
        <w:rPr>
          <w:lang w:val="el-GR"/>
        </w:rPr>
        <w:t xml:space="preserve"> στις 48</w:t>
      </w:r>
      <w:r w:rsidRPr="009E32D3">
        <w:rPr>
          <w:spacing w:val="1"/>
          <w:lang w:val="el-GR"/>
        </w:rPr>
        <w:t xml:space="preserve"> </w:t>
      </w:r>
      <w:r w:rsidRPr="009E32D3">
        <w:rPr>
          <w:lang w:val="el-GR"/>
        </w:rPr>
        <w:t>εβδομάδες.</w:t>
      </w:r>
      <w:r w:rsidR="001270AA" w:rsidRPr="001270AA">
        <w:rPr>
          <w:lang w:val="el-GR"/>
        </w:rPr>
        <w:t xml:space="preserve"> </w:t>
      </w:r>
      <w:r w:rsidRPr="009E32D3">
        <w:rPr>
          <w:lang w:val="el-GR"/>
        </w:rPr>
        <w:t>Δευτερογενείς αναλύσεις αποτελεσματικότητας στις 144 εβδομάδες συμπεριέλαβαν το ποσοστό</w:t>
      </w:r>
      <w:r w:rsidRPr="009E32D3">
        <w:rPr>
          <w:spacing w:val="7"/>
          <w:lang w:val="el-GR"/>
        </w:rPr>
        <w:t xml:space="preserve"> </w:t>
      </w:r>
      <w:r w:rsidRPr="009E32D3">
        <w:rPr>
          <w:lang w:val="el-GR"/>
        </w:rPr>
        <w:t xml:space="preserve">των ασθενών με συγκεντρώσεις </w:t>
      </w:r>
      <w:r>
        <w:t>HIV</w:t>
      </w:r>
      <w:r w:rsidRPr="009E32D3">
        <w:rPr>
          <w:lang w:val="el-GR"/>
        </w:rPr>
        <w:t xml:space="preserve">-1 </w:t>
      </w:r>
      <w:r>
        <w:t>RNA</w:t>
      </w:r>
      <w:r w:rsidRPr="009E32D3">
        <w:rPr>
          <w:lang w:val="el-GR"/>
        </w:rPr>
        <w:t xml:space="preserve"> &lt; 400 ή &lt; 50 αντίγραφα/</w:t>
      </w:r>
      <w:r>
        <w:t>ml</w:t>
      </w:r>
      <w:r w:rsidRPr="009E32D3">
        <w:rPr>
          <w:lang w:val="el-GR"/>
        </w:rPr>
        <w:t xml:space="preserve"> και τη μεταβολή του</w:t>
      </w:r>
      <w:r w:rsidRPr="009E32D3">
        <w:rPr>
          <w:spacing w:val="1"/>
          <w:lang w:val="el-GR"/>
        </w:rPr>
        <w:t xml:space="preserve"> </w:t>
      </w:r>
      <w:r w:rsidRPr="009E32D3">
        <w:rPr>
          <w:lang w:val="el-GR"/>
        </w:rPr>
        <w:t xml:space="preserve">αριθμού κυττάρων </w:t>
      </w:r>
      <w:r>
        <w:t>CD</w:t>
      </w:r>
      <w:r w:rsidRPr="009E32D3">
        <w:rPr>
          <w:lang w:val="el-GR"/>
        </w:rPr>
        <w:t>4 από την έναρξη της</w:t>
      </w:r>
      <w:r w:rsidRPr="009E32D3">
        <w:rPr>
          <w:spacing w:val="-3"/>
          <w:lang w:val="el-GR"/>
        </w:rPr>
        <w:t xml:space="preserve"> </w:t>
      </w:r>
      <w:r w:rsidRPr="009E32D3">
        <w:rPr>
          <w:lang w:val="el-GR"/>
        </w:rPr>
        <w:t>θεραπείας.</w:t>
      </w:r>
    </w:p>
    <w:p w:rsidR="00E7040E" w:rsidRDefault="00E7040E" w:rsidP="009E32D3">
      <w:pPr>
        <w:pStyle w:val="a3"/>
        <w:tabs>
          <w:tab w:val="left" w:pos="0"/>
        </w:tabs>
        <w:spacing w:line="244" w:lineRule="auto"/>
        <w:ind w:left="0" w:right="36"/>
        <w:rPr>
          <w:lang w:val="el-GR"/>
        </w:rPr>
      </w:pPr>
    </w:p>
    <w:p w:rsidR="00645378" w:rsidRDefault="007134E2" w:rsidP="009E32D3">
      <w:pPr>
        <w:pStyle w:val="a3"/>
        <w:tabs>
          <w:tab w:val="left" w:pos="0"/>
        </w:tabs>
        <w:spacing w:line="244" w:lineRule="auto"/>
        <w:ind w:left="0" w:right="36"/>
        <w:rPr>
          <w:lang w:val="el-GR"/>
        </w:rPr>
      </w:pPr>
      <w:r w:rsidRPr="00AA2F31">
        <w:rPr>
          <w:lang w:val="el-GR"/>
        </w:rPr>
        <w:t>Τα δεδομένα 48 εβδομάδων για το πρωτογενές καταληκτικό σημείο έδειξαν, ότι ο συνδυασμός</w:t>
      </w:r>
      <w:r w:rsidRPr="00AA2F31">
        <w:rPr>
          <w:spacing w:val="-44"/>
          <w:lang w:val="el-GR"/>
        </w:rPr>
        <w:t xml:space="preserve"> </w:t>
      </w:r>
      <w:r w:rsidR="00020417" w:rsidRPr="002D0CF9">
        <w:rPr>
          <w:rFonts w:cs="Times New Roman"/>
          <w:lang w:val="el-GR"/>
        </w:rPr>
        <w:t>εμτρισιταβίνης</w:t>
      </w:r>
      <w:r w:rsidR="00020417">
        <w:rPr>
          <w:rFonts w:cs="Times New Roman"/>
          <w:lang w:val="el-GR"/>
        </w:rPr>
        <w:t>,</w:t>
      </w:r>
      <w:r w:rsidR="00020417" w:rsidRPr="002D0CF9">
        <w:rPr>
          <w:rFonts w:cs="Times New Roman"/>
          <w:lang w:val="el-GR"/>
        </w:rPr>
        <w:t>τενοφοβίρης δισοπρόξιλης</w:t>
      </w:r>
      <w:r w:rsidR="00020417">
        <w:rPr>
          <w:lang w:val="el-GR"/>
        </w:rPr>
        <w:t xml:space="preserve"> </w:t>
      </w:r>
      <w:r w:rsidR="00020417" w:rsidRPr="009E32D3">
        <w:rPr>
          <w:lang w:val="el-GR"/>
        </w:rPr>
        <w:t xml:space="preserve">και </w:t>
      </w:r>
      <w:r w:rsidR="00554364" w:rsidRPr="00554364">
        <w:rPr>
          <w:color w:val="000000"/>
          <w:lang w:val="el-GR" w:eastAsia="el-GR"/>
        </w:rPr>
        <w:t>εφαβιρένζη</w:t>
      </w:r>
      <w:r w:rsidR="00554364">
        <w:rPr>
          <w:color w:val="000000"/>
          <w:lang w:val="el-GR" w:eastAsia="el-GR"/>
        </w:rPr>
        <w:t>ς</w:t>
      </w:r>
      <w:r w:rsidR="001045D0" w:rsidRPr="00020417">
        <w:rPr>
          <w:lang w:val="el-GR"/>
        </w:rPr>
        <w:t xml:space="preserve"> </w:t>
      </w:r>
      <w:r w:rsidRPr="00AA2F31">
        <w:rPr>
          <w:lang w:val="el-GR"/>
        </w:rPr>
        <w:t>παρείχε αντιιϊκή</w:t>
      </w:r>
      <w:r w:rsidRPr="00AA2F31">
        <w:rPr>
          <w:spacing w:val="11"/>
          <w:lang w:val="el-GR"/>
        </w:rPr>
        <w:t xml:space="preserve"> </w:t>
      </w:r>
      <w:r w:rsidRPr="00AA2F31">
        <w:rPr>
          <w:lang w:val="el-GR"/>
        </w:rPr>
        <w:t>αποτελεσματικότητα που</w:t>
      </w:r>
      <w:r w:rsidRPr="00AA2F31">
        <w:rPr>
          <w:spacing w:val="1"/>
          <w:lang w:val="el-GR"/>
        </w:rPr>
        <w:t xml:space="preserve"> </w:t>
      </w:r>
      <w:r w:rsidRPr="00AA2F31">
        <w:rPr>
          <w:lang w:val="el-GR"/>
        </w:rPr>
        <w:t>υπερτερούσε</w:t>
      </w:r>
      <w:r w:rsidRPr="00AA2F31">
        <w:rPr>
          <w:spacing w:val="1"/>
          <w:lang w:val="el-GR"/>
        </w:rPr>
        <w:t xml:space="preserve"> </w:t>
      </w:r>
      <w:r w:rsidRPr="00AA2F31">
        <w:rPr>
          <w:lang w:val="el-GR"/>
        </w:rPr>
        <w:t>σε</w:t>
      </w:r>
      <w:r w:rsidRPr="00AA2F31">
        <w:rPr>
          <w:spacing w:val="1"/>
          <w:lang w:val="el-GR"/>
        </w:rPr>
        <w:t xml:space="preserve"> </w:t>
      </w:r>
      <w:r w:rsidRPr="00AA2F31">
        <w:rPr>
          <w:lang w:val="el-GR"/>
        </w:rPr>
        <w:t>σύγκριση</w:t>
      </w:r>
      <w:r w:rsidRPr="00AA2F31">
        <w:rPr>
          <w:spacing w:val="-1"/>
          <w:lang w:val="el-GR"/>
        </w:rPr>
        <w:t xml:space="preserve"> </w:t>
      </w:r>
      <w:r w:rsidRPr="00AA2F31">
        <w:rPr>
          <w:lang w:val="el-GR"/>
        </w:rPr>
        <w:t>με</w:t>
      </w:r>
      <w:r w:rsidRPr="00AA2F31">
        <w:rPr>
          <w:spacing w:val="1"/>
          <w:lang w:val="el-GR"/>
        </w:rPr>
        <w:t xml:space="preserve"> </w:t>
      </w:r>
      <w:r w:rsidRPr="00AA2F31">
        <w:rPr>
          <w:lang w:val="el-GR"/>
        </w:rPr>
        <w:t>αυτή</w:t>
      </w:r>
      <w:r w:rsidRPr="00AA2F31">
        <w:rPr>
          <w:spacing w:val="-1"/>
          <w:lang w:val="el-GR"/>
        </w:rPr>
        <w:t xml:space="preserve"> </w:t>
      </w:r>
      <w:r w:rsidRPr="00AA2F31">
        <w:rPr>
          <w:lang w:val="el-GR"/>
        </w:rPr>
        <w:t xml:space="preserve">από το σταθερό συνδυασμό </w:t>
      </w:r>
      <w:r w:rsidR="00554364" w:rsidRPr="00554364">
        <w:rPr>
          <w:lang w:val="el-GR"/>
        </w:rPr>
        <w:t>λαμιβουδίνης και ζιβουδίνης (</w:t>
      </w:r>
      <w:r w:rsidR="00554364" w:rsidRPr="00F76B79">
        <w:t>Combivir</w:t>
      </w:r>
      <w:r w:rsidR="00554364" w:rsidRPr="00554364">
        <w:rPr>
          <w:lang w:val="el-GR"/>
        </w:rPr>
        <w:t xml:space="preserve">) με εφαβιρένζη </w:t>
      </w:r>
      <w:r w:rsidRPr="00AA2F31">
        <w:rPr>
          <w:lang w:val="el-GR"/>
        </w:rPr>
        <w:t>όπως φαίνεται στον Πίνακα 3. Τα δεδομένα των 144 εβδομάδων για</w:t>
      </w:r>
      <w:r w:rsidRPr="00AA2F31">
        <w:rPr>
          <w:spacing w:val="6"/>
          <w:lang w:val="el-GR"/>
        </w:rPr>
        <w:t xml:space="preserve"> </w:t>
      </w:r>
      <w:r w:rsidRPr="00AA2F31">
        <w:rPr>
          <w:lang w:val="el-GR"/>
        </w:rPr>
        <w:t>το δευτερογενές καταληκτικό σημείο παρουσιάζονται επίσης στον Πίνακα 3.</w:t>
      </w:r>
    </w:p>
    <w:p w:rsidR="00020417" w:rsidRPr="00AA2F31" w:rsidRDefault="00020417" w:rsidP="009E32D3">
      <w:pPr>
        <w:pStyle w:val="a3"/>
        <w:tabs>
          <w:tab w:val="left" w:pos="0"/>
        </w:tabs>
        <w:spacing w:line="244" w:lineRule="auto"/>
        <w:ind w:left="0" w:right="36"/>
        <w:rPr>
          <w:lang w:val="el-GR"/>
        </w:rPr>
      </w:pPr>
    </w:p>
    <w:p w:rsidR="00645378" w:rsidRPr="00AA2F31" w:rsidRDefault="007134E2" w:rsidP="004C13AD">
      <w:pPr>
        <w:pStyle w:val="1"/>
        <w:tabs>
          <w:tab w:val="left" w:pos="8789"/>
          <w:tab w:val="left" w:pos="8931"/>
        </w:tabs>
        <w:spacing w:before="60" w:line="244" w:lineRule="auto"/>
        <w:ind w:left="0"/>
        <w:rPr>
          <w:b w:val="0"/>
          <w:bCs w:val="0"/>
          <w:lang w:val="el-GR"/>
        </w:rPr>
      </w:pPr>
      <w:r w:rsidRPr="00AA2F31">
        <w:rPr>
          <w:lang w:val="el-GR"/>
        </w:rPr>
        <w:t>Πίνακας 3: Δεδομένα αποτελεσματικότητας 48 και 144 εβδομάδων από τη μελέτη</w:t>
      </w:r>
      <w:r w:rsidRPr="00AA2F31">
        <w:rPr>
          <w:spacing w:val="-15"/>
          <w:lang w:val="el-GR"/>
        </w:rPr>
        <w:t xml:space="preserve"> </w:t>
      </w:r>
      <w:r>
        <w:t>GS</w:t>
      </w:r>
      <w:r w:rsidRPr="00AA2F31">
        <w:rPr>
          <w:lang w:val="el-GR"/>
        </w:rPr>
        <w:t xml:space="preserve">-01-934 στην οποία η </w:t>
      </w:r>
      <w:r w:rsidR="00A85422">
        <w:rPr>
          <w:lang w:val="el-GR"/>
        </w:rPr>
        <w:t>εμτρισιταβίνη</w:t>
      </w:r>
      <w:r w:rsidRPr="00AA2F31">
        <w:rPr>
          <w:lang w:val="el-GR"/>
        </w:rPr>
        <w:t xml:space="preserve">, </w:t>
      </w:r>
      <w:r w:rsidR="00A85422">
        <w:rPr>
          <w:lang w:val="el-GR"/>
        </w:rPr>
        <w:t>η τενοφοβίρη δισοπρόξιλη</w:t>
      </w:r>
      <w:r w:rsidRPr="00AA2F31">
        <w:rPr>
          <w:lang w:val="el-GR"/>
        </w:rPr>
        <w:t xml:space="preserve"> και </w:t>
      </w:r>
      <w:r w:rsidR="00107221">
        <w:rPr>
          <w:lang w:val="el-GR"/>
        </w:rPr>
        <w:t>το</w:t>
      </w:r>
      <w:r w:rsidRPr="00AA2F31">
        <w:rPr>
          <w:lang w:val="el-GR"/>
        </w:rPr>
        <w:t xml:space="preserve"> </w:t>
      </w:r>
      <w:r w:rsidR="00107221">
        <w:t>efavirenz</w:t>
      </w:r>
      <w:r w:rsidRPr="00AA2F31">
        <w:rPr>
          <w:lang w:val="el-GR"/>
        </w:rPr>
        <w:t xml:space="preserve"> χορηγήθηκαν</w:t>
      </w:r>
      <w:r w:rsidRPr="00AA2F31">
        <w:rPr>
          <w:spacing w:val="5"/>
          <w:lang w:val="el-GR"/>
        </w:rPr>
        <w:t xml:space="preserve"> </w:t>
      </w:r>
      <w:r w:rsidRPr="00AA2F31">
        <w:rPr>
          <w:lang w:val="el-GR"/>
        </w:rPr>
        <w:t xml:space="preserve">σε πρωτοθεραπευόμενους με αντιρετροϊκή αγωγή ασθενείς με </w:t>
      </w:r>
      <w:r>
        <w:t>HIV</w:t>
      </w:r>
      <w:r w:rsidRPr="00AA2F31">
        <w:rPr>
          <w:lang w:val="el-GR"/>
        </w:rPr>
        <w:t>-1</w:t>
      </w:r>
      <w:r w:rsidRPr="00AA2F31">
        <w:rPr>
          <w:spacing w:val="-29"/>
          <w:lang w:val="el-GR"/>
        </w:rPr>
        <w:t xml:space="preserve"> </w:t>
      </w:r>
      <w:r w:rsidRPr="00AA2F31">
        <w:rPr>
          <w:lang w:val="el-GR"/>
        </w:rPr>
        <w:t>λοίμωξη</w:t>
      </w:r>
    </w:p>
    <w:p w:rsidR="00645378" w:rsidRPr="00AA2F31" w:rsidRDefault="00645378">
      <w:pPr>
        <w:spacing w:before="2"/>
        <w:rPr>
          <w:rFonts w:ascii="Times New Roman" w:eastAsia="Times New Roman" w:hAnsi="Times New Roman" w:cs="Times New Roman"/>
          <w:b/>
          <w:bCs/>
          <w:lang w:val="el-GR"/>
        </w:rPr>
      </w:pPr>
    </w:p>
    <w:tbl>
      <w:tblPr>
        <w:tblW w:w="9802" w:type="dxa"/>
        <w:tblInd w:w="105" w:type="dxa"/>
        <w:tblLayout w:type="fixed"/>
        <w:tblCellMar>
          <w:left w:w="0" w:type="dxa"/>
          <w:right w:w="0" w:type="dxa"/>
        </w:tblCellMar>
        <w:tblLook w:val="01E0" w:firstRow="1" w:lastRow="1" w:firstColumn="1" w:lastColumn="1" w:noHBand="0" w:noVBand="0"/>
      </w:tblPr>
      <w:tblGrid>
        <w:gridCol w:w="2729"/>
        <w:gridCol w:w="1707"/>
        <w:gridCol w:w="112"/>
        <w:gridCol w:w="1455"/>
        <w:gridCol w:w="1836"/>
        <w:gridCol w:w="1963"/>
      </w:tblGrid>
      <w:tr w:rsidR="00645378" w:rsidTr="00554364">
        <w:trPr>
          <w:trHeight w:hRule="exact" w:val="475"/>
        </w:trPr>
        <w:tc>
          <w:tcPr>
            <w:tcW w:w="2729" w:type="dxa"/>
            <w:tcBorders>
              <w:top w:val="single" w:sz="4" w:space="0" w:color="000000"/>
              <w:left w:val="single" w:sz="4" w:space="0" w:color="000000"/>
              <w:bottom w:val="single" w:sz="4" w:space="0" w:color="000000"/>
              <w:right w:val="single" w:sz="4" w:space="0" w:color="000000"/>
            </w:tcBorders>
          </w:tcPr>
          <w:p w:rsidR="00645378" w:rsidRPr="00AA2F31" w:rsidRDefault="00645378">
            <w:pPr>
              <w:rPr>
                <w:lang w:val="el-GR"/>
              </w:rPr>
            </w:pPr>
          </w:p>
        </w:tc>
        <w:tc>
          <w:tcPr>
            <w:tcW w:w="3274" w:type="dxa"/>
            <w:gridSpan w:val="3"/>
            <w:tcBorders>
              <w:top w:val="single" w:sz="4" w:space="0" w:color="000000"/>
              <w:left w:val="single" w:sz="4" w:space="0" w:color="000000"/>
              <w:bottom w:val="single" w:sz="4" w:space="0" w:color="000000"/>
              <w:right w:val="single" w:sz="4" w:space="0" w:color="000000"/>
            </w:tcBorders>
          </w:tcPr>
          <w:p w:rsidR="00645378" w:rsidRDefault="007134E2">
            <w:pPr>
              <w:pStyle w:val="TableParagraph"/>
              <w:spacing w:before="3"/>
              <w:jc w:val="center"/>
              <w:rPr>
                <w:rFonts w:ascii="Times New Roman" w:eastAsia="Times New Roman" w:hAnsi="Times New Roman" w:cs="Times New Roman"/>
                <w:sz w:val="20"/>
                <w:szCs w:val="20"/>
              </w:rPr>
            </w:pPr>
            <w:r>
              <w:rPr>
                <w:rFonts w:ascii="Times New Roman"/>
                <w:b/>
                <w:sz w:val="20"/>
              </w:rPr>
              <w:t>GS-01-934</w:t>
            </w:r>
          </w:p>
          <w:p w:rsidR="00645378" w:rsidRDefault="007134E2">
            <w:pPr>
              <w:pStyle w:val="TableParagraph"/>
              <w:spacing w:before="3"/>
              <w:jc w:val="center"/>
              <w:rPr>
                <w:rFonts w:ascii="Times New Roman" w:eastAsia="Times New Roman" w:hAnsi="Times New Roman" w:cs="Times New Roman"/>
                <w:sz w:val="20"/>
                <w:szCs w:val="20"/>
              </w:rPr>
            </w:pPr>
            <w:r>
              <w:rPr>
                <w:rFonts w:ascii="Times New Roman" w:hAnsi="Times New Roman"/>
                <w:b/>
                <w:sz w:val="20"/>
              </w:rPr>
              <w:t>Θεραπεία για 48</w:t>
            </w:r>
            <w:r>
              <w:rPr>
                <w:rFonts w:ascii="Times New Roman" w:hAnsi="Times New Roman"/>
                <w:b/>
                <w:spacing w:val="-19"/>
                <w:sz w:val="20"/>
              </w:rPr>
              <w:t xml:space="preserve"> </w:t>
            </w:r>
            <w:r>
              <w:rPr>
                <w:rFonts w:ascii="Times New Roman" w:hAnsi="Times New Roman"/>
                <w:b/>
                <w:sz w:val="20"/>
              </w:rPr>
              <w:t>εβδομάδες</w:t>
            </w:r>
          </w:p>
        </w:tc>
        <w:tc>
          <w:tcPr>
            <w:tcW w:w="3799" w:type="dxa"/>
            <w:gridSpan w:val="2"/>
            <w:tcBorders>
              <w:top w:val="single" w:sz="4" w:space="0" w:color="000000"/>
              <w:left w:val="single" w:sz="4" w:space="0" w:color="000000"/>
              <w:bottom w:val="single" w:sz="4" w:space="0" w:color="000000"/>
              <w:right w:val="single" w:sz="4" w:space="0" w:color="000000"/>
            </w:tcBorders>
          </w:tcPr>
          <w:p w:rsidR="00645378" w:rsidRDefault="007134E2">
            <w:pPr>
              <w:pStyle w:val="TableParagraph"/>
              <w:spacing w:before="3"/>
              <w:jc w:val="center"/>
              <w:rPr>
                <w:rFonts w:ascii="Times New Roman" w:eastAsia="Times New Roman" w:hAnsi="Times New Roman" w:cs="Times New Roman"/>
                <w:sz w:val="20"/>
                <w:szCs w:val="20"/>
              </w:rPr>
            </w:pPr>
            <w:r>
              <w:rPr>
                <w:rFonts w:ascii="Times New Roman"/>
                <w:b/>
                <w:sz w:val="20"/>
              </w:rPr>
              <w:t>GS-01-934</w:t>
            </w:r>
          </w:p>
          <w:p w:rsidR="00645378" w:rsidRDefault="007134E2">
            <w:pPr>
              <w:pStyle w:val="TableParagraph"/>
              <w:spacing w:before="3"/>
              <w:jc w:val="center"/>
              <w:rPr>
                <w:rFonts w:ascii="Times New Roman" w:eastAsia="Times New Roman" w:hAnsi="Times New Roman" w:cs="Times New Roman"/>
                <w:sz w:val="20"/>
                <w:szCs w:val="20"/>
              </w:rPr>
            </w:pPr>
            <w:r>
              <w:rPr>
                <w:rFonts w:ascii="Times New Roman" w:hAnsi="Times New Roman"/>
                <w:b/>
                <w:sz w:val="20"/>
              </w:rPr>
              <w:t>Θεραπεία για 144</w:t>
            </w:r>
            <w:r>
              <w:rPr>
                <w:rFonts w:ascii="Times New Roman" w:hAnsi="Times New Roman"/>
                <w:b/>
                <w:spacing w:val="-19"/>
                <w:sz w:val="20"/>
              </w:rPr>
              <w:t xml:space="preserve"> </w:t>
            </w:r>
            <w:r>
              <w:rPr>
                <w:rFonts w:ascii="Times New Roman" w:hAnsi="Times New Roman"/>
                <w:b/>
                <w:sz w:val="20"/>
              </w:rPr>
              <w:t>εβδομάδες</w:t>
            </w:r>
          </w:p>
        </w:tc>
      </w:tr>
      <w:tr w:rsidR="00645378" w:rsidRPr="00554364" w:rsidTr="00554364">
        <w:trPr>
          <w:trHeight w:hRule="exact" w:val="950"/>
        </w:trPr>
        <w:tc>
          <w:tcPr>
            <w:tcW w:w="2729" w:type="dxa"/>
            <w:tcBorders>
              <w:top w:val="single" w:sz="4" w:space="0" w:color="000000"/>
              <w:left w:val="single" w:sz="4" w:space="0" w:color="000000"/>
              <w:bottom w:val="single" w:sz="4" w:space="0" w:color="000000"/>
              <w:right w:val="single" w:sz="4" w:space="0" w:color="000000"/>
            </w:tcBorders>
          </w:tcPr>
          <w:p w:rsidR="00645378" w:rsidRDefault="00645378"/>
        </w:tc>
        <w:tc>
          <w:tcPr>
            <w:tcW w:w="1707" w:type="dxa"/>
            <w:tcBorders>
              <w:top w:val="single" w:sz="4" w:space="0" w:color="000000"/>
              <w:left w:val="single" w:sz="4" w:space="0" w:color="000000"/>
              <w:bottom w:val="single" w:sz="4" w:space="0" w:color="000000"/>
              <w:right w:val="single" w:sz="4" w:space="0" w:color="000000"/>
            </w:tcBorders>
          </w:tcPr>
          <w:p w:rsidR="00E646A7" w:rsidRDefault="00A85422" w:rsidP="00554364">
            <w:pPr>
              <w:pStyle w:val="TableParagraph"/>
              <w:spacing w:line="244" w:lineRule="auto"/>
              <w:ind w:left="107" w:right="108" w:firstLine="1"/>
              <w:jc w:val="center"/>
              <w:rPr>
                <w:rFonts w:ascii="Times New Roman" w:hAnsi="Times New Roman"/>
                <w:sz w:val="20"/>
                <w:lang w:val="el-GR"/>
              </w:rPr>
            </w:pPr>
            <w:r>
              <w:rPr>
                <w:rFonts w:ascii="Times New Roman" w:hAnsi="Times New Roman"/>
                <w:sz w:val="20"/>
                <w:lang w:val="el-GR"/>
              </w:rPr>
              <w:t>Εμτρισιταβίνη</w:t>
            </w:r>
            <w:r w:rsidR="00554364">
              <w:rPr>
                <w:rFonts w:ascii="Times New Roman" w:hAnsi="Times New Roman"/>
                <w:sz w:val="20"/>
                <w:lang w:val="el-GR"/>
              </w:rPr>
              <w:t xml:space="preserve"> </w:t>
            </w:r>
            <w:r w:rsidRPr="00A85422">
              <w:rPr>
                <w:rFonts w:ascii="Times New Roman" w:hAnsi="Times New Roman"/>
                <w:sz w:val="20"/>
              </w:rPr>
              <w:t>+</w:t>
            </w:r>
          </w:p>
          <w:p w:rsidR="00645378" w:rsidRDefault="00A85422" w:rsidP="00554364">
            <w:pPr>
              <w:pStyle w:val="TableParagraph"/>
              <w:spacing w:line="244" w:lineRule="auto"/>
              <w:ind w:left="107" w:right="108" w:firstLine="1"/>
              <w:jc w:val="center"/>
              <w:rPr>
                <w:rFonts w:ascii="Times New Roman" w:eastAsia="Times New Roman" w:hAnsi="Times New Roman" w:cs="Times New Roman"/>
                <w:sz w:val="20"/>
                <w:szCs w:val="20"/>
              </w:rPr>
            </w:pPr>
            <w:r>
              <w:rPr>
                <w:rFonts w:ascii="Times New Roman" w:hAnsi="Times New Roman"/>
                <w:sz w:val="20"/>
                <w:lang w:val="el-GR"/>
              </w:rPr>
              <w:t>τενοφοβίρη</w:t>
            </w:r>
            <w:r w:rsidRPr="00A85422">
              <w:rPr>
                <w:rFonts w:ascii="Times New Roman" w:hAnsi="Times New Roman"/>
                <w:sz w:val="20"/>
              </w:rPr>
              <w:t xml:space="preserve"> </w:t>
            </w:r>
            <w:r>
              <w:rPr>
                <w:rFonts w:ascii="Times New Roman" w:hAnsi="Times New Roman"/>
                <w:sz w:val="20"/>
                <w:lang w:val="el-GR"/>
              </w:rPr>
              <w:t>δισοπρόξιλη</w:t>
            </w:r>
            <w:r w:rsidR="00554364">
              <w:rPr>
                <w:rFonts w:ascii="Times New Roman" w:hAnsi="Times New Roman"/>
                <w:sz w:val="20"/>
                <w:lang w:val="el-GR"/>
              </w:rPr>
              <w:t xml:space="preserve"> </w:t>
            </w:r>
            <w:r w:rsidR="007134E2">
              <w:rPr>
                <w:rFonts w:ascii="Times New Roman" w:hAnsi="Times New Roman"/>
                <w:sz w:val="20"/>
              </w:rPr>
              <w:t>+</w:t>
            </w:r>
            <w:r w:rsidR="007134E2">
              <w:rPr>
                <w:rFonts w:ascii="Times New Roman" w:hAnsi="Times New Roman"/>
                <w:w w:val="99"/>
                <w:sz w:val="20"/>
              </w:rPr>
              <w:t xml:space="preserve"> </w:t>
            </w:r>
            <w:r w:rsidR="00554364" w:rsidRPr="00554364">
              <w:rPr>
                <w:rFonts w:ascii="Times New Roman" w:hAnsi="Times New Roman" w:cs="Times New Roman"/>
              </w:rPr>
              <w:t>εφαβιρένζη</w:t>
            </w:r>
          </w:p>
        </w:tc>
        <w:tc>
          <w:tcPr>
            <w:tcW w:w="1567" w:type="dxa"/>
            <w:gridSpan w:val="2"/>
            <w:tcBorders>
              <w:top w:val="single" w:sz="4" w:space="0" w:color="000000"/>
              <w:left w:val="single" w:sz="4" w:space="0" w:color="000000"/>
              <w:bottom w:val="single" w:sz="4" w:space="0" w:color="000000"/>
              <w:right w:val="single" w:sz="4" w:space="0" w:color="000000"/>
            </w:tcBorders>
          </w:tcPr>
          <w:p w:rsidR="00645378" w:rsidRPr="00554364" w:rsidRDefault="00554364" w:rsidP="00554364">
            <w:pPr>
              <w:pStyle w:val="TableParagraph"/>
              <w:spacing w:line="244" w:lineRule="auto"/>
              <w:ind w:left="172" w:right="185" w:hanging="34"/>
              <w:jc w:val="center"/>
              <w:rPr>
                <w:rFonts w:ascii="Times New Roman" w:eastAsia="Times New Roman" w:hAnsi="Times New Roman" w:cs="Times New Roman"/>
                <w:sz w:val="20"/>
                <w:szCs w:val="20"/>
              </w:rPr>
            </w:pPr>
            <w:r w:rsidRPr="00554364">
              <w:rPr>
                <w:rFonts w:ascii="Times New Roman" w:hAnsi="Times New Roman" w:cs="Times New Roman"/>
              </w:rPr>
              <w:t>Λαμιβουδίνη + ζιβουδίνη + εφαβιρένζη</w:t>
            </w:r>
          </w:p>
        </w:tc>
        <w:tc>
          <w:tcPr>
            <w:tcW w:w="1836" w:type="dxa"/>
            <w:tcBorders>
              <w:top w:val="single" w:sz="4" w:space="0" w:color="000000"/>
              <w:left w:val="single" w:sz="4" w:space="0" w:color="000000"/>
              <w:bottom w:val="single" w:sz="4" w:space="0" w:color="000000"/>
              <w:right w:val="single" w:sz="4" w:space="0" w:color="000000"/>
            </w:tcBorders>
          </w:tcPr>
          <w:p w:rsidR="00645378" w:rsidRPr="00554364" w:rsidRDefault="00A85422" w:rsidP="00554364">
            <w:pPr>
              <w:pStyle w:val="TableParagraph"/>
              <w:spacing w:line="244" w:lineRule="auto"/>
              <w:ind w:left="117" w:right="115" w:hanging="3"/>
              <w:jc w:val="center"/>
              <w:rPr>
                <w:rFonts w:ascii="Times New Roman" w:eastAsia="Times New Roman" w:hAnsi="Times New Roman" w:cs="Times New Roman"/>
                <w:sz w:val="20"/>
                <w:szCs w:val="20"/>
              </w:rPr>
            </w:pPr>
            <w:r w:rsidRPr="00554364">
              <w:rPr>
                <w:rFonts w:ascii="Times New Roman" w:hAnsi="Times New Roman" w:cs="Times New Roman"/>
                <w:sz w:val="20"/>
                <w:lang w:val="el-GR"/>
              </w:rPr>
              <w:t>Εμτρισιταβίνη</w:t>
            </w:r>
            <w:r w:rsidR="00554364">
              <w:rPr>
                <w:rFonts w:ascii="Times New Roman" w:hAnsi="Times New Roman" w:cs="Times New Roman"/>
                <w:sz w:val="20"/>
                <w:lang w:val="el-GR"/>
              </w:rPr>
              <w:t xml:space="preserve"> </w:t>
            </w:r>
            <w:r w:rsidR="007134E2" w:rsidRPr="00554364">
              <w:rPr>
                <w:rFonts w:ascii="Times New Roman" w:hAnsi="Times New Roman" w:cs="Times New Roman"/>
                <w:sz w:val="20"/>
              </w:rPr>
              <w:t>+</w:t>
            </w:r>
            <w:r w:rsidR="007134E2" w:rsidRPr="00554364">
              <w:rPr>
                <w:rFonts w:ascii="Times New Roman" w:hAnsi="Times New Roman" w:cs="Times New Roman"/>
                <w:w w:val="99"/>
                <w:sz w:val="20"/>
              </w:rPr>
              <w:t xml:space="preserve"> </w:t>
            </w:r>
            <w:r w:rsidRPr="00554364">
              <w:rPr>
                <w:rFonts w:ascii="Times New Roman" w:hAnsi="Times New Roman" w:cs="Times New Roman"/>
                <w:sz w:val="20"/>
                <w:lang w:val="el-GR"/>
              </w:rPr>
              <w:t>τενοφοβίρη δισοπρόξιλη</w:t>
            </w:r>
            <w:r w:rsidR="00554364">
              <w:rPr>
                <w:rFonts w:ascii="Times New Roman" w:hAnsi="Times New Roman" w:cs="Times New Roman"/>
                <w:sz w:val="20"/>
                <w:lang w:val="el-GR"/>
              </w:rPr>
              <w:t xml:space="preserve"> </w:t>
            </w:r>
            <w:r w:rsidR="007134E2" w:rsidRPr="00554364">
              <w:rPr>
                <w:rFonts w:ascii="Times New Roman" w:hAnsi="Times New Roman" w:cs="Times New Roman"/>
                <w:sz w:val="20"/>
              </w:rPr>
              <w:t>+</w:t>
            </w:r>
            <w:r w:rsidR="007134E2" w:rsidRPr="00554364">
              <w:rPr>
                <w:rFonts w:ascii="Times New Roman" w:hAnsi="Times New Roman" w:cs="Times New Roman"/>
                <w:w w:val="99"/>
                <w:sz w:val="20"/>
              </w:rPr>
              <w:t xml:space="preserve"> </w:t>
            </w:r>
            <w:r w:rsidR="00554364" w:rsidRPr="00554364">
              <w:rPr>
                <w:rFonts w:ascii="Times New Roman" w:hAnsi="Times New Roman" w:cs="Times New Roman"/>
              </w:rPr>
              <w:t>εφαβιρένζη</w:t>
            </w:r>
            <w:r w:rsidR="007134E2" w:rsidRPr="00554364">
              <w:rPr>
                <w:rFonts w:ascii="Times New Roman" w:hAnsi="Times New Roman" w:cs="Times New Roman"/>
                <w:sz w:val="20"/>
              </w:rPr>
              <w:t>*</w:t>
            </w:r>
          </w:p>
        </w:tc>
        <w:tc>
          <w:tcPr>
            <w:tcW w:w="1963" w:type="dxa"/>
            <w:tcBorders>
              <w:top w:val="single" w:sz="4" w:space="0" w:color="000000"/>
              <w:left w:val="single" w:sz="4" w:space="0" w:color="000000"/>
              <w:bottom w:val="single" w:sz="4" w:space="0" w:color="000000"/>
              <w:right w:val="single" w:sz="4" w:space="0" w:color="000000"/>
            </w:tcBorders>
          </w:tcPr>
          <w:p w:rsidR="00645378" w:rsidRPr="00554364" w:rsidRDefault="00554364" w:rsidP="00554364">
            <w:pPr>
              <w:pStyle w:val="TableParagraph"/>
              <w:spacing w:line="244" w:lineRule="auto"/>
              <w:ind w:left="141" w:right="442"/>
              <w:jc w:val="center"/>
              <w:rPr>
                <w:rFonts w:ascii="Times New Roman" w:eastAsia="Times New Roman" w:hAnsi="Times New Roman" w:cs="Times New Roman"/>
                <w:sz w:val="20"/>
                <w:szCs w:val="20"/>
              </w:rPr>
            </w:pPr>
            <w:r w:rsidRPr="00554364">
              <w:rPr>
                <w:rFonts w:ascii="Times New Roman" w:hAnsi="Times New Roman" w:cs="Times New Roman"/>
              </w:rPr>
              <w:t>Λαμιβουδίνη + ζιβουδίνη + εφαβιρένζη</w:t>
            </w:r>
          </w:p>
        </w:tc>
      </w:tr>
      <w:tr w:rsidR="00645378" w:rsidRPr="00554364" w:rsidTr="00554364">
        <w:trPr>
          <w:trHeight w:hRule="exact" w:val="480"/>
        </w:trPr>
        <w:tc>
          <w:tcPr>
            <w:tcW w:w="2729"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03"/>
              <w:rPr>
                <w:rFonts w:ascii="Times New Roman" w:eastAsia="Times New Roman" w:hAnsi="Times New Roman" w:cs="Times New Roman"/>
                <w:sz w:val="20"/>
                <w:szCs w:val="20"/>
              </w:rPr>
            </w:pPr>
            <w:r>
              <w:rPr>
                <w:rFonts w:ascii="Times New Roman"/>
                <w:sz w:val="20"/>
              </w:rPr>
              <w:t>HIV-1</w:t>
            </w:r>
            <w:r>
              <w:rPr>
                <w:rFonts w:ascii="Times New Roman"/>
                <w:spacing w:val="-6"/>
                <w:sz w:val="20"/>
              </w:rPr>
              <w:t xml:space="preserve"> </w:t>
            </w:r>
            <w:r>
              <w:rPr>
                <w:rFonts w:ascii="Times New Roman"/>
                <w:sz w:val="20"/>
              </w:rPr>
              <w:t>RNA</w:t>
            </w:r>
          </w:p>
          <w:p w:rsidR="00645378" w:rsidRDefault="007134E2">
            <w:pPr>
              <w:pStyle w:val="TableParagraph"/>
              <w:spacing w:before="5"/>
              <w:ind w:left="103"/>
              <w:rPr>
                <w:rFonts w:ascii="Times New Roman" w:eastAsia="Times New Roman" w:hAnsi="Times New Roman" w:cs="Times New Roman"/>
                <w:sz w:val="20"/>
                <w:szCs w:val="20"/>
              </w:rPr>
            </w:pPr>
            <w:r>
              <w:rPr>
                <w:rFonts w:ascii="Times New Roman" w:hAnsi="Times New Roman"/>
                <w:sz w:val="20"/>
              </w:rPr>
              <w:t>&lt; 400 αντίγραφα/ml</w:t>
            </w:r>
            <w:r>
              <w:rPr>
                <w:rFonts w:ascii="Times New Roman" w:hAnsi="Times New Roman"/>
                <w:spacing w:val="-20"/>
                <w:sz w:val="20"/>
              </w:rPr>
              <w:t xml:space="preserve"> </w:t>
            </w:r>
            <w:r>
              <w:rPr>
                <w:rFonts w:ascii="Times New Roman" w:hAnsi="Times New Roman"/>
                <w:sz w:val="20"/>
              </w:rPr>
              <w:t>(TLOVR)</w:t>
            </w:r>
          </w:p>
        </w:tc>
        <w:tc>
          <w:tcPr>
            <w:tcW w:w="1707"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297"/>
              <w:rPr>
                <w:rFonts w:ascii="Times New Roman" w:eastAsia="Times New Roman" w:hAnsi="Times New Roman" w:cs="Times New Roman"/>
                <w:sz w:val="20"/>
                <w:szCs w:val="20"/>
              </w:rPr>
            </w:pPr>
            <w:r>
              <w:rPr>
                <w:rFonts w:ascii="Times New Roman"/>
                <w:sz w:val="20"/>
              </w:rPr>
              <w:t>84%</w:t>
            </w:r>
            <w:r>
              <w:rPr>
                <w:rFonts w:ascii="Times New Roman"/>
                <w:spacing w:val="3"/>
                <w:sz w:val="20"/>
              </w:rPr>
              <w:t xml:space="preserve"> </w:t>
            </w:r>
            <w:r>
              <w:rPr>
                <w:rFonts w:ascii="Times New Roman"/>
                <w:sz w:val="20"/>
              </w:rPr>
              <w:t>(206/244)</w:t>
            </w:r>
          </w:p>
        </w:tc>
        <w:tc>
          <w:tcPr>
            <w:tcW w:w="1567" w:type="dxa"/>
            <w:gridSpan w:val="2"/>
            <w:tcBorders>
              <w:top w:val="single" w:sz="4" w:space="0" w:color="000000"/>
              <w:left w:val="single" w:sz="4" w:space="0" w:color="000000"/>
              <w:bottom w:val="single" w:sz="4" w:space="0" w:color="000000"/>
              <w:right w:val="single" w:sz="4" w:space="0" w:color="000000"/>
            </w:tcBorders>
          </w:tcPr>
          <w:p w:rsidR="00645378" w:rsidRPr="00554364" w:rsidRDefault="007134E2">
            <w:pPr>
              <w:pStyle w:val="TableParagraph"/>
              <w:ind w:left="117"/>
              <w:rPr>
                <w:rFonts w:ascii="Times New Roman" w:eastAsia="Times New Roman" w:hAnsi="Times New Roman" w:cs="Times New Roman"/>
                <w:sz w:val="20"/>
                <w:szCs w:val="20"/>
              </w:rPr>
            </w:pPr>
            <w:r w:rsidRPr="00554364">
              <w:rPr>
                <w:rFonts w:ascii="Times New Roman" w:hAnsi="Times New Roman" w:cs="Times New Roman"/>
                <w:sz w:val="20"/>
              </w:rPr>
              <w:t>73%</w:t>
            </w:r>
            <w:r w:rsidRPr="00554364">
              <w:rPr>
                <w:rFonts w:ascii="Times New Roman" w:hAnsi="Times New Roman" w:cs="Times New Roman"/>
                <w:spacing w:val="3"/>
                <w:sz w:val="20"/>
              </w:rPr>
              <w:t xml:space="preserve"> </w:t>
            </w:r>
            <w:r w:rsidRPr="00554364">
              <w:rPr>
                <w:rFonts w:ascii="Times New Roman" w:hAnsi="Times New Roman" w:cs="Times New Roman"/>
                <w:sz w:val="20"/>
              </w:rPr>
              <w:t>(177/243)</w:t>
            </w:r>
          </w:p>
        </w:tc>
        <w:tc>
          <w:tcPr>
            <w:tcW w:w="1836" w:type="dxa"/>
            <w:tcBorders>
              <w:top w:val="single" w:sz="4" w:space="0" w:color="000000"/>
              <w:left w:val="single" w:sz="4" w:space="0" w:color="000000"/>
              <w:bottom w:val="single" w:sz="4" w:space="0" w:color="000000"/>
              <w:right w:val="single" w:sz="4" w:space="0" w:color="000000"/>
            </w:tcBorders>
          </w:tcPr>
          <w:p w:rsidR="00645378" w:rsidRPr="00554364" w:rsidRDefault="007134E2">
            <w:pPr>
              <w:pStyle w:val="TableParagraph"/>
              <w:ind w:left="307"/>
              <w:rPr>
                <w:rFonts w:ascii="Times New Roman" w:eastAsia="Times New Roman" w:hAnsi="Times New Roman" w:cs="Times New Roman"/>
                <w:sz w:val="20"/>
                <w:szCs w:val="20"/>
              </w:rPr>
            </w:pPr>
            <w:r w:rsidRPr="00554364">
              <w:rPr>
                <w:rFonts w:ascii="Times New Roman" w:hAnsi="Times New Roman" w:cs="Times New Roman"/>
                <w:sz w:val="20"/>
              </w:rPr>
              <w:t>71%</w:t>
            </w:r>
            <w:r w:rsidRPr="00554364">
              <w:rPr>
                <w:rFonts w:ascii="Times New Roman" w:hAnsi="Times New Roman" w:cs="Times New Roman"/>
                <w:spacing w:val="3"/>
                <w:sz w:val="20"/>
              </w:rPr>
              <w:t xml:space="preserve"> </w:t>
            </w:r>
            <w:r w:rsidRPr="00554364">
              <w:rPr>
                <w:rFonts w:ascii="Times New Roman" w:hAnsi="Times New Roman" w:cs="Times New Roman"/>
                <w:sz w:val="20"/>
              </w:rPr>
              <w:t>(161/227)</w:t>
            </w:r>
          </w:p>
        </w:tc>
        <w:tc>
          <w:tcPr>
            <w:tcW w:w="1963" w:type="dxa"/>
            <w:tcBorders>
              <w:top w:val="single" w:sz="4" w:space="0" w:color="000000"/>
              <w:left w:val="single" w:sz="4" w:space="0" w:color="000000"/>
              <w:bottom w:val="single" w:sz="4" w:space="0" w:color="000000"/>
              <w:right w:val="single" w:sz="4" w:space="0" w:color="000000"/>
            </w:tcBorders>
          </w:tcPr>
          <w:p w:rsidR="00645378" w:rsidRPr="00554364" w:rsidRDefault="007134E2">
            <w:pPr>
              <w:pStyle w:val="TableParagraph"/>
              <w:ind w:left="369"/>
              <w:rPr>
                <w:rFonts w:ascii="Times New Roman" w:eastAsia="Times New Roman" w:hAnsi="Times New Roman" w:cs="Times New Roman"/>
                <w:sz w:val="20"/>
                <w:szCs w:val="20"/>
              </w:rPr>
            </w:pPr>
            <w:r w:rsidRPr="00554364">
              <w:rPr>
                <w:rFonts w:ascii="Times New Roman" w:hAnsi="Times New Roman" w:cs="Times New Roman"/>
                <w:sz w:val="20"/>
              </w:rPr>
              <w:t>58%</w:t>
            </w:r>
            <w:r w:rsidRPr="00554364">
              <w:rPr>
                <w:rFonts w:ascii="Times New Roman" w:hAnsi="Times New Roman" w:cs="Times New Roman"/>
                <w:spacing w:val="3"/>
                <w:sz w:val="20"/>
              </w:rPr>
              <w:t xml:space="preserve"> </w:t>
            </w:r>
            <w:r w:rsidRPr="00554364">
              <w:rPr>
                <w:rFonts w:ascii="Times New Roman" w:hAnsi="Times New Roman" w:cs="Times New Roman"/>
                <w:sz w:val="20"/>
              </w:rPr>
              <w:t>(133/229)</w:t>
            </w:r>
          </w:p>
        </w:tc>
      </w:tr>
      <w:tr w:rsidR="00645378" w:rsidTr="00554364">
        <w:trPr>
          <w:trHeight w:hRule="exact" w:val="245"/>
        </w:trPr>
        <w:tc>
          <w:tcPr>
            <w:tcW w:w="2729"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03"/>
              <w:rPr>
                <w:rFonts w:ascii="Times New Roman" w:eastAsia="Times New Roman" w:hAnsi="Times New Roman" w:cs="Times New Roman"/>
                <w:sz w:val="20"/>
                <w:szCs w:val="20"/>
              </w:rPr>
            </w:pPr>
            <w:r>
              <w:rPr>
                <w:rFonts w:ascii="Times New Roman" w:hAnsi="Times New Roman"/>
                <w:sz w:val="20"/>
              </w:rPr>
              <w:t>τιμή</w:t>
            </w:r>
            <w:r>
              <w:rPr>
                <w:rFonts w:ascii="Times New Roman" w:hAnsi="Times New Roman"/>
                <w:spacing w:val="-4"/>
                <w:sz w:val="20"/>
              </w:rPr>
              <w:t xml:space="preserve"> </w:t>
            </w:r>
            <w:r>
              <w:rPr>
                <w:rFonts w:ascii="Times New Roman" w:hAnsi="Times New Roman"/>
                <w:sz w:val="20"/>
              </w:rPr>
              <w:t>p</w:t>
            </w:r>
          </w:p>
        </w:tc>
        <w:tc>
          <w:tcPr>
            <w:tcW w:w="3274" w:type="dxa"/>
            <w:gridSpan w:val="3"/>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2"/>
              <w:jc w:val="center"/>
              <w:rPr>
                <w:rFonts w:ascii="Times New Roman" w:eastAsia="Times New Roman" w:hAnsi="Times New Roman" w:cs="Times New Roman"/>
                <w:sz w:val="20"/>
                <w:szCs w:val="20"/>
              </w:rPr>
            </w:pPr>
            <w:r>
              <w:rPr>
                <w:rFonts w:ascii="Times New Roman"/>
                <w:sz w:val="20"/>
              </w:rPr>
              <w:t>0,002**</w:t>
            </w:r>
          </w:p>
        </w:tc>
        <w:tc>
          <w:tcPr>
            <w:tcW w:w="3799" w:type="dxa"/>
            <w:gridSpan w:val="2"/>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3"/>
              <w:jc w:val="center"/>
              <w:rPr>
                <w:rFonts w:ascii="Times New Roman" w:eastAsia="Times New Roman" w:hAnsi="Times New Roman" w:cs="Times New Roman"/>
                <w:sz w:val="20"/>
                <w:szCs w:val="20"/>
              </w:rPr>
            </w:pPr>
            <w:r>
              <w:rPr>
                <w:rFonts w:ascii="Times New Roman"/>
                <w:sz w:val="20"/>
              </w:rPr>
              <w:t>0,004**</w:t>
            </w:r>
          </w:p>
        </w:tc>
      </w:tr>
      <w:tr w:rsidR="00645378" w:rsidTr="00554364">
        <w:trPr>
          <w:trHeight w:hRule="exact" w:val="245"/>
        </w:trPr>
        <w:tc>
          <w:tcPr>
            <w:tcW w:w="2729"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03"/>
              <w:rPr>
                <w:rFonts w:ascii="Times New Roman" w:eastAsia="Times New Roman" w:hAnsi="Times New Roman" w:cs="Times New Roman"/>
                <w:sz w:val="20"/>
                <w:szCs w:val="20"/>
              </w:rPr>
            </w:pPr>
            <w:r>
              <w:rPr>
                <w:rFonts w:ascii="Times New Roman" w:hAnsi="Times New Roman"/>
                <w:sz w:val="20"/>
              </w:rPr>
              <w:t>% διαφορά</w:t>
            </w:r>
            <w:r>
              <w:rPr>
                <w:rFonts w:ascii="Times New Roman" w:hAnsi="Times New Roman"/>
                <w:spacing w:val="-12"/>
                <w:sz w:val="20"/>
              </w:rPr>
              <w:t xml:space="preserve"> </w:t>
            </w:r>
            <w:r>
              <w:rPr>
                <w:rFonts w:ascii="Times New Roman" w:hAnsi="Times New Roman"/>
                <w:sz w:val="20"/>
              </w:rPr>
              <w:t>(95%CI)</w:t>
            </w:r>
          </w:p>
        </w:tc>
        <w:tc>
          <w:tcPr>
            <w:tcW w:w="3274" w:type="dxa"/>
            <w:gridSpan w:val="3"/>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842"/>
              <w:rPr>
                <w:rFonts w:ascii="Times New Roman" w:eastAsia="Times New Roman" w:hAnsi="Times New Roman" w:cs="Times New Roman"/>
                <w:sz w:val="20"/>
                <w:szCs w:val="20"/>
              </w:rPr>
            </w:pPr>
            <w:r>
              <w:rPr>
                <w:rFonts w:ascii="Times New Roman" w:hAnsi="Times New Roman"/>
                <w:sz w:val="20"/>
              </w:rPr>
              <w:t>11% (4% έως</w:t>
            </w:r>
            <w:r>
              <w:rPr>
                <w:rFonts w:ascii="Times New Roman" w:hAnsi="Times New Roman"/>
                <w:spacing w:val="-1"/>
                <w:sz w:val="20"/>
              </w:rPr>
              <w:t xml:space="preserve"> </w:t>
            </w:r>
            <w:r>
              <w:rPr>
                <w:rFonts w:ascii="Times New Roman" w:hAnsi="Times New Roman"/>
                <w:sz w:val="20"/>
              </w:rPr>
              <w:t>19%)</w:t>
            </w:r>
          </w:p>
        </w:tc>
        <w:tc>
          <w:tcPr>
            <w:tcW w:w="3799" w:type="dxa"/>
            <w:gridSpan w:val="2"/>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103"/>
              <w:rPr>
                <w:rFonts w:ascii="Times New Roman" w:eastAsia="Times New Roman" w:hAnsi="Times New Roman" w:cs="Times New Roman"/>
                <w:sz w:val="20"/>
                <w:szCs w:val="20"/>
              </w:rPr>
            </w:pPr>
            <w:r>
              <w:rPr>
                <w:rFonts w:ascii="Times New Roman" w:hAnsi="Times New Roman"/>
                <w:sz w:val="20"/>
              </w:rPr>
              <w:t>13% (4% έως</w:t>
            </w:r>
            <w:r>
              <w:rPr>
                <w:rFonts w:ascii="Times New Roman" w:hAnsi="Times New Roman"/>
                <w:spacing w:val="-1"/>
                <w:sz w:val="20"/>
              </w:rPr>
              <w:t xml:space="preserve"> </w:t>
            </w:r>
            <w:r>
              <w:rPr>
                <w:rFonts w:ascii="Times New Roman" w:hAnsi="Times New Roman"/>
                <w:sz w:val="20"/>
              </w:rPr>
              <w:t>22%)</w:t>
            </w:r>
          </w:p>
        </w:tc>
      </w:tr>
      <w:tr w:rsidR="00645378" w:rsidTr="00554364">
        <w:trPr>
          <w:trHeight w:hRule="exact" w:val="480"/>
        </w:trPr>
        <w:tc>
          <w:tcPr>
            <w:tcW w:w="2729"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03"/>
              <w:rPr>
                <w:rFonts w:ascii="Times New Roman" w:eastAsia="Times New Roman" w:hAnsi="Times New Roman" w:cs="Times New Roman"/>
                <w:sz w:val="20"/>
                <w:szCs w:val="20"/>
              </w:rPr>
            </w:pPr>
            <w:r>
              <w:rPr>
                <w:rFonts w:ascii="Times New Roman"/>
                <w:sz w:val="20"/>
              </w:rPr>
              <w:t>HIV-1</w:t>
            </w:r>
            <w:r>
              <w:rPr>
                <w:rFonts w:ascii="Times New Roman"/>
                <w:spacing w:val="-6"/>
                <w:sz w:val="20"/>
              </w:rPr>
              <w:t xml:space="preserve"> </w:t>
            </w:r>
            <w:r>
              <w:rPr>
                <w:rFonts w:ascii="Times New Roman"/>
                <w:sz w:val="20"/>
              </w:rPr>
              <w:t>RNA</w:t>
            </w:r>
          </w:p>
          <w:p w:rsidR="00645378" w:rsidRDefault="007134E2">
            <w:pPr>
              <w:pStyle w:val="TableParagraph"/>
              <w:spacing w:before="5"/>
              <w:ind w:left="103"/>
              <w:rPr>
                <w:rFonts w:ascii="Times New Roman" w:eastAsia="Times New Roman" w:hAnsi="Times New Roman" w:cs="Times New Roman"/>
                <w:sz w:val="20"/>
                <w:szCs w:val="20"/>
              </w:rPr>
            </w:pPr>
            <w:r>
              <w:rPr>
                <w:rFonts w:ascii="Times New Roman" w:hAnsi="Times New Roman"/>
                <w:sz w:val="20"/>
              </w:rPr>
              <w:t>&lt; 50 αντίγραφα/ml</w:t>
            </w:r>
            <w:r>
              <w:rPr>
                <w:rFonts w:ascii="Times New Roman" w:hAnsi="Times New Roman"/>
                <w:spacing w:val="-20"/>
                <w:sz w:val="20"/>
              </w:rPr>
              <w:t xml:space="preserve"> </w:t>
            </w:r>
            <w:r>
              <w:rPr>
                <w:rFonts w:ascii="Times New Roman" w:hAnsi="Times New Roman"/>
                <w:sz w:val="20"/>
              </w:rPr>
              <w:t>(TLOVR)</w:t>
            </w:r>
          </w:p>
        </w:tc>
        <w:tc>
          <w:tcPr>
            <w:tcW w:w="1707"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297"/>
              <w:rPr>
                <w:rFonts w:ascii="Times New Roman" w:eastAsia="Times New Roman" w:hAnsi="Times New Roman" w:cs="Times New Roman"/>
                <w:sz w:val="20"/>
                <w:szCs w:val="20"/>
              </w:rPr>
            </w:pPr>
            <w:r>
              <w:rPr>
                <w:rFonts w:ascii="Times New Roman"/>
                <w:sz w:val="20"/>
              </w:rPr>
              <w:t>80%</w:t>
            </w:r>
            <w:r>
              <w:rPr>
                <w:rFonts w:ascii="Times New Roman"/>
                <w:spacing w:val="3"/>
                <w:sz w:val="20"/>
              </w:rPr>
              <w:t xml:space="preserve"> </w:t>
            </w:r>
            <w:r>
              <w:rPr>
                <w:rFonts w:ascii="Times New Roman"/>
                <w:sz w:val="20"/>
              </w:rPr>
              <w:t>(194/244)</w:t>
            </w:r>
          </w:p>
        </w:tc>
        <w:tc>
          <w:tcPr>
            <w:tcW w:w="1567" w:type="dxa"/>
            <w:gridSpan w:val="2"/>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17"/>
              <w:rPr>
                <w:rFonts w:ascii="Times New Roman" w:eastAsia="Times New Roman" w:hAnsi="Times New Roman" w:cs="Times New Roman"/>
                <w:sz w:val="20"/>
                <w:szCs w:val="20"/>
              </w:rPr>
            </w:pPr>
            <w:r>
              <w:rPr>
                <w:rFonts w:ascii="Times New Roman"/>
                <w:sz w:val="20"/>
              </w:rPr>
              <w:t>70%</w:t>
            </w:r>
            <w:r>
              <w:rPr>
                <w:rFonts w:ascii="Times New Roman"/>
                <w:spacing w:val="3"/>
                <w:sz w:val="20"/>
              </w:rPr>
              <w:t xml:space="preserve"> </w:t>
            </w:r>
            <w:r>
              <w:rPr>
                <w:rFonts w:ascii="Times New Roman"/>
                <w:sz w:val="20"/>
              </w:rPr>
              <w:t>(171/243)</w:t>
            </w:r>
          </w:p>
        </w:tc>
        <w:tc>
          <w:tcPr>
            <w:tcW w:w="1836"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307"/>
              <w:rPr>
                <w:rFonts w:ascii="Times New Roman" w:eastAsia="Times New Roman" w:hAnsi="Times New Roman" w:cs="Times New Roman"/>
                <w:sz w:val="20"/>
                <w:szCs w:val="20"/>
              </w:rPr>
            </w:pPr>
            <w:r>
              <w:rPr>
                <w:rFonts w:ascii="Times New Roman"/>
                <w:sz w:val="20"/>
              </w:rPr>
              <w:t>64%</w:t>
            </w:r>
            <w:r>
              <w:rPr>
                <w:rFonts w:ascii="Times New Roman"/>
                <w:spacing w:val="3"/>
                <w:sz w:val="20"/>
              </w:rPr>
              <w:t xml:space="preserve"> </w:t>
            </w:r>
            <w:r>
              <w:rPr>
                <w:rFonts w:ascii="Times New Roman"/>
                <w:sz w:val="20"/>
              </w:rPr>
              <w:t>(146/227)</w:t>
            </w:r>
          </w:p>
        </w:tc>
        <w:tc>
          <w:tcPr>
            <w:tcW w:w="1963"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369"/>
              <w:rPr>
                <w:rFonts w:ascii="Times New Roman" w:eastAsia="Times New Roman" w:hAnsi="Times New Roman" w:cs="Times New Roman"/>
                <w:sz w:val="20"/>
                <w:szCs w:val="20"/>
              </w:rPr>
            </w:pPr>
            <w:r>
              <w:rPr>
                <w:rFonts w:ascii="Times New Roman"/>
                <w:sz w:val="20"/>
              </w:rPr>
              <w:t>56%</w:t>
            </w:r>
            <w:r>
              <w:rPr>
                <w:rFonts w:ascii="Times New Roman"/>
                <w:spacing w:val="3"/>
                <w:sz w:val="20"/>
              </w:rPr>
              <w:t xml:space="preserve"> </w:t>
            </w:r>
            <w:r>
              <w:rPr>
                <w:rFonts w:ascii="Times New Roman"/>
                <w:sz w:val="20"/>
              </w:rPr>
              <w:t>(130/231)</w:t>
            </w:r>
          </w:p>
        </w:tc>
      </w:tr>
      <w:tr w:rsidR="00645378" w:rsidTr="00554364">
        <w:trPr>
          <w:trHeight w:hRule="exact" w:val="245"/>
        </w:trPr>
        <w:tc>
          <w:tcPr>
            <w:tcW w:w="2729"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03"/>
              <w:rPr>
                <w:rFonts w:ascii="Times New Roman" w:eastAsia="Times New Roman" w:hAnsi="Times New Roman" w:cs="Times New Roman"/>
                <w:sz w:val="20"/>
                <w:szCs w:val="20"/>
              </w:rPr>
            </w:pPr>
            <w:r>
              <w:rPr>
                <w:rFonts w:ascii="Times New Roman" w:hAnsi="Times New Roman"/>
                <w:sz w:val="20"/>
              </w:rPr>
              <w:t>τιμή</w:t>
            </w:r>
            <w:r>
              <w:rPr>
                <w:rFonts w:ascii="Times New Roman" w:hAnsi="Times New Roman"/>
                <w:spacing w:val="-4"/>
                <w:sz w:val="20"/>
              </w:rPr>
              <w:t xml:space="preserve"> </w:t>
            </w:r>
            <w:r>
              <w:rPr>
                <w:rFonts w:ascii="Times New Roman" w:hAnsi="Times New Roman"/>
                <w:sz w:val="20"/>
              </w:rPr>
              <w:t>p</w:t>
            </w:r>
          </w:p>
        </w:tc>
        <w:tc>
          <w:tcPr>
            <w:tcW w:w="3274" w:type="dxa"/>
            <w:gridSpan w:val="3"/>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5"/>
              <w:jc w:val="center"/>
              <w:rPr>
                <w:rFonts w:ascii="Times New Roman" w:eastAsia="Times New Roman" w:hAnsi="Times New Roman" w:cs="Times New Roman"/>
                <w:sz w:val="20"/>
                <w:szCs w:val="20"/>
              </w:rPr>
            </w:pPr>
            <w:r>
              <w:rPr>
                <w:rFonts w:ascii="Times New Roman"/>
                <w:sz w:val="20"/>
              </w:rPr>
              <w:t>0,021**</w:t>
            </w:r>
          </w:p>
        </w:tc>
        <w:tc>
          <w:tcPr>
            <w:tcW w:w="3799" w:type="dxa"/>
            <w:gridSpan w:val="2"/>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3"/>
              <w:jc w:val="center"/>
              <w:rPr>
                <w:rFonts w:ascii="Times New Roman" w:eastAsia="Times New Roman" w:hAnsi="Times New Roman" w:cs="Times New Roman"/>
                <w:sz w:val="20"/>
                <w:szCs w:val="20"/>
              </w:rPr>
            </w:pPr>
            <w:r>
              <w:rPr>
                <w:rFonts w:ascii="Times New Roman"/>
                <w:sz w:val="20"/>
              </w:rPr>
              <w:t>0,082**</w:t>
            </w:r>
          </w:p>
        </w:tc>
      </w:tr>
      <w:tr w:rsidR="00645378" w:rsidTr="00554364">
        <w:trPr>
          <w:trHeight w:hRule="exact" w:val="245"/>
        </w:trPr>
        <w:tc>
          <w:tcPr>
            <w:tcW w:w="2729"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03"/>
              <w:rPr>
                <w:rFonts w:ascii="Times New Roman" w:eastAsia="Times New Roman" w:hAnsi="Times New Roman" w:cs="Times New Roman"/>
                <w:sz w:val="20"/>
                <w:szCs w:val="20"/>
              </w:rPr>
            </w:pPr>
            <w:r>
              <w:rPr>
                <w:rFonts w:ascii="Times New Roman" w:hAnsi="Times New Roman"/>
                <w:sz w:val="20"/>
              </w:rPr>
              <w:t>% διαφορά</w:t>
            </w:r>
            <w:r>
              <w:rPr>
                <w:rFonts w:ascii="Times New Roman" w:hAnsi="Times New Roman"/>
                <w:spacing w:val="-12"/>
                <w:sz w:val="20"/>
              </w:rPr>
              <w:t xml:space="preserve"> </w:t>
            </w:r>
            <w:r>
              <w:rPr>
                <w:rFonts w:ascii="Times New Roman" w:hAnsi="Times New Roman"/>
                <w:sz w:val="20"/>
              </w:rPr>
              <w:t>(95%CI)</w:t>
            </w:r>
          </w:p>
        </w:tc>
        <w:tc>
          <w:tcPr>
            <w:tcW w:w="3274" w:type="dxa"/>
            <w:gridSpan w:val="3"/>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892"/>
              <w:rPr>
                <w:rFonts w:ascii="Times New Roman" w:eastAsia="Times New Roman" w:hAnsi="Times New Roman" w:cs="Times New Roman"/>
                <w:sz w:val="20"/>
                <w:szCs w:val="20"/>
              </w:rPr>
            </w:pPr>
            <w:r>
              <w:rPr>
                <w:rFonts w:ascii="Times New Roman" w:hAnsi="Times New Roman"/>
                <w:sz w:val="20"/>
              </w:rPr>
              <w:t>9% (2% έως</w:t>
            </w:r>
            <w:r>
              <w:rPr>
                <w:rFonts w:ascii="Times New Roman" w:hAnsi="Times New Roman"/>
                <w:spacing w:val="-2"/>
                <w:sz w:val="20"/>
              </w:rPr>
              <w:t xml:space="preserve"> </w:t>
            </w:r>
            <w:r>
              <w:rPr>
                <w:rFonts w:ascii="Times New Roman" w:hAnsi="Times New Roman"/>
                <w:sz w:val="20"/>
              </w:rPr>
              <w:t>17%)</w:t>
            </w:r>
          </w:p>
        </w:tc>
        <w:tc>
          <w:tcPr>
            <w:tcW w:w="3799" w:type="dxa"/>
            <w:gridSpan w:val="2"/>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120"/>
              <w:rPr>
                <w:rFonts w:ascii="Times New Roman" w:eastAsia="Times New Roman" w:hAnsi="Times New Roman" w:cs="Times New Roman"/>
                <w:sz w:val="20"/>
                <w:szCs w:val="20"/>
              </w:rPr>
            </w:pPr>
            <w:r>
              <w:rPr>
                <w:rFonts w:ascii="Times New Roman" w:hAnsi="Times New Roman"/>
                <w:sz w:val="20"/>
              </w:rPr>
              <w:t>8% (-1% έως</w:t>
            </w:r>
            <w:r>
              <w:rPr>
                <w:rFonts w:ascii="Times New Roman" w:hAnsi="Times New Roman"/>
                <w:spacing w:val="-4"/>
                <w:sz w:val="20"/>
              </w:rPr>
              <w:t xml:space="preserve"> </w:t>
            </w:r>
            <w:r>
              <w:rPr>
                <w:rFonts w:ascii="Times New Roman" w:hAnsi="Times New Roman"/>
                <w:sz w:val="20"/>
              </w:rPr>
              <w:t>17%)</w:t>
            </w:r>
          </w:p>
        </w:tc>
      </w:tr>
      <w:tr w:rsidR="00645378" w:rsidTr="00554364">
        <w:trPr>
          <w:trHeight w:hRule="exact" w:val="950"/>
        </w:trPr>
        <w:tc>
          <w:tcPr>
            <w:tcW w:w="2729" w:type="dxa"/>
            <w:tcBorders>
              <w:top w:val="single" w:sz="4" w:space="0" w:color="000000"/>
              <w:left w:val="single" w:sz="4" w:space="0" w:color="000000"/>
              <w:bottom w:val="single" w:sz="4" w:space="0" w:color="000000"/>
              <w:right w:val="single" w:sz="4" w:space="0" w:color="000000"/>
            </w:tcBorders>
          </w:tcPr>
          <w:p w:rsidR="00645378" w:rsidRPr="00AA2F31" w:rsidRDefault="007134E2">
            <w:pPr>
              <w:pStyle w:val="TableParagraph"/>
              <w:spacing w:before="2" w:line="237" w:lineRule="auto"/>
              <w:ind w:left="103" w:right="239"/>
              <w:rPr>
                <w:rFonts w:ascii="Times New Roman" w:eastAsia="Times New Roman" w:hAnsi="Times New Roman" w:cs="Times New Roman"/>
                <w:sz w:val="20"/>
                <w:szCs w:val="20"/>
                <w:lang w:val="el-GR"/>
              </w:rPr>
            </w:pPr>
            <w:r w:rsidRPr="00AA2F31">
              <w:rPr>
                <w:rFonts w:ascii="Times New Roman" w:hAnsi="Times New Roman"/>
                <w:sz w:val="20"/>
                <w:lang w:val="el-GR"/>
              </w:rPr>
              <w:lastRenderedPageBreak/>
              <w:t>Μέση μεταβολή στη</w:t>
            </w:r>
            <w:r w:rsidRPr="00AA2F31">
              <w:rPr>
                <w:rFonts w:ascii="Times New Roman" w:hAnsi="Times New Roman"/>
                <w:spacing w:val="-17"/>
                <w:sz w:val="20"/>
                <w:lang w:val="el-GR"/>
              </w:rPr>
              <w:t xml:space="preserve"> </w:t>
            </w:r>
            <w:r w:rsidRPr="00AA2F31">
              <w:rPr>
                <w:rFonts w:ascii="Times New Roman" w:hAnsi="Times New Roman"/>
                <w:sz w:val="20"/>
                <w:lang w:val="el-GR"/>
              </w:rPr>
              <w:t>μέτρηση</w:t>
            </w:r>
            <w:r w:rsidRPr="00AA2F31">
              <w:rPr>
                <w:rFonts w:ascii="Times New Roman" w:hAnsi="Times New Roman"/>
                <w:w w:val="99"/>
                <w:sz w:val="20"/>
                <w:lang w:val="el-GR"/>
              </w:rPr>
              <w:t xml:space="preserve"> </w:t>
            </w:r>
            <w:r w:rsidRPr="00AA2F31">
              <w:rPr>
                <w:rFonts w:ascii="Times New Roman" w:hAnsi="Times New Roman"/>
                <w:sz w:val="20"/>
                <w:lang w:val="el-GR"/>
              </w:rPr>
              <w:t xml:space="preserve">των κυττάρων </w:t>
            </w:r>
            <w:r>
              <w:rPr>
                <w:rFonts w:ascii="Times New Roman" w:hAnsi="Times New Roman"/>
                <w:sz w:val="20"/>
              </w:rPr>
              <w:t>CD</w:t>
            </w:r>
            <w:r w:rsidRPr="00AA2F31">
              <w:rPr>
                <w:rFonts w:ascii="Times New Roman" w:hAnsi="Times New Roman"/>
                <w:sz w:val="20"/>
                <w:lang w:val="el-GR"/>
              </w:rPr>
              <w:t>4</w:t>
            </w:r>
            <w:r w:rsidRPr="00AA2F31">
              <w:rPr>
                <w:rFonts w:ascii="Times New Roman" w:hAnsi="Times New Roman"/>
                <w:w w:val="99"/>
                <w:sz w:val="20"/>
                <w:lang w:val="el-GR"/>
              </w:rPr>
              <w:t xml:space="preserve"> </w:t>
            </w:r>
            <w:r w:rsidRPr="00AA2F31">
              <w:rPr>
                <w:rFonts w:ascii="Times New Roman" w:hAnsi="Times New Roman"/>
                <w:sz w:val="20"/>
                <w:lang w:val="el-GR"/>
              </w:rPr>
              <w:t>(κύτταρα/</w:t>
            </w:r>
            <w:r w:rsidR="00A85422">
              <w:rPr>
                <w:rFonts w:ascii="Times New Roman" w:hAnsi="Times New Roman"/>
                <w:sz w:val="20"/>
              </w:rPr>
              <w:t>mm</w:t>
            </w:r>
            <w:r w:rsidR="00A85422" w:rsidRPr="00A85422">
              <w:rPr>
                <w:rFonts w:ascii="Times New Roman" w:hAnsi="Times New Roman"/>
                <w:sz w:val="20"/>
                <w:vertAlign w:val="superscript"/>
                <w:lang w:val="el-GR"/>
              </w:rPr>
              <w:t>3</w:t>
            </w:r>
            <w:r w:rsidRPr="00AA2F31">
              <w:rPr>
                <w:rFonts w:ascii="Times New Roman" w:hAnsi="Times New Roman"/>
                <w:sz w:val="20"/>
                <w:lang w:val="el-GR"/>
              </w:rPr>
              <w:t>) από</w:t>
            </w:r>
            <w:r w:rsidRPr="00AA2F31">
              <w:rPr>
                <w:rFonts w:ascii="Times New Roman" w:hAnsi="Times New Roman"/>
                <w:spacing w:val="-3"/>
                <w:sz w:val="20"/>
                <w:lang w:val="el-GR"/>
              </w:rPr>
              <w:t xml:space="preserve"> </w:t>
            </w:r>
            <w:r w:rsidRPr="00AA2F31">
              <w:rPr>
                <w:rFonts w:ascii="Times New Roman" w:hAnsi="Times New Roman"/>
                <w:sz w:val="20"/>
                <w:lang w:val="el-GR"/>
              </w:rPr>
              <w:t>την</w:t>
            </w:r>
            <w:r w:rsidRPr="00AA2F31">
              <w:rPr>
                <w:rFonts w:ascii="Times New Roman" w:hAnsi="Times New Roman"/>
                <w:w w:val="99"/>
                <w:sz w:val="20"/>
                <w:lang w:val="el-GR"/>
              </w:rPr>
              <w:t xml:space="preserve"> </w:t>
            </w:r>
            <w:r w:rsidRPr="00AA2F31">
              <w:rPr>
                <w:rFonts w:ascii="Times New Roman" w:hAnsi="Times New Roman"/>
                <w:sz w:val="20"/>
                <w:lang w:val="el-GR"/>
              </w:rPr>
              <w:t>έναρξη</w:t>
            </w:r>
          </w:p>
        </w:tc>
        <w:tc>
          <w:tcPr>
            <w:tcW w:w="1819" w:type="dxa"/>
            <w:gridSpan w:val="2"/>
            <w:tcBorders>
              <w:top w:val="single" w:sz="4" w:space="0" w:color="000000"/>
              <w:left w:val="single" w:sz="4" w:space="0" w:color="000000"/>
              <w:bottom w:val="single" w:sz="4" w:space="0" w:color="000000"/>
              <w:right w:val="single" w:sz="4" w:space="0" w:color="000000"/>
            </w:tcBorders>
          </w:tcPr>
          <w:p w:rsidR="00645378" w:rsidRDefault="007134E2">
            <w:pPr>
              <w:pStyle w:val="TableParagraph"/>
              <w:jc w:val="center"/>
              <w:rPr>
                <w:rFonts w:ascii="Times New Roman" w:eastAsia="Times New Roman" w:hAnsi="Times New Roman" w:cs="Times New Roman"/>
                <w:sz w:val="20"/>
                <w:szCs w:val="20"/>
              </w:rPr>
            </w:pPr>
            <w:r>
              <w:rPr>
                <w:rFonts w:ascii="Times New Roman"/>
                <w:sz w:val="20"/>
              </w:rPr>
              <w:t>+190</w:t>
            </w:r>
          </w:p>
        </w:tc>
        <w:tc>
          <w:tcPr>
            <w:tcW w:w="1455"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2"/>
              <w:jc w:val="center"/>
              <w:rPr>
                <w:rFonts w:ascii="Times New Roman" w:eastAsia="Times New Roman" w:hAnsi="Times New Roman" w:cs="Times New Roman"/>
                <w:sz w:val="20"/>
                <w:szCs w:val="20"/>
              </w:rPr>
            </w:pPr>
            <w:r>
              <w:rPr>
                <w:rFonts w:ascii="Times New Roman"/>
                <w:sz w:val="20"/>
              </w:rPr>
              <w:t>+158</w:t>
            </w:r>
          </w:p>
        </w:tc>
        <w:tc>
          <w:tcPr>
            <w:tcW w:w="1836"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jc w:val="center"/>
              <w:rPr>
                <w:rFonts w:ascii="Times New Roman" w:eastAsia="Times New Roman" w:hAnsi="Times New Roman" w:cs="Times New Roman"/>
                <w:sz w:val="20"/>
                <w:szCs w:val="20"/>
              </w:rPr>
            </w:pPr>
            <w:r>
              <w:rPr>
                <w:rFonts w:ascii="Times New Roman"/>
                <w:sz w:val="20"/>
              </w:rPr>
              <w:t>+312</w:t>
            </w:r>
          </w:p>
        </w:tc>
        <w:tc>
          <w:tcPr>
            <w:tcW w:w="1963"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jc w:val="center"/>
              <w:rPr>
                <w:rFonts w:ascii="Times New Roman" w:eastAsia="Times New Roman" w:hAnsi="Times New Roman" w:cs="Times New Roman"/>
                <w:sz w:val="20"/>
                <w:szCs w:val="20"/>
              </w:rPr>
            </w:pPr>
            <w:r>
              <w:rPr>
                <w:rFonts w:ascii="Times New Roman"/>
                <w:sz w:val="20"/>
              </w:rPr>
              <w:t>+271</w:t>
            </w:r>
          </w:p>
        </w:tc>
      </w:tr>
      <w:tr w:rsidR="00645378" w:rsidTr="00554364">
        <w:trPr>
          <w:trHeight w:hRule="exact" w:val="245"/>
        </w:trPr>
        <w:tc>
          <w:tcPr>
            <w:tcW w:w="2729"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03"/>
              <w:rPr>
                <w:rFonts w:ascii="Times New Roman" w:eastAsia="Times New Roman" w:hAnsi="Times New Roman" w:cs="Times New Roman"/>
                <w:sz w:val="20"/>
                <w:szCs w:val="20"/>
              </w:rPr>
            </w:pPr>
            <w:r>
              <w:rPr>
                <w:rFonts w:ascii="Times New Roman" w:hAnsi="Times New Roman"/>
                <w:sz w:val="20"/>
              </w:rPr>
              <w:t>τιμή</w:t>
            </w:r>
            <w:r>
              <w:rPr>
                <w:rFonts w:ascii="Times New Roman" w:hAnsi="Times New Roman"/>
                <w:spacing w:val="-4"/>
                <w:sz w:val="20"/>
              </w:rPr>
              <w:t xml:space="preserve"> </w:t>
            </w:r>
            <w:r>
              <w:rPr>
                <w:rFonts w:ascii="Times New Roman" w:hAnsi="Times New Roman"/>
                <w:sz w:val="20"/>
              </w:rPr>
              <w:t>p</w:t>
            </w:r>
          </w:p>
        </w:tc>
        <w:tc>
          <w:tcPr>
            <w:tcW w:w="3274" w:type="dxa"/>
            <w:gridSpan w:val="3"/>
            <w:tcBorders>
              <w:top w:val="single" w:sz="4" w:space="0" w:color="000000"/>
              <w:left w:val="single" w:sz="4" w:space="0" w:color="000000"/>
              <w:bottom w:val="single" w:sz="4" w:space="0" w:color="000000"/>
              <w:right w:val="single" w:sz="4" w:space="0" w:color="000000"/>
            </w:tcBorders>
          </w:tcPr>
          <w:p w:rsidR="00645378" w:rsidRPr="00A85422" w:rsidRDefault="00A85422">
            <w:pPr>
              <w:pStyle w:val="TableParagraph"/>
              <w:spacing w:line="230" w:lineRule="exact"/>
              <w:ind w:left="2"/>
              <w:jc w:val="center"/>
              <w:rPr>
                <w:rFonts w:ascii="Times New Roman" w:eastAsia="Times New Roman" w:hAnsi="Times New Roman" w:cs="Times New Roman"/>
                <w:sz w:val="13"/>
                <w:szCs w:val="13"/>
              </w:rPr>
            </w:pPr>
            <w:r>
              <w:rPr>
                <w:rFonts w:ascii="Times New Roman"/>
                <w:sz w:val="20"/>
              </w:rPr>
              <w:t>0,00</w:t>
            </w:r>
            <w:r>
              <w:rPr>
                <w:rFonts w:ascii="Times New Roman"/>
                <w:sz w:val="20"/>
                <w:lang w:val="el-GR"/>
              </w:rPr>
              <w:t>2</w:t>
            </w:r>
            <w:r w:rsidRPr="00A85422">
              <w:rPr>
                <w:rFonts w:ascii="Times New Roman"/>
                <w:sz w:val="20"/>
                <w:vertAlign w:val="superscript"/>
              </w:rPr>
              <w:t>a</w:t>
            </w:r>
          </w:p>
        </w:tc>
        <w:tc>
          <w:tcPr>
            <w:tcW w:w="3799" w:type="dxa"/>
            <w:gridSpan w:val="2"/>
            <w:tcBorders>
              <w:top w:val="single" w:sz="4" w:space="0" w:color="000000"/>
              <w:left w:val="single" w:sz="4" w:space="0" w:color="000000"/>
              <w:bottom w:val="single" w:sz="4" w:space="0" w:color="000000"/>
              <w:right w:val="single" w:sz="4" w:space="0" w:color="000000"/>
            </w:tcBorders>
          </w:tcPr>
          <w:p w:rsidR="00645378" w:rsidRDefault="00A85422">
            <w:pPr>
              <w:pStyle w:val="TableParagraph"/>
              <w:spacing w:line="230" w:lineRule="exact"/>
              <w:jc w:val="center"/>
              <w:rPr>
                <w:rFonts w:ascii="Times New Roman" w:eastAsia="Times New Roman" w:hAnsi="Times New Roman" w:cs="Times New Roman"/>
                <w:sz w:val="13"/>
                <w:szCs w:val="13"/>
              </w:rPr>
            </w:pPr>
            <w:r>
              <w:rPr>
                <w:rFonts w:ascii="Times New Roman"/>
                <w:sz w:val="20"/>
              </w:rPr>
              <w:t>0,089</w:t>
            </w:r>
            <w:r w:rsidRPr="00A85422">
              <w:rPr>
                <w:rFonts w:ascii="Times New Roman"/>
                <w:sz w:val="20"/>
                <w:vertAlign w:val="superscript"/>
              </w:rPr>
              <w:t>a</w:t>
            </w:r>
          </w:p>
        </w:tc>
      </w:tr>
      <w:tr w:rsidR="00645378" w:rsidTr="00554364">
        <w:trPr>
          <w:trHeight w:hRule="exact" w:val="245"/>
        </w:trPr>
        <w:tc>
          <w:tcPr>
            <w:tcW w:w="2729" w:type="dxa"/>
            <w:tcBorders>
              <w:top w:val="single" w:sz="4" w:space="0" w:color="000000"/>
              <w:left w:val="single" w:sz="4" w:space="0" w:color="000000"/>
              <w:bottom w:val="single" w:sz="4" w:space="0" w:color="000000"/>
              <w:right w:val="single" w:sz="4" w:space="0" w:color="000000"/>
            </w:tcBorders>
          </w:tcPr>
          <w:p w:rsidR="00645378" w:rsidRDefault="007134E2">
            <w:pPr>
              <w:pStyle w:val="TableParagraph"/>
              <w:ind w:left="103"/>
              <w:rPr>
                <w:rFonts w:ascii="Times New Roman" w:eastAsia="Times New Roman" w:hAnsi="Times New Roman" w:cs="Times New Roman"/>
                <w:sz w:val="20"/>
                <w:szCs w:val="20"/>
              </w:rPr>
            </w:pPr>
            <w:r>
              <w:rPr>
                <w:rFonts w:ascii="Times New Roman" w:hAnsi="Times New Roman"/>
                <w:sz w:val="20"/>
              </w:rPr>
              <w:t>Διαφορά</w:t>
            </w:r>
            <w:r>
              <w:rPr>
                <w:rFonts w:ascii="Times New Roman" w:hAnsi="Times New Roman"/>
                <w:spacing w:val="-11"/>
                <w:sz w:val="20"/>
              </w:rPr>
              <w:t xml:space="preserve"> </w:t>
            </w:r>
            <w:r>
              <w:rPr>
                <w:rFonts w:ascii="Times New Roman" w:hAnsi="Times New Roman"/>
                <w:sz w:val="20"/>
              </w:rPr>
              <w:t>(95%CI)</w:t>
            </w:r>
          </w:p>
        </w:tc>
        <w:tc>
          <w:tcPr>
            <w:tcW w:w="3274" w:type="dxa"/>
            <w:gridSpan w:val="3"/>
            <w:tcBorders>
              <w:top w:val="single" w:sz="4" w:space="0" w:color="000000"/>
              <w:left w:val="single" w:sz="4" w:space="0" w:color="000000"/>
              <w:bottom w:val="single" w:sz="4" w:space="0" w:color="000000"/>
              <w:right w:val="single" w:sz="4" w:space="0" w:color="000000"/>
            </w:tcBorders>
          </w:tcPr>
          <w:p w:rsidR="00645378" w:rsidRDefault="007134E2">
            <w:pPr>
              <w:pStyle w:val="TableParagraph"/>
              <w:jc w:val="center"/>
              <w:rPr>
                <w:rFonts w:ascii="Times New Roman" w:eastAsia="Times New Roman" w:hAnsi="Times New Roman" w:cs="Times New Roman"/>
                <w:sz w:val="20"/>
                <w:szCs w:val="20"/>
              </w:rPr>
            </w:pPr>
            <w:r>
              <w:rPr>
                <w:rFonts w:ascii="Times New Roman" w:hAnsi="Times New Roman"/>
                <w:sz w:val="20"/>
              </w:rPr>
              <w:t>32 (9 έως</w:t>
            </w:r>
            <w:r>
              <w:rPr>
                <w:rFonts w:ascii="Times New Roman" w:hAnsi="Times New Roman"/>
                <w:spacing w:val="3"/>
                <w:sz w:val="20"/>
              </w:rPr>
              <w:t xml:space="preserve"> </w:t>
            </w:r>
            <w:r>
              <w:rPr>
                <w:rFonts w:ascii="Times New Roman" w:hAnsi="Times New Roman"/>
                <w:sz w:val="20"/>
              </w:rPr>
              <w:t>55)</w:t>
            </w:r>
          </w:p>
        </w:tc>
        <w:tc>
          <w:tcPr>
            <w:tcW w:w="3799" w:type="dxa"/>
            <w:gridSpan w:val="2"/>
            <w:tcBorders>
              <w:top w:val="single" w:sz="4" w:space="0" w:color="000000"/>
              <w:left w:val="single" w:sz="4" w:space="0" w:color="000000"/>
              <w:bottom w:val="single" w:sz="4" w:space="0" w:color="000000"/>
              <w:right w:val="single" w:sz="4" w:space="0" w:color="000000"/>
            </w:tcBorders>
          </w:tcPr>
          <w:p w:rsidR="00645378" w:rsidRDefault="007134E2">
            <w:pPr>
              <w:pStyle w:val="TableParagraph"/>
              <w:jc w:val="center"/>
              <w:rPr>
                <w:rFonts w:ascii="Times New Roman" w:eastAsia="Times New Roman" w:hAnsi="Times New Roman" w:cs="Times New Roman"/>
                <w:sz w:val="20"/>
                <w:szCs w:val="20"/>
              </w:rPr>
            </w:pPr>
            <w:r>
              <w:rPr>
                <w:rFonts w:ascii="Times New Roman" w:hAnsi="Times New Roman"/>
                <w:sz w:val="20"/>
              </w:rPr>
              <w:t>41 (4 έως</w:t>
            </w:r>
            <w:r>
              <w:rPr>
                <w:rFonts w:ascii="Times New Roman" w:hAnsi="Times New Roman"/>
                <w:spacing w:val="3"/>
                <w:sz w:val="20"/>
              </w:rPr>
              <w:t xml:space="preserve"> </w:t>
            </w:r>
            <w:r>
              <w:rPr>
                <w:rFonts w:ascii="Times New Roman" w:hAnsi="Times New Roman"/>
                <w:sz w:val="20"/>
              </w:rPr>
              <w:t>79)</w:t>
            </w:r>
          </w:p>
        </w:tc>
      </w:tr>
    </w:tbl>
    <w:p w:rsidR="00645378" w:rsidRPr="0087413F" w:rsidRDefault="007134E2" w:rsidP="004155A8">
      <w:pPr>
        <w:spacing w:before="3" w:line="212" w:lineRule="exact"/>
        <w:ind w:left="142"/>
        <w:rPr>
          <w:rFonts w:ascii="Times New Roman" w:eastAsia="Times New Roman" w:hAnsi="Times New Roman" w:cs="Times New Roman"/>
          <w:sz w:val="18"/>
          <w:szCs w:val="18"/>
          <w:lang w:val="el-GR"/>
        </w:rPr>
      </w:pPr>
      <w:r w:rsidRPr="0087413F">
        <w:rPr>
          <w:rFonts w:ascii="Times New Roman" w:hAnsi="Times New Roman"/>
          <w:b/>
          <w:sz w:val="18"/>
          <w:szCs w:val="18"/>
          <w:lang w:val="el-GR"/>
        </w:rPr>
        <w:t xml:space="preserve">* </w:t>
      </w:r>
      <w:r w:rsidR="00554364" w:rsidRPr="00554364">
        <w:rPr>
          <w:rFonts w:ascii="Times New Roman" w:hAnsi="Times New Roman"/>
          <w:sz w:val="18"/>
          <w:szCs w:val="18"/>
          <w:lang w:val="el-GR"/>
        </w:rPr>
        <w:t>Σε ασθενείς που ελάμβαναν εμτρισιταβίνη, τενοφοβίρη δισοπρόξιλη και εφαβιρένζη δόθηκε ο συνδυασμός της εμτρισιταβίνης και της τενοφοβίρης δισοπρόξιλης και εφαβιρένζη από την 96η εβδομάδα έως την 144η εβδομάδα</w:t>
      </w:r>
    </w:p>
    <w:p w:rsidR="00645378" w:rsidRPr="0087413F" w:rsidRDefault="007134E2" w:rsidP="0082050A">
      <w:pPr>
        <w:spacing w:line="244" w:lineRule="auto"/>
        <w:ind w:left="142"/>
        <w:rPr>
          <w:rFonts w:ascii="Times New Roman" w:eastAsia="Times New Roman" w:hAnsi="Times New Roman" w:cs="Times New Roman"/>
          <w:sz w:val="18"/>
          <w:szCs w:val="18"/>
          <w:lang w:val="el-GR"/>
        </w:rPr>
      </w:pPr>
      <w:r w:rsidRPr="0087413F">
        <w:rPr>
          <w:rFonts w:ascii="Times New Roman" w:hAnsi="Times New Roman"/>
          <w:spacing w:val="-3"/>
          <w:sz w:val="18"/>
          <w:szCs w:val="18"/>
          <w:lang w:val="el-GR"/>
        </w:rPr>
        <w:t xml:space="preserve">** </w:t>
      </w:r>
      <w:r w:rsidRPr="0087413F">
        <w:rPr>
          <w:rFonts w:ascii="Times New Roman" w:hAnsi="Times New Roman"/>
          <w:sz w:val="18"/>
          <w:szCs w:val="18"/>
          <w:lang w:val="el-GR"/>
        </w:rPr>
        <w:t xml:space="preserve">Η τιμή </w:t>
      </w:r>
      <w:r w:rsidRPr="0087413F">
        <w:rPr>
          <w:rFonts w:ascii="Times New Roman" w:hAnsi="Times New Roman"/>
          <w:sz w:val="18"/>
          <w:szCs w:val="18"/>
        </w:rPr>
        <w:t>p</w:t>
      </w:r>
      <w:r w:rsidRPr="0087413F">
        <w:rPr>
          <w:rFonts w:ascii="Times New Roman" w:hAnsi="Times New Roman"/>
          <w:sz w:val="18"/>
          <w:szCs w:val="18"/>
          <w:lang w:val="el-GR"/>
        </w:rPr>
        <w:t xml:space="preserve"> βασίστηκε στη δοκιμασία </w:t>
      </w:r>
      <w:r w:rsidRPr="0087413F">
        <w:rPr>
          <w:rFonts w:ascii="Times New Roman" w:hAnsi="Times New Roman"/>
          <w:sz w:val="18"/>
          <w:szCs w:val="18"/>
        </w:rPr>
        <w:t>Cochran</w:t>
      </w:r>
      <w:r w:rsidRPr="0087413F">
        <w:rPr>
          <w:rFonts w:ascii="Times New Roman" w:hAnsi="Times New Roman"/>
          <w:sz w:val="18"/>
          <w:szCs w:val="18"/>
          <w:lang w:val="el-GR"/>
        </w:rPr>
        <w:t>-</w:t>
      </w:r>
      <w:r w:rsidRPr="0087413F">
        <w:rPr>
          <w:rFonts w:ascii="Times New Roman" w:hAnsi="Times New Roman"/>
          <w:sz w:val="18"/>
          <w:szCs w:val="18"/>
        </w:rPr>
        <w:t>Mantel</w:t>
      </w:r>
      <w:r w:rsidRPr="0087413F">
        <w:rPr>
          <w:rFonts w:ascii="Times New Roman" w:hAnsi="Times New Roman"/>
          <w:sz w:val="18"/>
          <w:szCs w:val="18"/>
          <w:lang w:val="el-GR"/>
        </w:rPr>
        <w:t>-</w:t>
      </w:r>
      <w:r w:rsidRPr="0087413F">
        <w:rPr>
          <w:rFonts w:ascii="Times New Roman" w:hAnsi="Times New Roman"/>
          <w:sz w:val="18"/>
          <w:szCs w:val="18"/>
        </w:rPr>
        <w:t>Haenszel</w:t>
      </w:r>
      <w:r w:rsidRPr="0087413F">
        <w:rPr>
          <w:rFonts w:ascii="Times New Roman" w:hAnsi="Times New Roman"/>
          <w:sz w:val="18"/>
          <w:szCs w:val="18"/>
          <w:lang w:val="el-GR"/>
        </w:rPr>
        <w:t xml:space="preserve"> στρωματοποιημένη για τη μέτρηση των κυττάρων</w:t>
      </w:r>
      <w:r w:rsidRPr="0087413F">
        <w:rPr>
          <w:rFonts w:ascii="Times New Roman" w:hAnsi="Times New Roman"/>
          <w:spacing w:val="-27"/>
          <w:sz w:val="18"/>
          <w:szCs w:val="18"/>
          <w:lang w:val="el-GR"/>
        </w:rPr>
        <w:t xml:space="preserve"> </w:t>
      </w:r>
      <w:r w:rsidRPr="0087413F">
        <w:rPr>
          <w:rFonts w:ascii="Times New Roman" w:hAnsi="Times New Roman"/>
          <w:sz w:val="18"/>
          <w:szCs w:val="18"/>
        </w:rPr>
        <w:t>CD</w:t>
      </w:r>
      <w:r w:rsidRPr="0087413F">
        <w:rPr>
          <w:rFonts w:ascii="Times New Roman" w:hAnsi="Times New Roman"/>
          <w:sz w:val="18"/>
          <w:szCs w:val="18"/>
          <w:lang w:val="el-GR"/>
        </w:rPr>
        <w:t>4</w:t>
      </w:r>
      <w:r w:rsidRPr="0087413F">
        <w:rPr>
          <w:rFonts w:ascii="Times New Roman" w:hAnsi="Times New Roman"/>
          <w:spacing w:val="-1"/>
          <w:sz w:val="18"/>
          <w:szCs w:val="18"/>
          <w:lang w:val="el-GR"/>
        </w:rPr>
        <w:t xml:space="preserve"> </w:t>
      </w:r>
      <w:r w:rsidRPr="0087413F">
        <w:rPr>
          <w:rFonts w:ascii="Times New Roman" w:hAnsi="Times New Roman"/>
          <w:sz w:val="18"/>
          <w:szCs w:val="18"/>
          <w:lang w:val="el-GR"/>
        </w:rPr>
        <w:t>κατά την</w:t>
      </w:r>
      <w:r w:rsidRPr="0087413F">
        <w:rPr>
          <w:rFonts w:ascii="Times New Roman" w:hAnsi="Times New Roman"/>
          <w:spacing w:val="-10"/>
          <w:sz w:val="18"/>
          <w:szCs w:val="18"/>
          <w:lang w:val="el-GR"/>
        </w:rPr>
        <w:t xml:space="preserve"> </w:t>
      </w:r>
      <w:r w:rsidRPr="0087413F">
        <w:rPr>
          <w:rFonts w:ascii="Times New Roman" w:hAnsi="Times New Roman"/>
          <w:sz w:val="18"/>
          <w:szCs w:val="18"/>
          <w:lang w:val="el-GR"/>
        </w:rPr>
        <w:t>έναρξη.</w:t>
      </w:r>
    </w:p>
    <w:p w:rsidR="0087413F" w:rsidRPr="0087413F" w:rsidRDefault="007134E2" w:rsidP="0082050A">
      <w:pPr>
        <w:spacing w:line="244" w:lineRule="auto"/>
        <w:ind w:left="142"/>
        <w:rPr>
          <w:rFonts w:ascii="Times New Roman" w:hAnsi="Times New Roman"/>
          <w:sz w:val="18"/>
          <w:szCs w:val="18"/>
          <w:lang w:val="el-GR"/>
        </w:rPr>
      </w:pPr>
      <w:r w:rsidRPr="0087413F">
        <w:rPr>
          <w:rFonts w:ascii="Times New Roman" w:hAnsi="Times New Roman"/>
          <w:sz w:val="18"/>
          <w:szCs w:val="18"/>
        </w:rPr>
        <w:t>TLOVR</w:t>
      </w:r>
      <w:r w:rsidRPr="0087413F">
        <w:rPr>
          <w:rFonts w:ascii="Times New Roman" w:hAnsi="Times New Roman"/>
          <w:sz w:val="18"/>
          <w:szCs w:val="18"/>
          <w:lang w:val="el-GR"/>
        </w:rPr>
        <w:t>=</w:t>
      </w:r>
      <w:r w:rsidRPr="0087413F">
        <w:rPr>
          <w:rFonts w:ascii="Times New Roman" w:hAnsi="Times New Roman"/>
          <w:sz w:val="18"/>
          <w:szCs w:val="18"/>
        </w:rPr>
        <w:t>Time</w:t>
      </w:r>
      <w:r w:rsidRPr="0087413F">
        <w:rPr>
          <w:rFonts w:ascii="Times New Roman" w:hAnsi="Times New Roman"/>
          <w:spacing w:val="-4"/>
          <w:sz w:val="18"/>
          <w:szCs w:val="18"/>
          <w:lang w:val="el-GR"/>
        </w:rPr>
        <w:t xml:space="preserve"> </w:t>
      </w:r>
      <w:r w:rsidRPr="0087413F">
        <w:rPr>
          <w:rFonts w:ascii="Times New Roman" w:hAnsi="Times New Roman"/>
          <w:sz w:val="18"/>
          <w:szCs w:val="18"/>
        </w:rPr>
        <w:t>to</w:t>
      </w:r>
      <w:r w:rsidRPr="0087413F">
        <w:rPr>
          <w:rFonts w:ascii="Times New Roman" w:hAnsi="Times New Roman"/>
          <w:spacing w:val="-2"/>
          <w:sz w:val="18"/>
          <w:szCs w:val="18"/>
          <w:lang w:val="el-GR"/>
        </w:rPr>
        <w:t xml:space="preserve"> </w:t>
      </w:r>
      <w:r w:rsidRPr="0087413F">
        <w:rPr>
          <w:rFonts w:ascii="Times New Roman" w:hAnsi="Times New Roman"/>
          <w:sz w:val="18"/>
          <w:szCs w:val="18"/>
        </w:rPr>
        <w:t>Loss</w:t>
      </w:r>
      <w:r w:rsidRPr="0087413F">
        <w:rPr>
          <w:rFonts w:ascii="Times New Roman" w:hAnsi="Times New Roman"/>
          <w:spacing w:val="-3"/>
          <w:sz w:val="18"/>
          <w:szCs w:val="18"/>
          <w:lang w:val="el-GR"/>
        </w:rPr>
        <w:t xml:space="preserve"> </w:t>
      </w:r>
      <w:r w:rsidRPr="0087413F">
        <w:rPr>
          <w:rFonts w:ascii="Times New Roman" w:hAnsi="Times New Roman"/>
          <w:sz w:val="18"/>
          <w:szCs w:val="18"/>
        </w:rPr>
        <w:t>of</w:t>
      </w:r>
      <w:r w:rsidRPr="0087413F">
        <w:rPr>
          <w:rFonts w:ascii="Times New Roman" w:hAnsi="Times New Roman"/>
          <w:spacing w:val="-5"/>
          <w:sz w:val="18"/>
          <w:szCs w:val="18"/>
          <w:lang w:val="el-GR"/>
        </w:rPr>
        <w:t xml:space="preserve"> </w:t>
      </w:r>
      <w:r w:rsidRPr="0087413F">
        <w:rPr>
          <w:rFonts w:ascii="Times New Roman" w:hAnsi="Times New Roman"/>
          <w:sz w:val="18"/>
          <w:szCs w:val="18"/>
        </w:rPr>
        <w:t>Virologic</w:t>
      </w:r>
      <w:r w:rsidRPr="0087413F">
        <w:rPr>
          <w:rFonts w:ascii="Times New Roman" w:hAnsi="Times New Roman"/>
          <w:spacing w:val="-4"/>
          <w:sz w:val="18"/>
          <w:szCs w:val="18"/>
          <w:lang w:val="el-GR"/>
        </w:rPr>
        <w:t xml:space="preserve"> </w:t>
      </w:r>
      <w:r w:rsidRPr="0087413F">
        <w:rPr>
          <w:rFonts w:ascii="Times New Roman" w:hAnsi="Times New Roman"/>
          <w:sz w:val="18"/>
          <w:szCs w:val="18"/>
        </w:rPr>
        <w:t>Response</w:t>
      </w:r>
      <w:r w:rsidRPr="0087413F">
        <w:rPr>
          <w:rFonts w:ascii="Times New Roman" w:hAnsi="Times New Roman"/>
          <w:spacing w:val="-4"/>
          <w:sz w:val="18"/>
          <w:szCs w:val="18"/>
          <w:lang w:val="el-GR"/>
        </w:rPr>
        <w:t xml:space="preserve"> </w:t>
      </w:r>
      <w:r w:rsidRPr="0087413F">
        <w:rPr>
          <w:rFonts w:ascii="Times New Roman" w:hAnsi="Times New Roman"/>
          <w:sz w:val="18"/>
          <w:szCs w:val="18"/>
          <w:lang w:val="el-GR"/>
        </w:rPr>
        <w:t>(Χρόνος</w:t>
      </w:r>
      <w:r w:rsidRPr="0087413F">
        <w:rPr>
          <w:rFonts w:ascii="Times New Roman" w:hAnsi="Times New Roman"/>
          <w:spacing w:val="-2"/>
          <w:sz w:val="18"/>
          <w:szCs w:val="18"/>
          <w:lang w:val="el-GR"/>
        </w:rPr>
        <w:t xml:space="preserve"> </w:t>
      </w:r>
      <w:r w:rsidRPr="0087413F">
        <w:rPr>
          <w:rFonts w:ascii="Times New Roman" w:hAnsi="Times New Roman"/>
          <w:sz w:val="18"/>
          <w:szCs w:val="18"/>
          <w:lang w:val="el-GR"/>
        </w:rPr>
        <w:t>μέχρι</w:t>
      </w:r>
      <w:r w:rsidRPr="0087413F">
        <w:rPr>
          <w:rFonts w:ascii="Times New Roman" w:hAnsi="Times New Roman"/>
          <w:spacing w:val="-3"/>
          <w:sz w:val="18"/>
          <w:szCs w:val="18"/>
          <w:lang w:val="el-GR"/>
        </w:rPr>
        <w:t xml:space="preserve"> </w:t>
      </w:r>
      <w:r w:rsidRPr="0087413F">
        <w:rPr>
          <w:rFonts w:ascii="Times New Roman" w:hAnsi="Times New Roman"/>
          <w:sz w:val="18"/>
          <w:szCs w:val="18"/>
          <w:lang w:val="el-GR"/>
        </w:rPr>
        <w:t>την</w:t>
      </w:r>
      <w:r w:rsidRPr="0087413F">
        <w:rPr>
          <w:rFonts w:ascii="Times New Roman" w:hAnsi="Times New Roman"/>
          <w:spacing w:val="-3"/>
          <w:sz w:val="18"/>
          <w:szCs w:val="18"/>
          <w:lang w:val="el-GR"/>
        </w:rPr>
        <w:t xml:space="preserve"> </w:t>
      </w:r>
      <w:r w:rsidRPr="0087413F">
        <w:rPr>
          <w:rFonts w:ascii="Times New Roman" w:hAnsi="Times New Roman"/>
          <w:sz w:val="18"/>
          <w:szCs w:val="18"/>
          <w:lang w:val="el-GR"/>
        </w:rPr>
        <w:t>Απώλεια</w:t>
      </w:r>
      <w:r w:rsidRPr="0087413F">
        <w:rPr>
          <w:rFonts w:ascii="Times New Roman" w:hAnsi="Times New Roman"/>
          <w:spacing w:val="-4"/>
          <w:sz w:val="18"/>
          <w:szCs w:val="18"/>
          <w:lang w:val="el-GR"/>
        </w:rPr>
        <w:t xml:space="preserve"> </w:t>
      </w:r>
      <w:r w:rsidRPr="0087413F">
        <w:rPr>
          <w:rFonts w:ascii="Times New Roman" w:hAnsi="Times New Roman"/>
          <w:sz w:val="18"/>
          <w:szCs w:val="18"/>
          <w:lang w:val="el-GR"/>
        </w:rPr>
        <w:t>Ιολογικής</w:t>
      </w:r>
      <w:r w:rsidRPr="0087413F">
        <w:rPr>
          <w:rFonts w:ascii="Times New Roman" w:hAnsi="Times New Roman"/>
          <w:spacing w:val="-2"/>
          <w:sz w:val="18"/>
          <w:szCs w:val="18"/>
          <w:lang w:val="el-GR"/>
        </w:rPr>
        <w:t xml:space="preserve"> </w:t>
      </w:r>
      <w:r w:rsidRPr="0087413F">
        <w:rPr>
          <w:rFonts w:ascii="Times New Roman" w:hAnsi="Times New Roman"/>
          <w:sz w:val="18"/>
          <w:szCs w:val="18"/>
          <w:lang w:val="el-GR"/>
        </w:rPr>
        <w:t xml:space="preserve">Ανταπόκρισης) </w:t>
      </w:r>
    </w:p>
    <w:p w:rsidR="00645378" w:rsidRPr="0087413F" w:rsidRDefault="007134E2" w:rsidP="0082050A">
      <w:pPr>
        <w:spacing w:line="244" w:lineRule="auto"/>
        <w:ind w:left="142"/>
        <w:rPr>
          <w:rFonts w:ascii="Times New Roman" w:eastAsia="Times New Roman" w:hAnsi="Times New Roman" w:cs="Times New Roman"/>
          <w:sz w:val="18"/>
          <w:szCs w:val="18"/>
          <w:lang w:val="el-GR"/>
        </w:rPr>
      </w:pPr>
      <w:r w:rsidRPr="0087413F">
        <w:rPr>
          <w:rFonts w:ascii="Times New Roman" w:hAnsi="Times New Roman"/>
          <w:sz w:val="18"/>
          <w:szCs w:val="18"/>
        </w:rPr>
        <w:t>a</w:t>
      </w:r>
      <w:r w:rsidRPr="0087413F">
        <w:rPr>
          <w:rFonts w:ascii="Times New Roman" w:hAnsi="Times New Roman"/>
          <w:sz w:val="18"/>
          <w:szCs w:val="18"/>
          <w:lang w:val="el-GR"/>
        </w:rPr>
        <w:t xml:space="preserve">:   Δοκιμασία </w:t>
      </w:r>
      <w:r w:rsidRPr="0087413F">
        <w:rPr>
          <w:rFonts w:ascii="Times New Roman" w:hAnsi="Times New Roman"/>
          <w:sz w:val="18"/>
          <w:szCs w:val="18"/>
        </w:rPr>
        <w:t>Van</w:t>
      </w:r>
      <w:r w:rsidRPr="0087413F">
        <w:rPr>
          <w:rFonts w:ascii="Times New Roman" w:hAnsi="Times New Roman"/>
          <w:spacing w:val="9"/>
          <w:sz w:val="18"/>
          <w:szCs w:val="18"/>
          <w:lang w:val="el-GR"/>
        </w:rPr>
        <w:t xml:space="preserve"> </w:t>
      </w:r>
      <w:r w:rsidRPr="0087413F">
        <w:rPr>
          <w:rFonts w:ascii="Times New Roman" w:hAnsi="Times New Roman"/>
          <w:sz w:val="18"/>
          <w:szCs w:val="18"/>
        </w:rPr>
        <w:t>Elteren</w:t>
      </w:r>
    </w:p>
    <w:p w:rsidR="00645378" w:rsidRPr="009E32D3" w:rsidRDefault="00645378">
      <w:pPr>
        <w:spacing w:before="5"/>
        <w:rPr>
          <w:rFonts w:ascii="Times New Roman" w:eastAsia="Times New Roman" w:hAnsi="Times New Roman" w:cs="Times New Roman"/>
          <w:lang w:val="el-GR"/>
        </w:rPr>
      </w:pPr>
    </w:p>
    <w:p w:rsidR="00554364" w:rsidRDefault="00554364" w:rsidP="0082050A">
      <w:pPr>
        <w:pStyle w:val="a3"/>
        <w:spacing w:line="244" w:lineRule="auto"/>
        <w:ind w:left="142"/>
        <w:rPr>
          <w:lang w:val="el-GR"/>
        </w:rPr>
      </w:pPr>
      <w:r w:rsidRPr="00554364">
        <w:rPr>
          <w:lang w:val="el-GR"/>
        </w:rPr>
        <w:t xml:space="preserve">Σε ξεχωριστή τυχαιοποιημένη κλινική μελέτη (Μ02-418), εκατόν ενενήντα πρωτοθεραπευόμενοι με αντιρετροϊκή αγωγή ενήλικες έλαβαν επίσης εμτρισιταβίνη και τενοφοβίρη δισοπρόξιλη μία φορά ημερησίως σε συνδυασμό με λοπιναβίρη/ριτοναβίρη μία ή δύο φορές ημερησίως. Την 48η εβδομάδα το 70% των ασθενών σε σχήμα λοπιναβίρης/ριτοναβίρης μία φορά ημερησίως και το 64% των ασθενών σε σχήμα λοπιναβίρης/ριτοναβίρης δύο φορές ημερησίως, έδειξαν HIV-1 RNA &lt; 50 αντίγραφα/ml. Οι μέσες μεταβολές στον αριθμό κυττάρων CD4 από την έναρξη της θεραπείας ήταν +185 κύτταρα/mm3 και +196 κύτταρα/mm3 με τα δύο σχήματα λοπιναβίρης/ριτοναβίρης μία φορά ημερησίως και δύο φορές ημερησίως, αντίστοιχα. </w:t>
      </w:r>
    </w:p>
    <w:p w:rsidR="00645378" w:rsidRPr="009E32D3" w:rsidRDefault="007134E2" w:rsidP="0082050A">
      <w:pPr>
        <w:pStyle w:val="a3"/>
        <w:spacing w:line="244" w:lineRule="auto"/>
        <w:ind w:left="142"/>
        <w:rPr>
          <w:lang w:val="el-GR"/>
        </w:rPr>
      </w:pPr>
      <w:r w:rsidRPr="009E32D3">
        <w:rPr>
          <w:lang w:val="el-GR"/>
        </w:rPr>
        <w:t xml:space="preserve">Η περιορισμένη κλινική εμπειρία από ασθενείς με συνυπάρχουσα </w:t>
      </w:r>
      <w:r>
        <w:rPr>
          <w:spacing w:val="-2"/>
        </w:rPr>
        <w:t>HIV</w:t>
      </w:r>
      <w:r w:rsidRPr="009E32D3">
        <w:rPr>
          <w:spacing w:val="-2"/>
          <w:lang w:val="el-GR"/>
        </w:rPr>
        <w:t xml:space="preserve"> </w:t>
      </w:r>
      <w:r w:rsidRPr="009E32D3">
        <w:rPr>
          <w:lang w:val="el-GR"/>
        </w:rPr>
        <w:t xml:space="preserve">και </w:t>
      </w:r>
      <w:r>
        <w:t>HBV</w:t>
      </w:r>
      <w:r w:rsidRPr="009E32D3">
        <w:rPr>
          <w:lang w:val="el-GR"/>
        </w:rPr>
        <w:t xml:space="preserve"> λοίμωξη</w:t>
      </w:r>
      <w:r w:rsidRPr="009E32D3">
        <w:rPr>
          <w:spacing w:val="6"/>
          <w:lang w:val="el-GR"/>
        </w:rPr>
        <w:t xml:space="preserve"> </w:t>
      </w:r>
      <w:r w:rsidRPr="009E32D3">
        <w:rPr>
          <w:lang w:val="el-GR"/>
        </w:rPr>
        <w:t>υποδεικνύει ότι</w:t>
      </w:r>
      <w:r w:rsidRPr="009E32D3">
        <w:rPr>
          <w:spacing w:val="1"/>
          <w:lang w:val="el-GR"/>
        </w:rPr>
        <w:t xml:space="preserve"> </w:t>
      </w:r>
      <w:r w:rsidRPr="009E32D3">
        <w:rPr>
          <w:lang w:val="el-GR"/>
        </w:rPr>
        <w:t>η αγωγή με</w:t>
      </w:r>
      <w:r w:rsidRPr="009E32D3">
        <w:rPr>
          <w:spacing w:val="2"/>
          <w:lang w:val="el-GR"/>
        </w:rPr>
        <w:t xml:space="preserve"> </w:t>
      </w:r>
      <w:r w:rsidR="00E35EA6">
        <w:rPr>
          <w:spacing w:val="2"/>
          <w:lang w:val="el-GR"/>
        </w:rPr>
        <w:t xml:space="preserve">εμτρισιταβίνη </w:t>
      </w:r>
      <w:r w:rsidRPr="009E32D3">
        <w:rPr>
          <w:lang w:val="el-GR"/>
        </w:rPr>
        <w:t xml:space="preserve">ή </w:t>
      </w:r>
      <w:r w:rsidR="00E35EA6">
        <w:rPr>
          <w:lang w:val="el-GR"/>
        </w:rPr>
        <w:t>τενοφοβίρη δισοπρόξιλη</w:t>
      </w:r>
      <w:r w:rsidRPr="009E32D3">
        <w:rPr>
          <w:spacing w:val="1"/>
          <w:lang w:val="el-GR"/>
        </w:rPr>
        <w:t xml:space="preserve"> </w:t>
      </w:r>
      <w:r w:rsidRPr="009E32D3">
        <w:rPr>
          <w:lang w:val="el-GR"/>
        </w:rPr>
        <w:t>ως συνδυασμένη αντιρετροϊκή θεραπεία</w:t>
      </w:r>
      <w:r w:rsidR="00E35EA6">
        <w:rPr>
          <w:lang w:val="el-GR"/>
        </w:rPr>
        <w:t xml:space="preserve"> </w:t>
      </w:r>
      <w:r w:rsidRPr="009E32D3">
        <w:rPr>
          <w:spacing w:val="-53"/>
          <w:lang w:val="el-GR"/>
        </w:rPr>
        <w:t xml:space="preserve"> </w:t>
      </w:r>
      <w:r w:rsidRPr="009E32D3">
        <w:rPr>
          <w:lang w:val="el-GR"/>
        </w:rPr>
        <w:t xml:space="preserve">για την καταπολέμηση της </w:t>
      </w:r>
      <w:r>
        <w:rPr>
          <w:spacing w:val="-2"/>
        </w:rPr>
        <w:t>HIV</w:t>
      </w:r>
      <w:r w:rsidRPr="009E32D3">
        <w:rPr>
          <w:spacing w:val="-2"/>
          <w:lang w:val="el-GR"/>
        </w:rPr>
        <w:t xml:space="preserve"> </w:t>
      </w:r>
      <w:r w:rsidRPr="009E32D3">
        <w:rPr>
          <w:lang w:val="el-GR"/>
        </w:rPr>
        <w:t xml:space="preserve">λοίμωξης, έχει επίσης ως αποτέλεσμα τη μείωση των </w:t>
      </w:r>
      <w:r>
        <w:t>HBV</w:t>
      </w:r>
      <w:r w:rsidRPr="009E32D3">
        <w:rPr>
          <w:lang w:val="el-GR"/>
        </w:rPr>
        <w:t xml:space="preserve"> </w:t>
      </w:r>
      <w:r w:rsidR="005C1BB7">
        <w:rPr>
          <w:spacing w:val="-2"/>
        </w:rPr>
        <w:t>DNA</w:t>
      </w:r>
      <w:r w:rsidR="005C1BB7" w:rsidRPr="005C1BB7">
        <w:rPr>
          <w:spacing w:val="-2"/>
          <w:lang w:val="el-GR"/>
        </w:rPr>
        <w:t xml:space="preserve"> </w:t>
      </w:r>
      <w:r w:rsidRPr="009E32D3">
        <w:rPr>
          <w:spacing w:val="-49"/>
          <w:lang w:val="el-GR"/>
        </w:rPr>
        <w:t xml:space="preserve"> </w:t>
      </w:r>
      <w:r w:rsidRPr="009E32D3">
        <w:rPr>
          <w:lang w:val="el-GR"/>
        </w:rPr>
        <w:t xml:space="preserve">(μείωση 3 </w:t>
      </w:r>
      <w:r>
        <w:t>log</w:t>
      </w:r>
      <w:r w:rsidR="00E646A7" w:rsidRPr="00E646A7">
        <w:rPr>
          <w:vertAlign w:val="subscript"/>
          <w:lang w:val="el-GR"/>
        </w:rPr>
        <w:t>10</w:t>
      </w:r>
      <w:r w:rsidRPr="009E32D3">
        <w:rPr>
          <w:position w:val="-2"/>
          <w:sz w:val="14"/>
          <w:lang w:val="el-GR"/>
        </w:rPr>
        <w:t xml:space="preserve">  </w:t>
      </w:r>
      <w:r w:rsidRPr="009E32D3">
        <w:rPr>
          <w:lang w:val="el-GR"/>
        </w:rPr>
        <w:t xml:space="preserve">ή μείωση 4 έως 5 </w:t>
      </w:r>
      <w:r>
        <w:t>log</w:t>
      </w:r>
      <w:r w:rsidR="00E646A7" w:rsidRPr="00E646A7">
        <w:rPr>
          <w:vertAlign w:val="subscript"/>
          <w:lang w:val="el-GR"/>
        </w:rPr>
        <w:t>10</w:t>
      </w:r>
      <w:r w:rsidRPr="009E32D3">
        <w:rPr>
          <w:position w:val="-2"/>
          <w:sz w:val="14"/>
          <w:lang w:val="el-GR"/>
        </w:rPr>
        <w:t xml:space="preserve">  </w:t>
      </w:r>
      <w:r w:rsidRPr="009E32D3">
        <w:rPr>
          <w:lang w:val="el-GR"/>
        </w:rPr>
        <w:t>αντίστοιχα) (βλ. παράγραφο</w:t>
      </w:r>
      <w:r w:rsidRPr="009E32D3">
        <w:rPr>
          <w:spacing w:val="-26"/>
          <w:lang w:val="el-GR"/>
        </w:rPr>
        <w:t xml:space="preserve"> </w:t>
      </w:r>
      <w:r w:rsidRPr="009E32D3">
        <w:rPr>
          <w:lang w:val="el-GR"/>
        </w:rPr>
        <w:t>4.4).</w:t>
      </w:r>
    </w:p>
    <w:p w:rsidR="00645378" w:rsidRPr="009E32D3" w:rsidRDefault="00645378" w:rsidP="0082050A">
      <w:pPr>
        <w:spacing w:before="6"/>
        <w:ind w:left="142"/>
        <w:rPr>
          <w:rFonts w:ascii="Times New Roman" w:eastAsia="Times New Roman" w:hAnsi="Times New Roman" w:cs="Times New Roman"/>
          <w:sz w:val="21"/>
          <w:szCs w:val="21"/>
          <w:lang w:val="el-GR"/>
        </w:rPr>
      </w:pPr>
    </w:p>
    <w:p w:rsidR="00645378" w:rsidRPr="009E32D3" w:rsidRDefault="007134E2" w:rsidP="0082050A">
      <w:pPr>
        <w:pStyle w:val="a3"/>
        <w:ind w:left="142"/>
        <w:rPr>
          <w:lang w:val="el-GR"/>
        </w:rPr>
      </w:pPr>
      <w:r w:rsidRPr="009E32D3">
        <w:rPr>
          <w:u w:val="single" w:color="000000"/>
          <w:lang w:val="el-GR"/>
        </w:rPr>
        <w:t>Παιδιατρικός</w:t>
      </w:r>
      <w:r w:rsidRPr="009E32D3">
        <w:rPr>
          <w:spacing w:val="-4"/>
          <w:u w:val="single" w:color="000000"/>
          <w:lang w:val="el-GR"/>
        </w:rPr>
        <w:t xml:space="preserve"> </w:t>
      </w:r>
      <w:r w:rsidRPr="009E32D3">
        <w:rPr>
          <w:u w:val="single" w:color="000000"/>
          <w:lang w:val="el-GR"/>
        </w:rPr>
        <w:t>πληθυσμός</w:t>
      </w:r>
    </w:p>
    <w:p w:rsidR="00645378" w:rsidRPr="009E32D3" w:rsidRDefault="007134E2" w:rsidP="0082050A">
      <w:pPr>
        <w:pStyle w:val="a3"/>
        <w:spacing w:before="6" w:line="244" w:lineRule="auto"/>
        <w:ind w:left="142"/>
        <w:rPr>
          <w:lang w:val="el-GR"/>
        </w:rPr>
      </w:pPr>
      <w:r w:rsidRPr="009E32D3">
        <w:rPr>
          <w:lang w:val="el-GR"/>
        </w:rPr>
        <w:t xml:space="preserve">Η ασφάλεια και η αποτελεσματικότητα </w:t>
      </w:r>
      <w:r w:rsidR="00690A66">
        <w:rPr>
          <w:lang w:val="el-GR"/>
        </w:rPr>
        <w:t>της</w:t>
      </w:r>
      <w:r w:rsidR="00CC28CE">
        <w:rPr>
          <w:lang w:val="el-GR"/>
        </w:rPr>
        <w:t xml:space="preserve"> εμτρισιταβίνης</w:t>
      </w:r>
      <w:r w:rsidR="00690A66">
        <w:rPr>
          <w:lang w:val="el-GR"/>
        </w:rPr>
        <w:t xml:space="preserve"> και </w:t>
      </w:r>
      <w:r w:rsidR="00CC28CE">
        <w:rPr>
          <w:lang w:val="el-GR"/>
        </w:rPr>
        <w:t xml:space="preserve">τενοφοβίρης δισοπρόξιλης </w:t>
      </w:r>
      <w:r w:rsidRPr="009E32D3">
        <w:rPr>
          <w:lang w:val="el-GR"/>
        </w:rPr>
        <w:t>σε παιδιά ηλικίας κάτω των 18 ετών δεν</w:t>
      </w:r>
      <w:r w:rsidRPr="009E32D3">
        <w:rPr>
          <w:spacing w:val="8"/>
          <w:lang w:val="el-GR"/>
        </w:rPr>
        <w:t xml:space="preserve"> </w:t>
      </w:r>
      <w:r w:rsidRPr="009E32D3">
        <w:rPr>
          <w:lang w:val="el-GR"/>
        </w:rPr>
        <w:t>έχουν ακόμα</w:t>
      </w:r>
      <w:r w:rsidRPr="009E32D3">
        <w:rPr>
          <w:spacing w:val="-1"/>
          <w:lang w:val="el-GR"/>
        </w:rPr>
        <w:t xml:space="preserve"> </w:t>
      </w:r>
      <w:r w:rsidRPr="009E32D3">
        <w:rPr>
          <w:lang w:val="el-GR"/>
        </w:rPr>
        <w:t>τεκμηριωθεί.</w:t>
      </w:r>
    </w:p>
    <w:p w:rsidR="000F078F" w:rsidRPr="00071DB5" w:rsidRDefault="000F078F" w:rsidP="0082050A">
      <w:pPr>
        <w:pStyle w:val="1"/>
        <w:tabs>
          <w:tab w:val="left" w:pos="785"/>
        </w:tabs>
        <w:ind w:left="142"/>
        <w:rPr>
          <w:b w:val="0"/>
          <w:bCs w:val="0"/>
          <w:lang w:val="el-GR"/>
        </w:rPr>
      </w:pPr>
    </w:p>
    <w:p w:rsidR="00645378" w:rsidRDefault="007134E2" w:rsidP="0082050A">
      <w:pPr>
        <w:pStyle w:val="1"/>
        <w:numPr>
          <w:ilvl w:val="1"/>
          <w:numId w:val="5"/>
        </w:numPr>
        <w:tabs>
          <w:tab w:val="left" w:pos="785"/>
        </w:tabs>
        <w:ind w:left="142" w:firstLine="0"/>
        <w:rPr>
          <w:b w:val="0"/>
          <w:bCs w:val="0"/>
        </w:rPr>
      </w:pPr>
      <w:r>
        <w:t>Φαρμακοκινητικές</w:t>
      </w:r>
      <w:r>
        <w:rPr>
          <w:spacing w:val="-1"/>
        </w:rPr>
        <w:t xml:space="preserve"> </w:t>
      </w:r>
      <w:r>
        <w:t>ιδιότητες</w:t>
      </w:r>
    </w:p>
    <w:p w:rsidR="00645378" w:rsidRDefault="00645378" w:rsidP="0082050A">
      <w:pPr>
        <w:spacing w:before="8"/>
        <w:ind w:left="142"/>
        <w:rPr>
          <w:rFonts w:ascii="Times New Roman" w:eastAsia="Times New Roman" w:hAnsi="Times New Roman" w:cs="Times New Roman"/>
          <w:b/>
          <w:bCs/>
        </w:rPr>
      </w:pPr>
    </w:p>
    <w:p w:rsidR="00645378" w:rsidRDefault="007134E2" w:rsidP="0082050A">
      <w:pPr>
        <w:pStyle w:val="a3"/>
        <w:ind w:left="142"/>
      </w:pPr>
      <w:r>
        <w:rPr>
          <w:u w:val="single" w:color="000000"/>
        </w:rPr>
        <w:t>Απορρόφηση</w:t>
      </w:r>
    </w:p>
    <w:p w:rsidR="00645378" w:rsidRPr="009E32D3" w:rsidRDefault="007134E2" w:rsidP="0082050A">
      <w:pPr>
        <w:pStyle w:val="a3"/>
        <w:spacing w:before="6" w:line="244" w:lineRule="auto"/>
        <w:ind w:left="142"/>
        <w:rPr>
          <w:lang w:val="el-GR"/>
        </w:rPr>
      </w:pPr>
      <w:r w:rsidRPr="000D546F">
        <w:rPr>
          <w:lang w:val="el-GR"/>
        </w:rPr>
        <w:t xml:space="preserve">Η βιοϊσοδυναμία ενός επικαλυμμένου με λεπτό υμένιο δισκίου </w:t>
      </w:r>
      <w:r w:rsidR="000D546F">
        <w:rPr>
          <w:lang w:val="el-GR"/>
        </w:rPr>
        <w:t>εμτρισιταβίνης</w:t>
      </w:r>
      <w:r w:rsidR="00690A66">
        <w:rPr>
          <w:lang w:val="el-GR"/>
        </w:rPr>
        <w:t xml:space="preserve"> και </w:t>
      </w:r>
      <w:r w:rsidR="000D546F">
        <w:rPr>
          <w:lang w:val="el-GR"/>
        </w:rPr>
        <w:t>τενοφοβίρης δισοπρόξιλης με ένα σκληρό καψάκιο εμτρισιταβίνης 200</w:t>
      </w:r>
      <w:r>
        <w:t>mg</w:t>
      </w:r>
      <w:r w:rsidRPr="000D546F">
        <w:rPr>
          <w:lang w:val="el-GR"/>
        </w:rPr>
        <w:t xml:space="preserve"> και ένα επικαλυμμένο με λεπτό υμένιο δισκίο </w:t>
      </w:r>
      <w:r w:rsidR="000D546F">
        <w:rPr>
          <w:lang w:val="el-GR"/>
        </w:rPr>
        <w:t>τενοφοβίρης δισοπρόξιλης</w:t>
      </w:r>
      <w:r w:rsidR="000D546F" w:rsidRPr="009E32D3">
        <w:rPr>
          <w:lang w:val="el-GR"/>
        </w:rPr>
        <w:t xml:space="preserve"> </w:t>
      </w:r>
      <w:r w:rsidR="000D546F">
        <w:rPr>
          <w:lang w:val="el-GR"/>
        </w:rPr>
        <w:t>245</w:t>
      </w:r>
      <w:r w:rsidR="000D546F">
        <w:t>mg</w:t>
      </w:r>
      <w:r w:rsidR="000D546F" w:rsidRPr="000D546F">
        <w:rPr>
          <w:lang w:val="el-GR"/>
        </w:rPr>
        <w:t xml:space="preserve"> </w:t>
      </w:r>
      <w:r w:rsidRPr="000D546F">
        <w:rPr>
          <w:spacing w:val="-46"/>
          <w:lang w:val="el-GR"/>
        </w:rPr>
        <w:t xml:space="preserve"> </w:t>
      </w:r>
      <w:r w:rsidRPr="000D546F">
        <w:rPr>
          <w:lang w:val="el-GR"/>
        </w:rPr>
        <w:t>απεδείχθη μετά από χορήγηση μονήρους δόσης σε νηστικούς υγιείς εθελοντές. Μετά την από του</w:t>
      </w:r>
      <w:r w:rsidR="00D22D23">
        <w:rPr>
          <w:lang w:val="el-GR"/>
        </w:rPr>
        <w:t xml:space="preserve"> </w:t>
      </w:r>
      <w:r w:rsidRPr="000D546F">
        <w:rPr>
          <w:spacing w:val="-52"/>
          <w:lang w:val="el-GR"/>
        </w:rPr>
        <w:t xml:space="preserve"> </w:t>
      </w:r>
      <w:r w:rsidRPr="000D546F">
        <w:rPr>
          <w:lang w:val="el-GR"/>
        </w:rPr>
        <w:t xml:space="preserve">στόματος χορήγηση </w:t>
      </w:r>
      <w:r w:rsidR="00690A66">
        <w:rPr>
          <w:lang w:val="el-GR"/>
        </w:rPr>
        <w:t>της</w:t>
      </w:r>
      <w:r w:rsidR="000D546F" w:rsidRPr="000D546F">
        <w:rPr>
          <w:lang w:val="el-GR"/>
        </w:rPr>
        <w:t xml:space="preserve"> </w:t>
      </w:r>
      <w:r w:rsidR="000D546F">
        <w:rPr>
          <w:lang w:val="el-GR"/>
        </w:rPr>
        <w:t>εμτρισιταβίνης</w:t>
      </w:r>
      <w:r w:rsidR="00690A66">
        <w:rPr>
          <w:lang w:val="el-GR"/>
        </w:rPr>
        <w:t xml:space="preserve"> και </w:t>
      </w:r>
      <w:r w:rsidR="000D546F">
        <w:rPr>
          <w:lang w:val="el-GR"/>
        </w:rPr>
        <w:t xml:space="preserve">τενοφοβίρης δισοπρόξιλης </w:t>
      </w:r>
      <w:r w:rsidRPr="000D546F">
        <w:rPr>
          <w:lang w:val="el-GR"/>
        </w:rPr>
        <w:t>σε</w:t>
      </w:r>
      <w:r w:rsidRPr="000D546F">
        <w:rPr>
          <w:spacing w:val="2"/>
          <w:lang w:val="el-GR"/>
        </w:rPr>
        <w:t xml:space="preserve"> </w:t>
      </w:r>
      <w:r w:rsidRPr="000D546F">
        <w:rPr>
          <w:lang w:val="el-GR"/>
        </w:rPr>
        <w:t>υγιή άτομα,</w:t>
      </w:r>
      <w:r w:rsidRPr="000D546F">
        <w:rPr>
          <w:spacing w:val="1"/>
          <w:lang w:val="el-GR"/>
        </w:rPr>
        <w:t xml:space="preserve"> </w:t>
      </w:r>
      <w:r w:rsidRPr="000D546F">
        <w:rPr>
          <w:lang w:val="el-GR"/>
        </w:rPr>
        <w:t xml:space="preserve">η </w:t>
      </w:r>
      <w:r w:rsidR="000D546F">
        <w:rPr>
          <w:lang w:val="el-GR"/>
        </w:rPr>
        <w:t>εμτρισιταβίνη</w:t>
      </w:r>
      <w:r w:rsidRPr="000D546F">
        <w:rPr>
          <w:spacing w:val="1"/>
          <w:lang w:val="el-GR"/>
        </w:rPr>
        <w:t xml:space="preserve"> </w:t>
      </w:r>
      <w:r w:rsidRPr="000D546F">
        <w:rPr>
          <w:lang w:val="el-GR"/>
        </w:rPr>
        <w:t>και</w:t>
      </w:r>
      <w:r w:rsidRPr="000D546F">
        <w:rPr>
          <w:spacing w:val="1"/>
          <w:lang w:val="el-GR"/>
        </w:rPr>
        <w:t xml:space="preserve"> </w:t>
      </w:r>
      <w:r w:rsidR="000D546F">
        <w:rPr>
          <w:spacing w:val="1"/>
          <w:lang w:val="el-GR"/>
        </w:rPr>
        <w:t xml:space="preserve">η τενοφοβίρη δισοπρόξιλη </w:t>
      </w:r>
      <w:r w:rsidRPr="000D546F">
        <w:rPr>
          <w:spacing w:val="-52"/>
          <w:lang w:val="el-GR"/>
        </w:rPr>
        <w:t xml:space="preserve"> </w:t>
      </w:r>
      <w:r w:rsidRPr="000D546F">
        <w:rPr>
          <w:lang w:val="el-GR"/>
        </w:rPr>
        <w:t xml:space="preserve">απορροφώνται ταχέως και </w:t>
      </w:r>
      <w:r w:rsidR="000D546F">
        <w:rPr>
          <w:lang w:val="el-GR"/>
        </w:rPr>
        <w:t xml:space="preserve">η </w:t>
      </w:r>
      <w:r w:rsidR="000D546F">
        <w:rPr>
          <w:spacing w:val="1"/>
          <w:lang w:val="el-GR"/>
        </w:rPr>
        <w:t xml:space="preserve">τενοφοβίρη δισοπρόξιλη </w:t>
      </w:r>
      <w:r w:rsidR="000D546F" w:rsidRPr="000D546F">
        <w:rPr>
          <w:spacing w:val="-52"/>
          <w:lang w:val="el-GR"/>
        </w:rPr>
        <w:t xml:space="preserve"> </w:t>
      </w:r>
      <w:r w:rsidRPr="000D546F">
        <w:rPr>
          <w:lang w:val="el-GR"/>
        </w:rPr>
        <w:t xml:space="preserve">μετατρέπεται σε </w:t>
      </w:r>
      <w:r w:rsidR="000D546F">
        <w:rPr>
          <w:lang w:val="el-GR"/>
        </w:rPr>
        <w:t>τενοφοβίρη.</w:t>
      </w:r>
      <w:r w:rsidRPr="000D546F">
        <w:rPr>
          <w:lang w:val="el-GR"/>
        </w:rPr>
        <w:t xml:space="preserve"> </w:t>
      </w:r>
      <w:r w:rsidRPr="009E32D3">
        <w:rPr>
          <w:lang w:val="el-GR"/>
        </w:rPr>
        <w:t>Οι μέγιστες</w:t>
      </w:r>
      <w:r w:rsidRPr="009E32D3">
        <w:rPr>
          <w:spacing w:val="-41"/>
          <w:lang w:val="el-GR"/>
        </w:rPr>
        <w:t xml:space="preserve"> </w:t>
      </w:r>
      <w:r w:rsidRPr="009E32D3">
        <w:rPr>
          <w:lang w:val="el-GR"/>
        </w:rPr>
        <w:t xml:space="preserve">συγκεντρώσεις των </w:t>
      </w:r>
      <w:r w:rsidR="000D546F">
        <w:rPr>
          <w:lang w:val="el-GR"/>
        </w:rPr>
        <w:t xml:space="preserve">εμτρισιταβίνης </w:t>
      </w:r>
      <w:r w:rsidRPr="009E32D3">
        <w:rPr>
          <w:lang w:val="el-GR"/>
        </w:rPr>
        <w:t xml:space="preserve">και </w:t>
      </w:r>
      <w:r w:rsidR="000D546F">
        <w:rPr>
          <w:lang w:val="el-GR"/>
        </w:rPr>
        <w:t>τενοφοβίρης</w:t>
      </w:r>
      <w:r w:rsidRPr="009E32D3">
        <w:rPr>
          <w:lang w:val="el-GR"/>
        </w:rPr>
        <w:t xml:space="preserve"> στον ορό παρατηρούνται εντός 0,5-3,0 ωρών μετά</w:t>
      </w:r>
      <w:r w:rsidRPr="009E32D3">
        <w:rPr>
          <w:spacing w:val="19"/>
          <w:lang w:val="el-GR"/>
        </w:rPr>
        <w:t xml:space="preserve"> </w:t>
      </w:r>
      <w:r w:rsidRPr="009E32D3">
        <w:rPr>
          <w:lang w:val="el-GR"/>
        </w:rPr>
        <w:t>από</w:t>
      </w:r>
      <w:r w:rsidR="00DE1133" w:rsidRPr="00DE1133">
        <w:rPr>
          <w:lang w:val="el-GR"/>
        </w:rPr>
        <w:t xml:space="preserve"> </w:t>
      </w:r>
      <w:r w:rsidRPr="009E32D3">
        <w:rPr>
          <w:lang w:val="el-GR"/>
        </w:rPr>
        <w:t xml:space="preserve">τη χορήγηση της δόσης σε κατάσταση νηστείας. Η χορήγηση </w:t>
      </w:r>
      <w:r w:rsidR="00690A66">
        <w:rPr>
          <w:lang w:val="el-GR"/>
        </w:rPr>
        <w:t>της</w:t>
      </w:r>
      <w:r w:rsidR="000D546F">
        <w:rPr>
          <w:lang w:val="el-GR"/>
        </w:rPr>
        <w:t xml:space="preserve"> εμτρισιταβίνης</w:t>
      </w:r>
      <w:r w:rsidR="00690A66">
        <w:rPr>
          <w:lang w:val="el-GR"/>
        </w:rPr>
        <w:t xml:space="preserve"> και </w:t>
      </w:r>
      <w:r w:rsidR="000D546F">
        <w:rPr>
          <w:lang w:val="el-GR"/>
        </w:rPr>
        <w:t xml:space="preserve">τενοφοβίρης δισοπρόξιλης </w:t>
      </w:r>
      <w:r w:rsidRPr="009E32D3">
        <w:rPr>
          <w:lang w:val="el-GR"/>
        </w:rPr>
        <w:t>μαζί με γεύμα</w:t>
      </w:r>
      <w:r w:rsidRPr="009E32D3">
        <w:rPr>
          <w:spacing w:val="-1"/>
          <w:lang w:val="el-GR"/>
        </w:rPr>
        <w:t xml:space="preserve"> </w:t>
      </w:r>
      <w:r w:rsidRPr="009E32D3">
        <w:rPr>
          <w:lang w:val="el-GR"/>
        </w:rPr>
        <w:t>υψηλής περιεκτικότητας σε λιπαρά ή με ελαφρύ γεύμα είχε ως αποτέλεσμα 45 λεπτη περίπου</w:t>
      </w:r>
      <w:r w:rsidRPr="009E32D3">
        <w:rPr>
          <w:spacing w:val="2"/>
          <w:lang w:val="el-GR"/>
        </w:rPr>
        <w:t xml:space="preserve"> </w:t>
      </w:r>
      <w:r w:rsidRPr="009E32D3">
        <w:rPr>
          <w:lang w:val="el-GR"/>
        </w:rPr>
        <w:t xml:space="preserve">καθυστέρηση της επίτευξης μέγιστης συγκέντρωσης </w:t>
      </w:r>
      <w:r w:rsidR="000D546F">
        <w:rPr>
          <w:lang w:val="el-GR"/>
        </w:rPr>
        <w:t>τενοφοβίρης</w:t>
      </w:r>
      <w:r w:rsidRPr="009E32D3">
        <w:rPr>
          <w:lang w:val="el-GR"/>
        </w:rPr>
        <w:t xml:space="preserve"> και την αύξηση των </w:t>
      </w:r>
      <w:r>
        <w:t>AUC</w:t>
      </w:r>
      <w:r w:rsidRPr="009E32D3">
        <w:rPr>
          <w:lang w:val="el-GR"/>
        </w:rPr>
        <w:t xml:space="preserve"> και </w:t>
      </w:r>
      <w:r w:rsidR="000D546F">
        <w:t>C</w:t>
      </w:r>
      <w:r w:rsidR="000D546F" w:rsidRPr="000D546F">
        <w:rPr>
          <w:vertAlign w:val="subscript"/>
        </w:rPr>
        <w:t>max</w:t>
      </w:r>
      <w:r w:rsidRPr="009E32D3">
        <w:rPr>
          <w:position w:val="-2"/>
          <w:sz w:val="14"/>
          <w:lang w:val="el-GR"/>
        </w:rPr>
        <w:t xml:space="preserve"> </w:t>
      </w:r>
      <w:r w:rsidR="000D546F">
        <w:rPr>
          <w:lang w:val="el-GR"/>
        </w:rPr>
        <w:t>της τενοφοβίρης</w:t>
      </w:r>
      <w:r w:rsidRPr="009E32D3">
        <w:rPr>
          <w:lang w:val="el-GR"/>
        </w:rPr>
        <w:t xml:space="preserve"> κατά περίπου 35% και 15%, αντίστοιχα, όταν αυτό χορηγήθηκε μαζί με γεύμα υψηλής</w:t>
      </w:r>
      <w:r w:rsidRPr="009E32D3">
        <w:rPr>
          <w:spacing w:val="-47"/>
          <w:lang w:val="el-GR"/>
        </w:rPr>
        <w:t xml:space="preserve"> </w:t>
      </w:r>
      <w:r w:rsidRPr="009E32D3">
        <w:rPr>
          <w:lang w:val="el-GR"/>
        </w:rPr>
        <w:t>περιεκτικότητας σε λιπαρά, σε σύγκριση με τη χορήγησή του σε κατάσταση νηστείας.</w:t>
      </w:r>
      <w:r w:rsidRPr="009E32D3">
        <w:rPr>
          <w:spacing w:val="4"/>
          <w:lang w:val="el-GR"/>
        </w:rPr>
        <w:t xml:space="preserve"> </w:t>
      </w:r>
      <w:r w:rsidRPr="009E32D3">
        <w:rPr>
          <w:lang w:val="el-GR"/>
        </w:rPr>
        <w:t xml:space="preserve">Προκειμένου να βελτιστοποιηθεί η απορρόφηση </w:t>
      </w:r>
      <w:r w:rsidR="000D546F">
        <w:rPr>
          <w:lang w:val="el-GR"/>
        </w:rPr>
        <w:t xml:space="preserve">της τενοφοβίρης, συνιστάται </w:t>
      </w:r>
      <w:r w:rsidR="00690A66">
        <w:rPr>
          <w:lang w:val="el-GR"/>
        </w:rPr>
        <w:t>η</w:t>
      </w:r>
      <w:r w:rsidRPr="009E32D3">
        <w:rPr>
          <w:lang w:val="el-GR"/>
        </w:rPr>
        <w:t xml:space="preserve"> </w:t>
      </w:r>
      <w:r w:rsidR="000D546F">
        <w:rPr>
          <w:lang w:val="el-GR"/>
        </w:rPr>
        <w:t>εμτρισιταβίνη</w:t>
      </w:r>
      <w:r w:rsidR="00690A66">
        <w:rPr>
          <w:lang w:val="el-GR"/>
        </w:rPr>
        <w:t xml:space="preserve"> και </w:t>
      </w:r>
      <w:r w:rsidR="000D546F">
        <w:rPr>
          <w:lang w:val="el-GR"/>
        </w:rPr>
        <w:t xml:space="preserve">τενοφοβίρη δισοπρόξιλη </w:t>
      </w:r>
      <w:r w:rsidRPr="009E32D3">
        <w:rPr>
          <w:lang w:val="el-GR"/>
        </w:rPr>
        <w:t xml:space="preserve">να λαμβάνεται μαζί </w:t>
      </w:r>
      <w:r w:rsidR="000D546F">
        <w:rPr>
          <w:lang w:val="el-GR"/>
        </w:rPr>
        <w:t>με τροφή.</w:t>
      </w:r>
    </w:p>
    <w:p w:rsidR="00645378" w:rsidRPr="009E32D3" w:rsidRDefault="00645378" w:rsidP="0082050A">
      <w:pPr>
        <w:tabs>
          <w:tab w:val="left" w:pos="9214"/>
        </w:tabs>
        <w:spacing w:before="7"/>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ind w:left="142" w:right="-66"/>
        <w:rPr>
          <w:lang w:val="el-GR"/>
        </w:rPr>
      </w:pPr>
      <w:r w:rsidRPr="009E32D3">
        <w:rPr>
          <w:u w:val="single" w:color="000000"/>
          <w:lang w:val="el-GR"/>
        </w:rPr>
        <w:t>Κατανομή</w:t>
      </w:r>
    </w:p>
    <w:p w:rsidR="000E3673" w:rsidRDefault="007134E2" w:rsidP="0082050A">
      <w:pPr>
        <w:pStyle w:val="a3"/>
        <w:tabs>
          <w:tab w:val="left" w:pos="9214"/>
        </w:tabs>
        <w:spacing w:before="6" w:line="244" w:lineRule="auto"/>
        <w:ind w:left="142" w:right="-66"/>
        <w:rPr>
          <w:spacing w:val="1"/>
          <w:lang w:val="el-GR"/>
        </w:rPr>
      </w:pPr>
      <w:r w:rsidRPr="009E32D3">
        <w:rPr>
          <w:lang w:val="el-GR"/>
        </w:rPr>
        <w:t xml:space="preserve">Μετά από ενδοφλέβια χορήγηση ο όγκος κατανομής της </w:t>
      </w:r>
      <w:r w:rsidR="000E3673">
        <w:rPr>
          <w:lang w:val="el-GR"/>
        </w:rPr>
        <w:t>εμτρισιταβίνης</w:t>
      </w:r>
      <w:r w:rsidRPr="009E32D3">
        <w:rPr>
          <w:lang w:val="el-GR"/>
        </w:rPr>
        <w:t xml:space="preserve"> και </w:t>
      </w:r>
      <w:r w:rsidR="000E3673">
        <w:rPr>
          <w:lang w:val="el-GR"/>
        </w:rPr>
        <w:t>της τενοφοβίρης υ</w:t>
      </w:r>
      <w:r w:rsidRPr="009E32D3">
        <w:rPr>
          <w:lang w:val="el-GR"/>
        </w:rPr>
        <w:t xml:space="preserve">πολογίσθηκε περίπου στα 1,4 </w:t>
      </w:r>
      <w:r>
        <w:t>l</w:t>
      </w:r>
      <w:r w:rsidRPr="009E32D3">
        <w:rPr>
          <w:lang w:val="el-GR"/>
        </w:rPr>
        <w:t>/</w:t>
      </w:r>
      <w:r>
        <w:t>kg</w:t>
      </w:r>
      <w:r w:rsidRPr="009E32D3">
        <w:rPr>
          <w:lang w:val="el-GR"/>
        </w:rPr>
        <w:t xml:space="preserve"> και 800 </w:t>
      </w:r>
      <w:r>
        <w:t>ml</w:t>
      </w:r>
      <w:r w:rsidRPr="009E32D3">
        <w:rPr>
          <w:lang w:val="el-GR"/>
        </w:rPr>
        <w:t>/</w:t>
      </w:r>
      <w:r>
        <w:t>kg</w:t>
      </w:r>
      <w:r w:rsidRPr="009E32D3">
        <w:rPr>
          <w:lang w:val="el-GR"/>
        </w:rPr>
        <w:t>, αντίστοιχα.</w:t>
      </w:r>
      <w:r w:rsidRPr="009E32D3">
        <w:rPr>
          <w:spacing w:val="-5"/>
          <w:lang w:val="el-GR"/>
        </w:rPr>
        <w:t xml:space="preserve"> </w:t>
      </w:r>
      <w:r w:rsidRPr="009E32D3">
        <w:rPr>
          <w:lang w:val="el-GR"/>
        </w:rPr>
        <w:t xml:space="preserve">Μετά την από του στόματος χορήγηση </w:t>
      </w:r>
      <w:r w:rsidR="000E3673">
        <w:rPr>
          <w:lang w:val="el-GR"/>
        </w:rPr>
        <w:t xml:space="preserve">εμτρισιταβίνης ή τενοφοβίρης </w:t>
      </w:r>
      <w:r w:rsidR="000E3673" w:rsidRPr="007C1B28">
        <w:rPr>
          <w:lang w:val="el-GR"/>
        </w:rPr>
        <w:t>δισοπρόξιλης, η εμτρισιταβίνη και η τενοφοβίρη</w:t>
      </w:r>
      <w:r w:rsidRPr="007C1B28">
        <w:rPr>
          <w:spacing w:val="-37"/>
          <w:lang w:val="el-GR"/>
        </w:rPr>
        <w:t xml:space="preserve"> </w:t>
      </w:r>
      <w:r w:rsidR="000E3673" w:rsidRPr="007C1B28">
        <w:rPr>
          <w:lang w:val="el-GR"/>
        </w:rPr>
        <w:t>κατανέμον</w:t>
      </w:r>
      <w:r w:rsidRPr="007C1B28">
        <w:rPr>
          <w:lang w:val="el-GR"/>
        </w:rPr>
        <w:t>ται</w:t>
      </w:r>
      <w:r w:rsidR="000E3673" w:rsidRPr="007C1B28">
        <w:rPr>
          <w:lang w:val="el-GR"/>
        </w:rPr>
        <w:t xml:space="preserve"> ευρέως</w:t>
      </w:r>
      <w:r w:rsidRPr="007C1B28">
        <w:rPr>
          <w:spacing w:val="1"/>
          <w:lang w:val="el-GR"/>
        </w:rPr>
        <w:t xml:space="preserve"> </w:t>
      </w:r>
      <w:r w:rsidRPr="007C1B28">
        <w:rPr>
          <w:lang w:val="el-GR"/>
        </w:rPr>
        <w:t>σε</w:t>
      </w:r>
      <w:r w:rsidRPr="007C1B28">
        <w:rPr>
          <w:spacing w:val="2"/>
          <w:lang w:val="el-GR"/>
        </w:rPr>
        <w:t xml:space="preserve"> </w:t>
      </w:r>
      <w:r w:rsidRPr="007C1B28">
        <w:rPr>
          <w:lang w:val="el-GR"/>
        </w:rPr>
        <w:t>όλο</w:t>
      </w:r>
      <w:r w:rsidRPr="007C1B28">
        <w:rPr>
          <w:spacing w:val="1"/>
          <w:lang w:val="el-GR"/>
        </w:rPr>
        <w:t xml:space="preserve"> </w:t>
      </w:r>
      <w:r w:rsidRPr="007C1B28">
        <w:rPr>
          <w:lang w:val="el-GR"/>
        </w:rPr>
        <w:t>το</w:t>
      </w:r>
      <w:r w:rsidRPr="007C1B28">
        <w:rPr>
          <w:spacing w:val="1"/>
          <w:lang w:val="el-GR"/>
        </w:rPr>
        <w:t xml:space="preserve"> </w:t>
      </w:r>
      <w:r w:rsidRPr="007C1B28">
        <w:rPr>
          <w:lang w:val="el-GR"/>
        </w:rPr>
        <w:t>σώμα.</w:t>
      </w:r>
      <w:r w:rsidRPr="009E32D3">
        <w:rPr>
          <w:spacing w:val="1"/>
          <w:lang w:val="el-GR"/>
        </w:rPr>
        <w:t xml:space="preserve"> </w:t>
      </w:r>
    </w:p>
    <w:p w:rsidR="00645378" w:rsidRPr="009E32D3" w:rsidRDefault="007134E2" w:rsidP="0082050A">
      <w:pPr>
        <w:pStyle w:val="a3"/>
        <w:tabs>
          <w:tab w:val="left" w:pos="9214"/>
        </w:tabs>
        <w:spacing w:before="6" w:line="244" w:lineRule="auto"/>
        <w:ind w:left="142" w:right="-66"/>
        <w:rPr>
          <w:lang w:val="el-GR"/>
        </w:rPr>
      </w:pPr>
      <w:r w:rsidRPr="009E32D3">
        <w:rPr>
          <w:lang w:val="el-GR"/>
        </w:rPr>
        <w:t xml:space="preserve">Η </w:t>
      </w:r>
      <w:r>
        <w:rPr>
          <w:i/>
        </w:rPr>
        <w:t>in</w:t>
      </w:r>
      <w:r w:rsidRPr="009E32D3">
        <w:rPr>
          <w:i/>
          <w:spacing w:val="1"/>
          <w:lang w:val="el-GR"/>
        </w:rPr>
        <w:t xml:space="preserve"> </w:t>
      </w:r>
      <w:r>
        <w:rPr>
          <w:i/>
        </w:rPr>
        <w:t>vitro</w:t>
      </w:r>
      <w:r w:rsidRPr="009E32D3">
        <w:rPr>
          <w:i/>
          <w:lang w:val="el-GR"/>
        </w:rPr>
        <w:t xml:space="preserve"> </w:t>
      </w:r>
      <w:r w:rsidRPr="009E32D3">
        <w:rPr>
          <w:lang w:val="el-GR"/>
        </w:rPr>
        <w:t xml:space="preserve">σύνδεση της </w:t>
      </w:r>
      <w:r w:rsidR="000E3673">
        <w:rPr>
          <w:lang w:val="el-GR"/>
        </w:rPr>
        <w:t>εμτρισι</w:t>
      </w:r>
      <w:r w:rsidR="002A2A3C">
        <w:rPr>
          <w:lang w:val="el-GR"/>
        </w:rPr>
        <w:t>τ</w:t>
      </w:r>
      <w:r w:rsidR="000E3673">
        <w:rPr>
          <w:lang w:val="el-GR"/>
        </w:rPr>
        <w:t>αβίνης</w:t>
      </w:r>
      <w:r w:rsidRPr="009E32D3">
        <w:rPr>
          <w:spacing w:val="1"/>
          <w:lang w:val="el-GR"/>
        </w:rPr>
        <w:t xml:space="preserve"> </w:t>
      </w:r>
      <w:r w:rsidRPr="009E32D3">
        <w:rPr>
          <w:lang w:val="el-GR"/>
        </w:rPr>
        <w:t>με</w:t>
      </w:r>
      <w:r w:rsidRPr="009E32D3">
        <w:rPr>
          <w:spacing w:val="2"/>
          <w:lang w:val="el-GR"/>
        </w:rPr>
        <w:t xml:space="preserve"> </w:t>
      </w:r>
      <w:r w:rsidRPr="009E32D3">
        <w:rPr>
          <w:lang w:val="el-GR"/>
        </w:rPr>
        <w:t>τις πρωτεΐνες του</w:t>
      </w:r>
      <w:r w:rsidRPr="009E32D3">
        <w:rPr>
          <w:spacing w:val="2"/>
          <w:lang w:val="el-GR"/>
        </w:rPr>
        <w:t xml:space="preserve"> </w:t>
      </w:r>
      <w:r w:rsidRPr="009E32D3">
        <w:rPr>
          <w:lang w:val="el-GR"/>
        </w:rPr>
        <w:t>ανθρώπινου</w:t>
      </w:r>
      <w:r w:rsidR="000E3673">
        <w:rPr>
          <w:lang w:val="el-GR"/>
        </w:rPr>
        <w:t xml:space="preserve"> </w:t>
      </w:r>
      <w:r w:rsidRPr="009E32D3">
        <w:rPr>
          <w:spacing w:val="-52"/>
          <w:lang w:val="el-GR"/>
        </w:rPr>
        <w:t xml:space="preserve"> </w:t>
      </w:r>
      <w:r w:rsidRPr="009E32D3">
        <w:rPr>
          <w:lang w:val="el-GR"/>
        </w:rPr>
        <w:t xml:space="preserve">πλάσματος ήταν &lt; 4% </w:t>
      </w:r>
      <w:r w:rsidRPr="009E32D3">
        <w:rPr>
          <w:lang w:val="el-GR"/>
        </w:rPr>
        <w:lastRenderedPageBreak/>
        <w:t>και ανεξάρτητη της συγκέντρωσης άνω του εύρους 0,02-200 µ</w:t>
      </w:r>
      <w:r>
        <w:t>g</w:t>
      </w:r>
      <w:r w:rsidRPr="009E32D3">
        <w:rPr>
          <w:lang w:val="el-GR"/>
        </w:rPr>
        <w:t>/</w:t>
      </w:r>
      <w:r>
        <w:t>ml</w:t>
      </w:r>
      <w:r w:rsidRPr="009E32D3">
        <w:rPr>
          <w:lang w:val="el-GR"/>
        </w:rPr>
        <w:t xml:space="preserve">. Η </w:t>
      </w:r>
      <w:r>
        <w:rPr>
          <w:i/>
        </w:rPr>
        <w:t>in</w:t>
      </w:r>
      <w:r w:rsidRPr="009E32D3">
        <w:rPr>
          <w:i/>
          <w:spacing w:val="7"/>
          <w:lang w:val="el-GR"/>
        </w:rPr>
        <w:t xml:space="preserve"> </w:t>
      </w:r>
      <w:r>
        <w:rPr>
          <w:i/>
        </w:rPr>
        <w:t>vitro</w:t>
      </w:r>
      <w:r w:rsidRPr="009E32D3">
        <w:rPr>
          <w:i/>
          <w:lang w:val="el-GR"/>
        </w:rPr>
        <w:t xml:space="preserve"> </w:t>
      </w:r>
      <w:r w:rsidRPr="009E32D3">
        <w:rPr>
          <w:lang w:val="el-GR"/>
        </w:rPr>
        <w:t xml:space="preserve">σύνδεση </w:t>
      </w:r>
      <w:r w:rsidR="000E3673">
        <w:rPr>
          <w:lang w:val="el-GR"/>
        </w:rPr>
        <w:t>της τενοφοβίρης</w:t>
      </w:r>
      <w:r w:rsidRPr="009E32D3">
        <w:rPr>
          <w:lang w:val="el-GR"/>
        </w:rPr>
        <w:t xml:space="preserve"> με τις πρωτεΐνες του πλάσματος ή του ορού ήταν &lt; 0,7 και 7,2%,</w:t>
      </w:r>
      <w:r w:rsidRPr="009E32D3">
        <w:rPr>
          <w:spacing w:val="16"/>
          <w:lang w:val="el-GR"/>
        </w:rPr>
        <w:t xml:space="preserve"> </w:t>
      </w:r>
      <w:r w:rsidRPr="009E32D3">
        <w:rPr>
          <w:lang w:val="el-GR"/>
        </w:rPr>
        <w:t xml:space="preserve">αντιστοίχως, σε εύρος συγκεντρώσεων </w:t>
      </w:r>
      <w:r w:rsidR="000E3673">
        <w:rPr>
          <w:lang w:val="el-GR"/>
        </w:rPr>
        <w:t>της τενοφοβίρης</w:t>
      </w:r>
      <w:r w:rsidRPr="009E32D3">
        <w:rPr>
          <w:lang w:val="el-GR"/>
        </w:rPr>
        <w:t xml:space="preserve"> από 0,01 έως 25</w:t>
      </w:r>
      <w:r w:rsidRPr="009E32D3">
        <w:rPr>
          <w:spacing w:val="17"/>
          <w:lang w:val="el-GR"/>
        </w:rPr>
        <w:t xml:space="preserve"> </w:t>
      </w:r>
      <w:r w:rsidRPr="009E32D3">
        <w:rPr>
          <w:lang w:val="el-GR"/>
        </w:rPr>
        <w:t>µ</w:t>
      </w:r>
      <w:r>
        <w:t>g</w:t>
      </w:r>
      <w:r w:rsidRPr="009E32D3">
        <w:rPr>
          <w:lang w:val="el-GR"/>
        </w:rPr>
        <w:t>/</w:t>
      </w:r>
      <w:r>
        <w:t>ml</w:t>
      </w:r>
      <w:r w:rsidRPr="009E32D3">
        <w:rPr>
          <w:lang w:val="el-GR"/>
        </w:rPr>
        <w:t>.</w:t>
      </w:r>
    </w:p>
    <w:p w:rsidR="00645378" w:rsidRPr="009E32D3" w:rsidRDefault="00645378" w:rsidP="0082050A">
      <w:pPr>
        <w:tabs>
          <w:tab w:val="left" w:pos="9214"/>
        </w:tabs>
        <w:spacing w:before="7"/>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ind w:left="142" w:right="-66"/>
        <w:rPr>
          <w:lang w:val="el-GR"/>
        </w:rPr>
      </w:pPr>
      <w:r w:rsidRPr="009E32D3">
        <w:rPr>
          <w:u w:val="single" w:color="000000"/>
          <w:lang w:val="el-GR"/>
        </w:rPr>
        <w:t>Βιομετασχηματισμός</w:t>
      </w:r>
    </w:p>
    <w:p w:rsidR="00645378" w:rsidRPr="009E32D3" w:rsidRDefault="007134E2" w:rsidP="004155A8">
      <w:pPr>
        <w:pStyle w:val="a3"/>
        <w:tabs>
          <w:tab w:val="left" w:pos="9214"/>
        </w:tabs>
        <w:spacing w:before="6" w:line="244" w:lineRule="auto"/>
        <w:ind w:left="142" w:right="-66"/>
        <w:rPr>
          <w:lang w:val="el-GR"/>
        </w:rPr>
      </w:pPr>
      <w:r w:rsidRPr="009E32D3">
        <w:rPr>
          <w:lang w:val="el-GR"/>
        </w:rPr>
        <w:t xml:space="preserve">Ο μεταβολισμός της </w:t>
      </w:r>
      <w:r w:rsidR="000E3673">
        <w:rPr>
          <w:lang w:val="el-GR"/>
        </w:rPr>
        <w:t>εμτρισιταβίνης</w:t>
      </w:r>
      <w:r w:rsidRPr="009E32D3">
        <w:rPr>
          <w:lang w:val="el-GR"/>
        </w:rPr>
        <w:t xml:space="preserve"> είναι περιορισμένος. Ο βιομετασχηματισμός της </w:t>
      </w:r>
      <w:r w:rsidR="000E3673">
        <w:rPr>
          <w:lang w:val="el-GR"/>
        </w:rPr>
        <w:t>εμτρισιταβίνης</w:t>
      </w:r>
      <w:r w:rsidR="000E3673" w:rsidRPr="000E3673">
        <w:rPr>
          <w:lang w:val="el-GR"/>
        </w:rPr>
        <w:t xml:space="preserve"> </w:t>
      </w:r>
      <w:r w:rsidRPr="009E32D3">
        <w:rPr>
          <w:spacing w:val="-49"/>
          <w:lang w:val="el-GR"/>
        </w:rPr>
        <w:t xml:space="preserve"> </w:t>
      </w:r>
      <w:r w:rsidRPr="009E32D3">
        <w:rPr>
          <w:lang w:val="el-GR"/>
        </w:rPr>
        <w:t xml:space="preserve">περιλαμβάνει την οξείδωση του δακτυλίου των θειολών και το σχηματισμό των </w:t>
      </w:r>
      <w:r w:rsidRPr="007C1B28">
        <w:rPr>
          <w:color w:val="000000" w:themeColor="text1"/>
          <w:lang w:val="el-GR"/>
        </w:rPr>
        <w:t>3΄-</w:t>
      </w:r>
      <w:r w:rsidR="007C1B28" w:rsidRPr="007C1B28">
        <w:rPr>
          <w:color w:val="000000" w:themeColor="text1"/>
          <w:lang w:val="el-GR"/>
        </w:rPr>
        <w:t>σουλφοξείδιο</w:t>
      </w:r>
      <w:r w:rsidR="007C1B28">
        <w:rPr>
          <w:color w:val="000000" w:themeColor="text1"/>
          <w:spacing w:val="-38"/>
          <w:lang w:val="el-GR"/>
        </w:rPr>
        <w:t xml:space="preserve"> </w:t>
      </w:r>
      <w:r w:rsidRPr="007C1B28">
        <w:rPr>
          <w:color w:val="000000" w:themeColor="text1"/>
          <w:lang w:val="el-GR"/>
        </w:rPr>
        <w:t>διαστερεομερών</w:t>
      </w:r>
      <w:r w:rsidRPr="007C1B28">
        <w:rPr>
          <w:color w:val="000000" w:themeColor="text1"/>
          <w:spacing w:val="1"/>
          <w:lang w:val="el-GR"/>
        </w:rPr>
        <w:t xml:space="preserve"> </w:t>
      </w:r>
      <w:r w:rsidRPr="007C1B28">
        <w:rPr>
          <w:color w:val="000000" w:themeColor="text1"/>
          <w:lang w:val="el-GR"/>
        </w:rPr>
        <w:t>(περίπου</w:t>
      </w:r>
      <w:r w:rsidRPr="007C1B28">
        <w:rPr>
          <w:color w:val="000000" w:themeColor="text1"/>
          <w:spacing w:val="1"/>
          <w:lang w:val="el-GR"/>
        </w:rPr>
        <w:t xml:space="preserve"> </w:t>
      </w:r>
      <w:r w:rsidRPr="007C1B28">
        <w:rPr>
          <w:color w:val="000000" w:themeColor="text1"/>
          <w:lang w:val="el-GR"/>
        </w:rPr>
        <w:t>το 9%</w:t>
      </w:r>
      <w:r w:rsidRPr="007C1B28">
        <w:rPr>
          <w:color w:val="000000" w:themeColor="text1"/>
          <w:spacing w:val="1"/>
          <w:lang w:val="el-GR"/>
        </w:rPr>
        <w:t xml:space="preserve"> </w:t>
      </w:r>
      <w:r w:rsidRPr="007C1B28">
        <w:rPr>
          <w:color w:val="000000" w:themeColor="text1"/>
          <w:lang w:val="el-GR"/>
        </w:rPr>
        <w:t>της</w:t>
      </w:r>
      <w:r w:rsidRPr="007C1B28">
        <w:rPr>
          <w:color w:val="000000" w:themeColor="text1"/>
          <w:spacing w:val="-1"/>
          <w:lang w:val="el-GR"/>
        </w:rPr>
        <w:t xml:space="preserve"> </w:t>
      </w:r>
      <w:r w:rsidRPr="007C1B28">
        <w:rPr>
          <w:color w:val="000000" w:themeColor="text1"/>
          <w:lang w:val="el-GR"/>
        </w:rPr>
        <w:t>δόσης)</w:t>
      </w:r>
      <w:r w:rsidRPr="007C1B28">
        <w:rPr>
          <w:color w:val="000000" w:themeColor="text1"/>
          <w:spacing w:val="1"/>
          <w:lang w:val="el-GR"/>
        </w:rPr>
        <w:t xml:space="preserve"> </w:t>
      </w:r>
      <w:r w:rsidRPr="007C1B28">
        <w:rPr>
          <w:color w:val="000000" w:themeColor="text1"/>
          <w:lang w:val="el-GR"/>
        </w:rPr>
        <w:t>και τη</w:t>
      </w:r>
      <w:r w:rsidRPr="007C1B28">
        <w:rPr>
          <w:color w:val="000000" w:themeColor="text1"/>
          <w:spacing w:val="-1"/>
          <w:lang w:val="el-GR"/>
        </w:rPr>
        <w:t xml:space="preserve"> </w:t>
      </w:r>
      <w:r w:rsidRPr="007C1B28">
        <w:rPr>
          <w:color w:val="000000" w:themeColor="text1"/>
          <w:lang w:val="el-GR"/>
        </w:rPr>
        <w:t>σύζευξη</w:t>
      </w:r>
      <w:r w:rsidRPr="007C1B28">
        <w:rPr>
          <w:color w:val="000000" w:themeColor="text1"/>
          <w:spacing w:val="-1"/>
          <w:lang w:val="el-GR"/>
        </w:rPr>
        <w:t xml:space="preserve"> </w:t>
      </w:r>
      <w:r w:rsidRPr="007C1B28">
        <w:rPr>
          <w:color w:val="000000" w:themeColor="text1"/>
          <w:lang w:val="el-GR"/>
        </w:rPr>
        <w:t>με</w:t>
      </w:r>
      <w:r w:rsidRPr="007C1B28">
        <w:rPr>
          <w:color w:val="000000" w:themeColor="text1"/>
          <w:spacing w:val="1"/>
          <w:lang w:val="el-GR"/>
        </w:rPr>
        <w:t xml:space="preserve"> </w:t>
      </w:r>
      <w:r w:rsidRPr="007C1B28">
        <w:rPr>
          <w:color w:val="000000" w:themeColor="text1"/>
          <w:lang w:val="el-GR"/>
        </w:rPr>
        <w:t>γλυκουρονικό οξύ</w:t>
      </w:r>
      <w:r w:rsidRPr="007C1B28">
        <w:rPr>
          <w:color w:val="000000" w:themeColor="text1"/>
          <w:spacing w:val="1"/>
          <w:lang w:val="el-GR"/>
        </w:rPr>
        <w:t xml:space="preserve"> </w:t>
      </w:r>
      <w:r w:rsidRPr="007C1B28">
        <w:rPr>
          <w:color w:val="000000" w:themeColor="text1"/>
          <w:lang w:val="el-GR"/>
        </w:rPr>
        <w:t>για</w:t>
      </w:r>
      <w:r w:rsidRPr="007C1B28">
        <w:rPr>
          <w:color w:val="000000" w:themeColor="text1"/>
          <w:spacing w:val="-1"/>
          <w:lang w:val="el-GR"/>
        </w:rPr>
        <w:t xml:space="preserve"> </w:t>
      </w:r>
      <w:r w:rsidRPr="007C1B28">
        <w:rPr>
          <w:color w:val="000000" w:themeColor="text1"/>
          <w:lang w:val="el-GR"/>
        </w:rPr>
        <w:t>να</w:t>
      </w:r>
      <w:r w:rsidRPr="007C1B28">
        <w:rPr>
          <w:color w:val="000000" w:themeColor="text1"/>
          <w:spacing w:val="-1"/>
          <w:lang w:val="el-GR"/>
        </w:rPr>
        <w:t xml:space="preserve"> </w:t>
      </w:r>
      <w:r w:rsidRPr="007C1B28">
        <w:rPr>
          <w:color w:val="000000" w:themeColor="text1"/>
          <w:lang w:val="el-GR"/>
        </w:rPr>
        <w:t>σχηματίσει</w:t>
      </w:r>
      <w:r w:rsidRPr="007C1B28">
        <w:rPr>
          <w:color w:val="000000" w:themeColor="text1"/>
          <w:spacing w:val="-53"/>
          <w:lang w:val="el-GR"/>
        </w:rPr>
        <w:t xml:space="preserve"> </w:t>
      </w:r>
      <w:r w:rsidRPr="007C1B28">
        <w:rPr>
          <w:color w:val="000000" w:themeColor="text1"/>
          <w:lang w:val="el-GR"/>
        </w:rPr>
        <w:t>το 2΄-</w:t>
      </w:r>
      <w:r w:rsidRPr="007C1B28">
        <w:rPr>
          <w:color w:val="000000" w:themeColor="text1"/>
        </w:rPr>
        <w:t>O</w:t>
      </w:r>
      <w:r w:rsidRPr="007C1B28">
        <w:rPr>
          <w:color w:val="000000" w:themeColor="text1"/>
          <w:lang w:val="el-GR"/>
        </w:rPr>
        <w:t>-γλυκουρονίδιο (περίπου</w:t>
      </w:r>
      <w:r w:rsidRPr="007C1B28">
        <w:rPr>
          <w:color w:val="000000" w:themeColor="text1"/>
          <w:spacing w:val="1"/>
          <w:lang w:val="el-GR"/>
        </w:rPr>
        <w:t xml:space="preserve"> </w:t>
      </w:r>
      <w:r w:rsidRPr="007C1B28">
        <w:rPr>
          <w:color w:val="000000" w:themeColor="text1"/>
          <w:lang w:val="el-GR"/>
        </w:rPr>
        <w:t>το 4%</w:t>
      </w:r>
      <w:r w:rsidRPr="007C1B28">
        <w:rPr>
          <w:color w:val="000000" w:themeColor="text1"/>
          <w:spacing w:val="1"/>
          <w:lang w:val="el-GR"/>
        </w:rPr>
        <w:t xml:space="preserve"> </w:t>
      </w:r>
      <w:r w:rsidRPr="007C1B28">
        <w:rPr>
          <w:color w:val="000000" w:themeColor="text1"/>
          <w:lang w:val="el-GR"/>
        </w:rPr>
        <w:t>της</w:t>
      </w:r>
      <w:r w:rsidRPr="007C1B28">
        <w:rPr>
          <w:color w:val="000000" w:themeColor="text1"/>
          <w:spacing w:val="-1"/>
          <w:lang w:val="el-GR"/>
        </w:rPr>
        <w:t xml:space="preserve"> </w:t>
      </w:r>
      <w:r w:rsidRPr="007C1B28">
        <w:rPr>
          <w:color w:val="000000" w:themeColor="text1"/>
          <w:lang w:val="el-GR"/>
        </w:rPr>
        <w:t>δόσης). Σε</w:t>
      </w:r>
      <w:r w:rsidRPr="007C1B28">
        <w:rPr>
          <w:color w:val="000000" w:themeColor="text1"/>
          <w:spacing w:val="1"/>
          <w:lang w:val="el-GR"/>
        </w:rPr>
        <w:t xml:space="preserve"> </w:t>
      </w:r>
      <w:r w:rsidRPr="007C1B28">
        <w:rPr>
          <w:color w:val="000000" w:themeColor="text1"/>
          <w:lang w:val="el-GR"/>
        </w:rPr>
        <w:t>μελέτες</w:t>
      </w:r>
      <w:r w:rsidRPr="007C1B28">
        <w:rPr>
          <w:color w:val="000000" w:themeColor="text1"/>
          <w:spacing w:val="-1"/>
          <w:lang w:val="el-GR"/>
        </w:rPr>
        <w:t xml:space="preserve"> </w:t>
      </w:r>
      <w:r w:rsidRPr="007C1B28">
        <w:rPr>
          <w:i/>
          <w:color w:val="000000" w:themeColor="text1"/>
        </w:rPr>
        <w:t>in</w:t>
      </w:r>
      <w:r w:rsidRPr="007C1B28">
        <w:rPr>
          <w:i/>
          <w:color w:val="000000" w:themeColor="text1"/>
          <w:lang w:val="el-GR"/>
        </w:rPr>
        <w:t xml:space="preserve"> </w:t>
      </w:r>
      <w:r w:rsidRPr="007C1B28">
        <w:rPr>
          <w:i/>
          <w:color w:val="000000" w:themeColor="text1"/>
        </w:rPr>
        <w:t>vitro</w:t>
      </w:r>
      <w:r w:rsidRPr="007C1B28">
        <w:rPr>
          <w:i/>
          <w:color w:val="000000" w:themeColor="text1"/>
          <w:spacing w:val="-1"/>
          <w:lang w:val="el-GR"/>
        </w:rPr>
        <w:t xml:space="preserve"> </w:t>
      </w:r>
      <w:r w:rsidRPr="007C1B28">
        <w:rPr>
          <w:color w:val="000000" w:themeColor="text1"/>
          <w:lang w:val="el-GR"/>
        </w:rPr>
        <w:t>διαπι</w:t>
      </w:r>
      <w:r w:rsidRPr="009E32D3">
        <w:rPr>
          <w:lang w:val="el-GR"/>
        </w:rPr>
        <w:t>στώθηκε</w:t>
      </w:r>
      <w:r w:rsidRPr="009E32D3">
        <w:rPr>
          <w:spacing w:val="1"/>
          <w:lang w:val="el-GR"/>
        </w:rPr>
        <w:t xml:space="preserve"> </w:t>
      </w:r>
      <w:r w:rsidRPr="009E32D3">
        <w:rPr>
          <w:lang w:val="el-GR"/>
        </w:rPr>
        <w:t>ότι ούτε</w:t>
      </w:r>
      <w:r w:rsidRPr="009E32D3">
        <w:rPr>
          <w:spacing w:val="1"/>
          <w:lang w:val="el-GR"/>
        </w:rPr>
        <w:t xml:space="preserve"> </w:t>
      </w:r>
      <w:r w:rsidR="000E3673">
        <w:rPr>
          <w:spacing w:val="1"/>
          <w:lang w:val="el-GR"/>
        </w:rPr>
        <w:t xml:space="preserve">η </w:t>
      </w:r>
      <w:r w:rsidR="000E3673">
        <w:rPr>
          <w:lang w:val="el-GR"/>
        </w:rPr>
        <w:t>τενοφοβίρη δισοπρόξιλη ούτε η</w:t>
      </w:r>
      <w:r w:rsidRPr="009E32D3">
        <w:rPr>
          <w:lang w:val="el-GR"/>
        </w:rPr>
        <w:t xml:space="preserve"> </w:t>
      </w:r>
      <w:r w:rsidR="000E3673">
        <w:rPr>
          <w:lang w:val="el-GR"/>
        </w:rPr>
        <w:t>τενοφοβίρη</w:t>
      </w:r>
      <w:r w:rsidRPr="009E32D3">
        <w:rPr>
          <w:lang w:val="el-GR"/>
        </w:rPr>
        <w:t xml:space="preserve"> αποτελούν υπόστρωμα των ενζύμων </w:t>
      </w:r>
      <w:r>
        <w:t>CYP</w:t>
      </w:r>
      <w:r w:rsidRPr="009E32D3">
        <w:rPr>
          <w:lang w:val="el-GR"/>
        </w:rPr>
        <w:t>450. Ούτε</w:t>
      </w:r>
      <w:r w:rsidRPr="009E32D3">
        <w:rPr>
          <w:spacing w:val="27"/>
          <w:lang w:val="el-GR"/>
        </w:rPr>
        <w:t xml:space="preserve"> </w:t>
      </w:r>
      <w:r w:rsidRPr="009E32D3">
        <w:rPr>
          <w:lang w:val="el-GR"/>
        </w:rPr>
        <w:t xml:space="preserve">η </w:t>
      </w:r>
      <w:r w:rsidR="000E3673">
        <w:rPr>
          <w:lang w:val="el-GR"/>
        </w:rPr>
        <w:t>εμτρισιταβίνη</w:t>
      </w:r>
      <w:r w:rsidRPr="009E32D3">
        <w:rPr>
          <w:lang w:val="el-GR"/>
        </w:rPr>
        <w:t xml:space="preserve"> ούτε </w:t>
      </w:r>
      <w:r w:rsidR="000E3673">
        <w:rPr>
          <w:lang w:val="el-GR"/>
        </w:rPr>
        <w:t>η τενοφοβίρη</w:t>
      </w:r>
      <w:r w:rsidRPr="009E32D3">
        <w:rPr>
          <w:lang w:val="el-GR"/>
        </w:rPr>
        <w:t xml:space="preserve"> ανέστειλε </w:t>
      </w:r>
      <w:r>
        <w:rPr>
          <w:i/>
        </w:rPr>
        <w:t>in</w:t>
      </w:r>
      <w:r w:rsidRPr="009E32D3">
        <w:rPr>
          <w:i/>
          <w:lang w:val="el-GR"/>
        </w:rPr>
        <w:t xml:space="preserve"> </w:t>
      </w:r>
      <w:r>
        <w:rPr>
          <w:i/>
        </w:rPr>
        <w:t>vitro</w:t>
      </w:r>
      <w:r w:rsidRPr="009E32D3">
        <w:rPr>
          <w:i/>
          <w:lang w:val="el-GR"/>
        </w:rPr>
        <w:t xml:space="preserve"> </w:t>
      </w:r>
      <w:r w:rsidRPr="009E32D3">
        <w:rPr>
          <w:lang w:val="el-GR"/>
        </w:rPr>
        <w:t>το μεταβολισμό φαρμάκων που επιτελείται</w:t>
      </w:r>
      <w:r w:rsidRPr="009E32D3">
        <w:rPr>
          <w:spacing w:val="41"/>
          <w:lang w:val="el-GR"/>
        </w:rPr>
        <w:t xml:space="preserve"> </w:t>
      </w:r>
      <w:r w:rsidRPr="009E32D3">
        <w:rPr>
          <w:lang w:val="el-GR"/>
        </w:rPr>
        <w:t xml:space="preserve">από όλες τις μείζονες ισομορφές του ανθρώπινου </w:t>
      </w:r>
      <w:r>
        <w:t>CYP</w:t>
      </w:r>
      <w:r w:rsidRPr="009E32D3">
        <w:rPr>
          <w:lang w:val="el-GR"/>
        </w:rPr>
        <w:t>450, οι οποίες συμμετέχουν στον</w:t>
      </w:r>
      <w:r w:rsidR="000E3673">
        <w:rPr>
          <w:lang w:val="el-GR"/>
        </w:rPr>
        <w:t xml:space="preserve"> </w:t>
      </w:r>
      <w:r w:rsidRPr="009E32D3">
        <w:rPr>
          <w:lang w:val="el-GR"/>
        </w:rPr>
        <w:t xml:space="preserve">βιομετασχηματισμό των φαρμάκων. Επίσης, η </w:t>
      </w:r>
      <w:r w:rsidR="007C1B28">
        <w:rPr>
          <w:lang w:val="el-GR"/>
        </w:rPr>
        <w:t>ε</w:t>
      </w:r>
      <w:r w:rsidR="000E3673">
        <w:rPr>
          <w:lang w:val="el-GR"/>
        </w:rPr>
        <w:t>μτρισιταβίνη</w:t>
      </w:r>
      <w:r w:rsidRPr="009E32D3">
        <w:rPr>
          <w:lang w:val="el-GR"/>
        </w:rPr>
        <w:t xml:space="preserve"> δεν αναστέλλει</w:t>
      </w:r>
      <w:r w:rsidRPr="009E32D3">
        <w:rPr>
          <w:spacing w:val="6"/>
          <w:lang w:val="el-GR"/>
        </w:rPr>
        <w:t xml:space="preserve"> </w:t>
      </w:r>
      <w:r w:rsidRPr="009E32D3">
        <w:rPr>
          <w:lang w:val="el-GR"/>
        </w:rPr>
        <w:t>την</w:t>
      </w:r>
      <w:r w:rsidR="00E7469A">
        <w:rPr>
          <w:lang w:val="el-GR"/>
        </w:rPr>
        <w:t xml:space="preserve"> </w:t>
      </w:r>
      <w:r w:rsidRPr="009E32D3">
        <w:rPr>
          <w:lang w:val="el-GR"/>
        </w:rPr>
        <w:t>ουριδινο-5΄-διφωσφογλυκουρονυλική τρανσφεράση, το ένζυμο που είναι υπεύθυνο για</w:t>
      </w:r>
      <w:r w:rsidRPr="009E32D3">
        <w:rPr>
          <w:spacing w:val="7"/>
          <w:lang w:val="el-GR"/>
        </w:rPr>
        <w:t xml:space="preserve"> </w:t>
      </w:r>
      <w:r w:rsidRPr="009E32D3">
        <w:rPr>
          <w:lang w:val="el-GR"/>
        </w:rPr>
        <w:t>τη γλυκουρονιδίωση.</w:t>
      </w:r>
    </w:p>
    <w:p w:rsidR="00645378" w:rsidRPr="009E32D3" w:rsidRDefault="00645378" w:rsidP="0082050A">
      <w:pPr>
        <w:tabs>
          <w:tab w:val="left" w:pos="9214"/>
        </w:tabs>
        <w:spacing w:before="7"/>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ind w:left="142" w:right="-66"/>
        <w:rPr>
          <w:lang w:val="el-GR"/>
        </w:rPr>
      </w:pPr>
      <w:r w:rsidRPr="009E32D3">
        <w:rPr>
          <w:u w:val="single" w:color="000000"/>
          <w:lang w:val="el-GR"/>
        </w:rPr>
        <w:t>Αποβολή</w:t>
      </w:r>
    </w:p>
    <w:p w:rsidR="00645378" w:rsidRPr="009E32D3" w:rsidRDefault="007134E2" w:rsidP="0082050A">
      <w:pPr>
        <w:pStyle w:val="a3"/>
        <w:tabs>
          <w:tab w:val="left" w:pos="9214"/>
        </w:tabs>
        <w:spacing w:before="6" w:line="244" w:lineRule="auto"/>
        <w:ind w:left="142" w:right="-66"/>
        <w:rPr>
          <w:lang w:val="el-GR"/>
        </w:rPr>
      </w:pPr>
      <w:r w:rsidRPr="009E32D3">
        <w:rPr>
          <w:lang w:val="el-GR"/>
        </w:rPr>
        <w:t xml:space="preserve">Η </w:t>
      </w:r>
      <w:r w:rsidR="000E3673">
        <w:rPr>
          <w:lang w:val="el-GR"/>
        </w:rPr>
        <w:t xml:space="preserve">εμτρισιταβίνη </w:t>
      </w:r>
      <w:r w:rsidRPr="009E32D3">
        <w:rPr>
          <w:lang w:val="el-GR"/>
        </w:rPr>
        <w:t>απεκκρίνεται πρωταρχικά μέσω των νεφρών με πλήρη ανάκτηση της δόσης από</w:t>
      </w:r>
      <w:r w:rsidRPr="009E32D3">
        <w:rPr>
          <w:spacing w:val="4"/>
          <w:lang w:val="el-GR"/>
        </w:rPr>
        <w:t xml:space="preserve"> </w:t>
      </w:r>
      <w:r w:rsidRPr="009E32D3">
        <w:rPr>
          <w:lang w:val="el-GR"/>
        </w:rPr>
        <w:t xml:space="preserve">τα ούρα (περίπου το 86%) και στα κόπρανα (περίπου το 14%). Το 13% της δόσης της </w:t>
      </w:r>
      <w:r w:rsidR="007C2CDA">
        <w:rPr>
          <w:lang w:val="el-GR"/>
        </w:rPr>
        <w:t>εμτρισιταβίνης</w:t>
      </w:r>
      <w:r w:rsidR="007C2CDA" w:rsidRPr="000E3673">
        <w:rPr>
          <w:lang w:val="el-GR"/>
        </w:rPr>
        <w:t xml:space="preserve"> </w:t>
      </w:r>
      <w:r w:rsidR="007C2CDA" w:rsidRPr="009E32D3">
        <w:rPr>
          <w:spacing w:val="-49"/>
          <w:lang w:val="el-GR"/>
        </w:rPr>
        <w:t xml:space="preserve"> </w:t>
      </w:r>
      <w:r w:rsidRPr="009E32D3">
        <w:rPr>
          <w:lang w:val="el-GR"/>
        </w:rPr>
        <w:t>ανακτήθηκε στα ούρα με τη μορφή τριών μεταβολιτών. Ο μέσος όρος της συστηματικής</w:t>
      </w:r>
      <w:r w:rsidRPr="009E32D3">
        <w:rPr>
          <w:spacing w:val="3"/>
          <w:lang w:val="el-GR"/>
        </w:rPr>
        <w:t xml:space="preserve"> </w:t>
      </w:r>
      <w:r w:rsidRPr="009E32D3">
        <w:rPr>
          <w:lang w:val="el-GR"/>
        </w:rPr>
        <w:t xml:space="preserve">κάθαρσης της </w:t>
      </w:r>
      <w:r w:rsidR="007C2CDA">
        <w:rPr>
          <w:lang w:val="el-GR"/>
        </w:rPr>
        <w:t xml:space="preserve">εμτρισιταβίνης </w:t>
      </w:r>
      <w:r w:rsidRPr="009E32D3">
        <w:rPr>
          <w:lang w:val="el-GR"/>
        </w:rPr>
        <w:t xml:space="preserve">ήταν 307 </w:t>
      </w:r>
      <w:r>
        <w:t>ml</w:t>
      </w:r>
      <w:r w:rsidRPr="009E32D3">
        <w:rPr>
          <w:lang w:val="el-GR"/>
        </w:rPr>
        <w:t>/</w:t>
      </w:r>
      <w:r>
        <w:t>min</w:t>
      </w:r>
      <w:r w:rsidRPr="009E32D3">
        <w:rPr>
          <w:lang w:val="el-GR"/>
        </w:rPr>
        <w:t>. Μετά την από του στόματος χορήγηση, ο χρόνος ημίσειας</w:t>
      </w:r>
      <w:r w:rsidRPr="009E32D3">
        <w:rPr>
          <w:spacing w:val="7"/>
          <w:lang w:val="el-GR"/>
        </w:rPr>
        <w:t xml:space="preserve"> </w:t>
      </w:r>
      <w:r w:rsidRPr="009E32D3">
        <w:rPr>
          <w:lang w:val="el-GR"/>
        </w:rPr>
        <w:t xml:space="preserve">ζωής για την αποβολή της </w:t>
      </w:r>
      <w:r w:rsidR="007C2CDA">
        <w:rPr>
          <w:lang w:val="el-GR"/>
        </w:rPr>
        <w:t>εμτρισιταβίνης</w:t>
      </w:r>
      <w:r w:rsidR="007C2CDA" w:rsidRPr="007C2CDA">
        <w:rPr>
          <w:lang w:val="el-GR"/>
        </w:rPr>
        <w:t xml:space="preserve"> </w:t>
      </w:r>
      <w:r w:rsidRPr="009E32D3">
        <w:rPr>
          <w:lang w:val="el-GR"/>
        </w:rPr>
        <w:t>ήταν περίπου 10</w:t>
      </w:r>
      <w:r w:rsidRPr="009E32D3">
        <w:rPr>
          <w:spacing w:val="3"/>
          <w:lang w:val="el-GR"/>
        </w:rPr>
        <w:t xml:space="preserve"> </w:t>
      </w:r>
      <w:r w:rsidRPr="009E32D3">
        <w:rPr>
          <w:lang w:val="el-GR"/>
        </w:rPr>
        <w:t>ώρες.</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9E32D3" w:rsidRDefault="007C1B28" w:rsidP="004155A8">
      <w:pPr>
        <w:pStyle w:val="a3"/>
        <w:tabs>
          <w:tab w:val="left" w:pos="9214"/>
        </w:tabs>
        <w:spacing w:line="244" w:lineRule="auto"/>
        <w:ind w:left="142" w:right="-66"/>
        <w:rPr>
          <w:lang w:val="el-GR"/>
        </w:rPr>
      </w:pPr>
      <w:r>
        <w:rPr>
          <w:lang w:val="el-GR"/>
        </w:rPr>
        <w:t>Η τεν</w:t>
      </w:r>
      <w:r w:rsidR="007C2CDA">
        <w:rPr>
          <w:lang w:val="el-GR"/>
        </w:rPr>
        <w:t>οφοβίρη</w:t>
      </w:r>
      <w:r w:rsidR="007134E2" w:rsidRPr="009E32D3">
        <w:rPr>
          <w:spacing w:val="1"/>
          <w:lang w:val="el-GR"/>
        </w:rPr>
        <w:t xml:space="preserve"> </w:t>
      </w:r>
      <w:r w:rsidR="007134E2" w:rsidRPr="009E32D3">
        <w:rPr>
          <w:lang w:val="el-GR"/>
        </w:rPr>
        <w:t>απεκκρίνεται κυρίως</w:t>
      </w:r>
      <w:r w:rsidR="007134E2" w:rsidRPr="009E32D3">
        <w:rPr>
          <w:spacing w:val="-1"/>
          <w:lang w:val="el-GR"/>
        </w:rPr>
        <w:t xml:space="preserve"> </w:t>
      </w:r>
      <w:r w:rsidR="007134E2" w:rsidRPr="009E32D3">
        <w:rPr>
          <w:lang w:val="el-GR"/>
        </w:rPr>
        <w:t>μέσω</w:t>
      </w:r>
      <w:r w:rsidR="007134E2" w:rsidRPr="009E32D3">
        <w:rPr>
          <w:spacing w:val="1"/>
          <w:lang w:val="el-GR"/>
        </w:rPr>
        <w:t xml:space="preserve"> </w:t>
      </w:r>
      <w:r w:rsidR="007134E2" w:rsidRPr="009E32D3">
        <w:rPr>
          <w:lang w:val="el-GR"/>
        </w:rPr>
        <w:t>των</w:t>
      </w:r>
      <w:r w:rsidR="007134E2" w:rsidRPr="009E32D3">
        <w:rPr>
          <w:spacing w:val="1"/>
          <w:lang w:val="el-GR"/>
        </w:rPr>
        <w:t xml:space="preserve"> </w:t>
      </w:r>
      <w:r w:rsidR="007134E2" w:rsidRPr="009E32D3">
        <w:rPr>
          <w:lang w:val="el-GR"/>
        </w:rPr>
        <w:t>νεφρών</w:t>
      </w:r>
      <w:r w:rsidR="007134E2" w:rsidRPr="009E32D3">
        <w:rPr>
          <w:spacing w:val="1"/>
          <w:lang w:val="el-GR"/>
        </w:rPr>
        <w:t xml:space="preserve"> </w:t>
      </w:r>
      <w:r w:rsidR="007134E2" w:rsidRPr="009E32D3">
        <w:rPr>
          <w:lang w:val="el-GR"/>
        </w:rPr>
        <w:t>μέσω</w:t>
      </w:r>
      <w:r w:rsidR="007134E2" w:rsidRPr="009E32D3">
        <w:rPr>
          <w:spacing w:val="1"/>
          <w:lang w:val="el-GR"/>
        </w:rPr>
        <w:t xml:space="preserve"> </w:t>
      </w:r>
      <w:r w:rsidR="007134E2" w:rsidRPr="009E32D3">
        <w:rPr>
          <w:lang w:val="el-GR"/>
        </w:rPr>
        <w:t>διήθησης</w:t>
      </w:r>
      <w:r w:rsidR="007134E2" w:rsidRPr="009E32D3">
        <w:rPr>
          <w:spacing w:val="-1"/>
          <w:lang w:val="el-GR"/>
        </w:rPr>
        <w:t xml:space="preserve"> </w:t>
      </w:r>
      <w:r w:rsidR="007134E2" w:rsidRPr="009E32D3">
        <w:rPr>
          <w:lang w:val="el-GR"/>
        </w:rPr>
        <w:t>και ενός</w:t>
      </w:r>
      <w:r w:rsidR="007134E2" w:rsidRPr="009E32D3">
        <w:rPr>
          <w:spacing w:val="-1"/>
          <w:lang w:val="el-GR"/>
        </w:rPr>
        <w:t xml:space="preserve"> </w:t>
      </w:r>
      <w:r w:rsidR="007134E2" w:rsidRPr="009E32D3">
        <w:rPr>
          <w:lang w:val="el-GR"/>
        </w:rPr>
        <w:t>ενεργού</w:t>
      </w:r>
      <w:r w:rsidR="007134E2" w:rsidRPr="009E32D3">
        <w:rPr>
          <w:spacing w:val="1"/>
          <w:lang w:val="el-GR"/>
        </w:rPr>
        <w:t xml:space="preserve"> </w:t>
      </w:r>
      <w:r w:rsidR="007134E2" w:rsidRPr="009E32D3">
        <w:rPr>
          <w:lang w:val="el-GR"/>
        </w:rPr>
        <w:t>συστήματος</w:t>
      </w:r>
      <w:r w:rsidR="007134E2" w:rsidRPr="009E32D3">
        <w:rPr>
          <w:spacing w:val="-51"/>
          <w:lang w:val="el-GR"/>
        </w:rPr>
        <w:t xml:space="preserve"> </w:t>
      </w:r>
      <w:r w:rsidR="007134E2" w:rsidRPr="009E32D3">
        <w:rPr>
          <w:lang w:val="el-GR"/>
        </w:rPr>
        <w:t>σωληναριακής μεταφοράς με περίπου 70-80% της δόσης να απεκκρίνεται αμετάβλητη στα ούρα</w:t>
      </w:r>
      <w:r w:rsidR="007134E2" w:rsidRPr="009E32D3">
        <w:rPr>
          <w:spacing w:val="-5"/>
          <w:lang w:val="el-GR"/>
        </w:rPr>
        <w:t xml:space="preserve"> </w:t>
      </w:r>
      <w:r w:rsidR="007134E2" w:rsidRPr="009E32D3">
        <w:rPr>
          <w:lang w:val="el-GR"/>
        </w:rPr>
        <w:t xml:space="preserve">μετά από ενδοφλέβια χορήγηση. Ο μέσος όρος της φαινόμενης κάθαρσης </w:t>
      </w:r>
      <w:r w:rsidR="007C2CDA">
        <w:rPr>
          <w:lang w:val="el-GR"/>
        </w:rPr>
        <w:t>της τενοφοβίρης</w:t>
      </w:r>
      <w:r w:rsidR="007134E2" w:rsidRPr="009E32D3">
        <w:rPr>
          <w:lang w:val="el-GR"/>
        </w:rPr>
        <w:t xml:space="preserve"> ήταν</w:t>
      </w:r>
      <w:r w:rsidR="007134E2" w:rsidRPr="009E32D3">
        <w:rPr>
          <w:spacing w:val="-2"/>
          <w:lang w:val="el-GR"/>
        </w:rPr>
        <w:t xml:space="preserve"> </w:t>
      </w:r>
      <w:r w:rsidR="007134E2" w:rsidRPr="009E32D3">
        <w:rPr>
          <w:lang w:val="el-GR"/>
        </w:rPr>
        <w:t>περίπου</w:t>
      </w:r>
      <w:r w:rsidR="00E7469A">
        <w:rPr>
          <w:lang w:val="el-GR"/>
        </w:rPr>
        <w:t xml:space="preserve"> </w:t>
      </w:r>
      <w:r w:rsidR="007134E2" w:rsidRPr="009E32D3">
        <w:rPr>
          <w:lang w:val="el-GR"/>
        </w:rPr>
        <w:t xml:space="preserve">307 </w:t>
      </w:r>
      <w:r w:rsidR="007134E2">
        <w:t>ml</w:t>
      </w:r>
      <w:r w:rsidR="007134E2" w:rsidRPr="009E32D3">
        <w:rPr>
          <w:lang w:val="el-GR"/>
        </w:rPr>
        <w:t>/</w:t>
      </w:r>
      <w:r w:rsidR="007134E2">
        <w:t>min</w:t>
      </w:r>
      <w:r w:rsidR="007134E2" w:rsidRPr="009E32D3">
        <w:rPr>
          <w:lang w:val="el-GR"/>
        </w:rPr>
        <w:t xml:space="preserve">. Η νεφρική κάθαρση έχει υπολογισθεί περίπου στα 210 </w:t>
      </w:r>
      <w:r w:rsidR="007134E2">
        <w:t>ml</w:t>
      </w:r>
      <w:r w:rsidR="007134E2" w:rsidRPr="009E32D3">
        <w:rPr>
          <w:lang w:val="el-GR"/>
        </w:rPr>
        <w:t>/</w:t>
      </w:r>
      <w:r w:rsidR="007134E2">
        <w:t>min</w:t>
      </w:r>
      <w:r w:rsidR="007134E2" w:rsidRPr="009E32D3">
        <w:rPr>
          <w:lang w:val="el-GR"/>
        </w:rPr>
        <w:t>, που είναι πέραν</w:t>
      </w:r>
      <w:r w:rsidR="007134E2" w:rsidRPr="009E32D3">
        <w:rPr>
          <w:spacing w:val="-1"/>
          <w:lang w:val="el-GR"/>
        </w:rPr>
        <w:t xml:space="preserve"> </w:t>
      </w:r>
      <w:r w:rsidR="007134E2" w:rsidRPr="009E32D3">
        <w:rPr>
          <w:lang w:val="el-GR"/>
        </w:rPr>
        <w:t>του ρυθμού σπειραματικής διήθησης. Αυτό υποδεικνύει ότι η ενεργός σωληναριακή απέκκριση</w:t>
      </w:r>
      <w:r w:rsidR="007134E2" w:rsidRPr="009E32D3">
        <w:rPr>
          <w:spacing w:val="2"/>
          <w:lang w:val="el-GR"/>
        </w:rPr>
        <w:t xml:space="preserve"> </w:t>
      </w:r>
      <w:r w:rsidR="007134E2" w:rsidRPr="009E32D3">
        <w:rPr>
          <w:lang w:val="el-GR"/>
        </w:rPr>
        <w:t xml:space="preserve">συνιστά σημαντικό μέρος της απέκκρισης </w:t>
      </w:r>
      <w:r w:rsidR="007C2CDA">
        <w:rPr>
          <w:lang w:val="el-GR"/>
        </w:rPr>
        <w:t xml:space="preserve">της τενοφοβίρης. </w:t>
      </w:r>
      <w:r w:rsidR="007134E2" w:rsidRPr="009E32D3">
        <w:rPr>
          <w:lang w:val="el-GR"/>
        </w:rPr>
        <w:t>Μετά την από του στόματος χορήγηση, ο</w:t>
      </w:r>
      <w:r w:rsidR="007134E2" w:rsidRPr="009E32D3">
        <w:rPr>
          <w:spacing w:val="2"/>
          <w:lang w:val="el-GR"/>
        </w:rPr>
        <w:t xml:space="preserve"> </w:t>
      </w:r>
      <w:r w:rsidR="007134E2" w:rsidRPr="009E32D3">
        <w:rPr>
          <w:lang w:val="el-GR"/>
        </w:rPr>
        <w:t xml:space="preserve">χρόνος ημίσειας ζωής για την αποβολή </w:t>
      </w:r>
      <w:r w:rsidR="007C2CDA">
        <w:rPr>
          <w:lang w:val="el-GR"/>
        </w:rPr>
        <w:t>της τενοφοβίρης</w:t>
      </w:r>
      <w:r w:rsidR="007134E2" w:rsidRPr="009E32D3">
        <w:rPr>
          <w:lang w:val="el-GR"/>
        </w:rPr>
        <w:t xml:space="preserve"> ήταν περίπου 12 έως 18</w:t>
      </w:r>
      <w:r w:rsidR="007134E2" w:rsidRPr="009E32D3">
        <w:rPr>
          <w:spacing w:val="4"/>
          <w:lang w:val="el-GR"/>
        </w:rPr>
        <w:t xml:space="preserve"> </w:t>
      </w:r>
      <w:r w:rsidR="007134E2" w:rsidRPr="009E32D3">
        <w:rPr>
          <w:lang w:val="el-GR"/>
        </w:rPr>
        <w:t>ώρες.</w:t>
      </w:r>
    </w:p>
    <w:p w:rsidR="00645378" w:rsidRPr="009E32D3" w:rsidRDefault="00645378" w:rsidP="0082050A">
      <w:pPr>
        <w:tabs>
          <w:tab w:val="left" w:pos="9214"/>
        </w:tabs>
        <w:spacing w:before="7"/>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ind w:left="142" w:right="-66"/>
        <w:rPr>
          <w:lang w:val="el-GR"/>
        </w:rPr>
      </w:pPr>
      <w:r w:rsidRPr="009E32D3">
        <w:rPr>
          <w:u w:val="single" w:color="000000"/>
          <w:lang w:val="el-GR"/>
        </w:rPr>
        <w:t>Ηλικιωμένοι</w:t>
      </w:r>
    </w:p>
    <w:p w:rsidR="00645378" w:rsidRPr="009E32D3" w:rsidRDefault="007134E2" w:rsidP="0082050A">
      <w:pPr>
        <w:pStyle w:val="a3"/>
        <w:tabs>
          <w:tab w:val="left" w:pos="9214"/>
        </w:tabs>
        <w:spacing w:before="6" w:line="244" w:lineRule="auto"/>
        <w:ind w:left="142" w:right="-66"/>
        <w:rPr>
          <w:lang w:val="el-GR"/>
        </w:rPr>
      </w:pPr>
      <w:r w:rsidRPr="009E32D3">
        <w:rPr>
          <w:lang w:val="el-GR"/>
        </w:rPr>
        <w:t xml:space="preserve">Δεν έχουν πραγματοποιηθεί φαρμακοκινητικές μελέτες με </w:t>
      </w:r>
      <w:r w:rsidR="007C2CDA">
        <w:rPr>
          <w:lang w:val="el-GR"/>
        </w:rPr>
        <w:t>εμτρισιταβίνη</w:t>
      </w:r>
      <w:r w:rsidR="007C2CDA" w:rsidRPr="007C2CDA">
        <w:rPr>
          <w:lang w:val="el-GR"/>
        </w:rPr>
        <w:t xml:space="preserve"> </w:t>
      </w:r>
      <w:r w:rsidRPr="009E32D3">
        <w:rPr>
          <w:lang w:val="el-GR"/>
        </w:rPr>
        <w:t xml:space="preserve">ή </w:t>
      </w:r>
      <w:r w:rsidR="007C2CDA">
        <w:rPr>
          <w:lang w:val="el-GR"/>
        </w:rPr>
        <w:t>τενοφοβίρη</w:t>
      </w:r>
      <w:r w:rsidRPr="009E32D3">
        <w:rPr>
          <w:lang w:val="el-GR"/>
        </w:rPr>
        <w:t xml:space="preserve"> σε</w:t>
      </w:r>
      <w:r w:rsidRPr="009E32D3">
        <w:rPr>
          <w:spacing w:val="13"/>
          <w:lang w:val="el-GR"/>
        </w:rPr>
        <w:t xml:space="preserve"> </w:t>
      </w:r>
      <w:r w:rsidRPr="009E32D3">
        <w:rPr>
          <w:lang w:val="el-GR"/>
        </w:rPr>
        <w:t>ηλικιωμένους (ηλικίας πάνω από</w:t>
      </w:r>
      <w:r w:rsidRPr="009E32D3">
        <w:rPr>
          <w:spacing w:val="-3"/>
          <w:lang w:val="el-GR"/>
        </w:rPr>
        <w:t xml:space="preserve"> </w:t>
      </w:r>
      <w:r w:rsidRPr="009E32D3">
        <w:rPr>
          <w:lang w:val="el-GR"/>
        </w:rPr>
        <w:t>65).</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ind w:left="142" w:right="-66"/>
        <w:rPr>
          <w:lang w:val="el-GR"/>
        </w:rPr>
      </w:pPr>
      <w:r w:rsidRPr="009E32D3">
        <w:rPr>
          <w:u w:val="single" w:color="000000"/>
          <w:lang w:val="el-GR"/>
        </w:rPr>
        <w:t>Φύλο</w:t>
      </w:r>
    </w:p>
    <w:p w:rsidR="00645378" w:rsidRPr="009E32D3" w:rsidRDefault="007134E2" w:rsidP="0082050A">
      <w:pPr>
        <w:pStyle w:val="a3"/>
        <w:tabs>
          <w:tab w:val="left" w:pos="9214"/>
        </w:tabs>
        <w:spacing w:before="6" w:line="244" w:lineRule="auto"/>
        <w:ind w:left="142" w:right="-66"/>
        <w:rPr>
          <w:lang w:val="el-GR"/>
        </w:rPr>
      </w:pPr>
      <w:r w:rsidRPr="009E32D3">
        <w:rPr>
          <w:lang w:val="el-GR"/>
        </w:rPr>
        <w:t xml:space="preserve">Η φαρμακοκινητική της </w:t>
      </w:r>
      <w:r w:rsidR="007C2CDA">
        <w:rPr>
          <w:lang w:val="el-GR"/>
        </w:rPr>
        <w:t>εμτρισιταβίνη</w:t>
      </w:r>
      <w:r w:rsidR="007C1B28">
        <w:rPr>
          <w:lang w:val="el-GR"/>
        </w:rPr>
        <w:t>ς</w:t>
      </w:r>
      <w:r w:rsidR="007C2CDA" w:rsidRPr="007C2CDA">
        <w:rPr>
          <w:lang w:val="el-GR"/>
        </w:rPr>
        <w:t xml:space="preserve"> </w:t>
      </w:r>
      <w:r w:rsidRPr="009E32D3">
        <w:rPr>
          <w:lang w:val="el-GR"/>
        </w:rPr>
        <w:t>και τ</w:t>
      </w:r>
      <w:r w:rsidR="007C2CDA">
        <w:rPr>
          <w:lang w:val="el-GR"/>
        </w:rPr>
        <w:t>ης</w:t>
      </w:r>
      <w:r w:rsidRPr="009E32D3">
        <w:rPr>
          <w:lang w:val="el-GR"/>
        </w:rPr>
        <w:t xml:space="preserve"> </w:t>
      </w:r>
      <w:r w:rsidR="0097359A">
        <w:rPr>
          <w:lang w:val="el-GR"/>
        </w:rPr>
        <w:t>τ</w:t>
      </w:r>
      <w:r w:rsidR="007C2CDA">
        <w:rPr>
          <w:lang w:val="el-GR"/>
        </w:rPr>
        <w:t>ενοφοβίρη</w:t>
      </w:r>
      <w:r w:rsidR="007C1B28">
        <w:rPr>
          <w:lang w:val="el-GR"/>
        </w:rPr>
        <w:t>ς</w:t>
      </w:r>
      <w:r w:rsidR="007C2CDA">
        <w:rPr>
          <w:lang w:val="el-GR"/>
        </w:rPr>
        <w:t xml:space="preserve"> </w:t>
      </w:r>
      <w:r w:rsidRPr="009E32D3">
        <w:rPr>
          <w:lang w:val="el-GR"/>
        </w:rPr>
        <w:t>είναι παρόμοια σε άνδρες και σε</w:t>
      </w:r>
      <w:r w:rsidRPr="009E32D3">
        <w:rPr>
          <w:spacing w:val="5"/>
          <w:lang w:val="el-GR"/>
        </w:rPr>
        <w:t xml:space="preserve"> </w:t>
      </w:r>
      <w:r w:rsidRPr="009E32D3">
        <w:rPr>
          <w:lang w:val="el-GR"/>
        </w:rPr>
        <w:t>γυναίκες ασθενείς.</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ind w:left="142" w:right="-66"/>
        <w:rPr>
          <w:lang w:val="el-GR"/>
        </w:rPr>
      </w:pPr>
      <w:r w:rsidRPr="009E32D3">
        <w:rPr>
          <w:u w:val="single" w:color="000000"/>
          <w:lang w:val="el-GR"/>
        </w:rPr>
        <w:t>Εθνικότητα</w:t>
      </w:r>
    </w:p>
    <w:p w:rsidR="00DE1133" w:rsidRPr="00DE1133" w:rsidRDefault="007134E2" w:rsidP="0082050A">
      <w:pPr>
        <w:pStyle w:val="a3"/>
        <w:tabs>
          <w:tab w:val="left" w:pos="9214"/>
        </w:tabs>
        <w:spacing w:before="6" w:line="244" w:lineRule="auto"/>
        <w:ind w:left="142" w:right="-66"/>
        <w:rPr>
          <w:lang w:val="el-GR"/>
        </w:rPr>
      </w:pPr>
      <w:r w:rsidRPr="009E32D3">
        <w:rPr>
          <w:lang w:val="el-GR"/>
        </w:rPr>
        <w:t>Δεν έχει εντοπισθεί κλινικά σημαντική διαφοροποίηση στη φαρμακοκινητική όσον αφορά</w:t>
      </w:r>
      <w:r w:rsidRPr="009E32D3">
        <w:rPr>
          <w:spacing w:val="-3"/>
          <w:lang w:val="el-GR"/>
        </w:rPr>
        <w:t xml:space="preserve"> </w:t>
      </w:r>
      <w:r w:rsidRPr="009E32D3">
        <w:rPr>
          <w:lang w:val="el-GR"/>
        </w:rPr>
        <w:t xml:space="preserve">την εθνικότητα για την </w:t>
      </w:r>
      <w:r w:rsidR="007C2CDA">
        <w:rPr>
          <w:lang w:val="el-GR"/>
        </w:rPr>
        <w:t>εμτρισιταβίνη</w:t>
      </w:r>
      <w:r w:rsidRPr="009E32D3">
        <w:rPr>
          <w:lang w:val="el-GR"/>
        </w:rPr>
        <w:t xml:space="preserve">. Δεν έχουν μελετηθεί οι φαρμακοκινητικές ιδιότητες </w:t>
      </w:r>
      <w:r w:rsidR="007C2CDA">
        <w:rPr>
          <w:lang w:val="el-GR"/>
        </w:rPr>
        <w:t>της τενοφοβίρης</w:t>
      </w:r>
      <w:r w:rsidR="007C2CDA" w:rsidRPr="009E32D3">
        <w:rPr>
          <w:lang w:val="el-GR"/>
        </w:rPr>
        <w:t xml:space="preserve"> </w:t>
      </w:r>
      <w:r w:rsidRPr="009E32D3">
        <w:rPr>
          <w:lang w:val="el-GR"/>
        </w:rPr>
        <w:t>συγκεκριμένα σε διαφορετικές εθνοτικές</w:t>
      </w:r>
      <w:r w:rsidRPr="009E32D3">
        <w:rPr>
          <w:spacing w:val="2"/>
          <w:lang w:val="el-GR"/>
        </w:rPr>
        <w:t xml:space="preserve"> </w:t>
      </w:r>
      <w:r w:rsidRPr="009E32D3">
        <w:rPr>
          <w:lang w:val="el-GR"/>
        </w:rPr>
        <w:t>ομάδες.</w:t>
      </w:r>
    </w:p>
    <w:p w:rsidR="00DE1133" w:rsidRPr="00C00C24" w:rsidRDefault="00DE1133" w:rsidP="0082050A">
      <w:pPr>
        <w:pStyle w:val="a3"/>
        <w:tabs>
          <w:tab w:val="left" w:pos="9214"/>
        </w:tabs>
        <w:spacing w:before="6" w:line="244" w:lineRule="auto"/>
        <w:ind w:left="142" w:right="-66"/>
        <w:rPr>
          <w:lang w:val="el-GR"/>
        </w:rPr>
      </w:pPr>
    </w:p>
    <w:p w:rsidR="00645378" w:rsidRPr="00AA2F31" w:rsidRDefault="007134E2" w:rsidP="0082050A">
      <w:pPr>
        <w:pStyle w:val="a3"/>
        <w:tabs>
          <w:tab w:val="left" w:pos="9214"/>
        </w:tabs>
        <w:spacing w:before="6" w:line="244" w:lineRule="auto"/>
        <w:ind w:left="142" w:right="-66"/>
        <w:rPr>
          <w:lang w:val="el-GR"/>
        </w:rPr>
      </w:pPr>
      <w:r w:rsidRPr="00AA2F31">
        <w:rPr>
          <w:u w:val="single" w:color="000000"/>
          <w:lang w:val="el-GR"/>
        </w:rPr>
        <w:t>Παιδιατρικός</w:t>
      </w:r>
      <w:r w:rsidRPr="00AA2F31">
        <w:rPr>
          <w:spacing w:val="-4"/>
          <w:u w:val="single" w:color="000000"/>
          <w:lang w:val="el-GR"/>
        </w:rPr>
        <w:t xml:space="preserve"> </w:t>
      </w:r>
      <w:r w:rsidRPr="00AA2F31">
        <w:rPr>
          <w:u w:val="single" w:color="000000"/>
          <w:lang w:val="el-GR"/>
        </w:rPr>
        <w:t>πληθυσμός</w:t>
      </w:r>
    </w:p>
    <w:p w:rsidR="00645378" w:rsidRPr="009E32D3" w:rsidRDefault="007134E2" w:rsidP="0082050A">
      <w:pPr>
        <w:pStyle w:val="a3"/>
        <w:tabs>
          <w:tab w:val="left" w:pos="9214"/>
        </w:tabs>
        <w:spacing w:before="6" w:line="244" w:lineRule="auto"/>
        <w:ind w:left="142" w:right="-66"/>
        <w:rPr>
          <w:lang w:val="el-GR"/>
        </w:rPr>
      </w:pPr>
      <w:r w:rsidRPr="00AA2F31">
        <w:rPr>
          <w:lang w:val="el-GR"/>
        </w:rPr>
        <w:t xml:space="preserve">Γενικά η φαρμακοκινητική της </w:t>
      </w:r>
      <w:r w:rsidR="007C2CDA">
        <w:rPr>
          <w:lang w:val="el-GR"/>
        </w:rPr>
        <w:t>εμτρισιταβίνη</w:t>
      </w:r>
      <w:r w:rsidR="007C1B28">
        <w:rPr>
          <w:lang w:val="el-GR"/>
        </w:rPr>
        <w:t>ς</w:t>
      </w:r>
      <w:r w:rsidR="007C2CDA">
        <w:rPr>
          <w:lang w:val="el-GR"/>
        </w:rPr>
        <w:t xml:space="preserve"> </w:t>
      </w:r>
      <w:r w:rsidRPr="00AA2F31">
        <w:rPr>
          <w:lang w:val="el-GR"/>
        </w:rPr>
        <w:t xml:space="preserve"> σε βρέφη, παιδιά και εφήβους (ηλικίας από 4 μηνών έως 18 ετών) είναι παρόμοια με αυτή των ενηλίκων. </w:t>
      </w:r>
      <w:r w:rsidRPr="009E32D3">
        <w:rPr>
          <w:lang w:val="el-GR"/>
        </w:rPr>
        <w:t>Δεν έχουν πραγματοποιηθεί φαρμακοκινητικές</w:t>
      </w:r>
      <w:r w:rsidRPr="009E32D3">
        <w:rPr>
          <w:spacing w:val="-44"/>
          <w:lang w:val="el-GR"/>
        </w:rPr>
        <w:t xml:space="preserve"> </w:t>
      </w:r>
      <w:r w:rsidRPr="009E32D3">
        <w:rPr>
          <w:lang w:val="el-GR"/>
        </w:rPr>
        <w:t xml:space="preserve">μελέτες με </w:t>
      </w:r>
      <w:r w:rsidR="007C2CDA">
        <w:rPr>
          <w:lang w:val="el-GR"/>
        </w:rPr>
        <w:t>τενοφοβίρη</w:t>
      </w:r>
      <w:r w:rsidRPr="009E32D3">
        <w:rPr>
          <w:lang w:val="el-GR"/>
        </w:rPr>
        <w:t xml:space="preserve"> σε παιδιά και σε εφήβους (ηλικίας κάτω από</w:t>
      </w:r>
      <w:r w:rsidRPr="009E32D3">
        <w:rPr>
          <w:spacing w:val="3"/>
          <w:lang w:val="el-GR"/>
        </w:rPr>
        <w:t xml:space="preserve"> </w:t>
      </w:r>
      <w:r w:rsidRPr="009E32D3">
        <w:rPr>
          <w:lang w:val="el-GR"/>
        </w:rPr>
        <w:t>18).</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3571F7" w:rsidRDefault="007134E2" w:rsidP="0082050A">
      <w:pPr>
        <w:pStyle w:val="a3"/>
        <w:tabs>
          <w:tab w:val="left" w:pos="9214"/>
        </w:tabs>
        <w:ind w:left="142" w:right="-66"/>
        <w:rPr>
          <w:lang w:val="el-GR"/>
        </w:rPr>
      </w:pPr>
      <w:r w:rsidRPr="003571F7">
        <w:rPr>
          <w:u w:val="single" w:color="000000"/>
          <w:lang w:val="el-GR"/>
        </w:rPr>
        <w:t>Νεφρική</w:t>
      </w:r>
      <w:r w:rsidRPr="003571F7">
        <w:rPr>
          <w:spacing w:val="3"/>
          <w:u w:val="single" w:color="000000"/>
          <w:lang w:val="el-GR"/>
        </w:rPr>
        <w:t xml:space="preserve"> </w:t>
      </w:r>
      <w:r w:rsidRPr="003571F7">
        <w:rPr>
          <w:u w:val="single" w:color="000000"/>
          <w:lang w:val="el-GR"/>
        </w:rPr>
        <w:t>δυσλειτουργία</w:t>
      </w:r>
    </w:p>
    <w:p w:rsidR="00645378" w:rsidRPr="009E32D3" w:rsidRDefault="007134E2" w:rsidP="004155A8">
      <w:pPr>
        <w:pStyle w:val="a3"/>
        <w:tabs>
          <w:tab w:val="left" w:pos="9214"/>
        </w:tabs>
        <w:spacing w:before="6" w:line="244" w:lineRule="auto"/>
        <w:ind w:left="142" w:right="-66"/>
        <w:rPr>
          <w:lang w:val="el-GR"/>
        </w:rPr>
      </w:pPr>
      <w:r w:rsidRPr="003571F7">
        <w:rPr>
          <w:color w:val="000000" w:themeColor="text1"/>
          <w:lang w:val="el-GR"/>
        </w:rPr>
        <w:t xml:space="preserve">Περιορισμένα φαρμακοκινητικά δεδομένα είναι διαθέσιμα για την </w:t>
      </w:r>
      <w:r w:rsidR="00DE3481" w:rsidRPr="003571F7">
        <w:rPr>
          <w:color w:val="000000" w:themeColor="text1"/>
          <w:lang w:val="el-GR"/>
        </w:rPr>
        <w:t>εμτρισιταβίνη</w:t>
      </w:r>
      <w:r w:rsidRPr="003571F7">
        <w:rPr>
          <w:color w:val="000000" w:themeColor="text1"/>
          <w:lang w:val="el-GR"/>
        </w:rPr>
        <w:t xml:space="preserve"> και τ</w:t>
      </w:r>
      <w:r w:rsidR="00DE3481" w:rsidRPr="003571F7">
        <w:rPr>
          <w:color w:val="000000" w:themeColor="text1"/>
          <w:lang w:val="el-GR"/>
        </w:rPr>
        <w:t>η</w:t>
      </w:r>
      <w:r w:rsidR="001045D0">
        <w:rPr>
          <w:color w:val="000000" w:themeColor="text1"/>
          <w:lang w:val="el-GR"/>
        </w:rPr>
        <w:t>ν</w:t>
      </w:r>
      <w:r w:rsidRPr="003571F7">
        <w:rPr>
          <w:color w:val="000000" w:themeColor="text1"/>
          <w:lang w:val="el-GR"/>
        </w:rPr>
        <w:t xml:space="preserve"> </w:t>
      </w:r>
      <w:r w:rsidR="00DE3481" w:rsidRPr="003571F7">
        <w:rPr>
          <w:color w:val="000000" w:themeColor="text1"/>
          <w:lang w:val="el-GR"/>
        </w:rPr>
        <w:t>τενοφοβίρη</w:t>
      </w:r>
      <w:r w:rsidRPr="003571F7">
        <w:rPr>
          <w:color w:val="000000" w:themeColor="text1"/>
          <w:spacing w:val="4"/>
          <w:lang w:val="el-GR"/>
        </w:rPr>
        <w:t xml:space="preserve"> </w:t>
      </w:r>
      <w:r w:rsidRPr="003571F7">
        <w:rPr>
          <w:color w:val="000000" w:themeColor="text1"/>
          <w:lang w:val="el-GR"/>
        </w:rPr>
        <w:t>μετά από</w:t>
      </w:r>
      <w:r w:rsidRPr="003571F7">
        <w:rPr>
          <w:color w:val="000000" w:themeColor="text1"/>
          <w:spacing w:val="1"/>
          <w:lang w:val="el-GR"/>
        </w:rPr>
        <w:t xml:space="preserve"> </w:t>
      </w:r>
      <w:r w:rsidRPr="003571F7">
        <w:rPr>
          <w:color w:val="000000" w:themeColor="text1"/>
          <w:lang w:val="el-GR"/>
        </w:rPr>
        <w:t>συγχορήγηση των</w:t>
      </w:r>
      <w:r w:rsidRPr="003571F7">
        <w:rPr>
          <w:color w:val="000000" w:themeColor="text1"/>
          <w:spacing w:val="2"/>
          <w:lang w:val="el-GR"/>
        </w:rPr>
        <w:t xml:space="preserve"> </w:t>
      </w:r>
      <w:r w:rsidRPr="003571F7">
        <w:rPr>
          <w:color w:val="000000" w:themeColor="text1"/>
          <w:lang w:val="el-GR"/>
        </w:rPr>
        <w:t>μεμονωμένων</w:t>
      </w:r>
      <w:r w:rsidRPr="003571F7">
        <w:rPr>
          <w:color w:val="000000" w:themeColor="text1"/>
          <w:spacing w:val="2"/>
          <w:lang w:val="el-GR"/>
        </w:rPr>
        <w:t xml:space="preserve"> </w:t>
      </w:r>
      <w:r w:rsidRPr="003571F7">
        <w:rPr>
          <w:color w:val="000000" w:themeColor="text1"/>
          <w:lang w:val="el-GR"/>
        </w:rPr>
        <w:t>σκευασμάτων</w:t>
      </w:r>
      <w:r w:rsidRPr="003571F7">
        <w:rPr>
          <w:color w:val="000000" w:themeColor="text1"/>
          <w:spacing w:val="2"/>
          <w:lang w:val="el-GR"/>
        </w:rPr>
        <w:t xml:space="preserve"> </w:t>
      </w:r>
      <w:r w:rsidRPr="003571F7">
        <w:rPr>
          <w:color w:val="000000" w:themeColor="text1"/>
          <w:lang w:val="el-GR"/>
        </w:rPr>
        <w:t xml:space="preserve">ή ως </w:t>
      </w:r>
      <w:r w:rsidR="00DE3481" w:rsidRPr="003571F7">
        <w:rPr>
          <w:color w:val="000000" w:themeColor="text1"/>
          <w:lang w:val="el-GR"/>
        </w:rPr>
        <w:t>συνδυασμός εμτρισιταβίνης/τενοφοβίρης δισοπρόξιλης</w:t>
      </w:r>
      <w:r w:rsidR="00723F6A" w:rsidRPr="003571F7">
        <w:rPr>
          <w:color w:val="000000" w:themeColor="text1"/>
          <w:lang w:val="el-GR"/>
        </w:rPr>
        <w:t xml:space="preserve"> </w:t>
      </w:r>
      <w:r w:rsidRPr="003571F7">
        <w:rPr>
          <w:color w:val="000000" w:themeColor="text1"/>
          <w:lang w:val="el-GR"/>
        </w:rPr>
        <w:t>σε</w:t>
      </w:r>
      <w:r w:rsidRPr="003571F7">
        <w:rPr>
          <w:color w:val="000000" w:themeColor="text1"/>
          <w:spacing w:val="2"/>
          <w:lang w:val="el-GR"/>
        </w:rPr>
        <w:t xml:space="preserve"> </w:t>
      </w:r>
      <w:r w:rsidR="00DE3481" w:rsidRPr="003571F7">
        <w:rPr>
          <w:color w:val="000000" w:themeColor="text1"/>
          <w:lang w:val="el-GR"/>
        </w:rPr>
        <w:t xml:space="preserve">ασθενείς με </w:t>
      </w:r>
      <w:r w:rsidRPr="003571F7">
        <w:rPr>
          <w:color w:val="000000" w:themeColor="text1"/>
          <w:lang w:val="el-GR"/>
        </w:rPr>
        <w:t>νεφρική δυσλειτουργία. Οι</w:t>
      </w:r>
      <w:r w:rsidRPr="007C1B28">
        <w:rPr>
          <w:color w:val="000000" w:themeColor="text1"/>
          <w:lang w:val="el-GR"/>
        </w:rPr>
        <w:t xml:space="preserve"> φαρμακοκινητικές </w:t>
      </w:r>
      <w:r w:rsidRPr="009E32D3">
        <w:rPr>
          <w:lang w:val="el-GR"/>
        </w:rPr>
        <w:t>παράμετροι προσδιορίστηκαν κυρίως μετά</w:t>
      </w:r>
      <w:r w:rsidRPr="009E32D3">
        <w:rPr>
          <w:spacing w:val="30"/>
          <w:lang w:val="el-GR"/>
        </w:rPr>
        <w:t xml:space="preserve"> </w:t>
      </w:r>
      <w:r w:rsidRPr="009E32D3">
        <w:rPr>
          <w:lang w:val="el-GR"/>
        </w:rPr>
        <w:t xml:space="preserve">τη χορήγηση μιας δόσης </w:t>
      </w:r>
      <w:r w:rsidR="0097359A">
        <w:rPr>
          <w:lang w:val="el-GR"/>
        </w:rPr>
        <w:lastRenderedPageBreak/>
        <w:t>εμτρισιταβίνης</w:t>
      </w:r>
      <w:r w:rsidRPr="009E32D3">
        <w:rPr>
          <w:lang w:val="el-GR"/>
        </w:rPr>
        <w:t xml:space="preserve"> 200 </w:t>
      </w:r>
      <w:r>
        <w:t>mg</w:t>
      </w:r>
      <w:r w:rsidRPr="009E32D3">
        <w:rPr>
          <w:lang w:val="el-GR"/>
        </w:rPr>
        <w:t xml:space="preserve"> ή </w:t>
      </w:r>
      <w:r w:rsidR="0097359A">
        <w:rPr>
          <w:lang w:val="el-GR"/>
        </w:rPr>
        <w:t>τενοφοβίρης δισοπρόξιλης</w:t>
      </w:r>
      <w:r w:rsidRPr="009E32D3">
        <w:rPr>
          <w:lang w:val="el-GR"/>
        </w:rPr>
        <w:t xml:space="preserve"> 245 </w:t>
      </w:r>
      <w:r>
        <w:t>mg</w:t>
      </w:r>
      <w:r w:rsidRPr="009E32D3">
        <w:rPr>
          <w:lang w:val="el-GR"/>
        </w:rPr>
        <w:t xml:space="preserve"> σε ασθενείς χωρίς </w:t>
      </w:r>
      <w:r>
        <w:rPr>
          <w:spacing w:val="-2"/>
        </w:rPr>
        <w:t>HIV</w:t>
      </w:r>
      <w:r w:rsidRPr="009E32D3">
        <w:rPr>
          <w:spacing w:val="-48"/>
          <w:lang w:val="el-GR"/>
        </w:rPr>
        <w:t xml:space="preserve"> </w:t>
      </w:r>
      <w:r w:rsidRPr="009E32D3">
        <w:rPr>
          <w:lang w:val="el-GR"/>
        </w:rPr>
        <w:t>λοίμωξη και με διάφορο βαθμό νεφρικής δυσλειτουργίας. Ο βαθμός της νεφρικής</w:t>
      </w:r>
      <w:r w:rsidRPr="009E32D3">
        <w:rPr>
          <w:spacing w:val="3"/>
          <w:lang w:val="el-GR"/>
        </w:rPr>
        <w:t xml:space="preserve"> </w:t>
      </w:r>
      <w:r w:rsidRPr="009E32D3">
        <w:rPr>
          <w:lang w:val="el-GR"/>
        </w:rPr>
        <w:t>δυσλειτουργίας</w:t>
      </w:r>
      <w:r w:rsidR="00E7469A">
        <w:rPr>
          <w:lang w:val="el-GR"/>
        </w:rPr>
        <w:t xml:space="preserve"> </w:t>
      </w:r>
      <w:r w:rsidRPr="009E32D3">
        <w:rPr>
          <w:lang w:val="el-GR"/>
        </w:rPr>
        <w:t>προσδιορίστηκε κατά την ένταξη σύμφωνα με την κάθαρση κρεατινίνης (</w:t>
      </w:r>
      <w:r>
        <w:t>CrCl</w:t>
      </w:r>
      <w:r w:rsidRPr="009E32D3">
        <w:rPr>
          <w:lang w:val="el-GR"/>
        </w:rPr>
        <w:t>) (φυσιολογική</w:t>
      </w:r>
      <w:r w:rsidRPr="009E32D3">
        <w:rPr>
          <w:spacing w:val="8"/>
          <w:lang w:val="el-GR"/>
        </w:rPr>
        <w:t xml:space="preserve"> </w:t>
      </w:r>
      <w:r w:rsidRPr="009E32D3">
        <w:rPr>
          <w:lang w:val="el-GR"/>
        </w:rPr>
        <w:t xml:space="preserve">νεφρική λειτουργία όταν </w:t>
      </w:r>
      <w:r>
        <w:t>CrCl</w:t>
      </w:r>
      <w:r w:rsidRPr="009E32D3">
        <w:rPr>
          <w:lang w:val="el-GR"/>
        </w:rPr>
        <w:t xml:space="preserve"> &gt; 80 </w:t>
      </w:r>
      <w:r>
        <w:t>ml</w:t>
      </w:r>
      <w:r w:rsidRPr="009E32D3">
        <w:rPr>
          <w:lang w:val="el-GR"/>
        </w:rPr>
        <w:t>/</w:t>
      </w:r>
      <w:r>
        <w:t>min</w:t>
      </w:r>
      <w:r w:rsidRPr="009E32D3">
        <w:rPr>
          <w:lang w:val="el-GR"/>
        </w:rPr>
        <w:t xml:space="preserve">, ήπια </w:t>
      </w:r>
      <w:r w:rsidR="003F4886">
        <w:rPr>
          <w:lang w:val="el-GR"/>
        </w:rPr>
        <w:t xml:space="preserve">δυσλειτουργία </w:t>
      </w:r>
      <w:r w:rsidRPr="009E32D3">
        <w:rPr>
          <w:lang w:val="el-GR"/>
        </w:rPr>
        <w:t xml:space="preserve">με </w:t>
      </w:r>
      <w:r>
        <w:t>CrCl</w:t>
      </w:r>
      <w:r w:rsidRPr="009E32D3">
        <w:rPr>
          <w:lang w:val="el-GR"/>
        </w:rPr>
        <w:t xml:space="preserve"> = 50-79 </w:t>
      </w:r>
      <w:r>
        <w:t>ml</w:t>
      </w:r>
      <w:r w:rsidRPr="009E32D3">
        <w:rPr>
          <w:lang w:val="el-GR"/>
        </w:rPr>
        <w:t>/</w:t>
      </w:r>
      <w:r>
        <w:t>min</w:t>
      </w:r>
      <w:r w:rsidRPr="009E32D3">
        <w:rPr>
          <w:lang w:val="el-GR"/>
        </w:rPr>
        <w:t xml:space="preserve">, μέτρια </w:t>
      </w:r>
      <w:r w:rsidR="003F4886">
        <w:rPr>
          <w:lang w:val="el-GR"/>
        </w:rPr>
        <w:t xml:space="preserve">δυσλειτουργία </w:t>
      </w:r>
      <w:r w:rsidRPr="009E32D3">
        <w:rPr>
          <w:lang w:val="el-GR"/>
        </w:rPr>
        <w:t xml:space="preserve">με </w:t>
      </w:r>
      <w:r>
        <w:t>CrCl</w:t>
      </w:r>
      <w:r w:rsidRPr="009E32D3">
        <w:rPr>
          <w:lang w:val="el-GR"/>
        </w:rPr>
        <w:t xml:space="preserve"> = 30-49 </w:t>
      </w:r>
      <w:r>
        <w:t>ml</w:t>
      </w:r>
      <w:r w:rsidRPr="009E32D3">
        <w:rPr>
          <w:lang w:val="el-GR"/>
        </w:rPr>
        <w:t>/</w:t>
      </w:r>
      <w:r>
        <w:t>min</w:t>
      </w:r>
      <w:r w:rsidRPr="009E32D3">
        <w:rPr>
          <w:spacing w:val="-7"/>
          <w:lang w:val="el-GR"/>
        </w:rPr>
        <w:t xml:space="preserve"> </w:t>
      </w:r>
      <w:r w:rsidRPr="009E32D3">
        <w:rPr>
          <w:lang w:val="el-GR"/>
        </w:rPr>
        <w:t>και σοβαρή</w:t>
      </w:r>
      <w:r w:rsidR="003F4886">
        <w:rPr>
          <w:lang w:val="el-GR"/>
        </w:rPr>
        <w:t xml:space="preserve"> δυσλειτουργία</w:t>
      </w:r>
      <w:r w:rsidRPr="009E32D3">
        <w:rPr>
          <w:lang w:val="el-GR"/>
        </w:rPr>
        <w:t xml:space="preserve"> με </w:t>
      </w:r>
      <w:r>
        <w:t>CrCl</w:t>
      </w:r>
      <w:r w:rsidRPr="009E32D3">
        <w:rPr>
          <w:lang w:val="el-GR"/>
        </w:rPr>
        <w:t xml:space="preserve"> = 10-29</w:t>
      </w:r>
      <w:r w:rsidRPr="009E32D3">
        <w:rPr>
          <w:spacing w:val="-3"/>
          <w:lang w:val="el-GR"/>
        </w:rPr>
        <w:t xml:space="preserve"> </w:t>
      </w:r>
      <w:r>
        <w:t>ml</w:t>
      </w:r>
      <w:r w:rsidRPr="009E32D3">
        <w:rPr>
          <w:lang w:val="el-GR"/>
        </w:rPr>
        <w:t>/</w:t>
      </w:r>
      <w:r>
        <w:t>min</w:t>
      </w:r>
      <w:r w:rsidRPr="009E32D3">
        <w:rPr>
          <w:lang w:val="el-GR"/>
        </w:rPr>
        <w:t>).</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spacing w:line="244" w:lineRule="auto"/>
        <w:ind w:left="142" w:right="-66"/>
        <w:rPr>
          <w:lang w:val="el-GR"/>
        </w:rPr>
      </w:pPr>
      <w:r w:rsidRPr="009E32D3">
        <w:rPr>
          <w:lang w:val="el-GR"/>
        </w:rPr>
        <w:t xml:space="preserve">Η μέση έκθεση στην </w:t>
      </w:r>
      <w:r w:rsidR="003F4886">
        <w:rPr>
          <w:lang w:val="el-GR"/>
        </w:rPr>
        <w:t>εμτρισιταβίνη</w:t>
      </w:r>
      <w:r w:rsidRPr="009E32D3">
        <w:rPr>
          <w:lang w:val="el-GR"/>
        </w:rPr>
        <w:t xml:space="preserve"> (% </w:t>
      </w:r>
      <w:r>
        <w:t>CV</w:t>
      </w:r>
      <w:r w:rsidRPr="009E32D3">
        <w:rPr>
          <w:lang w:val="el-GR"/>
        </w:rPr>
        <w:t>) αυξήθηκε από 12 (25%) µ</w:t>
      </w:r>
      <w:r>
        <w:t>g</w:t>
      </w:r>
      <w:r w:rsidRPr="009E32D3">
        <w:rPr>
          <w:lang w:val="el-GR"/>
        </w:rPr>
        <w:t>•</w:t>
      </w:r>
      <w:r>
        <w:t>h</w:t>
      </w:r>
      <w:r w:rsidRPr="009E32D3">
        <w:rPr>
          <w:lang w:val="el-GR"/>
        </w:rPr>
        <w:t>/</w:t>
      </w:r>
      <w:r>
        <w:t>ml</w:t>
      </w:r>
      <w:r w:rsidRPr="009E32D3">
        <w:rPr>
          <w:lang w:val="el-GR"/>
        </w:rPr>
        <w:t xml:space="preserve"> σε άτομα με</w:t>
      </w:r>
      <w:r w:rsidRPr="009E32D3">
        <w:rPr>
          <w:spacing w:val="-48"/>
          <w:lang w:val="el-GR"/>
        </w:rPr>
        <w:t xml:space="preserve"> </w:t>
      </w:r>
      <w:r w:rsidRPr="009E32D3">
        <w:rPr>
          <w:lang w:val="el-GR"/>
        </w:rPr>
        <w:t>φυσιολογική νεφρική λειτουργία σε 20 (6%) µ</w:t>
      </w:r>
      <w:r>
        <w:t>g</w:t>
      </w:r>
      <w:r w:rsidRPr="009E32D3">
        <w:rPr>
          <w:lang w:val="el-GR"/>
        </w:rPr>
        <w:t>•</w:t>
      </w:r>
      <w:r>
        <w:t>h</w:t>
      </w:r>
      <w:r w:rsidRPr="009E32D3">
        <w:rPr>
          <w:lang w:val="el-GR"/>
        </w:rPr>
        <w:t>/</w:t>
      </w:r>
      <w:r>
        <w:t>ml</w:t>
      </w:r>
      <w:r w:rsidRPr="009E32D3">
        <w:rPr>
          <w:lang w:val="el-GR"/>
        </w:rPr>
        <w:t>, 25 (23%) µ</w:t>
      </w:r>
      <w:r>
        <w:t>g</w:t>
      </w:r>
      <w:r w:rsidRPr="009E32D3">
        <w:rPr>
          <w:lang w:val="el-GR"/>
        </w:rPr>
        <w:t>•</w:t>
      </w:r>
      <w:r>
        <w:t>h</w:t>
      </w:r>
      <w:r w:rsidRPr="009E32D3">
        <w:rPr>
          <w:lang w:val="el-GR"/>
        </w:rPr>
        <w:t>/</w:t>
      </w:r>
      <w:r>
        <w:t>ml</w:t>
      </w:r>
      <w:r w:rsidRPr="009E32D3">
        <w:rPr>
          <w:lang w:val="el-GR"/>
        </w:rPr>
        <w:t xml:space="preserve"> και 34 (6%) µ</w:t>
      </w:r>
      <w:r>
        <w:t>g</w:t>
      </w:r>
      <w:r w:rsidRPr="009E32D3">
        <w:rPr>
          <w:lang w:val="el-GR"/>
        </w:rPr>
        <w:t>•</w:t>
      </w:r>
      <w:r>
        <w:t>h</w:t>
      </w:r>
      <w:r w:rsidRPr="009E32D3">
        <w:rPr>
          <w:lang w:val="el-GR"/>
        </w:rPr>
        <w:t>/</w:t>
      </w:r>
      <w:r>
        <w:t>ml</w:t>
      </w:r>
      <w:r w:rsidRPr="009E32D3">
        <w:rPr>
          <w:lang w:val="el-GR"/>
        </w:rPr>
        <w:t>,</w:t>
      </w:r>
      <w:r w:rsidRPr="009E32D3">
        <w:rPr>
          <w:spacing w:val="5"/>
          <w:lang w:val="el-GR"/>
        </w:rPr>
        <w:t xml:space="preserve"> </w:t>
      </w:r>
      <w:r w:rsidRPr="009E32D3">
        <w:rPr>
          <w:lang w:val="el-GR"/>
        </w:rPr>
        <w:t>σε ασθενείς με ήπια, μέτρια και σοβαρή νεφρική δυσλειτουργία</w:t>
      </w:r>
      <w:r w:rsidRPr="009E32D3">
        <w:rPr>
          <w:spacing w:val="4"/>
          <w:lang w:val="el-GR"/>
        </w:rPr>
        <w:t xml:space="preserve"> </w:t>
      </w:r>
      <w:r w:rsidRPr="009E32D3">
        <w:rPr>
          <w:lang w:val="el-GR"/>
        </w:rPr>
        <w:t>αντίστοιχα.</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spacing w:line="244" w:lineRule="auto"/>
        <w:ind w:left="142" w:right="-66"/>
        <w:rPr>
          <w:lang w:val="el-GR"/>
        </w:rPr>
      </w:pPr>
      <w:r w:rsidRPr="009E32D3">
        <w:rPr>
          <w:lang w:val="el-GR"/>
        </w:rPr>
        <w:t>Η μέση έκθεση σε</w:t>
      </w:r>
      <w:r w:rsidR="003F4886">
        <w:rPr>
          <w:lang w:val="el-GR"/>
        </w:rPr>
        <w:t xml:space="preserve"> τενοφοβίρη</w:t>
      </w:r>
      <w:r w:rsidRPr="009E32D3">
        <w:rPr>
          <w:lang w:val="el-GR"/>
        </w:rPr>
        <w:t xml:space="preserve"> (% </w:t>
      </w:r>
      <w:r>
        <w:t>CV</w:t>
      </w:r>
      <w:r w:rsidRPr="009E32D3">
        <w:rPr>
          <w:lang w:val="el-GR"/>
        </w:rPr>
        <w:t xml:space="preserve">) αυξήθηκε από 2.185 (12%) </w:t>
      </w:r>
      <w:r>
        <w:t>ng</w:t>
      </w:r>
      <w:r w:rsidRPr="009E32D3">
        <w:rPr>
          <w:lang w:val="el-GR"/>
        </w:rPr>
        <w:t>•</w:t>
      </w:r>
      <w:r>
        <w:t>h</w:t>
      </w:r>
      <w:r w:rsidRPr="009E32D3">
        <w:rPr>
          <w:lang w:val="el-GR"/>
        </w:rPr>
        <w:t>/</w:t>
      </w:r>
      <w:r>
        <w:t>ml</w:t>
      </w:r>
      <w:r w:rsidRPr="009E32D3">
        <w:rPr>
          <w:lang w:val="el-GR"/>
        </w:rPr>
        <w:t xml:space="preserve"> σε άτομα με</w:t>
      </w:r>
      <w:r w:rsidRPr="009E32D3">
        <w:rPr>
          <w:spacing w:val="9"/>
          <w:lang w:val="el-GR"/>
        </w:rPr>
        <w:t xml:space="preserve"> </w:t>
      </w:r>
      <w:r w:rsidRPr="009E32D3">
        <w:rPr>
          <w:lang w:val="el-GR"/>
        </w:rPr>
        <w:t xml:space="preserve">φυσιολογική νεφρική λειτουργία σε 3.064 (30%) </w:t>
      </w:r>
      <w:r>
        <w:t>ng</w:t>
      </w:r>
      <w:r w:rsidRPr="009E32D3">
        <w:rPr>
          <w:lang w:val="el-GR"/>
        </w:rPr>
        <w:t>•</w:t>
      </w:r>
      <w:r>
        <w:t>h</w:t>
      </w:r>
      <w:r w:rsidRPr="009E32D3">
        <w:rPr>
          <w:lang w:val="el-GR"/>
        </w:rPr>
        <w:t>/</w:t>
      </w:r>
      <w:r>
        <w:t>ml</w:t>
      </w:r>
      <w:r w:rsidRPr="009E32D3">
        <w:rPr>
          <w:lang w:val="el-GR"/>
        </w:rPr>
        <w:t xml:space="preserve">, 6.009 (42%) </w:t>
      </w:r>
      <w:r>
        <w:t>ng</w:t>
      </w:r>
      <w:r w:rsidRPr="009E32D3">
        <w:rPr>
          <w:lang w:val="el-GR"/>
        </w:rPr>
        <w:t>•</w:t>
      </w:r>
      <w:r>
        <w:t>h</w:t>
      </w:r>
      <w:r w:rsidRPr="009E32D3">
        <w:rPr>
          <w:lang w:val="el-GR"/>
        </w:rPr>
        <w:t>/</w:t>
      </w:r>
      <w:r>
        <w:t>ml</w:t>
      </w:r>
      <w:r w:rsidRPr="009E32D3">
        <w:rPr>
          <w:lang w:val="el-GR"/>
        </w:rPr>
        <w:t xml:space="preserve"> και 15.985 (45%) </w:t>
      </w:r>
      <w:r>
        <w:t>ng</w:t>
      </w:r>
      <w:r w:rsidRPr="009E32D3">
        <w:rPr>
          <w:lang w:val="el-GR"/>
        </w:rPr>
        <w:t>•</w:t>
      </w:r>
      <w:r>
        <w:t>h</w:t>
      </w:r>
      <w:r w:rsidRPr="009E32D3">
        <w:rPr>
          <w:lang w:val="el-GR"/>
        </w:rPr>
        <w:t>/</w:t>
      </w:r>
      <w:r>
        <w:t>ml</w:t>
      </w:r>
      <w:r w:rsidRPr="009E32D3">
        <w:rPr>
          <w:lang w:val="el-GR"/>
        </w:rPr>
        <w:t>,</w:t>
      </w:r>
      <w:r w:rsidRPr="009E32D3">
        <w:rPr>
          <w:spacing w:val="4"/>
          <w:lang w:val="el-GR"/>
        </w:rPr>
        <w:t xml:space="preserve"> </w:t>
      </w:r>
      <w:r w:rsidRPr="009E32D3">
        <w:rPr>
          <w:lang w:val="el-GR"/>
        </w:rPr>
        <w:t>σε ασθενείς με ήπια, μέτρια και σοβαρή νεφρική δυσλειτουργία</w:t>
      </w:r>
      <w:r w:rsidRPr="009E32D3">
        <w:rPr>
          <w:spacing w:val="4"/>
          <w:lang w:val="el-GR"/>
        </w:rPr>
        <w:t xml:space="preserve"> </w:t>
      </w:r>
      <w:r w:rsidRPr="009E32D3">
        <w:rPr>
          <w:lang w:val="el-GR"/>
        </w:rPr>
        <w:t>αντίστοιχα.</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spacing w:line="242" w:lineRule="auto"/>
        <w:ind w:left="142" w:right="-66"/>
        <w:rPr>
          <w:lang w:val="el-GR"/>
        </w:rPr>
      </w:pPr>
      <w:r w:rsidRPr="009E32D3">
        <w:rPr>
          <w:lang w:val="el-GR"/>
        </w:rPr>
        <w:t xml:space="preserve">Η αύξηση του δοσολογικού μεσοδιαστήματος </w:t>
      </w:r>
      <w:r w:rsidR="00A914B3">
        <w:rPr>
          <w:lang w:val="el-GR"/>
        </w:rPr>
        <w:t>της</w:t>
      </w:r>
      <w:r w:rsidR="003F4886">
        <w:rPr>
          <w:lang w:val="el-GR"/>
        </w:rPr>
        <w:t xml:space="preserve"> εμτρισιταβίνης</w:t>
      </w:r>
      <w:r w:rsidR="00A914B3">
        <w:rPr>
          <w:lang w:val="el-GR"/>
        </w:rPr>
        <w:t xml:space="preserve"> και </w:t>
      </w:r>
      <w:r w:rsidR="003F4886">
        <w:rPr>
          <w:lang w:val="el-GR"/>
        </w:rPr>
        <w:t xml:space="preserve">τενοφοβίρης δισοπρόξιλης </w:t>
      </w:r>
      <w:r w:rsidR="00F371D3">
        <w:rPr>
          <w:lang w:val="el-GR"/>
        </w:rPr>
        <w:t xml:space="preserve">σε ασθενείς με μέτρια νεφρική </w:t>
      </w:r>
      <w:r w:rsidRPr="009E32D3">
        <w:rPr>
          <w:spacing w:val="-46"/>
          <w:lang w:val="el-GR"/>
        </w:rPr>
        <w:t xml:space="preserve"> </w:t>
      </w:r>
      <w:r w:rsidRPr="009E32D3">
        <w:rPr>
          <w:lang w:val="el-GR"/>
        </w:rPr>
        <w:t>δυσλειτουργία αναμένεται να έχει ως αποτέλεσμα υψηλότερες μέγιστες συγκεντρώσεις</w:t>
      </w:r>
      <w:r w:rsidRPr="009E32D3">
        <w:rPr>
          <w:spacing w:val="51"/>
          <w:lang w:val="el-GR"/>
        </w:rPr>
        <w:t xml:space="preserve"> </w:t>
      </w:r>
      <w:r w:rsidRPr="009E32D3">
        <w:rPr>
          <w:lang w:val="el-GR"/>
        </w:rPr>
        <w:t xml:space="preserve">πλάσματος και χαμηλότερα επίπεδα </w:t>
      </w:r>
      <w:r w:rsidR="003F4886">
        <w:rPr>
          <w:spacing w:val="-3"/>
        </w:rPr>
        <w:t>C</w:t>
      </w:r>
      <w:r w:rsidR="003F4886" w:rsidRPr="003F4886">
        <w:rPr>
          <w:spacing w:val="-3"/>
          <w:vertAlign w:val="subscript"/>
        </w:rPr>
        <w:t>min</w:t>
      </w:r>
      <w:r w:rsidR="003F4886" w:rsidRPr="003F4886">
        <w:rPr>
          <w:spacing w:val="-3"/>
          <w:lang w:val="el-GR"/>
        </w:rPr>
        <w:t xml:space="preserve"> </w:t>
      </w:r>
      <w:r w:rsidRPr="009E32D3">
        <w:rPr>
          <w:lang w:val="el-GR"/>
        </w:rPr>
        <w:t>σε σύγκριση με ασθενείς με φυσιολογική νεφρική λειτουργία. Η</w:t>
      </w:r>
      <w:r w:rsidRPr="009E32D3">
        <w:rPr>
          <w:spacing w:val="-5"/>
          <w:lang w:val="el-GR"/>
        </w:rPr>
        <w:t xml:space="preserve"> </w:t>
      </w:r>
      <w:r w:rsidRPr="009E32D3">
        <w:rPr>
          <w:lang w:val="el-GR"/>
        </w:rPr>
        <w:t>κλινική σημασία αυτών είναι</w:t>
      </w:r>
      <w:r w:rsidRPr="009E32D3">
        <w:rPr>
          <w:spacing w:val="5"/>
          <w:lang w:val="el-GR"/>
        </w:rPr>
        <w:t xml:space="preserve"> </w:t>
      </w:r>
      <w:r w:rsidRPr="009E32D3">
        <w:rPr>
          <w:lang w:val="el-GR"/>
        </w:rPr>
        <w:t>άγνωστη.</w:t>
      </w:r>
    </w:p>
    <w:p w:rsidR="00645378" w:rsidRPr="009E32D3" w:rsidRDefault="00645378" w:rsidP="0082050A">
      <w:pPr>
        <w:tabs>
          <w:tab w:val="left" w:pos="9214"/>
        </w:tabs>
        <w:spacing w:before="10"/>
        <w:ind w:left="142" w:right="-66"/>
        <w:rPr>
          <w:rFonts w:ascii="Times New Roman" w:eastAsia="Times New Roman" w:hAnsi="Times New Roman" w:cs="Times New Roman"/>
          <w:lang w:val="el-GR"/>
        </w:rPr>
      </w:pPr>
    </w:p>
    <w:p w:rsidR="00645378" w:rsidRPr="003F4886" w:rsidRDefault="007134E2" w:rsidP="004155A8">
      <w:pPr>
        <w:pStyle w:val="a3"/>
        <w:tabs>
          <w:tab w:val="left" w:pos="9214"/>
        </w:tabs>
        <w:spacing w:line="244" w:lineRule="auto"/>
        <w:ind w:left="142" w:right="-66"/>
        <w:rPr>
          <w:lang w:val="el-GR"/>
        </w:rPr>
      </w:pPr>
      <w:r w:rsidRPr="009E32D3">
        <w:rPr>
          <w:lang w:val="el-GR"/>
        </w:rPr>
        <w:t>Σε ασθενείς με νεφρική νόσο τελικού σταδίου (ΝΝΤΣ) που χρειάζονται αιμοδιαπίδυση, μεταξύ</w:t>
      </w:r>
      <w:r w:rsidRPr="009E32D3">
        <w:rPr>
          <w:spacing w:val="13"/>
          <w:lang w:val="el-GR"/>
        </w:rPr>
        <w:t xml:space="preserve"> </w:t>
      </w:r>
      <w:r w:rsidRPr="009E32D3">
        <w:rPr>
          <w:lang w:val="el-GR"/>
        </w:rPr>
        <w:t>των συνεδριών η έκθεση στο φάρμακο αυξήθηκε σημαντικά εντός 72 ωρών φτάνοντας</w:t>
      </w:r>
      <w:r w:rsidRPr="009E32D3">
        <w:rPr>
          <w:spacing w:val="8"/>
          <w:lang w:val="el-GR"/>
        </w:rPr>
        <w:t xml:space="preserve"> </w:t>
      </w:r>
      <w:r w:rsidRPr="009E32D3">
        <w:rPr>
          <w:lang w:val="el-GR"/>
        </w:rPr>
        <w:t>τα</w:t>
      </w:r>
      <w:r w:rsidR="00A914B3">
        <w:rPr>
          <w:lang w:val="el-GR"/>
        </w:rPr>
        <w:t xml:space="preserve"> </w:t>
      </w:r>
      <w:r w:rsidRPr="009E32D3">
        <w:rPr>
          <w:lang w:val="el-GR"/>
        </w:rPr>
        <w:t>53 (19%) µ</w:t>
      </w:r>
      <w:r>
        <w:t>g</w:t>
      </w:r>
      <w:r w:rsidRPr="009E32D3">
        <w:rPr>
          <w:lang w:val="el-GR"/>
        </w:rPr>
        <w:t>•</w:t>
      </w:r>
      <w:r>
        <w:t>h</w:t>
      </w:r>
      <w:r w:rsidRPr="009E32D3">
        <w:rPr>
          <w:lang w:val="el-GR"/>
        </w:rPr>
        <w:t>/</w:t>
      </w:r>
      <w:r>
        <w:t>ml</w:t>
      </w:r>
      <w:r w:rsidRPr="009E32D3">
        <w:rPr>
          <w:lang w:val="el-GR"/>
        </w:rPr>
        <w:t xml:space="preserve"> </w:t>
      </w:r>
      <w:r w:rsidR="003F4886">
        <w:rPr>
          <w:lang w:val="el-GR"/>
        </w:rPr>
        <w:t>εμτρισιταβίνη</w:t>
      </w:r>
      <w:r w:rsidR="00A914B3">
        <w:rPr>
          <w:lang w:val="el-GR"/>
        </w:rPr>
        <w:t>ς</w:t>
      </w:r>
      <w:r w:rsidRPr="009E32D3">
        <w:rPr>
          <w:lang w:val="el-GR"/>
        </w:rPr>
        <w:t xml:space="preserve"> και εντός 48 ωρών φτάνοντας τα 42.857 (29%) </w:t>
      </w:r>
      <w:r>
        <w:t>ng</w:t>
      </w:r>
      <w:r w:rsidRPr="009E32D3">
        <w:rPr>
          <w:lang w:val="el-GR"/>
        </w:rPr>
        <w:t>•</w:t>
      </w:r>
      <w:r>
        <w:t>h</w:t>
      </w:r>
      <w:r w:rsidRPr="009E32D3">
        <w:rPr>
          <w:lang w:val="el-GR"/>
        </w:rPr>
        <w:t>/</w:t>
      </w:r>
      <w:r w:rsidR="003F4886">
        <w:t>ml</w:t>
      </w:r>
      <w:r w:rsidR="003F4886" w:rsidRPr="003F4886">
        <w:rPr>
          <w:lang w:val="el-GR"/>
        </w:rPr>
        <w:t xml:space="preserve"> </w:t>
      </w:r>
      <w:r w:rsidR="003F4886">
        <w:rPr>
          <w:lang w:val="el-GR"/>
        </w:rPr>
        <w:t>τενοφοβίρης.</w:t>
      </w:r>
    </w:p>
    <w:p w:rsidR="00645378" w:rsidRPr="009E32D3" w:rsidRDefault="00645378" w:rsidP="0082050A">
      <w:pPr>
        <w:tabs>
          <w:tab w:val="left" w:pos="9214"/>
        </w:tabs>
        <w:spacing w:before="1"/>
        <w:ind w:left="142" w:right="-66"/>
        <w:rPr>
          <w:rFonts w:ascii="Times New Roman" w:eastAsia="Times New Roman" w:hAnsi="Times New Roman" w:cs="Times New Roman"/>
          <w:sz w:val="23"/>
          <w:szCs w:val="23"/>
          <w:lang w:val="el-GR"/>
        </w:rPr>
      </w:pPr>
    </w:p>
    <w:p w:rsidR="00645378" w:rsidRPr="009E32D3" w:rsidRDefault="007134E2" w:rsidP="004155A8">
      <w:pPr>
        <w:pStyle w:val="a3"/>
        <w:tabs>
          <w:tab w:val="left" w:pos="9214"/>
        </w:tabs>
        <w:spacing w:line="244" w:lineRule="auto"/>
        <w:ind w:left="142" w:right="-66"/>
        <w:rPr>
          <w:lang w:val="el-GR"/>
        </w:rPr>
      </w:pPr>
      <w:r w:rsidRPr="009E32D3">
        <w:rPr>
          <w:lang w:val="el-GR"/>
        </w:rPr>
        <w:t xml:space="preserve">Συνιστάται το δοσολογικό μεσοδιάστημα για </w:t>
      </w:r>
      <w:r w:rsidR="00A914B3">
        <w:rPr>
          <w:lang w:val="el-GR"/>
        </w:rPr>
        <w:t>την</w:t>
      </w:r>
      <w:r w:rsidR="003F4886">
        <w:rPr>
          <w:lang w:val="el-GR"/>
        </w:rPr>
        <w:t xml:space="preserve"> εμτρισιταβίνη</w:t>
      </w:r>
      <w:r w:rsidR="00A914B3">
        <w:rPr>
          <w:lang w:val="el-GR"/>
        </w:rPr>
        <w:t xml:space="preserve"> και </w:t>
      </w:r>
      <w:r w:rsidR="003F4886">
        <w:rPr>
          <w:lang w:val="el-GR"/>
        </w:rPr>
        <w:t xml:space="preserve">τενοφοβίρη δισοπρόξιλη </w:t>
      </w:r>
      <w:r w:rsidRPr="009E32D3">
        <w:rPr>
          <w:lang w:val="el-GR"/>
        </w:rPr>
        <w:t>να τροποποιείται σε ασθενείς με</w:t>
      </w:r>
      <w:r w:rsidRPr="009E32D3">
        <w:rPr>
          <w:spacing w:val="6"/>
          <w:lang w:val="el-GR"/>
        </w:rPr>
        <w:t xml:space="preserve"> </w:t>
      </w:r>
      <w:r w:rsidRPr="009E32D3">
        <w:rPr>
          <w:lang w:val="el-GR"/>
        </w:rPr>
        <w:t xml:space="preserve">κάθαρση κρεατινίνης μεταξύ 30 και 49 </w:t>
      </w:r>
      <w:r>
        <w:t>ml</w:t>
      </w:r>
      <w:r w:rsidRPr="009E32D3">
        <w:rPr>
          <w:lang w:val="el-GR"/>
        </w:rPr>
        <w:t>/</w:t>
      </w:r>
      <w:r>
        <w:t>min</w:t>
      </w:r>
      <w:r w:rsidRPr="009E32D3">
        <w:rPr>
          <w:lang w:val="el-GR"/>
        </w:rPr>
        <w:t xml:space="preserve">. </w:t>
      </w:r>
      <w:r w:rsidR="00A914B3">
        <w:rPr>
          <w:lang w:val="el-GR"/>
        </w:rPr>
        <w:t>Η</w:t>
      </w:r>
      <w:r w:rsidR="007A5D51">
        <w:rPr>
          <w:lang w:val="el-GR"/>
        </w:rPr>
        <w:t xml:space="preserve"> εμτρισιταβίνη</w:t>
      </w:r>
      <w:r w:rsidR="00A914B3">
        <w:rPr>
          <w:lang w:val="el-GR"/>
        </w:rPr>
        <w:t xml:space="preserve"> και </w:t>
      </w:r>
      <w:r w:rsidR="007A5D51">
        <w:rPr>
          <w:lang w:val="el-GR"/>
        </w:rPr>
        <w:t>τενοφοβίρη δισοπρόξιλη</w:t>
      </w:r>
      <w:r w:rsidRPr="009E32D3">
        <w:rPr>
          <w:lang w:val="el-GR"/>
        </w:rPr>
        <w:t xml:space="preserve"> δεν είναι </w:t>
      </w:r>
      <w:r w:rsidR="00A914B3" w:rsidRPr="009E32D3">
        <w:rPr>
          <w:lang w:val="el-GR"/>
        </w:rPr>
        <w:t>κατάλληλ</w:t>
      </w:r>
      <w:r w:rsidR="00A914B3">
        <w:rPr>
          <w:lang w:val="el-GR"/>
        </w:rPr>
        <w:t>η</w:t>
      </w:r>
      <w:r w:rsidR="00A914B3" w:rsidRPr="009E32D3">
        <w:rPr>
          <w:lang w:val="el-GR"/>
        </w:rPr>
        <w:t xml:space="preserve"> </w:t>
      </w:r>
      <w:r w:rsidRPr="009E32D3">
        <w:rPr>
          <w:lang w:val="el-GR"/>
        </w:rPr>
        <w:t>για ασθενείς</w:t>
      </w:r>
      <w:r w:rsidRPr="009E32D3">
        <w:rPr>
          <w:spacing w:val="3"/>
          <w:lang w:val="el-GR"/>
        </w:rPr>
        <w:t xml:space="preserve"> </w:t>
      </w:r>
      <w:r w:rsidRPr="009E32D3">
        <w:rPr>
          <w:lang w:val="el-GR"/>
        </w:rPr>
        <w:t>με</w:t>
      </w:r>
      <w:r w:rsidR="00A914B3">
        <w:rPr>
          <w:lang w:val="el-GR"/>
        </w:rPr>
        <w:t xml:space="preserve"> </w:t>
      </w:r>
      <w:r>
        <w:t>CrCl</w:t>
      </w:r>
      <w:r w:rsidRPr="009E32D3">
        <w:rPr>
          <w:lang w:val="el-GR"/>
        </w:rPr>
        <w:t xml:space="preserve"> &lt; 30 </w:t>
      </w:r>
      <w:r>
        <w:t>ml</w:t>
      </w:r>
      <w:r w:rsidRPr="009E32D3">
        <w:rPr>
          <w:lang w:val="el-GR"/>
        </w:rPr>
        <w:t>/</w:t>
      </w:r>
      <w:r>
        <w:t>min</w:t>
      </w:r>
      <w:r w:rsidRPr="009E32D3">
        <w:rPr>
          <w:lang w:val="el-GR"/>
        </w:rPr>
        <w:t xml:space="preserve"> ή για αυτούς υπό αιμοκάθαρση (βλ. παράγραφο</w:t>
      </w:r>
      <w:r w:rsidRPr="009E32D3">
        <w:rPr>
          <w:spacing w:val="-4"/>
          <w:lang w:val="el-GR"/>
        </w:rPr>
        <w:t xml:space="preserve"> </w:t>
      </w:r>
      <w:r w:rsidRPr="009E32D3">
        <w:rPr>
          <w:lang w:val="el-GR"/>
        </w:rPr>
        <w:t>4.2).</w:t>
      </w:r>
    </w:p>
    <w:p w:rsidR="00645378" w:rsidRPr="009E32D3" w:rsidRDefault="00645378" w:rsidP="0082050A">
      <w:pPr>
        <w:tabs>
          <w:tab w:val="left" w:pos="9214"/>
        </w:tabs>
        <w:spacing w:before="1"/>
        <w:ind w:left="142" w:right="-66"/>
        <w:rPr>
          <w:rFonts w:ascii="Times New Roman" w:eastAsia="Times New Roman" w:hAnsi="Times New Roman" w:cs="Times New Roman"/>
          <w:sz w:val="23"/>
          <w:szCs w:val="23"/>
          <w:lang w:val="el-GR"/>
        </w:rPr>
      </w:pPr>
    </w:p>
    <w:p w:rsidR="00645378" w:rsidRPr="009E32D3" w:rsidRDefault="007134E2" w:rsidP="0082050A">
      <w:pPr>
        <w:pStyle w:val="a3"/>
        <w:tabs>
          <w:tab w:val="left" w:pos="9214"/>
        </w:tabs>
        <w:spacing w:line="244" w:lineRule="auto"/>
        <w:ind w:left="142" w:right="-66"/>
        <w:rPr>
          <w:lang w:val="el-GR"/>
        </w:rPr>
      </w:pPr>
      <w:r w:rsidRPr="00AA2F31">
        <w:rPr>
          <w:lang w:val="el-GR"/>
        </w:rPr>
        <w:t>Μία μικρή κλινική μελέτη διενεργήθηκε για την εκτίμηση της ασφάλειας, της αντιϊκής</w:t>
      </w:r>
      <w:r w:rsidRPr="00AA2F31">
        <w:rPr>
          <w:spacing w:val="-6"/>
          <w:lang w:val="el-GR"/>
        </w:rPr>
        <w:t xml:space="preserve"> </w:t>
      </w:r>
      <w:r w:rsidRPr="00AA2F31">
        <w:rPr>
          <w:lang w:val="el-GR"/>
        </w:rPr>
        <w:t>δραστικότητας και της</w:t>
      </w:r>
      <w:r w:rsidRPr="00AA2F31">
        <w:rPr>
          <w:spacing w:val="-1"/>
          <w:lang w:val="el-GR"/>
        </w:rPr>
        <w:t xml:space="preserve"> </w:t>
      </w:r>
      <w:r w:rsidRPr="00AA2F31">
        <w:rPr>
          <w:lang w:val="el-GR"/>
        </w:rPr>
        <w:t>φαρμακοκινητικής</w:t>
      </w:r>
      <w:r w:rsidRPr="00AA2F31">
        <w:rPr>
          <w:spacing w:val="-1"/>
          <w:lang w:val="el-GR"/>
        </w:rPr>
        <w:t xml:space="preserve"> </w:t>
      </w:r>
      <w:r w:rsidR="007A5D51">
        <w:rPr>
          <w:lang w:val="el-GR"/>
        </w:rPr>
        <w:t>της τενοφοβίρης δισοπρόξιλης</w:t>
      </w:r>
      <w:r w:rsidRPr="00AA2F31">
        <w:rPr>
          <w:lang w:val="el-GR"/>
        </w:rPr>
        <w:t xml:space="preserve"> σε</w:t>
      </w:r>
      <w:r w:rsidRPr="00AA2F31">
        <w:rPr>
          <w:spacing w:val="1"/>
          <w:lang w:val="el-GR"/>
        </w:rPr>
        <w:t xml:space="preserve"> </w:t>
      </w:r>
      <w:r w:rsidRPr="00AA2F31">
        <w:rPr>
          <w:lang w:val="el-GR"/>
        </w:rPr>
        <w:t>συνδυασμό με</w:t>
      </w:r>
      <w:r w:rsidRPr="00AA2F31">
        <w:rPr>
          <w:spacing w:val="1"/>
          <w:lang w:val="el-GR"/>
        </w:rPr>
        <w:t xml:space="preserve"> </w:t>
      </w:r>
      <w:r w:rsidRPr="00AA2F31">
        <w:rPr>
          <w:lang w:val="el-GR"/>
        </w:rPr>
        <w:t>την</w:t>
      </w:r>
      <w:r w:rsidRPr="00AA2F31">
        <w:rPr>
          <w:spacing w:val="1"/>
          <w:lang w:val="el-GR"/>
        </w:rPr>
        <w:t xml:space="preserve"> </w:t>
      </w:r>
      <w:r w:rsidR="007A5D51">
        <w:rPr>
          <w:lang w:val="el-GR"/>
        </w:rPr>
        <w:t xml:space="preserve">εμτρισιταβίνη </w:t>
      </w:r>
      <w:r w:rsidRPr="00AA2F31">
        <w:rPr>
          <w:lang w:val="el-GR"/>
        </w:rPr>
        <w:t>σε</w:t>
      </w:r>
      <w:r w:rsidR="00BB4FA0">
        <w:rPr>
          <w:lang w:val="el-GR"/>
        </w:rPr>
        <w:t xml:space="preserve"> </w:t>
      </w:r>
      <w:r w:rsidRPr="00AA2F31">
        <w:rPr>
          <w:spacing w:val="-52"/>
          <w:lang w:val="el-GR"/>
        </w:rPr>
        <w:t xml:space="preserve"> </w:t>
      </w:r>
      <w:r w:rsidRPr="00AA2F31">
        <w:rPr>
          <w:lang w:val="el-GR"/>
        </w:rPr>
        <w:t xml:space="preserve">ασθενείς με </w:t>
      </w:r>
      <w:r>
        <w:rPr>
          <w:spacing w:val="-2"/>
        </w:rPr>
        <w:t>HIV</w:t>
      </w:r>
      <w:r w:rsidRPr="00AA2F31">
        <w:rPr>
          <w:spacing w:val="-2"/>
          <w:lang w:val="el-GR"/>
        </w:rPr>
        <w:t xml:space="preserve"> </w:t>
      </w:r>
      <w:r w:rsidRPr="00AA2F31">
        <w:rPr>
          <w:lang w:val="el-GR"/>
        </w:rPr>
        <w:t xml:space="preserve">λοίμωξη με νεφρική δυσλειτουργία. </w:t>
      </w:r>
      <w:r w:rsidRPr="009E32D3">
        <w:rPr>
          <w:lang w:val="el-GR"/>
        </w:rPr>
        <w:t>Μία υποομάδα ασθενών με</w:t>
      </w:r>
      <w:r w:rsidRPr="009E32D3">
        <w:rPr>
          <w:spacing w:val="12"/>
          <w:lang w:val="el-GR"/>
        </w:rPr>
        <w:t xml:space="preserve"> </w:t>
      </w:r>
      <w:r w:rsidRPr="009E32D3">
        <w:rPr>
          <w:lang w:val="el-GR"/>
        </w:rPr>
        <w:t xml:space="preserve">κάθαρση κρεατινίνης μεταξύ 50 και 60 </w:t>
      </w:r>
      <w:r>
        <w:t>ml</w:t>
      </w:r>
      <w:r w:rsidRPr="009E32D3">
        <w:rPr>
          <w:lang w:val="el-GR"/>
        </w:rPr>
        <w:t>/</w:t>
      </w:r>
      <w:r>
        <w:t>min</w:t>
      </w:r>
      <w:r w:rsidRPr="009E32D3">
        <w:rPr>
          <w:lang w:val="el-GR"/>
        </w:rPr>
        <w:t xml:space="preserve"> κατά την ένταξη, οι οποίοι ελάμβαναν εφάπαξ δόση</w:t>
      </w:r>
      <w:r w:rsidRPr="009E32D3">
        <w:rPr>
          <w:spacing w:val="-3"/>
          <w:lang w:val="el-GR"/>
        </w:rPr>
        <w:t xml:space="preserve"> </w:t>
      </w:r>
      <w:r w:rsidRPr="009E32D3">
        <w:rPr>
          <w:lang w:val="el-GR"/>
        </w:rPr>
        <w:t>ημερησίως, είχαν 2-4 φορές μεγαλύτερη έκθεση στ</w:t>
      </w:r>
      <w:r w:rsidR="007A5D51">
        <w:rPr>
          <w:lang w:val="el-GR"/>
        </w:rPr>
        <w:t xml:space="preserve">η τενοφοβίρη </w:t>
      </w:r>
      <w:r w:rsidRPr="009E32D3">
        <w:rPr>
          <w:lang w:val="el-GR"/>
        </w:rPr>
        <w:t>και επιδείνωση της νεφρικής</w:t>
      </w:r>
      <w:r w:rsidRPr="009E32D3">
        <w:rPr>
          <w:spacing w:val="3"/>
          <w:lang w:val="el-GR"/>
        </w:rPr>
        <w:t xml:space="preserve"> </w:t>
      </w:r>
      <w:r w:rsidRPr="009E32D3">
        <w:rPr>
          <w:lang w:val="el-GR"/>
        </w:rPr>
        <w:t>λειτουργίας.</w:t>
      </w:r>
    </w:p>
    <w:p w:rsidR="00645378" w:rsidRPr="009E32D3" w:rsidRDefault="00645378" w:rsidP="0082050A">
      <w:pPr>
        <w:tabs>
          <w:tab w:val="left" w:pos="9214"/>
        </w:tabs>
        <w:spacing w:before="7"/>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ind w:left="142" w:right="-66"/>
        <w:rPr>
          <w:lang w:val="el-GR"/>
        </w:rPr>
      </w:pPr>
      <w:r w:rsidRPr="009E32D3">
        <w:rPr>
          <w:u w:val="single" w:color="000000"/>
          <w:lang w:val="el-GR"/>
        </w:rPr>
        <w:t>Ηπατική</w:t>
      </w:r>
      <w:r w:rsidRPr="009E32D3">
        <w:rPr>
          <w:spacing w:val="1"/>
          <w:u w:val="single" w:color="000000"/>
          <w:lang w:val="el-GR"/>
        </w:rPr>
        <w:t xml:space="preserve"> </w:t>
      </w:r>
      <w:r w:rsidRPr="009E32D3">
        <w:rPr>
          <w:u w:val="single" w:color="000000"/>
          <w:lang w:val="el-GR"/>
        </w:rPr>
        <w:t>δυσλειτουργία</w:t>
      </w:r>
    </w:p>
    <w:p w:rsidR="00645378" w:rsidRPr="009E32D3" w:rsidRDefault="007134E2" w:rsidP="0082050A">
      <w:pPr>
        <w:pStyle w:val="a3"/>
        <w:tabs>
          <w:tab w:val="left" w:pos="9214"/>
        </w:tabs>
        <w:spacing w:before="6" w:line="244" w:lineRule="auto"/>
        <w:ind w:left="142" w:right="-66"/>
        <w:rPr>
          <w:lang w:val="el-GR"/>
        </w:rPr>
      </w:pPr>
      <w:r w:rsidRPr="009E32D3">
        <w:rPr>
          <w:lang w:val="el-GR"/>
        </w:rPr>
        <w:t xml:space="preserve">Η φαρμακοκινητική </w:t>
      </w:r>
      <w:r w:rsidR="00A914B3">
        <w:rPr>
          <w:lang w:val="el-GR"/>
        </w:rPr>
        <w:t>της</w:t>
      </w:r>
      <w:r w:rsidR="007A5D51">
        <w:rPr>
          <w:lang w:val="el-GR"/>
        </w:rPr>
        <w:t xml:space="preserve"> εμτρισιταβίνης</w:t>
      </w:r>
      <w:r w:rsidR="00A914B3">
        <w:rPr>
          <w:lang w:val="el-GR"/>
        </w:rPr>
        <w:t xml:space="preserve"> και </w:t>
      </w:r>
      <w:r w:rsidR="007A5D51">
        <w:rPr>
          <w:lang w:val="el-GR"/>
        </w:rPr>
        <w:t xml:space="preserve">τενοφοβίρης δισοπρόξιλης </w:t>
      </w:r>
      <w:r w:rsidRPr="009E32D3">
        <w:rPr>
          <w:lang w:val="el-GR"/>
        </w:rPr>
        <w:t>δεν έχει μελετηθεί σε ασθενείς με ηπατική δυσλειτουργία. Εν</w:t>
      </w:r>
      <w:r w:rsidRPr="009E32D3">
        <w:rPr>
          <w:spacing w:val="-50"/>
          <w:lang w:val="el-GR"/>
        </w:rPr>
        <w:t xml:space="preserve"> </w:t>
      </w:r>
      <w:r w:rsidRPr="009E32D3">
        <w:rPr>
          <w:lang w:val="el-GR"/>
        </w:rPr>
        <w:t xml:space="preserve">τούτοις, δεν είναι πιθανό ότι, θα απαιτούνταν αναπροσαρμογή δόσης για </w:t>
      </w:r>
      <w:r w:rsidR="00A914B3">
        <w:rPr>
          <w:lang w:val="el-GR"/>
        </w:rPr>
        <w:t>την</w:t>
      </w:r>
      <w:r w:rsidR="007A5D51">
        <w:rPr>
          <w:lang w:val="el-GR"/>
        </w:rPr>
        <w:t xml:space="preserve"> εμτρισιταβίνη</w:t>
      </w:r>
      <w:r w:rsidR="00A914B3">
        <w:rPr>
          <w:lang w:val="el-GR"/>
        </w:rPr>
        <w:t xml:space="preserve"> και </w:t>
      </w:r>
      <w:r w:rsidR="007A5D51">
        <w:rPr>
          <w:lang w:val="el-GR"/>
        </w:rPr>
        <w:t xml:space="preserve">τενοφοβίρη δισοπρόξιλη </w:t>
      </w:r>
      <w:r w:rsidRPr="009E32D3">
        <w:rPr>
          <w:lang w:val="el-GR"/>
        </w:rPr>
        <w:t>σε ασθενείς</w:t>
      </w:r>
      <w:r w:rsidRPr="009E32D3">
        <w:rPr>
          <w:spacing w:val="4"/>
          <w:lang w:val="el-GR"/>
        </w:rPr>
        <w:t xml:space="preserve"> </w:t>
      </w:r>
      <w:r w:rsidRPr="009E32D3">
        <w:rPr>
          <w:lang w:val="el-GR"/>
        </w:rPr>
        <w:t>με ηπατική</w:t>
      </w:r>
      <w:r w:rsidRPr="009E32D3">
        <w:rPr>
          <w:spacing w:val="1"/>
          <w:lang w:val="el-GR"/>
        </w:rPr>
        <w:t xml:space="preserve"> </w:t>
      </w:r>
      <w:r w:rsidRPr="009E32D3">
        <w:rPr>
          <w:lang w:val="el-GR"/>
        </w:rPr>
        <w:t>δυσλειτουργία.</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spacing w:line="244" w:lineRule="auto"/>
        <w:ind w:left="142" w:right="-66"/>
        <w:rPr>
          <w:lang w:val="el-GR"/>
        </w:rPr>
      </w:pPr>
      <w:r w:rsidRPr="009E32D3">
        <w:rPr>
          <w:lang w:val="el-GR"/>
        </w:rPr>
        <w:t xml:space="preserve">Η φαρμακοκινητική της </w:t>
      </w:r>
      <w:r w:rsidR="007A5D51">
        <w:rPr>
          <w:lang w:val="el-GR"/>
        </w:rPr>
        <w:t xml:space="preserve">εμτρισιταβίνης </w:t>
      </w:r>
      <w:r w:rsidRPr="009E32D3">
        <w:rPr>
          <w:lang w:val="el-GR"/>
        </w:rPr>
        <w:t xml:space="preserve">δεν έχει μελετηθεί σε ασθενείς χωρίς </w:t>
      </w:r>
      <w:r>
        <w:t>HBV</w:t>
      </w:r>
      <w:r w:rsidRPr="009E32D3">
        <w:rPr>
          <w:lang w:val="el-GR"/>
        </w:rPr>
        <w:t xml:space="preserve"> λοίμωξη και</w:t>
      </w:r>
      <w:r w:rsidRPr="009E32D3">
        <w:rPr>
          <w:spacing w:val="-50"/>
          <w:lang w:val="el-GR"/>
        </w:rPr>
        <w:t xml:space="preserve"> </w:t>
      </w:r>
      <w:r w:rsidRPr="009E32D3">
        <w:rPr>
          <w:lang w:val="el-GR"/>
        </w:rPr>
        <w:t xml:space="preserve">ποικίλλοντες βαθμούς ηπατικής ανεπάρκειας. Γενικά η φαρμακοκινητική της </w:t>
      </w:r>
      <w:r w:rsidR="007A5D51">
        <w:rPr>
          <w:lang w:val="el-GR"/>
        </w:rPr>
        <w:t xml:space="preserve">εμτρισιταβίνης </w:t>
      </w:r>
      <w:r w:rsidRPr="009E32D3">
        <w:rPr>
          <w:lang w:val="el-GR"/>
        </w:rPr>
        <w:t xml:space="preserve">σε ασθενείς με </w:t>
      </w:r>
      <w:r>
        <w:t>HBV</w:t>
      </w:r>
      <w:r w:rsidRPr="009E32D3">
        <w:rPr>
          <w:lang w:val="el-GR"/>
        </w:rPr>
        <w:t xml:space="preserve"> λοίμωξη ήταν παρόμοια με αυτή των υγιών και των ασθενών με </w:t>
      </w:r>
      <w:r>
        <w:rPr>
          <w:spacing w:val="-2"/>
        </w:rPr>
        <w:t>HIV</w:t>
      </w:r>
      <w:r w:rsidRPr="009E32D3">
        <w:rPr>
          <w:spacing w:val="20"/>
          <w:lang w:val="el-GR"/>
        </w:rPr>
        <w:t xml:space="preserve"> </w:t>
      </w:r>
      <w:r w:rsidRPr="009E32D3">
        <w:rPr>
          <w:lang w:val="el-GR"/>
        </w:rPr>
        <w:t>λοίμωξη.</w:t>
      </w:r>
    </w:p>
    <w:p w:rsidR="00645378" w:rsidRPr="009E32D3" w:rsidRDefault="00645378" w:rsidP="0082050A">
      <w:pPr>
        <w:tabs>
          <w:tab w:val="left" w:pos="9214"/>
        </w:tabs>
        <w:spacing w:before="8"/>
        <w:ind w:left="142" w:right="-66"/>
        <w:rPr>
          <w:rFonts w:ascii="Times New Roman" w:eastAsia="Times New Roman" w:hAnsi="Times New Roman" w:cs="Times New Roman"/>
          <w:lang w:val="el-GR"/>
        </w:rPr>
      </w:pPr>
    </w:p>
    <w:p w:rsidR="00645378" w:rsidRPr="009E32D3" w:rsidRDefault="007134E2" w:rsidP="0082050A">
      <w:pPr>
        <w:pStyle w:val="a3"/>
        <w:tabs>
          <w:tab w:val="left" w:pos="9214"/>
        </w:tabs>
        <w:spacing w:line="244" w:lineRule="auto"/>
        <w:ind w:left="142" w:right="-66"/>
        <w:rPr>
          <w:lang w:val="el-GR"/>
        </w:rPr>
      </w:pPr>
      <w:r w:rsidRPr="009E32D3">
        <w:rPr>
          <w:lang w:val="el-GR"/>
        </w:rPr>
        <w:t xml:space="preserve">Σε ασθενείς χωρίς </w:t>
      </w:r>
      <w:r>
        <w:rPr>
          <w:spacing w:val="-2"/>
        </w:rPr>
        <w:t>HIV</w:t>
      </w:r>
      <w:r w:rsidRPr="009E32D3">
        <w:rPr>
          <w:spacing w:val="-2"/>
          <w:lang w:val="el-GR"/>
        </w:rPr>
        <w:t xml:space="preserve"> </w:t>
      </w:r>
      <w:r w:rsidRPr="009E32D3">
        <w:rPr>
          <w:lang w:val="el-GR"/>
        </w:rPr>
        <w:t>λοίμωξη με ποικίλου βαθμού ηπατική δυσλειτουργία, χορηγήθηκε εφ΄</w:t>
      </w:r>
      <w:r w:rsidRPr="009E32D3">
        <w:rPr>
          <w:spacing w:val="9"/>
          <w:lang w:val="el-GR"/>
        </w:rPr>
        <w:t xml:space="preserve"> </w:t>
      </w:r>
      <w:r w:rsidRPr="009E32D3">
        <w:rPr>
          <w:lang w:val="el-GR"/>
        </w:rPr>
        <w:t xml:space="preserve">άπαξ δόση 245 </w:t>
      </w:r>
      <w:r>
        <w:t>mg</w:t>
      </w:r>
      <w:r w:rsidRPr="009E32D3">
        <w:rPr>
          <w:lang w:val="el-GR"/>
        </w:rPr>
        <w:t xml:space="preserve"> </w:t>
      </w:r>
      <w:r w:rsidR="007A5D51">
        <w:rPr>
          <w:lang w:val="el-GR"/>
        </w:rPr>
        <w:t>τενοφοβίρης δισοπρόξιλης</w:t>
      </w:r>
      <w:r w:rsidR="007A5D51" w:rsidRPr="00AA2F31">
        <w:rPr>
          <w:lang w:val="el-GR"/>
        </w:rPr>
        <w:t xml:space="preserve"> </w:t>
      </w:r>
      <w:r w:rsidRPr="009E32D3">
        <w:rPr>
          <w:lang w:val="el-GR"/>
        </w:rPr>
        <w:t xml:space="preserve">σύμφωνα με την κατάταξη </w:t>
      </w:r>
      <w:r>
        <w:t>Child</w:t>
      </w:r>
      <w:r w:rsidRPr="009E32D3">
        <w:rPr>
          <w:lang w:val="el-GR"/>
        </w:rPr>
        <w:t>-</w:t>
      </w:r>
      <w:r>
        <w:t>Pugh</w:t>
      </w:r>
      <w:r w:rsidRPr="009E32D3">
        <w:rPr>
          <w:lang w:val="el-GR"/>
        </w:rPr>
        <w:t>-</w:t>
      </w:r>
      <w:r>
        <w:t>Turcotte</w:t>
      </w:r>
      <w:r w:rsidRPr="009E32D3">
        <w:rPr>
          <w:lang w:val="el-GR"/>
        </w:rPr>
        <w:t xml:space="preserve"> (</w:t>
      </w:r>
      <w:r>
        <w:t>CPT</w:t>
      </w:r>
      <w:r w:rsidRPr="009E32D3">
        <w:rPr>
          <w:lang w:val="el-GR"/>
        </w:rPr>
        <w:t>). Η</w:t>
      </w:r>
      <w:r w:rsidRPr="009E32D3">
        <w:rPr>
          <w:spacing w:val="-49"/>
          <w:lang w:val="el-GR"/>
        </w:rPr>
        <w:t xml:space="preserve"> </w:t>
      </w:r>
      <w:r w:rsidRPr="009E32D3">
        <w:rPr>
          <w:lang w:val="el-GR"/>
        </w:rPr>
        <w:t xml:space="preserve">φαρμακοκινητική </w:t>
      </w:r>
      <w:r w:rsidR="007A5D51">
        <w:rPr>
          <w:lang w:val="el-GR"/>
        </w:rPr>
        <w:t>της τενοφοβίρης</w:t>
      </w:r>
      <w:r w:rsidRPr="009E32D3">
        <w:rPr>
          <w:lang w:val="el-GR"/>
        </w:rPr>
        <w:t xml:space="preserve"> δεν μεταβλήθηκε σημαντικά σε άτομα με ηπατική</w:t>
      </w:r>
      <w:r w:rsidRPr="009E32D3">
        <w:rPr>
          <w:spacing w:val="2"/>
          <w:lang w:val="el-GR"/>
        </w:rPr>
        <w:t xml:space="preserve"> </w:t>
      </w:r>
      <w:r w:rsidRPr="009E32D3">
        <w:rPr>
          <w:lang w:val="el-GR"/>
        </w:rPr>
        <w:t>δυσλειτουργία, υποδεικνύοντας ότι στα άτομα αυτά δεν απαιτείται αναπροσαρμογή της δόσης. Οι μέσες</w:t>
      </w:r>
      <w:r w:rsidRPr="009E32D3">
        <w:rPr>
          <w:spacing w:val="-5"/>
          <w:lang w:val="el-GR"/>
        </w:rPr>
        <w:t xml:space="preserve"> </w:t>
      </w:r>
      <w:r w:rsidRPr="009E32D3">
        <w:rPr>
          <w:lang w:val="el-GR"/>
        </w:rPr>
        <w:t>τιμές</w:t>
      </w:r>
      <w:r w:rsidR="00DE1133" w:rsidRPr="00DE1133">
        <w:rPr>
          <w:lang w:val="el-GR"/>
        </w:rPr>
        <w:t xml:space="preserve"> </w:t>
      </w:r>
      <w:r w:rsidRPr="009E32D3">
        <w:rPr>
          <w:lang w:val="el-GR"/>
        </w:rPr>
        <w:t xml:space="preserve">(% </w:t>
      </w:r>
      <w:r>
        <w:t>CV</w:t>
      </w:r>
      <w:r w:rsidRPr="009E32D3">
        <w:rPr>
          <w:lang w:val="el-GR"/>
        </w:rPr>
        <w:t xml:space="preserve">) </w:t>
      </w:r>
      <w:r w:rsidR="007A5D51">
        <w:t>C</w:t>
      </w:r>
      <w:r w:rsidR="007A5D51" w:rsidRPr="007A5D51">
        <w:rPr>
          <w:vertAlign w:val="subscript"/>
        </w:rPr>
        <w:t>max</w:t>
      </w:r>
      <w:r w:rsidRPr="009E32D3">
        <w:rPr>
          <w:position w:val="-2"/>
          <w:sz w:val="14"/>
          <w:szCs w:val="14"/>
          <w:lang w:val="el-GR"/>
        </w:rPr>
        <w:t xml:space="preserve"> </w:t>
      </w:r>
      <w:r w:rsidRPr="009E32D3">
        <w:rPr>
          <w:lang w:val="el-GR"/>
        </w:rPr>
        <w:t xml:space="preserve">και </w:t>
      </w:r>
      <w:r>
        <w:t>AUC</w:t>
      </w:r>
      <w:r w:rsidR="007A5D51" w:rsidRPr="007A5D51">
        <w:rPr>
          <w:position w:val="-2"/>
          <w:vertAlign w:val="subscript"/>
          <w:lang w:val="el-GR"/>
        </w:rPr>
        <w:t>0-∞</w:t>
      </w:r>
      <w:r w:rsidR="007A5D51" w:rsidRPr="009E32D3">
        <w:rPr>
          <w:position w:val="-2"/>
          <w:sz w:val="14"/>
          <w:szCs w:val="14"/>
          <w:lang w:val="el-GR"/>
        </w:rPr>
        <w:t xml:space="preserve"> </w:t>
      </w:r>
      <w:r w:rsidR="00145E29">
        <w:rPr>
          <w:lang w:val="el-GR"/>
        </w:rPr>
        <w:t>της τενοφοβίρης</w:t>
      </w:r>
      <w:r w:rsidRPr="009E32D3">
        <w:rPr>
          <w:lang w:val="el-GR"/>
        </w:rPr>
        <w:t xml:space="preserve"> ήταν 223 (34,8%) </w:t>
      </w:r>
      <w:r>
        <w:t>ng</w:t>
      </w:r>
      <w:r w:rsidRPr="009E32D3">
        <w:rPr>
          <w:lang w:val="el-GR"/>
        </w:rPr>
        <w:t>/</w:t>
      </w:r>
      <w:r>
        <w:t>ml</w:t>
      </w:r>
      <w:r w:rsidRPr="009E32D3">
        <w:rPr>
          <w:lang w:val="el-GR"/>
        </w:rPr>
        <w:t xml:space="preserve"> και 2.050 (50,8%)</w:t>
      </w:r>
      <w:r w:rsidRPr="009E32D3">
        <w:rPr>
          <w:spacing w:val="-4"/>
          <w:lang w:val="el-GR"/>
        </w:rPr>
        <w:t xml:space="preserve"> </w:t>
      </w:r>
      <w:r>
        <w:t>ng</w:t>
      </w:r>
      <w:r w:rsidRPr="009E32D3">
        <w:rPr>
          <w:lang w:val="el-GR"/>
        </w:rPr>
        <w:t>•</w:t>
      </w:r>
      <w:r>
        <w:t>h</w:t>
      </w:r>
      <w:r w:rsidRPr="009E32D3">
        <w:rPr>
          <w:lang w:val="el-GR"/>
        </w:rPr>
        <w:t>/</w:t>
      </w:r>
      <w:r>
        <w:t>ml</w:t>
      </w:r>
      <w:r w:rsidRPr="009E32D3">
        <w:rPr>
          <w:lang w:val="el-GR"/>
        </w:rPr>
        <w:t xml:space="preserve"> αντίστοιχα, σε φυσιολογικά άτομα σε σύγκριση με τις τιμές 289 (46,0%) </w:t>
      </w:r>
      <w:r>
        <w:t>ng</w:t>
      </w:r>
      <w:r w:rsidRPr="009E32D3">
        <w:rPr>
          <w:lang w:val="el-GR"/>
        </w:rPr>
        <w:t>/</w:t>
      </w:r>
      <w:r>
        <w:t>ml</w:t>
      </w:r>
      <w:r w:rsidRPr="009E32D3">
        <w:rPr>
          <w:spacing w:val="9"/>
          <w:lang w:val="el-GR"/>
        </w:rPr>
        <w:t xml:space="preserve"> </w:t>
      </w:r>
      <w:r w:rsidRPr="009E32D3">
        <w:rPr>
          <w:lang w:val="el-GR"/>
        </w:rPr>
        <w:t>και</w:t>
      </w:r>
      <w:r w:rsidR="00DE1133" w:rsidRPr="00DE1133">
        <w:rPr>
          <w:lang w:val="el-GR"/>
        </w:rPr>
        <w:t xml:space="preserve"> </w:t>
      </w:r>
      <w:r w:rsidRPr="009E32D3">
        <w:rPr>
          <w:lang w:val="el-GR"/>
        </w:rPr>
        <w:t xml:space="preserve">2.310 (43,5%) </w:t>
      </w:r>
      <w:r>
        <w:t>ng</w:t>
      </w:r>
      <w:r w:rsidRPr="009E32D3">
        <w:rPr>
          <w:lang w:val="el-GR"/>
        </w:rPr>
        <w:t>•</w:t>
      </w:r>
      <w:r>
        <w:t>h</w:t>
      </w:r>
      <w:r w:rsidRPr="009E32D3">
        <w:rPr>
          <w:lang w:val="el-GR"/>
        </w:rPr>
        <w:t>/</w:t>
      </w:r>
      <w:r>
        <w:t>ml</w:t>
      </w:r>
      <w:r w:rsidRPr="009E32D3">
        <w:rPr>
          <w:lang w:val="el-GR"/>
        </w:rPr>
        <w:t xml:space="preserve"> σε άτομα με μέτρια ηπατική δυσλειτουργία και 305 (24,8%) </w:t>
      </w:r>
      <w:r>
        <w:lastRenderedPageBreak/>
        <w:t>ng</w:t>
      </w:r>
      <w:r w:rsidRPr="009E32D3">
        <w:rPr>
          <w:lang w:val="el-GR"/>
        </w:rPr>
        <w:t>/</w:t>
      </w:r>
      <w:r>
        <w:t>ml</w:t>
      </w:r>
      <w:r w:rsidRPr="009E32D3">
        <w:rPr>
          <w:spacing w:val="2"/>
          <w:lang w:val="el-GR"/>
        </w:rPr>
        <w:t xml:space="preserve"> </w:t>
      </w:r>
      <w:r w:rsidRPr="009E32D3">
        <w:rPr>
          <w:lang w:val="el-GR"/>
        </w:rPr>
        <w:t xml:space="preserve">και 2.740 (44,0%) </w:t>
      </w:r>
      <w:r>
        <w:t>ng</w:t>
      </w:r>
      <w:r w:rsidRPr="009E32D3">
        <w:rPr>
          <w:lang w:val="el-GR"/>
        </w:rPr>
        <w:t>•</w:t>
      </w:r>
      <w:r>
        <w:t>h</w:t>
      </w:r>
      <w:r w:rsidRPr="009E32D3">
        <w:rPr>
          <w:lang w:val="el-GR"/>
        </w:rPr>
        <w:t>/</w:t>
      </w:r>
      <w:r>
        <w:t>ml</w:t>
      </w:r>
      <w:r w:rsidRPr="009E32D3">
        <w:rPr>
          <w:lang w:val="el-GR"/>
        </w:rPr>
        <w:t xml:space="preserve"> σε άτομα με σοβαρή ηπατική</w:t>
      </w:r>
      <w:r w:rsidRPr="009E32D3">
        <w:rPr>
          <w:spacing w:val="4"/>
          <w:lang w:val="el-GR"/>
        </w:rPr>
        <w:t xml:space="preserve"> </w:t>
      </w:r>
      <w:r w:rsidRPr="009E32D3">
        <w:rPr>
          <w:lang w:val="el-GR"/>
        </w:rPr>
        <w:t>δυσλειτουργία.</w:t>
      </w:r>
    </w:p>
    <w:p w:rsidR="00645378" w:rsidRPr="009E32D3" w:rsidRDefault="00645378" w:rsidP="0082050A">
      <w:pPr>
        <w:spacing w:before="1"/>
        <w:ind w:left="142"/>
        <w:rPr>
          <w:rFonts w:ascii="Times New Roman" w:eastAsia="Times New Roman" w:hAnsi="Times New Roman" w:cs="Times New Roman"/>
          <w:sz w:val="23"/>
          <w:szCs w:val="23"/>
          <w:lang w:val="el-GR"/>
        </w:rPr>
      </w:pPr>
    </w:p>
    <w:p w:rsidR="00B1405A" w:rsidRPr="00B1405A" w:rsidRDefault="00B1405A" w:rsidP="004155A8">
      <w:pPr>
        <w:pStyle w:val="1"/>
        <w:numPr>
          <w:ilvl w:val="1"/>
          <w:numId w:val="5"/>
        </w:numPr>
        <w:tabs>
          <w:tab w:val="left" w:pos="785"/>
        </w:tabs>
        <w:ind w:left="142" w:firstLine="0"/>
        <w:rPr>
          <w:rFonts w:eastAsia="TimesNewRoman,Bold" w:cs="Times New Roman"/>
          <w:lang w:val="el-GR"/>
        </w:rPr>
      </w:pPr>
      <w:r w:rsidRPr="00A914B3">
        <w:rPr>
          <w:rFonts w:eastAsia="TimesNewRoman,Bold" w:cs="Times New Roman"/>
          <w:bCs w:val="0"/>
          <w:lang w:val="el-GR"/>
        </w:rPr>
        <w:t>Προκλιν</w:t>
      </w:r>
      <w:r w:rsidRPr="009B31E8">
        <w:rPr>
          <w:rFonts w:eastAsia="TimesNewRoman,Bold" w:cs="Times New Roman"/>
          <w:bCs w:val="0"/>
          <w:lang w:val="el-GR"/>
        </w:rPr>
        <w:t>ικά δεδομένα για την ασφάλεια</w:t>
      </w:r>
      <w:r w:rsidRPr="00B1405A">
        <w:rPr>
          <w:rFonts w:eastAsia="TimesNewRoman,Bold" w:cs="Times New Roman"/>
          <w:b w:val="0"/>
          <w:bCs w:val="0"/>
          <w:lang w:val="el-GR"/>
        </w:rPr>
        <w:t xml:space="preserve">  </w:t>
      </w: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i/>
          <w:lang w:val="el-GR"/>
        </w:rPr>
        <w:t>Εμτρισιταβίνη:</w:t>
      </w:r>
      <w:r w:rsidRPr="00B1405A">
        <w:rPr>
          <w:rFonts w:ascii="Times New Roman" w:eastAsia="TimesNewRoman,Bold" w:hAnsi="Times New Roman" w:cs="Times New Roman"/>
          <w:bCs/>
          <w:lang w:val="el-GR"/>
        </w:rPr>
        <w:t xml:space="preserve"> Τα μη κλινικά δεδομένα σχετικά με την εμτρισιταβίνη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ενδεχόμενης καρκινογόνου δράσης και τοξικότητας στην αναπαραγωγική ικανότητα και ανάπτυξη.</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i/>
          <w:lang w:val="el-GR"/>
        </w:rPr>
        <w:t>Τενοφοβίρη δισοπρόξιλη:</w:t>
      </w:r>
      <w:r w:rsidRPr="00B1405A">
        <w:rPr>
          <w:rFonts w:ascii="Times New Roman" w:eastAsia="TimesNewRoman,Bold" w:hAnsi="Times New Roman" w:cs="Times New Roman"/>
          <w:bCs/>
          <w:lang w:val="el-GR"/>
        </w:rPr>
        <w:t xml:space="preserve"> Οι μη κλινικές μελέτες φαρμακολογικής ασφάλειας σχετικά με τη τενοφοβίρη δισοπρόξιλη δεν αποκαλύπτουν ιδιαίτερο κίνδυνο για τον άνθρωπο. Τα ευρήματα που παρατηρήθηκαν στις μελέτες τοξικότητας επαναλαμβανόμενων δόσεων σε αρουραίους, σε σκύλους και σε πιθήκους σε επίπεδα έκθεσης μεγαλύτερα από ή ίσα με τα κλινικά επίπεδα έκθεσης και με ενδεχόμενη σχέση με την κλινική χρήση, συμπεριλαμβάνουν νεφρική και οστική τοξικότητα και μια ελάττωση στη συγκέντρωση φωσφόρου ορού. Η οστική τοξικότητα διαγνώσθηκε ως οστεομαλακία (πίθηκοι) και ελάττωση της οστικής πυκνότητας (ΟΠ) (αρουραίοι και σκύλοι). Η οστική τοξικότητα σε νεαρούς ενήλικες αρουραίους και σκύλους παρουσιάστηκε σε εκθέσεις ≥ 5 φορές την έκθεση σε παιδιατρικούς ή ενήλικες ασθενείς. Οστική τοξικότητα παρουσιάστηκε σε νεαρούς μολυσμένους πίθηκους σε πολύ υψηλές εκθέσεις μετά από υποδόρια χορήγηση (≥ 40 φορές την έκθεση σε ασθενείς). Τα ευρήματα των μελετών στους αρουραίους και τους πιθήκους έδειξαν φαρμακοεξαρτώμενη ελάττωση της εντερικής απορρόφησης του φωσφόρου, με πιθανή δευτερογενή μείωση της ΟΠ.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Μελέτες γονοτοξικότητας κατέδειξαν θετικά αποτελέσματα στην </w:t>
      </w:r>
      <w:r w:rsidRPr="00233195">
        <w:rPr>
          <w:rFonts w:ascii="Times New Roman" w:eastAsia="TimesNewRoman,Bold" w:hAnsi="Times New Roman" w:cs="Times New Roman"/>
          <w:bCs/>
          <w:i/>
        </w:rPr>
        <w:t>in</w:t>
      </w:r>
      <w:r w:rsidRPr="00B1405A">
        <w:rPr>
          <w:rFonts w:ascii="Times New Roman" w:eastAsia="TimesNewRoman,Bold" w:hAnsi="Times New Roman" w:cs="Times New Roman"/>
          <w:bCs/>
          <w:i/>
          <w:lang w:val="el-GR"/>
        </w:rPr>
        <w:t xml:space="preserve"> </w:t>
      </w:r>
      <w:r w:rsidRPr="00233195">
        <w:rPr>
          <w:rFonts w:ascii="Times New Roman" w:eastAsia="TimesNewRoman,Bold" w:hAnsi="Times New Roman" w:cs="Times New Roman"/>
          <w:bCs/>
          <w:i/>
        </w:rPr>
        <w:t>vitro</w:t>
      </w:r>
      <w:r w:rsidRPr="00B1405A">
        <w:rPr>
          <w:rFonts w:ascii="Times New Roman" w:eastAsia="TimesNewRoman,Bold" w:hAnsi="Times New Roman" w:cs="Times New Roman"/>
          <w:bCs/>
          <w:lang w:val="el-GR"/>
        </w:rPr>
        <w:t xml:space="preserve"> δοκιμασία λεμφώματος ποντικού, αμφίβολα αποτελέσματα σε ένα από τα στελέχη που χρησιμοποιήθηκαν στο τεστ </w:t>
      </w:r>
      <w:r w:rsidRPr="00B32AC5">
        <w:rPr>
          <w:rFonts w:ascii="Times New Roman" w:eastAsia="TimesNewRoman,Bold" w:hAnsi="Times New Roman" w:cs="Times New Roman"/>
          <w:bCs/>
        </w:rPr>
        <w:t>Ames</w:t>
      </w:r>
      <w:r w:rsidRPr="00B1405A">
        <w:rPr>
          <w:rFonts w:ascii="Times New Roman" w:eastAsia="TimesNewRoman,Bold" w:hAnsi="Times New Roman" w:cs="Times New Roman"/>
          <w:bCs/>
          <w:lang w:val="el-GR"/>
        </w:rPr>
        <w:t xml:space="preserve">, και ήπια θετικά αποτελέσματα στη δοκιμασία </w:t>
      </w:r>
      <w:r w:rsidRPr="00B32AC5">
        <w:rPr>
          <w:rFonts w:ascii="Times New Roman" w:eastAsia="TimesNewRoman,Bold" w:hAnsi="Times New Roman" w:cs="Times New Roman"/>
          <w:bCs/>
        </w:rPr>
        <w:t>UDS</w:t>
      </w:r>
      <w:r w:rsidRPr="00B1405A">
        <w:rPr>
          <w:rFonts w:ascii="Times New Roman" w:eastAsia="TimesNewRoman,Bold" w:hAnsi="Times New Roman" w:cs="Times New Roman"/>
          <w:bCs/>
          <w:lang w:val="el-GR"/>
        </w:rPr>
        <w:t xml:space="preserve"> σε πρωτογενή ηπατοκύτταρα αρουραίου. Ωστόσο, τα αποτελέσματα ήταν αρνητικά σε μια </w:t>
      </w:r>
      <w:r w:rsidRPr="00233195">
        <w:rPr>
          <w:rFonts w:ascii="Times New Roman" w:eastAsia="TimesNewRoman,Bold" w:hAnsi="Times New Roman" w:cs="Times New Roman"/>
          <w:bCs/>
          <w:i/>
        </w:rPr>
        <w:t>in</w:t>
      </w:r>
      <w:r w:rsidRPr="00B1405A">
        <w:rPr>
          <w:rFonts w:ascii="Times New Roman" w:eastAsia="TimesNewRoman,Bold" w:hAnsi="Times New Roman" w:cs="Times New Roman"/>
          <w:bCs/>
          <w:i/>
          <w:lang w:val="el-GR"/>
        </w:rPr>
        <w:t xml:space="preserve"> </w:t>
      </w:r>
      <w:r w:rsidRPr="00233195">
        <w:rPr>
          <w:rFonts w:ascii="Times New Roman" w:eastAsia="TimesNewRoman,Bold" w:hAnsi="Times New Roman" w:cs="Times New Roman"/>
          <w:bCs/>
          <w:i/>
        </w:rPr>
        <w:t>vivo</w:t>
      </w:r>
      <w:r w:rsidRPr="00B1405A">
        <w:rPr>
          <w:rFonts w:ascii="Times New Roman" w:eastAsia="TimesNewRoman,Bold" w:hAnsi="Times New Roman" w:cs="Times New Roman"/>
          <w:bCs/>
          <w:i/>
          <w:lang w:val="el-GR"/>
        </w:rPr>
        <w:t xml:space="preserve"> </w:t>
      </w:r>
      <w:r w:rsidRPr="00B1405A">
        <w:rPr>
          <w:rFonts w:ascii="Times New Roman" w:eastAsia="TimesNewRoman,Bold" w:hAnsi="Times New Roman" w:cs="Times New Roman"/>
          <w:bCs/>
          <w:lang w:val="el-GR"/>
        </w:rPr>
        <w:t xml:space="preserve">δοκιμασία μικροπυρήνων μυελού οστών ποντικού.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Μελέτες καρκινογένεσης με από του στόματος χορήγηση σε αρουραίους και ποντικούς έδειξαν μόνο χαμηλή συχνότητα εμφάνισης όγκων του δωδεκαδακτύλου σε υπερβολικά υψηλή δόση σε ποντικούς. Αυτοί οι όγκοι δεν φαίνεται να σχετίζονται με ανθρώπους.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Μελέτες τοξικότητας στην αναπαραγωγική ικανότητα σε αρουραίους και κουνέλια δεν κατέδειξαν καμία επίδραση στις παραμέτρους του ζευγαρώματος, της γονιμότητας, της κύησης ή στις εμβρυϊκές παραμέτρους. Ωστόσο, η τενοφοβίρη δισοπρόξιλη μείωσε το δείκτη βιωσιμότητας και το βάρος των κουταβιών σε περι- και μεταγεννητικές μελέτες τοξικότητας σε δόσεις τοξικές για τη μητέρα.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i/>
          <w:lang w:val="el-GR"/>
        </w:rPr>
        <w:t>Συνδυασμός εμτρισιταβίνης και τενοφοβίρης δισοπρόξιλης:</w:t>
      </w:r>
      <w:r w:rsidRPr="00B1405A">
        <w:rPr>
          <w:rFonts w:ascii="Times New Roman" w:eastAsia="TimesNewRoman,Bold" w:hAnsi="Times New Roman" w:cs="Times New Roman"/>
          <w:bCs/>
          <w:lang w:val="el-GR"/>
        </w:rPr>
        <w:t xml:space="preserve"> Μελέτες γονοτοξικότητας και τοξικότητας επαναλαμβανόμενων δόσεων διάρκειας ενός μηνός ή λιγότερο με το συνδυασμό αυτών των δύο συστατικών δεν έδειξαν επιδείνωση των τοξικολογικών επιδράσεων, σε σύγκριση με μελέτες με τα ξεχωριστά συστατικά.</w:t>
      </w:r>
    </w:p>
    <w:p w:rsidR="00645378" w:rsidRDefault="00645378" w:rsidP="0082050A">
      <w:pPr>
        <w:ind w:left="142" w:right="-1"/>
        <w:rPr>
          <w:rFonts w:ascii="Times New Roman" w:eastAsia="Times New Roman" w:hAnsi="Times New Roman" w:cs="Times New Roman"/>
          <w:lang w:val="el-GR"/>
        </w:rPr>
      </w:pPr>
    </w:p>
    <w:p w:rsidR="00142A34" w:rsidRPr="009E32D3" w:rsidRDefault="00142A34" w:rsidP="0082050A">
      <w:pPr>
        <w:ind w:left="142" w:right="-1"/>
        <w:rPr>
          <w:rFonts w:ascii="Times New Roman" w:eastAsia="Times New Roman" w:hAnsi="Times New Roman" w:cs="Times New Roman"/>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 xml:space="preserve">6. </w:t>
      </w:r>
      <w:r w:rsidR="009935E8" w:rsidRPr="004155A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ΦΑΡΜΑΚΕΥΤΙΚΕΣ ΠΛΗΡΟΦΟΡΙΕΣ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6.1</w:t>
      </w:r>
      <w:r w:rsidR="009B31E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Κατάλογος εκδόχων  </w:t>
      </w: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i/>
          <w:lang w:val="el-GR"/>
        </w:rPr>
      </w:pPr>
      <w:r w:rsidRPr="00B1405A">
        <w:rPr>
          <w:rFonts w:ascii="Times New Roman" w:eastAsia="TimesNewRoman,Bold" w:hAnsi="Times New Roman" w:cs="Times New Roman"/>
          <w:bCs/>
          <w:i/>
          <w:lang w:val="el-GR"/>
        </w:rPr>
        <w:t>Πυρήνας δισκίου:</w:t>
      </w:r>
    </w:p>
    <w:p w:rsidR="001045D0" w:rsidRPr="00554364" w:rsidRDefault="00554364" w:rsidP="001045D0">
      <w:pPr>
        <w:autoSpaceDE w:val="0"/>
        <w:autoSpaceDN w:val="0"/>
        <w:adjustRightInd w:val="0"/>
        <w:ind w:left="142"/>
        <w:rPr>
          <w:rFonts w:ascii="Times New Roman" w:eastAsia="TimesNewRoman,Bold" w:hAnsi="Times New Roman" w:cs="Times New Roman"/>
          <w:bCs/>
          <w:lang w:val="el-GR"/>
        </w:rPr>
      </w:pPr>
      <w:r>
        <w:rPr>
          <w:rFonts w:ascii="Times New Roman" w:eastAsia="TimesNewRoman,Bold" w:hAnsi="Times New Roman" w:cs="Times New Roman"/>
          <w:bCs/>
          <w:lang w:val="el-GR"/>
        </w:rPr>
        <w:t>Μονοϋδρική λακτόζη</w:t>
      </w:r>
    </w:p>
    <w:p w:rsidR="00554364" w:rsidRPr="00554364" w:rsidRDefault="00554364" w:rsidP="00554364">
      <w:pPr>
        <w:ind w:firstLine="142"/>
        <w:rPr>
          <w:rFonts w:ascii="Times New Roman" w:hAnsi="Times New Roman" w:cs="Times New Roman"/>
          <w:noProof/>
          <w:lang w:val="el-GR"/>
        </w:rPr>
      </w:pPr>
      <w:r w:rsidRPr="00554364">
        <w:rPr>
          <w:rFonts w:ascii="Times New Roman" w:hAnsi="Times New Roman" w:cs="Times New Roman"/>
          <w:noProof/>
          <w:lang w:val="el-GR"/>
        </w:rPr>
        <w:t>Μικροκρυσταλλική κυτταρίνη (</w:t>
      </w:r>
      <w:r w:rsidRPr="00554364">
        <w:rPr>
          <w:rFonts w:ascii="Times New Roman" w:hAnsi="Times New Roman" w:cs="Times New Roman"/>
          <w:noProof/>
        </w:rPr>
        <w:t>E</w:t>
      </w:r>
      <w:r w:rsidRPr="00554364">
        <w:rPr>
          <w:rFonts w:ascii="Times New Roman" w:hAnsi="Times New Roman" w:cs="Times New Roman"/>
          <w:noProof/>
          <w:lang w:val="el-GR"/>
        </w:rPr>
        <w:t>460)</w:t>
      </w:r>
    </w:p>
    <w:p w:rsidR="00554364" w:rsidRDefault="00771FAE" w:rsidP="00771FAE">
      <w:pPr>
        <w:autoSpaceDE w:val="0"/>
        <w:autoSpaceDN w:val="0"/>
        <w:adjustRightInd w:val="0"/>
        <w:ind w:left="142"/>
        <w:rPr>
          <w:rFonts w:ascii="Times New Roman" w:eastAsia="TimesNewRoman" w:hAnsi="Times New Roman" w:cs="Times New Roman"/>
          <w:color w:val="000000" w:themeColor="text1"/>
          <w:lang w:val="el-GR"/>
        </w:rPr>
      </w:pPr>
      <w:r w:rsidRPr="001109DC">
        <w:rPr>
          <w:rFonts w:ascii="Times New Roman" w:eastAsia="TimesNewRoman" w:hAnsi="Times New Roman" w:cs="Times New Roman"/>
          <w:color w:val="000000" w:themeColor="text1"/>
          <w:lang w:val="el-GR"/>
        </w:rPr>
        <w:t>Π</w:t>
      </w:r>
      <w:r w:rsidR="00554364" w:rsidRPr="001109DC">
        <w:rPr>
          <w:rFonts w:ascii="Times New Roman" w:eastAsia="TimesNewRoman" w:hAnsi="Times New Roman" w:cs="Times New Roman"/>
          <w:color w:val="000000" w:themeColor="text1"/>
          <w:lang w:val="el-GR"/>
        </w:rPr>
        <w:t>ροζελατινοποιημένο</w:t>
      </w:r>
      <w:r>
        <w:rPr>
          <w:rFonts w:ascii="Times New Roman" w:eastAsia="TimesNewRoman" w:hAnsi="Times New Roman" w:cs="Times New Roman"/>
          <w:color w:val="000000" w:themeColor="text1"/>
          <w:lang w:val="el-GR"/>
        </w:rPr>
        <w:t xml:space="preserve"> </w:t>
      </w:r>
      <w:r w:rsidR="00554364" w:rsidRPr="001109DC">
        <w:rPr>
          <w:rFonts w:ascii="Times New Roman" w:eastAsia="TimesNewRoman" w:hAnsi="Times New Roman" w:cs="Times New Roman"/>
          <w:color w:val="000000" w:themeColor="text1"/>
          <w:lang w:val="el-GR"/>
        </w:rPr>
        <w:t xml:space="preserve">άμυλο αραβοσίτου </w:t>
      </w:r>
    </w:p>
    <w:p w:rsidR="001045D0" w:rsidRPr="00771FAE" w:rsidRDefault="00771FAE" w:rsidP="001045D0">
      <w:pPr>
        <w:autoSpaceDE w:val="0"/>
        <w:autoSpaceDN w:val="0"/>
        <w:adjustRightInd w:val="0"/>
        <w:ind w:left="142"/>
        <w:rPr>
          <w:rFonts w:ascii="Times New Roman" w:eastAsia="TimesNewRoman,Bold" w:hAnsi="Times New Roman" w:cs="Times New Roman"/>
          <w:bCs/>
          <w:lang w:val="el-GR"/>
        </w:rPr>
      </w:pPr>
      <w:r>
        <w:rPr>
          <w:rFonts w:ascii="Times New Roman" w:eastAsia="TimesNewRoman" w:hAnsi="Times New Roman" w:cs="Times New Roman"/>
          <w:color w:val="000000" w:themeColor="text1"/>
          <w:lang w:val="el-GR"/>
        </w:rPr>
        <w:t xml:space="preserve">Νατριούχος </w:t>
      </w:r>
      <w:r w:rsidRPr="001109DC">
        <w:rPr>
          <w:rFonts w:ascii="Times New Roman" w:eastAsia="TimesNewRoman" w:hAnsi="Times New Roman" w:cs="Times New Roman"/>
          <w:color w:val="000000" w:themeColor="text1"/>
          <w:lang w:val="el-GR"/>
        </w:rPr>
        <w:t>κροσκαρμελ</w:t>
      </w:r>
      <w:r>
        <w:rPr>
          <w:rFonts w:ascii="Times New Roman" w:eastAsia="TimesNewRoman" w:hAnsi="Times New Roman" w:cs="Times New Roman"/>
          <w:color w:val="000000" w:themeColor="text1"/>
          <w:lang w:val="el-GR"/>
        </w:rPr>
        <w:t>λ</w:t>
      </w:r>
      <w:r w:rsidRPr="001109DC">
        <w:rPr>
          <w:rFonts w:ascii="Times New Roman" w:eastAsia="TimesNewRoman" w:hAnsi="Times New Roman" w:cs="Times New Roman"/>
          <w:color w:val="000000" w:themeColor="text1"/>
          <w:lang w:val="el-GR"/>
        </w:rPr>
        <w:t>όζη</w:t>
      </w:r>
      <w:r w:rsidR="001045D0" w:rsidRPr="00771FAE">
        <w:rPr>
          <w:rFonts w:ascii="Times New Roman" w:eastAsia="TimesNewRoman,Bold" w:hAnsi="Times New Roman" w:cs="Times New Roman"/>
          <w:bCs/>
          <w:lang w:val="el-GR"/>
        </w:rPr>
        <w:t xml:space="preserve"> </w:t>
      </w:r>
    </w:p>
    <w:p w:rsidR="001045D0" w:rsidRPr="00771FAE" w:rsidRDefault="00554364" w:rsidP="001045D0">
      <w:pPr>
        <w:autoSpaceDE w:val="0"/>
        <w:autoSpaceDN w:val="0"/>
        <w:adjustRightInd w:val="0"/>
        <w:ind w:left="142"/>
        <w:rPr>
          <w:rFonts w:ascii="Times New Roman" w:eastAsia="TimesNewRoman,Bold" w:hAnsi="Times New Roman" w:cs="Times New Roman"/>
          <w:bCs/>
          <w:lang w:val="el-GR"/>
        </w:rPr>
      </w:pPr>
      <w:r>
        <w:rPr>
          <w:rFonts w:ascii="Times New Roman" w:eastAsia="TimesNewRoman,Bold" w:hAnsi="Times New Roman" w:cs="Times New Roman"/>
          <w:bCs/>
          <w:lang w:val="el-GR"/>
        </w:rPr>
        <w:t>Στεατικό μαγνήσιο</w:t>
      </w:r>
      <w:r w:rsidR="001045D0" w:rsidRPr="00771FAE">
        <w:rPr>
          <w:rFonts w:ascii="Times New Roman" w:eastAsia="TimesNewRoman,Bold" w:hAnsi="Times New Roman" w:cs="Times New Roman"/>
          <w:bCs/>
          <w:lang w:val="el-GR"/>
        </w:rPr>
        <w:t xml:space="preserve"> (</w:t>
      </w:r>
      <w:r w:rsidR="001045D0" w:rsidRPr="00554364">
        <w:rPr>
          <w:rFonts w:ascii="Times New Roman" w:eastAsia="TimesNewRoman,Bold" w:hAnsi="Times New Roman" w:cs="Times New Roman"/>
          <w:bCs/>
          <w:lang w:val="en-GB"/>
        </w:rPr>
        <w:t>E</w:t>
      </w:r>
      <w:r w:rsidR="001045D0" w:rsidRPr="00771FAE">
        <w:rPr>
          <w:rFonts w:ascii="Times New Roman" w:eastAsia="TimesNewRoman,Bold" w:hAnsi="Times New Roman" w:cs="Times New Roman"/>
          <w:bCs/>
          <w:lang w:val="el-GR"/>
        </w:rPr>
        <w:t>470</w:t>
      </w:r>
      <w:r w:rsidR="001045D0" w:rsidRPr="00554364">
        <w:rPr>
          <w:rFonts w:ascii="Times New Roman" w:eastAsia="TimesNewRoman,Bold" w:hAnsi="Times New Roman" w:cs="Times New Roman"/>
          <w:bCs/>
          <w:lang w:val="en-GB"/>
        </w:rPr>
        <w:t>b</w:t>
      </w:r>
      <w:r w:rsidR="001045D0" w:rsidRPr="00771FAE">
        <w:rPr>
          <w:rFonts w:ascii="Times New Roman" w:eastAsia="TimesNewRoman,Bold" w:hAnsi="Times New Roman" w:cs="Times New Roman"/>
          <w:bCs/>
          <w:lang w:val="el-GR"/>
        </w:rPr>
        <w:t>)</w:t>
      </w:r>
    </w:p>
    <w:p w:rsidR="00B1405A" w:rsidRPr="00771FAE"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4155A8" w:rsidRDefault="00B1405A" w:rsidP="0082050A">
      <w:pPr>
        <w:autoSpaceDE w:val="0"/>
        <w:autoSpaceDN w:val="0"/>
        <w:adjustRightInd w:val="0"/>
        <w:ind w:left="142"/>
        <w:rPr>
          <w:rFonts w:ascii="Times New Roman" w:eastAsia="TimesNewRoman,Bold" w:hAnsi="Times New Roman" w:cs="Times New Roman"/>
          <w:bCs/>
          <w:i/>
          <w:lang w:val="en-GB"/>
        </w:rPr>
      </w:pPr>
      <w:r w:rsidRPr="00B1405A">
        <w:rPr>
          <w:rFonts w:ascii="Times New Roman" w:eastAsia="TimesNewRoman,Bold" w:hAnsi="Times New Roman" w:cs="Times New Roman"/>
          <w:bCs/>
          <w:i/>
          <w:lang w:val="el-GR"/>
        </w:rPr>
        <w:lastRenderedPageBreak/>
        <w:t>Επικάλυψη</w:t>
      </w:r>
      <w:r w:rsidRPr="004155A8">
        <w:rPr>
          <w:rFonts w:ascii="Times New Roman" w:eastAsia="TimesNewRoman,Bold" w:hAnsi="Times New Roman" w:cs="Times New Roman"/>
          <w:bCs/>
          <w:i/>
          <w:lang w:val="en-GB"/>
        </w:rPr>
        <w:t xml:space="preserve"> </w:t>
      </w:r>
      <w:r w:rsidRPr="00B1405A">
        <w:rPr>
          <w:rFonts w:ascii="Times New Roman" w:eastAsia="TimesNewRoman,Bold" w:hAnsi="Times New Roman" w:cs="Times New Roman"/>
          <w:bCs/>
          <w:i/>
          <w:lang w:val="el-GR"/>
        </w:rPr>
        <w:t>με</w:t>
      </w:r>
      <w:r w:rsidRPr="004155A8">
        <w:rPr>
          <w:rFonts w:ascii="Times New Roman" w:eastAsia="TimesNewRoman,Bold" w:hAnsi="Times New Roman" w:cs="Times New Roman"/>
          <w:bCs/>
          <w:i/>
          <w:lang w:val="en-GB"/>
        </w:rPr>
        <w:t xml:space="preserve"> </w:t>
      </w:r>
      <w:r w:rsidRPr="00B1405A">
        <w:rPr>
          <w:rFonts w:ascii="Times New Roman" w:eastAsia="TimesNewRoman,Bold" w:hAnsi="Times New Roman" w:cs="Times New Roman"/>
          <w:bCs/>
          <w:i/>
          <w:lang w:val="el-GR"/>
        </w:rPr>
        <w:t>υμένιο</w:t>
      </w:r>
      <w:r w:rsidRPr="004155A8">
        <w:rPr>
          <w:rFonts w:ascii="Times New Roman" w:eastAsia="TimesNewRoman,Bold" w:hAnsi="Times New Roman" w:cs="Times New Roman"/>
          <w:bCs/>
          <w:i/>
          <w:lang w:val="en-GB"/>
        </w:rPr>
        <w:t xml:space="preserve">: </w:t>
      </w:r>
    </w:p>
    <w:p w:rsidR="001045D0" w:rsidRPr="00554364" w:rsidRDefault="00554364" w:rsidP="001045D0">
      <w:pPr>
        <w:autoSpaceDE w:val="0"/>
        <w:autoSpaceDN w:val="0"/>
        <w:adjustRightInd w:val="0"/>
        <w:ind w:left="142"/>
        <w:rPr>
          <w:rFonts w:ascii="Times New Roman" w:eastAsia="TimesNewRoman,Bold" w:hAnsi="Times New Roman" w:cs="Times New Roman"/>
          <w:bCs/>
          <w:lang w:val="el-GR"/>
        </w:rPr>
      </w:pPr>
      <w:r w:rsidRPr="00554364">
        <w:rPr>
          <w:rFonts w:ascii="Times New Roman" w:hAnsi="Times New Roman" w:cs="Times New Roman"/>
          <w:noProof/>
          <w:lang w:val="el-GR"/>
        </w:rPr>
        <w:t>Πολυβινυλαλκοόλη</w:t>
      </w:r>
      <w:r w:rsidRPr="00554364">
        <w:rPr>
          <w:rFonts w:ascii="Times New Roman" w:eastAsia="TimesNewRoman,Bold" w:hAnsi="Times New Roman" w:cs="Times New Roman"/>
          <w:bCs/>
          <w:lang w:val="el-GR"/>
        </w:rPr>
        <w:t xml:space="preserve"> </w:t>
      </w:r>
      <w:r w:rsidR="001045D0" w:rsidRPr="00554364">
        <w:rPr>
          <w:rFonts w:ascii="Times New Roman" w:eastAsia="TimesNewRoman,Bold" w:hAnsi="Times New Roman" w:cs="Times New Roman"/>
          <w:bCs/>
          <w:lang w:val="el-GR"/>
        </w:rPr>
        <w:t>(</w:t>
      </w:r>
      <w:r w:rsidR="001045D0" w:rsidRPr="00554364">
        <w:rPr>
          <w:rFonts w:ascii="Times New Roman" w:eastAsia="TimesNewRoman,Bold" w:hAnsi="Times New Roman" w:cs="Times New Roman"/>
          <w:bCs/>
        </w:rPr>
        <w:t>E</w:t>
      </w:r>
      <w:r w:rsidR="001045D0" w:rsidRPr="00554364">
        <w:rPr>
          <w:rFonts w:ascii="Times New Roman" w:eastAsia="TimesNewRoman,Bold" w:hAnsi="Times New Roman" w:cs="Times New Roman"/>
          <w:bCs/>
          <w:lang w:val="el-GR"/>
        </w:rPr>
        <w:t>1203)</w:t>
      </w:r>
    </w:p>
    <w:p w:rsidR="00554364" w:rsidRPr="00554364" w:rsidRDefault="00554364" w:rsidP="00554364">
      <w:pPr>
        <w:ind w:firstLine="142"/>
        <w:rPr>
          <w:rFonts w:ascii="Times New Roman" w:hAnsi="Times New Roman" w:cs="Times New Roman"/>
          <w:iCs/>
          <w:lang w:val="el-GR"/>
        </w:rPr>
      </w:pPr>
      <w:r w:rsidRPr="00554364">
        <w:rPr>
          <w:rFonts w:ascii="Times New Roman" w:hAnsi="Times New Roman" w:cs="Times New Roman"/>
          <w:noProof/>
          <w:lang w:val="el-GR"/>
        </w:rPr>
        <w:t xml:space="preserve">Διοξείδιο του τιτανίου </w:t>
      </w:r>
      <w:r w:rsidRPr="00554364">
        <w:rPr>
          <w:rFonts w:ascii="Times New Roman" w:hAnsi="Times New Roman" w:cs="Times New Roman"/>
          <w:iCs/>
          <w:lang w:val="el-GR"/>
        </w:rPr>
        <w:t>(</w:t>
      </w:r>
      <w:r w:rsidRPr="00554364">
        <w:rPr>
          <w:rFonts w:ascii="Times New Roman" w:hAnsi="Times New Roman" w:cs="Times New Roman"/>
          <w:iCs/>
        </w:rPr>
        <w:t>E</w:t>
      </w:r>
      <w:r w:rsidRPr="00554364">
        <w:rPr>
          <w:rFonts w:ascii="Times New Roman" w:hAnsi="Times New Roman" w:cs="Times New Roman"/>
          <w:iCs/>
          <w:lang w:val="el-GR"/>
        </w:rPr>
        <w:t>171)</w:t>
      </w:r>
    </w:p>
    <w:p w:rsidR="00554364" w:rsidRPr="00554364" w:rsidRDefault="00554364" w:rsidP="00554364">
      <w:pPr>
        <w:ind w:firstLine="142"/>
        <w:rPr>
          <w:rFonts w:ascii="Times New Roman" w:hAnsi="Times New Roman" w:cs="Times New Roman"/>
          <w:iCs/>
          <w:lang w:val="el-GR"/>
        </w:rPr>
      </w:pPr>
      <w:r w:rsidRPr="00554364">
        <w:rPr>
          <w:rFonts w:ascii="Times New Roman" w:hAnsi="Times New Roman" w:cs="Times New Roman"/>
          <w:noProof/>
          <w:lang w:val="el-GR"/>
        </w:rPr>
        <w:t>Πολυαιθυλενογλυκόλη 3350</w:t>
      </w:r>
      <w:r w:rsidRPr="00554364">
        <w:rPr>
          <w:rFonts w:ascii="Times New Roman" w:hAnsi="Times New Roman" w:cs="Times New Roman"/>
          <w:iCs/>
          <w:lang w:val="el-GR"/>
        </w:rPr>
        <w:t xml:space="preserve"> (</w:t>
      </w:r>
      <w:r w:rsidRPr="00554364">
        <w:rPr>
          <w:rFonts w:ascii="Times New Roman" w:hAnsi="Times New Roman" w:cs="Times New Roman"/>
          <w:iCs/>
        </w:rPr>
        <w:t>E</w:t>
      </w:r>
      <w:r w:rsidRPr="00554364">
        <w:rPr>
          <w:rFonts w:ascii="Times New Roman" w:hAnsi="Times New Roman" w:cs="Times New Roman"/>
          <w:iCs/>
          <w:lang w:val="el-GR"/>
        </w:rPr>
        <w:t>1521)</w:t>
      </w:r>
    </w:p>
    <w:p w:rsidR="00554364" w:rsidRPr="00554364" w:rsidRDefault="00554364" w:rsidP="00554364">
      <w:pPr>
        <w:ind w:firstLine="142"/>
        <w:rPr>
          <w:rFonts w:ascii="Times New Roman" w:hAnsi="Times New Roman" w:cs="Times New Roman"/>
          <w:iCs/>
          <w:lang w:val="el-GR"/>
        </w:rPr>
      </w:pPr>
      <w:r w:rsidRPr="00554364">
        <w:rPr>
          <w:rFonts w:ascii="Times New Roman" w:hAnsi="Times New Roman" w:cs="Times New Roman"/>
          <w:iCs/>
          <w:lang w:val="el-GR"/>
        </w:rPr>
        <w:t>Τάλκης (</w:t>
      </w:r>
      <w:r w:rsidRPr="00554364">
        <w:rPr>
          <w:rFonts w:ascii="Times New Roman" w:hAnsi="Times New Roman" w:cs="Times New Roman"/>
          <w:iCs/>
        </w:rPr>
        <w:t>E</w:t>
      </w:r>
      <w:r w:rsidRPr="00554364">
        <w:rPr>
          <w:rFonts w:ascii="Times New Roman" w:hAnsi="Times New Roman" w:cs="Times New Roman"/>
          <w:iCs/>
          <w:lang w:val="el-GR"/>
        </w:rPr>
        <w:t>553</w:t>
      </w:r>
      <w:r w:rsidRPr="00554364">
        <w:rPr>
          <w:rFonts w:ascii="Times New Roman" w:hAnsi="Times New Roman" w:cs="Times New Roman"/>
          <w:iCs/>
        </w:rPr>
        <w:t>b</w:t>
      </w:r>
      <w:r w:rsidRPr="00554364">
        <w:rPr>
          <w:rFonts w:ascii="Times New Roman" w:hAnsi="Times New Roman" w:cs="Times New Roman"/>
          <w:iCs/>
          <w:lang w:val="el-GR"/>
        </w:rPr>
        <w:t>)</w:t>
      </w:r>
    </w:p>
    <w:p w:rsidR="00554364" w:rsidRPr="00554364" w:rsidRDefault="00554364" w:rsidP="00554364">
      <w:pPr>
        <w:ind w:firstLine="142"/>
        <w:rPr>
          <w:rFonts w:ascii="Times New Roman" w:hAnsi="Times New Roman" w:cs="Times New Roman"/>
          <w:iCs/>
          <w:lang w:val="el-GR"/>
        </w:rPr>
      </w:pPr>
      <w:r w:rsidRPr="00554364">
        <w:rPr>
          <w:rFonts w:ascii="Times New Roman" w:hAnsi="Times New Roman" w:cs="Times New Roman"/>
          <w:noProof/>
          <w:lang w:val="el-GR"/>
        </w:rPr>
        <w:t>Λάκα αλουμινίου ινδικοκαρμίνιου</w:t>
      </w:r>
      <w:r w:rsidRPr="00554364">
        <w:rPr>
          <w:rFonts w:ascii="Times New Roman" w:hAnsi="Times New Roman" w:cs="Times New Roman"/>
          <w:iCs/>
          <w:lang w:val="el-GR"/>
        </w:rPr>
        <w:t xml:space="preserve"> (</w:t>
      </w:r>
      <w:r w:rsidRPr="00554364">
        <w:rPr>
          <w:rFonts w:ascii="Times New Roman" w:hAnsi="Times New Roman" w:cs="Times New Roman"/>
          <w:iCs/>
        </w:rPr>
        <w:t>E</w:t>
      </w:r>
      <w:r w:rsidRPr="00554364">
        <w:rPr>
          <w:rFonts w:ascii="Times New Roman" w:hAnsi="Times New Roman" w:cs="Times New Roman"/>
          <w:iCs/>
          <w:lang w:val="el-GR"/>
        </w:rPr>
        <w:t>132)</w:t>
      </w:r>
    </w:p>
    <w:p w:rsidR="00B1405A" w:rsidRPr="00554364"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6.2</w:t>
      </w:r>
      <w:r w:rsidR="009B31E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Ασυμβατότητες </w:t>
      </w: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 xml:space="preserve">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Δεν εφαρμόζεται.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6.3</w:t>
      </w:r>
      <w:r w:rsidR="009B31E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Διάρκεια ζωής  </w:t>
      </w: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p>
    <w:p w:rsidR="00B1405A" w:rsidRPr="00B1405A" w:rsidRDefault="00511BF8" w:rsidP="0082050A">
      <w:pPr>
        <w:autoSpaceDE w:val="0"/>
        <w:autoSpaceDN w:val="0"/>
        <w:adjustRightInd w:val="0"/>
        <w:ind w:left="142"/>
        <w:rPr>
          <w:rFonts w:ascii="Times New Roman" w:eastAsia="TimesNewRoman,Bold" w:hAnsi="Times New Roman" w:cs="Times New Roman"/>
          <w:bCs/>
          <w:lang w:val="el-GR"/>
        </w:rPr>
      </w:pPr>
      <w:r>
        <w:rPr>
          <w:rFonts w:ascii="Times New Roman" w:eastAsia="TimesNewRoman,Bold" w:hAnsi="Times New Roman" w:cs="Times New Roman"/>
          <w:bCs/>
          <w:lang w:val="el-GR"/>
        </w:rPr>
        <w:t>30 μήνες.</w:t>
      </w:r>
      <w:r w:rsidR="00B1405A" w:rsidRPr="00B1405A">
        <w:rPr>
          <w:rFonts w:ascii="Times New Roman" w:eastAsia="TimesNewRoman,Bold" w:hAnsi="Times New Roman" w:cs="Times New Roman"/>
          <w:bCs/>
          <w:lang w:val="el-GR"/>
        </w:rPr>
        <w:t xml:space="preserve"> </w:t>
      </w:r>
      <w:r w:rsidR="00B1405A" w:rsidRPr="00552299">
        <w:rPr>
          <w:rFonts w:ascii="Times New Roman" w:eastAsia="TimesNewRoman,Bold" w:hAnsi="Times New Roman" w:cs="Times New Roman"/>
          <w:bCs/>
          <w:lang w:val="el-GR"/>
        </w:rPr>
        <w:t xml:space="preserve">Μετά το </w:t>
      </w:r>
      <w:r w:rsidR="00B53E1D" w:rsidRPr="00552299">
        <w:rPr>
          <w:rFonts w:ascii="Times New Roman" w:eastAsia="TimesNewRoman,Bold" w:hAnsi="Times New Roman" w:cs="Times New Roman"/>
          <w:bCs/>
          <w:lang w:val="el-GR"/>
        </w:rPr>
        <w:t xml:space="preserve">πρώτο </w:t>
      </w:r>
      <w:r w:rsidR="00B1405A" w:rsidRPr="00552299">
        <w:rPr>
          <w:rFonts w:ascii="Times New Roman" w:eastAsia="TimesNewRoman,Bold" w:hAnsi="Times New Roman" w:cs="Times New Roman"/>
          <w:bCs/>
          <w:lang w:val="el-GR"/>
        </w:rPr>
        <w:t>άνοιγμα</w:t>
      </w:r>
      <w:r w:rsidR="00B53E1D" w:rsidRPr="00552299">
        <w:rPr>
          <w:rFonts w:ascii="Times New Roman" w:eastAsia="TimesNewRoman,Bold" w:hAnsi="Times New Roman" w:cs="Times New Roman"/>
          <w:bCs/>
          <w:lang w:val="el-GR"/>
        </w:rPr>
        <w:t>: 30 μέρες όταν</w:t>
      </w:r>
      <w:r w:rsidR="00B1405A" w:rsidRPr="00552299">
        <w:rPr>
          <w:rFonts w:ascii="Times New Roman" w:eastAsia="TimesNewRoman,Bold" w:hAnsi="Times New Roman" w:cs="Times New Roman"/>
          <w:bCs/>
          <w:lang w:val="el-GR"/>
        </w:rPr>
        <w:t xml:space="preserve"> </w:t>
      </w:r>
      <w:r w:rsidR="00427046" w:rsidRPr="006679D9">
        <w:rPr>
          <w:rFonts w:ascii="Times New Roman" w:eastAsia="TimesNewRoman,Bold" w:hAnsi="Times New Roman" w:cs="Times New Roman"/>
          <w:bCs/>
          <w:lang w:val="el-GR"/>
        </w:rPr>
        <w:t>φυλάσσετ</w:t>
      </w:r>
      <w:r w:rsidR="00427046">
        <w:rPr>
          <w:rFonts w:ascii="Times New Roman" w:eastAsia="TimesNewRoman,Bold" w:hAnsi="Times New Roman" w:cs="Times New Roman"/>
          <w:bCs/>
          <w:lang w:val="el-GR"/>
        </w:rPr>
        <w:t>αι</w:t>
      </w:r>
      <w:r w:rsidR="00427046" w:rsidRPr="00552299">
        <w:rPr>
          <w:rFonts w:ascii="Times New Roman" w:eastAsia="TimesNewRoman,Bold" w:hAnsi="Times New Roman" w:cs="Times New Roman"/>
          <w:bCs/>
          <w:lang w:val="el-GR"/>
        </w:rPr>
        <w:t xml:space="preserve"> </w:t>
      </w:r>
      <w:r w:rsidR="00B1405A" w:rsidRPr="00552299">
        <w:rPr>
          <w:rFonts w:ascii="Times New Roman" w:eastAsia="TimesNewRoman,Bold" w:hAnsi="Times New Roman" w:cs="Times New Roman"/>
          <w:bCs/>
          <w:lang w:val="el-GR"/>
        </w:rPr>
        <w:t>σε θερμοκρασία μικρότερη των 25º</w:t>
      </w:r>
      <w:r w:rsidR="00B1405A" w:rsidRPr="00552299">
        <w:rPr>
          <w:rFonts w:ascii="Times New Roman" w:eastAsia="TimesNewRoman,Bold" w:hAnsi="Times New Roman" w:cs="Times New Roman"/>
          <w:bCs/>
        </w:rPr>
        <w:t>C</w:t>
      </w:r>
      <w:r w:rsidR="00B53E1D" w:rsidRPr="00552299">
        <w:rPr>
          <w:rFonts w:ascii="Times New Roman" w:eastAsia="TimesNewRoman,Bold" w:hAnsi="Times New Roman" w:cs="Times New Roman"/>
          <w:bCs/>
          <w:lang w:val="el-GR"/>
        </w:rPr>
        <w:t>.</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6.4</w:t>
      </w:r>
      <w:r w:rsidR="009B31E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Ιδιαίτερες προφυλάξεις κατά τη φύλαξη του προϊόντος  </w:t>
      </w:r>
    </w:p>
    <w:p w:rsidR="00552299" w:rsidRPr="00B1405A" w:rsidRDefault="00552299" w:rsidP="0082050A">
      <w:pPr>
        <w:autoSpaceDE w:val="0"/>
        <w:autoSpaceDN w:val="0"/>
        <w:adjustRightInd w:val="0"/>
        <w:ind w:left="142"/>
        <w:rPr>
          <w:rFonts w:ascii="Times New Roman" w:eastAsia="TimesNewRoman,Bold" w:hAnsi="Times New Roman" w:cs="Times New Roman"/>
          <w:b/>
          <w:bCs/>
          <w:lang w:val="el-GR"/>
        </w:rPr>
      </w:pPr>
    </w:p>
    <w:p w:rsidR="00B1405A" w:rsidRDefault="00427046" w:rsidP="0082050A">
      <w:pPr>
        <w:autoSpaceDE w:val="0"/>
        <w:autoSpaceDN w:val="0"/>
        <w:adjustRightInd w:val="0"/>
        <w:ind w:left="142"/>
        <w:rPr>
          <w:rFonts w:ascii="Times New Roman" w:eastAsia="TimesNewRoman,Bold" w:hAnsi="Times New Roman" w:cs="Times New Roman"/>
          <w:bCs/>
          <w:lang w:val="el-GR"/>
        </w:rPr>
      </w:pPr>
      <w:r w:rsidRPr="006679D9">
        <w:rPr>
          <w:rFonts w:ascii="Times New Roman" w:eastAsia="TimesNewRoman,Bold" w:hAnsi="Times New Roman" w:cs="Times New Roman"/>
          <w:bCs/>
          <w:lang w:val="el-GR"/>
        </w:rPr>
        <w:t>Φυλάσσετ</w:t>
      </w:r>
      <w:r>
        <w:rPr>
          <w:rFonts w:ascii="Times New Roman" w:eastAsia="TimesNewRoman,Bold" w:hAnsi="Times New Roman" w:cs="Times New Roman"/>
          <w:bCs/>
          <w:lang w:val="el-GR"/>
        </w:rPr>
        <w:t>αι</w:t>
      </w:r>
      <w:r w:rsidRPr="00B1405A">
        <w:rPr>
          <w:rFonts w:ascii="Times New Roman" w:eastAsia="TimesNewRoman,Bold" w:hAnsi="Times New Roman" w:cs="Times New Roman"/>
          <w:bCs/>
          <w:lang w:val="el-GR"/>
        </w:rPr>
        <w:t xml:space="preserve"> </w:t>
      </w:r>
      <w:r w:rsidR="00B1405A" w:rsidRPr="00B1405A">
        <w:rPr>
          <w:rFonts w:ascii="Times New Roman" w:eastAsia="TimesNewRoman,Bold" w:hAnsi="Times New Roman" w:cs="Times New Roman"/>
          <w:bCs/>
          <w:lang w:val="el-GR"/>
        </w:rPr>
        <w:t xml:space="preserve">στην αρχική συσκευασία, για να προστατεύεται από την υγρασία. Διατηρείτε τη φιάλη καλά κλεισμένη.  </w:t>
      </w:r>
    </w:p>
    <w:p w:rsidR="00C54B2C" w:rsidRPr="00B1405A" w:rsidRDefault="00C54B2C" w:rsidP="0082050A">
      <w:pPr>
        <w:autoSpaceDE w:val="0"/>
        <w:autoSpaceDN w:val="0"/>
        <w:adjustRightInd w:val="0"/>
        <w:ind w:left="142"/>
        <w:rPr>
          <w:rFonts w:ascii="Times New Roman" w:eastAsia="TimesNewRoman,Bold" w:hAnsi="Times New Roman" w:cs="Times New Roman"/>
          <w:bCs/>
          <w:lang w:val="el-GR"/>
        </w:rPr>
      </w:pPr>
    </w:p>
    <w:p w:rsid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6.5</w:t>
      </w:r>
      <w:r w:rsidR="009B31E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Φύση και συστατικά του περιέκτη  </w:t>
      </w:r>
    </w:p>
    <w:p w:rsidR="00552299" w:rsidRPr="00B1405A" w:rsidRDefault="00552299" w:rsidP="0082050A">
      <w:pPr>
        <w:autoSpaceDE w:val="0"/>
        <w:autoSpaceDN w:val="0"/>
        <w:adjustRightInd w:val="0"/>
        <w:ind w:left="142"/>
        <w:rPr>
          <w:rFonts w:ascii="Times New Roman" w:eastAsia="TimesNewRoman,Bold" w:hAnsi="Times New Roman" w:cs="Times New Roman"/>
          <w:b/>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Φιάλη από πολυαιθυλένιο υψηλής πυκνότητας (</w:t>
      </w:r>
      <w:r w:rsidRPr="00B32AC5">
        <w:rPr>
          <w:rFonts w:ascii="Times New Roman" w:eastAsia="TimesNewRoman,Bold" w:hAnsi="Times New Roman" w:cs="Times New Roman"/>
          <w:bCs/>
        </w:rPr>
        <w:t>HDPE</w:t>
      </w:r>
      <w:r w:rsidRPr="00B1405A">
        <w:rPr>
          <w:rFonts w:ascii="Times New Roman" w:eastAsia="TimesNewRoman,Bold" w:hAnsi="Times New Roman" w:cs="Times New Roman"/>
          <w:bCs/>
          <w:lang w:val="el-GR"/>
        </w:rPr>
        <w:t xml:space="preserve">), με ειδικό πώμα ασφαλείας για παιδιά φτιαγμένο από πολυπροπυλένιο, που περιέχει 30 επικαλυμμένα με </w:t>
      </w:r>
      <w:r w:rsidRPr="00552299">
        <w:rPr>
          <w:rFonts w:ascii="Times New Roman" w:eastAsia="TimesNewRoman,Bold" w:hAnsi="Times New Roman" w:cs="Times New Roman"/>
          <w:bCs/>
          <w:lang w:val="el-GR"/>
        </w:rPr>
        <w:t>λεπτό υμένιο δισκία και δοχείο</w:t>
      </w:r>
      <w:r w:rsidR="00552299">
        <w:rPr>
          <w:rFonts w:ascii="Times New Roman" w:eastAsia="TimesNewRoman,Bold" w:hAnsi="Times New Roman" w:cs="Times New Roman"/>
          <w:bCs/>
          <w:lang w:val="el-GR"/>
        </w:rPr>
        <w:t xml:space="preserve"> από </w:t>
      </w:r>
      <w:r w:rsidR="00552299">
        <w:rPr>
          <w:rFonts w:ascii="Times New Roman" w:eastAsia="TimesNewRoman,Bold" w:hAnsi="Times New Roman" w:cs="Times New Roman"/>
          <w:bCs/>
        </w:rPr>
        <w:t>HDPE</w:t>
      </w:r>
      <w:r w:rsidRPr="00552299">
        <w:rPr>
          <w:rFonts w:ascii="Times New Roman" w:eastAsia="TimesNewRoman,Bold" w:hAnsi="Times New Roman" w:cs="Times New Roman"/>
          <w:bCs/>
          <w:lang w:val="el-GR"/>
        </w:rPr>
        <w:t xml:space="preserve"> </w:t>
      </w:r>
      <w:r w:rsidR="00C91EF0">
        <w:rPr>
          <w:rFonts w:ascii="Times New Roman" w:eastAsia="TimesNewRoman,Bold" w:hAnsi="Times New Roman" w:cs="Times New Roman"/>
          <w:bCs/>
          <w:lang w:val="el-GR"/>
        </w:rPr>
        <w:t xml:space="preserve">που περιέχει </w:t>
      </w:r>
      <w:r w:rsidRPr="00552299">
        <w:rPr>
          <w:rFonts w:ascii="Times New Roman" w:eastAsia="TimesNewRoman,Bold" w:hAnsi="Times New Roman" w:cs="Times New Roman"/>
          <w:bCs/>
          <w:lang w:val="el-GR"/>
        </w:rPr>
        <w:t>αποξηραντική γέλη πυριτικού οξέος ελεύθερο εντός της φιάλης.</w:t>
      </w:r>
      <w:r w:rsidRPr="00B1405A">
        <w:rPr>
          <w:rFonts w:ascii="Times New Roman" w:eastAsia="TimesNewRoman,Bold" w:hAnsi="Times New Roman" w:cs="Times New Roman"/>
          <w:bCs/>
          <w:lang w:val="el-GR"/>
        </w:rPr>
        <w:t xml:space="preserve">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2E3BD7">
        <w:rPr>
          <w:rFonts w:ascii="Times New Roman" w:eastAsia="TimesNewRoman,Bold" w:hAnsi="Times New Roman" w:cs="Times New Roman"/>
          <w:bCs/>
          <w:lang w:val="el-GR"/>
        </w:rPr>
        <w:t>Κουτιά που περιέχουν 30</w:t>
      </w:r>
      <w:r w:rsidR="00C91EF0" w:rsidRPr="002E3BD7">
        <w:rPr>
          <w:rFonts w:ascii="Times New Roman" w:eastAsia="TimesNewRoman,Bold" w:hAnsi="Times New Roman" w:cs="Times New Roman"/>
          <w:bCs/>
          <w:lang w:val="el-GR"/>
        </w:rPr>
        <w:t xml:space="preserve"> </w:t>
      </w:r>
      <w:r w:rsidRPr="002E3BD7">
        <w:rPr>
          <w:rFonts w:ascii="Times New Roman" w:eastAsia="TimesNewRoman,Bold" w:hAnsi="Times New Roman" w:cs="Times New Roman"/>
          <w:bCs/>
          <w:lang w:val="el-GR"/>
        </w:rPr>
        <w:t xml:space="preserve">(1 </w:t>
      </w:r>
      <w:r w:rsidRPr="002E3BD7">
        <w:rPr>
          <w:rFonts w:ascii="Times New Roman" w:eastAsia="TimesNewRoman,Bold" w:hAnsi="Times New Roman" w:cs="Times New Roman"/>
          <w:bCs/>
        </w:rPr>
        <w:t>x</w:t>
      </w:r>
      <w:r w:rsidRPr="002E3BD7">
        <w:rPr>
          <w:rFonts w:ascii="Times New Roman" w:eastAsia="TimesNewRoman,Bold" w:hAnsi="Times New Roman" w:cs="Times New Roman"/>
          <w:bCs/>
          <w:lang w:val="el-GR"/>
        </w:rPr>
        <w:t xml:space="preserve"> 30) επικαλυμμένα με λεπτό υμένιο δισκία και 90 (3 </w:t>
      </w:r>
      <w:r w:rsidRPr="002E3BD7">
        <w:rPr>
          <w:rFonts w:ascii="Times New Roman" w:eastAsia="TimesNewRoman,Bold" w:hAnsi="Times New Roman" w:cs="Times New Roman"/>
          <w:bCs/>
        </w:rPr>
        <w:t>x</w:t>
      </w:r>
      <w:r w:rsidRPr="002E3BD7">
        <w:rPr>
          <w:rFonts w:ascii="Times New Roman" w:eastAsia="TimesNewRoman,Bold" w:hAnsi="Times New Roman" w:cs="Times New Roman"/>
          <w:bCs/>
          <w:lang w:val="el-GR"/>
        </w:rPr>
        <w:t xml:space="preserve"> 30) επικαλυμμένα με λεπτό υμένιο δισκία.</w:t>
      </w:r>
      <w:r w:rsidRPr="00B1405A">
        <w:rPr>
          <w:rFonts w:ascii="Times New Roman" w:eastAsia="TimesNewRoman,Bold" w:hAnsi="Times New Roman" w:cs="Times New Roman"/>
          <w:bCs/>
          <w:lang w:val="el-GR"/>
        </w:rPr>
        <w:t xml:space="preserve">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Μπορεί να μην κυκλοφορούν όλες οι συσκευασίες.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6.6</w:t>
      </w:r>
      <w:r w:rsidR="009B31E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Ιδιαίτερες προφυλάξεις απόρριψης  </w:t>
      </w: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B1405A" w:rsidRDefault="00B1405A" w:rsidP="0082050A">
      <w:pPr>
        <w:autoSpaceDE w:val="0"/>
        <w:autoSpaceDN w:val="0"/>
        <w:adjustRightInd w:val="0"/>
        <w:ind w:left="142"/>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   </w:t>
      </w:r>
    </w:p>
    <w:p w:rsidR="009B31E8" w:rsidRPr="00B1405A" w:rsidRDefault="009B31E8"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 xml:space="preserve">7. </w:t>
      </w:r>
      <w:r w:rsidR="008E3E14" w:rsidRPr="004155A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ΚΑΤΟΧΟΣ ΤΗΣ ΑΔΕΙΑΣ ΚΥΚΛΟΦΟΡΙΑΣ  </w:t>
      </w:r>
    </w:p>
    <w:p w:rsidR="00B1405A" w:rsidRPr="00B1405A" w:rsidRDefault="00B1405A" w:rsidP="0082050A">
      <w:pPr>
        <w:autoSpaceDE w:val="0"/>
        <w:autoSpaceDN w:val="0"/>
        <w:adjustRightInd w:val="0"/>
        <w:ind w:left="142"/>
        <w:rPr>
          <w:rFonts w:ascii="Times New Roman" w:eastAsia="TimesNewRoman,Bold" w:hAnsi="Times New Roman" w:cs="Times New Roman"/>
          <w:bCs/>
          <w:lang w:val="el-GR"/>
        </w:rPr>
      </w:pPr>
    </w:p>
    <w:p w:rsidR="00387133" w:rsidRPr="00584613" w:rsidRDefault="00387133" w:rsidP="0082050A">
      <w:pPr>
        <w:widowControl/>
        <w:ind w:left="142"/>
        <w:rPr>
          <w:rFonts w:ascii="Times New Roman" w:eastAsia="Times New Roman" w:hAnsi="Times New Roman"/>
          <w:bCs/>
          <w:lang w:val="el-GR"/>
        </w:rPr>
      </w:pPr>
      <w:r w:rsidRPr="00584613">
        <w:rPr>
          <w:rFonts w:ascii="Times New Roman" w:eastAsia="Times New Roman" w:hAnsi="Times New Roman"/>
          <w:bCs/>
          <w:lang w:val="el-GR"/>
        </w:rPr>
        <w:t>ELPEN Α</w:t>
      </w:r>
      <w:r>
        <w:rPr>
          <w:rFonts w:ascii="Times New Roman" w:eastAsia="Times New Roman" w:hAnsi="Times New Roman"/>
          <w:bCs/>
          <w:lang w:val="el-GR"/>
        </w:rPr>
        <w:t>.</w:t>
      </w:r>
      <w:r w:rsidRPr="00584613">
        <w:rPr>
          <w:rFonts w:ascii="Times New Roman" w:eastAsia="Times New Roman" w:hAnsi="Times New Roman"/>
          <w:bCs/>
          <w:lang w:val="el-GR"/>
        </w:rPr>
        <w:t>Ε</w:t>
      </w:r>
      <w:r>
        <w:rPr>
          <w:rFonts w:ascii="Times New Roman" w:eastAsia="Times New Roman" w:hAnsi="Times New Roman"/>
          <w:bCs/>
          <w:lang w:val="el-GR"/>
        </w:rPr>
        <w:t>.</w:t>
      </w:r>
      <w:r w:rsidRPr="00584613">
        <w:rPr>
          <w:rFonts w:ascii="Times New Roman" w:eastAsia="Times New Roman" w:hAnsi="Times New Roman"/>
          <w:bCs/>
          <w:lang w:val="el-GR"/>
        </w:rPr>
        <w:t xml:space="preserve"> ΦΑΡΜΑΚΕΥΤΙΚΗ ΒΙΟΜΗΧΑΝΙΑ</w:t>
      </w:r>
    </w:p>
    <w:p w:rsidR="00387133" w:rsidRPr="00584613" w:rsidRDefault="00387133" w:rsidP="0082050A">
      <w:pPr>
        <w:widowControl/>
        <w:ind w:left="142"/>
        <w:rPr>
          <w:rFonts w:ascii="Times New Roman" w:eastAsia="Times New Roman" w:hAnsi="Times New Roman"/>
          <w:bCs/>
          <w:lang w:val="el-GR"/>
        </w:rPr>
      </w:pPr>
      <w:r w:rsidRPr="00584613">
        <w:rPr>
          <w:rFonts w:ascii="Times New Roman" w:eastAsia="Times New Roman" w:hAnsi="Times New Roman"/>
          <w:bCs/>
          <w:lang w:val="el-GR"/>
        </w:rPr>
        <w:t>Λεωφόρος Μαραθώνος 95, 19009  Πικέρμι Αττικής</w:t>
      </w:r>
      <w:r w:rsidR="00E21956">
        <w:rPr>
          <w:rFonts w:ascii="Times New Roman" w:eastAsia="Times New Roman" w:hAnsi="Times New Roman"/>
          <w:bCs/>
          <w:lang w:val="el-GR"/>
        </w:rPr>
        <w:t>, Ελλάδα</w:t>
      </w:r>
    </w:p>
    <w:p w:rsidR="00B1405A" w:rsidRDefault="00B1405A" w:rsidP="0082050A">
      <w:pPr>
        <w:autoSpaceDE w:val="0"/>
        <w:autoSpaceDN w:val="0"/>
        <w:adjustRightInd w:val="0"/>
        <w:ind w:left="142"/>
        <w:rPr>
          <w:rFonts w:ascii="Times New Roman" w:eastAsia="TimesNewRoman,Bold" w:hAnsi="Times New Roman" w:cs="Times New Roman"/>
          <w:bCs/>
          <w:lang w:val="el-GR"/>
        </w:rPr>
      </w:pPr>
    </w:p>
    <w:p w:rsidR="009B31E8" w:rsidRPr="00B1405A" w:rsidRDefault="009B31E8"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 xml:space="preserve">8. </w:t>
      </w:r>
      <w:r w:rsidR="008E3E14" w:rsidRPr="004155A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ΑΡΙΘΜΟΣ(ΟΙ) ΑΔΕΙΑΣ ΚΥΚΛΟΦΟΡΙΑΣ  </w:t>
      </w:r>
    </w:p>
    <w:p w:rsidR="00B1405A" w:rsidRDefault="00B1405A" w:rsidP="0082050A">
      <w:pPr>
        <w:autoSpaceDE w:val="0"/>
        <w:autoSpaceDN w:val="0"/>
        <w:adjustRightInd w:val="0"/>
        <w:ind w:left="142"/>
        <w:rPr>
          <w:rFonts w:ascii="Times New Roman" w:eastAsia="TimesNewRoman,Bold" w:hAnsi="Times New Roman" w:cs="Times New Roman"/>
          <w:bCs/>
          <w:lang w:val="el-GR"/>
        </w:rPr>
      </w:pPr>
    </w:p>
    <w:p w:rsidR="009B31E8" w:rsidRPr="00B1405A" w:rsidRDefault="009B31E8" w:rsidP="0082050A">
      <w:pPr>
        <w:autoSpaceDE w:val="0"/>
        <w:autoSpaceDN w:val="0"/>
        <w:adjustRightInd w:val="0"/>
        <w:ind w:left="142"/>
        <w:rPr>
          <w:rFonts w:ascii="Times New Roman" w:eastAsia="TimesNewRoman,Bold" w:hAnsi="Times New Roman" w:cs="Times New Roman"/>
          <w:bCs/>
          <w:lang w:val="el-GR"/>
        </w:rPr>
      </w:pPr>
    </w:p>
    <w:p w:rsidR="00B1405A" w:rsidRPr="00B1405A" w:rsidRDefault="00B1405A" w:rsidP="0082050A">
      <w:pPr>
        <w:autoSpaceDE w:val="0"/>
        <w:autoSpaceDN w:val="0"/>
        <w:adjustRightInd w:val="0"/>
        <w:ind w:left="142"/>
        <w:rPr>
          <w:rFonts w:ascii="Times New Roman" w:eastAsia="TimesNewRoman,Bold" w:hAnsi="Times New Roman" w:cs="Times New Roman"/>
          <w:b/>
          <w:bCs/>
          <w:lang w:val="el-GR"/>
        </w:rPr>
      </w:pPr>
      <w:r w:rsidRPr="00B1405A">
        <w:rPr>
          <w:rFonts w:ascii="Times New Roman" w:eastAsia="TimesNewRoman,Bold" w:hAnsi="Times New Roman" w:cs="Times New Roman"/>
          <w:b/>
          <w:bCs/>
          <w:lang w:val="el-GR"/>
        </w:rPr>
        <w:t xml:space="preserve">9. </w:t>
      </w:r>
      <w:r w:rsidR="008E3E14" w:rsidRPr="004155A8">
        <w:rPr>
          <w:rFonts w:ascii="Times New Roman" w:eastAsia="TimesNewRoman,Bold" w:hAnsi="Times New Roman" w:cs="Times New Roman"/>
          <w:b/>
          <w:bCs/>
          <w:lang w:val="el-GR"/>
        </w:rPr>
        <w:tab/>
      </w:r>
      <w:r w:rsidRPr="00B1405A">
        <w:rPr>
          <w:rFonts w:ascii="Times New Roman" w:eastAsia="TimesNewRoman,Bold" w:hAnsi="Times New Roman" w:cs="Times New Roman"/>
          <w:b/>
          <w:bCs/>
          <w:lang w:val="el-GR"/>
        </w:rPr>
        <w:t xml:space="preserve">ΗΜΕΡΟΜΗΝΙΑ ΠΡΩΤΗΣ ΕΓΚΡΙΣΗΣ/ΑΝΑΝΕΩΣΗΣ ΤΗΣ ΑΔΕΙΑΣ  </w:t>
      </w:r>
    </w:p>
    <w:p w:rsidR="00B1405A" w:rsidRDefault="00B1405A" w:rsidP="0082050A">
      <w:pPr>
        <w:autoSpaceDE w:val="0"/>
        <w:autoSpaceDN w:val="0"/>
        <w:adjustRightInd w:val="0"/>
        <w:ind w:left="142"/>
        <w:rPr>
          <w:rFonts w:ascii="Times New Roman" w:eastAsia="TimesNewRoman,Bold" w:hAnsi="Times New Roman" w:cs="Times New Roman"/>
          <w:b/>
          <w:bCs/>
          <w:lang w:val="el-GR"/>
        </w:rPr>
      </w:pPr>
    </w:p>
    <w:p w:rsidR="009B31E8" w:rsidRPr="00B1405A" w:rsidRDefault="009B31E8" w:rsidP="0082050A">
      <w:pPr>
        <w:autoSpaceDE w:val="0"/>
        <w:autoSpaceDN w:val="0"/>
        <w:adjustRightInd w:val="0"/>
        <w:ind w:left="142"/>
        <w:rPr>
          <w:rFonts w:ascii="Times New Roman" w:eastAsia="TimesNewRoman,Bold" w:hAnsi="Times New Roman" w:cs="Times New Roman"/>
          <w:b/>
          <w:bCs/>
          <w:lang w:val="el-GR"/>
        </w:rPr>
      </w:pPr>
    </w:p>
    <w:p w:rsidR="00DE1133" w:rsidRPr="00C00C24" w:rsidRDefault="00B1405A" w:rsidP="00771FAE">
      <w:pPr>
        <w:autoSpaceDE w:val="0"/>
        <w:autoSpaceDN w:val="0"/>
        <w:adjustRightInd w:val="0"/>
        <w:ind w:left="142"/>
        <w:rPr>
          <w:lang w:val="el-GR"/>
        </w:rPr>
      </w:pPr>
      <w:r w:rsidRPr="004155A8">
        <w:rPr>
          <w:rFonts w:ascii="Times New Roman" w:eastAsia="TimesNewRoman,Bold" w:hAnsi="Times New Roman" w:cs="Times New Roman"/>
          <w:b/>
          <w:bCs/>
          <w:lang w:val="el-GR"/>
        </w:rPr>
        <w:t xml:space="preserve">10. </w:t>
      </w:r>
      <w:r w:rsidR="008E3E14">
        <w:rPr>
          <w:rFonts w:ascii="Times New Roman" w:eastAsia="TimesNewRoman,Bold" w:hAnsi="Times New Roman" w:cs="Times New Roman"/>
          <w:b/>
          <w:bCs/>
        </w:rPr>
        <w:tab/>
      </w:r>
      <w:r w:rsidRPr="004155A8">
        <w:rPr>
          <w:rFonts w:ascii="Times New Roman" w:eastAsia="TimesNewRoman,Bold" w:hAnsi="Times New Roman" w:cs="Times New Roman"/>
          <w:b/>
          <w:bCs/>
          <w:lang w:val="el-GR"/>
        </w:rPr>
        <w:t xml:space="preserve">ΗΜΕΡΟΜΗΝΙΑ ΑΝΑΘΕΩΡΗΣΗΣ ΤΟΥ ΚΕΙΜΕΝΟΥ    </w:t>
      </w:r>
    </w:p>
    <w:p w:rsidR="00DE1133" w:rsidRPr="00C00C24" w:rsidRDefault="00DE1133" w:rsidP="0082050A">
      <w:pPr>
        <w:pStyle w:val="a3"/>
        <w:spacing w:line="244" w:lineRule="auto"/>
        <w:ind w:left="142" w:right="-1"/>
        <w:rPr>
          <w:lang w:val="el-GR"/>
        </w:rPr>
      </w:pPr>
    </w:p>
    <w:p w:rsidR="00DE1133" w:rsidRPr="00C00C24" w:rsidRDefault="00DE1133" w:rsidP="0082050A">
      <w:pPr>
        <w:pStyle w:val="a3"/>
        <w:spacing w:line="244" w:lineRule="auto"/>
        <w:ind w:left="142" w:right="-1"/>
        <w:rPr>
          <w:lang w:val="el-GR"/>
        </w:rPr>
      </w:pPr>
    </w:p>
    <w:p w:rsidR="00DE1133" w:rsidRPr="00C00C24" w:rsidRDefault="00DE1133" w:rsidP="0082050A">
      <w:pPr>
        <w:pStyle w:val="a3"/>
        <w:spacing w:line="244" w:lineRule="auto"/>
        <w:ind w:left="142" w:right="-1"/>
        <w:rPr>
          <w:lang w:val="el-GR"/>
        </w:rPr>
      </w:pPr>
    </w:p>
    <w:p w:rsidR="00645378" w:rsidRPr="00EB273D" w:rsidRDefault="00645378">
      <w:pPr>
        <w:rPr>
          <w:rFonts w:ascii="Times New Roman" w:eastAsia="Times New Roman" w:hAnsi="Times New Roman" w:cs="Times New Roman"/>
          <w:sz w:val="20"/>
          <w:szCs w:val="20"/>
        </w:rPr>
      </w:pPr>
    </w:p>
    <w:sectPr w:rsidR="00645378" w:rsidRPr="00EB273D" w:rsidSect="00EB273D">
      <w:pgSz w:w="11910" w:h="16850"/>
      <w:pgMar w:top="1600" w:right="1680" w:bottom="900" w:left="1680" w:header="0" w:footer="7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00" w:rsidRDefault="00E02000">
      <w:r>
        <w:separator/>
      </w:r>
    </w:p>
  </w:endnote>
  <w:endnote w:type="continuationSeparator" w:id="0">
    <w:p w:rsidR="00E02000" w:rsidRDefault="00E0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3C" w:rsidRDefault="00ED073C">
    <w:pPr>
      <w:spacing w:line="14" w:lineRule="auto"/>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1B918C7A" wp14:editId="39C6D792">
              <wp:simplePos x="0" y="0"/>
              <wp:positionH relativeFrom="page">
                <wp:posOffset>3667125</wp:posOffset>
              </wp:positionH>
              <wp:positionV relativeFrom="page">
                <wp:posOffset>10107930</wp:posOffset>
              </wp:positionV>
              <wp:extent cx="163830" cy="1276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73C" w:rsidRDefault="00ED073C">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D81A35">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75pt;margin-top:795.9pt;width:12.9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qgIAAKgFAAAOAAAAZHJzL2Uyb0RvYy54bWysVG1vmzAQ/j5p/8Hyd8pLCAFUUrUhTJO6&#10;F6ndD3DABGtgM9sJ6ab9951NSJNWk6ZtfLDO9vm5e+4e7vrm0LVoT6VigmfYv/IworwUFePbDH95&#10;LJwYI6UJr0grOM3wE1X4Zvn2zfXQpzQQjWgrKhGAcJUOfYYbrfvUdVXZ0I6oK9FTDpe1kB3RsJVb&#10;t5JkAPSudQPPi9xByKqXoqRKwWk+XuKlxa9rWupPda2oRm2GITdtV2nXjVnd5TVJt5L0DSuPaZC/&#10;yKIjjEPQE1RONEE7yV5BdayUQolaX5Wic0Vds5JaDsDG916weWhITy0XKI7qT2VS/w+2/Lj/LBGr&#10;oHcYcdJBix7pQaM7cUC+qc7QqxScHnpw0wc4Np6GqervRflVIS5WDeFbeiulGBpKKsjOvnTPno44&#10;yoBshg+igjBkp4UFOtSyM4BQDATo0KWnU2dMKqUJGc3iGdyUcOUHi2g2N7m5JJ0e91Lpd1R0yBgZ&#10;ltB4C07290qPrpOLicVFwdrWNr/lFweAOZ5AaHhq7kwStpc/Ei9Zx+s4dMIgWjuhl+fObbEKnajw&#10;F/N8lq9Wuf/TxPXDtGFVRbkJM+nKD/+sb0eFj4o4KUuJllUGzqSk5HazaiXaE9B1Yb9jQc7c3Ms0&#10;bL2AywtKfhB6d0HiFFG8cMIinDvJwosdz0/uksgLkzAvLindM07/nRIaMpzMg/mopd9y8+z3mhtJ&#10;O6ZhcrSsy3B8ciKpUeCaV7a1mrB2tM9KYdJ/LgW0e2q01auR6ChWfdgcAMWIeCOqJ1CuFKAsECGM&#10;OzAaIb9jNMDoyLD6tiOSYtS+56B+M2cmQ07GZjIIL+FphjVGo7nS4zza9ZJtG0Ae/y8ubuEPqZlV&#10;73MWkLrZwDiwJI6jy8yb8731eh6wy18AAAD//wMAUEsDBBQABgAIAAAAIQDno2El4QAAAA0BAAAP&#10;AAAAZHJzL2Rvd25yZXYueG1sTI/BTsMwEETvSPyDtUjcqB2qpCTEqSoEJyREGg4cndhNrMbrELtt&#10;+HuWExx35ml2ptwubmRnMwfrUUKyEsAMdl5b7CV8NC93D8BCVKjV6NFI+DYBttX1VakK7S9Ym/M+&#10;9oxCMBRKwhDjVHAeusE4FVZ+Mkjewc9ORTrnnutZXSjcjfxeiIw7ZZE+DGoyT4PpjvuTk7D7xPrZ&#10;fr217/Whtk2TC3zNjlLe3iy7R2DRLPEPht/6VB0q6tT6E+rARgnpZpMSSkaaJzSCkEys18BakrIk&#10;yYFXJf+/ovoBAAD//wMAUEsBAi0AFAAGAAgAAAAhALaDOJL+AAAA4QEAABMAAAAAAAAAAAAAAAAA&#10;AAAAAFtDb250ZW50X1R5cGVzXS54bWxQSwECLQAUAAYACAAAACEAOP0h/9YAAACUAQAACwAAAAAA&#10;AAAAAAAAAAAvAQAAX3JlbHMvLnJlbHNQSwECLQAUAAYACAAAACEAg6f0PqoCAACoBQAADgAAAAAA&#10;AAAAAAAAAAAuAgAAZHJzL2Uyb0RvYy54bWxQSwECLQAUAAYACAAAACEA56NhJeEAAAANAQAADwAA&#10;AAAAAAAAAAAAAAAEBQAAZHJzL2Rvd25yZXYueG1sUEsFBgAAAAAEAAQA8wAAABIGAAAAAA==&#10;" filled="f" stroked="f">
              <v:textbox inset="0,0,0,0">
                <w:txbxContent>
                  <w:p w:rsidR="00ED073C" w:rsidRDefault="00ED073C">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D81A35">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00" w:rsidRDefault="00E02000">
      <w:r>
        <w:separator/>
      </w:r>
    </w:p>
  </w:footnote>
  <w:footnote w:type="continuationSeparator" w:id="0">
    <w:p w:rsidR="00E02000" w:rsidRDefault="00E0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F8E"/>
    <w:multiLevelType w:val="hybridMultilevel"/>
    <w:tmpl w:val="771CEDCC"/>
    <w:lvl w:ilvl="0" w:tplc="639CDD2E">
      <w:start w:val="1"/>
      <w:numFmt w:val="bullet"/>
      <w:lvlText w:val=""/>
      <w:lvlJc w:val="left"/>
      <w:pPr>
        <w:ind w:left="684" w:hanging="567"/>
      </w:pPr>
      <w:rPr>
        <w:rFonts w:ascii="Symbol" w:eastAsia="Symbol" w:hAnsi="Symbol" w:hint="default"/>
        <w:w w:val="100"/>
        <w:sz w:val="22"/>
        <w:szCs w:val="22"/>
      </w:rPr>
    </w:lvl>
    <w:lvl w:ilvl="1" w:tplc="AFAE33C0">
      <w:start w:val="1"/>
      <w:numFmt w:val="bullet"/>
      <w:lvlText w:val=""/>
      <w:lvlJc w:val="left"/>
      <w:pPr>
        <w:ind w:left="1255" w:hanging="567"/>
      </w:pPr>
      <w:rPr>
        <w:rFonts w:ascii="Symbol" w:eastAsia="Symbol" w:hAnsi="Symbol" w:hint="default"/>
        <w:w w:val="100"/>
        <w:sz w:val="22"/>
        <w:szCs w:val="22"/>
      </w:rPr>
    </w:lvl>
    <w:lvl w:ilvl="2" w:tplc="A006B852">
      <w:start w:val="1"/>
      <w:numFmt w:val="bullet"/>
      <w:lvlText w:val="•"/>
      <w:lvlJc w:val="left"/>
      <w:pPr>
        <w:ind w:left="2147" w:hanging="567"/>
      </w:pPr>
      <w:rPr>
        <w:rFonts w:hint="default"/>
      </w:rPr>
    </w:lvl>
    <w:lvl w:ilvl="3" w:tplc="D12C0854">
      <w:start w:val="1"/>
      <w:numFmt w:val="bullet"/>
      <w:lvlText w:val="•"/>
      <w:lvlJc w:val="left"/>
      <w:pPr>
        <w:ind w:left="3034" w:hanging="567"/>
      </w:pPr>
      <w:rPr>
        <w:rFonts w:hint="default"/>
      </w:rPr>
    </w:lvl>
    <w:lvl w:ilvl="4" w:tplc="F9920A6A">
      <w:start w:val="1"/>
      <w:numFmt w:val="bullet"/>
      <w:lvlText w:val="•"/>
      <w:lvlJc w:val="left"/>
      <w:pPr>
        <w:ind w:left="3922" w:hanging="567"/>
      </w:pPr>
      <w:rPr>
        <w:rFonts w:hint="default"/>
      </w:rPr>
    </w:lvl>
    <w:lvl w:ilvl="5" w:tplc="CEC029E6">
      <w:start w:val="1"/>
      <w:numFmt w:val="bullet"/>
      <w:lvlText w:val="•"/>
      <w:lvlJc w:val="left"/>
      <w:pPr>
        <w:ind w:left="4809" w:hanging="567"/>
      </w:pPr>
      <w:rPr>
        <w:rFonts w:hint="default"/>
      </w:rPr>
    </w:lvl>
    <w:lvl w:ilvl="6" w:tplc="CD6EAD5A">
      <w:start w:val="1"/>
      <w:numFmt w:val="bullet"/>
      <w:lvlText w:val="•"/>
      <w:lvlJc w:val="left"/>
      <w:pPr>
        <w:ind w:left="5696" w:hanging="567"/>
      </w:pPr>
      <w:rPr>
        <w:rFonts w:hint="default"/>
      </w:rPr>
    </w:lvl>
    <w:lvl w:ilvl="7" w:tplc="00564E74">
      <w:start w:val="1"/>
      <w:numFmt w:val="bullet"/>
      <w:lvlText w:val="•"/>
      <w:lvlJc w:val="left"/>
      <w:pPr>
        <w:ind w:left="6584" w:hanging="567"/>
      </w:pPr>
      <w:rPr>
        <w:rFonts w:hint="default"/>
      </w:rPr>
    </w:lvl>
    <w:lvl w:ilvl="8" w:tplc="3AA64B26">
      <w:start w:val="1"/>
      <w:numFmt w:val="bullet"/>
      <w:lvlText w:val="•"/>
      <w:lvlJc w:val="left"/>
      <w:pPr>
        <w:ind w:left="7471" w:hanging="567"/>
      </w:pPr>
      <w:rPr>
        <w:rFonts w:hint="default"/>
      </w:rPr>
    </w:lvl>
  </w:abstractNum>
  <w:abstractNum w:abstractNumId="1">
    <w:nsid w:val="2C835002"/>
    <w:multiLevelType w:val="multilevel"/>
    <w:tmpl w:val="8D5EB7E8"/>
    <w:lvl w:ilvl="0">
      <w:start w:val="1"/>
      <w:numFmt w:val="decimal"/>
      <w:lvlText w:val="%1."/>
      <w:lvlJc w:val="left"/>
      <w:pPr>
        <w:ind w:left="684" w:hanging="567"/>
      </w:pPr>
      <w:rPr>
        <w:rFonts w:ascii="Times New Roman" w:eastAsia="Times New Roman" w:hAnsi="Times New Roman" w:hint="default"/>
        <w:b/>
        <w:bCs/>
        <w:w w:val="100"/>
        <w:sz w:val="22"/>
        <w:szCs w:val="22"/>
      </w:rPr>
    </w:lvl>
    <w:lvl w:ilvl="1">
      <w:start w:val="1"/>
      <w:numFmt w:val="decimal"/>
      <w:lvlText w:val="%1.%2"/>
      <w:lvlJc w:val="left"/>
      <w:pPr>
        <w:ind w:left="684" w:hanging="567"/>
      </w:pPr>
      <w:rPr>
        <w:rFonts w:ascii="Times New Roman" w:eastAsia="Times New Roman" w:hAnsi="Times New Roman" w:hint="default"/>
        <w:b/>
        <w:bCs/>
        <w:w w:val="100"/>
        <w:sz w:val="22"/>
        <w:szCs w:val="22"/>
      </w:rPr>
    </w:lvl>
    <w:lvl w:ilvl="2">
      <w:start w:val="1"/>
      <w:numFmt w:val="bullet"/>
      <w:lvlText w:val="•"/>
      <w:lvlJc w:val="left"/>
      <w:pPr>
        <w:ind w:left="2397" w:hanging="567"/>
      </w:pPr>
      <w:rPr>
        <w:rFonts w:hint="default"/>
      </w:rPr>
    </w:lvl>
    <w:lvl w:ilvl="3">
      <w:start w:val="1"/>
      <w:numFmt w:val="bullet"/>
      <w:lvlText w:val="•"/>
      <w:lvlJc w:val="left"/>
      <w:pPr>
        <w:ind w:left="3255" w:hanging="567"/>
      </w:pPr>
      <w:rPr>
        <w:rFonts w:hint="default"/>
      </w:rPr>
    </w:lvl>
    <w:lvl w:ilvl="4">
      <w:start w:val="1"/>
      <w:numFmt w:val="bullet"/>
      <w:lvlText w:val="•"/>
      <w:lvlJc w:val="left"/>
      <w:pPr>
        <w:ind w:left="4114" w:hanging="567"/>
      </w:pPr>
      <w:rPr>
        <w:rFonts w:hint="default"/>
      </w:rPr>
    </w:lvl>
    <w:lvl w:ilvl="5">
      <w:start w:val="1"/>
      <w:numFmt w:val="bullet"/>
      <w:lvlText w:val="•"/>
      <w:lvlJc w:val="left"/>
      <w:pPr>
        <w:ind w:left="4973" w:hanging="567"/>
      </w:pPr>
      <w:rPr>
        <w:rFonts w:hint="default"/>
      </w:rPr>
    </w:lvl>
    <w:lvl w:ilvl="6">
      <w:start w:val="1"/>
      <w:numFmt w:val="bullet"/>
      <w:lvlText w:val="•"/>
      <w:lvlJc w:val="left"/>
      <w:pPr>
        <w:ind w:left="5831" w:hanging="567"/>
      </w:pPr>
      <w:rPr>
        <w:rFonts w:hint="default"/>
      </w:rPr>
    </w:lvl>
    <w:lvl w:ilvl="7">
      <w:start w:val="1"/>
      <w:numFmt w:val="bullet"/>
      <w:lvlText w:val="•"/>
      <w:lvlJc w:val="left"/>
      <w:pPr>
        <w:ind w:left="6690" w:hanging="567"/>
      </w:pPr>
      <w:rPr>
        <w:rFonts w:hint="default"/>
      </w:rPr>
    </w:lvl>
    <w:lvl w:ilvl="8">
      <w:start w:val="1"/>
      <w:numFmt w:val="bullet"/>
      <w:lvlText w:val="•"/>
      <w:lvlJc w:val="left"/>
      <w:pPr>
        <w:ind w:left="7549" w:hanging="567"/>
      </w:pPr>
      <w:rPr>
        <w:rFonts w:hint="default"/>
      </w:rPr>
    </w:lvl>
  </w:abstractNum>
  <w:abstractNum w:abstractNumId="2">
    <w:nsid w:val="36383FA2"/>
    <w:multiLevelType w:val="hybridMultilevel"/>
    <w:tmpl w:val="F84C13C6"/>
    <w:lvl w:ilvl="0" w:tplc="04E07AAA">
      <w:start w:val="1"/>
      <w:numFmt w:val="decimal"/>
      <w:lvlText w:val="%1."/>
      <w:lvlJc w:val="left"/>
      <w:pPr>
        <w:ind w:left="684" w:hanging="567"/>
      </w:pPr>
      <w:rPr>
        <w:rFonts w:ascii="Times New Roman" w:eastAsia="Times New Roman" w:hAnsi="Times New Roman" w:hint="default"/>
        <w:w w:val="100"/>
        <w:sz w:val="22"/>
        <w:szCs w:val="22"/>
      </w:rPr>
    </w:lvl>
    <w:lvl w:ilvl="1" w:tplc="408EF57A">
      <w:start w:val="1"/>
      <w:numFmt w:val="bullet"/>
      <w:lvlText w:val="•"/>
      <w:lvlJc w:val="left"/>
      <w:pPr>
        <w:ind w:left="1542" w:hanging="567"/>
      </w:pPr>
      <w:rPr>
        <w:rFonts w:hint="default"/>
      </w:rPr>
    </w:lvl>
    <w:lvl w:ilvl="2" w:tplc="0C36EBEE">
      <w:start w:val="1"/>
      <w:numFmt w:val="bullet"/>
      <w:lvlText w:val="•"/>
      <w:lvlJc w:val="left"/>
      <w:pPr>
        <w:ind w:left="2405" w:hanging="567"/>
      </w:pPr>
      <w:rPr>
        <w:rFonts w:hint="default"/>
      </w:rPr>
    </w:lvl>
    <w:lvl w:ilvl="3" w:tplc="A61C02A8">
      <w:start w:val="1"/>
      <w:numFmt w:val="bullet"/>
      <w:lvlText w:val="•"/>
      <w:lvlJc w:val="left"/>
      <w:pPr>
        <w:ind w:left="3267" w:hanging="567"/>
      </w:pPr>
      <w:rPr>
        <w:rFonts w:hint="default"/>
      </w:rPr>
    </w:lvl>
    <w:lvl w:ilvl="4" w:tplc="4B8CAA74">
      <w:start w:val="1"/>
      <w:numFmt w:val="bullet"/>
      <w:lvlText w:val="•"/>
      <w:lvlJc w:val="left"/>
      <w:pPr>
        <w:ind w:left="4130" w:hanging="567"/>
      </w:pPr>
      <w:rPr>
        <w:rFonts w:hint="default"/>
      </w:rPr>
    </w:lvl>
    <w:lvl w:ilvl="5" w:tplc="A98CFD46">
      <w:start w:val="1"/>
      <w:numFmt w:val="bullet"/>
      <w:lvlText w:val="•"/>
      <w:lvlJc w:val="left"/>
      <w:pPr>
        <w:ind w:left="4993" w:hanging="567"/>
      </w:pPr>
      <w:rPr>
        <w:rFonts w:hint="default"/>
      </w:rPr>
    </w:lvl>
    <w:lvl w:ilvl="6" w:tplc="1AF45BCA">
      <w:start w:val="1"/>
      <w:numFmt w:val="bullet"/>
      <w:lvlText w:val="•"/>
      <w:lvlJc w:val="left"/>
      <w:pPr>
        <w:ind w:left="5855" w:hanging="567"/>
      </w:pPr>
      <w:rPr>
        <w:rFonts w:hint="default"/>
      </w:rPr>
    </w:lvl>
    <w:lvl w:ilvl="7" w:tplc="BBD21EE2">
      <w:start w:val="1"/>
      <w:numFmt w:val="bullet"/>
      <w:lvlText w:val="•"/>
      <w:lvlJc w:val="left"/>
      <w:pPr>
        <w:ind w:left="6718" w:hanging="567"/>
      </w:pPr>
      <w:rPr>
        <w:rFonts w:hint="default"/>
      </w:rPr>
    </w:lvl>
    <w:lvl w:ilvl="8" w:tplc="2D2C67D2">
      <w:start w:val="1"/>
      <w:numFmt w:val="bullet"/>
      <w:lvlText w:val="•"/>
      <w:lvlJc w:val="left"/>
      <w:pPr>
        <w:ind w:left="7581" w:hanging="567"/>
      </w:pPr>
      <w:rPr>
        <w:rFonts w:hint="default"/>
      </w:rPr>
    </w:lvl>
  </w:abstractNum>
  <w:abstractNum w:abstractNumId="3">
    <w:nsid w:val="385A04E7"/>
    <w:multiLevelType w:val="hybridMultilevel"/>
    <w:tmpl w:val="5EB8299A"/>
    <w:lvl w:ilvl="0" w:tplc="70F4DEDE">
      <w:start w:val="1"/>
      <w:numFmt w:val="bullet"/>
      <w:lvlText w:val="-"/>
      <w:lvlJc w:val="left"/>
      <w:pPr>
        <w:ind w:left="684" w:hanging="567"/>
      </w:pPr>
      <w:rPr>
        <w:rFonts w:ascii="Times New Roman" w:eastAsia="Times New Roman" w:hAnsi="Times New Roman" w:hint="default"/>
        <w:w w:val="100"/>
        <w:sz w:val="22"/>
        <w:szCs w:val="22"/>
      </w:rPr>
    </w:lvl>
    <w:lvl w:ilvl="1" w:tplc="8C120862">
      <w:start w:val="1"/>
      <w:numFmt w:val="bullet"/>
      <w:lvlText w:val="•"/>
      <w:lvlJc w:val="left"/>
      <w:pPr>
        <w:ind w:left="1542" w:hanging="567"/>
      </w:pPr>
      <w:rPr>
        <w:rFonts w:hint="default"/>
      </w:rPr>
    </w:lvl>
    <w:lvl w:ilvl="2" w:tplc="F1781AF8">
      <w:start w:val="1"/>
      <w:numFmt w:val="bullet"/>
      <w:lvlText w:val="•"/>
      <w:lvlJc w:val="left"/>
      <w:pPr>
        <w:ind w:left="2405" w:hanging="567"/>
      </w:pPr>
      <w:rPr>
        <w:rFonts w:hint="default"/>
      </w:rPr>
    </w:lvl>
    <w:lvl w:ilvl="3" w:tplc="232C9CEE">
      <w:start w:val="1"/>
      <w:numFmt w:val="bullet"/>
      <w:lvlText w:val="•"/>
      <w:lvlJc w:val="left"/>
      <w:pPr>
        <w:ind w:left="3267" w:hanging="567"/>
      </w:pPr>
      <w:rPr>
        <w:rFonts w:hint="default"/>
      </w:rPr>
    </w:lvl>
    <w:lvl w:ilvl="4" w:tplc="D0725FB2">
      <w:start w:val="1"/>
      <w:numFmt w:val="bullet"/>
      <w:lvlText w:val="•"/>
      <w:lvlJc w:val="left"/>
      <w:pPr>
        <w:ind w:left="4130" w:hanging="567"/>
      </w:pPr>
      <w:rPr>
        <w:rFonts w:hint="default"/>
      </w:rPr>
    </w:lvl>
    <w:lvl w:ilvl="5" w:tplc="AFE0A3CE">
      <w:start w:val="1"/>
      <w:numFmt w:val="bullet"/>
      <w:lvlText w:val="•"/>
      <w:lvlJc w:val="left"/>
      <w:pPr>
        <w:ind w:left="4993" w:hanging="567"/>
      </w:pPr>
      <w:rPr>
        <w:rFonts w:hint="default"/>
      </w:rPr>
    </w:lvl>
    <w:lvl w:ilvl="6" w:tplc="B900ABB8">
      <w:start w:val="1"/>
      <w:numFmt w:val="bullet"/>
      <w:lvlText w:val="•"/>
      <w:lvlJc w:val="left"/>
      <w:pPr>
        <w:ind w:left="5855" w:hanging="567"/>
      </w:pPr>
      <w:rPr>
        <w:rFonts w:hint="default"/>
      </w:rPr>
    </w:lvl>
    <w:lvl w:ilvl="7" w:tplc="48F6562E">
      <w:start w:val="1"/>
      <w:numFmt w:val="bullet"/>
      <w:lvlText w:val="•"/>
      <w:lvlJc w:val="left"/>
      <w:pPr>
        <w:ind w:left="6718" w:hanging="567"/>
      </w:pPr>
      <w:rPr>
        <w:rFonts w:hint="default"/>
      </w:rPr>
    </w:lvl>
    <w:lvl w:ilvl="8" w:tplc="73D2D19E">
      <w:start w:val="1"/>
      <w:numFmt w:val="bullet"/>
      <w:lvlText w:val="•"/>
      <w:lvlJc w:val="left"/>
      <w:pPr>
        <w:ind w:left="7581" w:hanging="567"/>
      </w:pPr>
      <w:rPr>
        <w:rFonts w:hint="default"/>
      </w:rPr>
    </w:lvl>
  </w:abstractNum>
  <w:abstractNum w:abstractNumId="4">
    <w:nsid w:val="46F0176D"/>
    <w:multiLevelType w:val="hybridMultilevel"/>
    <w:tmpl w:val="DC122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EC3F56"/>
    <w:multiLevelType w:val="hybridMultilevel"/>
    <w:tmpl w:val="098CB06C"/>
    <w:lvl w:ilvl="0" w:tplc="BB88FEA2">
      <w:start w:val="1"/>
      <w:numFmt w:val="decimal"/>
      <w:lvlText w:val="%1."/>
      <w:lvlJc w:val="left"/>
      <w:pPr>
        <w:ind w:left="118" w:hanging="567"/>
      </w:pPr>
      <w:rPr>
        <w:rFonts w:ascii="Times New Roman" w:eastAsia="Times New Roman" w:hAnsi="Times New Roman" w:hint="default"/>
        <w:b/>
        <w:bCs/>
        <w:w w:val="100"/>
        <w:sz w:val="22"/>
        <w:szCs w:val="22"/>
      </w:rPr>
    </w:lvl>
    <w:lvl w:ilvl="1" w:tplc="1C647720">
      <w:start w:val="1"/>
      <w:numFmt w:val="bullet"/>
      <w:lvlText w:val="•"/>
      <w:lvlJc w:val="left"/>
      <w:pPr>
        <w:ind w:left="1038" w:hanging="567"/>
      </w:pPr>
      <w:rPr>
        <w:rFonts w:hint="default"/>
      </w:rPr>
    </w:lvl>
    <w:lvl w:ilvl="2" w:tplc="6BC4BBE8">
      <w:start w:val="1"/>
      <w:numFmt w:val="bullet"/>
      <w:lvlText w:val="•"/>
      <w:lvlJc w:val="left"/>
      <w:pPr>
        <w:ind w:left="1957" w:hanging="567"/>
      </w:pPr>
      <w:rPr>
        <w:rFonts w:hint="default"/>
      </w:rPr>
    </w:lvl>
    <w:lvl w:ilvl="3" w:tplc="68AC117A">
      <w:start w:val="1"/>
      <w:numFmt w:val="bullet"/>
      <w:lvlText w:val="•"/>
      <w:lvlJc w:val="left"/>
      <w:pPr>
        <w:ind w:left="2875" w:hanging="567"/>
      </w:pPr>
      <w:rPr>
        <w:rFonts w:hint="default"/>
      </w:rPr>
    </w:lvl>
    <w:lvl w:ilvl="4" w:tplc="EDE2A99E">
      <w:start w:val="1"/>
      <w:numFmt w:val="bullet"/>
      <w:lvlText w:val="•"/>
      <w:lvlJc w:val="left"/>
      <w:pPr>
        <w:ind w:left="3794" w:hanging="567"/>
      </w:pPr>
      <w:rPr>
        <w:rFonts w:hint="default"/>
      </w:rPr>
    </w:lvl>
    <w:lvl w:ilvl="5" w:tplc="A07C1DAA">
      <w:start w:val="1"/>
      <w:numFmt w:val="bullet"/>
      <w:lvlText w:val="•"/>
      <w:lvlJc w:val="left"/>
      <w:pPr>
        <w:ind w:left="4713" w:hanging="567"/>
      </w:pPr>
      <w:rPr>
        <w:rFonts w:hint="default"/>
      </w:rPr>
    </w:lvl>
    <w:lvl w:ilvl="6" w:tplc="5132404E">
      <w:start w:val="1"/>
      <w:numFmt w:val="bullet"/>
      <w:lvlText w:val="•"/>
      <w:lvlJc w:val="left"/>
      <w:pPr>
        <w:ind w:left="5631" w:hanging="567"/>
      </w:pPr>
      <w:rPr>
        <w:rFonts w:hint="default"/>
      </w:rPr>
    </w:lvl>
    <w:lvl w:ilvl="7" w:tplc="81AAB786">
      <w:start w:val="1"/>
      <w:numFmt w:val="bullet"/>
      <w:lvlText w:val="•"/>
      <w:lvlJc w:val="left"/>
      <w:pPr>
        <w:ind w:left="6550" w:hanging="567"/>
      </w:pPr>
      <w:rPr>
        <w:rFonts w:hint="default"/>
      </w:rPr>
    </w:lvl>
    <w:lvl w:ilvl="8" w:tplc="48A2FBEE">
      <w:start w:val="1"/>
      <w:numFmt w:val="bullet"/>
      <w:lvlText w:val="•"/>
      <w:lvlJc w:val="left"/>
      <w:pPr>
        <w:ind w:left="7469" w:hanging="567"/>
      </w:pPr>
      <w:rPr>
        <w:rFonts w:hint="default"/>
      </w:rPr>
    </w:lvl>
  </w:abstractNum>
  <w:abstractNum w:abstractNumId="6">
    <w:nsid w:val="6AEB0717"/>
    <w:multiLevelType w:val="hybridMultilevel"/>
    <w:tmpl w:val="F2265CB6"/>
    <w:lvl w:ilvl="0" w:tplc="69E0182C">
      <w:start w:val="48"/>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69E0182C">
      <w:start w:val="48"/>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B8446B"/>
    <w:multiLevelType w:val="hybridMultilevel"/>
    <w:tmpl w:val="DC762FB0"/>
    <w:lvl w:ilvl="0" w:tplc="69E0182C">
      <w:start w:val="48"/>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4E2876"/>
    <w:multiLevelType w:val="hybridMultilevel"/>
    <w:tmpl w:val="AA28656E"/>
    <w:lvl w:ilvl="0" w:tplc="57A0E668">
      <w:numFmt w:val="bullet"/>
      <w:lvlText w:val="-"/>
      <w:lvlJc w:val="left"/>
      <w:pPr>
        <w:ind w:left="720" w:hanging="360"/>
      </w:pPr>
      <w:rPr>
        <w:rFonts w:ascii="Times New Roman" w:eastAsia="TimesNew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78"/>
    <w:rsid w:val="000031C4"/>
    <w:rsid w:val="00020417"/>
    <w:rsid w:val="00023FFF"/>
    <w:rsid w:val="00034F33"/>
    <w:rsid w:val="000402D1"/>
    <w:rsid w:val="00064362"/>
    <w:rsid w:val="00071DB5"/>
    <w:rsid w:val="00073819"/>
    <w:rsid w:val="000825E0"/>
    <w:rsid w:val="000B479B"/>
    <w:rsid w:val="000C59D7"/>
    <w:rsid w:val="000C6E15"/>
    <w:rsid w:val="000D546F"/>
    <w:rsid w:val="000E3673"/>
    <w:rsid w:val="000F078F"/>
    <w:rsid w:val="000F502F"/>
    <w:rsid w:val="00100B72"/>
    <w:rsid w:val="001030D5"/>
    <w:rsid w:val="001045D0"/>
    <w:rsid w:val="00105CE5"/>
    <w:rsid w:val="00107221"/>
    <w:rsid w:val="001270AA"/>
    <w:rsid w:val="00142A34"/>
    <w:rsid w:val="00145E29"/>
    <w:rsid w:val="00177422"/>
    <w:rsid w:val="001B7D02"/>
    <w:rsid w:val="001B7DB5"/>
    <w:rsid w:val="001D65D2"/>
    <w:rsid w:val="001D78A1"/>
    <w:rsid w:val="001E1B78"/>
    <w:rsid w:val="001E7AB1"/>
    <w:rsid w:val="00206CEF"/>
    <w:rsid w:val="00271D0E"/>
    <w:rsid w:val="002802FA"/>
    <w:rsid w:val="002937BC"/>
    <w:rsid w:val="00296577"/>
    <w:rsid w:val="002A2A3C"/>
    <w:rsid w:val="002A4714"/>
    <w:rsid w:val="002B5219"/>
    <w:rsid w:val="002C5387"/>
    <w:rsid w:val="002D0A4C"/>
    <w:rsid w:val="002D0CF9"/>
    <w:rsid w:val="002E3BD7"/>
    <w:rsid w:val="00311D8B"/>
    <w:rsid w:val="003409A1"/>
    <w:rsid w:val="00345A19"/>
    <w:rsid w:val="003464A6"/>
    <w:rsid w:val="00352470"/>
    <w:rsid w:val="00355199"/>
    <w:rsid w:val="003571F7"/>
    <w:rsid w:val="00387133"/>
    <w:rsid w:val="003A2A13"/>
    <w:rsid w:val="003A43C7"/>
    <w:rsid w:val="003A6E0D"/>
    <w:rsid w:val="003B2F63"/>
    <w:rsid w:val="003B31D5"/>
    <w:rsid w:val="003C5662"/>
    <w:rsid w:val="003D1EBE"/>
    <w:rsid w:val="003D3B11"/>
    <w:rsid w:val="003F4886"/>
    <w:rsid w:val="003F4EEB"/>
    <w:rsid w:val="004128C0"/>
    <w:rsid w:val="004155A8"/>
    <w:rsid w:val="00427046"/>
    <w:rsid w:val="00437A85"/>
    <w:rsid w:val="00451171"/>
    <w:rsid w:val="00476E7D"/>
    <w:rsid w:val="00493602"/>
    <w:rsid w:val="004A1577"/>
    <w:rsid w:val="004B59D3"/>
    <w:rsid w:val="004C13AD"/>
    <w:rsid w:val="004F46B5"/>
    <w:rsid w:val="00511BF8"/>
    <w:rsid w:val="00513DD5"/>
    <w:rsid w:val="00552299"/>
    <w:rsid w:val="0055285B"/>
    <w:rsid w:val="00554364"/>
    <w:rsid w:val="005624A5"/>
    <w:rsid w:val="005939DE"/>
    <w:rsid w:val="005A400F"/>
    <w:rsid w:val="005B1CA7"/>
    <w:rsid w:val="005B21A5"/>
    <w:rsid w:val="005C1BB7"/>
    <w:rsid w:val="005F11C3"/>
    <w:rsid w:val="005F56D0"/>
    <w:rsid w:val="0063687C"/>
    <w:rsid w:val="00645378"/>
    <w:rsid w:val="00653A3F"/>
    <w:rsid w:val="006557AF"/>
    <w:rsid w:val="00661293"/>
    <w:rsid w:val="006638CB"/>
    <w:rsid w:val="006679D9"/>
    <w:rsid w:val="00677FA9"/>
    <w:rsid w:val="00685406"/>
    <w:rsid w:val="00690A66"/>
    <w:rsid w:val="006A4863"/>
    <w:rsid w:val="00710961"/>
    <w:rsid w:val="007134E2"/>
    <w:rsid w:val="00716CE8"/>
    <w:rsid w:val="00717BC3"/>
    <w:rsid w:val="00722251"/>
    <w:rsid w:val="00723F6A"/>
    <w:rsid w:val="00771FAE"/>
    <w:rsid w:val="0078230B"/>
    <w:rsid w:val="007A1CE2"/>
    <w:rsid w:val="007A5D51"/>
    <w:rsid w:val="007B0689"/>
    <w:rsid w:val="007B49E4"/>
    <w:rsid w:val="007B5723"/>
    <w:rsid w:val="007C1B28"/>
    <w:rsid w:val="007C2CDA"/>
    <w:rsid w:val="007D1B8B"/>
    <w:rsid w:val="007E15FB"/>
    <w:rsid w:val="007F11F6"/>
    <w:rsid w:val="008167C4"/>
    <w:rsid w:val="0082050A"/>
    <w:rsid w:val="008269BD"/>
    <w:rsid w:val="0084525E"/>
    <w:rsid w:val="00862AF1"/>
    <w:rsid w:val="0087413F"/>
    <w:rsid w:val="00874348"/>
    <w:rsid w:val="008A7655"/>
    <w:rsid w:val="008B79C5"/>
    <w:rsid w:val="008C75D7"/>
    <w:rsid w:val="008E3E14"/>
    <w:rsid w:val="00924600"/>
    <w:rsid w:val="00973021"/>
    <w:rsid w:val="0097359A"/>
    <w:rsid w:val="00975948"/>
    <w:rsid w:val="009871DE"/>
    <w:rsid w:val="009935E8"/>
    <w:rsid w:val="009976C6"/>
    <w:rsid w:val="009A5DFC"/>
    <w:rsid w:val="009B31E8"/>
    <w:rsid w:val="009C45F5"/>
    <w:rsid w:val="009D185E"/>
    <w:rsid w:val="009E32D3"/>
    <w:rsid w:val="009E6E68"/>
    <w:rsid w:val="00A55267"/>
    <w:rsid w:val="00A627F4"/>
    <w:rsid w:val="00A70461"/>
    <w:rsid w:val="00A72179"/>
    <w:rsid w:val="00A825A3"/>
    <w:rsid w:val="00A85422"/>
    <w:rsid w:val="00A914B3"/>
    <w:rsid w:val="00A93F3A"/>
    <w:rsid w:val="00AA2F07"/>
    <w:rsid w:val="00AA2F31"/>
    <w:rsid w:val="00AA6C14"/>
    <w:rsid w:val="00AB69CF"/>
    <w:rsid w:val="00AC2940"/>
    <w:rsid w:val="00AD0001"/>
    <w:rsid w:val="00AD5DE8"/>
    <w:rsid w:val="00AF26A4"/>
    <w:rsid w:val="00B078B0"/>
    <w:rsid w:val="00B13864"/>
    <w:rsid w:val="00B1405A"/>
    <w:rsid w:val="00B3039E"/>
    <w:rsid w:val="00B36F9B"/>
    <w:rsid w:val="00B53E1D"/>
    <w:rsid w:val="00B6343D"/>
    <w:rsid w:val="00B64C7E"/>
    <w:rsid w:val="00B84A45"/>
    <w:rsid w:val="00B935D1"/>
    <w:rsid w:val="00B96BFC"/>
    <w:rsid w:val="00BA143B"/>
    <w:rsid w:val="00BB2C70"/>
    <w:rsid w:val="00BB3E1B"/>
    <w:rsid w:val="00BB4FA0"/>
    <w:rsid w:val="00BC1CAD"/>
    <w:rsid w:val="00BC788D"/>
    <w:rsid w:val="00BD2297"/>
    <w:rsid w:val="00C00C24"/>
    <w:rsid w:val="00C11BD1"/>
    <w:rsid w:val="00C13246"/>
    <w:rsid w:val="00C2163C"/>
    <w:rsid w:val="00C33FCC"/>
    <w:rsid w:val="00C36768"/>
    <w:rsid w:val="00C54B2C"/>
    <w:rsid w:val="00C67D4D"/>
    <w:rsid w:val="00C75298"/>
    <w:rsid w:val="00C8267E"/>
    <w:rsid w:val="00C833C0"/>
    <w:rsid w:val="00C91EF0"/>
    <w:rsid w:val="00CB28FC"/>
    <w:rsid w:val="00CC28CE"/>
    <w:rsid w:val="00CC38FE"/>
    <w:rsid w:val="00CD747E"/>
    <w:rsid w:val="00CD7B73"/>
    <w:rsid w:val="00CE6D61"/>
    <w:rsid w:val="00CF242F"/>
    <w:rsid w:val="00D0271D"/>
    <w:rsid w:val="00D20308"/>
    <w:rsid w:val="00D22D23"/>
    <w:rsid w:val="00D33208"/>
    <w:rsid w:val="00D43E9B"/>
    <w:rsid w:val="00D46AC7"/>
    <w:rsid w:val="00D62D7B"/>
    <w:rsid w:val="00D81A35"/>
    <w:rsid w:val="00D87C2E"/>
    <w:rsid w:val="00D909ED"/>
    <w:rsid w:val="00DB1DD6"/>
    <w:rsid w:val="00DD14E0"/>
    <w:rsid w:val="00DE1133"/>
    <w:rsid w:val="00DE2086"/>
    <w:rsid w:val="00DE3481"/>
    <w:rsid w:val="00DF0976"/>
    <w:rsid w:val="00DF5C2B"/>
    <w:rsid w:val="00E02000"/>
    <w:rsid w:val="00E0368D"/>
    <w:rsid w:val="00E13BF6"/>
    <w:rsid w:val="00E21956"/>
    <w:rsid w:val="00E273F9"/>
    <w:rsid w:val="00E35EA6"/>
    <w:rsid w:val="00E52D24"/>
    <w:rsid w:val="00E56518"/>
    <w:rsid w:val="00E60BC6"/>
    <w:rsid w:val="00E646A7"/>
    <w:rsid w:val="00E66C4C"/>
    <w:rsid w:val="00E7040E"/>
    <w:rsid w:val="00E7469A"/>
    <w:rsid w:val="00EA4893"/>
    <w:rsid w:val="00EB1F3B"/>
    <w:rsid w:val="00EB273D"/>
    <w:rsid w:val="00ED073C"/>
    <w:rsid w:val="00ED1DDD"/>
    <w:rsid w:val="00EF4D5A"/>
    <w:rsid w:val="00F030C7"/>
    <w:rsid w:val="00F0332E"/>
    <w:rsid w:val="00F13AEB"/>
    <w:rsid w:val="00F14B75"/>
    <w:rsid w:val="00F36DB7"/>
    <w:rsid w:val="00F371D3"/>
    <w:rsid w:val="00F379EC"/>
    <w:rsid w:val="00FB1EA8"/>
    <w:rsid w:val="00FB68B2"/>
    <w:rsid w:val="00FB75C3"/>
    <w:rsid w:val="00FF09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84"/>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ED1DDD"/>
    <w:pPr>
      <w:tabs>
        <w:tab w:val="center" w:pos="4153"/>
        <w:tab w:val="right" w:pos="8306"/>
      </w:tabs>
    </w:pPr>
  </w:style>
  <w:style w:type="character" w:customStyle="1" w:styleId="Char">
    <w:name w:val="Κεφαλίδα Char"/>
    <w:basedOn w:val="a0"/>
    <w:link w:val="a5"/>
    <w:uiPriority w:val="99"/>
    <w:rsid w:val="00ED1DDD"/>
  </w:style>
  <w:style w:type="paragraph" w:styleId="a6">
    <w:name w:val="footer"/>
    <w:basedOn w:val="a"/>
    <w:link w:val="Char0"/>
    <w:uiPriority w:val="99"/>
    <w:unhideWhenUsed/>
    <w:rsid w:val="00ED1DDD"/>
    <w:pPr>
      <w:tabs>
        <w:tab w:val="center" w:pos="4153"/>
        <w:tab w:val="right" w:pos="8306"/>
      </w:tabs>
    </w:pPr>
  </w:style>
  <w:style w:type="character" w:customStyle="1" w:styleId="Char0">
    <w:name w:val="Υποσέλιδο Char"/>
    <w:basedOn w:val="a0"/>
    <w:link w:val="a6"/>
    <w:uiPriority w:val="99"/>
    <w:rsid w:val="00ED1DDD"/>
  </w:style>
  <w:style w:type="paragraph" w:styleId="a7">
    <w:name w:val="Balloon Text"/>
    <w:basedOn w:val="a"/>
    <w:link w:val="Char1"/>
    <w:uiPriority w:val="99"/>
    <w:semiHidden/>
    <w:unhideWhenUsed/>
    <w:rsid w:val="003A43C7"/>
    <w:rPr>
      <w:rFonts w:ascii="Tahoma" w:hAnsi="Tahoma" w:cs="Tahoma"/>
      <w:sz w:val="16"/>
      <w:szCs w:val="16"/>
    </w:rPr>
  </w:style>
  <w:style w:type="character" w:customStyle="1" w:styleId="Char1">
    <w:name w:val="Κείμενο πλαισίου Char"/>
    <w:basedOn w:val="a0"/>
    <w:link w:val="a7"/>
    <w:uiPriority w:val="99"/>
    <w:semiHidden/>
    <w:rsid w:val="003A43C7"/>
    <w:rPr>
      <w:rFonts w:ascii="Tahoma" w:hAnsi="Tahoma" w:cs="Tahoma"/>
      <w:sz w:val="16"/>
      <w:szCs w:val="16"/>
    </w:rPr>
  </w:style>
  <w:style w:type="table" w:styleId="a8">
    <w:name w:val="Table Grid"/>
    <w:basedOn w:val="a1"/>
    <w:uiPriority w:val="59"/>
    <w:rsid w:val="00AD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A143B"/>
    <w:rPr>
      <w:color w:val="0000FF" w:themeColor="hyperlink"/>
      <w:u w:val="single"/>
    </w:rPr>
  </w:style>
  <w:style w:type="character" w:customStyle="1" w:styleId="st">
    <w:name w:val="st"/>
    <w:basedOn w:val="a0"/>
    <w:rsid w:val="00B935D1"/>
  </w:style>
  <w:style w:type="character" w:styleId="a9">
    <w:name w:val="Emphasis"/>
    <w:basedOn w:val="a0"/>
    <w:uiPriority w:val="20"/>
    <w:qFormat/>
    <w:rsid w:val="00B935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84"/>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ED1DDD"/>
    <w:pPr>
      <w:tabs>
        <w:tab w:val="center" w:pos="4153"/>
        <w:tab w:val="right" w:pos="8306"/>
      </w:tabs>
    </w:pPr>
  </w:style>
  <w:style w:type="character" w:customStyle="1" w:styleId="Char">
    <w:name w:val="Κεφαλίδα Char"/>
    <w:basedOn w:val="a0"/>
    <w:link w:val="a5"/>
    <w:uiPriority w:val="99"/>
    <w:rsid w:val="00ED1DDD"/>
  </w:style>
  <w:style w:type="paragraph" w:styleId="a6">
    <w:name w:val="footer"/>
    <w:basedOn w:val="a"/>
    <w:link w:val="Char0"/>
    <w:uiPriority w:val="99"/>
    <w:unhideWhenUsed/>
    <w:rsid w:val="00ED1DDD"/>
    <w:pPr>
      <w:tabs>
        <w:tab w:val="center" w:pos="4153"/>
        <w:tab w:val="right" w:pos="8306"/>
      </w:tabs>
    </w:pPr>
  </w:style>
  <w:style w:type="character" w:customStyle="1" w:styleId="Char0">
    <w:name w:val="Υποσέλιδο Char"/>
    <w:basedOn w:val="a0"/>
    <w:link w:val="a6"/>
    <w:uiPriority w:val="99"/>
    <w:rsid w:val="00ED1DDD"/>
  </w:style>
  <w:style w:type="paragraph" w:styleId="a7">
    <w:name w:val="Balloon Text"/>
    <w:basedOn w:val="a"/>
    <w:link w:val="Char1"/>
    <w:uiPriority w:val="99"/>
    <w:semiHidden/>
    <w:unhideWhenUsed/>
    <w:rsid w:val="003A43C7"/>
    <w:rPr>
      <w:rFonts w:ascii="Tahoma" w:hAnsi="Tahoma" w:cs="Tahoma"/>
      <w:sz w:val="16"/>
      <w:szCs w:val="16"/>
    </w:rPr>
  </w:style>
  <w:style w:type="character" w:customStyle="1" w:styleId="Char1">
    <w:name w:val="Κείμενο πλαισίου Char"/>
    <w:basedOn w:val="a0"/>
    <w:link w:val="a7"/>
    <w:uiPriority w:val="99"/>
    <w:semiHidden/>
    <w:rsid w:val="003A43C7"/>
    <w:rPr>
      <w:rFonts w:ascii="Tahoma" w:hAnsi="Tahoma" w:cs="Tahoma"/>
      <w:sz w:val="16"/>
      <w:szCs w:val="16"/>
    </w:rPr>
  </w:style>
  <w:style w:type="table" w:styleId="a8">
    <w:name w:val="Table Grid"/>
    <w:basedOn w:val="a1"/>
    <w:uiPriority w:val="59"/>
    <w:rsid w:val="00AD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A143B"/>
    <w:rPr>
      <w:color w:val="0000FF" w:themeColor="hyperlink"/>
      <w:u w:val="single"/>
    </w:rPr>
  </w:style>
  <w:style w:type="character" w:customStyle="1" w:styleId="st">
    <w:name w:val="st"/>
    <w:basedOn w:val="a0"/>
    <w:rsid w:val="00B935D1"/>
  </w:style>
  <w:style w:type="character" w:styleId="a9">
    <w:name w:val="Emphasis"/>
    <w:basedOn w:val="a0"/>
    <w:uiPriority w:val="20"/>
    <w:qFormat/>
    <w:rsid w:val="00B93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E392-6AC9-4E6D-8F62-A212214B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9831</Words>
  <Characters>53089</Characters>
  <Application>Microsoft Office Word</Application>
  <DocSecurity>0</DocSecurity>
  <Lines>442</Lines>
  <Paragraphs>125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Truvada, INN-Emtricitabine/Tenofovir Disoproxil</vt:lpstr>
      <vt:lpstr>Truvada, INN-Emtricitabine/Tenofovir Disoproxil</vt:lpstr>
    </vt:vector>
  </TitlesOfParts>
  <Company>Hewlett-Packard Company</Company>
  <LinksUpToDate>false</LinksUpToDate>
  <CharactersWithSpaces>62795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Truvada, INN-Emtricitabine/Tenofovir Disoproxil</dc:title>
  <dc:subject>EPAR</dc:subject>
  <dc:creator>CHMP</dc:creator>
  <cp:keywords>Truvada, INN-Emtricitabine/Tenofovir Disoproxil</cp:keywords>
  <cp:lastModifiedBy>ΜΑΥΡΗΣ ΚΩΝΣΤΑΝΤΙΝΟΣ</cp:lastModifiedBy>
  <cp:revision>2</cp:revision>
  <cp:lastPrinted>2016-11-17T10:49:00Z</cp:lastPrinted>
  <dcterms:created xsi:type="dcterms:W3CDTF">2016-11-17T10:50:00Z</dcterms:created>
  <dcterms:modified xsi:type="dcterms:W3CDTF">2016-11-17T10:50:00Z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www.isitoolbox.com</vt:lpwstr>
  </property>
  <property fmtid="{D5CDD505-2E9C-101B-9397-08002B2CF9AE}" pid="4" name="LastSaved">
    <vt:filetime>2016-02-11T00:00:00Z</vt:filetime>
  </property>
</Properties>
</file>